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BF4A" w14:textId="5FB58128" w:rsidR="00DF0013" w:rsidRPr="00216A9E" w:rsidRDefault="00DF0013" w:rsidP="001D4BC8">
      <w:pPr>
        <w:pBdr>
          <w:bottom w:val="single" w:sz="12" w:space="10" w:color="808080"/>
        </w:pBdr>
        <w:spacing w:before="3120"/>
        <w:jc w:val="center"/>
        <w:rPr>
          <w:rFonts w:eastAsia="Arial"/>
          <w:b/>
          <w:sz w:val="60"/>
          <w:szCs w:val="60"/>
        </w:rPr>
      </w:pPr>
      <w:r>
        <w:rPr>
          <w:b/>
          <w:sz w:val="60"/>
          <w:szCs w:val="60"/>
        </w:rPr>
        <w:t xml:space="preserve">How to Read the </w:t>
      </w:r>
      <w:r w:rsidR="00DE70AE">
        <w:rPr>
          <w:b/>
          <w:sz w:val="60"/>
          <w:szCs w:val="60"/>
        </w:rPr>
        <w:t>Budget Papers</w:t>
      </w:r>
    </w:p>
    <w:p w14:paraId="42D041BD" w14:textId="6512281B" w:rsidR="00DF0013" w:rsidRPr="000C561B" w:rsidRDefault="00DF0013" w:rsidP="00DF0013">
      <w:pPr>
        <w:spacing w:before="120" w:after="120"/>
        <w:jc w:val="center"/>
        <w:rPr>
          <w:b/>
          <w:sz w:val="60"/>
          <w:szCs w:val="60"/>
        </w:rPr>
      </w:pPr>
      <w:r w:rsidRPr="000C561B">
        <w:rPr>
          <w:b/>
          <w:sz w:val="60"/>
          <w:szCs w:val="60"/>
        </w:rPr>
        <w:t>20</w:t>
      </w:r>
      <w:r>
        <w:rPr>
          <w:b/>
          <w:sz w:val="60"/>
          <w:szCs w:val="60"/>
        </w:rPr>
        <w:t>2</w:t>
      </w:r>
      <w:r w:rsidR="006233B4">
        <w:rPr>
          <w:b/>
          <w:sz w:val="60"/>
          <w:szCs w:val="60"/>
        </w:rPr>
        <w:t>2</w:t>
      </w:r>
      <w:r w:rsidRPr="000C561B">
        <w:rPr>
          <w:b/>
          <w:sz w:val="60"/>
          <w:szCs w:val="60"/>
        </w:rPr>
        <w:t>-</w:t>
      </w:r>
      <w:r>
        <w:rPr>
          <w:b/>
          <w:sz w:val="60"/>
          <w:szCs w:val="60"/>
        </w:rPr>
        <w:t>2</w:t>
      </w:r>
      <w:r w:rsidR="006233B4">
        <w:rPr>
          <w:b/>
          <w:sz w:val="60"/>
          <w:szCs w:val="60"/>
        </w:rPr>
        <w:t>3</w:t>
      </w:r>
    </w:p>
    <w:p w14:paraId="4A76D0EB" w14:textId="3780DB2F" w:rsidR="00DF0013" w:rsidRPr="000C561B" w:rsidRDefault="0041248E" w:rsidP="00DF0013">
      <w:pPr>
        <w:spacing w:before="600"/>
        <w:jc w:val="center"/>
      </w:pPr>
      <w:r w:rsidRPr="009648F6">
        <w:rPr>
          <w:noProof/>
        </w:rPr>
        <w:drawing>
          <wp:inline distT="0" distB="0" distL="0" distR="0" wp14:anchorId="705D7D36" wp14:editId="720150AC">
            <wp:extent cx="1574800" cy="1574800"/>
            <wp:effectExtent l="0" t="0" r="0" b="0"/>
            <wp:docPr id="2" name="Picture 0" descr="N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W.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14:paraId="4B39985E" w14:textId="77777777" w:rsidR="00DF0013" w:rsidRPr="000C561B" w:rsidRDefault="00DF0013" w:rsidP="00DF0013">
      <w:pPr>
        <w:spacing w:before="960"/>
        <w:jc w:val="center"/>
        <w:rPr>
          <w:b/>
          <w:sz w:val="40"/>
          <w:szCs w:val="40"/>
        </w:rPr>
      </w:pPr>
    </w:p>
    <w:p w14:paraId="7B97358C" w14:textId="77777777" w:rsidR="00DF0013" w:rsidRPr="000C561B" w:rsidRDefault="00DF0013" w:rsidP="00DF0013">
      <w:pPr>
        <w:jc w:val="center"/>
        <w:rPr>
          <w:b/>
          <w:sz w:val="40"/>
          <w:szCs w:val="40"/>
        </w:rPr>
      </w:pPr>
    </w:p>
    <w:p w14:paraId="72EE2F2C" w14:textId="77777777" w:rsidR="00DF0013" w:rsidRPr="000C561B" w:rsidRDefault="00DF0013" w:rsidP="00DF0013">
      <w:pPr>
        <w:jc w:val="center"/>
        <w:rPr>
          <w:b/>
          <w:sz w:val="40"/>
          <w:szCs w:val="40"/>
        </w:rPr>
      </w:pPr>
    </w:p>
    <w:p w14:paraId="369499CE" w14:textId="77777777" w:rsidR="00DF0013" w:rsidRPr="000C561B" w:rsidRDefault="00DF0013" w:rsidP="00DF0013">
      <w:pPr>
        <w:jc w:val="center"/>
        <w:rPr>
          <w:b/>
          <w:sz w:val="40"/>
          <w:szCs w:val="40"/>
        </w:rPr>
      </w:pPr>
    </w:p>
    <w:p w14:paraId="7DDD402F" w14:textId="77777777" w:rsidR="00DF0013" w:rsidRPr="000C561B" w:rsidRDefault="00DF0013" w:rsidP="00DF0013">
      <w:pPr>
        <w:pStyle w:val="TitlePage1"/>
        <w:keepLines w:val="0"/>
        <w:widowControl w:val="0"/>
        <w:rPr>
          <w:rFonts w:ascii="Arial" w:hAnsi="Arial" w:cs="Arial"/>
        </w:rPr>
      </w:pPr>
    </w:p>
    <w:p w14:paraId="2BF44ECD" w14:textId="77777777" w:rsidR="00DF0013" w:rsidRPr="000C561B" w:rsidRDefault="00DF0013" w:rsidP="00DF0013">
      <w:pPr>
        <w:pStyle w:val="TitlePage1"/>
        <w:keepLines w:val="0"/>
        <w:widowControl w:val="0"/>
        <w:rPr>
          <w:rFonts w:ascii="Arial" w:hAnsi="Arial" w:cs="Arial"/>
        </w:rPr>
      </w:pPr>
    </w:p>
    <w:p w14:paraId="567FCE89" w14:textId="77777777" w:rsidR="00DF0013" w:rsidRPr="000C561B" w:rsidRDefault="00DF0013" w:rsidP="00DF0013">
      <w:pPr>
        <w:pStyle w:val="TitlePage1"/>
        <w:keepLines w:val="0"/>
        <w:widowControl w:val="0"/>
        <w:rPr>
          <w:rFonts w:ascii="Arial" w:hAnsi="Arial" w:cs="Arial"/>
          <w:sz w:val="23"/>
          <w:szCs w:val="23"/>
        </w:rPr>
        <w:sectPr w:rsidR="00DF0013" w:rsidRPr="000C561B" w:rsidSect="00A11AEE">
          <w:headerReference w:type="even" r:id="rId12"/>
          <w:headerReference w:type="default" r:id="rId13"/>
          <w:footerReference w:type="even" r:id="rId14"/>
          <w:footerReference w:type="first" r:id="rId15"/>
          <w:pgSz w:w="11906" w:h="16840" w:code="9"/>
          <w:pgMar w:top="1134" w:right="1134" w:bottom="1134" w:left="1134" w:header="454" w:footer="454" w:gutter="0"/>
          <w:cols w:space="720"/>
          <w:noEndnote/>
          <w:titlePg/>
        </w:sectPr>
      </w:pPr>
    </w:p>
    <w:p w14:paraId="0023433A" w14:textId="1DE1352C" w:rsidR="003D1D64" w:rsidRPr="00E2314D" w:rsidRDefault="00B21C84" w:rsidP="00344DDD">
      <w:pPr>
        <w:pStyle w:val="Heading1"/>
        <w:keepNext w:val="0"/>
        <w:tabs>
          <w:tab w:val="left" w:pos="2127"/>
        </w:tabs>
        <w:spacing w:after="240"/>
      </w:pPr>
      <w:bookmarkStart w:id="0" w:name="_Toc106280656"/>
      <w:bookmarkStart w:id="1" w:name="_Toc55414648"/>
      <w:bookmarkStart w:id="2" w:name="_Toc74744085"/>
      <w:r>
        <w:lastRenderedPageBreak/>
        <w:t>Foreword</w:t>
      </w:r>
      <w:bookmarkEnd w:id="0"/>
      <w:r>
        <w:t xml:space="preserve"> </w:t>
      </w:r>
      <w:bookmarkEnd w:id="1"/>
      <w:bookmarkEnd w:id="2"/>
    </w:p>
    <w:p w14:paraId="7BD32FCC" w14:textId="7517E2D6" w:rsidR="00FE11AE" w:rsidRDefault="00A15DE8" w:rsidP="003B5132">
      <w:pPr>
        <w:pStyle w:val="BodyText"/>
      </w:pPr>
      <w:r>
        <w:t xml:space="preserve">The </w:t>
      </w:r>
      <w:r w:rsidR="009F2725">
        <w:t xml:space="preserve">Budget </w:t>
      </w:r>
      <w:r w:rsidR="00A53B81">
        <w:t xml:space="preserve">is the </w:t>
      </w:r>
      <w:r w:rsidR="00B73108">
        <w:t>NSW G</w:t>
      </w:r>
      <w:r w:rsidR="00A53B81">
        <w:t>overnment’s</w:t>
      </w:r>
      <w:r w:rsidR="00D15293">
        <w:t xml:space="preserve"> </w:t>
      </w:r>
      <w:r w:rsidR="002C581E">
        <w:t xml:space="preserve">principal </w:t>
      </w:r>
      <w:r w:rsidR="0010058D">
        <w:t xml:space="preserve">financial, economic and policy </w:t>
      </w:r>
      <w:r w:rsidR="00192F3D">
        <w:t>statement</w:t>
      </w:r>
      <w:r w:rsidR="0010058D">
        <w:t xml:space="preserve"> </w:t>
      </w:r>
      <w:r w:rsidR="0D47B5BA">
        <w:t>and is released once a</w:t>
      </w:r>
      <w:r w:rsidR="0010058D">
        <w:t xml:space="preserve"> year.</w:t>
      </w:r>
      <w:r w:rsidR="00E0048C">
        <w:t xml:space="preserve"> </w:t>
      </w:r>
      <w:r w:rsidR="006279CC">
        <w:t xml:space="preserve">It </w:t>
      </w:r>
      <w:r w:rsidR="007E7882">
        <w:t xml:space="preserve">focuses on the </w:t>
      </w:r>
      <w:r w:rsidR="00A1495E">
        <w:t xml:space="preserve">next </w:t>
      </w:r>
      <w:r w:rsidR="007E7882">
        <w:t xml:space="preserve">four years, with </w:t>
      </w:r>
      <w:r w:rsidR="008F6672">
        <w:t xml:space="preserve">particular analysis on the year ahead (the Budget year). </w:t>
      </w:r>
      <w:r w:rsidR="00CF00FD">
        <w:t xml:space="preserve"> </w:t>
      </w:r>
    </w:p>
    <w:p w14:paraId="51C788FC" w14:textId="3066231B" w:rsidR="00A1495E" w:rsidRDefault="008F6672" w:rsidP="003B5132">
      <w:pPr>
        <w:pStyle w:val="BodyText"/>
      </w:pPr>
      <w:r>
        <w:t xml:space="preserve">The Budget </w:t>
      </w:r>
      <w:r w:rsidR="00FE11AE">
        <w:t xml:space="preserve">itself </w:t>
      </w:r>
      <w:r>
        <w:t xml:space="preserve">is made up of </w:t>
      </w:r>
      <w:r w:rsidR="006279CC">
        <w:t>five individual Budget Papers, one of which is the Appropriation Bill</w:t>
      </w:r>
      <w:r w:rsidR="007B2F83">
        <w:t>s</w:t>
      </w:r>
      <w:r w:rsidR="006279CC">
        <w:t xml:space="preserve"> presented to NSW Parliament.</w:t>
      </w:r>
      <w:r w:rsidR="0044449A">
        <w:t xml:space="preserve"> </w:t>
      </w:r>
    </w:p>
    <w:p w14:paraId="27436D2B" w14:textId="1410994B" w:rsidR="00BD2FF8" w:rsidRDefault="00BD2FF8" w:rsidP="003B5132">
      <w:pPr>
        <w:pStyle w:val="BodyText"/>
      </w:pPr>
      <w:r>
        <w:t xml:space="preserve">The Budget Papers are an important resource for </w:t>
      </w:r>
      <w:r w:rsidR="00FA2A66">
        <w:t>the community</w:t>
      </w:r>
      <w:r w:rsidR="000E737D">
        <w:t>.</w:t>
      </w:r>
      <w:r w:rsidR="00313F66">
        <w:t xml:space="preserve"> </w:t>
      </w:r>
      <w:r w:rsidR="000E737D">
        <w:t>T</w:t>
      </w:r>
      <w:r w:rsidR="6EE19545">
        <w:t xml:space="preserve">hey </w:t>
      </w:r>
      <w:r w:rsidR="00F10A64">
        <w:t>provid</w:t>
      </w:r>
      <w:r w:rsidR="6B996946">
        <w:t>e</w:t>
      </w:r>
      <w:r w:rsidR="00F10A64">
        <w:t xml:space="preserve"> insight into how the NSW Government is allocat</w:t>
      </w:r>
      <w:r w:rsidR="12F477D6">
        <w:t>ing</w:t>
      </w:r>
      <w:r w:rsidR="00F10A64">
        <w:t xml:space="preserve"> </w:t>
      </w:r>
      <w:r w:rsidR="00AC0FF6">
        <w:t>tax</w:t>
      </w:r>
      <w:r w:rsidR="7B1FDB2F">
        <w:t>payer</w:t>
      </w:r>
      <w:r w:rsidR="00AC0FF6">
        <w:t xml:space="preserve"> dollars</w:t>
      </w:r>
      <w:r w:rsidR="000E737D">
        <w:t xml:space="preserve">, what new </w:t>
      </w:r>
      <w:r w:rsidR="000836A6">
        <w:t xml:space="preserve">and existing </w:t>
      </w:r>
      <w:r w:rsidR="000E737D">
        <w:t xml:space="preserve">services </w:t>
      </w:r>
      <w:r w:rsidR="000836A6">
        <w:t>and infrastructure</w:t>
      </w:r>
      <w:r w:rsidR="000E737D">
        <w:t xml:space="preserve"> are being delivered</w:t>
      </w:r>
      <w:r w:rsidR="00CC3FA4">
        <w:t xml:space="preserve"> </w:t>
      </w:r>
      <w:r w:rsidR="001E5595">
        <w:t xml:space="preserve">and </w:t>
      </w:r>
      <w:r w:rsidR="00A434B3">
        <w:t>how government spending is performing</w:t>
      </w:r>
      <w:r w:rsidR="001E5595">
        <w:t xml:space="preserve">.  </w:t>
      </w:r>
    </w:p>
    <w:p w14:paraId="332AD998" w14:textId="11580D74" w:rsidR="00BF4F29" w:rsidRDefault="007148C0" w:rsidP="003B5132">
      <w:pPr>
        <w:pStyle w:val="BodyText"/>
      </w:pPr>
      <w:r w:rsidRPr="1BCAB9DB">
        <w:rPr>
          <w:i/>
        </w:rPr>
        <w:t>How to Read the Budget Papers</w:t>
      </w:r>
      <w:r>
        <w:t xml:space="preserve"> </w:t>
      </w:r>
      <w:r w:rsidR="00186125">
        <w:t xml:space="preserve">has been prepared to help readers </w:t>
      </w:r>
      <w:r w:rsidR="008D0322">
        <w:t>get the most from the Budget</w:t>
      </w:r>
      <w:r w:rsidR="00DC2875">
        <w:t xml:space="preserve">. It explains </w:t>
      </w:r>
      <w:r w:rsidR="00503B0F">
        <w:t xml:space="preserve">where to </w:t>
      </w:r>
      <w:r w:rsidR="00BF4F29">
        <w:t>locate key information</w:t>
      </w:r>
      <w:r w:rsidR="00DC2875">
        <w:t>, through to</w:t>
      </w:r>
      <w:r w:rsidR="00BF4F29">
        <w:t xml:space="preserve"> an overview of key concepts and terminology.  </w:t>
      </w:r>
    </w:p>
    <w:p w14:paraId="203ADBDF" w14:textId="6139049B" w:rsidR="00A812AA" w:rsidRDefault="00BF4F29" w:rsidP="003B5132">
      <w:pPr>
        <w:pStyle w:val="BodyText"/>
      </w:pPr>
      <w:r>
        <w:t>T</w:t>
      </w:r>
      <w:r w:rsidR="26DF8D31">
        <w:t>his documen</w:t>
      </w:r>
      <w:r w:rsidR="004C574B">
        <w:t xml:space="preserve">t </w:t>
      </w:r>
      <w:r w:rsidR="008F77A2">
        <w:t xml:space="preserve">is structured to </w:t>
      </w:r>
      <w:r w:rsidR="00AF578B">
        <w:t>serve a dual purpose</w:t>
      </w:r>
      <w:r w:rsidR="00A812AA">
        <w:t>:</w:t>
      </w:r>
    </w:p>
    <w:p w14:paraId="760EA6E9" w14:textId="1230699F" w:rsidR="00A20B97" w:rsidRDefault="74ADD9DA" w:rsidP="003B5132">
      <w:pPr>
        <w:pStyle w:val="Bullet1"/>
        <w:numPr>
          <w:ilvl w:val="0"/>
          <w:numId w:val="40"/>
        </w:numPr>
      </w:pPr>
      <w:r>
        <w:t>a</w:t>
      </w:r>
      <w:r w:rsidR="00186125">
        <w:t xml:space="preserve"> plain English guide </w:t>
      </w:r>
      <w:r w:rsidR="008F77A2">
        <w:t xml:space="preserve">for readers, </w:t>
      </w:r>
      <w:r w:rsidR="00357ECE">
        <w:t xml:space="preserve">to </w:t>
      </w:r>
      <w:r w:rsidR="00006D5D">
        <w:t xml:space="preserve">aid </w:t>
      </w:r>
      <w:r w:rsidR="00DC2875">
        <w:t>interpretation of</w:t>
      </w:r>
      <w:r w:rsidR="00186125">
        <w:t xml:space="preserve"> key economic</w:t>
      </w:r>
      <w:r w:rsidR="00B26A54">
        <w:t>,</w:t>
      </w:r>
      <w:r w:rsidR="00186125">
        <w:t xml:space="preserve"> financial </w:t>
      </w:r>
      <w:r w:rsidR="00B26A54">
        <w:t xml:space="preserve">and performance </w:t>
      </w:r>
      <w:r w:rsidR="00186125">
        <w:t xml:space="preserve">information in the </w:t>
      </w:r>
      <w:r w:rsidR="00EA2E2B">
        <w:t>Budget Papers</w:t>
      </w:r>
    </w:p>
    <w:p w14:paraId="59168C21" w14:textId="1230699F" w:rsidR="009C7B4C" w:rsidRDefault="00563CC4" w:rsidP="003B5132">
      <w:pPr>
        <w:pStyle w:val="Bullet1"/>
        <w:numPr>
          <w:ilvl w:val="0"/>
          <w:numId w:val="40"/>
        </w:numPr>
      </w:pPr>
      <w:r>
        <w:t>a</w:t>
      </w:r>
      <w:r w:rsidR="00006D5D">
        <w:t xml:space="preserve"> </w:t>
      </w:r>
      <w:r w:rsidR="00343A65">
        <w:t xml:space="preserve">technical accompaniment </w:t>
      </w:r>
      <w:r w:rsidR="00182CE5">
        <w:t xml:space="preserve">for the </w:t>
      </w:r>
      <w:r w:rsidR="00C95CE8">
        <w:t>‘</w:t>
      </w:r>
      <w:r w:rsidR="00C15476">
        <w:t xml:space="preserve">Actual and </w:t>
      </w:r>
      <w:r w:rsidR="00AF1D44">
        <w:t>Estimated Financial Statements</w:t>
      </w:r>
      <w:r w:rsidR="00B53566">
        <w:t xml:space="preserve"> for the </w:t>
      </w:r>
      <w:r w:rsidR="00CA6318">
        <w:t>g</w:t>
      </w:r>
      <w:r w:rsidR="00B53566">
        <w:t xml:space="preserve">eneral </w:t>
      </w:r>
      <w:r w:rsidR="00CA6318">
        <w:t>g</w:t>
      </w:r>
      <w:r w:rsidR="00B53566">
        <w:t xml:space="preserve">overnment </w:t>
      </w:r>
      <w:r w:rsidR="00CA6318">
        <w:t>s</w:t>
      </w:r>
      <w:r w:rsidR="00B53566">
        <w:t>ector</w:t>
      </w:r>
      <w:r w:rsidR="00C95CE8">
        <w:t>’</w:t>
      </w:r>
      <w:r w:rsidR="00006D5D">
        <w:t xml:space="preserve"> – including </w:t>
      </w:r>
      <w:r w:rsidR="00FD0C5E">
        <w:t xml:space="preserve">how they </w:t>
      </w:r>
      <w:r w:rsidR="0063684D">
        <w:t xml:space="preserve">are prepared in accordance with </w:t>
      </w:r>
      <w:r w:rsidR="006D0697">
        <w:t xml:space="preserve">principles and rules </w:t>
      </w:r>
      <w:r w:rsidR="00006D5D">
        <w:t xml:space="preserve">established </w:t>
      </w:r>
      <w:r w:rsidR="006A3AC5">
        <w:t xml:space="preserve">by the </w:t>
      </w:r>
      <w:r w:rsidR="00215421">
        <w:t>Australian Accounting Standards</w:t>
      </w:r>
      <w:r w:rsidR="00554F98">
        <w:t xml:space="preserve"> </w:t>
      </w:r>
      <w:r w:rsidR="006A3AC5">
        <w:t xml:space="preserve">Board </w:t>
      </w:r>
      <w:r w:rsidR="00215421">
        <w:t xml:space="preserve">and </w:t>
      </w:r>
      <w:r w:rsidR="006A3AC5">
        <w:t xml:space="preserve">the </w:t>
      </w:r>
      <w:r w:rsidR="00FD0C5E">
        <w:t>A</w:t>
      </w:r>
      <w:r w:rsidR="00A40CC1">
        <w:t>ustralian Bureau of Statistics</w:t>
      </w:r>
      <w:r w:rsidR="00C34434">
        <w:t xml:space="preserve">. </w:t>
      </w:r>
    </w:p>
    <w:p w14:paraId="63D6B94C" w14:textId="51B536C8" w:rsidR="00EA2E2B" w:rsidRPr="00385DEC" w:rsidRDefault="003E13AB" w:rsidP="003B5132">
      <w:pPr>
        <w:pStyle w:val="BodyText"/>
      </w:pPr>
      <w:r>
        <w:t xml:space="preserve">This document </w:t>
      </w:r>
      <w:r w:rsidR="00C95CE8">
        <w:t xml:space="preserve">concludes with </w:t>
      </w:r>
      <w:r>
        <w:t>a glossary of key terms</w:t>
      </w:r>
      <w:r w:rsidR="7A222BA7">
        <w:t xml:space="preserve"> used across the Budget</w:t>
      </w:r>
      <w:r w:rsidR="00C95CE8">
        <w:t xml:space="preserve"> Papers</w:t>
      </w:r>
      <w:r>
        <w:t>.</w:t>
      </w:r>
      <w:r w:rsidR="00C34434">
        <w:t xml:space="preserve"> </w:t>
      </w:r>
    </w:p>
    <w:p w14:paraId="38B5D583" w14:textId="78AF6743" w:rsidR="00402733" w:rsidRDefault="00AB003F" w:rsidP="003B5132">
      <w:pPr>
        <w:pStyle w:val="BodyText"/>
        <w:sectPr w:rsidR="00402733" w:rsidSect="004018FB">
          <w:headerReference w:type="even" r:id="rId16"/>
          <w:headerReference w:type="default" r:id="rId17"/>
          <w:footerReference w:type="even" r:id="rId18"/>
          <w:footerReference w:type="default" r:id="rId19"/>
          <w:footerReference w:type="first" r:id="rId20"/>
          <w:pgSz w:w="11907" w:h="16840" w:code="9"/>
          <w:pgMar w:top="1134" w:right="1134" w:bottom="1134" w:left="1134" w:header="454" w:footer="454" w:gutter="0"/>
          <w:pgNumType w:fmt="lowerRoman" w:start="1"/>
          <w:cols w:space="720"/>
          <w:titlePg/>
        </w:sectPr>
      </w:pPr>
      <w:r>
        <w:t>The full range of</w:t>
      </w:r>
      <w:r w:rsidR="00DF4FC7">
        <w:t xml:space="preserve"> Budget Papers and associated </w:t>
      </w:r>
      <w:r w:rsidR="002556F3">
        <w:t xml:space="preserve">products can be found on the NSW Budget website, </w:t>
      </w:r>
      <w:hyperlink r:id="rId21" w:history="1">
        <w:r w:rsidR="009C3058" w:rsidRPr="00FA00E5">
          <w:rPr>
            <w:rStyle w:val="Hyperlink"/>
          </w:rPr>
          <w:t>www.budget.nsw.gov.au</w:t>
        </w:r>
      </w:hyperlink>
    </w:p>
    <w:bookmarkStart w:id="3" w:name="_Toc106280657" w:displacedByCustomXml="next"/>
    <w:bookmarkStart w:id="4" w:name="_Toc74744086" w:displacedByCustomXml="next"/>
    <w:bookmarkStart w:id="5" w:name="_Toc75110283" w:displacedByCustomXml="next"/>
    <w:sdt>
      <w:sdtPr>
        <w:rPr>
          <w:rFonts w:cs="Arial"/>
          <w:bCs w:val="0"/>
          <w:caps w:val="0"/>
          <w:color w:val="auto"/>
          <w:sz w:val="20"/>
          <w:szCs w:val="20"/>
        </w:rPr>
        <w:id w:val="-1157771243"/>
        <w:docPartObj>
          <w:docPartGallery w:val="Table of Contents"/>
          <w:docPartUnique/>
        </w:docPartObj>
      </w:sdtPr>
      <w:sdtEndPr>
        <w:rPr>
          <w:b/>
          <w:sz w:val="22"/>
          <w:szCs w:val="22"/>
        </w:rPr>
      </w:sdtEndPr>
      <w:sdtContent>
        <w:p w14:paraId="61EB9547" w14:textId="56290CF9" w:rsidR="00B148C0" w:rsidRPr="00D37FC5" w:rsidRDefault="008052F7" w:rsidP="008052F7">
          <w:pPr>
            <w:pStyle w:val="Heading1"/>
            <w:spacing w:before="0"/>
            <w:rPr>
              <w:rFonts w:cs="Arial"/>
            </w:rPr>
          </w:pPr>
          <w:r w:rsidRPr="00D37FC5">
            <w:rPr>
              <w:rFonts w:cs="Arial"/>
            </w:rPr>
            <w:t xml:space="preserve">Table of </w:t>
          </w:r>
          <w:r w:rsidR="00B148C0" w:rsidRPr="00D37FC5">
            <w:rPr>
              <w:rFonts w:cs="Arial"/>
            </w:rPr>
            <w:t>Contents</w:t>
          </w:r>
          <w:bookmarkEnd w:id="5"/>
          <w:bookmarkEnd w:id="4"/>
          <w:bookmarkEnd w:id="3"/>
        </w:p>
        <w:p w14:paraId="2AFD483B" w14:textId="6C3D044D" w:rsidR="00F7610D" w:rsidRPr="00F7610D" w:rsidRDefault="00D97359" w:rsidP="00C448B9">
          <w:pPr>
            <w:pStyle w:val="TOC1"/>
            <w:rPr>
              <w:rFonts w:eastAsiaTheme="minorEastAsia"/>
              <w:color w:val="auto"/>
            </w:rPr>
          </w:pPr>
          <w:r w:rsidRPr="00D37FC5">
            <w:rPr>
              <w:smallCaps/>
              <w:kern w:val="32"/>
            </w:rPr>
            <w:fldChar w:fldCharType="begin"/>
          </w:r>
          <w:r w:rsidRPr="00D37FC5">
            <w:instrText xml:space="preserve"> TOC \h \z \t "Heading 1,1,Heading 2,2" </w:instrText>
          </w:r>
          <w:r w:rsidRPr="00D37FC5">
            <w:rPr>
              <w:smallCaps/>
              <w:kern w:val="32"/>
            </w:rPr>
            <w:fldChar w:fldCharType="separate"/>
          </w:r>
          <w:hyperlink w:anchor="_Toc106280656" w:history="1">
            <w:r w:rsidR="00F7610D" w:rsidRPr="00F7610D">
              <w:rPr>
                <w:rStyle w:val="Hyperlink"/>
                <w:rFonts w:ascii="Arial" w:hAnsi="Arial"/>
              </w:rPr>
              <w:t>Foreword</w:t>
            </w:r>
          </w:hyperlink>
        </w:p>
        <w:p w14:paraId="1D0B54BB" w14:textId="3D5EC5DB" w:rsidR="00F7610D" w:rsidRPr="00F7610D" w:rsidRDefault="00E85896" w:rsidP="00C448B9">
          <w:pPr>
            <w:pStyle w:val="TOC1"/>
            <w:rPr>
              <w:rFonts w:eastAsiaTheme="minorEastAsia"/>
              <w:color w:val="auto"/>
            </w:rPr>
          </w:pPr>
          <w:hyperlink w:anchor="_Toc106280658" w:history="1">
            <w:r w:rsidR="00F7610D">
              <w:rPr>
                <w:rStyle w:val="Hyperlink"/>
                <w:rFonts w:ascii="Arial" w:hAnsi="Arial"/>
              </w:rPr>
              <w:t>O</w:t>
            </w:r>
            <w:r w:rsidR="00F7610D" w:rsidRPr="00F7610D">
              <w:rPr>
                <w:rStyle w:val="Hyperlink"/>
                <w:rFonts w:ascii="Arial" w:hAnsi="Arial"/>
              </w:rPr>
              <w:t>utline of 2022-23 Budget papers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_Toc106280658 \h </w:instrText>
            </w:r>
            <w:r w:rsidR="00F7610D" w:rsidRPr="00F7610D">
              <w:rPr>
                <w:webHidden/>
              </w:rPr>
            </w:r>
            <w:r w:rsidR="00F7610D" w:rsidRPr="00F7610D">
              <w:rPr>
                <w:webHidden/>
              </w:rPr>
              <w:fldChar w:fldCharType="separate"/>
            </w:r>
            <w:r w:rsidR="00335C5C">
              <w:rPr>
                <w:webHidden/>
              </w:rPr>
              <w:t>i</w:t>
            </w:r>
            <w:r w:rsidR="00F7610D" w:rsidRPr="00F7610D">
              <w:rPr>
                <w:webHidden/>
              </w:rPr>
              <w:fldChar w:fldCharType="end"/>
            </w:r>
          </w:hyperlink>
        </w:p>
        <w:p w14:paraId="56BE4BF2" w14:textId="06B492B5" w:rsidR="00F7610D" w:rsidRPr="00F7610D" w:rsidRDefault="00E85896" w:rsidP="0025217E">
          <w:pPr>
            <w:pStyle w:val="TOC2"/>
            <w:rPr>
              <w:rFonts w:eastAsiaTheme="minorEastAsia"/>
              <w:color w:val="auto"/>
              <w:sz w:val="22"/>
              <w:szCs w:val="22"/>
            </w:rPr>
          </w:pPr>
          <w:hyperlink w:anchor="_Toc106280659" w:history="1">
            <w:r w:rsidR="00F7610D" w:rsidRPr="00F7610D">
              <w:rPr>
                <w:rStyle w:val="Hyperlink"/>
                <w:rFonts w:ascii="Arial" w:hAnsi="Arial"/>
              </w:rPr>
              <w:t>Budget Paper No. 1: Budget Statement</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_Toc106280659 \h </w:instrText>
            </w:r>
            <w:r w:rsidR="00F7610D" w:rsidRPr="00F7610D">
              <w:rPr>
                <w:webHidden/>
              </w:rPr>
            </w:r>
            <w:r w:rsidR="00F7610D" w:rsidRPr="00F7610D">
              <w:rPr>
                <w:webHidden/>
              </w:rPr>
              <w:fldChar w:fldCharType="separate"/>
            </w:r>
            <w:r w:rsidR="00335C5C">
              <w:rPr>
                <w:webHidden/>
              </w:rPr>
              <w:t>i</w:t>
            </w:r>
            <w:r w:rsidR="00F7610D" w:rsidRPr="00F7610D">
              <w:rPr>
                <w:webHidden/>
              </w:rPr>
              <w:fldChar w:fldCharType="end"/>
            </w:r>
          </w:hyperlink>
        </w:p>
        <w:p w14:paraId="5D745DBA" w14:textId="76856C54" w:rsidR="00F7610D" w:rsidRPr="00F7610D" w:rsidRDefault="00E85896" w:rsidP="0025217E">
          <w:pPr>
            <w:pStyle w:val="TOC2"/>
            <w:rPr>
              <w:rFonts w:eastAsiaTheme="minorEastAsia"/>
              <w:color w:val="auto"/>
              <w:sz w:val="22"/>
              <w:szCs w:val="22"/>
            </w:rPr>
          </w:pPr>
          <w:hyperlink w:anchor="_Toc106280660" w:history="1">
            <w:r w:rsidR="00F7610D" w:rsidRPr="00F7610D">
              <w:rPr>
                <w:rStyle w:val="Hyperlink"/>
                <w:rFonts w:ascii="Arial" w:hAnsi="Arial"/>
              </w:rPr>
              <w:t>Budget Paper No. 2: Outcomes Statement</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_Toc106280660 \h </w:instrText>
            </w:r>
            <w:r w:rsidR="00F7610D" w:rsidRPr="00F7610D">
              <w:rPr>
                <w:webHidden/>
              </w:rPr>
            </w:r>
            <w:r w:rsidR="00F7610D" w:rsidRPr="00F7610D">
              <w:rPr>
                <w:webHidden/>
              </w:rPr>
              <w:fldChar w:fldCharType="separate"/>
            </w:r>
            <w:r w:rsidR="00335C5C">
              <w:rPr>
                <w:webHidden/>
              </w:rPr>
              <w:t>i</w:t>
            </w:r>
            <w:r w:rsidR="00F7610D" w:rsidRPr="00F7610D">
              <w:rPr>
                <w:webHidden/>
              </w:rPr>
              <w:fldChar w:fldCharType="end"/>
            </w:r>
          </w:hyperlink>
        </w:p>
        <w:p w14:paraId="543C881A" w14:textId="07D13BF3" w:rsidR="00F7610D" w:rsidRPr="00F7610D" w:rsidRDefault="00E85896" w:rsidP="0025217E">
          <w:pPr>
            <w:pStyle w:val="TOC2"/>
            <w:rPr>
              <w:rFonts w:eastAsiaTheme="minorEastAsia"/>
              <w:color w:val="auto"/>
              <w:sz w:val="22"/>
              <w:szCs w:val="22"/>
            </w:rPr>
          </w:pPr>
          <w:hyperlink w:anchor="_Toc106280661" w:history="1">
            <w:r w:rsidR="00F7610D" w:rsidRPr="00F7610D">
              <w:rPr>
                <w:rStyle w:val="Hyperlink"/>
                <w:rFonts w:ascii="Arial" w:hAnsi="Arial"/>
              </w:rPr>
              <w:t>Budget Paper No. 3: Infrastructure Statement</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_Toc106280661 \h </w:instrText>
            </w:r>
            <w:r w:rsidR="00F7610D" w:rsidRPr="00F7610D">
              <w:rPr>
                <w:webHidden/>
              </w:rPr>
            </w:r>
            <w:r w:rsidR="00F7610D" w:rsidRPr="00F7610D">
              <w:rPr>
                <w:webHidden/>
              </w:rPr>
              <w:fldChar w:fldCharType="separate"/>
            </w:r>
            <w:r w:rsidR="00335C5C">
              <w:rPr>
                <w:webHidden/>
              </w:rPr>
              <w:t>ii</w:t>
            </w:r>
            <w:r w:rsidR="00F7610D" w:rsidRPr="00F7610D">
              <w:rPr>
                <w:webHidden/>
              </w:rPr>
              <w:fldChar w:fldCharType="end"/>
            </w:r>
          </w:hyperlink>
        </w:p>
        <w:p w14:paraId="313E3DFD" w14:textId="561ABF7B" w:rsidR="00F7610D" w:rsidRPr="00F7610D" w:rsidRDefault="00E85896" w:rsidP="0025217E">
          <w:pPr>
            <w:pStyle w:val="TOC2"/>
            <w:rPr>
              <w:rFonts w:eastAsiaTheme="minorEastAsia"/>
              <w:color w:val="auto"/>
              <w:sz w:val="22"/>
              <w:szCs w:val="22"/>
            </w:rPr>
          </w:pPr>
          <w:hyperlink w:anchor="_Toc106280662" w:history="1">
            <w:r w:rsidR="00F7610D" w:rsidRPr="00F7610D">
              <w:rPr>
                <w:rStyle w:val="Hyperlink"/>
                <w:rFonts w:ascii="Arial" w:hAnsi="Arial"/>
              </w:rPr>
              <w:t>Budget Paper No. 4: Agency Financial Statements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_Toc106280662 \h </w:instrText>
            </w:r>
            <w:r w:rsidR="00F7610D" w:rsidRPr="00F7610D">
              <w:rPr>
                <w:webHidden/>
              </w:rPr>
            </w:r>
            <w:r w:rsidR="00F7610D" w:rsidRPr="00F7610D">
              <w:rPr>
                <w:webHidden/>
              </w:rPr>
              <w:fldChar w:fldCharType="separate"/>
            </w:r>
            <w:r w:rsidR="00335C5C">
              <w:rPr>
                <w:webHidden/>
              </w:rPr>
              <w:t>ii</w:t>
            </w:r>
            <w:r w:rsidR="00F7610D" w:rsidRPr="00F7610D">
              <w:rPr>
                <w:webHidden/>
              </w:rPr>
              <w:fldChar w:fldCharType="end"/>
            </w:r>
          </w:hyperlink>
        </w:p>
        <w:p w14:paraId="3BDCE602" w14:textId="1597DDB5" w:rsidR="00F7610D" w:rsidRPr="00F7610D" w:rsidRDefault="00E85896" w:rsidP="0025217E">
          <w:pPr>
            <w:pStyle w:val="TOC2"/>
            <w:rPr>
              <w:rFonts w:eastAsiaTheme="minorEastAsia"/>
              <w:color w:val="auto"/>
              <w:sz w:val="22"/>
              <w:szCs w:val="22"/>
            </w:rPr>
          </w:pPr>
          <w:hyperlink w:anchor="_Toc106280663" w:history="1">
            <w:r w:rsidR="00F7610D" w:rsidRPr="00F7610D">
              <w:rPr>
                <w:rStyle w:val="Hyperlink"/>
                <w:rFonts w:ascii="Arial" w:hAnsi="Arial"/>
              </w:rPr>
              <w:t>Budget Paper No. 5: Appropriation Bills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_Toc106280663 \h </w:instrText>
            </w:r>
            <w:r w:rsidR="00F7610D" w:rsidRPr="00F7610D">
              <w:rPr>
                <w:webHidden/>
              </w:rPr>
            </w:r>
            <w:r w:rsidR="00F7610D" w:rsidRPr="00F7610D">
              <w:rPr>
                <w:webHidden/>
              </w:rPr>
              <w:fldChar w:fldCharType="separate"/>
            </w:r>
            <w:r w:rsidR="00335C5C">
              <w:rPr>
                <w:webHidden/>
              </w:rPr>
              <w:t>ii</w:t>
            </w:r>
            <w:r w:rsidR="00F7610D" w:rsidRPr="00F7610D">
              <w:rPr>
                <w:webHidden/>
              </w:rPr>
              <w:fldChar w:fldCharType="end"/>
            </w:r>
          </w:hyperlink>
        </w:p>
        <w:p w14:paraId="24709F10" w14:textId="4D1A2A5B" w:rsidR="00F7610D" w:rsidRPr="00F7610D" w:rsidRDefault="00E85896" w:rsidP="00C448B9">
          <w:pPr>
            <w:pStyle w:val="TOC1"/>
            <w:rPr>
              <w:rFonts w:eastAsiaTheme="minorEastAsia"/>
              <w:color w:val="auto"/>
            </w:rPr>
          </w:pPr>
          <w:hyperlink w:anchor="_Toc106280664" w:history="1">
            <w:r w:rsidR="00F7610D">
              <w:rPr>
                <w:rStyle w:val="Hyperlink"/>
                <w:rFonts w:ascii="Arial" w:hAnsi="Arial"/>
              </w:rPr>
              <w:t>B</w:t>
            </w:r>
            <w:r w:rsidR="00F7610D" w:rsidRPr="00F7610D">
              <w:rPr>
                <w:rStyle w:val="Hyperlink"/>
                <w:rFonts w:ascii="Arial" w:hAnsi="Arial"/>
              </w:rPr>
              <w:t>asis and scope of the budget papers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_Toc106280664 \h </w:instrText>
            </w:r>
            <w:r w:rsidR="00F7610D" w:rsidRPr="00F7610D">
              <w:rPr>
                <w:webHidden/>
              </w:rPr>
            </w:r>
            <w:r w:rsidR="00F7610D" w:rsidRPr="00F7610D">
              <w:rPr>
                <w:webHidden/>
              </w:rPr>
              <w:fldChar w:fldCharType="separate"/>
            </w:r>
            <w:r w:rsidR="00335C5C">
              <w:rPr>
                <w:webHidden/>
              </w:rPr>
              <w:t>iii</w:t>
            </w:r>
            <w:r w:rsidR="00F7610D" w:rsidRPr="00F7610D">
              <w:rPr>
                <w:webHidden/>
              </w:rPr>
              <w:fldChar w:fldCharType="end"/>
            </w:r>
          </w:hyperlink>
        </w:p>
        <w:p w14:paraId="0F92F578" w14:textId="0AB3F429" w:rsidR="00F7610D" w:rsidRPr="00F7610D" w:rsidRDefault="00E85896" w:rsidP="0025217E">
          <w:pPr>
            <w:pStyle w:val="TOC2"/>
            <w:rPr>
              <w:rFonts w:eastAsiaTheme="minorEastAsia"/>
              <w:color w:val="auto"/>
              <w:sz w:val="22"/>
              <w:szCs w:val="22"/>
            </w:rPr>
          </w:pPr>
          <w:hyperlink w:anchor="_Toc106280665" w:history="1">
            <w:r w:rsidR="00F7610D" w:rsidRPr="00F7610D">
              <w:rPr>
                <w:rStyle w:val="Hyperlink"/>
                <w:rFonts w:ascii="Arial" w:hAnsi="Arial"/>
              </w:rPr>
              <w:t>What is ‘The Government’ and what is the scope of the Budget Papers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_Toc106280665 \h </w:instrText>
            </w:r>
            <w:r w:rsidR="00F7610D" w:rsidRPr="00F7610D">
              <w:rPr>
                <w:webHidden/>
              </w:rPr>
            </w:r>
            <w:r w:rsidR="00F7610D" w:rsidRPr="00F7610D">
              <w:rPr>
                <w:webHidden/>
              </w:rPr>
              <w:fldChar w:fldCharType="separate"/>
            </w:r>
            <w:r w:rsidR="00335C5C">
              <w:rPr>
                <w:webHidden/>
              </w:rPr>
              <w:t>iii</w:t>
            </w:r>
            <w:r w:rsidR="00F7610D" w:rsidRPr="00F7610D">
              <w:rPr>
                <w:webHidden/>
              </w:rPr>
              <w:fldChar w:fldCharType="end"/>
            </w:r>
          </w:hyperlink>
        </w:p>
        <w:p w14:paraId="13DFA91B" w14:textId="7C8DEA48" w:rsidR="00F7610D" w:rsidRPr="00F7610D" w:rsidRDefault="00E85896" w:rsidP="00C448B9">
          <w:pPr>
            <w:pStyle w:val="TOC1"/>
            <w:rPr>
              <w:rFonts w:eastAsiaTheme="minorEastAsia"/>
              <w:color w:val="auto"/>
            </w:rPr>
          </w:pPr>
          <w:hyperlink w:anchor="_Toc106280666" w:history="1">
            <w:r w:rsidR="00F7610D">
              <w:rPr>
                <w:rStyle w:val="Hyperlink"/>
                <w:rFonts w:ascii="Arial" w:hAnsi="Arial"/>
              </w:rPr>
              <w:t>I</w:t>
            </w:r>
            <w:r w:rsidR="00F7610D" w:rsidRPr="00F7610D">
              <w:rPr>
                <w:rStyle w:val="Hyperlink"/>
                <w:rFonts w:ascii="Arial" w:hAnsi="Arial"/>
              </w:rPr>
              <w:t>mportant concepts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_Toc106280666 \h </w:instrText>
            </w:r>
            <w:r w:rsidR="00F7610D" w:rsidRPr="00F7610D">
              <w:rPr>
                <w:webHidden/>
              </w:rPr>
            </w:r>
            <w:r w:rsidR="00F7610D" w:rsidRPr="00F7610D">
              <w:rPr>
                <w:webHidden/>
              </w:rPr>
              <w:fldChar w:fldCharType="separate"/>
            </w:r>
            <w:r w:rsidR="00335C5C">
              <w:rPr>
                <w:webHidden/>
              </w:rPr>
              <w:t>v</w:t>
            </w:r>
            <w:r w:rsidR="00F7610D" w:rsidRPr="00F7610D">
              <w:rPr>
                <w:webHidden/>
              </w:rPr>
              <w:fldChar w:fldCharType="end"/>
            </w:r>
          </w:hyperlink>
        </w:p>
        <w:p w14:paraId="0667203E" w14:textId="60FF2326" w:rsidR="00F7610D" w:rsidRPr="00F7610D" w:rsidRDefault="00E85896" w:rsidP="00C448B9">
          <w:pPr>
            <w:pStyle w:val="TOC1"/>
            <w:rPr>
              <w:rFonts w:eastAsiaTheme="minorEastAsia"/>
              <w:color w:val="auto"/>
            </w:rPr>
          </w:pPr>
          <w:hyperlink w:anchor="_Toc106280667" w:history="1">
            <w:r w:rsidR="00F7610D">
              <w:rPr>
                <w:rStyle w:val="Hyperlink"/>
                <w:rFonts w:ascii="Arial" w:hAnsi="Arial"/>
              </w:rPr>
              <w:t>E</w:t>
            </w:r>
            <w:r w:rsidR="00F7610D" w:rsidRPr="00F7610D">
              <w:rPr>
                <w:rStyle w:val="Hyperlink"/>
                <w:rFonts w:ascii="Arial" w:hAnsi="Arial"/>
              </w:rPr>
              <w:t>xplaining key terms and phrases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_Toc106280667 \h </w:instrText>
            </w:r>
            <w:r w:rsidR="00F7610D" w:rsidRPr="00F7610D">
              <w:rPr>
                <w:webHidden/>
              </w:rPr>
            </w:r>
            <w:r w:rsidR="00F7610D" w:rsidRPr="00F7610D">
              <w:rPr>
                <w:webHidden/>
              </w:rPr>
              <w:fldChar w:fldCharType="separate"/>
            </w:r>
            <w:r w:rsidR="00335C5C">
              <w:rPr>
                <w:webHidden/>
              </w:rPr>
              <w:t>viii</w:t>
            </w:r>
            <w:r w:rsidR="00F7610D" w:rsidRPr="00F7610D">
              <w:rPr>
                <w:webHidden/>
              </w:rPr>
              <w:fldChar w:fldCharType="end"/>
            </w:r>
          </w:hyperlink>
        </w:p>
        <w:p w14:paraId="3D4C9D2D" w14:textId="2B00FAB3" w:rsidR="00F7610D" w:rsidRPr="00F7610D" w:rsidRDefault="00E85896" w:rsidP="0025217E">
          <w:pPr>
            <w:pStyle w:val="TOC2"/>
            <w:rPr>
              <w:rFonts w:eastAsiaTheme="minorEastAsia"/>
              <w:color w:val="auto"/>
              <w:sz w:val="22"/>
              <w:szCs w:val="22"/>
            </w:rPr>
          </w:pPr>
          <w:hyperlink w:anchor="_Toc106280668" w:history="1">
            <w:r w:rsidR="00F7610D" w:rsidRPr="00F7610D">
              <w:rPr>
                <w:rStyle w:val="Hyperlink"/>
                <w:rFonts w:ascii="Arial" w:hAnsi="Arial"/>
              </w:rPr>
              <w:t>Concepts used to measure production and spending</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_Toc106280668 \h </w:instrText>
            </w:r>
            <w:r w:rsidR="00F7610D" w:rsidRPr="00F7610D">
              <w:rPr>
                <w:webHidden/>
              </w:rPr>
            </w:r>
            <w:r w:rsidR="00F7610D" w:rsidRPr="00F7610D">
              <w:rPr>
                <w:webHidden/>
              </w:rPr>
              <w:fldChar w:fldCharType="separate"/>
            </w:r>
            <w:r w:rsidR="00335C5C">
              <w:rPr>
                <w:webHidden/>
              </w:rPr>
              <w:t>viii</w:t>
            </w:r>
            <w:r w:rsidR="00F7610D" w:rsidRPr="00F7610D">
              <w:rPr>
                <w:webHidden/>
              </w:rPr>
              <w:fldChar w:fldCharType="end"/>
            </w:r>
          </w:hyperlink>
        </w:p>
        <w:p w14:paraId="3F369918" w14:textId="14B2D072" w:rsidR="00F7610D" w:rsidRPr="00F7610D" w:rsidRDefault="00E85896" w:rsidP="0025217E">
          <w:pPr>
            <w:pStyle w:val="TOC2"/>
            <w:rPr>
              <w:rFonts w:eastAsiaTheme="minorEastAsia"/>
              <w:color w:val="auto"/>
              <w:sz w:val="22"/>
              <w:szCs w:val="22"/>
            </w:rPr>
          </w:pPr>
          <w:hyperlink w:anchor="_Toc106280669" w:history="1">
            <w:r w:rsidR="00F7610D" w:rsidRPr="00F7610D">
              <w:rPr>
                <w:rStyle w:val="Hyperlink"/>
                <w:rFonts w:ascii="Arial" w:hAnsi="Arial"/>
              </w:rPr>
              <w:t>Concepts used to measure the State’s overall financial position and performance</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_Toc106280669 \h </w:instrText>
            </w:r>
            <w:r w:rsidR="00F7610D" w:rsidRPr="00F7610D">
              <w:rPr>
                <w:webHidden/>
              </w:rPr>
            </w:r>
            <w:r w:rsidR="00F7610D" w:rsidRPr="00F7610D">
              <w:rPr>
                <w:webHidden/>
              </w:rPr>
              <w:fldChar w:fldCharType="separate"/>
            </w:r>
            <w:r w:rsidR="00335C5C">
              <w:rPr>
                <w:webHidden/>
              </w:rPr>
              <w:t>ix</w:t>
            </w:r>
            <w:r w:rsidR="00F7610D" w:rsidRPr="00F7610D">
              <w:rPr>
                <w:webHidden/>
              </w:rPr>
              <w:fldChar w:fldCharType="end"/>
            </w:r>
          </w:hyperlink>
        </w:p>
        <w:p w14:paraId="2C9C0E14" w14:textId="4BC63D43" w:rsidR="00F7610D" w:rsidRPr="00F7610D" w:rsidRDefault="00E85896" w:rsidP="0025217E">
          <w:pPr>
            <w:pStyle w:val="TOC2"/>
            <w:rPr>
              <w:rFonts w:eastAsiaTheme="minorEastAsia"/>
              <w:color w:val="auto"/>
              <w:sz w:val="22"/>
              <w:szCs w:val="22"/>
            </w:rPr>
          </w:pPr>
          <w:hyperlink w:anchor="_Toc106280670" w:history="1">
            <w:r w:rsidR="00F7610D" w:rsidRPr="00F7610D">
              <w:rPr>
                <w:rStyle w:val="Hyperlink"/>
                <w:rFonts w:ascii="Arial" w:hAnsi="Arial"/>
              </w:rPr>
              <w:t>Concepts used in Outcome Budgeting</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_Toc106280670 \h </w:instrText>
            </w:r>
            <w:r w:rsidR="00F7610D" w:rsidRPr="00F7610D">
              <w:rPr>
                <w:webHidden/>
              </w:rPr>
            </w:r>
            <w:r w:rsidR="00F7610D" w:rsidRPr="00F7610D">
              <w:rPr>
                <w:webHidden/>
              </w:rPr>
              <w:fldChar w:fldCharType="separate"/>
            </w:r>
            <w:r w:rsidR="00335C5C">
              <w:rPr>
                <w:webHidden/>
              </w:rPr>
              <w:t>x</w:t>
            </w:r>
            <w:r w:rsidR="00F7610D" w:rsidRPr="00F7610D">
              <w:rPr>
                <w:webHidden/>
              </w:rPr>
              <w:fldChar w:fldCharType="end"/>
            </w:r>
          </w:hyperlink>
        </w:p>
        <w:p w14:paraId="79D4DF5E" w14:textId="62B63DBD" w:rsidR="00F7610D" w:rsidRPr="00F7610D" w:rsidRDefault="00E85896" w:rsidP="00C448B9">
          <w:pPr>
            <w:pStyle w:val="TOC1"/>
            <w:rPr>
              <w:rFonts w:eastAsiaTheme="minorEastAsia"/>
              <w:color w:val="auto"/>
            </w:rPr>
          </w:pPr>
          <w:hyperlink w:anchor="_Toc106280671" w:history="1">
            <w:r w:rsidR="00F7610D">
              <w:rPr>
                <w:rStyle w:val="Hyperlink"/>
                <w:rFonts w:ascii="Arial" w:hAnsi="Arial"/>
              </w:rPr>
              <w:t>R</w:t>
            </w:r>
            <w:r w:rsidR="00F7610D" w:rsidRPr="00F7610D">
              <w:rPr>
                <w:rStyle w:val="Hyperlink"/>
                <w:rFonts w:ascii="Arial" w:hAnsi="Arial"/>
              </w:rPr>
              <w:t>eading and understanding financial statements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_Toc106280671 \h </w:instrText>
            </w:r>
            <w:r w:rsidR="00F7610D" w:rsidRPr="00F7610D">
              <w:rPr>
                <w:webHidden/>
              </w:rPr>
            </w:r>
            <w:r w:rsidR="00F7610D" w:rsidRPr="00F7610D">
              <w:rPr>
                <w:webHidden/>
              </w:rPr>
              <w:fldChar w:fldCharType="separate"/>
            </w:r>
            <w:r w:rsidR="00335C5C">
              <w:rPr>
                <w:webHidden/>
              </w:rPr>
              <w:t>xii</w:t>
            </w:r>
            <w:r w:rsidR="00F7610D" w:rsidRPr="00F7610D">
              <w:rPr>
                <w:webHidden/>
              </w:rPr>
              <w:fldChar w:fldCharType="end"/>
            </w:r>
          </w:hyperlink>
        </w:p>
        <w:p w14:paraId="768A0BA3" w14:textId="28EAC217" w:rsidR="00F7610D" w:rsidRPr="00F7610D" w:rsidRDefault="00E85896" w:rsidP="0025217E">
          <w:pPr>
            <w:pStyle w:val="TOC2"/>
            <w:rPr>
              <w:rFonts w:eastAsiaTheme="minorEastAsia"/>
              <w:color w:val="auto"/>
              <w:sz w:val="22"/>
              <w:szCs w:val="22"/>
            </w:rPr>
          </w:pPr>
          <w:hyperlink w:anchor="_Toc106280672" w:history="1">
            <w:r w:rsidR="00F7610D" w:rsidRPr="00F7610D">
              <w:rPr>
                <w:rStyle w:val="Hyperlink"/>
                <w:rFonts w:ascii="Arial" w:hAnsi="Arial"/>
              </w:rPr>
              <w:t>Financial statements presented in the Budget Papers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_Toc106280672 \h </w:instrText>
            </w:r>
            <w:r w:rsidR="00F7610D" w:rsidRPr="00F7610D">
              <w:rPr>
                <w:webHidden/>
              </w:rPr>
            </w:r>
            <w:r w:rsidR="00F7610D" w:rsidRPr="00F7610D">
              <w:rPr>
                <w:webHidden/>
              </w:rPr>
              <w:fldChar w:fldCharType="separate"/>
            </w:r>
            <w:r w:rsidR="00335C5C">
              <w:rPr>
                <w:webHidden/>
              </w:rPr>
              <w:t>xiii</w:t>
            </w:r>
            <w:r w:rsidR="00F7610D" w:rsidRPr="00F7610D">
              <w:rPr>
                <w:webHidden/>
              </w:rPr>
              <w:fldChar w:fldCharType="end"/>
            </w:r>
          </w:hyperlink>
        </w:p>
        <w:p w14:paraId="28ED5B09" w14:textId="3B2A8197" w:rsidR="00F7610D" w:rsidRPr="00F7610D" w:rsidRDefault="00E85896" w:rsidP="00C448B9">
          <w:pPr>
            <w:pStyle w:val="TOC1"/>
            <w:rPr>
              <w:rFonts w:eastAsiaTheme="minorEastAsia"/>
              <w:color w:val="auto"/>
            </w:rPr>
          </w:pPr>
          <w:hyperlink w:anchor="_Toc106280673" w:history="1">
            <w:r w:rsidR="00F7610D">
              <w:rPr>
                <w:rStyle w:val="Hyperlink"/>
                <w:rFonts w:ascii="Arial" w:hAnsi="Arial"/>
              </w:rPr>
              <w:t>S</w:t>
            </w:r>
            <w:r w:rsidR="00F7610D" w:rsidRPr="00F7610D">
              <w:rPr>
                <w:rStyle w:val="Hyperlink"/>
                <w:rFonts w:ascii="Arial" w:hAnsi="Arial"/>
              </w:rPr>
              <w:t>tatement of significant accounting policies and forecast assumptions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_Toc106280673 \h </w:instrText>
            </w:r>
            <w:r w:rsidR="00F7610D" w:rsidRPr="00F7610D">
              <w:rPr>
                <w:webHidden/>
              </w:rPr>
            </w:r>
            <w:r w:rsidR="00F7610D" w:rsidRPr="00F7610D">
              <w:rPr>
                <w:webHidden/>
              </w:rPr>
              <w:fldChar w:fldCharType="separate"/>
            </w:r>
            <w:r w:rsidR="00335C5C">
              <w:rPr>
                <w:webHidden/>
              </w:rPr>
              <w:t>xx</w:t>
            </w:r>
            <w:r w:rsidR="00F7610D" w:rsidRPr="00F7610D">
              <w:rPr>
                <w:webHidden/>
              </w:rPr>
              <w:fldChar w:fldCharType="end"/>
            </w:r>
          </w:hyperlink>
        </w:p>
        <w:p w14:paraId="34CA349F" w14:textId="5BB42FEC" w:rsidR="00F7610D" w:rsidRPr="00F7610D" w:rsidRDefault="00E85896" w:rsidP="0025217E">
          <w:pPr>
            <w:pStyle w:val="TOC2"/>
            <w:rPr>
              <w:rFonts w:eastAsiaTheme="minorEastAsia"/>
              <w:color w:val="auto"/>
              <w:sz w:val="22"/>
              <w:szCs w:val="22"/>
            </w:rPr>
          </w:pPr>
          <w:hyperlink w:anchor="_Toc106280674" w:history="1">
            <w:r w:rsidR="00F7610D" w:rsidRPr="00F7610D">
              <w:rPr>
                <w:rStyle w:val="Hyperlink"/>
                <w:rFonts w:ascii="Arial" w:hAnsi="Arial"/>
              </w:rPr>
              <w:t>Scope of the Actual Financial Statements and Estimated Financial Statements for the general government sector</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_Toc106280674 \h </w:instrText>
            </w:r>
            <w:r w:rsidR="00F7610D" w:rsidRPr="00F7610D">
              <w:rPr>
                <w:webHidden/>
              </w:rPr>
            </w:r>
            <w:r w:rsidR="00F7610D" w:rsidRPr="00F7610D">
              <w:rPr>
                <w:webHidden/>
              </w:rPr>
              <w:fldChar w:fldCharType="separate"/>
            </w:r>
            <w:r w:rsidR="00335C5C">
              <w:rPr>
                <w:webHidden/>
              </w:rPr>
              <w:t>xx</w:t>
            </w:r>
            <w:r w:rsidR="00F7610D" w:rsidRPr="00F7610D">
              <w:rPr>
                <w:webHidden/>
              </w:rPr>
              <w:fldChar w:fldCharType="end"/>
            </w:r>
          </w:hyperlink>
        </w:p>
        <w:p w14:paraId="4C51951F" w14:textId="53BCEBBC" w:rsidR="00F7610D" w:rsidRPr="00F7610D" w:rsidRDefault="00E85896" w:rsidP="0025217E">
          <w:pPr>
            <w:pStyle w:val="TOC2"/>
            <w:rPr>
              <w:rFonts w:eastAsiaTheme="minorEastAsia"/>
              <w:color w:val="auto"/>
              <w:sz w:val="22"/>
              <w:szCs w:val="22"/>
            </w:rPr>
          </w:pPr>
          <w:hyperlink w:anchor="_Toc106280675" w:history="1">
            <w:r w:rsidR="00F7610D" w:rsidRPr="00F7610D">
              <w:rPr>
                <w:rStyle w:val="Hyperlink"/>
                <w:rFonts w:ascii="Arial" w:hAnsi="Arial"/>
              </w:rPr>
              <w:t>Basis of preparation</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_Toc106280675 \h </w:instrText>
            </w:r>
            <w:r w:rsidR="00F7610D" w:rsidRPr="00F7610D">
              <w:rPr>
                <w:webHidden/>
              </w:rPr>
            </w:r>
            <w:r w:rsidR="00F7610D" w:rsidRPr="00F7610D">
              <w:rPr>
                <w:webHidden/>
              </w:rPr>
              <w:fldChar w:fldCharType="separate"/>
            </w:r>
            <w:r w:rsidR="00335C5C">
              <w:rPr>
                <w:webHidden/>
              </w:rPr>
              <w:t>xx</w:t>
            </w:r>
            <w:r w:rsidR="00F7610D" w:rsidRPr="00F7610D">
              <w:rPr>
                <w:webHidden/>
              </w:rPr>
              <w:fldChar w:fldCharType="end"/>
            </w:r>
          </w:hyperlink>
        </w:p>
        <w:p w14:paraId="70D2AC89" w14:textId="620A5B7E" w:rsidR="00F7610D" w:rsidRPr="00F7610D" w:rsidRDefault="00E85896" w:rsidP="0025217E">
          <w:pPr>
            <w:pStyle w:val="TOC2"/>
            <w:rPr>
              <w:rFonts w:eastAsiaTheme="minorEastAsia"/>
              <w:color w:val="auto"/>
              <w:sz w:val="22"/>
              <w:szCs w:val="22"/>
            </w:rPr>
          </w:pPr>
          <w:hyperlink w:anchor="_Toc106280676" w:history="1">
            <w:r w:rsidR="00F7610D" w:rsidRPr="00F7610D">
              <w:rPr>
                <w:rStyle w:val="Hyperlink"/>
                <w:rFonts w:ascii="Arial" w:hAnsi="Arial"/>
              </w:rPr>
              <w:t>Accounting policies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_Toc106280676 \h </w:instrText>
            </w:r>
            <w:r w:rsidR="00F7610D" w:rsidRPr="00F7610D">
              <w:rPr>
                <w:webHidden/>
              </w:rPr>
            </w:r>
            <w:r w:rsidR="00F7610D" w:rsidRPr="00F7610D">
              <w:rPr>
                <w:webHidden/>
              </w:rPr>
              <w:fldChar w:fldCharType="separate"/>
            </w:r>
            <w:r w:rsidR="00335C5C">
              <w:rPr>
                <w:webHidden/>
              </w:rPr>
              <w:t>xxii</w:t>
            </w:r>
            <w:r w:rsidR="00F7610D" w:rsidRPr="00F7610D">
              <w:rPr>
                <w:webHidden/>
              </w:rPr>
              <w:fldChar w:fldCharType="end"/>
            </w:r>
          </w:hyperlink>
        </w:p>
        <w:p w14:paraId="5D3201A6" w14:textId="2A3F01CE" w:rsidR="00F7610D" w:rsidRPr="00F7610D" w:rsidRDefault="00E85896" w:rsidP="0025217E">
          <w:pPr>
            <w:pStyle w:val="TOC2"/>
            <w:rPr>
              <w:rFonts w:eastAsiaTheme="minorEastAsia"/>
              <w:color w:val="auto"/>
              <w:sz w:val="22"/>
              <w:szCs w:val="22"/>
            </w:rPr>
          </w:pPr>
          <w:hyperlink w:anchor="_Toc106280677" w:history="1">
            <w:r w:rsidR="00F7610D" w:rsidRPr="00F7610D">
              <w:rPr>
                <w:rStyle w:val="Hyperlink"/>
                <w:rFonts w:ascii="Arial" w:hAnsi="Arial"/>
              </w:rPr>
              <w:t>Changes in accounting policies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_Toc106280677 \h </w:instrText>
            </w:r>
            <w:r w:rsidR="00F7610D" w:rsidRPr="00F7610D">
              <w:rPr>
                <w:webHidden/>
              </w:rPr>
            </w:r>
            <w:r w:rsidR="00F7610D" w:rsidRPr="00F7610D">
              <w:rPr>
                <w:webHidden/>
              </w:rPr>
              <w:fldChar w:fldCharType="separate"/>
            </w:r>
            <w:r w:rsidR="00335C5C">
              <w:rPr>
                <w:webHidden/>
              </w:rPr>
              <w:t>xxii</w:t>
            </w:r>
            <w:r w:rsidR="00F7610D" w:rsidRPr="00F7610D">
              <w:rPr>
                <w:webHidden/>
              </w:rPr>
              <w:fldChar w:fldCharType="end"/>
            </w:r>
          </w:hyperlink>
        </w:p>
        <w:p w14:paraId="62761D23" w14:textId="6DE8B6F0" w:rsidR="00F7610D" w:rsidRPr="00F7610D" w:rsidRDefault="00E85896" w:rsidP="0025217E">
          <w:pPr>
            <w:pStyle w:val="TOC2"/>
            <w:rPr>
              <w:rFonts w:eastAsiaTheme="minorEastAsia"/>
              <w:color w:val="auto"/>
              <w:sz w:val="22"/>
              <w:szCs w:val="22"/>
            </w:rPr>
          </w:pPr>
          <w:hyperlink w:anchor="_Toc106280678" w:history="1">
            <w:r w:rsidR="00F7610D" w:rsidRPr="00F7610D">
              <w:rPr>
                <w:rStyle w:val="Hyperlink"/>
                <w:rFonts w:ascii="Arial" w:hAnsi="Arial"/>
              </w:rPr>
              <w:t>Presentation of the GGS Estimated Financial Statements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_Toc106280678 \h </w:instrText>
            </w:r>
            <w:r w:rsidR="00F7610D" w:rsidRPr="00F7610D">
              <w:rPr>
                <w:webHidden/>
              </w:rPr>
            </w:r>
            <w:r w:rsidR="00F7610D" w:rsidRPr="00F7610D">
              <w:rPr>
                <w:webHidden/>
              </w:rPr>
              <w:fldChar w:fldCharType="separate"/>
            </w:r>
            <w:r w:rsidR="00335C5C">
              <w:rPr>
                <w:webHidden/>
              </w:rPr>
              <w:t>xxiii</w:t>
            </w:r>
            <w:r w:rsidR="00F7610D" w:rsidRPr="00F7610D">
              <w:rPr>
                <w:webHidden/>
              </w:rPr>
              <w:fldChar w:fldCharType="end"/>
            </w:r>
          </w:hyperlink>
        </w:p>
        <w:p w14:paraId="6848ADC4" w14:textId="4A400C5E" w:rsidR="00F7610D" w:rsidRPr="00F7610D" w:rsidRDefault="00E85896" w:rsidP="0025217E">
          <w:pPr>
            <w:pStyle w:val="TOC2"/>
            <w:rPr>
              <w:rFonts w:eastAsiaTheme="minorEastAsia"/>
              <w:color w:val="auto"/>
              <w:sz w:val="22"/>
              <w:szCs w:val="22"/>
            </w:rPr>
          </w:pPr>
          <w:hyperlink w:anchor="_Toc106280679" w:history="1">
            <w:r w:rsidR="00F7610D" w:rsidRPr="00F7610D">
              <w:rPr>
                <w:rStyle w:val="Hyperlink"/>
                <w:rFonts w:ascii="Arial" w:hAnsi="Arial"/>
              </w:rPr>
              <w:t>Definitions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_Toc106280679 \h </w:instrText>
            </w:r>
            <w:r w:rsidR="00F7610D" w:rsidRPr="00F7610D">
              <w:rPr>
                <w:webHidden/>
              </w:rPr>
            </w:r>
            <w:r w:rsidR="00F7610D" w:rsidRPr="00F7610D">
              <w:rPr>
                <w:webHidden/>
              </w:rPr>
              <w:fldChar w:fldCharType="separate"/>
            </w:r>
            <w:r w:rsidR="00335C5C">
              <w:rPr>
                <w:webHidden/>
              </w:rPr>
              <w:t>xxiv</w:t>
            </w:r>
            <w:r w:rsidR="00F7610D" w:rsidRPr="00F7610D">
              <w:rPr>
                <w:webHidden/>
              </w:rPr>
              <w:fldChar w:fldCharType="end"/>
            </w:r>
          </w:hyperlink>
        </w:p>
        <w:p w14:paraId="473F212D" w14:textId="7DCE0B1D" w:rsidR="00F7610D" w:rsidRPr="00F7610D" w:rsidRDefault="00E85896" w:rsidP="0025217E">
          <w:pPr>
            <w:pStyle w:val="TOC2"/>
            <w:rPr>
              <w:rFonts w:eastAsiaTheme="minorEastAsia"/>
              <w:color w:val="auto"/>
              <w:sz w:val="22"/>
              <w:szCs w:val="22"/>
            </w:rPr>
          </w:pPr>
          <w:hyperlink w:anchor="_Toc106280680" w:history="1">
            <w:r w:rsidR="00F7610D" w:rsidRPr="00F7610D">
              <w:rPr>
                <w:rStyle w:val="Hyperlink"/>
                <w:rFonts w:ascii="Arial" w:hAnsi="Arial"/>
              </w:rPr>
              <w:t>Material economic assumptions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_Toc106280680 \h </w:instrText>
            </w:r>
            <w:r w:rsidR="00F7610D" w:rsidRPr="00F7610D">
              <w:rPr>
                <w:webHidden/>
              </w:rPr>
            </w:r>
            <w:r w:rsidR="00F7610D" w:rsidRPr="00F7610D">
              <w:rPr>
                <w:webHidden/>
              </w:rPr>
              <w:fldChar w:fldCharType="separate"/>
            </w:r>
            <w:r w:rsidR="00335C5C">
              <w:rPr>
                <w:webHidden/>
              </w:rPr>
              <w:t>xxv</w:t>
            </w:r>
            <w:r w:rsidR="00F7610D" w:rsidRPr="00F7610D">
              <w:rPr>
                <w:webHidden/>
              </w:rPr>
              <w:fldChar w:fldCharType="end"/>
            </w:r>
          </w:hyperlink>
        </w:p>
        <w:p w14:paraId="5BE8A78B" w14:textId="78B597F4" w:rsidR="00F7610D" w:rsidRPr="00F7610D" w:rsidRDefault="00E85896" w:rsidP="0025217E">
          <w:pPr>
            <w:pStyle w:val="TOC2"/>
            <w:rPr>
              <w:rFonts w:eastAsiaTheme="minorEastAsia"/>
              <w:color w:val="auto"/>
              <w:sz w:val="22"/>
              <w:szCs w:val="22"/>
            </w:rPr>
          </w:pPr>
          <w:hyperlink w:anchor="_Toc106280681" w:history="1">
            <w:r w:rsidR="00F7610D" w:rsidRPr="00F7610D">
              <w:rPr>
                <w:rStyle w:val="Hyperlink"/>
                <w:rFonts w:ascii="Arial" w:hAnsi="Arial"/>
              </w:rPr>
              <w:t>Summary of other key assumptions</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_Toc106280681 \h </w:instrText>
            </w:r>
            <w:r w:rsidR="00F7610D" w:rsidRPr="00F7610D">
              <w:rPr>
                <w:webHidden/>
              </w:rPr>
            </w:r>
            <w:r w:rsidR="00F7610D" w:rsidRPr="00F7610D">
              <w:rPr>
                <w:webHidden/>
              </w:rPr>
              <w:fldChar w:fldCharType="separate"/>
            </w:r>
            <w:r w:rsidR="00335C5C">
              <w:rPr>
                <w:webHidden/>
              </w:rPr>
              <w:t>xxv</w:t>
            </w:r>
            <w:r w:rsidR="00F7610D" w:rsidRPr="00F7610D">
              <w:rPr>
                <w:webHidden/>
              </w:rPr>
              <w:fldChar w:fldCharType="end"/>
            </w:r>
          </w:hyperlink>
        </w:p>
        <w:p w14:paraId="0770646E" w14:textId="284CA65C" w:rsidR="00F7610D" w:rsidRPr="00F7610D" w:rsidRDefault="00E85896" w:rsidP="00C448B9">
          <w:pPr>
            <w:pStyle w:val="TOC1"/>
            <w:rPr>
              <w:rFonts w:eastAsiaTheme="minorEastAsia"/>
              <w:color w:val="auto"/>
            </w:rPr>
          </w:pPr>
          <w:hyperlink w:anchor="_Toc106280682" w:history="1">
            <w:r w:rsidR="00F7610D" w:rsidRPr="00F7610D">
              <w:rPr>
                <w:rStyle w:val="Hyperlink"/>
                <w:rFonts w:ascii="Arial" w:hAnsi="Arial"/>
              </w:rPr>
              <w:t>Glossary</w:t>
            </w:r>
            <w:r w:rsidR="00F7610D" w:rsidRPr="00F7610D">
              <w:rPr>
                <w:webHidden/>
              </w:rPr>
              <w:tab/>
            </w:r>
            <w:r w:rsidR="0025217E">
              <w:rPr>
                <w:webHidden/>
              </w:rPr>
              <w:tab/>
            </w:r>
            <w:r w:rsidR="00F7610D" w:rsidRPr="00F7610D">
              <w:rPr>
                <w:webHidden/>
              </w:rPr>
              <w:fldChar w:fldCharType="begin"/>
            </w:r>
            <w:r w:rsidR="00F7610D" w:rsidRPr="00F7610D">
              <w:rPr>
                <w:webHidden/>
              </w:rPr>
              <w:instrText xml:space="preserve"> PAGEREF _Toc106280682 \h </w:instrText>
            </w:r>
            <w:r w:rsidR="00F7610D" w:rsidRPr="00F7610D">
              <w:rPr>
                <w:webHidden/>
              </w:rPr>
            </w:r>
            <w:r w:rsidR="00F7610D" w:rsidRPr="00F7610D">
              <w:rPr>
                <w:webHidden/>
              </w:rPr>
              <w:fldChar w:fldCharType="separate"/>
            </w:r>
            <w:r w:rsidR="00335C5C">
              <w:rPr>
                <w:webHidden/>
              </w:rPr>
              <w:t>xxxii</w:t>
            </w:r>
            <w:r w:rsidR="00F7610D" w:rsidRPr="00F7610D">
              <w:rPr>
                <w:webHidden/>
              </w:rPr>
              <w:fldChar w:fldCharType="end"/>
            </w:r>
          </w:hyperlink>
        </w:p>
        <w:p w14:paraId="5DE504DF" w14:textId="26CA2EF8" w:rsidR="00FA60EB" w:rsidRDefault="00D97359" w:rsidP="00786EEC">
          <w:pPr>
            <w:tabs>
              <w:tab w:val="clear" w:pos="5046"/>
              <w:tab w:val="clear" w:pos="5897"/>
              <w:tab w:val="clear" w:pos="6747"/>
              <w:tab w:val="clear" w:pos="7598"/>
            </w:tabs>
            <w:rPr>
              <w:bCs/>
            </w:rPr>
            <w:sectPr w:rsidR="00FA60EB" w:rsidSect="004018FB">
              <w:footerReference w:type="even" r:id="rId22"/>
              <w:footerReference w:type="first" r:id="rId23"/>
              <w:pgSz w:w="11907" w:h="16840" w:code="9"/>
              <w:pgMar w:top="1134" w:right="1134" w:bottom="1134" w:left="1134" w:header="454" w:footer="454" w:gutter="0"/>
              <w:pgNumType w:fmt="lowerRoman" w:start="1"/>
              <w:cols w:space="720"/>
              <w:titlePg/>
            </w:sectPr>
          </w:pPr>
          <w:r w:rsidRPr="00D37FC5">
            <w:rPr>
              <w:b/>
              <w:noProof/>
              <w:sz w:val="22"/>
              <w:szCs w:val="22"/>
            </w:rPr>
            <w:fldChar w:fldCharType="end"/>
          </w:r>
        </w:p>
      </w:sdtContent>
    </w:sdt>
    <w:p w14:paraId="17D28C98" w14:textId="74C2E48F" w:rsidR="009F51A4" w:rsidRDefault="00BE2069" w:rsidP="009F51A4">
      <w:pPr>
        <w:pStyle w:val="Heading1"/>
        <w:keepNext w:val="0"/>
        <w:tabs>
          <w:tab w:val="left" w:pos="2127"/>
        </w:tabs>
        <w:spacing w:after="240"/>
      </w:pPr>
      <w:bookmarkStart w:id="6" w:name="_Toc106280658"/>
      <w:r>
        <w:lastRenderedPageBreak/>
        <w:t>outline of 2022-23</w:t>
      </w:r>
      <w:r w:rsidR="006E4DBA">
        <w:t xml:space="preserve"> Budget </w:t>
      </w:r>
      <w:r w:rsidR="009F51A4">
        <w:t>papers</w:t>
      </w:r>
      <w:bookmarkEnd w:id="6"/>
    </w:p>
    <w:p w14:paraId="0368599F" w14:textId="75FCA095" w:rsidR="009F51A4" w:rsidRPr="00385DEC" w:rsidRDefault="009F51A4" w:rsidP="003B5132">
      <w:pPr>
        <w:pStyle w:val="BodyText"/>
      </w:pPr>
      <w:r w:rsidRPr="00385DEC">
        <w:t xml:space="preserve">The Budget Papers for </w:t>
      </w:r>
      <w:r>
        <w:t>2022-23</w:t>
      </w:r>
      <w:r w:rsidRPr="00385DEC">
        <w:t xml:space="preserve"> are:</w:t>
      </w:r>
    </w:p>
    <w:p w14:paraId="5542D74B" w14:textId="77777777" w:rsidR="009F51A4" w:rsidRDefault="009F51A4" w:rsidP="003B5132">
      <w:pPr>
        <w:pStyle w:val="Bullet1"/>
        <w:rPr>
          <w:i/>
        </w:rPr>
      </w:pPr>
      <w:r>
        <w:t xml:space="preserve">Budget Paper No. 1: </w:t>
      </w:r>
      <w:r w:rsidRPr="002466D5">
        <w:rPr>
          <w:i/>
        </w:rPr>
        <w:t>Budget Statement</w:t>
      </w:r>
    </w:p>
    <w:p w14:paraId="004A2A5F" w14:textId="77777777" w:rsidR="009F51A4" w:rsidRPr="000E2081" w:rsidRDefault="009F51A4" w:rsidP="003B5132">
      <w:pPr>
        <w:pStyle w:val="Bullet1"/>
        <w:rPr>
          <w:i/>
        </w:rPr>
      </w:pPr>
      <w:r>
        <w:t xml:space="preserve">Budget Paper No. 2: </w:t>
      </w:r>
      <w:r w:rsidRPr="002466D5">
        <w:rPr>
          <w:i/>
        </w:rPr>
        <w:t>Outcomes Statement</w:t>
      </w:r>
    </w:p>
    <w:p w14:paraId="384834FC" w14:textId="09C80168" w:rsidR="009F51A4" w:rsidRPr="009A6A43" w:rsidRDefault="009F51A4" w:rsidP="003B5132">
      <w:pPr>
        <w:pStyle w:val="Bullet1"/>
        <w:rPr>
          <w:i/>
        </w:rPr>
      </w:pPr>
      <w:r>
        <w:t xml:space="preserve">Budget Paper No. 3: </w:t>
      </w:r>
      <w:r w:rsidRPr="004E12FA">
        <w:rPr>
          <w:i/>
        </w:rPr>
        <w:t>Infrastructure Statement</w:t>
      </w:r>
    </w:p>
    <w:p w14:paraId="45258369" w14:textId="1230699F" w:rsidR="009F51A4" w:rsidRPr="0087376D" w:rsidRDefault="009F51A4" w:rsidP="003B5132">
      <w:pPr>
        <w:pStyle w:val="Bullet1"/>
      </w:pPr>
      <w:r>
        <w:t xml:space="preserve">Budget Paper No. 4: </w:t>
      </w:r>
      <w:r w:rsidRPr="004E12FA">
        <w:rPr>
          <w:i/>
        </w:rPr>
        <w:t>Agency Financial Statements</w:t>
      </w:r>
      <w:r>
        <w:t xml:space="preserve"> </w:t>
      </w:r>
    </w:p>
    <w:p w14:paraId="4B2F2F88" w14:textId="7A49C7DA" w:rsidR="009F51A4" w:rsidRPr="0087376D" w:rsidRDefault="009F51A4" w:rsidP="003B5132">
      <w:pPr>
        <w:pStyle w:val="Bullet1"/>
      </w:pPr>
      <w:r>
        <w:t xml:space="preserve">Budget Paper No. 5: </w:t>
      </w:r>
      <w:r w:rsidRPr="64478C78">
        <w:rPr>
          <w:i/>
        </w:rPr>
        <w:t>Appropriation Bills.</w:t>
      </w:r>
      <w:r>
        <w:t xml:space="preserve"> </w:t>
      </w:r>
    </w:p>
    <w:p w14:paraId="6C3F4CD2" w14:textId="0506E674" w:rsidR="009F51A4" w:rsidRPr="00385DEC" w:rsidRDefault="009F51A4" w:rsidP="003B5132">
      <w:pPr>
        <w:pStyle w:val="BodyText"/>
      </w:pPr>
      <w:r w:rsidRPr="00385DEC">
        <w:t>In addition to the papers listed above, the NSW Government prepares</w:t>
      </w:r>
      <w:r w:rsidRPr="00385DEC" w:rsidDel="00B542EC">
        <w:t xml:space="preserve"> </w:t>
      </w:r>
      <w:r w:rsidRPr="00385DEC">
        <w:t xml:space="preserve">supporting products </w:t>
      </w:r>
      <w:r>
        <w:t xml:space="preserve">and these include </w:t>
      </w:r>
      <w:r w:rsidRPr="00323842">
        <w:t xml:space="preserve">the </w:t>
      </w:r>
      <w:r w:rsidRPr="009A6A43">
        <w:rPr>
          <w:i/>
        </w:rPr>
        <w:t>Budget Overview</w:t>
      </w:r>
      <w:r w:rsidRPr="00323842">
        <w:t>,</w:t>
      </w:r>
      <w:r>
        <w:t xml:space="preserve"> </w:t>
      </w:r>
      <w:r w:rsidRPr="009A6A43">
        <w:rPr>
          <w:i/>
        </w:rPr>
        <w:t>Regional NSW</w:t>
      </w:r>
      <w:r w:rsidR="0049406F">
        <w:rPr>
          <w:i/>
        </w:rPr>
        <w:t xml:space="preserve">, Western </w:t>
      </w:r>
      <w:r w:rsidR="00A255BE">
        <w:rPr>
          <w:i/>
        </w:rPr>
        <w:t>Sydney</w:t>
      </w:r>
      <w:r w:rsidR="00EA704E">
        <w:rPr>
          <w:i/>
        </w:rPr>
        <w:t>, Women’s Opportu</w:t>
      </w:r>
      <w:r w:rsidR="0070764A">
        <w:rPr>
          <w:i/>
        </w:rPr>
        <w:t>nity Statement</w:t>
      </w:r>
      <w:r w:rsidR="00A255BE">
        <w:rPr>
          <w:i/>
        </w:rPr>
        <w:t xml:space="preserve"> </w:t>
      </w:r>
      <w:r>
        <w:t xml:space="preserve">and </w:t>
      </w:r>
      <w:r w:rsidRPr="0096420A">
        <w:rPr>
          <w:i/>
        </w:rPr>
        <w:t>Budget Speech</w:t>
      </w:r>
      <w:r w:rsidRPr="00385DEC">
        <w:t xml:space="preserve">. </w:t>
      </w:r>
    </w:p>
    <w:p w14:paraId="5372FB04" w14:textId="77777777" w:rsidR="009F51A4" w:rsidRPr="00FA00E5" w:rsidRDefault="009F51A4" w:rsidP="003B5132">
      <w:pPr>
        <w:pStyle w:val="BodyText"/>
      </w:pPr>
      <w:r w:rsidRPr="00385DEC">
        <w:t>All Budget Papers and associated products can be found on the NSW Budget website,</w:t>
      </w:r>
      <w:r w:rsidRPr="00FA00E5">
        <w:t xml:space="preserve"> </w:t>
      </w:r>
      <w:hyperlink r:id="rId24" w:history="1">
        <w:r w:rsidRPr="00FA00E5">
          <w:rPr>
            <w:rStyle w:val="Hyperlink"/>
          </w:rPr>
          <w:t>www.budget.nsw.gov.au</w:t>
        </w:r>
      </w:hyperlink>
      <w:r w:rsidRPr="008F72D0">
        <w:rPr>
          <w:rStyle w:val="Hyperlink"/>
          <w:color w:val="auto"/>
          <w:u w:val="none"/>
        </w:rPr>
        <w:t>.</w:t>
      </w:r>
      <w:r>
        <w:rPr>
          <w:rStyle w:val="Hyperlink"/>
          <w:color w:val="auto"/>
          <w:u w:val="none"/>
        </w:rPr>
        <w:t xml:space="preserve"> The website also includes key interactive dashboards.  </w:t>
      </w:r>
    </w:p>
    <w:p w14:paraId="7D14A37D" w14:textId="77777777" w:rsidR="009F51A4" w:rsidRPr="00984557" w:rsidRDefault="009F51A4" w:rsidP="009F51A4">
      <w:pPr>
        <w:pStyle w:val="Heading2"/>
      </w:pPr>
      <w:bookmarkStart w:id="7" w:name="_Toc106280659"/>
      <w:r w:rsidDel="009F22BB">
        <w:t>Budget Paper No.</w:t>
      </w:r>
      <w:r>
        <w:t xml:space="preserve"> </w:t>
      </w:r>
      <w:r w:rsidDel="009F22BB">
        <w:t xml:space="preserve">1: Budget </w:t>
      </w:r>
      <w:r>
        <w:t>Statement</w:t>
      </w:r>
      <w:bookmarkEnd w:id="7"/>
    </w:p>
    <w:p w14:paraId="1BD0E6DA" w14:textId="1BB94AB1" w:rsidR="009F51A4" w:rsidRPr="00385DEC" w:rsidRDefault="009F51A4" w:rsidP="003B5132">
      <w:pPr>
        <w:pStyle w:val="BodyText"/>
      </w:pPr>
      <w:r w:rsidRPr="00385DEC">
        <w:t xml:space="preserve">Budget Paper No. </w:t>
      </w:r>
      <w:r>
        <w:t>1</w:t>
      </w:r>
      <w:r w:rsidRPr="00385DEC">
        <w:t xml:space="preserve"> presents </w:t>
      </w:r>
      <w:r>
        <w:t xml:space="preserve">‘whole of </w:t>
      </w:r>
      <w:r w:rsidR="003635AA">
        <w:t>g</w:t>
      </w:r>
      <w:r>
        <w:t xml:space="preserve">overnment’ information. It contains </w:t>
      </w:r>
      <w:r w:rsidRPr="00385DEC">
        <w:t xml:space="preserve">the </w:t>
      </w:r>
      <w:r>
        <w:t xml:space="preserve">NSW Government’s </w:t>
      </w:r>
      <w:r w:rsidRPr="00385DEC">
        <w:t>economic and fi</w:t>
      </w:r>
      <w:r>
        <w:t>scal</w:t>
      </w:r>
      <w:r w:rsidRPr="00385DEC">
        <w:t xml:space="preserve"> position </w:t>
      </w:r>
      <w:r>
        <w:t>and outlook</w:t>
      </w:r>
      <w:r w:rsidRPr="00385DEC">
        <w:t xml:space="preserve">. It </w:t>
      </w:r>
      <w:r>
        <w:t xml:space="preserve">also </w:t>
      </w:r>
      <w:r w:rsidRPr="00385DEC">
        <w:t xml:space="preserve">details the </w:t>
      </w:r>
      <w:r>
        <w:t xml:space="preserve">NSW </w:t>
      </w:r>
      <w:r w:rsidRPr="00385DEC">
        <w:t xml:space="preserve">Government’s fiscal </w:t>
      </w:r>
      <w:r w:rsidRPr="00385DEC" w:rsidDel="00EF6C7F">
        <w:t>strategy</w:t>
      </w:r>
      <w:r w:rsidRPr="00385DEC">
        <w:t xml:space="preserve"> and </w:t>
      </w:r>
      <w:r>
        <w:t>presents</w:t>
      </w:r>
      <w:r w:rsidRPr="00385DEC">
        <w:t xml:space="preserve"> a consolidation of the main expen</w:t>
      </w:r>
      <w:r>
        <w:t>se</w:t>
      </w:r>
      <w:r w:rsidRPr="00385DEC">
        <w:t xml:space="preserve">, revenue and </w:t>
      </w:r>
      <w:r>
        <w:t>balance sheet</w:t>
      </w:r>
      <w:r w:rsidRPr="00385DEC">
        <w:t xml:space="preserve"> </w:t>
      </w:r>
      <w:r>
        <w:t>measures</w:t>
      </w:r>
      <w:r w:rsidRPr="00385DEC">
        <w:t xml:space="preserve">. </w:t>
      </w:r>
    </w:p>
    <w:p w14:paraId="3834F729" w14:textId="77777777" w:rsidR="009F51A4" w:rsidRPr="00984557" w:rsidRDefault="009F51A4" w:rsidP="009F51A4">
      <w:pPr>
        <w:pStyle w:val="Heading2"/>
      </w:pPr>
      <w:bookmarkStart w:id="8" w:name="_Toc106280660"/>
      <w:r>
        <w:t>Budget Paper No. 2: Outcomes Statement</w:t>
      </w:r>
      <w:bookmarkEnd w:id="8"/>
    </w:p>
    <w:p w14:paraId="62FAC20C" w14:textId="7F0E8E61" w:rsidR="009F51A4" w:rsidRDefault="009F51A4" w:rsidP="003B5132">
      <w:pPr>
        <w:pStyle w:val="BodyText"/>
      </w:pPr>
      <w:r>
        <w:t>Budget Paper No. 2</w:t>
      </w:r>
      <w:r w:rsidRPr="00385DEC">
        <w:t xml:space="preserve"> </w:t>
      </w:r>
      <w:r>
        <w:t xml:space="preserve">focuses on the </w:t>
      </w:r>
      <w:r w:rsidRPr="00385DEC">
        <w:t xml:space="preserve">performance </w:t>
      </w:r>
      <w:r>
        <w:t xml:space="preserve">of </w:t>
      </w:r>
      <w:r w:rsidR="00D87248">
        <w:t>general government</w:t>
      </w:r>
      <w:r>
        <w:t xml:space="preserve"> agencies </w:t>
      </w:r>
      <w:r w:rsidRPr="00385DEC">
        <w:t xml:space="preserve">and </w:t>
      </w:r>
      <w:r>
        <w:t xml:space="preserve">the impact of policies. It structures information into 39 State Outcomes, across ten </w:t>
      </w:r>
      <w:r w:rsidR="00F4370D">
        <w:t>C</w:t>
      </w:r>
      <w:r>
        <w:t>lusters</w:t>
      </w:r>
      <w:r w:rsidR="008724F8">
        <w:rPr>
          <w:rStyle w:val="FootnoteReference"/>
        </w:rPr>
        <w:footnoteReference w:id="2"/>
      </w:r>
      <w:r>
        <w:t xml:space="preserve">. Readers who are interested in understanding what a particular </w:t>
      </w:r>
      <w:r w:rsidRPr="00385DEC">
        <w:t>Cluster</w:t>
      </w:r>
      <w:r>
        <w:t xml:space="preserve"> is delivering may refer to this Budget Paper. </w:t>
      </w:r>
      <w:r w:rsidRPr="00385DEC">
        <w:t xml:space="preserve">The </w:t>
      </w:r>
      <w:r>
        <w:t>document provides:</w:t>
      </w:r>
    </w:p>
    <w:p w14:paraId="48F3449D" w14:textId="09C80168" w:rsidR="009F51A4" w:rsidRDefault="009F51A4" w:rsidP="003B5132">
      <w:pPr>
        <w:pStyle w:val="Bullet1"/>
      </w:pPr>
      <w:r>
        <w:t xml:space="preserve">a short introduction to each Cluster </w:t>
      </w:r>
    </w:p>
    <w:p w14:paraId="379C1759" w14:textId="09C80168" w:rsidR="009F51A4" w:rsidRDefault="009F51A4" w:rsidP="003B5132">
      <w:pPr>
        <w:pStyle w:val="Bullet1"/>
      </w:pPr>
      <w:r>
        <w:t xml:space="preserve">an explanation of the State Outcomes being delivered by that Cluster </w:t>
      </w:r>
    </w:p>
    <w:p w14:paraId="7A3882C7" w14:textId="09C80168" w:rsidR="009F51A4" w:rsidRDefault="009F51A4" w:rsidP="003B5132">
      <w:pPr>
        <w:pStyle w:val="Bullet1"/>
      </w:pPr>
      <w:r>
        <w:t>key performance information for each State Outcome</w:t>
      </w:r>
    </w:p>
    <w:p w14:paraId="64FDF724" w14:textId="09C80168" w:rsidR="009F51A4" w:rsidRDefault="009F51A4" w:rsidP="003B5132">
      <w:pPr>
        <w:pStyle w:val="Bullet1"/>
      </w:pPr>
      <w:r>
        <w:t>policy and project highlights for each State Outcome.</w:t>
      </w:r>
    </w:p>
    <w:p w14:paraId="7DFEFAD0" w14:textId="77777777" w:rsidR="009F51A4" w:rsidRPr="00BE4ABA" w:rsidRDefault="009F51A4" w:rsidP="003B5132">
      <w:pPr>
        <w:pStyle w:val="BodyText"/>
      </w:pPr>
      <w:r>
        <w:t xml:space="preserve">The analysis in Budget Paper No. 2 supports interpretation of Budget Paper No. 4 </w:t>
      </w:r>
      <w:r w:rsidRPr="003320A1">
        <w:rPr>
          <w:i/>
        </w:rPr>
        <w:t>Agency Financial Statements</w:t>
      </w:r>
      <w:r>
        <w:t xml:space="preserve"> and </w:t>
      </w:r>
      <w:r w:rsidRPr="00621489">
        <w:t>Budget Paper No. 5</w:t>
      </w:r>
      <w:r w:rsidRPr="003320A1">
        <w:rPr>
          <w:i/>
        </w:rPr>
        <w:t xml:space="preserve"> Appropriation Bill</w:t>
      </w:r>
      <w:r>
        <w:rPr>
          <w:i/>
        </w:rPr>
        <w:t>s</w:t>
      </w:r>
      <w:r w:rsidRPr="003320A1">
        <w:rPr>
          <w:i/>
        </w:rPr>
        <w:t>.</w:t>
      </w:r>
    </w:p>
    <w:p w14:paraId="39E8FC7E" w14:textId="77777777" w:rsidR="009F51A4" w:rsidRPr="00984557" w:rsidRDefault="009F51A4" w:rsidP="009F51A4">
      <w:pPr>
        <w:pStyle w:val="Heading2"/>
      </w:pPr>
      <w:bookmarkStart w:id="9" w:name="_Toc106280661"/>
      <w:r>
        <w:lastRenderedPageBreak/>
        <w:t>Budget Paper No. 3: Infrastructure Statement</w:t>
      </w:r>
      <w:bookmarkEnd w:id="9"/>
    </w:p>
    <w:p w14:paraId="3A2B3C39" w14:textId="3237ABEA" w:rsidR="009F51A4" w:rsidRDefault="009F51A4" w:rsidP="003B5132">
      <w:pPr>
        <w:pStyle w:val="BodyText"/>
      </w:pPr>
      <w:r w:rsidRPr="00385DEC">
        <w:t>Budget Paper No.</w:t>
      </w:r>
      <w:r>
        <w:t xml:space="preserve"> 3</w:t>
      </w:r>
      <w:r w:rsidRPr="00385DEC">
        <w:t xml:space="preserve"> </w:t>
      </w:r>
      <w:r>
        <w:rPr>
          <w:i/>
        </w:rPr>
        <w:t xml:space="preserve">Infrastructure </w:t>
      </w:r>
      <w:r w:rsidRPr="00DA6C9F">
        <w:rPr>
          <w:i/>
        </w:rPr>
        <w:t>Statement</w:t>
      </w:r>
      <w:r w:rsidRPr="00385DEC">
        <w:t xml:space="preserve"> provides detailed information on the </w:t>
      </w:r>
      <w:r>
        <w:t xml:space="preserve">NSW Government’s infrastructure investment program and projects </w:t>
      </w:r>
      <w:r w:rsidR="00C340AC">
        <w:t xml:space="preserve">such as roads, schools and </w:t>
      </w:r>
      <w:r w:rsidR="00115158">
        <w:t>hospitals</w:t>
      </w:r>
      <w:r>
        <w:t xml:space="preserve">. </w:t>
      </w:r>
      <w:r w:rsidRPr="00385DEC">
        <w:t xml:space="preserve">The document also </w:t>
      </w:r>
      <w:r>
        <w:t xml:space="preserve">provides </w:t>
      </w:r>
      <w:r w:rsidRPr="00385DEC">
        <w:t>detail</w:t>
      </w:r>
      <w:r>
        <w:t xml:space="preserve"> on</w:t>
      </w:r>
      <w:r w:rsidRPr="00385DEC">
        <w:t xml:space="preserve"> the Restart NSW program</w:t>
      </w:r>
      <w:r>
        <w:t xml:space="preserve">, the Snowy Hydro Legacy Fund and the Digital Restart Fund. </w:t>
      </w:r>
    </w:p>
    <w:p w14:paraId="27B2375E" w14:textId="77777777" w:rsidR="009F51A4" w:rsidRPr="00984557" w:rsidRDefault="009F51A4" w:rsidP="009F51A4">
      <w:pPr>
        <w:pStyle w:val="Heading2"/>
      </w:pPr>
      <w:bookmarkStart w:id="10" w:name="_Toc106280662"/>
      <w:r>
        <w:t>Budget Paper No. 4: Agency Financial Statements</w:t>
      </w:r>
      <w:bookmarkEnd w:id="10"/>
    </w:p>
    <w:p w14:paraId="7B02D0C2" w14:textId="0358FC35" w:rsidR="009F51A4" w:rsidRPr="00385DEC" w:rsidRDefault="009F51A4" w:rsidP="003B5132">
      <w:pPr>
        <w:pStyle w:val="BodyText"/>
      </w:pPr>
      <w:r w:rsidRPr="00040C2B">
        <w:t>Budget Paper No. 4</w:t>
      </w:r>
      <w:r>
        <w:rPr>
          <w:i/>
        </w:rPr>
        <w:t xml:space="preserve"> </w:t>
      </w:r>
      <w:r w:rsidRPr="00040C2B">
        <w:rPr>
          <w:i/>
        </w:rPr>
        <w:t xml:space="preserve">Agency </w:t>
      </w:r>
      <w:r>
        <w:rPr>
          <w:i/>
        </w:rPr>
        <w:t>F</w:t>
      </w:r>
      <w:r w:rsidRPr="00040C2B">
        <w:rPr>
          <w:i/>
        </w:rPr>
        <w:t xml:space="preserve">inancial </w:t>
      </w:r>
      <w:r>
        <w:rPr>
          <w:i/>
        </w:rPr>
        <w:t>S</w:t>
      </w:r>
      <w:r w:rsidRPr="00040C2B">
        <w:rPr>
          <w:i/>
        </w:rPr>
        <w:t>tatements</w:t>
      </w:r>
      <w:r w:rsidRPr="00385DEC">
        <w:t xml:space="preserve"> present</w:t>
      </w:r>
      <w:r>
        <w:t>s</w:t>
      </w:r>
      <w:r w:rsidRPr="00385DEC">
        <w:t xml:space="preserve"> a</w:t>
      </w:r>
      <w:r>
        <w:t xml:space="preserve">n operating statement and balance sheet </w:t>
      </w:r>
      <w:r w:rsidRPr="00385DEC">
        <w:t xml:space="preserve">for each </w:t>
      </w:r>
      <w:r w:rsidR="005716F7">
        <w:t>Cluster</w:t>
      </w:r>
      <w:r w:rsidRPr="00385DEC">
        <w:t xml:space="preserve"> and their respective agencies</w:t>
      </w:r>
      <w:r>
        <w:t xml:space="preserve"> for the upcoming Budget year ahead</w:t>
      </w:r>
      <w:r w:rsidRPr="00385DEC">
        <w:t xml:space="preserve">. </w:t>
      </w:r>
      <w:r>
        <w:t xml:space="preserve"> </w:t>
      </w:r>
    </w:p>
    <w:p w14:paraId="360FAAD9" w14:textId="77777777" w:rsidR="009F51A4" w:rsidRPr="00984557" w:rsidRDefault="009F51A4" w:rsidP="009F51A4">
      <w:pPr>
        <w:pStyle w:val="Heading2"/>
      </w:pPr>
      <w:bookmarkStart w:id="11" w:name="_Toc106280663"/>
      <w:r>
        <w:t>Budget Paper No. 5: Appropriation Bills</w:t>
      </w:r>
      <w:bookmarkEnd w:id="11"/>
    </w:p>
    <w:p w14:paraId="121A10CA" w14:textId="00A290B1" w:rsidR="009F51A4" w:rsidRDefault="009F51A4" w:rsidP="003B5132">
      <w:pPr>
        <w:pStyle w:val="BodyText"/>
      </w:pPr>
      <w:r>
        <w:t xml:space="preserve">Budget Paper No.5 </w:t>
      </w:r>
      <w:r w:rsidRPr="00993588">
        <w:rPr>
          <w:i/>
        </w:rPr>
        <w:t>Appropriation Bil</w:t>
      </w:r>
      <w:r>
        <w:rPr>
          <w:i/>
        </w:rPr>
        <w:t>ls</w:t>
      </w:r>
      <w:r>
        <w:t xml:space="preserve"> sets out the amount to be </w:t>
      </w:r>
      <w:r w:rsidR="009F764C">
        <w:t>set aside for</w:t>
      </w:r>
      <w:r>
        <w:t xml:space="preserve"> each Cluster Minister, along with the purpose for which it is to be spent.</w:t>
      </w:r>
    </w:p>
    <w:p w14:paraId="0D02D394" w14:textId="4D65759C" w:rsidR="009F51A4" w:rsidRDefault="009F51A4" w:rsidP="003B5132">
      <w:pPr>
        <w:pStyle w:val="BodyText"/>
      </w:pPr>
      <w:r w:rsidRPr="00385DEC">
        <w:t xml:space="preserve">The Appropriation Bill </w:t>
      </w:r>
      <w:r>
        <w:t>actually includes</w:t>
      </w:r>
      <w:r w:rsidRPr="00385DEC">
        <w:t xml:space="preserve"> two bills</w:t>
      </w:r>
      <w:r w:rsidR="008E125E">
        <w:t xml:space="preserve"> which are presented to NSW Parliament</w:t>
      </w:r>
      <w:r w:rsidRPr="00385DEC">
        <w:t xml:space="preserve">. The first bill </w:t>
      </w:r>
      <w:r w:rsidR="00FA5C71" w:rsidRPr="001026E6">
        <w:t>allocat</w:t>
      </w:r>
      <w:r w:rsidR="002F2977" w:rsidRPr="001026E6">
        <w:t>e</w:t>
      </w:r>
      <w:r w:rsidR="00C722C7" w:rsidRPr="001026E6">
        <w:t>s</w:t>
      </w:r>
      <w:r w:rsidR="00FA5C71" w:rsidRPr="001026E6">
        <w:t xml:space="preserve"> </w:t>
      </w:r>
      <w:r w:rsidR="0045186B" w:rsidRPr="001026E6">
        <w:t xml:space="preserve">funds </w:t>
      </w:r>
      <w:r w:rsidR="002E2583" w:rsidRPr="001026E6">
        <w:t>for expenditure</w:t>
      </w:r>
      <w:r w:rsidR="002E2583">
        <w:t xml:space="preserve"> </w:t>
      </w:r>
      <w:r w:rsidR="006A69F9">
        <w:t>for</w:t>
      </w:r>
      <w:r w:rsidRPr="00385DEC">
        <w:t xml:space="preserve"> the </w:t>
      </w:r>
      <w:r w:rsidR="00CD1CFF">
        <w:t xml:space="preserve">provision of </w:t>
      </w:r>
      <w:r w:rsidRPr="00385DEC">
        <w:t xml:space="preserve">services </w:t>
      </w:r>
      <w:r>
        <w:t>for</w:t>
      </w:r>
      <w:r w:rsidRPr="00385DEC">
        <w:t xml:space="preserve"> the </w:t>
      </w:r>
      <w:r w:rsidR="00CD1CFF">
        <w:t>10</w:t>
      </w:r>
      <w:r w:rsidRPr="00385DEC">
        <w:t xml:space="preserve"> Clusters and </w:t>
      </w:r>
      <w:r w:rsidRPr="00F11C95">
        <w:t>eight</w:t>
      </w:r>
      <w:r w:rsidRPr="00385DEC">
        <w:t xml:space="preserve"> Special Offices. The second bill, which </w:t>
      </w:r>
      <w:r>
        <w:t>is presented</w:t>
      </w:r>
      <w:r w:rsidRPr="00385DEC">
        <w:t xml:space="preserve"> cognate (meaning two or more bills are considered in detail at the same time) details the </w:t>
      </w:r>
      <w:r w:rsidR="00E26E6E">
        <w:t>amount allocated</w:t>
      </w:r>
      <w:r w:rsidRPr="00385DEC">
        <w:t xml:space="preserve"> for </w:t>
      </w:r>
      <w:r>
        <w:t>p</w:t>
      </w:r>
      <w:r w:rsidRPr="00385DEC">
        <w:t xml:space="preserve">arliamentary </w:t>
      </w:r>
      <w:r>
        <w:t>s</w:t>
      </w:r>
      <w:r w:rsidRPr="00385DEC">
        <w:t>ervices.</w:t>
      </w:r>
    </w:p>
    <w:p w14:paraId="5EDC7029" w14:textId="17A43CA0" w:rsidR="009F51A4" w:rsidRDefault="009F51A4">
      <w:pPr>
        <w:widowControl/>
        <w:tabs>
          <w:tab w:val="clear" w:pos="4196"/>
          <w:tab w:val="clear" w:pos="5046"/>
          <w:tab w:val="clear" w:pos="5897"/>
          <w:tab w:val="clear" w:pos="6747"/>
          <w:tab w:val="clear" w:pos="7598"/>
        </w:tabs>
        <w:autoSpaceDE/>
        <w:autoSpaceDN/>
        <w:rPr>
          <w:rFonts w:cs="Times New Roman"/>
          <w:bCs/>
          <w:caps/>
          <w:color w:val="00426F"/>
          <w:sz w:val="40"/>
          <w:szCs w:val="28"/>
        </w:rPr>
      </w:pPr>
      <w:r>
        <w:br w:type="page"/>
      </w:r>
    </w:p>
    <w:p w14:paraId="7317FE99" w14:textId="53AAE60B" w:rsidR="00357ECE" w:rsidRDefault="00357ECE" w:rsidP="00357ECE">
      <w:pPr>
        <w:pStyle w:val="Heading1"/>
        <w:keepNext w:val="0"/>
        <w:tabs>
          <w:tab w:val="left" w:pos="2127"/>
        </w:tabs>
        <w:spacing w:after="240"/>
      </w:pPr>
      <w:bookmarkStart w:id="12" w:name="_Toc106280664"/>
      <w:r>
        <w:lastRenderedPageBreak/>
        <w:t>basis and scope of the budget papers</w:t>
      </w:r>
      <w:bookmarkEnd w:id="12"/>
    </w:p>
    <w:p w14:paraId="7A8F235F" w14:textId="23E9F294" w:rsidR="00F33624" w:rsidRDefault="00F33624" w:rsidP="003B5132">
      <w:pPr>
        <w:pStyle w:val="BodyText"/>
      </w:pPr>
      <w:r w:rsidRPr="00F33624">
        <w:t xml:space="preserve">The </w:t>
      </w:r>
      <w:r>
        <w:t xml:space="preserve">Budget </w:t>
      </w:r>
      <w:r w:rsidR="0092550F">
        <w:t xml:space="preserve">Papers </w:t>
      </w:r>
      <w:r w:rsidR="008660EA">
        <w:t xml:space="preserve">deliver </w:t>
      </w:r>
      <w:r w:rsidR="0028509F">
        <w:t>several</w:t>
      </w:r>
      <w:r w:rsidR="008660EA">
        <w:t xml:space="preserve"> </w:t>
      </w:r>
      <w:r>
        <w:t>objective</w:t>
      </w:r>
      <w:r w:rsidR="00135E18">
        <w:t xml:space="preserve">s. </w:t>
      </w:r>
      <w:r w:rsidR="00DC158F">
        <w:t>They</w:t>
      </w:r>
      <w:r>
        <w:t>:</w:t>
      </w:r>
    </w:p>
    <w:p w14:paraId="20E58267" w14:textId="262EEDE5" w:rsidR="00597F36" w:rsidRDefault="00F33624" w:rsidP="003B5132">
      <w:pPr>
        <w:pStyle w:val="Bullet1"/>
      </w:pPr>
      <w:r>
        <w:t xml:space="preserve">inform </w:t>
      </w:r>
      <w:r w:rsidR="00851FE3">
        <w:t xml:space="preserve">the public </w:t>
      </w:r>
      <w:r>
        <w:t xml:space="preserve">of the State’s </w:t>
      </w:r>
      <w:r w:rsidR="00802ED5">
        <w:t xml:space="preserve">economic and </w:t>
      </w:r>
      <w:r>
        <w:t xml:space="preserve">fiscal position </w:t>
      </w:r>
    </w:p>
    <w:p w14:paraId="604CF403" w14:textId="382703F4" w:rsidR="00F33624" w:rsidRDefault="00597F36" w:rsidP="003B5132">
      <w:pPr>
        <w:pStyle w:val="Bullet1"/>
      </w:pPr>
      <w:r>
        <w:t xml:space="preserve">set out </w:t>
      </w:r>
      <w:r w:rsidR="00F33624">
        <w:t xml:space="preserve">the </w:t>
      </w:r>
      <w:r w:rsidR="00EF103E">
        <w:t xml:space="preserve">NSW </w:t>
      </w:r>
      <w:r w:rsidR="00F33624">
        <w:t>Government’s fiscal strategy</w:t>
      </w:r>
    </w:p>
    <w:p w14:paraId="033A04B7" w14:textId="74BE1892" w:rsidR="00F33624" w:rsidRDefault="007F0FEF" w:rsidP="003B5132">
      <w:pPr>
        <w:pStyle w:val="Bullet1"/>
      </w:pPr>
      <w:r>
        <w:t xml:space="preserve">provide Parliament with </w:t>
      </w:r>
      <w:r w:rsidR="00802ED5">
        <w:t xml:space="preserve">financial and service delivery </w:t>
      </w:r>
      <w:r w:rsidR="00C73D45">
        <w:t xml:space="preserve">information </w:t>
      </w:r>
      <w:r>
        <w:t>to inform consideration of the Appropriation Bill</w:t>
      </w:r>
      <w:r w:rsidR="008F6E14">
        <w:t>s</w:t>
      </w:r>
    </w:p>
    <w:p w14:paraId="0BD9F3F2" w14:textId="74D4D7A1" w:rsidR="00BB3CBA" w:rsidRDefault="00BB3CBA" w:rsidP="003B5132">
      <w:pPr>
        <w:pStyle w:val="Bullet1"/>
      </w:pPr>
      <w:r>
        <w:t xml:space="preserve">provide a clear and detailed report on the State’s infrastructure expenditure strategy, covering both new works and works-in-progress </w:t>
      </w:r>
    </w:p>
    <w:p w14:paraId="43703998" w14:textId="10CCC5F1" w:rsidR="00BB3CBA" w:rsidRDefault="00BB3CBA" w:rsidP="003B5132">
      <w:pPr>
        <w:pStyle w:val="Bullet1"/>
      </w:pPr>
      <w:r>
        <w:t>provide advice and insight on how resources are expected to deliver outcomes</w:t>
      </w:r>
    </w:p>
    <w:p w14:paraId="563D8088" w14:textId="74BE1892" w:rsidR="00622C02" w:rsidRDefault="6E1B2022" w:rsidP="003B5132">
      <w:pPr>
        <w:pStyle w:val="Bullet1"/>
      </w:pPr>
      <w:r>
        <w:t xml:space="preserve">fulfil </w:t>
      </w:r>
      <w:r w:rsidR="0185E2B8">
        <w:t xml:space="preserve">additional </w:t>
      </w:r>
      <w:r>
        <w:t>legal</w:t>
      </w:r>
      <w:r w:rsidR="0DDC5530">
        <w:t xml:space="preserve"> </w:t>
      </w:r>
      <w:r w:rsidR="62754F4A">
        <w:t xml:space="preserve">requirements </w:t>
      </w:r>
      <w:r>
        <w:t>(</w:t>
      </w:r>
      <w:r w:rsidR="62754F4A">
        <w:t xml:space="preserve">the </w:t>
      </w:r>
      <w:r w:rsidR="62754F4A" w:rsidRPr="004E12FA">
        <w:rPr>
          <w:i/>
        </w:rPr>
        <w:t>Government Sector Finance Act 2018</w:t>
      </w:r>
      <w:r>
        <w:t xml:space="preserve"> and </w:t>
      </w:r>
      <w:r w:rsidR="54BF62DA">
        <w:t xml:space="preserve">the </w:t>
      </w:r>
      <w:r w:rsidR="54BF62DA" w:rsidRPr="004E12FA">
        <w:rPr>
          <w:i/>
        </w:rPr>
        <w:t>Fiscal Responsibility Act 2012</w:t>
      </w:r>
      <w:r>
        <w:t>)</w:t>
      </w:r>
      <w:r w:rsidR="1BA7DEE7">
        <w:t>.</w:t>
      </w:r>
      <w:r>
        <w:t xml:space="preserve"> </w:t>
      </w:r>
    </w:p>
    <w:p w14:paraId="7E98C512" w14:textId="00A2BF9D" w:rsidR="00155B90" w:rsidRDefault="00C95CE8" w:rsidP="00CD0C64">
      <w:pPr>
        <w:pStyle w:val="Heading2"/>
      </w:pPr>
      <w:bookmarkStart w:id="13" w:name="_Toc106280665"/>
      <w:r>
        <w:t xml:space="preserve">What is </w:t>
      </w:r>
      <w:r w:rsidR="00BB3CBA">
        <w:t>‘</w:t>
      </w:r>
      <w:r>
        <w:t>T</w:t>
      </w:r>
      <w:r w:rsidR="00C047DF">
        <w:t xml:space="preserve">he </w:t>
      </w:r>
      <w:r w:rsidR="00BB3CBA">
        <w:t xml:space="preserve">Government’ and </w:t>
      </w:r>
      <w:r>
        <w:t xml:space="preserve">what is </w:t>
      </w:r>
      <w:r w:rsidR="00BB3CBA">
        <w:t xml:space="preserve">the </w:t>
      </w:r>
      <w:r w:rsidR="00C047DF">
        <w:t xml:space="preserve">scope </w:t>
      </w:r>
      <w:r w:rsidR="00155B90">
        <w:t xml:space="preserve">of </w:t>
      </w:r>
      <w:r w:rsidR="00D80E10">
        <w:t xml:space="preserve">the </w:t>
      </w:r>
      <w:r w:rsidR="00155B90">
        <w:t xml:space="preserve">Budget </w:t>
      </w:r>
      <w:r w:rsidR="00155B90" w:rsidRPr="00CD0C64">
        <w:t>Papers</w:t>
      </w:r>
      <w:bookmarkEnd w:id="13"/>
      <w:r w:rsidR="00155B90">
        <w:t xml:space="preserve"> </w:t>
      </w:r>
    </w:p>
    <w:p w14:paraId="45CD4684" w14:textId="0CC4DA11" w:rsidR="00D7249C" w:rsidRPr="00385DEC" w:rsidRDefault="00113783" w:rsidP="003B5132">
      <w:pPr>
        <w:pStyle w:val="BodyText"/>
      </w:pPr>
      <w:r w:rsidRPr="00E327F8">
        <w:t xml:space="preserve">The entities in the NSW Government are classified into three categories in accordance with the principles and rules contained in the </w:t>
      </w:r>
      <w:r w:rsidRPr="00604BEE">
        <w:rPr>
          <w:i/>
        </w:rPr>
        <w:t>Australian System of Government Finance Statistics: Concepts, Sources and Methods 2015</w:t>
      </w:r>
      <w:r w:rsidRPr="00E327F8">
        <w:t xml:space="preserve"> (ABS cat. No. 5514). These three categories are:</w:t>
      </w:r>
      <w:r>
        <w:t xml:space="preserve"> </w:t>
      </w:r>
    </w:p>
    <w:p w14:paraId="6F16FCE8" w14:textId="18F4C226" w:rsidR="00D7249C" w:rsidRDefault="00D7249C" w:rsidP="003B5132">
      <w:pPr>
        <w:pStyle w:val="Bullet1"/>
      </w:pPr>
      <w:r w:rsidRPr="64478C78">
        <w:rPr>
          <w:b/>
          <w:bCs/>
        </w:rPr>
        <w:t>general government sector</w:t>
      </w:r>
      <w:r w:rsidR="00802ED5">
        <w:t xml:space="preserve"> (GGS)</w:t>
      </w:r>
      <w:r w:rsidR="00E56979">
        <w:t xml:space="preserve"> – this includes all government-controlled entities that perform regulatory functions, redistribute income and wealth and deliver non-market goods and services. Non</w:t>
      </w:r>
      <w:r w:rsidR="006B37F3">
        <w:t>-</w:t>
      </w:r>
      <w:r w:rsidR="00E56979">
        <w:t xml:space="preserve">market goods and services include policy advice, regulatory </w:t>
      </w:r>
      <w:r w:rsidR="00447E92">
        <w:t xml:space="preserve">and </w:t>
      </w:r>
      <w:r w:rsidR="00E56979">
        <w:t>service delivery</w:t>
      </w:r>
      <w:r w:rsidR="0095129E">
        <w:t xml:space="preserve"> functions</w:t>
      </w:r>
      <w:r w:rsidR="00E56979">
        <w:t xml:space="preserve">. Examples </w:t>
      </w:r>
      <w:r w:rsidR="00447E92">
        <w:t xml:space="preserve">of entities in this sector </w:t>
      </w:r>
      <w:r w:rsidR="00E56979">
        <w:t xml:space="preserve">include </w:t>
      </w:r>
      <w:r w:rsidR="00447E92">
        <w:t xml:space="preserve">the </w:t>
      </w:r>
      <w:r w:rsidR="00E56979">
        <w:t xml:space="preserve">Department of Education, NSW Police Force and </w:t>
      </w:r>
      <w:r w:rsidR="1B92D1CD">
        <w:t xml:space="preserve">NSW </w:t>
      </w:r>
      <w:r w:rsidR="00E56979">
        <w:t>Ministry of Health.</w:t>
      </w:r>
    </w:p>
    <w:p w14:paraId="1242DB92" w14:textId="27E7A96B" w:rsidR="006065B7" w:rsidRDefault="00D7249C" w:rsidP="003B5132">
      <w:pPr>
        <w:pStyle w:val="Bullet1"/>
      </w:pPr>
      <w:r w:rsidRPr="64478C78">
        <w:rPr>
          <w:b/>
          <w:bCs/>
        </w:rPr>
        <w:t>public non-financial corporations</w:t>
      </w:r>
      <w:r w:rsidR="00802ED5">
        <w:t xml:space="preserve"> (PNFC)</w:t>
      </w:r>
      <w:r w:rsidR="00447E92">
        <w:t xml:space="preserve"> – this covers all government-controlled entities that provide market goods or services and have a </w:t>
      </w:r>
      <w:r w:rsidR="00DC529E">
        <w:t xml:space="preserve">relatively higher </w:t>
      </w:r>
      <w:r w:rsidR="00447E92">
        <w:t>share of own-source revenue. The NSW Government</w:t>
      </w:r>
      <w:r w:rsidR="009B7E24">
        <w:t xml:space="preserve"> chooses to</w:t>
      </w:r>
      <w:r w:rsidR="000F0D65">
        <w:t xml:space="preserve"> further</w:t>
      </w:r>
      <w:r w:rsidR="00447E92">
        <w:t xml:space="preserve"> classif</w:t>
      </w:r>
      <w:r w:rsidR="009B7E24">
        <w:t>y</w:t>
      </w:r>
      <w:r w:rsidR="00447E92">
        <w:t xml:space="preserve"> </w:t>
      </w:r>
      <w:r w:rsidR="006065B7">
        <w:t xml:space="preserve">entities in this sector as commercial or non-commercial: </w:t>
      </w:r>
    </w:p>
    <w:p w14:paraId="37FBBDF0" w14:textId="09C80168" w:rsidR="006065B7" w:rsidRDefault="006065B7" w:rsidP="003B5132">
      <w:pPr>
        <w:pStyle w:val="Bullet2"/>
      </w:pPr>
      <w:r>
        <w:t>c</w:t>
      </w:r>
      <w:r w:rsidR="00447E92">
        <w:t xml:space="preserve">ommercial entities deliver services to customers from which they receive income. An example is Sydney Water </w:t>
      </w:r>
    </w:p>
    <w:p w14:paraId="40779E5D" w14:textId="74BE1892" w:rsidR="00072271" w:rsidRDefault="042A169E" w:rsidP="003B5132">
      <w:pPr>
        <w:pStyle w:val="Bullet2"/>
      </w:pPr>
      <w:r>
        <w:t>n</w:t>
      </w:r>
      <w:r w:rsidR="7A9DB4F2">
        <w:t>on</w:t>
      </w:r>
      <w:r w:rsidR="5586EFA6">
        <w:t>-</w:t>
      </w:r>
      <w:r w:rsidR="7A9DB4F2">
        <w:t xml:space="preserve">commercial entities address social objectives and levy subsidised charges to their customers. An example is New South Wales Land and Housing </w:t>
      </w:r>
      <w:r w:rsidR="00DD3D38" w:rsidDel="042A169E">
        <w:t>Corporation</w:t>
      </w:r>
      <w:r w:rsidR="392F0A09">
        <w:t>.</w:t>
      </w:r>
    </w:p>
    <w:p w14:paraId="2E376BEC" w14:textId="47495858" w:rsidR="00A5040E" w:rsidRPr="00C4563E" w:rsidRDefault="00D7249C" w:rsidP="003B5132">
      <w:pPr>
        <w:pStyle w:val="Bullet1"/>
        <w:rPr>
          <w:b/>
          <w:bCs/>
        </w:rPr>
      </w:pPr>
      <w:r w:rsidRPr="006065B7">
        <w:rPr>
          <w:b/>
          <w:bCs/>
        </w:rPr>
        <w:t>public financial corporations</w:t>
      </w:r>
      <w:r w:rsidR="00802ED5" w:rsidRPr="00C4563E">
        <w:rPr>
          <w:b/>
          <w:bCs/>
        </w:rPr>
        <w:t xml:space="preserve"> (PFC)</w:t>
      </w:r>
      <w:r w:rsidR="00450AAE">
        <w:t xml:space="preserve"> </w:t>
      </w:r>
      <w:r w:rsidR="00A73D4C">
        <w:t>–</w:t>
      </w:r>
      <w:r w:rsidR="00450AAE">
        <w:t xml:space="preserve"> </w:t>
      </w:r>
      <w:r w:rsidR="00A5040E" w:rsidRPr="00450AAE">
        <w:t>entities in this sector are</w:t>
      </w:r>
      <w:r w:rsidR="005E3E70" w:rsidRPr="00450AAE">
        <w:t xml:space="preserve"> government</w:t>
      </w:r>
      <w:r w:rsidR="002E112E" w:rsidRPr="00450AAE">
        <w:t>-</w:t>
      </w:r>
      <w:r w:rsidR="005E3E70" w:rsidRPr="00450AAE">
        <w:t>controlled entities</w:t>
      </w:r>
      <w:r w:rsidR="00A5040E" w:rsidRPr="00450AAE">
        <w:t xml:space="preserve"> involved in providing financial services. An example includes the </w:t>
      </w:r>
      <w:r w:rsidR="00643BE7" w:rsidRPr="00450AAE">
        <w:t>N</w:t>
      </w:r>
      <w:r w:rsidR="002C5EDC">
        <w:t xml:space="preserve">ew </w:t>
      </w:r>
      <w:r w:rsidR="00643BE7" w:rsidRPr="00450AAE">
        <w:t>S</w:t>
      </w:r>
      <w:r w:rsidR="002C5EDC">
        <w:t xml:space="preserve">outh </w:t>
      </w:r>
      <w:r w:rsidR="00643BE7" w:rsidRPr="00450AAE">
        <w:t>W</w:t>
      </w:r>
      <w:r w:rsidR="002C5EDC">
        <w:t>ales</w:t>
      </w:r>
      <w:r w:rsidR="00A5040E" w:rsidRPr="00450AAE">
        <w:t xml:space="preserve"> Treasury Corporation.</w:t>
      </w:r>
    </w:p>
    <w:p w14:paraId="3526059D" w14:textId="7FB689AE" w:rsidR="001C7059" w:rsidRDefault="00072271" w:rsidP="003B5132">
      <w:pPr>
        <w:pStyle w:val="BodyText"/>
      </w:pPr>
      <w:r>
        <w:t>When c</w:t>
      </w:r>
      <w:r w:rsidR="00D7249C" w:rsidRPr="00385DEC">
        <w:t xml:space="preserve">ombined, these </w:t>
      </w:r>
      <w:r w:rsidR="00A5040E" w:rsidRPr="00385DEC">
        <w:t xml:space="preserve">three sectors </w:t>
      </w:r>
      <w:r w:rsidR="00D7249C" w:rsidRPr="00385DEC">
        <w:t xml:space="preserve">make up the </w:t>
      </w:r>
      <w:r w:rsidR="00D7249C" w:rsidRPr="009D44DE">
        <w:rPr>
          <w:b/>
        </w:rPr>
        <w:t>total state sector</w:t>
      </w:r>
      <w:r w:rsidR="00261E45">
        <w:rPr>
          <w:b/>
        </w:rPr>
        <w:t xml:space="preserve"> </w:t>
      </w:r>
      <w:r w:rsidR="00261E45" w:rsidRPr="00E327F8">
        <w:rPr>
          <w:bCs/>
        </w:rPr>
        <w:t>which is also referred to as whole-of-government</w:t>
      </w:r>
      <w:r w:rsidR="00D7249C" w:rsidRPr="00E327F8">
        <w:t>.</w:t>
      </w:r>
      <w:r w:rsidR="00D7249C" w:rsidRPr="00385DEC">
        <w:t xml:space="preserve"> </w:t>
      </w:r>
    </w:p>
    <w:p w14:paraId="0AB9E987" w14:textId="77777777" w:rsidR="00B469FE" w:rsidRDefault="00B469FE" w:rsidP="003B5132">
      <w:pPr>
        <w:pStyle w:val="BodyText"/>
      </w:pPr>
    </w:p>
    <w:p w14:paraId="60B820D6" w14:textId="77777777" w:rsidR="00B469FE" w:rsidRDefault="00B469FE" w:rsidP="003B5132">
      <w:pPr>
        <w:pStyle w:val="BodyText"/>
      </w:pPr>
    </w:p>
    <w:p w14:paraId="673F7103" w14:textId="34A55D1C" w:rsidR="00B469FE" w:rsidRDefault="002C0C8B">
      <w:pPr>
        <w:widowControl/>
        <w:tabs>
          <w:tab w:val="clear" w:pos="4196"/>
          <w:tab w:val="clear" w:pos="5046"/>
          <w:tab w:val="clear" w:pos="5897"/>
          <w:tab w:val="clear" w:pos="6747"/>
          <w:tab w:val="clear" w:pos="7598"/>
        </w:tabs>
        <w:autoSpaceDE/>
        <w:autoSpaceDN/>
        <w:rPr>
          <w:rFonts w:eastAsiaTheme="minorHAnsi"/>
          <w:sz w:val="23"/>
          <w:szCs w:val="22"/>
          <w:lang w:eastAsia="en-US"/>
        </w:rPr>
      </w:pPr>
      <w:r>
        <w:br w:type="page"/>
      </w:r>
    </w:p>
    <w:p w14:paraId="7E044621" w14:textId="6207056C" w:rsidR="00B469FE" w:rsidRPr="009455F7" w:rsidRDefault="00B469FE" w:rsidP="00B469FE">
      <w:pPr>
        <w:tabs>
          <w:tab w:val="right" w:pos="1134"/>
        </w:tabs>
        <w:spacing w:before="240" w:after="120"/>
        <w:rPr>
          <w:i/>
          <w:color w:val="4F4F4F"/>
          <w:sz w:val="22"/>
          <w:szCs w:val="22"/>
        </w:rPr>
      </w:pPr>
      <w:r w:rsidRPr="009455F7">
        <w:rPr>
          <w:i/>
          <w:iCs/>
          <w:color w:val="4F4F4F"/>
          <w:sz w:val="22"/>
          <w:szCs w:val="22"/>
        </w:rPr>
        <w:lastRenderedPageBreak/>
        <w:t>Figure 1:</w:t>
      </w:r>
      <w:r w:rsidRPr="009455F7">
        <w:rPr>
          <w:i/>
          <w:iCs/>
          <w:color w:val="4F4F4F"/>
          <w:sz w:val="22"/>
          <w:szCs w:val="22"/>
        </w:rPr>
        <w:tab/>
      </w:r>
      <w:r w:rsidRPr="009455F7">
        <w:rPr>
          <w:i/>
          <w:iCs/>
          <w:color w:val="4F4F4F"/>
          <w:sz w:val="22"/>
          <w:szCs w:val="22"/>
        </w:rPr>
        <w:tab/>
      </w:r>
      <w:r>
        <w:rPr>
          <w:i/>
          <w:iCs/>
          <w:color w:val="4F4F4F"/>
          <w:sz w:val="22"/>
          <w:szCs w:val="22"/>
        </w:rPr>
        <w:t xml:space="preserve">The total state sector is comprised of </w:t>
      </w:r>
      <w:r w:rsidR="00562481" w:rsidRPr="00786EEC">
        <w:rPr>
          <w:i/>
          <w:iCs/>
          <w:color w:val="4F4F4F"/>
          <w:sz w:val="22"/>
          <w:szCs w:val="22"/>
        </w:rPr>
        <w:t>12</w:t>
      </w:r>
      <w:r w:rsidRPr="00B8591E">
        <w:rPr>
          <w:i/>
          <w:iCs/>
          <w:color w:val="4F4F4F"/>
          <w:sz w:val="22"/>
          <w:szCs w:val="22"/>
        </w:rPr>
        <w:t>0</w:t>
      </w:r>
      <w:r>
        <w:rPr>
          <w:i/>
          <w:iCs/>
          <w:color w:val="4F4F4F"/>
          <w:sz w:val="22"/>
          <w:szCs w:val="22"/>
        </w:rPr>
        <w:t xml:space="preserve"> individual entities</w:t>
      </w:r>
    </w:p>
    <w:p w14:paraId="4F760756" w14:textId="232CA5BD" w:rsidR="00B469FE" w:rsidRDefault="00B13F5B" w:rsidP="009E2973">
      <w:r>
        <w:rPr>
          <w:noProof/>
        </w:rPr>
        <w:drawing>
          <wp:inline distT="0" distB="0" distL="0" distR="0" wp14:anchorId="60896BB4" wp14:editId="7E8BFA9F">
            <wp:extent cx="5895459" cy="3232785"/>
            <wp:effectExtent l="0" t="0" r="0" b="5715"/>
            <wp:docPr id="3" name="Picture 3" descr="Figure 1: The total state sector is comprised of 120 individual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The total state sector is comprised of 120 individual entities"/>
                    <pic:cNvPicPr>
                      <a:picLocks noChangeAspect="1" noChangeArrowheads="1"/>
                    </pic:cNvPicPr>
                  </pic:nvPicPr>
                  <pic:blipFill rotWithShape="1">
                    <a:blip r:embed="rId25">
                      <a:extLst>
                        <a:ext uri="{28A0092B-C50C-407E-A947-70E740481C1C}">
                          <a14:useLocalDpi xmlns:a14="http://schemas.microsoft.com/office/drawing/2010/main" val="0"/>
                        </a:ext>
                      </a:extLst>
                    </a:blip>
                    <a:srcRect r="18788"/>
                    <a:stretch/>
                  </pic:blipFill>
                  <pic:spPr bwMode="auto">
                    <a:xfrm>
                      <a:off x="0" y="0"/>
                      <a:ext cx="5895459" cy="3232785"/>
                    </a:xfrm>
                    <a:prstGeom prst="rect">
                      <a:avLst/>
                    </a:prstGeom>
                    <a:noFill/>
                    <a:ln>
                      <a:noFill/>
                    </a:ln>
                    <a:extLst>
                      <a:ext uri="{53640926-AAD7-44D8-BBD7-CCE9431645EC}">
                        <a14:shadowObscured xmlns:a14="http://schemas.microsoft.com/office/drawing/2010/main"/>
                      </a:ext>
                    </a:extLst>
                  </pic:spPr>
                </pic:pic>
              </a:graphicData>
            </a:graphic>
          </wp:inline>
        </w:drawing>
      </w:r>
    </w:p>
    <w:p w14:paraId="2A926B40" w14:textId="7FEE5790" w:rsidR="007C61A1" w:rsidRPr="00385DEC" w:rsidRDefault="00DB0BAA" w:rsidP="003B5132">
      <w:pPr>
        <w:pStyle w:val="BodyText"/>
      </w:pPr>
      <w:r w:rsidRPr="00385DEC">
        <w:t>The Budget Paper</w:t>
      </w:r>
      <w:r w:rsidR="00A5040E" w:rsidRPr="00385DEC">
        <w:t>s</w:t>
      </w:r>
      <w:r w:rsidRPr="00385DEC">
        <w:t xml:space="preserve"> </w:t>
      </w:r>
      <w:r w:rsidR="009A1EB6">
        <w:t xml:space="preserve">primarily </w:t>
      </w:r>
      <w:r w:rsidR="00C566AB">
        <w:t xml:space="preserve">examine the </w:t>
      </w:r>
      <w:r w:rsidR="008B3531" w:rsidRPr="00385DEC">
        <w:t xml:space="preserve">activities, </w:t>
      </w:r>
      <w:r w:rsidR="00F87A3D">
        <w:t>new measures</w:t>
      </w:r>
      <w:r w:rsidR="008B3531" w:rsidRPr="00385DEC">
        <w:t>, financial statements</w:t>
      </w:r>
      <w:r w:rsidR="00802ED5">
        <w:t xml:space="preserve">, </w:t>
      </w:r>
      <w:r w:rsidR="008B3531" w:rsidRPr="00385DEC">
        <w:t xml:space="preserve">financial aggregates </w:t>
      </w:r>
      <w:r w:rsidR="00802ED5">
        <w:t xml:space="preserve">and performance information </w:t>
      </w:r>
      <w:r w:rsidR="008B3531" w:rsidRPr="00385DEC">
        <w:t xml:space="preserve">for </w:t>
      </w:r>
      <w:r w:rsidRPr="00385DEC">
        <w:t xml:space="preserve">the </w:t>
      </w:r>
      <w:r w:rsidRPr="00EA3ED0">
        <w:t>general government sector</w:t>
      </w:r>
      <w:r w:rsidR="007C61A1" w:rsidRPr="00385DEC">
        <w:t xml:space="preserve">, </w:t>
      </w:r>
      <w:r w:rsidR="00C566AB">
        <w:t xml:space="preserve">unless it is </w:t>
      </w:r>
      <w:r w:rsidR="007C61A1" w:rsidRPr="00385DEC">
        <w:t>explicitly stated otherwise.</w:t>
      </w:r>
      <w:r w:rsidR="00155B90" w:rsidRPr="00385DEC">
        <w:t xml:space="preserve"> </w:t>
      </w:r>
    </w:p>
    <w:p w14:paraId="714F512D" w14:textId="659F81ED" w:rsidR="00F33624" w:rsidRPr="00385DEC" w:rsidRDefault="00C566AB" w:rsidP="003B5132">
      <w:pPr>
        <w:pStyle w:val="BodyText"/>
      </w:pPr>
      <w:r w:rsidRPr="008F6E14">
        <w:t>Appendix A</w:t>
      </w:r>
      <w:r w:rsidR="005C265D" w:rsidRPr="008F6E14">
        <w:t xml:space="preserve">1 </w:t>
      </w:r>
      <w:r w:rsidRPr="006222BA">
        <w:t xml:space="preserve">of </w:t>
      </w:r>
      <w:r w:rsidR="00D75813" w:rsidRPr="006222BA">
        <w:t xml:space="preserve">Budget Paper No. 1 </w:t>
      </w:r>
      <w:r w:rsidR="00155B90" w:rsidRPr="006222BA">
        <w:rPr>
          <w:i/>
        </w:rPr>
        <w:t>Budget Statement</w:t>
      </w:r>
      <w:r w:rsidR="00DB0BAA" w:rsidRPr="006222BA">
        <w:t xml:space="preserve"> </w:t>
      </w:r>
      <w:r w:rsidR="00DB0BAA">
        <w:t>include</w:t>
      </w:r>
      <w:r w:rsidR="00F87A3D">
        <w:t>s</w:t>
      </w:r>
      <w:r w:rsidR="00DB0BAA">
        <w:t xml:space="preserve"> </w:t>
      </w:r>
      <w:r w:rsidR="00C6729B">
        <w:t>f</w:t>
      </w:r>
      <w:r w:rsidR="00DB0BAA">
        <w:t xml:space="preserve">inancial </w:t>
      </w:r>
      <w:r w:rsidR="00C6729B">
        <w:t>s</w:t>
      </w:r>
      <w:r w:rsidR="00DB0BAA">
        <w:t xml:space="preserve">tatements for the </w:t>
      </w:r>
      <w:r w:rsidR="005E63B4">
        <w:t>p</w:t>
      </w:r>
      <w:r w:rsidR="00777805">
        <w:t>ublic non</w:t>
      </w:r>
      <w:r w:rsidR="00AC69E5">
        <w:noBreakHyphen/>
      </w:r>
      <w:r w:rsidR="00777805">
        <w:t>financial corporation</w:t>
      </w:r>
      <w:r>
        <w:t>s</w:t>
      </w:r>
      <w:r w:rsidR="00777805">
        <w:t xml:space="preserve"> sector</w:t>
      </w:r>
      <w:r w:rsidR="00DB0BAA">
        <w:t xml:space="preserve"> and the </w:t>
      </w:r>
      <w:r w:rsidR="00210B3E">
        <w:t>n</w:t>
      </w:r>
      <w:r w:rsidR="00941498">
        <w:t xml:space="preserve">on-financial public sector </w:t>
      </w:r>
      <w:r w:rsidR="00941498" w:rsidRPr="00443F2B">
        <w:t>(</w:t>
      </w:r>
      <w:r w:rsidR="00230D5A" w:rsidRPr="00443F2B">
        <w:t xml:space="preserve">which is the combined </w:t>
      </w:r>
      <w:r w:rsidR="007E08C2" w:rsidRPr="00443F2B">
        <w:t xml:space="preserve">general government </w:t>
      </w:r>
      <w:r w:rsidR="007E08C2" w:rsidRPr="00443F2B">
        <w:rPr>
          <w:i/>
        </w:rPr>
        <w:t>and</w:t>
      </w:r>
      <w:r w:rsidR="007E08C2" w:rsidRPr="00443F2B">
        <w:t xml:space="preserve"> </w:t>
      </w:r>
      <w:r w:rsidR="005573B4" w:rsidRPr="00443F2B">
        <w:t>public non-financial corporations</w:t>
      </w:r>
      <w:r w:rsidR="00692AC4" w:rsidRPr="00443F2B">
        <w:t xml:space="preserve"> </w:t>
      </w:r>
      <w:r w:rsidR="00DB0BAA" w:rsidRPr="00443F2B">
        <w:t>sectors</w:t>
      </w:r>
      <w:r w:rsidR="00941498">
        <w:t>)</w:t>
      </w:r>
      <w:r w:rsidR="00DB0BAA">
        <w:t>. The</w:t>
      </w:r>
      <w:r w:rsidR="009A6A43">
        <w:t>se</w:t>
      </w:r>
      <w:r w:rsidR="00DB0BAA">
        <w:t xml:space="preserve"> statements </w:t>
      </w:r>
      <w:r w:rsidR="009A6A43">
        <w:t xml:space="preserve">give readers </w:t>
      </w:r>
      <w:r w:rsidR="00DB0BAA">
        <w:t xml:space="preserve">a comprehensive </w:t>
      </w:r>
      <w:r w:rsidR="009A6A43">
        <w:t xml:space="preserve">insight into </w:t>
      </w:r>
      <w:r w:rsidR="00DB0BAA">
        <w:t xml:space="preserve">the State’s fiscal </w:t>
      </w:r>
      <w:r w:rsidR="009A023C">
        <w:t xml:space="preserve">performance and </w:t>
      </w:r>
      <w:r w:rsidR="00DB0BAA">
        <w:t>positio</w:t>
      </w:r>
      <w:r w:rsidR="009A023C">
        <w:t>n</w:t>
      </w:r>
      <w:r w:rsidR="00DB0BAA">
        <w:t>.</w:t>
      </w:r>
    </w:p>
    <w:p w14:paraId="2DB9C501" w14:textId="77777777" w:rsidR="00B469FE" w:rsidRDefault="00B469FE">
      <w:pPr>
        <w:widowControl/>
        <w:tabs>
          <w:tab w:val="clear" w:pos="4196"/>
          <w:tab w:val="clear" w:pos="5046"/>
          <w:tab w:val="clear" w:pos="5897"/>
          <w:tab w:val="clear" w:pos="6747"/>
          <w:tab w:val="clear" w:pos="7598"/>
        </w:tabs>
        <w:autoSpaceDE/>
        <w:autoSpaceDN/>
        <w:rPr>
          <w:rFonts w:cs="Times New Roman"/>
          <w:bCs/>
          <w:caps/>
          <w:color w:val="00426F"/>
          <w:sz w:val="40"/>
          <w:szCs w:val="28"/>
        </w:rPr>
      </w:pPr>
      <w:bookmarkStart w:id="14" w:name="_Hlk105766620"/>
      <w:r>
        <w:br w:type="page"/>
      </w:r>
    </w:p>
    <w:p w14:paraId="207CA4D8" w14:textId="1AF20261" w:rsidR="00155B90" w:rsidRDefault="00AB3846" w:rsidP="00623FC7">
      <w:pPr>
        <w:pStyle w:val="Heading1"/>
        <w:keepNext w:val="0"/>
        <w:tabs>
          <w:tab w:val="left" w:pos="2127"/>
        </w:tabs>
        <w:spacing w:after="120"/>
      </w:pPr>
      <w:bookmarkStart w:id="15" w:name="_Toc106280666"/>
      <w:bookmarkEnd w:id="14"/>
      <w:r>
        <w:lastRenderedPageBreak/>
        <w:t xml:space="preserve">important </w:t>
      </w:r>
      <w:r w:rsidR="00906CD1">
        <w:t>concepts</w:t>
      </w:r>
      <w:bookmarkEnd w:id="15"/>
      <w:r w:rsidR="001601E4">
        <w:t xml:space="preserve"> </w:t>
      </w:r>
    </w:p>
    <w:p w14:paraId="523A59D7" w14:textId="77777777" w:rsidR="00401523" w:rsidRPr="003A6330" w:rsidRDefault="00401523" w:rsidP="00401523">
      <w:pPr>
        <w:pStyle w:val="Heading3"/>
      </w:pPr>
      <w:r>
        <w:t xml:space="preserve">The Budget is based on economic forecasts and assumptions </w:t>
      </w:r>
    </w:p>
    <w:p w14:paraId="1E4CF0A1" w14:textId="7A448A99" w:rsidR="00870E40" w:rsidRDefault="00C24F6A" w:rsidP="003B5132">
      <w:pPr>
        <w:pStyle w:val="BodyText"/>
      </w:pPr>
      <w:r>
        <w:t>The</w:t>
      </w:r>
      <w:r w:rsidR="00632FFA">
        <w:t xml:space="preserve"> Budget is </w:t>
      </w:r>
      <w:r w:rsidR="00401523">
        <w:t xml:space="preserve">a forward-looking document, </w:t>
      </w:r>
      <w:r w:rsidR="00632FFA">
        <w:t xml:space="preserve">so it relies on </w:t>
      </w:r>
      <w:r w:rsidR="00401523">
        <w:t>economic forecasts and assumptions. The</w:t>
      </w:r>
      <w:r w:rsidR="00303637">
        <w:t xml:space="preserve">se </w:t>
      </w:r>
      <w:r w:rsidR="0075385C">
        <w:t>are</w:t>
      </w:r>
      <w:r w:rsidR="00303637">
        <w:t xml:space="preserve"> </w:t>
      </w:r>
      <w:r w:rsidR="00401523">
        <w:t xml:space="preserve">based on </w:t>
      </w:r>
      <w:r>
        <w:t>professiona</w:t>
      </w:r>
      <w:r w:rsidR="00B95C6A">
        <w:t>l</w:t>
      </w:r>
      <w:r>
        <w:t xml:space="preserve"> </w:t>
      </w:r>
      <w:r w:rsidR="00401523">
        <w:t xml:space="preserve">judgement and reflect information available at the time. </w:t>
      </w:r>
    </w:p>
    <w:p w14:paraId="23957A21" w14:textId="32860EF6" w:rsidR="00401523" w:rsidRDefault="00870E40" w:rsidP="003B5132">
      <w:pPr>
        <w:pStyle w:val="BodyText"/>
      </w:pPr>
      <w:r>
        <w:t xml:space="preserve">Some </w:t>
      </w:r>
      <w:r w:rsidR="00401523">
        <w:t xml:space="preserve">economic parameters are heavily influenced by Commonwealth policy settings </w:t>
      </w:r>
      <w:r>
        <w:t xml:space="preserve">and </w:t>
      </w:r>
      <w:r w:rsidR="005545BC">
        <w:t xml:space="preserve">these are </w:t>
      </w:r>
      <w:r w:rsidR="00401523">
        <w:t xml:space="preserve">largely underpinned by Commonwealth Government assumptions. </w:t>
      </w:r>
      <w:r w:rsidR="005545BC">
        <w:t xml:space="preserve">An </w:t>
      </w:r>
      <w:r w:rsidR="00401523">
        <w:t>example</w:t>
      </w:r>
      <w:r w:rsidR="005545BC">
        <w:t xml:space="preserve"> is</w:t>
      </w:r>
      <w:r w:rsidR="00401523">
        <w:t xml:space="preserve"> the impact of the Commonwealth’s migration and border policies</w:t>
      </w:r>
      <w:r w:rsidR="005545BC">
        <w:t xml:space="preserve">, which impact </w:t>
      </w:r>
      <w:r w:rsidR="00E73648">
        <w:t>NSW</w:t>
      </w:r>
      <w:r w:rsidR="00401523">
        <w:t xml:space="preserve"> population growth.</w:t>
      </w:r>
    </w:p>
    <w:p w14:paraId="24280880" w14:textId="2BF9D49B" w:rsidR="00997BF9" w:rsidRPr="000209EE" w:rsidRDefault="00401523" w:rsidP="009B4A4D">
      <w:pPr>
        <w:pStyle w:val="BodyText"/>
      </w:pPr>
      <w:r>
        <w:t xml:space="preserve">Readers </w:t>
      </w:r>
      <w:r w:rsidR="005545BC">
        <w:t xml:space="preserve">that are </w:t>
      </w:r>
      <w:r>
        <w:t xml:space="preserve">interested in the underlying forecasts and assumptions for this Budget </w:t>
      </w:r>
      <w:r w:rsidR="00997BF9">
        <w:t>can read further at</w:t>
      </w:r>
      <w:r w:rsidR="009B4A4D">
        <w:t xml:space="preserve"> </w:t>
      </w:r>
      <w:r w:rsidR="00997BF9" w:rsidRPr="000209EE">
        <w:t xml:space="preserve">Page xxv of this document, which outlines the material economic assumptions used in the </w:t>
      </w:r>
      <w:r w:rsidR="006233B4" w:rsidRPr="000209EE">
        <w:t>2022-23</w:t>
      </w:r>
      <w:r w:rsidR="00997BF9" w:rsidRPr="000209EE">
        <w:t xml:space="preserve"> Budget</w:t>
      </w:r>
      <w:r w:rsidR="002A2C6D" w:rsidRPr="000209EE">
        <w:t xml:space="preserve">, such as population and </w:t>
      </w:r>
      <w:r w:rsidR="0087262D" w:rsidRPr="00786EEC">
        <w:t>G</w:t>
      </w:r>
      <w:r w:rsidR="002A2C6D" w:rsidRPr="000209EE">
        <w:t xml:space="preserve">ross </w:t>
      </w:r>
      <w:r w:rsidR="0087262D" w:rsidRPr="00786EEC">
        <w:t>S</w:t>
      </w:r>
      <w:r w:rsidR="002A2C6D" w:rsidRPr="000209EE">
        <w:t xml:space="preserve">tate </w:t>
      </w:r>
      <w:r w:rsidR="0087262D" w:rsidRPr="00786EEC">
        <w:t>P</w:t>
      </w:r>
      <w:r w:rsidR="002A2C6D" w:rsidRPr="000209EE">
        <w:t>roduct.</w:t>
      </w:r>
    </w:p>
    <w:p w14:paraId="4571A6B3" w14:textId="1EFBB193" w:rsidR="00C56908" w:rsidRPr="004C48D5" w:rsidRDefault="00C56908" w:rsidP="00C56908">
      <w:pPr>
        <w:pStyle w:val="Heading3"/>
      </w:pPr>
      <w:r>
        <w:t>Accrual basis of accounting</w:t>
      </w:r>
    </w:p>
    <w:p w14:paraId="4049C506" w14:textId="18248C31" w:rsidR="00BD5BE9" w:rsidRDefault="00C56908" w:rsidP="003B5132">
      <w:pPr>
        <w:pStyle w:val="BodyText"/>
      </w:pPr>
      <w:r w:rsidRPr="00385DEC">
        <w:t xml:space="preserve">The financial statements presented in the Budget Papers are prepared </w:t>
      </w:r>
      <w:r>
        <w:t>using</w:t>
      </w:r>
      <w:r w:rsidRPr="00385DEC">
        <w:t xml:space="preserve"> an accrual basis of accounting</w:t>
      </w:r>
      <w:r w:rsidR="006960A1">
        <w:t xml:space="preserve"> and </w:t>
      </w:r>
      <w:r w:rsidRPr="00385DEC">
        <w:t xml:space="preserve">accord with Australian Accounting Standards. </w:t>
      </w:r>
      <w:r w:rsidR="006960A1">
        <w:t xml:space="preserve">Accrual accounting </w:t>
      </w:r>
      <w:r w:rsidR="00BD5BE9">
        <w:t>is different from cash accounting</w:t>
      </w:r>
      <w:r w:rsidR="00022F96">
        <w:t>, which is the basis used by many households</w:t>
      </w:r>
      <w:r w:rsidR="00BD5BE9">
        <w:t>.</w:t>
      </w:r>
    </w:p>
    <w:p w14:paraId="120D49FC" w14:textId="03E06077" w:rsidR="00AA517D" w:rsidRDefault="00574436" w:rsidP="003B5132">
      <w:pPr>
        <w:pStyle w:val="BodyText"/>
      </w:pPr>
      <w:r w:rsidRPr="00E327F8">
        <w:t>T</w:t>
      </w:r>
      <w:r w:rsidR="00C56908" w:rsidRPr="00E327F8">
        <w:t xml:space="preserve">he Statement of Finances in Appendix </w:t>
      </w:r>
      <w:r w:rsidR="00CB0B52" w:rsidRPr="00E327F8">
        <w:t>A</w:t>
      </w:r>
      <w:r w:rsidR="00C56908" w:rsidRPr="00E327F8">
        <w:t xml:space="preserve">1 of Budget Paper No. 1 </w:t>
      </w:r>
      <w:r w:rsidR="00C56908" w:rsidRPr="00E327F8">
        <w:rPr>
          <w:i/>
        </w:rPr>
        <w:t>Budget Statement</w:t>
      </w:r>
      <w:r w:rsidR="00C56908" w:rsidRPr="00E327F8">
        <w:t xml:space="preserve"> is prepared </w:t>
      </w:r>
      <w:r w:rsidR="00C56908" w:rsidRPr="00E327F8" w:rsidDel="00FA124C">
        <w:t xml:space="preserve">in accordance with </w:t>
      </w:r>
      <w:r w:rsidR="00C56908" w:rsidRPr="00E327F8">
        <w:t xml:space="preserve">the Uniform Presentation Framework </w:t>
      </w:r>
      <w:r w:rsidR="00CD3C56" w:rsidRPr="00E327F8">
        <w:t>(UPF)</w:t>
      </w:r>
      <w:r w:rsidR="00307A71" w:rsidRPr="00E327F8">
        <w:t xml:space="preserve"> and</w:t>
      </w:r>
      <w:r w:rsidR="00CD3C56" w:rsidRPr="00E327F8">
        <w:t xml:space="preserve"> </w:t>
      </w:r>
      <w:r w:rsidR="0057340E" w:rsidRPr="00E327F8">
        <w:t xml:space="preserve">AASB 1049 </w:t>
      </w:r>
      <w:r w:rsidR="0057340E" w:rsidRPr="00E327F8">
        <w:rPr>
          <w:i/>
        </w:rPr>
        <w:t>Whole of Government and General Government Sector Financial Reporting</w:t>
      </w:r>
      <w:r w:rsidR="00307A71" w:rsidRPr="00E327F8">
        <w:rPr>
          <w:i/>
        </w:rPr>
        <w:t xml:space="preserve"> </w:t>
      </w:r>
      <w:r w:rsidR="00307A71" w:rsidRPr="00E327F8">
        <w:t>(AASB 1049)</w:t>
      </w:r>
      <w:r w:rsidR="0057340E" w:rsidRPr="00E327F8">
        <w:t xml:space="preserve">. AASB 1049 </w:t>
      </w:r>
      <w:r w:rsidR="00FD02EE" w:rsidRPr="00E327F8">
        <w:t xml:space="preserve">harmonises </w:t>
      </w:r>
      <w:r w:rsidR="009F0D06" w:rsidRPr="00E327F8">
        <w:t>the application of accounting standards with</w:t>
      </w:r>
      <w:r w:rsidR="00C56908" w:rsidRPr="00E327F8">
        <w:t xml:space="preserve"> the</w:t>
      </w:r>
      <w:r w:rsidR="00C56908" w:rsidRPr="00E327F8">
        <w:rPr>
          <w:i/>
        </w:rPr>
        <w:t xml:space="preserve"> </w:t>
      </w:r>
      <w:r w:rsidR="00C56908" w:rsidRPr="00E327F8">
        <w:t xml:space="preserve">principles and rules contained in the Australian Bureau of Statistics, </w:t>
      </w:r>
      <w:r w:rsidR="00C56908" w:rsidRPr="00E327F8">
        <w:rPr>
          <w:i/>
        </w:rPr>
        <w:t>Australian System of Government Finance Statistics: Concepts, Sources and Methods 2015</w:t>
      </w:r>
      <w:r w:rsidR="00C56908" w:rsidRPr="00E327F8">
        <w:t xml:space="preserve"> (Cat. No. 5514) (ABS</w:t>
      </w:r>
      <w:r w:rsidR="00175C25" w:rsidRPr="00E327F8">
        <w:noBreakHyphen/>
      </w:r>
      <w:r w:rsidR="00C56908" w:rsidRPr="00E327F8">
        <w:t>GFS Manual).</w:t>
      </w:r>
      <w:r w:rsidR="00464C06">
        <w:t xml:space="preserve"> This aids transparency and integrity in public reporting and </w:t>
      </w:r>
      <w:r w:rsidR="00EE0EE4">
        <w:t xml:space="preserve">facilitates </w:t>
      </w:r>
      <w:r w:rsidR="00464C06">
        <w:t>comparison across jurisdictions.</w:t>
      </w:r>
      <w:r w:rsidR="00BD3629">
        <w:t xml:space="preserve"> </w:t>
      </w:r>
    </w:p>
    <w:p w14:paraId="68CCA425" w14:textId="15B65B51" w:rsidR="006807D9" w:rsidRDefault="00EE321C" w:rsidP="00BD629A">
      <w:pPr>
        <w:pStyle w:val="Heading3"/>
      </w:pPr>
      <w:r>
        <w:t xml:space="preserve">Outcome Budgeting </w:t>
      </w:r>
      <w:r w:rsidR="00197EE3">
        <w:t>and p</w:t>
      </w:r>
      <w:r w:rsidR="006807D9">
        <w:t xml:space="preserve">erformance </w:t>
      </w:r>
      <w:r w:rsidR="001248F3">
        <w:t>information</w:t>
      </w:r>
    </w:p>
    <w:p w14:paraId="157C1038" w14:textId="0724C2B2" w:rsidR="008334DD" w:rsidRDefault="00094883" w:rsidP="003B5132">
      <w:pPr>
        <w:pStyle w:val="BodyText"/>
      </w:pPr>
      <w:r w:rsidRPr="00094883">
        <w:t xml:space="preserve">Outcome Budgeting </w:t>
      </w:r>
      <w:r w:rsidR="00B67288">
        <w:t xml:space="preserve">is a performance budgeting and accountability approach that </w:t>
      </w:r>
      <w:r w:rsidRPr="00094883">
        <w:t>puts the needs of the people at the centre of investment decision-making. It recognises that the allocation of public resources should be based on the outcomes achieved for people</w:t>
      </w:r>
      <w:r w:rsidR="0042671B">
        <w:t xml:space="preserve"> (e.g. the best start in life for young children)</w:t>
      </w:r>
      <w:r w:rsidRPr="00094883">
        <w:t>, rather than the value of expenditure or the volume of services delivered</w:t>
      </w:r>
      <w:r w:rsidR="001A1C0F">
        <w:t>.</w:t>
      </w:r>
      <w:r w:rsidR="0064322C">
        <w:t xml:space="preserve"> </w:t>
      </w:r>
    </w:p>
    <w:p w14:paraId="19CE633C" w14:textId="284DD14D" w:rsidR="00CC1335" w:rsidRDefault="00CC1335" w:rsidP="003B5132">
      <w:pPr>
        <w:pStyle w:val="BodyText"/>
      </w:pPr>
      <w:r>
        <w:t>All spending in this Budget falls within one of 3</w:t>
      </w:r>
      <w:r w:rsidR="0013112A">
        <w:t>9</w:t>
      </w:r>
      <w:r>
        <w:t xml:space="preserve"> State Outcomes. </w:t>
      </w:r>
    </w:p>
    <w:p w14:paraId="316B1EF0" w14:textId="77777777" w:rsidR="00767131" w:rsidRDefault="00767131">
      <w:pPr>
        <w:widowControl/>
        <w:tabs>
          <w:tab w:val="clear" w:pos="4196"/>
          <w:tab w:val="clear" w:pos="5046"/>
          <w:tab w:val="clear" w:pos="5897"/>
          <w:tab w:val="clear" w:pos="6747"/>
          <w:tab w:val="clear" w:pos="7598"/>
        </w:tabs>
        <w:autoSpaceDE/>
        <w:autoSpaceDN/>
        <w:rPr>
          <w:rFonts w:eastAsiaTheme="minorHAnsi"/>
          <w:iCs/>
          <w:sz w:val="23"/>
          <w:szCs w:val="22"/>
          <w:lang w:eastAsia="en-US"/>
        </w:rPr>
      </w:pPr>
      <w:r>
        <w:br w:type="page"/>
      </w:r>
    </w:p>
    <w:p w14:paraId="040E7DB5" w14:textId="5AC7789E" w:rsidR="00707927" w:rsidRDefault="00EB3D15" w:rsidP="003B5132">
      <w:pPr>
        <w:pStyle w:val="BodyText"/>
      </w:pPr>
      <w:r>
        <w:lastRenderedPageBreak/>
        <w:t>For each State Outcome</w:t>
      </w:r>
      <w:r w:rsidR="003D16E9">
        <w:t xml:space="preserve">, </w:t>
      </w:r>
      <w:r w:rsidR="00244DC7">
        <w:t>the Government considers</w:t>
      </w:r>
      <w:r w:rsidR="00707927">
        <w:t>:</w:t>
      </w:r>
    </w:p>
    <w:p w14:paraId="3CBFC7B4" w14:textId="74BE1892" w:rsidR="002A26AA" w:rsidRDefault="40C1B115" w:rsidP="003B5132">
      <w:pPr>
        <w:pStyle w:val="Bullet1"/>
      </w:pPr>
      <w:r>
        <w:t>t</w:t>
      </w:r>
      <w:r w:rsidR="6AD04BF9">
        <w:t xml:space="preserve">he </w:t>
      </w:r>
      <w:r w:rsidR="667DB4B1">
        <w:t xml:space="preserve">relative </w:t>
      </w:r>
      <w:r w:rsidR="6AD04BF9">
        <w:t xml:space="preserve">level of investment (disaggregated into discrete Programs </w:t>
      </w:r>
      <w:r w:rsidR="005456C8">
        <w:t>that support delivery of each State Outcome</w:t>
      </w:r>
      <w:r w:rsidR="6AD04BF9">
        <w:t xml:space="preserve">) </w:t>
      </w:r>
    </w:p>
    <w:p w14:paraId="08D38453" w14:textId="21592744" w:rsidR="00707927" w:rsidRDefault="03B17627" w:rsidP="003B5132">
      <w:pPr>
        <w:pStyle w:val="Bullet1"/>
      </w:pPr>
      <w:r>
        <w:t xml:space="preserve">how success </w:t>
      </w:r>
      <w:r w:rsidR="1A1D600A">
        <w:t xml:space="preserve">should be </w:t>
      </w:r>
      <w:r w:rsidR="2FEC1512">
        <w:t xml:space="preserve">tracked </w:t>
      </w:r>
      <w:r w:rsidR="1627A63E">
        <w:t xml:space="preserve">(e.g. </w:t>
      </w:r>
      <w:r w:rsidR="0401486F">
        <w:t>proportion of young children enrolled in early</w:t>
      </w:r>
      <w:r w:rsidR="42E0761F">
        <w:t xml:space="preserve"> childhood</w:t>
      </w:r>
      <w:r w:rsidR="0401486F">
        <w:t xml:space="preserve"> education)</w:t>
      </w:r>
    </w:p>
    <w:p w14:paraId="50DA707E" w14:textId="74BE1892" w:rsidR="00992DCF" w:rsidRDefault="00714092" w:rsidP="003B5132">
      <w:pPr>
        <w:pStyle w:val="Bullet1"/>
      </w:pPr>
      <w:r>
        <w:t>a</w:t>
      </w:r>
      <w:r w:rsidR="0051371E">
        <w:t xml:space="preserve"> performance </w:t>
      </w:r>
      <w:r w:rsidR="00707927">
        <w:t>target (e.g.</w:t>
      </w:r>
      <w:r w:rsidR="008B3272">
        <w:t>,</w:t>
      </w:r>
      <w:r w:rsidR="00707927">
        <w:t xml:space="preserve"> </w:t>
      </w:r>
      <w:r w:rsidR="008B3272">
        <w:t>X</w:t>
      </w:r>
      <w:r w:rsidR="00515183">
        <w:t xml:space="preserve"> per cent</w:t>
      </w:r>
      <w:r w:rsidR="00533BFC">
        <w:t xml:space="preserve"> increase in</w:t>
      </w:r>
      <w:r w:rsidDel="00992DCF">
        <w:t xml:space="preserve"> </w:t>
      </w:r>
      <w:r w:rsidR="00FE49A2">
        <w:t xml:space="preserve">the proportion of </w:t>
      </w:r>
      <w:r w:rsidR="00992DCF">
        <w:t>young children</w:t>
      </w:r>
      <w:r w:rsidR="005C1660">
        <w:t xml:space="preserve"> enrolled in early childhood education</w:t>
      </w:r>
      <w:r w:rsidR="00533BFC">
        <w:t xml:space="preserve"> by 20XX</w:t>
      </w:r>
      <w:r w:rsidR="00992DCF">
        <w:t xml:space="preserve">). </w:t>
      </w:r>
    </w:p>
    <w:p w14:paraId="2B1A067C" w14:textId="3BDEAC86" w:rsidR="00C247A6" w:rsidRDefault="000078DA" w:rsidP="003B5132">
      <w:pPr>
        <w:pStyle w:val="BodyText"/>
      </w:pPr>
      <w:r>
        <w:t>A key benefit of this approach is</w:t>
      </w:r>
      <w:r w:rsidR="00D53047">
        <w:t xml:space="preserve"> that</w:t>
      </w:r>
      <w:r>
        <w:t xml:space="preserve"> </w:t>
      </w:r>
      <w:r w:rsidR="005E1FFB">
        <w:t>polic</w:t>
      </w:r>
      <w:r w:rsidR="000347EF">
        <w:t>ies</w:t>
      </w:r>
      <w:r w:rsidR="000F7D4C">
        <w:t xml:space="preserve"> get examined on the basis of </w:t>
      </w:r>
      <w:r w:rsidR="00E36F22">
        <w:t>evidence</w:t>
      </w:r>
      <w:r w:rsidR="004D46F4">
        <w:t xml:space="preserve">, </w:t>
      </w:r>
      <w:r w:rsidR="000347EF">
        <w:t xml:space="preserve">alongside </w:t>
      </w:r>
      <w:r w:rsidR="00D963A0">
        <w:t xml:space="preserve">policy and </w:t>
      </w:r>
      <w:r w:rsidR="004D46F4">
        <w:t>cost</w:t>
      </w:r>
      <w:r w:rsidR="000F7D4C">
        <w:t xml:space="preserve"> considerations</w:t>
      </w:r>
      <w:r w:rsidR="004D46F4">
        <w:t>.</w:t>
      </w:r>
      <w:r w:rsidR="00974A37">
        <w:t xml:space="preserve"> </w:t>
      </w:r>
      <w:r w:rsidR="00C247A6">
        <w:t xml:space="preserve">It is a </w:t>
      </w:r>
      <w:r w:rsidR="004D46F4">
        <w:t xml:space="preserve">comprehensive </w:t>
      </w:r>
      <w:r w:rsidR="00C247A6">
        <w:t>approach</w:t>
      </w:r>
      <w:r w:rsidR="007C36DB">
        <w:t xml:space="preserve"> to performance </w:t>
      </w:r>
      <w:r w:rsidR="000B444A">
        <w:t xml:space="preserve">informed </w:t>
      </w:r>
      <w:r w:rsidR="007C36DB">
        <w:t>budgeting</w:t>
      </w:r>
      <w:r w:rsidR="00062F88">
        <w:t xml:space="preserve"> that enables the </w:t>
      </w:r>
      <w:r w:rsidR="005851AC">
        <w:t>G</w:t>
      </w:r>
      <w:r w:rsidR="00062F88">
        <w:t>overnment to consider the best way to achieve</w:t>
      </w:r>
      <w:r w:rsidR="00062F88" w:rsidDel="00670FD2">
        <w:t xml:space="preserve"> </w:t>
      </w:r>
      <w:r w:rsidR="00062F88">
        <w:t>outcomes</w:t>
      </w:r>
      <w:r w:rsidR="008C1139">
        <w:t xml:space="preserve">, within the fiscal context and aligned to </w:t>
      </w:r>
      <w:r w:rsidR="008C1139" w:rsidRPr="0044231A">
        <w:t>government</w:t>
      </w:r>
      <w:r w:rsidR="008C1139">
        <w:t xml:space="preserve"> priorities. It </w:t>
      </w:r>
      <w:r w:rsidR="007354DD">
        <w:t>goes beyond</w:t>
      </w:r>
      <w:r w:rsidR="00707DA5">
        <w:t xml:space="preserve"> providing incremental budget adjustments to embed and drive</w:t>
      </w:r>
      <w:r w:rsidR="00C247A6">
        <w:t xml:space="preserve"> </w:t>
      </w:r>
      <w:r w:rsidR="007354DD">
        <w:t>accountability for outcomes</w:t>
      </w:r>
      <w:r w:rsidR="00C247A6">
        <w:t xml:space="preserve">. </w:t>
      </w:r>
      <w:r w:rsidR="00EB66A2">
        <w:t xml:space="preserve">It also encourages innovation </w:t>
      </w:r>
      <w:r w:rsidR="00D4080F">
        <w:t xml:space="preserve">and collaboration </w:t>
      </w:r>
      <w:r w:rsidR="00EB66A2">
        <w:t>across agencies, where services can work together to achieve an overarching goal.</w:t>
      </w:r>
    </w:p>
    <w:p w14:paraId="4141F44A" w14:textId="688D62F3" w:rsidR="00040C2B" w:rsidRDefault="00E4535B" w:rsidP="003B5132">
      <w:pPr>
        <w:pStyle w:val="BodyText"/>
      </w:pPr>
      <w:r>
        <w:t xml:space="preserve">See Budget Paper No. </w:t>
      </w:r>
      <w:r w:rsidR="000E16C9" w:rsidDel="00E4535B">
        <w:t xml:space="preserve">2 </w:t>
      </w:r>
      <w:r w:rsidR="000E16C9">
        <w:rPr>
          <w:i/>
        </w:rPr>
        <w:t>Outcomes Statement</w:t>
      </w:r>
      <w:r>
        <w:t xml:space="preserve"> for analysis on</w:t>
      </w:r>
      <w:r w:rsidR="00AD1914" w:rsidDel="00E4535B">
        <w:t xml:space="preserve"> </w:t>
      </w:r>
      <w:r w:rsidR="00AD1914">
        <w:t xml:space="preserve">the </w:t>
      </w:r>
      <w:r w:rsidR="00451F64">
        <w:t>3</w:t>
      </w:r>
      <w:r w:rsidR="00A75D7E">
        <w:t>9</w:t>
      </w:r>
      <w:r w:rsidR="00FD1348">
        <w:t xml:space="preserve"> State Outcomes</w:t>
      </w:r>
      <w:r w:rsidR="00EF3A34">
        <w:t xml:space="preserve"> and for</w:t>
      </w:r>
      <w:r w:rsidR="00885602" w:rsidDel="00E4535B">
        <w:t xml:space="preserve"> </w:t>
      </w:r>
      <w:r w:rsidR="009F22BB">
        <w:t xml:space="preserve">significant new </w:t>
      </w:r>
      <w:r w:rsidR="00113841">
        <w:t xml:space="preserve">policy </w:t>
      </w:r>
      <w:r w:rsidR="009F22BB">
        <w:t xml:space="preserve">initiatives </w:t>
      </w:r>
      <w:r w:rsidR="00113841">
        <w:t xml:space="preserve">in each </w:t>
      </w:r>
      <w:r w:rsidR="005A5532">
        <w:t>Cluster</w:t>
      </w:r>
      <w:r w:rsidR="00113841">
        <w:t>.</w:t>
      </w:r>
      <w:r w:rsidR="009F22BB">
        <w:t xml:space="preserve"> </w:t>
      </w:r>
      <w:r w:rsidR="00113841">
        <w:t xml:space="preserve"> </w:t>
      </w:r>
    </w:p>
    <w:p w14:paraId="336BD92C" w14:textId="4F4ED003" w:rsidR="008D3E50" w:rsidRPr="004C48D5" w:rsidDel="002B7EAB" w:rsidRDefault="0088160D" w:rsidP="00BD629A">
      <w:pPr>
        <w:pStyle w:val="Heading3"/>
      </w:pPr>
      <w:r>
        <w:t xml:space="preserve">In New South Wales, </w:t>
      </w:r>
      <w:r w:rsidR="002817F5">
        <w:t xml:space="preserve">there are </w:t>
      </w:r>
      <w:r w:rsidR="00A31181">
        <w:t>10</w:t>
      </w:r>
      <w:r w:rsidR="002817F5">
        <w:t xml:space="preserve"> policy C</w:t>
      </w:r>
      <w:r>
        <w:t>luster</w:t>
      </w:r>
      <w:r w:rsidR="002817F5">
        <w:t>s</w:t>
      </w:r>
    </w:p>
    <w:p w14:paraId="477B6BE6" w14:textId="7EFB3162" w:rsidR="005F0E86" w:rsidRDefault="002D057E" w:rsidP="003B5132">
      <w:pPr>
        <w:pStyle w:val="BodyText"/>
      </w:pPr>
      <w:r w:rsidRPr="00385DEC">
        <w:t xml:space="preserve">The </w:t>
      </w:r>
      <w:r w:rsidR="008D3E50" w:rsidRPr="00385DEC">
        <w:t>general government sector is made up o</w:t>
      </w:r>
      <w:r w:rsidR="004C48D5" w:rsidRPr="00385DEC">
        <w:t xml:space="preserve">f </w:t>
      </w:r>
      <w:r w:rsidR="00634DCD">
        <w:t>around</w:t>
      </w:r>
      <w:r w:rsidR="008D22BE">
        <w:t xml:space="preserve"> </w:t>
      </w:r>
      <w:r w:rsidR="00AB0976" w:rsidRPr="008460D4">
        <w:t>9</w:t>
      </w:r>
      <w:r w:rsidR="00D23483" w:rsidRPr="00786EEC">
        <w:t>6</w:t>
      </w:r>
      <w:r w:rsidR="00AB0976" w:rsidRPr="008460D4">
        <w:t xml:space="preserve"> </w:t>
      </w:r>
      <w:r w:rsidR="00186014" w:rsidRPr="008460D4">
        <w:t>material</w:t>
      </w:r>
      <w:r w:rsidR="004B2432" w:rsidRPr="008460D4">
        <w:t>-sized</w:t>
      </w:r>
      <w:r w:rsidRPr="008460D4">
        <w:t xml:space="preserve"> agencies</w:t>
      </w:r>
      <w:r w:rsidR="00E64CF9">
        <w:rPr>
          <w:rStyle w:val="FootnoteReference"/>
        </w:rPr>
        <w:footnoteReference w:id="3"/>
      </w:r>
      <w:r w:rsidR="00197F38">
        <w:t>.</w:t>
      </w:r>
      <w:r w:rsidR="00E64CF9">
        <w:t xml:space="preserve"> </w:t>
      </w:r>
      <w:r w:rsidR="004B2432">
        <w:t>All agencies</w:t>
      </w:r>
      <w:r w:rsidR="008D3E50" w:rsidRPr="00385DEC">
        <w:t xml:space="preserve"> are grouped </w:t>
      </w:r>
      <w:r w:rsidR="00593B36">
        <w:t xml:space="preserve">by policy area </w:t>
      </w:r>
      <w:r w:rsidR="00C42BF8">
        <w:t xml:space="preserve">and fall </w:t>
      </w:r>
      <w:r w:rsidR="00593B36">
        <w:t xml:space="preserve">into </w:t>
      </w:r>
      <w:r w:rsidR="00C42BF8">
        <w:t xml:space="preserve">one of </w:t>
      </w:r>
      <w:r w:rsidR="009B3462">
        <w:t>10</w:t>
      </w:r>
      <w:r w:rsidR="00312643" w:rsidRPr="00385DEC">
        <w:t xml:space="preserve"> </w:t>
      </w:r>
      <w:r w:rsidR="00031016">
        <w:t>C</w:t>
      </w:r>
      <w:r w:rsidR="008D3E50" w:rsidRPr="00385DEC">
        <w:t xml:space="preserve">lusters. </w:t>
      </w:r>
      <w:r w:rsidR="00C42BF8">
        <w:t xml:space="preserve">This </w:t>
      </w:r>
      <w:r w:rsidR="008D3E50" w:rsidRPr="00385DEC">
        <w:t xml:space="preserve">Cluster governance framework encourages similar and complementary </w:t>
      </w:r>
      <w:r w:rsidR="00E32B8D">
        <w:t>g</w:t>
      </w:r>
      <w:r w:rsidR="008D3E50" w:rsidRPr="00385DEC">
        <w:t xml:space="preserve">overnment services to be coordinated </w:t>
      </w:r>
      <w:r w:rsidR="000576A8">
        <w:t>effectively and efficiently.</w:t>
      </w:r>
      <w:r w:rsidR="002817F5">
        <w:t xml:space="preserve"> </w:t>
      </w:r>
      <w:r w:rsidR="005F0E86">
        <w:t xml:space="preserve">The </w:t>
      </w:r>
      <w:r w:rsidR="000D2A5E">
        <w:t>10</w:t>
      </w:r>
      <w:r w:rsidR="005F0E86">
        <w:t xml:space="preserve"> </w:t>
      </w:r>
      <w:r w:rsidR="004B6D23">
        <w:t>C</w:t>
      </w:r>
      <w:r w:rsidR="005F0E86">
        <w:t>lusters</w:t>
      </w:r>
      <w:r w:rsidR="009A17B7">
        <w:t xml:space="preserve"> </w:t>
      </w:r>
      <w:r w:rsidR="00C37952">
        <w:t>within the framework are:</w:t>
      </w:r>
    </w:p>
    <w:p w14:paraId="73CE9EAD" w14:textId="37B55420" w:rsidR="00701D1A" w:rsidRDefault="00701D1A" w:rsidP="003B5132">
      <w:pPr>
        <w:pStyle w:val="Bullet1"/>
      </w:pPr>
      <w:r>
        <w:t>Customer Service</w:t>
      </w:r>
    </w:p>
    <w:p w14:paraId="53F12869" w14:textId="37B55420" w:rsidR="00701D1A" w:rsidRDefault="00701D1A" w:rsidP="003B5132">
      <w:pPr>
        <w:pStyle w:val="Bullet1"/>
      </w:pPr>
      <w:r>
        <w:t>Education</w:t>
      </w:r>
    </w:p>
    <w:p w14:paraId="3439D224" w14:textId="37B55420" w:rsidR="00701D1A" w:rsidRDefault="00701D1A" w:rsidP="003B5132">
      <w:pPr>
        <w:pStyle w:val="Bullet1"/>
      </w:pPr>
      <w:r>
        <w:t>Enterprise, Investment and Trade</w:t>
      </w:r>
    </w:p>
    <w:p w14:paraId="2CEC3FBA" w14:textId="37B55420" w:rsidR="00701D1A" w:rsidRDefault="00701D1A" w:rsidP="003B5132">
      <w:pPr>
        <w:pStyle w:val="Bullet1"/>
      </w:pPr>
      <w:r>
        <w:t>Health</w:t>
      </w:r>
    </w:p>
    <w:p w14:paraId="260F75D5" w14:textId="37B55420" w:rsidR="00701D1A" w:rsidRDefault="00701D1A" w:rsidP="003B5132">
      <w:pPr>
        <w:pStyle w:val="Bullet1"/>
      </w:pPr>
      <w:r>
        <w:t>Planning and Environment</w:t>
      </w:r>
    </w:p>
    <w:p w14:paraId="1C1DD4AD" w14:textId="74BE1892" w:rsidR="00E3636D" w:rsidRDefault="00E936C9" w:rsidP="003B5132">
      <w:pPr>
        <w:pStyle w:val="Bullet1"/>
      </w:pPr>
      <w:r>
        <w:t>Premier and Cabinet</w:t>
      </w:r>
    </w:p>
    <w:p w14:paraId="244102AC" w14:textId="74BE1892" w:rsidR="00E3636D" w:rsidRDefault="00E936C9" w:rsidP="003B5132">
      <w:pPr>
        <w:pStyle w:val="Bullet1"/>
      </w:pPr>
      <w:r>
        <w:t>Regional NSW</w:t>
      </w:r>
    </w:p>
    <w:p w14:paraId="65531852" w14:textId="37B55420" w:rsidR="00FF33BE" w:rsidRDefault="00FF33BE" w:rsidP="003B5132">
      <w:pPr>
        <w:pStyle w:val="Bullet1"/>
      </w:pPr>
      <w:r>
        <w:t>Stronger Communities</w:t>
      </w:r>
    </w:p>
    <w:p w14:paraId="21F013A5" w14:textId="37B55420" w:rsidR="00FF33BE" w:rsidRDefault="00FF33BE" w:rsidP="003B5132">
      <w:pPr>
        <w:pStyle w:val="Bullet1"/>
      </w:pPr>
      <w:r>
        <w:t>Transport and Infrastructure</w:t>
      </w:r>
    </w:p>
    <w:p w14:paraId="5A365000" w14:textId="74BE1892" w:rsidR="00A2407F" w:rsidRDefault="00E872C2" w:rsidP="003B5132">
      <w:pPr>
        <w:pStyle w:val="Bullet1"/>
      </w:pPr>
      <w:r>
        <w:t>Treasury</w:t>
      </w:r>
      <w:r w:rsidR="00FF33BE">
        <w:t>.</w:t>
      </w:r>
    </w:p>
    <w:p w14:paraId="64A5EBB2" w14:textId="387686F8" w:rsidR="00DF58E3" w:rsidRDefault="00DF58E3" w:rsidP="003B5132">
      <w:pPr>
        <w:pStyle w:val="BodyText"/>
      </w:pPr>
      <w:r w:rsidRPr="00385DEC">
        <w:t>Further information about Clusters and their associated agencies, financial statements</w:t>
      </w:r>
      <w:r>
        <w:t>, capital investment plans and performance information</w:t>
      </w:r>
      <w:r w:rsidRPr="00385DEC">
        <w:t xml:space="preserve"> </w:t>
      </w:r>
      <w:r w:rsidR="002817F5">
        <w:t>can be found</w:t>
      </w:r>
      <w:r w:rsidRPr="00385DEC">
        <w:t xml:space="preserve"> in Budget Paper No. </w:t>
      </w:r>
      <w:r>
        <w:t>2</w:t>
      </w:r>
      <w:r w:rsidR="00014F4A">
        <w:t xml:space="preserve"> </w:t>
      </w:r>
      <w:r w:rsidR="00014F4A" w:rsidRPr="001D1886">
        <w:rPr>
          <w:i/>
        </w:rPr>
        <w:t>Outcomes Statement</w:t>
      </w:r>
      <w:r>
        <w:t xml:space="preserve">, </w:t>
      </w:r>
      <w:r w:rsidR="00EE689F">
        <w:t xml:space="preserve">Budget Paper No. 3 </w:t>
      </w:r>
      <w:r w:rsidR="00EE689F" w:rsidRPr="001D1886">
        <w:rPr>
          <w:i/>
        </w:rPr>
        <w:t>Infrastructure Statement</w:t>
      </w:r>
      <w:r w:rsidR="00EE689F">
        <w:t xml:space="preserve"> and Budget Paper No.</w:t>
      </w:r>
      <w:r>
        <w:t xml:space="preserve"> </w:t>
      </w:r>
      <w:r w:rsidR="00B52554">
        <w:t>4</w:t>
      </w:r>
      <w:r>
        <w:t xml:space="preserve"> </w:t>
      </w:r>
      <w:r w:rsidR="00CD6574" w:rsidRPr="001D1886">
        <w:rPr>
          <w:i/>
        </w:rPr>
        <w:t>Agency Financial Statements</w:t>
      </w:r>
      <w:r w:rsidRPr="00385DEC">
        <w:t>.</w:t>
      </w:r>
      <w:r w:rsidR="005D719B">
        <w:t xml:space="preserve"> </w:t>
      </w:r>
      <w:r w:rsidR="001F11CB">
        <w:t>Budget</w:t>
      </w:r>
      <w:r w:rsidR="00927F92">
        <w:t> </w:t>
      </w:r>
      <w:r w:rsidR="001F11CB">
        <w:t xml:space="preserve">Paper No. 5 </w:t>
      </w:r>
      <w:r w:rsidR="005D719B" w:rsidRPr="009D44DE">
        <w:rPr>
          <w:i/>
        </w:rPr>
        <w:t>Appropriation Bill</w:t>
      </w:r>
      <w:r w:rsidR="008E34D4">
        <w:rPr>
          <w:i/>
        </w:rPr>
        <w:t>s</w:t>
      </w:r>
      <w:r w:rsidR="007E70A3">
        <w:t xml:space="preserve"> outlin</w:t>
      </w:r>
      <w:r w:rsidR="006B5E2B">
        <w:t>e</w:t>
      </w:r>
      <w:r w:rsidR="007E70A3">
        <w:t>s the amount</w:t>
      </w:r>
      <w:r w:rsidR="00F96BE1">
        <w:t xml:space="preserve"> of</w:t>
      </w:r>
      <w:r w:rsidR="00E02092">
        <w:t xml:space="preserve"> </w:t>
      </w:r>
      <w:r w:rsidR="005D719B">
        <w:t xml:space="preserve">Consolidated Fund </w:t>
      </w:r>
      <w:r w:rsidR="006B5E2B">
        <w:t>required by</w:t>
      </w:r>
      <w:r w:rsidR="005D719B">
        <w:t xml:space="preserve"> each Cluster </w:t>
      </w:r>
      <w:r w:rsidR="00CE41A9">
        <w:t xml:space="preserve">for service delivery and </w:t>
      </w:r>
      <w:r w:rsidR="00396F64">
        <w:t>infrastructure projects.</w:t>
      </w:r>
      <w:r w:rsidR="00E50D84">
        <w:t xml:space="preserve"> </w:t>
      </w:r>
    </w:p>
    <w:p w14:paraId="72F7B8F2" w14:textId="1B6FD83E" w:rsidR="008D3E50" w:rsidRPr="004C48D5" w:rsidRDefault="0088160D" w:rsidP="00BD629A">
      <w:pPr>
        <w:pStyle w:val="Heading3"/>
      </w:pPr>
      <w:r>
        <w:lastRenderedPageBreak/>
        <w:t xml:space="preserve">How to </w:t>
      </w:r>
      <w:r w:rsidR="002D69B6">
        <w:t xml:space="preserve">interpret </w:t>
      </w:r>
      <w:r w:rsidR="00D24403">
        <w:t>aggregated</w:t>
      </w:r>
      <w:r w:rsidR="002D69B6">
        <w:t xml:space="preserve"> </w:t>
      </w:r>
      <w:r w:rsidR="008D3E50" w:rsidRPr="004C48D5">
        <w:t>data</w:t>
      </w:r>
    </w:p>
    <w:p w14:paraId="247F05CA" w14:textId="38E7AE34" w:rsidR="009C3CB4" w:rsidRPr="00385DEC" w:rsidRDefault="008D3E50" w:rsidP="003B5132">
      <w:pPr>
        <w:pStyle w:val="BodyText"/>
      </w:pPr>
      <w:r w:rsidRPr="00385DEC">
        <w:t xml:space="preserve">Like large private sector </w:t>
      </w:r>
      <w:r w:rsidR="00807CA8">
        <w:t>businesses</w:t>
      </w:r>
      <w:r w:rsidRPr="00385DEC">
        <w:t xml:space="preserve">, entities within the NSW Government </w:t>
      </w:r>
      <w:r w:rsidR="002D057E" w:rsidRPr="00385DEC">
        <w:t xml:space="preserve">transact with each other throughout the year. For example, </w:t>
      </w:r>
      <w:r w:rsidRPr="00385DEC">
        <w:t xml:space="preserve">many agencies </w:t>
      </w:r>
      <w:r w:rsidR="001E5572">
        <w:t>use</w:t>
      </w:r>
      <w:r w:rsidRPr="00385DEC">
        <w:t xml:space="preserve"> Property</w:t>
      </w:r>
      <w:r w:rsidR="00DF2622">
        <w:t> </w:t>
      </w:r>
      <w:r w:rsidRPr="00385DEC">
        <w:t>NSW</w:t>
      </w:r>
      <w:r w:rsidR="009C3CB4" w:rsidRPr="00385DEC">
        <w:t xml:space="preserve"> </w:t>
      </w:r>
      <w:r w:rsidR="00DD2CE4">
        <w:t xml:space="preserve">for property </w:t>
      </w:r>
      <w:r w:rsidR="00C7620B">
        <w:t>transactions</w:t>
      </w:r>
      <w:r w:rsidR="00C56908">
        <w:t xml:space="preserve"> and the NSW Audit Office for auditing services.</w:t>
      </w:r>
    </w:p>
    <w:p w14:paraId="380DE32F" w14:textId="79F51A20" w:rsidR="008D3E50" w:rsidRPr="00385DEC" w:rsidRDefault="009C3CB4" w:rsidP="003B5132">
      <w:pPr>
        <w:pStyle w:val="BodyText"/>
      </w:pPr>
      <w:r w:rsidRPr="00385DEC">
        <w:t>The</w:t>
      </w:r>
      <w:r w:rsidR="002D057E" w:rsidRPr="00385DEC">
        <w:t xml:space="preserve"> </w:t>
      </w:r>
      <w:r w:rsidR="008D3E50" w:rsidRPr="00385DEC">
        <w:t>a</w:t>
      </w:r>
      <w:r w:rsidR="00155B90" w:rsidRPr="00385DEC">
        <w:t xml:space="preserve">ggregated financial data </w:t>
      </w:r>
      <w:r w:rsidRPr="00385DEC">
        <w:t xml:space="preserve">presented in Budget Paper </w:t>
      </w:r>
      <w:r w:rsidR="00223F6F">
        <w:t xml:space="preserve">No. </w:t>
      </w:r>
      <w:r w:rsidR="0086354B">
        <w:t>1</w:t>
      </w:r>
      <w:r w:rsidR="0086354B" w:rsidRPr="00385DEC">
        <w:t xml:space="preserve"> </w:t>
      </w:r>
      <w:r w:rsidR="00223F6F" w:rsidRPr="001D1886">
        <w:rPr>
          <w:i/>
        </w:rPr>
        <w:t>Budget Statement</w:t>
      </w:r>
      <w:r w:rsidR="00223F6F">
        <w:t xml:space="preserve"> </w:t>
      </w:r>
      <w:r w:rsidR="00155B90" w:rsidRPr="00385DEC">
        <w:t>is presented on a</w:t>
      </w:r>
      <w:r w:rsidR="009A023C">
        <w:t xml:space="preserve"> </w:t>
      </w:r>
      <w:r w:rsidR="00AA4FBB">
        <w:t>‘</w:t>
      </w:r>
      <w:r w:rsidR="009A023C">
        <w:t xml:space="preserve">sector </w:t>
      </w:r>
      <w:r w:rsidR="00155B90" w:rsidRPr="00385DEC">
        <w:t>eliminated basis</w:t>
      </w:r>
      <w:r w:rsidR="00AA4FBB">
        <w:t>’</w:t>
      </w:r>
      <w:r w:rsidRPr="00385DEC">
        <w:t>. This means</w:t>
      </w:r>
      <w:r w:rsidRPr="00385DEC" w:rsidDel="00C274D8">
        <w:t xml:space="preserve"> </w:t>
      </w:r>
      <w:r w:rsidR="00C274D8">
        <w:t xml:space="preserve">whole-of-government </w:t>
      </w:r>
      <w:r w:rsidRPr="00385DEC">
        <w:t>expenditure and revenue remove</w:t>
      </w:r>
      <w:r w:rsidR="00C274D8">
        <w:t>s</w:t>
      </w:r>
      <w:r w:rsidRPr="00385DEC">
        <w:t xml:space="preserve"> (</w:t>
      </w:r>
      <w:r w:rsidR="0008237B">
        <w:t xml:space="preserve">or </w:t>
      </w:r>
      <w:r w:rsidRPr="00385DEC">
        <w:t>eliminate</w:t>
      </w:r>
      <w:r w:rsidR="005A1D5E">
        <w:t>s</w:t>
      </w:r>
      <w:r w:rsidRPr="00385DEC">
        <w:t xml:space="preserve">) </w:t>
      </w:r>
      <w:r w:rsidR="00155B90" w:rsidRPr="00385DEC">
        <w:t>intra</w:t>
      </w:r>
      <w:r w:rsidRPr="00385DEC">
        <w:t>-</w:t>
      </w:r>
      <w:r w:rsidR="00155B90" w:rsidRPr="00385DEC">
        <w:t>government transactions</w:t>
      </w:r>
      <w:r w:rsidRPr="00385DEC">
        <w:t xml:space="preserve">. This </w:t>
      </w:r>
      <w:r w:rsidR="00F30EF9">
        <w:t>approach</w:t>
      </w:r>
      <w:r w:rsidRPr="00385DEC">
        <w:t xml:space="preserve"> ensures there is no double counting and it provides an accurate picture of the size of the </w:t>
      </w:r>
      <w:r w:rsidR="00E32B8D">
        <w:t>g</w:t>
      </w:r>
      <w:r w:rsidRPr="00385DEC">
        <w:t>overnment as a single entity</w:t>
      </w:r>
      <w:r w:rsidR="00155B90" w:rsidRPr="00385DEC">
        <w:t>.</w:t>
      </w:r>
      <w:r w:rsidR="002817F5">
        <w:t xml:space="preserve"> The benefit is citizens can see the total expenditure of the </w:t>
      </w:r>
      <w:r w:rsidR="001B7DC6">
        <w:t>g</w:t>
      </w:r>
      <w:r w:rsidR="002817F5" w:rsidRPr="00BB5BC3">
        <w:t>overnment</w:t>
      </w:r>
      <w:r w:rsidR="002817F5">
        <w:t xml:space="preserve"> as a </w:t>
      </w:r>
      <w:r w:rsidR="006A327A">
        <w:t xml:space="preserve">sector and whole </w:t>
      </w:r>
      <w:r w:rsidR="002817F5">
        <w:t xml:space="preserve">unit, </w:t>
      </w:r>
      <w:r w:rsidR="00D3670F">
        <w:t xml:space="preserve">alongside </w:t>
      </w:r>
      <w:r w:rsidR="002817F5">
        <w:t xml:space="preserve">the </w:t>
      </w:r>
      <w:r w:rsidR="00D3670F">
        <w:t xml:space="preserve">total revenue </w:t>
      </w:r>
      <w:r w:rsidR="00586D50">
        <w:t>of</w:t>
      </w:r>
      <w:r w:rsidR="00D3670F">
        <w:t xml:space="preserve"> the </w:t>
      </w:r>
      <w:r w:rsidR="001B7DC6">
        <w:t>g</w:t>
      </w:r>
      <w:r w:rsidR="00D3670F" w:rsidRPr="00696D0B">
        <w:t>overnment</w:t>
      </w:r>
      <w:r w:rsidR="00D3670F">
        <w:t>.</w:t>
      </w:r>
      <w:r w:rsidR="002817F5">
        <w:t xml:space="preserve"> </w:t>
      </w:r>
    </w:p>
    <w:p w14:paraId="06CB45A8" w14:textId="78346770" w:rsidR="009C3CB4" w:rsidRPr="00385DEC" w:rsidRDefault="00586D50" w:rsidP="003B5132">
      <w:pPr>
        <w:pStyle w:val="BodyText"/>
      </w:pPr>
      <w:r>
        <w:t xml:space="preserve">In </w:t>
      </w:r>
      <w:r w:rsidR="009C3CB4" w:rsidRPr="00385DEC">
        <w:t xml:space="preserve">Budget Paper </w:t>
      </w:r>
      <w:r w:rsidR="00442AD6">
        <w:t xml:space="preserve">No. </w:t>
      </w:r>
      <w:r w:rsidR="0086354B">
        <w:t>2</w:t>
      </w:r>
      <w:r w:rsidR="0086354B" w:rsidRPr="00385DEC">
        <w:t xml:space="preserve"> </w:t>
      </w:r>
      <w:r w:rsidR="00442AD6" w:rsidRPr="001D1886">
        <w:rPr>
          <w:i/>
        </w:rPr>
        <w:t>Outcomes Statement</w:t>
      </w:r>
      <w:r w:rsidR="00442AD6">
        <w:t xml:space="preserve"> </w:t>
      </w:r>
      <w:r w:rsidR="009C3CB4" w:rsidRPr="00385DEC">
        <w:t xml:space="preserve">and Budget Paper </w:t>
      </w:r>
      <w:r w:rsidR="00442AD6">
        <w:t xml:space="preserve">No. </w:t>
      </w:r>
      <w:r w:rsidR="0086354B">
        <w:t>4</w:t>
      </w:r>
      <w:r w:rsidR="00442AD6">
        <w:t xml:space="preserve"> </w:t>
      </w:r>
      <w:r w:rsidR="00980D60" w:rsidRPr="001D1886">
        <w:rPr>
          <w:i/>
        </w:rPr>
        <w:t>Agency Financial Statements</w:t>
      </w:r>
      <w:r w:rsidR="009C3CB4" w:rsidRPr="00385DEC">
        <w:t xml:space="preserve">, </w:t>
      </w:r>
      <w:r w:rsidR="00D55185" w:rsidRPr="00385DEC">
        <w:t xml:space="preserve">recurrent expenses and capital expenditure are aggregated </w:t>
      </w:r>
      <w:r>
        <w:t xml:space="preserve">but they are </w:t>
      </w:r>
      <w:r w:rsidR="009C3CB4" w:rsidRPr="00385DEC">
        <w:t xml:space="preserve">eliminated </w:t>
      </w:r>
      <w:r w:rsidR="00D55185" w:rsidRPr="00385DEC">
        <w:t xml:space="preserve">at the Cluster level only. </w:t>
      </w:r>
      <w:r w:rsidR="00D3670F">
        <w:t>That means t</w:t>
      </w:r>
      <w:r w:rsidR="008D3E50" w:rsidRPr="00385DEC">
        <w:t xml:space="preserve">ransactions between entities </w:t>
      </w:r>
      <w:r w:rsidR="009A023C">
        <w:t>with</w:t>
      </w:r>
      <w:r w:rsidR="008D3E50" w:rsidRPr="00385DEC">
        <w:t xml:space="preserve">in that </w:t>
      </w:r>
      <w:r w:rsidR="00BC0429" w:rsidRPr="00385DEC">
        <w:t>C</w:t>
      </w:r>
      <w:r w:rsidR="008D3E50" w:rsidRPr="00385DEC">
        <w:t xml:space="preserve">luster </w:t>
      </w:r>
      <w:r w:rsidR="00B854AE">
        <w:t xml:space="preserve">have been </w:t>
      </w:r>
      <w:r w:rsidR="00D55185" w:rsidRPr="00385DEC">
        <w:t xml:space="preserve">eliminated </w:t>
      </w:r>
      <w:r w:rsidR="008D3E50" w:rsidRPr="00385DEC">
        <w:t xml:space="preserve">and not double counted </w:t>
      </w:r>
      <w:r w:rsidR="009C3CB4" w:rsidRPr="00385DEC">
        <w:t xml:space="preserve">as part of </w:t>
      </w:r>
      <w:r w:rsidR="008D3E50" w:rsidRPr="00385DEC">
        <w:t xml:space="preserve">the Cluster’s aggregates. </w:t>
      </w:r>
      <w:r w:rsidR="00823CCC">
        <w:t>However, c</w:t>
      </w:r>
      <w:r w:rsidR="008D3E50" w:rsidRPr="00385DEC">
        <w:t xml:space="preserve">aution should be exercised in </w:t>
      </w:r>
      <w:r w:rsidR="00823CCC">
        <w:t xml:space="preserve">attempting to </w:t>
      </w:r>
      <w:r w:rsidR="008D3E50" w:rsidRPr="00385DEC">
        <w:t xml:space="preserve">add up all the Cluster budgets </w:t>
      </w:r>
      <w:r w:rsidR="00BC0429" w:rsidRPr="00385DEC">
        <w:t xml:space="preserve">to </w:t>
      </w:r>
      <w:r w:rsidR="009C3CB4" w:rsidRPr="00385DEC">
        <w:t xml:space="preserve">try and calculate </w:t>
      </w:r>
      <w:r w:rsidR="008D3E50" w:rsidRPr="00385DEC">
        <w:t xml:space="preserve">whole-of-government spend. </w:t>
      </w:r>
      <w:r w:rsidR="00823CCC">
        <w:t xml:space="preserve">It will give an incorrect figure that </w:t>
      </w:r>
      <w:r w:rsidR="008D1AFC">
        <w:t xml:space="preserve">does not net out trading </w:t>
      </w:r>
      <w:r w:rsidR="00B854AE">
        <w:t>across Clusters</w:t>
      </w:r>
      <w:r w:rsidR="008D1AFC">
        <w:t xml:space="preserve">. As a general rule, </w:t>
      </w:r>
      <w:r w:rsidR="00B854AE">
        <w:t xml:space="preserve">readers should use </w:t>
      </w:r>
      <w:r w:rsidR="00756FAB">
        <w:t>Budget</w:t>
      </w:r>
      <w:r w:rsidR="00F041A6">
        <w:t> </w:t>
      </w:r>
      <w:r w:rsidR="00756FAB">
        <w:t>Paper No. 1</w:t>
      </w:r>
      <w:r w:rsidR="00E64836">
        <w:t xml:space="preserve"> </w:t>
      </w:r>
      <w:r w:rsidR="00013120" w:rsidRPr="001D1886">
        <w:rPr>
          <w:i/>
        </w:rPr>
        <w:t xml:space="preserve">Budget </w:t>
      </w:r>
      <w:r w:rsidR="00E64836" w:rsidRPr="001D1886">
        <w:rPr>
          <w:i/>
        </w:rPr>
        <w:t>Statement</w:t>
      </w:r>
      <w:r w:rsidR="00E64836">
        <w:t xml:space="preserve"> </w:t>
      </w:r>
      <w:r w:rsidR="00B854AE">
        <w:t xml:space="preserve">to understand </w:t>
      </w:r>
      <w:r w:rsidR="008D1AFC">
        <w:t>whole</w:t>
      </w:r>
      <w:r w:rsidR="006E1A8B">
        <w:noBreakHyphen/>
      </w:r>
      <w:r w:rsidR="008D1AFC">
        <w:t>of</w:t>
      </w:r>
      <w:r w:rsidR="006E1A8B">
        <w:noBreakHyphen/>
      </w:r>
      <w:r w:rsidR="008D1AFC">
        <w:t>government aggregates</w:t>
      </w:r>
      <w:r w:rsidR="00013120" w:rsidRPr="00385DEC">
        <w:t xml:space="preserve">.  </w:t>
      </w:r>
    </w:p>
    <w:p w14:paraId="1F465422" w14:textId="77777777" w:rsidR="00130EBC" w:rsidRPr="00130EBC" w:rsidRDefault="009C3CB4" w:rsidP="009D44DE">
      <w:pPr>
        <w:pStyle w:val="Heading3"/>
      </w:pPr>
      <w:bookmarkStart w:id="16" w:name="_Hlk106196456"/>
      <w:r>
        <w:t>Reflecting the latest changes in Accounting Standards</w:t>
      </w:r>
    </w:p>
    <w:p w14:paraId="1692832B" w14:textId="058F6893" w:rsidR="00594E78" w:rsidRPr="00093FA1" w:rsidRDefault="00F07BF5" w:rsidP="003B5132">
      <w:pPr>
        <w:pStyle w:val="BodyText"/>
      </w:pPr>
      <w:r w:rsidRPr="00F07BF5">
        <w:t>There have been no new or revised accounting standards which materially impact the budget estimates</w:t>
      </w:r>
      <w:r w:rsidR="004F3476">
        <w:t xml:space="preserve"> in 2022-2</w:t>
      </w:r>
      <w:r w:rsidR="00E3750F">
        <w:t>3</w:t>
      </w:r>
      <w:r w:rsidR="004F3476">
        <w:t>.</w:t>
      </w:r>
    </w:p>
    <w:bookmarkEnd w:id="16"/>
    <w:p w14:paraId="09E032F1" w14:textId="255AA5C0" w:rsidR="00D55185" w:rsidRDefault="00871C92" w:rsidP="003B5132">
      <w:pPr>
        <w:pStyle w:val="BodyText"/>
      </w:pPr>
      <w:r>
        <w:t>For</w:t>
      </w:r>
      <w:r w:rsidR="00100DB4">
        <w:t xml:space="preserve"> f</w:t>
      </w:r>
      <w:r w:rsidR="00D55185" w:rsidRPr="00385DEC">
        <w:t xml:space="preserve">urther information on </w:t>
      </w:r>
      <w:r w:rsidR="00684CC0">
        <w:t xml:space="preserve">the impact of </w:t>
      </w:r>
      <w:r w:rsidR="00D55185" w:rsidRPr="00385DEC">
        <w:t xml:space="preserve">changes to accounting standards </w:t>
      </w:r>
      <w:r w:rsidR="00684CC0">
        <w:t xml:space="preserve">on the Estimated Financial Statements for the </w:t>
      </w:r>
      <w:r w:rsidR="00401D73">
        <w:t>general government sector</w:t>
      </w:r>
      <w:r w:rsidR="00100DB4">
        <w:t>, see</w:t>
      </w:r>
      <w:r w:rsidR="00F571E3" w:rsidRPr="00385DEC">
        <w:t xml:space="preserve"> the Statement of Significant Accounting Policy</w:t>
      </w:r>
      <w:r w:rsidR="00D27B29" w:rsidRPr="00385DEC">
        <w:t xml:space="preserve"> </w:t>
      </w:r>
      <w:r w:rsidR="00C97DB5">
        <w:t>and</w:t>
      </w:r>
      <w:r w:rsidR="00B12876">
        <w:t xml:space="preserve"> Forecast Assumptions</w:t>
      </w:r>
      <w:r w:rsidR="00D27B29" w:rsidRPr="00385DEC">
        <w:t xml:space="preserve"> section </w:t>
      </w:r>
      <w:r>
        <w:t xml:space="preserve">later </w:t>
      </w:r>
      <w:r w:rsidR="00100DB4">
        <w:t xml:space="preserve">on in </w:t>
      </w:r>
      <w:r w:rsidR="00D27B29" w:rsidRPr="00385DEC">
        <w:t>this document</w:t>
      </w:r>
      <w:r w:rsidR="00F571E3" w:rsidRPr="00385DEC">
        <w:t>.</w:t>
      </w:r>
    </w:p>
    <w:p w14:paraId="1EAF09E2" w14:textId="4611F4F2" w:rsidR="00A971DD" w:rsidRPr="00255ED6" w:rsidRDefault="00A971DD" w:rsidP="00A971DD">
      <w:pPr>
        <w:pStyle w:val="Heading3"/>
      </w:pPr>
      <w:r w:rsidRPr="00255ED6">
        <w:t xml:space="preserve">Actual </w:t>
      </w:r>
      <w:r w:rsidR="00456E0C" w:rsidRPr="00255ED6">
        <w:t>data in the Budget</w:t>
      </w:r>
      <w:r w:rsidR="00DC1920" w:rsidRPr="00255ED6">
        <w:t xml:space="preserve"> Paper</w:t>
      </w:r>
    </w:p>
    <w:p w14:paraId="4D2BBF73" w14:textId="444E4AA4" w:rsidR="00060A54" w:rsidRPr="00385DEC" w:rsidRDefault="00C47A09" w:rsidP="003B5132">
      <w:pPr>
        <w:pStyle w:val="BodyText"/>
      </w:pPr>
      <w:r w:rsidRPr="00255ED6">
        <w:t>Actual financial information represents financial data for the year ending 30 June 2021.</w:t>
      </w:r>
      <w:r w:rsidR="00123FC0" w:rsidRPr="00255ED6">
        <w:t xml:space="preserve"> This </w:t>
      </w:r>
      <w:r w:rsidR="003D12D1" w:rsidRPr="00255ED6">
        <w:t xml:space="preserve">information </w:t>
      </w:r>
      <w:r w:rsidR="005E487E" w:rsidRPr="00255ED6">
        <w:t xml:space="preserve">is contained in the </w:t>
      </w:r>
      <w:r w:rsidR="00B409C1" w:rsidRPr="00255ED6">
        <w:t>audited</w:t>
      </w:r>
      <w:r w:rsidR="00123FC0" w:rsidRPr="00255ED6">
        <w:t xml:space="preserve"> </w:t>
      </w:r>
      <w:r w:rsidR="00CA072C" w:rsidRPr="00255ED6">
        <w:t xml:space="preserve">Total State Sector Accounts 2020-21 </w:t>
      </w:r>
      <w:r w:rsidR="00357A44" w:rsidRPr="00255ED6">
        <w:t xml:space="preserve">that were tabled in Parliament </w:t>
      </w:r>
      <w:r w:rsidR="00317C43" w:rsidRPr="00255ED6">
        <w:t>on 24 December 2021</w:t>
      </w:r>
      <w:r w:rsidR="00E94B4D" w:rsidRPr="00255ED6">
        <w:t xml:space="preserve">. It has not been restated to reflect any changes that may arise due to the adoption, or repeal, of accounting standards and policies in subsequent reporting periods. This is consistent with section 4.2(3A) of the </w:t>
      </w:r>
      <w:r w:rsidR="00E94B4D" w:rsidRPr="00255ED6">
        <w:rPr>
          <w:i/>
        </w:rPr>
        <w:t>Government Sector Finance Act 2018</w:t>
      </w:r>
      <w:r w:rsidR="00E94B4D" w:rsidRPr="00255ED6">
        <w:t xml:space="preserve"> (GSF Act).</w:t>
      </w:r>
    </w:p>
    <w:p w14:paraId="65B91278" w14:textId="77777777" w:rsidR="008303A3" w:rsidRDefault="008303A3" w:rsidP="007A1A20">
      <w:pPr>
        <w:pStyle w:val="Heading3"/>
      </w:pPr>
      <w:r>
        <w:br w:type="page"/>
      </w:r>
    </w:p>
    <w:p w14:paraId="32EBD147" w14:textId="77C6E8FE" w:rsidR="00483FC3" w:rsidRDefault="002A1DFC" w:rsidP="004F3659">
      <w:pPr>
        <w:pStyle w:val="Heading1"/>
        <w:keepNext w:val="0"/>
        <w:tabs>
          <w:tab w:val="left" w:pos="2127"/>
        </w:tabs>
        <w:spacing w:after="240"/>
      </w:pPr>
      <w:bookmarkStart w:id="17" w:name="_Toc106280667"/>
      <w:r>
        <w:lastRenderedPageBreak/>
        <w:t>explaining key</w:t>
      </w:r>
      <w:r w:rsidR="005D674D">
        <w:t xml:space="preserve"> </w:t>
      </w:r>
      <w:r w:rsidR="00382275">
        <w:t xml:space="preserve">terms and </w:t>
      </w:r>
      <w:r w:rsidR="00D5650D">
        <w:t>phrases</w:t>
      </w:r>
      <w:bookmarkEnd w:id="17"/>
      <w:r w:rsidR="002B32A1">
        <w:t xml:space="preserve"> </w:t>
      </w:r>
    </w:p>
    <w:p w14:paraId="7195E732" w14:textId="13FDF5D8" w:rsidR="005D674D" w:rsidRPr="00385DEC" w:rsidRDefault="00713000" w:rsidP="003B5132">
      <w:pPr>
        <w:pStyle w:val="BodyText"/>
      </w:pPr>
      <w:r>
        <w:t>An u</w:t>
      </w:r>
      <w:r w:rsidR="005D674D" w:rsidRPr="00385DEC">
        <w:t xml:space="preserve">nderstanding </w:t>
      </w:r>
      <w:r w:rsidR="008F0127">
        <w:t xml:space="preserve">of </w:t>
      </w:r>
      <w:r w:rsidR="005D674D" w:rsidRPr="00385DEC">
        <w:t xml:space="preserve">the concepts </w:t>
      </w:r>
      <w:r w:rsidR="00782C55">
        <w:t xml:space="preserve">in this section </w:t>
      </w:r>
      <w:r w:rsidR="005D674D" w:rsidRPr="00385DEC">
        <w:t xml:space="preserve">will help </w:t>
      </w:r>
      <w:r w:rsidR="00EA59D3">
        <w:t>readers</w:t>
      </w:r>
      <w:r w:rsidR="005D674D" w:rsidRPr="00385DEC">
        <w:t xml:space="preserve"> better </w:t>
      </w:r>
      <w:r>
        <w:t xml:space="preserve">interpret </w:t>
      </w:r>
      <w:r w:rsidR="00782C55">
        <w:t xml:space="preserve">the Budget’s analysis of </w:t>
      </w:r>
      <w:r w:rsidR="00F806E2" w:rsidRPr="00385DEC">
        <w:t xml:space="preserve">the economy and </w:t>
      </w:r>
      <w:r w:rsidR="00782C55">
        <w:t xml:space="preserve">fiscal </w:t>
      </w:r>
      <w:r>
        <w:t>outlook</w:t>
      </w:r>
      <w:r w:rsidR="00782C55">
        <w:t xml:space="preserve">. </w:t>
      </w:r>
      <w:r w:rsidR="00BB1901">
        <w:t>This section does not require previous knowledge of financ</w:t>
      </w:r>
      <w:r w:rsidR="00680F53">
        <w:t>e</w:t>
      </w:r>
      <w:r w:rsidR="00BB1901">
        <w:t xml:space="preserve"> or economic</w:t>
      </w:r>
      <w:r w:rsidR="00680F53">
        <w:t>s</w:t>
      </w:r>
      <w:r w:rsidR="00BB1901">
        <w:t>.</w:t>
      </w:r>
    </w:p>
    <w:p w14:paraId="1ED356C9" w14:textId="103D1016" w:rsidR="00952BA5" w:rsidRPr="00385DEC" w:rsidRDefault="00680F53" w:rsidP="003B5132">
      <w:pPr>
        <w:pStyle w:val="BodyText"/>
      </w:pPr>
      <w:r>
        <w:t xml:space="preserve">This section explains frequently used concepts or those sometimes less understood. There is a Glossary at the end of this </w:t>
      </w:r>
      <w:r w:rsidR="00846BF2">
        <w:t>guide</w:t>
      </w:r>
      <w:r>
        <w:t xml:space="preserve"> which provides an exhaustive list of terms used through the Budget Papers.  </w:t>
      </w:r>
    </w:p>
    <w:p w14:paraId="2CB52CF8" w14:textId="7708CE04" w:rsidR="005D674D" w:rsidRPr="00984557" w:rsidRDefault="00D91CF1" w:rsidP="005D674D">
      <w:pPr>
        <w:pStyle w:val="Heading2"/>
      </w:pPr>
      <w:bookmarkStart w:id="18" w:name="_Toc106280668"/>
      <w:r>
        <w:t>Concepts used to m</w:t>
      </w:r>
      <w:r w:rsidR="00F806E2">
        <w:t>easur</w:t>
      </w:r>
      <w:r>
        <w:t>e</w:t>
      </w:r>
      <w:r w:rsidR="00F806E2">
        <w:t xml:space="preserve"> production and spending</w:t>
      </w:r>
      <w:bookmarkEnd w:id="18"/>
    </w:p>
    <w:p w14:paraId="3D8AF8AA" w14:textId="77777777" w:rsidR="005D674D" w:rsidRDefault="00952BA5" w:rsidP="00015BBF">
      <w:pPr>
        <w:pStyle w:val="Heading3"/>
      </w:pPr>
      <w:r>
        <w:t>Gross Domestic Product</w:t>
      </w:r>
      <w:r w:rsidR="00F713CA">
        <w:t xml:space="preserve"> </w:t>
      </w:r>
    </w:p>
    <w:p w14:paraId="7B521783" w14:textId="4256EEBD" w:rsidR="002712B7" w:rsidRPr="00385DEC" w:rsidRDefault="002712B7" w:rsidP="003B5132">
      <w:pPr>
        <w:pStyle w:val="BodyText"/>
      </w:pPr>
      <w:r w:rsidRPr="00385DEC">
        <w:t xml:space="preserve">Gross Domestic Product (GDP) is one </w:t>
      </w:r>
      <w:r w:rsidR="00C65BE7">
        <w:t xml:space="preserve">way to measure economic </w:t>
      </w:r>
      <w:r w:rsidR="00A54048">
        <w:t>performance</w:t>
      </w:r>
      <w:r w:rsidRPr="00385DEC">
        <w:t xml:space="preserve">. It measures the </w:t>
      </w:r>
      <w:r>
        <w:t>value</w:t>
      </w:r>
      <w:r w:rsidR="00E97406">
        <w:t xml:space="preserve"> </w:t>
      </w:r>
      <w:r w:rsidR="00B84B7E">
        <w:t xml:space="preserve">add </w:t>
      </w:r>
      <w:r w:rsidR="00E97406">
        <w:t xml:space="preserve">of </w:t>
      </w:r>
      <w:r w:rsidRPr="00385DEC">
        <w:t xml:space="preserve">goods and services produced by a country. GDP can be </w:t>
      </w:r>
      <w:r w:rsidR="001133AF">
        <w:t>represented</w:t>
      </w:r>
      <w:r w:rsidR="001133AF" w:rsidRPr="00385DEC">
        <w:t xml:space="preserve"> </w:t>
      </w:r>
      <w:r w:rsidRPr="00385DEC">
        <w:t>in two ways: nominal and real.</w:t>
      </w:r>
    </w:p>
    <w:p w14:paraId="6E0D90B9" w14:textId="6144FBA4" w:rsidR="00D23E06" w:rsidRDefault="002712B7" w:rsidP="003B5132">
      <w:pPr>
        <w:pStyle w:val="Bullet1"/>
      </w:pPr>
      <w:r>
        <w:t>Nominal GDP measures GDP in current (original) market prices, which includ</w:t>
      </w:r>
      <w:r w:rsidR="00C75BFF">
        <w:t>es</w:t>
      </w:r>
      <w:r>
        <w:t xml:space="preserve"> the impact of inflation</w:t>
      </w:r>
      <w:r w:rsidR="00EA1B52">
        <w:t xml:space="preserve"> </w:t>
      </w:r>
      <w:r>
        <w:t>/</w:t>
      </w:r>
      <w:r w:rsidR="00EA1B52">
        <w:t xml:space="preserve"> </w:t>
      </w:r>
      <w:r>
        <w:t xml:space="preserve">deflation. </w:t>
      </w:r>
    </w:p>
    <w:p w14:paraId="175D076F" w14:textId="74BE1892" w:rsidR="002712B7" w:rsidRPr="00385DEC" w:rsidRDefault="002712B7" w:rsidP="003B5132">
      <w:pPr>
        <w:pStyle w:val="Bullet1"/>
      </w:pPr>
      <w:r>
        <w:t>Real GDP</w:t>
      </w:r>
      <w:r w:rsidR="00EA1B52">
        <w:t xml:space="preserve"> </w:t>
      </w:r>
      <w:r>
        <w:t xml:space="preserve">measures GDP </w:t>
      </w:r>
      <w:r w:rsidR="00B256E5">
        <w:t>adjusted for the</w:t>
      </w:r>
      <w:r>
        <w:t xml:space="preserve"> impact of </w:t>
      </w:r>
      <w:r w:rsidR="00391A76">
        <w:br/>
      </w:r>
      <w:r>
        <w:t>inflation</w:t>
      </w:r>
      <w:r w:rsidR="00EA1B52">
        <w:t xml:space="preserve"> </w:t>
      </w:r>
      <w:r>
        <w:t>/</w:t>
      </w:r>
      <w:r w:rsidR="00EA1B52">
        <w:t xml:space="preserve"> </w:t>
      </w:r>
      <w:r>
        <w:t xml:space="preserve">deflation. Movements in real GDP </w:t>
      </w:r>
      <w:r w:rsidR="00B40E1C">
        <w:t>is</w:t>
      </w:r>
      <w:r>
        <w:t xml:space="preserve"> the prefer</w:t>
      </w:r>
      <w:r w:rsidR="005D47AB">
        <w:t>r</w:t>
      </w:r>
      <w:r>
        <w:t>ed indicator of how fast economic activity is growing.</w:t>
      </w:r>
    </w:p>
    <w:p w14:paraId="07E98F9A" w14:textId="203FB4C7" w:rsidR="00CA095F" w:rsidRPr="00385DEC" w:rsidRDefault="00CA095F" w:rsidP="003B5132">
      <w:pPr>
        <w:pStyle w:val="BodyText"/>
      </w:pPr>
      <w:r w:rsidRPr="00385DEC">
        <w:t xml:space="preserve">The ABS releases updates to </w:t>
      </w:r>
      <w:r w:rsidR="00A74ADD">
        <w:t xml:space="preserve">national </w:t>
      </w:r>
      <w:r w:rsidRPr="00385DEC">
        <w:t>GDP both quarterly and annually.</w:t>
      </w:r>
    </w:p>
    <w:p w14:paraId="2636CF07" w14:textId="77777777" w:rsidR="00CA095F" w:rsidRDefault="00CA095F" w:rsidP="00CA095F">
      <w:pPr>
        <w:pStyle w:val="Heading3"/>
      </w:pPr>
      <w:r>
        <w:t xml:space="preserve">Gross State Product </w:t>
      </w:r>
    </w:p>
    <w:p w14:paraId="1FB10F58" w14:textId="37CFCAD1" w:rsidR="003122F2" w:rsidRPr="00385DEC" w:rsidRDefault="003122F2" w:rsidP="003B5132">
      <w:pPr>
        <w:pStyle w:val="BodyText"/>
      </w:pPr>
      <w:r w:rsidRPr="00385DEC">
        <w:t>The equivalent measure of GDP at a state or territory level is known as Gross State Product</w:t>
      </w:r>
      <w:r w:rsidR="00CA095F" w:rsidRPr="00385DEC">
        <w:t xml:space="preserve"> (GSP)</w:t>
      </w:r>
      <w:r w:rsidRPr="00385DEC">
        <w:t>.</w:t>
      </w:r>
      <w:r w:rsidR="00CA095F" w:rsidRPr="00385DEC">
        <w:t xml:space="preserve"> It measures the value</w:t>
      </w:r>
      <w:r w:rsidR="00964420">
        <w:t>-add</w:t>
      </w:r>
      <w:r w:rsidR="00CA095F" w:rsidRPr="00385DEC">
        <w:t xml:space="preserve"> of goods and services produced within a state. GSP is released annually by the ABS.</w:t>
      </w:r>
      <w:r w:rsidR="00C83700">
        <w:t xml:space="preserve"> </w:t>
      </w:r>
      <w:r w:rsidR="002F3724">
        <w:t xml:space="preserve">For example, the </w:t>
      </w:r>
      <w:r w:rsidR="006E322F" w:rsidRPr="00895568">
        <w:t>2020</w:t>
      </w:r>
      <w:r w:rsidR="00BF5A3B" w:rsidRPr="00895568">
        <w:t>-</w:t>
      </w:r>
      <w:r w:rsidR="006E322F" w:rsidRPr="00895568">
        <w:t>21</w:t>
      </w:r>
      <w:r w:rsidR="00582433">
        <w:t xml:space="preserve"> State Accounts </w:t>
      </w:r>
      <w:r w:rsidR="007D4A6B">
        <w:t>(</w:t>
      </w:r>
      <w:r w:rsidR="003E3CBE">
        <w:t xml:space="preserve">previously </w:t>
      </w:r>
      <w:r w:rsidR="007D4A6B" w:rsidRPr="00EA1B52" w:rsidDel="00ED7918">
        <w:rPr>
          <w:i/>
        </w:rPr>
        <w:t>Cat:</w:t>
      </w:r>
      <w:r w:rsidR="0092702D" w:rsidRPr="00EA1B52" w:rsidDel="00ED7918">
        <w:rPr>
          <w:i/>
        </w:rPr>
        <w:t>5220.0</w:t>
      </w:r>
      <w:r w:rsidR="0092702D" w:rsidRPr="00EA1B52">
        <w:rPr>
          <w:i/>
        </w:rPr>
        <w:t xml:space="preserve"> Australian National Accounts: State Accounts</w:t>
      </w:r>
      <w:r w:rsidR="0092702D">
        <w:t xml:space="preserve">) </w:t>
      </w:r>
      <w:r w:rsidR="00582433">
        <w:t xml:space="preserve">showed New South Wales </w:t>
      </w:r>
      <w:r w:rsidR="00E55454">
        <w:t xml:space="preserve">GSP </w:t>
      </w:r>
      <w:r w:rsidR="006E322F" w:rsidRPr="00895568">
        <w:t xml:space="preserve">increased </w:t>
      </w:r>
      <w:r w:rsidR="000704F9" w:rsidRPr="00895568">
        <w:t>1.4</w:t>
      </w:r>
      <w:r w:rsidR="00A40CC1">
        <w:t> </w:t>
      </w:r>
      <w:r w:rsidR="006A4256">
        <w:t>per</w:t>
      </w:r>
      <w:r w:rsidR="00A40CC1">
        <w:t> </w:t>
      </w:r>
      <w:r w:rsidR="006A4256">
        <w:t xml:space="preserve">cent in </w:t>
      </w:r>
      <w:r w:rsidR="000704F9" w:rsidRPr="00895568">
        <w:t>2020</w:t>
      </w:r>
      <w:r w:rsidR="00B40CB0" w:rsidRPr="00895568">
        <w:t>-</w:t>
      </w:r>
      <w:r w:rsidR="000704F9" w:rsidRPr="00895568">
        <w:t>21</w:t>
      </w:r>
      <w:r w:rsidR="00B048F4">
        <w:t>.</w:t>
      </w:r>
    </w:p>
    <w:p w14:paraId="66A6679A" w14:textId="77777777" w:rsidR="003122F2" w:rsidRDefault="003122F2" w:rsidP="003122F2">
      <w:pPr>
        <w:pStyle w:val="Heading3"/>
      </w:pPr>
      <w:r>
        <w:t xml:space="preserve">State Final Demand </w:t>
      </w:r>
    </w:p>
    <w:p w14:paraId="18E16779" w14:textId="115ABD61" w:rsidR="003122F2" w:rsidRPr="00385DEC" w:rsidRDefault="003122F2" w:rsidP="003B5132">
      <w:pPr>
        <w:pStyle w:val="BodyText"/>
      </w:pPr>
      <w:r w:rsidRPr="00385DEC">
        <w:t xml:space="preserve">State </w:t>
      </w:r>
      <w:r w:rsidR="00FA1A35">
        <w:t>F</w:t>
      </w:r>
      <w:r w:rsidRPr="00385DEC">
        <w:t xml:space="preserve">inal </w:t>
      </w:r>
      <w:r w:rsidR="00FA1A35">
        <w:t>D</w:t>
      </w:r>
      <w:r w:rsidRPr="00385DEC">
        <w:t xml:space="preserve">emand </w:t>
      </w:r>
      <w:r w:rsidR="004312B6">
        <w:t xml:space="preserve">is different to </w:t>
      </w:r>
      <w:r w:rsidR="00B30D51">
        <w:t xml:space="preserve">GSP in that it </w:t>
      </w:r>
      <w:r w:rsidRPr="00385DEC">
        <w:t xml:space="preserve">measures the total value of goods and services that are sold in a state or territory to </w:t>
      </w:r>
      <w:r w:rsidR="00CA095F" w:rsidRPr="00385DEC">
        <w:t xml:space="preserve">buyers who </w:t>
      </w:r>
      <w:r w:rsidRPr="00385DEC">
        <w:t xml:space="preserve">either consume them or retain them in the form of capital assets. </w:t>
      </w:r>
    </w:p>
    <w:p w14:paraId="1A4B4F59" w14:textId="5AA8E4FC" w:rsidR="001B7B3C" w:rsidRPr="001B7B3C" w:rsidRDefault="001B7B3C" w:rsidP="001B7B3C">
      <w:pPr>
        <w:pStyle w:val="Heading3"/>
      </w:pPr>
      <w:r>
        <w:t>Consumer Price Index</w:t>
      </w:r>
    </w:p>
    <w:p w14:paraId="280FEE06" w14:textId="41A02731" w:rsidR="002B4AA1" w:rsidRDefault="002B4AA1" w:rsidP="003B5132">
      <w:pPr>
        <w:pStyle w:val="BodyText"/>
      </w:pPr>
      <w:r w:rsidRPr="00385DEC">
        <w:t xml:space="preserve">The Consumer Price Index (CPI) is designed to provide a general measure of inflation of the household sector. It measures the change in </w:t>
      </w:r>
      <w:r w:rsidR="00177B14">
        <w:t xml:space="preserve">the </w:t>
      </w:r>
      <w:r>
        <w:t>price for</w:t>
      </w:r>
      <w:r w:rsidRPr="00385DEC">
        <w:t xml:space="preserve"> a basket of goods and services over a period of time. The CPI is compiled separately for each capital city and </w:t>
      </w:r>
      <w:r w:rsidR="00A1228C">
        <w:t>the national measure</w:t>
      </w:r>
      <w:r w:rsidRPr="00385DEC">
        <w:t xml:space="preserve"> is presented as the weighted average of eight capital cities.</w:t>
      </w:r>
      <w:r>
        <w:t xml:space="preserve"> In addition to a national CPI, a Sydney CPI is also published.</w:t>
      </w:r>
    </w:p>
    <w:p w14:paraId="0E9125DC" w14:textId="168112EF" w:rsidR="002A1DFC" w:rsidRDefault="00623FC7">
      <w:pPr>
        <w:widowControl/>
        <w:tabs>
          <w:tab w:val="clear" w:pos="4196"/>
          <w:tab w:val="clear" w:pos="5046"/>
          <w:tab w:val="clear" w:pos="5897"/>
          <w:tab w:val="clear" w:pos="6747"/>
          <w:tab w:val="clear" w:pos="7598"/>
        </w:tabs>
        <w:autoSpaceDE/>
        <w:autoSpaceDN/>
        <w:rPr>
          <w:rFonts w:eastAsiaTheme="minorHAnsi"/>
          <w:sz w:val="23"/>
          <w:szCs w:val="22"/>
          <w:lang w:eastAsia="en-US"/>
        </w:rPr>
      </w:pPr>
      <w:r>
        <w:br w:type="page"/>
      </w:r>
    </w:p>
    <w:p w14:paraId="00096746" w14:textId="22E9BBA6" w:rsidR="001A076A" w:rsidRPr="00984557" w:rsidRDefault="00D91CF1" w:rsidP="001A076A">
      <w:pPr>
        <w:pStyle w:val="Heading2"/>
      </w:pPr>
      <w:bookmarkStart w:id="19" w:name="_Toc106280669"/>
      <w:r>
        <w:lastRenderedPageBreak/>
        <w:t>Concepts used to m</w:t>
      </w:r>
      <w:r w:rsidR="00F806E2">
        <w:t>easur</w:t>
      </w:r>
      <w:r>
        <w:t>e</w:t>
      </w:r>
      <w:r w:rsidR="00F806E2">
        <w:t xml:space="preserve"> the State’s overall financial position</w:t>
      </w:r>
      <w:r w:rsidR="0004022B">
        <w:t xml:space="preserve"> and performance</w:t>
      </w:r>
      <w:bookmarkEnd w:id="19"/>
    </w:p>
    <w:p w14:paraId="14FAB9D5" w14:textId="651E44FF" w:rsidR="006E5C20" w:rsidRDefault="006E5C20" w:rsidP="006E5C20">
      <w:pPr>
        <w:pStyle w:val="Heading3"/>
      </w:pPr>
      <w:r>
        <w:t>Net worth</w:t>
      </w:r>
    </w:p>
    <w:p w14:paraId="71B7DC18" w14:textId="39A49615" w:rsidR="006E5C20" w:rsidRPr="00385DEC" w:rsidRDefault="006E5C20" w:rsidP="003B5132">
      <w:pPr>
        <w:pStyle w:val="BodyText"/>
      </w:pPr>
      <w:r w:rsidRPr="00385DEC">
        <w:t xml:space="preserve">Is a measure of the strength of the </w:t>
      </w:r>
      <w:r w:rsidR="00633382">
        <w:t>g</w:t>
      </w:r>
      <w:r w:rsidRPr="00385DEC">
        <w:t>overnment’s financial position</w:t>
      </w:r>
      <w:r w:rsidR="00AE2BBE">
        <w:t xml:space="preserve"> at a point in time, usually a</w:t>
      </w:r>
      <w:r w:rsidR="00AA5873">
        <w:t>t the end of a financial year (30 June)</w:t>
      </w:r>
      <w:r w:rsidRPr="00385DEC">
        <w:t xml:space="preserve">. </w:t>
      </w:r>
      <w:r>
        <w:t xml:space="preserve">It </w:t>
      </w:r>
      <w:r w:rsidRPr="00385DEC">
        <w:t xml:space="preserve">represents the value of all assets, </w:t>
      </w:r>
      <w:r w:rsidR="00AE2BBE">
        <w:t xml:space="preserve">minus </w:t>
      </w:r>
      <w:r w:rsidRPr="00385DEC">
        <w:t>the value of all outstanding liabilities.</w:t>
      </w:r>
      <w:r>
        <w:t xml:space="preserve"> </w:t>
      </w:r>
      <w:r w:rsidR="00AE2BBE">
        <w:t xml:space="preserve"> </w:t>
      </w:r>
    </w:p>
    <w:p w14:paraId="6DAA7C7D" w14:textId="06519EB9" w:rsidR="00BC338B" w:rsidRDefault="00BC338B" w:rsidP="00C50025">
      <w:pPr>
        <w:pStyle w:val="Heading3"/>
      </w:pPr>
      <w:r>
        <w:t>Revenue</w:t>
      </w:r>
    </w:p>
    <w:p w14:paraId="2CC628F8" w14:textId="5ECF6F28" w:rsidR="001027D9" w:rsidRDefault="00890404" w:rsidP="003B5132">
      <w:pPr>
        <w:pStyle w:val="BodyText"/>
      </w:pPr>
      <w:r w:rsidRPr="00AB6498">
        <w:t>Revenue is defined as</w:t>
      </w:r>
      <w:r w:rsidRPr="00AB6498" w:rsidDel="009302D8">
        <w:t xml:space="preserve"> </w:t>
      </w:r>
      <w:r w:rsidR="001027D9" w:rsidRPr="001027D9">
        <w:t>net income</w:t>
      </w:r>
      <w:r w:rsidR="001027D9" w:rsidRPr="001027D9" w:rsidDel="009302D8">
        <w:t xml:space="preserve"> </w:t>
      </w:r>
      <w:r w:rsidR="001027D9" w:rsidRPr="001027D9">
        <w:t>received from all sources</w:t>
      </w:r>
      <w:r w:rsidRPr="00890404">
        <w:t>.</w:t>
      </w:r>
      <w:r w:rsidR="00DE2427" w:rsidRPr="00DE2427">
        <w:t xml:space="preserve"> </w:t>
      </w:r>
      <w:r w:rsidR="001027D9" w:rsidRPr="001027D9">
        <w:t xml:space="preserve">These sources of income include taxation (E.g. stamp duty), sales of goods and services, property income, other </w:t>
      </w:r>
      <w:r w:rsidR="00A24D59">
        <w:t>re</w:t>
      </w:r>
      <w:r w:rsidR="001027D9" w:rsidRPr="001027D9">
        <w:t>current income and capital revenue.</w:t>
      </w:r>
    </w:p>
    <w:p w14:paraId="75F9597F" w14:textId="50B8E331" w:rsidR="00BC338B" w:rsidRDefault="00BC338B" w:rsidP="00BC338B">
      <w:pPr>
        <w:pStyle w:val="Heading3"/>
      </w:pPr>
      <w:r>
        <w:t>Expenses</w:t>
      </w:r>
    </w:p>
    <w:p w14:paraId="6FE0BC61" w14:textId="19914C0A" w:rsidR="008C7D9D" w:rsidRDefault="00AD3A21" w:rsidP="00786EEC">
      <w:pPr>
        <w:pStyle w:val="BodyText"/>
      </w:pPr>
      <w:r>
        <w:t xml:space="preserve">Expenses are defined as decreases in net worth resulting from transactions. </w:t>
      </w:r>
      <w:r w:rsidR="007D41C5">
        <w:t>C</w:t>
      </w:r>
      <w:r w:rsidR="00C02479">
        <w:t xml:space="preserve">ommon types of expenses </w:t>
      </w:r>
      <w:r w:rsidR="007D41C5">
        <w:t xml:space="preserve">include </w:t>
      </w:r>
      <w:r w:rsidR="00C02479">
        <w:t>employee expenses,</w:t>
      </w:r>
      <w:r w:rsidR="008C7D9D">
        <w:t xml:space="preserve"> depreciation</w:t>
      </w:r>
      <w:r w:rsidR="0008221E">
        <w:t xml:space="preserve"> and </w:t>
      </w:r>
      <w:r w:rsidR="008C7D9D">
        <w:t>amo</w:t>
      </w:r>
      <w:r w:rsidR="00D60762">
        <w:t>r</w:t>
      </w:r>
      <w:r w:rsidR="008C7D9D">
        <w:t>tisation</w:t>
      </w:r>
      <w:r w:rsidR="00193AEA">
        <w:t xml:space="preserve">, </w:t>
      </w:r>
      <w:r w:rsidR="00E11D26">
        <w:t>interest</w:t>
      </w:r>
      <w:r w:rsidR="004C6F56">
        <w:t>,</w:t>
      </w:r>
      <w:r w:rsidR="00826A1D">
        <w:t xml:space="preserve"> </w:t>
      </w:r>
      <w:r w:rsidR="00C078FF">
        <w:t>grants</w:t>
      </w:r>
      <w:r w:rsidR="004C6F56">
        <w:t xml:space="preserve"> and</w:t>
      </w:r>
      <w:r w:rsidR="008C7D9D">
        <w:t xml:space="preserve"> </w:t>
      </w:r>
      <w:r w:rsidR="00DC3F5F">
        <w:t>subsidies</w:t>
      </w:r>
      <w:r w:rsidR="008C7D9D">
        <w:t xml:space="preserve"> and operating expenses.</w:t>
      </w:r>
    </w:p>
    <w:p w14:paraId="3571A074" w14:textId="1A1F8606" w:rsidR="00C50025" w:rsidRDefault="0CE3C176" w:rsidP="00C50025">
      <w:pPr>
        <w:pStyle w:val="Heading3"/>
      </w:pPr>
      <w:r>
        <w:t>Budget result</w:t>
      </w:r>
      <w:r w:rsidR="50001C1C">
        <w:t xml:space="preserve"> (also called the Net Operating Balance)</w:t>
      </w:r>
    </w:p>
    <w:p w14:paraId="632542CD" w14:textId="77777777" w:rsidR="00C50025" w:rsidRDefault="00C50025" w:rsidP="003B5132">
      <w:pPr>
        <w:pStyle w:val="BodyText"/>
      </w:pPr>
      <w:r w:rsidRPr="00385DEC">
        <w:t xml:space="preserve">Represents the </w:t>
      </w:r>
      <w:r>
        <w:t>difference between expenses and revenue from operating transactions in the general government sector</w:t>
      </w:r>
      <w:r w:rsidRPr="00385DEC">
        <w:t>.</w:t>
      </w:r>
      <w:r>
        <w:t xml:space="preserve"> It is important to keep in mind:</w:t>
      </w:r>
    </w:p>
    <w:p w14:paraId="2780A950" w14:textId="7C8A37A2" w:rsidR="00C50025" w:rsidRPr="00385DEC" w:rsidRDefault="00C50025" w:rsidP="003B5132">
      <w:pPr>
        <w:pStyle w:val="Bullet1"/>
      </w:pPr>
      <w:r>
        <w:t>it is a ‘flow’ measure because it covers a period of time (12 months)</w:t>
      </w:r>
    </w:p>
    <w:p w14:paraId="0DEC18B0" w14:textId="5D854A38" w:rsidR="00C50025" w:rsidRDefault="00C50025" w:rsidP="003B5132">
      <w:pPr>
        <w:pStyle w:val="Bullet1"/>
      </w:pPr>
      <w:r>
        <w:t>it measures activity from ‘transactions’. It excludes changes to assets / liabilities that occur through other means (e.g. revaluations, purchases and sales)</w:t>
      </w:r>
    </w:p>
    <w:p w14:paraId="457E38B9" w14:textId="27A6D5F3" w:rsidR="00797599" w:rsidRDefault="00A206C3" w:rsidP="003B5132">
      <w:pPr>
        <w:pStyle w:val="Bullet1"/>
      </w:pPr>
      <w:r w:rsidRPr="00924538">
        <w:t>p</w:t>
      </w:r>
      <w:r w:rsidR="00B43BD1" w:rsidRPr="00924538">
        <w:t xml:space="preserve">age </w:t>
      </w:r>
      <w:r w:rsidR="00D827DC" w:rsidRPr="00924538">
        <w:t>x</w:t>
      </w:r>
      <w:r w:rsidR="001423F3">
        <w:t>iv</w:t>
      </w:r>
      <w:r w:rsidR="00B43BD1">
        <w:t xml:space="preserve"> of this guide shows a </w:t>
      </w:r>
      <w:r w:rsidR="00516EC5">
        <w:t>marked-up operating statement</w:t>
      </w:r>
      <w:r w:rsidR="002F6471">
        <w:t xml:space="preserve">, highlighting what </w:t>
      </w:r>
      <w:r w:rsidR="00516EC5">
        <w:t xml:space="preserve">is included in the Budget result.  </w:t>
      </w:r>
    </w:p>
    <w:p w14:paraId="0259C992" w14:textId="0A7EE86F" w:rsidR="00E11D26" w:rsidRDefault="00E11D26" w:rsidP="00E11D26">
      <w:pPr>
        <w:pStyle w:val="Heading3"/>
      </w:pPr>
      <w:r>
        <w:t>Capital expenditure</w:t>
      </w:r>
    </w:p>
    <w:p w14:paraId="7DCA2097" w14:textId="154AE0C5" w:rsidR="00786CDD" w:rsidRDefault="00E11D26" w:rsidP="003B5132">
      <w:pPr>
        <w:pStyle w:val="BodyText"/>
      </w:pPr>
      <w:r>
        <w:t xml:space="preserve">This is money spent on </w:t>
      </w:r>
      <w:r w:rsidRPr="00040C2B">
        <w:t>acqui</w:t>
      </w:r>
      <w:r w:rsidR="00D827DC">
        <w:t>ring</w:t>
      </w:r>
      <w:r w:rsidRPr="00040C2B">
        <w:t xml:space="preserve"> or enhanc</w:t>
      </w:r>
      <w:r w:rsidR="00D827DC">
        <w:t>ing</w:t>
      </w:r>
      <w:r w:rsidRPr="00040C2B">
        <w:t xml:space="preserve"> property, plant and equipment (including land and buildings, plant and equipment and infrastructure systems) and intangibles (including computer software and easements). In </w:t>
      </w:r>
      <w:r w:rsidR="00786CDD">
        <w:t>New South Wales</w:t>
      </w:r>
      <w:r>
        <w:t>,</w:t>
      </w:r>
      <w:r w:rsidRPr="00040C2B">
        <w:t xml:space="preserve"> capital expenditure also includes leases and assets acquired using service concession </w:t>
      </w:r>
      <w:r>
        <w:t>arrangements,</w:t>
      </w:r>
      <w:r w:rsidRPr="00040C2B">
        <w:t xml:space="preserve"> </w:t>
      </w:r>
      <w:r>
        <w:t xml:space="preserve">as required under Australian </w:t>
      </w:r>
      <w:r w:rsidR="0060024D">
        <w:t>A</w:t>
      </w:r>
      <w:r>
        <w:t xml:space="preserve">ccounting </w:t>
      </w:r>
      <w:r w:rsidR="0060024D">
        <w:t>S</w:t>
      </w:r>
      <w:r>
        <w:t>tandards</w:t>
      </w:r>
      <w:r w:rsidRPr="00040C2B">
        <w:t xml:space="preserve">. </w:t>
      </w:r>
      <w:r w:rsidR="00786CDD">
        <w:t xml:space="preserve">As </w:t>
      </w:r>
      <w:r w:rsidR="00786CDD" w:rsidRPr="00AB4A70">
        <w:t>page ix</w:t>
      </w:r>
      <w:r w:rsidR="00786CDD">
        <w:t xml:space="preserve"> illustrates, </w:t>
      </w:r>
      <w:r w:rsidR="002E11A1">
        <w:t>the Budget result does not include c</w:t>
      </w:r>
      <w:r w:rsidR="00786CDD">
        <w:t xml:space="preserve">apital expenditure </w:t>
      </w:r>
      <w:r w:rsidR="0026575C">
        <w:t xml:space="preserve">– </w:t>
      </w:r>
      <w:r w:rsidR="002E11A1">
        <w:t>it includes depreciation.</w:t>
      </w:r>
    </w:p>
    <w:p w14:paraId="6515BD35" w14:textId="77777777" w:rsidR="00A92DE2" w:rsidRDefault="00A92DE2">
      <w:pPr>
        <w:widowControl/>
        <w:tabs>
          <w:tab w:val="clear" w:pos="4196"/>
          <w:tab w:val="clear" w:pos="5046"/>
          <w:tab w:val="clear" w:pos="5897"/>
          <w:tab w:val="clear" w:pos="6747"/>
          <w:tab w:val="clear" w:pos="7598"/>
        </w:tabs>
        <w:autoSpaceDE/>
        <w:autoSpaceDN/>
        <w:rPr>
          <w:rFonts w:ascii="Arial Bold" w:hAnsi="Arial Bold" w:cs="Times New Roman"/>
          <w:b/>
          <w:kern w:val="28"/>
          <w:sz w:val="26"/>
          <w:szCs w:val="36"/>
          <w:lang w:eastAsia="en-US"/>
        </w:rPr>
      </w:pPr>
      <w:r>
        <w:br w:type="page"/>
      </w:r>
    </w:p>
    <w:p w14:paraId="2EB7CF38" w14:textId="45E46BC6" w:rsidR="00E11D26" w:rsidRDefault="00E11D26" w:rsidP="00E11D26">
      <w:pPr>
        <w:pStyle w:val="Heading3"/>
      </w:pPr>
      <w:r>
        <w:lastRenderedPageBreak/>
        <w:t>Net lending/</w:t>
      </w:r>
      <w:r w:rsidR="007B6C10">
        <w:t>(</w:t>
      </w:r>
      <w:r>
        <w:t>borrowing</w:t>
      </w:r>
      <w:r w:rsidR="007B6C10">
        <w:t>)</w:t>
      </w:r>
    </w:p>
    <w:p w14:paraId="6E684683" w14:textId="1278AF51" w:rsidR="00BE5A0A" w:rsidRPr="00303F3F" w:rsidRDefault="00061B9A" w:rsidP="003B5132">
      <w:pPr>
        <w:pStyle w:val="BodyText"/>
      </w:pPr>
      <w:r>
        <w:t xml:space="preserve">This measures </w:t>
      </w:r>
      <w:r w:rsidR="00E11D26">
        <w:t xml:space="preserve">the </w:t>
      </w:r>
      <w:r w:rsidR="004B6222">
        <w:t>net</w:t>
      </w:r>
      <w:r w:rsidR="00E11D26">
        <w:t xml:space="preserve"> financing requirement of the </w:t>
      </w:r>
      <w:r w:rsidR="00C263B6">
        <w:t>g</w:t>
      </w:r>
      <w:r w:rsidR="00E11D26">
        <w:t xml:space="preserve">overnment over a one-year period. It is measured as the net operating balance excluding non-cash items such as depreciation less the net acquisition of non-financial assets. </w:t>
      </w:r>
    </w:p>
    <w:p w14:paraId="46F5BDF2" w14:textId="77777777" w:rsidR="000250F2" w:rsidRDefault="000250F2" w:rsidP="000250F2">
      <w:pPr>
        <w:pStyle w:val="Heading3"/>
      </w:pPr>
      <w:r>
        <w:t>Net debt</w:t>
      </w:r>
    </w:p>
    <w:p w14:paraId="7AEBE67A" w14:textId="0EEB447C" w:rsidR="000250F2" w:rsidRDefault="000250F2" w:rsidP="003B5132">
      <w:pPr>
        <w:pStyle w:val="BodyText"/>
      </w:pPr>
      <w:r>
        <w:t xml:space="preserve">Net debt comprises the stock of selected gross financial liabilities less selected financial assets. The stock of net debt is </w:t>
      </w:r>
      <w:r w:rsidR="000821F1">
        <w:t>one</w:t>
      </w:r>
      <w:r>
        <w:t xml:space="preserve"> </w:t>
      </w:r>
      <w:r w:rsidR="00FE3A4E">
        <w:t xml:space="preserve">(but not the only) common </w:t>
      </w:r>
      <w:r>
        <w:t xml:space="preserve">measure used to assess the overall strength of a jurisdiction's fiscal position. High levels of net debt </w:t>
      </w:r>
      <w:r w:rsidR="00FE3A4E">
        <w:t xml:space="preserve">can </w:t>
      </w:r>
      <w:r>
        <w:t xml:space="preserve">impose a call on future revenue flows to service that debt and </w:t>
      </w:r>
      <w:r w:rsidR="00FE3A4E">
        <w:t xml:space="preserve">if unchecked can </w:t>
      </w:r>
      <w:r>
        <w:t>limit government flexibility to adjust expenditure.</w:t>
      </w:r>
    </w:p>
    <w:p w14:paraId="3A482FCE" w14:textId="01A39085" w:rsidR="00D82E6C" w:rsidRDefault="00D82E6C" w:rsidP="00D82E6C">
      <w:pPr>
        <w:pStyle w:val="Heading3"/>
      </w:pPr>
      <w:r>
        <w:t>Gross debt</w:t>
      </w:r>
    </w:p>
    <w:p w14:paraId="7E5EC23B" w14:textId="4E9CECB3" w:rsidR="00D82E6C" w:rsidRPr="00385DEC" w:rsidRDefault="00D82E6C" w:rsidP="003B5132">
      <w:pPr>
        <w:pStyle w:val="BodyText"/>
      </w:pPr>
      <w:r w:rsidRPr="00385DEC">
        <w:t xml:space="preserve">Gross debt represents the total value of money borrowed by the </w:t>
      </w:r>
      <w:r w:rsidR="00C263B6">
        <w:t>g</w:t>
      </w:r>
      <w:r w:rsidRPr="00385DEC">
        <w:t>overnment.</w:t>
      </w:r>
      <w:r w:rsidR="00E50A04">
        <w:t xml:space="preserve"> It is the sum of deposits held, borrowings at amortised costs and borrowings and der</w:t>
      </w:r>
      <w:r w:rsidR="00E57984">
        <w:t>ivatives at fair value.</w:t>
      </w:r>
    </w:p>
    <w:p w14:paraId="4DCA67A1" w14:textId="6D0022B2" w:rsidR="00CB2D1A" w:rsidRPr="00385DEC" w:rsidRDefault="00FE13E0" w:rsidP="003B5132">
      <w:pPr>
        <w:pStyle w:val="BodyText"/>
      </w:pPr>
      <w:r>
        <w:t xml:space="preserve">Gross debt is less commonly used than net debt when assessing the </w:t>
      </w:r>
      <w:r w:rsidR="00C263B6">
        <w:t>g</w:t>
      </w:r>
      <w:r>
        <w:t>overnment</w:t>
      </w:r>
      <w:r w:rsidR="004114E0">
        <w:t>’</w:t>
      </w:r>
      <w:r>
        <w:t xml:space="preserve">s fiscal position. That’s because </w:t>
      </w:r>
      <w:r w:rsidR="00AE660C">
        <w:t xml:space="preserve">gross debt </w:t>
      </w:r>
      <w:r w:rsidR="00623C55">
        <w:t xml:space="preserve">does not factor in </w:t>
      </w:r>
      <w:r w:rsidR="00632DE1">
        <w:t xml:space="preserve">the </w:t>
      </w:r>
      <w:r w:rsidR="00C263B6">
        <w:t>g</w:t>
      </w:r>
      <w:r w:rsidR="00632DE1">
        <w:t xml:space="preserve">overnment’s </w:t>
      </w:r>
      <w:r w:rsidR="005326E4">
        <w:t>financial assets which are liquid</w:t>
      </w:r>
      <w:r w:rsidR="004A5105">
        <w:t xml:space="preserve"> (</w:t>
      </w:r>
      <w:r w:rsidR="005326E4">
        <w:t xml:space="preserve">e.g. </w:t>
      </w:r>
      <w:r w:rsidR="00D811D0">
        <w:t xml:space="preserve">cash and </w:t>
      </w:r>
      <w:r w:rsidR="009004C1">
        <w:t xml:space="preserve">liquid </w:t>
      </w:r>
      <w:r w:rsidR="00C17A72">
        <w:t>investments</w:t>
      </w:r>
      <w:r w:rsidR="004A5105">
        <w:t>)</w:t>
      </w:r>
      <w:r w:rsidR="00B715D6">
        <w:t>, which could be</w:t>
      </w:r>
      <w:r w:rsidR="00351532">
        <w:t xml:space="preserve"> used to</w:t>
      </w:r>
      <w:r w:rsidR="001B373E">
        <w:t xml:space="preserve"> reduce </w:t>
      </w:r>
      <w:r w:rsidR="00351532">
        <w:t>borrowings</w:t>
      </w:r>
      <w:r w:rsidR="00CD4982">
        <w:t xml:space="preserve">. </w:t>
      </w:r>
    </w:p>
    <w:p w14:paraId="21255154" w14:textId="3DFE431E" w:rsidR="0058445C" w:rsidRPr="00984557" w:rsidRDefault="0058445C" w:rsidP="0058445C">
      <w:pPr>
        <w:pStyle w:val="Heading2"/>
      </w:pPr>
      <w:bookmarkStart w:id="20" w:name="_Toc106280670"/>
      <w:r>
        <w:t xml:space="preserve">Concepts used in </w:t>
      </w:r>
      <w:r w:rsidR="00223CAF">
        <w:t>O</w:t>
      </w:r>
      <w:r>
        <w:t xml:space="preserve">utcome </w:t>
      </w:r>
      <w:r w:rsidR="00223CAF">
        <w:t>B</w:t>
      </w:r>
      <w:r>
        <w:t>udgeting</w:t>
      </w:r>
      <w:bookmarkEnd w:id="20"/>
    </w:p>
    <w:p w14:paraId="36EBC5DD" w14:textId="77777777" w:rsidR="00BF4D1B" w:rsidRDefault="00BF4D1B" w:rsidP="00BF4D1B">
      <w:pPr>
        <w:pStyle w:val="Heading3"/>
      </w:pPr>
      <w:r>
        <w:t xml:space="preserve">State Outcomes </w:t>
      </w:r>
    </w:p>
    <w:p w14:paraId="46A4EDCD" w14:textId="6745683E" w:rsidR="00BF4D1B" w:rsidRDefault="00BF4D1B" w:rsidP="003B5132">
      <w:pPr>
        <w:pStyle w:val="BodyText"/>
      </w:pPr>
      <w:r>
        <w:t>There are 3</w:t>
      </w:r>
      <w:r w:rsidR="002D0866">
        <w:t>9</w:t>
      </w:r>
      <w:r>
        <w:t xml:space="preserve"> State Outcomes. Each </w:t>
      </w:r>
      <w:r w:rsidR="00050461">
        <w:t xml:space="preserve">represent </w:t>
      </w:r>
      <w:r w:rsidR="00050461" w:rsidRPr="009F3077">
        <w:t>the primary purpose for which Budget funding is expended</w:t>
      </w:r>
      <w:r w:rsidR="0047253A">
        <w:t xml:space="preserve"> in line with the</w:t>
      </w:r>
      <w:r w:rsidR="00050461" w:rsidRPr="009F3077">
        <w:t xml:space="preserve"> goal</w:t>
      </w:r>
      <w:r w:rsidR="0047253A">
        <w:t>s and priorities</w:t>
      </w:r>
      <w:r w:rsidR="00050461" w:rsidRPr="009F3077">
        <w:t xml:space="preserve"> that the </w:t>
      </w:r>
      <w:r w:rsidR="0047253A">
        <w:t>G</w:t>
      </w:r>
      <w:r w:rsidR="00050461" w:rsidRPr="009F3077">
        <w:t xml:space="preserve">overnment is seeking to achieve for </w:t>
      </w:r>
      <w:r w:rsidR="00173254">
        <w:t>the community</w:t>
      </w:r>
      <w:r w:rsidR="00050461" w:rsidRPr="009F3077">
        <w:t>.</w:t>
      </w:r>
      <w:r w:rsidDel="00EF3F98">
        <w:t xml:space="preserve"> </w:t>
      </w:r>
      <w:r>
        <w:t>Three examples are:</w:t>
      </w:r>
      <w:r w:rsidRPr="00BF4D1B">
        <w:rPr>
          <w:noProof/>
        </w:rPr>
        <w:t xml:space="preserve"> </w:t>
      </w:r>
    </w:p>
    <w:p w14:paraId="4043AF48" w14:textId="512B85B2" w:rsidR="00BF4D1B" w:rsidRDefault="00BF4D1B" w:rsidP="003B5132">
      <w:pPr>
        <w:pStyle w:val="Bullet1"/>
      </w:pPr>
      <w:r>
        <w:t xml:space="preserve">Excellence in Customer Service </w:t>
      </w:r>
    </w:p>
    <w:p w14:paraId="7FA846E0" w14:textId="36D7B093" w:rsidR="00BF4D1B" w:rsidRDefault="00BF4D1B" w:rsidP="003B5132">
      <w:pPr>
        <w:pStyle w:val="Bullet1"/>
      </w:pPr>
      <w:r>
        <w:t>Skilled and employable workforce</w:t>
      </w:r>
    </w:p>
    <w:p w14:paraId="75B40AE3" w14:textId="17DCF5E1" w:rsidR="00BF4D1B" w:rsidRDefault="00BF4D1B" w:rsidP="003B5132">
      <w:pPr>
        <w:pStyle w:val="Bullet1"/>
      </w:pPr>
      <w:r>
        <w:t>People receive high-quality, safe care in our hospitals.</w:t>
      </w:r>
    </w:p>
    <w:p w14:paraId="1712AF10" w14:textId="77777777" w:rsidR="00BF4D1B" w:rsidRDefault="00BF4D1B" w:rsidP="003B5132">
      <w:pPr>
        <w:pStyle w:val="BodyText"/>
      </w:pPr>
      <w:r>
        <w:t>All spending in the NSW Budget is allocated to a State Outcome.</w:t>
      </w:r>
    </w:p>
    <w:p w14:paraId="387E697F" w14:textId="28B00758" w:rsidR="00E6200D" w:rsidRDefault="00BF4D1B" w:rsidP="003B5132">
      <w:pPr>
        <w:pStyle w:val="BodyText"/>
      </w:pPr>
      <w:r>
        <w:t xml:space="preserve">Every State Outcome has one or more measures </w:t>
      </w:r>
      <w:r w:rsidR="00E6200D">
        <w:t xml:space="preserve">of success </w:t>
      </w:r>
      <w:r w:rsidR="00EA673A">
        <w:t xml:space="preserve">– </w:t>
      </w:r>
      <w:r w:rsidR="00010349">
        <w:t xml:space="preserve">these are </w:t>
      </w:r>
      <w:r w:rsidR="00E95A48">
        <w:t xml:space="preserve">referred to as </w:t>
      </w:r>
      <w:r w:rsidR="00010349">
        <w:t>‘</w:t>
      </w:r>
      <w:r w:rsidR="00E6200D">
        <w:t>Outcome Indicators</w:t>
      </w:r>
      <w:r w:rsidR="00EF3F98">
        <w:t>.</w:t>
      </w:r>
      <w:r w:rsidR="00010349">
        <w:t>’</w:t>
      </w:r>
    </w:p>
    <w:p w14:paraId="388EDF57" w14:textId="04168647" w:rsidR="005E4FD6" w:rsidRDefault="00BC30C0" w:rsidP="003B5132">
      <w:pPr>
        <w:pStyle w:val="BodyText"/>
      </w:pPr>
      <w:r>
        <w:t xml:space="preserve">Budget Paper No. 2 </w:t>
      </w:r>
      <w:r w:rsidR="008860E4" w:rsidRPr="008860E4">
        <w:rPr>
          <w:i/>
        </w:rPr>
        <w:t>Outcomes Statement</w:t>
      </w:r>
      <w:r w:rsidR="008860E4">
        <w:t xml:space="preserve"> presents financial information, policies and performance data for all 3</w:t>
      </w:r>
      <w:r w:rsidR="00460DB1">
        <w:t>9</w:t>
      </w:r>
      <w:r w:rsidR="008860E4">
        <w:t xml:space="preserve"> State Outcomes.</w:t>
      </w:r>
    </w:p>
    <w:p w14:paraId="2C9AD4A1" w14:textId="3079AEFD" w:rsidR="00611714" w:rsidRDefault="00611714" w:rsidP="00611714">
      <w:pPr>
        <w:pStyle w:val="Heading3"/>
      </w:pPr>
      <w:r w:rsidRPr="00611714">
        <w:t>Programs</w:t>
      </w:r>
    </w:p>
    <w:p w14:paraId="6E79BB5A" w14:textId="09131AC5" w:rsidR="005D3BFA" w:rsidRPr="00786EEC" w:rsidRDefault="008222EC" w:rsidP="00460DB1">
      <w:pPr>
        <w:widowControl/>
        <w:tabs>
          <w:tab w:val="clear" w:pos="4196"/>
          <w:tab w:val="clear" w:pos="5046"/>
          <w:tab w:val="clear" w:pos="5897"/>
          <w:tab w:val="clear" w:pos="6747"/>
          <w:tab w:val="clear" w:pos="7598"/>
        </w:tabs>
        <w:autoSpaceDE/>
        <w:autoSpaceDN/>
        <w:spacing w:before="60" w:after="60" w:line="264" w:lineRule="auto"/>
        <w:rPr>
          <w:rFonts w:eastAsiaTheme="minorHAnsi"/>
          <w:sz w:val="23"/>
          <w:szCs w:val="22"/>
        </w:rPr>
      </w:pPr>
      <w:r w:rsidRPr="00786EEC">
        <w:rPr>
          <w:rFonts w:eastAsiaTheme="minorHAnsi"/>
          <w:sz w:val="23"/>
          <w:szCs w:val="22"/>
        </w:rPr>
        <w:t>A Program is the collection of activities, tasks, divisions or functions of an agency, designed to deliver specific outputs that contribute towards achieving a State Outcome</w:t>
      </w:r>
      <w:r w:rsidR="00D05F91" w:rsidRPr="00D05F91">
        <w:rPr>
          <w:rFonts w:eastAsiaTheme="minorHAnsi"/>
          <w:iCs/>
          <w:sz w:val="23"/>
          <w:szCs w:val="22"/>
        </w:rPr>
        <w:t xml:space="preserve">, e.g. ‘Best start in life for young children’ in the Education Cluster.  </w:t>
      </w:r>
    </w:p>
    <w:p w14:paraId="439EADF1" w14:textId="73D326A2" w:rsidR="0058445C" w:rsidRDefault="00294D9D" w:rsidP="003B5132">
      <w:pPr>
        <w:pStyle w:val="BodyText"/>
      </w:pPr>
      <w:r>
        <w:t xml:space="preserve">Like </w:t>
      </w:r>
      <w:r w:rsidR="00EA673A">
        <w:t xml:space="preserve">State Outcomes, </w:t>
      </w:r>
      <w:r w:rsidR="008F4EB3">
        <w:t>every P</w:t>
      </w:r>
      <w:r w:rsidR="00EA673A">
        <w:t xml:space="preserve">rogram has at least one measure of success – called </w:t>
      </w:r>
      <w:r w:rsidR="009149F2">
        <w:t xml:space="preserve">a </w:t>
      </w:r>
      <w:r w:rsidR="00EA673A" w:rsidRPr="00EA673A">
        <w:t>Program Performance Measure</w:t>
      </w:r>
      <w:r w:rsidR="00EA673A">
        <w:t xml:space="preserve">.  </w:t>
      </w:r>
    </w:p>
    <w:p w14:paraId="498AEFC9" w14:textId="067E0AA5" w:rsidR="00FE55AB" w:rsidRPr="002C0C8B" w:rsidRDefault="002C0C8B" w:rsidP="002C0C8B">
      <w:pPr>
        <w:tabs>
          <w:tab w:val="right" w:pos="1134"/>
        </w:tabs>
        <w:spacing w:before="240" w:after="120"/>
        <w:rPr>
          <w:i/>
          <w:color w:val="4F4F4F"/>
          <w:sz w:val="22"/>
          <w:szCs w:val="22"/>
        </w:rPr>
      </w:pPr>
      <w:r>
        <w:rPr>
          <w:i/>
          <w:iCs/>
          <w:color w:val="4F4F4F"/>
          <w:sz w:val="22"/>
          <w:szCs w:val="22"/>
        </w:rPr>
        <w:lastRenderedPageBreak/>
        <w:t>Figure 2:</w:t>
      </w:r>
      <w:r>
        <w:rPr>
          <w:i/>
          <w:iCs/>
          <w:color w:val="4F4F4F"/>
          <w:sz w:val="22"/>
          <w:szCs w:val="22"/>
        </w:rPr>
        <w:tab/>
      </w:r>
      <w:r>
        <w:rPr>
          <w:i/>
          <w:iCs/>
          <w:color w:val="4F4F4F"/>
          <w:sz w:val="22"/>
          <w:szCs w:val="22"/>
        </w:rPr>
        <w:tab/>
      </w:r>
      <w:r w:rsidR="00596880" w:rsidRPr="002C0C8B">
        <w:rPr>
          <w:i/>
          <w:color w:val="4F4F4F"/>
          <w:sz w:val="22"/>
          <w:szCs w:val="22"/>
        </w:rPr>
        <w:t>All expenditure i</w:t>
      </w:r>
      <w:r w:rsidR="00AC607A" w:rsidRPr="002C0C8B">
        <w:rPr>
          <w:i/>
          <w:color w:val="4F4F4F"/>
          <w:sz w:val="22"/>
          <w:szCs w:val="22"/>
        </w:rPr>
        <w:t>s allocated to one of the 3</w:t>
      </w:r>
      <w:r w:rsidR="00460DB1">
        <w:rPr>
          <w:i/>
          <w:color w:val="4F4F4F"/>
          <w:sz w:val="22"/>
          <w:szCs w:val="22"/>
        </w:rPr>
        <w:t>9</w:t>
      </w:r>
      <w:r w:rsidR="00AC607A" w:rsidRPr="002C0C8B">
        <w:rPr>
          <w:i/>
          <w:color w:val="4F4F4F"/>
          <w:sz w:val="22"/>
          <w:szCs w:val="22"/>
        </w:rPr>
        <w:t xml:space="preserve"> State Outcome</w:t>
      </w:r>
      <w:r w:rsidR="00FE55AB" w:rsidRPr="002C0C8B">
        <w:rPr>
          <w:i/>
          <w:color w:val="4F4F4F"/>
          <w:sz w:val="22"/>
          <w:szCs w:val="22"/>
        </w:rPr>
        <w:t>s</w:t>
      </w:r>
    </w:p>
    <w:p w14:paraId="4F307493" w14:textId="2E870C56" w:rsidR="008F47C0" w:rsidRDefault="00201744" w:rsidP="00786EEC">
      <w:pPr>
        <w:pStyle w:val="BodyText"/>
      </w:pPr>
      <w:r w:rsidRPr="00201744">
        <w:rPr>
          <w:noProof/>
        </w:rPr>
        <mc:AlternateContent>
          <mc:Choice Requires="wpg">
            <w:drawing>
              <wp:anchor distT="0" distB="0" distL="114300" distR="114300" simplePos="0" relativeHeight="251658256" behindDoc="0" locked="0" layoutInCell="1" allowOverlap="1" wp14:anchorId="0A68B664" wp14:editId="2693AA38">
                <wp:simplePos x="0" y="0"/>
                <wp:positionH relativeFrom="column">
                  <wp:posOffset>3810</wp:posOffset>
                </wp:positionH>
                <wp:positionV relativeFrom="paragraph">
                  <wp:posOffset>325755</wp:posOffset>
                </wp:positionV>
                <wp:extent cx="5327720" cy="5216524"/>
                <wp:effectExtent l="0" t="0" r="6350" b="0"/>
                <wp:wrapNone/>
                <wp:docPr id="182" name="Group 105" descr="Figure 2: All expenditure is allocated to one of the 39 State Outcomes"/>
                <wp:cNvGraphicFramePr/>
                <a:graphic xmlns:a="http://schemas.openxmlformats.org/drawingml/2006/main">
                  <a:graphicData uri="http://schemas.microsoft.com/office/word/2010/wordprocessingGroup">
                    <wpg:wgp>
                      <wpg:cNvGrpSpPr/>
                      <wpg:grpSpPr>
                        <a:xfrm>
                          <a:off x="0" y="0"/>
                          <a:ext cx="5327720" cy="5216524"/>
                          <a:chOff x="0" y="0"/>
                          <a:chExt cx="5328125" cy="5216547"/>
                        </a:xfrm>
                      </wpg:grpSpPr>
                      <wps:wsp>
                        <wps:cNvPr id="185" name="Rectangle: Rounded Corners 185"/>
                        <wps:cNvSpPr/>
                        <wps:spPr>
                          <a:xfrm>
                            <a:off x="2426846" y="490253"/>
                            <a:ext cx="1152088" cy="468002"/>
                          </a:xfrm>
                          <a:prstGeom prst="roundRect">
                            <a:avLst/>
                          </a:prstGeom>
                          <a:noFill/>
                          <a:ln w="25400" cap="flat" cmpd="sng" algn="ctr">
                            <a:noFill/>
                            <a:prstDash val="solid"/>
                          </a:ln>
                          <a:effectLst/>
                        </wps:spPr>
                        <wps:txbx>
                          <w:txbxContent>
                            <w:p w14:paraId="6019F622" w14:textId="77777777" w:rsidR="00201744" w:rsidRDefault="00201744" w:rsidP="00201744">
                              <w:pPr>
                                <w:jc w:val="center"/>
                                <w:rPr>
                                  <w:sz w:val="24"/>
                                  <w:szCs w:val="24"/>
                                </w:rPr>
                              </w:pPr>
                              <w:r>
                                <w:rPr>
                                  <w:b/>
                                  <w:color w:val="44546A" w:themeColor="text2"/>
                                  <w:kern w:val="24"/>
                                </w:rPr>
                                <w:t>Health outcome 1</w:t>
                              </w:r>
                            </w:p>
                          </w:txbxContent>
                        </wps:txbx>
                        <wps:bodyPr rtlCol="0" anchor="ctr"/>
                      </wps:wsp>
                      <wps:wsp>
                        <wps:cNvPr id="186" name="Oval 186"/>
                        <wps:cNvSpPr/>
                        <wps:spPr>
                          <a:xfrm>
                            <a:off x="788285" y="442237"/>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87" name="Oval 187"/>
                        <wps:cNvSpPr/>
                        <wps:spPr>
                          <a:xfrm>
                            <a:off x="1022321" y="442237"/>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88" name="Oval 188"/>
                        <wps:cNvSpPr/>
                        <wps:spPr>
                          <a:xfrm>
                            <a:off x="1256357" y="442237"/>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89" name="Oval 189"/>
                        <wps:cNvSpPr/>
                        <wps:spPr>
                          <a:xfrm>
                            <a:off x="788285" y="677428"/>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0" name="Oval 190"/>
                        <wps:cNvSpPr/>
                        <wps:spPr>
                          <a:xfrm>
                            <a:off x="1022321" y="677428"/>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1" name="Oval 191"/>
                        <wps:cNvSpPr/>
                        <wps:spPr>
                          <a:xfrm>
                            <a:off x="1256357" y="677428"/>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2" name="TextBox 64"/>
                        <wps:cNvSpPr txBox="1"/>
                        <wps:spPr>
                          <a:xfrm>
                            <a:off x="20652" y="3253119"/>
                            <a:ext cx="1863867" cy="1963428"/>
                          </a:xfrm>
                          <a:prstGeom prst="rect">
                            <a:avLst/>
                          </a:prstGeom>
                          <a:noFill/>
                        </wps:spPr>
                        <wps:txbx>
                          <w:txbxContent>
                            <w:p w14:paraId="5F046978" w14:textId="14BB10CB" w:rsidR="00201744" w:rsidRDefault="00201744" w:rsidP="00201744">
                              <w:pPr>
                                <w:rPr>
                                  <w:sz w:val="24"/>
                                  <w:szCs w:val="24"/>
                                </w:rPr>
                              </w:pPr>
                              <w:r>
                                <w:rPr>
                                  <w:color w:val="000000" w:themeColor="text1"/>
                                  <w:kern w:val="24"/>
                                  <w:sz w:val="19"/>
                                  <w:szCs w:val="19"/>
                                </w:rPr>
                                <w:t xml:space="preserve">All Government </w:t>
                              </w:r>
                              <w:r w:rsidR="009149F2">
                                <w:rPr>
                                  <w:color w:val="000000" w:themeColor="text1"/>
                                  <w:kern w:val="24"/>
                                  <w:sz w:val="19"/>
                                  <w:szCs w:val="19"/>
                                </w:rPr>
                                <w:t>P</w:t>
                              </w:r>
                              <w:r>
                                <w:rPr>
                                  <w:color w:val="000000" w:themeColor="text1"/>
                                  <w:kern w:val="24"/>
                                  <w:sz w:val="19"/>
                                  <w:szCs w:val="19"/>
                                </w:rPr>
                                <w:t>rograms have:</w:t>
                              </w:r>
                            </w:p>
                            <w:p w14:paraId="474F01DA" w14:textId="77777777" w:rsidR="00201744" w:rsidRPr="00002841" w:rsidRDefault="00201744" w:rsidP="00C47E8E">
                              <w:pPr>
                                <w:pStyle w:val="ListParagraph"/>
                                <w:widowControl/>
                                <w:numPr>
                                  <w:ilvl w:val="0"/>
                                  <w:numId w:val="41"/>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 xml:space="preserve">funding </w:t>
                              </w:r>
                            </w:p>
                            <w:p w14:paraId="3D06D931" w14:textId="34A41160" w:rsidR="00201744" w:rsidRPr="00002841" w:rsidRDefault="009149F2" w:rsidP="00C47E8E">
                              <w:pPr>
                                <w:pStyle w:val="ListParagraph"/>
                                <w:widowControl/>
                                <w:numPr>
                                  <w:ilvl w:val="0"/>
                                  <w:numId w:val="41"/>
                                </w:numPr>
                                <w:tabs>
                                  <w:tab w:val="clear" w:pos="4196"/>
                                  <w:tab w:val="clear" w:pos="5046"/>
                                  <w:tab w:val="clear" w:pos="5897"/>
                                  <w:tab w:val="clear" w:pos="6747"/>
                                  <w:tab w:val="clear" w:pos="7598"/>
                                </w:tabs>
                                <w:autoSpaceDE/>
                                <w:autoSpaceDN/>
                                <w:rPr>
                                  <w:sz w:val="19"/>
                                </w:rPr>
                              </w:pPr>
                              <w:r>
                                <w:rPr>
                                  <w:color w:val="000000" w:themeColor="text1"/>
                                  <w:kern w:val="24"/>
                                  <w:sz w:val="19"/>
                                  <w:szCs w:val="19"/>
                                </w:rPr>
                                <w:t>Program P</w:t>
                              </w:r>
                              <w:r w:rsidR="00201744" w:rsidRPr="00002841">
                                <w:rPr>
                                  <w:color w:val="000000" w:themeColor="text1"/>
                                  <w:kern w:val="24"/>
                                  <w:sz w:val="19"/>
                                  <w:szCs w:val="19"/>
                                </w:rPr>
                                <w:t xml:space="preserve">erformance </w:t>
                              </w:r>
                              <w:r>
                                <w:rPr>
                                  <w:color w:val="000000" w:themeColor="text1"/>
                                  <w:kern w:val="24"/>
                                  <w:sz w:val="19"/>
                                  <w:szCs w:val="19"/>
                                </w:rPr>
                                <w:t>M</w:t>
                              </w:r>
                              <w:r w:rsidR="00002841" w:rsidRPr="00002841">
                                <w:rPr>
                                  <w:color w:val="000000" w:themeColor="text1"/>
                                  <w:kern w:val="24"/>
                                  <w:sz w:val="19"/>
                                  <w:szCs w:val="19"/>
                                </w:rPr>
                                <w:t>easures</w:t>
                              </w:r>
                              <w:r w:rsidR="00201744" w:rsidRPr="00002841">
                                <w:rPr>
                                  <w:color w:val="000000" w:themeColor="text1"/>
                                  <w:kern w:val="24"/>
                                  <w:sz w:val="19"/>
                                  <w:szCs w:val="19"/>
                                </w:rPr>
                                <w:t xml:space="preserve">. </w:t>
                              </w:r>
                            </w:p>
                            <w:p w14:paraId="6F74500B" w14:textId="77777777" w:rsidR="00002841" w:rsidRDefault="00002841" w:rsidP="00201744">
                              <w:pPr>
                                <w:rPr>
                                  <w:color w:val="000000" w:themeColor="text1"/>
                                  <w:kern w:val="24"/>
                                  <w:sz w:val="19"/>
                                  <w:szCs w:val="19"/>
                                </w:rPr>
                              </w:pPr>
                            </w:p>
                            <w:p w14:paraId="4AC71434" w14:textId="37D7F104" w:rsidR="00201744" w:rsidRDefault="00201744" w:rsidP="00201744">
                              <w:pPr>
                                <w:rPr>
                                  <w:rFonts w:eastAsiaTheme="minorEastAsia"/>
                                </w:rPr>
                              </w:pPr>
                              <w:r>
                                <w:rPr>
                                  <w:color w:val="000000" w:themeColor="text1"/>
                                  <w:kern w:val="24"/>
                                  <w:sz w:val="19"/>
                                  <w:szCs w:val="19"/>
                                </w:rPr>
                                <w:t xml:space="preserve">Programs that drive towards a shared goal are grouped under a </w:t>
                              </w:r>
                              <w:r w:rsidR="00C36E18">
                                <w:rPr>
                                  <w:color w:val="000000" w:themeColor="text1"/>
                                  <w:kern w:val="24"/>
                                  <w:sz w:val="19"/>
                                  <w:szCs w:val="19"/>
                                </w:rPr>
                                <w:t xml:space="preserve">relevant </w:t>
                              </w:r>
                              <w:r>
                                <w:rPr>
                                  <w:color w:val="000000" w:themeColor="text1"/>
                                  <w:kern w:val="24"/>
                                  <w:sz w:val="19"/>
                                  <w:szCs w:val="19"/>
                                </w:rPr>
                                <w:t>State Outcome.</w:t>
                              </w:r>
                            </w:p>
                            <w:p w14:paraId="298B0106" w14:textId="77777777" w:rsidR="00002841" w:rsidRDefault="00002841" w:rsidP="00201744">
                              <w:pPr>
                                <w:rPr>
                                  <w:color w:val="000000" w:themeColor="text1"/>
                                  <w:kern w:val="24"/>
                                  <w:sz w:val="19"/>
                                  <w:szCs w:val="19"/>
                                </w:rPr>
                              </w:pPr>
                            </w:p>
                            <w:p w14:paraId="525EDBD7" w14:textId="153B6C44" w:rsidR="00201744" w:rsidRDefault="00201744" w:rsidP="00201744">
                              <w:r>
                                <w:rPr>
                                  <w:color w:val="000000" w:themeColor="text1"/>
                                  <w:kern w:val="24"/>
                                  <w:sz w:val="19"/>
                                  <w:szCs w:val="19"/>
                                </w:rPr>
                                <w:t xml:space="preserve">All </w:t>
                              </w:r>
                              <w:r w:rsidR="00C36E18">
                                <w:rPr>
                                  <w:color w:val="000000" w:themeColor="text1"/>
                                  <w:kern w:val="24"/>
                                  <w:sz w:val="19"/>
                                  <w:szCs w:val="19"/>
                                </w:rPr>
                                <w:t>P</w:t>
                              </w:r>
                              <w:r>
                                <w:rPr>
                                  <w:color w:val="000000" w:themeColor="text1"/>
                                  <w:kern w:val="24"/>
                                  <w:sz w:val="19"/>
                                  <w:szCs w:val="19"/>
                                </w:rPr>
                                <w:t>rograms in government sit under a State Outcome</w:t>
                              </w:r>
                              <w:r w:rsidR="00B070D0">
                                <w:rPr>
                                  <w:color w:val="000000" w:themeColor="text1"/>
                                  <w:kern w:val="24"/>
                                  <w:sz w:val="19"/>
                                  <w:szCs w:val="19"/>
                                </w:rPr>
                                <w:t>.</w:t>
                              </w:r>
                            </w:p>
                          </w:txbxContent>
                        </wps:txbx>
                        <wps:bodyPr wrap="square" rtlCol="0">
                          <a:spAutoFit/>
                        </wps:bodyPr>
                      </wps:wsp>
                      <wps:wsp>
                        <wps:cNvPr id="193" name="Rectangle: Rounded Corners 193"/>
                        <wps:cNvSpPr/>
                        <wps:spPr>
                          <a:xfrm>
                            <a:off x="2426846" y="1163491"/>
                            <a:ext cx="1080082" cy="468002"/>
                          </a:xfrm>
                          <a:prstGeom prst="roundRect">
                            <a:avLst/>
                          </a:prstGeom>
                          <a:noFill/>
                          <a:ln w="25400" cap="flat" cmpd="sng" algn="ctr">
                            <a:noFill/>
                            <a:prstDash val="solid"/>
                          </a:ln>
                          <a:effectLst/>
                        </wps:spPr>
                        <wps:txbx>
                          <w:txbxContent>
                            <w:p w14:paraId="1C24B5DA" w14:textId="77777777" w:rsidR="00201744" w:rsidRDefault="00201744" w:rsidP="00201744">
                              <w:pPr>
                                <w:jc w:val="center"/>
                                <w:rPr>
                                  <w:sz w:val="24"/>
                                  <w:szCs w:val="24"/>
                                </w:rPr>
                              </w:pPr>
                              <w:r>
                                <w:rPr>
                                  <w:b/>
                                  <w:color w:val="44546A" w:themeColor="text2"/>
                                  <w:kern w:val="24"/>
                                </w:rPr>
                                <w:t>Health outcome 2</w:t>
                              </w:r>
                            </w:p>
                          </w:txbxContent>
                        </wps:txbx>
                        <wps:bodyPr rtlCol="0" anchor="ctr"/>
                      </wps:wsp>
                      <wps:wsp>
                        <wps:cNvPr id="194" name="Oval 194"/>
                        <wps:cNvSpPr/>
                        <wps:spPr>
                          <a:xfrm>
                            <a:off x="788285"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5" name="Oval 195"/>
                        <wps:cNvSpPr/>
                        <wps:spPr>
                          <a:xfrm>
                            <a:off x="1022321"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6" name="Oval 196"/>
                        <wps:cNvSpPr/>
                        <wps:spPr>
                          <a:xfrm>
                            <a:off x="1256357"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7" name="Oval 197"/>
                        <wps:cNvSpPr/>
                        <wps:spPr>
                          <a:xfrm>
                            <a:off x="788285"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8" name="Oval 198"/>
                        <wps:cNvSpPr/>
                        <wps:spPr>
                          <a:xfrm>
                            <a:off x="1022321"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199" name="Oval 199"/>
                        <wps:cNvSpPr/>
                        <wps:spPr>
                          <a:xfrm>
                            <a:off x="1256357"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0" name="Oval 200"/>
                        <wps:cNvSpPr/>
                        <wps:spPr>
                          <a:xfrm>
                            <a:off x="86177"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1" name="Oval 201"/>
                        <wps:cNvSpPr/>
                        <wps:spPr>
                          <a:xfrm>
                            <a:off x="320213"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2" name="Oval 202"/>
                        <wps:cNvSpPr/>
                        <wps:spPr>
                          <a:xfrm>
                            <a:off x="554249" y="1115475"/>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3" name="Oval 203"/>
                        <wps:cNvSpPr/>
                        <wps:spPr>
                          <a:xfrm>
                            <a:off x="86177"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4" name="Oval 204"/>
                        <wps:cNvSpPr/>
                        <wps:spPr>
                          <a:xfrm>
                            <a:off x="320213"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5" name="Oval 205"/>
                        <wps:cNvSpPr/>
                        <wps:spPr>
                          <a:xfrm>
                            <a:off x="554249" y="1350666"/>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06" name="TextBox 78"/>
                        <wps:cNvSpPr txBox="1"/>
                        <wps:spPr>
                          <a:xfrm>
                            <a:off x="2540448" y="3252891"/>
                            <a:ext cx="1659381" cy="841379"/>
                          </a:xfrm>
                          <a:prstGeom prst="rect">
                            <a:avLst/>
                          </a:prstGeom>
                          <a:noFill/>
                        </wps:spPr>
                        <wps:txbx>
                          <w:txbxContent>
                            <w:p w14:paraId="47613181" w14:textId="23B51EC2" w:rsidR="00201744" w:rsidRDefault="00201744" w:rsidP="00201744">
                              <w:pPr>
                                <w:rPr>
                                  <w:sz w:val="24"/>
                                  <w:szCs w:val="24"/>
                                </w:rPr>
                              </w:pPr>
                              <w:r>
                                <w:rPr>
                                  <w:color w:val="000000" w:themeColor="text1"/>
                                  <w:kern w:val="24"/>
                                  <w:sz w:val="19"/>
                                  <w:szCs w:val="19"/>
                                </w:rPr>
                                <w:t>3</w:t>
                              </w:r>
                              <w:r w:rsidR="00460DB1">
                                <w:rPr>
                                  <w:color w:val="000000" w:themeColor="text1"/>
                                  <w:kern w:val="24"/>
                                  <w:sz w:val="19"/>
                                  <w:szCs w:val="19"/>
                                </w:rPr>
                                <w:t>9</w:t>
                              </w:r>
                              <w:r>
                                <w:rPr>
                                  <w:color w:val="000000" w:themeColor="text1"/>
                                  <w:kern w:val="24"/>
                                  <w:sz w:val="19"/>
                                  <w:szCs w:val="19"/>
                                </w:rPr>
                                <w:t xml:space="preserve"> State Outcomes, each with</w:t>
                              </w:r>
                            </w:p>
                            <w:p w14:paraId="76B4FC60" w14:textId="77777777" w:rsidR="00201744" w:rsidRPr="00002841" w:rsidRDefault="00201744" w:rsidP="00C47E8E">
                              <w:pPr>
                                <w:pStyle w:val="ListParagraph"/>
                                <w:widowControl/>
                                <w:numPr>
                                  <w:ilvl w:val="0"/>
                                  <w:numId w:val="42"/>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a budget</w:t>
                              </w:r>
                            </w:p>
                            <w:p w14:paraId="1842D8E7" w14:textId="77777777" w:rsidR="00201744" w:rsidRPr="00002841" w:rsidRDefault="00201744" w:rsidP="00C47E8E">
                              <w:pPr>
                                <w:pStyle w:val="ListParagraph"/>
                                <w:widowControl/>
                                <w:numPr>
                                  <w:ilvl w:val="0"/>
                                  <w:numId w:val="42"/>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performance measures</w:t>
                              </w:r>
                            </w:p>
                          </w:txbxContent>
                        </wps:txbx>
                        <wps:bodyPr wrap="square" rtlCol="0">
                          <a:spAutoFit/>
                        </wps:bodyPr>
                      </wps:wsp>
                      <wps:wsp>
                        <wps:cNvPr id="207" name="TextBox 79"/>
                        <wps:cNvSpPr txBox="1"/>
                        <wps:spPr>
                          <a:xfrm>
                            <a:off x="0" y="0"/>
                            <a:ext cx="1660651" cy="237491"/>
                          </a:xfrm>
                          <a:prstGeom prst="rect">
                            <a:avLst/>
                          </a:prstGeom>
                          <a:noFill/>
                        </wps:spPr>
                        <wps:txbx>
                          <w:txbxContent>
                            <w:p w14:paraId="5787CA4B" w14:textId="77777777" w:rsidR="00201744" w:rsidRPr="00AB0AC7" w:rsidRDefault="00201744" w:rsidP="00AB0AC7">
                              <w:pPr>
                                <w:jc w:val="center"/>
                                <w:rPr>
                                  <w:b/>
                                  <w:color w:val="44546A" w:themeColor="text2"/>
                                  <w:kern w:val="24"/>
                                </w:rPr>
                              </w:pPr>
                              <w:r w:rsidRPr="00AB0AC7">
                                <w:rPr>
                                  <w:b/>
                                  <w:color w:val="44546A" w:themeColor="text2"/>
                                  <w:kern w:val="24"/>
                                </w:rPr>
                                <w:t>Programs</w:t>
                              </w:r>
                            </w:p>
                          </w:txbxContent>
                        </wps:txbx>
                        <wps:bodyPr wrap="square" rtlCol="0">
                          <a:spAutoFit/>
                        </wps:bodyPr>
                      </wps:wsp>
                      <wps:wsp>
                        <wps:cNvPr id="208" name="TextBox 80"/>
                        <wps:cNvSpPr txBox="1"/>
                        <wps:spPr>
                          <a:xfrm>
                            <a:off x="2463812" y="1762"/>
                            <a:ext cx="1661286" cy="237491"/>
                          </a:xfrm>
                          <a:prstGeom prst="rect">
                            <a:avLst/>
                          </a:prstGeom>
                          <a:noFill/>
                        </wps:spPr>
                        <wps:txbx>
                          <w:txbxContent>
                            <w:p w14:paraId="0F6877D1" w14:textId="77777777" w:rsidR="00201744" w:rsidRPr="00002841" w:rsidRDefault="00201744" w:rsidP="00AB0AC7">
                              <w:pPr>
                                <w:jc w:val="center"/>
                                <w:rPr>
                                  <w:b/>
                                  <w:color w:val="44546A" w:themeColor="text2"/>
                                  <w:kern w:val="24"/>
                                </w:rPr>
                              </w:pPr>
                              <w:r w:rsidRPr="00AB0AC7">
                                <w:rPr>
                                  <w:b/>
                                  <w:color w:val="44546A" w:themeColor="text2"/>
                                  <w:kern w:val="24"/>
                                </w:rPr>
                                <w:t>State</w:t>
                              </w:r>
                              <w:r>
                                <w:rPr>
                                  <w:b/>
                                  <w:i/>
                                  <w:color w:val="E7E6E6" w:themeColor="background2"/>
                                  <w:kern w:val="24"/>
                                  <w:sz w:val="22"/>
                                  <w:szCs w:val="22"/>
                                </w:rPr>
                                <w:t xml:space="preserve"> </w:t>
                              </w:r>
                              <w:r w:rsidRPr="00002841">
                                <w:rPr>
                                  <w:b/>
                                  <w:color w:val="44546A" w:themeColor="text2"/>
                                  <w:kern w:val="24"/>
                                </w:rPr>
                                <w:t>Outcomes</w:t>
                              </w:r>
                            </w:p>
                          </w:txbxContent>
                        </wps:txbx>
                        <wps:bodyPr wrap="square" rtlCol="0">
                          <a:spAutoFit/>
                        </wps:bodyPr>
                      </wps:wsp>
                      <wps:wsp>
                        <wps:cNvPr id="209" name="Rectangle: Rounded Corners 209"/>
                        <wps:cNvSpPr/>
                        <wps:spPr>
                          <a:xfrm>
                            <a:off x="2469023" y="1894896"/>
                            <a:ext cx="1152088" cy="468002"/>
                          </a:xfrm>
                          <a:prstGeom prst="roundRect">
                            <a:avLst/>
                          </a:prstGeom>
                          <a:noFill/>
                          <a:ln w="25400" cap="flat" cmpd="sng" algn="ctr">
                            <a:noFill/>
                            <a:prstDash val="solid"/>
                          </a:ln>
                          <a:effectLst/>
                        </wps:spPr>
                        <wps:txbx>
                          <w:txbxContent>
                            <w:p w14:paraId="35C934DD" w14:textId="77777777" w:rsidR="00201744" w:rsidRDefault="00201744" w:rsidP="00201744">
                              <w:pPr>
                                <w:jc w:val="center"/>
                                <w:rPr>
                                  <w:sz w:val="24"/>
                                  <w:szCs w:val="24"/>
                                </w:rPr>
                              </w:pPr>
                              <w:r>
                                <w:rPr>
                                  <w:b/>
                                  <w:color w:val="44546A" w:themeColor="text2"/>
                                  <w:kern w:val="24"/>
                                </w:rPr>
                                <w:t>Health outcome 3</w:t>
                              </w:r>
                            </w:p>
                          </w:txbxContent>
                        </wps:txbx>
                        <wps:bodyPr rtlCol="0" anchor="ctr"/>
                      </wps:wsp>
                      <wps:wsp>
                        <wps:cNvPr id="210" name="Oval 210"/>
                        <wps:cNvSpPr/>
                        <wps:spPr>
                          <a:xfrm>
                            <a:off x="830462"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1" name="Oval 211"/>
                        <wps:cNvSpPr/>
                        <wps:spPr>
                          <a:xfrm>
                            <a:off x="1064498"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2" name="Oval 212"/>
                        <wps:cNvSpPr/>
                        <wps:spPr>
                          <a:xfrm>
                            <a:off x="1298534"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3" name="Oval 213"/>
                        <wps:cNvSpPr/>
                        <wps:spPr>
                          <a:xfrm>
                            <a:off x="830462"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4" name="Oval 214"/>
                        <wps:cNvSpPr/>
                        <wps:spPr>
                          <a:xfrm>
                            <a:off x="1064498"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5" name="Oval 215"/>
                        <wps:cNvSpPr/>
                        <wps:spPr>
                          <a:xfrm>
                            <a:off x="1298534"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7" name="Oval 217"/>
                        <wps:cNvSpPr/>
                        <wps:spPr>
                          <a:xfrm>
                            <a:off x="128354"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8" name="Oval 218"/>
                        <wps:cNvSpPr/>
                        <wps:spPr>
                          <a:xfrm>
                            <a:off x="362390"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19" name="Oval 219"/>
                        <wps:cNvSpPr/>
                        <wps:spPr>
                          <a:xfrm>
                            <a:off x="596426" y="1846880"/>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20" name="Oval 220"/>
                        <wps:cNvSpPr/>
                        <wps:spPr>
                          <a:xfrm>
                            <a:off x="128354"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21" name="Oval 221"/>
                        <wps:cNvSpPr/>
                        <wps:spPr>
                          <a:xfrm>
                            <a:off x="362390"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22" name="Oval 222"/>
                        <wps:cNvSpPr/>
                        <wps:spPr>
                          <a:xfrm>
                            <a:off x="596426" y="2082071"/>
                            <a:ext cx="180000" cy="180000"/>
                          </a:xfrm>
                          <a:prstGeom prst="ellipse">
                            <a:avLst/>
                          </a:prstGeom>
                          <a:solidFill>
                            <a:srgbClr val="008EBA"/>
                          </a:solidFill>
                          <a:ln w="25400" cap="flat" cmpd="sng" algn="ctr">
                            <a:solidFill>
                              <a:srgbClr val="00416F">
                                <a:lumMod val="50000"/>
                              </a:srgbClr>
                            </a:solidFill>
                            <a:prstDash val="solid"/>
                          </a:ln>
                          <a:effectLst/>
                        </wps:spPr>
                        <wps:bodyPr rtlCol="0" anchor="ctr"/>
                      </wps:wsp>
                      <wps:wsp>
                        <wps:cNvPr id="223" name="Rectangle: Rounded Corners 223"/>
                        <wps:cNvSpPr/>
                        <wps:spPr>
                          <a:xfrm>
                            <a:off x="2469022" y="2626301"/>
                            <a:ext cx="1152088" cy="468002"/>
                          </a:xfrm>
                          <a:prstGeom prst="roundRect">
                            <a:avLst/>
                          </a:prstGeom>
                          <a:noFill/>
                          <a:ln w="25400" cap="flat" cmpd="sng" algn="ctr">
                            <a:noFill/>
                            <a:prstDash val="solid"/>
                          </a:ln>
                          <a:effectLst/>
                        </wps:spPr>
                        <wps:txbx>
                          <w:txbxContent>
                            <w:p w14:paraId="02FDD503" w14:textId="77777777" w:rsidR="00201744" w:rsidRDefault="00201744" w:rsidP="00201744">
                              <w:pPr>
                                <w:jc w:val="center"/>
                                <w:rPr>
                                  <w:sz w:val="24"/>
                                  <w:szCs w:val="24"/>
                                </w:rPr>
                              </w:pPr>
                              <w:r>
                                <w:rPr>
                                  <w:b/>
                                  <w:color w:val="44546A" w:themeColor="text2"/>
                                  <w:kern w:val="24"/>
                                </w:rPr>
                                <w:t>Other State Outcomes</w:t>
                              </w:r>
                            </w:p>
                          </w:txbxContent>
                        </wps:txbx>
                        <wps:bodyPr rtlCol="0" anchor="ctr"/>
                      </wps:wsp>
                      <wps:wsp>
                        <wps:cNvPr id="1414454144" name="Right Brace 1414454144"/>
                        <wps:cNvSpPr/>
                        <wps:spPr>
                          <a:xfrm>
                            <a:off x="3906076" y="622237"/>
                            <a:ext cx="655925" cy="2233423"/>
                          </a:xfrm>
                          <a:prstGeom prst="rightBrace">
                            <a:avLst/>
                          </a:prstGeom>
                          <a:noFill/>
                          <a:ln w="19050" cap="flat" cmpd="sng" algn="ctr">
                            <a:solidFill>
                              <a:srgbClr val="008EBA">
                                <a:shade val="95000"/>
                                <a:satMod val="105000"/>
                              </a:srgbClr>
                            </a:solidFill>
                            <a:prstDash val="solid"/>
                          </a:ln>
                          <a:effectLst/>
                        </wps:spPr>
                        <wps:bodyPr rtlCol="0" anchor="ctr"/>
                      </wps:wsp>
                      <wps:wsp>
                        <wps:cNvPr id="1414454145" name="Straight Arrow Connector 1414454145"/>
                        <wps:cNvCnPr/>
                        <wps:spPr>
                          <a:xfrm>
                            <a:off x="1604791" y="622237"/>
                            <a:ext cx="742940" cy="0"/>
                          </a:xfrm>
                          <a:prstGeom prst="straightConnector1">
                            <a:avLst/>
                          </a:prstGeom>
                          <a:noFill/>
                          <a:ln w="19050" cap="flat" cmpd="sng" algn="ctr">
                            <a:solidFill>
                              <a:srgbClr val="008EBA">
                                <a:shade val="95000"/>
                                <a:satMod val="105000"/>
                              </a:srgbClr>
                            </a:solidFill>
                            <a:prstDash val="solid"/>
                            <a:tailEnd type="triangle"/>
                          </a:ln>
                          <a:effectLst/>
                        </wps:spPr>
                        <wps:bodyPr/>
                      </wps:wsp>
                      <wps:wsp>
                        <wps:cNvPr id="1414454146" name="Straight Arrow Connector 1414454146"/>
                        <wps:cNvCnPr/>
                        <wps:spPr>
                          <a:xfrm>
                            <a:off x="1604791" y="1343492"/>
                            <a:ext cx="742940" cy="0"/>
                          </a:xfrm>
                          <a:prstGeom prst="straightConnector1">
                            <a:avLst/>
                          </a:prstGeom>
                          <a:noFill/>
                          <a:ln w="19050" cap="flat" cmpd="sng" algn="ctr">
                            <a:solidFill>
                              <a:srgbClr val="008EBA">
                                <a:shade val="95000"/>
                                <a:satMod val="105000"/>
                              </a:srgbClr>
                            </a:solidFill>
                            <a:prstDash val="solid"/>
                            <a:tailEnd type="triangle"/>
                          </a:ln>
                          <a:effectLst/>
                        </wps:spPr>
                        <wps:bodyPr/>
                      </wps:wsp>
                      <wps:wsp>
                        <wps:cNvPr id="1414454147" name="Straight Arrow Connector 1414454147"/>
                        <wps:cNvCnPr/>
                        <wps:spPr>
                          <a:xfrm>
                            <a:off x="1604791" y="2063572"/>
                            <a:ext cx="742940" cy="0"/>
                          </a:xfrm>
                          <a:prstGeom prst="straightConnector1">
                            <a:avLst/>
                          </a:prstGeom>
                          <a:noFill/>
                          <a:ln w="19050" cap="flat" cmpd="sng" algn="ctr">
                            <a:solidFill>
                              <a:srgbClr val="008EBA">
                                <a:shade val="95000"/>
                                <a:satMod val="105000"/>
                              </a:srgbClr>
                            </a:solidFill>
                            <a:prstDash val="solid"/>
                            <a:tailEnd type="triangle"/>
                          </a:ln>
                          <a:effectLst/>
                        </wps:spPr>
                        <wps:bodyPr/>
                      </wps:wsp>
                      <pic:pic xmlns:pic="http://schemas.openxmlformats.org/drawingml/2006/picture">
                        <pic:nvPicPr>
                          <pic:cNvPr id="1414454148" name="Picture 1414454148" descr="NSW Govern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410129" y="1440666"/>
                            <a:ext cx="917996" cy="5862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A68B664" id="Group 105" o:spid="_x0000_s1026" alt="Figure 2: All expenditure is allocated to one of the 39 State Outcomes" style="position:absolute;margin-left:.3pt;margin-top:25.65pt;width:419.5pt;height:410.75pt;z-index:251658256;mso-width-relative:margin" coordsize="53281,5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">
                <v:roundrect id="Rectangle: Rounded Corners 185" o:spid="_x0000_s1027" style="position:absolute;left:24268;top:4902;width:1152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" filled="f" stroked="f" strokeweight="2pt">
                  <v:textbox>
                    <w:txbxContent>
                      <w:p w14:paraId="6019F622" w14:textId="77777777" w:rsidR="00201744" w:rsidRDefault="00201744" w:rsidP="00201744">
                        <w:pPr>
                          <w:jc w:val="center"/>
                          <w:rPr>
                            <w:sz w:val="24"/>
                            <w:szCs w:val="24"/>
                          </w:rPr>
                        </w:pPr>
                        <w:r>
                          <w:rPr>
                            <w:b/>
                            <w:color w:val="44546A" w:themeColor="text2"/>
                            <w:kern w:val="24"/>
                          </w:rPr>
                          <w:t>Health outcome 1</w:t>
                        </w:r>
                      </w:p>
                    </w:txbxContent>
                  </v:textbox>
                </v:roundrect>
                <v:oval id="Oval 186" o:spid="_x0000_s1028" style="position:absolute;left:7882;top:442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" fillcolor="#008eba" strokecolor="#002037" strokeweight="2pt"/>
                <v:oval id="Oval 187" o:spid="_x0000_s1029" style="position:absolute;left:10223;top:442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" fillcolor="#008eba" strokecolor="#002037" strokeweight="2pt"/>
                <v:oval id="Oval 188" o:spid="_x0000_s1030" style="position:absolute;left:12563;top:442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" fillcolor="#008eba" strokecolor="#002037" strokeweight="2pt"/>
                <v:oval id="Oval 189" o:spid="_x0000_s1031" style="position:absolute;left:7882;top:677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" fillcolor="#008eba" strokecolor="#002037" strokeweight="2pt"/>
                <v:oval id="Oval 190" o:spid="_x0000_s1032" style="position:absolute;left:10223;top:677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" fillcolor="#008eba" strokecolor="#002037" strokeweight="2pt"/>
                <v:oval id="Oval 191" o:spid="_x0000_s1033" style="position:absolute;left:12563;top:677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" fillcolor="#008eba" strokecolor="#002037" strokeweight="2pt"/>
                <v:shapetype id="_x0000_t202" coordsize="21600,21600" o:spt="202" path="m,l,21600r21600,l21600,xe">
                  <v:stroke joinstyle="miter"/>
                  <v:path gradientshapeok="t" o:connecttype="rect"/>
                </v:shapetype>
                <v:shape id="TextBox 64" o:spid="_x0000_s1034" type="#_x0000_t202" style="position:absolute;left:206;top:32531;width:18639;height:19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5F046978" w14:textId="14BB10CB" w:rsidR="00201744" w:rsidRDefault="00201744" w:rsidP="00201744">
                        <w:pPr>
                          <w:rPr>
                            <w:sz w:val="24"/>
                            <w:szCs w:val="24"/>
                          </w:rPr>
                        </w:pPr>
                        <w:r>
                          <w:rPr>
                            <w:color w:val="000000" w:themeColor="text1"/>
                            <w:kern w:val="24"/>
                            <w:sz w:val="19"/>
                            <w:szCs w:val="19"/>
                          </w:rPr>
                          <w:t xml:space="preserve">All Government </w:t>
                        </w:r>
                        <w:r w:rsidR="009149F2">
                          <w:rPr>
                            <w:color w:val="000000" w:themeColor="text1"/>
                            <w:kern w:val="24"/>
                            <w:sz w:val="19"/>
                            <w:szCs w:val="19"/>
                          </w:rPr>
                          <w:t>P</w:t>
                        </w:r>
                        <w:r>
                          <w:rPr>
                            <w:color w:val="000000" w:themeColor="text1"/>
                            <w:kern w:val="24"/>
                            <w:sz w:val="19"/>
                            <w:szCs w:val="19"/>
                          </w:rPr>
                          <w:t>rograms have:</w:t>
                        </w:r>
                      </w:p>
                      <w:p w14:paraId="474F01DA" w14:textId="77777777" w:rsidR="00201744" w:rsidRPr="00002841" w:rsidRDefault="00201744" w:rsidP="00C47E8E">
                        <w:pPr>
                          <w:pStyle w:val="ListParagraph"/>
                          <w:widowControl/>
                          <w:numPr>
                            <w:ilvl w:val="0"/>
                            <w:numId w:val="41"/>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 xml:space="preserve">funding </w:t>
                        </w:r>
                      </w:p>
                      <w:p w14:paraId="3D06D931" w14:textId="34A41160" w:rsidR="00201744" w:rsidRPr="00002841" w:rsidRDefault="009149F2" w:rsidP="00C47E8E">
                        <w:pPr>
                          <w:pStyle w:val="ListParagraph"/>
                          <w:widowControl/>
                          <w:numPr>
                            <w:ilvl w:val="0"/>
                            <w:numId w:val="41"/>
                          </w:numPr>
                          <w:tabs>
                            <w:tab w:val="clear" w:pos="4196"/>
                            <w:tab w:val="clear" w:pos="5046"/>
                            <w:tab w:val="clear" w:pos="5897"/>
                            <w:tab w:val="clear" w:pos="6747"/>
                            <w:tab w:val="clear" w:pos="7598"/>
                          </w:tabs>
                          <w:autoSpaceDE/>
                          <w:autoSpaceDN/>
                          <w:rPr>
                            <w:sz w:val="19"/>
                          </w:rPr>
                        </w:pPr>
                        <w:r>
                          <w:rPr>
                            <w:color w:val="000000" w:themeColor="text1"/>
                            <w:kern w:val="24"/>
                            <w:sz w:val="19"/>
                            <w:szCs w:val="19"/>
                          </w:rPr>
                          <w:t>Program P</w:t>
                        </w:r>
                        <w:r w:rsidR="00201744" w:rsidRPr="00002841">
                          <w:rPr>
                            <w:color w:val="000000" w:themeColor="text1"/>
                            <w:kern w:val="24"/>
                            <w:sz w:val="19"/>
                            <w:szCs w:val="19"/>
                          </w:rPr>
                          <w:t xml:space="preserve">erformance </w:t>
                        </w:r>
                        <w:r>
                          <w:rPr>
                            <w:color w:val="000000" w:themeColor="text1"/>
                            <w:kern w:val="24"/>
                            <w:sz w:val="19"/>
                            <w:szCs w:val="19"/>
                          </w:rPr>
                          <w:t>M</w:t>
                        </w:r>
                        <w:r w:rsidR="00002841" w:rsidRPr="00002841">
                          <w:rPr>
                            <w:color w:val="000000" w:themeColor="text1"/>
                            <w:kern w:val="24"/>
                            <w:sz w:val="19"/>
                            <w:szCs w:val="19"/>
                          </w:rPr>
                          <w:t>easures</w:t>
                        </w:r>
                        <w:r w:rsidR="00201744" w:rsidRPr="00002841">
                          <w:rPr>
                            <w:color w:val="000000" w:themeColor="text1"/>
                            <w:kern w:val="24"/>
                            <w:sz w:val="19"/>
                            <w:szCs w:val="19"/>
                          </w:rPr>
                          <w:t xml:space="preserve">. </w:t>
                        </w:r>
                      </w:p>
                      <w:p w14:paraId="6F74500B" w14:textId="77777777" w:rsidR="00002841" w:rsidRDefault="00002841" w:rsidP="00201744">
                        <w:pPr>
                          <w:rPr>
                            <w:color w:val="000000" w:themeColor="text1"/>
                            <w:kern w:val="24"/>
                            <w:sz w:val="19"/>
                            <w:szCs w:val="19"/>
                          </w:rPr>
                        </w:pPr>
                      </w:p>
                      <w:p w14:paraId="4AC71434" w14:textId="37D7F104" w:rsidR="00201744" w:rsidRDefault="00201744" w:rsidP="00201744">
                        <w:pPr>
                          <w:rPr>
                            <w:rFonts w:eastAsiaTheme="minorEastAsia"/>
                          </w:rPr>
                        </w:pPr>
                        <w:r>
                          <w:rPr>
                            <w:color w:val="000000" w:themeColor="text1"/>
                            <w:kern w:val="24"/>
                            <w:sz w:val="19"/>
                            <w:szCs w:val="19"/>
                          </w:rPr>
                          <w:t xml:space="preserve">Programs that drive towards a shared goal are grouped under a </w:t>
                        </w:r>
                        <w:r w:rsidR="00C36E18">
                          <w:rPr>
                            <w:color w:val="000000" w:themeColor="text1"/>
                            <w:kern w:val="24"/>
                            <w:sz w:val="19"/>
                            <w:szCs w:val="19"/>
                          </w:rPr>
                          <w:t xml:space="preserve">relevant </w:t>
                        </w:r>
                        <w:r>
                          <w:rPr>
                            <w:color w:val="000000" w:themeColor="text1"/>
                            <w:kern w:val="24"/>
                            <w:sz w:val="19"/>
                            <w:szCs w:val="19"/>
                          </w:rPr>
                          <w:t>State Outcome.</w:t>
                        </w:r>
                      </w:p>
                      <w:p w14:paraId="298B0106" w14:textId="77777777" w:rsidR="00002841" w:rsidRDefault="00002841" w:rsidP="00201744">
                        <w:pPr>
                          <w:rPr>
                            <w:color w:val="000000" w:themeColor="text1"/>
                            <w:kern w:val="24"/>
                            <w:sz w:val="19"/>
                            <w:szCs w:val="19"/>
                          </w:rPr>
                        </w:pPr>
                      </w:p>
                      <w:p w14:paraId="525EDBD7" w14:textId="153B6C44" w:rsidR="00201744" w:rsidRDefault="00201744" w:rsidP="00201744">
                        <w:r>
                          <w:rPr>
                            <w:color w:val="000000" w:themeColor="text1"/>
                            <w:kern w:val="24"/>
                            <w:sz w:val="19"/>
                            <w:szCs w:val="19"/>
                          </w:rPr>
                          <w:t xml:space="preserve">All </w:t>
                        </w:r>
                        <w:r w:rsidR="00C36E18">
                          <w:rPr>
                            <w:color w:val="000000" w:themeColor="text1"/>
                            <w:kern w:val="24"/>
                            <w:sz w:val="19"/>
                            <w:szCs w:val="19"/>
                          </w:rPr>
                          <w:t>P</w:t>
                        </w:r>
                        <w:r>
                          <w:rPr>
                            <w:color w:val="000000" w:themeColor="text1"/>
                            <w:kern w:val="24"/>
                            <w:sz w:val="19"/>
                            <w:szCs w:val="19"/>
                          </w:rPr>
                          <w:t>rograms in government sit under a State Outcome</w:t>
                        </w:r>
                        <w:r w:rsidR="00B070D0">
                          <w:rPr>
                            <w:color w:val="000000" w:themeColor="text1"/>
                            <w:kern w:val="24"/>
                            <w:sz w:val="19"/>
                            <w:szCs w:val="19"/>
                          </w:rPr>
                          <w:t>.</w:t>
                        </w:r>
                      </w:p>
                    </w:txbxContent>
                  </v:textbox>
                </v:shape>
                <v:roundrect id="Rectangle: Rounded Corners 193" o:spid="_x0000_s1035" style="position:absolute;left:24268;top:11634;width:1080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" filled="f" stroked="f" strokeweight="2pt">
                  <v:textbox>
                    <w:txbxContent>
                      <w:p w14:paraId="1C24B5DA" w14:textId="77777777" w:rsidR="00201744" w:rsidRDefault="00201744" w:rsidP="00201744">
                        <w:pPr>
                          <w:jc w:val="center"/>
                          <w:rPr>
                            <w:sz w:val="24"/>
                            <w:szCs w:val="24"/>
                          </w:rPr>
                        </w:pPr>
                        <w:r>
                          <w:rPr>
                            <w:b/>
                            <w:color w:val="44546A" w:themeColor="text2"/>
                            <w:kern w:val="24"/>
                          </w:rPr>
                          <w:t>Health outcome 2</w:t>
                        </w:r>
                      </w:p>
                    </w:txbxContent>
                  </v:textbox>
                </v:roundrect>
                <v:oval id="Oval 194" o:spid="_x0000_s1036" style="position:absolute;left:7882;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" fillcolor="#008eba" strokecolor="#002037" strokeweight="2pt"/>
                <v:oval id="Oval 195" o:spid="_x0000_s1037" style="position:absolute;left:10223;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" fillcolor="#008eba" strokecolor="#002037" strokeweight="2pt"/>
                <v:oval id="Oval 196" o:spid="_x0000_s1038" style="position:absolute;left:12563;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" fillcolor="#008eba" strokecolor="#002037" strokeweight="2pt"/>
                <v:oval id="Oval 197" o:spid="_x0000_s1039" style="position:absolute;left:7882;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" fillcolor="#008eba" strokecolor="#002037" strokeweight="2pt"/>
                <v:oval id="Oval 198" o:spid="_x0000_s1040" style="position:absolute;left:10223;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" fillcolor="#008eba" strokecolor="#002037" strokeweight="2pt"/>
                <v:oval id="Oval 199" o:spid="_x0000_s1041" style="position:absolute;left:12563;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" fillcolor="#008eba" strokecolor="#002037" strokeweight="2pt"/>
                <v:oval id="Oval 200" o:spid="_x0000_s1042" style="position:absolute;left:861;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" fillcolor="#008eba" strokecolor="#002037" strokeweight="2pt"/>
                <v:oval id="Oval 201" o:spid="_x0000_s1043" style="position:absolute;left:3202;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" fillcolor="#008eba" strokecolor="#002037" strokeweight="2pt"/>
                <v:oval id="Oval 202" o:spid="_x0000_s1044" style="position:absolute;left:5542;top:1115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" fillcolor="#008eba" strokecolor="#002037" strokeweight="2pt"/>
                <v:oval id="Oval 203" o:spid="_x0000_s1045" style="position:absolute;left:861;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" fillcolor="#008eba" strokecolor="#002037" strokeweight="2pt"/>
                <v:oval id="Oval 204" o:spid="_x0000_s1046" style="position:absolute;left:3202;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" fillcolor="#008eba" strokecolor="#002037" strokeweight="2pt"/>
                <v:oval id="Oval 205" o:spid="_x0000_s1047" style="position:absolute;left:5542;top:135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" fillcolor="#008eba" strokecolor="#002037" strokeweight="2pt"/>
                <v:shape id="TextBox 78" o:spid="_x0000_s1048" type="#_x0000_t202" style="position:absolute;left:25404;top:32528;width:1659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14:paraId="47613181" w14:textId="23B51EC2" w:rsidR="00201744" w:rsidRDefault="00201744" w:rsidP="00201744">
                        <w:pPr>
                          <w:rPr>
                            <w:sz w:val="24"/>
                            <w:szCs w:val="24"/>
                          </w:rPr>
                        </w:pPr>
                        <w:r>
                          <w:rPr>
                            <w:color w:val="000000" w:themeColor="text1"/>
                            <w:kern w:val="24"/>
                            <w:sz w:val="19"/>
                            <w:szCs w:val="19"/>
                          </w:rPr>
                          <w:t>3</w:t>
                        </w:r>
                        <w:r w:rsidR="00460DB1">
                          <w:rPr>
                            <w:color w:val="000000" w:themeColor="text1"/>
                            <w:kern w:val="24"/>
                            <w:sz w:val="19"/>
                            <w:szCs w:val="19"/>
                          </w:rPr>
                          <w:t>9</w:t>
                        </w:r>
                        <w:r>
                          <w:rPr>
                            <w:color w:val="000000" w:themeColor="text1"/>
                            <w:kern w:val="24"/>
                            <w:sz w:val="19"/>
                            <w:szCs w:val="19"/>
                          </w:rPr>
                          <w:t xml:space="preserve"> State Outcomes, each with</w:t>
                        </w:r>
                      </w:p>
                      <w:p w14:paraId="76B4FC60" w14:textId="77777777" w:rsidR="00201744" w:rsidRPr="00002841" w:rsidRDefault="00201744" w:rsidP="00C47E8E">
                        <w:pPr>
                          <w:pStyle w:val="ListParagraph"/>
                          <w:widowControl/>
                          <w:numPr>
                            <w:ilvl w:val="0"/>
                            <w:numId w:val="42"/>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a budget</w:t>
                        </w:r>
                      </w:p>
                      <w:p w14:paraId="1842D8E7" w14:textId="77777777" w:rsidR="00201744" w:rsidRPr="00002841" w:rsidRDefault="00201744" w:rsidP="00C47E8E">
                        <w:pPr>
                          <w:pStyle w:val="ListParagraph"/>
                          <w:widowControl/>
                          <w:numPr>
                            <w:ilvl w:val="0"/>
                            <w:numId w:val="42"/>
                          </w:numPr>
                          <w:tabs>
                            <w:tab w:val="clear" w:pos="4196"/>
                            <w:tab w:val="clear" w:pos="5046"/>
                            <w:tab w:val="clear" w:pos="5897"/>
                            <w:tab w:val="clear" w:pos="6747"/>
                            <w:tab w:val="clear" w:pos="7598"/>
                          </w:tabs>
                          <w:autoSpaceDE/>
                          <w:autoSpaceDN/>
                          <w:rPr>
                            <w:sz w:val="19"/>
                          </w:rPr>
                        </w:pPr>
                        <w:r w:rsidRPr="00002841">
                          <w:rPr>
                            <w:color w:val="000000" w:themeColor="text1"/>
                            <w:kern w:val="24"/>
                            <w:sz w:val="19"/>
                            <w:szCs w:val="19"/>
                          </w:rPr>
                          <w:t>performance measures</w:t>
                        </w:r>
                      </w:p>
                    </w:txbxContent>
                  </v:textbox>
                </v:shape>
                <v:shape id="TextBox 79" o:spid="_x0000_s1049" type="#_x0000_t202" style="position:absolute;width:1660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5787CA4B" w14:textId="77777777" w:rsidR="00201744" w:rsidRPr="00AB0AC7" w:rsidRDefault="00201744" w:rsidP="00AB0AC7">
                        <w:pPr>
                          <w:jc w:val="center"/>
                          <w:rPr>
                            <w:b/>
                            <w:color w:val="44546A" w:themeColor="text2"/>
                            <w:kern w:val="24"/>
                          </w:rPr>
                        </w:pPr>
                        <w:r w:rsidRPr="00AB0AC7">
                          <w:rPr>
                            <w:b/>
                            <w:color w:val="44546A" w:themeColor="text2"/>
                            <w:kern w:val="24"/>
                          </w:rPr>
                          <w:t>Programs</w:t>
                        </w:r>
                      </w:p>
                    </w:txbxContent>
                  </v:textbox>
                </v:shape>
                <v:shape id="TextBox 80" o:spid="_x0000_s1050" type="#_x0000_t202" style="position:absolute;left:24638;top:17;width:1661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14:paraId="0F6877D1" w14:textId="77777777" w:rsidR="00201744" w:rsidRPr="00002841" w:rsidRDefault="00201744" w:rsidP="00AB0AC7">
                        <w:pPr>
                          <w:jc w:val="center"/>
                          <w:rPr>
                            <w:b/>
                            <w:color w:val="44546A" w:themeColor="text2"/>
                            <w:kern w:val="24"/>
                          </w:rPr>
                        </w:pPr>
                        <w:r w:rsidRPr="00AB0AC7">
                          <w:rPr>
                            <w:b/>
                            <w:color w:val="44546A" w:themeColor="text2"/>
                            <w:kern w:val="24"/>
                          </w:rPr>
                          <w:t>State</w:t>
                        </w:r>
                        <w:r>
                          <w:rPr>
                            <w:b/>
                            <w:i/>
                            <w:color w:val="E7E6E6" w:themeColor="background2"/>
                            <w:kern w:val="24"/>
                            <w:sz w:val="22"/>
                            <w:szCs w:val="22"/>
                          </w:rPr>
                          <w:t xml:space="preserve"> </w:t>
                        </w:r>
                        <w:r w:rsidRPr="00002841">
                          <w:rPr>
                            <w:b/>
                            <w:color w:val="44546A" w:themeColor="text2"/>
                            <w:kern w:val="24"/>
                          </w:rPr>
                          <w:t>Outcomes</w:t>
                        </w:r>
                      </w:p>
                    </w:txbxContent>
                  </v:textbox>
                </v:shape>
                <v:roundrect id="Rectangle: Rounded Corners 209" o:spid="_x0000_s1051" style="position:absolute;left:24690;top:18948;width:1152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" filled="f" stroked="f" strokeweight="2pt">
                  <v:textbox>
                    <w:txbxContent>
                      <w:p w14:paraId="35C934DD" w14:textId="77777777" w:rsidR="00201744" w:rsidRDefault="00201744" w:rsidP="00201744">
                        <w:pPr>
                          <w:jc w:val="center"/>
                          <w:rPr>
                            <w:sz w:val="24"/>
                            <w:szCs w:val="24"/>
                          </w:rPr>
                        </w:pPr>
                        <w:r>
                          <w:rPr>
                            <w:b/>
                            <w:color w:val="44546A" w:themeColor="text2"/>
                            <w:kern w:val="24"/>
                          </w:rPr>
                          <w:t>Health outcome 3</w:t>
                        </w:r>
                      </w:p>
                    </w:txbxContent>
                  </v:textbox>
                </v:roundrect>
                <v:oval id="Oval 210" o:spid="_x0000_s1052" style="position:absolute;left:8304;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" fillcolor="#008eba" strokecolor="#002037" strokeweight="2pt"/>
                <v:oval id="Oval 211" o:spid="_x0000_s1053" style="position:absolute;left:10644;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" fillcolor="#008eba" strokecolor="#002037" strokeweight="2pt"/>
                <v:oval id="Oval 212" o:spid="_x0000_s1054" style="position:absolute;left:12985;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" fillcolor="#008eba" strokecolor="#002037" strokeweight="2pt"/>
                <v:oval id="Oval 213" o:spid="_x0000_s1055" style="position:absolute;left:8304;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" fillcolor="#008eba" strokecolor="#002037" strokeweight="2pt"/>
                <v:oval id="Oval 214" o:spid="_x0000_s1056" style="position:absolute;left:10644;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" fillcolor="#008eba" strokecolor="#002037" strokeweight="2pt"/>
                <v:oval id="Oval 215" o:spid="_x0000_s1057" style="position:absolute;left:12985;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" fillcolor="#008eba" strokecolor="#002037" strokeweight="2pt"/>
                <v:oval id="Oval 217" o:spid="_x0000_s1058" style="position:absolute;left:1283;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" fillcolor="#008eba" strokecolor="#002037" strokeweight="2pt"/>
                <v:oval id="Oval 218" o:spid="_x0000_s1059" style="position:absolute;left:3623;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" fillcolor="#008eba" strokecolor="#002037" strokeweight="2pt"/>
                <v:oval id="Oval 219" o:spid="_x0000_s1060" style="position:absolute;left:5964;top:1846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" fillcolor="#008eba" strokecolor="#002037" strokeweight="2pt"/>
                <v:oval id="Oval 220" o:spid="_x0000_s1061" style="position:absolute;left:1283;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" fillcolor="#008eba" strokecolor="#002037" strokeweight="2pt"/>
                <v:oval id="Oval 221" o:spid="_x0000_s1062" style="position:absolute;left:3623;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" fillcolor="#008eba" strokecolor="#002037" strokeweight="2pt"/>
                <v:oval id="Oval 222" o:spid="_x0000_s1063" style="position:absolute;left:5964;top:208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" fillcolor="#008eba" strokecolor="#002037" strokeweight="2pt"/>
                <v:roundrect id="Rectangle: Rounded Corners 223" o:spid="_x0000_s1064" style="position:absolute;left:24690;top:26263;width:1152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" filled="f" stroked="f" strokeweight="2pt">
                  <v:textbox>
                    <w:txbxContent>
                      <w:p w14:paraId="02FDD503" w14:textId="77777777" w:rsidR="00201744" w:rsidRDefault="00201744" w:rsidP="00201744">
                        <w:pPr>
                          <w:jc w:val="center"/>
                          <w:rPr>
                            <w:sz w:val="24"/>
                            <w:szCs w:val="24"/>
                          </w:rPr>
                        </w:pPr>
                        <w:r>
                          <w:rPr>
                            <w:b/>
                            <w:color w:val="44546A" w:themeColor="text2"/>
                            <w:kern w:val="24"/>
                          </w:rPr>
                          <w:t>Other State Outcomes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14454144" o:spid="_x0000_s1065" type="#_x0000_t88" style="position:absolute;left:39060;top:6222;width:6560;height:22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" adj="529" strokecolor="#008dba" strokeweight="1.5pt"/>
                <v:shapetype id="_x0000_t32" coordsize="21600,21600" o:spt="32" o:oned="t" path="m,l21600,21600e" filled="f">
                  <v:path arrowok="t" fillok="f" o:connecttype="none"/>
                  <o:lock v:ext="edit" shapetype="t"/>
                </v:shapetype>
                <v:shape id="Straight Arrow Connector 1414454145" o:spid="_x0000_s1066" type="#_x0000_t32" style="position:absolute;left:16047;top:6222;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" strokecolor="#008dba" strokeweight="1.5pt">
                  <v:stroke endarrow="block"/>
                </v:shape>
                <v:shape id="Straight Arrow Connector 1414454146" o:spid="_x0000_s1067" type="#_x0000_t32" style="position:absolute;left:16047;top:13434;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" strokecolor="#008dba" strokeweight="1.5pt">
                  <v:stroke endarrow="block"/>
                </v:shape>
                <v:shape id="Straight Arrow Connector 1414454147" o:spid="_x0000_s1068" type="#_x0000_t32" style="position:absolute;left:16047;top:20635;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" strokecolor="#008dba"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4454148" o:spid="_x0000_s1069" type="#_x0000_t75" alt="NSW Government" style="position:absolute;left:44101;top:14406;width:9180;height: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">
                  <v:imagedata r:id="rId27" o:title="NSW Government"/>
                </v:shape>
              </v:group>
            </w:pict>
          </mc:Fallback>
        </mc:AlternateContent>
      </w:r>
      <w:r>
        <w:t xml:space="preserve"> </w:t>
      </w:r>
      <w:r w:rsidR="008F47C0">
        <w:br w:type="page"/>
      </w:r>
    </w:p>
    <w:p w14:paraId="172C6B0C" w14:textId="4FDC1396" w:rsidR="00142239" w:rsidRDefault="00142239" w:rsidP="00142239">
      <w:pPr>
        <w:pStyle w:val="Heading1"/>
        <w:keepNext w:val="0"/>
        <w:tabs>
          <w:tab w:val="left" w:pos="2127"/>
        </w:tabs>
        <w:spacing w:after="240"/>
      </w:pPr>
      <w:bookmarkStart w:id="21" w:name="_Toc106280671"/>
      <w:r>
        <w:lastRenderedPageBreak/>
        <w:t>reading and understanding financial statements</w:t>
      </w:r>
      <w:bookmarkEnd w:id="21"/>
    </w:p>
    <w:p w14:paraId="1E13594B" w14:textId="6EAEBFD9" w:rsidR="003E13AB" w:rsidRPr="00385DEC" w:rsidRDefault="00142239" w:rsidP="003B5132">
      <w:pPr>
        <w:pStyle w:val="BodyText"/>
      </w:pPr>
      <w:r w:rsidRPr="00385DEC">
        <w:t xml:space="preserve">Budget Paper No. </w:t>
      </w:r>
      <w:r w:rsidR="00001AE7">
        <w:t>1</w:t>
      </w:r>
      <w:r w:rsidRPr="00385DEC">
        <w:t xml:space="preserve"> </w:t>
      </w:r>
      <w:r w:rsidRPr="00060A54">
        <w:rPr>
          <w:i/>
        </w:rPr>
        <w:t>Budget Statement</w:t>
      </w:r>
      <w:r w:rsidRPr="00385DEC">
        <w:t xml:space="preserve"> </w:t>
      </w:r>
      <w:r w:rsidR="00E86A9D">
        <w:t xml:space="preserve">includes </w:t>
      </w:r>
      <w:r w:rsidRPr="00385DEC">
        <w:t xml:space="preserve">the </w:t>
      </w:r>
      <w:r w:rsidR="00400945">
        <w:t>consolidated</w:t>
      </w:r>
      <w:r w:rsidR="00680A2B">
        <w:rPr>
          <w:rStyle w:val="FootnoteReference"/>
        </w:rPr>
        <w:footnoteReference w:id="4"/>
      </w:r>
      <w:r w:rsidR="00400945" w:rsidRPr="00385DEC">
        <w:t xml:space="preserve"> </w:t>
      </w:r>
      <w:r w:rsidRPr="00385DEC">
        <w:t xml:space="preserve">financial statements for the </w:t>
      </w:r>
      <w:r w:rsidR="00874433">
        <w:t>g</w:t>
      </w:r>
      <w:r w:rsidRPr="00385DEC">
        <w:t xml:space="preserve">eneral </w:t>
      </w:r>
      <w:r w:rsidR="00874433">
        <w:t>g</w:t>
      </w:r>
      <w:r w:rsidRPr="00385DEC">
        <w:t xml:space="preserve">overnment </w:t>
      </w:r>
      <w:r w:rsidR="00874433">
        <w:t>s</w:t>
      </w:r>
      <w:r w:rsidRPr="00385DEC">
        <w:t>ector</w:t>
      </w:r>
      <w:r w:rsidR="001179A9">
        <w:t xml:space="preserve"> and </w:t>
      </w:r>
      <w:r w:rsidR="00874433">
        <w:t>n</w:t>
      </w:r>
      <w:r w:rsidR="014407D9">
        <w:t xml:space="preserve">on-financial </w:t>
      </w:r>
      <w:r w:rsidR="00874433">
        <w:t>p</w:t>
      </w:r>
      <w:r w:rsidR="014407D9">
        <w:t xml:space="preserve">ublic </w:t>
      </w:r>
      <w:r w:rsidR="00874433">
        <w:t>s</w:t>
      </w:r>
      <w:r w:rsidR="014407D9">
        <w:t>ector</w:t>
      </w:r>
      <w:r w:rsidR="003E13AB">
        <w:t>.</w:t>
      </w:r>
      <w:r w:rsidR="00060A54">
        <w:t xml:space="preserve"> The</w:t>
      </w:r>
      <w:r w:rsidR="00E0004F">
        <w:t>re are</w:t>
      </w:r>
      <w:r w:rsidR="00060A54">
        <w:t xml:space="preserve"> three primary statements:</w:t>
      </w:r>
    </w:p>
    <w:p w14:paraId="675552FB" w14:textId="48FABCD4" w:rsidR="003E13AB" w:rsidRDefault="00142239" w:rsidP="003B5132">
      <w:pPr>
        <w:pStyle w:val="Bullet1"/>
        <w:numPr>
          <w:ilvl w:val="0"/>
          <w:numId w:val="39"/>
        </w:numPr>
      </w:pPr>
      <w:r>
        <w:t>Operating Statement</w:t>
      </w:r>
    </w:p>
    <w:p w14:paraId="4F5D64FD" w14:textId="17A94791" w:rsidR="003E13AB" w:rsidRDefault="00142239" w:rsidP="003B5132">
      <w:pPr>
        <w:pStyle w:val="Bullet1"/>
        <w:numPr>
          <w:ilvl w:val="0"/>
          <w:numId w:val="39"/>
        </w:numPr>
      </w:pPr>
      <w:r>
        <w:t xml:space="preserve">Balance Sheet </w:t>
      </w:r>
    </w:p>
    <w:p w14:paraId="4CF816C6" w14:textId="0F904FA2" w:rsidR="003E13AB" w:rsidRDefault="00142239" w:rsidP="003B5132">
      <w:pPr>
        <w:pStyle w:val="Bullet1"/>
        <w:numPr>
          <w:ilvl w:val="0"/>
          <w:numId w:val="39"/>
        </w:numPr>
      </w:pPr>
      <w:r>
        <w:t>Cash Flow Statement</w:t>
      </w:r>
      <w:r w:rsidR="00874433">
        <w:t>.</w:t>
      </w:r>
    </w:p>
    <w:p w14:paraId="24C92EC5" w14:textId="24EAE2A2" w:rsidR="003F26FB" w:rsidRDefault="00142239" w:rsidP="003B5132">
      <w:pPr>
        <w:pStyle w:val="BodyText"/>
      </w:pPr>
      <w:r w:rsidRPr="00385DEC">
        <w:t>The</w:t>
      </w:r>
      <w:r w:rsidR="003E13AB" w:rsidRPr="00385DEC">
        <w:t>se</w:t>
      </w:r>
      <w:r w:rsidRPr="00385DEC">
        <w:t xml:space="preserve"> statements </w:t>
      </w:r>
      <w:r w:rsidR="00E3011F">
        <w:t xml:space="preserve">cover a number of years:  </w:t>
      </w:r>
    </w:p>
    <w:p w14:paraId="4BB9B94E" w14:textId="74BE1892" w:rsidR="00806028" w:rsidRDefault="00964A8E" w:rsidP="003B5132">
      <w:pPr>
        <w:pStyle w:val="Bullet1"/>
      </w:pPr>
      <w:r>
        <w:t>t</w:t>
      </w:r>
      <w:r w:rsidR="003F26FB">
        <w:t xml:space="preserve">he year ending </w:t>
      </w:r>
      <w:r w:rsidR="0022276E">
        <w:t xml:space="preserve">30 June </w:t>
      </w:r>
      <w:r w:rsidR="001A4B6A" w:rsidRPr="007D180A">
        <w:t>202</w:t>
      </w:r>
      <w:r w:rsidR="00D907F5">
        <w:t>1</w:t>
      </w:r>
      <w:r w:rsidR="00E3011F">
        <w:t>. This is referred to as an ‘actual’ position because the year is complete and the results have been audited</w:t>
      </w:r>
    </w:p>
    <w:p w14:paraId="5514006D" w14:textId="05EF9E6C" w:rsidR="003F26FB" w:rsidRPr="00DC17A9" w:rsidRDefault="00964A8E" w:rsidP="003B5132">
      <w:pPr>
        <w:pStyle w:val="Bullet1"/>
      </w:pPr>
      <w:r>
        <w:t>t</w:t>
      </w:r>
      <w:r w:rsidR="00C5743F">
        <w:t>he year about to end on 30 June 202</w:t>
      </w:r>
      <w:r w:rsidR="00D907F5">
        <w:t>2</w:t>
      </w:r>
      <w:r w:rsidR="00C5743F">
        <w:t>. This is called a ‘</w:t>
      </w:r>
      <w:r w:rsidR="00250947">
        <w:t>revised estimated</w:t>
      </w:r>
      <w:r w:rsidR="00C5743F">
        <w:t>’</w:t>
      </w:r>
      <w:r w:rsidR="00250947">
        <w:t xml:space="preserve"> </w:t>
      </w:r>
      <w:r w:rsidR="00957977">
        <w:t xml:space="preserve">position because it has been revised </w:t>
      </w:r>
      <w:r w:rsidR="00E44F25">
        <w:t xml:space="preserve">from </w:t>
      </w:r>
      <w:r w:rsidR="00957977">
        <w:t xml:space="preserve">the Budget that was originally handed down </w:t>
      </w:r>
      <w:r w:rsidR="00957977" w:rsidRPr="008534B0">
        <w:t xml:space="preserve">last </w:t>
      </w:r>
      <w:r w:rsidR="00F5586D" w:rsidRPr="00786EEC">
        <w:t>June</w:t>
      </w:r>
      <w:r w:rsidR="00957977">
        <w:t xml:space="preserve"> and it is </w:t>
      </w:r>
      <w:r w:rsidR="004547A0">
        <w:t>‘</w:t>
      </w:r>
      <w:r w:rsidR="00957977">
        <w:t>estimated</w:t>
      </w:r>
      <w:r w:rsidR="004547A0">
        <w:t>’</w:t>
      </w:r>
      <w:r w:rsidR="00957977">
        <w:t xml:space="preserve"> because the year is </w:t>
      </w:r>
      <w:r w:rsidR="004547A0">
        <w:t>still underway</w:t>
      </w:r>
    </w:p>
    <w:p w14:paraId="7B612CA9" w14:textId="00C95EE6" w:rsidR="003F26FB" w:rsidRPr="00DC17A9" w:rsidRDefault="00964A8E" w:rsidP="003B5132">
      <w:pPr>
        <w:pStyle w:val="Bullet1"/>
      </w:pPr>
      <w:r>
        <w:t>t</w:t>
      </w:r>
      <w:r w:rsidR="00957977">
        <w:t xml:space="preserve">he </w:t>
      </w:r>
      <w:r w:rsidR="003F26FB">
        <w:t>year ending 30 June </w:t>
      </w:r>
      <w:r w:rsidR="00920CFB" w:rsidRPr="007D180A">
        <w:t>202</w:t>
      </w:r>
      <w:r w:rsidR="00D907F5">
        <w:t>3</w:t>
      </w:r>
      <w:r w:rsidR="00957977">
        <w:t>. This is called the Budget year</w:t>
      </w:r>
    </w:p>
    <w:p w14:paraId="4CD4920B" w14:textId="78D6671C" w:rsidR="00142239" w:rsidRPr="00385DEC" w:rsidRDefault="00964A8E" w:rsidP="003B5132">
      <w:pPr>
        <w:pStyle w:val="Bullet1"/>
      </w:pPr>
      <w:r>
        <w:t>t</w:t>
      </w:r>
      <w:r w:rsidR="00957977">
        <w:t>he years ending 30 June 202</w:t>
      </w:r>
      <w:r w:rsidR="00D907F5">
        <w:t>4</w:t>
      </w:r>
      <w:r w:rsidR="00957977">
        <w:t>, 20</w:t>
      </w:r>
      <w:r w:rsidR="00835A71">
        <w:t>2</w:t>
      </w:r>
      <w:r w:rsidR="00D907F5">
        <w:t>5</w:t>
      </w:r>
      <w:r w:rsidR="00957977">
        <w:t xml:space="preserve"> and 202</w:t>
      </w:r>
      <w:r w:rsidR="00D907F5">
        <w:t>6</w:t>
      </w:r>
      <w:r w:rsidR="00957977">
        <w:t>. These are called the forward years</w:t>
      </w:r>
      <w:r w:rsidR="00A9430A">
        <w:t xml:space="preserve"> or forward estimates</w:t>
      </w:r>
      <w:r w:rsidR="00957977">
        <w:t xml:space="preserve">.  </w:t>
      </w:r>
    </w:p>
    <w:p w14:paraId="3D70E805" w14:textId="38A5462B" w:rsidR="00885759" w:rsidRPr="00385DEC" w:rsidRDefault="003E13AB" w:rsidP="003B5132">
      <w:pPr>
        <w:pStyle w:val="BodyText"/>
      </w:pPr>
      <w:r w:rsidRPr="00385DEC">
        <w:t>These statements contain common f</w:t>
      </w:r>
      <w:r w:rsidR="00A5040E" w:rsidRPr="00385DEC">
        <w:t xml:space="preserve">inancial aggregates </w:t>
      </w:r>
      <w:r w:rsidRPr="00385DEC">
        <w:t xml:space="preserve">that are reported consistently across governments in Australia and internationally, in line with </w:t>
      </w:r>
      <w:r w:rsidR="001724E7" w:rsidRPr="00385DEC">
        <w:t>best practice</w:t>
      </w:r>
      <w:r w:rsidRPr="00385DEC">
        <w:t xml:space="preserve">. These aggregates are detailed further below. </w:t>
      </w:r>
      <w:r w:rsidR="00FE759B">
        <w:t>Each</w:t>
      </w:r>
      <w:r w:rsidRPr="00385DEC">
        <w:t xml:space="preserve"> NSW </w:t>
      </w:r>
      <w:r w:rsidR="006D26D7">
        <w:t xml:space="preserve">sector </w:t>
      </w:r>
      <w:r w:rsidRPr="00385DEC">
        <w:t xml:space="preserve">aggregates are </w:t>
      </w:r>
      <w:r w:rsidR="00A5040E" w:rsidRPr="00385DEC">
        <w:t>prepared in line with</w:t>
      </w:r>
      <w:r w:rsidR="002952F8">
        <w:t>:</w:t>
      </w:r>
    </w:p>
    <w:p w14:paraId="4A4302A7" w14:textId="03E715E2" w:rsidR="00A5040E" w:rsidRDefault="00A5040E" w:rsidP="003B5132">
      <w:pPr>
        <w:pStyle w:val="Bullet1"/>
      </w:pPr>
      <w:r>
        <w:t xml:space="preserve">the Uniform Presentation Framework (UPF) endorsed by </w:t>
      </w:r>
      <w:r w:rsidR="0A9B4550">
        <w:t>the Council on Federal Financial Relations</w:t>
      </w:r>
    </w:p>
    <w:p w14:paraId="07C98BFA" w14:textId="533F32CD" w:rsidR="00A5040E" w:rsidRDefault="00885759" w:rsidP="003B5132">
      <w:pPr>
        <w:pStyle w:val="Bullet1"/>
      </w:pPr>
      <w:r>
        <w:t>A</w:t>
      </w:r>
      <w:r w:rsidR="00A5040E">
        <w:t xml:space="preserve">ustralian Accounting Standard AASB 1049 </w:t>
      </w:r>
      <w:r w:rsidR="00A5040E" w:rsidRPr="00786EEC">
        <w:rPr>
          <w:i/>
        </w:rPr>
        <w:t>Whole of Government and General Government Sector Financial Reporting</w:t>
      </w:r>
      <w:r w:rsidR="00A5040E">
        <w:t>, which adopts a harmonised Government Finance Statistics (GFS)/Generally Accepted Accounting Principles (GAAP) reporting basis.</w:t>
      </w:r>
    </w:p>
    <w:p w14:paraId="4880D033" w14:textId="3781C3F3" w:rsidR="00D075B1" w:rsidRPr="00385DEC" w:rsidRDefault="00964A8E" w:rsidP="003B5132">
      <w:pPr>
        <w:pStyle w:val="Bullet1"/>
      </w:pPr>
      <w:r>
        <w:t>f</w:t>
      </w:r>
      <w:r w:rsidR="00A5040E" w:rsidRPr="00385DEC">
        <w:t xml:space="preserve">urther background on the </w:t>
      </w:r>
      <w:r w:rsidR="00C21C27" w:rsidRPr="00385DEC">
        <w:t xml:space="preserve">UPF can be found in </w:t>
      </w:r>
      <w:r w:rsidR="00C21C27" w:rsidRPr="00F0391F">
        <w:t>Appendix A1</w:t>
      </w:r>
      <w:r w:rsidR="00924157">
        <w:t>.</w:t>
      </w:r>
      <w:r w:rsidR="00C21C27" w:rsidRPr="00F0391F">
        <w:t xml:space="preserve"> </w:t>
      </w:r>
      <w:r w:rsidR="00D075B1">
        <w:t xml:space="preserve">Statement of Finances in Budget Paper No.1 </w:t>
      </w:r>
      <w:r w:rsidR="00D075B1" w:rsidRPr="2CE50826">
        <w:rPr>
          <w:i/>
        </w:rPr>
        <w:t>Budget Statement</w:t>
      </w:r>
      <w:r w:rsidR="00D075B1">
        <w:t>.</w:t>
      </w:r>
    </w:p>
    <w:p w14:paraId="5D299060" w14:textId="08472370" w:rsidR="00D075B1" w:rsidRDefault="00964A8E" w:rsidP="003B5132">
      <w:pPr>
        <w:pStyle w:val="Bullet1"/>
      </w:pPr>
      <w:r>
        <w:t>d</w:t>
      </w:r>
      <w:r w:rsidR="00D075B1">
        <w:t xml:space="preserve">ifferences between harmonised GFS and GAAP information, as shown in the Budget Papers and pure GFS information, as reported by the Australian Bureau of Statistics, are known as convergence differences. Such differences are not departures from Accounting Standards but merely variations in measurement or treatments between GAAP and GFS frameworks. </w:t>
      </w:r>
    </w:p>
    <w:p w14:paraId="1DFF5DAA" w14:textId="5ADA5142" w:rsidR="00DA1799" w:rsidRDefault="00DA1799" w:rsidP="003B5132">
      <w:pPr>
        <w:pStyle w:val="BodyText"/>
      </w:pPr>
      <w:r w:rsidRPr="00385DEC">
        <w:t xml:space="preserve">Budget Paper No. </w:t>
      </w:r>
      <w:r>
        <w:t>4</w:t>
      </w:r>
      <w:r w:rsidRPr="00385DEC">
        <w:t xml:space="preserve"> </w:t>
      </w:r>
      <w:r w:rsidRPr="00060A54">
        <w:rPr>
          <w:i/>
        </w:rPr>
        <w:t>Agency Financial Statements</w:t>
      </w:r>
      <w:r w:rsidRPr="00385DEC">
        <w:t xml:space="preserve"> provide</w:t>
      </w:r>
      <w:r>
        <w:t>s</w:t>
      </w:r>
      <w:r w:rsidRPr="00385DEC">
        <w:t xml:space="preserve"> financial statements for each principal Cluster </w:t>
      </w:r>
      <w:r w:rsidR="005D6D90">
        <w:t xml:space="preserve">Department </w:t>
      </w:r>
      <w:r w:rsidRPr="00385DEC">
        <w:t>and their agencies.</w:t>
      </w:r>
      <w:r w:rsidR="005D6D90">
        <w:t xml:space="preserve"> </w:t>
      </w:r>
      <w:r w:rsidR="005D6D90" w:rsidRPr="00242B71">
        <w:t xml:space="preserve">These are prepared consistent with Australian Accounting </w:t>
      </w:r>
      <w:r w:rsidR="00253B71" w:rsidRPr="00242B71">
        <w:t>S</w:t>
      </w:r>
      <w:r w:rsidR="005D6D90" w:rsidRPr="00242B71">
        <w:t>tandards</w:t>
      </w:r>
      <w:r w:rsidR="00FE759B" w:rsidRPr="00242B71">
        <w:t xml:space="preserve"> AASB 101 </w:t>
      </w:r>
      <w:r w:rsidR="003E0E25" w:rsidRPr="00242B71">
        <w:rPr>
          <w:i/>
        </w:rPr>
        <w:t>Presentation of Financial Statement</w:t>
      </w:r>
      <w:r w:rsidR="00BF239A" w:rsidRPr="00242B71">
        <w:rPr>
          <w:i/>
        </w:rPr>
        <w:t>s</w:t>
      </w:r>
      <w:r w:rsidR="005D6D90" w:rsidRPr="00242B71">
        <w:t>.</w:t>
      </w:r>
    </w:p>
    <w:p w14:paraId="509CBE0A" w14:textId="77777777" w:rsidR="00B67FD1" w:rsidRPr="00385DEC" w:rsidRDefault="00B67FD1" w:rsidP="003B5132">
      <w:pPr>
        <w:pStyle w:val="BodyText"/>
      </w:pPr>
    </w:p>
    <w:p w14:paraId="09D29829" w14:textId="1BAE9C25" w:rsidR="00C21C27" w:rsidRPr="00984557" w:rsidRDefault="000F52C5" w:rsidP="00C21C27">
      <w:pPr>
        <w:pStyle w:val="Heading2"/>
      </w:pPr>
      <w:r>
        <w:br w:type="page"/>
      </w:r>
      <w:bookmarkStart w:id="22" w:name="_Toc106280672"/>
      <w:r w:rsidR="00E57075">
        <w:lastRenderedPageBreak/>
        <w:t xml:space="preserve">Financial </w:t>
      </w:r>
      <w:r w:rsidR="005D5CF4">
        <w:t>statements</w:t>
      </w:r>
      <w:r w:rsidR="00E57075">
        <w:t xml:space="preserve"> presented in the Budget </w:t>
      </w:r>
      <w:r w:rsidR="00622EE5">
        <w:t>P</w:t>
      </w:r>
      <w:r w:rsidR="00E57075">
        <w:t>apers</w:t>
      </w:r>
      <w:bookmarkEnd w:id="22"/>
    </w:p>
    <w:p w14:paraId="67887902" w14:textId="1A88E4CB" w:rsidR="00566B18" w:rsidRDefault="00566B18" w:rsidP="003B5132">
      <w:pPr>
        <w:pStyle w:val="BodyText"/>
      </w:pPr>
      <w:r>
        <w:t xml:space="preserve">While the Budget does contain some </w:t>
      </w:r>
      <w:r w:rsidR="004F4235">
        <w:t xml:space="preserve">historical data, the bulk of </w:t>
      </w:r>
      <w:r w:rsidR="007707D6">
        <w:t xml:space="preserve">analysis is </w:t>
      </w:r>
      <w:r>
        <w:t>forward looking</w:t>
      </w:r>
      <w:r w:rsidR="004F4235">
        <w:t xml:space="preserve">. </w:t>
      </w:r>
      <w:r w:rsidR="00F578A2">
        <w:t xml:space="preserve">The </w:t>
      </w:r>
      <w:r w:rsidR="00A76434">
        <w:t xml:space="preserve">sections </w:t>
      </w:r>
      <w:r w:rsidR="00F578A2">
        <w:t xml:space="preserve">below help readers understand how to read the different statements in the Budget, keeping in mind that the numbers presented for </w:t>
      </w:r>
      <w:r w:rsidR="006233B4">
        <w:t>202</w:t>
      </w:r>
      <w:r w:rsidR="00212603">
        <w:t>3</w:t>
      </w:r>
      <w:r w:rsidR="006233B4">
        <w:t>-2</w:t>
      </w:r>
      <w:r w:rsidR="00212603">
        <w:t>4</w:t>
      </w:r>
      <w:r w:rsidR="00F578A2">
        <w:t xml:space="preserve"> and beyond </w:t>
      </w:r>
      <w:r w:rsidR="00171219">
        <w:t>remain</w:t>
      </w:r>
      <w:r w:rsidR="00F578A2">
        <w:t xml:space="preserve"> estimates because they are prospective.</w:t>
      </w:r>
      <w:r>
        <w:t xml:space="preserve"> </w:t>
      </w:r>
    </w:p>
    <w:p w14:paraId="33C6F6F2" w14:textId="7C38F111" w:rsidR="002330A2" w:rsidRPr="00385DEC" w:rsidRDefault="002330A2" w:rsidP="003B5132">
      <w:pPr>
        <w:pStyle w:val="BodyText"/>
      </w:pPr>
      <w:r>
        <w:t>At the</w:t>
      </w:r>
      <w:r w:rsidR="00003001">
        <w:t xml:space="preserve">ir </w:t>
      </w:r>
      <w:r>
        <w:t xml:space="preserve">heart, the financial </w:t>
      </w:r>
      <w:r w:rsidR="00003001">
        <w:t xml:space="preserve">statements are about economic value. Some </w:t>
      </w:r>
      <w:r w:rsidR="009A0242">
        <w:t xml:space="preserve">statements </w:t>
      </w:r>
      <w:r w:rsidR="00DE1221">
        <w:t xml:space="preserve">show </w:t>
      </w:r>
      <w:r w:rsidR="00003001">
        <w:t xml:space="preserve">the change in value over </w:t>
      </w:r>
      <w:r w:rsidR="009A0242">
        <w:t xml:space="preserve">a financial </w:t>
      </w:r>
      <w:r w:rsidR="00C00ABA">
        <w:t xml:space="preserve">year </w:t>
      </w:r>
      <w:r w:rsidR="00003001">
        <w:t xml:space="preserve">(flows), some </w:t>
      </w:r>
      <w:r w:rsidR="009A0242">
        <w:t xml:space="preserve">statements </w:t>
      </w:r>
      <w:r w:rsidR="0048139E">
        <w:t>measure</w:t>
      </w:r>
      <w:r w:rsidR="00C00ABA">
        <w:t xml:space="preserve"> the </w:t>
      </w:r>
      <w:r w:rsidR="0048139E">
        <w:t xml:space="preserve">economic </w:t>
      </w:r>
      <w:r w:rsidR="00003001">
        <w:t>value at a point in time (stocks).</w:t>
      </w:r>
    </w:p>
    <w:p w14:paraId="6F2408CD" w14:textId="77777777" w:rsidR="00C21C27" w:rsidRDefault="00E57075" w:rsidP="00E57075">
      <w:pPr>
        <w:pStyle w:val="Heading3"/>
      </w:pPr>
      <w:r>
        <w:t>Operating Statement</w:t>
      </w:r>
    </w:p>
    <w:p w14:paraId="54728B3F" w14:textId="2F8504C6" w:rsidR="00E57075" w:rsidRPr="00385DEC" w:rsidRDefault="009075E5" w:rsidP="003B5132">
      <w:pPr>
        <w:pStyle w:val="BodyText"/>
      </w:pPr>
      <w:r w:rsidRPr="00385DEC">
        <w:t>The Operating Statement show</w:t>
      </w:r>
      <w:r w:rsidR="00D64C1C">
        <w:t>s</w:t>
      </w:r>
      <w:r w:rsidRPr="00385DEC">
        <w:t xml:space="preserve"> the revenue and expenditure of the relevant sector</w:t>
      </w:r>
      <w:r w:rsidR="000D79F2">
        <w:t>. It also shows</w:t>
      </w:r>
      <w:r w:rsidRPr="00385DEC">
        <w:t xml:space="preserve"> the net cost of government activities </w:t>
      </w:r>
      <w:r w:rsidR="00A15B40">
        <w:t xml:space="preserve">(Budget Result or Net Operating Balance) </w:t>
      </w:r>
      <w:r w:rsidRPr="00385DEC">
        <w:t>within a financial year.</w:t>
      </w:r>
      <w:r w:rsidR="003E13AB" w:rsidRPr="00385DEC">
        <w:t xml:space="preserve"> It </w:t>
      </w:r>
      <w:r w:rsidR="002F7619" w:rsidRPr="00385DEC">
        <w:t xml:space="preserve">reflects the impact of government </w:t>
      </w:r>
      <w:r w:rsidR="00A15B40">
        <w:t>measures</w:t>
      </w:r>
      <w:r w:rsidR="002F7619" w:rsidRPr="00385DEC">
        <w:t xml:space="preserve"> and actions during that time</w:t>
      </w:r>
      <w:r w:rsidR="003E13AB" w:rsidRPr="00385DEC">
        <w:t>.</w:t>
      </w:r>
    </w:p>
    <w:p w14:paraId="4954C395" w14:textId="76AEB50D" w:rsidR="009075E5" w:rsidRPr="00385DEC" w:rsidRDefault="009075E5" w:rsidP="003B5132">
      <w:pPr>
        <w:pStyle w:val="BodyText"/>
      </w:pPr>
      <w:r w:rsidRPr="00385DEC">
        <w:t xml:space="preserve">The Operating Statement reports against </w:t>
      </w:r>
      <w:r w:rsidR="00CB21C3">
        <w:t>several</w:t>
      </w:r>
      <w:r w:rsidR="00CB21C3" w:rsidRPr="00385DEC">
        <w:t xml:space="preserve"> </w:t>
      </w:r>
      <w:r w:rsidRPr="00385DEC">
        <w:t>major fiscal measures</w:t>
      </w:r>
      <w:r w:rsidR="007D5610">
        <w:t>,</w:t>
      </w:r>
      <w:r w:rsidR="008142E9">
        <w:t xml:space="preserve"> including</w:t>
      </w:r>
      <w:r w:rsidRPr="00385DEC">
        <w:t>:</w:t>
      </w:r>
    </w:p>
    <w:p w14:paraId="53E000D9" w14:textId="6279555F" w:rsidR="009075E5" w:rsidRDefault="00606C47" w:rsidP="003B5132">
      <w:pPr>
        <w:pStyle w:val="Bullet1"/>
      </w:pPr>
      <w:r>
        <w:t xml:space="preserve">net </w:t>
      </w:r>
      <w:r w:rsidR="009075E5">
        <w:t>operating balance</w:t>
      </w:r>
      <w:r w:rsidR="00CA2A10">
        <w:t xml:space="preserve"> (Budget result)</w:t>
      </w:r>
    </w:p>
    <w:p w14:paraId="6721705B" w14:textId="00A1C052" w:rsidR="00241E50" w:rsidRDefault="00241E50" w:rsidP="003B5132">
      <w:pPr>
        <w:pStyle w:val="Bullet1"/>
      </w:pPr>
      <w:r>
        <w:t>operating result</w:t>
      </w:r>
    </w:p>
    <w:p w14:paraId="19D26A2B" w14:textId="349C29F4" w:rsidR="00CF161A" w:rsidRDefault="00A3518A" w:rsidP="003B5132">
      <w:pPr>
        <w:pStyle w:val="Bullet1"/>
      </w:pPr>
      <w:r>
        <w:t xml:space="preserve">comprehensive </w:t>
      </w:r>
      <w:r w:rsidR="00A91D75">
        <w:t>re</w:t>
      </w:r>
      <w:r w:rsidR="00CB1099">
        <w:t xml:space="preserve">sult </w:t>
      </w:r>
      <w:r w:rsidR="00A24DBE">
        <w:t>–</w:t>
      </w:r>
      <w:r w:rsidR="00CB1099">
        <w:t xml:space="preserve"> </w:t>
      </w:r>
      <w:r w:rsidR="00606C47">
        <w:t xml:space="preserve">total </w:t>
      </w:r>
      <w:r w:rsidR="00CF161A">
        <w:t>change in net worth</w:t>
      </w:r>
    </w:p>
    <w:p w14:paraId="3F2C390C" w14:textId="77777777" w:rsidR="006B5049" w:rsidRDefault="00606C47" w:rsidP="003B5132">
      <w:pPr>
        <w:pStyle w:val="Bullet1"/>
      </w:pPr>
      <w:r>
        <w:t xml:space="preserve">net </w:t>
      </w:r>
      <w:r w:rsidR="009075E5">
        <w:t>lending</w:t>
      </w:r>
      <w:r w:rsidR="00A15B40">
        <w:t>/(borrowing)</w:t>
      </w:r>
      <w:r w:rsidR="00CB1099">
        <w:t xml:space="preserve"> (fiscal balance)</w:t>
      </w:r>
    </w:p>
    <w:p w14:paraId="0071D94C" w14:textId="488EA448" w:rsidR="009075E5" w:rsidRDefault="006B5049" w:rsidP="003B5132">
      <w:pPr>
        <w:pStyle w:val="Bullet1"/>
      </w:pPr>
      <w:r>
        <w:t>capital expenditure</w:t>
      </w:r>
      <w:r w:rsidR="00606C47">
        <w:t>.</w:t>
      </w:r>
    </w:p>
    <w:p w14:paraId="51EFA148" w14:textId="09CDC699" w:rsidR="00CA0950" w:rsidRDefault="00CA0950" w:rsidP="003B5132">
      <w:pPr>
        <w:pStyle w:val="BodyText"/>
      </w:pPr>
      <w:r>
        <w:t>The following pages provide an example of an Operating Statement.</w:t>
      </w:r>
      <w:r w:rsidR="00661EDB">
        <w:t xml:space="preserve"> </w:t>
      </w:r>
      <w:r>
        <w:t>It is important to recognise the Operating Statement, which runs over two pages</w:t>
      </w:r>
      <w:r w:rsidR="0010174F">
        <w:t>:</w:t>
      </w:r>
    </w:p>
    <w:p w14:paraId="527C49EB" w14:textId="10BDF82C" w:rsidR="00661EDB" w:rsidRDefault="00DE1221" w:rsidP="003B5132">
      <w:pPr>
        <w:pStyle w:val="Bullet1"/>
      </w:pPr>
      <w:r>
        <w:t>c</w:t>
      </w:r>
      <w:r w:rsidR="00713A54">
        <w:t xml:space="preserve">aptures </w:t>
      </w:r>
      <w:r w:rsidR="00DE782A">
        <w:t xml:space="preserve">changes in economic value </w:t>
      </w:r>
      <w:r w:rsidR="003338FC">
        <w:t>(</w:t>
      </w:r>
      <w:r w:rsidR="003338FC" w:rsidRPr="003338FC">
        <w:rPr>
          <w:i/>
        </w:rPr>
        <w:t>economic flows</w:t>
      </w:r>
      <w:r w:rsidR="003338FC">
        <w:t xml:space="preserve">) </w:t>
      </w:r>
      <w:r w:rsidR="00DE782A">
        <w:t>over a 12</w:t>
      </w:r>
      <w:r w:rsidR="00ED20F2">
        <w:t>-</w:t>
      </w:r>
      <w:r w:rsidR="00DE782A">
        <w:t>month period.</w:t>
      </w:r>
    </w:p>
    <w:p w14:paraId="6420DCB0" w14:textId="409C3A53" w:rsidR="00287817" w:rsidRDefault="0010174F" w:rsidP="003B5132">
      <w:pPr>
        <w:pStyle w:val="Bullet1"/>
      </w:pPr>
      <w:r>
        <w:t>breaks down economic flows into two main categories</w:t>
      </w:r>
      <w:r w:rsidR="00ED23A7">
        <w:t>:</w:t>
      </w:r>
    </w:p>
    <w:p w14:paraId="3A55C78B" w14:textId="59764B9A" w:rsidR="00FD22FE" w:rsidRPr="00287817" w:rsidRDefault="00335B1B" w:rsidP="003B5132">
      <w:pPr>
        <w:pStyle w:val="Bullet2"/>
      </w:pPr>
      <w:r>
        <w:rPr>
          <w:b/>
          <w:bCs/>
        </w:rPr>
        <w:t>t</w:t>
      </w:r>
      <w:r w:rsidR="0010174F" w:rsidRPr="00287817">
        <w:rPr>
          <w:b/>
          <w:bCs/>
        </w:rPr>
        <w:t>ransactions</w:t>
      </w:r>
      <w:r w:rsidR="00FD22FE">
        <w:rPr>
          <w:b/>
          <w:bCs/>
        </w:rPr>
        <w:t xml:space="preserve"> –</w:t>
      </w:r>
      <w:r w:rsidR="0071101E">
        <w:rPr>
          <w:b/>
          <w:bCs/>
        </w:rPr>
        <w:t xml:space="preserve"> </w:t>
      </w:r>
      <w:r w:rsidR="0071101E" w:rsidRPr="0071101E">
        <w:t>a</w:t>
      </w:r>
      <w:r w:rsidR="0071101E">
        <w:t>n economic flow that is an interaction between institutional units by mutual agreement or through the operation of the law</w:t>
      </w:r>
      <w:r w:rsidR="003338FC">
        <w:t xml:space="preserve">. </w:t>
      </w:r>
    </w:p>
    <w:p w14:paraId="5CCA8556" w14:textId="10CE05AD" w:rsidR="0010174F" w:rsidRPr="00FD22FE" w:rsidRDefault="00335B1B" w:rsidP="003B5132">
      <w:pPr>
        <w:pStyle w:val="Bullet2"/>
        <w:rPr>
          <w:b/>
          <w:bCs/>
        </w:rPr>
      </w:pPr>
      <w:r>
        <w:rPr>
          <w:b/>
          <w:bCs/>
        </w:rPr>
        <w:t>o</w:t>
      </w:r>
      <w:r w:rsidR="0010174F" w:rsidRPr="00287817">
        <w:rPr>
          <w:b/>
          <w:bCs/>
        </w:rPr>
        <w:t>ther economic flows</w:t>
      </w:r>
      <w:r w:rsidR="00FD22FE">
        <w:t xml:space="preserve"> –</w:t>
      </w:r>
      <w:r w:rsidR="0010174F" w:rsidRPr="00287817">
        <w:t xml:space="preserve"> </w:t>
      </w:r>
      <w:r w:rsidR="0010174F" w:rsidRPr="0010174F">
        <w:t>which</w:t>
      </w:r>
      <w:r w:rsidR="0010174F" w:rsidRPr="00287817">
        <w:t xml:space="preserve"> </w:t>
      </w:r>
      <w:r w:rsidR="0010174F">
        <w:t xml:space="preserve">are changes in the volume or value of assets or liabilities that do not result from transactions. For example, </w:t>
      </w:r>
      <w:r w:rsidR="00B34293">
        <w:t xml:space="preserve">there may be </w:t>
      </w:r>
      <w:r w:rsidR="0010174F">
        <w:t>changes due to natural events, such as an earthquake or a flood</w:t>
      </w:r>
      <w:r w:rsidR="00B405B4">
        <w:t>, or</w:t>
      </w:r>
      <w:r w:rsidR="0010174F">
        <w:t xml:space="preserve"> the</w:t>
      </w:r>
      <w:r w:rsidR="00826F01">
        <w:t xml:space="preserve">re may be other re-valuations. </w:t>
      </w:r>
    </w:p>
    <w:p w14:paraId="2AA9DFF3" w14:textId="76241898" w:rsidR="009075E5" w:rsidRDefault="006D7337" w:rsidP="003B5132">
      <w:pPr>
        <w:pStyle w:val="BodyText"/>
      </w:pPr>
      <w:r>
        <w:t>Figure</w:t>
      </w:r>
      <w:r w:rsidR="0282A2B7">
        <w:t xml:space="preserve"> 3</w:t>
      </w:r>
      <w:r>
        <w:t xml:space="preserve"> </w:t>
      </w:r>
      <w:r w:rsidR="0092102E">
        <w:t xml:space="preserve">below provides an example of an Operating Statement, detailing the above concepts for clarity. </w:t>
      </w:r>
    </w:p>
    <w:p w14:paraId="5CD07613" w14:textId="77777777" w:rsidR="006D7337" w:rsidRDefault="006D7337">
      <w:pPr>
        <w:widowControl/>
        <w:tabs>
          <w:tab w:val="clear" w:pos="4196"/>
          <w:tab w:val="clear" w:pos="5046"/>
          <w:tab w:val="clear" w:pos="5897"/>
          <w:tab w:val="clear" w:pos="6747"/>
          <w:tab w:val="clear" w:pos="7598"/>
        </w:tabs>
        <w:autoSpaceDE/>
        <w:autoSpaceDN/>
        <w:rPr>
          <w:rFonts w:eastAsia="Calibri" w:cs="Times New Roman"/>
          <w:iCs/>
          <w:sz w:val="23"/>
          <w:lang w:eastAsia="en-US"/>
        </w:rPr>
      </w:pPr>
    </w:p>
    <w:p w14:paraId="28BBB66B" w14:textId="589810FC" w:rsidR="00036B4A" w:rsidRDefault="00036B4A">
      <w:pPr>
        <w:widowControl/>
        <w:tabs>
          <w:tab w:val="clear" w:pos="4196"/>
          <w:tab w:val="clear" w:pos="5046"/>
          <w:tab w:val="clear" w:pos="5897"/>
          <w:tab w:val="clear" w:pos="6747"/>
          <w:tab w:val="clear" w:pos="7598"/>
        </w:tabs>
        <w:autoSpaceDE/>
        <w:autoSpaceDN/>
        <w:rPr>
          <w:rFonts w:eastAsia="Calibri" w:cs="Times New Roman"/>
          <w:iCs/>
          <w:sz w:val="23"/>
          <w:lang w:eastAsia="en-US"/>
        </w:rPr>
      </w:pPr>
      <w:r>
        <w:rPr>
          <w:rFonts w:eastAsia="Calibri" w:cs="Times New Roman"/>
          <w:iCs/>
          <w:sz w:val="23"/>
          <w:lang w:eastAsia="en-US"/>
        </w:rPr>
        <w:br w:type="page"/>
      </w:r>
    </w:p>
    <w:p w14:paraId="4E5BCF4E" w14:textId="1098D21A" w:rsidR="006D7337" w:rsidRDefault="002C0C8B" w:rsidP="002C0C8B">
      <w:pPr>
        <w:spacing w:before="240" w:after="120"/>
        <w:rPr>
          <w:i/>
          <w:color w:val="4F4F4F"/>
          <w:sz w:val="22"/>
          <w:szCs w:val="22"/>
        </w:rPr>
      </w:pPr>
      <w:r>
        <w:rPr>
          <w:i/>
          <w:iCs/>
          <w:color w:val="4F4F4F"/>
          <w:sz w:val="22"/>
          <w:szCs w:val="22"/>
        </w:rPr>
        <w:lastRenderedPageBreak/>
        <w:t>Figure 3:</w:t>
      </w:r>
      <w:r>
        <w:rPr>
          <w:i/>
          <w:iCs/>
          <w:color w:val="4F4F4F"/>
          <w:sz w:val="22"/>
          <w:szCs w:val="22"/>
        </w:rPr>
        <w:tab/>
      </w:r>
      <w:r w:rsidR="006D7337" w:rsidRPr="002C0C8B">
        <w:rPr>
          <w:i/>
          <w:color w:val="4F4F4F"/>
          <w:sz w:val="22"/>
          <w:szCs w:val="22"/>
        </w:rPr>
        <w:t>Exemplar operating statement</w:t>
      </w:r>
    </w:p>
    <w:p w14:paraId="6A496DFE" w14:textId="149C4DC5" w:rsidR="00861DA5" w:rsidRDefault="00861DA5" w:rsidP="006D73EB">
      <w:pPr>
        <w:spacing w:before="120" w:after="120"/>
        <w:rPr>
          <w:color w:val="44546A" w:themeColor="text2"/>
          <w:kern w:val="28"/>
        </w:rPr>
      </w:pPr>
      <w:r w:rsidRPr="00036B4A">
        <w:rPr>
          <w:rFonts w:eastAsia="Calibri" w:cs="Times New Roman"/>
          <w:iCs/>
          <w:noProof/>
          <w:sz w:val="23"/>
          <w:lang w:eastAsia="en-US"/>
        </w:rPr>
        <mc:AlternateContent>
          <mc:Choice Requires="wps">
            <w:drawing>
              <wp:anchor distT="0" distB="0" distL="114300" distR="114300" simplePos="0" relativeHeight="251658243" behindDoc="0" locked="0" layoutInCell="1" allowOverlap="1" wp14:anchorId="077C1CEA" wp14:editId="4874933D">
                <wp:simplePos x="0" y="0"/>
                <wp:positionH relativeFrom="column">
                  <wp:posOffset>2618097</wp:posOffset>
                </wp:positionH>
                <wp:positionV relativeFrom="paragraph">
                  <wp:posOffset>281827</wp:posOffset>
                </wp:positionV>
                <wp:extent cx="1295400" cy="387350"/>
                <wp:effectExtent l="0" t="0" r="19050" b="127000"/>
                <wp:wrapNone/>
                <wp:docPr id="183" name="Speech Bubble: Rectangle with Corners Rounded 182">
                  <a:extLst xmlns:a="http://schemas.openxmlformats.org/drawingml/2006/main">
                    <a:ext uri="{FF2B5EF4-FFF2-40B4-BE49-F238E27FC236}">
                      <a16:creationId xmlns:a16="http://schemas.microsoft.com/office/drawing/2014/main" id="{C2E4D9C2-B9DF-4FE6-8CF7-47B9099413C4}"/>
                    </a:ext>
                  </a:extLst>
                </wp:docPr>
                <wp:cNvGraphicFramePr/>
                <a:graphic xmlns:a="http://schemas.openxmlformats.org/drawingml/2006/main">
                  <a:graphicData uri="http://schemas.microsoft.com/office/word/2010/wordprocessingShape">
                    <wps:wsp>
                      <wps:cNvSpPr/>
                      <wps:spPr>
                        <a:xfrm>
                          <a:off x="0" y="0"/>
                          <a:ext cx="1295400" cy="387350"/>
                        </a:xfrm>
                        <a:prstGeom prst="wedgeRoundRectCallout">
                          <a:avLst>
                            <a:gd name="adj1" fmla="val 22355"/>
                            <a:gd name="adj2" fmla="val 75637"/>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4EEDC796" w14:textId="77777777" w:rsidR="00036B4A" w:rsidRDefault="00036B4A" w:rsidP="00036B4A">
                            <w:pPr>
                              <w:rPr>
                                <w:sz w:val="24"/>
                                <w:szCs w:val="24"/>
                              </w:rPr>
                            </w:pPr>
                            <w:r>
                              <w:rPr>
                                <w:b/>
                                <w:color w:val="44546A" w:themeColor="text2"/>
                                <w:kern w:val="24"/>
                                <w:sz w:val="18"/>
                                <w:szCs w:val="18"/>
                              </w:rPr>
                              <w:t>Fin. year about to end</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077C1C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82" o:spid="_x0000_s1070" type="#_x0000_t62" style="position:absolute;margin-left:206.15pt;margin-top:22.2pt;width:102pt;height: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" adj="15629,27138" fillcolor="#f2f2f2 [3052]" strokecolor="#44546a [3215]" strokeweight="1.75pt">
                <v:stroke dashstyle="3 1"/>
                <v:textbox inset="1mm,1mm,1mm,1mm">
                  <w:txbxContent>
                    <w:p w14:paraId="4EEDC796" w14:textId="77777777" w:rsidR="00036B4A" w:rsidRDefault="00036B4A" w:rsidP="00036B4A">
                      <w:pPr>
                        <w:rPr>
                          <w:sz w:val="24"/>
                          <w:szCs w:val="24"/>
                        </w:rPr>
                      </w:pPr>
                      <w:r>
                        <w:rPr>
                          <w:b/>
                          <w:color w:val="44546A" w:themeColor="text2"/>
                          <w:kern w:val="24"/>
                          <w:sz w:val="18"/>
                          <w:szCs w:val="18"/>
                        </w:rPr>
                        <w:t>Fin. year about to end</w:t>
                      </w:r>
                    </w:p>
                  </w:txbxContent>
                </v:textbox>
              </v:shape>
            </w:pict>
          </mc:Fallback>
        </mc:AlternateContent>
      </w:r>
      <w:r w:rsidR="006D73EB" w:rsidRPr="00F17C1E">
        <w:rPr>
          <w:b/>
          <w:color w:val="44546A" w:themeColor="text2"/>
          <w:kern w:val="28"/>
        </w:rPr>
        <w:t xml:space="preserve">Operating Statement - </w:t>
      </w:r>
      <w:r w:rsidR="006D73EB" w:rsidRPr="00F17C1E">
        <w:rPr>
          <w:color w:val="44546A" w:themeColor="text2"/>
          <w:kern w:val="28"/>
        </w:rPr>
        <w:t>Table A.1.1 in Budget Paper No. 1</w:t>
      </w:r>
    </w:p>
    <w:p w14:paraId="12B65AF3" w14:textId="21CCF454" w:rsidR="00953848" w:rsidRDefault="00861DA5" w:rsidP="006D73EB">
      <w:pPr>
        <w:spacing w:before="120" w:after="120"/>
        <w:rPr>
          <w:iCs/>
          <w:color w:val="4F4F4F"/>
          <w:sz w:val="22"/>
          <w:szCs w:val="22"/>
        </w:rPr>
      </w:pPr>
      <w:r w:rsidRPr="00036B4A">
        <w:rPr>
          <w:rFonts w:eastAsia="Calibri" w:cs="Times New Roman"/>
          <w:iCs/>
          <w:noProof/>
          <w:sz w:val="23"/>
          <w:lang w:eastAsia="en-US"/>
        </w:rPr>
        <mc:AlternateContent>
          <mc:Choice Requires="wps">
            <w:drawing>
              <wp:anchor distT="0" distB="0" distL="114300" distR="114300" simplePos="0" relativeHeight="251658255" behindDoc="0" locked="0" layoutInCell="1" allowOverlap="1" wp14:anchorId="7AA0B4D5" wp14:editId="080E5AED">
                <wp:simplePos x="0" y="0"/>
                <wp:positionH relativeFrom="column">
                  <wp:posOffset>4039453</wp:posOffset>
                </wp:positionH>
                <wp:positionV relativeFrom="paragraph">
                  <wp:posOffset>50656</wp:posOffset>
                </wp:positionV>
                <wp:extent cx="1295400" cy="323850"/>
                <wp:effectExtent l="0" t="0" r="19050" b="114300"/>
                <wp:wrapNone/>
                <wp:docPr id="184" name="Speech Bubble: Rectangle with Corners Rounded 183">
                  <a:extLst xmlns:a="http://schemas.openxmlformats.org/drawingml/2006/main">
                    <a:ext uri="{FF2B5EF4-FFF2-40B4-BE49-F238E27FC236}">
                      <a16:creationId xmlns:a16="http://schemas.microsoft.com/office/drawing/2014/main" id="{6531D63F-514A-4904-AF87-5E67D8AEFBF0}"/>
                    </a:ext>
                  </a:extLst>
                </wp:docPr>
                <wp:cNvGraphicFramePr/>
                <a:graphic xmlns:a="http://schemas.openxmlformats.org/drawingml/2006/main">
                  <a:graphicData uri="http://schemas.microsoft.com/office/word/2010/wordprocessingShape">
                    <wps:wsp>
                      <wps:cNvSpPr/>
                      <wps:spPr>
                        <a:xfrm>
                          <a:off x="0" y="0"/>
                          <a:ext cx="1295400" cy="323850"/>
                        </a:xfrm>
                        <a:prstGeom prst="wedgeRoundRectCallout">
                          <a:avLst>
                            <a:gd name="adj1" fmla="val -25197"/>
                            <a:gd name="adj2" fmla="val 78552"/>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0DF6C4EF" w14:textId="77777777" w:rsidR="00036B4A" w:rsidRDefault="00036B4A" w:rsidP="00036B4A">
                            <w:pPr>
                              <w:rPr>
                                <w:sz w:val="24"/>
                                <w:szCs w:val="24"/>
                              </w:rPr>
                            </w:pPr>
                            <w:r>
                              <w:rPr>
                                <w:b/>
                                <w:color w:val="44546A" w:themeColor="text2"/>
                                <w:kern w:val="24"/>
                                <w:sz w:val="18"/>
                                <w:szCs w:val="18"/>
                              </w:rPr>
                              <w:t>Budget year</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7AA0B4D5" id="Speech Bubble: Rectangle with Corners Rounded 183" o:spid="_x0000_s1071" type="#_x0000_t62" style="position:absolute;margin-left:318.05pt;margin-top:4pt;width:102pt;height:2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" adj="5357,27767" fillcolor="#f2f2f2 [3052]" strokecolor="#44546a [3215]" strokeweight="1.75pt">
                <v:stroke dashstyle="3 1"/>
                <v:textbox inset="1mm,1mm,1mm,1mm">
                  <w:txbxContent>
                    <w:p w14:paraId="0DF6C4EF" w14:textId="77777777" w:rsidR="00036B4A" w:rsidRDefault="00036B4A" w:rsidP="00036B4A">
                      <w:pPr>
                        <w:rPr>
                          <w:sz w:val="24"/>
                          <w:szCs w:val="24"/>
                        </w:rPr>
                      </w:pPr>
                      <w:r>
                        <w:rPr>
                          <w:b/>
                          <w:color w:val="44546A" w:themeColor="text2"/>
                          <w:kern w:val="24"/>
                          <w:sz w:val="18"/>
                          <w:szCs w:val="18"/>
                        </w:rPr>
                        <w:t>Budget year</w:t>
                      </w:r>
                    </w:p>
                  </w:txbxContent>
                </v:textbox>
              </v:shape>
            </w:pict>
          </mc:Fallback>
        </mc:AlternateContent>
      </w:r>
      <w:r>
        <w:rPr>
          <w:iCs/>
          <w:color w:val="4F4F4F"/>
          <w:sz w:val="22"/>
          <w:szCs w:val="22"/>
        </w:rPr>
        <w:br/>
      </w:r>
    </w:p>
    <w:tbl>
      <w:tblPr>
        <w:tblW w:w="9907" w:type="dxa"/>
        <w:tblLook w:val="04A0" w:firstRow="1" w:lastRow="0" w:firstColumn="1" w:lastColumn="0" w:noHBand="0" w:noVBand="1"/>
      </w:tblPr>
      <w:tblGrid>
        <w:gridCol w:w="4394"/>
        <w:gridCol w:w="918"/>
        <w:gridCol w:w="918"/>
        <w:gridCol w:w="918"/>
        <w:gridCol w:w="879"/>
        <w:gridCol w:w="21"/>
        <w:gridCol w:w="858"/>
        <w:gridCol w:w="42"/>
        <w:gridCol w:w="959"/>
      </w:tblGrid>
      <w:tr w:rsidR="00BD5EBA" w:rsidRPr="00B51E45" w14:paraId="43FAC74F" w14:textId="77777777" w:rsidTr="00E85896">
        <w:trPr>
          <w:trHeight w:val="283"/>
        </w:trPr>
        <w:tc>
          <w:tcPr>
            <w:tcW w:w="4394" w:type="dxa"/>
            <w:tcBorders>
              <w:top w:val="nil"/>
              <w:left w:val="nil"/>
              <w:bottom w:val="nil"/>
              <w:right w:val="nil"/>
            </w:tcBorders>
            <w:shd w:val="clear" w:color="000000" w:fill="008EBA"/>
            <w:vAlign w:val="center"/>
            <w:hideMark/>
          </w:tcPr>
          <w:p w14:paraId="0528F092" w14:textId="77777777" w:rsidR="00BD5EBA" w:rsidRPr="00B51E45" w:rsidRDefault="00BD5EBA" w:rsidP="00E85896">
            <w:pPr>
              <w:jc w:val="center"/>
              <w:rPr>
                <w:color w:val="FFFFFF"/>
                <w:sz w:val="16"/>
                <w:szCs w:val="16"/>
                <w:lang w:eastAsia="ko-KR"/>
              </w:rPr>
            </w:pPr>
            <w:r w:rsidRPr="00B51E45">
              <w:rPr>
                <w:color w:val="FFFFFF"/>
                <w:sz w:val="16"/>
                <w:szCs w:val="16"/>
                <w:lang w:eastAsia="ko-KR"/>
              </w:rPr>
              <w:t> </w:t>
            </w:r>
          </w:p>
        </w:tc>
        <w:tc>
          <w:tcPr>
            <w:tcW w:w="918" w:type="dxa"/>
            <w:tcBorders>
              <w:top w:val="nil"/>
              <w:left w:val="nil"/>
              <w:bottom w:val="nil"/>
              <w:right w:val="nil"/>
            </w:tcBorders>
            <w:shd w:val="clear" w:color="000000" w:fill="008EBA"/>
            <w:vAlign w:val="bottom"/>
            <w:hideMark/>
          </w:tcPr>
          <w:p w14:paraId="0EA1CE42" w14:textId="309282D6" w:rsidR="00BD5EBA" w:rsidRPr="00B51E45" w:rsidRDefault="00BD5EBA" w:rsidP="00E85896">
            <w:pPr>
              <w:jc w:val="center"/>
              <w:rPr>
                <w:color w:val="FFFFFF"/>
                <w:sz w:val="16"/>
                <w:szCs w:val="16"/>
                <w:lang w:eastAsia="ko-KR"/>
              </w:rPr>
            </w:pPr>
            <w:r w:rsidRPr="00B51E45">
              <w:rPr>
                <w:color w:val="FFFFFF"/>
                <w:sz w:val="16"/>
                <w:szCs w:val="16"/>
                <w:lang w:eastAsia="ko-KR"/>
              </w:rPr>
              <w:t>2020-21</w:t>
            </w:r>
          </w:p>
        </w:tc>
        <w:tc>
          <w:tcPr>
            <w:tcW w:w="918" w:type="dxa"/>
            <w:tcBorders>
              <w:top w:val="nil"/>
              <w:left w:val="nil"/>
              <w:bottom w:val="nil"/>
              <w:right w:val="nil"/>
            </w:tcBorders>
            <w:shd w:val="clear" w:color="000000" w:fill="008EBA"/>
            <w:vAlign w:val="bottom"/>
            <w:hideMark/>
          </w:tcPr>
          <w:p w14:paraId="70727CCF" w14:textId="77777777" w:rsidR="00BD5EBA" w:rsidRPr="00B51E45" w:rsidRDefault="00BD5EBA" w:rsidP="00E85896">
            <w:pPr>
              <w:jc w:val="center"/>
              <w:rPr>
                <w:color w:val="FFFFFF"/>
                <w:sz w:val="16"/>
                <w:szCs w:val="16"/>
                <w:lang w:eastAsia="ko-KR"/>
              </w:rPr>
            </w:pPr>
            <w:r w:rsidRPr="00B51E45">
              <w:rPr>
                <w:color w:val="FFFFFF"/>
                <w:sz w:val="16"/>
                <w:szCs w:val="16"/>
                <w:lang w:eastAsia="ko-KR"/>
              </w:rPr>
              <w:t>2021-22</w:t>
            </w:r>
          </w:p>
        </w:tc>
        <w:tc>
          <w:tcPr>
            <w:tcW w:w="918" w:type="dxa"/>
            <w:tcBorders>
              <w:top w:val="nil"/>
              <w:left w:val="nil"/>
              <w:bottom w:val="nil"/>
              <w:right w:val="nil"/>
            </w:tcBorders>
            <w:shd w:val="clear" w:color="000000" w:fill="008EBA"/>
            <w:vAlign w:val="bottom"/>
            <w:hideMark/>
          </w:tcPr>
          <w:p w14:paraId="732B124C" w14:textId="4965A15E" w:rsidR="00BD5EBA" w:rsidRPr="00B51E45" w:rsidRDefault="00BD5EBA" w:rsidP="00E85896">
            <w:pPr>
              <w:jc w:val="center"/>
              <w:rPr>
                <w:color w:val="FFFFFF"/>
                <w:sz w:val="16"/>
                <w:szCs w:val="16"/>
                <w:lang w:eastAsia="ko-KR"/>
              </w:rPr>
            </w:pPr>
            <w:r w:rsidRPr="00B51E45">
              <w:rPr>
                <w:color w:val="FFFFFF"/>
                <w:sz w:val="16"/>
                <w:szCs w:val="16"/>
                <w:lang w:eastAsia="ko-KR"/>
              </w:rPr>
              <w:t>2022-23</w:t>
            </w:r>
          </w:p>
        </w:tc>
        <w:tc>
          <w:tcPr>
            <w:tcW w:w="900" w:type="dxa"/>
            <w:gridSpan w:val="2"/>
            <w:tcBorders>
              <w:top w:val="nil"/>
              <w:left w:val="nil"/>
              <w:bottom w:val="nil"/>
              <w:right w:val="nil"/>
            </w:tcBorders>
            <w:shd w:val="clear" w:color="000000" w:fill="008EBA"/>
            <w:vAlign w:val="bottom"/>
            <w:hideMark/>
          </w:tcPr>
          <w:p w14:paraId="5669EC9D" w14:textId="77777777" w:rsidR="00BD5EBA" w:rsidRPr="00B51E45" w:rsidRDefault="00BD5EBA" w:rsidP="00E85896">
            <w:pPr>
              <w:jc w:val="center"/>
              <w:rPr>
                <w:color w:val="FFFFFF"/>
                <w:sz w:val="16"/>
                <w:szCs w:val="16"/>
                <w:lang w:eastAsia="ko-KR"/>
              </w:rPr>
            </w:pPr>
            <w:r w:rsidRPr="00B51E45">
              <w:rPr>
                <w:color w:val="FFFFFF"/>
                <w:sz w:val="16"/>
                <w:szCs w:val="16"/>
                <w:lang w:eastAsia="ko-KR"/>
              </w:rPr>
              <w:t>2023-24</w:t>
            </w:r>
          </w:p>
        </w:tc>
        <w:tc>
          <w:tcPr>
            <w:tcW w:w="900" w:type="dxa"/>
            <w:gridSpan w:val="2"/>
            <w:tcBorders>
              <w:top w:val="nil"/>
              <w:left w:val="nil"/>
              <w:bottom w:val="nil"/>
              <w:right w:val="nil"/>
            </w:tcBorders>
            <w:shd w:val="clear" w:color="000000" w:fill="008EBA"/>
            <w:vAlign w:val="bottom"/>
            <w:hideMark/>
          </w:tcPr>
          <w:p w14:paraId="38A71861" w14:textId="77777777" w:rsidR="00BD5EBA" w:rsidRPr="00B51E45" w:rsidRDefault="00BD5EBA" w:rsidP="00E85896">
            <w:pPr>
              <w:jc w:val="center"/>
              <w:rPr>
                <w:color w:val="FFFFFF"/>
                <w:sz w:val="16"/>
                <w:szCs w:val="16"/>
                <w:lang w:eastAsia="ko-KR"/>
              </w:rPr>
            </w:pPr>
            <w:r w:rsidRPr="00B51E45">
              <w:rPr>
                <w:color w:val="FFFFFF"/>
                <w:sz w:val="16"/>
                <w:szCs w:val="16"/>
                <w:lang w:eastAsia="ko-KR"/>
              </w:rPr>
              <w:t>2024-25</w:t>
            </w:r>
          </w:p>
        </w:tc>
        <w:tc>
          <w:tcPr>
            <w:tcW w:w="959" w:type="dxa"/>
            <w:tcBorders>
              <w:top w:val="nil"/>
              <w:left w:val="nil"/>
              <w:bottom w:val="nil"/>
              <w:right w:val="nil"/>
            </w:tcBorders>
            <w:shd w:val="clear" w:color="000000" w:fill="008EBA"/>
            <w:vAlign w:val="bottom"/>
            <w:hideMark/>
          </w:tcPr>
          <w:p w14:paraId="7D5F16CE" w14:textId="77777777" w:rsidR="00BD5EBA" w:rsidRPr="00B51E45" w:rsidRDefault="00BD5EBA" w:rsidP="00E85896">
            <w:pPr>
              <w:jc w:val="center"/>
              <w:rPr>
                <w:color w:val="FFFFFF"/>
                <w:sz w:val="16"/>
                <w:szCs w:val="16"/>
                <w:lang w:eastAsia="ko-KR"/>
              </w:rPr>
            </w:pPr>
            <w:r w:rsidRPr="00B51E45">
              <w:rPr>
                <w:color w:val="FFFFFF"/>
                <w:sz w:val="16"/>
                <w:szCs w:val="16"/>
                <w:lang w:eastAsia="ko-KR"/>
              </w:rPr>
              <w:t>2025-26</w:t>
            </w:r>
          </w:p>
        </w:tc>
      </w:tr>
      <w:tr w:rsidR="00BD5EBA" w:rsidRPr="00B51E45" w14:paraId="4C071414" w14:textId="77777777" w:rsidTr="00E85896">
        <w:trPr>
          <w:trHeight w:val="227"/>
        </w:trPr>
        <w:tc>
          <w:tcPr>
            <w:tcW w:w="4394" w:type="dxa"/>
            <w:tcBorders>
              <w:top w:val="nil"/>
              <w:left w:val="nil"/>
              <w:bottom w:val="nil"/>
              <w:right w:val="nil"/>
            </w:tcBorders>
            <w:shd w:val="clear" w:color="000000" w:fill="008EBA"/>
            <w:vAlign w:val="center"/>
            <w:hideMark/>
          </w:tcPr>
          <w:p w14:paraId="06BCFFE3" w14:textId="77777777" w:rsidR="00BD5EBA" w:rsidRPr="00B51E45" w:rsidRDefault="00BD5EBA" w:rsidP="00E85896">
            <w:pPr>
              <w:jc w:val="center"/>
              <w:rPr>
                <w:color w:val="FFFFFF"/>
                <w:sz w:val="16"/>
                <w:szCs w:val="16"/>
                <w:lang w:eastAsia="ko-KR"/>
              </w:rPr>
            </w:pPr>
            <w:r w:rsidRPr="00B51E45">
              <w:rPr>
                <w:color w:val="FFFFFF"/>
                <w:sz w:val="16"/>
                <w:szCs w:val="16"/>
                <w:lang w:eastAsia="ko-KR"/>
              </w:rPr>
              <w:t> </w:t>
            </w:r>
          </w:p>
        </w:tc>
        <w:tc>
          <w:tcPr>
            <w:tcW w:w="918" w:type="dxa"/>
            <w:tcBorders>
              <w:top w:val="nil"/>
              <w:left w:val="nil"/>
              <w:bottom w:val="nil"/>
              <w:right w:val="nil"/>
            </w:tcBorders>
            <w:shd w:val="clear" w:color="000000" w:fill="008EBA"/>
            <w:vAlign w:val="center"/>
            <w:hideMark/>
          </w:tcPr>
          <w:p w14:paraId="1BB1674E" w14:textId="789302BE" w:rsidR="00BD5EBA" w:rsidRPr="00B51E45" w:rsidRDefault="00BD5EBA" w:rsidP="00E85896">
            <w:pPr>
              <w:jc w:val="center"/>
              <w:rPr>
                <w:color w:val="FFFFFF"/>
                <w:sz w:val="16"/>
                <w:szCs w:val="16"/>
                <w:lang w:eastAsia="ko-KR"/>
              </w:rPr>
            </w:pPr>
            <w:r w:rsidRPr="00B51E45">
              <w:rPr>
                <w:color w:val="FFFFFF"/>
                <w:sz w:val="16"/>
                <w:szCs w:val="16"/>
                <w:lang w:eastAsia="ko-KR"/>
              </w:rPr>
              <w:t>Actual</w:t>
            </w:r>
          </w:p>
        </w:tc>
        <w:tc>
          <w:tcPr>
            <w:tcW w:w="918" w:type="dxa"/>
            <w:tcBorders>
              <w:top w:val="nil"/>
              <w:left w:val="nil"/>
              <w:bottom w:val="nil"/>
              <w:right w:val="nil"/>
            </w:tcBorders>
            <w:shd w:val="clear" w:color="000000" w:fill="008EBA"/>
            <w:vAlign w:val="center"/>
            <w:hideMark/>
          </w:tcPr>
          <w:p w14:paraId="7FD4EBE1" w14:textId="77777777" w:rsidR="00BD5EBA" w:rsidRPr="00B51E45" w:rsidRDefault="00BD5EBA" w:rsidP="00E85896">
            <w:pPr>
              <w:jc w:val="center"/>
              <w:rPr>
                <w:color w:val="FFFFFF"/>
                <w:sz w:val="16"/>
                <w:szCs w:val="16"/>
                <w:lang w:eastAsia="ko-KR"/>
              </w:rPr>
            </w:pPr>
            <w:r w:rsidRPr="00B51E45">
              <w:rPr>
                <w:color w:val="FFFFFF"/>
                <w:sz w:val="16"/>
                <w:szCs w:val="16"/>
                <w:lang w:eastAsia="ko-KR"/>
              </w:rPr>
              <w:t>Revised</w:t>
            </w:r>
          </w:p>
        </w:tc>
        <w:tc>
          <w:tcPr>
            <w:tcW w:w="918" w:type="dxa"/>
            <w:tcBorders>
              <w:top w:val="nil"/>
              <w:left w:val="nil"/>
              <w:bottom w:val="nil"/>
              <w:right w:val="nil"/>
            </w:tcBorders>
            <w:shd w:val="clear" w:color="000000" w:fill="008EBA"/>
            <w:vAlign w:val="center"/>
            <w:hideMark/>
          </w:tcPr>
          <w:p w14:paraId="266A210F" w14:textId="4B6A67F5" w:rsidR="00BD5EBA" w:rsidRPr="00B51E45" w:rsidRDefault="00BD5EBA" w:rsidP="00E85896">
            <w:pPr>
              <w:jc w:val="center"/>
              <w:rPr>
                <w:color w:val="FFFFFF"/>
                <w:sz w:val="16"/>
                <w:szCs w:val="16"/>
                <w:lang w:eastAsia="ko-KR"/>
              </w:rPr>
            </w:pPr>
            <w:r w:rsidRPr="00B51E45">
              <w:rPr>
                <w:color w:val="FFFFFF"/>
                <w:sz w:val="16"/>
                <w:szCs w:val="16"/>
                <w:lang w:eastAsia="ko-KR"/>
              </w:rPr>
              <w:t>Budget</w:t>
            </w:r>
          </w:p>
        </w:tc>
        <w:tc>
          <w:tcPr>
            <w:tcW w:w="2759" w:type="dxa"/>
            <w:gridSpan w:val="5"/>
            <w:tcBorders>
              <w:top w:val="nil"/>
              <w:left w:val="nil"/>
              <w:bottom w:val="nil"/>
              <w:right w:val="nil"/>
            </w:tcBorders>
            <w:shd w:val="clear" w:color="000000" w:fill="008EBA"/>
            <w:noWrap/>
            <w:vAlign w:val="center"/>
            <w:hideMark/>
          </w:tcPr>
          <w:p w14:paraId="5082FBEA" w14:textId="77777777" w:rsidR="00BD5EBA" w:rsidRPr="00B51E45" w:rsidRDefault="00BD5EBA" w:rsidP="00E85896">
            <w:pPr>
              <w:jc w:val="center"/>
              <w:rPr>
                <w:color w:val="FFFFFF"/>
                <w:sz w:val="16"/>
                <w:szCs w:val="16"/>
                <w:lang w:eastAsia="ko-KR"/>
              </w:rPr>
            </w:pPr>
            <w:r w:rsidRPr="00B51E45">
              <w:rPr>
                <w:color w:val="FFFFFF"/>
                <w:sz w:val="16"/>
                <w:szCs w:val="16"/>
                <w:lang w:eastAsia="ko-KR"/>
              </w:rPr>
              <w:t>Forward Estimates</w:t>
            </w:r>
          </w:p>
        </w:tc>
      </w:tr>
      <w:tr w:rsidR="00BD5EBA" w:rsidRPr="00B51E45" w14:paraId="2BD0FF77" w14:textId="77777777" w:rsidTr="00E85896">
        <w:trPr>
          <w:trHeight w:val="283"/>
        </w:trPr>
        <w:tc>
          <w:tcPr>
            <w:tcW w:w="4394" w:type="dxa"/>
            <w:tcBorders>
              <w:top w:val="nil"/>
              <w:left w:val="nil"/>
              <w:bottom w:val="nil"/>
              <w:right w:val="nil"/>
            </w:tcBorders>
            <w:shd w:val="clear" w:color="000000" w:fill="00426F"/>
            <w:vAlign w:val="center"/>
            <w:hideMark/>
          </w:tcPr>
          <w:p w14:paraId="469A1576" w14:textId="77777777" w:rsidR="00BD5EBA" w:rsidRPr="00B51E45" w:rsidRDefault="00BD5EBA" w:rsidP="00E85896">
            <w:pPr>
              <w:jc w:val="center"/>
              <w:rPr>
                <w:color w:val="000000"/>
                <w:sz w:val="16"/>
                <w:szCs w:val="16"/>
                <w:lang w:eastAsia="ko-KR"/>
              </w:rPr>
            </w:pPr>
            <w:r w:rsidRPr="00B51E45">
              <w:rPr>
                <w:color w:val="000000"/>
                <w:sz w:val="16"/>
                <w:szCs w:val="16"/>
                <w:lang w:eastAsia="ko-KR"/>
              </w:rPr>
              <w:t> </w:t>
            </w:r>
          </w:p>
        </w:tc>
        <w:tc>
          <w:tcPr>
            <w:tcW w:w="918" w:type="dxa"/>
            <w:tcBorders>
              <w:top w:val="nil"/>
              <w:left w:val="nil"/>
              <w:bottom w:val="nil"/>
              <w:right w:val="nil"/>
            </w:tcBorders>
            <w:shd w:val="clear" w:color="000000" w:fill="00426F"/>
            <w:hideMark/>
          </w:tcPr>
          <w:p w14:paraId="203633AD"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c>
          <w:tcPr>
            <w:tcW w:w="918" w:type="dxa"/>
            <w:tcBorders>
              <w:top w:val="nil"/>
              <w:left w:val="nil"/>
              <w:bottom w:val="nil"/>
              <w:right w:val="nil"/>
            </w:tcBorders>
            <w:shd w:val="clear" w:color="000000" w:fill="00426F"/>
            <w:hideMark/>
          </w:tcPr>
          <w:p w14:paraId="5A692539"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c>
          <w:tcPr>
            <w:tcW w:w="918" w:type="dxa"/>
            <w:tcBorders>
              <w:top w:val="nil"/>
              <w:left w:val="nil"/>
              <w:bottom w:val="nil"/>
              <w:right w:val="nil"/>
            </w:tcBorders>
            <w:shd w:val="clear" w:color="000000" w:fill="00426F"/>
            <w:hideMark/>
          </w:tcPr>
          <w:p w14:paraId="0EC5F073"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c>
          <w:tcPr>
            <w:tcW w:w="879" w:type="dxa"/>
            <w:tcBorders>
              <w:top w:val="nil"/>
              <w:left w:val="nil"/>
              <w:bottom w:val="nil"/>
              <w:right w:val="nil"/>
            </w:tcBorders>
            <w:shd w:val="clear" w:color="000000" w:fill="00426F"/>
            <w:hideMark/>
          </w:tcPr>
          <w:p w14:paraId="5AA61F1A"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c>
          <w:tcPr>
            <w:tcW w:w="879" w:type="dxa"/>
            <w:gridSpan w:val="2"/>
            <w:tcBorders>
              <w:top w:val="nil"/>
              <w:left w:val="nil"/>
              <w:bottom w:val="nil"/>
              <w:right w:val="nil"/>
            </w:tcBorders>
            <w:shd w:val="clear" w:color="000000" w:fill="00426F"/>
            <w:hideMark/>
          </w:tcPr>
          <w:p w14:paraId="3204128C"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c>
          <w:tcPr>
            <w:tcW w:w="1001" w:type="dxa"/>
            <w:gridSpan w:val="2"/>
            <w:tcBorders>
              <w:top w:val="nil"/>
              <w:left w:val="nil"/>
              <w:bottom w:val="nil"/>
              <w:right w:val="nil"/>
            </w:tcBorders>
            <w:shd w:val="clear" w:color="000000" w:fill="00426F"/>
            <w:hideMark/>
          </w:tcPr>
          <w:p w14:paraId="61484020" w14:textId="77777777" w:rsidR="00BD5EBA" w:rsidRPr="00B51E45" w:rsidRDefault="00BD5EBA" w:rsidP="00E85896">
            <w:pPr>
              <w:jc w:val="center"/>
              <w:rPr>
                <w:color w:val="FFFFFF"/>
                <w:sz w:val="17"/>
                <w:szCs w:val="17"/>
                <w:lang w:eastAsia="ko-KR"/>
              </w:rPr>
            </w:pPr>
            <w:r w:rsidRPr="00B51E45">
              <w:rPr>
                <w:color w:val="FFFFFF"/>
                <w:sz w:val="17"/>
                <w:szCs w:val="17"/>
                <w:lang w:eastAsia="ko-KR"/>
              </w:rPr>
              <w:t>$m</w:t>
            </w:r>
          </w:p>
        </w:tc>
      </w:tr>
      <w:tr w:rsidR="00BD5EBA" w:rsidRPr="00B51E45" w14:paraId="7BAC0BAA" w14:textId="77777777" w:rsidTr="00E85896">
        <w:trPr>
          <w:trHeight w:val="288"/>
        </w:trPr>
        <w:tc>
          <w:tcPr>
            <w:tcW w:w="4394" w:type="dxa"/>
            <w:tcBorders>
              <w:top w:val="nil"/>
              <w:left w:val="nil"/>
              <w:bottom w:val="nil"/>
              <w:right w:val="nil"/>
            </w:tcBorders>
            <w:shd w:val="clear" w:color="auto" w:fill="auto"/>
            <w:vAlign w:val="bottom"/>
            <w:hideMark/>
          </w:tcPr>
          <w:p w14:paraId="0BE54B08" w14:textId="77777777" w:rsidR="00BD5EBA" w:rsidRPr="00B51E45" w:rsidRDefault="00BD5EBA" w:rsidP="00E85896">
            <w:pPr>
              <w:outlineLvl w:val="0"/>
              <w:rPr>
                <w:b/>
                <w:bCs/>
                <w:color w:val="000000"/>
                <w:sz w:val="16"/>
                <w:szCs w:val="16"/>
                <w:lang w:eastAsia="ko-KR"/>
              </w:rPr>
            </w:pPr>
            <w:r w:rsidRPr="00B51E45">
              <w:rPr>
                <w:b/>
                <w:bCs/>
                <w:color w:val="000000"/>
                <w:sz w:val="16"/>
                <w:szCs w:val="16"/>
                <w:lang w:eastAsia="ko-KR"/>
              </w:rPr>
              <w:t>Revenue from Transactions</w:t>
            </w:r>
          </w:p>
        </w:tc>
        <w:tc>
          <w:tcPr>
            <w:tcW w:w="918" w:type="dxa"/>
            <w:tcBorders>
              <w:top w:val="nil"/>
              <w:left w:val="nil"/>
              <w:bottom w:val="nil"/>
              <w:right w:val="nil"/>
            </w:tcBorders>
            <w:shd w:val="clear" w:color="auto" w:fill="auto"/>
            <w:vAlign w:val="bottom"/>
            <w:hideMark/>
          </w:tcPr>
          <w:p w14:paraId="767C1A5D" w14:textId="77777777" w:rsidR="00BD5EBA" w:rsidRPr="00B51E45" w:rsidRDefault="00BD5EBA" w:rsidP="00E85896">
            <w:pPr>
              <w:outlineLvl w:val="0"/>
              <w:rPr>
                <w:b/>
                <w:bCs/>
                <w:color w:val="000000"/>
                <w:sz w:val="16"/>
                <w:szCs w:val="16"/>
                <w:lang w:eastAsia="ko-KR"/>
              </w:rPr>
            </w:pPr>
          </w:p>
        </w:tc>
        <w:tc>
          <w:tcPr>
            <w:tcW w:w="918" w:type="dxa"/>
            <w:tcBorders>
              <w:top w:val="nil"/>
              <w:left w:val="nil"/>
              <w:bottom w:val="nil"/>
              <w:right w:val="nil"/>
            </w:tcBorders>
            <w:shd w:val="clear" w:color="auto" w:fill="auto"/>
            <w:vAlign w:val="bottom"/>
            <w:hideMark/>
          </w:tcPr>
          <w:p w14:paraId="120C654A" w14:textId="77777777" w:rsidR="00BD5EBA" w:rsidRPr="00B51E45" w:rsidRDefault="00BD5EBA" w:rsidP="00E85896">
            <w:pPr>
              <w:outlineLvl w:val="0"/>
              <w:rPr>
                <w:lang w:eastAsia="ko-KR"/>
              </w:rPr>
            </w:pPr>
          </w:p>
        </w:tc>
        <w:tc>
          <w:tcPr>
            <w:tcW w:w="918" w:type="dxa"/>
            <w:tcBorders>
              <w:top w:val="nil"/>
              <w:left w:val="nil"/>
              <w:bottom w:val="nil"/>
              <w:right w:val="nil"/>
            </w:tcBorders>
            <w:shd w:val="clear" w:color="auto" w:fill="auto"/>
            <w:vAlign w:val="bottom"/>
            <w:hideMark/>
          </w:tcPr>
          <w:p w14:paraId="009672F9" w14:textId="77777777" w:rsidR="00BD5EBA" w:rsidRPr="00B51E45" w:rsidRDefault="00BD5EBA" w:rsidP="00E85896">
            <w:pPr>
              <w:outlineLvl w:val="0"/>
              <w:rPr>
                <w:lang w:eastAsia="ko-KR"/>
              </w:rPr>
            </w:pPr>
          </w:p>
        </w:tc>
        <w:tc>
          <w:tcPr>
            <w:tcW w:w="879" w:type="dxa"/>
            <w:tcBorders>
              <w:top w:val="nil"/>
              <w:left w:val="nil"/>
              <w:bottom w:val="nil"/>
              <w:right w:val="nil"/>
            </w:tcBorders>
            <w:shd w:val="clear" w:color="auto" w:fill="auto"/>
            <w:vAlign w:val="bottom"/>
            <w:hideMark/>
          </w:tcPr>
          <w:p w14:paraId="26C55894" w14:textId="77777777" w:rsidR="00BD5EBA" w:rsidRPr="00B51E45" w:rsidRDefault="00BD5EBA" w:rsidP="00E85896">
            <w:pPr>
              <w:outlineLvl w:val="0"/>
              <w:rPr>
                <w:lang w:eastAsia="ko-KR"/>
              </w:rPr>
            </w:pPr>
          </w:p>
        </w:tc>
        <w:tc>
          <w:tcPr>
            <w:tcW w:w="879" w:type="dxa"/>
            <w:gridSpan w:val="2"/>
            <w:tcBorders>
              <w:top w:val="nil"/>
              <w:left w:val="nil"/>
              <w:bottom w:val="nil"/>
              <w:right w:val="nil"/>
            </w:tcBorders>
            <w:shd w:val="clear" w:color="auto" w:fill="auto"/>
            <w:vAlign w:val="bottom"/>
            <w:hideMark/>
          </w:tcPr>
          <w:p w14:paraId="7BE4005A" w14:textId="77777777" w:rsidR="00BD5EBA" w:rsidRPr="00B51E45" w:rsidRDefault="00BD5EBA" w:rsidP="00E85896">
            <w:pPr>
              <w:outlineLvl w:val="0"/>
              <w:rPr>
                <w:lang w:eastAsia="ko-KR"/>
              </w:rPr>
            </w:pPr>
          </w:p>
        </w:tc>
        <w:tc>
          <w:tcPr>
            <w:tcW w:w="1001" w:type="dxa"/>
            <w:gridSpan w:val="2"/>
            <w:tcBorders>
              <w:top w:val="nil"/>
              <w:left w:val="nil"/>
              <w:bottom w:val="nil"/>
              <w:right w:val="nil"/>
            </w:tcBorders>
            <w:shd w:val="clear" w:color="auto" w:fill="auto"/>
            <w:vAlign w:val="bottom"/>
            <w:hideMark/>
          </w:tcPr>
          <w:p w14:paraId="74EE7930" w14:textId="77777777" w:rsidR="00BD5EBA" w:rsidRPr="00B51E45" w:rsidRDefault="00BD5EBA" w:rsidP="00E85896">
            <w:pPr>
              <w:outlineLvl w:val="0"/>
              <w:rPr>
                <w:lang w:eastAsia="ko-KR"/>
              </w:rPr>
            </w:pPr>
          </w:p>
        </w:tc>
      </w:tr>
      <w:tr w:rsidR="00BD5EBA" w:rsidRPr="00B51E45" w14:paraId="53683273" w14:textId="77777777" w:rsidTr="00E85896">
        <w:trPr>
          <w:trHeight w:val="227"/>
        </w:trPr>
        <w:tc>
          <w:tcPr>
            <w:tcW w:w="4394" w:type="dxa"/>
            <w:tcBorders>
              <w:top w:val="nil"/>
              <w:left w:val="nil"/>
              <w:bottom w:val="nil"/>
              <w:right w:val="nil"/>
            </w:tcBorders>
            <w:shd w:val="clear" w:color="auto" w:fill="auto"/>
            <w:vAlign w:val="bottom"/>
            <w:hideMark/>
          </w:tcPr>
          <w:p w14:paraId="124861E3"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Taxation</w:t>
            </w:r>
          </w:p>
        </w:tc>
        <w:tc>
          <w:tcPr>
            <w:tcW w:w="918" w:type="dxa"/>
            <w:tcBorders>
              <w:top w:val="nil"/>
              <w:left w:val="nil"/>
              <w:bottom w:val="nil"/>
              <w:right w:val="nil"/>
            </w:tcBorders>
            <w:shd w:val="clear" w:color="auto" w:fill="auto"/>
            <w:vAlign w:val="bottom"/>
            <w:hideMark/>
          </w:tcPr>
          <w:p w14:paraId="7DDFEEF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34,407</w:t>
            </w:r>
          </w:p>
        </w:tc>
        <w:tc>
          <w:tcPr>
            <w:tcW w:w="918" w:type="dxa"/>
            <w:tcBorders>
              <w:top w:val="nil"/>
              <w:left w:val="nil"/>
              <w:bottom w:val="nil"/>
              <w:right w:val="nil"/>
            </w:tcBorders>
            <w:shd w:val="clear" w:color="auto" w:fill="auto"/>
            <w:vAlign w:val="bottom"/>
            <w:hideMark/>
          </w:tcPr>
          <w:p w14:paraId="12DE9D92"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39,240</w:t>
            </w:r>
          </w:p>
        </w:tc>
        <w:tc>
          <w:tcPr>
            <w:tcW w:w="918" w:type="dxa"/>
            <w:tcBorders>
              <w:top w:val="nil"/>
              <w:left w:val="nil"/>
              <w:bottom w:val="nil"/>
              <w:right w:val="nil"/>
            </w:tcBorders>
            <w:shd w:val="clear" w:color="auto" w:fill="auto"/>
            <w:vAlign w:val="bottom"/>
            <w:hideMark/>
          </w:tcPr>
          <w:p w14:paraId="014FB3FF"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39,637</w:t>
            </w:r>
          </w:p>
        </w:tc>
        <w:tc>
          <w:tcPr>
            <w:tcW w:w="879" w:type="dxa"/>
            <w:tcBorders>
              <w:top w:val="nil"/>
              <w:left w:val="nil"/>
              <w:bottom w:val="nil"/>
              <w:right w:val="nil"/>
            </w:tcBorders>
            <w:shd w:val="clear" w:color="auto" w:fill="auto"/>
            <w:vAlign w:val="bottom"/>
            <w:hideMark/>
          </w:tcPr>
          <w:p w14:paraId="69B8FBD3"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39,683</w:t>
            </w:r>
          </w:p>
        </w:tc>
        <w:tc>
          <w:tcPr>
            <w:tcW w:w="879" w:type="dxa"/>
            <w:gridSpan w:val="2"/>
            <w:tcBorders>
              <w:top w:val="nil"/>
              <w:left w:val="nil"/>
              <w:bottom w:val="nil"/>
              <w:right w:val="nil"/>
            </w:tcBorders>
            <w:shd w:val="clear" w:color="auto" w:fill="auto"/>
            <w:vAlign w:val="bottom"/>
            <w:hideMark/>
          </w:tcPr>
          <w:p w14:paraId="78A1C4B6"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41,732</w:t>
            </w:r>
          </w:p>
        </w:tc>
        <w:tc>
          <w:tcPr>
            <w:tcW w:w="1001" w:type="dxa"/>
            <w:gridSpan w:val="2"/>
            <w:tcBorders>
              <w:top w:val="nil"/>
              <w:left w:val="nil"/>
              <w:bottom w:val="nil"/>
              <w:right w:val="nil"/>
            </w:tcBorders>
            <w:shd w:val="clear" w:color="auto" w:fill="auto"/>
            <w:vAlign w:val="bottom"/>
            <w:hideMark/>
          </w:tcPr>
          <w:p w14:paraId="7104777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43,753</w:t>
            </w:r>
          </w:p>
        </w:tc>
      </w:tr>
      <w:tr w:rsidR="00BD5EBA" w:rsidRPr="00B51E45" w14:paraId="57C0F772" w14:textId="77777777" w:rsidTr="00E85896">
        <w:trPr>
          <w:trHeight w:val="227"/>
        </w:trPr>
        <w:tc>
          <w:tcPr>
            <w:tcW w:w="4394" w:type="dxa"/>
            <w:tcBorders>
              <w:top w:val="nil"/>
              <w:left w:val="nil"/>
              <w:bottom w:val="nil"/>
              <w:right w:val="nil"/>
            </w:tcBorders>
            <w:shd w:val="clear" w:color="auto" w:fill="auto"/>
            <w:vAlign w:val="bottom"/>
            <w:hideMark/>
          </w:tcPr>
          <w:p w14:paraId="5F64495B"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Grants and Subsidies</w:t>
            </w:r>
          </w:p>
        </w:tc>
        <w:tc>
          <w:tcPr>
            <w:tcW w:w="918" w:type="dxa"/>
            <w:tcBorders>
              <w:top w:val="nil"/>
              <w:left w:val="nil"/>
              <w:bottom w:val="nil"/>
              <w:right w:val="nil"/>
            </w:tcBorders>
            <w:shd w:val="clear" w:color="auto" w:fill="auto"/>
            <w:vAlign w:val="bottom"/>
            <w:hideMark/>
          </w:tcPr>
          <w:p w14:paraId="255F1143" w14:textId="77777777" w:rsidR="00BD5EBA" w:rsidRPr="008E665E" w:rsidRDefault="00BD5EBA" w:rsidP="00E85896">
            <w:pPr>
              <w:outlineLvl w:val="0"/>
              <w:rPr>
                <w:color w:val="A6A6A6" w:themeColor="background1" w:themeShade="A6"/>
                <w:sz w:val="16"/>
                <w:szCs w:val="16"/>
                <w:lang w:eastAsia="ko-KR"/>
              </w:rPr>
            </w:pPr>
          </w:p>
        </w:tc>
        <w:tc>
          <w:tcPr>
            <w:tcW w:w="918" w:type="dxa"/>
            <w:tcBorders>
              <w:top w:val="nil"/>
              <w:left w:val="nil"/>
              <w:bottom w:val="nil"/>
              <w:right w:val="nil"/>
            </w:tcBorders>
            <w:shd w:val="clear" w:color="auto" w:fill="auto"/>
            <w:vAlign w:val="bottom"/>
            <w:hideMark/>
          </w:tcPr>
          <w:p w14:paraId="4B25EBB7" w14:textId="77777777" w:rsidR="00BD5EBA" w:rsidRPr="00B51E45" w:rsidRDefault="00BD5EBA" w:rsidP="00E85896">
            <w:pPr>
              <w:jc w:val="right"/>
              <w:outlineLvl w:val="0"/>
              <w:rPr>
                <w:lang w:eastAsia="ko-KR"/>
              </w:rPr>
            </w:pPr>
          </w:p>
        </w:tc>
        <w:tc>
          <w:tcPr>
            <w:tcW w:w="918" w:type="dxa"/>
            <w:tcBorders>
              <w:top w:val="nil"/>
              <w:left w:val="nil"/>
              <w:bottom w:val="nil"/>
              <w:right w:val="nil"/>
            </w:tcBorders>
            <w:shd w:val="clear" w:color="auto" w:fill="auto"/>
            <w:vAlign w:val="bottom"/>
            <w:hideMark/>
          </w:tcPr>
          <w:p w14:paraId="08D0A40D" w14:textId="77777777" w:rsidR="00BD5EBA" w:rsidRPr="00B51E45" w:rsidRDefault="00BD5EBA" w:rsidP="00E85896">
            <w:pPr>
              <w:jc w:val="right"/>
              <w:outlineLvl w:val="0"/>
              <w:rPr>
                <w:lang w:eastAsia="ko-KR"/>
              </w:rPr>
            </w:pPr>
          </w:p>
        </w:tc>
        <w:tc>
          <w:tcPr>
            <w:tcW w:w="879" w:type="dxa"/>
            <w:tcBorders>
              <w:top w:val="nil"/>
              <w:left w:val="nil"/>
              <w:bottom w:val="nil"/>
              <w:right w:val="nil"/>
            </w:tcBorders>
            <w:shd w:val="clear" w:color="auto" w:fill="auto"/>
            <w:vAlign w:val="bottom"/>
            <w:hideMark/>
          </w:tcPr>
          <w:p w14:paraId="47322EA9" w14:textId="77777777" w:rsidR="00BD5EBA" w:rsidRPr="008E665E" w:rsidRDefault="00BD5EBA" w:rsidP="00E85896">
            <w:pPr>
              <w:jc w:val="right"/>
              <w:outlineLvl w:val="0"/>
              <w:rPr>
                <w:color w:val="A6A6A6" w:themeColor="background1" w:themeShade="A6"/>
                <w:lang w:eastAsia="ko-KR"/>
              </w:rPr>
            </w:pPr>
          </w:p>
        </w:tc>
        <w:tc>
          <w:tcPr>
            <w:tcW w:w="879" w:type="dxa"/>
            <w:gridSpan w:val="2"/>
            <w:tcBorders>
              <w:top w:val="nil"/>
              <w:left w:val="nil"/>
              <w:bottom w:val="nil"/>
              <w:right w:val="nil"/>
            </w:tcBorders>
            <w:shd w:val="clear" w:color="auto" w:fill="auto"/>
            <w:vAlign w:val="bottom"/>
            <w:hideMark/>
          </w:tcPr>
          <w:p w14:paraId="6B34DC1D" w14:textId="77777777" w:rsidR="00BD5EBA" w:rsidRPr="008E665E" w:rsidRDefault="00BD5EBA" w:rsidP="00E85896">
            <w:pPr>
              <w:jc w:val="right"/>
              <w:outlineLvl w:val="0"/>
              <w:rPr>
                <w:color w:val="A6A6A6" w:themeColor="background1" w:themeShade="A6"/>
                <w:lang w:eastAsia="ko-KR"/>
              </w:rPr>
            </w:pPr>
          </w:p>
        </w:tc>
        <w:tc>
          <w:tcPr>
            <w:tcW w:w="1001" w:type="dxa"/>
            <w:gridSpan w:val="2"/>
            <w:tcBorders>
              <w:top w:val="nil"/>
              <w:left w:val="nil"/>
              <w:bottom w:val="nil"/>
              <w:right w:val="nil"/>
            </w:tcBorders>
            <w:shd w:val="clear" w:color="auto" w:fill="auto"/>
            <w:vAlign w:val="bottom"/>
            <w:hideMark/>
          </w:tcPr>
          <w:p w14:paraId="65ED32C1" w14:textId="77777777" w:rsidR="00BD5EBA" w:rsidRPr="008E665E" w:rsidRDefault="00BD5EBA" w:rsidP="00E85896">
            <w:pPr>
              <w:jc w:val="right"/>
              <w:outlineLvl w:val="0"/>
              <w:rPr>
                <w:color w:val="A6A6A6" w:themeColor="background1" w:themeShade="A6"/>
                <w:lang w:eastAsia="ko-KR"/>
              </w:rPr>
            </w:pPr>
          </w:p>
        </w:tc>
      </w:tr>
      <w:tr w:rsidR="00BD5EBA" w:rsidRPr="00B51E45" w14:paraId="64F550A9" w14:textId="77777777" w:rsidTr="00E85896">
        <w:trPr>
          <w:trHeight w:val="227"/>
        </w:trPr>
        <w:tc>
          <w:tcPr>
            <w:tcW w:w="4394" w:type="dxa"/>
            <w:tcBorders>
              <w:top w:val="nil"/>
              <w:left w:val="nil"/>
              <w:bottom w:val="nil"/>
              <w:right w:val="nil"/>
            </w:tcBorders>
            <w:shd w:val="clear" w:color="auto" w:fill="auto"/>
            <w:vAlign w:val="bottom"/>
            <w:hideMark/>
          </w:tcPr>
          <w:p w14:paraId="20E1A862"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Commonwealth General Purpose</w:t>
            </w:r>
          </w:p>
        </w:tc>
        <w:tc>
          <w:tcPr>
            <w:tcW w:w="918" w:type="dxa"/>
            <w:tcBorders>
              <w:top w:val="nil"/>
              <w:left w:val="nil"/>
              <w:bottom w:val="nil"/>
              <w:right w:val="nil"/>
            </w:tcBorders>
            <w:shd w:val="clear" w:color="auto" w:fill="auto"/>
            <w:vAlign w:val="bottom"/>
            <w:hideMark/>
          </w:tcPr>
          <w:p w14:paraId="0C057486"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18,897</w:t>
            </w:r>
          </w:p>
        </w:tc>
        <w:tc>
          <w:tcPr>
            <w:tcW w:w="918" w:type="dxa"/>
            <w:tcBorders>
              <w:top w:val="nil"/>
              <w:left w:val="nil"/>
              <w:bottom w:val="nil"/>
              <w:right w:val="nil"/>
            </w:tcBorders>
            <w:shd w:val="clear" w:color="auto" w:fill="auto"/>
            <w:vAlign w:val="bottom"/>
            <w:hideMark/>
          </w:tcPr>
          <w:p w14:paraId="4853DFA4"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23,299</w:t>
            </w:r>
          </w:p>
        </w:tc>
        <w:tc>
          <w:tcPr>
            <w:tcW w:w="918" w:type="dxa"/>
            <w:tcBorders>
              <w:top w:val="nil"/>
              <w:left w:val="nil"/>
              <w:bottom w:val="nil"/>
              <w:right w:val="nil"/>
            </w:tcBorders>
            <w:shd w:val="clear" w:color="auto" w:fill="auto"/>
            <w:vAlign w:val="bottom"/>
            <w:hideMark/>
          </w:tcPr>
          <w:p w14:paraId="54B781C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25,538</w:t>
            </w:r>
          </w:p>
        </w:tc>
        <w:tc>
          <w:tcPr>
            <w:tcW w:w="879" w:type="dxa"/>
            <w:tcBorders>
              <w:top w:val="nil"/>
              <w:left w:val="nil"/>
              <w:bottom w:val="nil"/>
              <w:right w:val="nil"/>
            </w:tcBorders>
            <w:shd w:val="clear" w:color="auto" w:fill="auto"/>
            <w:vAlign w:val="bottom"/>
            <w:hideMark/>
          </w:tcPr>
          <w:p w14:paraId="1EFB6C8B"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26,304</w:t>
            </w:r>
          </w:p>
        </w:tc>
        <w:tc>
          <w:tcPr>
            <w:tcW w:w="879" w:type="dxa"/>
            <w:gridSpan w:val="2"/>
            <w:tcBorders>
              <w:top w:val="nil"/>
              <w:left w:val="nil"/>
              <w:bottom w:val="nil"/>
              <w:right w:val="nil"/>
            </w:tcBorders>
            <w:shd w:val="clear" w:color="auto" w:fill="auto"/>
            <w:vAlign w:val="bottom"/>
            <w:hideMark/>
          </w:tcPr>
          <w:p w14:paraId="2E7FC685"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27,134</w:t>
            </w:r>
          </w:p>
        </w:tc>
        <w:tc>
          <w:tcPr>
            <w:tcW w:w="1001" w:type="dxa"/>
            <w:gridSpan w:val="2"/>
            <w:tcBorders>
              <w:top w:val="nil"/>
              <w:left w:val="nil"/>
              <w:bottom w:val="nil"/>
              <w:right w:val="nil"/>
            </w:tcBorders>
            <w:shd w:val="clear" w:color="auto" w:fill="auto"/>
            <w:vAlign w:val="bottom"/>
            <w:hideMark/>
          </w:tcPr>
          <w:p w14:paraId="76EFB4BB" w14:textId="64B079EB"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28,148</w:t>
            </w:r>
          </w:p>
        </w:tc>
      </w:tr>
      <w:tr w:rsidR="00BD5EBA" w:rsidRPr="00B51E45" w14:paraId="10CF45D8" w14:textId="77777777" w:rsidTr="00E85896">
        <w:trPr>
          <w:trHeight w:val="227"/>
        </w:trPr>
        <w:tc>
          <w:tcPr>
            <w:tcW w:w="4394" w:type="dxa"/>
            <w:tcBorders>
              <w:top w:val="nil"/>
              <w:left w:val="nil"/>
              <w:bottom w:val="nil"/>
              <w:right w:val="nil"/>
            </w:tcBorders>
            <w:shd w:val="clear" w:color="auto" w:fill="auto"/>
            <w:vAlign w:val="bottom"/>
            <w:hideMark/>
          </w:tcPr>
          <w:p w14:paraId="32243E6F"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Commonwealth Specific Purpose Payments</w:t>
            </w:r>
          </w:p>
        </w:tc>
        <w:tc>
          <w:tcPr>
            <w:tcW w:w="918" w:type="dxa"/>
            <w:tcBorders>
              <w:top w:val="nil"/>
              <w:left w:val="nil"/>
              <w:bottom w:val="nil"/>
              <w:right w:val="nil"/>
            </w:tcBorders>
            <w:shd w:val="clear" w:color="auto" w:fill="auto"/>
            <w:vAlign w:val="bottom"/>
            <w:hideMark/>
          </w:tcPr>
          <w:p w14:paraId="337BF667"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11,999</w:t>
            </w:r>
          </w:p>
        </w:tc>
        <w:tc>
          <w:tcPr>
            <w:tcW w:w="918" w:type="dxa"/>
            <w:tcBorders>
              <w:top w:val="nil"/>
              <w:left w:val="nil"/>
              <w:bottom w:val="nil"/>
              <w:right w:val="nil"/>
            </w:tcBorders>
            <w:shd w:val="clear" w:color="auto" w:fill="auto"/>
            <w:vAlign w:val="bottom"/>
            <w:hideMark/>
          </w:tcPr>
          <w:p w14:paraId="35A88B3C"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13,209</w:t>
            </w:r>
          </w:p>
        </w:tc>
        <w:tc>
          <w:tcPr>
            <w:tcW w:w="918" w:type="dxa"/>
            <w:tcBorders>
              <w:top w:val="nil"/>
              <w:left w:val="nil"/>
              <w:bottom w:val="nil"/>
              <w:right w:val="nil"/>
            </w:tcBorders>
            <w:shd w:val="clear" w:color="auto" w:fill="auto"/>
            <w:vAlign w:val="bottom"/>
            <w:hideMark/>
          </w:tcPr>
          <w:p w14:paraId="1DF25105"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12,476</w:t>
            </w:r>
          </w:p>
        </w:tc>
        <w:tc>
          <w:tcPr>
            <w:tcW w:w="879" w:type="dxa"/>
            <w:tcBorders>
              <w:top w:val="nil"/>
              <w:left w:val="nil"/>
              <w:bottom w:val="nil"/>
              <w:right w:val="nil"/>
            </w:tcBorders>
            <w:shd w:val="clear" w:color="auto" w:fill="auto"/>
            <w:vAlign w:val="bottom"/>
            <w:hideMark/>
          </w:tcPr>
          <w:p w14:paraId="741AE695"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12,969</w:t>
            </w:r>
          </w:p>
        </w:tc>
        <w:tc>
          <w:tcPr>
            <w:tcW w:w="879" w:type="dxa"/>
            <w:gridSpan w:val="2"/>
            <w:tcBorders>
              <w:top w:val="nil"/>
              <w:left w:val="nil"/>
              <w:bottom w:val="nil"/>
              <w:right w:val="nil"/>
            </w:tcBorders>
            <w:shd w:val="clear" w:color="auto" w:fill="auto"/>
            <w:vAlign w:val="bottom"/>
            <w:hideMark/>
          </w:tcPr>
          <w:p w14:paraId="470CE40E"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13,622</w:t>
            </w:r>
          </w:p>
        </w:tc>
        <w:tc>
          <w:tcPr>
            <w:tcW w:w="1001" w:type="dxa"/>
            <w:gridSpan w:val="2"/>
            <w:tcBorders>
              <w:top w:val="nil"/>
              <w:left w:val="nil"/>
              <w:bottom w:val="nil"/>
              <w:right w:val="nil"/>
            </w:tcBorders>
            <w:shd w:val="clear" w:color="auto" w:fill="auto"/>
            <w:vAlign w:val="bottom"/>
            <w:hideMark/>
          </w:tcPr>
          <w:p w14:paraId="5495C5BA" w14:textId="2C6C0388"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14,317</w:t>
            </w:r>
          </w:p>
        </w:tc>
      </w:tr>
      <w:tr w:rsidR="00BD5EBA" w:rsidRPr="00B51E45" w14:paraId="2E8F66CB" w14:textId="77777777" w:rsidTr="00E85896">
        <w:trPr>
          <w:trHeight w:val="227"/>
        </w:trPr>
        <w:tc>
          <w:tcPr>
            <w:tcW w:w="4394" w:type="dxa"/>
            <w:tcBorders>
              <w:top w:val="nil"/>
              <w:left w:val="nil"/>
              <w:bottom w:val="nil"/>
              <w:right w:val="nil"/>
            </w:tcBorders>
            <w:shd w:val="clear" w:color="auto" w:fill="auto"/>
            <w:vAlign w:val="bottom"/>
            <w:hideMark/>
          </w:tcPr>
          <w:p w14:paraId="7AB717B4"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Commonwealth National Partnership Payments</w:t>
            </w:r>
          </w:p>
        </w:tc>
        <w:tc>
          <w:tcPr>
            <w:tcW w:w="918" w:type="dxa"/>
            <w:tcBorders>
              <w:top w:val="nil"/>
              <w:left w:val="nil"/>
              <w:bottom w:val="nil"/>
              <w:right w:val="nil"/>
            </w:tcBorders>
            <w:shd w:val="clear" w:color="auto" w:fill="auto"/>
            <w:vAlign w:val="bottom"/>
            <w:hideMark/>
          </w:tcPr>
          <w:p w14:paraId="5D1542F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3,618</w:t>
            </w:r>
          </w:p>
        </w:tc>
        <w:tc>
          <w:tcPr>
            <w:tcW w:w="918" w:type="dxa"/>
            <w:tcBorders>
              <w:top w:val="nil"/>
              <w:left w:val="nil"/>
              <w:bottom w:val="nil"/>
              <w:right w:val="nil"/>
            </w:tcBorders>
            <w:shd w:val="clear" w:color="auto" w:fill="auto"/>
            <w:vAlign w:val="bottom"/>
            <w:hideMark/>
          </w:tcPr>
          <w:p w14:paraId="13B79B49"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7,108</w:t>
            </w:r>
          </w:p>
        </w:tc>
        <w:tc>
          <w:tcPr>
            <w:tcW w:w="918" w:type="dxa"/>
            <w:tcBorders>
              <w:top w:val="nil"/>
              <w:left w:val="nil"/>
              <w:bottom w:val="nil"/>
              <w:right w:val="nil"/>
            </w:tcBorders>
            <w:shd w:val="clear" w:color="auto" w:fill="auto"/>
            <w:vAlign w:val="bottom"/>
            <w:hideMark/>
          </w:tcPr>
          <w:p w14:paraId="05CCFBEA"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3,502</w:t>
            </w:r>
          </w:p>
        </w:tc>
        <w:tc>
          <w:tcPr>
            <w:tcW w:w="879" w:type="dxa"/>
            <w:tcBorders>
              <w:top w:val="nil"/>
              <w:left w:val="nil"/>
              <w:bottom w:val="nil"/>
              <w:right w:val="nil"/>
            </w:tcBorders>
            <w:shd w:val="clear" w:color="auto" w:fill="auto"/>
            <w:vAlign w:val="bottom"/>
            <w:hideMark/>
          </w:tcPr>
          <w:p w14:paraId="23E902E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5,354</w:t>
            </w:r>
          </w:p>
        </w:tc>
        <w:tc>
          <w:tcPr>
            <w:tcW w:w="879" w:type="dxa"/>
            <w:gridSpan w:val="2"/>
            <w:tcBorders>
              <w:top w:val="nil"/>
              <w:left w:val="nil"/>
              <w:bottom w:val="nil"/>
              <w:right w:val="nil"/>
            </w:tcBorders>
            <w:shd w:val="clear" w:color="auto" w:fill="auto"/>
            <w:vAlign w:val="bottom"/>
            <w:hideMark/>
          </w:tcPr>
          <w:p w14:paraId="3D21D314" w14:textId="65CC679A"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5,802</w:t>
            </w:r>
          </w:p>
        </w:tc>
        <w:tc>
          <w:tcPr>
            <w:tcW w:w="1001" w:type="dxa"/>
            <w:gridSpan w:val="2"/>
            <w:tcBorders>
              <w:top w:val="nil"/>
              <w:left w:val="nil"/>
              <w:bottom w:val="nil"/>
              <w:right w:val="nil"/>
            </w:tcBorders>
            <w:shd w:val="clear" w:color="auto" w:fill="auto"/>
            <w:vAlign w:val="bottom"/>
            <w:hideMark/>
          </w:tcPr>
          <w:p w14:paraId="55AB7AB5" w14:textId="0915AA76"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4,784</w:t>
            </w:r>
          </w:p>
        </w:tc>
      </w:tr>
      <w:tr w:rsidR="00BD5EBA" w:rsidRPr="00B51E45" w14:paraId="60243EFF" w14:textId="77777777" w:rsidTr="00E85896">
        <w:trPr>
          <w:trHeight w:val="227"/>
        </w:trPr>
        <w:tc>
          <w:tcPr>
            <w:tcW w:w="4394" w:type="dxa"/>
            <w:tcBorders>
              <w:top w:val="nil"/>
              <w:left w:val="nil"/>
              <w:bottom w:val="nil"/>
              <w:right w:val="nil"/>
            </w:tcBorders>
            <w:shd w:val="clear" w:color="auto" w:fill="auto"/>
            <w:vAlign w:val="bottom"/>
            <w:hideMark/>
          </w:tcPr>
          <w:p w14:paraId="4E6748F2"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Other Commonwealth Payments</w:t>
            </w:r>
          </w:p>
        </w:tc>
        <w:tc>
          <w:tcPr>
            <w:tcW w:w="918" w:type="dxa"/>
            <w:tcBorders>
              <w:top w:val="nil"/>
              <w:left w:val="nil"/>
              <w:bottom w:val="nil"/>
              <w:right w:val="nil"/>
            </w:tcBorders>
            <w:shd w:val="clear" w:color="auto" w:fill="auto"/>
            <w:vAlign w:val="bottom"/>
            <w:hideMark/>
          </w:tcPr>
          <w:p w14:paraId="6B664587"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451</w:t>
            </w:r>
          </w:p>
        </w:tc>
        <w:tc>
          <w:tcPr>
            <w:tcW w:w="918" w:type="dxa"/>
            <w:tcBorders>
              <w:top w:val="nil"/>
              <w:left w:val="nil"/>
              <w:bottom w:val="nil"/>
              <w:right w:val="nil"/>
            </w:tcBorders>
            <w:shd w:val="clear" w:color="auto" w:fill="auto"/>
            <w:vAlign w:val="bottom"/>
            <w:hideMark/>
          </w:tcPr>
          <w:p w14:paraId="4D862F2C"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524</w:t>
            </w:r>
          </w:p>
        </w:tc>
        <w:tc>
          <w:tcPr>
            <w:tcW w:w="918" w:type="dxa"/>
            <w:tcBorders>
              <w:top w:val="nil"/>
              <w:left w:val="nil"/>
              <w:bottom w:val="nil"/>
              <w:right w:val="nil"/>
            </w:tcBorders>
            <w:shd w:val="clear" w:color="auto" w:fill="auto"/>
            <w:vAlign w:val="bottom"/>
            <w:hideMark/>
          </w:tcPr>
          <w:p w14:paraId="2FCC90D0"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586</w:t>
            </w:r>
          </w:p>
        </w:tc>
        <w:tc>
          <w:tcPr>
            <w:tcW w:w="879" w:type="dxa"/>
            <w:tcBorders>
              <w:top w:val="nil"/>
              <w:left w:val="nil"/>
              <w:bottom w:val="nil"/>
              <w:right w:val="nil"/>
            </w:tcBorders>
            <w:shd w:val="clear" w:color="auto" w:fill="auto"/>
            <w:vAlign w:val="bottom"/>
            <w:hideMark/>
          </w:tcPr>
          <w:p w14:paraId="55DC4FA2"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611</w:t>
            </w:r>
          </w:p>
        </w:tc>
        <w:tc>
          <w:tcPr>
            <w:tcW w:w="879" w:type="dxa"/>
            <w:gridSpan w:val="2"/>
            <w:tcBorders>
              <w:top w:val="nil"/>
              <w:left w:val="nil"/>
              <w:bottom w:val="nil"/>
              <w:right w:val="nil"/>
            </w:tcBorders>
            <w:shd w:val="clear" w:color="auto" w:fill="auto"/>
            <w:vAlign w:val="bottom"/>
            <w:hideMark/>
          </w:tcPr>
          <w:p w14:paraId="7FE7CC0B" w14:textId="528C4964"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703</w:t>
            </w:r>
          </w:p>
        </w:tc>
        <w:tc>
          <w:tcPr>
            <w:tcW w:w="1001" w:type="dxa"/>
            <w:gridSpan w:val="2"/>
            <w:tcBorders>
              <w:top w:val="nil"/>
              <w:left w:val="nil"/>
              <w:bottom w:val="nil"/>
              <w:right w:val="nil"/>
            </w:tcBorders>
            <w:shd w:val="clear" w:color="auto" w:fill="auto"/>
            <w:vAlign w:val="bottom"/>
            <w:hideMark/>
          </w:tcPr>
          <w:p w14:paraId="7A8BCC29" w14:textId="5694710B" w:rsidR="00BD5EBA" w:rsidRPr="008E665E" w:rsidRDefault="008E665E" w:rsidP="00E85896">
            <w:pPr>
              <w:jc w:val="right"/>
              <w:outlineLvl w:val="0"/>
              <w:rPr>
                <w:color w:val="A6A6A6" w:themeColor="background1" w:themeShade="A6"/>
                <w:sz w:val="16"/>
                <w:szCs w:val="16"/>
                <w:lang w:eastAsia="ko-KR"/>
              </w:rPr>
            </w:pPr>
            <w:r w:rsidRPr="00036B4A">
              <w:rPr>
                <w:rFonts w:eastAsia="Calibri" w:cs="Times New Roman"/>
                <w:iCs/>
                <w:noProof/>
                <w:sz w:val="23"/>
                <w:lang w:eastAsia="en-US"/>
              </w:rPr>
              <mc:AlternateContent>
                <mc:Choice Requires="wps">
                  <w:drawing>
                    <wp:anchor distT="0" distB="0" distL="114300" distR="114300" simplePos="0" relativeHeight="251658240" behindDoc="0" locked="0" layoutInCell="1" allowOverlap="1" wp14:anchorId="29717EC2" wp14:editId="1EB620AA">
                      <wp:simplePos x="0" y="0"/>
                      <wp:positionH relativeFrom="column">
                        <wp:posOffset>-1019810</wp:posOffset>
                      </wp:positionH>
                      <wp:positionV relativeFrom="paragraph">
                        <wp:posOffset>-24765</wp:posOffset>
                      </wp:positionV>
                      <wp:extent cx="1511300" cy="1258570"/>
                      <wp:effectExtent l="152400" t="0" r="12700" b="17780"/>
                      <wp:wrapNone/>
                      <wp:docPr id="6" name="Speech Bubble: Rectangle with Corners Rounded 5">
                        <a:extLst xmlns:a="http://schemas.openxmlformats.org/drawingml/2006/main">
                          <a:ext uri="{FF2B5EF4-FFF2-40B4-BE49-F238E27FC236}">
                            <a16:creationId xmlns:a16="http://schemas.microsoft.com/office/drawing/2014/main" id="{0D2CA3C7-A908-4768-BAA6-46F8E90E0639}"/>
                          </a:ext>
                        </a:extLst>
                      </wp:docPr>
                      <wp:cNvGraphicFramePr/>
                      <a:graphic xmlns:a="http://schemas.openxmlformats.org/drawingml/2006/main">
                        <a:graphicData uri="http://schemas.microsoft.com/office/word/2010/wordprocessingShape">
                          <wps:wsp>
                            <wps:cNvSpPr/>
                            <wps:spPr>
                              <a:xfrm>
                                <a:off x="0" y="0"/>
                                <a:ext cx="1511300" cy="1258570"/>
                              </a:xfrm>
                              <a:prstGeom prst="wedgeRoundRectCallout">
                                <a:avLst>
                                  <a:gd name="adj1" fmla="val -59026"/>
                                  <a:gd name="adj2" fmla="val 40974"/>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4227693D" w14:textId="77777777" w:rsidR="00036B4A" w:rsidRDefault="00036B4A" w:rsidP="00036B4A">
                                  <w:pPr>
                                    <w:rPr>
                                      <w:sz w:val="24"/>
                                      <w:szCs w:val="24"/>
                                    </w:rPr>
                                  </w:pPr>
                                  <w:r>
                                    <w:rPr>
                                      <w:b/>
                                      <w:color w:val="44546A" w:themeColor="text2"/>
                                      <w:kern w:val="24"/>
                                      <w:sz w:val="18"/>
                                      <w:szCs w:val="18"/>
                                    </w:rPr>
                                    <w:t>Sum of revenue.</w:t>
                                  </w:r>
                                </w:p>
                                <w:p w14:paraId="7CFD2A30" w14:textId="77777777" w:rsidR="00036B4A" w:rsidRDefault="00036B4A" w:rsidP="00036B4A">
                                  <w:r>
                                    <w:rPr>
                                      <w:color w:val="44546A" w:themeColor="text2"/>
                                      <w:kern w:val="24"/>
                                      <w:sz w:val="18"/>
                                      <w:szCs w:val="18"/>
                                    </w:rPr>
                                    <w:t xml:space="preserve">Includes </w:t>
                                  </w:r>
                                </w:p>
                                <w:p w14:paraId="17487C42" w14:textId="77777777"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State taxes</w:t>
                                  </w:r>
                                </w:p>
                                <w:p w14:paraId="52D3BD87" w14:textId="7669B8D6"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Revenue from C</w:t>
                                  </w:r>
                                  <w:r w:rsidR="00D812AB">
                                    <w:rPr>
                                      <w:color w:val="44546A" w:themeColor="text2"/>
                                      <w:kern w:val="24"/>
                                      <w:sz w:val="18"/>
                                      <w:szCs w:val="18"/>
                                    </w:rPr>
                                    <w:t>ommon</w:t>
                                  </w:r>
                                  <w:r>
                                    <w:rPr>
                                      <w:color w:val="44546A" w:themeColor="text2"/>
                                      <w:kern w:val="24"/>
                                      <w:sz w:val="18"/>
                                      <w:szCs w:val="18"/>
                                    </w:rPr>
                                    <w:t xml:space="preserve">wealth </w:t>
                                  </w:r>
                                </w:p>
                                <w:p w14:paraId="201ABDCF" w14:textId="77777777"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Other State revenue sources</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29717EC2" id="Speech Bubble: Rectangle with Corners Rounded 5" o:spid="_x0000_s1072" type="#_x0000_t62" style="position:absolute;left:0;text-align:left;margin-left:-80.3pt;margin-top:-1.95pt;width:119pt;height: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" adj="-1950,19650" fillcolor="#f2f2f2 [3052]" strokecolor="#44546a [3215]" strokeweight="1.75pt">
                      <v:stroke dashstyle="3 1"/>
                      <v:textbox inset="1mm,1mm,1mm,1mm">
                        <w:txbxContent>
                          <w:p w14:paraId="4227693D" w14:textId="77777777" w:rsidR="00036B4A" w:rsidRDefault="00036B4A" w:rsidP="00036B4A">
                            <w:pPr>
                              <w:rPr>
                                <w:sz w:val="24"/>
                                <w:szCs w:val="24"/>
                              </w:rPr>
                            </w:pPr>
                            <w:r>
                              <w:rPr>
                                <w:b/>
                                <w:color w:val="44546A" w:themeColor="text2"/>
                                <w:kern w:val="24"/>
                                <w:sz w:val="18"/>
                                <w:szCs w:val="18"/>
                              </w:rPr>
                              <w:t>Sum of revenue.</w:t>
                            </w:r>
                          </w:p>
                          <w:p w14:paraId="7CFD2A30" w14:textId="77777777" w:rsidR="00036B4A" w:rsidRDefault="00036B4A" w:rsidP="00036B4A">
                            <w:r>
                              <w:rPr>
                                <w:color w:val="44546A" w:themeColor="text2"/>
                                <w:kern w:val="24"/>
                                <w:sz w:val="18"/>
                                <w:szCs w:val="18"/>
                              </w:rPr>
                              <w:t xml:space="preserve">Includes </w:t>
                            </w:r>
                          </w:p>
                          <w:p w14:paraId="17487C42" w14:textId="77777777"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State taxes</w:t>
                            </w:r>
                          </w:p>
                          <w:p w14:paraId="52D3BD87" w14:textId="7669B8D6"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Revenue from C</w:t>
                            </w:r>
                            <w:r w:rsidR="00D812AB">
                              <w:rPr>
                                <w:color w:val="44546A" w:themeColor="text2"/>
                                <w:kern w:val="24"/>
                                <w:sz w:val="18"/>
                                <w:szCs w:val="18"/>
                              </w:rPr>
                              <w:t>ommon</w:t>
                            </w:r>
                            <w:r>
                              <w:rPr>
                                <w:color w:val="44546A" w:themeColor="text2"/>
                                <w:kern w:val="24"/>
                                <w:sz w:val="18"/>
                                <w:szCs w:val="18"/>
                              </w:rPr>
                              <w:t xml:space="preserve">wealth </w:t>
                            </w:r>
                          </w:p>
                          <w:p w14:paraId="201ABDCF" w14:textId="77777777" w:rsidR="00036B4A" w:rsidRDefault="00036B4A" w:rsidP="00C47E8E">
                            <w:pPr>
                              <w:pStyle w:val="ListParagraph"/>
                              <w:widowControl/>
                              <w:numPr>
                                <w:ilvl w:val="0"/>
                                <w:numId w:val="37"/>
                              </w:numPr>
                              <w:tabs>
                                <w:tab w:val="clear" w:pos="4196"/>
                                <w:tab w:val="clear" w:pos="5046"/>
                                <w:tab w:val="clear" w:pos="5897"/>
                                <w:tab w:val="clear" w:pos="6747"/>
                                <w:tab w:val="clear" w:pos="7598"/>
                              </w:tabs>
                              <w:autoSpaceDE/>
                              <w:autoSpaceDN/>
                              <w:rPr>
                                <w:sz w:val="18"/>
                              </w:rPr>
                            </w:pPr>
                            <w:r>
                              <w:rPr>
                                <w:color w:val="44546A" w:themeColor="text2"/>
                                <w:kern w:val="24"/>
                                <w:sz w:val="18"/>
                                <w:szCs w:val="18"/>
                              </w:rPr>
                              <w:t>Other State revenue sources</w:t>
                            </w:r>
                          </w:p>
                        </w:txbxContent>
                      </v:textbox>
                    </v:shape>
                  </w:pict>
                </mc:Fallback>
              </mc:AlternateContent>
            </w:r>
            <w:r w:rsidR="00BD5EBA" w:rsidRPr="008E665E">
              <w:rPr>
                <w:color w:val="A6A6A6" w:themeColor="background1" w:themeShade="A6"/>
                <w:sz w:val="16"/>
                <w:szCs w:val="16"/>
                <w:lang w:eastAsia="ko-KR"/>
              </w:rPr>
              <w:t>733</w:t>
            </w:r>
          </w:p>
        </w:tc>
      </w:tr>
      <w:tr w:rsidR="00BD5EBA" w:rsidRPr="00B51E45" w14:paraId="455C57BB" w14:textId="77777777" w:rsidTr="00E85896">
        <w:trPr>
          <w:trHeight w:val="227"/>
        </w:trPr>
        <w:tc>
          <w:tcPr>
            <w:tcW w:w="4394" w:type="dxa"/>
            <w:tcBorders>
              <w:top w:val="nil"/>
              <w:left w:val="nil"/>
              <w:bottom w:val="nil"/>
              <w:right w:val="nil"/>
            </w:tcBorders>
            <w:shd w:val="clear" w:color="auto" w:fill="auto"/>
            <w:vAlign w:val="bottom"/>
            <w:hideMark/>
          </w:tcPr>
          <w:p w14:paraId="6991B173"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Other Grants and Subsidies</w:t>
            </w:r>
          </w:p>
        </w:tc>
        <w:tc>
          <w:tcPr>
            <w:tcW w:w="918" w:type="dxa"/>
            <w:tcBorders>
              <w:top w:val="nil"/>
              <w:left w:val="nil"/>
              <w:bottom w:val="nil"/>
              <w:right w:val="nil"/>
            </w:tcBorders>
            <w:shd w:val="clear" w:color="auto" w:fill="auto"/>
            <w:vAlign w:val="bottom"/>
            <w:hideMark/>
          </w:tcPr>
          <w:p w14:paraId="15516970"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681</w:t>
            </w:r>
          </w:p>
        </w:tc>
        <w:tc>
          <w:tcPr>
            <w:tcW w:w="918" w:type="dxa"/>
            <w:tcBorders>
              <w:top w:val="nil"/>
              <w:left w:val="nil"/>
              <w:bottom w:val="nil"/>
              <w:right w:val="nil"/>
            </w:tcBorders>
            <w:shd w:val="clear" w:color="auto" w:fill="auto"/>
            <w:vAlign w:val="bottom"/>
            <w:hideMark/>
          </w:tcPr>
          <w:p w14:paraId="6F46AD4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783</w:t>
            </w:r>
          </w:p>
        </w:tc>
        <w:tc>
          <w:tcPr>
            <w:tcW w:w="918" w:type="dxa"/>
            <w:tcBorders>
              <w:top w:val="nil"/>
              <w:left w:val="nil"/>
              <w:bottom w:val="nil"/>
              <w:right w:val="nil"/>
            </w:tcBorders>
            <w:shd w:val="clear" w:color="auto" w:fill="auto"/>
            <w:vAlign w:val="bottom"/>
            <w:hideMark/>
          </w:tcPr>
          <w:p w14:paraId="057344FC"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826</w:t>
            </w:r>
          </w:p>
        </w:tc>
        <w:tc>
          <w:tcPr>
            <w:tcW w:w="879" w:type="dxa"/>
            <w:tcBorders>
              <w:top w:val="nil"/>
              <w:left w:val="nil"/>
              <w:bottom w:val="nil"/>
              <w:right w:val="nil"/>
            </w:tcBorders>
            <w:shd w:val="clear" w:color="auto" w:fill="auto"/>
            <w:vAlign w:val="bottom"/>
            <w:hideMark/>
          </w:tcPr>
          <w:p w14:paraId="322A1B24" w14:textId="0BBF715F"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786</w:t>
            </w:r>
          </w:p>
        </w:tc>
        <w:tc>
          <w:tcPr>
            <w:tcW w:w="879" w:type="dxa"/>
            <w:gridSpan w:val="2"/>
            <w:tcBorders>
              <w:top w:val="nil"/>
              <w:left w:val="nil"/>
              <w:bottom w:val="nil"/>
              <w:right w:val="nil"/>
            </w:tcBorders>
            <w:shd w:val="clear" w:color="auto" w:fill="auto"/>
            <w:vAlign w:val="bottom"/>
            <w:hideMark/>
          </w:tcPr>
          <w:p w14:paraId="145FF246" w14:textId="2F50C514"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630</w:t>
            </w:r>
          </w:p>
        </w:tc>
        <w:tc>
          <w:tcPr>
            <w:tcW w:w="1001" w:type="dxa"/>
            <w:gridSpan w:val="2"/>
            <w:tcBorders>
              <w:top w:val="nil"/>
              <w:left w:val="nil"/>
              <w:bottom w:val="nil"/>
              <w:right w:val="nil"/>
            </w:tcBorders>
            <w:shd w:val="clear" w:color="auto" w:fill="auto"/>
            <w:vAlign w:val="bottom"/>
            <w:hideMark/>
          </w:tcPr>
          <w:p w14:paraId="3FDE11C4" w14:textId="7F622758"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643</w:t>
            </w:r>
          </w:p>
        </w:tc>
      </w:tr>
      <w:tr w:rsidR="00BD5EBA" w:rsidRPr="00B51E45" w14:paraId="17A60C3E" w14:textId="77777777" w:rsidTr="00E85896">
        <w:trPr>
          <w:trHeight w:val="227"/>
        </w:trPr>
        <w:tc>
          <w:tcPr>
            <w:tcW w:w="4394" w:type="dxa"/>
            <w:tcBorders>
              <w:top w:val="nil"/>
              <w:left w:val="nil"/>
              <w:bottom w:val="nil"/>
              <w:right w:val="nil"/>
            </w:tcBorders>
            <w:shd w:val="clear" w:color="auto" w:fill="auto"/>
            <w:vAlign w:val="bottom"/>
            <w:hideMark/>
          </w:tcPr>
          <w:p w14:paraId="029E7E60"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Sale of Goods and Services</w:t>
            </w:r>
          </w:p>
        </w:tc>
        <w:tc>
          <w:tcPr>
            <w:tcW w:w="918" w:type="dxa"/>
            <w:tcBorders>
              <w:top w:val="nil"/>
              <w:left w:val="nil"/>
              <w:bottom w:val="nil"/>
              <w:right w:val="nil"/>
            </w:tcBorders>
            <w:shd w:val="clear" w:color="auto" w:fill="auto"/>
            <w:vAlign w:val="bottom"/>
            <w:hideMark/>
          </w:tcPr>
          <w:p w14:paraId="1562C966"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9,949</w:t>
            </w:r>
          </w:p>
        </w:tc>
        <w:tc>
          <w:tcPr>
            <w:tcW w:w="918" w:type="dxa"/>
            <w:tcBorders>
              <w:top w:val="nil"/>
              <w:left w:val="nil"/>
              <w:bottom w:val="nil"/>
              <w:right w:val="nil"/>
            </w:tcBorders>
            <w:shd w:val="clear" w:color="auto" w:fill="auto"/>
            <w:vAlign w:val="bottom"/>
            <w:hideMark/>
          </w:tcPr>
          <w:p w14:paraId="09D4FB18"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9,733</w:t>
            </w:r>
          </w:p>
        </w:tc>
        <w:tc>
          <w:tcPr>
            <w:tcW w:w="918" w:type="dxa"/>
            <w:tcBorders>
              <w:top w:val="nil"/>
              <w:left w:val="nil"/>
              <w:bottom w:val="nil"/>
              <w:right w:val="nil"/>
            </w:tcBorders>
            <w:shd w:val="clear" w:color="auto" w:fill="auto"/>
            <w:vAlign w:val="bottom"/>
            <w:hideMark/>
          </w:tcPr>
          <w:p w14:paraId="4AB17234"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10,191</w:t>
            </w:r>
          </w:p>
        </w:tc>
        <w:tc>
          <w:tcPr>
            <w:tcW w:w="879" w:type="dxa"/>
            <w:tcBorders>
              <w:top w:val="nil"/>
              <w:left w:val="nil"/>
              <w:bottom w:val="nil"/>
              <w:right w:val="nil"/>
            </w:tcBorders>
            <w:shd w:val="clear" w:color="auto" w:fill="auto"/>
            <w:vAlign w:val="bottom"/>
            <w:hideMark/>
          </w:tcPr>
          <w:p w14:paraId="14770E5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10,122</w:t>
            </w:r>
          </w:p>
        </w:tc>
        <w:tc>
          <w:tcPr>
            <w:tcW w:w="879" w:type="dxa"/>
            <w:gridSpan w:val="2"/>
            <w:tcBorders>
              <w:top w:val="nil"/>
              <w:left w:val="nil"/>
              <w:bottom w:val="nil"/>
              <w:right w:val="nil"/>
            </w:tcBorders>
            <w:shd w:val="clear" w:color="auto" w:fill="auto"/>
            <w:vAlign w:val="bottom"/>
            <w:hideMark/>
          </w:tcPr>
          <w:p w14:paraId="366E8E41" w14:textId="09B3A9EA"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9,107</w:t>
            </w:r>
          </w:p>
        </w:tc>
        <w:tc>
          <w:tcPr>
            <w:tcW w:w="1001" w:type="dxa"/>
            <w:gridSpan w:val="2"/>
            <w:tcBorders>
              <w:top w:val="nil"/>
              <w:left w:val="nil"/>
              <w:bottom w:val="nil"/>
              <w:right w:val="nil"/>
            </w:tcBorders>
            <w:shd w:val="clear" w:color="auto" w:fill="auto"/>
            <w:vAlign w:val="bottom"/>
            <w:hideMark/>
          </w:tcPr>
          <w:p w14:paraId="4A541B3F"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9,084</w:t>
            </w:r>
          </w:p>
        </w:tc>
      </w:tr>
      <w:tr w:rsidR="00BD5EBA" w:rsidRPr="00B51E45" w14:paraId="498E4ECB" w14:textId="77777777" w:rsidTr="00E85896">
        <w:trPr>
          <w:trHeight w:val="227"/>
        </w:trPr>
        <w:tc>
          <w:tcPr>
            <w:tcW w:w="4394" w:type="dxa"/>
            <w:tcBorders>
              <w:top w:val="nil"/>
              <w:left w:val="nil"/>
              <w:bottom w:val="nil"/>
              <w:right w:val="nil"/>
            </w:tcBorders>
            <w:shd w:val="clear" w:color="auto" w:fill="auto"/>
            <w:vAlign w:val="bottom"/>
            <w:hideMark/>
          </w:tcPr>
          <w:p w14:paraId="58305D85"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Interest</w:t>
            </w:r>
          </w:p>
        </w:tc>
        <w:tc>
          <w:tcPr>
            <w:tcW w:w="918" w:type="dxa"/>
            <w:tcBorders>
              <w:top w:val="nil"/>
              <w:left w:val="nil"/>
              <w:bottom w:val="nil"/>
              <w:right w:val="nil"/>
            </w:tcBorders>
            <w:shd w:val="clear" w:color="auto" w:fill="auto"/>
            <w:vAlign w:val="bottom"/>
            <w:hideMark/>
          </w:tcPr>
          <w:p w14:paraId="52809D9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307</w:t>
            </w:r>
          </w:p>
        </w:tc>
        <w:tc>
          <w:tcPr>
            <w:tcW w:w="918" w:type="dxa"/>
            <w:tcBorders>
              <w:top w:val="nil"/>
              <w:left w:val="nil"/>
              <w:bottom w:val="nil"/>
              <w:right w:val="nil"/>
            </w:tcBorders>
            <w:shd w:val="clear" w:color="auto" w:fill="auto"/>
            <w:vAlign w:val="bottom"/>
            <w:hideMark/>
          </w:tcPr>
          <w:p w14:paraId="2B2AA7B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268</w:t>
            </w:r>
          </w:p>
        </w:tc>
        <w:tc>
          <w:tcPr>
            <w:tcW w:w="918" w:type="dxa"/>
            <w:tcBorders>
              <w:top w:val="nil"/>
              <w:left w:val="nil"/>
              <w:bottom w:val="nil"/>
              <w:right w:val="nil"/>
            </w:tcBorders>
            <w:shd w:val="clear" w:color="auto" w:fill="auto"/>
            <w:vAlign w:val="bottom"/>
            <w:hideMark/>
          </w:tcPr>
          <w:p w14:paraId="1E71B722" w14:textId="06EC8672" w:rsidR="00BD5EBA" w:rsidRPr="00B51E45" w:rsidRDefault="00BD5EBA" w:rsidP="00E85896">
            <w:pPr>
              <w:jc w:val="right"/>
              <w:outlineLvl w:val="0"/>
              <w:rPr>
                <w:color w:val="000000"/>
                <w:sz w:val="16"/>
                <w:szCs w:val="16"/>
                <w:lang w:eastAsia="ko-KR"/>
              </w:rPr>
            </w:pPr>
            <w:r w:rsidRPr="00B51E45">
              <w:rPr>
                <w:color w:val="000000"/>
                <w:sz w:val="16"/>
                <w:szCs w:val="16"/>
                <w:lang w:eastAsia="ko-KR"/>
              </w:rPr>
              <w:t>372</w:t>
            </w:r>
          </w:p>
        </w:tc>
        <w:tc>
          <w:tcPr>
            <w:tcW w:w="879" w:type="dxa"/>
            <w:tcBorders>
              <w:top w:val="nil"/>
              <w:left w:val="nil"/>
              <w:bottom w:val="nil"/>
              <w:right w:val="nil"/>
            </w:tcBorders>
            <w:shd w:val="clear" w:color="auto" w:fill="auto"/>
            <w:vAlign w:val="bottom"/>
            <w:hideMark/>
          </w:tcPr>
          <w:p w14:paraId="0B8B530B"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409</w:t>
            </w:r>
          </w:p>
        </w:tc>
        <w:tc>
          <w:tcPr>
            <w:tcW w:w="879" w:type="dxa"/>
            <w:gridSpan w:val="2"/>
            <w:tcBorders>
              <w:top w:val="nil"/>
              <w:left w:val="nil"/>
              <w:bottom w:val="nil"/>
              <w:right w:val="nil"/>
            </w:tcBorders>
            <w:shd w:val="clear" w:color="auto" w:fill="auto"/>
            <w:vAlign w:val="bottom"/>
            <w:hideMark/>
          </w:tcPr>
          <w:p w14:paraId="7AFD8F9B" w14:textId="3E1F69FF"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436</w:t>
            </w:r>
          </w:p>
        </w:tc>
        <w:tc>
          <w:tcPr>
            <w:tcW w:w="1001" w:type="dxa"/>
            <w:gridSpan w:val="2"/>
            <w:tcBorders>
              <w:top w:val="nil"/>
              <w:left w:val="nil"/>
              <w:bottom w:val="nil"/>
              <w:right w:val="nil"/>
            </w:tcBorders>
            <w:shd w:val="clear" w:color="auto" w:fill="auto"/>
            <w:vAlign w:val="bottom"/>
            <w:hideMark/>
          </w:tcPr>
          <w:p w14:paraId="6C7B198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480</w:t>
            </w:r>
          </w:p>
        </w:tc>
      </w:tr>
      <w:tr w:rsidR="00BD5EBA" w:rsidRPr="00B51E45" w14:paraId="75A74FBC" w14:textId="77777777" w:rsidTr="00E85896">
        <w:trPr>
          <w:trHeight w:val="227"/>
        </w:trPr>
        <w:tc>
          <w:tcPr>
            <w:tcW w:w="4394" w:type="dxa"/>
            <w:tcBorders>
              <w:top w:val="nil"/>
              <w:left w:val="nil"/>
              <w:bottom w:val="nil"/>
              <w:right w:val="nil"/>
            </w:tcBorders>
            <w:shd w:val="clear" w:color="auto" w:fill="auto"/>
            <w:noWrap/>
            <w:vAlign w:val="bottom"/>
            <w:hideMark/>
          </w:tcPr>
          <w:p w14:paraId="73718EFF"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Dividend and Income Tax Equivalents from Other Sectors</w:t>
            </w:r>
          </w:p>
        </w:tc>
        <w:tc>
          <w:tcPr>
            <w:tcW w:w="918" w:type="dxa"/>
            <w:tcBorders>
              <w:top w:val="nil"/>
              <w:left w:val="nil"/>
              <w:bottom w:val="nil"/>
              <w:right w:val="nil"/>
            </w:tcBorders>
            <w:shd w:val="clear" w:color="auto" w:fill="auto"/>
            <w:vAlign w:val="bottom"/>
            <w:hideMark/>
          </w:tcPr>
          <w:p w14:paraId="6687B0E4"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1,077</w:t>
            </w:r>
          </w:p>
        </w:tc>
        <w:tc>
          <w:tcPr>
            <w:tcW w:w="918" w:type="dxa"/>
            <w:tcBorders>
              <w:top w:val="nil"/>
              <w:left w:val="nil"/>
              <w:bottom w:val="nil"/>
              <w:right w:val="nil"/>
            </w:tcBorders>
            <w:shd w:val="clear" w:color="auto" w:fill="auto"/>
            <w:vAlign w:val="bottom"/>
            <w:hideMark/>
          </w:tcPr>
          <w:p w14:paraId="7E99F62A"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542</w:t>
            </w:r>
          </w:p>
        </w:tc>
        <w:tc>
          <w:tcPr>
            <w:tcW w:w="918" w:type="dxa"/>
            <w:tcBorders>
              <w:top w:val="nil"/>
              <w:left w:val="nil"/>
              <w:bottom w:val="nil"/>
              <w:right w:val="nil"/>
            </w:tcBorders>
            <w:shd w:val="clear" w:color="auto" w:fill="auto"/>
            <w:vAlign w:val="bottom"/>
            <w:hideMark/>
          </w:tcPr>
          <w:p w14:paraId="73859334"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726</w:t>
            </w:r>
          </w:p>
        </w:tc>
        <w:tc>
          <w:tcPr>
            <w:tcW w:w="879" w:type="dxa"/>
            <w:tcBorders>
              <w:top w:val="nil"/>
              <w:left w:val="nil"/>
              <w:bottom w:val="nil"/>
              <w:right w:val="nil"/>
            </w:tcBorders>
            <w:shd w:val="clear" w:color="auto" w:fill="auto"/>
            <w:vAlign w:val="bottom"/>
            <w:hideMark/>
          </w:tcPr>
          <w:p w14:paraId="666D2C19"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1,036</w:t>
            </w:r>
          </w:p>
        </w:tc>
        <w:tc>
          <w:tcPr>
            <w:tcW w:w="879" w:type="dxa"/>
            <w:gridSpan w:val="2"/>
            <w:tcBorders>
              <w:top w:val="nil"/>
              <w:left w:val="nil"/>
              <w:bottom w:val="nil"/>
              <w:right w:val="nil"/>
            </w:tcBorders>
            <w:shd w:val="clear" w:color="auto" w:fill="auto"/>
            <w:vAlign w:val="bottom"/>
            <w:hideMark/>
          </w:tcPr>
          <w:p w14:paraId="05419ED1" w14:textId="149F78EA"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1,340</w:t>
            </w:r>
          </w:p>
        </w:tc>
        <w:tc>
          <w:tcPr>
            <w:tcW w:w="1001" w:type="dxa"/>
            <w:gridSpan w:val="2"/>
            <w:tcBorders>
              <w:top w:val="nil"/>
              <w:left w:val="nil"/>
              <w:bottom w:val="nil"/>
              <w:right w:val="nil"/>
            </w:tcBorders>
            <w:shd w:val="clear" w:color="auto" w:fill="auto"/>
            <w:vAlign w:val="bottom"/>
            <w:hideMark/>
          </w:tcPr>
          <w:p w14:paraId="41766256"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1,699</w:t>
            </w:r>
          </w:p>
        </w:tc>
      </w:tr>
      <w:tr w:rsidR="00BD5EBA" w:rsidRPr="00B51E45" w14:paraId="28C3D70E" w14:textId="77777777" w:rsidTr="00E85896">
        <w:trPr>
          <w:trHeight w:val="227"/>
        </w:trPr>
        <w:tc>
          <w:tcPr>
            <w:tcW w:w="4394" w:type="dxa"/>
            <w:tcBorders>
              <w:top w:val="nil"/>
              <w:left w:val="nil"/>
              <w:bottom w:val="nil"/>
              <w:right w:val="nil"/>
            </w:tcBorders>
            <w:shd w:val="clear" w:color="auto" w:fill="auto"/>
            <w:vAlign w:val="bottom"/>
            <w:hideMark/>
          </w:tcPr>
          <w:p w14:paraId="2EAADEFA"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Other Dividends and Distributions</w:t>
            </w:r>
          </w:p>
        </w:tc>
        <w:tc>
          <w:tcPr>
            <w:tcW w:w="918" w:type="dxa"/>
            <w:tcBorders>
              <w:top w:val="nil"/>
              <w:left w:val="nil"/>
              <w:bottom w:val="nil"/>
              <w:right w:val="nil"/>
            </w:tcBorders>
            <w:shd w:val="clear" w:color="auto" w:fill="auto"/>
            <w:vAlign w:val="bottom"/>
            <w:hideMark/>
          </w:tcPr>
          <w:p w14:paraId="6C38E413"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2,570</w:t>
            </w:r>
          </w:p>
        </w:tc>
        <w:tc>
          <w:tcPr>
            <w:tcW w:w="918" w:type="dxa"/>
            <w:tcBorders>
              <w:top w:val="nil"/>
              <w:left w:val="nil"/>
              <w:bottom w:val="nil"/>
              <w:right w:val="nil"/>
            </w:tcBorders>
            <w:shd w:val="clear" w:color="auto" w:fill="auto"/>
            <w:vAlign w:val="bottom"/>
            <w:hideMark/>
          </w:tcPr>
          <w:p w14:paraId="5D92A323" w14:textId="147B4D23" w:rsidR="00BD5EBA" w:rsidRPr="00B51E45" w:rsidRDefault="00BD5EBA" w:rsidP="00E85896">
            <w:pPr>
              <w:jc w:val="right"/>
              <w:outlineLvl w:val="0"/>
              <w:rPr>
                <w:color w:val="000000"/>
                <w:sz w:val="16"/>
                <w:szCs w:val="16"/>
                <w:lang w:eastAsia="ko-KR"/>
              </w:rPr>
            </w:pPr>
            <w:r w:rsidRPr="00B51E45">
              <w:rPr>
                <w:color w:val="000000"/>
                <w:sz w:val="16"/>
                <w:szCs w:val="16"/>
                <w:lang w:eastAsia="ko-KR"/>
              </w:rPr>
              <w:t>2,323</w:t>
            </w:r>
          </w:p>
        </w:tc>
        <w:tc>
          <w:tcPr>
            <w:tcW w:w="918" w:type="dxa"/>
            <w:tcBorders>
              <w:top w:val="nil"/>
              <w:left w:val="nil"/>
              <w:bottom w:val="nil"/>
              <w:right w:val="nil"/>
            </w:tcBorders>
            <w:shd w:val="clear" w:color="auto" w:fill="auto"/>
            <w:vAlign w:val="bottom"/>
            <w:hideMark/>
          </w:tcPr>
          <w:p w14:paraId="5D8967D4"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2,684</w:t>
            </w:r>
          </w:p>
        </w:tc>
        <w:tc>
          <w:tcPr>
            <w:tcW w:w="879" w:type="dxa"/>
            <w:tcBorders>
              <w:top w:val="nil"/>
              <w:left w:val="nil"/>
              <w:bottom w:val="nil"/>
              <w:right w:val="nil"/>
            </w:tcBorders>
            <w:shd w:val="clear" w:color="auto" w:fill="auto"/>
            <w:vAlign w:val="bottom"/>
            <w:hideMark/>
          </w:tcPr>
          <w:p w14:paraId="7B61225A"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3,636</w:t>
            </w:r>
          </w:p>
        </w:tc>
        <w:tc>
          <w:tcPr>
            <w:tcW w:w="879" w:type="dxa"/>
            <w:gridSpan w:val="2"/>
            <w:tcBorders>
              <w:top w:val="nil"/>
              <w:left w:val="nil"/>
              <w:bottom w:val="nil"/>
              <w:right w:val="nil"/>
            </w:tcBorders>
            <w:shd w:val="clear" w:color="auto" w:fill="auto"/>
            <w:vAlign w:val="bottom"/>
            <w:hideMark/>
          </w:tcPr>
          <w:p w14:paraId="586FDDF1" w14:textId="009BD7E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4,179</w:t>
            </w:r>
          </w:p>
        </w:tc>
        <w:tc>
          <w:tcPr>
            <w:tcW w:w="1001" w:type="dxa"/>
            <w:gridSpan w:val="2"/>
            <w:tcBorders>
              <w:top w:val="nil"/>
              <w:left w:val="nil"/>
              <w:bottom w:val="nil"/>
              <w:right w:val="nil"/>
            </w:tcBorders>
            <w:shd w:val="clear" w:color="auto" w:fill="auto"/>
            <w:vAlign w:val="bottom"/>
            <w:hideMark/>
          </w:tcPr>
          <w:p w14:paraId="56A23B25"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4,288</w:t>
            </w:r>
          </w:p>
        </w:tc>
      </w:tr>
      <w:tr w:rsidR="00BD5EBA" w:rsidRPr="00B51E45" w14:paraId="6E2A6271" w14:textId="77777777" w:rsidTr="00E85896">
        <w:trPr>
          <w:trHeight w:val="227"/>
        </w:trPr>
        <w:tc>
          <w:tcPr>
            <w:tcW w:w="4394" w:type="dxa"/>
            <w:tcBorders>
              <w:top w:val="nil"/>
              <w:left w:val="nil"/>
              <w:bottom w:val="nil"/>
              <w:right w:val="nil"/>
            </w:tcBorders>
            <w:shd w:val="clear" w:color="auto" w:fill="auto"/>
            <w:vAlign w:val="bottom"/>
            <w:hideMark/>
          </w:tcPr>
          <w:p w14:paraId="7C1DFB0A"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Fines, Regulatory Fees and Other</w:t>
            </w:r>
          </w:p>
        </w:tc>
        <w:tc>
          <w:tcPr>
            <w:tcW w:w="918" w:type="dxa"/>
            <w:tcBorders>
              <w:top w:val="nil"/>
              <w:left w:val="nil"/>
              <w:bottom w:val="nil"/>
              <w:right w:val="nil"/>
            </w:tcBorders>
            <w:shd w:val="clear" w:color="auto" w:fill="auto"/>
            <w:vAlign w:val="bottom"/>
            <w:hideMark/>
          </w:tcPr>
          <w:p w14:paraId="2534AF5D"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4,009</w:t>
            </w:r>
          </w:p>
        </w:tc>
        <w:tc>
          <w:tcPr>
            <w:tcW w:w="918" w:type="dxa"/>
            <w:tcBorders>
              <w:top w:val="nil"/>
              <w:left w:val="nil"/>
              <w:bottom w:val="nil"/>
              <w:right w:val="nil"/>
            </w:tcBorders>
            <w:shd w:val="clear" w:color="auto" w:fill="auto"/>
            <w:vAlign w:val="bottom"/>
            <w:hideMark/>
          </w:tcPr>
          <w:p w14:paraId="713838A8"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6,676</w:t>
            </w:r>
          </w:p>
        </w:tc>
        <w:tc>
          <w:tcPr>
            <w:tcW w:w="918" w:type="dxa"/>
            <w:tcBorders>
              <w:top w:val="nil"/>
              <w:left w:val="nil"/>
              <w:bottom w:val="nil"/>
              <w:right w:val="nil"/>
            </w:tcBorders>
            <w:shd w:val="clear" w:color="auto" w:fill="auto"/>
            <w:vAlign w:val="bottom"/>
            <w:hideMark/>
          </w:tcPr>
          <w:p w14:paraId="14E275E0"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7,079</w:t>
            </w:r>
          </w:p>
        </w:tc>
        <w:tc>
          <w:tcPr>
            <w:tcW w:w="879" w:type="dxa"/>
            <w:tcBorders>
              <w:top w:val="nil"/>
              <w:left w:val="nil"/>
              <w:bottom w:val="nil"/>
              <w:right w:val="nil"/>
            </w:tcBorders>
            <w:shd w:val="clear" w:color="auto" w:fill="auto"/>
            <w:vAlign w:val="bottom"/>
            <w:hideMark/>
          </w:tcPr>
          <w:p w14:paraId="4ED0DB2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5,791</w:t>
            </w:r>
          </w:p>
        </w:tc>
        <w:tc>
          <w:tcPr>
            <w:tcW w:w="879" w:type="dxa"/>
            <w:gridSpan w:val="2"/>
            <w:tcBorders>
              <w:top w:val="nil"/>
              <w:left w:val="nil"/>
              <w:bottom w:val="nil"/>
              <w:right w:val="nil"/>
            </w:tcBorders>
            <w:shd w:val="clear" w:color="auto" w:fill="auto"/>
            <w:vAlign w:val="bottom"/>
            <w:hideMark/>
          </w:tcPr>
          <w:p w14:paraId="3D736924" w14:textId="79CBBD3B"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5,417</w:t>
            </w:r>
          </w:p>
        </w:tc>
        <w:tc>
          <w:tcPr>
            <w:tcW w:w="1001" w:type="dxa"/>
            <w:gridSpan w:val="2"/>
            <w:tcBorders>
              <w:top w:val="nil"/>
              <w:left w:val="nil"/>
              <w:bottom w:val="nil"/>
              <w:right w:val="nil"/>
            </w:tcBorders>
            <w:shd w:val="clear" w:color="auto" w:fill="auto"/>
            <w:vAlign w:val="bottom"/>
            <w:hideMark/>
          </w:tcPr>
          <w:p w14:paraId="0F954FFD"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5,014</w:t>
            </w:r>
          </w:p>
        </w:tc>
      </w:tr>
      <w:tr w:rsidR="00BD5EBA" w:rsidRPr="00B51E45" w14:paraId="0CD53307" w14:textId="77777777" w:rsidTr="00E85896">
        <w:trPr>
          <w:trHeight w:val="288"/>
        </w:trPr>
        <w:tc>
          <w:tcPr>
            <w:tcW w:w="4394" w:type="dxa"/>
            <w:tcBorders>
              <w:top w:val="nil"/>
              <w:left w:val="nil"/>
              <w:bottom w:val="nil"/>
              <w:right w:val="nil"/>
            </w:tcBorders>
            <w:shd w:val="clear" w:color="auto" w:fill="auto"/>
            <w:vAlign w:val="bottom"/>
            <w:hideMark/>
          </w:tcPr>
          <w:p w14:paraId="6B0F7878" w14:textId="77777777" w:rsidR="00BD5EBA" w:rsidRPr="00B51E45" w:rsidRDefault="00BD5EBA" w:rsidP="00E85896">
            <w:pPr>
              <w:outlineLvl w:val="0"/>
              <w:rPr>
                <w:b/>
                <w:bCs/>
                <w:color w:val="008EBA"/>
                <w:sz w:val="16"/>
                <w:szCs w:val="16"/>
                <w:lang w:eastAsia="ko-KR"/>
              </w:rPr>
            </w:pPr>
            <w:r w:rsidRPr="00B51E45">
              <w:rPr>
                <w:b/>
                <w:bCs/>
                <w:color w:val="008EBA"/>
                <w:sz w:val="16"/>
                <w:szCs w:val="16"/>
                <w:lang w:eastAsia="ko-KR"/>
              </w:rPr>
              <w:t>Total Revenue from Transactions</w:t>
            </w:r>
          </w:p>
        </w:tc>
        <w:tc>
          <w:tcPr>
            <w:tcW w:w="918" w:type="dxa"/>
            <w:tcBorders>
              <w:top w:val="nil"/>
              <w:left w:val="nil"/>
              <w:bottom w:val="nil"/>
              <w:right w:val="nil"/>
            </w:tcBorders>
            <w:shd w:val="clear" w:color="auto" w:fill="auto"/>
            <w:vAlign w:val="bottom"/>
            <w:hideMark/>
          </w:tcPr>
          <w:p w14:paraId="4B8D7154"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87,965</w:t>
            </w:r>
          </w:p>
        </w:tc>
        <w:tc>
          <w:tcPr>
            <w:tcW w:w="918" w:type="dxa"/>
            <w:tcBorders>
              <w:top w:val="nil"/>
              <w:left w:val="nil"/>
              <w:bottom w:val="nil"/>
              <w:right w:val="nil"/>
            </w:tcBorders>
            <w:shd w:val="clear" w:color="auto" w:fill="auto"/>
            <w:vAlign w:val="bottom"/>
            <w:hideMark/>
          </w:tcPr>
          <w:p w14:paraId="0C418659"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103,706</w:t>
            </w:r>
          </w:p>
        </w:tc>
        <w:tc>
          <w:tcPr>
            <w:tcW w:w="918" w:type="dxa"/>
            <w:tcBorders>
              <w:top w:val="nil"/>
              <w:left w:val="nil"/>
              <w:bottom w:val="nil"/>
              <w:right w:val="nil"/>
            </w:tcBorders>
            <w:shd w:val="clear" w:color="auto" w:fill="auto"/>
            <w:vAlign w:val="bottom"/>
            <w:hideMark/>
          </w:tcPr>
          <w:p w14:paraId="48CBCE36"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103,617</w:t>
            </w:r>
          </w:p>
        </w:tc>
        <w:tc>
          <w:tcPr>
            <w:tcW w:w="879" w:type="dxa"/>
            <w:tcBorders>
              <w:top w:val="nil"/>
              <w:left w:val="nil"/>
              <w:bottom w:val="nil"/>
              <w:right w:val="nil"/>
            </w:tcBorders>
            <w:shd w:val="clear" w:color="auto" w:fill="auto"/>
            <w:vAlign w:val="bottom"/>
            <w:hideMark/>
          </w:tcPr>
          <w:p w14:paraId="4DB2CB34"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106,701</w:t>
            </w:r>
          </w:p>
        </w:tc>
        <w:tc>
          <w:tcPr>
            <w:tcW w:w="879" w:type="dxa"/>
            <w:gridSpan w:val="2"/>
            <w:tcBorders>
              <w:top w:val="nil"/>
              <w:left w:val="nil"/>
              <w:bottom w:val="nil"/>
              <w:right w:val="nil"/>
            </w:tcBorders>
            <w:shd w:val="clear" w:color="auto" w:fill="auto"/>
            <w:vAlign w:val="bottom"/>
            <w:hideMark/>
          </w:tcPr>
          <w:p w14:paraId="5F2A5EB5" w14:textId="1092B52D"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110,101</w:t>
            </w:r>
          </w:p>
        </w:tc>
        <w:tc>
          <w:tcPr>
            <w:tcW w:w="1001" w:type="dxa"/>
            <w:gridSpan w:val="2"/>
            <w:tcBorders>
              <w:top w:val="nil"/>
              <w:left w:val="nil"/>
              <w:bottom w:val="nil"/>
              <w:right w:val="nil"/>
            </w:tcBorders>
            <w:shd w:val="clear" w:color="auto" w:fill="auto"/>
            <w:vAlign w:val="bottom"/>
            <w:hideMark/>
          </w:tcPr>
          <w:p w14:paraId="77803744"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112,944</w:t>
            </w:r>
          </w:p>
        </w:tc>
      </w:tr>
      <w:tr w:rsidR="00BD5EBA" w:rsidRPr="00B51E45" w14:paraId="520690DD" w14:textId="77777777" w:rsidTr="00E85896">
        <w:trPr>
          <w:trHeight w:val="288"/>
        </w:trPr>
        <w:tc>
          <w:tcPr>
            <w:tcW w:w="4394" w:type="dxa"/>
            <w:tcBorders>
              <w:top w:val="nil"/>
              <w:left w:val="nil"/>
              <w:bottom w:val="nil"/>
              <w:right w:val="nil"/>
            </w:tcBorders>
            <w:shd w:val="clear" w:color="auto" w:fill="auto"/>
            <w:vAlign w:val="bottom"/>
            <w:hideMark/>
          </w:tcPr>
          <w:p w14:paraId="6A1348D1" w14:textId="09D9DBC6" w:rsidR="00BD5EBA" w:rsidRPr="00B51E45" w:rsidRDefault="00BD5EBA" w:rsidP="00E85896">
            <w:pPr>
              <w:outlineLvl w:val="0"/>
              <w:rPr>
                <w:b/>
                <w:bCs/>
                <w:color w:val="000000"/>
                <w:sz w:val="16"/>
                <w:szCs w:val="16"/>
                <w:lang w:eastAsia="ko-KR"/>
              </w:rPr>
            </w:pPr>
            <w:r w:rsidRPr="00B51E45">
              <w:rPr>
                <w:b/>
                <w:bCs/>
                <w:color w:val="000000"/>
                <w:sz w:val="16"/>
                <w:szCs w:val="16"/>
                <w:lang w:eastAsia="ko-KR"/>
              </w:rPr>
              <w:t>Expenses from Transactions</w:t>
            </w:r>
          </w:p>
        </w:tc>
        <w:tc>
          <w:tcPr>
            <w:tcW w:w="918" w:type="dxa"/>
            <w:tcBorders>
              <w:top w:val="nil"/>
              <w:left w:val="nil"/>
              <w:bottom w:val="nil"/>
              <w:right w:val="nil"/>
            </w:tcBorders>
            <w:shd w:val="clear" w:color="auto" w:fill="auto"/>
            <w:vAlign w:val="bottom"/>
            <w:hideMark/>
          </w:tcPr>
          <w:p w14:paraId="00DD5963" w14:textId="77777777" w:rsidR="00BD5EBA" w:rsidRPr="008E665E" w:rsidRDefault="00BD5EBA" w:rsidP="00E85896">
            <w:pPr>
              <w:outlineLvl w:val="0"/>
              <w:rPr>
                <w:b/>
                <w:bCs/>
                <w:color w:val="A6A6A6" w:themeColor="background1" w:themeShade="A6"/>
                <w:sz w:val="16"/>
                <w:szCs w:val="16"/>
                <w:lang w:eastAsia="ko-KR"/>
              </w:rPr>
            </w:pPr>
          </w:p>
        </w:tc>
        <w:tc>
          <w:tcPr>
            <w:tcW w:w="918" w:type="dxa"/>
            <w:tcBorders>
              <w:top w:val="nil"/>
              <w:left w:val="nil"/>
              <w:bottom w:val="nil"/>
              <w:right w:val="nil"/>
            </w:tcBorders>
            <w:shd w:val="clear" w:color="auto" w:fill="auto"/>
            <w:vAlign w:val="bottom"/>
            <w:hideMark/>
          </w:tcPr>
          <w:p w14:paraId="46BAEE2D" w14:textId="77777777" w:rsidR="00BD5EBA" w:rsidRPr="00B51E45" w:rsidRDefault="00BD5EBA" w:rsidP="00E85896">
            <w:pPr>
              <w:outlineLvl w:val="0"/>
              <w:rPr>
                <w:lang w:eastAsia="ko-KR"/>
              </w:rPr>
            </w:pPr>
          </w:p>
        </w:tc>
        <w:tc>
          <w:tcPr>
            <w:tcW w:w="918" w:type="dxa"/>
            <w:tcBorders>
              <w:top w:val="nil"/>
              <w:left w:val="nil"/>
              <w:bottom w:val="nil"/>
              <w:right w:val="nil"/>
            </w:tcBorders>
            <w:shd w:val="clear" w:color="auto" w:fill="auto"/>
            <w:vAlign w:val="bottom"/>
            <w:hideMark/>
          </w:tcPr>
          <w:p w14:paraId="0C500B92" w14:textId="77777777" w:rsidR="00BD5EBA" w:rsidRPr="00B51E45" w:rsidRDefault="00BD5EBA" w:rsidP="00E85896">
            <w:pPr>
              <w:outlineLvl w:val="0"/>
              <w:rPr>
                <w:lang w:eastAsia="ko-KR"/>
              </w:rPr>
            </w:pPr>
          </w:p>
        </w:tc>
        <w:tc>
          <w:tcPr>
            <w:tcW w:w="879" w:type="dxa"/>
            <w:tcBorders>
              <w:top w:val="nil"/>
              <w:left w:val="nil"/>
              <w:bottom w:val="nil"/>
              <w:right w:val="nil"/>
            </w:tcBorders>
            <w:shd w:val="clear" w:color="auto" w:fill="auto"/>
            <w:vAlign w:val="bottom"/>
            <w:hideMark/>
          </w:tcPr>
          <w:p w14:paraId="75D88919" w14:textId="77777777" w:rsidR="00BD5EBA" w:rsidRPr="008E665E" w:rsidRDefault="00BD5EBA" w:rsidP="00E85896">
            <w:pPr>
              <w:outlineLvl w:val="0"/>
              <w:rPr>
                <w:color w:val="A6A6A6" w:themeColor="background1" w:themeShade="A6"/>
                <w:lang w:eastAsia="ko-KR"/>
              </w:rPr>
            </w:pPr>
          </w:p>
        </w:tc>
        <w:tc>
          <w:tcPr>
            <w:tcW w:w="879" w:type="dxa"/>
            <w:gridSpan w:val="2"/>
            <w:tcBorders>
              <w:top w:val="nil"/>
              <w:left w:val="nil"/>
              <w:bottom w:val="nil"/>
              <w:right w:val="nil"/>
            </w:tcBorders>
            <w:shd w:val="clear" w:color="auto" w:fill="auto"/>
            <w:vAlign w:val="bottom"/>
            <w:hideMark/>
          </w:tcPr>
          <w:p w14:paraId="0F10729B" w14:textId="586474BC" w:rsidR="00BD5EBA" w:rsidRPr="008E665E" w:rsidRDefault="00BD5EBA" w:rsidP="00E85896">
            <w:pPr>
              <w:outlineLvl w:val="0"/>
              <w:rPr>
                <w:color w:val="A6A6A6" w:themeColor="background1" w:themeShade="A6"/>
                <w:lang w:eastAsia="ko-KR"/>
              </w:rPr>
            </w:pPr>
          </w:p>
        </w:tc>
        <w:tc>
          <w:tcPr>
            <w:tcW w:w="1001" w:type="dxa"/>
            <w:gridSpan w:val="2"/>
            <w:tcBorders>
              <w:top w:val="nil"/>
              <w:left w:val="nil"/>
              <w:bottom w:val="nil"/>
              <w:right w:val="nil"/>
            </w:tcBorders>
            <w:shd w:val="clear" w:color="auto" w:fill="auto"/>
            <w:vAlign w:val="bottom"/>
            <w:hideMark/>
          </w:tcPr>
          <w:p w14:paraId="050954CB" w14:textId="77777777" w:rsidR="00BD5EBA" w:rsidRPr="008E665E" w:rsidRDefault="00BD5EBA" w:rsidP="00E85896">
            <w:pPr>
              <w:outlineLvl w:val="0"/>
              <w:rPr>
                <w:color w:val="A6A6A6" w:themeColor="background1" w:themeShade="A6"/>
                <w:lang w:eastAsia="ko-KR"/>
              </w:rPr>
            </w:pPr>
          </w:p>
        </w:tc>
      </w:tr>
      <w:tr w:rsidR="00BD5EBA" w:rsidRPr="00B51E45" w14:paraId="79796E2B" w14:textId="77777777" w:rsidTr="00E85896">
        <w:trPr>
          <w:trHeight w:val="227"/>
        </w:trPr>
        <w:tc>
          <w:tcPr>
            <w:tcW w:w="4394" w:type="dxa"/>
            <w:tcBorders>
              <w:top w:val="nil"/>
              <w:left w:val="nil"/>
              <w:bottom w:val="nil"/>
              <w:right w:val="nil"/>
            </w:tcBorders>
            <w:shd w:val="clear" w:color="auto" w:fill="auto"/>
            <w:vAlign w:val="bottom"/>
            <w:hideMark/>
          </w:tcPr>
          <w:p w14:paraId="60F05310"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Employee</w:t>
            </w:r>
          </w:p>
        </w:tc>
        <w:tc>
          <w:tcPr>
            <w:tcW w:w="918" w:type="dxa"/>
            <w:tcBorders>
              <w:top w:val="nil"/>
              <w:left w:val="nil"/>
              <w:bottom w:val="nil"/>
              <w:right w:val="nil"/>
            </w:tcBorders>
            <w:shd w:val="clear" w:color="auto" w:fill="auto"/>
            <w:vAlign w:val="bottom"/>
            <w:hideMark/>
          </w:tcPr>
          <w:p w14:paraId="7EAF7269"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37,142</w:t>
            </w:r>
          </w:p>
        </w:tc>
        <w:tc>
          <w:tcPr>
            <w:tcW w:w="918" w:type="dxa"/>
            <w:tcBorders>
              <w:top w:val="nil"/>
              <w:left w:val="nil"/>
              <w:bottom w:val="nil"/>
              <w:right w:val="nil"/>
            </w:tcBorders>
            <w:shd w:val="clear" w:color="auto" w:fill="auto"/>
            <w:vAlign w:val="bottom"/>
            <w:hideMark/>
          </w:tcPr>
          <w:p w14:paraId="2BC5320A"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40,430</w:t>
            </w:r>
          </w:p>
        </w:tc>
        <w:tc>
          <w:tcPr>
            <w:tcW w:w="918" w:type="dxa"/>
            <w:tcBorders>
              <w:top w:val="nil"/>
              <w:left w:val="nil"/>
              <w:bottom w:val="nil"/>
              <w:right w:val="nil"/>
            </w:tcBorders>
            <w:shd w:val="clear" w:color="auto" w:fill="auto"/>
            <w:vAlign w:val="bottom"/>
            <w:hideMark/>
          </w:tcPr>
          <w:p w14:paraId="471D61E7" w14:textId="26E2E33D" w:rsidR="00BD5EBA" w:rsidRPr="00B51E45" w:rsidRDefault="00BD5EBA" w:rsidP="00E85896">
            <w:pPr>
              <w:jc w:val="right"/>
              <w:outlineLvl w:val="0"/>
              <w:rPr>
                <w:color w:val="000000"/>
                <w:sz w:val="16"/>
                <w:szCs w:val="16"/>
                <w:lang w:eastAsia="ko-KR"/>
              </w:rPr>
            </w:pPr>
            <w:r w:rsidRPr="00B51E45">
              <w:rPr>
                <w:color w:val="000000"/>
                <w:sz w:val="16"/>
                <w:szCs w:val="16"/>
                <w:lang w:eastAsia="ko-KR"/>
              </w:rPr>
              <w:t>42,640</w:t>
            </w:r>
          </w:p>
        </w:tc>
        <w:tc>
          <w:tcPr>
            <w:tcW w:w="879" w:type="dxa"/>
            <w:tcBorders>
              <w:top w:val="nil"/>
              <w:left w:val="nil"/>
              <w:bottom w:val="nil"/>
              <w:right w:val="nil"/>
            </w:tcBorders>
            <w:shd w:val="clear" w:color="auto" w:fill="auto"/>
            <w:vAlign w:val="bottom"/>
            <w:hideMark/>
          </w:tcPr>
          <w:p w14:paraId="4D41C49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42,866</w:t>
            </w:r>
          </w:p>
        </w:tc>
        <w:tc>
          <w:tcPr>
            <w:tcW w:w="879" w:type="dxa"/>
            <w:gridSpan w:val="2"/>
            <w:tcBorders>
              <w:top w:val="nil"/>
              <w:left w:val="nil"/>
              <w:bottom w:val="nil"/>
              <w:right w:val="nil"/>
            </w:tcBorders>
            <w:shd w:val="clear" w:color="auto" w:fill="auto"/>
            <w:vAlign w:val="bottom"/>
            <w:hideMark/>
          </w:tcPr>
          <w:p w14:paraId="6F1ECCD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44,033</w:t>
            </w:r>
          </w:p>
        </w:tc>
        <w:tc>
          <w:tcPr>
            <w:tcW w:w="1001" w:type="dxa"/>
            <w:gridSpan w:val="2"/>
            <w:tcBorders>
              <w:top w:val="nil"/>
              <w:left w:val="nil"/>
              <w:bottom w:val="nil"/>
              <w:right w:val="nil"/>
            </w:tcBorders>
            <w:shd w:val="clear" w:color="auto" w:fill="auto"/>
            <w:vAlign w:val="bottom"/>
            <w:hideMark/>
          </w:tcPr>
          <w:p w14:paraId="0BA5FA2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45,264</w:t>
            </w:r>
          </w:p>
        </w:tc>
      </w:tr>
      <w:tr w:rsidR="00BD5EBA" w:rsidRPr="00B51E45" w14:paraId="78062E61" w14:textId="77777777" w:rsidTr="00E85896">
        <w:trPr>
          <w:trHeight w:val="227"/>
        </w:trPr>
        <w:tc>
          <w:tcPr>
            <w:tcW w:w="4394" w:type="dxa"/>
            <w:tcBorders>
              <w:top w:val="nil"/>
              <w:left w:val="nil"/>
              <w:bottom w:val="nil"/>
              <w:right w:val="nil"/>
            </w:tcBorders>
            <w:shd w:val="clear" w:color="auto" w:fill="auto"/>
            <w:vAlign w:val="bottom"/>
            <w:hideMark/>
          </w:tcPr>
          <w:p w14:paraId="428471F0" w14:textId="71128EB3" w:rsidR="00BD5EBA" w:rsidRPr="00B51E45" w:rsidRDefault="00BD5EBA" w:rsidP="00E85896">
            <w:pPr>
              <w:outlineLvl w:val="0"/>
              <w:rPr>
                <w:color w:val="000000"/>
                <w:sz w:val="16"/>
                <w:szCs w:val="16"/>
                <w:lang w:eastAsia="ko-KR"/>
              </w:rPr>
            </w:pPr>
            <w:r w:rsidRPr="00B51E45">
              <w:rPr>
                <w:color w:val="000000"/>
                <w:sz w:val="16"/>
                <w:szCs w:val="16"/>
                <w:lang w:eastAsia="ko-KR"/>
              </w:rPr>
              <w:t>Superannuation</w:t>
            </w:r>
          </w:p>
        </w:tc>
        <w:tc>
          <w:tcPr>
            <w:tcW w:w="918" w:type="dxa"/>
            <w:tcBorders>
              <w:top w:val="nil"/>
              <w:left w:val="nil"/>
              <w:bottom w:val="nil"/>
              <w:right w:val="nil"/>
            </w:tcBorders>
            <w:shd w:val="clear" w:color="auto" w:fill="auto"/>
            <w:vAlign w:val="bottom"/>
            <w:hideMark/>
          </w:tcPr>
          <w:p w14:paraId="6E13EA03" w14:textId="77777777" w:rsidR="00BD5EBA" w:rsidRPr="008E665E" w:rsidRDefault="00BD5EBA" w:rsidP="00E85896">
            <w:pPr>
              <w:outlineLvl w:val="0"/>
              <w:rPr>
                <w:color w:val="A6A6A6" w:themeColor="background1" w:themeShade="A6"/>
                <w:sz w:val="16"/>
                <w:szCs w:val="16"/>
                <w:lang w:eastAsia="ko-KR"/>
              </w:rPr>
            </w:pPr>
          </w:p>
        </w:tc>
        <w:tc>
          <w:tcPr>
            <w:tcW w:w="918" w:type="dxa"/>
            <w:tcBorders>
              <w:top w:val="nil"/>
              <w:left w:val="nil"/>
              <w:bottom w:val="nil"/>
              <w:right w:val="nil"/>
            </w:tcBorders>
            <w:shd w:val="clear" w:color="auto" w:fill="auto"/>
            <w:vAlign w:val="bottom"/>
            <w:hideMark/>
          </w:tcPr>
          <w:p w14:paraId="0D056F87" w14:textId="77777777" w:rsidR="00BD5EBA" w:rsidRPr="00B51E45" w:rsidRDefault="00BD5EBA" w:rsidP="00E85896">
            <w:pPr>
              <w:jc w:val="right"/>
              <w:outlineLvl w:val="0"/>
              <w:rPr>
                <w:lang w:eastAsia="ko-KR"/>
              </w:rPr>
            </w:pPr>
          </w:p>
        </w:tc>
        <w:tc>
          <w:tcPr>
            <w:tcW w:w="918" w:type="dxa"/>
            <w:tcBorders>
              <w:top w:val="nil"/>
              <w:left w:val="nil"/>
              <w:bottom w:val="nil"/>
              <w:right w:val="nil"/>
            </w:tcBorders>
            <w:shd w:val="clear" w:color="auto" w:fill="auto"/>
            <w:vAlign w:val="bottom"/>
            <w:hideMark/>
          </w:tcPr>
          <w:p w14:paraId="24943A07" w14:textId="77777777" w:rsidR="00BD5EBA" w:rsidRPr="00B51E45" w:rsidRDefault="00BD5EBA" w:rsidP="00E85896">
            <w:pPr>
              <w:jc w:val="right"/>
              <w:outlineLvl w:val="0"/>
              <w:rPr>
                <w:lang w:eastAsia="ko-KR"/>
              </w:rPr>
            </w:pPr>
          </w:p>
        </w:tc>
        <w:tc>
          <w:tcPr>
            <w:tcW w:w="879" w:type="dxa"/>
            <w:tcBorders>
              <w:top w:val="nil"/>
              <w:left w:val="nil"/>
              <w:bottom w:val="nil"/>
              <w:right w:val="nil"/>
            </w:tcBorders>
            <w:shd w:val="clear" w:color="auto" w:fill="auto"/>
            <w:vAlign w:val="bottom"/>
            <w:hideMark/>
          </w:tcPr>
          <w:p w14:paraId="6582E9EB" w14:textId="77777777" w:rsidR="00BD5EBA" w:rsidRPr="008E665E" w:rsidRDefault="00BD5EBA" w:rsidP="00E85896">
            <w:pPr>
              <w:jc w:val="right"/>
              <w:outlineLvl w:val="0"/>
              <w:rPr>
                <w:color w:val="A6A6A6" w:themeColor="background1" w:themeShade="A6"/>
                <w:lang w:eastAsia="ko-KR"/>
              </w:rPr>
            </w:pPr>
          </w:p>
        </w:tc>
        <w:tc>
          <w:tcPr>
            <w:tcW w:w="879" w:type="dxa"/>
            <w:gridSpan w:val="2"/>
            <w:tcBorders>
              <w:top w:val="nil"/>
              <w:left w:val="nil"/>
              <w:bottom w:val="nil"/>
              <w:right w:val="nil"/>
            </w:tcBorders>
            <w:shd w:val="clear" w:color="auto" w:fill="auto"/>
            <w:vAlign w:val="bottom"/>
            <w:hideMark/>
          </w:tcPr>
          <w:p w14:paraId="6A54D23B" w14:textId="64B7B9DA" w:rsidR="00BD5EBA" w:rsidRPr="008E665E" w:rsidRDefault="00BD5EBA" w:rsidP="00E85896">
            <w:pPr>
              <w:jc w:val="right"/>
              <w:outlineLvl w:val="0"/>
              <w:rPr>
                <w:color w:val="A6A6A6" w:themeColor="background1" w:themeShade="A6"/>
                <w:lang w:eastAsia="ko-KR"/>
              </w:rPr>
            </w:pPr>
          </w:p>
        </w:tc>
        <w:tc>
          <w:tcPr>
            <w:tcW w:w="1001" w:type="dxa"/>
            <w:gridSpan w:val="2"/>
            <w:tcBorders>
              <w:top w:val="nil"/>
              <w:left w:val="nil"/>
              <w:bottom w:val="nil"/>
              <w:right w:val="nil"/>
            </w:tcBorders>
            <w:shd w:val="clear" w:color="auto" w:fill="auto"/>
            <w:vAlign w:val="bottom"/>
            <w:hideMark/>
          </w:tcPr>
          <w:p w14:paraId="531216EC" w14:textId="77777777" w:rsidR="00BD5EBA" w:rsidRPr="008E665E" w:rsidRDefault="00BD5EBA" w:rsidP="00E85896">
            <w:pPr>
              <w:jc w:val="right"/>
              <w:outlineLvl w:val="0"/>
              <w:rPr>
                <w:color w:val="A6A6A6" w:themeColor="background1" w:themeShade="A6"/>
                <w:lang w:eastAsia="ko-KR"/>
              </w:rPr>
            </w:pPr>
          </w:p>
        </w:tc>
      </w:tr>
      <w:tr w:rsidR="00BD5EBA" w:rsidRPr="00B51E45" w14:paraId="6794D197" w14:textId="77777777" w:rsidTr="00E85896">
        <w:trPr>
          <w:trHeight w:val="227"/>
        </w:trPr>
        <w:tc>
          <w:tcPr>
            <w:tcW w:w="4394" w:type="dxa"/>
            <w:tcBorders>
              <w:top w:val="nil"/>
              <w:left w:val="nil"/>
              <w:bottom w:val="nil"/>
              <w:right w:val="nil"/>
            </w:tcBorders>
            <w:shd w:val="clear" w:color="auto" w:fill="auto"/>
            <w:vAlign w:val="bottom"/>
            <w:hideMark/>
          </w:tcPr>
          <w:p w14:paraId="202E267E" w14:textId="21A1D254"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Superannuation Interest Cost</w:t>
            </w:r>
          </w:p>
        </w:tc>
        <w:tc>
          <w:tcPr>
            <w:tcW w:w="918" w:type="dxa"/>
            <w:tcBorders>
              <w:top w:val="nil"/>
              <w:left w:val="nil"/>
              <w:bottom w:val="nil"/>
              <w:right w:val="nil"/>
            </w:tcBorders>
            <w:shd w:val="clear" w:color="auto" w:fill="auto"/>
            <w:vAlign w:val="bottom"/>
            <w:hideMark/>
          </w:tcPr>
          <w:p w14:paraId="25876EF1"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589</w:t>
            </w:r>
          </w:p>
        </w:tc>
        <w:tc>
          <w:tcPr>
            <w:tcW w:w="918" w:type="dxa"/>
            <w:tcBorders>
              <w:top w:val="nil"/>
              <w:left w:val="nil"/>
              <w:bottom w:val="nil"/>
              <w:right w:val="nil"/>
            </w:tcBorders>
            <w:shd w:val="clear" w:color="auto" w:fill="auto"/>
            <w:vAlign w:val="bottom"/>
            <w:hideMark/>
          </w:tcPr>
          <w:p w14:paraId="57B7CBBF"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860</w:t>
            </w:r>
          </w:p>
        </w:tc>
        <w:tc>
          <w:tcPr>
            <w:tcW w:w="918" w:type="dxa"/>
            <w:tcBorders>
              <w:top w:val="nil"/>
              <w:left w:val="nil"/>
              <w:bottom w:val="nil"/>
              <w:right w:val="nil"/>
            </w:tcBorders>
            <w:shd w:val="clear" w:color="auto" w:fill="auto"/>
            <w:vAlign w:val="bottom"/>
            <w:hideMark/>
          </w:tcPr>
          <w:p w14:paraId="41104111"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1,473</w:t>
            </w:r>
          </w:p>
        </w:tc>
        <w:tc>
          <w:tcPr>
            <w:tcW w:w="879" w:type="dxa"/>
            <w:tcBorders>
              <w:top w:val="nil"/>
              <w:left w:val="nil"/>
              <w:bottom w:val="nil"/>
              <w:right w:val="nil"/>
            </w:tcBorders>
            <w:shd w:val="clear" w:color="auto" w:fill="auto"/>
            <w:vAlign w:val="bottom"/>
            <w:hideMark/>
          </w:tcPr>
          <w:p w14:paraId="279D0B7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1,436</w:t>
            </w:r>
          </w:p>
        </w:tc>
        <w:tc>
          <w:tcPr>
            <w:tcW w:w="879" w:type="dxa"/>
            <w:gridSpan w:val="2"/>
            <w:tcBorders>
              <w:top w:val="nil"/>
              <w:left w:val="nil"/>
              <w:bottom w:val="nil"/>
              <w:right w:val="nil"/>
            </w:tcBorders>
            <w:shd w:val="clear" w:color="auto" w:fill="auto"/>
            <w:vAlign w:val="bottom"/>
            <w:hideMark/>
          </w:tcPr>
          <w:p w14:paraId="4ECE5383"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1,412</w:t>
            </w:r>
          </w:p>
        </w:tc>
        <w:tc>
          <w:tcPr>
            <w:tcW w:w="1001" w:type="dxa"/>
            <w:gridSpan w:val="2"/>
            <w:tcBorders>
              <w:top w:val="nil"/>
              <w:left w:val="nil"/>
              <w:bottom w:val="nil"/>
              <w:right w:val="nil"/>
            </w:tcBorders>
            <w:shd w:val="clear" w:color="auto" w:fill="auto"/>
            <w:vAlign w:val="bottom"/>
            <w:hideMark/>
          </w:tcPr>
          <w:p w14:paraId="5C669CA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1,387</w:t>
            </w:r>
          </w:p>
        </w:tc>
      </w:tr>
      <w:tr w:rsidR="00BD5EBA" w:rsidRPr="00B51E45" w14:paraId="3ECA73C8" w14:textId="77777777" w:rsidTr="00E85896">
        <w:trPr>
          <w:trHeight w:val="227"/>
        </w:trPr>
        <w:tc>
          <w:tcPr>
            <w:tcW w:w="4394" w:type="dxa"/>
            <w:tcBorders>
              <w:top w:val="nil"/>
              <w:left w:val="nil"/>
              <w:bottom w:val="nil"/>
              <w:right w:val="nil"/>
            </w:tcBorders>
            <w:shd w:val="clear" w:color="auto" w:fill="auto"/>
            <w:vAlign w:val="bottom"/>
            <w:hideMark/>
          </w:tcPr>
          <w:p w14:paraId="533971A9" w14:textId="77777777" w:rsidR="00BD5EBA" w:rsidRPr="00B51E45" w:rsidRDefault="00BD5EBA" w:rsidP="00E85896">
            <w:pPr>
              <w:ind w:firstLineChars="100" w:firstLine="160"/>
              <w:outlineLvl w:val="0"/>
              <w:rPr>
                <w:color w:val="000000"/>
                <w:sz w:val="16"/>
                <w:szCs w:val="16"/>
                <w:lang w:eastAsia="ko-KR"/>
              </w:rPr>
            </w:pPr>
            <w:r w:rsidRPr="00B51E45">
              <w:rPr>
                <w:color w:val="000000"/>
                <w:sz w:val="16"/>
                <w:szCs w:val="16"/>
                <w:lang w:eastAsia="ko-KR"/>
              </w:rPr>
              <w:t xml:space="preserve">   -  Other Superannuation</w:t>
            </w:r>
          </w:p>
        </w:tc>
        <w:tc>
          <w:tcPr>
            <w:tcW w:w="918" w:type="dxa"/>
            <w:tcBorders>
              <w:top w:val="nil"/>
              <w:left w:val="nil"/>
              <w:bottom w:val="nil"/>
              <w:right w:val="nil"/>
            </w:tcBorders>
            <w:shd w:val="clear" w:color="auto" w:fill="auto"/>
            <w:vAlign w:val="bottom"/>
            <w:hideMark/>
          </w:tcPr>
          <w:p w14:paraId="5DCA3822"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3,426</w:t>
            </w:r>
          </w:p>
        </w:tc>
        <w:tc>
          <w:tcPr>
            <w:tcW w:w="918" w:type="dxa"/>
            <w:tcBorders>
              <w:top w:val="nil"/>
              <w:left w:val="nil"/>
              <w:bottom w:val="nil"/>
              <w:right w:val="nil"/>
            </w:tcBorders>
            <w:shd w:val="clear" w:color="auto" w:fill="auto"/>
            <w:vAlign w:val="bottom"/>
            <w:hideMark/>
          </w:tcPr>
          <w:p w14:paraId="31D86517" w14:textId="124E121A" w:rsidR="00BD5EBA" w:rsidRPr="00B51E45" w:rsidRDefault="00BD5EBA" w:rsidP="00E85896">
            <w:pPr>
              <w:jc w:val="right"/>
              <w:outlineLvl w:val="0"/>
              <w:rPr>
                <w:color w:val="000000"/>
                <w:sz w:val="16"/>
                <w:szCs w:val="16"/>
                <w:lang w:eastAsia="ko-KR"/>
              </w:rPr>
            </w:pPr>
            <w:r w:rsidRPr="00B51E45">
              <w:rPr>
                <w:color w:val="000000"/>
                <w:sz w:val="16"/>
                <w:szCs w:val="16"/>
                <w:lang w:eastAsia="ko-KR"/>
              </w:rPr>
              <w:t>3,604</w:t>
            </w:r>
          </w:p>
        </w:tc>
        <w:tc>
          <w:tcPr>
            <w:tcW w:w="918" w:type="dxa"/>
            <w:tcBorders>
              <w:top w:val="nil"/>
              <w:left w:val="nil"/>
              <w:bottom w:val="nil"/>
              <w:right w:val="nil"/>
            </w:tcBorders>
            <w:shd w:val="clear" w:color="auto" w:fill="auto"/>
            <w:vAlign w:val="bottom"/>
            <w:hideMark/>
          </w:tcPr>
          <w:p w14:paraId="55AAFD0B"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3,923</w:t>
            </w:r>
          </w:p>
        </w:tc>
        <w:tc>
          <w:tcPr>
            <w:tcW w:w="879" w:type="dxa"/>
            <w:tcBorders>
              <w:top w:val="nil"/>
              <w:left w:val="nil"/>
              <w:bottom w:val="nil"/>
              <w:right w:val="nil"/>
            </w:tcBorders>
            <w:shd w:val="clear" w:color="auto" w:fill="auto"/>
            <w:vAlign w:val="bottom"/>
            <w:hideMark/>
          </w:tcPr>
          <w:p w14:paraId="1BBA7919"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4,084</w:t>
            </w:r>
          </w:p>
        </w:tc>
        <w:tc>
          <w:tcPr>
            <w:tcW w:w="879" w:type="dxa"/>
            <w:gridSpan w:val="2"/>
            <w:tcBorders>
              <w:top w:val="nil"/>
              <w:left w:val="nil"/>
              <w:bottom w:val="nil"/>
              <w:right w:val="nil"/>
            </w:tcBorders>
            <w:shd w:val="clear" w:color="auto" w:fill="auto"/>
            <w:vAlign w:val="bottom"/>
            <w:hideMark/>
          </w:tcPr>
          <w:p w14:paraId="5BC46F59"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4,221</w:t>
            </w:r>
          </w:p>
        </w:tc>
        <w:tc>
          <w:tcPr>
            <w:tcW w:w="1001" w:type="dxa"/>
            <w:gridSpan w:val="2"/>
            <w:tcBorders>
              <w:top w:val="nil"/>
              <w:left w:val="nil"/>
              <w:bottom w:val="nil"/>
              <w:right w:val="nil"/>
            </w:tcBorders>
            <w:shd w:val="clear" w:color="auto" w:fill="auto"/>
            <w:vAlign w:val="bottom"/>
            <w:hideMark/>
          </w:tcPr>
          <w:p w14:paraId="19F09D2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4,364</w:t>
            </w:r>
          </w:p>
        </w:tc>
      </w:tr>
      <w:tr w:rsidR="00BD5EBA" w:rsidRPr="00B51E45" w14:paraId="47EF56ED" w14:textId="77777777" w:rsidTr="00E85896">
        <w:trPr>
          <w:trHeight w:val="227"/>
        </w:trPr>
        <w:tc>
          <w:tcPr>
            <w:tcW w:w="4394" w:type="dxa"/>
            <w:tcBorders>
              <w:top w:val="nil"/>
              <w:left w:val="nil"/>
              <w:bottom w:val="nil"/>
              <w:right w:val="nil"/>
            </w:tcBorders>
            <w:shd w:val="clear" w:color="auto" w:fill="auto"/>
            <w:vAlign w:val="bottom"/>
            <w:hideMark/>
          </w:tcPr>
          <w:p w14:paraId="77C88E7A" w14:textId="04D103E7" w:rsidR="00BD5EBA" w:rsidRPr="00B51E45" w:rsidRDefault="00BD5EBA" w:rsidP="00E85896">
            <w:pPr>
              <w:outlineLvl w:val="0"/>
              <w:rPr>
                <w:color w:val="000000"/>
                <w:sz w:val="16"/>
                <w:szCs w:val="16"/>
                <w:lang w:eastAsia="ko-KR"/>
              </w:rPr>
            </w:pPr>
            <w:r w:rsidRPr="00B51E45">
              <w:rPr>
                <w:color w:val="000000"/>
                <w:sz w:val="16"/>
                <w:szCs w:val="16"/>
                <w:lang w:eastAsia="ko-KR"/>
              </w:rPr>
              <w:t>Depreciation and Amortisation</w:t>
            </w:r>
          </w:p>
        </w:tc>
        <w:tc>
          <w:tcPr>
            <w:tcW w:w="918" w:type="dxa"/>
            <w:tcBorders>
              <w:top w:val="nil"/>
              <w:left w:val="nil"/>
              <w:bottom w:val="nil"/>
              <w:right w:val="nil"/>
            </w:tcBorders>
            <w:shd w:val="clear" w:color="auto" w:fill="auto"/>
            <w:vAlign w:val="bottom"/>
            <w:hideMark/>
          </w:tcPr>
          <w:p w14:paraId="640EE1D1" w14:textId="47AE79DD"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6,930</w:t>
            </w:r>
          </w:p>
        </w:tc>
        <w:tc>
          <w:tcPr>
            <w:tcW w:w="918" w:type="dxa"/>
            <w:tcBorders>
              <w:top w:val="nil"/>
              <w:left w:val="nil"/>
              <w:bottom w:val="nil"/>
              <w:right w:val="nil"/>
            </w:tcBorders>
            <w:shd w:val="clear" w:color="auto" w:fill="auto"/>
            <w:vAlign w:val="bottom"/>
            <w:hideMark/>
          </w:tcPr>
          <w:p w14:paraId="29FA06B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7,481</w:t>
            </w:r>
          </w:p>
        </w:tc>
        <w:tc>
          <w:tcPr>
            <w:tcW w:w="918" w:type="dxa"/>
            <w:tcBorders>
              <w:top w:val="nil"/>
              <w:left w:val="nil"/>
              <w:bottom w:val="nil"/>
              <w:right w:val="nil"/>
            </w:tcBorders>
            <w:shd w:val="clear" w:color="auto" w:fill="auto"/>
            <w:vAlign w:val="bottom"/>
            <w:hideMark/>
          </w:tcPr>
          <w:p w14:paraId="77E14524"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7,907</w:t>
            </w:r>
          </w:p>
        </w:tc>
        <w:tc>
          <w:tcPr>
            <w:tcW w:w="879" w:type="dxa"/>
            <w:tcBorders>
              <w:top w:val="nil"/>
              <w:left w:val="nil"/>
              <w:bottom w:val="nil"/>
              <w:right w:val="nil"/>
            </w:tcBorders>
            <w:shd w:val="clear" w:color="auto" w:fill="auto"/>
            <w:vAlign w:val="bottom"/>
            <w:hideMark/>
          </w:tcPr>
          <w:p w14:paraId="1826770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8,228</w:t>
            </w:r>
          </w:p>
        </w:tc>
        <w:tc>
          <w:tcPr>
            <w:tcW w:w="879" w:type="dxa"/>
            <w:gridSpan w:val="2"/>
            <w:tcBorders>
              <w:top w:val="nil"/>
              <w:left w:val="nil"/>
              <w:bottom w:val="nil"/>
              <w:right w:val="nil"/>
            </w:tcBorders>
            <w:shd w:val="clear" w:color="auto" w:fill="auto"/>
            <w:vAlign w:val="bottom"/>
            <w:hideMark/>
          </w:tcPr>
          <w:p w14:paraId="16B1389D" w14:textId="7DDCA40A"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8,546</w:t>
            </w:r>
          </w:p>
        </w:tc>
        <w:tc>
          <w:tcPr>
            <w:tcW w:w="1001" w:type="dxa"/>
            <w:gridSpan w:val="2"/>
            <w:tcBorders>
              <w:top w:val="nil"/>
              <w:left w:val="nil"/>
              <w:bottom w:val="nil"/>
              <w:right w:val="nil"/>
            </w:tcBorders>
            <w:shd w:val="clear" w:color="auto" w:fill="auto"/>
            <w:vAlign w:val="bottom"/>
            <w:hideMark/>
          </w:tcPr>
          <w:p w14:paraId="27D5962F"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9,047</w:t>
            </w:r>
          </w:p>
        </w:tc>
      </w:tr>
      <w:tr w:rsidR="00BD5EBA" w:rsidRPr="00B51E45" w14:paraId="2657C9F0" w14:textId="77777777" w:rsidTr="00E85896">
        <w:trPr>
          <w:trHeight w:val="227"/>
        </w:trPr>
        <w:tc>
          <w:tcPr>
            <w:tcW w:w="4394" w:type="dxa"/>
            <w:tcBorders>
              <w:top w:val="nil"/>
              <w:left w:val="nil"/>
              <w:bottom w:val="nil"/>
              <w:right w:val="nil"/>
            </w:tcBorders>
            <w:shd w:val="clear" w:color="auto" w:fill="auto"/>
            <w:vAlign w:val="bottom"/>
            <w:hideMark/>
          </w:tcPr>
          <w:p w14:paraId="43E6915F" w14:textId="2D3B4A0C" w:rsidR="00BD5EBA" w:rsidRPr="00B51E45" w:rsidRDefault="00BD5EBA" w:rsidP="00E85896">
            <w:pPr>
              <w:outlineLvl w:val="0"/>
              <w:rPr>
                <w:color w:val="000000"/>
                <w:sz w:val="16"/>
                <w:szCs w:val="16"/>
                <w:lang w:eastAsia="ko-KR"/>
              </w:rPr>
            </w:pPr>
            <w:r w:rsidRPr="00B51E45">
              <w:rPr>
                <w:color w:val="000000"/>
                <w:sz w:val="16"/>
                <w:szCs w:val="16"/>
                <w:lang w:eastAsia="ko-KR"/>
              </w:rPr>
              <w:t>Interest</w:t>
            </w:r>
          </w:p>
        </w:tc>
        <w:tc>
          <w:tcPr>
            <w:tcW w:w="918" w:type="dxa"/>
            <w:tcBorders>
              <w:top w:val="nil"/>
              <w:left w:val="nil"/>
              <w:bottom w:val="nil"/>
              <w:right w:val="nil"/>
            </w:tcBorders>
            <w:shd w:val="clear" w:color="auto" w:fill="auto"/>
            <w:vAlign w:val="bottom"/>
            <w:hideMark/>
          </w:tcPr>
          <w:p w14:paraId="7F63CA17"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2,199</w:t>
            </w:r>
          </w:p>
        </w:tc>
        <w:tc>
          <w:tcPr>
            <w:tcW w:w="918" w:type="dxa"/>
            <w:tcBorders>
              <w:top w:val="nil"/>
              <w:left w:val="nil"/>
              <w:bottom w:val="nil"/>
              <w:right w:val="nil"/>
            </w:tcBorders>
            <w:shd w:val="clear" w:color="auto" w:fill="auto"/>
            <w:vAlign w:val="bottom"/>
            <w:hideMark/>
          </w:tcPr>
          <w:p w14:paraId="324CD9BB"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2,500</w:t>
            </w:r>
          </w:p>
        </w:tc>
        <w:tc>
          <w:tcPr>
            <w:tcW w:w="918" w:type="dxa"/>
            <w:tcBorders>
              <w:top w:val="nil"/>
              <w:left w:val="nil"/>
              <w:bottom w:val="nil"/>
              <w:right w:val="nil"/>
            </w:tcBorders>
            <w:shd w:val="clear" w:color="auto" w:fill="auto"/>
            <w:vAlign w:val="bottom"/>
            <w:hideMark/>
          </w:tcPr>
          <w:p w14:paraId="49499AB3"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3,566</w:t>
            </w:r>
          </w:p>
        </w:tc>
        <w:tc>
          <w:tcPr>
            <w:tcW w:w="879" w:type="dxa"/>
            <w:tcBorders>
              <w:top w:val="nil"/>
              <w:left w:val="nil"/>
              <w:bottom w:val="nil"/>
              <w:right w:val="nil"/>
            </w:tcBorders>
            <w:shd w:val="clear" w:color="auto" w:fill="auto"/>
            <w:vAlign w:val="bottom"/>
            <w:hideMark/>
          </w:tcPr>
          <w:p w14:paraId="27C08E9C"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4,602</w:t>
            </w:r>
          </w:p>
        </w:tc>
        <w:tc>
          <w:tcPr>
            <w:tcW w:w="879" w:type="dxa"/>
            <w:gridSpan w:val="2"/>
            <w:tcBorders>
              <w:top w:val="nil"/>
              <w:left w:val="nil"/>
              <w:bottom w:val="nil"/>
              <w:right w:val="nil"/>
            </w:tcBorders>
            <w:shd w:val="clear" w:color="auto" w:fill="auto"/>
            <w:vAlign w:val="bottom"/>
            <w:hideMark/>
          </w:tcPr>
          <w:p w14:paraId="212BB863"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5,252</w:t>
            </w:r>
          </w:p>
        </w:tc>
        <w:tc>
          <w:tcPr>
            <w:tcW w:w="1001" w:type="dxa"/>
            <w:gridSpan w:val="2"/>
            <w:tcBorders>
              <w:top w:val="nil"/>
              <w:left w:val="nil"/>
              <w:bottom w:val="nil"/>
              <w:right w:val="nil"/>
            </w:tcBorders>
            <w:shd w:val="clear" w:color="auto" w:fill="auto"/>
            <w:vAlign w:val="bottom"/>
            <w:hideMark/>
          </w:tcPr>
          <w:p w14:paraId="254D6CE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5,973</w:t>
            </w:r>
          </w:p>
        </w:tc>
      </w:tr>
      <w:tr w:rsidR="00BD5EBA" w:rsidRPr="00B51E45" w14:paraId="32BA3597" w14:textId="77777777" w:rsidTr="00E85896">
        <w:trPr>
          <w:trHeight w:val="227"/>
        </w:trPr>
        <w:tc>
          <w:tcPr>
            <w:tcW w:w="4394" w:type="dxa"/>
            <w:tcBorders>
              <w:top w:val="nil"/>
              <w:left w:val="nil"/>
              <w:bottom w:val="nil"/>
              <w:right w:val="nil"/>
            </w:tcBorders>
            <w:shd w:val="clear" w:color="auto" w:fill="auto"/>
            <w:vAlign w:val="bottom"/>
            <w:hideMark/>
          </w:tcPr>
          <w:p w14:paraId="10EAC4DF" w14:textId="289B696B" w:rsidR="00BD5EBA" w:rsidRPr="00B51E45" w:rsidRDefault="00BD5EBA" w:rsidP="00E85896">
            <w:pPr>
              <w:outlineLvl w:val="0"/>
              <w:rPr>
                <w:color w:val="000000"/>
                <w:sz w:val="16"/>
                <w:szCs w:val="16"/>
                <w:lang w:eastAsia="ko-KR"/>
              </w:rPr>
            </w:pPr>
            <w:r w:rsidRPr="00B51E45">
              <w:rPr>
                <w:color w:val="000000"/>
                <w:sz w:val="16"/>
                <w:szCs w:val="16"/>
                <w:lang w:eastAsia="ko-KR"/>
              </w:rPr>
              <w:t>Other Operating Expense</w:t>
            </w:r>
          </w:p>
        </w:tc>
        <w:tc>
          <w:tcPr>
            <w:tcW w:w="918" w:type="dxa"/>
            <w:tcBorders>
              <w:top w:val="nil"/>
              <w:left w:val="nil"/>
              <w:bottom w:val="nil"/>
              <w:right w:val="nil"/>
            </w:tcBorders>
            <w:shd w:val="clear" w:color="auto" w:fill="auto"/>
            <w:vAlign w:val="bottom"/>
            <w:hideMark/>
          </w:tcPr>
          <w:p w14:paraId="198F59D5"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24,560</w:t>
            </w:r>
          </w:p>
        </w:tc>
        <w:tc>
          <w:tcPr>
            <w:tcW w:w="918" w:type="dxa"/>
            <w:tcBorders>
              <w:top w:val="nil"/>
              <w:left w:val="nil"/>
              <w:bottom w:val="nil"/>
              <w:right w:val="nil"/>
            </w:tcBorders>
            <w:shd w:val="clear" w:color="auto" w:fill="auto"/>
            <w:vAlign w:val="bottom"/>
            <w:hideMark/>
          </w:tcPr>
          <w:p w14:paraId="2B760A69"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30,410</w:t>
            </w:r>
          </w:p>
        </w:tc>
        <w:tc>
          <w:tcPr>
            <w:tcW w:w="918" w:type="dxa"/>
            <w:tcBorders>
              <w:top w:val="nil"/>
              <w:left w:val="nil"/>
              <w:bottom w:val="nil"/>
              <w:right w:val="nil"/>
            </w:tcBorders>
            <w:shd w:val="clear" w:color="auto" w:fill="auto"/>
            <w:vAlign w:val="bottom"/>
            <w:hideMark/>
          </w:tcPr>
          <w:p w14:paraId="6A7A234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28,368</w:t>
            </w:r>
          </w:p>
        </w:tc>
        <w:tc>
          <w:tcPr>
            <w:tcW w:w="879" w:type="dxa"/>
            <w:tcBorders>
              <w:top w:val="nil"/>
              <w:left w:val="nil"/>
              <w:bottom w:val="nil"/>
              <w:right w:val="nil"/>
            </w:tcBorders>
            <w:shd w:val="clear" w:color="auto" w:fill="auto"/>
            <w:vAlign w:val="bottom"/>
            <w:hideMark/>
          </w:tcPr>
          <w:p w14:paraId="6AA933E9"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26,060</w:t>
            </w:r>
          </w:p>
        </w:tc>
        <w:tc>
          <w:tcPr>
            <w:tcW w:w="879" w:type="dxa"/>
            <w:gridSpan w:val="2"/>
            <w:tcBorders>
              <w:top w:val="nil"/>
              <w:left w:val="nil"/>
              <w:bottom w:val="nil"/>
              <w:right w:val="nil"/>
            </w:tcBorders>
            <w:shd w:val="clear" w:color="auto" w:fill="auto"/>
            <w:vAlign w:val="bottom"/>
            <w:hideMark/>
          </w:tcPr>
          <w:p w14:paraId="783963E8"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24,643</w:t>
            </w:r>
          </w:p>
        </w:tc>
        <w:tc>
          <w:tcPr>
            <w:tcW w:w="1001" w:type="dxa"/>
            <w:gridSpan w:val="2"/>
            <w:tcBorders>
              <w:top w:val="nil"/>
              <w:left w:val="nil"/>
              <w:bottom w:val="nil"/>
              <w:right w:val="nil"/>
            </w:tcBorders>
            <w:shd w:val="clear" w:color="auto" w:fill="auto"/>
            <w:vAlign w:val="bottom"/>
            <w:hideMark/>
          </w:tcPr>
          <w:p w14:paraId="4CBABB8F"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25,272</w:t>
            </w:r>
          </w:p>
        </w:tc>
      </w:tr>
      <w:tr w:rsidR="00BD5EBA" w:rsidRPr="00B51E45" w14:paraId="6FCD4CB2" w14:textId="77777777" w:rsidTr="00E85896">
        <w:trPr>
          <w:trHeight w:val="227"/>
        </w:trPr>
        <w:tc>
          <w:tcPr>
            <w:tcW w:w="4394" w:type="dxa"/>
            <w:tcBorders>
              <w:top w:val="nil"/>
              <w:left w:val="nil"/>
              <w:bottom w:val="nil"/>
              <w:right w:val="nil"/>
            </w:tcBorders>
            <w:shd w:val="clear" w:color="auto" w:fill="auto"/>
            <w:vAlign w:val="bottom"/>
            <w:hideMark/>
          </w:tcPr>
          <w:p w14:paraId="2CA6B720" w14:textId="77777777" w:rsidR="00BD5EBA" w:rsidRPr="00B51E45" w:rsidRDefault="00BD5EBA" w:rsidP="00E85896">
            <w:pPr>
              <w:outlineLvl w:val="0"/>
              <w:rPr>
                <w:color w:val="000000"/>
                <w:sz w:val="16"/>
                <w:szCs w:val="16"/>
                <w:lang w:eastAsia="ko-KR"/>
              </w:rPr>
            </w:pPr>
            <w:r w:rsidRPr="00B51E45">
              <w:rPr>
                <w:color w:val="000000"/>
                <w:sz w:val="16"/>
                <w:szCs w:val="16"/>
                <w:lang w:eastAsia="ko-KR"/>
              </w:rPr>
              <w:t>Grants, Subsidies and Other Transfers</w:t>
            </w:r>
          </w:p>
        </w:tc>
        <w:tc>
          <w:tcPr>
            <w:tcW w:w="918" w:type="dxa"/>
            <w:tcBorders>
              <w:top w:val="nil"/>
              <w:left w:val="nil"/>
              <w:bottom w:val="nil"/>
              <w:right w:val="nil"/>
            </w:tcBorders>
            <w:shd w:val="clear" w:color="auto" w:fill="auto"/>
            <w:vAlign w:val="bottom"/>
            <w:hideMark/>
          </w:tcPr>
          <w:p w14:paraId="12CC153A"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20,192</w:t>
            </w:r>
          </w:p>
        </w:tc>
        <w:tc>
          <w:tcPr>
            <w:tcW w:w="918" w:type="dxa"/>
            <w:tcBorders>
              <w:top w:val="nil"/>
              <w:left w:val="nil"/>
              <w:bottom w:val="nil"/>
              <w:right w:val="nil"/>
            </w:tcBorders>
            <w:shd w:val="clear" w:color="auto" w:fill="auto"/>
            <w:vAlign w:val="bottom"/>
            <w:hideMark/>
          </w:tcPr>
          <w:p w14:paraId="3A571A4D"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34,983</w:t>
            </w:r>
          </w:p>
        </w:tc>
        <w:tc>
          <w:tcPr>
            <w:tcW w:w="918" w:type="dxa"/>
            <w:tcBorders>
              <w:top w:val="nil"/>
              <w:left w:val="nil"/>
              <w:bottom w:val="nil"/>
              <w:right w:val="nil"/>
            </w:tcBorders>
            <w:shd w:val="clear" w:color="auto" w:fill="auto"/>
            <w:vAlign w:val="bottom"/>
            <w:hideMark/>
          </w:tcPr>
          <w:p w14:paraId="3A98D9B5" w14:textId="77777777" w:rsidR="00BD5EBA" w:rsidRPr="00B51E45" w:rsidRDefault="00BD5EBA" w:rsidP="00E85896">
            <w:pPr>
              <w:jc w:val="right"/>
              <w:outlineLvl w:val="0"/>
              <w:rPr>
                <w:color w:val="000000"/>
                <w:sz w:val="16"/>
                <w:szCs w:val="16"/>
                <w:lang w:eastAsia="ko-KR"/>
              </w:rPr>
            </w:pPr>
            <w:r w:rsidRPr="00B51E45">
              <w:rPr>
                <w:color w:val="000000"/>
                <w:sz w:val="16"/>
                <w:szCs w:val="16"/>
                <w:lang w:eastAsia="ko-KR"/>
              </w:rPr>
              <w:t>27,000</w:t>
            </w:r>
          </w:p>
        </w:tc>
        <w:tc>
          <w:tcPr>
            <w:tcW w:w="879" w:type="dxa"/>
            <w:tcBorders>
              <w:top w:val="nil"/>
              <w:left w:val="nil"/>
              <w:bottom w:val="nil"/>
              <w:right w:val="nil"/>
            </w:tcBorders>
            <w:shd w:val="clear" w:color="auto" w:fill="auto"/>
            <w:vAlign w:val="bottom"/>
            <w:hideMark/>
          </w:tcPr>
          <w:p w14:paraId="14E4D783" w14:textId="7AD0BB7F"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22,221</w:t>
            </w:r>
          </w:p>
        </w:tc>
        <w:tc>
          <w:tcPr>
            <w:tcW w:w="879" w:type="dxa"/>
            <w:gridSpan w:val="2"/>
            <w:tcBorders>
              <w:top w:val="nil"/>
              <w:left w:val="nil"/>
              <w:bottom w:val="nil"/>
              <w:right w:val="nil"/>
            </w:tcBorders>
            <w:shd w:val="clear" w:color="auto" w:fill="auto"/>
            <w:vAlign w:val="bottom"/>
            <w:hideMark/>
          </w:tcPr>
          <w:p w14:paraId="2A2C7F81" w14:textId="4DD6992E" w:rsidR="00BD5EBA" w:rsidRPr="008E665E" w:rsidRDefault="008E665E" w:rsidP="00E85896">
            <w:pPr>
              <w:jc w:val="right"/>
              <w:outlineLvl w:val="0"/>
              <w:rPr>
                <w:color w:val="A6A6A6" w:themeColor="background1" w:themeShade="A6"/>
                <w:sz w:val="16"/>
                <w:szCs w:val="16"/>
                <w:lang w:eastAsia="ko-KR"/>
              </w:rPr>
            </w:pPr>
            <w:r w:rsidRPr="00036B4A">
              <w:rPr>
                <w:rFonts w:eastAsia="Calibri" w:cs="Times New Roman"/>
                <w:iCs/>
                <w:noProof/>
                <w:sz w:val="23"/>
                <w:lang w:eastAsia="en-US"/>
              </w:rPr>
              <mc:AlternateContent>
                <mc:Choice Requires="wps">
                  <w:drawing>
                    <wp:anchor distT="0" distB="0" distL="114300" distR="114300" simplePos="0" relativeHeight="251658241" behindDoc="0" locked="0" layoutInCell="1" allowOverlap="1" wp14:anchorId="08891E96" wp14:editId="7D926D51">
                      <wp:simplePos x="0" y="0"/>
                      <wp:positionH relativeFrom="margin">
                        <wp:posOffset>-563245</wp:posOffset>
                      </wp:positionH>
                      <wp:positionV relativeFrom="paragraph">
                        <wp:posOffset>45720</wp:posOffset>
                      </wp:positionV>
                      <wp:extent cx="1485265" cy="254635"/>
                      <wp:effectExtent l="95250" t="0" r="19685" b="12065"/>
                      <wp:wrapNone/>
                      <wp:docPr id="172" name="Speech Bubble: Rectangle with Corners Rounded 171">
                        <a:extLst xmlns:a="http://schemas.openxmlformats.org/drawingml/2006/main">
                          <a:ext uri="{FF2B5EF4-FFF2-40B4-BE49-F238E27FC236}">
                            <a16:creationId xmlns:a16="http://schemas.microsoft.com/office/drawing/2014/main" id="{5EFD708E-1A2B-44F0-A00B-92BD3B4D8178}"/>
                          </a:ext>
                        </a:extLst>
                      </wp:docPr>
                      <wp:cNvGraphicFramePr/>
                      <a:graphic xmlns:a="http://schemas.openxmlformats.org/drawingml/2006/main">
                        <a:graphicData uri="http://schemas.microsoft.com/office/word/2010/wordprocessingShape">
                          <wps:wsp>
                            <wps:cNvSpPr/>
                            <wps:spPr>
                              <a:xfrm>
                                <a:off x="0" y="0"/>
                                <a:ext cx="1485265" cy="254635"/>
                              </a:xfrm>
                              <a:prstGeom prst="wedgeRoundRectCallout">
                                <a:avLst>
                                  <a:gd name="adj1" fmla="val -54834"/>
                                  <a:gd name="adj2" fmla="val 26269"/>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130E9944" w14:textId="77777777" w:rsidR="00036B4A" w:rsidRDefault="00036B4A" w:rsidP="00036B4A">
                                  <w:pPr>
                                    <w:rPr>
                                      <w:sz w:val="24"/>
                                      <w:szCs w:val="24"/>
                                    </w:rPr>
                                  </w:pPr>
                                  <w:r>
                                    <w:rPr>
                                      <w:b/>
                                      <w:color w:val="44546A" w:themeColor="text2"/>
                                      <w:kern w:val="24"/>
                                      <w:sz w:val="18"/>
                                      <w:szCs w:val="18"/>
                                    </w:rPr>
                                    <w:t xml:space="preserve">Sum of expenses </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08891E96" id="Speech Bubble: Rectangle with Corners Rounded 171" o:spid="_x0000_s1073" type="#_x0000_t62" style="position:absolute;left:0;text-align:left;margin-left:-44.35pt;margin-top:3.6pt;width:116.95pt;height:20.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" adj="-1044,16474" fillcolor="#f2f2f2 [3052]" strokecolor="#44546a [3215]" strokeweight="1.75pt">
                      <v:stroke dashstyle="3 1"/>
                      <v:textbox inset="1mm,1mm,1mm,1mm">
                        <w:txbxContent>
                          <w:p w14:paraId="130E9944" w14:textId="77777777" w:rsidR="00036B4A" w:rsidRDefault="00036B4A" w:rsidP="00036B4A">
                            <w:pPr>
                              <w:rPr>
                                <w:sz w:val="24"/>
                                <w:szCs w:val="24"/>
                              </w:rPr>
                            </w:pPr>
                            <w:r>
                              <w:rPr>
                                <w:b/>
                                <w:color w:val="44546A" w:themeColor="text2"/>
                                <w:kern w:val="24"/>
                                <w:sz w:val="18"/>
                                <w:szCs w:val="18"/>
                              </w:rPr>
                              <w:t xml:space="preserve">Sum of expenses </w:t>
                            </w:r>
                          </w:p>
                        </w:txbxContent>
                      </v:textbox>
                      <w10:wrap anchorx="margin"/>
                    </v:shape>
                  </w:pict>
                </mc:Fallback>
              </mc:AlternateContent>
            </w:r>
            <w:r w:rsidR="00BD5EBA" w:rsidRPr="008E665E">
              <w:rPr>
                <w:color w:val="A6A6A6" w:themeColor="background1" w:themeShade="A6"/>
                <w:sz w:val="16"/>
                <w:szCs w:val="16"/>
                <w:lang w:eastAsia="ko-KR"/>
              </w:rPr>
              <w:t>21,392</w:t>
            </w:r>
          </w:p>
        </w:tc>
        <w:tc>
          <w:tcPr>
            <w:tcW w:w="1001" w:type="dxa"/>
            <w:gridSpan w:val="2"/>
            <w:tcBorders>
              <w:top w:val="nil"/>
              <w:left w:val="nil"/>
              <w:bottom w:val="nil"/>
              <w:right w:val="nil"/>
            </w:tcBorders>
            <w:shd w:val="clear" w:color="auto" w:fill="auto"/>
            <w:vAlign w:val="bottom"/>
            <w:hideMark/>
          </w:tcPr>
          <w:p w14:paraId="08243336" w14:textId="77777777" w:rsidR="00BD5EBA" w:rsidRPr="008E665E" w:rsidRDefault="00BD5EBA" w:rsidP="00E85896">
            <w:pPr>
              <w:jc w:val="right"/>
              <w:outlineLvl w:val="0"/>
              <w:rPr>
                <w:color w:val="A6A6A6" w:themeColor="background1" w:themeShade="A6"/>
                <w:sz w:val="16"/>
                <w:szCs w:val="16"/>
                <w:lang w:eastAsia="ko-KR"/>
              </w:rPr>
            </w:pPr>
            <w:r w:rsidRPr="008E665E">
              <w:rPr>
                <w:color w:val="A6A6A6" w:themeColor="background1" w:themeShade="A6"/>
                <w:sz w:val="16"/>
                <w:szCs w:val="16"/>
                <w:lang w:eastAsia="ko-KR"/>
              </w:rPr>
              <w:t>20,205</w:t>
            </w:r>
          </w:p>
        </w:tc>
      </w:tr>
      <w:tr w:rsidR="00BD5EBA" w:rsidRPr="00B51E45" w14:paraId="09D08463" w14:textId="77777777" w:rsidTr="00E85896">
        <w:trPr>
          <w:trHeight w:val="288"/>
        </w:trPr>
        <w:tc>
          <w:tcPr>
            <w:tcW w:w="4394" w:type="dxa"/>
            <w:tcBorders>
              <w:top w:val="nil"/>
              <w:left w:val="nil"/>
              <w:bottom w:val="nil"/>
              <w:right w:val="nil"/>
            </w:tcBorders>
            <w:shd w:val="clear" w:color="auto" w:fill="auto"/>
            <w:vAlign w:val="bottom"/>
            <w:hideMark/>
          </w:tcPr>
          <w:p w14:paraId="32043DB4" w14:textId="77777777" w:rsidR="00BD5EBA" w:rsidRPr="00B51E45" w:rsidRDefault="00BD5EBA" w:rsidP="00E85896">
            <w:pPr>
              <w:outlineLvl w:val="0"/>
              <w:rPr>
                <w:b/>
                <w:bCs/>
                <w:color w:val="008EBA"/>
                <w:sz w:val="16"/>
                <w:szCs w:val="16"/>
                <w:lang w:eastAsia="ko-KR"/>
              </w:rPr>
            </w:pPr>
            <w:r w:rsidRPr="00B51E45">
              <w:rPr>
                <w:b/>
                <w:bCs/>
                <w:color w:val="008EBA"/>
                <w:sz w:val="16"/>
                <w:szCs w:val="16"/>
                <w:lang w:eastAsia="ko-KR"/>
              </w:rPr>
              <w:t>Total Expenses from Transactions</w:t>
            </w:r>
          </w:p>
        </w:tc>
        <w:tc>
          <w:tcPr>
            <w:tcW w:w="918" w:type="dxa"/>
            <w:tcBorders>
              <w:top w:val="nil"/>
              <w:left w:val="nil"/>
              <w:bottom w:val="nil"/>
              <w:right w:val="nil"/>
            </w:tcBorders>
            <w:shd w:val="clear" w:color="auto" w:fill="auto"/>
            <w:vAlign w:val="bottom"/>
            <w:hideMark/>
          </w:tcPr>
          <w:p w14:paraId="67BFF1BD"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95,038</w:t>
            </w:r>
          </w:p>
        </w:tc>
        <w:tc>
          <w:tcPr>
            <w:tcW w:w="918" w:type="dxa"/>
            <w:tcBorders>
              <w:top w:val="nil"/>
              <w:left w:val="nil"/>
              <w:bottom w:val="nil"/>
              <w:right w:val="nil"/>
            </w:tcBorders>
            <w:shd w:val="clear" w:color="auto" w:fill="auto"/>
            <w:vAlign w:val="bottom"/>
            <w:hideMark/>
          </w:tcPr>
          <w:p w14:paraId="49A9C736"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120,268</w:t>
            </w:r>
          </w:p>
        </w:tc>
        <w:tc>
          <w:tcPr>
            <w:tcW w:w="918" w:type="dxa"/>
            <w:tcBorders>
              <w:top w:val="nil"/>
              <w:left w:val="nil"/>
              <w:bottom w:val="nil"/>
              <w:right w:val="nil"/>
            </w:tcBorders>
            <w:shd w:val="clear" w:color="auto" w:fill="auto"/>
            <w:vAlign w:val="bottom"/>
            <w:hideMark/>
          </w:tcPr>
          <w:p w14:paraId="114C3D82"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114,878</w:t>
            </w:r>
          </w:p>
        </w:tc>
        <w:tc>
          <w:tcPr>
            <w:tcW w:w="879" w:type="dxa"/>
            <w:tcBorders>
              <w:top w:val="nil"/>
              <w:left w:val="nil"/>
              <w:bottom w:val="nil"/>
              <w:right w:val="nil"/>
            </w:tcBorders>
            <w:shd w:val="clear" w:color="auto" w:fill="auto"/>
            <w:vAlign w:val="bottom"/>
            <w:hideMark/>
          </w:tcPr>
          <w:p w14:paraId="34E0645E" w14:textId="09681EA6"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109,497</w:t>
            </w:r>
          </w:p>
        </w:tc>
        <w:tc>
          <w:tcPr>
            <w:tcW w:w="879" w:type="dxa"/>
            <w:gridSpan w:val="2"/>
            <w:tcBorders>
              <w:top w:val="nil"/>
              <w:left w:val="nil"/>
              <w:bottom w:val="nil"/>
              <w:right w:val="nil"/>
            </w:tcBorders>
            <w:shd w:val="clear" w:color="auto" w:fill="auto"/>
            <w:vAlign w:val="bottom"/>
            <w:hideMark/>
          </w:tcPr>
          <w:p w14:paraId="1F773035"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109,500</w:t>
            </w:r>
          </w:p>
        </w:tc>
        <w:tc>
          <w:tcPr>
            <w:tcW w:w="1001" w:type="dxa"/>
            <w:gridSpan w:val="2"/>
            <w:tcBorders>
              <w:top w:val="nil"/>
              <w:left w:val="nil"/>
              <w:bottom w:val="nil"/>
              <w:right w:val="nil"/>
            </w:tcBorders>
            <w:shd w:val="clear" w:color="auto" w:fill="auto"/>
            <w:vAlign w:val="bottom"/>
            <w:hideMark/>
          </w:tcPr>
          <w:p w14:paraId="3A8134BA"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111,513</w:t>
            </w:r>
          </w:p>
        </w:tc>
      </w:tr>
      <w:tr w:rsidR="00BD5EBA" w:rsidRPr="00B51E45" w14:paraId="465B8B22" w14:textId="77777777" w:rsidTr="00E85896">
        <w:trPr>
          <w:trHeight w:val="454"/>
        </w:trPr>
        <w:tc>
          <w:tcPr>
            <w:tcW w:w="4394" w:type="dxa"/>
            <w:tcBorders>
              <w:top w:val="nil"/>
              <w:left w:val="nil"/>
              <w:bottom w:val="nil"/>
              <w:right w:val="nil"/>
            </w:tcBorders>
            <w:shd w:val="clear" w:color="auto" w:fill="auto"/>
            <w:vAlign w:val="center"/>
            <w:hideMark/>
          </w:tcPr>
          <w:p w14:paraId="1F738203" w14:textId="77777777" w:rsidR="00BD5EBA" w:rsidRPr="00B51E45" w:rsidRDefault="00BD5EBA" w:rsidP="00E85896">
            <w:pPr>
              <w:outlineLvl w:val="0"/>
              <w:rPr>
                <w:b/>
                <w:bCs/>
                <w:color w:val="008EBA"/>
                <w:sz w:val="16"/>
                <w:szCs w:val="16"/>
                <w:lang w:eastAsia="ko-KR"/>
              </w:rPr>
            </w:pPr>
            <w:r w:rsidRPr="00B51E45">
              <w:rPr>
                <w:b/>
                <w:bCs/>
                <w:color w:val="008EBA"/>
                <w:sz w:val="16"/>
                <w:szCs w:val="16"/>
                <w:lang w:eastAsia="ko-KR"/>
              </w:rPr>
              <w:t xml:space="preserve">BUDGET RESULT - SURPLUS/(DEFICIT) </w:t>
            </w:r>
            <w:r w:rsidRPr="00B51E45">
              <w:rPr>
                <w:b/>
                <w:bCs/>
                <w:color w:val="008EBA"/>
                <w:sz w:val="16"/>
                <w:szCs w:val="16"/>
                <w:lang w:eastAsia="ko-KR"/>
              </w:rPr>
              <w:br/>
              <w:t>[Net Operating Balance]</w:t>
            </w:r>
          </w:p>
        </w:tc>
        <w:tc>
          <w:tcPr>
            <w:tcW w:w="918" w:type="dxa"/>
            <w:tcBorders>
              <w:top w:val="single" w:sz="4" w:space="0" w:color="auto"/>
              <w:left w:val="nil"/>
              <w:bottom w:val="single" w:sz="4" w:space="0" w:color="auto"/>
              <w:right w:val="nil"/>
            </w:tcBorders>
            <w:shd w:val="clear" w:color="auto" w:fill="auto"/>
            <w:vAlign w:val="bottom"/>
            <w:hideMark/>
          </w:tcPr>
          <w:p w14:paraId="2D4F81D6"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(7,072)</w:t>
            </w:r>
          </w:p>
        </w:tc>
        <w:tc>
          <w:tcPr>
            <w:tcW w:w="918" w:type="dxa"/>
            <w:tcBorders>
              <w:top w:val="single" w:sz="4" w:space="0" w:color="auto"/>
              <w:left w:val="nil"/>
              <w:bottom w:val="single" w:sz="4" w:space="0" w:color="auto"/>
              <w:right w:val="nil"/>
            </w:tcBorders>
            <w:shd w:val="clear" w:color="auto" w:fill="auto"/>
            <w:vAlign w:val="bottom"/>
            <w:hideMark/>
          </w:tcPr>
          <w:p w14:paraId="5E34B2ED"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(16,562)</w:t>
            </w:r>
          </w:p>
        </w:tc>
        <w:tc>
          <w:tcPr>
            <w:tcW w:w="918" w:type="dxa"/>
            <w:tcBorders>
              <w:top w:val="single" w:sz="4" w:space="0" w:color="auto"/>
              <w:left w:val="nil"/>
              <w:bottom w:val="single" w:sz="4" w:space="0" w:color="auto"/>
              <w:right w:val="nil"/>
            </w:tcBorders>
            <w:shd w:val="clear" w:color="auto" w:fill="auto"/>
            <w:vAlign w:val="bottom"/>
            <w:hideMark/>
          </w:tcPr>
          <w:p w14:paraId="26C1132E" w14:textId="77777777" w:rsidR="00BD5EBA" w:rsidRPr="00B51E45" w:rsidRDefault="00BD5EBA" w:rsidP="00E85896">
            <w:pPr>
              <w:jc w:val="right"/>
              <w:outlineLvl w:val="0"/>
              <w:rPr>
                <w:b/>
                <w:bCs/>
                <w:color w:val="008EBA"/>
                <w:sz w:val="16"/>
                <w:szCs w:val="16"/>
                <w:lang w:eastAsia="ko-KR"/>
              </w:rPr>
            </w:pPr>
            <w:r w:rsidRPr="00B51E45">
              <w:rPr>
                <w:b/>
                <w:bCs/>
                <w:color w:val="008EBA"/>
                <w:sz w:val="16"/>
                <w:szCs w:val="16"/>
                <w:lang w:eastAsia="ko-KR"/>
              </w:rPr>
              <w:t>(11,260)</w:t>
            </w:r>
          </w:p>
        </w:tc>
        <w:tc>
          <w:tcPr>
            <w:tcW w:w="879" w:type="dxa"/>
            <w:tcBorders>
              <w:top w:val="single" w:sz="4" w:space="0" w:color="auto"/>
              <w:left w:val="nil"/>
              <w:bottom w:val="single" w:sz="4" w:space="0" w:color="auto"/>
              <w:right w:val="nil"/>
            </w:tcBorders>
            <w:shd w:val="clear" w:color="auto" w:fill="auto"/>
            <w:vAlign w:val="bottom"/>
            <w:hideMark/>
          </w:tcPr>
          <w:p w14:paraId="58098076" w14:textId="7B2E6B78" w:rsidR="00BD5EBA" w:rsidRPr="008E665E" w:rsidRDefault="008E665E" w:rsidP="00E85896">
            <w:pPr>
              <w:jc w:val="right"/>
              <w:outlineLvl w:val="0"/>
              <w:rPr>
                <w:b/>
                <w:bCs/>
                <w:color w:val="A6A6A6" w:themeColor="background1" w:themeShade="A6"/>
                <w:sz w:val="16"/>
                <w:szCs w:val="16"/>
                <w:lang w:eastAsia="ko-KR"/>
              </w:rPr>
            </w:pPr>
            <w:r w:rsidRPr="00036B4A">
              <w:rPr>
                <w:rFonts w:eastAsia="Calibri" w:cs="Times New Roman"/>
                <w:iCs/>
                <w:noProof/>
                <w:sz w:val="23"/>
                <w:lang w:eastAsia="en-US"/>
              </w:rPr>
              <mc:AlternateContent>
                <mc:Choice Requires="wps">
                  <w:drawing>
                    <wp:anchor distT="0" distB="0" distL="114300" distR="114300" simplePos="0" relativeHeight="251658242" behindDoc="0" locked="0" layoutInCell="1" allowOverlap="1" wp14:anchorId="7DEC56FC" wp14:editId="326345DE">
                      <wp:simplePos x="0" y="0"/>
                      <wp:positionH relativeFrom="column">
                        <wp:posOffset>47625</wp:posOffset>
                      </wp:positionH>
                      <wp:positionV relativeFrom="paragraph">
                        <wp:posOffset>206375</wp:posOffset>
                      </wp:positionV>
                      <wp:extent cx="1485265" cy="1329690"/>
                      <wp:effectExtent l="152400" t="0" r="19685" b="22860"/>
                      <wp:wrapNone/>
                      <wp:docPr id="173" name="Speech Bubble: Rectangle with Corners Rounded 172">
                        <a:extLst xmlns:a="http://schemas.openxmlformats.org/drawingml/2006/main">
                          <a:ext uri="{FF2B5EF4-FFF2-40B4-BE49-F238E27FC236}">
                            <a16:creationId xmlns:a16="http://schemas.microsoft.com/office/drawing/2014/main" id="{1F6B504B-698A-48FC-A3FD-BAEC4D58B012}"/>
                          </a:ext>
                        </a:extLst>
                      </wp:docPr>
                      <wp:cNvGraphicFramePr/>
                      <a:graphic xmlns:a="http://schemas.openxmlformats.org/drawingml/2006/main">
                        <a:graphicData uri="http://schemas.microsoft.com/office/word/2010/wordprocessingShape">
                          <wps:wsp>
                            <wps:cNvSpPr/>
                            <wps:spPr>
                              <a:xfrm>
                                <a:off x="0" y="0"/>
                                <a:ext cx="1485265" cy="1329690"/>
                              </a:xfrm>
                              <a:prstGeom prst="wedgeRoundRectCallout">
                                <a:avLst>
                                  <a:gd name="adj1" fmla="val -59338"/>
                                  <a:gd name="adj2" fmla="val -43816"/>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7B4DDB08" w14:textId="77777777" w:rsidR="00036B4A" w:rsidRDefault="00036B4A" w:rsidP="00036B4A">
                                  <w:pPr>
                                    <w:rPr>
                                      <w:sz w:val="24"/>
                                      <w:szCs w:val="24"/>
                                    </w:rPr>
                                  </w:pPr>
                                  <w:r>
                                    <w:rPr>
                                      <w:b/>
                                      <w:color w:val="44546A" w:themeColor="text2"/>
                                      <w:kern w:val="24"/>
                                      <w:sz w:val="18"/>
                                      <w:szCs w:val="18"/>
                                    </w:rPr>
                                    <w:t>Budget Result</w:t>
                                  </w:r>
                                </w:p>
                                <w:p w14:paraId="74D8C39B" w14:textId="77777777" w:rsidR="00036B4A" w:rsidRDefault="00036B4A" w:rsidP="00036B4A">
                                  <w:r>
                                    <w:rPr>
                                      <w:color w:val="44546A" w:themeColor="text2"/>
                                      <w:kern w:val="24"/>
                                      <w:sz w:val="18"/>
                                      <w:szCs w:val="18"/>
                                    </w:rPr>
                                    <w:t>is Revenue minus Expenses.</w:t>
                                  </w:r>
                                </w:p>
                                <w:p w14:paraId="3AD4FB55" w14:textId="77777777" w:rsidR="00036B4A" w:rsidRDefault="00036B4A" w:rsidP="00036B4A">
                                  <w:r>
                                    <w:rPr>
                                      <w:color w:val="44546A" w:themeColor="text2"/>
                                      <w:kern w:val="24"/>
                                      <w:sz w:val="18"/>
                                      <w:szCs w:val="18"/>
                                    </w:rPr>
                                    <w:t xml:space="preserve">One measure of the sustainability of the State’s operations. </w:t>
                                  </w:r>
                                </w:p>
                                <w:p w14:paraId="17BAC69F" w14:textId="77777777" w:rsidR="00036B4A" w:rsidRDefault="00036B4A" w:rsidP="00036B4A">
                                  <w:r>
                                    <w:rPr>
                                      <w:color w:val="44546A" w:themeColor="text2"/>
                                      <w:kern w:val="24"/>
                                      <w:sz w:val="18"/>
                                      <w:szCs w:val="18"/>
                                    </w:rPr>
                                    <w:t>Also known as the Net Operating Balance.</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7DEC56FC" id="Speech Bubble: Rectangle with Corners Rounded 172" o:spid="_x0000_s1074" type="#_x0000_t62" style="position:absolute;left:0;text-align:left;margin-left:3.75pt;margin-top:16.25pt;width:116.95pt;height:10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" adj="-2017,1336" fillcolor="#f2f2f2 [3052]" strokecolor="#44546a [3215]" strokeweight="1.75pt">
                      <v:stroke dashstyle="3 1"/>
                      <v:textbox inset="1mm,1mm,1mm,1mm">
                        <w:txbxContent>
                          <w:p w14:paraId="7B4DDB08" w14:textId="77777777" w:rsidR="00036B4A" w:rsidRDefault="00036B4A" w:rsidP="00036B4A">
                            <w:pPr>
                              <w:rPr>
                                <w:sz w:val="24"/>
                                <w:szCs w:val="24"/>
                              </w:rPr>
                            </w:pPr>
                            <w:r>
                              <w:rPr>
                                <w:b/>
                                <w:color w:val="44546A" w:themeColor="text2"/>
                                <w:kern w:val="24"/>
                                <w:sz w:val="18"/>
                                <w:szCs w:val="18"/>
                              </w:rPr>
                              <w:t>Budget Result</w:t>
                            </w:r>
                          </w:p>
                          <w:p w14:paraId="74D8C39B" w14:textId="77777777" w:rsidR="00036B4A" w:rsidRDefault="00036B4A" w:rsidP="00036B4A">
                            <w:r>
                              <w:rPr>
                                <w:color w:val="44546A" w:themeColor="text2"/>
                                <w:kern w:val="24"/>
                                <w:sz w:val="18"/>
                                <w:szCs w:val="18"/>
                              </w:rPr>
                              <w:t>is Revenue minus Expenses.</w:t>
                            </w:r>
                          </w:p>
                          <w:p w14:paraId="3AD4FB55" w14:textId="77777777" w:rsidR="00036B4A" w:rsidRDefault="00036B4A" w:rsidP="00036B4A">
                            <w:r>
                              <w:rPr>
                                <w:color w:val="44546A" w:themeColor="text2"/>
                                <w:kern w:val="24"/>
                                <w:sz w:val="18"/>
                                <w:szCs w:val="18"/>
                              </w:rPr>
                              <w:t xml:space="preserve">One measure of the sustainability of the State’s operations. </w:t>
                            </w:r>
                          </w:p>
                          <w:p w14:paraId="17BAC69F" w14:textId="77777777" w:rsidR="00036B4A" w:rsidRDefault="00036B4A" w:rsidP="00036B4A">
                            <w:r>
                              <w:rPr>
                                <w:color w:val="44546A" w:themeColor="text2"/>
                                <w:kern w:val="24"/>
                                <w:sz w:val="18"/>
                                <w:szCs w:val="18"/>
                              </w:rPr>
                              <w:t>Also known as the Net Operating Balance.</w:t>
                            </w:r>
                          </w:p>
                        </w:txbxContent>
                      </v:textbox>
                    </v:shape>
                  </w:pict>
                </mc:Fallback>
              </mc:AlternateContent>
            </w:r>
            <w:r w:rsidR="00BD5EBA" w:rsidRPr="008E665E">
              <w:rPr>
                <w:b/>
                <w:bCs/>
                <w:color w:val="A6A6A6" w:themeColor="background1" w:themeShade="A6"/>
                <w:sz w:val="16"/>
                <w:szCs w:val="16"/>
                <w:lang w:eastAsia="ko-KR"/>
              </w:rPr>
              <w:t>(2,796)</w:t>
            </w:r>
          </w:p>
        </w:tc>
        <w:tc>
          <w:tcPr>
            <w:tcW w:w="879" w:type="dxa"/>
            <w:gridSpan w:val="2"/>
            <w:tcBorders>
              <w:top w:val="single" w:sz="4" w:space="0" w:color="auto"/>
              <w:left w:val="nil"/>
              <w:bottom w:val="single" w:sz="4" w:space="0" w:color="auto"/>
              <w:right w:val="nil"/>
            </w:tcBorders>
            <w:shd w:val="clear" w:color="auto" w:fill="auto"/>
            <w:vAlign w:val="bottom"/>
            <w:hideMark/>
          </w:tcPr>
          <w:p w14:paraId="7F9203E8"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601</w:t>
            </w:r>
          </w:p>
        </w:tc>
        <w:tc>
          <w:tcPr>
            <w:tcW w:w="1001" w:type="dxa"/>
            <w:gridSpan w:val="2"/>
            <w:tcBorders>
              <w:top w:val="single" w:sz="4" w:space="0" w:color="auto"/>
              <w:left w:val="nil"/>
              <w:bottom w:val="single" w:sz="4" w:space="0" w:color="auto"/>
              <w:right w:val="nil"/>
            </w:tcBorders>
            <w:shd w:val="clear" w:color="auto" w:fill="auto"/>
            <w:vAlign w:val="bottom"/>
            <w:hideMark/>
          </w:tcPr>
          <w:p w14:paraId="1FACE1B4" w14:textId="77777777" w:rsidR="00BD5EBA" w:rsidRPr="008E665E" w:rsidRDefault="00BD5EBA" w:rsidP="00E85896">
            <w:pPr>
              <w:jc w:val="right"/>
              <w:outlineLvl w:val="0"/>
              <w:rPr>
                <w:b/>
                <w:bCs/>
                <w:color w:val="A6A6A6" w:themeColor="background1" w:themeShade="A6"/>
                <w:sz w:val="16"/>
                <w:szCs w:val="16"/>
                <w:lang w:eastAsia="ko-KR"/>
              </w:rPr>
            </w:pPr>
            <w:r w:rsidRPr="008E665E">
              <w:rPr>
                <w:b/>
                <w:bCs/>
                <w:color w:val="A6A6A6" w:themeColor="background1" w:themeShade="A6"/>
                <w:sz w:val="16"/>
                <w:szCs w:val="16"/>
                <w:lang w:eastAsia="ko-KR"/>
              </w:rPr>
              <w:t>1,431</w:t>
            </w:r>
          </w:p>
        </w:tc>
      </w:tr>
    </w:tbl>
    <w:p w14:paraId="40F581E6" w14:textId="31303846" w:rsidR="00BD5EBA" w:rsidRDefault="00BD5EBA" w:rsidP="00BD5EBA"/>
    <w:p w14:paraId="1266315D" w14:textId="795CE0F1" w:rsidR="00D27B29" w:rsidRDefault="00973A0E" w:rsidP="00036B4A">
      <w:pPr>
        <w:widowControl/>
        <w:tabs>
          <w:tab w:val="clear" w:pos="4196"/>
          <w:tab w:val="clear" w:pos="5046"/>
          <w:tab w:val="clear" w:pos="5897"/>
          <w:tab w:val="clear" w:pos="6747"/>
          <w:tab w:val="clear" w:pos="7598"/>
        </w:tabs>
        <w:autoSpaceDE/>
        <w:autoSpaceDN/>
      </w:pPr>
      <w:r w:rsidRPr="55E10239">
        <w:rPr>
          <w:rFonts w:eastAsia="Calibri" w:cs="Times New Roman"/>
          <w:sz w:val="23"/>
          <w:szCs w:val="23"/>
          <w:lang w:eastAsia="en-US"/>
        </w:rPr>
        <w:br w:type="page"/>
      </w:r>
    </w:p>
    <w:p w14:paraId="26391A0B" w14:textId="500E5368" w:rsidR="006D73EB" w:rsidRDefault="006D73EB">
      <w:pPr>
        <w:widowControl/>
        <w:tabs>
          <w:tab w:val="clear" w:pos="4196"/>
          <w:tab w:val="clear" w:pos="5046"/>
          <w:tab w:val="clear" w:pos="5897"/>
          <w:tab w:val="clear" w:pos="6747"/>
          <w:tab w:val="clear" w:pos="7598"/>
        </w:tabs>
        <w:autoSpaceDE/>
        <w:autoSpaceDN/>
        <w:rPr>
          <w:color w:val="44546A" w:themeColor="text2"/>
          <w:kern w:val="28"/>
        </w:rPr>
      </w:pPr>
      <w:r w:rsidRPr="00F17C1E">
        <w:rPr>
          <w:b/>
          <w:color w:val="44546A" w:themeColor="text2"/>
          <w:kern w:val="28"/>
        </w:rPr>
        <w:lastRenderedPageBreak/>
        <w:t xml:space="preserve">Operating Statement (cont.) - </w:t>
      </w:r>
      <w:r w:rsidRPr="00F17C1E">
        <w:rPr>
          <w:color w:val="44546A" w:themeColor="text2"/>
          <w:kern w:val="28"/>
        </w:rPr>
        <w:t>Table A.1.1 in Budget Paper No. 1</w:t>
      </w:r>
    </w:p>
    <w:p w14:paraId="2476AE04" w14:textId="59A3D438" w:rsidR="00CD43C2" w:rsidRDefault="002B70C4">
      <w:pPr>
        <w:widowControl/>
        <w:tabs>
          <w:tab w:val="clear" w:pos="4196"/>
          <w:tab w:val="clear" w:pos="5046"/>
          <w:tab w:val="clear" w:pos="5897"/>
          <w:tab w:val="clear" w:pos="6747"/>
          <w:tab w:val="clear" w:pos="7598"/>
        </w:tabs>
        <w:autoSpaceDE/>
        <w:autoSpaceDN/>
        <w:rPr>
          <w:color w:val="44546A" w:themeColor="text2"/>
          <w:kern w:val="28"/>
        </w:rPr>
      </w:pPr>
      <w:r w:rsidRPr="00456E00">
        <w:rPr>
          <w:noProof/>
        </w:rPr>
        <mc:AlternateContent>
          <mc:Choice Requires="wps">
            <w:drawing>
              <wp:anchor distT="0" distB="0" distL="114300" distR="114300" simplePos="0" relativeHeight="251658244" behindDoc="0" locked="0" layoutInCell="1" allowOverlap="1" wp14:anchorId="1772BF11" wp14:editId="688C2FCB">
                <wp:simplePos x="0" y="0"/>
                <wp:positionH relativeFrom="column">
                  <wp:posOffset>4697566</wp:posOffset>
                </wp:positionH>
                <wp:positionV relativeFrom="paragraph">
                  <wp:posOffset>798071</wp:posOffset>
                </wp:positionV>
                <wp:extent cx="1485265" cy="1151890"/>
                <wp:effectExtent l="133350" t="0" r="19685" b="10160"/>
                <wp:wrapNone/>
                <wp:docPr id="13" name="Speech Bubble: Rectangle with Corners Rounded 12">
                  <a:extLst xmlns:a="http://schemas.openxmlformats.org/drawingml/2006/main">
                    <a:ext uri="{FF2B5EF4-FFF2-40B4-BE49-F238E27FC236}">
                      <a16:creationId xmlns:a16="http://schemas.microsoft.com/office/drawing/2014/main" id="{366EC642-0E08-4B21-B55D-F98343A590FC}"/>
                    </a:ext>
                  </a:extLst>
                </wp:docPr>
                <wp:cNvGraphicFramePr/>
                <a:graphic xmlns:a="http://schemas.openxmlformats.org/drawingml/2006/main">
                  <a:graphicData uri="http://schemas.microsoft.com/office/word/2010/wordprocessingShape">
                    <wps:wsp>
                      <wps:cNvSpPr/>
                      <wps:spPr>
                        <a:xfrm>
                          <a:off x="0" y="0"/>
                          <a:ext cx="1485265" cy="1151890"/>
                        </a:xfrm>
                        <a:prstGeom prst="wedgeRoundRectCallout">
                          <a:avLst>
                            <a:gd name="adj1" fmla="val -57651"/>
                            <a:gd name="adj2" fmla="val -45990"/>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1BE7A5BC" w14:textId="77777777" w:rsidR="00456E00" w:rsidRDefault="00456E00" w:rsidP="00456E00">
                            <w:pPr>
                              <w:rPr>
                                <w:sz w:val="24"/>
                                <w:szCs w:val="24"/>
                              </w:rPr>
                            </w:pPr>
                            <w:r>
                              <w:rPr>
                                <w:b/>
                                <w:color w:val="44546A" w:themeColor="text2"/>
                                <w:kern w:val="24"/>
                                <w:sz w:val="18"/>
                                <w:szCs w:val="18"/>
                              </w:rPr>
                              <w:t>Other economic flows</w:t>
                            </w:r>
                          </w:p>
                          <w:p w14:paraId="20CDDC04" w14:textId="77777777" w:rsidR="00456E00" w:rsidRDefault="00456E00" w:rsidP="00456E00">
                            <w:r>
                              <w:rPr>
                                <w:color w:val="44546A" w:themeColor="text2"/>
                                <w:kern w:val="24"/>
                                <w:sz w:val="18"/>
                                <w:szCs w:val="18"/>
                              </w:rPr>
                              <w:t>This section captures changes in the volume or value of assets and liabilities that are not a result of transactions.</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1772BF11" id="Speech Bubble: Rectangle with Corners Rounded 12" o:spid="_x0000_s1075" type="#_x0000_t62" style="position:absolute;margin-left:369.9pt;margin-top:62.85pt;width:116.95pt;height:9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" adj="-1653,866" fillcolor="#f2f2f2 [3052]" strokecolor="#44546a [3215]" strokeweight="1.75pt">
                <v:stroke dashstyle="3 1"/>
                <v:textbox inset="1mm,1mm,1mm,1mm">
                  <w:txbxContent>
                    <w:p w14:paraId="1BE7A5BC" w14:textId="77777777" w:rsidR="00456E00" w:rsidRDefault="00456E00" w:rsidP="00456E00">
                      <w:pPr>
                        <w:rPr>
                          <w:sz w:val="24"/>
                          <w:szCs w:val="24"/>
                        </w:rPr>
                      </w:pPr>
                      <w:r>
                        <w:rPr>
                          <w:b/>
                          <w:color w:val="44546A" w:themeColor="text2"/>
                          <w:kern w:val="24"/>
                          <w:sz w:val="18"/>
                          <w:szCs w:val="18"/>
                        </w:rPr>
                        <w:t>Other economic flows</w:t>
                      </w:r>
                    </w:p>
                    <w:p w14:paraId="20CDDC04" w14:textId="77777777" w:rsidR="00456E00" w:rsidRDefault="00456E00" w:rsidP="00456E00">
                      <w:r>
                        <w:rPr>
                          <w:color w:val="44546A" w:themeColor="text2"/>
                          <w:kern w:val="24"/>
                          <w:sz w:val="18"/>
                          <w:szCs w:val="18"/>
                        </w:rPr>
                        <w:t>This section captures changes in the volume or value of assets and liabilities that are not a result of transactions.</w:t>
                      </w:r>
                    </w:p>
                  </w:txbxContent>
                </v:textbox>
              </v:shape>
            </w:pict>
          </mc:Fallback>
        </mc:AlternateContent>
      </w:r>
    </w:p>
    <w:tbl>
      <w:tblPr>
        <w:tblW w:w="9841" w:type="dxa"/>
        <w:tblInd w:w="108" w:type="dxa"/>
        <w:tblCellMar>
          <w:top w:w="15" w:type="dxa"/>
          <w:bottom w:w="15" w:type="dxa"/>
        </w:tblCellMar>
        <w:tblLook w:val="04A0" w:firstRow="1" w:lastRow="0" w:firstColumn="1" w:lastColumn="0" w:noHBand="0" w:noVBand="1"/>
      </w:tblPr>
      <w:tblGrid>
        <w:gridCol w:w="4338"/>
        <w:gridCol w:w="918"/>
        <w:gridCol w:w="918"/>
        <w:gridCol w:w="918"/>
        <w:gridCol w:w="880"/>
        <w:gridCol w:w="880"/>
        <w:gridCol w:w="989"/>
      </w:tblGrid>
      <w:tr w:rsidR="00CD43C2" w:rsidRPr="00755F7F" w14:paraId="721975B0" w14:textId="77777777" w:rsidTr="00E85896">
        <w:trPr>
          <w:trHeight w:val="283"/>
        </w:trPr>
        <w:tc>
          <w:tcPr>
            <w:tcW w:w="4338" w:type="dxa"/>
            <w:tcBorders>
              <w:top w:val="nil"/>
              <w:left w:val="nil"/>
              <w:bottom w:val="nil"/>
              <w:right w:val="nil"/>
            </w:tcBorders>
            <w:shd w:val="clear" w:color="000000" w:fill="008EBA"/>
            <w:vAlign w:val="center"/>
            <w:hideMark/>
          </w:tcPr>
          <w:p w14:paraId="7E028A92" w14:textId="77777777" w:rsidR="00CD43C2" w:rsidRPr="00755F7F" w:rsidRDefault="00CD43C2" w:rsidP="00E85896">
            <w:pPr>
              <w:rPr>
                <w:sz w:val="24"/>
                <w:szCs w:val="24"/>
              </w:rPr>
            </w:pPr>
          </w:p>
        </w:tc>
        <w:tc>
          <w:tcPr>
            <w:tcW w:w="918" w:type="dxa"/>
            <w:tcBorders>
              <w:top w:val="nil"/>
              <w:left w:val="nil"/>
              <w:bottom w:val="nil"/>
              <w:right w:val="nil"/>
            </w:tcBorders>
            <w:shd w:val="clear" w:color="000000" w:fill="008EBA"/>
            <w:vAlign w:val="bottom"/>
            <w:hideMark/>
          </w:tcPr>
          <w:p w14:paraId="428AFEAC" w14:textId="77777777" w:rsidR="00CD43C2" w:rsidRPr="00755F7F" w:rsidRDefault="00CD43C2" w:rsidP="00E85896">
            <w:pPr>
              <w:jc w:val="center"/>
              <w:rPr>
                <w:color w:val="FFFFFF"/>
                <w:sz w:val="16"/>
                <w:szCs w:val="16"/>
              </w:rPr>
            </w:pPr>
            <w:r w:rsidRPr="00755F7F">
              <w:rPr>
                <w:color w:val="FFFFFF"/>
                <w:sz w:val="16"/>
                <w:szCs w:val="16"/>
              </w:rPr>
              <w:t>2020-21</w:t>
            </w:r>
          </w:p>
        </w:tc>
        <w:tc>
          <w:tcPr>
            <w:tcW w:w="918" w:type="dxa"/>
            <w:tcBorders>
              <w:top w:val="nil"/>
              <w:left w:val="nil"/>
              <w:bottom w:val="nil"/>
              <w:right w:val="nil"/>
            </w:tcBorders>
            <w:shd w:val="clear" w:color="000000" w:fill="008EBA"/>
            <w:vAlign w:val="bottom"/>
            <w:hideMark/>
          </w:tcPr>
          <w:p w14:paraId="6958DB3B" w14:textId="77777777" w:rsidR="00CD43C2" w:rsidRPr="00755F7F" w:rsidRDefault="00CD43C2" w:rsidP="00E85896">
            <w:pPr>
              <w:jc w:val="center"/>
              <w:rPr>
                <w:color w:val="FFFFFF"/>
                <w:sz w:val="16"/>
                <w:szCs w:val="16"/>
              </w:rPr>
            </w:pPr>
            <w:r w:rsidRPr="00755F7F">
              <w:rPr>
                <w:color w:val="FFFFFF"/>
                <w:sz w:val="16"/>
                <w:szCs w:val="16"/>
              </w:rPr>
              <w:t>2021-22</w:t>
            </w:r>
          </w:p>
        </w:tc>
        <w:tc>
          <w:tcPr>
            <w:tcW w:w="918" w:type="dxa"/>
            <w:tcBorders>
              <w:top w:val="nil"/>
              <w:left w:val="nil"/>
              <w:bottom w:val="nil"/>
              <w:right w:val="nil"/>
            </w:tcBorders>
            <w:shd w:val="clear" w:color="000000" w:fill="008EBA"/>
            <w:vAlign w:val="bottom"/>
            <w:hideMark/>
          </w:tcPr>
          <w:p w14:paraId="10DF62F8" w14:textId="77777777" w:rsidR="00CD43C2" w:rsidRPr="00755F7F" w:rsidRDefault="00CD43C2" w:rsidP="00E85896">
            <w:pPr>
              <w:jc w:val="center"/>
              <w:rPr>
                <w:color w:val="FFFFFF"/>
                <w:sz w:val="16"/>
                <w:szCs w:val="16"/>
              </w:rPr>
            </w:pPr>
            <w:r w:rsidRPr="00755F7F">
              <w:rPr>
                <w:color w:val="FFFFFF"/>
                <w:sz w:val="16"/>
                <w:szCs w:val="16"/>
              </w:rPr>
              <w:t>2022-23</w:t>
            </w:r>
          </w:p>
        </w:tc>
        <w:tc>
          <w:tcPr>
            <w:tcW w:w="880" w:type="dxa"/>
            <w:tcBorders>
              <w:top w:val="nil"/>
              <w:left w:val="nil"/>
              <w:bottom w:val="nil"/>
              <w:right w:val="nil"/>
            </w:tcBorders>
            <w:shd w:val="clear" w:color="000000" w:fill="008EBA"/>
            <w:vAlign w:val="bottom"/>
            <w:hideMark/>
          </w:tcPr>
          <w:p w14:paraId="64E47339" w14:textId="77777777" w:rsidR="00CD43C2" w:rsidRPr="00755F7F" w:rsidRDefault="00CD43C2" w:rsidP="00E85896">
            <w:pPr>
              <w:jc w:val="center"/>
              <w:rPr>
                <w:color w:val="FFFFFF"/>
                <w:sz w:val="16"/>
                <w:szCs w:val="16"/>
              </w:rPr>
            </w:pPr>
            <w:r w:rsidRPr="00755F7F">
              <w:rPr>
                <w:color w:val="FFFFFF"/>
                <w:sz w:val="16"/>
                <w:szCs w:val="16"/>
              </w:rPr>
              <w:t>2023-24</w:t>
            </w:r>
          </w:p>
        </w:tc>
        <w:tc>
          <w:tcPr>
            <w:tcW w:w="880" w:type="dxa"/>
            <w:tcBorders>
              <w:top w:val="nil"/>
              <w:left w:val="nil"/>
              <w:bottom w:val="nil"/>
              <w:right w:val="nil"/>
            </w:tcBorders>
            <w:shd w:val="clear" w:color="000000" w:fill="008EBA"/>
            <w:vAlign w:val="bottom"/>
            <w:hideMark/>
          </w:tcPr>
          <w:p w14:paraId="2B253537" w14:textId="77777777" w:rsidR="00CD43C2" w:rsidRPr="00755F7F" w:rsidRDefault="00CD43C2" w:rsidP="00E85896">
            <w:pPr>
              <w:jc w:val="center"/>
              <w:rPr>
                <w:color w:val="FFFFFF"/>
                <w:sz w:val="16"/>
                <w:szCs w:val="16"/>
              </w:rPr>
            </w:pPr>
            <w:r w:rsidRPr="00755F7F">
              <w:rPr>
                <w:color w:val="FFFFFF"/>
                <w:sz w:val="16"/>
                <w:szCs w:val="16"/>
              </w:rPr>
              <w:t>2024-25</w:t>
            </w:r>
          </w:p>
        </w:tc>
        <w:tc>
          <w:tcPr>
            <w:tcW w:w="989" w:type="dxa"/>
            <w:tcBorders>
              <w:top w:val="nil"/>
              <w:left w:val="nil"/>
              <w:bottom w:val="nil"/>
              <w:right w:val="nil"/>
            </w:tcBorders>
            <w:shd w:val="clear" w:color="000000" w:fill="008EBA"/>
            <w:vAlign w:val="bottom"/>
            <w:hideMark/>
          </w:tcPr>
          <w:p w14:paraId="4D773AD9" w14:textId="77777777" w:rsidR="00CD43C2" w:rsidRPr="00755F7F" w:rsidRDefault="00CD43C2" w:rsidP="00E85896">
            <w:pPr>
              <w:jc w:val="center"/>
              <w:rPr>
                <w:color w:val="FFFFFF"/>
                <w:sz w:val="16"/>
                <w:szCs w:val="16"/>
              </w:rPr>
            </w:pPr>
            <w:r w:rsidRPr="00755F7F">
              <w:rPr>
                <w:color w:val="FFFFFF"/>
                <w:sz w:val="16"/>
                <w:szCs w:val="16"/>
              </w:rPr>
              <w:t>2025-26</w:t>
            </w:r>
          </w:p>
        </w:tc>
      </w:tr>
      <w:tr w:rsidR="00CD43C2" w:rsidRPr="00755F7F" w14:paraId="5245EAC2" w14:textId="77777777" w:rsidTr="00E85896">
        <w:trPr>
          <w:trHeight w:val="227"/>
        </w:trPr>
        <w:tc>
          <w:tcPr>
            <w:tcW w:w="4338" w:type="dxa"/>
            <w:tcBorders>
              <w:top w:val="nil"/>
              <w:left w:val="nil"/>
              <w:bottom w:val="nil"/>
              <w:right w:val="nil"/>
            </w:tcBorders>
            <w:shd w:val="clear" w:color="000000" w:fill="008EBA"/>
            <w:vAlign w:val="center"/>
            <w:hideMark/>
          </w:tcPr>
          <w:p w14:paraId="55C4DF7E" w14:textId="77777777" w:rsidR="00CD43C2" w:rsidRPr="00755F7F" w:rsidRDefault="00CD43C2" w:rsidP="00E85896">
            <w:pPr>
              <w:jc w:val="center"/>
              <w:rPr>
                <w:color w:val="FFFFFF"/>
                <w:sz w:val="16"/>
                <w:szCs w:val="16"/>
              </w:rPr>
            </w:pPr>
          </w:p>
        </w:tc>
        <w:tc>
          <w:tcPr>
            <w:tcW w:w="918" w:type="dxa"/>
            <w:tcBorders>
              <w:top w:val="nil"/>
              <w:left w:val="nil"/>
              <w:bottom w:val="nil"/>
              <w:right w:val="nil"/>
            </w:tcBorders>
            <w:shd w:val="clear" w:color="000000" w:fill="008EBA"/>
            <w:vAlign w:val="center"/>
            <w:hideMark/>
          </w:tcPr>
          <w:p w14:paraId="7CBEB6AB" w14:textId="77777777" w:rsidR="00CD43C2" w:rsidRPr="00755F7F" w:rsidRDefault="00CD43C2" w:rsidP="00E85896">
            <w:pPr>
              <w:jc w:val="center"/>
              <w:rPr>
                <w:color w:val="FFFFFF"/>
                <w:sz w:val="16"/>
                <w:szCs w:val="16"/>
              </w:rPr>
            </w:pPr>
            <w:r w:rsidRPr="00755F7F">
              <w:rPr>
                <w:color w:val="FFFFFF"/>
                <w:sz w:val="16"/>
                <w:szCs w:val="16"/>
              </w:rPr>
              <w:t>Actual</w:t>
            </w:r>
          </w:p>
        </w:tc>
        <w:tc>
          <w:tcPr>
            <w:tcW w:w="918" w:type="dxa"/>
            <w:tcBorders>
              <w:top w:val="nil"/>
              <w:left w:val="nil"/>
              <w:bottom w:val="nil"/>
              <w:right w:val="nil"/>
            </w:tcBorders>
            <w:shd w:val="clear" w:color="000000" w:fill="008EBA"/>
            <w:vAlign w:val="center"/>
            <w:hideMark/>
          </w:tcPr>
          <w:p w14:paraId="3B72AC6B" w14:textId="77777777" w:rsidR="00CD43C2" w:rsidRPr="00755F7F" w:rsidRDefault="00CD43C2" w:rsidP="00E85896">
            <w:pPr>
              <w:jc w:val="center"/>
              <w:rPr>
                <w:color w:val="FFFFFF"/>
                <w:sz w:val="16"/>
                <w:szCs w:val="16"/>
              </w:rPr>
            </w:pPr>
            <w:r w:rsidRPr="00755F7F">
              <w:rPr>
                <w:color w:val="FFFFFF"/>
                <w:sz w:val="16"/>
                <w:szCs w:val="16"/>
              </w:rPr>
              <w:t>Revised</w:t>
            </w:r>
          </w:p>
        </w:tc>
        <w:tc>
          <w:tcPr>
            <w:tcW w:w="918" w:type="dxa"/>
            <w:tcBorders>
              <w:top w:val="nil"/>
              <w:left w:val="nil"/>
              <w:bottom w:val="nil"/>
              <w:right w:val="nil"/>
            </w:tcBorders>
            <w:shd w:val="clear" w:color="000000" w:fill="008EBA"/>
            <w:vAlign w:val="center"/>
            <w:hideMark/>
          </w:tcPr>
          <w:p w14:paraId="394D46BC" w14:textId="77777777" w:rsidR="00CD43C2" w:rsidRPr="00755F7F" w:rsidRDefault="00CD43C2" w:rsidP="00E85896">
            <w:pPr>
              <w:jc w:val="center"/>
              <w:rPr>
                <w:color w:val="FFFFFF"/>
                <w:sz w:val="16"/>
                <w:szCs w:val="16"/>
              </w:rPr>
            </w:pPr>
            <w:r w:rsidRPr="00755F7F">
              <w:rPr>
                <w:color w:val="FFFFFF"/>
                <w:sz w:val="16"/>
                <w:szCs w:val="16"/>
              </w:rPr>
              <w:t>Budget</w:t>
            </w:r>
          </w:p>
        </w:tc>
        <w:tc>
          <w:tcPr>
            <w:tcW w:w="2749" w:type="dxa"/>
            <w:gridSpan w:val="3"/>
            <w:tcBorders>
              <w:top w:val="nil"/>
              <w:left w:val="nil"/>
              <w:bottom w:val="nil"/>
              <w:right w:val="nil"/>
            </w:tcBorders>
            <w:shd w:val="clear" w:color="000000" w:fill="008EBA"/>
            <w:noWrap/>
            <w:vAlign w:val="center"/>
            <w:hideMark/>
          </w:tcPr>
          <w:p w14:paraId="649F672C" w14:textId="77777777" w:rsidR="00CD43C2" w:rsidRPr="00755F7F" w:rsidRDefault="00CD43C2" w:rsidP="00E85896">
            <w:pPr>
              <w:jc w:val="center"/>
              <w:rPr>
                <w:color w:val="FFFFFF"/>
                <w:sz w:val="16"/>
                <w:szCs w:val="16"/>
              </w:rPr>
            </w:pPr>
            <w:r w:rsidRPr="00755F7F">
              <w:rPr>
                <w:color w:val="FFFFFF"/>
                <w:sz w:val="16"/>
                <w:szCs w:val="16"/>
              </w:rPr>
              <w:t>Forward Estimates</w:t>
            </w:r>
          </w:p>
        </w:tc>
      </w:tr>
      <w:tr w:rsidR="00CD43C2" w:rsidRPr="00755F7F" w14:paraId="18AAD1C6" w14:textId="77777777" w:rsidTr="00E85896">
        <w:trPr>
          <w:trHeight w:val="285"/>
        </w:trPr>
        <w:tc>
          <w:tcPr>
            <w:tcW w:w="4338" w:type="dxa"/>
            <w:tcBorders>
              <w:top w:val="nil"/>
              <w:left w:val="nil"/>
              <w:bottom w:val="nil"/>
              <w:right w:val="nil"/>
            </w:tcBorders>
            <w:shd w:val="clear" w:color="000000" w:fill="00426F"/>
            <w:vAlign w:val="center"/>
            <w:hideMark/>
          </w:tcPr>
          <w:p w14:paraId="5F4C0445" w14:textId="77777777" w:rsidR="00CD43C2" w:rsidRPr="00755F7F" w:rsidRDefault="00CD43C2" w:rsidP="00E85896">
            <w:pPr>
              <w:jc w:val="center"/>
              <w:rPr>
                <w:color w:val="FFFFFF"/>
                <w:sz w:val="16"/>
                <w:szCs w:val="16"/>
              </w:rPr>
            </w:pPr>
          </w:p>
        </w:tc>
        <w:tc>
          <w:tcPr>
            <w:tcW w:w="918" w:type="dxa"/>
            <w:tcBorders>
              <w:top w:val="nil"/>
              <w:left w:val="nil"/>
              <w:bottom w:val="nil"/>
              <w:right w:val="nil"/>
            </w:tcBorders>
            <w:shd w:val="clear" w:color="000000" w:fill="00426F"/>
            <w:hideMark/>
          </w:tcPr>
          <w:p w14:paraId="024CA536" w14:textId="77777777" w:rsidR="00CD43C2" w:rsidRPr="00755F7F" w:rsidRDefault="00CD43C2" w:rsidP="00E85896">
            <w:pPr>
              <w:jc w:val="center"/>
              <w:rPr>
                <w:color w:val="FFFFFF"/>
                <w:sz w:val="17"/>
                <w:szCs w:val="17"/>
              </w:rPr>
            </w:pPr>
            <w:r w:rsidRPr="00755F7F">
              <w:rPr>
                <w:color w:val="FFFFFF"/>
                <w:sz w:val="17"/>
                <w:szCs w:val="17"/>
              </w:rPr>
              <w:t>$m</w:t>
            </w:r>
          </w:p>
        </w:tc>
        <w:tc>
          <w:tcPr>
            <w:tcW w:w="918" w:type="dxa"/>
            <w:tcBorders>
              <w:top w:val="nil"/>
              <w:left w:val="nil"/>
              <w:bottom w:val="nil"/>
              <w:right w:val="nil"/>
            </w:tcBorders>
            <w:shd w:val="clear" w:color="000000" w:fill="00426F"/>
            <w:hideMark/>
          </w:tcPr>
          <w:p w14:paraId="516AA96F" w14:textId="77777777" w:rsidR="00CD43C2" w:rsidRPr="00755F7F" w:rsidRDefault="00CD43C2" w:rsidP="00E85896">
            <w:pPr>
              <w:jc w:val="center"/>
              <w:rPr>
                <w:color w:val="FFFFFF"/>
                <w:sz w:val="17"/>
                <w:szCs w:val="17"/>
              </w:rPr>
            </w:pPr>
            <w:r w:rsidRPr="00755F7F">
              <w:rPr>
                <w:color w:val="FFFFFF"/>
                <w:sz w:val="17"/>
                <w:szCs w:val="17"/>
              </w:rPr>
              <w:t>$m</w:t>
            </w:r>
          </w:p>
        </w:tc>
        <w:tc>
          <w:tcPr>
            <w:tcW w:w="918" w:type="dxa"/>
            <w:tcBorders>
              <w:top w:val="nil"/>
              <w:left w:val="nil"/>
              <w:bottom w:val="nil"/>
              <w:right w:val="nil"/>
            </w:tcBorders>
            <w:shd w:val="clear" w:color="000000" w:fill="00426F"/>
            <w:hideMark/>
          </w:tcPr>
          <w:p w14:paraId="03F2F699" w14:textId="77777777" w:rsidR="00CD43C2" w:rsidRPr="00755F7F" w:rsidRDefault="00CD43C2" w:rsidP="00E85896">
            <w:pPr>
              <w:jc w:val="center"/>
              <w:rPr>
                <w:color w:val="FFFFFF"/>
                <w:sz w:val="17"/>
                <w:szCs w:val="17"/>
              </w:rPr>
            </w:pPr>
            <w:r w:rsidRPr="00755F7F">
              <w:rPr>
                <w:color w:val="FFFFFF"/>
                <w:sz w:val="17"/>
                <w:szCs w:val="17"/>
              </w:rPr>
              <w:t>$m</w:t>
            </w:r>
          </w:p>
        </w:tc>
        <w:tc>
          <w:tcPr>
            <w:tcW w:w="880" w:type="dxa"/>
            <w:tcBorders>
              <w:top w:val="nil"/>
              <w:left w:val="nil"/>
              <w:bottom w:val="nil"/>
              <w:right w:val="nil"/>
            </w:tcBorders>
            <w:shd w:val="clear" w:color="000000" w:fill="00426F"/>
            <w:hideMark/>
          </w:tcPr>
          <w:p w14:paraId="1AEB0BF3" w14:textId="77777777" w:rsidR="00CD43C2" w:rsidRPr="00755F7F" w:rsidRDefault="00CD43C2" w:rsidP="00E85896">
            <w:pPr>
              <w:jc w:val="center"/>
              <w:rPr>
                <w:color w:val="FFFFFF"/>
                <w:sz w:val="17"/>
                <w:szCs w:val="17"/>
              </w:rPr>
            </w:pPr>
            <w:r w:rsidRPr="00755F7F">
              <w:rPr>
                <w:color w:val="FFFFFF"/>
                <w:sz w:val="17"/>
                <w:szCs w:val="17"/>
              </w:rPr>
              <w:t>$m</w:t>
            </w:r>
          </w:p>
        </w:tc>
        <w:tc>
          <w:tcPr>
            <w:tcW w:w="880" w:type="dxa"/>
            <w:tcBorders>
              <w:top w:val="nil"/>
              <w:left w:val="nil"/>
              <w:bottom w:val="nil"/>
              <w:right w:val="nil"/>
            </w:tcBorders>
            <w:shd w:val="clear" w:color="000000" w:fill="00426F"/>
            <w:hideMark/>
          </w:tcPr>
          <w:p w14:paraId="46361DE1" w14:textId="77777777" w:rsidR="00CD43C2" w:rsidRPr="00755F7F" w:rsidRDefault="00CD43C2" w:rsidP="00E85896">
            <w:pPr>
              <w:jc w:val="center"/>
              <w:rPr>
                <w:color w:val="FFFFFF"/>
                <w:sz w:val="17"/>
                <w:szCs w:val="17"/>
              </w:rPr>
            </w:pPr>
            <w:r w:rsidRPr="00755F7F">
              <w:rPr>
                <w:color w:val="FFFFFF"/>
                <w:sz w:val="17"/>
                <w:szCs w:val="17"/>
              </w:rPr>
              <w:t>$m</w:t>
            </w:r>
          </w:p>
        </w:tc>
        <w:tc>
          <w:tcPr>
            <w:tcW w:w="989" w:type="dxa"/>
            <w:tcBorders>
              <w:top w:val="nil"/>
              <w:left w:val="nil"/>
              <w:bottom w:val="nil"/>
              <w:right w:val="nil"/>
            </w:tcBorders>
            <w:shd w:val="clear" w:color="000000" w:fill="00426F"/>
            <w:hideMark/>
          </w:tcPr>
          <w:p w14:paraId="252507D9" w14:textId="77777777" w:rsidR="00CD43C2" w:rsidRPr="00755F7F" w:rsidRDefault="00CD43C2" w:rsidP="00E85896">
            <w:pPr>
              <w:jc w:val="center"/>
              <w:rPr>
                <w:color w:val="FFFFFF"/>
                <w:sz w:val="17"/>
                <w:szCs w:val="17"/>
              </w:rPr>
            </w:pPr>
            <w:r w:rsidRPr="00755F7F">
              <w:rPr>
                <w:color w:val="FFFFFF"/>
                <w:sz w:val="17"/>
                <w:szCs w:val="17"/>
              </w:rPr>
              <w:t>$m</w:t>
            </w:r>
          </w:p>
        </w:tc>
      </w:tr>
      <w:tr w:rsidR="00CD43C2" w:rsidRPr="00755F7F" w14:paraId="1078C941" w14:textId="77777777" w:rsidTr="00E85896">
        <w:trPr>
          <w:gridAfter w:val="2"/>
          <w:wAfter w:w="1869" w:type="dxa"/>
          <w:trHeight w:val="330"/>
        </w:trPr>
        <w:tc>
          <w:tcPr>
            <w:tcW w:w="4338" w:type="dxa"/>
            <w:tcBorders>
              <w:top w:val="nil"/>
              <w:left w:val="nil"/>
              <w:bottom w:val="nil"/>
              <w:right w:val="nil"/>
            </w:tcBorders>
            <w:vAlign w:val="bottom"/>
            <w:hideMark/>
          </w:tcPr>
          <w:p w14:paraId="6C3E4669" w14:textId="29A5D331" w:rsidR="00CD43C2" w:rsidRPr="00755F7F" w:rsidRDefault="00CD43C2" w:rsidP="00E85896">
            <w:pPr>
              <w:rPr>
                <w:b/>
                <w:bCs/>
                <w:color w:val="000000"/>
                <w:sz w:val="16"/>
                <w:szCs w:val="16"/>
              </w:rPr>
            </w:pPr>
            <w:r w:rsidRPr="00755F7F">
              <w:rPr>
                <w:b/>
                <w:bCs/>
                <w:color w:val="000000"/>
                <w:sz w:val="16"/>
                <w:szCs w:val="16"/>
              </w:rPr>
              <w:t>Other Economic Flows - Included in the Operating Result</w:t>
            </w:r>
          </w:p>
        </w:tc>
        <w:tc>
          <w:tcPr>
            <w:tcW w:w="918" w:type="dxa"/>
            <w:tcBorders>
              <w:top w:val="nil"/>
              <w:left w:val="nil"/>
              <w:bottom w:val="nil"/>
              <w:right w:val="nil"/>
            </w:tcBorders>
            <w:vAlign w:val="bottom"/>
            <w:hideMark/>
          </w:tcPr>
          <w:p w14:paraId="2C200DCD" w14:textId="3195A23D" w:rsidR="00CD43C2" w:rsidRPr="00755F7F" w:rsidRDefault="00CD43C2" w:rsidP="00E85896">
            <w:pPr>
              <w:rPr>
                <w:b/>
                <w:bCs/>
                <w:color w:val="000000"/>
                <w:sz w:val="16"/>
                <w:szCs w:val="16"/>
              </w:rPr>
            </w:pPr>
          </w:p>
        </w:tc>
        <w:tc>
          <w:tcPr>
            <w:tcW w:w="918" w:type="dxa"/>
            <w:tcBorders>
              <w:top w:val="nil"/>
              <w:left w:val="nil"/>
              <w:bottom w:val="nil"/>
              <w:right w:val="nil"/>
            </w:tcBorders>
            <w:vAlign w:val="bottom"/>
            <w:hideMark/>
          </w:tcPr>
          <w:p w14:paraId="64BE3B6D" w14:textId="0AA5EB81" w:rsidR="00CD43C2" w:rsidRPr="00755F7F" w:rsidRDefault="00CD43C2" w:rsidP="00E85896">
            <w:pPr>
              <w:jc w:val="right"/>
            </w:pPr>
          </w:p>
        </w:tc>
        <w:tc>
          <w:tcPr>
            <w:tcW w:w="918" w:type="dxa"/>
            <w:tcBorders>
              <w:top w:val="nil"/>
              <w:left w:val="nil"/>
              <w:bottom w:val="nil"/>
              <w:right w:val="nil"/>
            </w:tcBorders>
            <w:vAlign w:val="bottom"/>
            <w:hideMark/>
          </w:tcPr>
          <w:p w14:paraId="70FAA926" w14:textId="1E6EF90D" w:rsidR="00CD43C2" w:rsidRPr="00755F7F" w:rsidRDefault="00CD43C2" w:rsidP="00E85896">
            <w:pPr>
              <w:jc w:val="right"/>
            </w:pPr>
          </w:p>
        </w:tc>
        <w:tc>
          <w:tcPr>
            <w:tcW w:w="880" w:type="dxa"/>
            <w:tcBorders>
              <w:top w:val="nil"/>
              <w:left w:val="nil"/>
              <w:bottom w:val="nil"/>
              <w:right w:val="nil"/>
            </w:tcBorders>
            <w:vAlign w:val="bottom"/>
            <w:hideMark/>
          </w:tcPr>
          <w:p w14:paraId="5B380DDD" w14:textId="28183722" w:rsidR="00CD43C2" w:rsidRPr="00755F7F" w:rsidRDefault="00CD43C2" w:rsidP="00E85896">
            <w:pPr>
              <w:jc w:val="right"/>
            </w:pPr>
          </w:p>
        </w:tc>
      </w:tr>
      <w:tr w:rsidR="00CD43C2" w:rsidRPr="00755F7F" w14:paraId="385E3473" w14:textId="77777777" w:rsidTr="00E85896">
        <w:trPr>
          <w:trHeight w:val="227"/>
        </w:trPr>
        <w:tc>
          <w:tcPr>
            <w:tcW w:w="4338" w:type="dxa"/>
            <w:tcBorders>
              <w:top w:val="nil"/>
              <w:left w:val="nil"/>
              <w:bottom w:val="nil"/>
              <w:right w:val="nil"/>
            </w:tcBorders>
            <w:vAlign w:val="bottom"/>
            <w:hideMark/>
          </w:tcPr>
          <w:p w14:paraId="04CD80A8" w14:textId="77777777" w:rsidR="00CD43C2" w:rsidRPr="00755F7F" w:rsidRDefault="00CD43C2" w:rsidP="00E85896">
            <w:pPr>
              <w:rPr>
                <w:color w:val="000000"/>
                <w:sz w:val="16"/>
                <w:szCs w:val="16"/>
              </w:rPr>
            </w:pPr>
            <w:r w:rsidRPr="00755F7F">
              <w:rPr>
                <w:color w:val="000000"/>
                <w:sz w:val="16"/>
                <w:szCs w:val="16"/>
              </w:rPr>
              <w:t>Gain/(Loss) from Other Liabilities</w:t>
            </w:r>
          </w:p>
        </w:tc>
        <w:tc>
          <w:tcPr>
            <w:tcW w:w="918" w:type="dxa"/>
            <w:tcBorders>
              <w:top w:val="nil"/>
              <w:left w:val="nil"/>
              <w:bottom w:val="nil"/>
              <w:right w:val="nil"/>
            </w:tcBorders>
            <w:vAlign w:val="bottom"/>
            <w:hideMark/>
          </w:tcPr>
          <w:p w14:paraId="5ACD6FC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495</w:t>
            </w:r>
          </w:p>
        </w:tc>
        <w:tc>
          <w:tcPr>
            <w:tcW w:w="918" w:type="dxa"/>
            <w:tcBorders>
              <w:top w:val="nil"/>
              <w:left w:val="nil"/>
              <w:bottom w:val="nil"/>
              <w:right w:val="nil"/>
            </w:tcBorders>
            <w:vAlign w:val="bottom"/>
            <w:hideMark/>
          </w:tcPr>
          <w:p w14:paraId="16469285" w14:textId="77777777" w:rsidR="00CD43C2" w:rsidRPr="00755F7F" w:rsidRDefault="00CD43C2" w:rsidP="00E85896">
            <w:pPr>
              <w:jc w:val="right"/>
              <w:rPr>
                <w:color w:val="000000"/>
                <w:sz w:val="16"/>
                <w:szCs w:val="16"/>
              </w:rPr>
            </w:pPr>
            <w:r w:rsidRPr="00755F7F">
              <w:rPr>
                <w:color w:val="000000"/>
                <w:sz w:val="16"/>
                <w:szCs w:val="16"/>
              </w:rPr>
              <w:t>2,272</w:t>
            </w:r>
          </w:p>
        </w:tc>
        <w:tc>
          <w:tcPr>
            <w:tcW w:w="918" w:type="dxa"/>
            <w:tcBorders>
              <w:top w:val="nil"/>
              <w:left w:val="nil"/>
              <w:bottom w:val="nil"/>
              <w:right w:val="nil"/>
            </w:tcBorders>
            <w:vAlign w:val="bottom"/>
            <w:hideMark/>
          </w:tcPr>
          <w:p w14:paraId="2C6FAEA4" w14:textId="77777777" w:rsidR="00CD43C2" w:rsidRPr="00755F7F" w:rsidRDefault="00CD43C2" w:rsidP="00E85896">
            <w:pPr>
              <w:jc w:val="right"/>
              <w:rPr>
                <w:color w:val="000000"/>
                <w:sz w:val="16"/>
                <w:szCs w:val="16"/>
              </w:rPr>
            </w:pPr>
            <w:r w:rsidRPr="00755F7F">
              <w:rPr>
                <w:color w:val="000000"/>
                <w:sz w:val="16"/>
                <w:szCs w:val="16"/>
              </w:rPr>
              <w:t>(74)</w:t>
            </w:r>
          </w:p>
        </w:tc>
        <w:tc>
          <w:tcPr>
            <w:tcW w:w="880" w:type="dxa"/>
            <w:tcBorders>
              <w:top w:val="nil"/>
              <w:left w:val="nil"/>
              <w:bottom w:val="nil"/>
              <w:right w:val="nil"/>
            </w:tcBorders>
            <w:vAlign w:val="bottom"/>
            <w:hideMark/>
          </w:tcPr>
          <w:p w14:paraId="538B978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w:t>
            </w:r>
          </w:p>
        </w:tc>
        <w:tc>
          <w:tcPr>
            <w:tcW w:w="880" w:type="dxa"/>
            <w:tcBorders>
              <w:top w:val="nil"/>
              <w:left w:val="nil"/>
              <w:bottom w:val="nil"/>
              <w:right w:val="nil"/>
            </w:tcBorders>
            <w:vAlign w:val="bottom"/>
            <w:hideMark/>
          </w:tcPr>
          <w:p w14:paraId="2D40061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w:t>
            </w:r>
          </w:p>
        </w:tc>
        <w:tc>
          <w:tcPr>
            <w:tcW w:w="989" w:type="dxa"/>
            <w:tcBorders>
              <w:top w:val="nil"/>
              <w:left w:val="nil"/>
              <w:bottom w:val="nil"/>
              <w:right w:val="nil"/>
            </w:tcBorders>
            <w:vAlign w:val="bottom"/>
            <w:hideMark/>
          </w:tcPr>
          <w:p w14:paraId="0C37164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(247)</w:t>
            </w:r>
          </w:p>
        </w:tc>
      </w:tr>
      <w:tr w:rsidR="00CD43C2" w:rsidRPr="00755F7F" w14:paraId="7B094C5B" w14:textId="77777777" w:rsidTr="00E85896">
        <w:trPr>
          <w:trHeight w:val="227"/>
        </w:trPr>
        <w:tc>
          <w:tcPr>
            <w:tcW w:w="4338" w:type="dxa"/>
            <w:tcBorders>
              <w:top w:val="nil"/>
              <w:left w:val="nil"/>
              <w:bottom w:val="nil"/>
              <w:right w:val="nil"/>
            </w:tcBorders>
            <w:vAlign w:val="bottom"/>
            <w:hideMark/>
          </w:tcPr>
          <w:p w14:paraId="110F0263" w14:textId="77777777" w:rsidR="00CD43C2" w:rsidRPr="00755F7F" w:rsidRDefault="00CD43C2" w:rsidP="00E85896">
            <w:pPr>
              <w:rPr>
                <w:color w:val="000000"/>
                <w:sz w:val="16"/>
                <w:szCs w:val="16"/>
              </w:rPr>
            </w:pPr>
            <w:r w:rsidRPr="00755F7F">
              <w:rPr>
                <w:color w:val="000000"/>
                <w:sz w:val="16"/>
                <w:szCs w:val="16"/>
              </w:rPr>
              <w:t>Other Net Gains/(Losses)</w:t>
            </w:r>
          </w:p>
        </w:tc>
        <w:tc>
          <w:tcPr>
            <w:tcW w:w="918" w:type="dxa"/>
            <w:tcBorders>
              <w:top w:val="nil"/>
              <w:left w:val="nil"/>
              <w:bottom w:val="nil"/>
              <w:right w:val="nil"/>
            </w:tcBorders>
            <w:vAlign w:val="bottom"/>
            <w:hideMark/>
          </w:tcPr>
          <w:p w14:paraId="07DB44F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2,085</w:t>
            </w:r>
          </w:p>
        </w:tc>
        <w:tc>
          <w:tcPr>
            <w:tcW w:w="918" w:type="dxa"/>
            <w:tcBorders>
              <w:top w:val="nil"/>
              <w:left w:val="nil"/>
              <w:bottom w:val="nil"/>
              <w:right w:val="nil"/>
            </w:tcBorders>
            <w:vAlign w:val="bottom"/>
            <w:hideMark/>
          </w:tcPr>
          <w:p w14:paraId="01F09524" w14:textId="77777777" w:rsidR="00CD43C2" w:rsidRPr="00755F7F" w:rsidRDefault="00CD43C2" w:rsidP="00E85896">
            <w:pPr>
              <w:jc w:val="right"/>
              <w:rPr>
                <w:color w:val="000000"/>
                <w:sz w:val="16"/>
                <w:szCs w:val="16"/>
              </w:rPr>
            </w:pPr>
            <w:r w:rsidRPr="00755F7F">
              <w:rPr>
                <w:color w:val="000000"/>
                <w:sz w:val="16"/>
                <w:szCs w:val="16"/>
              </w:rPr>
              <w:t>2,706</w:t>
            </w:r>
          </w:p>
        </w:tc>
        <w:tc>
          <w:tcPr>
            <w:tcW w:w="918" w:type="dxa"/>
            <w:tcBorders>
              <w:top w:val="nil"/>
              <w:left w:val="nil"/>
              <w:bottom w:val="nil"/>
              <w:right w:val="nil"/>
            </w:tcBorders>
            <w:vAlign w:val="bottom"/>
            <w:hideMark/>
          </w:tcPr>
          <w:p w14:paraId="0596336A" w14:textId="77777777" w:rsidR="00CD43C2" w:rsidRPr="00755F7F" w:rsidRDefault="00CD43C2" w:rsidP="00E85896">
            <w:pPr>
              <w:jc w:val="right"/>
              <w:rPr>
                <w:color w:val="000000"/>
                <w:sz w:val="16"/>
                <w:szCs w:val="16"/>
              </w:rPr>
            </w:pPr>
            <w:r w:rsidRPr="00755F7F">
              <w:rPr>
                <w:color w:val="000000"/>
                <w:sz w:val="16"/>
                <w:szCs w:val="16"/>
              </w:rPr>
              <w:t>102</w:t>
            </w:r>
          </w:p>
        </w:tc>
        <w:tc>
          <w:tcPr>
            <w:tcW w:w="880" w:type="dxa"/>
            <w:tcBorders>
              <w:top w:val="nil"/>
              <w:left w:val="nil"/>
              <w:bottom w:val="nil"/>
              <w:right w:val="nil"/>
            </w:tcBorders>
            <w:vAlign w:val="bottom"/>
            <w:hideMark/>
          </w:tcPr>
          <w:p w14:paraId="6E3F18DD"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760</w:t>
            </w:r>
          </w:p>
        </w:tc>
        <w:tc>
          <w:tcPr>
            <w:tcW w:w="880" w:type="dxa"/>
            <w:tcBorders>
              <w:top w:val="nil"/>
              <w:left w:val="nil"/>
              <w:bottom w:val="nil"/>
              <w:right w:val="nil"/>
            </w:tcBorders>
            <w:vAlign w:val="bottom"/>
            <w:hideMark/>
          </w:tcPr>
          <w:p w14:paraId="05A9BF54"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121</w:t>
            </w:r>
          </w:p>
        </w:tc>
        <w:tc>
          <w:tcPr>
            <w:tcW w:w="989" w:type="dxa"/>
            <w:tcBorders>
              <w:top w:val="nil"/>
              <w:left w:val="nil"/>
              <w:bottom w:val="nil"/>
              <w:right w:val="nil"/>
            </w:tcBorders>
            <w:vAlign w:val="bottom"/>
            <w:hideMark/>
          </w:tcPr>
          <w:p w14:paraId="5C1DB72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222</w:t>
            </w:r>
          </w:p>
        </w:tc>
      </w:tr>
      <w:tr w:rsidR="00CD43C2" w:rsidRPr="00755F7F" w14:paraId="0A98DD62" w14:textId="77777777" w:rsidTr="00E85896">
        <w:trPr>
          <w:trHeight w:val="227"/>
        </w:trPr>
        <w:tc>
          <w:tcPr>
            <w:tcW w:w="4338" w:type="dxa"/>
            <w:tcBorders>
              <w:top w:val="nil"/>
              <w:left w:val="nil"/>
              <w:bottom w:val="nil"/>
              <w:right w:val="nil"/>
            </w:tcBorders>
            <w:vAlign w:val="bottom"/>
            <w:hideMark/>
          </w:tcPr>
          <w:p w14:paraId="2EC3276F" w14:textId="77777777" w:rsidR="00CD43C2" w:rsidRPr="00755F7F" w:rsidRDefault="00CD43C2" w:rsidP="00E85896">
            <w:pPr>
              <w:rPr>
                <w:color w:val="000000"/>
                <w:sz w:val="16"/>
                <w:szCs w:val="16"/>
              </w:rPr>
            </w:pPr>
            <w:r w:rsidRPr="00755F7F">
              <w:rPr>
                <w:color w:val="000000"/>
                <w:sz w:val="16"/>
                <w:szCs w:val="16"/>
              </w:rPr>
              <w:t>Share of Earnings/Losses from Equity Investments (excluding Dividends)</w:t>
            </w:r>
          </w:p>
        </w:tc>
        <w:tc>
          <w:tcPr>
            <w:tcW w:w="918" w:type="dxa"/>
            <w:tcBorders>
              <w:top w:val="nil"/>
              <w:left w:val="nil"/>
              <w:bottom w:val="nil"/>
              <w:right w:val="nil"/>
            </w:tcBorders>
            <w:vAlign w:val="bottom"/>
            <w:hideMark/>
          </w:tcPr>
          <w:p w14:paraId="0FCCA837" w14:textId="7D856E78"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(82)</w:t>
            </w:r>
          </w:p>
        </w:tc>
        <w:tc>
          <w:tcPr>
            <w:tcW w:w="918" w:type="dxa"/>
            <w:tcBorders>
              <w:top w:val="nil"/>
              <w:left w:val="nil"/>
              <w:bottom w:val="nil"/>
              <w:right w:val="nil"/>
            </w:tcBorders>
            <w:vAlign w:val="bottom"/>
            <w:hideMark/>
          </w:tcPr>
          <w:p w14:paraId="395E061F" w14:textId="77777777" w:rsidR="00CD43C2" w:rsidRPr="00755F7F" w:rsidRDefault="00CD43C2" w:rsidP="00E85896">
            <w:pPr>
              <w:jc w:val="right"/>
              <w:rPr>
                <w:color w:val="000000"/>
                <w:sz w:val="16"/>
                <w:szCs w:val="16"/>
              </w:rPr>
            </w:pPr>
            <w:r w:rsidRPr="00755F7F">
              <w:rPr>
                <w:color w:val="000000"/>
                <w:sz w:val="16"/>
                <w:szCs w:val="16"/>
              </w:rPr>
              <w:t>170</w:t>
            </w:r>
          </w:p>
        </w:tc>
        <w:tc>
          <w:tcPr>
            <w:tcW w:w="918" w:type="dxa"/>
            <w:tcBorders>
              <w:top w:val="nil"/>
              <w:left w:val="nil"/>
              <w:bottom w:val="nil"/>
              <w:right w:val="nil"/>
            </w:tcBorders>
            <w:vAlign w:val="bottom"/>
            <w:hideMark/>
          </w:tcPr>
          <w:p w14:paraId="671D9951" w14:textId="77777777" w:rsidR="00CD43C2" w:rsidRPr="00755F7F" w:rsidRDefault="00CD43C2" w:rsidP="00E85896">
            <w:pPr>
              <w:jc w:val="right"/>
              <w:rPr>
                <w:color w:val="000000"/>
                <w:sz w:val="16"/>
                <w:szCs w:val="16"/>
              </w:rPr>
            </w:pPr>
            <w:r w:rsidRPr="00755F7F">
              <w:rPr>
                <w:color w:val="000000"/>
                <w:sz w:val="16"/>
                <w:szCs w:val="16"/>
              </w:rPr>
              <w:t>209</w:t>
            </w:r>
          </w:p>
        </w:tc>
        <w:tc>
          <w:tcPr>
            <w:tcW w:w="880" w:type="dxa"/>
            <w:tcBorders>
              <w:top w:val="nil"/>
              <w:left w:val="nil"/>
              <w:bottom w:val="nil"/>
              <w:right w:val="nil"/>
            </w:tcBorders>
            <w:vAlign w:val="bottom"/>
            <w:hideMark/>
          </w:tcPr>
          <w:p w14:paraId="758FB24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(197)</w:t>
            </w:r>
          </w:p>
        </w:tc>
        <w:tc>
          <w:tcPr>
            <w:tcW w:w="880" w:type="dxa"/>
            <w:tcBorders>
              <w:top w:val="nil"/>
              <w:left w:val="nil"/>
              <w:bottom w:val="nil"/>
              <w:right w:val="nil"/>
            </w:tcBorders>
            <w:vAlign w:val="bottom"/>
            <w:hideMark/>
          </w:tcPr>
          <w:p w14:paraId="24B67528"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(35)</w:t>
            </w:r>
          </w:p>
        </w:tc>
        <w:tc>
          <w:tcPr>
            <w:tcW w:w="989" w:type="dxa"/>
            <w:tcBorders>
              <w:top w:val="nil"/>
              <w:left w:val="nil"/>
              <w:bottom w:val="nil"/>
              <w:right w:val="nil"/>
            </w:tcBorders>
            <w:vAlign w:val="bottom"/>
            <w:hideMark/>
          </w:tcPr>
          <w:p w14:paraId="06B937A8"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(160)</w:t>
            </w:r>
          </w:p>
        </w:tc>
      </w:tr>
      <w:tr w:rsidR="00CD43C2" w:rsidRPr="00755F7F" w14:paraId="00A6F222" w14:textId="77777777" w:rsidTr="00E85896">
        <w:trPr>
          <w:trHeight w:val="227"/>
        </w:trPr>
        <w:tc>
          <w:tcPr>
            <w:tcW w:w="4338" w:type="dxa"/>
            <w:tcBorders>
              <w:top w:val="nil"/>
              <w:left w:val="nil"/>
              <w:bottom w:val="nil"/>
              <w:right w:val="nil"/>
            </w:tcBorders>
            <w:vAlign w:val="bottom"/>
            <w:hideMark/>
          </w:tcPr>
          <w:p w14:paraId="2571B8AB" w14:textId="77777777" w:rsidR="00CD43C2" w:rsidRPr="00755F7F" w:rsidRDefault="00CD43C2" w:rsidP="00E85896">
            <w:pPr>
              <w:rPr>
                <w:color w:val="000000"/>
                <w:sz w:val="16"/>
                <w:szCs w:val="16"/>
              </w:rPr>
            </w:pPr>
            <w:r w:rsidRPr="00755F7F">
              <w:rPr>
                <w:color w:val="000000"/>
                <w:sz w:val="16"/>
                <w:szCs w:val="16"/>
              </w:rPr>
              <w:t>Dividends from Asset Sale Proceeds</w:t>
            </w:r>
          </w:p>
        </w:tc>
        <w:tc>
          <w:tcPr>
            <w:tcW w:w="918" w:type="dxa"/>
            <w:tcBorders>
              <w:top w:val="nil"/>
              <w:left w:val="nil"/>
              <w:bottom w:val="nil"/>
              <w:right w:val="nil"/>
            </w:tcBorders>
            <w:vAlign w:val="bottom"/>
            <w:hideMark/>
          </w:tcPr>
          <w:p w14:paraId="16C6373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18" w:type="dxa"/>
            <w:tcBorders>
              <w:top w:val="nil"/>
              <w:left w:val="nil"/>
              <w:bottom w:val="nil"/>
              <w:right w:val="nil"/>
            </w:tcBorders>
            <w:vAlign w:val="bottom"/>
            <w:hideMark/>
          </w:tcPr>
          <w:p w14:paraId="4D40EA35" w14:textId="62F96923" w:rsidR="00CD43C2" w:rsidRPr="00755F7F" w:rsidRDefault="00CD43C2" w:rsidP="00E85896">
            <w:pPr>
              <w:jc w:val="right"/>
              <w:rPr>
                <w:color w:val="000000"/>
                <w:sz w:val="16"/>
                <w:szCs w:val="16"/>
              </w:rPr>
            </w:pPr>
            <w:r w:rsidRPr="00755F7F">
              <w:rPr>
                <w:color w:val="000000"/>
                <w:sz w:val="16"/>
                <w:szCs w:val="16"/>
              </w:rPr>
              <w:t>85</w:t>
            </w:r>
          </w:p>
        </w:tc>
        <w:tc>
          <w:tcPr>
            <w:tcW w:w="918" w:type="dxa"/>
            <w:tcBorders>
              <w:top w:val="nil"/>
              <w:left w:val="nil"/>
              <w:bottom w:val="nil"/>
              <w:right w:val="nil"/>
            </w:tcBorders>
            <w:vAlign w:val="bottom"/>
            <w:hideMark/>
          </w:tcPr>
          <w:p w14:paraId="4E65DA0E" w14:textId="77777777" w:rsidR="00CD43C2" w:rsidRPr="00755F7F" w:rsidRDefault="00CD43C2" w:rsidP="00E85896">
            <w:pPr>
              <w:jc w:val="right"/>
              <w:rPr>
                <w:color w:val="000000"/>
                <w:sz w:val="16"/>
                <w:szCs w:val="16"/>
              </w:rPr>
            </w:pPr>
            <w:r w:rsidRPr="00755F7F">
              <w:rPr>
                <w:color w:val="000000"/>
                <w:sz w:val="16"/>
                <w:szCs w:val="16"/>
              </w:rPr>
              <w:t>35</w:t>
            </w:r>
          </w:p>
        </w:tc>
        <w:tc>
          <w:tcPr>
            <w:tcW w:w="880" w:type="dxa"/>
            <w:tcBorders>
              <w:top w:val="nil"/>
              <w:left w:val="nil"/>
              <w:bottom w:val="nil"/>
              <w:right w:val="nil"/>
            </w:tcBorders>
            <w:vAlign w:val="bottom"/>
            <w:hideMark/>
          </w:tcPr>
          <w:p w14:paraId="346B2D05"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40</w:t>
            </w:r>
          </w:p>
        </w:tc>
        <w:tc>
          <w:tcPr>
            <w:tcW w:w="880" w:type="dxa"/>
            <w:tcBorders>
              <w:top w:val="nil"/>
              <w:left w:val="nil"/>
              <w:bottom w:val="nil"/>
              <w:right w:val="nil"/>
            </w:tcBorders>
            <w:vAlign w:val="bottom"/>
            <w:hideMark/>
          </w:tcPr>
          <w:p w14:paraId="0EAADBC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347</w:t>
            </w:r>
          </w:p>
        </w:tc>
        <w:tc>
          <w:tcPr>
            <w:tcW w:w="989" w:type="dxa"/>
            <w:tcBorders>
              <w:top w:val="nil"/>
              <w:left w:val="nil"/>
              <w:bottom w:val="nil"/>
              <w:right w:val="nil"/>
            </w:tcBorders>
            <w:vAlign w:val="bottom"/>
            <w:hideMark/>
          </w:tcPr>
          <w:p w14:paraId="4BBF302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91</w:t>
            </w:r>
          </w:p>
        </w:tc>
      </w:tr>
      <w:tr w:rsidR="00CD43C2" w:rsidRPr="00755F7F" w14:paraId="094AC8B2" w14:textId="77777777" w:rsidTr="00E85896">
        <w:trPr>
          <w:trHeight w:val="227"/>
        </w:trPr>
        <w:tc>
          <w:tcPr>
            <w:tcW w:w="4338" w:type="dxa"/>
            <w:tcBorders>
              <w:top w:val="nil"/>
              <w:left w:val="nil"/>
              <w:bottom w:val="nil"/>
              <w:right w:val="nil"/>
            </w:tcBorders>
            <w:vAlign w:val="bottom"/>
            <w:hideMark/>
          </w:tcPr>
          <w:p w14:paraId="1FA3AB0A" w14:textId="77777777" w:rsidR="00CD43C2" w:rsidRPr="00755F7F" w:rsidRDefault="00CD43C2" w:rsidP="00E85896">
            <w:pPr>
              <w:rPr>
                <w:color w:val="000000"/>
                <w:sz w:val="16"/>
                <w:szCs w:val="16"/>
              </w:rPr>
            </w:pPr>
            <w:r w:rsidRPr="00755F7F">
              <w:rPr>
                <w:color w:val="000000"/>
                <w:sz w:val="16"/>
                <w:szCs w:val="16"/>
              </w:rPr>
              <w:t>Allowance for Impairment of Receivables</w:t>
            </w:r>
          </w:p>
        </w:tc>
        <w:tc>
          <w:tcPr>
            <w:tcW w:w="918" w:type="dxa"/>
            <w:tcBorders>
              <w:top w:val="nil"/>
              <w:left w:val="nil"/>
              <w:bottom w:val="nil"/>
              <w:right w:val="nil"/>
            </w:tcBorders>
            <w:vAlign w:val="bottom"/>
            <w:hideMark/>
          </w:tcPr>
          <w:p w14:paraId="64E56A4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w:t>
            </w:r>
          </w:p>
        </w:tc>
        <w:tc>
          <w:tcPr>
            <w:tcW w:w="918" w:type="dxa"/>
            <w:tcBorders>
              <w:top w:val="nil"/>
              <w:left w:val="nil"/>
              <w:bottom w:val="nil"/>
              <w:right w:val="nil"/>
            </w:tcBorders>
            <w:vAlign w:val="bottom"/>
            <w:hideMark/>
          </w:tcPr>
          <w:p w14:paraId="502C4F93" w14:textId="140252E3" w:rsidR="00CD43C2" w:rsidRPr="00755F7F" w:rsidRDefault="00CD43C2" w:rsidP="00E85896">
            <w:pPr>
              <w:jc w:val="right"/>
              <w:rPr>
                <w:color w:val="000000"/>
                <w:sz w:val="16"/>
                <w:szCs w:val="16"/>
              </w:rPr>
            </w:pPr>
            <w:r w:rsidRPr="00755F7F">
              <w:rPr>
                <w:color w:val="000000"/>
                <w:sz w:val="16"/>
                <w:szCs w:val="16"/>
              </w:rPr>
              <w:t>(90)</w:t>
            </w:r>
          </w:p>
        </w:tc>
        <w:tc>
          <w:tcPr>
            <w:tcW w:w="918" w:type="dxa"/>
            <w:tcBorders>
              <w:top w:val="nil"/>
              <w:left w:val="nil"/>
              <w:bottom w:val="nil"/>
              <w:right w:val="nil"/>
            </w:tcBorders>
            <w:vAlign w:val="bottom"/>
            <w:hideMark/>
          </w:tcPr>
          <w:p w14:paraId="4EF587BA" w14:textId="47F1A302" w:rsidR="00CD43C2" w:rsidRPr="00755F7F" w:rsidRDefault="00CD43C2" w:rsidP="00E85896">
            <w:pPr>
              <w:jc w:val="right"/>
              <w:rPr>
                <w:color w:val="000000"/>
                <w:sz w:val="16"/>
                <w:szCs w:val="16"/>
              </w:rPr>
            </w:pPr>
            <w:r w:rsidRPr="00755F7F">
              <w:rPr>
                <w:color w:val="000000"/>
                <w:sz w:val="16"/>
                <w:szCs w:val="16"/>
              </w:rPr>
              <w:t>(16)</w:t>
            </w:r>
          </w:p>
        </w:tc>
        <w:tc>
          <w:tcPr>
            <w:tcW w:w="880" w:type="dxa"/>
            <w:tcBorders>
              <w:top w:val="nil"/>
              <w:left w:val="nil"/>
              <w:bottom w:val="nil"/>
              <w:right w:val="nil"/>
            </w:tcBorders>
            <w:vAlign w:val="bottom"/>
            <w:hideMark/>
          </w:tcPr>
          <w:p w14:paraId="3C64D5C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(17)</w:t>
            </w:r>
          </w:p>
        </w:tc>
        <w:tc>
          <w:tcPr>
            <w:tcW w:w="880" w:type="dxa"/>
            <w:tcBorders>
              <w:top w:val="nil"/>
              <w:left w:val="nil"/>
              <w:bottom w:val="nil"/>
              <w:right w:val="nil"/>
            </w:tcBorders>
            <w:vAlign w:val="bottom"/>
            <w:hideMark/>
          </w:tcPr>
          <w:p w14:paraId="036AA3D1" w14:textId="7DF9E0B8"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(17)</w:t>
            </w:r>
          </w:p>
        </w:tc>
        <w:tc>
          <w:tcPr>
            <w:tcW w:w="989" w:type="dxa"/>
            <w:tcBorders>
              <w:top w:val="nil"/>
              <w:left w:val="nil"/>
              <w:bottom w:val="nil"/>
              <w:right w:val="nil"/>
            </w:tcBorders>
            <w:vAlign w:val="bottom"/>
            <w:hideMark/>
          </w:tcPr>
          <w:p w14:paraId="2D1B3EF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(18)</w:t>
            </w:r>
          </w:p>
        </w:tc>
      </w:tr>
      <w:tr w:rsidR="00CD43C2" w:rsidRPr="00755F7F" w14:paraId="666CA406" w14:textId="77777777" w:rsidTr="00E85896">
        <w:trPr>
          <w:trHeight w:val="227"/>
        </w:trPr>
        <w:tc>
          <w:tcPr>
            <w:tcW w:w="4338" w:type="dxa"/>
            <w:tcBorders>
              <w:top w:val="nil"/>
              <w:left w:val="nil"/>
              <w:bottom w:val="nil"/>
              <w:right w:val="nil"/>
            </w:tcBorders>
            <w:vAlign w:val="bottom"/>
            <w:hideMark/>
          </w:tcPr>
          <w:p w14:paraId="15021508" w14:textId="77777777" w:rsidR="00CD43C2" w:rsidRPr="00755F7F" w:rsidRDefault="00CD43C2" w:rsidP="00E85896">
            <w:pPr>
              <w:rPr>
                <w:color w:val="000000"/>
                <w:sz w:val="16"/>
                <w:szCs w:val="16"/>
              </w:rPr>
            </w:pPr>
            <w:r w:rsidRPr="00755F7F">
              <w:rPr>
                <w:color w:val="000000"/>
                <w:sz w:val="16"/>
                <w:szCs w:val="16"/>
              </w:rPr>
              <w:t>Deferred Income Tax from Other Sectors</w:t>
            </w:r>
          </w:p>
        </w:tc>
        <w:tc>
          <w:tcPr>
            <w:tcW w:w="918" w:type="dxa"/>
            <w:tcBorders>
              <w:top w:val="nil"/>
              <w:left w:val="nil"/>
              <w:bottom w:val="nil"/>
              <w:right w:val="nil"/>
            </w:tcBorders>
            <w:vAlign w:val="bottom"/>
            <w:hideMark/>
          </w:tcPr>
          <w:p w14:paraId="0BED888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158</w:t>
            </w:r>
          </w:p>
        </w:tc>
        <w:tc>
          <w:tcPr>
            <w:tcW w:w="918" w:type="dxa"/>
            <w:tcBorders>
              <w:top w:val="nil"/>
              <w:left w:val="nil"/>
              <w:bottom w:val="nil"/>
              <w:right w:val="nil"/>
            </w:tcBorders>
            <w:vAlign w:val="bottom"/>
            <w:hideMark/>
          </w:tcPr>
          <w:p w14:paraId="329AAA56" w14:textId="77777777" w:rsidR="00CD43C2" w:rsidRPr="00755F7F" w:rsidRDefault="00CD43C2" w:rsidP="00E85896">
            <w:pPr>
              <w:jc w:val="right"/>
              <w:rPr>
                <w:color w:val="000000"/>
                <w:sz w:val="16"/>
                <w:szCs w:val="16"/>
              </w:rPr>
            </w:pPr>
            <w:r w:rsidRPr="00755F7F">
              <w:rPr>
                <w:color w:val="000000"/>
                <w:sz w:val="16"/>
                <w:szCs w:val="16"/>
              </w:rPr>
              <w:t>13</w:t>
            </w:r>
          </w:p>
        </w:tc>
        <w:tc>
          <w:tcPr>
            <w:tcW w:w="918" w:type="dxa"/>
            <w:tcBorders>
              <w:top w:val="nil"/>
              <w:left w:val="nil"/>
              <w:bottom w:val="nil"/>
              <w:right w:val="nil"/>
            </w:tcBorders>
            <w:vAlign w:val="bottom"/>
            <w:hideMark/>
          </w:tcPr>
          <w:p w14:paraId="7285672D" w14:textId="77777777" w:rsidR="00CD43C2" w:rsidRPr="00755F7F" w:rsidRDefault="00CD43C2" w:rsidP="00E85896">
            <w:pPr>
              <w:jc w:val="right"/>
              <w:rPr>
                <w:color w:val="000000"/>
                <w:sz w:val="16"/>
                <w:szCs w:val="16"/>
              </w:rPr>
            </w:pPr>
            <w:r w:rsidRPr="00755F7F">
              <w:rPr>
                <w:color w:val="000000"/>
                <w:sz w:val="16"/>
                <w:szCs w:val="16"/>
              </w:rPr>
              <w:t>3</w:t>
            </w:r>
          </w:p>
        </w:tc>
        <w:tc>
          <w:tcPr>
            <w:tcW w:w="880" w:type="dxa"/>
            <w:tcBorders>
              <w:top w:val="nil"/>
              <w:left w:val="nil"/>
              <w:bottom w:val="nil"/>
              <w:right w:val="nil"/>
            </w:tcBorders>
            <w:vAlign w:val="bottom"/>
            <w:hideMark/>
          </w:tcPr>
          <w:p w14:paraId="02D4238F" w14:textId="78B247D0"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w:t>
            </w:r>
          </w:p>
        </w:tc>
        <w:tc>
          <w:tcPr>
            <w:tcW w:w="880" w:type="dxa"/>
            <w:tcBorders>
              <w:top w:val="nil"/>
              <w:left w:val="nil"/>
              <w:bottom w:val="nil"/>
              <w:right w:val="nil"/>
            </w:tcBorders>
            <w:vAlign w:val="bottom"/>
            <w:hideMark/>
          </w:tcPr>
          <w:p w14:paraId="1F64E251" w14:textId="00F906B8"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37</w:t>
            </w:r>
          </w:p>
        </w:tc>
        <w:tc>
          <w:tcPr>
            <w:tcW w:w="989" w:type="dxa"/>
            <w:tcBorders>
              <w:top w:val="nil"/>
              <w:left w:val="nil"/>
              <w:bottom w:val="nil"/>
              <w:right w:val="nil"/>
            </w:tcBorders>
            <w:vAlign w:val="bottom"/>
            <w:hideMark/>
          </w:tcPr>
          <w:p w14:paraId="7C4B0E33" w14:textId="4116F7C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53</w:t>
            </w:r>
          </w:p>
        </w:tc>
      </w:tr>
      <w:tr w:rsidR="00CD43C2" w:rsidRPr="00755F7F" w14:paraId="67765C78" w14:textId="77777777" w:rsidTr="00E85896">
        <w:trPr>
          <w:trHeight w:val="227"/>
        </w:trPr>
        <w:tc>
          <w:tcPr>
            <w:tcW w:w="4338" w:type="dxa"/>
            <w:tcBorders>
              <w:top w:val="nil"/>
              <w:left w:val="nil"/>
              <w:bottom w:val="nil"/>
              <w:right w:val="nil"/>
            </w:tcBorders>
            <w:vAlign w:val="bottom"/>
            <w:hideMark/>
          </w:tcPr>
          <w:p w14:paraId="70DD70CA" w14:textId="77777777" w:rsidR="00CD43C2" w:rsidRPr="00755F7F" w:rsidRDefault="00CD43C2" w:rsidP="00E85896">
            <w:pPr>
              <w:rPr>
                <w:color w:val="000000"/>
                <w:sz w:val="16"/>
                <w:szCs w:val="16"/>
              </w:rPr>
            </w:pPr>
            <w:r w:rsidRPr="00755F7F">
              <w:rPr>
                <w:color w:val="000000"/>
                <w:sz w:val="16"/>
                <w:szCs w:val="16"/>
              </w:rPr>
              <w:t>Other</w:t>
            </w:r>
          </w:p>
        </w:tc>
        <w:tc>
          <w:tcPr>
            <w:tcW w:w="918" w:type="dxa"/>
            <w:tcBorders>
              <w:top w:val="nil"/>
              <w:left w:val="nil"/>
              <w:bottom w:val="nil"/>
              <w:right w:val="nil"/>
            </w:tcBorders>
            <w:vAlign w:val="bottom"/>
            <w:hideMark/>
          </w:tcPr>
          <w:p w14:paraId="7A3CE3D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18" w:type="dxa"/>
            <w:tcBorders>
              <w:top w:val="nil"/>
              <w:left w:val="nil"/>
              <w:bottom w:val="nil"/>
              <w:right w:val="nil"/>
            </w:tcBorders>
            <w:vAlign w:val="bottom"/>
            <w:hideMark/>
          </w:tcPr>
          <w:p w14:paraId="0CFD0BF8" w14:textId="77777777" w:rsidR="00CD43C2" w:rsidRPr="00755F7F" w:rsidRDefault="00CD43C2" w:rsidP="00E85896">
            <w:pPr>
              <w:jc w:val="right"/>
              <w:rPr>
                <w:color w:val="000000"/>
                <w:sz w:val="16"/>
                <w:szCs w:val="16"/>
              </w:rPr>
            </w:pPr>
            <w:r w:rsidRPr="00755F7F">
              <w:rPr>
                <w:color w:val="000000"/>
                <w:sz w:val="16"/>
                <w:szCs w:val="16"/>
              </w:rPr>
              <w:t>...</w:t>
            </w:r>
          </w:p>
        </w:tc>
        <w:tc>
          <w:tcPr>
            <w:tcW w:w="918" w:type="dxa"/>
            <w:tcBorders>
              <w:top w:val="nil"/>
              <w:left w:val="nil"/>
              <w:bottom w:val="nil"/>
              <w:right w:val="nil"/>
            </w:tcBorders>
            <w:vAlign w:val="bottom"/>
            <w:hideMark/>
          </w:tcPr>
          <w:p w14:paraId="62C0D560" w14:textId="77777777" w:rsidR="00CD43C2" w:rsidRPr="00755F7F" w:rsidRDefault="00CD43C2" w:rsidP="00E85896">
            <w:pPr>
              <w:jc w:val="right"/>
              <w:rPr>
                <w:color w:val="000000"/>
                <w:sz w:val="16"/>
                <w:szCs w:val="16"/>
              </w:rPr>
            </w:pPr>
            <w:r w:rsidRPr="00755F7F">
              <w:rPr>
                <w:color w:val="000000"/>
                <w:sz w:val="16"/>
                <w:szCs w:val="16"/>
              </w:rPr>
              <w:t>...</w:t>
            </w:r>
          </w:p>
        </w:tc>
        <w:tc>
          <w:tcPr>
            <w:tcW w:w="880" w:type="dxa"/>
            <w:tcBorders>
              <w:top w:val="nil"/>
              <w:left w:val="nil"/>
              <w:bottom w:val="nil"/>
              <w:right w:val="nil"/>
            </w:tcBorders>
            <w:vAlign w:val="bottom"/>
            <w:hideMark/>
          </w:tcPr>
          <w:p w14:paraId="1AC6AB2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880" w:type="dxa"/>
            <w:tcBorders>
              <w:top w:val="nil"/>
              <w:left w:val="nil"/>
              <w:bottom w:val="nil"/>
              <w:right w:val="nil"/>
            </w:tcBorders>
            <w:vAlign w:val="bottom"/>
            <w:hideMark/>
          </w:tcPr>
          <w:p w14:paraId="529FD00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89" w:type="dxa"/>
            <w:tcBorders>
              <w:top w:val="nil"/>
              <w:left w:val="nil"/>
              <w:bottom w:val="nil"/>
              <w:right w:val="nil"/>
            </w:tcBorders>
            <w:vAlign w:val="bottom"/>
            <w:hideMark/>
          </w:tcPr>
          <w:p w14:paraId="57FB86FC"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r>
      <w:tr w:rsidR="00CD43C2" w:rsidRPr="00755F7F" w14:paraId="25C619B0" w14:textId="77777777" w:rsidTr="00E85896">
        <w:trPr>
          <w:trHeight w:val="285"/>
        </w:trPr>
        <w:tc>
          <w:tcPr>
            <w:tcW w:w="4338" w:type="dxa"/>
            <w:tcBorders>
              <w:top w:val="nil"/>
              <w:left w:val="nil"/>
              <w:bottom w:val="nil"/>
              <w:right w:val="nil"/>
            </w:tcBorders>
            <w:vAlign w:val="center"/>
            <w:hideMark/>
          </w:tcPr>
          <w:p w14:paraId="42C64927" w14:textId="77777777" w:rsidR="00CD43C2" w:rsidRPr="00755F7F" w:rsidRDefault="00CD43C2" w:rsidP="00E85896">
            <w:pPr>
              <w:jc w:val="center"/>
              <w:rPr>
                <w:b/>
                <w:bCs/>
                <w:color w:val="008EBA"/>
                <w:sz w:val="16"/>
                <w:szCs w:val="16"/>
              </w:rPr>
            </w:pPr>
            <w:r w:rsidRPr="00755F7F">
              <w:rPr>
                <w:b/>
                <w:bCs/>
                <w:color w:val="008EBA"/>
                <w:sz w:val="16"/>
                <w:szCs w:val="16"/>
              </w:rPr>
              <w:t>Other Economic Flows - included in Operating Result</w:t>
            </w:r>
          </w:p>
        </w:tc>
        <w:tc>
          <w:tcPr>
            <w:tcW w:w="918" w:type="dxa"/>
            <w:tcBorders>
              <w:top w:val="nil"/>
              <w:left w:val="nil"/>
              <w:bottom w:val="nil"/>
              <w:right w:val="nil"/>
            </w:tcBorders>
            <w:vAlign w:val="center"/>
            <w:hideMark/>
          </w:tcPr>
          <w:p w14:paraId="4BF123AD"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2,649</w:t>
            </w:r>
          </w:p>
        </w:tc>
        <w:tc>
          <w:tcPr>
            <w:tcW w:w="918" w:type="dxa"/>
            <w:tcBorders>
              <w:top w:val="nil"/>
              <w:left w:val="nil"/>
              <w:bottom w:val="nil"/>
              <w:right w:val="nil"/>
            </w:tcBorders>
            <w:vAlign w:val="center"/>
            <w:hideMark/>
          </w:tcPr>
          <w:p w14:paraId="7CF27AC3" w14:textId="77777777" w:rsidR="00CD43C2" w:rsidRPr="00755F7F" w:rsidRDefault="00CD43C2" w:rsidP="00E85896">
            <w:pPr>
              <w:jc w:val="right"/>
              <w:rPr>
                <w:b/>
                <w:bCs/>
                <w:color w:val="008EBA"/>
                <w:sz w:val="16"/>
                <w:szCs w:val="16"/>
              </w:rPr>
            </w:pPr>
            <w:r w:rsidRPr="00755F7F">
              <w:rPr>
                <w:b/>
                <w:bCs/>
                <w:color w:val="008EBA"/>
                <w:sz w:val="16"/>
                <w:szCs w:val="16"/>
              </w:rPr>
              <w:t>5,156</w:t>
            </w:r>
          </w:p>
        </w:tc>
        <w:tc>
          <w:tcPr>
            <w:tcW w:w="918" w:type="dxa"/>
            <w:tcBorders>
              <w:top w:val="nil"/>
              <w:left w:val="nil"/>
              <w:bottom w:val="nil"/>
              <w:right w:val="nil"/>
            </w:tcBorders>
            <w:vAlign w:val="center"/>
            <w:hideMark/>
          </w:tcPr>
          <w:p w14:paraId="7D5C7FA6" w14:textId="77777777" w:rsidR="00CD43C2" w:rsidRPr="00755F7F" w:rsidRDefault="00CD43C2" w:rsidP="00E85896">
            <w:pPr>
              <w:jc w:val="right"/>
              <w:rPr>
                <w:b/>
                <w:bCs/>
                <w:color w:val="008EBA"/>
                <w:sz w:val="16"/>
                <w:szCs w:val="16"/>
              </w:rPr>
            </w:pPr>
            <w:r w:rsidRPr="00755F7F">
              <w:rPr>
                <w:b/>
                <w:bCs/>
                <w:color w:val="008EBA"/>
                <w:sz w:val="16"/>
                <w:szCs w:val="16"/>
              </w:rPr>
              <w:t>260</w:t>
            </w:r>
          </w:p>
        </w:tc>
        <w:tc>
          <w:tcPr>
            <w:tcW w:w="880" w:type="dxa"/>
            <w:tcBorders>
              <w:top w:val="nil"/>
              <w:left w:val="nil"/>
              <w:bottom w:val="nil"/>
              <w:right w:val="nil"/>
            </w:tcBorders>
            <w:vAlign w:val="center"/>
            <w:hideMark/>
          </w:tcPr>
          <w:p w14:paraId="609A0A66"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592</w:t>
            </w:r>
          </w:p>
        </w:tc>
        <w:tc>
          <w:tcPr>
            <w:tcW w:w="880" w:type="dxa"/>
            <w:tcBorders>
              <w:top w:val="nil"/>
              <w:left w:val="nil"/>
              <w:bottom w:val="nil"/>
              <w:right w:val="nil"/>
            </w:tcBorders>
            <w:vAlign w:val="center"/>
            <w:hideMark/>
          </w:tcPr>
          <w:p w14:paraId="108DD814"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452</w:t>
            </w:r>
          </w:p>
        </w:tc>
        <w:tc>
          <w:tcPr>
            <w:tcW w:w="989" w:type="dxa"/>
            <w:tcBorders>
              <w:top w:val="nil"/>
              <w:left w:val="nil"/>
              <w:bottom w:val="nil"/>
              <w:right w:val="nil"/>
            </w:tcBorders>
            <w:vAlign w:val="center"/>
            <w:hideMark/>
          </w:tcPr>
          <w:p w14:paraId="2CA735C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(58)</w:t>
            </w:r>
          </w:p>
        </w:tc>
      </w:tr>
      <w:tr w:rsidR="00CD43C2" w:rsidRPr="00755F7F" w14:paraId="06FF6D57" w14:textId="77777777" w:rsidTr="00E85896">
        <w:trPr>
          <w:trHeight w:val="285"/>
        </w:trPr>
        <w:tc>
          <w:tcPr>
            <w:tcW w:w="4338" w:type="dxa"/>
            <w:tcBorders>
              <w:top w:val="nil"/>
              <w:left w:val="nil"/>
              <w:bottom w:val="nil"/>
              <w:right w:val="nil"/>
            </w:tcBorders>
            <w:vAlign w:val="bottom"/>
            <w:hideMark/>
          </w:tcPr>
          <w:p w14:paraId="3BD42FFB" w14:textId="77777777" w:rsidR="00CD43C2" w:rsidRPr="00755F7F" w:rsidRDefault="00CD43C2" w:rsidP="00E85896">
            <w:pPr>
              <w:rPr>
                <w:b/>
                <w:bCs/>
                <w:color w:val="008EBA"/>
                <w:sz w:val="16"/>
                <w:szCs w:val="16"/>
              </w:rPr>
            </w:pPr>
            <w:r w:rsidRPr="00755F7F">
              <w:rPr>
                <w:b/>
                <w:bCs/>
                <w:color w:val="008EBA"/>
                <w:sz w:val="16"/>
                <w:szCs w:val="16"/>
              </w:rPr>
              <w:t>Operating Result</w:t>
            </w:r>
          </w:p>
        </w:tc>
        <w:tc>
          <w:tcPr>
            <w:tcW w:w="918" w:type="dxa"/>
            <w:tcBorders>
              <w:top w:val="nil"/>
              <w:left w:val="nil"/>
              <w:bottom w:val="nil"/>
              <w:right w:val="nil"/>
            </w:tcBorders>
            <w:vAlign w:val="bottom"/>
            <w:hideMark/>
          </w:tcPr>
          <w:p w14:paraId="56418F1E"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(4,423)</w:t>
            </w:r>
          </w:p>
        </w:tc>
        <w:tc>
          <w:tcPr>
            <w:tcW w:w="918" w:type="dxa"/>
            <w:tcBorders>
              <w:top w:val="nil"/>
              <w:left w:val="nil"/>
              <w:bottom w:val="nil"/>
              <w:right w:val="nil"/>
            </w:tcBorders>
            <w:vAlign w:val="bottom"/>
            <w:hideMark/>
          </w:tcPr>
          <w:p w14:paraId="2C1C510F" w14:textId="77777777" w:rsidR="00CD43C2" w:rsidRPr="00755F7F" w:rsidRDefault="00CD43C2" w:rsidP="00E85896">
            <w:pPr>
              <w:jc w:val="right"/>
              <w:rPr>
                <w:b/>
                <w:bCs/>
                <w:color w:val="008EBA"/>
                <w:sz w:val="16"/>
                <w:szCs w:val="16"/>
              </w:rPr>
            </w:pPr>
            <w:r w:rsidRPr="00755F7F">
              <w:rPr>
                <w:b/>
                <w:bCs/>
                <w:color w:val="008EBA"/>
                <w:sz w:val="16"/>
                <w:szCs w:val="16"/>
              </w:rPr>
              <w:t>(11,407)</w:t>
            </w:r>
          </w:p>
        </w:tc>
        <w:tc>
          <w:tcPr>
            <w:tcW w:w="918" w:type="dxa"/>
            <w:tcBorders>
              <w:top w:val="nil"/>
              <w:left w:val="nil"/>
              <w:bottom w:val="nil"/>
              <w:right w:val="nil"/>
            </w:tcBorders>
            <w:vAlign w:val="bottom"/>
            <w:hideMark/>
          </w:tcPr>
          <w:p w14:paraId="555E7A26" w14:textId="77777777" w:rsidR="00CD43C2" w:rsidRPr="00755F7F" w:rsidRDefault="00CD43C2" w:rsidP="00E85896">
            <w:pPr>
              <w:jc w:val="right"/>
              <w:rPr>
                <w:b/>
                <w:bCs/>
                <w:color w:val="008EBA"/>
                <w:sz w:val="16"/>
                <w:szCs w:val="16"/>
              </w:rPr>
            </w:pPr>
            <w:r w:rsidRPr="00755F7F">
              <w:rPr>
                <w:b/>
                <w:bCs/>
                <w:color w:val="008EBA"/>
                <w:sz w:val="16"/>
                <w:szCs w:val="16"/>
              </w:rPr>
              <w:t>(11,001)</w:t>
            </w:r>
          </w:p>
        </w:tc>
        <w:tc>
          <w:tcPr>
            <w:tcW w:w="880" w:type="dxa"/>
            <w:tcBorders>
              <w:top w:val="nil"/>
              <w:left w:val="nil"/>
              <w:bottom w:val="nil"/>
              <w:right w:val="nil"/>
            </w:tcBorders>
            <w:vAlign w:val="bottom"/>
            <w:hideMark/>
          </w:tcPr>
          <w:p w14:paraId="2480EB8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(2,204)</w:t>
            </w:r>
          </w:p>
        </w:tc>
        <w:tc>
          <w:tcPr>
            <w:tcW w:w="880" w:type="dxa"/>
            <w:tcBorders>
              <w:top w:val="nil"/>
              <w:left w:val="nil"/>
              <w:bottom w:val="nil"/>
              <w:right w:val="nil"/>
            </w:tcBorders>
            <w:vAlign w:val="bottom"/>
            <w:hideMark/>
          </w:tcPr>
          <w:p w14:paraId="00D79CB1"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1,053</w:t>
            </w:r>
          </w:p>
        </w:tc>
        <w:tc>
          <w:tcPr>
            <w:tcW w:w="989" w:type="dxa"/>
            <w:tcBorders>
              <w:top w:val="nil"/>
              <w:left w:val="nil"/>
              <w:bottom w:val="nil"/>
              <w:right w:val="nil"/>
            </w:tcBorders>
            <w:vAlign w:val="bottom"/>
            <w:hideMark/>
          </w:tcPr>
          <w:p w14:paraId="6AA2EA3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1,373</w:t>
            </w:r>
          </w:p>
        </w:tc>
      </w:tr>
      <w:tr w:rsidR="00CD43C2" w:rsidRPr="00755F7F" w14:paraId="2282C889" w14:textId="77777777" w:rsidTr="00E85896">
        <w:trPr>
          <w:trHeight w:val="454"/>
        </w:trPr>
        <w:tc>
          <w:tcPr>
            <w:tcW w:w="4338" w:type="dxa"/>
            <w:tcBorders>
              <w:top w:val="nil"/>
              <w:left w:val="nil"/>
              <w:bottom w:val="nil"/>
              <w:right w:val="nil"/>
            </w:tcBorders>
            <w:noWrap/>
            <w:vAlign w:val="bottom"/>
            <w:hideMark/>
          </w:tcPr>
          <w:p w14:paraId="10125423" w14:textId="77777777" w:rsidR="00CD43C2" w:rsidRPr="00755F7F" w:rsidRDefault="00CD43C2" w:rsidP="00E85896">
            <w:pPr>
              <w:rPr>
                <w:b/>
                <w:bCs/>
                <w:color w:val="000000"/>
                <w:sz w:val="16"/>
                <w:szCs w:val="16"/>
              </w:rPr>
            </w:pPr>
            <w:r w:rsidRPr="00755F7F">
              <w:rPr>
                <w:b/>
                <w:bCs/>
                <w:color w:val="000000"/>
                <w:sz w:val="16"/>
                <w:szCs w:val="16"/>
              </w:rPr>
              <w:t>Other Economic Flows - Other Comprehensive Income</w:t>
            </w:r>
          </w:p>
        </w:tc>
        <w:tc>
          <w:tcPr>
            <w:tcW w:w="918" w:type="dxa"/>
            <w:tcBorders>
              <w:top w:val="nil"/>
              <w:left w:val="nil"/>
              <w:bottom w:val="nil"/>
              <w:right w:val="nil"/>
            </w:tcBorders>
            <w:vAlign w:val="bottom"/>
            <w:hideMark/>
          </w:tcPr>
          <w:p w14:paraId="2A3278AA" w14:textId="77777777" w:rsidR="00CD43C2" w:rsidRPr="002B70C4" w:rsidRDefault="00CD43C2" w:rsidP="00E85896">
            <w:pPr>
              <w:rPr>
                <w:b/>
                <w:bCs/>
                <w:color w:val="A6A6A6" w:themeColor="background1" w:themeShade="A6"/>
                <w:sz w:val="16"/>
                <w:szCs w:val="16"/>
              </w:rPr>
            </w:pPr>
          </w:p>
        </w:tc>
        <w:tc>
          <w:tcPr>
            <w:tcW w:w="918" w:type="dxa"/>
            <w:tcBorders>
              <w:top w:val="nil"/>
              <w:left w:val="nil"/>
              <w:bottom w:val="nil"/>
              <w:right w:val="nil"/>
            </w:tcBorders>
            <w:vAlign w:val="bottom"/>
            <w:hideMark/>
          </w:tcPr>
          <w:p w14:paraId="6D4BE334" w14:textId="77777777" w:rsidR="00CD43C2" w:rsidRPr="00755F7F" w:rsidRDefault="00CD43C2" w:rsidP="00E85896">
            <w:pPr>
              <w:jc w:val="right"/>
            </w:pPr>
          </w:p>
        </w:tc>
        <w:tc>
          <w:tcPr>
            <w:tcW w:w="918" w:type="dxa"/>
            <w:tcBorders>
              <w:top w:val="nil"/>
              <w:left w:val="nil"/>
              <w:bottom w:val="nil"/>
              <w:right w:val="nil"/>
            </w:tcBorders>
            <w:vAlign w:val="bottom"/>
            <w:hideMark/>
          </w:tcPr>
          <w:p w14:paraId="13582CBE" w14:textId="77777777" w:rsidR="00CD43C2" w:rsidRPr="00755F7F" w:rsidRDefault="00CD43C2" w:rsidP="00E85896">
            <w:pPr>
              <w:jc w:val="right"/>
            </w:pPr>
          </w:p>
        </w:tc>
        <w:tc>
          <w:tcPr>
            <w:tcW w:w="880" w:type="dxa"/>
            <w:tcBorders>
              <w:top w:val="nil"/>
              <w:left w:val="nil"/>
              <w:bottom w:val="nil"/>
              <w:right w:val="nil"/>
            </w:tcBorders>
            <w:vAlign w:val="bottom"/>
            <w:hideMark/>
          </w:tcPr>
          <w:p w14:paraId="38B92966" w14:textId="77777777" w:rsidR="00CD43C2" w:rsidRPr="002B70C4" w:rsidRDefault="00CD43C2" w:rsidP="00E85896">
            <w:pPr>
              <w:jc w:val="right"/>
              <w:rPr>
                <w:color w:val="A6A6A6" w:themeColor="background1" w:themeShade="A6"/>
              </w:rPr>
            </w:pPr>
          </w:p>
        </w:tc>
        <w:tc>
          <w:tcPr>
            <w:tcW w:w="880" w:type="dxa"/>
            <w:tcBorders>
              <w:top w:val="nil"/>
              <w:left w:val="nil"/>
              <w:bottom w:val="nil"/>
              <w:right w:val="nil"/>
            </w:tcBorders>
            <w:vAlign w:val="bottom"/>
            <w:hideMark/>
          </w:tcPr>
          <w:p w14:paraId="3276069F" w14:textId="77777777" w:rsidR="00CD43C2" w:rsidRPr="002B70C4" w:rsidRDefault="00CD43C2" w:rsidP="00E85896">
            <w:pPr>
              <w:jc w:val="right"/>
              <w:rPr>
                <w:color w:val="A6A6A6" w:themeColor="background1" w:themeShade="A6"/>
              </w:rPr>
            </w:pPr>
          </w:p>
        </w:tc>
        <w:tc>
          <w:tcPr>
            <w:tcW w:w="989" w:type="dxa"/>
            <w:tcBorders>
              <w:top w:val="nil"/>
              <w:left w:val="nil"/>
              <w:bottom w:val="nil"/>
              <w:right w:val="nil"/>
            </w:tcBorders>
            <w:vAlign w:val="bottom"/>
            <w:hideMark/>
          </w:tcPr>
          <w:p w14:paraId="74E8D00F" w14:textId="77777777" w:rsidR="00CD43C2" w:rsidRPr="002B70C4" w:rsidRDefault="00CD43C2" w:rsidP="00E85896">
            <w:pPr>
              <w:jc w:val="right"/>
              <w:rPr>
                <w:color w:val="A6A6A6" w:themeColor="background1" w:themeShade="A6"/>
              </w:rPr>
            </w:pPr>
          </w:p>
        </w:tc>
      </w:tr>
      <w:tr w:rsidR="00CD43C2" w:rsidRPr="00755F7F" w14:paraId="6119FDA8" w14:textId="77777777" w:rsidTr="00E85896">
        <w:trPr>
          <w:trHeight w:val="227"/>
        </w:trPr>
        <w:tc>
          <w:tcPr>
            <w:tcW w:w="4338" w:type="dxa"/>
            <w:tcBorders>
              <w:top w:val="nil"/>
              <w:left w:val="nil"/>
              <w:bottom w:val="nil"/>
              <w:right w:val="nil"/>
            </w:tcBorders>
            <w:vAlign w:val="bottom"/>
            <w:hideMark/>
          </w:tcPr>
          <w:p w14:paraId="0E53F7A1" w14:textId="77777777" w:rsidR="00CD43C2" w:rsidRPr="00755F7F" w:rsidRDefault="00CD43C2" w:rsidP="00E85896">
            <w:pPr>
              <w:rPr>
                <w:b/>
                <w:bCs/>
                <w:i/>
                <w:iCs/>
                <w:color w:val="000000"/>
                <w:sz w:val="16"/>
                <w:szCs w:val="16"/>
              </w:rPr>
            </w:pPr>
            <w:r w:rsidRPr="00755F7F">
              <w:rPr>
                <w:b/>
                <w:bCs/>
                <w:i/>
                <w:iCs/>
                <w:color w:val="000000"/>
                <w:sz w:val="16"/>
                <w:szCs w:val="16"/>
              </w:rPr>
              <w:t>Items that will not be Reclassified to Operating Result</w:t>
            </w:r>
          </w:p>
        </w:tc>
        <w:tc>
          <w:tcPr>
            <w:tcW w:w="918" w:type="dxa"/>
            <w:tcBorders>
              <w:top w:val="nil"/>
              <w:left w:val="nil"/>
              <w:bottom w:val="nil"/>
              <w:right w:val="nil"/>
            </w:tcBorders>
            <w:vAlign w:val="bottom"/>
            <w:hideMark/>
          </w:tcPr>
          <w:p w14:paraId="464F966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(53)</w:t>
            </w:r>
          </w:p>
        </w:tc>
        <w:tc>
          <w:tcPr>
            <w:tcW w:w="918" w:type="dxa"/>
            <w:tcBorders>
              <w:top w:val="nil"/>
              <w:left w:val="nil"/>
              <w:bottom w:val="nil"/>
              <w:right w:val="nil"/>
            </w:tcBorders>
            <w:vAlign w:val="bottom"/>
            <w:hideMark/>
          </w:tcPr>
          <w:p w14:paraId="7648FE99" w14:textId="77777777" w:rsidR="00CD43C2" w:rsidRPr="00755F7F" w:rsidRDefault="00CD43C2" w:rsidP="00E85896">
            <w:pPr>
              <w:jc w:val="right"/>
              <w:rPr>
                <w:b/>
                <w:bCs/>
                <w:color w:val="000000"/>
                <w:sz w:val="16"/>
                <w:szCs w:val="16"/>
              </w:rPr>
            </w:pPr>
            <w:r w:rsidRPr="00755F7F">
              <w:rPr>
                <w:b/>
                <w:bCs/>
                <w:color w:val="000000"/>
                <w:sz w:val="16"/>
                <w:szCs w:val="16"/>
              </w:rPr>
              <w:t>48,632</w:t>
            </w:r>
          </w:p>
        </w:tc>
        <w:tc>
          <w:tcPr>
            <w:tcW w:w="918" w:type="dxa"/>
            <w:tcBorders>
              <w:top w:val="nil"/>
              <w:left w:val="nil"/>
              <w:bottom w:val="nil"/>
              <w:right w:val="nil"/>
            </w:tcBorders>
            <w:vAlign w:val="bottom"/>
            <w:hideMark/>
          </w:tcPr>
          <w:p w14:paraId="695C1AFB" w14:textId="77777777" w:rsidR="00CD43C2" w:rsidRPr="00755F7F" w:rsidRDefault="00CD43C2" w:rsidP="00E85896">
            <w:pPr>
              <w:jc w:val="right"/>
              <w:rPr>
                <w:b/>
                <w:bCs/>
                <w:color w:val="000000"/>
                <w:sz w:val="16"/>
                <w:szCs w:val="16"/>
              </w:rPr>
            </w:pPr>
            <w:r w:rsidRPr="00755F7F">
              <w:rPr>
                <w:b/>
                <w:bCs/>
                <w:color w:val="000000"/>
                <w:sz w:val="16"/>
                <w:szCs w:val="16"/>
              </w:rPr>
              <w:t>6,392</w:t>
            </w:r>
          </w:p>
        </w:tc>
        <w:tc>
          <w:tcPr>
            <w:tcW w:w="880" w:type="dxa"/>
            <w:tcBorders>
              <w:top w:val="nil"/>
              <w:left w:val="nil"/>
              <w:bottom w:val="nil"/>
              <w:right w:val="nil"/>
            </w:tcBorders>
            <w:vAlign w:val="bottom"/>
            <w:hideMark/>
          </w:tcPr>
          <w:p w14:paraId="0D840280"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8,231</w:t>
            </w:r>
          </w:p>
        </w:tc>
        <w:tc>
          <w:tcPr>
            <w:tcW w:w="880" w:type="dxa"/>
            <w:tcBorders>
              <w:top w:val="nil"/>
              <w:left w:val="nil"/>
              <w:bottom w:val="nil"/>
              <w:right w:val="nil"/>
            </w:tcBorders>
            <w:vAlign w:val="bottom"/>
            <w:hideMark/>
          </w:tcPr>
          <w:p w14:paraId="1C60B0E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4,783</w:t>
            </w:r>
          </w:p>
        </w:tc>
        <w:tc>
          <w:tcPr>
            <w:tcW w:w="989" w:type="dxa"/>
            <w:tcBorders>
              <w:top w:val="nil"/>
              <w:left w:val="nil"/>
              <w:bottom w:val="nil"/>
              <w:right w:val="nil"/>
            </w:tcBorders>
            <w:vAlign w:val="bottom"/>
            <w:hideMark/>
          </w:tcPr>
          <w:p w14:paraId="446E9369"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(124)</w:t>
            </w:r>
          </w:p>
        </w:tc>
      </w:tr>
      <w:tr w:rsidR="00CD43C2" w:rsidRPr="00755F7F" w14:paraId="3FB79317" w14:textId="77777777" w:rsidTr="00E85896">
        <w:trPr>
          <w:trHeight w:val="227"/>
        </w:trPr>
        <w:tc>
          <w:tcPr>
            <w:tcW w:w="4338" w:type="dxa"/>
            <w:tcBorders>
              <w:top w:val="nil"/>
              <w:left w:val="nil"/>
              <w:bottom w:val="nil"/>
              <w:right w:val="nil"/>
            </w:tcBorders>
            <w:vAlign w:val="bottom"/>
            <w:hideMark/>
          </w:tcPr>
          <w:p w14:paraId="3D25000E" w14:textId="77777777" w:rsidR="00CD43C2" w:rsidRPr="00755F7F" w:rsidRDefault="00CD43C2" w:rsidP="00E85896">
            <w:pPr>
              <w:rPr>
                <w:color w:val="000000"/>
                <w:sz w:val="16"/>
                <w:szCs w:val="16"/>
              </w:rPr>
            </w:pPr>
            <w:r w:rsidRPr="00755F7F">
              <w:rPr>
                <w:color w:val="000000"/>
                <w:sz w:val="16"/>
                <w:szCs w:val="16"/>
              </w:rPr>
              <w:t>Revaluations</w:t>
            </w:r>
          </w:p>
        </w:tc>
        <w:tc>
          <w:tcPr>
            <w:tcW w:w="918" w:type="dxa"/>
            <w:tcBorders>
              <w:top w:val="nil"/>
              <w:left w:val="nil"/>
              <w:bottom w:val="nil"/>
              <w:right w:val="nil"/>
            </w:tcBorders>
            <w:vAlign w:val="bottom"/>
            <w:hideMark/>
          </w:tcPr>
          <w:p w14:paraId="4F7FF3C0"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3,948</w:t>
            </w:r>
          </w:p>
        </w:tc>
        <w:tc>
          <w:tcPr>
            <w:tcW w:w="918" w:type="dxa"/>
            <w:tcBorders>
              <w:top w:val="nil"/>
              <w:left w:val="nil"/>
              <w:bottom w:val="nil"/>
              <w:right w:val="nil"/>
            </w:tcBorders>
            <w:vAlign w:val="bottom"/>
            <w:hideMark/>
          </w:tcPr>
          <w:p w14:paraId="7AB6DE58" w14:textId="77777777" w:rsidR="00CD43C2" w:rsidRPr="00755F7F" w:rsidRDefault="00CD43C2" w:rsidP="00E85896">
            <w:pPr>
              <w:jc w:val="right"/>
              <w:rPr>
                <w:color w:val="000000"/>
                <w:sz w:val="16"/>
                <w:szCs w:val="16"/>
              </w:rPr>
            </w:pPr>
            <w:r w:rsidRPr="00755F7F">
              <w:rPr>
                <w:color w:val="000000"/>
                <w:sz w:val="16"/>
                <w:szCs w:val="16"/>
              </w:rPr>
              <w:t>11,149</w:t>
            </w:r>
          </w:p>
        </w:tc>
        <w:tc>
          <w:tcPr>
            <w:tcW w:w="918" w:type="dxa"/>
            <w:tcBorders>
              <w:top w:val="nil"/>
              <w:left w:val="nil"/>
              <w:bottom w:val="nil"/>
              <w:right w:val="nil"/>
            </w:tcBorders>
            <w:vAlign w:val="bottom"/>
            <w:hideMark/>
          </w:tcPr>
          <w:p w14:paraId="547CCEC1" w14:textId="77777777" w:rsidR="00CD43C2" w:rsidRPr="00755F7F" w:rsidRDefault="00CD43C2" w:rsidP="00E85896">
            <w:pPr>
              <w:jc w:val="right"/>
              <w:rPr>
                <w:color w:val="000000"/>
                <w:sz w:val="16"/>
                <w:szCs w:val="16"/>
              </w:rPr>
            </w:pPr>
            <w:r w:rsidRPr="00755F7F">
              <w:rPr>
                <w:color w:val="000000"/>
                <w:sz w:val="16"/>
                <w:szCs w:val="16"/>
              </w:rPr>
              <w:t>4,190</w:t>
            </w:r>
          </w:p>
        </w:tc>
        <w:tc>
          <w:tcPr>
            <w:tcW w:w="880" w:type="dxa"/>
            <w:tcBorders>
              <w:top w:val="nil"/>
              <w:left w:val="nil"/>
              <w:bottom w:val="nil"/>
              <w:right w:val="nil"/>
            </w:tcBorders>
            <w:vAlign w:val="bottom"/>
            <w:hideMark/>
          </w:tcPr>
          <w:p w14:paraId="53149475"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4,414</w:t>
            </w:r>
          </w:p>
        </w:tc>
        <w:tc>
          <w:tcPr>
            <w:tcW w:w="880" w:type="dxa"/>
            <w:tcBorders>
              <w:top w:val="nil"/>
              <w:left w:val="nil"/>
              <w:bottom w:val="nil"/>
              <w:right w:val="nil"/>
            </w:tcBorders>
            <w:vAlign w:val="bottom"/>
            <w:hideMark/>
          </w:tcPr>
          <w:p w14:paraId="57903E3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1,370</w:t>
            </w:r>
          </w:p>
        </w:tc>
        <w:tc>
          <w:tcPr>
            <w:tcW w:w="989" w:type="dxa"/>
            <w:tcBorders>
              <w:top w:val="nil"/>
              <w:left w:val="nil"/>
              <w:bottom w:val="nil"/>
              <w:right w:val="nil"/>
            </w:tcBorders>
            <w:vAlign w:val="bottom"/>
            <w:hideMark/>
          </w:tcPr>
          <w:p w14:paraId="53B0C66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1,391</w:t>
            </w:r>
          </w:p>
        </w:tc>
      </w:tr>
      <w:tr w:rsidR="00CD43C2" w:rsidRPr="00755F7F" w14:paraId="582F70EE" w14:textId="77777777" w:rsidTr="00E85896">
        <w:trPr>
          <w:trHeight w:val="227"/>
        </w:trPr>
        <w:tc>
          <w:tcPr>
            <w:tcW w:w="4338" w:type="dxa"/>
            <w:tcBorders>
              <w:top w:val="nil"/>
              <w:left w:val="nil"/>
              <w:bottom w:val="nil"/>
              <w:right w:val="nil"/>
            </w:tcBorders>
            <w:vAlign w:val="bottom"/>
            <w:hideMark/>
          </w:tcPr>
          <w:p w14:paraId="0092AC01" w14:textId="77777777" w:rsidR="00CD43C2" w:rsidRPr="00755F7F" w:rsidRDefault="00CD43C2" w:rsidP="00E85896">
            <w:pPr>
              <w:rPr>
                <w:color w:val="000000"/>
                <w:sz w:val="16"/>
                <w:szCs w:val="16"/>
              </w:rPr>
            </w:pPr>
            <w:r w:rsidRPr="00755F7F">
              <w:rPr>
                <w:color w:val="000000"/>
                <w:sz w:val="16"/>
                <w:szCs w:val="16"/>
              </w:rPr>
              <w:t>Share of Associate's Other Comprehensive Income/(Loss) that will not be Reclassified Subsequently to Operating Result</w:t>
            </w:r>
          </w:p>
        </w:tc>
        <w:tc>
          <w:tcPr>
            <w:tcW w:w="918" w:type="dxa"/>
            <w:tcBorders>
              <w:top w:val="nil"/>
              <w:left w:val="nil"/>
              <w:bottom w:val="nil"/>
              <w:right w:val="nil"/>
            </w:tcBorders>
            <w:vAlign w:val="bottom"/>
            <w:hideMark/>
          </w:tcPr>
          <w:p w14:paraId="15DD634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1,611</w:t>
            </w:r>
          </w:p>
        </w:tc>
        <w:tc>
          <w:tcPr>
            <w:tcW w:w="918" w:type="dxa"/>
            <w:tcBorders>
              <w:top w:val="nil"/>
              <w:left w:val="nil"/>
              <w:bottom w:val="nil"/>
              <w:right w:val="nil"/>
            </w:tcBorders>
            <w:vAlign w:val="bottom"/>
            <w:hideMark/>
          </w:tcPr>
          <w:p w14:paraId="693573A1" w14:textId="77777777" w:rsidR="00CD43C2" w:rsidRPr="00755F7F" w:rsidRDefault="00CD43C2" w:rsidP="00E85896">
            <w:pPr>
              <w:jc w:val="right"/>
              <w:rPr>
                <w:color w:val="000000"/>
                <w:sz w:val="16"/>
                <w:szCs w:val="16"/>
              </w:rPr>
            </w:pPr>
            <w:r w:rsidRPr="00755F7F">
              <w:rPr>
                <w:color w:val="000000"/>
                <w:sz w:val="16"/>
                <w:szCs w:val="16"/>
              </w:rPr>
              <w:t>133</w:t>
            </w:r>
          </w:p>
        </w:tc>
        <w:tc>
          <w:tcPr>
            <w:tcW w:w="918" w:type="dxa"/>
            <w:tcBorders>
              <w:top w:val="nil"/>
              <w:left w:val="nil"/>
              <w:bottom w:val="nil"/>
              <w:right w:val="nil"/>
            </w:tcBorders>
            <w:vAlign w:val="bottom"/>
            <w:hideMark/>
          </w:tcPr>
          <w:p w14:paraId="42A1C39D" w14:textId="77777777" w:rsidR="00CD43C2" w:rsidRPr="00755F7F" w:rsidRDefault="00CD43C2" w:rsidP="00E85896">
            <w:pPr>
              <w:jc w:val="right"/>
              <w:rPr>
                <w:color w:val="000000"/>
                <w:sz w:val="16"/>
                <w:szCs w:val="16"/>
              </w:rPr>
            </w:pPr>
            <w:r w:rsidRPr="00755F7F">
              <w:rPr>
                <w:color w:val="000000"/>
                <w:sz w:val="16"/>
                <w:szCs w:val="16"/>
              </w:rPr>
              <w:t>...</w:t>
            </w:r>
          </w:p>
        </w:tc>
        <w:tc>
          <w:tcPr>
            <w:tcW w:w="880" w:type="dxa"/>
            <w:tcBorders>
              <w:top w:val="nil"/>
              <w:left w:val="nil"/>
              <w:bottom w:val="nil"/>
              <w:right w:val="nil"/>
            </w:tcBorders>
            <w:vAlign w:val="bottom"/>
            <w:hideMark/>
          </w:tcPr>
          <w:p w14:paraId="52DA3134"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880" w:type="dxa"/>
            <w:tcBorders>
              <w:top w:val="nil"/>
              <w:left w:val="nil"/>
              <w:bottom w:val="nil"/>
              <w:right w:val="nil"/>
            </w:tcBorders>
            <w:vAlign w:val="bottom"/>
            <w:hideMark/>
          </w:tcPr>
          <w:p w14:paraId="179E898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89" w:type="dxa"/>
            <w:tcBorders>
              <w:top w:val="nil"/>
              <w:left w:val="nil"/>
              <w:bottom w:val="nil"/>
              <w:right w:val="nil"/>
            </w:tcBorders>
            <w:vAlign w:val="bottom"/>
            <w:hideMark/>
          </w:tcPr>
          <w:p w14:paraId="380FFB7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r>
      <w:tr w:rsidR="00CD43C2" w:rsidRPr="00755F7F" w14:paraId="5100F096" w14:textId="77777777" w:rsidTr="00E85896">
        <w:trPr>
          <w:trHeight w:val="227"/>
        </w:trPr>
        <w:tc>
          <w:tcPr>
            <w:tcW w:w="4338" w:type="dxa"/>
            <w:tcBorders>
              <w:top w:val="nil"/>
              <w:left w:val="nil"/>
              <w:bottom w:val="nil"/>
              <w:right w:val="nil"/>
            </w:tcBorders>
            <w:vAlign w:val="bottom"/>
            <w:hideMark/>
          </w:tcPr>
          <w:p w14:paraId="2F0C2CBC" w14:textId="77777777" w:rsidR="00CD43C2" w:rsidRPr="00755F7F" w:rsidRDefault="00CD43C2" w:rsidP="00E85896">
            <w:pPr>
              <w:rPr>
                <w:color w:val="000000"/>
                <w:sz w:val="16"/>
                <w:szCs w:val="16"/>
              </w:rPr>
            </w:pPr>
            <w:r w:rsidRPr="00755F7F">
              <w:rPr>
                <w:color w:val="000000"/>
                <w:sz w:val="16"/>
                <w:szCs w:val="16"/>
              </w:rPr>
              <w:t xml:space="preserve">Actuarial Gain/(Loss) from Superannuation </w:t>
            </w:r>
          </w:p>
        </w:tc>
        <w:tc>
          <w:tcPr>
            <w:tcW w:w="918" w:type="dxa"/>
            <w:tcBorders>
              <w:top w:val="nil"/>
              <w:left w:val="nil"/>
              <w:bottom w:val="nil"/>
              <w:right w:val="nil"/>
            </w:tcBorders>
            <w:vAlign w:val="bottom"/>
            <w:hideMark/>
          </w:tcPr>
          <w:p w14:paraId="011CECB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11,088</w:t>
            </w:r>
          </w:p>
        </w:tc>
        <w:tc>
          <w:tcPr>
            <w:tcW w:w="918" w:type="dxa"/>
            <w:tcBorders>
              <w:top w:val="nil"/>
              <w:left w:val="nil"/>
              <w:bottom w:val="nil"/>
              <w:right w:val="nil"/>
            </w:tcBorders>
            <w:vAlign w:val="bottom"/>
            <w:hideMark/>
          </w:tcPr>
          <w:p w14:paraId="4DB1AF60" w14:textId="77777777" w:rsidR="00CD43C2" w:rsidRPr="00755F7F" w:rsidRDefault="00CD43C2" w:rsidP="00E85896">
            <w:pPr>
              <w:jc w:val="right"/>
              <w:rPr>
                <w:color w:val="000000"/>
                <w:sz w:val="16"/>
                <w:szCs w:val="16"/>
              </w:rPr>
            </w:pPr>
            <w:r w:rsidRPr="00755F7F">
              <w:rPr>
                <w:color w:val="000000"/>
                <w:sz w:val="16"/>
                <w:szCs w:val="16"/>
              </w:rPr>
              <w:t>13,863</w:t>
            </w:r>
          </w:p>
        </w:tc>
        <w:tc>
          <w:tcPr>
            <w:tcW w:w="918" w:type="dxa"/>
            <w:tcBorders>
              <w:top w:val="nil"/>
              <w:left w:val="nil"/>
              <w:bottom w:val="nil"/>
              <w:right w:val="nil"/>
            </w:tcBorders>
            <w:vAlign w:val="bottom"/>
            <w:hideMark/>
          </w:tcPr>
          <w:p w14:paraId="34A1C4A0" w14:textId="77777777" w:rsidR="00CD43C2" w:rsidRPr="00755F7F" w:rsidRDefault="00CD43C2" w:rsidP="00E85896">
            <w:pPr>
              <w:jc w:val="right"/>
              <w:rPr>
                <w:color w:val="000000"/>
                <w:sz w:val="16"/>
                <w:szCs w:val="16"/>
              </w:rPr>
            </w:pPr>
            <w:r w:rsidRPr="00755F7F">
              <w:rPr>
                <w:color w:val="000000"/>
                <w:sz w:val="16"/>
                <w:szCs w:val="16"/>
              </w:rPr>
              <w:t>165</w:t>
            </w:r>
          </w:p>
        </w:tc>
        <w:tc>
          <w:tcPr>
            <w:tcW w:w="880" w:type="dxa"/>
            <w:tcBorders>
              <w:top w:val="nil"/>
              <w:left w:val="nil"/>
              <w:bottom w:val="nil"/>
              <w:right w:val="nil"/>
            </w:tcBorders>
            <w:vAlign w:val="bottom"/>
            <w:hideMark/>
          </w:tcPr>
          <w:p w14:paraId="3D010FC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987</w:t>
            </w:r>
          </w:p>
        </w:tc>
        <w:tc>
          <w:tcPr>
            <w:tcW w:w="880" w:type="dxa"/>
            <w:tcBorders>
              <w:top w:val="nil"/>
              <w:left w:val="nil"/>
              <w:bottom w:val="nil"/>
              <w:right w:val="nil"/>
            </w:tcBorders>
            <w:vAlign w:val="bottom"/>
            <w:hideMark/>
          </w:tcPr>
          <w:p w14:paraId="6CC652F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954</w:t>
            </w:r>
          </w:p>
        </w:tc>
        <w:tc>
          <w:tcPr>
            <w:tcW w:w="989" w:type="dxa"/>
            <w:tcBorders>
              <w:top w:val="nil"/>
              <w:left w:val="nil"/>
              <w:bottom w:val="nil"/>
              <w:right w:val="nil"/>
            </w:tcBorders>
            <w:vAlign w:val="bottom"/>
            <w:hideMark/>
          </w:tcPr>
          <w:p w14:paraId="0F692D7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(1,371)</w:t>
            </w:r>
          </w:p>
        </w:tc>
      </w:tr>
      <w:tr w:rsidR="00CD43C2" w:rsidRPr="00755F7F" w14:paraId="1D231E20" w14:textId="77777777" w:rsidTr="00E85896">
        <w:trPr>
          <w:trHeight w:val="227"/>
        </w:trPr>
        <w:tc>
          <w:tcPr>
            <w:tcW w:w="4338" w:type="dxa"/>
            <w:tcBorders>
              <w:top w:val="nil"/>
              <w:left w:val="nil"/>
              <w:bottom w:val="nil"/>
              <w:right w:val="nil"/>
            </w:tcBorders>
            <w:vAlign w:val="bottom"/>
            <w:hideMark/>
          </w:tcPr>
          <w:p w14:paraId="2C1A8E99" w14:textId="77777777" w:rsidR="00CD43C2" w:rsidRPr="00755F7F" w:rsidRDefault="00CD43C2" w:rsidP="00E85896">
            <w:pPr>
              <w:rPr>
                <w:color w:val="000000"/>
                <w:sz w:val="16"/>
                <w:szCs w:val="16"/>
              </w:rPr>
            </w:pPr>
            <w:r w:rsidRPr="00755F7F">
              <w:rPr>
                <w:color w:val="000000"/>
                <w:sz w:val="16"/>
                <w:szCs w:val="16"/>
              </w:rPr>
              <w:t>Net Gain/(Loss) on Financial Assets at Fair Value through Other Comprehensive Income</w:t>
            </w:r>
          </w:p>
        </w:tc>
        <w:tc>
          <w:tcPr>
            <w:tcW w:w="918" w:type="dxa"/>
            <w:tcBorders>
              <w:top w:val="nil"/>
              <w:left w:val="nil"/>
              <w:bottom w:val="nil"/>
              <w:right w:val="nil"/>
            </w:tcBorders>
            <w:vAlign w:val="bottom"/>
            <w:hideMark/>
          </w:tcPr>
          <w:p w14:paraId="11DD50D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(17,039)</w:t>
            </w:r>
          </w:p>
        </w:tc>
        <w:tc>
          <w:tcPr>
            <w:tcW w:w="918" w:type="dxa"/>
            <w:tcBorders>
              <w:top w:val="nil"/>
              <w:left w:val="nil"/>
              <w:bottom w:val="nil"/>
              <w:right w:val="nil"/>
            </w:tcBorders>
            <w:vAlign w:val="bottom"/>
            <w:hideMark/>
          </w:tcPr>
          <w:p w14:paraId="7272DFA1" w14:textId="77777777" w:rsidR="00CD43C2" w:rsidRPr="00755F7F" w:rsidRDefault="00CD43C2" w:rsidP="00E85896">
            <w:pPr>
              <w:jc w:val="right"/>
              <w:rPr>
                <w:color w:val="000000"/>
                <w:sz w:val="16"/>
                <w:szCs w:val="16"/>
              </w:rPr>
            </w:pPr>
            <w:r w:rsidRPr="00755F7F">
              <w:rPr>
                <w:color w:val="000000"/>
                <w:sz w:val="16"/>
                <w:szCs w:val="16"/>
              </w:rPr>
              <w:t>23,838</w:t>
            </w:r>
          </w:p>
        </w:tc>
        <w:tc>
          <w:tcPr>
            <w:tcW w:w="918" w:type="dxa"/>
            <w:tcBorders>
              <w:top w:val="nil"/>
              <w:left w:val="nil"/>
              <w:bottom w:val="nil"/>
              <w:right w:val="nil"/>
            </w:tcBorders>
            <w:vAlign w:val="bottom"/>
            <w:hideMark/>
          </w:tcPr>
          <w:p w14:paraId="3BFA250A" w14:textId="77777777" w:rsidR="00CD43C2" w:rsidRPr="00755F7F" w:rsidRDefault="00CD43C2" w:rsidP="00E85896">
            <w:pPr>
              <w:jc w:val="right"/>
              <w:rPr>
                <w:color w:val="000000"/>
                <w:sz w:val="16"/>
                <w:szCs w:val="16"/>
              </w:rPr>
            </w:pPr>
            <w:r w:rsidRPr="00755F7F">
              <w:rPr>
                <w:color w:val="000000"/>
                <w:sz w:val="16"/>
                <w:szCs w:val="16"/>
              </w:rPr>
              <w:t>1,972</w:t>
            </w:r>
          </w:p>
        </w:tc>
        <w:tc>
          <w:tcPr>
            <w:tcW w:w="880" w:type="dxa"/>
            <w:tcBorders>
              <w:top w:val="nil"/>
              <w:left w:val="nil"/>
              <w:bottom w:val="nil"/>
              <w:right w:val="nil"/>
            </w:tcBorders>
            <w:vAlign w:val="bottom"/>
            <w:hideMark/>
          </w:tcPr>
          <w:p w14:paraId="066BCCB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2,756</w:t>
            </w:r>
          </w:p>
        </w:tc>
        <w:tc>
          <w:tcPr>
            <w:tcW w:w="880" w:type="dxa"/>
            <w:tcBorders>
              <w:top w:val="nil"/>
              <w:left w:val="nil"/>
              <w:bottom w:val="nil"/>
              <w:right w:val="nil"/>
            </w:tcBorders>
            <w:vAlign w:val="bottom"/>
            <w:hideMark/>
          </w:tcPr>
          <w:p w14:paraId="709991B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2,378</w:t>
            </w:r>
          </w:p>
        </w:tc>
        <w:tc>
          <w:tcPr>
            <w:tcW w:w="989" w:type="dxa"/>
            <w:tcBorders>
              <w:top w:val="nil"/>
              <w:left w:val="nil"/>
              <w:bottom w:val="nil"/>
              <w:right w:val="nil"/>
            </w:tcBorders>
            <w:vAlign w:val="bottom"/>
            <w:hideMark/>
          </w:tcPr>
          <w:p w14:paraId="4E79439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(228)</w:t>
            </w:r>
          </w:p>
        </w:tc>
      </w:tr>
      <w:tr w:rsidR="00CD43C2" w:rsidRPr="00755F7F" w14:paraId="2C30BF6F" w14:textId="77777777" w:rsidTr="00E85896">
        <w:trPr>
          <w:trHeight w:val="227"/>
        </w:trPr>
        <w:tc>
          <w:tcPr>
            <w:tcW w:w="4338" w:type="dxa"/>
            <w:tcBorders>
              <w:top w:val="nil"/>
              <w:left w:val="nil"/>
              <w:bottom w:val="nil"/>
              <w:right w:val="nil"/>
            </w:tcBorders>
            <w:vAlign w:val="bottom"/>
            <w:hideMark/>
          </w:tcPr>
          <w:p w14:paraId="6747676C" w14:textId="77777777" w:rsidR="00CD43C2" w:rsidRPr="00755F7F" w:rsidRDefault="00CD43C2" w:rsidP="00E85896">
            <w:pPr>
              <w:rPr>
                <w:color w:val="000000"/>
                <w:sz w:val="16"/>
                <w:szCs w:val="16"/>
              </w:rPr>
            </w:pPr>
            <w:r w:rsidRPr="00755F7F">
              <w:rPr>
                <w:color w:val="000000"/>
                <w:sz w:val="16"/>
                <w:szCs w:val="16"/>
              </w:rPr>
              <w:t>Deferred Tax Direct to Equity</w:t>
            </w:r>
          </w:p>
        </w:tc>
        <w:tc>
          <w:tcPr>
            <w:tcW w:w="918" w:type="dxa"/>
            <w:tcBorders>
              <w:top w:val="nil"/>
              <w:left w:val="nil"/>
              <w:bottom w:val="nil"/>
              <w:right w:val="nil"/>
            </w:tcBorders>
            <w:vAlign w:val="bottom"/>
            <w:hideMark/>
          </w:tcPr>
          <w:p w14:paraId="3957841C"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112</w:t>
            </w:r>
          </w:p>
        </w:tc>
        <w:tc>
          <w:tcPr>
            <w:tcW w:w="918" w:type="dxa"/>
            <w:tcBorders>
              <w:top w:val="nil"/>
              <w:left w:val="nil"/>
              <w:bottom w:val="nil"/>
              <w:right w:val="nil"/>
            </w:tcBorders>
            <w:vAlign w:val="bottom"/>
            <w:hideMark/>
          </w:tcPr>
          <w:p w14:paraId="6D73F2E5" w14:textId="77777777" w:rsidR="00CD43C2" w:rsidRPr="00755F7F" w:rsidRDefault="00CD43C2" w:rsidP="00E85896">
            <w:pPr>
              <w:jc w:val="right"/>
              <w:rPr>
                <w:color w:val="000000"/>
                <w:sz w:val="16"/>
                <w:szCs w:val="16"/>
              </w:rPr>
            </w:pPr>
            <w:r w:rsidRPr="00755F7F">
              <w:rPr>
                <w:color w:val="000000"/>
                <w:sz w:val="16"/>
                <w:szCs w:val="16"/>
              </w:rPr>
              <w:t>58</w:t>
            </w:r>
          </w:p>
        </w:tc>
        <w:tc>
          <w:tcPr>
            <w:tcW w:w="918" w:type="dxa"/>
            <w:tcBorders>
              <w:top w:val="nil"/>
              <w:left w:val="nil"/>
              <w:bottom w:val="nil"/>
              <w:right w:val="nil"/>
            </w:tcBorders>
            <w:vAlign w:val="bottom"/>
            <w:hideMark/>
          </w:tcPr>
          <w:p w14:paraId="143A3B66" w14:textId="77777777" w:rsidR="00CD43C2" w:rsidRPr="00755F7F" w:rsidRDefault="00CD43C2" w:rsidP="00E85896">
            <w:pPr>
              <w:jc w:val="right"/>
              <w:rPr>
                <w:color w:val="000000"/>
                <w:sz w:val="16"/>
                <w:szCs w:val="16"/>
              </w:rPr>
            </w:pPr>
            <w:r w:rsidRPr="00755F7F">
              <w:rPr>
                <w:color w:val="000000"/>
                <w:sz w:val="16"/>
                <w:szCs w:val="16"/>
              </w:rPr>
              <w:t>46</w:t>
            </w:r>
          </w:p>
        </w:tc>
        <w:tc>
          <w:tcPr>
            <w:tcW w:w="880" w:type="dxa"/>
            <w:tcBorders>
              <w:top w:val="nil"/>
              <w:left w:val="nil"/>
              <w:bottom w:val="nil"/>
              <w:right w:val="nil"/>
            </w:tcBorders>
            <w:vAlign w:val="bottom"/>
            <w:hideMark/>
          </w:tcPr>
          <w:p w14:paraId="1905637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54</w:t>
            </w:r>
          </w:p>
        </w:tc>
        <w:tc>
          <w:tcPr>
            <w:tcW w:w="880" w:type="dxa"/>
            <w:tcBorders>
              <w:top w:val="nil"/>
              <w:left w:val="nil"/>
              <w:bottom w:val="nil"/>
              <w:right w:val="nil"/>
            </w:tcBorders>
            <w:vAlign w:val="bottom"/>
            <w:hideMark/>
          </w:tcPr>
          <w:p w14:paraId="7EC4A00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62</w:t>
            </w:r>
          </w:p>
        </w:tc>
        <w:tc>
          <w:tcPr>
            <w:tcW w:w="989" w:type="dxa"/>
            <w:tcBorders>
              <w:top w:val="nil"/>
              <w:left w:val="nil"/>
              <w:bottom w:val="nil"/>
              <w:right w:val="nil"/>
            </w:tcBorders>
            <w:vAlign w:val="bottom"/>
            <w:hideMark/>
          </w:tcPr>
          <w:p w14:paraId="583CB67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65</w:t>
            </w:r>
          </w:p>
        </w:tc>
      </w:tr>
      <w:tr w:rsidR="00CD43C2" w:rsidRPr="00755F7F" w14:paraId="0CF98D8B" w14:textId="77777777" w:rsidTr="00E85896">
        <w:trPr>
          <w:trHeight w:val="227"/>
        </w:trPr>
        <w:tc>
          <w:tcPr>
            <w:tcW w:w="4338" w:type="dxa"/>
            <w:tcBorders>
              <w:top w:val="nil"/>
              <w:left w:val="nil"/>
              <w:bottom w:val="nil"/>
              <w:right w:val="nil"/>
            </w:tcBorders>
            <w:vAlign w:val="bottom"/>
            <w:hideMark/>
          </w:tcPr>
          <w:p w14:paraId="652CD4BF" w14:textId="77777777" w:rsidR="00CD43C2" w:rsidRPr="00755F7F" w:rsidRDefault="00CD43C2" w:rsidP="00E85896">
            <w:pPr>
              <w:rPr>
                <w:color w:val="000000"/>
                <w:sz w:val="16"/>
                <w:szCs w:val="16"/>
              </w:rPr>
            </w:pPr>
            <w:r w:rsidRPr="00755F7F">
              <w:rPr>
                <w:color w:val="000000"/>
                <w:sz w:val="16"/>
                <w:szCs w:val="16"/>
              </w:rPr>
              <w:t>Other</w:t>
            </w:r>
          </w:p>
        </w:tc>
        <w:tc>
          <w:tcPr>
            <w:tcW w:w="918" w:type="dxa"/>
            <w:tcBorders>
              <w:top w:val="nil"/>
              <w:left w:val="nil"/>
              <w:bottom w:val="nil"/>
              <w:right w:val="nil"/>
            </w:tcBorders>
            <w:vAlign w:val="bottom"/>
            <w:hideMark/>
          </w:tcPr>
          <w:p w14:paraId="03EA91E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227</w:t>
            </w:r>
          </w:p>
        </w:tc>
        <w:tc>
          <w:tcPr>
            <w:tcW w:w="918" w:type="dxa"/>
            <w:tcBorders>
              <w:top w:val="nil"/>
              <w:left w:val="nil"/>
              <w:bottom w:val="nil"/>
              <w:right w:val="nil"/>
            </w:tcBorders>
            <w:vAlign w:val="bottom"/>
            <w:hideMark/>
          </w:tcPr>
          <w:p w14:paraId="58EC480C" w14:textId="77777777" w:rsidR="00CD43C2" w:rsidRPr="00755F7F" w:rsidRDefault="00CD43C2" w:rsidP="00E85896">
            <w:pPr>
              <w:jc w:val="right"/>
              <w:rPr>
                <w:color w:val="000000"/>
                <w:sz w:val="16"/>
                <w:szCs w:val="16"/>
              </w:rPr>
            </w:pPr>
            <w:r w:rsidRPr="00755F7F">
              <w:rPr>
                <w:color w:val="000000"/>
                <w:sz w:val="16"/>
                <w:szCs w:val="16"/>
              </w:rPr>
              <w:t>(409)</w:t>
            </w:r>
          </w:p>
        </w:tc>
        <w:tc>
          <w:tcPr>
            <w:tcW w:w="918" w:type="dxa"/>
            <w:tcBorders>
              <w:top w:val="nil"/>
              <w:left w:val="nil"/>
              <w:bottom w:val="nil"/>
              <w:right w:val="nil"/>
            </w:tcBorders>
            <w:vAlign w:val="bottom"/>
            <w:hideMark/>
          </w:tcPr>
          <w:p w14:paraId="7B94DB3C" w14:textId="77777777" w:rsidR="00CD43C2" w:rsidRPr="00755F7F" w:rsidRDefault="00CD43C2" w:rsidP="00E85896">
            <w:pPr>
              <w:jc w:val="right"/>
              <w:rPr>
                <w:color w:val="000000"/>
                <w:sz w:val="16"/>
                <w:szCs w:val="16"/>
              </w:rPr>
            </w:pPr>
            <w:r w:rsidRPr="00755F7F">
              <w:rPr>
                <w:color w:val="000000"/>
                <w:sz w:val="16"/>
                <w:szCs w:val="16"/>
              </w:rPr>
              <w:t>19</w:t>
            </w:r>
          </w:p>
        </w:tc>
        <w:tc>
          <w:tcPr>
            <w:tcW w:w="880" w:type="dxa"/>
            <w:tcBorders>
              <w:top w:val="nil"/>
              <w:left w:val="nil"/>
              <w:bottom w:val="nil"/>
              <w:right w:val="nil"/>
            </w:tcBorders>
            <w:vAlign w:val="bottom"/>
            <w:hideMark/>
          </w:tcPr>
          <w:p w14:paraId="18AB75B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20</w:t>
            </w:r>
          </w:p>
        </w:tc>
        <w:tc>
          <w:tcPr>
            <w:tcW w:w="880" w:type="dxa"/>
            <w:tcBorders>
              <w:top w:val="nil"/>
              <w:left w:val="nil"/>
              <w:bottom w:val="nil"/>
              <w:right w:val="nil"/>
            </w:tcBorders>
            <w:vAlign w:val="bottom"/>
            <w:hideMark/>
          </w:tcPr>
          <w:p w14:paraId="04CF12E5"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20</w:t>
            </w:r>
          </w:p>
        </w:tc>
        <w:tc>
          <w:tcPr>
            <w:tcW w:w="989" w:type="dxa"/>
            <w:tcBorders>
              <w:top w:val="nil"/>
              <w:left w:val="nil"/>
              <w:bottom w:val="nil"/>
              <w:right w:val="nil"/>
            </w:tcBorders>
            <w:vAlign w:val="bottom"/>
            <w:hideMark/>
          </w:tcPr>
          <w:p w14:paraId="17149DE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19</w:t>
            </w:r>
          </w:p>
        </w:tc>
      </w:tr>
      <w:tr w:rsidR="00CD43C2" w:rsidRPr="00755F7F" w14:paraId="4BC1AAAE" w14:textId="77777777" w:rsidTr="00E85896">
        <w:trPr>
          <w:trHeight w:val="397"/>
        </w:trPr>
        <w:tc>
          <w:tcPr>
            <w:tcW w:w="4338" w:type="dxa"/>
            <w:tcBorders>
              <w:top w:val="nil"/>
              <w:left w:val="nil"/>
              <w:bottom w:val="nil"/>
              <w:right w:val="nil"/>
            </w:tcBorders>
            <w:vAlign w:val="bottom"/>
            <w:hideMark/>
          </w:tcPr>
          <w:p w14:paraId="5CB7C7F0" w14:textId="77777777" w:rsidR="00CD43C2" w:rsidRPr="00755F7F" w:rsidRDefault="00CD43C2" w:rsidP="00E85896">
            <w:pPr>
              <w:rPr>
                <w:b/>
                <w:bCs/>
                <w:i/>
                <w:iCs/>
                <w:color w:val="000000"/>
                <w:sz w:val="16"/>
                <w:szCs w:val="16"/>
              </w:rPr>
            </w:pPr>
            <w:r w:rsidRPr="00755F7F">
              <w:rPr>
                <w:b/>
                <w:bCs/>
                <w:i/>
                <w:iCs/>
                <w:color w:val="000000"/>
                <w:sz w:val="16"/>
                <w:szCs w:val="16"/>
              </w:rPr>
              <w:t>Items that may be Reclassified Subsequently to Operating Result</w:t>
            </w:r>
          </w:p>
        </w:tc>
        <w:tc>
          <w:tcPr>
            <w:tcW w:w="918" w:type="dxa"/>
            <w:tcBorders>
              <w:top w:val="nil"/>
              <w:left w:val="nil"/>
              <w:bottom w:val="nil"/>
              <w:right w:val="nil"/>
            </w:tcBorders>
            <w:vAlign w:val="bottom"/>
            <w:hideMark/>
          </w:tcPr>
          <w:p w14:paraId="117E361B"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399</w:t>
            </w:r>
          </w:p>
        </w:tc>
        <w:tc>
          <w:tcPr>
            <w:tcW w:w="918" w:type="dxa"/>
            <w:tcBorders>
              <w:top w:val="nil"/>
              <w:left w:val="nil"/>
              <w:bottom w:val="nil"/>
              <w:right w:val="nil"/>
            </w:tcBorders>
            <w:vAlign w:val="bottom"/>
            <w:hideMark/>
          </w:tcPr>
          <w:p w14:paraId="31EE5D36" w14:textId="77777777" w:rsidR="00CD43C2" w:rsidRPr="00755F7F" w:rsidRDefault="00CD43C2" w:rsidP="00E85896">
            <w:pPr>
              <w:jc w:val="right"/>
              <w:rPr>
                <w:b/>
                <w:bCs/>
                <w:color w:val="000000"/>
                <w:sz w:val="16"/>
                <w:szCs w:val="16"/>
              </w:rPr>
            </w:pPr>
            <w:r w:rsidRPr="00755F7F">
              <w:rPr>
                <w:b/>
                <w:bCs/>
                <w:color w:val="000000"/>
                <w:sz w:val="16"/>
                <w:szCs w:val="16"/>
              </w:rPr>
              <w:t>...</w:t>
            </w:r>
          </w:p>
        </w:tc>
        <w:tc>
          <w:tcPr>
            <w:tcW w:w="918" w:type="dxa"/>
            <w:tcBorders>
              <w:top w:val="nil"/>
              <w:left w:val="nil"/>
              <w:bottom w:val="nil"/>
              <w:right w:val="nil"/>
            </w:tcBorders>
            <w:vAlign w:val="bottom"/>
            <w:hideMark/>
          </w:tcPr>
          <w:p w14:paraId="207AAB53" w14:textId="77777777" w:rsidR="00CD43C2" w:rsidRPr="00755F7F" w:rsidRDefault="00CD43C2" w:rsidP="00E85896">
            <w:pPr>
              <w:jc w:val="right"/>
              <w:rPr>
                <w:b/>
                <w:bCs/>
                <w:color w:val="000000"/>
                <w:sz w:val="16"/>
                <w:szCs w:val="16"/>
              </w:rPr>
            </w:pPr>
            <w:r w:rsidRPr="00755F7F">
              <w:rPr>
                <w:b/>
                <w:bCs/>
                <w:color w:val="000000"/>
                <w:sz w:val="16"/>
                <w:szCs w:val="16"/>
              </w:rPr>
              <w:t>...</w:t>
            </w:r>
          </w:p>
        </w:tc>
        <w:tc>
          <w:tcPr>
            <w:tcW w:w="880" w:type="dxa"/>
            <w:tcBorders>
              <w:top w:val="nil"/>
              <w:left w:val="nil"/>
              <w:bottom w:val="nil"/>
              <w:right w:val="nil"/>
            </w:tcBorders>
            <w:vAlign w:val="bottom"/>
            <w:hideMark/>
          </w:tcPr>
          <w:p w14:paraId="1D0B464D"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w:t>
            </w:r>
          </w:p>
        </w:tc>
        <w:tc>
          <w:tcPr>
            <w:tcW w:w="880" w:type="dxa"/>
            <w:tcBorders>
              <w:top w:val="nil"/>
              <w:left w:val="nil"/>
              <w:bottom w:val="nil"/>
              <w:right w:val="nil"/>
            </w:tcBorders>
            <w:vAlign w:val="bottom"/>
            <w:hideMark/>
          </w:tcPr>
          <w:p w14:paraId="5494C5D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w:t>
            </w:r>
          </w:p>
        </w:tc>
        <w:tc>
          <w:tcPr>
            <w:tcW w:w="989" w:type="dxa"/>
            <w:tcBorders>
              <w:top w:val="nil"/>
              <w:left w:val="nil"/>
              <w:bottom w:val="nil"/>
              <w:right w:val="nil"/>
            </w:tcBorders>
            <w:vAlign w:val="bottom"/>
            <w:hideMark/>
          </w:tcPr>
          <w:p w14:paraId="6A75FEED"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w:t>
            </w:r>
          </w:p>
        </w:tc>
      </w:tr>
      <w:tr w:rsidR="00CD43C2" w:rsidRPr="00755F7F" w14:paraId="143E282B" w14:textId="77777777" w:rsidTr="00E85896">
        <w:trPr>
          <w:trHeight w:val="227"/>
        </w:trPr>
        <w:tc>
          <w:tcPr>
            <w:tcW w:w="4338" w:type="dxa"/>
            <w:tcBorders>
              <w:top w:val="nil"/>
              <w:left w:val="nil"/>
              <w:bottom w:val="nil"/>
              <w:right w:val="nil"/>
            </w:tcBorders>
            <w:vAlign w:val="bottom"/>
            <w:hideMark/>
          </w:tcPr>
          <w:p w14:paraId="5FBDB438" w14:textId="77777777" w:rsidR="00CD43C2" w:rsidRPr="00755F7F" w:rsidRDefault="00CD43C2" w:rsidP="00E85896">
            <w:pPr>
              <w:rPr>
                <w:color w:val="000000"/>
                <w:sz w:val="16"/>
                <w:szCs w:val="16"/>
              </w:rPr>
            </w:pPr>
            <w:r w:rsidRPr="00755F7F">
              <w:rPr>
                <w:color w:val="000000"/>
                <w:sz w:val="16"/>
                <w:szCs w:val="16"/>
              </w:rPr>
              <w:t>Net Gain/(Loss) on Financial Instruments at Fair Value</w:t>
            </w:r>
          </w:p>
        </w:tc>
        <w:tc>
          <w:tcPr>
            <w:tcW w:w="918" w:type="dxa"/>
            <w:tcBorders>
              <w:top w:val="nil"/>
              <w:left w:val="nil"/>
              <w:bottom w:val="nil"/>
              <w:right w:val="nil"/>
            </w:tcBorders>
            <w:vAlign w:val="bottom"/>
            <w:hideMark/>
          </w:tcPr>
          <w:p w14:paraId="0BB7AE7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0</w:t>
            </w:r>
          </w:p>
        </w:tc>
        <w:tc>
          <w:tcPr>
            <w:tcW w:w="918" w:type="dxa"/>
            <w:tcBorders>
              <w:top w:val="nil"/>
              <w:left w:val="nil"/>
              <w:bottom w:val="nil"/>
              <w:right w:val="nil"/>
            </w:tcBorders>
            <w:vAlign w:val="bottom"/>
            <w:hideMark/>
          </w:tcPr>
          <w:p w14:paraId="20AD218A" w14:textId="77777777" w:rsidR="00CD43C2" w:rsidRPr="00755F7F" w:rsidRDefault="00CD43C2" w:rsidP="00E85896">
            <w:pPr>
              <w:jc w:val="right"/>
              <w:rPr>
                <w:color w:val="000000"/>
                <w:sz w:val="16"/>
                <w:szCs w:val="16"/>
              </w:rPr>
            </w:pPr>
            <w:r w:rsidRPr="00755F7F">
              <w:rPr>
                <w:color w:val="000000"/>
                <w:sz w:val="16"/>
                <w:szCs w:val="16"/>
              </w:rPr>
              <w:t>...</w:t>
            </w:r>
          </w:p>
        </w:tc>
        <w:tc>
          <w:tcPr>
            <w:tcW w:w="918" w:type="dxa"/>
            <w:tcBorders>
              <w:top w:val="nil"/>
              <w:left w:val="nil"/>
              <w:bottom w:val="nil"/>
              <w:right w:val="nil"/>
            </w:tcBorders>
            <w:vAlign w:val="bottom"/>
            <w:hideMark/>
          </w:tcPr>
          <w:p w14:paraId="2CEC6CD9" w14:textId="77777777" w:rsidR="00CD43C2" w:rsidRPr="00755F7F" w:rsidRDefault="00CD43C2" w:rsidP="00E85896">
            <w:pPr>
              <w:jc w:val="right"/>
              <w:rPr>
                <w:color w:val="000000"/>
                <w:sz w:val="16"/>
                <w:szCs w:val="16"/>
              </w:rPr>
            </w:pPr>
            <w:r w:rsidRPr="00755F7F">
              <w:rPr>
                <w:color w:val="000000"/>
                <w:sz w:val="16"/>
                <w:szCs w:val="16"/>
              </w:rPr>
              <w:t>...</w:t>
            </w:r>
          </w:p>
        </w:tc>
        <w:tc>
          <w:tcPr>
            <w:tcW w:w="880" w:type="dxa"/>
            <w:tcBorders>
              <w:top w:val="nil"/>
              <w:left w:val="nil"/>
              <w:bottom w:val="nil"/>
              <w:right w:val="nil"/>
            </w:tcBorders>
            <w:vAlign w:val="bottom"/>
            <w:hideMark/>
          </w:tcPr>
          <w:p w14:paraId="05187FC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880" w:type="dxa"/>
            <w:tcBorders>
              <w:top w:val="nil"/>
              <w:left w:val="nil"/>
              <w:bottom w:val="nil"/>
              <w:right w:val="nil"/>
            </w:tcBorders>
            <w:vAlign w:val="bottom"/>
            <w:hideMark/>
          </w:tcPr>
          <w:p w14:paraId="17EA989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89" w:type="dxa"/>
            <w:tcBorders>
              <w:top w:val="nil"/>
              <w:left w:val="nil"/>
              <w:bottom w:val="nil"/>
              <w:right w:val="nil"/>
            </w:tcBorders>
            <w:vAlign w:val="bottom"/>
            <w:hideMark/>
          </w:tcPr>
          <w:p w14:paraId="1DEC7B2D"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r>
      <w:tr w:rsidR="00CD43C2" w:rsidRPr="00755F7F" w14:paraId="5D8ED224" w14:textId="77777777" w:rsidTr="00E85896">
        <w:trPr>
          <w:trHeight w:val="227"/>
        </w:trPr>
        <w:tc>
          <w:tcPr>
            <w:tcW w:w="4338" w:type="dxa"/>
            <w:tcBorders>
              <w:top w:val="nil"/>
              <w:left w:val="nil"/>
              <w:bottom w:val="nil"/>
              <w:right w:val="nil"/>
            </w:tcBorders>
            <w:vAlign w:val="bottom"/>
            <w:hideMark/>
          </w:tcPr>
          <w:p w14:paraId="2F97C3A7" w14:textId="77777777" w:rsidR="00CD43C2" w:rsidRPr="00755F7F" w:rsidRDefault="00CD43C2" w:rsidP="00E85896">
            <w:pPr>
              <w:rPr>
                <w:color w:val="000000"/>
                <w:sz w:val="16"/>
                <w:szCs w:val="16"/>
              </w:rPr>
            </w:pPr>
            <w:r w:rsidRPr="00755F7F">
              <w:rPr>
                <w:color w:val="000000"/>
                <w:sz w:val="16"/>
                <w:szCs w:val="16"/>
              </w:rPr>
              <w:t>Share of Associate's Other Comprehensive Income/(Loss) that may be Reclassified Subsequently to Operating Result</w:t>
            </w:r>
          </w:p>
        </w:tc>
        <w:tc>
          <w:tcPr>
            <w:tcW w:w="918" w:type="dxa"/>
            <w:tcBorders>
              <w:top w:val="nil"/>
              <w:left w:val="nil"/>
              <w:bottom w:val="nil"/>
              <w:right w:val="nil"/>
            </w:tcBorders>
            <w:vAlign w:val="bottom"/>
            <w:hideMark/>
          </w:tcPr>
          <w:p w14:paraId="6C39A2D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399</w:t>
            </w:r>
          </w:p>
        </w:tc>
        <w:tc>
          <w:tcPr>
            <w:tcW w:w="918" w:type="dxa"/>
            <w:tcBorders>
              <w:top w:val="nil"/>
              <w:left w:val="nil"/>
              <w:bottom w:val="nil"/>
              <w:right w:val="nil"/>
            </w:tcBorders>
            <w:vAlign w:val="bottom"/>
            <w:hideMark/>
          </w:tcPr>
          <w:p w14:paraId="7A286B97" w14:textId="77777777" w:rsidR="00CD43C2" w:rsidRPr="00755F7F" w:rsidRDefault="00CD43C2" w:rsidP="00E85896">
            <w:pPr>
              <w:jc w:val="right"/>
              <w:rPr>
                <w:color w:val="000000"/>
                <w:sz w:val="16"/>
                <w:szCs w:val="16"/>
              </w:rPr>
            </w:pPr>
            <w:r w:rsidRPr="00755F7F">
              <w:rPr>
                <w:color w:val="000000"/>
                <w:sz w:val="16"/>
                <w:szCs w:val="16"/>
              </w:rPr>
              <w:t>...</w:t>
            </w:r>
          </w:p>
        </w:tc>
        <w:tc>
          <w:tcPr>
            <w:tcW w:w="918" w:type="dxa"/>
            <w:tcBorders>
              <w:top w:val="nil"/>
              <w:left w:val="nil"/>
              <w:bottom w:val="nil"/>
              <w:right w:val="nil"/>
            </w:tcBorders>
            <w:vAlign w:val="bottom"/>
            <w:hideMark/>
          </w:tcPr>
          <w:p w14:paraId="7BB47245" w14:textId="77777777" w:rsidR="00CD43C2" w:rsidRPr="00755F7F" w:rsidRDefault="00CD43C2" w:rsidP="00E85896">
            <w:pPr>
              <w:jc w:val="right"/>
              <w:rPr>
                <w:color w:val="000000"/>
                <w:sz w:val="16"/>
                <w:szCs w:val="16"/>
              </w:rPr>
            </w:pPr>
            <w:r w:rsidRPr="00755F7F">
              <w:rPr>
                <w:color w:val="000000"/>
                <w:sz w:val="16"/>
                <w:szCs w:val="16"/>
              </w:rPr>
              <w:t>...</w:t>
            </w:r>
          </w:p>
        </w:tc>
        <w:tc>
          <w:tcPr>
            <w:tcW w:w="880" w:type="dxa"/>
            <w:tcBorders>
              <w:top w:val="nil"/>
              <w:left w:val="nil"/>
              <w:bottom w:val="nil"/>
              <w:right w:val="nil"/>
            </w:tcBorders>
            <w:vAlign w:val="bottom"/>
            <w:hideMark/>
          </w:tcPr>
          <w:p w14:paraId="5490A8F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880" w:type="dxa"/>
            <w:tcBorders>
              <w:top w:val="nil"/>
              <w:left w:val="nil"/>
              <w:bottom w:val="nil"/>
              <w:right w:val="nil"/>
            </w:tcBorders>
            <w:vAlign w:val="bottom"/>
            <w:hideMark/>
          </w:tcPr>
          <w:p w14:paraId="4CAFEFB7" w14:textId="3CAD9D8E"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c>
          <w:tcPr>
            <w:tcW w:w="989" w:type="dxa"/>
            <w:tcBorders>
              <w:top w:val="nil"/>
              <w:left w:val="nil"/>
              <w:bottom w:val="nil"/>
              <w:right w:val="nil"/>
            </w:tcBorders>
            <w:vAlign w:val="bottom"/>
            <w:hideMark/>
          </w:tcPr>
          <w:p w14:paraId="148C185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w:t>
            </w:r>
          </w:p>
        </w:tc>
      </w:tr>
      <w:tr w:rsidR="00CD43C2" w:rsidRPr="00755F7F" w14:paraId="6CB84FBC" w14:textId="77777777" w:rsidTr="00E85896">
        <w:trPr>
          <w:trHeight w:val="283"/>
        </w:trPr>
        <w:tc>
          <w:tcPr>
            <w:tcW w:w="4338" w:type="dxa"/>
            <w:tcBorders>
              <w:top w:val="nil"/>
              <w:left w:val="nil"/>
              <w:bottom w:val="nil"/>
              <w:right w:val="nil"/>
            </w:tcBorders>
            <w:vAlign w:val="bottom"/>
            <w:hideMark/>
          </w:tcPr>
          <w:p w14:paraId="4B2097AD" w14:textId="77777777" w:rsidR="00CD43C2" w:rsidRPr="00755F7F" w:rsidRDefault="00CD43C2" w:rsidP="00E85896">
            <w:pPr>
              <w:ind w:right="-163"/>
              <w:rPr>
                <w:b/>
                <w:bCs/>
                <w:color w:val="008EBA"/>
                <w:sz w:val="16"/>
                <w:szCs w:val="16"/>
              </w:rPr>
            </w:pPr>
            <w:r w:rsidRPr="00755F7F">
              <w:rPr>
                <w:b/>
                <w:bCs/>
                <w:color w:val="008EBA"/>
                <w:sz w:val="16"/>
                <w:szCs w:val="16"/>
              </w:rPr>
              <w:t>Other Economic Flows - Other Comprehensive Income</w:t>
            </w:r>
          </w:p>
        </w:tc>
        <w:tc>
          <w:tcPr>
            <w:tcW w:w="918" w:type="dxa"/>
            <w:tcBorders>
              <w:top w:val="nil"/>
              <w:left w:val="nil"/>
              <w:bottom w:val="nil"/>
              <w:right w:val="nil"/>
            </w:tcBorders>
            <w:vAlign w:val="bottom"/>
            <w:hideMark/>
          </w:tcPr>
          <w:p w14:paraId="3C67B791"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346</w:t>
            </w:r>
          </w:p>
        </w:tc>
        <w:tc>
          <w:tcPr>
            <w:tcW w:w="918" w:type="dxa"/>
            <w:tcBorders>
              <w:top w:val="nil"/>
              <w:left w:val="nil"/>
              <w:bottom w:val="nil"/>
              <w:right w:val="nil"/>
            </w:tcBorders>
            <w:vAlign w:val="bottom"/>
            <w:hideMark/>
          </w:tcPr>
          <w:p w14:paraId="71FA08D8" w14:textId="77777777" w:rsidR="00CD43C2" w:rsidRPr="00755F7F" w:rsidRDefault="00CD43C2" w:rsidP="00E85896">
            <w:pPr>
              <w:jc w:val="right"/>
              <w:rPr>
                <w:b/>
                <w:bCs/>
                <w:color w:val="008EBA"/>
                <w:sz w:val="16"/>
                <w:szCs w:val="16"/>
              </w:rPr>
            </w:pPr>
            <w:r w:rsidRPr="00755F7F">
              <w:rPr>
                <w:b/>
                <w:bCs/>
                <w:color w:val="008EBA"/>
                <w:sz w:val="16"/>
                <w:szCs w:val="16"/>
              </w:rPr>
              <w:t>48,632</w:t>
            </w:r>
          </w:p>
        </w:tc>
        <w:tc>
          <w:tcPr>
            <w:tcW w:w="918" w:type="dxa"/>
            <w:tcBorders>
              <w:top w:val="nil"/>
              <w:left w:val="nil"/>
              <w:bottom w:val="nil"/>
              <w:right w:val="nil"/>
            </w:tcBorders>
            <w:vAlign w:val="bottom"/>
            <w:hideMark/>
          </w:tcPr>
          <w:p w14:paraId="20323823" w14:textId="77777777" w:rsidR="00CD43C2" w:rsidRPr="00755F7F" w:rsidRDefault="00CD43C2" w:rsidP="00E85896">
            <w:pPr>
              <w:jc w:val="right"/>
              <w:rPr>
                <w:b/>
                <w:bCs/>
                <w:color w:val="008EBA"/>
                <w:sz w:val="16"/>
                <w:szCs w:val="16"/>
              </w:rPr>
            </w:pPr>
            <w:r w:rsidRPr="00755F7F">
              <w:rPr>
                <w:b/>
                <w:bCs/>
                <w:color w:val="008EBA"/>
                <w:sz w:val="16"/>
                <w:szCs w:val="16"/>
              </w:rPr>
              <w:t>6,392</w:t>
            </w:r>
          </w:p>
        </w:tc>
        <w:tc>
          <w:tcPr>
            <w:tcW w:w="880" w:type="dxa"/>
            <w:tcBorders>
              <w:top w:val="nil"/>
              <w:left w:val="nil"/>
              <w:bottom w:val="nil"/>
              <w:right w:val="nil"/>
            </w:tcBorders>
            <w:vAlign w:val="bottom"/>
            <w:hideMark/>
          </w:tcPr>
          <w:p w14:paraId="41A05F52" w14:textId="5742D72A"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8,231</w:t>
            </w:r>
          </w:p>
        </w:tc>
        <w:tc>
          <w:tcPr>
            <w:tcW w:w="880" w:type="dxa"/>
            <w:tcBorders>
              <w:top w:val="nil"/>
              <w:left w:val="nil"/>
              <w:bottom w:val="nil"/>
              <w:right w:val="nil"/>
            </w:tcBorders>
            <w:vAlign w:val="bottom"/>
            <w:hideMark/>
          </w:tcPr>
          <w:p w14:paraId="4075A701" w14:textId="3A454172" w:rsidR="00CD43C2" w:rsidRPr="002B70C4" w:rsidRDefault="002B70C4" w:rsidP="00E85896">
            <w:pPr>
              <w:jc w:val="right"/>
              <w:rPr>
                <w:b/>
                <w:bCs/>
                <w:color w:val="A6A6A6" w:themeColor="background1" w:themeShade="A6"/>
                <w:sz w:val="16"/>
                <w:szCs w:val="16"/>
              </w:rPr>
            </w:pPr>
            <w:r w:rsidRPr="00456E00">
              <w:rPr>
                <w:noProof/>
              </w:rPr>
              <mc:AlternateContent>
                <mc:Choice Requires="wps">
                  <w:drawing>
                    <wp:anchor distT="0" distB="0" distL="114300" distR="114300" simplePos="0" relativeHeight="251658245" behindDoc="0" locked="0" layoutInCell="1" allowOverlap="1" wp14:anchorId="53A0784A" wp14:editId="5820DE60">
                      <wp:simplePos x="0" y="0"/>
                      <wp:positionH relativeFrom="column">
                        <wp:posOffset>-503555</wp:posOffset>
                      </wp:positionH>
                      <wp:positionV relativeFrom="paragraph">
                        <wp:posOffset>156845</wp:posOffset>
                      </wp:positionV>
                      <wp:extent cx="1485265" cy="1270635"/>
                      <wp:effectExtent l="152400" t="0" r="19685" b="24765"/>
                      <wp:wrapNone/>
                      <wp:docPr id="14" name="Speech Bubble: Rectangle with Corners Rounded 13">
                        <a:extLst xmlns:a="http://schemas.openxmlformats.org/drawingml/2006/main">
                          <a:ext uri="{FF2B5EF4-FFF2-40B4-BE49-F238E27FC236}">
                            <a16:creationId xmlns:a16="http://schemas.microsoft.com/office/drawing/2014/main" id="{6D99FF0D-CC5D-4F5F-A537-02540A3981E3}"/>
                          </a:ext>
                        </a:extLst>
                      </wp:docPr>
                      <wp:cNvGraphicFramePr/>
                      <a:graphic xmlns:a="http://schemas.openxmlformats.org/drawingml/2006/main">
                        <a:graphicData uri="http://schemas.microsoft.com/office/word/2010/wordprocessingShape">
                          <wps:wsp>
                            <wps:cNvSpPr/>
                            <wps:spPr>
                              <a:xfrm>
                                <a:off x="0" y="0"/>
                                <a:ext cx="1485265" cy="1270635"/>
                              </a:xfrm>
                              <a:prstGeom prst="wedgeRoundRectCallout">
                                <a:avLst>
                                  <a:gd name="adj1" fmla="val -59338"/>
                                  <a:gd name="adj2" fmla="val -43816"/>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147E3A35" w14:textId="77777777" w:rsidR="00456E00" w:rsidRDefault="00456E00" w:rsidP="00456E00">
                                  <w:pPr>
                                    <w:rPr>
                                      <w:sz w:val="24"/>
                                      <w:szCs w:val="24"/>
                                    </w:rPr>
                                  </w:pPr>
                                  <w:r>
                                    <w:rPr>
                                      <w:b/>
                                      <w:color w:val="44546A" w:themeColor="text2"/>
                                      <w:kern w:val="24"/>
                                      <w:sz w:val="18"/>
                                      <w:szCs w:val="18"/>
                                    </w:rPr>
                                    <w:t>Comprehensive result – Total Change in Net Worth</w:t>
                                  </w:r>
                                </w:p>
                                <w:p w14:paraId="498BB1EF" w14:textId="77777777" w:rsidR="00456E00" w:rsidRDefault="00456E00" w:rsidP="00456E00">
                                  <w:r>
                                    <w:rPr>
                                      <w:color w:val="44546A" w:themeColor="text2"/>
                                      <w:kern w:val="24"/>
                                      <w:sz w:val="18"/>
                                      <w:szCs w:val="18"/>
                                    </w:rPr>
                                    <w:t>Is a similar measure to the Net Operating Balance but it also includes ‘Other economic flows’.</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53A0784A" id="Speech Bubble: Rectangle with Corners Rounded 13" o:spid="_x0000_s1076" type="#_x0000_t62" style="position:absolute;left:0;text-align:left;margin-left:-39.65pt;margin-top:12.35pt;width:116.95pt;height:10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" adj="-2017,1336" fillcolor="#f2f2f2 [3052]" strokecolor="#44546a [3215]" strokeweight="1.75pt">
                      <v:stroke dashstyle="3 1"/>
                      <v:textbox inset="1mm,1mm,1mm,1mm">
                        <w:txbxContent>
                          <w:p w14:paraId="147E3A35" w14:textId="77777777" w:rsidR="00456E00" w:rsidRDefault="00456E00" w:rsidP="00456E00">
                            <w:pPr>
                              <w:rPr>
                                <w:sz w:val="24"/>
                                <w:szCs w:val="24"/>
                              </w:rPr>
                            </w:pPr>
                            <w:r>
                              <w:rPr>
                                <w:b/>
                                <w:color w:val="44546A" w:themeColor="text2"/>
                                <w:kern w:val="24"/>
                                <w:sz w:val="18"/>
                                <w:szCs w:val="18"/>
                              </w:rPr>
                              <w:t>Comprehensive result – Total Change in Net Worth</w:t>
                            </w:r>
                          </w:p>
                          <w:p w14:paraId="498BB1EF" w14:textId="77777777" w:rsidR="00456E00" w:rsidRDefault="00456E00" w:rsidP="00456E00">
                            <w:r>
                              <w:rPr>
                                <w:color w:val="44546A" w:themeColor="text2"/>
                                <w:kern w:val="24"/>
                                <w:sz w:val="18"/>
                                <w:szCs w:val="18"/>
                              </w:rPr>
                              <w:t>Is a similar measure to the Net Operating Balance but it also includes ‘Other economic flows’.</w:t>
                            </w:r>
                          </w:p>
                        </w:txbxContent>
                      </v:textbox>
                    </v:shape>
                  </w:pict>
                </mc:Fallback>
              </mc:AlternateContent>
            </w:r>
            <w:r w:rsidR="00CD43C2" w:rsidRPr="002B70C4">
              <w:rPr>
                <w:b/>
                <w:bCs/>
                <w:color w:val="A6A6A6" w:themeColor="background1" w:themeShade="A6"/>
                <w:sz w:val="16"/>
                <w:szCs w:val="16"/>
              </w:rPr>
              <w:t>4,783</w:t>
            </w:r>
          </w:p>
        </w:tc>
        <w:tc>
          <w:tcPr>
            <w:tcW w:w="989" w:type="dxa"/>
            <w:tcBorders>
              <w:top w:val="nil"/>
              <w:left w:val="nil"/>
              <w:bottom w:val="nil"/>
              <w:right w:val="nil"/>
            </w:tcBorders>
            <w:vAlign w:val="bottom"/>
            <w:hideMark/>
          </w:tcPr>
          <w:p w14:paraId="7C949F83" w14:textId="737C2F4D"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(124)</w:t>
            </w:r>
          </w:p>
        </w:tc>
      </w:tr>
      <w:tr w:rsidR="00CD43C2" w:rsidRPr="00755F7F" w14:paraId="24E372AF" w14:textId="77777777" w:rsidTr="00E85896">
        <w:trPr>
          <w:trHeight w:val="283"/>
        </w:trPr>
        <w:tc>
          <w:tcPr>
            <w:tcW w:w="4338" w:type="dxa"/>
            <w:tcBorders>
              <w:top w:val="nil"/>
              <w:left w:val="nil"/>
              <w:bottom w:val="nil"/>
              <w:right w:val="nil"/>
            </w:tcBorders>
            <w:vAlign w:val="bottom"/>
            <w:hideMark/>
          </w:tcPr>
          <w:p w14:paraId="75D7D5E8" w14:textId="77777777" w:rsidR="00CD43C2" w:rsidRPr="00755F7F" w:rsidRDefault="00CD43C2" w:rsidP="00E85896">
            <w:pPr>
              <w:rPr>
                <w:b/>
                <w:bCs/>
                <w:color w:val="008EBA"/>
                <w:sz w:val="16"/>
                <w:szCs w:val="16"/>
              </w:rPr>
            </w:pPr>
            <w:r w:rsidRPr="00755F7F">
              <w:rPr>
                <w:b/>
                <w:bCs/>
                <w:color w:val="008EBA"/>
                <w:sz w:val="16"/>
                <w:szCs w:val="16"/>
              </w:rPr>
              <w:t>Comprehensive Result - Total Change in Net Worth</w:t>
            </w:r>
          </w:p>
        </w:tc>
        <w:tc>
          <w:tcPr>
            <w:tcW w:w="918" w:type="dxa"/>
            <w:tcBorders>
              <w:top w:val="nil"/>
              <w:left w:val="nil"/>
              <w:bottom w:val="nil"/>
              <w:right w:val="nil"/>
            </w:tcBorders>
            <w:vAlign w:val="bottom"/>
            <w:hideMark/>
          </w:tcPr>
          <w:p w14:paraId="743613CC"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(4,077)</w:t>
            </w:r>
          </w:p>
        </w:tc>
        <w:tc>
          <w:tcPr>
            <w:tcW w:w="918" w:type="dxa"/>
            <w:tcBorders>
              <w:top w:val="nil"/>
              <w:left w:val="nil"/>
              <w:bottom w:val="nil"/>
              <w:right w:val="nil"/>
            </w:tcBorders>
            <w:vAlign w:val="bottom"/>
            <w:hideMark/>
          </w:tcPr>
          <w:p w14:paraId="59A27650" w14:textId="77777777" w:rsidR="00CD43C2" w:rsidRPr="00755F7F" w:rsidRDefault="00CD43C2" w:rsidP="00E85896">
            <w:pPr>
              <w:jc w:val="right"/>
              <w:rPr>
                <w:b/>
                <w:bCs/>
                <w:color w:val="008EBA"/>
                <w:sz w:val="16"/>
                <w:szCs w:val="16"/>
              </w:rPr>
            </w:pPr>
            <w:r w:rsidRPr="00755F7F">
              <w:rPr>
                <w:b/>
                <w:bCs/>
                <w:color w:val="008EBA"/>
                <w:sz w:val="16"/>
                <w:szCs w:val="16"/>
              </w:rPr>
              <w:t>37,225</w:t>
            </w:r>
          </w:p>
        </w:tc>
        <w:tc>
          <w:tcPr>
            <w:tcW w:w="918" w:type="dxa"/>
            <w:tcBorders>
              <w:top w:val="nil"/>
              <w:left w:val="nil"/>
              <w:bottom w:val="nil"/>
              <w:right w:val="nil"/>
            </w:tcBorders>
            <w:vAlign w:val="bottom"/>
            <w:hideMark/>
          </w:tcPr>
          <w:p w14:paraId="48A1C8FB" w14:textId="77777777" w:rsidR="00CD43C2" w:rsidRPr="00755F7F" w:rsidRDefault="00CD43C2" w:rsidP="00E85896">
            <w:pPr>
              <w:jc w:val="right"/>
              <w:rPr>
                <w:b/>
                <w:bCs/>
                <w:color w:val="008EBA"/>
                <w:sz w:val="16"/>
                <w:szCs w:val="16"/>
              </w:rPr>
            </w:pPr>
            <w:r w:rsidRPr="00755F7F">
              <w:rPr>
                <w:b/>
                <w:bCs/>
                <w:color w:val="008EBA"/>
                <w:sz w:val="16"/>
                <w:szCs w:val="16"/>
              </w:rPr>
              <w:t>(4,609)</w:t>
            </w:r>
          </w:p>
        </w:tc>
        <w:tc>
          <w:tcPr>
            <w:tcW w:w="880" w:type="dxa"/>
            <w:tcBorders>
              <w:top w:val="nil"/>
              <w:left w:val="nil"/>
              <w:bottom w:val="nil"/>
              <w:right w:val="nil"/>
            </w:tcBorders>
            <w:vAlign w:val="bottom"/>
            <w:hideMark/>
          </w:tcPr>
          <w:p w14:paraId="01A830EF" w14:textId="38B5AA4C"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6,027</w:t>
            </w:r>
          </w:p>
        </w:tc>
        <w:tc>
          <w:tcPr>
            <w:tcW w:w="880" w:type="dxa"/>
            <w:tcBorders>
              <w:top w:val="nil"/>
              <w:left w:val="nil"/>
              <w:bottom w:val="nil"/>
              <w:right w:val="nil"/>
            </w:tcBorders>
            <w:vAlign w:val="bottom"/>
            <w:hideMark/>
          </w:tcPr>
          <w:p w14:paraId="2C69FBF2" w14:textId="7FA96481"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5,836</w:t>
            </w:r>
          </w:p>
        </w:tc>
        <w:tc>
          <w:tcPr>
            <w:tcW w:w="989" w:type="dxa"/>
            <w:tcBorders>
              <w:top w:val="nil"/>
              <w:left w:val="nil"/>
              <w:bottom w:val="nil"/>
              <w:right w:val="nil"/>
            </w:tcBorders>
            <w:vAlign w:val="bottom"/>
            <w:hideMark/>
          </w:tcPr>
          <w:p w14:paraId="78F33274" w14:textId="3333B916"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1,249</w:t>
            </w:r>
          </w:p>
        </w:tc>
      </w:tr>
      <w:tr w:rsidR="00CD43C2" w:rsidRPr="00755F7F" w14:paraId="2A765979" w14:textId="77777777" w:rsidTr="00E85896">
        <w:trPr>
          <w:trHeight w:val="285"/>
        </w:trPr>
        <w:tc>
          <w:tcPr>
            <w:tcW w:w="4338" w:type="dxa"/>
            <w:tcBorders>
              <w:top w:val="nil"/>
              <w:left w:val="nil"/>
              <w:bottom w:val="nil"/>
              <w:right w:val="nil"/>
            </w:tcBorders>
            <w:vAlign w:val="bottom"/>
            <w:hideMark/>
          </w:tcPr>
          <w:p w14:paraId="44B35A0C" w14:textId="77777777" w:rsidR="00CD43C2" w:rsidRPr="00755F7F" w:rsidRDefault="00CD43C2" w:rsidP="00E85896">
            <w:pPr>
              <w:rPr>
                <w:b/>
                <w:bCs/>
                <w:color w:val="000000"/>
                <w:sz w:val="16"/>
                <w:szCs w:val="16"/>
              </w:rPr>
            </w:pPr>
            <w:r w:rsidRPr="00755F7F">
              <w:rPr>
                <w:b/>
                <w:bCs/>
                <w:color w:val="000000"/>
                <w:sz w:val="16"/>
                <w:szCs w:val="16"/>
              </w:rPr>
              <w:t>Key Fiscal Aggregates</w:t>
            </w:r>
          </w:p>
        </w:tc>
        <w:tc>
          <w:tcPr>
            <w:tcW w:w="918" w:type="dxa"/>
            <w:tcBorders>
              <w:top w:val="nil"/>
              <w:left w:val="nil"/>
              <w:bottom w:val="nil"/>
              <w:right w:val="nil"/>
            </w:tcBorders>
            <w:vAlign w:val="bottom"/>
            <w:hideMark/>
          </w:tcPr>
          <w:p w14:paraId="2F925A39" w14:textId="77777777" w:rsidR="00CD43C2" w:rsidRPr="002B70C4" w:rsidRDefault="00CD43C2" w:rsidP="00E85896">
            <w:pPr>
              <w:rPr>
                <w:b/>
                <w:bCs/>
                <w:color w:val="A6A6A6" w:themeColor="background1" w:themeShade="A6"/>
                <w:sz w:val="16"/>
                <w:szCs w:val="16"/>
              </w:rPr>
            </w:pPr>
          </w:p>
        </w:tc>
        <w:tc>
          <w:tcPr>
            <w:tcW w:w="918" w:type="dxa"/>
            <w:tcBorders>
              <w:top w:val="nil"/>
              <w:left w:val="nil"/>
              <w:bottom w:val="nil"/>
              <w:right w:val="nil"/>
            </w:tcBorders>
            <w:vAlign w:val="bottom"/>
            <w:hideMark/>
          </w:tcPr>
          <w:p w14:paraId="1C9C0AB6" w14:textId="77777777" w:rsidR="00CD43C2" w:rsidRPr="00755F7F" w:rsidRDefault="00CD43C2" w:rsidP="00E85896"/>
        </w:tc>
        <w:tc>
          <w:tcPr>
            <w:tcW w:w="918" w:type="dxa"/>
            <w:tcBorders>
              <w:top w:val="nil"/>
              <w:left w:val="nil"/>
              <w:bottom w:val="nil"/>
              <w:right w:val="nil"/>
            </w:tcBorders>
            <w:vAlign w:val="bottom"/>
            <w:hideMark/>
          </w:tcPr>
          <w:p w14:paraId="29539EF7" w14:textId="77777777" w:rsidR="00CD43C2" w:rsidRPr="00755F7F" w:rsidRDefault="00CD43C2" w:rsidP="00E85896"/>
        </w:tc>
        <w:tc>
          <w:tcPr>
            <w:tcW w:w="880" w:type="dxa"/>
            <w:tcBorders>
              <w:top w:val="nil"/>
              <w:left w:val="nil"/>
              <w:bottom w:val="nil"/>
              <w:right w:val="nil"/>
            </w:tcBorders>
            <w:vAlign w:val="bottom"/>
            <w:hideMark/>
          </w:tcPr>
          <w:p w14:paraId="08064213" w14:textId="77777777" w:rsidR="00CD43C2" w:rsidRPr="002B70C4" w:rsidRDefault="00CD43C2" w:rsidP="00E85896">
            <w:pPr>
              <w:rPr>
                <w:color w:val="A6A6A6" w:themeColor="background1" w:themeShade="A6"/>
              </w:rPr>
            </w:pPr>
          </w:p>
        </w:tc>
        <w:tc>
          <w:tcPr>
            <w:tcW w:w="880" w:type="dxa"/>
            <w:tcBorders>
              <w:top w:val="nil"/>
              <w:left w:val="nil"/>
              <w:bottom w:val="nil"/>
              <w:right w:val="nil"/>
            </w:tcBorders>
            <w:vAlign w:val="bottom"/>
            <w:hideMark/>
          </w:tcPr>
          <w:p w14:paraId="73218C4B" w14:textId="5F82213B" w:rsidR="00CD43C2" w:rsidRPr="002B70C4" w:rsidRDefault="00CD43C2" w:rsidP="00E85896">
            <w:pPr>
              <w:rPr>
                <w:color w:val="A6A6A6" w:themeColor="background1" w:themeShade="A6"/>
              </w:rPr>
            </w:pPr>
          </w:p>
        </w:tc>
        <w:tc>
          <w:tcPr>
            <w:tcW w:w="989" w:type="dxa"/>
            <w:tcBorders>
              <w:top w:val="nil"/>
              <w:left w:val="nil"/>
              <w:bottom w:val="nil"/>
              <w:right w:val="nil"/>
            </w:tcBorders>
            <w:vAlign w:val="bottom"/>
            <w:hideMark/>
          </w:tcPr>
          <w:p w14:paraId="69101EB1" w14:textId="608A3913" w:rsidR="00CD43C2" w:rsidRPr="002B70C4" w:rsidRDefault="00CD43C2" w:rsidP="00E85896">
            <w:pPr>
              <w:rPr>
                <w:color w:val="A6A6A6" w:themeColor="background1" w:themeShade="A6"/>
              </w:rPr>
            </w:pPr>
          </w:p>
        </w:tc>
      </w:tr>
      <w:tr w:rsidR="00CD43C2" w:rsidRPr="00755F7F" w14:paraId="39BED8E8" w14:textId="77777777" w:rsidTr="00E85896">
        <w:trPr>
          <w:trHeight w:val="283"/>
        </w:trPr>
        <w:tc>
          <w:tcPr>
            <w:tcW w:w="4338" w:type="dxa"/>
            <w:tcBorders>
              <w:top w:val="nil"/>
              <w:left w:val="nil"/>
              <w:bottom w:val="nil"/>
              <w:right w:val="nil"/>
            </w:tcBorders>
            <w:shd w:val="clear" w:color="000000" w:fill="FFFFFF"/>
            <w:vAlign w:val="bottom"/>
            <w:hideMark/>
          </w:tcPr>
          <w:p w14:paraId="19534363" w14:textId="77777777" w:rsidR="00CD43C2" w:rsidRPr="00755F7F" w:rsidRDefault="00CD43C2" w:rsidP="00E85896">
            <w:pPr>
              <w:rPr>
                <w:b/>
                <w:bCs/>
                <w:color w:val="008EBA"/>
                <w:sz w:val="16"/>
                <w:szCs w:val="16"/>
              </w:rPr>
            </w:pPr>
            <w:r w:rsidRPr="00755F7F">
              <w:rPr>
                <w:b/>
                <w:bCs/>
                <w:color w:val="008EBA"/>
                <w:sz w:val="16"/>
                <w:szCs w:val="16"/>
              </w:rPr>
              <w:t>Comprehensive Result - Total Change in Net Worth</w:t>
            </w:r>
          </w:p>
        </w:tc>
        <w:tc>
          <w:tcPr>
            <w:tcW w:w="918" w:type="dxa"/>
            <w:tcBorders>
              <w:top w:val="nil"/>
              <w:left w:val="nil"/>
              <w:bottom w:val="nil"/>
              <w:right w:val="nil"/>
            </w:tcBorders>
            <w:vAlign w:val="bottom"/>
            <w:hideMark/>
          </w:tcPr>
          <w:p w14:paraId="2A4CEAEF"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(4,077)</w:t>
            </w:r>
          </w:p>
        </w:tc>
        <w:tc>
          <w:tcPr>
            <w:tcW w:w="918" w:type="dxa"/>
            <w:tcBorders>
              <w:top w:val="nil"/>
              <w:left w:val="nil"/>
              <w:bottom w:val="nil"/>
              <w:right w:val="nil"/>
            </w:tcBorders>
            <w:vAlign w:val="bottom"/>
            <w:hideMark/>
          </w:tcPr>
          <w:p w14:paraId="63DD8E9D" w14:textId="77777777" w:rsidR="00CD43C2" w:rsidRPr="00755F7F" w:rsidRDefault="00CD43C2" w:rsidP="00E85896">
            <w:pPr>
              <w:jc w:val="right"/>
              <w:rPr>
                <w:b/>
                <w:bCs/>
                <w:color w:val="008EBA"/>
                <w:sz w:val="16"/>
                <w:szCs w:val="16"/>
              </w:rPr>
            </w:pPr>
            <w:r w:rsidRPr="00755F7F">
              <w:rPr>
                <w:b/>
                <w:bCs/>
                <w:color w:val="008EBA"/>
                <w:sz w:val="16"/>
                <w:szCs w:val="16"/>
              </w:rPr>
              <w:t>37,225</w:t>
            </w:r>
          </w:p>
        </w:tc>
        <w:tc>
          <w:tcPr>
            <w:tcW w:w="918" w:type="dxa"/>
            <w:tcBorders>
              <w:top w:val="nil"/>
              <w:left w:val="nil"/>
              <w:bottom w:val="nil"/>
              <w:right w:val="nil"/>
            </w:tcBorders>
            <w:vAlign w:val="bottom"/>
            <w:hideMark/>
          </w:tcPr>
          <w:p w14:paraId="45B51B4A" w14:textId="77777777" w:rsidR="00CD43C2" w:rsidRPr="00755F7F" w:rsidRDefault="00CD43C2" w:rsidP="00E85896">
            <w:pPr>
              <w:jc w:val="right"/>
              <w:rPr>
                <w:b/>
                <w:bCs/>
                <w:color w:val="008EBA"/>
                <w:sz w:val="16"/>
                <w:szCs w:val="16"/>
              </w:rPr>
            </w:pPr>
            <w:r w:rsidRPr="00755F7F">
              <w:rPr>
                <w:b/>
                <w:bCs/>
                <w:color w:val="008EBA"/>
                <w:sz w:val="16"/>
                <w:szCs w:val="16"/>
              </w:rPr>
              <w:t>(4,609)</w:t>
            </w:r>
          </w:p>
        </w:tc>
        <w:tc>
          <w:tcPr>
            <w:tcW w:w="880" w:type="dxa"/>
            <w:tcBorders>
              <w:top w:val="nil"/>
              <w:left w:val="nil"/>
              <w:bottom w:val="nil"/>
              <w:right w:val="nil"/>
            </w:tcBorders>
            <w:vAlign w:val="bottom"/>
            <w:hideMark/>
          </w:tcPr>
          <w:p w14:paraId="4FE4C232"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6,027</w:t>
            </w:r>
          </w:p>
        </w:tc>
        <w:tc>
          <w:tcPr>
            <w:tcW w:w="880" w:type="dxa"/>
            <w:tcBorders>
              <w:top w:val="nil"/>
              <w:left w:val="nil"/>
              <w:bottom w:val="nil"/>
              <w:right w:val="nil"/>
            </w:tcBorders>
            <w:vAlign w:val="bottom"/>
            <w:hideMark/>
          </w:tcPr>
          <w:p w14:paraId="15FAC99D"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5,836</w:t>
            </w:r>
          </w:p>
        </w:tc>
        <w:tc>
          <w:tcPr>
            <w:tcW w:w="989" w:type="dxa"/>
            <w:tcBorders>
              <w:top w:val="nil"/>
              <w:left w:val="nil"/>
              <w:bottom w:val="nil"/>
              <w:right w:val="nil"/>
            </w:tcBorders>
            <w:vAlign w:val="bottom"/>
            <w:hideMark/>
          </w:tcPr>
          <w:p w14:paraId="51155085"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1,249</w:t>
            </w:r>
          </w:p>
        </w:tc>
      </w:tr>
      <w:tr w:rsidR="00CD43C2" w:rsidRPr="00755F7F" w14:paraId="443D1E4C" w14:textId="77777777" w:rsidTr="00E85896">
        <w:trPr>
          <w:trHeight w:val="227"/>
        </w:trPr>
        <w:tc>
          <w:tcPr>
            <w:tcW w:w="4338" w:type="dxa"/>
            <w:tcBorders>
              <w:top w:val="nil"/>
              <w:left w:val="nil"/>
              <w:bottom w:val="nil"/>
              <w:right w:val="nil"/>
            </w:tcBorders>
            <w:shd w:val="clear" w:color="000000" w:fill="FFFFFF"/>
            <w:vAlign w:val="bottom"/>
            <w:hideMark/>
          </w:tcPr>
          <w:p w14:paraId="699406E8" w14:textId="77777777" w:rsidR="00CD43C2" w:rsidRPr="00755F7F" w:rsidRDefault="00CD43C2" w:rsidP="00E85896">
            <w:pPr>
              <w:rPr>
                <w:color w:val="000000"/>
                <w:sz w:val="16"/>
                <w:szCs w:val="16"/>
              </w:rPr>
            </w:pPr>
            <w:r w:rsidRPr="00755F7F">
              <w:rPr>
                <w:color w:val="000000"/>
                <w:sz w:val="16"/>
                <w:szCs w:val="16"/>
              </w:rPr>
              <w:t>Less: Net Other Economic Flows</w:t>
            </w:r>
          </w:p>
        </w:tc>
        <w:tc>
          <w:tcPr>
            <w:tcW w:w="918" w:type="dxa"/>
            <w:tcBorders>
              <w:top w:val="nil"/>
              <w:left w:val="nil"/>
              <w:bottom w:val="nil"/>
              <w:right w:val="nil"/>
            </w:tcBorders>
            <w:vAlign w:val="bottom"/>
            <w:hideMark/>
          </w:tcPr>
          <w:p w14:paraId="6ED9EF2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(2,995)</w:t>
            </w:r>
          </w:p>
        </w:tc>
        <w:tc>
          <w:tcPr>
            <w:tcW w:w="918" w:type="dxa"/>
            <w:tcBorders>
              <w:top w:val="nil"/>
              <w:left w:val="nil"/>
              <w:bottom w:val="nil"/>
              <w:right w:val="nil"/>
            </w:tcBorders>
            <w:vAlign w:val="bottom"/>
            <w:hideMark/>
          </w:tcPr>
          <w:p w14:paraId="39B9D669" w14:textId="77777777" w:rsidR="00CD43C2" w:rsidRPr="00755F7F" w:rsidRDefault="00CD43C2" w:rsidP="00E85896">
            <w:pPr>
              <w:jc w:val="right"/>
              <w:rPr>
                <w:color w:val="000000"/>
                <w:sz w:val="16"/>
                <w:szCs w:val="16"/>
              </w:rPr>
            </w:pPr>
            <w:r w:rsidRPr="00755F7F">
              <w:rPr>
                <w:color w:val="000000"/>
                <w:sz w:val="16"/>
                <w:szCs w:val="16"/>
              </w:rPr>
              <w:t>(53,788)</w:t>
            </w:r>
          </w:p>
        </w:tc>
        <w:tc>
          <w:tcPr>
            <w:tcW w:w="918" w:type="dxa"/>
            <w:tcBorders>
              <w:top w:val="nil"/>
              <w:left w:val="nil"/>
              <w:bottom w:val="nil"/>
              <w:right w:val="nil"/>
            </w:tcBorders>
            <w:vAlign w:val="bottom"/>
            <w:hideMark/>
          </w:tcPr>
          <w:p w14:paraId="29634932" w14:textId="77777777" w:rsidR="00CD43C2" w:rsidRPr="00755F7F" w:rsidRDefault="00CD43C2" w:rsidP="00E85896">
            <w:pPr>
              <w:jc w:val="right"/>
              <w:rPr>
                <w:color w:val="000000"/>
                <w:sz w:val="16"/>
                <w:szCs w:val="16"/>
              </w:rPr>
            </w:pPr>
            <w:r w:rsidRPr="00755F7F">
              <w:rPr>
                <w:color w:val="000000"/>
                <w:sz w:val="16"/>
                <w:szCs w:val="16"/>
              </w:rPr>
              <w:t>(6,652)</w:t>
            </w:r>
          </w:p>
        </w:tc>
        <w:tc>
          <w:tcPr>
            <w:tcW w:w="880" w:type="dxa"/>
            <w:tcBorders>
              <w:top w:val="nil"/>
              <w:left w:val="nil"/>
              <w:bottom w:val="nil"/>
              <w:right w:val="nil"/>
            </w:tcBorders>
            <w:vAlign w:val="bottom"/>
            <w:hideMark/>
          </w:tcPr>
          <w:p w14:paraId="60FBCED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(8,823)</w:t>
            </w:r>
          </w:p>
        </w:tc>
        <w:tc>
          <w:tcPr>
            <w:tcW w:w="880" w:type="dxa"/>
            <w:tcBorders>
              <w:top w:val="nil"/>
              <w:left w:val="nil"/>
              <w:bottom w:val="nil"/>
              <w:right w:val="nil"/>
            </w:tcBorders>
            <w:vAlign w:val="bottom"/>
            <w:hideMark/>
          </w:tcPr>
          <w:p w14:paraId="373AF97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(5,235)</w:t>
            </w:r>
          </w:p>
        </w:tc>
        <w:tc>
          <w:tcPr>
            <w:tcW w:w="989" w:type="dxa"/>
            <w:tcBorders>
              <w:top w:val="nil"/>
              <w:left w:val="nil"/>
              <w:bottom w:val="nil"/>
              <w:right w:val="nil"/>
            </w:tcBorders>
            <w:vAlign w:val="bottom"/>
            <w:hideMark/>
          </w:tcPr>
          <w:p w14:paraId="6C81A25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182</w:t>
            </w:r>
          </w:p>
        </w:tc>
      </w:tr>
      <w:tr w:rsidR="00CD43C2" w:rsidRPr="00755F7F" w14:paraId="5B0B51AC" w14:textId="77777777" w:rsidTr="00E85896">
        <w:trPr>
          <w:trHeight w:val="285"/>
        </w:trPr>
        <w:tc>
          <w:tcPr>
            <w:tcW w:w="4338" w:type="dxa"/>
            <w:tcBorders>
              <w:top w:val="nil"/>
              <w:left w:val="nil"/>
              <w:bottom w:val="nil"/>
              <w:right w:val="nil"/>
            </w:tcBorders>
            <w:vAlign w:val="bottom"/>
            <w:hideMark/>
          </w:tcPr>
          <w:p w14:paraId="77C022D9" w14:textId="77777777" w:rsidR="00CD43C2" w:rsidRPr="00755F7F" w:rsidRDefault="00CD43C2" w:rsidP="00E85896">
            <w:pPr>
              <w:rPr>
                <w:b/>
                <w:bCs/>
                <w:color w:val="008EBA"/>
                <w:sz w:val="16"/>
                <w:szCs w:val="16"/>
              </w:rPr>
            </w:pPr>
            <w:r w:rsidRPr="00755F7F">
              <w:rPr>
                <w:b/>
                <w:bCs/>
                <w:color w:val="008EBA"/>
                <w:sz w:val="16"/>
                <w:szCs w:val="16"/>
              </w:rPr>
              <w:t>Equals: Budget Result - Net Operating Balance</w:t>
            </w:r>
          </w:p>
        </w:tc>
        <w:tc>
          <w:tcPr>
            <w:tcW w:w="918" w:type="dxa"/>
            <w:tcBorders>
              <w:top w:val="nil"/>
              <w:left w:val="nil"/>
              <w:bottom w:val="nil"/>
              <w:right w:val="nil"/>
            </w:tcBorders>
            <w:vAlign w:val="bottom"/>
            <w:hideMark/>
          </w:tcPr>
          <w:p w14:paraId="2105C57C"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(7,072)</w:t>
            </w:r>
          </w:p>
        </w:tc>
        <w:tc>
          <w:tcPr>
            <w:tcW w:w="918" w:type="dxa"/>
            <w:tcBorders>
              <w:top w:val="nil"/>
              <w:left w:val="nil"/>
              <w:bottom w:val="nil"/>
              <w:right w:val="nil"/>
            </w:tcBorders>
            <w:vAlign w:val="bottom"/>
            <w:hideMark/>
          </w:tcPr>
          <w:p w14:paraId="7575FA30" w14:textId="77777777" w:rsidR="00CD43C2" w:rsidRPr="00755F7F" w:rsidRDefault="00CD43C2" w:rsidP="00E85896">
            <w:pPr>
              <w:jc w:val="right"/>
              <w:rPr>
                <w:b/>
                <w:bCs/>
                <w:color w:val="008EBA"/>
                <w:sz w:val="16"/>
                <w:szCs w:val="16"/>
              </w:rPr>
            </w:pPr>
            <w:r w:rsidRPr="00755F7F">
              <w:rPr>
                <w:b/>
                <w:bCs/>
                <w:color w:val="008EBA"/>
                <w:sz w:val="16"/>
                <w:szCs w:val="16"/>
              </w:rPr>
              <w:t>(16,562)</w:t>
            </w:r>
          </w:p>
        </w:tc>
        <w:tc>
          <w:tcPr>
            <w:tcW w:w="918" w:type="dxa"/>
            <w:tcBorders>
              <w:top w:val="nil"/>
              <w:left w:val="nil"/>
              <w:bottom w:val="nil"/>
              <w:right w:val="nil"/>
            </w:tcBorders>
            <w:vAlign w:val="bottom"/>
            <w:hideMark/>
          </w:tcPr>
          <w:p w14:paraId="4A0C02F7" w14:textId="77777777" w:rsidR="00CD43C2" w:rsidRPr="00755F7F" w:rsidRDefault="00CD43C2" w:rsidP="00E85896">
            <w:pPr>
              <w:jc w:val="right"/>
              <w:rPr>
                <w:b/>
                <w:bCs/>
                <w:color w:val="008EBA"/>
                <w:sz w:val="16"/>
                <w:szCs w:val="16"/>
              </w:rPr>
            </w:pPr>
            <w:r w:rsidRPr="00755F7F">
              <w:rPr>
                <w:b/>
                <w:bCs/>
                <w:color w:val="008EBA"/>
                <w:sz w:val="16"/>
                <w:szCs w:val="16"/>
              </w:rPr>
              <w:t>(11,260)</w:t>
            </w:r>
          </w:p>
        </w:tc>
        <w:tc>
          <w:tcPr>
            <w:tcW w:w="880" w:type="dxa"/>
            <w:tcBorders>
              <w:top w:val="nil"/>
              <w:left w:val="nil"/>
              <w:bottom w:val="nil"/>
              <w:right w:val="nil"/>
            </w:tcBorders>
            <w:vAlign w:val="bottom"/>
            <w:hideMark/>
          </w:tcPr>
          <w:p w14:paraId="49DA9D90"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(2,796)</w:t>
            </w:r>
          </w:p>
        </w:tc>
        <w:tc>
          <w:tcPr>
            <w:tcW w:w="880" w:type="dxa"/>
            <w:tcBorders>
              <w:top w:val="nil"/>
              <w:left w:val="nil"/>
              <w:bottom w:val="nil"/>
              <w:right w:val="nil"/>
            </w:tcBorders>
            <w:vAlign w:val="bottom"/>
            <w:hideMark/>
          </w:tcPr>
          <w:p w14:paraId="62DB835D"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601</w:t>
            </w:r>
          </w:p>
        </w:tc>
        <w:tc>
          <w:tcPr>
            <w:tcW w:w="989" w:type="dxa"/>
            <w:tcBorders>
              <w:top w:val="nil"/>
              <w:left w:val="nil"/>
              <w:bottom w:val="nil"/>
              <w:right w:val="nil"/>
            </w:tcBorders>
            <w:vAlign w:val="bottom"/>
            <w:hideMark/>
          </w:tcPr>
          <w:p w14:paraId="1A4B6FC3"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1,431</w:t>
            </w:r>
          </w:p>
        </w:tc>
      </w:tr>
      <w:tr w:rsidR="00CD43C2" w:rsidRPr="00755F7F" w14:paraId="573BB234" w14:textId="77777777" w:rsidTr="00E85896">
        <w:trPr>
          <w:trHeight w:val="227"/>
        </w:trPr>
        <w:tc>
          <w:tcPr>
            <w:tcW w:w="4338" w:type="dxa"/>
            <w:tcBorders>
              <w:top w:val="nil"/>
              <w:left w:val="nil"/>
              <w:bottom w:val="nil"/>
              <w:right w:val="nil"/>
            </w:tcBorders>
            <w:vAlign w:val="bottom"/>
            <w:hideMark/>
          </w:tcPr>
          <w:p w14:paraId="5C491869" w14:textId="77777777" w:rsidR="00CD43C2" w:rsidRPr="00755F7F" w:rsidRDefault="00CD43C2" w:rsidP="00E85896">
            <w:pPr>
              <w:rPr>
                <w:b/>
                <w:bCs/>
                <w:color w:val="000000"/>
                <w:sz w:val="16"/>
                <w:szCs w:val="16"/>
              </w:rPr>
            </w:pPr>
            <w:r w:rsidRPr="00755F7F">
              <w:rPr>
                <w:b/>
                <w:bCs/>
                <w:color w:val="000000"/>
                <w:sz w:val="16"/>
                <w:szCs w:val="16"/>
              </w:rPr>
              <w:t>Less: Net Acquisition of Non-Financials Assets</w:t>
            </w:r>
          </w:p>
        </w:tc>
        <w:tc>
          <w:tcPr>
            <w:tcW w:w="918" w:type="dxa"/>
            <w:tcBorders>
              <w:top w:val="nil"/>
              <w:left w:val="nil"/>
              <w:bottom w:val="nil"/>
              <w:right w:val="nil"/>
            </w:tcBorders>
            <w:vAlign w:val="bottom"/>
            <w:hideMark/>
          </w:tcPr>
          <w:p w14:paraId="7B3A67AE" w14:textId="77777777" w:rsidR="00CD43C2" w:rsidRPr="002B70C4" w:rsidRDefault="00CD43C2" w:rsidP="00E85896">
            <w:pPr>
              <w:rPr>
                <w:b/>
                <w:bCs/>
                <w:color w:val="A6A6A6" w:themeColor="background1" w:themeShade="A6"/>
                <w:sz w:val="16"/>
                <w:szCs w:val="16"/>
              </w:rPr>
            </w:pPr>
          </w:p>
        </w:tc>
        <w:tc>
          <w:tcPr>
            <w:tcW w:w="918" w:type="dxa"/>
            <w:tcBorders>
              <w:top w:val="nil"/>
              <w:left w:val="nil"/>
              <w:bottom w:val="nil"/>
              <w:right w:val="nil"/>
            </w:tcBorders>
            <w:vAlign w:val="bottom"/>
            <w:hideMark/>
          </w:tcPr>
          <w:p w14:paraId="0AA881DD" w14:textId="77777777" w:rsidR="00CD43C2" w:rsidRPr="00755F7F" w:rsidRDefault="00CD43C2" w:rsidP="00E85896">
            <w:pPr>
              <w:jc w:val="right"/>
            </w:pPr>
          </w:p>
        </w:tc>
        <w:tc>
          <w:tcPr>
            <w:tcW w:w="918" w:type="dxa"/>
            <w:tcBorders>
              <w:top w:val="nil"/>
              <w:left w:val="nil"/>
              <w:bottom w:val="nil"/>
              <w:right w:val="nil"/>
            </w:tcBorders>
            <w:vAlign w:val="bottom"/>
            <w:hideMark/>
          </w:tcPr>
          <w:p w14:paraId="7D8AB44D" w14:textId="77777777" w:rsidR="00CD43C2" w:rsidRPr="00755F7F" w:rsidRDefault="00CD43C2" w:rsidP="00E85896">
            <w:pPr>
              <w:jc w:val="right"/>
            </w:pPr>
          </w:p>
        </w:tc>
        <w:tc>
          <w:tcPr>
            <w:tcW w:w="880" w:type="dxa"/>
            <w:tcBorders>
              <w:top w:val="nil"/>
              <w:left w:val="nil"/>
              <w:bottom w:val="nil"/>
              <w:right w:val="nil"/>
            </w:tcBorders>
            <w:vAlign w:val="bottom"/>
            <w:hideMark/>
          </w:tcPr>
          <w:p w14:paraId="4D33F6F1" w14:textId="77777777" w:rsidR="00CD43C2" w:rsidRPr="002B70C4" w:rsidRDefault="00CD43C2" w:rsidP="00E85896">
            <w:pPr>
              <w:jc w:val="right"/>
              <w:rPr>
                <w:color w:val="A6A6A6" w:themeColor="background1" w:themeShade="A6"/>
              </w:rPr>
            </w:pPr>
          </w:p>
        </w:tc>
        <w:tc>
          <w:tcPr>
            <w:tcW w:w="880" w:type="dxa"/>
            <w:tcBorders>
              <w:top w:val="nil"/>
              <w:left w:val="nil"/>
              <w:bottom w:val="nil"/>
              <w:right w:val="nil"/>
            </w:tcBorders>
            <w:vAlign w:val="bottom"/>
            <w:hideMark/>
          </w:tcPr>
          <w:p w14:paraId="5D9556E3" w14:textId="77777777" w:rsidR="00CD43C2" w:rsidRPr="002B70C4" w:rsidRDefault="00CD43C2" w:rsidP="00E85896">
            <w:pPr>
              <w:jc w:val="right"/>
              <w:rPr>
                <w:color w:val="A6A6A6" w:themeColor="background1" w:themeShade="A6"/>
              </w:rPr>
            </w:pPr>
          </w:p>
        </w:tc>
        <w:tc>
          <w:tcPr>
            <w:tcW w:w="989" w:type="dxa"/>
            <w:tcBorders>
              <w:top w:val="nil"/>
              <w:left w:val="nil"/>
              <w:bottom w:val="nil"/>
              <w:right w:val="nil"/>
            </w:tcBorders>
            <w:vAlign w:val="bottom"/>
            <w:hideMark/>
          </w:tcPr>
          <w:p w14:paraId="45332C6A" w14:textId="77777777" w:rsidR="00CD43C2" w:rsidRPr="002B70C4" w:rsidRDefault="00CD43C2" w:rsidP="00E85896">
            <w:pPr>
              <w:jc w:val="right"/>
              <w:rPr>
                <w:color w:val="A6A6A6" w:themeColor="background1" w:themeShade="A6"/>
              </w:rPr>
            </w:pPr>
          </w:p>
        </w:tc>
      </w:tr>
      <w:tr w:rsidR="00CD43C2" w:rsidRPr="00755F7F" w14:paraId="3E543120" w14:textId="77777777" w:rsidTr="00B61B46">
        <w:trPr>
          <w:trHeight w:val="170"/>
        </w:trPr>
        <w:tc>
          <w:tcPr>
            <w:tcW w:w="4338" w:type="dxa"/>
            <w:tcBorders>
              <w:top w:val="nil"/>
              <w:left w:val="nil"/>
              <w:bottom w:val="nil"/>
              <w:right w:val="nil"/>
            </w:tcBorders>
            <w:vAlign w:val="bottom"/>
            <w:hideMark/>
          </w:tcPr>
          <w:p w14:paraId="28304A9C" w14:textId="77777777" w:rsidR="00CD43C2" w:rsidRPr="00755F7F" w:rsidRDefault="00CD43C2" w:rsidP="00E85896">
            <w:pPr>
              <w:ind w:firstLineChars="400" w:firstLine="640"/>
              <w:rPr>
                <w:color w:val="000000"/>
                <w:sz w:val="16"/>
                <w:szCs w:val="16"/>
              </w:rPr>
            </w:pPr>
            <w:r w:rsidRPr="00755F7F">
              <w:rPr>
                <w:color w:val="000000"/>
                <w:sz w:val="16"/>
                <w:szCs w:val="16"/>
              </w:rPr>
              <w:t>Purchases of Non-Financials Assets</w:t>
            </w:r>
            <w:r w:rsidRPr="00755F7F">
              <w:rPr>
                <w:color w:val="000000"/>
                <w:sz w:val="16"/>
                <w:szCs w:val="16"/>
                <w:vertAlign w:val="superscript"/>
              </w:rPr>
              <w:t>(a)</w:t>
            </w:r>
          </w:p>
        </w:tc>
        <w:tc>
          <w:tcPr>
            <w:tcW w:w="918" w:type="dxa"/>
            <w:tcBorders>
              <w:top w:val="nil"/>
              <w:left w:val="nil"/>
              <w:bottom w:val="nil"/>
              <w:right w:val="nil"/>
            </w:tcBorders>
            <w:vAlign w:val="bottom"/>
            <w:hideMark/>
          </w:tcPr>
          <w:p w14:paraId="5FAB14B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17,775</w:t>
            </w:r>
          </w:p>
        </w:tc>
        <w:tc>
          <w:tcPr>
            <w:tcW w:w="918" w:type="dxa"/>
            <w:tcBorders>
              <w:top w:val="nil"/>
              <w:left w:val="nil"/>
              <w:bottom w:val="nil"/>
              <w:right w:val="nil"/>
            </w:tcBorders>
            <w:vAlign w:val="bottom"/>
            <w:hideMark/>
          </w:tcPr>
          <w:p w14:paraId="4146ACB6" w14:textId="77777777" w:rsidR="00CD43C2" w:rsidRPr="00755F7F" w:rsidRDefault="00CD43C2" w:rsidP="00E85896">
            <w:pPr>
              <w:jc w:val="right"/>
              <w:rPr>
                <w:color w:val="000000"/>
                <w:sz w:val="16"/>
                <w:szCs w:val="16"/>
              </w:rPr>
            </w:pPr>
            <w:r w:rsidRPr="00755F7F">
              <w:rPr>
                <w:color w:val="000000"/>
                <w:sz w:val="16"/>
                <w:szCs w:val="16"/>
              </w:rPr>
              <w:t>18,275</w:t>
            </w:r>
          </w:p>
        </w:tc>
        <w:tc>
          <w:tcPr>
            <w:tcW w:w="918" w:type="dxa"/>
            <w:tcBorders>
              <w:top w:val="nil"/>
              <w:left w:val="nil"/>
              <w:bottom w:val="nil"/>
              <w:right w:val="nil"/>
            </w:tcBorders>
            <w:vAlign w:val="bottom"/>
            <w:hideMark/>
          </w:tcPr>
          <w:p w14:paraId="4F5CA21A" w14:textId="77777777" w:rsidR="00CD43C2" w:rsidRPr="00755F7F" w:rsidRDefault="00CD43C2" w:rsidP="00E85896">
            <w:pPr>
              <w:jc w:val="right"/>
              <w:rPr>
                <w:color w:val="000000"/>
                <w:sz w:val="16"/>
                <w:szCs w:val="16"/>
              </w:rPr>
            </w:pPr>
            <w:r w:rsidRPr="00755F7F">
              <w:rPr>
                <w:color w:val="000000"/>
                <w:sz w:val="16"/>
                <w:szCs w:val="16"/>
              </w:rPr>
              <w:t>21,862</w:t>
            </w:r>
          </w:p>
        </w:tc>
        <w:tc>
          <w:tcPr>
            <w:tcW w:w="880" w:type="dxa"/>
            <w:tcBorders>
              <w:top w:val="nil"/>
              <w:left w:val="nil"/>
              <w:bottom w:val="nil"/>
              <w:right w:val="nil"/>
            </w:tcBorders>
            <w:vAlign w:val="bottom"/>
            <w:hideMark/>
          </w:tcPr>
          <w:p w14:paraId="2FC38D1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21,722</w:t>
            </w:r>
          </w:p>
        </w:tc>
        <w:tc>
          <w:tcPr>
            <w:tcW w:w="880" w:type="dxa"/>
            <w:tcBorders>
              <w:top w:val="nil"/>
              <w:left w:val="nil"/>
              <w:bottom w:val="nil"/>
              <w:right w:val="nil"/>
            </w:tcBorders>
            <w:vAlign w:val="bottom"/>
            <w:hideMark/>
          </w:tcPr>
          <w:p w14:paraId="7C07CC45"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21,184</w:t>
            </w:r>
          </w:p>
        </w:tc>
        <w:tc>
          <w:tcPr>
            <w:tcW w:w="989" w:type="dxa"/>
            <w:tcBorders>
              <w:top w:val="nil"/>
              <w:left w:val="nil"/>
              <w:bottom w:val="nil"/>
              <w:right w:val="nil"/>
            </w:tcBorders>
            <w:vAlign w:val="bottom"/>
            <w:hideMark/>
          </w:tcPr>
          <w:p w14:paraId="5234600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20,615</w:t>
            </w:r>
          </w:p>
        </w:tc>
      </w:tr>
      <w:tr w:rsidR="00CD43C2" w:rsidRPr="00755F7F" w14:paraId="6BF41AC8" w14:textId="77777777" w:rsidTr="00B61B46">
        <w:trPr>
          <w:trHeight w:val="170"/>
        </w:trPr>
        <w:tc>
          <w:tcPr>
            <w:tcW w:w="4338" w:type="dxa"/>
            <w:tcBorders>
              <w:top w:val="nil"/>
              <w:left w:val="nil"/>
              <w:bottom w:val="nil"/>
              <w:right w:val="nil"/>
            </w:tcBorders>
            <w:vAlign w:val="bottom"/>
            <w:hideMark/>
          </w:tcPr>
          <w:p w14:paraId="3EED70E4" w14:textId="77777777" w:rsidR="00CD43C2" w:rsidRPr="00755F7F" w:rsidRDefault="00CD43C2" w:rsidP="00E85896">
            <w:pPr>
              <w:ind w:firstLineChars="400" w:firstLine="640"/>
              <w:rPr>
                <w:color w:val="000000"/>
                <w:sz w:val="16"/>
                <w:szCs w:val="16"/>
              </w:rPr>
            </w:pPr>
            <w:r w:rsidRPr="00755F7F">
              <w:rPr>
                <w:color w:val="000000"/>
                <w:sz w:val="16"/>
                <w:szCs w:val="16"/>
              </w:rPr>
              <w:t>Sales of Non-Financial Assets</w:t>
            </w:r>
          </w:p>
        </w:tc>
        <w:tc>
          <w:tcPr>
            <w:tcW w:w="918" w:type="dxa"/>
            <w:tcBorders>
              <w:top w:val="nil"/>
              <w:left w:val="nil"/>
              <w:bottom w:val="nil"/>
              <w:right w:val="nil"/>
            </w:tcBorders>
            <w:vAlign w:val="bottom"/>
            <w:hideMark/>
          </w:tcPr>
          <w:p w14:paraId="3610B39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(238)</w:t>
            </w:r>
          </w:p>
        </w:tc>
        <w:tc>
          <w:tcPr>
            <w:tcW w:w="918" w:type="dxa"/>
            <w:tcBorders>
              <w:top w:val="nil"/>
              <w:left w:val="nil"/>
              <w:bottom w:val="nil"/>
              <w:right w:val="nil"/>
            </w:tcBorders>
            <w:vAlign w:val="bottom"/>
            <w:hideMark/>
          </w:tcPr>
          <w:p w14:paraId="39C7979B" w14:textId="77777777" w:rsidR="00CD43C2" w:rsidRPr="00755F7F" w:rsidRDefault="00CD43C2" w:rsidP="00E85896">
            <w:pPr>
              <w:jc w:val="right"/>
              <w:rPr>
                <w:color w:val="000000"/>
                <w:sz w:val="16"/>
                <w:szCs w:val="16"/>
              </w:rPr>
            </w:pPr>
            <w:r w:rsidRPr="00755F7F">
              <w:rPr>
                <w:color w:val="000000"/>
                <w:sz w:val="16"/>
                <w:szCs w:val="16"/>
              </w:rPr>
              <w:t>(563)</w:t>
            </w:r>
          </w:p>
        </w:tc>
        <w:tc>
          <w:tcPr>
            <w:tcW w:w="918" w:type="dxa"/>
            <w:tcBorders>
              <w:top w:val="nil"/>
              <w:left w:val="nil"/>
              <w:bottom w:val="nil"/>
              <w:right w:val="nil"/>
            </w:tcBorders>
            <w:vAlign w:val="bottom"/>
            <w:hideMark/>
          </w:tcPr>
          <w:p w14:paraId="390FDBAB" w14:textId="77777777" w:rsidR="00CD43C2" w:rsidRPr="00755F7F" w:rsidRDefault="00CD43C2" w:rsidP="00E85896">
            <w:pPr>
              <w:jc w:val="right"/>
              <w:rPr>
                <w:color w:val="000000"/>
                <w:sz w:val="16"/>
                <w:szCs w:val="16"/>
              </w:rPr>
            </w:pPr>
            <w:r w:rsidRPr="00755F7F">
              <w:rPr>
                <w:color w:val="000000"/>
                <w:sz w:val="16"/>
                <w:szCs w:val="16"/>
              </w:rPr>
              <w:t>(586)</w:t>
            </w:r>
          </w:p>
        </w:tc>
        <w:tc>
          <w:tcPr>
            <w:tcW w:w="880" w:type="dxa"/>
            <w:tcBorders>
              <w:top w:val="nil"/>
              <w:left w:val="nil"/>
              <w:bottom w:val="nil"/>
              <w:right w:val="nil"/>
            </w:tcBorders>
            <w:vAlign w:val="bottom"/>
            <w:hideMark/>
          </w:tcPr>
          <w:p w14:paraId="306AF81A"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(1,903)</w:t>
            </w:r>
          </w:p>
        </w:tc>
        <w:tc>
          <w:tcPr>
            <w:tcW w:w="880" w:type="dxa"/>
            <w:tcBorders>
              <w:top w:val="nil"/>
              <w:left w:val="nil"/>
              <w:bottom w:val="nil"/>
              <w:right w:val="nil"/>
            </w:tcBorders>
            <w:vAlign w:val="bottom"/>
            <w:hideMark/>
          </w:tcPr>
          <w:p w14:paraId="12BCD424"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(1,512)</w:t>
            </w:r>
          </w:p>
        </w:tc>
        <w:tc>
          <w:tcPr>
            <w:tcW w:w="989" w:type="dxa"/>
            <w:tcBorders>
              <w:top w:val="nil"/>
              <w:left w:val="nil"/>
              <w:bottom w:val="nil"/>
              <w:right w:val="nil"/>
            </w:tcBorders>
            <w:vAlign w:val="bottom"/>
            <w:hideMark/>
          </w:tcPr>
          <w:p w14:paraId="7123229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(328)</w:t>
            </w:r>
          </w:p>
        </w:tc>
      </w:tr>
      <w:tr w:rsidR="00CD43C2" w:rsidRPr="00755F7F" w14:paraId="2681B599" w14:textId="77777777" w:rsidTr="00B61B46">
        <w:trPr>
          <w:trHeight w:val="170"/>
        </w:trPr>
        <w:tc>
          <w:tcPr>
            <w:tcW w:w="4338" w:type="dxa"/>
            <w:tcBorders>
              <w:top w:val="nil"/>
              <w:left w:val="nil"/>
              <w:bottom w:val="nil"/>
              <w:right w:val="nil"/>
            </w:tcBorders>
            <w:vAlign w:val="bottom"/>
            <w:hideMark/>
          </w:tcPr>
          <w:p w14:paraId="0EB44F97" w14:textId="77777777" w:rsidR="00CD43C2" w:rsidRPr="00755F7F" w:rsidRDefault="00CD43C2" w:rsidP="00E85896">
            <w:pPr>
              <w:ind w:firstLineChars="400" w:firstLine="640"/>
              <w:rPr>
                <w:color w:val="000000"/>
                <w:sz w:val="16"/>
                <w:szCs w:val="16"/>
              </w:rPr>
            </w:pPr>
            <w:r w:rsidRPr="00755F7F">
              <w:rPr>
                <w:color w:val="000000"/>
                <w:sz w:val="16"/>
                <w:szCs w:val="16"/>
              </w:rPr>
              <w:t>Less: Depreciation</w:t>
            </w:r>
          </w:p>
        </w:tc>
        <w:tc>
          <w:tcPr>
            <w:tcW w:w="918" w:type="dxa"/>
            <w:tcBorders>
              <w:top w:val="nil"/>
              <w:left w:val="nil"/>
              <w:bottom w:val="nil"/>
              <w:right w:val="nil"/>
            </w:tcBorders>
            <w:vAlign w:val="bottom"/>
            <w:hideMark/>
          </w:tcPr>
          <w:p w14:paraId="365DFAB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(6,930)</w:t>
            </w:r>
          </w:p>
        </w:tc>
        <w:tc>
          <w:tcPr>
            <w:tcW w:w="918" w:type="dxa"/>
            <w:tcBorders>
              <w:top w:val="nil"/>
              <w:left w:val="nil"/>
              <w:bottom w:val="nil"/>
              <w:right w:val="nil"/>
            </w:tcBorders>
            <w:vAlign w:val="bottom"/>
            <w:hideMark/>
          </w:tcPr>
          <w:p w14:paraId="4E692F47" w14:textId="77777777" w:rsidR="00CD43C2" w:rsidRPr="00755F7F" w:rsidRDefault="00CD43C2" w:rsidP="00E85896">
            <w:pPr>
              <w:jc w:val="right"/>
              <w:rPr>
                <w:color w:val="000000"/>
                <w:sz w:val="16"/>
                <w:szCs w:val="16"/>
              </w:rPr>
            </w:pPr>
            <w:r w:rsidRPr="00755F7F">
              <w:rPr>
                <w:color w:val="000000"/>
                <w:sz w:val="16"/>
                <w:szCs w:val="16"/>
              </w:rPr>
              <w:t>(7,481)</w:t>
            </w:r>
          </w:p>
        </w:tc>
        <w:tc>
          <w:tcPr>
            <w:tcW w:w="918" w:type="dxa"/>
            <w:tcBorders>
              <w:top w:val="nil"/>
              <w:left w:val="nil"/>
              <w:bottom w:val="nil"/>
              <w:right w:val="nil"/>
            </w:tcBorders>
            <w:vAlign w:val="bottom"/>
            <w:hideMark/>
          </w:tcPr>
          <w:p w14:paraId="344791FB" w14:textId="77777777" w:rsidR="00CD43C2" w:rsidRPr="00755F7F" w:rsidRDefault="00CD43C2" w:rsidP="00E85896">
            <w:pPr>
              <w:jc w:val="right"/>
              <w:rPr>
                <w:color w:val="000000"/>
                <w:sz w:val="16"/>
                <w:szCs w:val="16"/>
              </w:rPr>
            </w:pPr>
            <w:r w:rsidRPr="00755F7F">
              <w:rPr>
                <w:color w:val="000000"/>
                <w:sz w:val="16"/>
                <w:szCs w:val="16"/>
              </w:rPr>
              <w:t>(7,907)</w:t>
            </w:r>
          </w:p>
        </w:tc>
        <w:tc>
          <w:tcPr>
            <w:tcW w:w="880" w:type="dxa"/>
            <w:tcBorders>
              <w:top w:val="nil"/>
              <w:left w:val="nil"/>
              <w:bottom w:val="nil"/>
              <w:right w:val="nil"/>
            </w:tcBorders>
            <w:vAlign w:val="bottom"/>
            <w:hideMark/>
          </w:tcPr>
          <w:p w14:paraId="38B8263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(8,228)</w:t>
            </w:r>
          </w:p>
        </w:tc>
        <w:tc>
          <w:tcPr>
            <w:tcW w:w="880" w:type="dxa"/>
            <w:tcBorders>
              <w:top w:val="nil"/>
              <w:left w:val="nil"/>
              <w:bottom w:val="nil"/>
              <w:right w:val="nil"/>
            </w:tcBorders>
            <w:vAlign w:val="bottom"/>
            <w:hideMark/>
          </w:tcPr>
          <w:p w14:paraId="0B9E281B"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(8,546)</w:t>
            </w:r>
          </w:p>
        </w:tc>
        <w:tc>
          <w:tcPr>
            <w:tcW w:w="989" w:type="dxa"/>
            <w:tcBorders>
              <w:top w:val="nil"/>
              <w:left w:val="nil"/>
              <w:bottom w:val="nil"/>
              <w:right w:val="nil"/>
            </w:tcBorders>
            <w:vAlign w:val="bottom"/>
            <w:hideMark/>
          </w:tcPr>
          <w:p w14:paraId="4D75426A"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(9,047)</w:t>
            </w:r>
          </w:p>
        </w:tc>
      </w:tr>
      <w:tr w:rsidR="00CD43C2" w:rsidRPr="00755F7F" w14:paraId="4FCC704A" w14:textId="77777777" w:rsidTr="00B61B46">
        <w:trPr>
          <w:trHeight w:val="170"/>
        </w:trPr>
        <w:tc>
          <w:tcPr>
            <w:tcW w:w="4338" w:type="dxa"/>
            <w:tcBorders>
              <w:top w:val="nil"/>
              <w:left w:val="nil"/>
              <w:bottom w:val="nil"/>
              <w:right w:val="nil"/>
            </w:tcBorders>
            <w:vAlign w:val="bottom"/>
            <w:hideMark/>
          </w:tcPr>
          <w:p w14:paraId="5920874C" w14:textId="77777777" w:rsidR="00CD43C2" w:rsidRPr="00755F7F" w:rsidRDefault="00CD43C2" w:rsidP="00E85896">
            <w:pPr>
              <w:ind w:firstLineChars="400" w:firstLine="640"/>
              <w:rPr>
                <w:color w:val="000000"/>
                <w:sz w:val="16"/>
                <w:szCs w:val="16"/>
              </w:rPr>
            </w:pPr>
            <w:r w:rsidRPr="00755F7F">
              <w:rPr>
                <w:color w:val="000000"/>
                <w:sz w:val="16"/>
                <w:szCs w:val="16"/>
              </w:rPr>
              <w:t>Plus: Change in Inventories</w:t>
            </w:r>
          </w:p>
        </w:tc>
        <w:tc>
          <w:tcPr>
            <w:tcW w:w="918" w:type="dxa"/>
            <w:tcBorders>
              <w:top w:val="nil"/>
              <w:left w:val="nil"/>
              <w:bottom w:val="nil"/>
              <w:right w:val="nil"/>
            </w:tcBorders>
            <w:vAlign w:val="bottom"/>
            <w:hideMark/>
          </w:tcPr>
          <w:p w14:paraId="4FF34AD8"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626</w:t>
            </w:r>
          </w:p>
        </w:tc>
        <w:tc>
          <w:tcPr>
            <w:tcW w:w="918" w:type="dxa"/>
            <w:tcBorders>
              <w:top w:val="nil"/>
              <w:left w:val="nil"/>
              <w:bottom w:val="nil"/>
              <w:right w:val="nil"/>
            </w:tcBorders>
            <w:vAlign w:val="bottom"/>
            <w:hideMark/>
          </w:tcPr>
          <w:p w14:paraId="438B3150" w14:textId="77777777" w:rsidR="00CD43C2" w:rsidRPr="00755F7F" w:rsidRDefault="00CD43C2" w:rsidP="00E85896">
            <w:pPr>
              <w:jc w:val="right"/>
              <w:rPr>
                <w:color w:val="000000"/>
                <w:sz w:val="16"/>
                <w:szCs w:val="16"/>
              </w:rPr>
            </w:pPr>
            <w:r w:rsidRPr="00755F7F">
              <w:rPr>
                <w:color w:val="000000"/>
                <w:sz w:val="16"/>
                <w:szCs w:val="16"/>
              </w:rPr>
              <w:t>(860)</w:t>
            </w:r>
          </w:p>
        </w:tc>
        <w:tc>
          <w:tcPr>
            <w:tcW w:w="918" w:type="dxa"/>
            <w:tcBorders>
              <w:top w:val="nil"/>
              <w:left w:val="nil"/>
              <w:bottom w:val="nil"/>
              <w:right w:val="nil"/>
            </w:tcBorders>
            <w:vAlign w:val="bottom"/>
            <w:hideMark/>
          </w:tcPr>
          <w:p w14:paraId="4DEF92AB" w14:textId="77777777" w:rsidR="00CD43C2" w:rsidRPr="00755F7F" w:rsidRDefault="00CD43C2" w:rsidP="00E85896">
            <w:pPr>
              <w:jc w:val="right"/>
              <w:rPr>
                <w:color w:val="000000"/>
                <w:sz w:val="16"/>
                <w:szCs w:val="16"/>
              </w:rPr>
            </w:pPr>
            <w:r w:rsidRPr="00755F7F">
              <w:rPr>
                <w:color w:val="000000"/>
                <w:sz w:val="16"/>
                <w:szCs w:val="16"/>
              </w:rPr>
              <w:t>(800)</w:t>
            </w:r>
          </w:p>
        </w:tc>
        <w:tc>
          <w:tcPr>
            <w:tcW w:w="880" w:type="dxa"/>
            <w:tcBorders>
              <w:top w:val="nil"/>
              <w:left w:val="nil"/>
              <w:bottom w:val="nil"/>
              <w:right w:val="nil"/>
            </w:tcBorders>
            <w:vAlign w:val="bottom"/>
            <w:hideMark/>
          </w:tcPr>
          <w:p w14:paraId="7ADA8455"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w:t>
            </w:r>
          </w:p>
        </w:tc>
        <w:tc>
          <w:tcPr>
            <w:tcW w:w="880" w:type="dxa"/>
            <w:tcBorders>
              <w:top w:val="nil"/>
              <w:left w:val="nil"/>
              <w:bottom w:val="nil"/>
              <w:right w:val="nil"/>
            </w:tcBorders>
            <w:vAlign w:val="bottom"/>
            <w:hideMark/>
          </w:tcPr>
          <w:p w14:paraId="2C13A565" w14:textId="198BA7A0"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(18)</w:t>
            </w:r>
          </w:p>
        </w:tc>
        <w:tc>
          <w:tcPr>
            <w:tcW w:w="989" w:type="dxa"/>
            <w:tcBorders>
              <w:top w:val="nil"/>
              <w:left w:val="nil"/>
              <w:bottom w:val="nil"/>
              <w:right w:val="nil"/>
            </w:tcBorders>
            <w:vAlign w:val="bottom"/>
            <w:hideMark/>
          </w:tcPr>
          <w:p w14:paraId="08BCD88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(66)</w:t>
            </w:r>
          </w:p>
        </w:tc>
      </w:tr>
      <w:tr w:rsidR="00CD43C2" w:rsidRPr="00755F7F" w14:paraId="781DD4DB" w14:textId="77777777" w:rsidTr="00B61B46">
        <w:trPr>
          <w:trHeight w:val="170"/>
        </w:trPr>
        <w:tc>
          <w:tcPr>
            <w:tcW w:w="4338" w:type="dxa"/>
            <w:tcBorders>
              <w:top w:val="nil"/>
              <w:left w:val="nil"/>
              <w:bottom w:val="nil"/>
              <w:right w:val="nil"/>
            </w:tcBorders>
            <w:noWrap/>
            <w:vAlign w:val="bottom"/>
            <w:hideMark/>
          </w:tcPr>
          <w:p w14:paraId="70FCA344" w14:textId="77777777" w:rsidR="00CD43C2" w:rsidRPr="00755F7F" w:rsidRDefault="00CD43C2" w:rsidP="00E85896">
            <w:pPr>
              <w:ind w:firstLineChars="400" w:firstLine="640"/>
              <w:rPr>
                <w:color w:val="000000"/>
                <w:sz w:val="16"/>
                <w:szCs w:val="16"/>
              </w:rPr>
            </w:pPr>
            <w:r w:rsidRPr="00755F7F">
              <w:rPr>
                <w:color w:val="000000"/>
                <w:sz w:val="16"/>
                <w:szCs w:val="16"/>
              </w:rPr>
              <w:t>Plus: Other Movements in Non-Financials Assets</w:t>
            </w:r>
          </w:p>
        </w:tc>
        <w:tc>
          <w:tcPr>
            <w:tcW w:w="918" w:type="dxa"/>
            <w:tcBorders>
              <w:top w:val="nil"/>
              <w:left w:val="nil"/>
              <w:bottom w:val="nil"/>
              <w:right w:val="nil"/>
            </w:tcBorders>
            <w:vAlign w:val="bottom"/>
            <w:hideMark/>
          </w:tcPr>
          <w:p w14:paraId="2710667C" w14:textId="77777777" w:rsidR="00CD43C2" w:rsidRPr="002B70C4" w:rsidRDefault="00CD43C2" w:rsidP="00E85896">
            <w:pPr>
              <w:ind w:firstLineChars="400" w:firstLine="640"/>
              <w:rPr>
                <w:color w:val="A6A6A6" w:themeColor="background1" w:themeShade="A6"/>
                <w:sz w:val="16"/>
                <w:szCs w:val="16"/>
              </w:rPr>
            </w:pPr>
          </w:p>
        </w:tc>
        <w:tc>
          <w:tcPr>
            <w:tcW w:w="918" w:type="dxa"/>
            <w:tcBorders>
              <w:top w:val="nil"/>
              <w:left w:val="nil"/>
              <w:bottom w:val="nil"/>
              <w:right w:val="nil"/>
            </w:tcBorders>
            <w:vAlign w:val="bottom"/>
            <w:hideMark/>
          </w:tcPr>
          <w:p w14:paraId="3B386369" w14:textId="77777777" w:rsidR="00CD43C2" w:rsidRPr="00755F7F" w:rsidRDefault="00CD43C2" w:rsidP="00E85896">
            <w:pPr>
              <w:jc w:val="right"/>
            </w:pPr>
          </w:p>
        </w:tc>
        <w:tc>
          <w:tcPr>
            <w:tcW w:w="918" w:type="dxa"/>
            <w:tcBorders>
              <w:top w:val="nil"/>
              <w:left w:val="nil"/>
              <w:bottom w:val="nil"/>
              <w:right w:val="nil"/>
            </w:tcBorders>
            <w:vAlign w:val="bottom"/>
            <w:hideMark/>
          </w:tcPr>
          <w:p w14:paraId="7D4A8E1B" w14:textId="77777777" w:rsidR="00CD43C2" w:rsidRPr="00755F7F" w:rsidRDefault="00CD43C2" w:rsidP="00E85896">
            <w:pPr>
              <w:jc w:val="right"/>
            </w:pPr>
          </w:p>
        </w:tc>
        <w:tc>
          <w:tcPr>
            <w:tcW w:w="880" w:type="dxa"/>
            <w:tcBorders>
              <w:top w:val="nil"/>
              <w:left w:val="nil"/>
              <w:bottom w:val="nil"/>
              <w:right w:val="nil"/>
            </w:tcBorders>
            <w:vAlign w:val="bottom"/>
            <w:hideMark/>
          </w:tcPr>
          <w:p w14:paraId="303A8F48" w14:textId="77777777" w:rsidR="00CD43C2" w:rsidRPr="002B70C4" w:rsidRDefault="00CD43C2" w:rsidP="00E85896">
            <w:pPr>
              <w:jc w:val="right"/>
              <w:rPr>
                <w:color w:val="A6A6A6" w:themeColor="background1" w:themeShade="A6"/>
              </w:rPr>
            </w:pPr>
          </w:p>
        </w:tc>
        <w:tc>
          <w:tcPr>
            <w:tcW w:w="880" w:type="dxa"/>
            <w:tcBorders>
              <w:top w:val="nil"/>
              <w:left w:val="nil"/>
              <w:bottom w:val="nil"/>
              <w:right w:val="nil"/>
            </w:tcBorders>
            <w:vAlign w:val="bottom"/>
            <w:hideMark/>
          </w:tcPr>
          <w:p w14:paraId="51977F2B" w14:textId="2C53ECFA" w:rsidR="00CD43C2" w:rsidRPr="002B70C4" w:rsidRDefault="00CD43C2" w:rsidP="00E85896">
            <w:pPr>
              <w:jc w:val="right"/>
              <w:rPr>
                <w:color w:val="A6A6A6" w:themeColor="background1" w:themeShade="A6"/>
              </w:rPr>
            </w:pPr>
          </w:p>
        </w:tc>
        <w:tc>
          <w:tcPr>
            <w:tcW w:w="989" w:type="dxa"/>
            <w:tcBorders>
              <w:top w:val="nil"/>
              <w:left w:val="nil"/>
              <w:bottom w:val="nil"/>
              <w:right w:val="nil"/>
            </w:tcBorders>
            <w:vAlign w:val="bottom"/>
            <w:hideMark/>
          </w:tcPr>
          <w:p w14:paraId="3BF66F6F" w14:textId="77777777" w:rsidR="00CD43C2" w:rsidRPr="002B70C4" w:rsidRDefault="00CD43C2" w:rsidP="00E85896">
            <w:pPr>
              <w:jc w:val="right"/>
              <w:rPr>
                <w:color w:val="A6A6A6" w:themeColor="background1" w:themeShade="A6"/>
              </w:rPr>
            </w:pPr>
          </w:p>
        </w:tc>
      </w:tr>
      <w:tr w:rsidR="00CD43C2" w:rsidRPr="00755F7F" w14:paraId="6CF016A7" w14:textId="77777777" w:rsidTr="00DD36DC">
        <w:trPr>
          <w:trHeight w:val="170"/>
        </w:trPr>
        <w:tc>
          <w:tcPr>
            <w:tcW w:w="4338" w:type="dxa"/>
            <w:tcBorders>
              <w:top w:val="nil"/>
              <w:left w:val="nil"/>
              <w:bottom w:val="nil"/>
              <w:right w:val="nil"/>
            </w:tcBorders>
            <w:vAlign w:val="bottom"/>
            <w:hideMark/>
          </w:tcPr>
          <w:p w14:paraId="2B7BC61A" w14:textId="77777777" w:rsidR="00CD43C2" w:rsidRPr="00755F7F" w:rsidRDefault="00CD43C2" w:rsidP="00E85896">
            <w:pPr>
              <w:ind w:firstLineChars="100" w:firstLine="160"/>
              <w:rPr>
                <w:color w:val="000000"/>
                <w:sz w:val="16"/>
                <w:szCs w:val="16"/>
              </w:rPr>
            </w:pPr>
            <w:r w:rsidRPr="00755F7F">
              <w:rPr>
                <w:color w:val="000000"/>
                <w:sz w:val="16"/>
                <w:szCs w:val="16"/>
              </w:rPr>
              <w:t xml:space="preserve">                - Assets Acquired Using Leases</w:t>
            </w:r>
            <w:r w:rsidRPr="00755F7F">
              <w:rPr>
                <w:color w:val="000000"/>
                <w:sz w:val="16"/>
                <w:szCs w:val="16"/>
                <w:vertAlign w:val="superscript"/>
              </w:rPr>
              <w:t>(a)</w:t>
            </w:r>
          </w:p>
        </w:tc>
        <w:tc>
          <w:tcPr>
            <w:tcW w:w="918" w:type="dxa"/>
            <w:tcBorders>
              <w:top w:val="nil"/>
              <w:left w:val="nil"/>
              <w:bottom w:val="nil"/>
              <w:right w:val="nil"/>
            </w:tcBorders>
            <w:vAlign w:val="bottom"/>
            <w:hideMark/>
          </w:tcPr>
          <w:p w14:paraId="466BA6B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762</w:t>
            </w:r>
          </w:p>
        </w:tc>
        <w:tc>
          <w:tcPr>
            <w:tcW w:w="918" w:type="dxa"/>
            <w:tcBorders>
              <w:top w:val="nil"/>
              <w:left w:val="nil"/>
              <w:bottom w:val="nil"/>
              <w:right w:val="nil"/>
            </w:tcBorders>
            <w:vAlign w:val="bottom"/>
            <w:hideMark/>
          </w:tcPr>
          <w:p w14:paraId="2AE6A693" w14:textId="77777777" w:rsidR="00CD43C2" w:rsidRPr="00755F7F" w:rsidRDefault="00CD43C2" w:rsidP="00E85896">
            <w:pPr>
              <w:jc w:val="right"/>
              <w:rPr>
                <w:color w:val="000000"/>
                <w:sz w:val="16"/>
                <w:szCs w:val="16"/>
              </w:rPr>
            </w:pPr>
            <w:r w:rsidRPr="00755F7F">
              <w:rPr>
                <w:color w:val="000000"/>
                <w:sz w:val="16"/>
                <w:szCs w:val="16"/>
              </w:rPr>
              <w:t>1,204</w:t>
            </w:r>
          </w:p>
        </w:tc>
        <w:tc>
          <w:tcPr>
            <w:tcW w:w="918" w:type="dxa"/>
            <w:tcBorders>
              <w:top w:val="nil"/>
              <w:left w:val="nil"/>
              <w:bottom w:val="nil"/>
              <w:right w:val="nil"/>
            </w:tcBorders>
            <w:vAlign w:val="bottom"/>
            <w:hideMark/>
          </w:tcPr>
          <w:p w14:paraId="6D9119CF" w14:textId="77777777" w:rsidR="00CD43C2" w:rsidRPr="00755F7F" w:rsidRDefault="00CD43C2" w:rsidP="00E85896">
            <w:pPr>
              <w:jc w:val="right"/>
              <w:rPr>
                <w:color w:val="000000"/>
                <w:sz w:val="16"/>
                <w:szCs w:val="16"/>
              </w:rPr>
            </w:pPr>
            <w:r w:rsidRPr="00755F7F">
              <w:rPr>
                <w:color w:val="000000"/>
                <w:sz w:val="16"/>
                <w:szCs w:val="16"/>
              </w:rPr>
              <w:t>635</w:t>
            </w:r>
          </w:p>
        </w:tc>
        <w:tc>
          <w:tcPr>
            <w:tcW w:w="880" w:type="dxa"/>
            <w:tcBorders>
              <w:top w:val="nil"/>
              <w:left w:val="nil"/>
              <w:bottom w:val="nil"/>
              <w:right w:val="nil"/>
            </w:tcBorders>
            <w:vAlign w:val="bottom"/>
            <w:hideMark/>
          </w:tcPr>
          <w:p w14:paraId="7298142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786</w:t>
            </w:r>
          </w:p>
        </w:tc>
        <w:tc>
          <w:tcPr>
            <w:tcW w:w="880" w:type="dxa"/>
            <w:tcBorders>
              <w:top w:val="nil"/>
              <w:left w:val="nil"/>
              <w:bottom w:val="nil"/>
              <w:right w:val="nil"/>
            </w:tcBorders>
            <w:vAlign w:val="bottom"/>
            <w:hideMark/>
          </w:tcPr>
          <w:p w14:paraId="4F4B1DD3" w14:textId="5EB79004"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783</w:t>
            </w:r>
          </w:p>
        </w:tc>
        <w:tc>
          <w:tcPr>
            <w:tcW w:w="989" w:type="dxa"/>
            <w:tcBorders>
              <w:top w:val="nil"/>
              <w:left w:val="nil"/>
              <w:bottom w:val="nil"/>
              <w:right w:val="nil"/>
            </w:tcBorders>
            <w:vAlign w:val="bottom"/>
            <w:hideMark/>
          </w:tcPr>
          <w:p w14:paraId="0FC3FDE6"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496</w:t>
            </w:r>
          </w:p>
        </w:tc>
      </w:tr>
      <w:tr w:rsidR="00CD43C2" w:rsidRPr="00755F7F" w14:paraId="407E4889" w14:textId="77777777" w:rsidTr="00DD36DC">
        <w:trPr>
          <w:trHeight w:val="170"/>
        </w:trPr>
        <w:tc>
          <w:tcPr>
            <w:tcW w:w="4338" w:type="dxa"/>
            <w:tcBorders>
              <w:top w:val="nil"/>
              <w:left w:val="nil"/>
              <w:bottom w:val="nil"/>
              <w:right w:val="nil"/>
            </w:tcBorders>
            <w:vAlign w:val="bottom"/>
            <w:hideMark/>
          </w:tcPr>
          <w:p w14:paraId="51A1E40D" w14:textId="77777777" w:rsidR="00CD43C2" w:rsidRPr="00755F7F" w:rsidRDefault="00CD43C2" w:rsidP="00E85896">
            <w:pPr>
              <w:ind w:firstLineChars="100" w:firstLine="160"/>
              <w:rPr>
                <w:color w:val="000000"/>
                <w:sz w:val="16"/>
                <w:szCs w:val="16"/>
              </w:rPr>
            </w:pPr>
            <w:r w:rsidRPr="00755F7F">
              <w:rPr>
                <w:color w:val="000000"/>
                <w:sz w:val="16"/>
                <w:szCs w:val="16"/>
              </w:rPr>
              <w:t xml:space="preserve">                - Assets Acquired Using Service Concession </w:t>
            </w:r>
          </w:p>
        </w:tc>
        <w:tc>
          <w:tcPr>
            <w:tcW w:w="918" w:type="dxa"/>
            <w:tcBorders>
              <w:top w:val="nil"/>
              <w:left w:val="nil"/>
              <w:bottom w:val="nil"/>
              <w:right w:val="nil"/>
            </w:tcBorders>
            <w:vAlign w:val="bottom"/>
            <w:hideMark/>
          </w:tcPr>
          <w:p w14:paraId="4AB6A96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 xml:space="preserve"> 281 </w:t>
            </w:r>
          </w:p>
        </w:tc>
        <w:tc>
          <w:tcPr>
            <w:tcW w:w="918" w:type="dxa"/>
            <w:tcBorders>
              <w:top w:val="nil"/>
              <w:left w:val="nil"/>
              <w:bottom w:val="nil"/>
              <w:right w:val="nil"/>
            </w:tcBorders>
            <w:vAlign w:val="bottom"/>
            <w:hideMark/>
          </w:tcPr>
          <w:p w14:paraId="5C8DB6B9" w14:textId="77777777" w:rsidR="00CD43C2" w:rsidRPr="00755F7F" w:rsidRDefault="00CD43C2" w:rsidP="00E85896">
            <w:pPr>
              <w:jc w:val="right"/>
              <w:rPr>
                <w:color w:val="000000"/>
                <w:sz w:val="16"/>
                <w:szCs w:val="16"/>
              </w:rPr>
            </w:pPr>
            <w:r w:rsidRPr="00755F7F">
              <w:rPr>
                <w:color w:val="000000"/>
                <w:sz w:val="16"/>
                <w:szCs w:val="16"/>
              </w:rPr>
              <w:t xml:space="preserve"> 254 </w:t>
            </w:r>
          </w:p>
        </w:tc>
        <w:tc>
          <w:tcPr>
            <w:tcW w:w="918" w:type="dxa"/>
            <w:tcBorders>
              <w:top w:val="nil"/>
              <w:left w:val="nil"/>
              <w:bottom w:val="nil"/>
              <w:right w:val="nil"/>
            </w:tcBorders>
            <w:vAlign w:val="bottom"/>
            <w:hideMark/>
          </w:tcPr>
          <w:p w14:paraId="43A7BD09" w14:textId="77777777" w:rsidR="00CD43C2" w:rsidRPr="00755F7F" w:rsidRDefault="00CD43C2" w:rsidP="00E85896">
            <w:pPr>
              <w:jc w:val="right"/>
              <w:rPr>
                <w:color w:val="000000"/>
                <w:sz w:val="16"/>
                <w:szCs w:val="16"/>
              </w:rPr>
            </w:pPr>
            <w:r w:rsidRPr="00755F7F">
              <w:rPr>
                <w:color w:val="000000"/>
                <w:sz w:val="16"/>
                <w:szCs w:val="16"/>
              </w:rPr>
              <w:t xml:space="preserve"> 169 </w:t>
            </w:r>
          </w:p>
        </w:tc>
        <w:tc>
          <w:tcPr>
            <w:tcW w:w="880" w:type="dxa"/>
            <w:tcBorders>
              <w:top w:val="nil"/>
              <w:left w:val="nil"/>
              <w:bottom w:val="nil"/>
              <w:right w:val="nil"/>
            </w:tcBorders>
            <w:vAlign w:val="bottom"/>
            <w:hideMark/>
          </w:tcPr>
          <w:p w14:paraId="150BD658"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139</w:t>
            </w:r>
          </w:p>
        </w:tc>
        <w:tc>
          <w:tcPr>
            <w:tcW w:w="880" w:type="dxa"/>
            <w:tcBorders>
              <w:top w:val="nil"/>
              <w:left w:val="nil"/>
              <w:bottom w:val="nil"/>
              <w:right w:val="nil"/>
            </w:tcBorders>
            <w:vAlign w:val="bottom"/>
            <w:hideMark/>
          </w:tcPr>
          <w:p w14:paraId="022A99CE"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w:t>
            </w:r>
          </w:p>
        </w:tc>
        <w:tc>
          <w:tcPr>
            <w:tcW w:w="989" w:type="dxa"/>
            <w:tcBorders>
              <w:top w:val="nil"/>
              <w:left w:val="nil"/>
              <w:bottom w:val="nil"/>
              <w:right w:val="nil"/>
            </w:tcBorders>
            <w:vAlign w:val="bottom"/>
            <w:hideMark/>
          </w:tcPr>
          <w:p w14:paraId="375B3147"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w:t>
            </w:r>
          </w:p>
        </w:tc>
      </w:tr>
      <w:tr w:rsidR="00CD43C2" w:rsidRPr="00755F7F" w14:paraId="6AE9CF9C" w14:textId="77777777" w:rsidTr="00DD36DC">
        <w:trPr>
          <w:trHeight w:val="170"/>
        </w:trPr>
        <w:tc>
          <w:tcPr>
            <w:tcW w:w="4338" w:type="dxa"/>
            <w:tcBorders>
              <w:top w:val="nil"/>
              <w:left w:val="nil"/>
              <w:bottom w:val="nil"/>
              <w:right w:val="nil"/>
            </w:tcBorders>
            <w:vAlign w:val="bottom"/>
            <w:hideMark/>
          </w:tcPr>
          <w:p w14:paraId="47B19526" w14:textId="77777777" w:rsidR="00CD43C2" w:rsidRPr="00755F7F" w:rsidRDefault="00CD43C2" w:rsidP="00E85896">
            <w:pPr>
              <w:ind w:firstLineChars="700" w:firstLine="1120"/>
              <w:rPr>
                <w:color w:val="000000"/>
                <w:sz w:val="16"/>
                <w:szCs w:val="16"/>
              </w:rPr>
            </w:pPr>
            <w:r w:rsidRPr="00755F7F">
              <w:rPr>
                <w:color w:val="000000"/>
                <w:sz w:val="16"/>
                <w:szCs w:val="16"/>
              </w:rPr>
              <w:t>Arrangements</w:t>
            </w:r>
            <w:r w:rsidRPr="00755F7F">
              <w:rPr>
                <w:color w:val="000000"/>
                <w:sz w:val="16"/>
                <w:szCs w:val="16"/>
                <w:vertAlign w:val="superscript"/>
              </w:rPr>
              <w:t>(a)</w:t>
            </w:r>
            <w:r w:rsidRPr="00755F7F">
              <w:rPr>
                <w:color w:val="000000"/>
                <w:sz w:val="16"/>
                <w:szCs w:val="16"/>
              </w:rPr>
              <w:t xml:space="preserve"> (Financial Liability Model)</w:t>
            </w:r>
          </w:p>
        </w:tc>
        <w:tc>
          <w:tcPr>
            <w:tcW w:w="918" w:type="dxa"/>
            <w:tcBorders>
              <w:top w:val="nil"/>
              <w:left w:val="nil"/>
              <w:bottom w:val="nil"/>
              <w:right w:val="nil"/>
            </w:tcBorders>
            <w:vAlign w:val="bottom"/>
            <w:hideMark/>
          </w:tcPr>
          <w:p w14:paraId="02B3A36E" w14:textId="77777777" w:rsidR="00CD43C2" w:rsidRPr="002B70C4" w:rsidRDefault="00CD43C2" w:rsidP="00E85896">
            <w:pPr>
              <w:ind w:firstLineChars="700" w:firstLine="1120"/>
              <w:rPr>
                <w:color w:val="A6A6A6" w:themeColor="background1" w:themeShade="A6"/>
                <w:sz w:val="16"/>
                <w:szCs w:val="16"/>
              </w:rPr>
            </w:pPr>
          </w:p>
        </w:tc>
        <w:tc>
          <w:tcPr>
            <w:tcW w:w="918" w:type="dxa"/>
            <w:tcBorders>
              <w:top w:val="nil"/>
              <w:left w:val="nil"/>
              <w:bottom w:val="nil"/>
              <w:right w:val="nil"/>
            </w:tcBorders>
            <w:vAlign w:val="bottom"/>
            <w:hideMark/>
          </w:tcPr>
          <w:p w14:paraId="40917785" w14:textId="77777777" w:rsidR="00CD43C2" w:rsidRPr="00755F7F" w:rsidRDefault="00CD43C2" w:rsidP="00E85896">
            <w:pPr>
              <w:jc w:val="right"/>
            </w:pPr>
          </w:p>
        </w:tc>
        <w:tc>
          <w:tcPr>
            <w:tcW w:w="918" w:type="dxa"/>
            <w:tcBorders>
              <w:top w:val="nil"/>
              <w:left w:val="nil"/>
              <w:bottom w:val="nil"/>
              <w:right w:val="nil"/>
            </w:tcBorders>
            <w:vAlign w:val="bottom"/>
            <w:hideMark/>
          </w:tcPr>
          <w:p w14:paraId="27A30AE1" w14:textId="77777777" w:rsidR="00CD43C2" w:rsidRPr="00755F7F" w:rsidRDefault="00CD43C2" w:rsidP="00E85896">
            <w:pPr>
              <w:jc w:val="right"/>
            </w:pPr>
          </w:p>
        </w:tc>
        <w:tc>
          <w:tcPr>
            <w:tcW w:w="880" w:type="dxa"/>
            <w:tcBorders>
              <w:top w:val="nil"/>
              <w:left w:val="nil"/>
              <w:bottom w:val="nil"/>
              <w:right w:val="nil"/>
            </w:tcBorders>
            <w:vAlign w:val="bottom"/>
            <w:hideMark/>
          </w:tcPr>
          <w:p w14:paraId="34E510E3" w14:textId="77777777" w:rsidR="00CD43C2" w:rsidRPr="002B70C4" w:rsidRDefault="00CD43C2" w:rsidP="00E85896">
            <w:pPr>
              <w:jc w:val="right"/>
              <w:rPr>
                <w:color w:val="A6A6A6" w:themeColor="background1" w:themeShade="A6"/>
              </w:rPr>
            </w:pPr>
          </w:p>
        </w:tc>
        <w:tc>
          <w:tcPr>
            <w:tcW w:w="880" w:type="dxa"/>
            <w:tcBorders>
              <w:top w:val="nil"/>
              <w:left w:val="nil"/>
              <w:bottom w:val="nil"/>
              <w:right w:val="nil"/>
            </w:tcBorders>
            <w:vAlign w:val="bottom"/>
            <w:hideMark/>
          </w:tcPr>
          <w:p w14:paraId="52C5A251" w14:textId="3654A873" w:rsidR="00CD43C2" w:rsidRPr="002B70C4" w:rsidRDefault="00CD43C2" w:rsidP="00E85896">
            <w:pPr>
              <w:jc w:val="right"/>
              <w:rPr>
                <w:color w:val="A6A6A6" w:themeColor="background1" w:themeShade="A6"/>
              </w:rPr>
            </w:pPr>
          </w:p>
        </w:tc>
        <w:tc>
          <w:tcPr>
            <w:tcW w:w="989" w:type="dxa"/>
            <w:tcBorders>
              <w:top w:val="nil"/>
              <w:left w:val="nil"/>
              <w:bottom w:val="nil"/>
              <w:right w:val="nil"/>
            </w:tcBorders>
            <w:vAlign w:val="bottom"/>
            <w:hideMark/>
          </w:tcPr>
          <w:p w14:paraId="02F0CCB4" w14:textId="6F994945" w:rsidR="00CD43C2" w:rsidRPr="002B70C4" w:rsidRDefault="002B70C4" w:rsidP="00E85896">
            <w:pPr>
              <w:jc w:val="right"/>
              <w:rPr>
                <w:color w:val="A6A6A6" w:themeColor="background1" w:themeShade="A6"/>
              </w:rPr>
            </w:pPr>
            <w:r w:rsidRPr="00456E00">
              <w:rPr>
                <w:noProof/>
              </w:rPr>
              <mc:AlternateContent>
                <mc:Choice Requires="wps">
                  <w:drawing>
                    <wp:anchor distT="0" distB="0" distL="114300" distR="114300" simplePos="0" relativeHeight="251658246" behindDoc="0" locked="0" layoutInCell="1" allowOverlap="1" wp14:anchorId="29A97789" wp14:editId="0067E37B">
                      <wp:simplePos x="0" y="0"/>
                      <wp:positionH relativeFrom="column">
                        <wp:posOffset>-1058545</wp:posOffset>
                      </wp:positionH>
                      <wp:positionV relativeFrom="paragraph">
                        <wp:posOffset>-15875</wp:posOffset>
                      </wp:positionV>
                      <wp:extent cx="1485265" cy="1079500"/>
                      <wp:effectExtent l="133350" t="0" r="19685" b="25400"/>
                      <wp:wrapNone/>
                      <wp:docPr id="15" name="Speech Bubble: Rectangle with Corners Rounded 14">
                        <a:extLst xmlns:a="http://schemas.openxmlformats.org/drawingml/2006/main">
                          <a:ext uri="{FF2B5EF4-FFF2-40B4-BE49-F238E27FC236}">
                            <a16:creationId xmlns:a16="http://schemas.microsoft.com/office/drawing/2014/main" id="{535AEDFA-BADA-4C5D-A1BD-FF5CAAE0C55E}"/>
                          </a:ext>
                        </a:extLst>
                      </wp:docPr>
                      <wp:cNvGraphicFramePr/>
                      <a:graphic xmlns:a="http://schemas.openxmlformats.org/drawingml/2006/main">
                        <a:graphicData uri="http://schemas.microsoft.com/office/word/2010/wordprocessingShape">
                          <wps:wsp>
                            <wps:cNvSpPr/>
                            <wps:spPr>
                              <a:xfrm>
                                <a:off x="0" y="0"/>
                                <a:ext cx="1485265" cy="1079500"/>
                              </a:xfrm>
                              <a:prstGeom prst="wedgeRoundRectCallout">
                                <a:avLst>
                                  <a:gd name="adj1" fmla="val -57652"/>
                                  <a:gd name="adj2" fmla="val 39898"/>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0F35FDE3" w14:textId="77777777" w:rsidR="00456E00" w:rsidRDefault="00456E00" w:rsidP="00456E00">
                                  <w:pPr>
                                    <w:rPr>
                                      <w:sz w:val="24"/>
                                      <w:szCs w:val="24"/>
                                    </w:rPr>
                                  </w:pPr>
                                  <w:r>
                                    <w:rPr>
                                      <w:b/>
                                      <w:color w:val="44546A" w:themeColor="text2"/>
                                      <w:kern w:val="24"/>
                                      <w:sz w:val="18"/>
                                      <w:szCs w:val="18"/>
                                    </w:rPr>
                                    <w:t>Net lending</w:t>
                                  </w:r>
                                </w:p>
                                <w:p w14:paraId="25599BB3" w14:textId="77777777" w:rsidR="00456E00" w:rsidRDefault="00456E00" w:rsidP="00456E00">
                                  <w:r>
                                    <w:rPr>
                                      <w:color w:val="44546A" w:themeColor="text2"/>
                                      <w:kern w:val="24"/>
                                      <w:sz w:val="18"/>
                                      <w:szCs w:val="18"/>
                                    </w:rPr>
                                    <w:t>Represents the change in how much the Government can lend or needs to borrow from others.</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29A97789" id="Speech Bubble: Rectangle with Corners Rounded 14" o:spid="_x0000_s1077" type="#_x0000_t62" style="position:absolute;left:0;text-align:left;margin-left:-83.35pt;margin-top:-1.25pt;width:116.95pt;height: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" adj="-1653,19418" fillcolor="#f2f2f2 [3052]" strokecolor="#44546a [3215]" strokeweight="1.75pt">
                      <v:stroke dashstyle="3 1"/>
                      <v:textbox inset="1mm,1mm,1mm,1mm">
                        <w:txbxContent>
                          <w:p w14:paraId="0F35FDE3" w14:textId="77777777" w:rsidR="00456E00" w:rsidRDefault="00456E00" w:rsidP="00456E00">
                            <w:pPr>
                              <w:rPr>
                                <w:sz w:val="24"/>
                                <w:szCs w:val="24"/>
                              </w:rPr>
                            </w:pPr>
                            <w:r>
                              <w:rPr>
                                <w:b/>
                                <w:color w:val="44546A" w:themeColor="text2"/>
                                <w:kern w:val="24"/>
                                <w:sz w:val="18"/>
                                <w:szCs w:val="18"/>
                              </w:rPr>
                              <w:t>Net lending</w:t>
                            </w:r>
                          </w:p>
                          <w:p w14:paraId="25599BB3" w14:textId="77777777" w:rsidR="00456E00" w:rsidRDefault="00456E00" w:rsidP="00456E00">
                            <w:r>
                              <w:rPr>
                                <w:color w:val="44546A" w:themeColor="text2"/>
                                <w:kern w:val="24"/>
                                <w:sz w:val="18"/>
                                <w:szCs w:val="18"/>
                              </w:rPr>
                              <w:t>Represents the change in how much the Government can lend or needs to borrow from others.</w:t>
                            </w:r>
                          </w:p>
                        </w:txbxContent>
                      </v:textbox>
                    </v:shape>
                  </w:pict>
                </mc:Fallback>
              </mc:AlternateContent>
            </w:r>
          </w:p>
        </w:tc>
      </w:tr>
      <w:tr w:rsidR="00CD43C2" w:rsidRPr="00755F7F" w14:paraId="495B616B" w14:textId="77777777" w:rsidTr="00DD36DC">
        <w:trPr>
          <w:trHeight w:val="170"/>
        </w:trPr>
        <w:tc>
          <w:tcPr>
            <w:tcW w:w="4338" w:type="dxa"/>
            <w:tcBorders>
              <w:top w:val="nil"/>
              <w:left w:val="nil"/>
              <w:bottom w:val="nil"/>
              <w:right w:val="nil"/>
            </w:tcBorders>
            <w:vAlign w:val="bottom"/>
            <w:hideMark/>
          </w:tcPr>
          <w:p w14:paraId="26CE72AF" w14:textId="77777777" w:rsidR="00CD43C2" w:rsidRPr="00755F7F" w:rsidRDefault="00CD43C2" w:rsidP="00E85896">
            <w:pPr>
              <w:ind w:firstLineChars="100" w:firstLine="160"/>
              <w:rPr>
                <w:color w:val="000000"/>
                <w:sz w:val="16"/>
                <w:szCs w:val="16"/>
              </w:rPr>
            </w:pPr>
            <w:r w:rsidRPr="00755F7F">
              <w:rPr>
                <w:color w:val="000000"/>
                <w:sz w:val="16"/>
                <w:szCs w:val="16"/>
              </w:rPr>
              <w:t xml:space="preserve">                - Assets Acquired Using Service Concession </w:t>
            </w:r>
          </w:p>
        </w:tc>
        <w:tc>
          <w:tcPr>
            <w:tcW w:w="918" w:type="dxa"/>
            <w:tcBorders>
              <w:top w:val="nil"/>
              <w:left w:val="nil"/>
              <w:bottom w:val="nil"/>
              <w:right w:val="nil"/>
            </w:tcBorders>
            <w:vAlign w:val="bottom"/>
            <w:hideMark/>
          </w:tcPr>
          <w:p w14:paraId="59127A6A"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 xml:space="preserve"> 2,902 </w:t>
            </w:r>
          </w:p>
        </w:tc>
        <w:tc>
          <w:tcPr>
            <w:tcW w:w="918" w:type="dxa"/>
            <w:tcBorders>
              <w:top w:val="nil"/>
              <w:left w:val="nil"/>
              <w:bottom w:val="nil"/>
              <w:right w:val="nil"/>
            </w:tcBorders>
            <w:vAlign w:val="bottom"/>
            <w:hideMark/>
          </w:tcPr>
          <w:p w14:paraId="34EF225B" w14:textId="77777777" w:rsidR="00CD43C2" w:rsidRPr="00755F7F" w:rsidRDefault="00CD43C2" w:rsidP="00E85896">
            <w:pPr>
              <w:jc w:val="right"/>
              <w:rPr>
                <w:color w:val="000000"/>
                <w:sz w:val="16"/>
                <w:szCs w:val="16"/>
              </w:rPr>
            </w:pPr>
            <w:r w:rsidRPr="00755F7F">
              <w:rPr>
                <w:color w:val="000000"/>
                <w:sz w:val="16"/>
                <w:szCs w:val="16"/>
              </w:rPr>
              <w:t xml:space="preserve"> 1,719 </w:t>
            </w:r>
          </w:p>
        </w:tc>
        <w:tc>
          <w:tcPr>
            <w:tcW w:w="918" w:type="dxa"/>
            <w:tcBorders>
              <w:top w:val="nil"/>
              <w:left w:val="nil"/>
              <w:bottom w:val="nil"/>
              <w:right w:val="nil"/>
            </w:tcBorders>
            <w:vAlign w:val="bottom"/>
            <w:hideMark/>
          </w:tcPr>
          <w:p w14:paraId="5505BB79" w14:textId="77777777" w:rsidR="00CD43C2" w:rsidRPr="00755F7F" w:rsidRDefault="00CD43C2" w:rsidP="00E85896">
            <w:pPr>
              <w:jc w:val="right"/>
              <w:rPr>
                <w:color w:val="000000"/>
                <w:sz w:val="16"/>
                <w:szCs w:val="16"/>
              </w:rPr>
            </w:pPr>
            <w:r w:rsidRPr="00755F7F">
              <w:rPr>
                <w:color w:val="000000"/>
                <w:sz w:val="16"/>
                <w:szCs w:val="16"/>
              </w:rPr>
              <w:t xml:space="preserve"> 1,829 </w:t>
            </w:r>
          </w:p>
        </w:tc>
        <w:tc>
          <w:tcPr>
            <w:tcW w:w="880" w:type="dxa"/>
            <w:tcBorders>
              <w:top w:val="nil"/>
              <w:left w:val="nil"/>
              <w:bottom w:val="nil"/>
              <w:right w:val="nil"/>
            </w:tcBorders>
            <w:vAlign w:val="bottom"/>
            <w:hideMark/>
          </w:tcPr>
          <w:p w14:paraId="57F5F68F"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1,832</w:t>
            </w:r>
          </w:p>
        </w:tc>
        <w:tc>
          <w:tcPr>
            <w:tcW w:w="880" w:type="dxa"/>
            <w:tcBorders>
              <w:top w:val="nil"/>
              <w:left w:val="nil"/>
              <w:bottom w:val="nil"/>
              <w:right w:val="nil"/>
            </w:tcBorders>
            <w:vAlign w:val="bottom"/>
            <w:hideMark/>
          </w:tcPr>
          <w:p w14:paraId="1200B17B" w14:textId="61A0C458"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w:t>
            </w:r>
          </w:p>
        </w:tc>
        <w:tc>
          <w:tcPr>
            <w:tcW w:w="989" w:type="dxa"/>
            <w:tcBorders>
              <w:top w:val="nil"/>
              <w:left w:val="nil"/>
              <w:bottom w:val="nil"/>
              <w:right w:val="nil"/>
            </w:tcBorders>
            <w:vAlign w:val="bottom"/>
            <w:hideMark/>
          </w:tcPr>
          <w:p w14:paraId="3FA573E1"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3</w:t>
            </w:r>
          </w:p>
        </w:tc>
      </w:tr>
      <w:tr w:rsidR="00CD43C2" w:rsidRPr="00755F7F" w14:paraId="158045A6" w14:textId="77777777" w:rsidTr="00DD36DC">
        <w:trPr>
          <w:trHeight w:val="170"/>
        </w:trPr>
        <w:tc>
          <w:tcPr>
            <w:tcW w:w="4338" w:type="dxa"/>
            <w:tcBorders>
              <w:top w:val="nil"/>
              <w:left w:val="nil"/>
              <w:bottom w:val="nil"/>
              <w:right w:val="nil"/>
            </w:tcBorders>
            <w:vAlign w:val="bottom"/>
            <w:hideMark/>
          </w:tcPr>
          <w:p w14:paraId="51B5282D" w14:textId="77777777" w:rsidR="00CD43C2" w:rsidRPr="00755F7F" w:rsidRDefault="00CD43C2" w:rsidP="00E85896">
            <w:pPr>
              <w:ind w:firstLineChars="700" w:firstLine="1120"/>
              <w:rPr>
                <w:color w:val="000000"/>
                <w:sz w:val="16"/>
                <w:szCs w:val="16"/>
              </w:rPr>
            </w:pPr>
            <w:r w:rsidRPr="00755F7F">
              <w:rPr>
                <w:color w:val="000000"/>
                <w:sz w:val="16"/>
                <w:szCs w:val="16"/>
              </w:rPr>
              <w:t xml:space="preserve">Arrangements (Grant of Right to the </w:t>
            </w:r>
            <w:r>
              <w:rPr>
                <w:color w:val="000000"/>
                <w:sz w:val="16"/>
                <w:szCs w:val="16"/>
              </w:rPr>
              <w:br/>
              <w:t xml:space="preserve">                         </w:t>
            </w:r>
            <w:r w:rsidRPr="00755F7F">
              <w:rPr>
                <w:color w:val="000000"/>
                <w:sz w:val="16"/>
                <w:szCs w:val="16"/>
              </w:rPr>
              <w:t>Operator Model)</w:t>
            </w:r>
          </w:p>
        </w:tc>
        <w:tc>
          <w:tcPr>
            <w:tcW w:w="918" w:type="dxa"/>
            <w:tcBorders>
              <w:top w:val="nil"/>
              <w:left w:val="nil"/>
              <w:bottom w:val="nil"/>
              <w:right w:val="nil"/>
            </w:tcBorders>
            <w:vAlign w:val="bottom"/>
            <w:hideMark/>
          </w:tcPr>
          <w:p w14:paraId="2DD32C2D" w14:textId="77777777" w:rsidR="00CD43C2" w:rsidRPr="002B70C4" w:rsidRDefault="00CD43C2" w:rsidP="00E85896">
            <w:pPr>
              <w:ind w:firstLineChars="700" w:firstLine="1120"/>
              <w:rPr>
                <w:color w:val="A6A6A6" w:themeColor="background1" w:themeShade="A6"/>
                <w:sz w:val="16"/>
                <w:szCs w:val="16"/>
              </w:rPr>
            </w:pPr>
          </w:p>
        </w:tc>
        <w:tc>
          <w:tcPr>
            <w:tcW w:w="918" w:type="dxa"/>
            <w:tcBorders>
              <w:top w:val="nil"/>
              <w:left w:val="nil"/>
              <w:bottom w:val="nil"/>
              <w:right w:val="nil"/>
            </w:tcBorders>
            <w:vAlign w:val="bottom"/>
            <w:hideMark/>
          </w:tcPr>
          <w:p w14:paraId="19528E6B" w14:textId="77777777" w:rsidR="00CD43C2" w:rsidRPr="00755F7F" w:rsidRDefault="00CD43C2" w:rsidP="00E85896">
            <w:pPr>
              <w:jc w:val="right"/>
            </w:pPr>
          </w:p>
        </w:tc>
        <w:tc>
          <w:tcPr>
            <w:tcW w:w="918" w:type="dxa"/>
            <w:tcBorders>
              <w:top w:val="nil"/>
              <w:left w:val="nil"/>
              <w:bottom w:val="nil"/>
              <w:right w:val="nil"/>
            </w:tcBorders>
            <w:vAlign w:val="bottom"/>
            <w:hideMark/>
          </w:tcPr>
          <w:p w14:paraId="0F2E7112" w14:textId="77777777" w:rsidR="00CD43C2" w:rsidRPr="00755F7F" w:rsidRDefault="00CD43C2" w:rsidP="00E85896">
            <w:pPr>
              <w:jc w:val="right"/>
            </w:pPr>
          </w:p>
        </w:tc>
        <w:tc>
          <w:tcPr>
            <w:tcW w:w="880" w:type="dxa"/>
            <w:tcBorders>
              <w:top w:val="nil"/>
              <w:left w:val="nil"/>
              <w:bottom w:val="nil"/>
              <w:right w:val="nil"/>
            </w:tcBorders>
            <w:vAlign w:val="bottom"/>
            <w:hideMark/>
          </w:tcPr>
          <w:p w14:paraId="03B47CFC" w14:textId="77777777" w:rsidR="00CD43C2" w:rsidRPr="002B70C4" w:rsidRDefault="00CD43C2" w:rsidP="00E85896">
            <w:pPr>
              <w:jc w:val="right"/>
              <w:rPr>
                <w:color w:val="A6A6A6" w:themeColor="background1" w:themeShade="A6"/>
              </w:rPr>
            </w:pPr>
          </w:p>
        </w:tc>
        <w:tc>
          <w:tcPr>
            <w:tcW w:w="880" w:type="dxa"/>
            <w:tcBorders>
              <w:top w:val="nil"/>
              <w:left w:val="nil"/>
              <w:bottom w:val="nil"/>
              <w:right w:val="nil"/>
            </w:tcBorders>
            <w:vAlign w:val="bottom"/>
            <w:hideMark/>
          </w:tcPr>
          <w:p w14:paraId="3E2B80ED" w14:textId="77777777" w:rsidR="00CD43C2" w:rsidRPr="002B70C4" w:rsidRDefault="00CD43C2" w:rsidP="00E85896">
            <w:pPr>
              <w:jc w:val="right"/>
              <w:rPr>
                <w:color w:val="A6A6A6" w:themeColor="background1" w:themeShade="A6"/>
              </w:rPr>
            </w:pPr>
          </w:p>
        </w:tc>
        <w:tc>
          <w:tcPr>
            <w:tcW w:w="989" w:type="dxa"/>
            <w:tcBorders>
              <w:top w:val="nil"/>
              <w:left w:val="nil"/>
              <w:bottom w:val="nil"/>
              <w:right w:val="nil"/>
            </w:tcBorders>
            <w:vAlign w:val="bottom"/>
            <w:hideMark/>
          </w:tcPr>
          <w:p w14:paraId="25FDD279" w14:textId="77777777" w:rsidR="00CD43C2" w:rsidRPr="002B70C4" w:rsidRDefault="00CD43C2" w:rsidP="00E85896">
            <w:pPr>
              <w:jc w:val="right"/>
              <w:rPr>
                <w:color w:val="A6A6A6" w:themeColor="background1" w:themeShade="A6"/>
              </w:rPr>
            </w:pPr>
          </w:p>
        </w:tc>
      </w:tr>
      <w:tr w:rsidR="00CD43C2" w:rsidRPr="00755F7F" w14:paraId="2C79AAED" w14:textId="77777777" w:rsidTr="00DD36DC">
        <w:trPr>
          <w:trHeight w:val="170"/>
        </w:trPr>
        <w:tc>
          <w:tcPr>
            <w:tcW w:w="4338" w:type="dxa"/>
            <w:tcBorders>
              <w:top w:val="nil"/>
              <w:left w:val="nil"/>
              <w:bottom w:val="nil"/>
              <w:right w:val="nil"/>
            </w:tcBorders>
            <w:vAlign w:val="bottom"/>
            <w:hideMark/>
          </w:tcPr>
          <w:p w14:paraId="74FCB509" w14:textId="77777777" w:rsidR="00CD43C2" w:rsidRPr="00755F7F" w:rsidRDefault="00CD43C2" w:rsidP="00E85896">
            <w:pPr>
              <w:ind w:firstLineChars="100" w:firstLine="160"/>
              <w:rPr>
                <w:color w:val="000000"/>
                <w:sz w:val="16"/>
                <w:szCs w:val="16"/>
              </w:rPr>
            </w:pPr>
            <w:r w:rsidRPr="00755F7F">
              <w:rPr>
                <w:color w:val="000000"/>
                <w:sz w:val="16"/>
                <w:szCs w:val="16"/>
              </w:rPr>
              <w:t xml:space="preserve">                - Other</w:t>
            </w:r>
          </w:p>
        </w:tc>
        <w:tc>
          <w:tcPr>
            <w:tcW w:w="918" w:type="dxa"/>
            <w:tcBorders>
              <w:top w:val="nil"/>
              <w:left w:val="nil"/>
              <w:bottom w:val="nil"/>
              <w:right w:val="nil"/>
            </w:tcBorders>
            <w:vAlign w:val="bottom"/>
            <w:hideMark/>
          </w:tcPr>
          <w:p w14:paraId="1DBA2244"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(833)</w:t>
            </w:r>
          </w:p>
        </w:tc>
        <w:tc>
          <w:tcPr>
            <w:tcW w:w="918" w:type="dxa"/>
            <w:tcBorders>
              <w:top w:val="nil"/>
              <w:left w:val="nil"/>
              <w:bottom w:val="nil"/>
              <w:right w:val="nil"/>
            </w:tcBorders>
            <w:vAlign w:val="bottom"/>
            <w:hideMark/>
          </w:tcPr>
          <w:p w14:paraId="08C15842" w14:textId="77777777" w:rsidR="00CD43C2" w:rsidRPr="00755F7F" w:rsidRDefault="00CD43C2" w:rsidP="00E85896">
            <w:pPr>
              <w:jc w:val="right"/>
              <w:rPr>
                <w:color w:val="000000"/>
                <w:sz w:val="16"/>
                <w:szCs w:val="16"/>
              </w:rPr>
            </w:pPr>
            <w:r w:rsidRPr="00755F7F">
              <w:rPr>
                <w:color w:val="000000"/>
                <w:sz w:val="16"/>
                <w:szCs w:val="16"/>
              </w:rPr>
              <w:t>(1,356)</w:t>
            </w:r>
          </w:p>
        </w:tc>
        <w:tc>
          <w:tcPr>
            <w:tcW w:w="918" w:type="dxa"/>
            <w:tcBorders>
              <w:top w:val="nil"/>
              <w:left w:val="nil"/>
              <w:bottom w:val="nil"/>
              <w:right w:val="nil"/>
            </w:tcBorders>
            <w:vAlign w:val="bottom"/>
            <w:hideMark/>
          </w:tcPr>
          <w:p w14:paraId="7C638F60" w14:textId="77777777" w:rsidR="00CD43C2" w:rsidRPr="00755F7F" w:rsidRDefault="00CD43C2" w:rsidP="00E85896">
            <w:pPr>
              <w:jc w:val="right"/>
              <w:rPr>
                <w:color w:val="000000"/>
                <w:sz w:val="16"/>
                <w:szCs w:val="16"/>
              </w:rPr>
            </w:pPr>
            <w:r w:rsidRPr="00755F7F">
              <w:rPr>
                <w:color w:val="000000"/>
                <w:sz w:val="16"/>
                <w:szCs w:val="16"/>
              </w:rPr>
              <w:t>(724)</w:t>
            </w:r>
          </w:p>
        </w:tc>
        <w:tc>
          <w:tcPr>
            <w:tcW w:w="880" w:type="dxa"/>
            <w:tcBorders>
              <w:top w:val="nil"/>
              <w:left w:val="nil"/>
              <w:bottom w:val="nil"/>
              <w:right w:val="nil"/>
            </w:tcBorders>
            <w:vAlign w:val="bottom"/>
            <w:hideMark/>
          </w:tcPr>
          <w:p w14:paraId="128046F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(711)</w:t>
            </w:r>
          </w:p>
        </w:tc>
        <w:tc>
          <w:tcPr>
            <w:tcW w:w="880" w:type="dxa"/>
            <w:tcBorders>
              <w:top w:val="nil"/>
              <w:left w:val="nil"/>
              <w:bottom w:val="nil"/>
              <w:right w:val="nil"/>
            </w:tcBorders>
            <w:vAlign w:val="bottom"/>
            <w:hideMark/>
          </w:tcPr>
          <w:p w14:paraId="5E2E692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(982)</w:t>
            </w:r>
          </w:p>
        </w:tc>
        <w:tc>
          <w:tcPr>
            <w:tcW w:w="989" w:type="dxa"/>
            <w:tcBorders>
              <w:top w:val="nil"/>
              <w:left w:val="nil"/>
              <w:bottom w:val="nil"/>
              <w:right w:val="nil"/>
            </w:tcBorders>
            <w:vAlign w:val="bottom"/>
            <w:hideMark/>
          </w:tcPr>
          <w:p w14:paraId="3584388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(905)</w:t>
            </w:r>
          </w:p>
        </w:tc>
      </w:tr>
      <w:tr w:rsidR="00CD43C2" w:rsidRPr="00755F7F" w14:paraId="3BDD0317" w14:textId="77777777" w:rsidTr="00E85896">
        <w:trPr>
          <w:trHeight w:val="227"/>
        </w:trPr>
        <w:tc>
          <w:tcPr>
            <w:tcW w:w="4338" w:type="dxa"/>
            <w:tcBorders>
              <w:top w:val="nil"/>
              <w:left w:val="nil"/>
              <w:bottom w:val="nil"/>
              <w:right w:val="nil"/>
            </w:tcBorders>
            <w:vAlign w:val="bottom"/>
            <w:hideMark/>
          </w:tcPr>
          <w:p w14:paraId="529F00B1" w14:textId="77777777" w:rsidR="00CD43C2" w:rsidRPr="00755F7F" w:rsidRDefault="00CD43C2" w:rsidP="00E85896">
            <w:pPr>
              <w:rPr>
                <w:color w:val="000000"/>
                <w:sz w:val="16"/>
                <w:szCs w:val="16"/>
              </w:rPr>
            </w:pPr>
            <w:r w:rsidRPr="00755F7F">
              <w:rPr>
                <w:color w:val="000000"/>
                <w:sz w:val="16"/>
                <w:szCs w:val="16"/>
              </w:rPr>
              <w:t>Equals: Total Net Acquisition of Non-Financial Assets</w:t>
            </w:r>
          </w:p>
        </w:tc>
        <w:tc>
          <w:tcPr>
            <w:tcW w:w="918" w:type="dxa"/>
            <w:tcBorders>
              <w:top w:val="nil"/>
              <w:left w:val="nil"/>
              <w:bottom w:val="nil"/>
              <w:right w:val="nil"/>
            </w:tcBorders>
            <w:vAlign w:val="bottom"/>
            <w:hideMark/>
          </w:tcPr>
          <w:p w14:paraId="38EA61CA"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14,345</w:t>
            </w:r>
          </w:p>
        </w:tc>
        <w:tc>
          <w:tcPr>
            <w:tcW w:w="918" w:type="dxa"/>
            <w:tcBorders>
              <w:top w:val="nil"/>
              <w:left w:val="nil"/>
              <w:bottom w:val="nil"/>
              <w:right w:val="nil"/>
            </w:tcBorders>
            <w:vAlign w:val="bottom"/>
            <w:hideMark/>
          </w:tcPr>
          <w:p w14:paraId="12B653E8" w14:textId="77777777" w:rsidR="00CD43C2" w:rsidRPr="00755F7F" w:rsidRDefault="00CD43C2" w:rsidP="00E85896">
            <w:pPr>
              <w:jc w:val="right"/>
              <w:rPr>
                <w:b/>
                <w:bCs/>
                <w:color w:val="000000"/>
                <w:sz w:val="16"/>
                <w:szCs w:val="16"/>
              </w:rPr>
            </w:pPr>
            <w:r w:rsidRPr="00755F7F">
              <w:rPr>
                <w:b/>
                <w:bCs/>
                <w:color w:val="000000"/>
                <w:sz w:val="16"/>
                <w:szCs w:val="16"/>
              </w:rPr>
              <w:t>11,193</w:t>
            </w:r>
          </w:p>
        </w:tc>
        <w:tc>
          <w:tcPr>
            <w:tcW w:w="918" w:type="dxa"/>
            <w:tcBorders>
              <w:top w:val="nil"/>
              <w:left w:val="nil"/>
              <w:bottom w:val="nil"/>
              <w:right w:val="nil"/>
            </w:tcBorders>
            <w:vAlign w:val="bottom"/>
            <w:hideMark/>
          </w:tcPr>
          <w:p w14:paraId="77BDB6BB" w14:textId="77777777" w:rsidR="00CD43C2" w:rsidRPr="00755F7F" w:rsidRDefault="00CD43C2" w:rsidP="00E85896">
            <w:pPr>
              <w:jc w:val="right"/>
              <w:rPr>
                <w:b/>
                <w:bCs/>
                <w:color w:val="000000"/>
                <w:sz w:val="16"/>
                <w:szCs w:val="16"/>
              </w:rPr>
            </w:pPr>
            <w:r w:rsidRPr="00755F7F">
              <w:rPr>
                <w:b/>
                <w:bCs/>
                <w:color w:val="000000"/>
                <w:sz w:val="16"/>
                <w:szCs w:val="16"/>
              </w:rPr>
              <w:t>14,479</w:t>
            </w:r>
          </w:p>
        </w:tc>
        <w:tc>
          <w:tcPr>
            <w:tcW w:w="880" w:type="dxa"/>
            <w:tcBorders>
              <w:top w:val="nil"/>
              <w:left w:val="nil"/>
              <w:bottom w:val="nil"/>
              <w:right w:val="nil"/>
            </w:tcBorders>
            <w:vAlign w:val="bottom"/>
            <w:hideMark/>
          </w:tcPr>
          <w:p w14:paraId="441820C4"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13,631</w:t>
            </w:r>
          </w:p>
        </w:tc>
        <w:tc>
          <w:tcPr>
            <w:tcW w:w="880" w:type="dxa"/>
            <w:tcBorders>
              <w:top w:val="nil"/>
              <w:left w:val="nil"/>
              <w:bottom w:val="nil"/>
              <w:right w:val="nil"/>
            </w:tcBorders>
            <w:vAlign w:val="bottom"/>
            <w:hideMark/>
          </w:tcPr>
          <w:p w14:paraId="6CADCA5B"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10,913</w:t>
            </w:r>
          </w:p>
        </w:tc>
        <w:tc>
          <w:tcPr>
            <w:tcW w:w="989" w:type="dxa"/>
            <w:tcBorders>
              <w:top w:val="nil"/>
              <w:left w:val="nil"/>
              <w:bottom w:val="nil"/>
              <w:right w:val="nil"/>
            </w:tcBorders>
            <w:vAlign w:val="bottom"/>
            <w:hideMark/>
          </w:tcPr>
          <w:p w14:paraId="6238E604"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10,771</w:t>
            </w:r>
          </w:p>
        </w:tc>
      </w:tr>
      <w:tr w:rsidR="00CD43C2" w:rsidRPr="00755F7F" w14:paraId="5DE867BD" w14:textId="77777777" w:rsidTr="00E85896">
        <w:trPr>
          <w:trHeight w:val="285"/>
        </w:trPr>
        <w:tc>
          <w:tcPr>
            <w:tcW w:w="4338" w:type="dxa"/>
            <w:tcBorders>
              <w:top w:val="nil"/>
              <w:left w:val="nil"/>
              <w:bottom w:val="nil"/>
              <w:right w:val="nil"/>
            </w:tcBorders>
            <w:vAlign w:val="bottom"/>
            <w:hideMark/>
          </w:tcPr>
          <w:p w14:paraId="28CC68D1" w14:textId="77777777" w:rsidR="00CD43C2" w:rsidRPr="00755F7F" w:rsidRDefault="00CD43C2" w:rsidP="00E85896">
            <w:pPr>
              <w:rPr>
                <w:b/>
                <w:bCs/>
                <w:color w:val="008EBA"/>
                <w:sz w:val="16"/>
                <w:szCs w:val="16"/>
              </w:rPr>
            </w:pPr>
            <w:r w:rsidRPr="00755F7F">
              <w:rPr>
                <w:b/>
                <w:bCs/>
                <w:color w:val="008EBA"/>
                <w:sz w:val="16"/>
                <w:szCs w:val="16"/>
              </w:rPr>
              <w:t>Equals: Net Lending/(Borrowing) [Fiscal Balance]</w:t>
            </w:r>
          </w:p>
        </w:tc>
        <w:tc>
          <w:tcPr>
            <w:tcW w:w="918" w:type="dxa"/>
            <w:tcBorders>
              <w:top w:val="nil"/>
              <w:left w:val="nil"/>
              <w:bottom w:val="nil"/>
              <w:right w:val="nil"/>
            </w:tcBorders>
            <w:vAlign w:val="bottom"/>
            <w:hideMark/>
          </w:tcPr>
          <w:p w14:paraId="44DDDD23"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(21,418)</w:t>
            </w:r>
          </w:p>
        </w:tc>
        <w:tc>
          <w:tcPr>
            <w:tcW w:w="918" w:type="dxa"/>
            <w:tcBorders>
              <w:top w:val="nil"/>
              <w:left w:val="nil"/>
              <w:bottom w:val="nil"/>
              <w:right w:val="nil"/>
            </w:tcBorders>
            <w:vAlign w:val="bottom"/>
            <w:hideMark/>
          </w:tcPr>
          <w:p w14:paraId="0E795EEF" w14:textId="77777777" w:rsidR="00CD43C2" w:rsidRPr="00755F7F" w:rsidRDefault="00CD43C2" w:rsidP="00E85896">
            <w:pPr>
              <w:jc w:val="right"/>
              <w:rPr>
                <w:b/>
                <w:bCs/>
                <w:color w:val="008EBA"/>
                <w:sz w:val="16"/>
                <w:szCs w:val="16"/>
              </w:rPr>
            </w:pPr>
            <w:r w:rsidRPr="00755F7F">
              <w:rPr>
                <w:b/>
                <w:bCs/>
                <w:color w:val="008EBA"/>
                <w:sz w:val="16"/>
                <w:szCs w:val="16"/>
              </w:rPr>
              <w:t>(27,755)</w:t>
            </w:r>
          </w:p>
        </w:tc>
        <w:tc>
          <w:tcPr>
            <w:tcW w:w="918" w:type="dxa"/>
            <w:tcBorders>
              <w:top w:val="nil"/>
              <w:left w:val="nil"/>
              <w:bottom w:val="nil"/>
              <w:right w:val="nil"/>
            </w:tcBorders>
            <w:vAlign w:val="bottom"/>
            <w:hideMark/>
          </w:tcPr>
          <w:p w14:paraId="613BBAC8" w14:textId="77777777" w:rsidR="00CD43C2" w:rsidRPr="00755F7F" w:rsidRDefault="00CD43C2" w:rsidP="00E85896">
            <w:pPr>
              <w:jc w:val="right"/>
              <w:rPr>
                <w:b/>
                <w:bCs/>
                <w:color w:val="008EBA"/>
                <w:sz w:val="16"/>
                <w:szCs w:val="16"/>
              </w:rPr>
            </w:pPr>
            <w:r w:rsidRPr="00755F7F">
              <w:rPr>
                <w:b/>
                <w:bCs/>
                <w:color w:val="008EBA"/>
                <w:sz w:val="16"/>
                <w:szCs w:val="16"/>
              </w:rPr>
              <w:t>(25,740)</w:t>
            </w:r>
          </w:p>
        </w:tc>
        <w:tc>
          <w:tcPr>
            <w:tcW w:w="880" w:type="dxa"/>
            <w:tcBorders>
              <w:top w:val="nil"/>
              <w:left w:val="nil"/>
              <w:bottom w:val="nil"/>
              <w:right w:val="nil"/>
            </w:tcBorders>
            <w:vAlign w:val="bottom"/>
            <w:hideMark/>
          </w:tcPr>
          <w:p w14:paraId="4B798131"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(16,427)</w:t>
            </w:r>
          </w:p>
        </w:tc>
        <w:tc>
          <w:tcPr>
            <w:tcW w:w="880" w:type="dxa"/>
            <w:tcBorders>
              <w:top w:val="nil"/>
              <w:left w:val="nil"/>
              <w:bottom w:val="nil"/>
              <w:right w:val="nil"/>
            </w:tcBorders>
            <w:vAlign w:val="bottom"/>
            <w:hideMark/>
          </w:tcPr>
          <w:p w14:paraId="0F5E1C48"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(10,312)</w:t>
            </w:r>
          </w:p>
        </w:tc>
        <w:tc>
          <w:tcPr>
            <w:tcW w:w="989" w:type="dxa"/>
            <w:tcBorders>
              <w:top w:val="nil"/>
              <w:left w:val="nil"/>
              <w:bottom w:val="nil"/>
              <w:right w:val="nil"/>
            </w:tcBorders>
            <w:vAlign w:val="bottom"/>
            <w:hideMark/>
          </w:tcPr>
          <w:p w14:paraId="286FA3B7" w14:textId="77777777" w:rsidR="00CD43C2" w:rsidRPr="002B70C4" w:rsidRDefault="00CD43C2" w:rsidP="00E85896">
            <w:pPr>
              <w:jc w:val="right"/>
              <w:rPr>
                <w:b/>
                <w:bCs/>
                <w:color w:val="A6A6A6" w:themeColor="background1" w:themeShade="A6"/>
                <w:sz w:val="16"/>
                <w:szCs w:val="16"/>
              </w:rPr>
            </w:pPr>
            <w:r w:rsidRPr="002B70C4">
              <w:rPr>
                <w:b/>
                <w:bCs/>
                <w:color w:val="A6A6A6" w:themeColor="background1" w:themeShade="A6"/>
                <w:sz w:val="16"/>
                <w:szCs w:val="16"/>
              </w:rPr>
              <w:t>(9,340)</w:t>
            </w:r>
          </w:p>
        </w:tc>
      </w:tr>
      <w:tr w:rsidR="00CD43C2" w:rsidRPr="00755F7F" w14:paraId="3DFE3F38" w14:textId="77777777" w:rsidTr="00E85896">
        <w:trPr>
          <w:trHeight w:val="285"/>
        </w:trPr>
        <w:tc>
          <w:tcPr>
            <w:tcW w:w="4338" w:type="dxa"/>
            <w:tcBorders>
              <w:top w:val="single" w:sz="4" w:space="0" w:color="auto"/>
              <w:left w:val="nil"/>
              <w:bottom w:val="nil"/>
              <w:right w:val="nil"/>
            </w:tcBorders>
            <w:vAlign w:val="bottom"/>
            <w:hideMark/>
          </w:tcPr>
          <w:p w14:paraId="37E0A9B5" w14:textId="77777777" w:rsidR="00CD43C2" w:rsidRPr="00755F7F" w:rsidRDefault="00CD43C2" w:rsidP="00E85896">
            <w:pPr>
              <w:rPr>
                <w:b/>
                <w:bCs/>
                <w:color w:val="000000"/>
                <w:sz w:val="16"/>
                <w:szCs w:val="16"/>
              </w:rPr>
            </w:pPr>
            <w:r w:rsidRPr="00755F7F">
              <w:rPr>
                <w:b/>
                <w:bCs/>
                <w:color w:val="000000"/>
                <w:sz w:val="16"/>
                <w:szCs w:val="16"/>
              </w:rPr>
              <w:t>OTHER FISCAL AGGREGATES</w:t>
            </w:r>
          </w:p>
        </w:tc>
        <w:tc>
          <w:tcPr>
            <w:tcW w:w="918" w:type="dxa"/>
            <w:tcBorders>
              <w:top w:val="single" w:sz="4" w:space="0" w:color="auto"/>
              <w:left w:val="nil"/>
              <w:bottom w:val="nil"/>
              <w:right w:val="nil"/>
            </w:tcBorders>
            <w:vAlign w:val="bottom"/>
            <w:hideMark/>
          </w:tcPr>
          <w:p w14:paraId="40DB5BBF" w14:textId="77777777" w:rsidR="00CD43C2" w:rsidRPr="002B70C4" w:rsidRDefault="00CD43C2" w:rsidP="00E85896">
            <w:pPr>
              <w:rPr>
                <w:b/>
                <w:bCs/>
                <w:color w:val="A6A6A6" w:themeColor="background1" w:themeShade="A6"/>
                <w:sz w:val="16"/>
                <w:szCs w:val="16"/>
              </w:rPr>
            </w:pPr>
          </w:p>
        </w:tc>
        <w:tc>
          <w:tcPr>
            <w:tcW w:w="918" w:type="dxa"/>
            <w:tcBorders>
              <w:top w:val="single" w:sz="4" w:space="0" w:color="auto"/>
              <w:left w:val="nil"/>
              <w:bottom w:val="nil"/>
              <w:right w:val="nil"/>
            </w:tcBorders>
            <w:vAlign w:val="bottom"/>
            <w:hideMark/>
          </w:tcPr>
          <w:p w14:paraId="3A5B83CE" w14:textId="77777777" w:rsidR="00CD43C2" w:rsidRPr="00755F7F" w:rsidRDefault="00CD43C2" w:rsidP="00E85896">
            <w:pPr>
              <w:jc w:val="right"/>
            </w:pPr>
          </w:p>
        </w:tc>
        <w:tc>
          <w:tcPr>
            <w:tcW w:w="918" w:type="dxa"/>
            <w:tcBorders>
              <w:top w:val="single" w:sz="4" w:space="0" w:color="auto"/>
              <w:left w:val="nil"/>
              <w:bottom w:val="nil"/>
              <w:right w:val="nil"/>
            </w:tcBorders>
            <w:vAlign w:val="bottom"/>
            <w:hideMark/>
          </w:tcPr>
          <w:p w14:paraId="63DC525F" w14:textId="77777777" w:rsidR="00CD43C2" w:rsidRPr="00755F7F" w:rsidRDefault="00CD43C2" w:rsidP="00E85896">
            <w:pPr>
              <w:jc w:val="right"/>
            </w:pPr>
          </w:p>
        </w:tc>
        <w:tc>
          <w:tcPr>
            <w:tcW w:w="880" w:type="dxa"/>
            <w:tcBorders>
              <w:top w:val="single" w:sz="4" w:space="0" w:color="auto"/>
              <w:left w:val="nil"/>
              <w:bottom w:val="nil"/>
              <w:right w:val="nil"/>
            </w:tcBorders>
            <w:vAlign w:val="bottom"/>
            <w:hideMark/>
          </w:tcPr>
          <w:p w14:paraId="1650ECDE" w14:textId="77777777" w:rsidR="00CD43C2" w:rsidRPr="002B70C4" w:rsidRDefault="00CD43C2" w:rsidP="00E85896">
            <w:pPr>
              <w:jc w:val="right"/>
              <w:rPr>
                <w:color w:val="A6A6A6" w:themeColor="background1" w:themeShade="A6"/>
              </w:rPr>
            </w:pPr>
          </w:p>
        </w:tc>
        <w:tc>
          <w:tcPr>
            <w:tcW w:w="880" w:type="dxa"/>
            <w:tcBorders>
              <w:top w:val="single" w:sz="4" w:space="0" w:color="auto"/>
              <w:left w:val="nil"/>
              <w:bottom w:val="nil"/>
              <w:right w:val="nil"/>
            </w:tcBorders>
            <w:vAlign w:val="bottom"/>
            <w:hideMark/>
          </w:tcPr>
          <w:p w14:paraId="399BB8C5" w14:textId="77777777" w:rsidR="00CD43C2" w:rsidRPr="002B70C4" w:rsidRDefault="00CD43C2" w:rsidP="00E85896">
            <w:pPr>
              <w:jc w:val="right"/>
              <w:rPr>
                <w:color w:val="A6A6A6" w:themeColor="background1" w:themeShade="A6"/>
              </w:rPr>
            </w:pPr>
          </w:p>
        </w:tc>
        <w:tc>
          <w:tcPr>
            <w:tcW w:w="989" w:type="dxa"/>
            <w:tcBorders>
              <w:top w:val="single" w:sz="4" w:space="0" w:color="auto"/>
              <w:left w:val="nil"/>
              <w:bottom w:val="nil"/>
              <w:right w:val="nil"/>
            </w:tcBorders>
            <w:vAlign w:val="bottom"/>
            <w:hideMark/>
          </w:tcPr>
          <w:p w14:paraId="260C3948" w14:textId="77777777" w:rsidR="00CD43C2" w:rsidRPr="002B70C4" w:rsidRDefault="00CD43C2" w:rsidP="00E85896">
            <w:pPr>
              <w:jc w:val="right"/>
              <w:rPr>
                <w:color w:val="A6A6A6" w:themeColor="background1" w:themeShade="A6"/>
              </w:rPr>
            </w:pPr>
          </w:p>
        </w:tc>
      </w:tr>
      <w:tr w:rsidR="00CD43C2" w:rsidRPr="00755F7F" w14:paraId="1AECFA4A" w14:textId="77777777" w:rsidTr="00E85896">
        <w:trPr>
          <w:trHeight w:val="285"/>
        </w:trPr>
        <w:tc>
          <w:tcPr>
            <w:tcW w:w="4338" w:type="dxa"/>
            <w:tcBorders>
              <w:top w:val="nil"/>
              <w:left w:val="nil"/>
              <w:bottom w:val="single" w:sz="4" w:space="0" w:color="auto"/>
              <w:right w:val="nil"/>
            </w:tcBorders>
            <w:shd w:val="clear" w:color="000000" w:fill="FFFFFF"/>
            <w:noWrap/>
            <w:vAlign w:val="bottom"/>
            <w:hideMark/>
          </w:tcPr>
          <w:p w14:paraId="5DCC2CCC" w14:textId="77777777" w:rsidR="00CD43C2" w:rsidRPr="00755F7F" w:rsidRDefault="00CD43C2" w:rsidP="00E85896">
            <w:pPr>
              <w:rPr>
                <w:color w:val="000000"/>
                <w:sz w:val="16"/>
                <w:szCs w:val="16"/>
              </w:rPr>
            </w:pPr>
            <w:r w:rsidRPr="00755F7F">
              <w:rPr>
                <w:color w:val="000000"/>
                <w:sz w:val="16"/>
                <w:szCs w:val="16"/>
              </w:rPr>
              <w:t>Capital Expenditure</w:t>
            </w:r>
            <w:r w:rsidRPr="00755F7F">
              <w:rPr>
                <w:color w:val="000000"/>
                <w:sz w:val="16"/>
                <w:szCs w:val="16"/>
                <w:vertAlign w:val="superscript"/>
              </w:rPr>
              <w:t>(a)</w:t>
            </w:r>
          </w:p>
        </w:tc>
        <w:tc>
          <w:tcPr>
            <w:tcW w:w="918" w:type="dxa"/>
            <w:tcBorders>
              <w:top w:val="nil"/>
              <w:left w:val="nil"/>
              <w:bottom w:val="single" w:sz="4" w:space="0" w:color="auto"/>
              <w:right w:val="nil"/>
            </w:tcBorders>
            <w:vAlign w:val="bottom"/>
            <w:hideMark/>
          </w:tcPr>
          <w:p w14:paraId="7CDF65B2"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18,818</w:t>
            </w:r>
          </w:p>
        </w:tc>
        <w:tc>
          <w:tcPr>
            <w:tcW w:w="918" w:type="dxa"/>
            <w:tcBorders>
              <w:top w:val="nil"/>
              <w:left w:val="nil"/>
              <w:bottom w:val="single" w:sz="4" w:space="0" w:color="auto"/>
              <w:right w:val="nil"/>
            </w:tcBorders>
            <w:vAlign w:val="bottom"/>
            <w:hideMark/>
          </w:tcPr>
          <w:p w14:paraId="214D6AD5" w14:textId="77777777" w:rsidR="00CD43C2" w:rsidRPr="00755F7F" w:rsidRDefault="00CD43C2" w:rsidP="00E85896">
            <w:pPr>
              <w:jc w:val="right"/>
              <w:rPr>
                <w:color w:val="000000"/>
                <w:sz w:val="16"/>
                <w:szCs w:val="16"/>
              </w:rPr>
            </w:pPr>
            <w:r w:rsidRPr="00755F7F">
              <w:rPr>
                <w:color w:val="000000"/>
                <w:sz w:val="16"/>
                <w:szCs w:val="16"/>
              </w:rPr>
              <w:t>19,734</w:t>
            </w:r>
          </w:p>
        </w:tc>
        <w:tc>
          <w:tcPr>
            <w:tcW w:w="918" w:type="dxa"/>
            <w:tcBorders>
              <w:top w:val="nil"/>
              <w:left w:val="nil"/>
              <w:bottom w:val="single" w:sz="4" w:space="0" w:color="auto"/>
              <w:right w:val="nil"/>
            </w:tcBorders>
            <w:vAlign w:val="bottom"/>
            <w:hideMark/>
          </w:tcPr>
          <w:p w14:paraId="320828F3" w14:textId="77777777" w:rsidR="00CD43C2" w:rsidRPr="00755F7F" w:rsidRDefault="00CD43C2" w:rsidP="00E85896">
            <w:pPr>
              <w:jc w:val="right"/>
              <w:rPr>
                <w:color w:val="000000"/>
                <w:sz w:val="16"/>
                <w:szCs w:val="16"/>
              </w:rPr>
            </w:pPr>
            <w:r w:rsidRPr="00755F7F">
              <w:rPr>
                <w:color w:val="000000"/>
                <w:sz w:val="16"/>
                <w:szCs w:val="16"/>
              </w:rPr>
              <w:t>22,666</w:t>
            </w:r>
          </w:p>
        </w:tc>
        <w:tc>
          <w:tcPr>
            <w:tcW w:w="880" w:type="dxa"/>
            <w:tcBorders>
              <w:top w:val="nil"/>
              <w:left w:val="nil"/>
              <w:bottom w:val="single" w:sz="4" w:space="0" w:color="auto"/>
              <w:right w:val="nil"/>
            </w:tcBorders>
            <w:vAlign w:val="bottom"/>
            <w:hideMark/>
          </w:tcPr>
          <w:p w14:paraId="7E17B54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22,646</w:t>
            </w:r>
          </w:p>
        </w:tc>
        <w:tc>
          <w:tcPr>
            <w:tcW w:w="880" w:type="dxa"/>
            <w:tcBorders>
              <w:top w:val="nil"/>
              <w:left w:val="nil"/>
              <w:bottom w:val="single" w:sz="4" w:space="0" w:color="auto"/>
              <w:right w:val="nil"/>
            </w:tcBorders>
            <w:vAlign w:val="bottom"/>
            <w:hideMark/>
          </w:tcPr>
          <w:p w14:paraId="6E91B403"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21,968</w:t>
            </w:r>
          </w:p>
        </w:tc>
        <w:tc>
          <w:tcPr>
            <w:tcW w:w="989" w:type="dxa"/>
            <w:tcBorders>
              <w:top w:val="nil"/>
              <w:left w:val="nil"/>
              <w:bottom w:val="single" w:sz="4" w:space="0" w:color="auto"/>
              <w:right w:val="nil"/>
            </w:tcBorders>
            <w:vAlign w:val="bottom"/>
            <w:hideMark/>
          </w:tcPr>
          <w:p w14:paraId="66B3CDD9" w14:textId="77777777" w:rsidR="00CD43C2" w:rsidRPr="002B70C4" w:rsidRDefault="00CD43C2" w:rsidP="00E85896">
            <w:pPr>
              <w:jc w:val="right"/>
              <w:rPr>
                <w:color w:val="A6A6A6" w:themeColor="background1" w:themeShade="A6"/>
                <w:sz w:val="16"/>
                <w:szCs w:val="16"/>
              </w:rPr>
            </w:pPr>
            <w:r w:rsidRPr="002B70C4">
              <w:rPr>
                <w:color w:val="A6A6A6" w:themeColor="background1" w:themeShade="A6"/>
                <w:sz w:val="16"/>
                <w:szCs w:val="16"/>
              </w:rPr>
              <w:t>21,114</w:t>
            </w:r>
          </w:p>
        </w:tc>
      </w:tr>
    </w:tbl>
    <w:p w14:paraId="104AB769" w14:textId="77777777" w:rsidR="00CD43C2" w:rsidRPr="00515FDA" w:rsidRDefault="00CD43C2" w:rsidP="00CD43C2">
      <w:pPr>
        <w:rPr>
          <w:sz w:val="6"/>
          <w:szCs w:val="6"/>
        </w:rPr>
      </w:pPr>
    </w:p>
    <w:p w14:paraId="094AD0A7" w14:textId="0D99C9A5" w:rsidR="00036B4A" w:rsidRDefault="00036B4A">
      <w:pPr>
        <w:widowControl/>
        <w:tabs>
          <w:tab w:val="clear" w:pos="4196"/>
          <w:tab w:val="clear" w:pos="5046"/>
          <w:tab w:val="clear" w:pos="5897"/>
          <w:tab w:val="clear" w:pos="6747"/>
          <w:tab w:val="clear" w:pos="7598"/>
        </w:tabs>
        <w:autoSpaceDE/>
        <w:autoSpaceDN/>
      </w:pPr>
      <w:r>
        <w:br w:type="page"/>
      </w:r>
    </w:p>
    <w:p w14:paraId="5D6D5943" w14:textId="20C31795" w:rsidR="001122D0" w:rsidRDefault="001122D0" w:rsidP="001122D0">
      <w:pPr>
        <w:pStyle w:val="Heading3"/>
      </w:pPr>
      <w:r>
        <w:lastRenderedPageBreak/>
        <w:t>Balance Sheet</w:t>
      </w:r>
    </w:p>
    <w:p w14:paraId="7580835D" w14:textId="62E65AD7" w:rsidR="002F7619" w:rsidRPr="00385DEC" w:rsidRDefault="00D27B29" w:rsidP="003B5132">
      <w:pPr>
        <w:pStyle w:val="BodyText"/>
      </w:pPr>
      <w:r w:rsidRPr="00385DEC">
        <w:t xml:space="preserve">The </w:t>
      </w:r>
      <w:r w:rsidR="006633E6" w:rsidRPr="00385DEC">
        <w:t xml:space="preserve">Balance Sheet </w:t>
      </w:r>
      <w:r w:rsidR="002F7619" w:rsidRPr="00385DEC">
        <w:t xml:space="preserve">records the value of financial and non-financial assets and liabilities of the </w:t>
      </w:r>
      <w:r w:rsidR="008E6504">
        <w:t>g</w:t>
      </w:r>
      <w:r w:rsidR="002F7619" w:rsidRPr="00385DEC">
        <w:t xml:space="preserve">overnment at the end of the financial year. It is a stock measure – highlighting the fiscal position of the </w:t>
      </w:r>
      <w:r w:rsidR="00345754">
        <w:t xml:space="preserve">NSW </w:t>
      </w:r>
      <w:r w:rsidR="002F7619" w:rsidRPr="00385DEC">
        <w:t>Government at a point in time.</w:t>
      </w:r>
    </w:p>
    <w:p w14:paraId="5E3C8B08" w14:textId="77777777" w:rsidR="002F7619" w:rsidRPr="00385DEC" w:rsidRDefault="002F7619" w:rsidP="003B5132">
      <w:pPr>
        <w:pStyle w:val="BodyText"/>
      </w:pPr>
      <w:r w:rsidRPr="00385DEC">
        <w:t>The balance sheet details the following fiscal aggregates:</w:t>
      </w:r>
    </w:p>
    <w:p w14:paraId="10CD1EDF" w14:textId="7C58AA1B" w:rsidR="00631589" w:rsidRDefault="00E77EF1" w:rsidP="003B5132">
      <w:pPr>
        <w:pStyle w:val="Bullet1"/>
      </w:pPr>
      <w:r>
        <w:t>t</w:t>
      </w:r>
      <w:r w:rsidR="00631589">
        <w:t>otal assets and liabilities</w:t>
      </w:r>
    </w:p>
    <w:p w14:paraId="53AEA2AC" w14:textId="5C06ED5E" w:rsidR="002F7619" w:rsidRDefault="00FA5456" w:rsidP="003B5132">
      <w:pPr>
        <w:pStyle w:val="Bullet1"/>
      </w:pPr>
      <w:r>
        <w:t>n</w:t>
      </w:r>
      <w:r w:rsidR="002F7619">
        <w:t>et financial worth</w:t>
      </w:r>
    </w:p>
    <w:p w14:paraId="6DA3887B" w14:textId="4A541908" w:rsidR="002F7619" w:rsidRDefault="00FA5456" w:rsidP="003B5132">
      <w:pPr>
        <w:pStyle w:val="Bullet1"/>
      </w:pPr>
      <w:r>
        <w:t>n</w:t>
      </w:r>
      <w:r w:rsidR="002F7619">
        <w:t>et worth</w:t>
      </w:r>
    </w:p>
    <w:p w14:paraId="35B7DB62" w14:textId="1751195B" w:rsidR="002F7619" w:rsidRDefault="00FA5456" w:rsidP="003B5132">
      <w:pPr>
        <w:pStyle w:val="Bullet1"/>
      </w:pPr>
      <w:r>
        <w:t>n</w:t>
      </w:r>
      <w:r w:rsidR="002F7619">
        <w:t xml:space="preserve">et financial </w:t>
      </w:r>
      <w:r w:rsidR="00C544FF">
        <w:t>liabilities</w:t>
      </w:r>
    </w:p>
    <w:p w14:paraId="69680C73" w14:textId="1D467C8C" w:rsidR="002F7619" w:rsidRDefault="00FA5456" w:rsidP="003B5132">
      <w:pPr>
        <w:pStyle w:val="Bullet1"/>
      </w:pPr>
      <w:r>
        <w:t>n</w:t>
      </w:r>
      <w:r w:rsidR="002F7619">
        <w:t>et debt.</w:t>
      </w:r>
    </w:p>
    <w:p w14:paraId="57B28D6A" w14:textId="03D00702" w:rsidR="00456E00" w:rsidRDefault="6FEC4417" w:rsidP="003B5132">
      <w:pPr>
        <w:pStyle w:val="BodyText"/>
      </w:pPr>
      <w:r>
        <w:t>Figure 4</w:t>
      </w:r>
      <w:r w:rsidR="00D27B29">
        <w:t xml:space="preserve"> below provides an example of a </w:t>
      </w:r>
      <w:r w:rsidR="006633E6">
        <w:t>Balance Sheet</w:t>
      </w:r>
      <w:r w:rsidR="002F7619">
        <w:t>, detailing the concepts listed above</w:t>
      </w:r>
      <w:r w:rsidR="00D27B29">
        <w:t xml:space="preserve">. </w:t>
      </w:r>
    </w:p>
    <w:p w14:paraId="69D90730" w14:textId="77777777" w:rsidR="00456E00" w:rsidRDefault="00456E00">
      <w:pPr>
        <w:widowControl/>
        <w:tabs>
          <w:tab w:val="clear" w:pos="4196"/>
          <w:tab w:val="clear" w:pos="5046"/>
          <w:tab w:val="clear" w:pos="5897"/>
          <w:tab w:val="clear" w:pos="6747"/>
          <w:tab w:val="clear" w:pos="7598"/>
        </w:tabs>
        <w:autoSpaceDE/>
        <w:autoSpaceDN/>
        <w:rPr>
          <w:rFonts w:eastAsia="Calibri" w:cs="Times New Roman"/>
          <w:iCs/>
          <w:sz w:val="22"/>
          <w:szCs w:val="16"/>
          <w:lang w:val="en-US" w:eastAsia="ja-JP"/>
        </w:rPr>
      </w:pPr>
      <w:r>
        <w:br w:type="page"/>
      </w:r>
    </w:p>
    <w:p w14:paraId="3EA9CB0A" w14:textId="09BB63FE" w:rsidR="0097085C" w:rsidRDefault="00D14430" w:rsidP="00E2024F">
      <w:pPr>
        <w:tabs>
          <w:tab w:val="left" w:pos="1276"/>
        </w:tabs>
        <w:spacing w:before="240" w:after="120"/>
        <w:rPr>
          <w:i/>
          <w:iCs/>
          <w:color w:val="4F4F4F"/>
          <w:sz w:val="22"/>
          <w:szCs w:val="22"/>
        </w:rPr>
      </w:pPr>
      <w:r w:rsidRPr="00E2024F">
        <w:rPr>
          <w:i/>
          <w:noProof/>
          <w:color w:val="4F4F4F"/>
          <w:sz w:val="22"/>
          <w:szCs w:val="22"/>
        </w:rPr>
        <w:lastRenderedPageBreak/>
        <mc:AlternateContent>
          <mc:Choice Requires="wps">
            <w:drawing>
              <wp:anchor distT="0" distB="0" distL="114300" distR="114300" simplePos="0" relativeHeight="251658249" behindDoc="0" locked="0" layoutInCell="1" allowOverlap="1" wp14:anchorId="5476F19A" wp14:editId="0867F811">
                <wp:simplePos x="0" y="0"/>
                <wp:positionH relativeFrom="column">
                  <wp:posOffset>4039079</wp:posOffset>
                </wp:positionH>
                <wp:positionV relativeFrom="paragraph">
                  <wp:posOffset>228600</wp:posOffset>
                </wp:positionV>
                <wp:extent cx="1295400" cy="251460"/>
                <wp:effectExtent l="0" t="0" r="19050" b="91440"/>
                <wp:wrapNone/>
                <wp:docPr id="19" name="Speech Bubble: Rectangle with Corners Rounded 18">
                  <a:extLst xmlns:a="http://schemas.openxmlformats.org/drawingml/2006/main">
                    <a:ext uri="{FF2B5EF4-FFF2-40B4-BE49-F238E27FC236}">
                      <a16:creationId xmlns:a16="http://schemas.microsoft.com/office/drawing/2014/main" id="{9419D10A-EFE2-4788-A4BB-CE2FA83B06C4}"/>
                    </a:ext>
                  </a:extLst>
                </wp:docPr>
                <wp:cNvGraphicFramePr/>
                <a:graphic xmlns:a="http://schemas.openxmlformats.org/drawingml/2006/main">
                  <a:graphicData uri="http://schemas.microsoft.com/office/word/2010/wordprocessingShape">
                    <wps:wsp>
                      <wps:cNvSpPr/>
                      <wps:spPr>
                        <a:xfrm>
                          <a:off x="0" y="0"/>
                          <a:ext cx="1295400" cy="251460"/>
                        </a:xfrm>
                        <a:prstGeom prst="wedgeRoundRectCallout">
                          <a:avLst>
                            <a:gd name="adj1" fmla="val -37114"/>
                            <a:gd name="adj2" fmla="val 78552"/>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1657DAC1" w14:textId="234E32D1" w:rsidR="005B1B1A" w:rsidRDefault="001122D0" w:rsidP="005B1B1A">
                            <w:pPr>
                              <w:rPr>
                                <w:sz w:val="24"/>
                                <w:szCs w:val="24"/>
                              </w:rPr>
                            </w:pPr>
                            <w:r>
                              <w:rPr>
                                <w:b/>
                                <w:color w:val="44546A" w:themeColor="text2"/>
                                <w:kern w:val="24"/>
                                <w:sz w:val="18"/>
                                <w:szCs w:val="18"/>
                              </w:rPr>
                              <w:t xml:space="preserve">end of </w:t>
                            </w:r>
                            <w:r w:rsidR="005B1B1A">
                              <w:rPr>
                                <w:b/>
                                <w:color w:val="44546A" w:themeColor="text2"/>
                                <w:kern w:val="24"/>
                                <w:sz w:val="18"/>
                                <w:szCs w:val="18"/>
                              </w:rPr>
                              <w:t>Budget year</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5476F19A" id="Speech Bubble: Rectangle with Corners Rounded 18" o:spid="_x0000_s1078" type="#_x0000_t62" style="position:absolute;margin-left:318.05pt;margin-top:18pt;width:102pt;height:19.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" adj="2783,27767" fillcolor="#f2f2f2 [3052]" strokecolor="#44546a [3215]" strokeweight="1.75pt">
                <v:stroke dashstyle="3 1"/>
                <v:textbox inset="1mm,1mm,1mm,1mm">
                  <w:txbxContent>
                    <w:p w14:paraId="1657DAC1" w14:textId="234E32D1" w:rsidR="005B1B1A" w:rsidRDefault="001122D0" w:rsidP="005B1B1A">
                      <w:pPr>
                        <w:rPr>
                          <w:sz w:val="24"/>
                          <w:szCs w:val="24"/>
                        </w:rPr>
                      </w:pPr>
                      <w:r>
                        <w:rPr>
                          <w:b/>
                          <w:color w:val="44546A" w:themeColor="text2"/>
                          <w:kern w:val="24"/>
                          <w:sz w:val="18"/>
                          <w:szCs w:val="18"/>
                        </w:rPr>
                        <w:t xml:space="preserve">end of </w:t>
                      </w:r>
                      <w:r w:rsidR="005B1B1A">
                        <w:rPr>
                          <w:b/>
                          <w:color w:val="44546A" w:themeColor="text2"/>
                          <w:kern w:val="24"/>
                          <w:sz w:val="18"/>
                          <w:szCs w:val="18"/>
                        </w:rPr>
                        <w:t>Budget year</w:t>
                      </w:r>
                    </w:p>
                  </w:txbxContent>
                </v:textbox>
              </v:shape>
            </w:pict>
          </mc:Fallback>
        </mc:AlternateContent>
      </w:r>
      <w:r w:rsidR="00FD60A6" w:rsidRPr="5E0D339E">
        <w:rPr>
          <w:i/>
          <w:iCs/>
          <w:color w:val="4F4F4F"/>
          <w:sz w:val="22"/>
          <w:szCs w:val="22"/>
        </w:rPr>
        <w:t>Figure 4:</w:t>
      </w:r>
      <w:r w:rsidR="00FD60A6" w:rsidRPr="00E2024F">
        <w:rPr>
          <w:i/>
          <w:iCs/>
          <w:color w:val="4F4F4F"/>
          <w:sz w:val="22"/>
          <w:szCs w:val="22"/>
        </w:rPr>
        <w:tab/>
      </w:r>
      <w:r w:rsidR="003B6A48" w:rsidRPr="5E0D339E">
        <w:rPr>
          <w:i/>
          <w:iCs/>
          <w:color w:val="4F4F4F"/>
          <w:sz w:val="22"/>
          <w:szCs w:val="22"/>
        </w:rPr>
        <w:t>Exemplar Balance Sheet</w:t>
      </w:r>
    </w:p>
    <w:p w14:paraId="1538FA6E" w14:textId="2471F723" w:rsidR="0097085C" w:rsidRDefault="000C75B0" w:rsidP="00600F4C">
      <w:pPr>
        <w:widowControl/>
        <w:tabs>
          <w:tab w:val="clear" w:pos="4196"/>
          <w:tab w:val="clear" w:pos="5046"/>
          <w:tab w:val="clear" w:pos="5897"/>
          <w:tab w:val="clear" w:pos="6747"/>
          <w:tab w:val="clear" w:pos="7598"/>
        </w:tabs>
        <w:autoSpaceDE/>
        <w:autoSpaceDN/>
        <w:rPr>
          <w:b/>
          <w:color w:val="44546A" w:themeColor="text2"/>
          <w:kern w:val="28"/>
        </w:rPr>
      </w:pPr>
      <w:r w:rsidRPr="00600F4C">
        <w:rPr>
          <w:b/>
          <w:color w:val="44546A" w:themeColor="text2"/>
          <w:kern w:val="28"/>
        </w:rPr>
        <w:t xml:space="preserve">Balance Sheet - </w:t>
      </w:r>
      <w:r w:rsidR="0097085C" w:rsidRPr="00D14430">
        <w:rPr>
          <w:bCs/>
          <w:color w:val="44546A" w:themeColor="text2"/>
          <w:kern w:val="28"/>
        </w:rPr>
        <w:t>Table A.1.2 in Budget Paper No. 1</w:t>
      </w:r>
    </w:p>
    <w:p w14:paraId="2EE43B85" w14:textId="77777777" w:rsidR="00600F4C" w:rsidRPr="00600F4C" w:rsidRDefault="00600F4C" w:rsidP="00600F4C">
      <w:pPr>
        <w:widowControl/>
        <w:tabs>
          <w:tab w:val="clear" w:pos="4196"/>
          <w:tab w:val="clear" w:pos="5046"/>
          <w:tab w:val="clear" w:pos="5897"/>
          <w:tab w:val="clear" w:pos="6747"/>
          <w:tab w:val="clear" w:pos="7598"/>
        </w:tabs>
        <w:autoSpaceDE/>
        <w:autoSpaceDN/>
        <w:rPr>
          <w:b/>
          <w:color w:val="44546A" w:themeColor="text2"/>
          <w:kern w:val="28"/>
        </w:rPr>
      </w:pPr>
    </w:p>
    <w:tbl>
      <w:tblPr>
        <w:tblW w:w="10048" w:type="dxa"/>
        <w:tblLook w:val="04A0" w:firstRow="1" w:lastRow="0" w:firstColumn="1" w:lastColumn="0" w:noHBand="0" w:noVBand="1"/>
      </w:tblPr>
      <w:tblGrid>
        <w:gridCol w:w="4212"/>
        <w:gridCol w:w="964"/>
        <w:gridCol w:w="964"/>
        <w:gridCol w:w="964"/>
        <w:gridCol w:w="879"/>
        <w:gridCol w:w="41"/>
        <w:gridCol w:w="44"/>
        <w:gridCol w:w="794"/>
        <w:gridCol w:w="82"/>
        <w:gridCol w:w="88"/>
        <w:gridCol w:w="964"/>
        <w:gridCol w:w="52"/>
      </w:tblGrid>
      <w:tr w:rsidR="00C95312" w:rsidRPr="00F51109" w14:paraId="75A4877A" w14:textId="77777777" w:rsidTr="00E85896">
        <w:trPr>
          <w:trHeight w:val="283"/>
        </w:trPr>
        <w:tc>
          <w:tcPr>
            <w:tcW w:w="4212" w:type="dxa"/>
            <w:tcBorders>
              <w:top w:val="nil"/>
              <w:left w:val="nil"/>
              <w:bottom w:val="nil"/>
              <w:right w:val="nil"/>
            </w:tcBorders>
            <w:shd w:val="clear" w:color="000000" w:fill="008EBA"/>
            <w:vAlign w:val="center"/>
            <w:hideMark/>
          </w:tcPr>
          <w:p w14:paraId="2AC8067C" w14:textId="77777777" w:rsidR="00C95312" w:rsidRPr="00F51109" w:rsidRDefault="00C95312" w:rsidP="00E85896">
            <w:pPr>
              <w:jc w:val="center"/>
              <w:rPr>
                <w:color w:val="000000"/>
                <w:sz w:val="16"/>
                <w:szCs w:val="16"/>
                <w:lang w:eastAsia="ko-KR"/>
              </w:rPr>
            </w:pPr>
            <w:r w:rsidRPr="00F51109">
              <w:rPr>
                <w:color w:val="000000"/>
                <w:sz w:val="16"/>
                <w:szCs w:val="16"/>
                <w:lang w:eastAsia="ko-KR"/>
              </w:rPr>
              <w:t> </w:t>
            </w:r>
          </w:p>
        </w:tc>
        <w:tc>
          <w:tcPr>
            <w:tcW w:w="964" w:type="dxa"/>
            <w:tcBorders>
              <w:top w:val="nil"/>
              <w:left w:val="nil"/>
              <w:bottom w:val="nil"/>
              <w:right w:val="nil"/>
            </w:tcBorders>
            <w:shd w:val="clear" w:color="000000" w:fill="008EBA"/>
            <w:vAlign w:val="bottom"/>
            <w:hideMark/>
          </w:tcPr>
          <w:p w14:paraId="56AD9B76"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2021</w:t>
            </w:r>
          </w:p>
        </w:tc>
        <w:tc>
          <w:tcPr>
            <w:tcW w:w="964" w:type="dxa"/>
            <w:tcBorders>
              <w:top w:val="nil"/>
              <w:left w:val="nil"/>
              <w:bottom w:val="nil"/>
              <w:right w:val="nil"/>
            </w:tcBorders>
            <w:shd w:val="clear" w:color="000000" w:fill="008EBA"/>
            <w:vAlign w:val="bottom"/>
            <w:hideMark/>
          </w:tcPr>
          <w:p w14:paraId="5D31E498"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2022</w:t>
            </w:r>
          </w:p>
        </w:tc>
        <w:tc>
          <w:tcPr>
            <w:tcW w:w="964" w:type="dxa"/>
            <w:tcBorders>
              <w:top w:val="nil"/>
              <w:left w:val="nil"/>
              <w:bottom w:val="nil"/>
              <w:right w:val="nil"/>
            </w:tcBorders>
            <w:shd w:val="clear" w:color="000000" w:fill="008EBA"/>
            <w:vAlign w:val="bottom"/>
            <w:hideMark/>
          </w:tcPr>
          <w:p w14:paraId="5E1B762E" w14:textId="4A3A711A"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2023</w:t>
            </w:r>
          </w:p>
        </w:tc>
        <w:tc>
          <w:tcPr>
            <w:tcW w:w="920" w:type="dxa"/>
            <w:gridSpan w:val="2"/>
            <w:tcBorders>
              <w:top w:val="nil"/>
              <w:left w:val="nil"/>
              <w:bottom w:val="nil"/>
              <w:right w:val="nil"/>
            </w:tcBorders>
            <w:shd w:val="clear" w:color="000000" w:fill="008EBA"/>
            <w:vAlign w:val="bottom"/>
            <w:hideMark/>
          </w:tcPr>
          <w:p w14:paraId="5E91B02E"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2024</w:t>
            </w:r>
          </w:p>
        </w:tc>
        <w:tc>
          <w:tcPr>
            <w:tcW w:w="920" w:type="dxa"/>
            <w:gridSpan w:val="3"/>
            <w:tcBorders>
              <w:top w:val="nil"/>
              <w:left w:val="nil"/>
              <w:bottom w:val="nil"/>
              <w:right w:val="nil"/>
            </w:tcBorders>
            <w:shd w:val="clear" w:color="000000" w:fill="008EBA"/>
            <w:vAlign w:val="bottom"/>
            <w:hideMark/>
          </w:tcPr>
          <w:p w14:paraId="1620BD04"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2025</w:t>
            </w:r>
          </w:p>
        </w:tc>
        <w:tc>
          <w:tcPr>
            <w:tcW w:w="1104" w:type="dxa"/>
            <w:gridSpan w:val="3"/>
            <w:tcBorders>
              <w:top w:val="nil"/>
              <w:left w:val="nil"/>
              <w:bottom w:val="nil"/>
              <w:right w:val="nil"/>
            </w:tcBorders>
            <w:shd w:val="clear" w:color="000000" w:fill="008EBA"/>
            <w:vAlign w:val="bottom"/>
            <w:hideMark/>
          </w:tcPr>
          <w:p w14:paraId="00FFEFF0"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June 2026</w:t>
            </w:r>
          </w:p>
        </w:tc>
      </w:tr>
      <w:tr w:rsidR="00C95312" w:rsidRPr="00F51109" w14:paraId="0F502847" w14:textId="77777777" w:rsidTr="00E85896">
        <w:trPr>
          <w:trHeight w:val="227"/>
        </w:trPr>
        <w:tc>
          <w:tcPr>
            <w:tcW w:w="4212" w:type="dxa"/>
            <w:tcBorders>
              <w:top w:val="nil"/>
              <w:left w:val="nil"/>
              <w:bottom w:val="nil"/>
              <w:right w:val="nil"/>
            </w:tcBorders>
            <w:shd w:val="clear" w:color="000000" w:fill="008EBA"/>
            <w:vAlign w:val="center"/>
            <w:hideMark/>
          </w:tcPr>
          <w:p w14:paraId="43EE437D" w14:textId="77777777" w:rsidR="00C95312" w:rsidRPr="00F51109" w:rsidRDefault="00C95312" w:rsidP="00E85896">
            <w:pPr>
              <w:jc w:val="center"/>
              <w:rPr>
                <w:color w:val="000000"/>
                <w:sz w:val="16"/>
                <w:szCs w:val="16"/>
                <w:lang w:eastAsia="ko-KR"/>
              </w:rPr>
            </w:pPr>
            <w:r w:rsidRPr="00F51109">
              <w:rPr>
                <w:color w:val="000000"/>
                <w:sz w:val="16"/>
                <w:szCs w:val="16"/>
                <w:lang w:eastAsia="ko-KR"/>
              </w:rPr>
              <w:t> </w:t>
            </w:r>
          </w:p>
        </w:tc>
        <w:tc>
          <w:tcPr>
            <w:tcW w:w="964" w:type="dxa"/>
            <w:tcBorders>
              <w:top w:val="nil"/>
              <w:left w:val="nil"/>
              <w:bottom w:val="nil"/>
              <w:right w:val="nil"/>
            </w:tcBorders>
            <w:shd w:val="clear" w:color="000000" w:fill="008EBA"/>
            <w:hideMark/>
          </w:tcPr>
          <w:p w14:paraId="269FF4A5" w14:textId="77777777" w:rsidR="00C95312" w:rsidRPr="00F51109" w:rsidRDefault="00C95312" w:rsidP="00E85896">
            <w:pPr>
              <w:ind w:left="-57" w:right="-57"/>
              <w:jc w:val="center"/>
              <w:rPr>
                <w:color w:val="FFFFFF"/>
                <w:sz w:val="16"/>
                <w:szCs w:val="16"/>
                <w:lang w:eastAsia="ko-KR"/>
              </w:rPr>
            </w:pPr>
            <w:r w:rsidRPr="00F51109">
              <w:rPr>
                <w:color w:val="FFFFFF"/>
                <w:sz w:val="16"/>
                <w:szCs w:val="16"/>
                <w:lang w:eastAsia="ko-KR"/>
              </w:rPr>
              <w:t>Actual</w:t>
            </w:r>
          </w:p>
        </w:tc>
        <w:tc>
          <w:tcPr>
            <w:tcW w:w="964" w:type="dxa"/>
            <w:tcBorders>
              <w:top w:val="nil"/>
              <w:left w:val="nil"/>
              <w:bottom w:val="nil"/>
              <w:right w:val="nil"/>
            </w:tcBorders>
            <w:shd w:val="clear" w:color="000000" w:fill="008EBA"/>
            <w:hideMark/>
          </w:tcPr>
          <w:p w14:paraId="61791670"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Revised</w:t>
            </w:r>
          </w:p>
        </w:tc>
        <w:tc>
          <w:tcPr>
            <w:tcW w:w="964" w:type="dxa"/>
            <w:tcBorders>
              <w:top w:val="nil"/>
              <w:left w:val="nil"/>
              <w:bottom w:val="nil"/>
              <w:right w:val="nil"/>
            </w:tcBorders>
            <w:shd w:val="clear" w:color="000000" w:fill="008EBA"/>
            <w:hideMark/>
          </w:tcPr>
          <w:p w14:paraId="7D5E9EE0"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Budget</w:t>
            </w:r>
          </w:p>
        </w:tc>
        <w:tc>
          <w:tcPr>
            <w:tcW w:w="2944" w:type="dxa"/>
            <w:gridSpan w:val="8"/>
            <w:tcBorders>
              <w:top w:val="nil"/>
              <w:left w:val="nil"/>
              <w:bottom w:val="nil"/>
              <w:right w:val="nil"/>
            </w:tcBorders>
            <w:shd w:val="clear" w:color="000000" w:fill="008EBA"/>
            <w:hideMark/>
          </w:tcPr>
          <w:p w14:paraId="3201EF90"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Forward Estimates</w:t>
            </w:r>
          </w:p>
        </w:tc>
      </w:tr>
      <w:tr w:rsidR="00C95312" w:rsidRPr="00F51109" w14:paraId="0D91A113" w14:textId="77777777" w:rsidTr="00E85896">
        <w:trPr>
          <w:trHeight w:val="283"/>
        </w:trPr>
        <w:tc>
          <w:tcPr>
            <w:tcW w:w="4212" w:type="dxa"/>
            <w:tcBorders>
              <w:top w:val="nil"/>
              <w:left w:val="nil"/>
              <w:bottom w:val="nil"/>
              <w:right w:val="nil"/>
            </w:tcBorders>
            <w:shd w:val="clear" w:color="000000" w:fill="00426F"/>
            <w:vAlign w:val="center"/>
            <w:hideMark/>
          </w:tcPr>
          <w:p w14:paraId="1125F1C7" w14:textId="77777777" w:rsidR="00C95312" w:rsidRPr="00F51109" w:rsidRDefault="00C95312" w:rsidP="00E85896">
            <w:pPr>
              <w:jc w:val="center"/>
              <w:rPr>
                <w:color w:val="000000"/>
                <w:sz w:val="16"/>
                <w:szCs w:val="16"/>
                <w:lang w:eastAsia="ko-KR"/>
              </w:rPr>
            </w:pPr>
            <w:r w:rsidRPr="00F51109">
              <w:rPr>
                <w:color w:val="000000"/>
                <w:sz w:val="16"/>
                <w:szCs w:val="16"/>
                <w:lang w:eastAsia="ko-KR"/>
              </w:rPr>
              <w:t> </w:t>
            </w:r>
          </w:p>
        </w:tc>
        <w:tc>
          <w:tcPr>
            <w:tcW w:w="964" w:type="dxa"/>
            <w:tcBorders>
              <w:top w:val="nil"/>
              <w:left w:val="nil"/>
              <w:bottom w:val="nil"/>
              <w:right w:val="nil"/>
            </w:tcBorders>
            <w:shd w:val="clear" w:color="000000" w:fill="00426F"/>
            <w:hideMark/>
          </w:tcPr>
          <w:p w14:paraId="77B92BCB"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c>
          <w:tcPr>
            <w:tcW w:w="964" w:type="dxa"/>
            <w:tcBorders>
              <w:top w:val="nil"/>
              <w:left w:val="nil"/>
              <w:bottom w:val="nil"/>
              <w:right w:val="nil"/>
            </w:tcBorders>
            <w:shd w:val="clear" w:color="000000" w:fill="00426F"/>
            <w:hideMark/>
          </w:tcPr>
          <w:p w14:paraId="15D1F60C"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c>
          <w:tcPr>
            <w:tcW w:w="964" w:type="dxa"/>
            <w:tcBorders>
              <w:top w:val="nil"/>
              <w:left w:val="nil"/>
              <w:bottom w:val="nil"/>
              <w:right w:val="nil"/>
            </w:tcBorders>
            <w:shd w:val="clear" w:color="000000" w:fill="00426F"/>
            <w:hideMark/>
          </w:tcPr>
          <w:p w14:paraId="32D8E208"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c>
          <w:tcPr>
            <w:tcW w:w="879" w:type="dxa"/>
            <w:tcBorders>
              <w:top w:val="nil"/>
              <w:left w:val="nil"/>
              <w:bottom w:val="nil"/>
              <w:right w:val="nil"/>
            </w:tcBorders>
            <w:shd w:val="clear" w:color="000000" w:fill="00426F"/>
            <w:hideMark/>
          </w:tcPr>
          <w:p w14:paraId="4564252C"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c>
          <w:tcPr>
            <w:tcW w:w="879" w:type="dxa"/>
            <w:gridSpan w:val="3"/>
            <w:tcBorders>
              <w:top w:val="nil"/>
              <w:left w:val="nil"/>
              <w:bottom w:val="nil"/>
              <w:right w:val="nil"/>
            </w:tcBorders>
            <w:shd w:val="clear" w:color="000000" w:fill="00426F"/>
            <w:hideMark/>
          </w:tcPr>
          <w:p w14:paraId="2DF2E1C7"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c>
          <w:tcPr>
            <w:tcW w:w="1186" w:type="dxa"/>
            <w:gridSpan w:val="4"/>
            <w:tcBorders>
              <w:top w:val="nil"/>
              <w:left w:val="nil"/>
              <w:bottom w:val="nil"/>
              <w:right w:val="nil"/>
            </w:tcBorders>
            <w:shd w:val="clear" w:color="000000" w:fill="00426F"/>
            <w:hideMark/>
          </w:tcPr>
          <w:p w14:paraId="59CC4C22" w14:textId="77777777" w:rsidR="00C95312" w:rsidRPr="00F51109" w:rsidRDefault="00C95312" w:rsidP="00E85896">
            <w:pPr>
              <w:ind w:left="-57" w:right="-57"/>
              <w:jc w:val="center"/>
              <w:rPr>
                <w:color w:val="FFFFFF"/>
                <w:sz w:val="17"/>
                <w:szCs w:val="17"/>
                <w:lang w:eastAsia="ko-KR"/>
              </w:rPr>
            </w:pPr>
            <w:r w:rsidRPr="00F51109">
              <w:rPr>
                <w:color w:val="FFFFFF"/>
                <w:sz w:val="17"/>
                <w:szCs w:val="17"/>
                <w:lang w:eastAsia="ko-KR"/>
              </w:rPr>
              <w:t>$m</w:t>
            </w:r>
          </w:p>
        </w:tc>
      </w:tr>
      <w:tr w:rsidR="00C95312" w:rsidRPr="00F51109" w14:paraId="2009BE4C" w14:textId="77777777" w:rsidTr="00E85896">
        <w:trPr>
          <w:gridAfter w:val="1"/>
          <w:wAfter w:w="52" w:type="dxa"/>
          <w:trHeight w:val="255"/>
        </w:trPr>
        <w:tc>
          <w:tcPr>
            <w:tcW w:w="4212" w:type="dxa"/>
            <w:tcBorders>
              <w:top w:val="nil"/>
              <w:left w:val="nil"/>
              <w:bottom w:val="nil"/>
              <w:right w:val="nil"/>
            </w:tcBorders>
            <w:shd w:val="clear" w:color="auto" w:fill="auto"/>
            <w:vAlign w:val="center"/>
            <w:hideMark/>
          </w:tcPr>
          <w:p w14:paraId="26DD1EE2" w14:textId="77777777" w:rsidR="00C95312" w:rsidRPr="00F51109" w:rsidRDefault="00C95312" w:rsidP="00E85896">
            <w:pPr>
              <w:rPr>
                <w:b/>
                <w:bCs/>
                <w:color w:val="000000"/>
                <w:sz w:val="16"/>
                <w:szCs w:val="16"/>
                <w:lang w:eastAsia="ko-KR"/>
              </w:rPr>
            </w:pPr>
            <w:r w:rsidRPr="00F51109">
              <w:rPr>
                <w:b/>
                <w:bCs/>
                <w:color w:val="000000"/>
                <w:sz w:val="16"/>
                <w:szCs w:val="16"/>
                <w:lang w:eastAsia="ko-KR"/>
              </w:rPr>
              <w:t>Assets</w:t>
            </w:r>
          </w:p>
        </w:tc>
        <w:tc>
          <w:tcPr>
            <w:tcW w:w="964" w:type="dxa"/>
            <w:tcBorders>
              <w:top w:val="nil"/>
              <w:left w:val="nil"/>
              <w:bottom w:val="nil"/>
              <w:right w:val="nil"/>
            </w:tcBorders>
            <w:shd w:val="clear" w:color="auto" w:fill="auto"/>
            <w:vAlign w:val="bottom"/>
            <w:hideMark/>
          </w:tcPr>
          <w:p w14:paraId="0BF69ACC" w14:textId="77777777" w:rsidR="00C95312" w:rsidRPr="00F51109" w:rsidRDefault="00C95312" w:rsidP="00E85896">
            <w:pPr>
              <w:rPr>
                <w:b/>
                <w:bCs/>
                <w:color w:val="000000"/>
                <w:sz w:val="16"/>
                <w:szCs w:val="16"/>
                <w:lang w:eastAsia="ko-KR"/>
              </w:rPr>
            </w:pPr>
          </w:p>
        </w:tc>
        <w:tc>
          <w:tcPr>
            <w:tcW w:w="964" w:type="dxa"/>
            <w:tcBorders>
              <w:top w:val="nil"/>
              <w:left w:val="nil"/>
              <w:bottom w:val="nil"/>
              <w:right w:val="nil"/>
            </w:tcBorders>
            <w:shd w:val="clear" w:color="auto" w:fill="auto"/>
            <w:vAlign w:val="bottom"/>
            <w:hideMark/>
          </w:tcPr>
          <w:p w14:paraId="0E9D3DA8"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bottom"/>
            <w:hideMark/>
          </w:tcPr>
          <w:p w14:paraId="41531CB0"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bottom"/>
            <w:hideMark/>
          </w:tcPr>
          <w:p w14:paraId="2C8070CB"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bottom"/>
            <w:hideMark/>
          </w:tcPr>
          <w:p w14:paraId="5673E1F4"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bottom"/>
            <w:hideMark/>
          </w:tcPr>
          <w:p w14:paraId="36B02F0C" w14:textId="77777777" w:rsidR="00C95312" w:rsidRPr="00F51109" w:rsidRDefault="00C95312" w:rsidP="00E85896">
            <w:pPr>
              <w:rPr>
                <w:lang w:eastAsia="ko-KR"/>
              </w:rPr>
            </w:pPr>
          </w:p>
        </w:tc>
      </w:tr>
      <w:tr w:rsidR="00C95312" w:rsidRPr="00F51109" w14:paraId="426609D8" w14:textId="77777777" w:rsidTr="00E85896">
        <w:trPr>
          <w:gridAfter w:val="1"/>
          <w:wAfter w:w="52" w:type="dxa"/>
          <w:trHeight w:val="255"/>
        </w:trPr>
        <w:tc>
          <w:tcPr>
            <w:tcW w:w="4212" w:type="dxa"/>
            <w:tcBorders>
              <w:top w:val="nil"/>
              <w:left w:val="nil"/>
              <w:bottom w:val="nil"/>
              <w:right w:val="nil"/>
            </w:tcBorders>
            <w:shd w:val="clear" w:color="auto" w:fill="auto"/>
            <w:vAlign w:val="bottom"/>
            <w:hideMark/>
          </w:tcPr>
          <w:p w14:paraId="30D62268" w14:textId="77777777" w:rsidR="00C95312" w:rsidRPr="00F51109" w:rsidRDefault="00C95312" w:rsidP="00E85896">
            <w:pPr>
              <w:rPr>
                <w:b/>
                <w:bCs/>
                <w:color w:val="000000"/>
                <w:sz w:val="16"/>
                <w:szCs w:val="16"/>
                <w:lang w:eastAsia="ko-KR"/>
              </w:rPr>
            </w:pPr>
            <w:r w:rsidRPr="00F51109">
              <w:rPr>
                <w:b/>
                <w:bCs/>
                <w:color w:val="000000"/>
                <w:sz w:val="16"/>
                <w:szCs w:val="16"/>
                <w:lang w:eastAsia="ko-KR"/>
              </w:rPr>
              <w:t>Financial Assets</w:t>
            </w:r>
          </w:p>
        </w:tc>
        <w:tc>
          <w:tcPr>
            <w:tcW w:w="964" w:type="dxa"/>
            <w:tcBorders>
              <w:top w:val="nil"/>
              <w:left w:val="nil"/>
              <w:bottom w:val="nil"/>
              <w:right w:val="nil"/>
            </w:tcBorders>
            <w:shd w:val="clear" w:color="auto" w:fill="auto"/>
            <w:vAlign w:val="bottom"/>
            <w:hideMark/>
          </w:tcPr>
          <w:p w14:paraId="21F2BD7C" w14:textId="77777777" w:rsidR="00C95312" w:rsidRPr="00F51109" w:rsidRDefault="00C95312" w:rsidP="00E85896">
            <w:pPr>
              <w:rPr>
                <w:b/>
                <w:bCs/>
                <w:color w:val="000000"/>
                <w:sz w:val="16"/>
                <w:szCs w:val="16"/>
                <w:lang w:eastAsia="ko-KR"/>
              </w:rPr>
            </w:pPr>
          </w:p>
        </w:tc>
        <w:tc>
          <w:tcPr>
            <w:tcW w:w="964" w:type="dxa"/>
            <w:tcBorders>
              <w:top w:val="nil"/>
              <w:left w:val="nil"/>
              <w:bottom w:val="nil"/>
              <w:right w:val="nil"/>
            </w:tcBorders>
            <w:shd w:val="clear" w:color="auto" w:fill="auto"/>
            <w:vAlign w:val="bottom"/>
            <w:hideMark/>
          </w:tcPr>
          <w:p w14:paraId="785BFF62"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bottom"/>
            <w:hideMark/>
          </w:tcPr>
          <w:p w14:paraId="7C613B6C"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bottom"/>
            <w:hideMark/>
          </w:tcPr>
          <w:p w14:paraId="3931A2EF"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bottom"/>
            <w:hideMark/>
          </w:tcPr>
          <w:p w14:paraId="404478AD"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bottom"/>
            <w:hideMark/>
          </w:tcPr>
          <w:p w14:paraId="1DD65420" w14:textId="77777777" w:rsidR="00C95312" w:rsidRPr="00F51109" w:rsidRDefault="00C95312" w:rsidP="00E85896">
            <w:pPr>
              <w:rPr>
                <w:lang w:eastAsia="ko-KR"/>
              </w:rPr>
            </w:pPr>
          </w:p>
        </w:tc>
      </w:tr>
      <w:tr w:rsidR="00C95312" w:rsidRPr="00F51109" w14:paraId="0D837195"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5F94827A" w14:textId="77777777" w:rsidR="00C95312" w:rsidRPr="00F51109" w:rsidRDefault="00C95312" w:rsidP="00E85896">
            <w:pPr>
              <w:rPr>
                <w:color w:val="000000"/>
                <w:sz w:val="16"/>
                <w:szCs w:val="16"/>
                <w:lang w:eastAsia="ko-KR"/>
              </w:rPr>
            </w:pPr>
            <w:r w:rsidRPr="00F51109">
              <w:rPr>
                <w:color w:val="000000"/>
                <w:sz w:val="16"/>
                <w:szCs w:val="16"/>
                <w:lang w:eastAsia="ko-KR"/>
              </w:rPr>
              <w:t>Cash and Cash Equivalents</w:t>
            </w:r>
          </w:p>
        </w:tc>
        <w:tc>
          <w:tcPr>
            <w:tcW w:w="964" w:type="dxa"/>
            <w:tcBorders>
              <w:top w:val="nil"/>
              <w:left w:val="nil"/>
              <w:bottom w:val="nil"/>
              <w:right w:val="nil"/>
            </w:tcBorders>
            <w:shd w:val="clear" w:color="auto" w:fill="auto"/>
            <w:vAlign w:val="bottom"/>
            <w:hideMark/>
          </w:tcPr>
          <w:p w14:paraId="5F5E687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3,781</w:t>
            </w:r>
          </w:p>
        </w:tc>
        <w:tc>
          <w:tcPr>
            <w:tcW w:w="964" w:type="dxa"/>
            <w:tcBorders>
              <w:top w:val="nil"/>
              <w:left w:val="nil"/>
              <w:bottom w:val="nil"/>
              <w:right w:val="nil"/>
            </w:tcBorders>
            <w:shd w:val="clear" w:color="auto" w:fill="auto"/>
            <w:vAlign w:val="bottom"/>
            <w:hideMark/>
          </w:tcPr>
          <w:p w14:paraId="43D9CD5B" w14:textId="77777777" w:rsidR="00C95312" w:rsidRPr="00F51109" w:rsidRDefault="00C95312" w:rsidP="00E85896">
            <w:pPr>
              <w:jc w:val="right"/>
              <w:rPr>
                <w:color w:val="000000"/>
                <w:sz w:val="16"/>
                <w:szCs w:val="16"/>
                <w:lang w:eastAsia="ko-KR"/>
              </w:rPr>
            </w:pPr>
            <w:r w:rsidRPr="00F51109">
              <w:rPr>
                <w:color w:val="000000"/>
                <w:sz w:val="16"/>
                <w:szCs w:val="16"/>
                <w:lang w:eastAsia="ko-KR"/>
              </w:rPr>
              <w:t>3,088</w:t>
            </w:r>
          </w:p>
        </w:tc>
        <w:tc>
          <w:tcPr>
            <w:tcW w:w="964" w:type="dxa"/>
            <w:tcBorders>
              <w:top w:val="nil"/>
              <w:left w:val="nil"/>
              <w:bottom w:val="nil"/>
              <w:right w:val="nil"/>
            </w:tcBorders>
            <w:shd w:val="clear" w:color="auto" w:fill="auto"/>
            <w:vAlign w:val="bottom"/>
            <w:hideMark/>
          </w:tcPr>
          <w:p w14:paraId="15A80423" w14:textId="77777777" w:rsidR="00C95312" w:rsidRPr="00F51109" w:rsidRDefault="00C95312" w:rsidP="00E85896">
            <w:pPr>
              <w:jc w:val="right"/>
              <w:rPr>
                <w:color w:val="000000"/>
                <w:sz w:val="16"/>
                <w:szCs w:val="16"/>
                <w:lang w:eastAsia="ko-KR"/>
              </w:rPr>
            </w:pPr>
            <w:r w:rsidRPr="00F51109">
              <w:rPr>
                <w:color w:val="000000"/>
                <w:sz w:val="16"/>
                <w:szCs w:val="16"/>
                <w:lang w:eastAsia="ko-KR"/>
              </w:rPr>
              <w:t>704</w:t>
            </w:r>
          </w:p>
        </w:tc>
        <w:tc>
          <w:tcPr>
            <w:tcW w:w="964" w:type="dxa"/>
            <w:gridSpan w:val="3"/>
            <w:tcBorders>
              <w:top w:val="nil"/>
              <w:left w:val="nil"/>
              <w:bottom w:val="nil"/>
              <w:right w:val="nil"/>
            </w:tcBorders>
            <w:shd w:val="clear" w:color="auto" w:fill="auto"/>
            <w:vAlign w:val="bottom"/>
            <w:hideMark/>
          </w:tcPr>
          <w:p w14:paraId="69B371A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912</w:t>
            </w:r>
          </w:p>
        </w:tc>
        <w:tc>
          <w:tcPr>
            <w:tcW w:w="964" w:type="dxa"/>
            <w:gridSpan w:val="3"/>
            <w:tcBorders>
              <w:top w:val="nil"/>
              <w:left w:val="nil"/>
              <w:bottom w:val="nil"/>
              <w:right w:val="nil"/>
            </w:tcBorders>
            <w:shd w:val="clear" w:color="auto" w:fill="auto"/>
            <w:vAlign w:val="bottom"/>
            <w:hideMark/>
          </w:tcPr>
          <w:p w14:paraId="241C03B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815</w:t>
            </w:r>
          </w:p>
        </w:tc>
        <w:tc>
          <w:tcPr>
            <w:tcW w:w="964" w:type="dxa"/>
            <w:tcBorders>
              <w:top w:val="nil"/>
              <w:left w:val="nil"/>
              <w:bottom w:val="nil"/>
              <w:right w:val="nil"/>
            </w:tcBorders>
            <w:shd w:val="clear" w:color="auto" w:fill="auto"/>
            <w:vAlign w:val="bottom"/>
            <w:hideMark/>
          </w:tcPr>
          <w:p w14:paraId="61C63F9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758</w:t>
            </w:r>
          </w:p>
        </w:tc>
      </w:tr>
      <w:tr w:rsidR="00C95312" w:rsidRPr="00F51109" w14:paraId="7865552D"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06A92B29" w14:textId="77777777" w:rsidR="00C95312" w:rsidRPr="00F51109" w:rsidRDefault="00C95312" w:rsidP="00E85896">
            <w:pPr>
              <w:rPr>
                <w:color w:val="000000"/>
                <w:sz w:val="16"/>
                <w:szCs w:val="16"/>
                <w:lang w:eastAsia="ko-KR"/>
              </w:rPr>
            </w:pPr>
            <w:r w:rsidRPr="00F51109">
              <w:rPr>
                <w:color w:val="000000"/>
                <w:sz w:val="16"/>
                <w:szCs w:val="16"/>
                <w:lang w:eastAsia="ko-KR"/>
              </w:rPr>
              <w:t>Receivables</w:t>
            </w:r>
          </w:p>
        </w:tc>
        <w:tc>
          <w:tcPr>
            <w:tcW w:w="964" w:type="dxa"/>
            <w:tcBorders>
              <w:top w:val="nil"/>
              <w:left w:val="nil"/>
              <w:bottom w:val="nil"/>
              <w:right w:val="nil"/>
            </w:tcBorders>
            <w:shd w:val="clear" w:color="auto" w:fill="auto"/>
            <w:vAlign w:val="bottom"/>
            <w:hideMark/>
          </w:tcPr>
          <w:p w14:paraId="22E9890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12,567</w:t>
            </w:r>
          </w:p>
        </w:tc>
        <w:tc>
          <w:tcPr>
            <w:tcW w:w="964" w:type="dxa"/>
            <w:tcBorders>
              <w:top w:val="nil"/>
              <w:left w:val="nil"/>
              <w:bottom w:val="nil"/>
              <w:right w:val="nil"/>
            </w:tcBorders>
            <w:shd w:val="clear" w:color="auto" w:fill="auto"/>
            <w:vAlign w:val="bottom"/>
            <w:hideMark/>
          </w:tcPr>
          <w:p w14:paraId="743BAAA9"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11,056</w:t>
            </w:r>
          </w:p>
        </w:tc>
        <w:tc>
          <w:tcPr>
            <w:tcW w:w="964" w:type="dxa"/>
            <w:tcBorders>
              <w:top w:val="nil"/>
              <w:left w:val="nil"/>
              <w:bottom w:val="nil"/>
              <w:right w:val="nil"/>
            </w:tcBorders>
            <w:shd w:val="clear" w:color="auto" w:fill="auto"/>
            <w:vAlign w:val="bottom"/>
            <w:hideMark/>
          </w:tcPr>
          <w:p w14:paraId="300F07A9"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11,373</w:t>
            </w:r>
          </w:p>
        </w:tc>
        <w:tc>
          <w:tcPr>
            <w:tcW w:w="964" w:type="dxa"/>
            <w:gridSpan w:val="3"/>
            <w:tcBorders>
              <w:top w:val="nil"/>
              <w:left w:val="nil"/>
              <w:bottom w:val="nil"/>
              <w:right w:val="nil"/>
            </w:tcBorders>
            <w:shd w:val="clear" w:color="auto" w:fill="auto"/>
            <w:vAlign w:val="bottom"/>
            <w:hideMark/>
          </w:tcPr>
          <w:p w14:paraId="4BA5B86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11,644</w:t>
            </w:r>
          </w:p>
        </w:tc>
        <w:tc>
          <w:tcPr>
            <w:tcW w:w="964" w:type="dxa"/>
            <w:gridSpan w:val="3"/>
            <w:tcBorders>
              <w:top w:val="nil"/>
              <w:left w:val="nil"/>
              <w:bottom w:val="nil"/>
              <w:right w:val="nil"/>
            </w:tcBorders>
            <w:shd w:val="clear" w:color="auto" w:fill="auto"/>
            <w:vAlign w:val="bottom"/>
            <w:hideMark/>
          </w:tcPr>
          <w:p w14:paraId="2F9F6736"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10,236</w:t>
            </w:r>
          </w:p>
        </w:tc>
        <w:tc>
          <w:tcPr>
            <w:tcW w:w="964" w:type="dxa"/>
            <w:tcBorders>
              <w:top w:val="nil"/>
              <w:left w:val="nil"/>
              <w:bottom w:val="nil"/>
              <w:right w:val="nil"/>
            </w:tcBorders>
            <w:shd w:val="clear" w:color="auto" w:fill="auto"/>
            <w:vAlign w:val="bottom"/>
            <w:hideMark/>
          </w:tcPr>
          <w:p w14:paraId="114753C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10,265</w:t>
            </w:r>
          </w:p>
        </w:tc>
      </w:tr>
      <w:tr w:rsidR="00C95312" w:rsidRPr="00F51109" w14:paraId="72ABDE97"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62818A6B" w14:textId="77777777" w:rsidR="00C95312" w:rsidRPr="00F51109" w:rsidRDefault="00C95312" w:rsidP="00E85896">
            <w:pPr>
              <w:rPr>
                <w:color w:val="000000"/>
                <w:sz w:val="16"/>
                <w:szCs w:val="16"/>
                <w:lang w:eastAsia="ko-KR"/>
              </w:rPr>
            </w:pPr>
            <w:r w:rsidRPr="00F51109">
              <w:rPr>
                <w:color w:val="000000"/>
                <w:sz w:val="16"/>
                <w:szCs w:val="16"/>
                <w:lang w:eastAsia="ko-KR"/>
              </w:rPr>
              <w:t>Investments, Loans and Placements</w:t>
            </w:r>
          </w:p>
        </w:tc>
        <w:tc>
          <w:tcPr>
            <w:tcW w:w="964" w:type="dxa"/>
            <w:tcBorders>
              <w:top w:val="nil"/>
              <w:left w:val="nil"/>
              <w:bottom w:val="nil"/>
              <w:right w:val="nil"/>
            </w:tcBorders>
            <w:shd w:val="clear" w:color="auto" w:fill="auto"/>
            <w:vAlign w:val="bottom"/>
            <w:hideMark/>
          </w:tcPr>
          <w:p w14:paraId="1EA81A71" w14:textId="77777777" w:rsidR="00C95312" w:rsidRPr="00D14430" w:rsidRDefault="00C95312" w:rsidP="00E85896">
            <w:pPr>
              <w:jc w:val="right"/>
              <w:rPr>
                <w:color w:val="A6A6A6" w:themeColor="background1" w:themeShade="A6"/>
                <w:sz w:val="16"/>
                <w:szCs w:val="16"/>
                <w:lang w:eastAsia="ko-KR"/>
              </w:rPr>
            </w:pPr>
          </w:p>
        </w:tc>
        <w:tc>
          <w:tcPr>
            <w:tcW w:w="964" w:type="dxa"/>
            <w:tcBorders>
              <w:top w:val="nil"/>
              <w:left w:val="nil"/>
              <w:bottom w:val="nil"/>
              <w:right w:val="nil"/>
            </w:tcBorders>
            <w:shd w:val="clear" w:color="auto" w:fill="auto"/>
            <w:vAlign w:val="bottom"/>
            <w:hideMark/>
          </w:tcPr>
          <w:p w14:paraId="320B2649" w14:textId="77777777" w:rsidR="00C95312" w:rsidRPr="00F51109" w:rsidRDefault="00C95312" w:rsidP="00E85896">
            <w:pPr>
              <w:jc w:val="right"/>
              <w:rPr>
                <w:lang w:eastAsia="ko-KR"/>
              </w:rPr>
            </w:pPr>
          </w:p>
        </w:tc>
        <w:tc>
          <w:tcPr>
            <w:tcW w:w="964" w:type="dxa"/>
            <w:tcBorders>
              <w:top w:val="nil"/>
              <w:left w:val="nil"/>
              <w:bottom w:val="nil"/>
              <w:right w:val="nil"/>
            </w:tcBorders>
            <w:shd w:val="clear" w:color="auto" w:fill="auto"/>
            <w:vAlign w:val="bottom"/>
            <w:hideMark/>
          </w:tcPr>
          <w:p w14:paraId="70C89210" w14:textId="77777777" w:rsidR="00C95312" w:rsidRPr="00F51109" w:rsidRDefault="00C95312" w:rsidP="00E85896">
            <w:pPr>
              <w:jc w:val="right"/>
              <w:rPr>
                <w:lang w:eastAsia="ko-KR"/>
              </w:rPr>
            </w:pPr>
          </w:p>
        </w:tc>
        <w:tc>
          <w:tcPr>
            <w:tcW w:w="964" w:type="dxa"/>
            <w:gridSpan w:val="3"/>
            <w:tcBorders>
              <w:top w:val="nil"/>
              <w:left w:val="nil"/>
              <w:bottom w:val="nil"/>
              <w:right w:val="nil"/>
            </w:tcBorders>
            <w:shd w:val="clear" w:color="auto" w:fill="auto"/>
            <w:vAlign w:val="bottom"/>
            <w:hideMark/>
          </w:tcPr>
          <w:p w14:paraId="59985DF5" w14:textId="77777777" w:rsidR="00C95312" w:rsidRPr="00D14430" w:rsidRDefault="00C95312" w:rsidP="00E85896">
            <w:pPr>
              <w:jc w:val="right"/>
              <w:rPr>
                <w:color w:val="A6A6A6" w:themeColor="background1" w:themeShade="A6"/>
                <w:lang w:eastAsia="ko-KR"/>
              </w:rPr>
            </w:pPr>
          </w:p>
        </w:tc>
        <w:tc>
          <w:tcPr>
            <w:tcW w:w="964" w:type="dxa"/>
            <w:gridSpan w:val="3"/>
            <w:tcBorders>
              <w:top w:val="nil"/>
              <w:left w:val="nil"/>
              <w:bottom w:val="nil"/>
              <w:right w:val="nil"/>
            </w:tcBorders>
            <w:shd w:val="clear" w:color="auto" w:fill="auto"/>
            <w:vAlign w:val="bottom"/>
            <w:hideMark/>
          </w:tcPr>
          <w:p w14:paraId="45595A71" w14:textId="77777777" w:rsidR="00C95312" w:rsidRPr="00D14430" w:rsidRDefault="00C95312" w:rsidP="00E85896">
            <w:pPr>
              <w:jc w:val="right"/>
              <w:rPr>
                <w:color w:val="A6A6A6" w:themeColor="background1" w:themeShade="A6"/>
                <w:lang w:eastAsia="ko-KR"/>
              </w:rPr>
            </w:pPr>
          </w:p>
        </w:tc>
        <w:tc>
          <w:tcPr>
            <w:tcW w:w="964" w:type="dxa"/>
            <w:tcBorders>
              <w:top w:val="nil"/>
              <w:left w:val="nil"/>
              <w:bottom w:val="nil"/>
              <w:right w:val="nil"/>
            </w:tcBorders>
            <w:shd w:val="clear" w:color="auto" w:fill="auto"/>
            <w:vAlign w:val="bottom"/>
            <w:hideMark/>
          </w:tcPr>
          <w:p w14:paraId="0FEF841C" w14:textId="77777777" w:rsidR="00C95312" w:rsidRPr="00D14430" w:rsidRDefault="00C95312" w:rsidP="00E85896">
            <w:pPr>
              <w:jc w:val="right"/>
              <w:rPr>
                <w:color w:val="A6A6A6" w:themeColor="background1" w:themeShade="A6"/>
                <w:lang w:eastAsia="ko-KR"/>
              </w:rPr>
            </w:pPr>
          </w:p>
        </w:tc>
      </w:tr>
      <w:tr w:rsidR="00C95312" w:rsidRPr="00F51109" w14:paraId="186ED45A"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46873E71"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Financial Assets at Fair Value</w:t>
            </w:r>
          </w:p>
        </w:tc>
        <w:tc>
          <w:tcPr>
            <w:tcW w:w="964" w:type="dxa"/>
            <w:tcBorders>
              <w:top w:val="nil"/>
              <w:left w:val="nil"/>
              <w:bottom w:val="nil"/>
              <w:right w:val="nil"/>
            </w:tcBorders>
            <w:shd w:val="clear" w:color="auto" w:fill="auto"/>
            <w:vAlign w:val="bottom"/>
            <w:hideMark/>
          </w:tcPr>
          <w:p w14:paraId="4D734AF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47,662</w:t>
            </w:r>
          </w:p>
        </w:tc>
        <w:tc>
          <w:tcPr>
            <w:tcW w:w="964" w:type="dxa"/>
            <w:tcBorders>
              <w:top w:val="nil"/>
              <w:left w:val="nil"/>
              <w:bottom w:val="nil"/>
              <w:right w:val="nil"/>
            </w:tcBorders>
            <w:shd w:val="clear" w:color="auto" w:fill="auto"/>
            <w:vAlign w:val="bottom"/>
            <w:hideMark/>
          </w:tcPr>
          <w:p w14:paraId="5B10D939" w14:textId="77777777" w:rsidR="00C95312" w:rsidRPr="00F51109" w:rsidRDefault="00C95312" w:rsidP="00E85896">
            <w:pPr>
              <w:jc w:val="right"/>
              <w:rPr>
                <w:color w:val="000000"/>
                <w:sz w:val="16"/>
                <w:szCs w:val="16"/>
                <w:lang w:eastAsia="ko-KR"/>
              </w:rPr>
            </w:pPr>
            <w:r w:rsidRPr="00F51109">
              <w:rPr>
                <w:color w:val="000000"/>
                <w:sz w:val="16"/>
                <w:szCs w:val="16"/>
                <w:lang w:eastAsia="ko-KR"/>
              </w:rPr>
              <w:t>46,264</w:t>
            </w:r>
          </w:p>
        </w:tc>
        <w:tc>
          <w:tcPr>
            <w:tcW w:w="964" w:type="dxa"/>
            <w:tcBorders>
              <w:top w:val="nil"/>
              <w:left w:val="nil"/>
              <w:bottom w:val="nil"/>
              <w:right w:val="nil"/>
            </w:tcBorders>
            <w:shd w:val="clear" w:color="auto" w:fill="auto"/>
            <w:vAlign w:val="bottom"/>
            <w:hideMark/>
          </w:tcPr>
          <w:p w14:paraId="306A4F94" w14:textId="77777777" w:rsidR="00C95312" w:rsidRPr="00F51109" w:rsidRDefault="00C95312" w:rsidP="00E85896">
            <w:pPr>
              <w:jc w:val="right"/>
              <w:rPr>
                <w:color w:val="000000"/>
                <w:sz w:val="16"/>
                <w:szCs w:val="16"/>
                <w:lang w:eastAsia="ko-KR"/>
              </w:rPr>
            </w:pPr>
            <w:r w:rsidRPr="00F51109">
              <w:rPr>
                <w:color w:val="000000"/>
                <w:sz w:val="16"/>
                <w:szCs w:val="16"/>
                <w:lang w:eastAsia="ko-KR"/>
              </w:rPr>
              <w:t>46,165</w:t>
            </w:r>
          </w:p>
        </w:tc>
        <w:tc>
          <w:tcPr>
            <w:tcW w:w="964" w:type="dxa"/>
            <w:gridSpan w:val="3"/>
            <w:tcBorders>
              <w:top w:val="nil"/>
              <w:left w:val="nil"/>
              <w:bottom w:val="nil"/>
              <w:right w:val="nil"/>
            </w:tcBorders>
            <w:shd w:val="clear" w:color="auto" w:fill="auto"/>
            <w:vAlign w:val="bottom"/>
            <w:hideMark/>
          </w:tcPr>
          <w:p w14:paraId="797B9B8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50,289</w:t>
            </w:r>
          </w:p>
        </w:tc>
        <w:tc>
          <w:tcPr>
            <w:tcW w:w="964" w:type="dxa"/>
            <w:gridSpan w:val="3"/>
            <w:tcBorders>
              <w:top w:val="nil"/>
              <w:left w:val="nil"/>
              <w:bottom w:val="nil"/>
              <w:right w:val="nil"/>
            </w:tcBorders>
            <w:shd w:val="clear" w:color="auto" w:fill="auto"/>
            <w:vAlign w:val="bottom"/>
            <w:hideMark/>
          </w:tcPr>
          <w:p w14:paraId="1609B3A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55,541</w:t>
            </w:r>
          </w:p>
        </w:tc>
        <w:tc>
          <w:tcPr>
            <w:tcW w:w="964" w:type="dxa"/>
            <w:tcBorders>
              <w:top w:val="nil"/>
              <w:left w:val="nil"/>
              <w:bottom w:val="nil"/>
              <w:right w:val="nil"/>
            </w:tcBorders>
            <w:shd w:val="clear" w:color="auto" w:fill="auto"/>
            <w:vAlign w:val="bottom"/>
            <w:hideMark/>
          </w:tcPr>
          <w:p w14:paraId="0D3DD70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63,363</w:t>
            </w:r>
          </w:p>
        </w:tc>
      </w:tr>
      <w:tr w:rsidR="00C95312" w:rsidRPr="00F51109" w14:paraId="1BFFD691"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6ED54BFF"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Other Financial Assets</w:t>
            </w:r>
          </w:p>
        </w:tc>
        <w:tc>
          <w:tcPr>
            <w:tcW w:w="964" w:type="dxa"/>
            <w:tcBorders>
              <w:top w:val="nil"/>
              <w:left w:val="nil"/>
              <w:bottom w:val="nil"/>
              <w:right w:val="nil"/>
            </w:tcBorders>
            <w:shd w:val="clear" w:color="auto" w:fill="auto"/>
            <w:vAlign w:val="bottom"/>
            <w:hideMark/>
          </w:tcPr>
          <w:p w14:paraId="07D1648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1,436</w:t>
            </w:r>
          </w:p>
        </w:tc>
        <w:tc>
          <w:tcPr>
            <w:tcW w:w="964" w:type="dxa"/>
            <w:tcBorders>
              <w:top w:val="nil"/>
              <w:left w:val="nil"/>
              <w:bottom w:val="nil"/>
              <w:right w:val="nil"/>
            </w:tcBorders>
            <w:shd w:val="clear" w:color="auto" w:fill="auto"/>
            <w:vAlign w:val="bottom"/>
            <w:hideMark/>
          </w:tcPr>
          <w:p w14:paraId="070A88A8" w14:textId="77777777" w:rsidR="00C95312" w:rsidRPr="00F51109" w:rsidRDefault="00C95312" w:rsidP="00E85896">
            <w:pPr>
              <w:jc w:val="right"/>
              <w:rPr>
                <w:color w:val="000000"/>
                <w:sz w:val="16"/>
                <w:szCs w:val="16"/>
                <w:lang w:eastAsia="ko-KR"/>
              </w:rPr>
            </w:pPr>
            <w:r w:rsidRPr="00F51109">
              <w:rPr>
                <w:color w:val="000000"/>
                <w:sz w:val="16"/>
                <w:szCs w:val="16"/>
                <w:lang w:eastAsia="ko-KR"/>
              </w:rPr>
              <w:t>1,836</w:t>
            </w:r>
          </w:p>
        </w:tc>
        <w:tc>
          <w:tcPr>
            <w:tcW w:w="964" w:type="dxa"/>
            <w:tcBorders>
              <w:top w:val="nil"/>
              <w:left w:val="nil"/>
              <w:bottom w:val="nil"/>
              <w:right w:val="nil"/>
            </w:tcBorders>
            <w:shd w:val="clear" w:color="auto" w:fill="auto"/>
            <w:vAlign w:val="bottom"/>
            <w:hideMark/>
          </w:tcPr>
          <w:p w14:paraId="3A2940F1" w14:textId="77777777" w:rsidR="00C95312" w:rsidRPr="00F51109" w:rsidRDefault="00C95312" w:rsidP="00E85896">
            <w:pPr>
              <w:jc w:val="right"/>
              <w:rPr>
                <w:color w:val="000000"/>
                <w:sz w:val="16"/>
                <w:szCs w:val="16"/>
                <w:lang w:eastAsia="ko-KR"/>
              </w:rPr>
            </w:pPr>
            <w:r w:rsidRPr="00F51109">
              <w:rPr>
                <w:color w:val="000000"/>
                <w:sz w:val="16"/>
                <w:szCs w:val="16"/>
                <w:lang w:eastAsia="ko-KR"/>
              </w:rPr>
              <w:t>1,727</w:t>
            </w:r>
          </w:p>
        </w:tc>
        <w:tc>
          <w:tcPr>
            <w:tcW w:w="964" w:type="dxa"/>
            <w:gridSpan w:val="3"/>
            <w:tcBorders>
              <w:top w:val="nil"/>
              <w:left w:val="nil"/>
              <w:bottom w:val="nil"/>
              <w:right w:val="nil"/>
            </w:tcBorders>
            <w:shd w:val="clear" w:color="auto" w:fill="auto"/>
            <w:vAlign w:val="bottom"/>
            <w:hideMark/>
          </w:tcPr>
          <w:p w14:paraId="5BAD21F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1,802</w:t>
            </w:r>
          </w:p>
        </w:tc>
        <w:tc>
          <w:tcPr>
            <w:tcW w:w="964" w:type="dxa"/>
            <w:gridSpan w:val="3"/>
            <w:tcBorders>
              <w:top w:val="nil"/>
              <w:left w:val="nil"/>
              <w:bottom w:val="nil"/>
              <w:right w:val="nil"/>
            </w:tcBorders>
            <w:shd w:val="clear" w:color="auto" w:fill="auto"/>
            <w:vAlign w:val="bottom"/>
            <w:hideMark/>
          </w:tcPr>
          <w:p w14:paraId="1BFCADF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1,852</w:t>
            </w:r>
          </w:p>
        </w:tc>
        <w:tc>
          <w:tcPr>
            <w:tcW w:w="964" w:type="dxa"/>
            <w:tcBorders>
              <w:top w:val="nil"/>
              <w:left w:val="nil"/>
              <w:bottom w:val="nil"/>
              <w:right w:val="nil"/>
            </w:tcBorders>
            <w:shd w:val="clear" w:color="auto" w:fill="auto"/>
            <w:vAlign w:val="bottom"/>
            <w:hideMark/>
          </w:tcPr>
          <w:p w14:paraId="47AB91A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1,610</w:t>
            </w:r>
          </w:p>
        </w:tc>
      </w:tr>
      <w:tr w:rsidR="00C95312" w:rsidRPr="00F51109" w14:paraId="6329A823"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40D727CE" w14:textId="77777777" w:rsidR="00C95312" w:rsidRPr="00F51109" w:rsidRDefault="00C95312" w:rsidP="00E85896">
            <w:pPr>
              <w:rPr>
                <w:color w:val="000000"/>
                <w:sz w:val="16"/>
                <w:szCs w:val="16"/>
                <w:lang w:eastAsia="ko-KR"/>
              </w:rPr>
            </w:pPr>
            <w:r w:rsidRPr="00F51109">
              <w:rPr>
                <w:color w:val="000000"/>
                <w:sz w:val="16"/>
                <w:szCs w:val="16"/>
                <w:lang w:eastAsia="ko-KR"/>
              </w:rPr>
              <w:t>Advances Paid</w:t>
            </w:r>
          </w:p>
        </w:tc>
        <w:tc>
          <w:tcPr>
            <w:tcW w:w="964" w:type="dxa"/>
            <w:tcBorders>
              <w:top w:val="nil"/>
              <w:left w:val="nil"/>
              <w:bottom w:val="nil"/>
              <w:right w:val="nil"/>
            </w:tcBorders>
            <w:shd w:val="clear" w:color="auto" w:fill="auto"/>
            <w:vAlign w:val="bottom"/>
            <w:hideMark/>
          </w:tcPr>
          <w:p w14:paraId="191EED5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1,298</w:t>
            </w:r>
          </w:p>
        </w:tc>
        <w:tc>
          <w:tcPr>
            <w:tcW w:w="964" w:type="dxa"/>
            <w:tcBorders>
              <w:top w:val="nil"/>
              <w:left w:val="nil"/>
              <w:bottom w:val="nil"/>
              <w:right w:val="nil"/>
            </w:tcBorders>
            <w:shd w:val="clear" w:color="auto" w:fill="auto"/>
            <w:vAlign w:val="bottom"/>
            <w:hideMark/>
          </w:tcPr>
          <w:p w14:paraId="528404D6" w14:textId="77777777" w:rsidR="00C95312" w:rsidRPr="00F51109" w:rsidRDefault="00C95312" w:rsidP="00E85896">
            <w:pPr>
              <w:jc w:val="right"/>
              <w:rPr>
                <w:color w:val="000000"/>
                <w:sz w:val="16"/>
                <w:szCs w:val="16"/>
                <w:lang w:eastAsia="ko-KR"/>
              </w:rPr>
            </w:pPr>
            <w:r w:rsidRPr="00F51109">
              <w:rPr>
                <w:color w:val="000000"/>
                <w:sz w:val="16"/>
                <w:szCs w:val="16"/>
                <w:lang w:eastAsia="ko-KR"/>
              </w:rPr>
              <w:t>1,741</w:t>
            </w:r>
          </w:p>
        </w:tc>
        <w:tc>
          <w:tcPr>
            <w:tcW w:w="964" w:type="dxa"/>
            <w:tcBorders>
              <w:top w:val="nil"/>
              <w:left w:val="nil"/>
              <w:bottom w:val="nil"/>
              <w:right w:val="nil"/>
            </w:tcBorders>
            <w:shd w:val="clear" w:color="auto" w:fill="auto"/>
            <w:vAlign w:val="bottom"/>
            <w:hideMark/>
          </w:tcPr>
          <w:p w14:paraId="2DBA649A" w14:textId="77777777" w:rsidR="00C95312" w:rsidRPr="00F51109" w:rsidRDefault="00C95312" w:rsidP="00E85896">
            <w:pPr>
              <w:jc w:val="right"/>
              <w:rPr>
                <w:color w:val="000000"/>
                <w:sz w:val="16"/>
                <w:szCs w:val="16"/>
                <w:lang w:eastAsia="ko-KR"/>
              </w:rPr>
            </w:pPr>
            <w:r w:rsidRPr="00F51109">
              <w:rPr>
                <w:color w:val="000000"/>
                <w:sz w:val="16"/>
                <w:szCs w:val="16"/>
                <w:lang w:eastAsia="ko-KR"/>
              </w:rPr>
              <w:t>2,160</w:t>
            </w:r>
          </w:p>
        </w:tc>
        <w:tc>
          <w:tcPr>
            <w:tcW w:w="964" w:type="dxa"/>
            <w:gridSpan w:val="3"/>
            <w:tcBorders>
              <w:top w:val="nil"/>
              <w:left w:val="nil"/>
              <w:bottom w:val="nil"/>
              <w:right w:val="nil"/>
            </w:tcBorders>
            <w:shd w:val="clear" w:color="auto" w:fill="auto"/>
            <w:vAlign w:val="bottom"/>
            <w:hideMark/>
          </w:tcPr>
          <w:p w14:paraId="62B2402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2,330</w:t>
            </w:r>
          </w:p>
        </w:tc>
        <w:tc>
          <w:tcPr>
            <w:tcW w:w="964" w:type="dxa"/>
            <w:gridSpan w:val="3"/>
            <w:tcBorders>
              <w:top w:val="nil"/>
              <w:left w:val="nil"/>
              <w:bottom w:val="nil"/>
              <w:right w:val="nil"/>
            </w:tcBorders>
            <w:shd w:val="clear" w:color="auto" w:fill="auto"/>
            <w:vAlign w:val="bottom"/>
            <w:hideMark/>
          </w:tcPr>
          <w:p w14:paraId="6B53508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2,379</w:t>
            </w:r>
          </w:p>
        </w:tc>
        <w:tc>
          <w:tcPr>
            <w:tcW w:w="964" w:type="dxa"/>
            <w:tcBorders>
              <w:top w:val="nil"/>
              <w:left w:val="nil"/>
              <w:bottom w:val="nil"/>
              <w:right w:val="nil"/>
            </w:tcBorders>
            <w:shd w:val="clear" w:color="auto" w:fill="auto"/>
            <w:vAlign w:val="bottom"/>
            <w:hideMark/>
          </w:tcPr>
          <w:p w14:paraId="76457F1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2,298</w:t>
            </w:r>
          </w:p>
        </w:tc>
      </w:tr>
      <w:tr w:rsidR="00C95312" w:rsidRPr="00F51109" w14:paraId="1627C625"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5024409F" w14:textId="77777777" w:rsidR="00C95312" w:rsidRPr="00F51109" w:rsidRDefault="00C95312" w:rsidP="00E85896">
            <w:pPr>
              <w:rPr>
                <w:color w:val="000000"/>
                <w:sz w:val="16"/>
                <w:szCs w:val="16"/>
                <w:lang w:eastAsia="ko-KR"/>
              </w:rPr>
            </w:pPr>
            <w:r w:rsidRPr="00F51109">
              <w:rPr>
                <w:color w:val="000000"/>
                <w:sz w:val="16"/>
                <w:szCs w:val="16"/>
                <w:lang w:eastAsia="ko-KR"/>
              </w:rPr>
              <w:t>Tax Equivalents Receivable</w:t>
            </w:r>
          </w:p>
        </w:tc>
        <w:tc>
          <w:tcPr>
            <w:tcW w:w="964" w:type="dxa"/>
            <w:tcBorders>
              <w:top w:val="nil"/>
              <w:left w:val="nil"/>
              <w:bottom w:val="nil"/>
              <w:right w:val="nil"/>
            </w:tcBorders>
            <w:shd w:val="clear" w:color="auto" w:fill="auto"/>
            <w:vAlign w:val="bottom"/>
            <w:hideMark/>
          </w:tcPr>
          <w:p w14:paraId="19D001E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35</w:t>
            </w:r>
          </w:p>
        </w:tc>
        <w:tc>
          <w:tcPr>
            <w:tcW w:w="964" w:type="dxa"/>
            <w:tcBorders>
              <w:top w:val="nil"/>
              <w:left w:val="nil"/>
              <w:bottom w:val="nil"/>
              <w:right w:val="nil"/>
            </w:tcBorders>
            <w:shd w:val="clear" w:color="auto" w:fill="auto"/>
            <w:vAlign w:val="bottom"/>
            <w:hideMark/>
          </w:tcPr>
          <w:p w14:paraId="5BE5FB92" w14:textId="77777777" w:rsidR="00C95312" w:rsidRPr="00F51109" w:rsidRDefault="00C95312" w:rsidP="00E85896">
            <w:pPr>
              <w:jc w:val="right"/>
              <w:rPr>
                <w:color w:val="000000"/>
                <w:sz w:val="16"/>
                <w:szCs w:val="16"/>
                <w:lang w:eastAsia="ko-KR"/>
              </w:rPr>
            </w:pPr>
            <w:r w:rsidRPr="00F51109">
              <w:rPr>
                <w:color w:val="000000"/>
                <w:sz w:val="16"/>
                <w:szCs w:val="16"/>
                <w:lang w:eastAsia="ko-KR"/>
              </w:rPr>
              <w:t>64</w:t>
            </w:r>
          </w:p>
        </w:tc>
        <w:tc>
          <w:tcPr>
            <w:tcW w:w="964" w:type="dxa"/>
            <w:tcBorders>
              <w:top w:val="nil"/>
              <w:left w:val="nil"/>
              <w:bottom w:val="nil"/>
              <w:right w:val="nil"/>
            </w:tcBorders>
            <w:shd w:val="clear" w:color="auto" w:fill="auto"/>
            <w:vAlign w:val="bottom"/>
            <w:hideMark/>
          </w:tcPr>
          <w:p w14:paraId="20F0E529" w14:textId="77777777" w:rsidR="00C95312" w:rsidRPr="00F51109" w:rsidRDefault="00C95312" w:rsidP="00E85896">
            <w:pPr>
              <w:jc w:val="right"/>
              <w:rPr>
                <w:color w:val="000000"/>
                <w:sz w:val="16"/>
                <w:szCs w:val="16"/>
                <w:lang w:eastAsia="ko-KR"/>
              </w:rPr>
            </w:pPr>
            <w:r w:rsidRPr="00F51109">
              <w:rPr>
                <w:color w:val="000000"/>
                <w:sz w:val="16"/>
                <w:szCs w:val="16"/>
                <w:lang w:eastAsia="ko-KR"/>
              </w:rPr>
              <w:t>129</w:t>
            </w:r>
          </w:p>
        </w:tc>
        <w:tc>
          <w:tcPr>
            <w:tcW w:w="964" w:type="dxa"/>
            <w:gridSpan w:val="3"/>
            <w:tcBorders>
              <w:top w:val="nil"/>
              <w:left w:val="nil"/>
              <w:bottom w:val="nil"/>
              <w:right w:val="nil"/>
            </w:tcBorders>
            <w:shd w:val="clear" w:color="auto" w:fill="auto"/>
            <w:vAlign w:val="bottom"/>
            <w:hideMark/>
          </w:tcPr>
          <w:p w14:paraId="5494168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198</w:t>
            </w:r>
          </w:p>
        </w:tc>
        <w:tc>
          <w:tcPr>
            <w:tcW w:w="964" w:type="dxa"/>
            <w:gridSpan w:val="3"/>
            <w:tcBorders>
              <w:top w:val="nil"/>
              <w:left w:val="nil"/>
              <w:bottom w:val="nil"/>
              <w:right w:val="nil"/>
            </w:tcBorders>
            <w:shd w:val="clear" w:color="auto" w:fill="auto"/>
            <w:vAlign w:val="bottom"/>
            <w:hideMark/>
          </w:tcPr>
          <w:p w14:paraId="50323C6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309</w:t>
            </w:r>
          </w:p>
        </w:tc>
        <w:tc>
          <w:tcPr>
            <w:tcW w:w="964" w:type="dxa"/>
            <w:tcBorders>
              <w:top w:val="nil"/>
              <w:left w:val="nil"/>
              <w:bottom w:val="nil"/>
              <w:right w:val="nil"/>
            </w:tcBorders>
            <w:shd w:val="clear" w:color="auto" w:fill="auto"/>
            <w:vAlign w:val="bottom"/>
            <w:hideMark/>
          </w:tcPr>
          <w:p w14:paraId="3244D83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368</w:t>
            </w:r>
          </w:p>
        </w:tc>
      </w:tr>
      <w:tr w:rsidR="00C95312" w:rsidRPr="00F51109" w14:paraId="19A49CD0"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0EE93F34" w14:textId="77777777" w:rsidR="00C95312" w:rsidRPr="00F51109" w:rsidRDefault="00C95312" w:rsidP="00E85896">
            <w:pPr>
              <w:rPr>
                <w:color w:val="000000"/>
                <w:sz w:val="16"/>
                <w:szCs w:val="16"/>
                <w:lang w:eastAsia="ko-KR"/>
              </w:rPr>
            </w:pPr>
            <w:r w:rsidRPr="00F51109">
              <w:rPr>
                <w:color w:val="000000"/>
                <w:sz w:val="16"/>
                <w:szCs w:val="16"/>
                <w:lang w:eastAsia="ko-KR"/>
              </w:rPr>
              <w:t>Deferred Tax Equivalents</w:t>
            </w:r>
          </w:p>
        </w:tc>
        <w:tc>
          <w:tcPr>
            <w:tcW w:w="964" w:type="dxa"/>
            <w:tcBorders>
              <w:top w:val="nil"/>
              <w:left w:val="nil"/>
              <w:bottom w:val="nil"/>
              <w:right w:val="nil"/>
            </w:tcBorders>
            <w:shd w:val="clear" w:color="auto" w:fill="auto"/>
            <w:vAlign w:val="bottom"/>
            <w:hideMark/>
          </w:tcPr>
          <w:p w14:paraId="252A657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2,291</w:t>
            </w:r>
          </w:p>
        </w:tc>
        <w:tc>
          <w:tcPr>
            <w:tcW w:w="964" w:type="dxa"/>
            <w:tcBorders>
              <w:top w:val="nil"/>
              <w:left w:val="nil"/>
              <w:bottom w:val="nil"/>
              <w:right w:val="nil"/>
            </w:tcBorders>
            <w:shd w:val="clear" w:color="auto" w:fill="auto"/>
            <w:vAlign w:val="bottom"/>
            <w:hideMark/>
          </w:tcPr>
          <w:p w14:paraId="66843DB5" w14:textId="77777777" w:rsidR="00C95312" w:rsidRPr="00F51109" w:rsidRDefault="00C95312" w:rsidP="00E85896">
            <w:pPr>
              <w:jc w:val="right"/>
              <w:rPr>
                <w:color w:val="000000"/>
                <w:sz w:val="16"/>
                <w:szCs w:val="16"/>
                <w:lang w:eastAsia="ko-KR"/>
              </w:rPr>
            </w:pPr>
            <w:r w:rsidRPr="00F51109">
              <w:rPr>
                <w:color w:val="000000"/>
                <w:sz w:val="16"/>
                <w:szCs w:val="16"/>
                <w:lang w:eastAsia="ko-KR"/>
              </w:rPr>
              <w:t>2,369</w:t>
            </w:r>
          </w:p>
        </w:tc>
        <w:tc>
          <w:tcPr>
            <w:tcW w:w="964" w:type="dxa"/>
            <w:tcBorders>
              <w:top w:val="nil"/>
              <w:left w:val="nil"/>
              <w:bottom w:val="nil"/>
              <w:right w:val="nil"/>
            </w:tcBorders>
            <w:shd w:val="clear" w:color="auto" w:fill="auto"/>
            <w:vAlign w:val="bottom"/>
            <w:hideMark/>
          </w:tcPr>
          <w:p w14:paraId="7A4025A9" w14:textId="77777777" w:rsidR="00C95312" w:rsidRPr="00F51109" w:rsidRDefault="00C95312" w:rsidP="00E85896">
            <w:pPr>
              <w:jc w:val="right"/>
              <w:rPr>
                <w:color w:val="000000"/>
                <w:sz w:val="16"/>
                <w:szCs w:val="16"/>
                <w:lang w:eastAsia="ko-KR"/>
              </w:rPr>
            </w:pPr>
            <w:r w:rsidRPr="00F51109">
              <w:rPr>
                <w:color w:val="000000"/>
                <w:sz w:val="16"/>
                <w:szCs w:val="16"/>
                <w:lang w:eastAsia="ko-KR"/>
              </w:rPr>
              <w:t>2,419</w:t>
            </w:r>
          </w:p>
        </w:tc>
        <w:tc>
          <w:tcPr>
            <w:tcW w:w="964" w:type="dxa"/>
            <w:gridSpan w:val="3"/>
            <w:tcBorders>
              <w:top w:val="nil"/>
              <w:left w:val="nil"/>
              <w:bottom w:val="nil"/>
              <w:right w:val="nil"/>
            </w:tcBorders>
            <w:shd w:val="clear" w:color="auto" w:fill="auto"/>
            <w:vAlign w:val="bottom"/>
            <w:hideMark/>
          </w:tcPr>
          <w:p w14:paraId="09F1CD9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2,479</w:t>
            </w:r>
          </w:p>
        </w:tc>
        <w:tc>
          <w:tcPr>
            <w:tcW w:w="964" w:type="dxa"/>
            <w:gridSpan w:val="3"/>
            <w:tcBorders>
              <w:top w:val="nil"/>
              <w:left w:val="nil"/>
              <w:bottom w:val="nil"/>
              <w:right w:val="nil"/>
            </w:tcBorders>
            <w:shd w:val="clear" w:color="auto" w:fill="auto"/>
            <w:vAlign w:val="bottom"/>
            <w:hideMark/>
          </w:tcPr>
          <w:p w14:paraId="1C68E3D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2,579</w:t>
            </w:r>
          </w:p>
        </w:tc>
        <w:tc>
          <w:tcPr>
            <w:tcW w:w="964" w:type="dxa"/>
            <w:tcBorders>
              <w:top w:val="nil"/>
              <w:left w:val="nil"/>
              <w:bottom w:val="nil"/>
              <w:right w:val="nil"/>
            </w:tcBorders>
            <w:shd w:val="clear" w:color="auto" w:fill="auto"/>
            <w:vAlign w:val="bottom"/>
            <w:hideMark/>
          </w:tcPr>
          <w:p w14:paraId="7EF860C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2,705</w:t>
            </w:r>
          </w:p>
        </w:tc>
      </w:tr>
      <w:tr w:rsidR="00C95312" w:rsidRPr="00F51109" w14:paraId="673B2C77"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5B20A32A" w14:textId="77777777" w:rsidR="00C95312" w:rsidRPr="00F51109" w:rsidRDefault="00C95312" w:rsidP="00E85896">
            <w:pPr>
              <w:rPr>
                <w:color w:val="000000"/>
                <w:sz w:val="16"/>
                <w:szCs w:val="16"/>
                <w:lang w:eastAsia="ko-KR"/>
              </w:rPr>
            </w:pPr>
            <w:r w:rsidRPr="00F51109">
              <w:rPr>
                <w:color w:val="000000"/>
                <w:sz w:val="16"/>
                <w:szCs w:val="16"/>
                <w:lang w:eastAsia="ko-KR"/>
              </w:rPr>
              <w:t>Equity</w:t>
            </w:r>
          </w:p>
        </w:tc>
        <w:tc>
          <w:tcPr>
            <w:tcW w:w="964" w:type="dxa"/>
            <w:tcBorders>
              <w:top w:val="nil"/>
              <w:left w:val="nil"/>
              <w:bottom w:val="nil"/>
              <w:right w:val="nil"/>
            </w:tcBorders>
            <w:shd w:val="clear" w:color="auto" w:fill="auto"/>
            <w:vAlign w:val="bottom"/>
            <w:hideMark/>
          </w:tcPr>
          <w:p w14:paraId="0E2066AA" w14:textId="77777777" w:rsidR="00C95312" w:rsidRPr="00D14430" w:rsidRDefault="00C95312" w:rsidP="00E85896">
            <w:pPr>
              <w:jc w:val="right"/>
              <w:rPr>
                <w:color w:val="A6A6A6" w:themeColor="background1" w:themeShade="A6"/>
                <w:sz w:val="16"/>
                <w:szCs w:val="16"/>
                <w:lang w:eastAsia="ko-KR"/>
              </w:rPr>
            </w:pPr>
          </w:p>
        </w:tc>
        <w:tc>
          <w:tcPr>
            <w:tcW w:w="964" w:type="dxa"/>
            <w:tcBorders>
              <w:top w:val="nil"/>
              <w:left w:val="nil"/>
              <w:bottom w:val="nil"/>
              <w:right w:val="nil"/>
            </w:tcBorders>
            <w:shd w:val="clear" w:color="auto" w:fill="auto"/>
            <w:vAlign w:val="bottom"/>
            <w:hideMark/>
          </w:tcPr>
          <w:p w14:paraId="0C0F4A86" w14:textId="77777777" w:rsidR="00C95312" w:rsidRPr="00F51109" w:rsidRDefault="00C95312" w:rsidP="00E85896">
            <w:pPr>
              <w:jc w:val="right"/>
              <w:rPr>
                <w:lang w:eastAsia="ko-KR"/>
              </w:rPr>
            </w:pPr>
          </w:p>
        </w:tc>
        <w:tc>
          <w:tcPr>
            <w:tcW w:w="964" w:type="dxa"/>
            <w:tcBorders>
              <w:top w:val="nil"/>
              <w:left w:val="nil"/>
              <w:bottom w:val="nil"/>
              <w:right w:val="nil"/>
            </w:tcBorders>
            <w:shd w:val="clear" w:color="auto" w:fill="auto"/>
            <w:vAlign w:val="bottom"/>
            <w:hideMark/>
          </w:tcPr>
          <w:p w14:paraId="41AAA416" w14:textId="77777777" w:rsidR="00C95312" w:rsidRPr="00F51109" w:rsidRDefault="00C95312" w:rsidP="00E85896">
            <w:pPr>
              <w:jc w:val="right"/>
              <w:rPr>
                <w:lang w:eastAsia="ko-KR"/>
              </w:rPr>
            </w:pPr>
          </w:p>
        </w:tc>
        <w:tc>
          <w:tcPr>
            <w:tcW w:w="964" w:type="dxa"/>
            <w:gridSpan w:val="3"/>
            <w:tcBorders>
              <w:top w:val="nil"/>
              <w:left w:val="nil"/>
              <w:bottom w:val="nil"/>
              <w:right w:val="nil"/>
            </w:tcBorders>
            <w:shd w:val="clear" w:color="auto" w:fill="auto"/>
            <w:vAlign w:val="bottom"/>
            <w:hideMark/>
          </w:tcPr>
          <w:p w14:paraId="4A65BCAE" w14:textId="77777777" w:rsidR="00C95312" w:rsidRPr="00D14430" w:rsidRDefault="00C95312" w:rsidP="00E85896">
            <w:pPr>
              <w:jc w:val="right"/>
              <w:rPr>
                <w:color w:val="A6A6A6" w:themeColor="background1" w:themeShade="A6"/>
                <w:lang w:eastAsia="ko-KR"/>
              </w:rPr>
            </w:pPr>
          </w:p>
        </w:tc>
        <w:tc>
          <w:tcPr>
            <w:tcW w:w="964" w:type="dxa"/>
            <w:gridSpan w:val="3"/>
            <w:tcBorders>
              <w:top w:val="nil"/>
              <w:left w:val="nil"/>
              <w:bottom w:val="nil"/>
              <w:right w:val="nil"/>
            </w:tcBorders>
            <w:shd w:val="clear" w:color="auto" w:fill="auto"/>
            <w:vAlign w:val="bottom"/>
            <w:hideMark/>
          </w:tcPr>
          <w:p w14:paraId="3C042D23" w14:textId="77777777" w:rsidR="00C95312" w:rsidRPr="00D14430" w:rsidRDefault="00C95312" w:rsidP="00E85896">
            <w:pPr>
              <w:jc w:val="right"/>
              <w:rPr>
                <w:color w:val="A6A6A6" w:themeColor="background1" w:themeShade="A6"/>
                <w:lang w:eastAsia="ko-KR"/>
              </w:rPr>
            </w:pPr>
          </w:p>
        </w:tc>
        <w:tc>
          <w:tcPr>
            <w:tcW w:w="964" w:type="dxa"/>
            <w:tcBorders>
              <w:top w:val="nil"/>
              <w:left w:val="nil"/>
              <w:bottom w:val="nil"/>
              <w:right w:val="nil"/>
            </w:tcBorders>
            <w:shd w:val="clear" w:color="auto" w:fill="auto"/>
            <w:vAlign w:val="bottom"/>
            <w:hideMark/>
          </w:tcPr>
          <w:p w14:paraId="07446DF6" w14:textId="77777777" w:rsidR="00C95312" w:rsidRPr="00D14430" w:rsidRDefault="00C95312" w:rsidP="00E85896">
            <w:pPr>
              <w:jc w:val="right"/>
              <w:rPr>
                <w:color w:val="A6A6A6" w:themeColor="background1" w:themeShade="A6"/>
                <w:lang w:eastAsia="ko-KR"/>
              </w:rPr>
            </w:pPr>
          </w:p>
        </w:tc>
      </w:tr>
      <w:tr w:rsidR="00C95312" w:rsidRPr="00F51109" w14:paraId="4E59C031"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6425B09D"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Investments in Other Public Sector Entities</w:t>
            </w:r>
          </w:p>
        </w:tc>
        <w:tc>
          <w:tcPr>
            <w:tcW w:w="964" w:type="dxa"/>
            <w:tcBorders>
              <w:top w:val="nil"/>
              <w:left w:val="nil"/>
              <w:bottom w:val="nil"/>
              <w:right w:val="nil"/>
            </w:tcBorders>
            <w:shd w:val="clear" w:color="auto" w:fill="auto"/>
            <w:vAlign w:val="bottom"/>
            <w:hideMark/>
          </w:tcPr>
          <w:p w14:paraId="14F559A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85,778</w:t>
            </w:r>
          </w:p>
        </w:tc>
        <w:tc>
          <w:tcPr>
            <w:tcW w:w="964" w:type="dxa"/>
            <w:tcBorders>
              <w:top w:val="nil"/>
              <w:left w:val="nil"/>
              <w:bottom w:val="nil"/>
              <w:right w:val="nil"/>
            </w:tcBorders>
            <w:shd w:val="clear" w:color="auto" w:fill="auto"/>
            <w:vAlign w:val="bottom"/>
            <w:hideMark/>
          </w:tcPr>
          <w:p w14:paraId="237CC3EB"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112,330</w:t>
            </w:r>
          </w:p>
        </w:tc>
        <w:tc>
          <w:tcPr>
            <w:tcW w:w="964" w:type="dxa"/>
            <w:tcBorders>
              <w:top w:val="nil"/>
              <w:left w:val="nil"/>
              <w:bottom w:val="nil"/>
              <w:right w:val="nil"/>
            </w:tcBorders>
            <w:shd w:val="clear" w:color="auto" w:fill="auto"/>
            <w:vAlign w:val="bottom"/>
            <w:hideMark/>
          </w:tcPr>
          <w:p w14:paraId="0474D1F6"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116,374</w:t>
            </w:r>
          </w:p>
        </w:tc>
        <w:tc>
          <w:tcPr>
            <w:tcW w:w="964" w:type="dxa"/>
            <w:gridSpan w:val="3"/>
            <w:tcBorders>
              <w:top w:val="nil"/>
              <w:left w:val="nil"/>
              <w:bottom w:val="nil"/>
              <w:right w:val="nil"/>
            </w:tcBorders>
            <w:shd w:val="clear" w:color="auto" w:fill="auto"/>
            <w:vAlign w:val="bottom"/>
            <w:hideMark/>
          </w:tcPr>
          <w:p w14:paraId="10A777B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120,998</w:t>
            </w:r>
          </w:p>
        </w:tc>
        <w:tc>
          <w:tcPr>
            <w:tcW w:w="964" w:type="dxa"/>
            <w:gridSpan w:val="3"/>
            <w:tcBorders>
              <w:top w:val="nil"/>
              <w:left w:val="nil"/>
              <w:bottom w:val="nil"/>
              <w:right w:val="nil"/>
            </w:tcBorders>
            <w:shd w:val="clear" w:color="auto" w:fill="auto"/>
            <w:vAlign w:val="bottom"/>
            <w:hideMark/>
          </w:tcPr>
          <w:p w14:paraId="03A7E3C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123,586</w:t>
            </w:r>
          </w:p>
        </w:tc>
        <w:tc>
          <w:tcPr>
            <w:tcW w:w="964" w:type="dxa"/>
            <w:tcBorders>
              <w:top w:val="nil"/>
              <w:left w:val="nil"/>
              <w:bottom w:val="nil"/>
              <w:right w:val="nil"/>
            </w:tcBorders>
            <w:shd w:val="clear" w:color="auto" w:fill="auto"/>
            <w:vAlign w:val="bottom"/>
            <w:hideMark/>
          </w:tcPr>
          <w:p w14:paraId="5AD8E86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123,375</w:t>
            </w:r>
          </w:p>
        </w:tc>
      </w:tr>
      <w:tr w:rsidR="00C95312" w:rsidRPr="00F51109" w14:paraId="394E2720"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642EF7C8"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Investments in Associates</w:t>
            </w:r>
          </w:p>
        </w:tc>
        <w:tc>
          <w:tcPr>
            <w:tcW w:w="964" w:type="dxa"/>
            <w:tcBorders>
              <w:top w:val="nil"/>
              <w:left w:val="nil"/>
              <w:bottom w:val="nil"/>
              <w:right w:val="nil"/>
            </w:tcBorders>
            <w:shd w:val="clear" w:color="auto" w:fill="auto"/>
            <w:vAlign w:val="bottom"/>
            <w:hideMark/>
          </w:tcPr>
          <w:p w14:paraId="78E4A7A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13,358</w:t>
            </w:r>
          </w:p>
        </w:tc>
        <w:tc>
          <w:tcPr>
            <w:tcW w:w="964" w:type="dxa"/>
            <w:tcBorders>
              <w:top w:val="nil"/>
              <w:left w:val="nil"/>
              <w:bottom w:val="nil"/>
              <w:right w:val="nil"/>
            </w:tcBorders>
            <w:shd w:val="clear" w:color="auto" w:fill="auto"/>
            <w:vAlign w:val="bottom"/>
            <w:hideMark/>
          </w:tcPr>
          <w:p w14:paraId="770045AC" w14:textId="77777777" w:rsidR="00C95312" w:rsidRPr="00F51109" w:rsidRDefault="00C95312" w:rsidP="00E85896">
            <w:pPr>
              <w:jc w:val="right"/>
              <w:rPr>
                <w:color w:val="000000"/>
                <w:sz w:val="16"/>
                <w:szCs w:val="16"/>
                <w:lang w:eastAsia="ko-KR"/>
              </w:rPr>
            </w:pPr>
            <w:r w:rsidRPr="00F51109">
              <w:rPr>
                <w:color w:val="000000"/>
                <w:sz w:val="16"/>
                <w:szCs w:val="16"/>
                <w:lang w:eastAsia="ko-KR"/>
              </w:rPr>
              <w:t>7,877</w:t>
            </w:r>
          </w:p>
        </w:tc>
        <w:tc>
          <w:tcPr>
            <w:tcW w:w="964" w:type="dxa"/>
            <w:tcBorders>
              <w:top w:val="nil"/>
              <w:left w:val="nil"/>
              <w:bottom w:val="nil"/>
              <w:right w:val="nil"/>
            </w:tcBorders>
            <w:shd w:val="clear" w:color="auto" w:fill="auto"/>
            <w:vAlign w:val="bottom"/>
            <w:hideMark/>
          </w:tcPr>
          <w:p w14:paraId="607DC481" w14:textId="77777777" w:rsidR="00C95312" w:rsidRPr="00F51109" w:rsidRDefault="00C95312" w:rsidP="00E85896">
            <w:pPr>
              <w:jc w:val="right"/>
              <w:rPr>
                <w:color w:val="000000"/>
                <w:sz w:val="16"/>
                <w:szCs w:val="16"/>
                <w:lang w:eastAsia="ko-KR"/>
              </w:rPr>
            </w:pPr>
            <w:r w:rsidRPr="00F51109">
              <w:rPr>
                <w:color w:val="000000"/>
                <w:sz w:val="16"/>
                <w:szCs w:val="16"/>
                <w:lang w:eastAsia="ko-KR"/>
              </w:rPr>
              <w:t>8,086</w:t>
            </w:r>
          </w:p>
        </w:tc>
        <w:tc>
          <w:tcPr>
            <w:tcW w:w="964" w:type="dxa"/>
            <w:gridSpan w:val="3"/>
            <w:tcBorders>
              <w:top w:val="nil"/>
              <w:left w:val="nil"/>
              <w:bottom w:val="nil"/>
              <w:right w:val="nil"/>
            </w:tcBorders>
            <w:shd w:val="clear" w:color="auto" w:fill="auto"/>
            <w:vAlign w:val="bottom"/>
            <w:hideMark/>
          </w:tcPr>
          <w:p w14:paraId="53E86DC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7,889</w:t>
            </w:r>
          </w:p>
        </w:tc>
        <w:tc>
          <w:tcPr>
            <w:tcW w:w="964" w:type="dxa"/>
            <w:gridSpan w:val="3"/>
            <w:tcBorders>
              <w:top w:val="nil"/>
              <w:left w:val="nil"/>
              <w:bottom w:val="nil"/>
              <w:right w:val="nil"/>
            </w:tcBorders>
            <w:shd w:val="clear" w:color="auto" w:fill="auto"/>
            <w:vAlign w:val="bottom"/>
            <w:hideMark/>
          </w:tcPr>
          <w:p w14:paraId="16C8D1E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7,854</w:t>
            </w:r>
          </w:p>
        </w:tc>
        <w:tc>
          <w:tcPr>
            <w:tcW w:w="964" w:type="dxa"/>
            <w:tcBorders>
              <w:top w:val="nil"/>
              <w:left w:val="nil"/>
              <w:bottom w:val="nil"/>
              <w:right w:val="nil"/>
            </w:tcBorders>
            <w:shd w:val="clear" w:color="auto" w:fill="auto"/>
            <w:vAlign w:val="bottom"/>
            <w:hideMark/>
          </w:tcPr>
          <w:p w14:paraId="312A280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7,695</w:t>
            </w:r>
          </w:p>
        </w:tc>
      </w:tr>
      <w:tr w:rsidR="00C95312" w:rsidRPr="00F51109" w14:paraId="627EF610"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063FD244"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 xml:space="preserve">Other </w:t>
            </w:r>
          </w:p>
        </w:tc>
        <w:tc>
          <w:tcPr>
            <w:tcW w:w="964" w:type="dxa"/>
            <w:tcBorders>
              <w:top w:val="nil"/>
              <w:left w:val="nil"/>
              <w:bottom w:val="nil"/>
              <w:right w:val="nil"/>
            </w:tcBorders>
            <w:shd w:val="clear" w:color="auto" w:fill="auto"/>
            <w:vAlign w:val="bottom"/>
            <w:hideMark/>
          </w:tcPr>
          <w:p w14:paraId="597233C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w:t>
            </w:r>
          </w:p>
        </w:tc>
        <w:tc>
          <w:tcPr>
            <w:tcW w:w="964" w:type="dxa"/>
            <w:tcBorders>
              <w:top w:val="nil"/>
              <w:left w:val="nil"/>
              <w:bottom w:val="nil"/>
              <w:right w:val="nil"/>
            </w:tcBorders>
            <w:shd w:val="clear" w:color="auto" w:fill="auto"/>
            <w:vAlign w:val="bottom"/>
            <w:hideMark/>
          </w:tcPr>
          <w:p w14:paraId="0D3A02B0" w14:textId="77777777" w:rsidR="00C95312" w:rsidRPr="00F51109" w:rsidRDefault="00C95312" w:rsidP="00E85896">
            <w:pPr>
              <w:jc w:val="right"/>
              <w:rPr>
                <w:color w:val="000000"/>
                <w:sz w:val="16"/>
                <w:szCs w:val="16"/>
                <w:lang w:eastAsia="ko-KR"/>
              </w:rPr>
            </w:pPr>
            <w:r w:rsidRPr="00F51109">
              <w:rPr>
                <w:color w:val="000000"/>
                <w:sz w:val="16"/>
                <w:szCs w:val="16"/>
                <w:lang w:eastAsia="ko-KR"/>
              </w:rPr>
              <w:t>6</w:t>
            </w:r>
          </w:p>
        </w:tc>
        <w:tc>
          <w:tcPr>
            <w:tcW w:w="964" w:type="dxa"/>
            <w:tcBorders>
              <w:top w:val="nil"/>
              <w:left w:val="nil"/>
              <w:bottom w:val="nil"/>
              <w:right w:val="nil"/>
            </w:tcBorders>
            <w:shd w:val="clear" w:color="auto" w:fill="auto"/>
            <w:vAlign w:val="bottom"/>
            <w:hideMark/>
          </w:tcPr>
          <w:p w14:paraId="0585CACB" w14:textId="77777777" w:rsidR="00C95312" w:rsidRPr="00F51109" w:rsidRDefault="00C95312" w:rsidP="00E85896">
            <w:pPr>
              <w:jc w:val="right"/>
              <w:rPr>
                <w:color w:val="000000"/>
                <w:sz w:val="16"/>
                <w:szCs w:val="16"/>
                <w:lang w:eastAsia="ko-KR"/>
              </w:rPr>
            </w:pPr>
            <w:r w:rsidRPr="00F51109">
              <w:rPr>
                <w:color w:val="000000"/>
                <w:sz w:val="16"/>
                <w:szCs w:val="16"/>
                <w:lang w:eastAsia="ko-KR"/>
              </w:rPr>
              <w:t>6</w:t>
            </w:r>
          </w:p>
        </w:tc>
        <w:tc>
          <w:tcPr>
            <w:tcW w:w="964" w:type="dxa"/>
            <w:gridSpan w:val="3"/>
            <w:tcBorders>
              <w:top w:val="nil"/>
              <w:left w:val="nil"/>
              <w:bottom w:val="nil"/>
              <w:right w:val="nil"/>
            </w:tcBorders>
            <w:shd w:val="clear" w:color="auto" w:fill="auto"/>
            <w:vAlign w:val="bottom"/>
            <w:hideMark/>
          </w:tcPr>
          <w:p w14:paraId="78C191B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w:t>
            </w:r>
          </w:p>
        </w:tc>
        <w:tc>
          <w:tcPr>
            <w:tcW w:w="964" w:type="dxa"/>
            <w:gridSpan w:val="3"/>
            <w:tcBorders>
              <w:top w:val="nil"/>
              <w:left w:val="nil"/>
              <w:bottom w:val="nil"/>
              <w:right w:val="nil"/>
            </w:tcBorders>
            <w:shd w:val="clear" w:color="auto" w:fill="auto"/>
            <w:vAlign w:val="bottom"/>
            <w:hideMark/>
          </w:tcPr>
          <w:p w14:paraId="34FF9CE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w:t>
            </w:r>
          </w:p>
        </w:tc>
        <w:tc>
          <w:tcPr>
            <w:tcW w:w="964" w:type="dxa"/>
            <w:tcBorders>
              <w:top w:val="nil"/>
              <w:left w:val="nil"/>
              <w:bottom w:val="nil"/>
              <w:right w:val="nil"/>
            </w:tcBorders>
            <w:shd w:val="clear" w:color="auto" w:fill="auto"/>
            <w:vAlign w:val="bottom"/>
            <w:hideMark/>
          </w:tcPr>
          <w:p w14:paraId="4D3417B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w:t>
            </w:r>
          </w:p>
        </w:tc>
      </w:tr>
      <w:tr w:rsidR="00C95312" w:rsidRPr="00F51109" w14:paraId="5DB8A656"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3BB2A632"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Total Financial Assets</w:t>
            </w:r>
          </w:p>
        </w:tc>
        <w:tc>
          <w:tcPr>
            <w:tcW w:w="964" w:type="dxa"/>
            <w:tcBorders>
              <w:top w:val="nil"/>
              <w:left w:val="nil"/>
              <w:bottom w:val="nil"/>
              <w:right w:val="nil"/>
            </w:tcBorders>
            <w:shd w:val="clear" w:color="auto" w:fill="auto"/>
            <w:vAlign w:val="center"/>
            <w:hideMark/>
          </w:tcPr>
          <w:p w14:paraId="4F9E9299"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168,211</w:t>
            </w:r>
          </w:p>
        </w:tc>
        <w:tc>
          <w:tcPr>
            <w:tcW w:w="964" w:type="dxa"/>
            <w:tcBorders>
              <w:top w:val="nil"/>
              <w:left w:val="nil"/>
              <w:bottom w:val="nil"/>
              <w:right w:val="nil"/>
            </w:tcBorders>
            <w:shd w:val="clear" w:color="auto" w:fill="auto"/>
            <w:vAlign w:val="center"/>
            <w:hideMark/>
          </w:tcPr>
          <w:p w14:paraId="116AC789"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186,630</w:t>
            </w:r>
          </w:p>
        </w:tc>
        <w:tc>
          <w:tcPr>
            <w:tcW w:w="964" w:type="dxa"/>
            <w:tcBorders>
              <w:top w:val="nil"/>
              <w:left w:val="nil"/>
              <w:bottom w:val="nil"/>
              <w:right w:val="nil"/>
            </w:tcBorders>
            <w:shd w:val="clear" w:color="auto" w:fill="auto"/>
            <w:vAlign w:val="center"/>
            <w:hideMark/>
          </w:tcPr>
          <w:p w14:paraId="48757EFA"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189,143</w:t>
            </w:r>
          </w:p>
        </w:tc>
        <w:tc>
          <w:tcPr>
            <w:tcW w:w="964" w:type="dxa"/>
            <w:gridSpan w:val="3"/>
            <w:tcBorders>
              <w:top w:val="nil"/>
              <w:left w:val="nil"/>
              <w:bottom w:val="nil"/>
              <w:right w:val="nil"/>
            </w:tcBorders>
            <w:shd w:val="clear" w:color="auto" w:fill="auto"/>
            <w:vAlign w:val="center"/>
            <w:hideMark/>
          </w:tcPr>
          <w:p w14:paraId="5E951D1A"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198,548</w:t>
            </w:r>
          </w:p>
        </w:tc>
        <w:tc>
          <w:tcPr>
            <w:tcW w:w="964" w:type="dxa"/>
            <w:gridSpan w:val="3"/>
            <w:tcBorders>
              <w:top w:val="nil"/>
              <w:left w:val="nil"/>
              <w:bottom w:val="nil"/>
              <w:right w:val="nil"/>
            </w:tcBorders>
            <w:shd w:val="clear" w:color="auto" w:fill="auto"/>
            <w:vAlign w:val="center"/>
            <w:hideMark/>
          </w:tcPr>
          <w:p w14:paraId="198A57F2"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205,155</w:t>
            </w:r>
          </w:p>
        </w:tc>
        <w:tc>
          <w:tcPr>
            <w:tcW w:w="964" w:type="dxa"/>
            <w:tcBorders>
              <w:top w:val="nil"/>
              <w:left w:val="nil"/>
              <w:bottom w:val="nil"/>
              <w:right w:val="nil"/>
            </w:tcBorders>
            <w:shd w:val="clear" w:color="auto" w:fill="auto"/>
            <w:vAlign w:val="center"/>
            <w:hideMark/>
          </w:tcPr>
          <w:p w14:paraId="6B5CAF29"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212,443</w:t>
            </w:r>
          </w:p>
        </w:tc>
      </w:tr>
      <w:tr w:rsidR="00C95312" w:rsidRPr="00F51109" w14:paraId="4A5B3FE8"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0FD2278F" w14:textId="77777777" w:rsidR="00C95312" w:rsidRPr="00F51109" w:rsidRDefault="00C95312" w:rsidP="00E85896">
            <w:pPr>
              <w:rPr>
                <w:b/>
                <w:bCs/>
                <w:color w:val="000000"/>
                <w:sz w:val="16"/>
                <w:szCs w:val="16"/>
                <w:lang w:eastAsia="ko-KR"/>
              </w:rPr>
            </w:pPr>
            <w:r w:rsidRPr="00F51109">
              <w:rPr>
                <w:b/>
                <w:bCs/>
                <w:color w:val="000000"/>
                <w:sz w:val="16"/>
                <w:szCs w:val="16"/>
                <w:lang w:eastAsia="ko-KR"/>
              </w:rPr>
              <w:t>Non-Financial Assets</w:t>
            </w:r>
          </w:p>
        </w:tc>
        <w:tc>
          <w:tcPr>
            <w:tcW w:w="964" w:type="dxa"/>
            <w:tcBorders>
              <w:top w:val="nil"/>
              <w:left w:val="nil"/>
              <w:bottom w:val="nil"/>
              <w:right w:val="nil"/>
            </w:tcBorders>
            <w:shd w:val="clear" w:color="auto" w:fill="auto"/>
            <w:vAlign w:val="bottom"/>
            <w:hideMark/>
          </w:tcPr>
          <w:p w14:paraId="0C444529" w14:textId="77777777" w:rsidR="00C95312" w:rsidRPr="00D14430" w:rsidRDefault="00C95312" w:rsidP="00E85896">
            <w:pPr>
              <w:rPr>
                <w:b/>
                <w:bCs/>
                <w:color w:val="A6A6A6" w:themeColor="background1" w:themeShade="A6"/>
                <w:sz w:val="16"/>
                <w:szCs w:val="16"/>
                <w:lang w:eastAsia="ko-KR"/>
              </w:rPr>
            </w:pPr>
          </w:p>
        </w:tc>
        <w:tc>
          <w:tcPr>
            <w:tcW w:w="964" w:type="dxa"/>
            <w:tcBorders>
              <w:top w:val="nil"/>
              <w:left w:val="nil"/>
              <w:bottom w:val="nil"/>
              <w:right w:val="nil"/>
            </w:tcBorders>
            <w:shd w:val="clear" w:color="auto" w:fill="auto"/>
            <w:vAlign w:val="bottom"/>
            <w:hideMark/>
          </w:tcPr>
          <w:p w14:paraId="321DEFD1"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bottom"/>
            <w:hideMark/>
          </w:tcPr>
          <w:p w14:paraId="4185E810"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bottom"/>
            <w:hideMark/>
          </w:tcPr>
          <w:p w14:paraId="49247E0F" w14:textId="77777777" w:rsidR="00C95312" w:rsidRPr="00D14430" w:rsidRDefault="00C95312" w:rsidP="00E85896">
            <w:pPr>
              <w:rPr>
                <w:color w:val="A6A6A6" w:themeColor="background1" w:themeShade="A6"/>
                <w:lang w:eastAsia="ko-KR"/>
              </w:rPr>
            </w:pPr>
          </w:p>
        </w:tc>
        <w:tc>
          <w:tcPr>
            <w:tcW w:w="964" w:type="dxa"/>
            <w:gridSpan w:val="3"/>
            <w:tcBorders>
              <w:top w:val="nil"/>
              <w:left w:val="nil"/>
              <w:bottom w:val="nil"/>
              <w:right w:val="nil"/>
            </w:tcBorders>
            <w:shd w:val="clear" w:color="auto" w:fill="auto"/>
            <w:vAlign w:val="bottom"/>
            <w:hideMark/>
          </w:tcPr>
          <w:p w14:paraId="1804F3E5" w14:textId="77777777" w:rsidR="00C95312" w:rsidRPr="00D14430" w:rsidRDefault="00C95312" w:rsidP="00E85896">
            <w:pPr>
              <w:rPr>
                <w:color w:val="A6A6A6" w:themeColor="background1" w:themeShade="A6"/>
                <w:lang w:eastAsia="ko-KR"/>
              </w:rPr>
            </w:pPr>
          </w:p>
        </w:tc>
        <w:tc>
          <w:tcPr>
            <w:tcW w:w="964" w:type="dxa"/>
            <w:tcBorders>
              <w:top w:val="nil"/>
              <w:left w:val="nil"/>
              <w:bottom w:val="nil"/>
              <w:right w:val="nil"/>
            </w:tcBorders>
            <w:shd w:val="clear" w:color="auto" w:fill="auto"/>
            <w:vAlign w:val="bottom"/>
            <w:hideMark/>
          </w:tcPr>
          <w:p w14:paraId="110D67FE" w14:textId="77777777" w:rsidR="00C95312" w:rsidRPr="00D14430" w:rsidRDefault="00C95312" w:rsidP="00E85896">
            <w:pPr>
              <w:rPr>
                <w:color w:val="A6A6A6" w:themeColor="background1" w:themeShade="A6"/>
                <w:lang w:eastAsia="ko-KR"/>
              </w:rPr>
            </w:pPr>
          </w:p>
        </w:tc>
      </w:tr>
      <w:tr w:rsidR="00C95312" w:rsidRPr="00F51109" w14:paraId="2B22972F"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29AF8FCF" w14:textId="77777777" w:rsidR="00C95312" w:rsidRPr="00F51109" w:rsidRDefault="00C95312" w:rsidP="00E85896">
            <w:pPr>
              <w:rPr>
                <w:color w:val="000000"/>
                <w:sz w:val="16"/>
                <w:szCs w:val="16"/>
                <w:lang w:eastAsia="ko-KR"/>
              </w:rPr>
            </w:pPr>
            <w:r w:rsidRPr="00F51109">
              <w:rPr>
                <w:color w:val="000000"/>
                <w:sz w:val="16"/>
                <w:szCs w:val="16"/>
                <w:lang w:eastAsia="ko-KR"/>
              </w:rPr>
              <w:t>Contract Assets</w:t>
            </w:r>
          </w:p>
        </w:tc>
        <w:tc>
          <w:tcPr>
            <w:tcW w:w="964" w:type="dxa"/>
            <w:tcBorders>
              <w:top w:val="nil"/>
              <w:left w:val="nil"/>
              <w:bottom w:val="nil"/>
              <w:right w:val="nil"/>
            </w:tcBorders>
            <w:shd w:val="clear" w:color="auto" w:fill="auto"/>
            <w:vAlign w:val="bottom"/>
            <w:hideMark/>
          </w:tcPr>
          <w:p w14:paraId="4F2CBA96"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97</w:t>
            </w:r>
          </w:p>
        </w:tc>
        <w:tc>
          <w:tcPr>
            <w:tcW w:w="964" w:type="dxa"/>
            <w:tcBorders>
              <w:top w:val="nil"/>
              <w:left w:val="nil"/>
              <w:bottom w:val="nil"/>
              <w:right w:val="nil"/>
            </w:tcBorders>
            <w:shd w:val="clear" w:color="auto" w:fill="auto"/>
            <w:vAlign w:val="bottom"/>
            <w:hideMark/>
          </w:tcPr>
          <w:p w14:paraId="01FEE3CA" w14:textId="77777777" w:rsidR="00C95312" w:rsidRPr="00F51109" w:rsidRDefault="00C95312" w:rsidP="00E85896">
            <w:pPr>
              <w:jc w:val="right"/>
              <w:rPr>
                <w:color w:val="000000"/>
                <w:sz w:val="16"/>
                <w:szCs w:val="16"/>
                <w:lang w:eastAsia="ko-KR"/>
              </w:rPr>
            </w:pPr>
            <w:r w:rsidRPr="00F51109">
              <w:rPr>
                <w:color w:val="000000"/>
                <w:sz w:val="16"/>
                <w:szCs w:val="16"/>
                <w:lang w:eastAsia="ko-KR"/>
              </w:rPr>
              <w:t>21</w:t>
            </w:r>
          </w:p>
        </w:tc>
        <w:tc>
          <w:tcPr>
            <w:tcW w:w="964" w:type="dxa"/>
            <w:tcBorders>
              <w:top w:val="nil"/>
              <w:left w:val="nil"/>
              <w:bottom w:val="nil"/>
              <w:right w:val="nil"/>
            </w:tcBorders>
            <w:shd w:val="clear" w:color="auto" w:fill="auto"/>
            <w:vAlign w:val="bottom"/>
            <w:hideMark/>
          </w:tcPr>
          <w:p w14:paraId="2A7560F3" w14:textId="77777777" w:rsidR="00C95312" w:rsidRPr="00F51109" w:rsidRDefault="00C95312" w:rsidP="00E85896">
            <w:pPr>
              <w:jc w:val="right"/>
              <w:rPr>
                <w:color w:val="000000"/>
                <w:sz w:val="16"/>
                <w:szCs w:val="16"/>
                <w:lang w:eastAsia="ko-KR"/>
              </w:rPr>
            </w:pPr>
            <w:r w:rsidRPr="00F51109">
              <w:rPr>
                <w:color w:val="000000"/>
                <w:sz w:val="16"/>
                <w:szCs w:val="16"/>
                <w:lang w:eastAsia="ko-KR"/>
              </w:rPr>
              <w:t>21</w:t>
            </w:r>
          </w:p>
        </w:tc>
        <w:tc>
          <w:tcPr>
            <w:tcW w:w="964" w:type="dxa"/>
            <w:gridSpan w:val="3"/>
            <w:tcBorders>
              <w:top w:val="nil"/>
              <w:left w:val="nil"/>
              <w:bottom w:val="nil"/>
              <w:right w:val="nil"/>
            </w:tcBorders>
            <w:shd w:val="clear" w:color="auto" w:fill="auto"/>
            <w:vAlign w:val="bottom"/>
            <w:hideMark/>
          </w:tcPr>
          <w:p w14:paraId="7415165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22</w:t>
            </w:r>
          </w:p>
        </w:tc>
        <w:tc>
          <w:tcPr>
            <w:tcW w:w="964" w:type="dxa"/>
            <w:gridSpan w:val="3"/>
            <w:tcBorders>
              <w:top w:val="nil"/>
              <w:left w:val="nil"/>
              <w:bottom w:val="nil"/>
              <w:right w:val="nil"/>
            </w:tcBorders>
            <w:shd w:val="clear" w:color="auto" w:fill="auto"/>
            <w:vAlign w:val="bottom"/>
            <w:hideMark/>
          </w:tcPr>
          <w:p w14:paraId="6806935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22</w:t>
            </w:r>
          </w:p>
        </w:tc>
        <w:tc>
          <w:tcPr>
            <w:tcW w:w="964" w:type="dxa"/>
            <w:tcBorders>
              <w:top w:val="nil"/>
              <w:left w:val="nil"/>
              <w:bottom w:val="nil"/>
              <w:right w:val="nil"/>
            </w:tcBorders>
            <w:shd w:val="clear" w:color="auto" w:fill="auto"/>
            <w:vAlign w:val="bottom"/>
            <w:hideMark/>
          </w:tcPr>
          <w:p w14:paraId="5F506AE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w:t>
            </w:r>
          </w:p>
        </w:tc>
      </w:tr>
      <w:tr w:rsidR="00C95312" w:rsidRPr="00F51109" w14:paraId="04A433EA"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690EA96F" w14:textId="77777777" w:rsidR="00C95312" w:rsidRPr="00F51109" w:rsidRDefault="00C95312" w:rsidP="00E85896">
            <w:pPr>
              <w:rPr>
                <w:color w:val="000000"/>
                <w:sz w:val="16"/>
                <w:szCs w:val="16"/>
                <w:lang w:eastAsia="ko-KR"/>
              </w:rPr>
            </w:pPr>
            <w:r w:rsidRPr="00F51109">
              <w:rPr>
                <w:color w:val="000000"/>
                <w:sz w:val="16"/>
                <w:szCs w:val="16"/>
                <w:lang w:eastAsia="ko-KR"/>
              </w:rPr>
              <w:t>Inventories</w:t>
            </w:r>
          </w:p>
        </w:tc>
        <w:tc>
          <w:tcPr>
            <w:tcW w:w="964" w:type="dxa"/>
            <w:tcBorders>
              <w:top w:val="nil"/>
              <w:left w:val="nil"/>
              <w:bottom w:val="nil"/>
              <w:right w:val="nil"/>
            </w:tcBorders>
            <w:shd w:val="clear" w:color="auto" w:fill="auto"/>
            <w:vAlign w:val="bottom"/>
            <w:hideMark/>
          </w:tcPr>
          <w:p w14:paraId="7286EC7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1,378</w:t>
            </w:r>
          </w:p>
        </w:tc>
        <w:tc>
          <w:tcPr>
            <w:tcW w:w="964" w:type="dxa"/>
            <w:tcBorders>
              <w:top w:val="nil"/>
              <w:left w:val="nil"/>
              <w:bottom w:val="nil"/>
              <w:right w:val="nil"/>
            </w:tcBorders>
            <w:shd w:val="clear" w:color="auto" w:fill="auto"/>
            <w:vAlign w:val="bottom"/>
            <w:hideMark/>
          </w:tcPr>
          <w:p w14:paraId="3D2AE667" w14:textId="77777777" w:rsidR="00C95312" w:rsidRPr="00F51109" w:rsidRDefault="00C95312" w:rsidP="00E85896">
            <w:pPr>
              <w:jc w:val="right"/>
              <w:rPr>
                <w:color w:val="000000"/>
                <w:sz w:val="16"/>
                <w:szCs w:val="16"/>
                <w:lang w:eastAsia="ko-KR"/>
              </w:rPr>
            </w:pPr>
            <w:r w:rsidRPr="00F51109">
              <w:rPr>
                <w:color w:val="000000"/>
                <w:sz w:val="16"/>
                <w:szCs w:val="16"/>
                <w:lang w:eastAsia="ko-KR"/>
              </w:rPr>
              <w:t>1,207</w:t>
            </w:r>
          </w:p>
        </w:tc>
        <w:tc>
          <w:tcPr>
            <w:tcW w:w="964" w:type="dxa"/>
            <w:tcBorders>
              <w:top w:val="nil"/>
              <w:left w:val="nil"/>
              <w:bottom w:val="nil"/>
              <w:right w:val="nil"/>
            </w:tcBorders>
            <w:shd w:val="clear" w:color="auto" w:fill="auto"/>
            <w:vAlign w:val="bottom"/>
            <w:hideMark/>
          </w:tcPr>
          <w:p w14:paraId="31D5CE6B" w14:textId="77777777" w:rsidR="00C95312" w:rsidRPr="00F51109" w:rsidRDefault="00C95312" w:rsidP="00E85896">
            <w:pPr>
              <w:jc w:val="right"/>
              <w:rPr>
                <w:color w:val="000000"/>
                <w:sz w:val="16"/>
                <w:szCs w:val="16"/>
                <w:lang w:eastAsia="ko-KR"/>
              </w:rPr>
            </w:pPr>
            <w:r w:rsidRPr="00F51109">
              <w:rPr>
                <w:color w:val="000000"/>
                <w:sz w:val="16"/>
                <w:szCs w:val="16"/>
                <w:lang w:eastAsia="ko-KR"/>
              </w:rPr>
              <w:t>407</w:t>
            </w:r>
          </w:p>
        </w:tc>
        <w:tc>
          <w:tcPr>
            <w:tcW w:w="964" w:type="dxa"/>
            <w:gridSpan w:val="3"/>
            <w:tcBorders>
              <w:top w:val="nil"/>
              <w:left w:val="nil"/>
              <w:bottom w:val="nil"/>
              <w:right w:val="nil"/>
            </w:tcBorders>
            <w:shd w:val="clear" w:color="auto" w:fill="auto"/>
            <w:vAlign w:val="bottom"/>
            <w:hideMark/>
          </w:tcPr>
          <w:p w14:paraId="725C9FE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397</w:t>
            </w:r>
          </w:p>
        </w:tc>
        <w:tc>
          <w:tcPr>
            <w:tcW w:w="964" w:type="dxa"/>
            <w:gridSpan w:val="3"/>
            <w:tcBorders>
              <w:top w:val="nil"/>
              <w:left w:val="nil"/>
              <w:bottom w:val="nil"/>
              <w:right w:val="nil"/>
            </w:tcBorders>
            <w:shd w:val="clear" w:color="auto" w:fill="auto"/>
            <w:vAlign w:val="bottom"/>
            <w:hideMark/>
          </w:tcPr>
          <w:p w14:paraId="666F7A9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432</w:t>
            </w:r>
          </w:p>
        </w:tc>
        <w:tc>
          <w:tcPr>
            <w:tcW w:w="964" w:type="dxa"/>
            <w:tcBorders>
              <w:top w:val="nil"/>
              <w:left w:val="nil"/>
              <w:bottom w:val="nil"/>
              <w:right w:val="nil"/>
            </w:tcBorders>
            <w:shd w:val="clear" w:color="auto" w:fill="auto"/>
            <w:vAlign w:val="bottom"/>
            <w:hideMark/>
          </w:tcPr>
          <w:p w14:paraId="5DBF080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422</w:t>
            </w:r>
          </w:p>
        </w:tc>
      </w:tr>
      <w:tr w:rsidR="00C95312" w:rsidRPr="00F51109" w14:paraId="2799677C"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2A68480A" w14:textId="77777777" w:rsidR="00C95312" w:rsidRPr="00F51109" w:rsidRDefault="00C95312" w:rsidP="00E85896">
            <w:pPr>
              <w:rPr>
                <w:color w:val="000000"/>
                <w:sz w:val="16"/>
                <w:szCs w:val="16"/>
                <w:lang w:eastAsia="ko-KR"/>
              </w:rPr>
            </w:pPr>
            <w:r w:rsidRPr="00F51109">
              <w:rPr>
                <w:color w:val="000000"/>
                <w:sz w:val="16"/>
                <w:szCs w:val="16"/>
                <w:lang w:eastAsia="ko-KR"/>
              </w:rPr>
              <w:t>Forestry Stock and Other Biological Assets</w:t>
            </w:r>
          </w:p>
        </w:tc>
        <w:tc>
          <w:tcPr>
            <w:tcW w:w="964" w:type="dxa"/>
            <w:tcBorders>
              <w:top w:val="nil"/>
              <w:left w:val="nil"/>
              <w:bottom w:val="nil"/>
              <w:right w:val="nil"/>
            </w:tcBorders>
            <w:shd w:val="clear" w:color="auto" w:fill="auto"/>
            <w:vAlign w:val="bottom"/>
            <w:hideMark/>
          </w:tcPr>
          <w:p w14:paraId="7DA06BA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18</w:t>
            </w:r>
          </w:p>
        </w:tc>
        <w:tc>
          <w:tcPr>
            <w:tcW w:w="964" w:type="dxa"/>
            <w:tcBorders>
              <w:top w:val="nil"/>
              <w:left w:val="nil"/>
              <w:bottom w:val="nil"/>
              <w:right w:val="nil"/>
            </w:tcBorders>
            <w:shd w:val="clear" w:color="auto" w:fill="auto"/>
            <w:vAlign w:val="bottom"/>
            <w:hideMark/>
          </w:tcPr>
          <w:p w14:paraId="0E4F5644" w14:textId="77777777" w:rsidR="00C95312" w:rsidRPr="00F51109" w:rsidRDefault="00C95312" w:rsidP="00E85896">
            <w:pPr>
              <w:jc w:val="right"/>
              <w:rPr>
                <w:color w:val="000000"/>
                <w:sz w:val="16"/>
                <w:szCs w:val="16"/>
                <w:lang w:eastAsia="ko-KR"/>
              </w:rPr>
            </w:pPr>
            <w:r w:rsidRPr="00F51109">
              <w:rPr>
                <w:color w:val="000000"/>
                <w:sz w:val="16"/>
                <w:szCs w:val="16"/>
                <w:lang w:eastAsia="ko-KR"/>
              </w:rPr>
              <w:t>23</w:t>
            </w:r>
          </w:p>
        </w:tc>
        <w:tc>
          <w:tcPr>
            <w:tcW w:w="964" w:type="dxa"/>
            <w:tcBorders>
              <w:top w:val="nil"/>
              <w:left w:val="nil"/>
              <w:bottom w:val="nil"/>
              <w:right w:val="nil"/>
            </w:tcBorders>
            <w:shd w:val="clear" w:color="auto" w:fill="auto"/>
            <w:vAlign w:val="bottom"/>
            <w:hideMark/>
          </w:tcPr>
          <w:p w14:paraId="14AD2BC6" w14:textId="77777777" w:rsidR="00C95312" w:rsidRPr="00F51109" w:rsidRDefault="00C95312" w:rsidP="00E85896">
            <w:pPr>
              <w:jc w:val="right"/>
              <w:rPr>
                <w:color w:val="000000"/>
                <w:sz w:val="16"/>
                <w:szCs w:val="16"/>
                <w:lang w:eastAsia="ko-KR"/>
              </w:rPr>
            </w:pPr>
            <w:r w:rsidRPr="00F51109">
              <w:rPr>
                <w:color w:val="000000"/>
                <w:sz w:val="16"/>
                <w:szCs w:val="16"/>
                <w:lang w:eastAsia="ko-KR"/>
              </w:rPr>
              <w:t>23</w:t>
            </w:r>
          </w:p>
        </w:tc>
        <w:tc>
          <w:tcPr>
            <w:tcW w:w="964" w:type="dxa"/>
            <w:gridSpan w:val="3"/>
            <w:tcBorders>
              <w:top w:val="nil"/>
              <w:left w:val="nil"/>
              <w:bottom w:val="nil"/>
              <w:right w:val="nil"/>
            </w:tcBorders>
            <w:shd w:val="clear" w:color="auto" w:fill="auto"/>
            <w:vAlign w:val="bottom"/>
            <w:hideMark/>
          </w:tcPr>
          <w:p w14:paraId="5274FFD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w:t>
            </w:r>
          </w:p>
        </w:tc>
        <w:tc>
          <w:tcPr>
            <w:tcW w:w="964" w:type="dxa"/>
            <w:gridSpan w:val="3"/>
            <w:tcBorders>
              <w:top w:val="nil"/>
              <w:left w:val="nil"/>
              <w:bottom w:val="nil"/>
              <w:right w:val="nil"/>
            </w:tcBorders>
            <w:shd w:val="clear" w:color="auto" w:fill="auto"/>
            <w:vAlign w:val="bottom"/>
            <w:hideMark/>
          </w:tcPr>
          <w:p w14:paraId="6D874AF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w:t>
            </w:r>
          </w:p>
        </w:tc>
        <w:tc>
          <w:tcPr>
            <w:tcW w:w="964" w:type="dxa"/>
            <w:tcBorders>
              <w:top w:val="nil"/>
              <w:left w:val="nil"/>
              <w:bottom w:val="nil"/>
              <w:right w:val="nil"/>
            </w:tcBorders>
            <w:shd w:val="clear" w:color="auto" w:fill="auto"/>
            <w:vAlign w:val="bottom"/>
            <w:hideMark/>
          </w:tcPr>
          <w:p w14:paraId="7A54F073"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w:t>
            </w:r>
          </w:p>
        </w:tc>
      </w:tr>
      <w:tr w:rsidR="00C95312" w:rsidRPr="00F51109" w14:paraId="4D304655"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4323D5B1" w14:textId="77777777" w:rsidR="00C95312" w:rsidRPr="00F51109" w:rsidRDefault="00C95312" w:rsidP="00E85896">
            <w:pPr>
              <w:rPr>
                <w:color w:val="000000"/>
                <w:sz w:val="16"/>
                <w:szCs w:val="16"/>
                <w:lang w:eastAsia="ko-KR"/>
              </w:rPr>
            </w:pPr>
            <w:r w:rsidRPr="00F51109">
              <w:rPr>
                <w:color w:val="000000"/>
                <w:sz w:val="16"/>
                <w:szCs w:val="16"/>
                <w:lang w:eastAsia="ko-KR"/>
              </w:rPr>
              <w:t>Assets Classified as Held for Sale</w:t>
            </w:r>
          </w:p>
        </w:tc>
        <w:tc>
          <w:tcPr>
            <w:tcW w:w="964" w:type="dxa"/>
            <w:tcBorders>
              <w:top w:val="nil"/>
              <w:left w:val="nil"/>
              <w:bottom w:val="nil"/>
              <w:right w:val="nil"/>
            </w:tcBorders>
            <w:shd w:val="clear" w:color="auto" w:fill="auto"/>
            <w:vAlign w:val="bottom"/>
            <w:hideMark/>
          </w:tcPr>
          <w:p w14:paraId="50C9B26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123</w:t>
            </w:r>
          </w:p>
        </w:tc>
        <w:tc>
          <w:tcPr>
            <w:tcW w:w="964" w:type="dxa"/>
            <w:tcBorders>
              <w:top w:val="nil"/>
              <w:left w:val="nil"/>
              <w:bottom w:val="nil"/>
              <w:right w:val="nil"/>
            </w:tcBorders>
            <w:shd w:val="clear" w:color="auto" w:fill="auto"/>
            <w:vAlign w:val="bottom"/>
            <w:hideMark/>
          </w:tcPr>
          <w:p w14:paraId="64CD0D3A" w14:textId="77777777" w:rsidR="00C95312" w:rsidRPr="00F51109" w:rsidRDefault="00C95312" w:rsidP="00E85896">
            <w:pPr>
              <w:jc w:val="right"/>
              <w:rPr>
                <w:color w:val="000000"/>
                <w:sz w:val="16"/>
                <w:szCs w:val="16"/>
                <w:lang w:eastAsia="ko-KR"/>
              </w:rPr>
            </w:pPr>
            <w:r w:rsidRPr="00F51109">
              <w:rPr>
                <w:color w:val="000000"/>
                <w:sz w:val="16"/>
                <w:szCs w:val="16"/>
                <w:lang w:eastAsia="ko-KR"/>
              </w:rPr>
              <w:t>95</w:t>
            </w:r>
          </w:p>
        </w:tc>
        <w:tc>
          <w:tcPr>
            <w:tcW w:w="964" w:type="dxa"/>
            <w:tcBorders>
              <w:top w:val="nil"/>
              <w:left w:val="nil"/>
              <w:bottom w:val="nil"/>
              <w:right w:val="nil"/>
            </w:tcBorders>
            <w:shd w:val="clear" w:color="auto" w:fill="auto"/>
            <w:vAlign w:val="bottom"/>
            <w:hideMark/>
          </w:tcPr>
          <w:p w14:paraId="298149AE" w14:textId="77777777" w:rsidR="00C95312" w:rsidRPr="00F51109" w:rsidRDefault="00C95312" w:rsidP="00E85896">
            <w:pPr>
              <w:jc w:val="right"/>
              <w:rPr>
                <w:color w:val="000000"/>
                <w:sz w:val="16"/>
                <w:szCs w:val="16"/>
                <w:lang w:eastAsia="ko-KR"/>
              </w:rPr>
            </w:pPr>
            <w:r w:rsidRPr="00F51109">
              <w:rPr>
                <w:color w:val="000000"/>
                <w:sz w:val="16"/>
                <w:szCs w:val="16"/>
                <w:lang w:eastAsia="ko-KR"/>
              </w:rPr>
              <w:t>95</w:t>
            </w:r>
          </w:p>
        </w:tc>
        <w:tc>
          <w:tcPr>
            <w:tcW w:w="964" w:type="dxa"/>
            <w:gridSpan w:val="3"/>
            <w:tcBorders>
              <w:top w:val="nil"/>
              <w:left w:val="nil"/>
              <w:bottom w:val="nil"/>
              <w:right w:val="nil"/>
            </w:tcBorders>
            <w:shd w:val="clear" w:color="auto" w:fill="auto"/>
            <w:vAlign w:val="bottom"/>
            <w:hideMark/>
          </w:tcPr>
          <w:p w14:paraId="5FF4695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95</w:t>
            </w:r>
          </w:p>
        </w:tc>
        <w:tc>
          <w:tcPr>
            <w:tcW w:w="964" w:type="dxa"/>
            <w:gridSpan w:val="3"/>
            <w:tcBorders>
              <w:top w:val="nil"/>
              <w:left w:val="nil"/>
              <w:bottom w:val="nil"/>
              <w:right w:val="nil"/>
            </w:tcBorders>
            <w:shd w:val="clear" w:color="auto" w:fill="auto"/>
            <w:vAlign w:val="bottom"/>
            <w:hideMark/>
          </w:tcPr>
          <w:p w14:paraId="3E7ABD66"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95</w:t>
            </w:r>
          </w:p>
        </w:tc>
        <w:tc>
          <w:tcPr>
            <w:tcW w:w="964" w:type="dxa"/>
            <w:tcBorders>
              <w:top w:val="nil"/>
              <w:left w:val="nil"/>
              <w:bottom w:val="nil"/>
              <w:right w:val="nil"/>
            </w:tcBorders>
            <w:shd w:val="clear" w:color="auto" w:fill="auto"/>
            <w:vAlign w:val="bottom"/>
            <w:hideMark/>
          </w:tcPr>
          <w:p w14:paraId="05C0B6C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95</w:t>
            </w:r>
          </w:p>
        </w:tc>
      </w:tr>
      <w:tr w:rsidR="00C95312" w:rsidRPr="00F51109" w14:paraId="21C99D6E"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50070F82" w14:textId="77777777" w:rsidR="00C95312" w:rsidRPr="00F51109" w:rsidRDefault="00C95312" w:rsidP="00E85896">
            <w:pPr>
              <w:rPr>
                <w:color w:val="000000"/>
                <w:sz w:val="16"/>
                <w:szCs w:val="16"/>
                <w:lang w:eastAsia="ko-KR"/>
              </w:rPr>
            </w:pPr>
            <w:r w:rsidRPr="00F51109">
              <w:rPr>
                <w:color w:val="000000"/>
                <w:sz w:val="16"/>
                <w:szCs w:val="16"/>
                <w:lang w:eastAsia="ko-KR"/>
              </w:rPr>
              <w:t>Property, Plant and Equipment</w:t>
            </w:r>
          </w:p>
        </w:tc>
        <w:tc>
          <w:tcPr>
            <w:tcW w:w="964" w:type="dxa"/>
            <w:tcBorders>
              <w:top w:val="nil"/>
              <w:left w:val="nil"/>
              <w:bottom w:val="nil"/>
              <w:right w:val="nil"/>
            </w:tcBorders>
            <w:shd w:val="clear" w:color="auto" w:fill="auto"/>
            <w:vAlign w:val="bottom"/>
            <w:hideMark/>
          </w:tcPr>
          <w:p w14:paraId="39EAC5E5" w14:textId="77777777" w:rsidR="00C95312" w:rsidRPr="00D14430" w:rsidRDefault="00C95312" w:rsidP="00E85896">
            <w:pPr>
              <w:jc w:val="right"/>
              <w:rPr>
                <w:color w:val="A6A6A6" w:themeColor="background1" w:themeShade="A6"/>
                <w:sz w:val="16"/>
                <w:szCs w:val="16"/>
                <w:lang w:eastAsia="ko-KR"/>
              </w:rPr>
            </w:pPr>
          </w:p>
        </w:tc>
        <w:tc>
          <w:tcPr>
            <w:tcW w:w="964" w:type="dxa"/>
            <w:tcBorders>
              <w:top w:val="nil"/>
              <w:left w:val="nil"/>
              <w:bottom w:val="nil"/>
              <w:right w:val="nil"/>
            </w:tcBorders>
            <w:shd w:val="clear" w:color="auto" w:fill="auto"/>
            <w:vAlign w:val="bottom"/>
            <w:hideMark/>
          </w:tcPr>
          <w:p w14:paraId="7EB6A998" w14:textId="77777777" w:rsidR="00C95312" w:rsidRPr="00F51109" w:rsidRDefault="00C95312" w:rsidP="00E85896">
            <w:pPr>
              <w:jc w:val="right"/>
              <w:rPr>
                <w:lang w:eastAsia="ko-KR"/>
              </w:rPr>
            </w:pPr>
          </w:p>
        </w:tc>
        <w:tc>
          <w:tcPr>
            <w:tcW w:w="964" w:type="dxa"/>
            <w:tcBorders>
              <w:top w:val="nil"/>
              <w:left w:val="nil"/>
              <w:bottom w:val="nil"/>
              <w:right w:val="nil"/>
            </w:tcBorders>
            <w:shd w:val="clear" w:color="auto" w:fill="auto"/>
            <w:vAlign w:val="bottom"/>
            <w:hideMark/>
          </w:tcPr>
          <w:p w14:paraId="40953064" w14:textId="77777777" w:rsidR="00C95312" w:rsidRPr="00F51109" w:rsidRDefault="00C95312" w:rsidP="00E85896">
            <w:pPr>
              <w:jc w:val="right"/>
              <w:rPr>
                <w:lang w:eastAsia="ko-KR"/>
              </w:rPr>
            </w:pPr>
          </w:p>
        </w:tc>
        <w:tc>
          <w:tcPr>
            <w:tcW w:w="964" w:type="dxa"/>
            <w:gridSpan w:val="3"/>
            <w:tcBorders>
              <w:top w:val="nil"/>
              <w:left w:val="nil"/>
              <w:bottom w:val="nil"/>
              <w:right w:val="nil"/>
            </w:tcBorders>
            <w:shd w:val="clear" w:color="auto" w:fill="auto"/>
            <w:vAlign w:val="bottom"/>
            <w:hideMark/>
          </w:tcPr>
          <w:p w14:paraId="366E560E" w14:textId="77777777" w:rsidR="00C95312" w:rsidRPr="00D14430" w:rsidRDefault="00C95312" w:rsidP="00E85896">
            <w:pPr>
              <w:jc w:val="right"/>
              <w:rPr>
                <w:color w:val="A6A6A6" w:themeColor="background1" w:themeShade="A6"/>
                <w:lang w:eastAsia="ko-KR"/>
              </w:rPr>
            </w:pPr>
          </w:p>
        </w:tc>
        <w:tc>
          <w:tcPr>
            <w:tcW w:w="964" w:type="dxa"/>
            <w:gridSpan w:val="3"/>
            <w:tcBorders>
              <w:top w:val="nil"/>
              <w:left w:val="nil"/>
              <w:bottom w:val="nil"/>
              <w:right w:val="nil"/>
            </w:tcBorders>
            <w:shd w:val="clear" w:color="auto" w:fill="auto"/>
            <w:vAlign w:val="bottom"/>
            <w:hideMark/>
          </w:tcPr>
          <w:p w14:paraId="41E815E0" w14:textId="77777777" w:rsidR="00C95312" w:rsidRPr="00D14430" w:rsidRDefault="00C95312" w:rsidP="00E85896">
            <w:pPr>
              <w:jc w:val="right"/>
              <w:rPr>
                <w:color w:val="A6A6A6" w:themeColor="background1" w:themeShade="A6"/>
                <w:lang w:eastAsia="ko-KR"/>
              </w:rPr>
            </w:pPr>
          </w:p>
        </w:tc>
        <w:tc>
          <w:tcPr>
            <w:tcW w:w="964" w:type="dxa"/>
            <w:tcBorders>
              <w:top w:val="nil"/>
              <w:left w:val="nil"/>
              <w:bottom w:val="nil"/>
              <w:right w:val="nil"/>
            </w:tcBorders>
            <w:shd w:val="clear" w:color="auto" w:fill="auto"/>
            <w:vAlign w:val="bottom"/>
            <w:hideMark/>
          </w:tcPr>
          <w:p w14:paraId="7F9C1474" w14:textId="77777777" w:rsidR="00C95312" w:rsidRPr="00D14430" w:rsidRDefault="00C95312" w:rsidP="00E85896">
            <w:pPr>
              <w:jc w:val="right"/>
              <w:rPr>
                <w:color w:val="A6A6A6" w:themeColor="background1" w:themeShade="A6"/>
                <w:lang w:eastAsia="ko-KR"/>
              </w:rPr>
            </w:pPr>
          </w:p>
        </w:tc>
      </w:tr>
      <w:tr w:rsidR="00C95312" w:rsidRPr="00F51109" w14:paraId="69E91996"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4EA93F08"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Land and Buildings</w:t>
            </w:r>
          </w:p>
        </w:tc>
        <w:tc>
          <w:tcPr>
            <w:tcW w:w="964" w:type="dxa"/>
            <w:tcBorders>
              <w:top w:val="nil"/>
              <w:left w:val="nil"/>
              <w:bottom w:val="nil"/>
              <w:right w:val="nil"/>
            </w:tcBorders>
            <w:shd w:val="clear" w:color="auto" w:fill="auto"/>
            <w:vAlign w:val="bottom"/>
            <w:hideMark/>
          </w:tcPr>
          <w:p w14:paraId="4DE3E6F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102,282</w:t>
            </w:r>
          </w:p>
        </w:tc>
        <w:tc>
          <w:tcPr>
            <w:tcW w:w="964" w:type="dxa"/>
            <w:tcBorders>
              <w:top w:val="nil"/>
              <w:left w:val="nil"/>
              <w:bottom w:val="nil"/>
              <w:right w:val="nil"/>
            </w:tcBorders>
            <w:shd w:val="clear" w:color="auto" w:fill="auto"/>
            <w:vAlign w:val="bottom"/>
            <w:hideMark/>
          </w:tcPr>
          <w:p w14:paraId="3B20F331"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111,347</w:t>
            </w:r>
          </w:p>
        </w:tc>
        <w:tc>
          <w:tcPr>
            <w:tcW w:w="964" w:type="dxa"/>
            <w:tcBorders>
              <w:top w:val="nil"/>
              <w:left w:val="nil"/>
              <w:bottom w:val="nil"/>
              <w:right w:val="nil"/>
            </w:tcBorders>
            <w:shd w:val="clear" w:color="auto" w:fill="auto"/>
            <w:vAlign w:val="bottom"/>
            <w:hideMark/>
          </w:tcPr>
          <w:p w14:paraId="7A1E67A1"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116,209</w:t>
            </w:r>
          </w:p>
        </w:tc>
        <w:tc>
          <w:tcPr>
            <w:tcW w:w="964" w:type="dxa"/>
            <w:gridSpan w:val="3"/>
            <w:tcBorders>
              <w:top w:val="nil"/>
              <w:left w:val="nil"/>
              <w:bottom w:val="nil"/>
              <w:right w:val="nil"/>
            </w:tcBorders>
            <w:shd w:val="clear" w:color="auto" w:fill="auto"/>
            <w:vAlign w:val="bottom"/>
            <w:hideMark/>
          </w:tcPr>
          <w:p w14:paraId="7B7A7A9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120,240</w:t>
            </w:r>
          </w:p>
        </w:tc>
        <w:tc>
          <w:tcPr>
            <w:tcW w:w="964" w:type="dxa"/>
            <w:gridSpan w:val="3"/>
            <w:tcBorders>
              <w:top w:val="nil"/>
              <w:left w:val="nil"/>
              <w:bottom w:val="nil"/>
              <w:right w:val="nil"/>
            </w:tcBorders>
            <w:shd w:val="clear" w:color="auto" w:fill="auto"/>
            <w:vAlign w:val="bottom"/>
            <w:hideMark/>
          </w:tcPr>
          <w:p w14:paraId="24BE748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125,169</w:t>
            </w:r>
          </w:p>
        </w:tc>
        <w:tc>
          <w:tcPr>
            <w:tcW w:w="964" w:type="dxa"/>
            <w:tcBorders>
              <w:top w:val="nil"/>
              <w:left w:val="nil"/>
              <w:bottom w:val="nil"/>
              <w:right w:val="nil"/>
            </w:tcBorders>
            <w:shd w:val="clear" w:color="auto" w:fill="auto"/>
            <w:vAlign w:val="bottom"/>
            <w:hideMark/>
          </w:tcPr>
          <w:p w14:paraId="398978B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127,955</w:t>
            </w:r>
          </w:p>
        </w:tc>
      </w:tr>
      <w:tr w:rsidR="00C95312" w:rsidRPr="00F51109" w14:paraId="049FD015"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2E877B2A"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Plant and Equipment</w:t>
            </w:r>
          </w:p>
        </w:tc>
        <w:tc>
          <w:tcPr>
            <w:tcW w:w="964" w:type="dxa"/>
            <w:tcBorders>
              <w:top w:val="nil"/>
              <w:left w:val="nil"/>
              <w:bottom w:val="nil"/>
              <w:right w:val="nil"/>
            </w:tcBorders>
            <w:shd w:val="clear" w:color="auto" w:fill="auto"/>
            <w:vAlign w:val="bottom"/>
            <w:hideMark/>
          </w:tcPr>
          <w:p w14:paraId="1E8CD4C6"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13,112</w:t>
            </w:r>
          </w:p>
        </w:tc>
        <w:tc>
          <w:tcPr>
            <w:tcW w:w="964" w:type="dxa"/>
            <w:tcBorders>
              <w:top w:val="nil"/>
              <w:left w:val="nil"/>
              <w:bottom w:val="nil"/>
              <w:right w:val="nil"/>
            </w:tcBorders>
            <w:shd w:val="clear" w:color="auto" w:fill="auto"/>
            <w:vAlign w:val="bottom"/>
            <w:hideMark/>
          </w:tcPr>
          <w:p w14:paraId="1BCB7398" w14:textId="77777777" w:rsidR="00C95312" w:rsidRPr="00F51109" w:rsidRDefault="00C95312" w:rsidP="00E85896">
            <w:pPr>
              <w:jc w:val="right"/>
              <w:rPr>
                <w:color w:val="000000"/>
                <w:sz w:val="16"/>
                <w:szCs w:val="16"/>
                <w:lang w:eastAsia="ko-KR"/>
              </w:rPr>
            </w:pPr>
            <w:r w:rsidRPr="00F51109">
              <w:rPr>
                <w:color w:val="000000"/>
                <w:sz w:val="16"/>
                <w:szCs w:val="16"/>
                <w:lang w:eastAsia="ko-KR"/>
              </w:rPr>
              <w:t>13,592</w:t>
            </w:r>
          </w:p>
        </w:tc>
        <w:tc>
          <w:tcPr>
            <w:tcW w:w="964" w:type="dxa"/>
            <w:tcBorders>
              <w:top w:val="nil"/>
              <w:left w:val="nil"/>
              <w:bottom w:val="nil"/>
              <w:right w:val="nil"/>
            </w:tcBorders>
            <w:shd w:val="clear" w:color="auto" w:fill="auto"/>
            <w:vAlign w:val="bottom"/>
            <w:hideMark/>
          </w:tcPr>
          <w:p w14:paraId="671E4284" w14:textId="77777777" w:rsidR="00C95312" w:rsidRPr="00F51109" w:rsidRDefault="00C95312" w:rsidP="00E85896">
            <w:pPr>
              <w:jc w:val="right"/>
              <w:rPr>
                <w:color w:val="000000"/>
                <w:sz w:val="16"/>
                <w:szCs w:val="16"/>
                <w:lang w:eastAsia="ko-KR"/>
              </w:rPr>
            </w:pPr>
            <w:r w:rsidRPr="00F51109">
              <w:rPr>
                <w:color w:val="000000"/>
                <w:sz w:val="16"/>
                <w:szCs w:val="16"/>
                <w:lang w:eastAsia="ko-KR"/>
              </w:rPr>
              <w:t>14,405</w:t>
            </w:r>
          </w:p>
        </w:tc>
        <w:tc>
          <w:tcPr>
            <w:tcW w:w="964" w:type="dxa"/>
            <w:gridSpan w:val="3"/>
            <w:tcBorders>
              <w:top w:val="nil"/>
              <w:left w:val="nil"/>
              <w:bottom w:val="nil"/>
              <w:right w:val="nil"/>
            </w:tcBorders>
            <w:shd w:val="clear" w:color="auto" w:fill="auto"/>
            <w:vAlign w:val="bottom"/>
            <w:hideMark/>
          </w:tcPr>
          <w:p w14:paraId="0EEAB9E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14,760</w:t>
            </w:r>
          </w:p>
        </w:tc>
        <w:tc>
          <w:tcPr>
            <w:tcW w:w="964" w:type="dxa"/>
            <w:gridSpan w:val="3"/>
            <w:tcBorders>
              <w:top w:val="nil"/>
              <w:left w:val="nil"/>
              <w:bottom w:val="nil"/>
              <w:right w:val="nil"/>
            </w:tcBorders>
            <w:shd w:val="clear" w:color="auto" w:fill="auto"/>
            <w:vAlign w:val="bottom"/>
            <w:hideMark/>
          </w:tcPr>
          <w:p w14:paraId="5DEB186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14,777</w:t>
            </w:r>
          </w:p>
        </w:tc>
        <w:tc>
          <w:tcPr>
            <w:tcW w:w="964" w:type="dxa"/>
            <w:tcBorders>
              <w:top w:val="nil"/>
              <w:left w:val="nil"/>
              <w:bottom w:val="nil"/>
              <w:right w:val="nil"/>
            </w:tcBorders>
            <w:shd w:val="clear" w:color="auto" w:fill="auto"/>
            <w:vAlign w:val="bottom"/>
            <w:hideMark/>
          </w:tcPr>
          <w:p w14:paraId="1F15064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14,540</w:t>
            </w:r>
          </w:p>
        </w:tc>
      </w:tr>
      <w:tr w:rsidR="00C95312" w:rsidRPr="00F51109" w14:paraId="632D3083"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01FE5EC5" w14:textId="77777777" w:rsidR="00C95312" w:rsidRPr="00F51109" w:rsidRDefault="00C95312" w:rsidP="00E85896">
            <w:pPr>
              <w:ind w:firstLineChars="100" w:firstLine="160"/>
              <w:rPr>
                <w:color w:val="000000"/>
                <w:sz w:val="16"/>
                <w:szCs w:val="16"/>
                <w:lang w:eastAsia="ko-KR"/>
              </w:rPr>
            </w:pPr>
            <w:r w:rsidRPr="00F51109">
              <w:rPr>
                <w:color w:val="000000"/>
                <w:sz w:val="16"/>
                <w:szCs w:val="16"/>
                <w:lang w:eastAsia="ko-KR"/>
              </w:rPr>
              <w:t>Infrastructure Systems</w:t>
            </w:r>
          </w:p>
        </w:tc>
        <w:tc>
          <w:tcPr>
            <w:tcW w:w="964" w:type="dxa"/>
            <w:tcBorders>
              <w:top w:val="nil"/>
              <w:left w:val="nil"/>
              <w:bottom w:val="nil"/>
              <w:right w:val="nil"/>
            </w:tcBorders>
            <w:shd w:val="clear" w:color="auto" w:fill="auto"/>
            <w:vAlign w:val="bottom"/>
            <w:hideMark/>
          </w:tcPr>
          <w:p w14:paraId="1686545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156,665</w:t>
            </w:r>
          </w:p>
        </w:tc>
        <w:tc>
          <w:tcPr>
            <w:tcW w:w="964" w:type="dxa"/>
            <w:tcBorders>
              <w:top w:val="nil"/>
              <w:left w:val="nil"/>
              <w:bottom w:val="nil"/>
              <w:right w:val="nil"/>
            </w:tcBorders>
            <w:shd w:val="clear" w:color="auto" w:fill="auto"/>
            <w:vAlign w:val="bottom"/>
            <w:hideMark/>
          </w:tcPr>
          <w:p w14:paraId="3A5DED2A" w14:textId="77777777" w:rsidR="00C95312" w:rsidRPr="00F51109" w:rsidRDefault="00C95312" w:rsidP="00E85896">
            <w:pPr>
              <w:jc w:val="right"/>
              <w:rPr>
                <w:color w:val="000000"/>
                <w:sz w:val="16"/>
                <w:szCs w:val="16"/>
                <w:lang w:eastAsia="ko-KR"/>
              </w:rPr>
            </w:pPr>
            <w:r w:rsidRPr="00F51109">
              <w:rPr>
                <w:color w:val="000000"/>
                <w:sz w:val="16"/>
                <w:szCs w:val="16"/>
                <w:lang w:eastAsia="ko-KR"/>
              </w:rPr>
              <w:t>169,709</w:t>
            </w:r>
          </w:p>
        </w:tc>
        <w:tc>
          <w:tcPr>
            <w:tcW w:w="964" w:type="dxa"/>
            <w:tcBorders>
              <w:top w:val="nil"/>
              <w:left w:val="nil"/>
              <w:bottom w:val="nil"/>
              <w:right w:val="nil"/>
            </w:tcBorders>
            <w:shd w:val="clear" w:color="auto" w:fill="auto"/>
            <w:vAlign w:val="bottom"/>
            <w:hideMark/>
          </w:tcPr>
          <w:p w14:paraId="40603C26" w14:textId="77777777" w:rsidR="00C95312" w:rsidRPr="00F51109" w:rsidRDefault="00C95312" w:rsidP="00E85896">
            <w:pPr>
              <w:jc w:val="right"/>
              <w:rPr>
                <w:color w:val="000000"/>
                <w:sz w:val="16"/>
                <w:szCs w:val="16"/>
                <w:lang w:eastAsia="ko-KR"/>
              </w:rPr>
            </w:pPr>
            <w:r w:rsidRPr="00F51109">
              <w:rPr>
                <w:color w:val="000000"/>
                <w:sz w:val="16"/>
                <w:szCs w:val="16"/>
                <w:lang w:eastAsia="ko-KR"/>
              </w:rPr>
              <w:t>181,513</w:t>
            </w:r>
          </w:p>
        </w:tc>
        <w:tc>
          <w:tcPr>
            <w:tcW w:w="964" w:type="dxa"/>
            <w:gridSpan w:val="3"/>
            <w:tcBorders>
              <w:top w:val="nil"/>
              <w:left w:val="nil"/>
              <w:bottom w:val="nil"/>
              <w:right w:val="nil"/>
            </w:tcBorders>
            <w:shd w:val="clear" w:color="auto" w:fill="auto"/>
            <w:vAlign w:val="bottom"/>
            <w:hideMark/>
          </w:tcPr>
          <w:p w14:paraId="46F05A1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194,002</w:t>
            </w:r>
          </w:p>
        </w:tc>
        <w:tc>
          <w:tcPr>
            <w:tcW w:w="964" w:type="dxa"/>
            <w:gridSpan w:val="3"/>
            <w:tcBorders>
              <w:top w:val="nil"/>
              <w:left w:val="nil"/>
              <w:bottom w:val="nil"/>
              <w:right w:val="nil"/>
            </w:tcBorders>
            <w:shd w:val="clear" w:color="auto" w:fill="auto"/>
            <w:vAlign w:val="bottom"/>
            <w:hideMark/>
          </w:tcPr>
          <w:p w14:paraId="0DBE025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202,483</w:t>
            </w:r>
          </w:p>
        </w:tc>
        <w:tc>
          <w:tcPr>
            <w:tcW w:w="964" w:type="dxa"/>
            <w:tcBorders>
              <w:top w:val="nil"/>
              <w:left w:val="nil"/>
              <w:bottom w:val="nil"/>
              <w:right w:val="nil"/>
            </w:tcBorders>
            <w:shd w:val="clear" w:color="auto" w:fill="auto"/>
            <w:vAlign w:val="bottom"/>
            <w:hideMark/>
          </w:tcPr>
          <w:p w14:paraId="4D6CD4D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212,595</w:t>
            </w:r>
          </w:p>
        </w:tc>
      </w:tr>
      <w:tr w:rsidR="00C95312" w:rsidRPr="00F51109" w14:paraId="388B088A"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57AB0295" w14:textId="77777777" w:rsidR="00C95312" w:rsidRPr="00F51109" w:rsidRDefault="00C95312" w:rsidP="00E85896">
            <w:pPr>
              <w:rPr>
                <w:color w:val="000000"/>
                <w:sz w:val="16"/>
                <w:szCs w:val="16"/>
                <w:lang w:eastAsia="ko-KR"/>
              </w:rPr>
            </w:pPr>
            <w:r w:rsidRPr="00F51109">
              <w:rPr>
                <w:color w:val="000000"/>
                <w:sz w:val="16"/>
                <w:szCs w:val="16"/>
                <w:lang w:eastAsia="ko-KR"/>
              </w:rPr>
              <w:t>Right of Use Assets</w:t>
            </w:r>
          </w:p>
        </w:tc>
        <w:tc>
          <w:tcPr>
            <w:tcW w:w="964" w:type="dxa"/>
            <w:tcBorders>
              <w:top w:val="nil"/>
              <w:left w:val="nil"/>
              <w:bottom w:val="nil"/>
              <w:right w:val="nil"/>
            </w:tcBorders>
            <w:shd w:val="clear" w:color="auto" w:fill="auto"/>
            <w:vAlign w:val="bottom"/>
            <w:hideMark/>
          </w:tcPr>
          <w:p w14:paraId="568EE4A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6,513</w:t>
            </w:r>
          </w:p>
        </w:tc>
        <w:tc>
          <w:tcPr>
            <w:tcW w:w="964" w:type="dxa"/>
            <w:tcBorders>
              <w:top w:val="nil"/>
              <w:left w:val="nil"/>
              <w:bottom w:val="nil"/>
              <w:right w:val="nil"/>
            </w:tcBorders>
            <w:shd w:val="clear" w:color="auto" w:fill="auto"/>
            <w:vAlign w:val="bottom"/>
            <w:hideMark/>
          </w:tcPr>
          <w:p w14:paraId="42E76C75" w14:textId="77777777" w:rsidR="00C95312" w:rsidRPr="00F51109" w:rsidRDefault="00C95312" w:rsidP="00E85896">
            <w:pPr>
              <w:jc w:val="right"/>
              <w:rPr>
                <w:color w:val="000000"/>
                <w:sz w:val="16"/>
                <w:szCs w:val="16"/>
                <w:lang w:eastAsia="ko-KR"/>
              </w:rPr>
            </w:pPr>
            <w:r w:rsidRPr="00F51109">
              <w:rPr>
                <w:color w:val="000000"/>
                <w:sz w:val="16"/>
                <w:szCs w:val="16"/>
                <w:lang w:eastAsia="ko-KR"/>
              </w:rPr>
              <w:t>6,991</w:t>
            </w:r>
          </w:p>
        </w:tc>
        <w:tc>
          <w:tcPr>
            <w:tcW w:w="964" w:type="dxa"/>
            <w:tcBorders>
              <w:top w:val="nil"/>
              <w:left w:val="nil"/>
              <w:bottom w:val="nil"/>
              <w:right w:val="nil"/>
            </w:tcBorders>
            <w:shd w:val="clear" w:color="auto" w:fill="auto"/>
            <w:vAlign w:val="bottom"/>
            <w:hideMark/>
          </w:tcPr>
          <w:p w14:paraId="43389367" w14:textId="77777777" w:rsidR="00C95312" w:rsidRPr="00F51109" w:rsidRDefault="00C95312" w:rsidP="00E85896">
            <w:pPr>
              <w:jc w:val="right"/>
              <w:rPr>
                <w:color w:val="000000"/>
                <w:sz w:val="16"/>
                <w:szCs w:val="16"/>
                <w:lang w:eastAsia="ko-KR"/>
              </w:rPr>
            </w:pPr>
            <w:r w:rsidRPr="00F51109">
              <w:rPr>
                <w:color w:val="000000"/>
                <w:sz w:val="16"/>
                <w:szCs w:val="16"/>
                <w:lang w:eastAsia="ko-KR"/>
              </w:rPr>
              <w:t>6,771</w:t>
            </w:r>
          </w:p>
        </w:tc>
        <w:tc>
          <w:tcPr>
            <w:tcW w:w="964" w:type="dxa"/>
            <w:gridSpan w:val="3"/>
            <w:tcBorders>
              <w:top w:val="nil"/>
              <w:left w:val="nil"/>
              <w:bottom w:val="nil"/>
              <w:right w:val="nil"/>
            </w:tcBorders>
            <w:shd w:val="clear" w:color="auto" w:fill="auto"/>
            <w:vAlign w:val="bottom"/>
            <w:hideMark/>
          </w:tcPr>
          <w:p w14:paraId="6C7BBA8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6,728</w:t>
            </w:r>
          </w:p>
        </w:tc>
        <w:tc>
          <w:tcPr>
            <w:tcW w:w="964" w:type="dxa"/>
            <w:gridSpan w:val="3"/>
            <w:tcBorders>
              <w:top w:val="nil"/>
              <w:left w:val="nil"/>
              <w:bottom w:val="nil"/>
              <w:right w:val="nil"/>
            </w:tcBorders>
            <w:shd w:val="clear" w:color="auto" w:fill="auto"/>
            <w:vAlign w:val="bottom"/>
            <w:hideMark/>
          </w:tcPr>
          <w:p w14:paraId="61AF73E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6,632</w:t>
            </w:r>
          </w:p>
        </w:tc>
        <w:tc>
          <w:tcPr>
            <w:tcW w:w="964" w:type="dxa"/>
            <w:tcBorders>
              <w:top w:val="nil"/>
              <w:left w:val="nil"/>
              <w:bottom w:val="nil"/>
              <w:right w:val="nil"/>
            </w:tcBorders>
            <w:shd w:val="clear" w:color="auto" w:fill="auto"/>
            <w:vAlign w:val="bottom"/>
            <w:hideMark/>
          </w:tcPr>
          <w:p w14:paraId="22FF55C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6,261</w:t>
            </w:r>
          </w:p>
        </w:tc>
      </w:tr>
      <w:tr w:rsidR="00C95312" w:rsidRPr="00F51109" w14:paraId="575F7B33"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48D36E06" w14:textId="77777777" w:rsidR="00C95312" w:rsidRPr="00F51109" w:rsidRDefault="00C95312" w:rsidP="00E85896">
            <w:pPr>
              <w:rPr>
                <w:color w:val="000000"/>
                <w:sz w:val="16"/>
                <w:szCs w:val="16"/>
                <w:lang w:eastAsia="ko-KR"/>
              </w:rPr>
            </w:pPr>
            <w:r w:rsidRPr="00F51109">
              <w:rPr>
                <w:color w:val="000000"/>
                <w:sz w:val="16"/>
                <w:szCs w:val="16"/>
                <w:lang w:eastAsia="ko-KR"/>
              </w:rPr>
              <w:t>Intangibles</w:t>
            </w:r>
          </w:p>
        </w:tc>
        <w:tc>
          <w:tcPr>
            <w:tcW w:w="964" w:type="dxa"/>
            <w:tcBorders>
              <w:top w:val="nil"/>
              <w:left w:val="nil"/>
              <w:bottom w:val="nil"/>
              <w:right w:val="nil"/>
            </w:tcBorders>
            <w:shd w:val="clear" w:color="auto" w:fill="auto"/>
            <w:vAlign w:val="bottom"/>
            <w:hideMark/>
          </w:tcPr>
          <w:p w14:paraId="7230B87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4,575</w:t>
            </w:r>
          </w:p>
        </w:tc>
        <w:tc>
          <w:tcPr>
            <w:tcW w:w="964" w:type="dxa"/>
            <w:tcBorders>
              <w:top w:val="nil"/>
              <w:left w:val="nil"/>
              <w:bottom w:val="nil"/>
              <w:right w:val="nil"/>
            </w:tcBorders>
            <w:shd w:val="clear" w:color="auto" w:fill="auto"/>
            <w:vAlign w:val="bottom"/>
            <w:hideMark/>
          </w:tcPr>
          <w:p w14:paraId="52228B38" w14:textId="77777777" w:rsidR="00C95312" w:rsidRPr="00F51109" w:rsidRDefault="00C95312" w:rsidP="00E85896">
            <w:pPr>
              <w:jc w:val="right"/>
              <w:rPr>
                <w:color w:val="000000"/>
                <w:sz w:val="16"/>
                <w:szCs w:val="16"/>
                <w:lang w:eastAsia="ko-KR"/>
              </w:rPr>
            </w:pPr>
            <w:r w:rsidRPr="00F51109">
              <w:rPr>
                <w:color w:val="000000"/>
                <w:sz w:val="16"/>
                <w:szCs w:val="16"/>
                <w:lang w:eastAsia="ko-KR"/>
              </w:rPr>
              <w:t>4,449</w:t>
            </w:r>
          </w:p>
        </w:tc>
        <w:tc>
          <w:tcPr>
            <w:tcW w:w="964" w:type="dxa"/>
            <w:tcBorders>
              <w:top w:val="nil"/>
              <w:left w:val="nil"/>
              <w:bottom w:val="nil"/>
              <w:right w:val="nil"/>
            </w:tcBorders>
            <w:shd w:val="clear" w:color="auto" w:fill="auto"/>
            <w:vAlign w:val="bottom"/>
            <w:hideMark/>
          </w:tcPr>
          <w:p w14:paraId="1243CE45" w14:textId="77777777" w:rsidR="00C95312" w:rsidRPr="00F51109" w:rsidRDefault="00C95312" w:rsidP="00E85896">
            <w:pPr>
              <w:jc w:val="right"/>
              <w:rPr>
                <w:color w:val="000000"/>
                <w:sz w:val="16"/>
                <w:szCs w:val="16"/>
                <w:lang w:eastAsia="ko-KR"/>
              </w:rPr>
            </w:pPr>
            <w:r w:rsidRPr="00F51109">
              <w:rPr>
                <w:color w:val="000000"/>
                <w:sz w:val="16"/>
                <w:szCs w:val="16"/>
                <w:lang w:eastAsia="ko-KR"/>
              </w:rPr>
              <w:t>4,900</w:t>
            </w:r>
          </w:p>
        </w:tc>
        <w:tc>
          <w:tcPr>
            <w:tcW w:w="964" w:type="dxa"/>
            <w:gridSpan w:val="3"/>
            <w:tcBorders>
              <w:top w:val="nil"/>
              <w:left w:val="nil"/>
              <w:bottom w:val="nil"/>
              <w:right w:val="nil"/>
            </w:tcBorders>
            <w:shd w:val="clear" w:color="auto" w:fill="auto"/>
            <w:vAlign w:val="bottom"/>
            <w:hideMark/>
          </w:tcPr>
          <w:p w14:paraId="4E4CE84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4,876</w:t>
            </w:r>
          </w:p>
        </w:tc>
        <w:tc>
          <w:tcPr>
            <w:tcW w:w="964" w:type="dxa"/>
            <w:gridSpan w:val="3"/>
            <w:tcBorders>
              <w:top w:val="nil"/>
              <w:left w:val="nil"/>
              <w:bottom w:val="nil"/>
              <w:right w:val="nil"/>
            </w:tcBorders>
            <w:shd w:val="clear" w:color="auto" w:fill="auto"/>
            <w:vAlign w:val="bottom"/>
            <w:hideMark/>
          </w:tcPr>
          <w:p w14:paraId="777718D8" w14:textId="7AB9AFAC"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4,642</w:t>
            </w:r>
          </w:p>
        </w:tc>
        <w:tc>
          <w:tcPr>
            <w:tcW w:w="964" w:type="dxa"/>
            <w:tcBorders>
              <w:top w:val="nil"/>
              <w:left w:val="nil"/>
              <w:bottom w:val="nil"/>
              <w:right w:val="nil"/>
            </w:tcBorders>
            <w:shd w:val="clear" w:color="auto" w:fill="auto"/>
            <w:vAlign w:val="bottom"/>
            <w:hideMark/>
          </w:tcPr>
          <w:p w14:paraId="2F0113C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4,350</w:t>
            </w:r>
          </w:p>
        </w:tc>
      </w:tr>
      <w:tr w:rsidR="00C95312" w:rsidRPr="00F51109" w14:paraId="1704601F" w14:textId="77777777" w:rsidTr="00E85896">
        <w:trPr>
          <w:gridAfter w:val="1"/>
          <w:wAfter w:w="52" w:type="dxa"/>
          <w:trHeight w:val="227"/>
        </w:trPr>
        <w:tc>
          <w:tcPr>
            <w:tcW w:w="4212" w:type="dxa"/>
            <w:tcBorders>
              <w:top w:val="nil"/>
              <w:left w:val="nil"/>
              <w:bottom w:val="nil"/>
              <w:right w:val="nil"/>
            </w:tcBorders>
            <w:shd w:val="clear" w:color="auto" w:fill="auto"/>
            <w:vAlign w:val="bottom"/>
            <w:hideMark/>
          </w:tcPr>
          <w:p w14:paraId="05063430" w14:textId="77777777" w:rsidR="00C95312" w:rsidRPr="00F51109" w:rsidRDefault="00C95312" w:rsidP="00E85896">
            <w:pPr>
              <w:rPr>
                <w:color w:val="000000"/>
                <w:sz w:val="16"/>
                <w:szCs w:val="16"/>
                <w:lang w:eastAsia="ko-KR"/>
              </w:rPr>
            </w:pPr>
            <w:r w:rsidRPr="00F51109">
              <w:rPr>
                <w:color w:val="000000"/>
                <w:sz w:val="16"/>
                <w:szCs w:val="16"/>
                <w:lang w:eastAsia="ko-KR"/>
              </w:rPr>
              <w:t xml:space="preserve">Other </w:t>
            </w:r>
          </w:p>
        </w:tc>
        <w:tc>
          <w:tcPr>
            <w:tcW w:w="964" w:type="dxa"/>
            <w:tcBorders>
              <w:top w:val="nil"/>
              <w:left w:val="nil"/>
              <w:bottom w:val="nil"/>
              <w:right w:val="nil"/>
            </w:tcBorders>
            <w:shd w:val="clear" w:color="auto" w:fill="auto"/>
            <w:vAlign w:val="bottom"/>
            <w:hideMark/>
          </w:tcPr>
          <w:p w14:paraId="5A0CD50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1,122</w:t>
            </w:r>
          </w:p>
        </w:tc>
        <w:tc>
          <w:tcPr>
            <w:tcW w:w="964" w:type="dxa"/>
            <w:tcBorders>
              <w:top w:val="nil"/>
              <w:left w:val="nil"/>
              <w:bottom w:val="nil"/>
              <w:right w:val="nil"/>
            </w:tcBorders>
            <w:shd w:val="clear" w:color="auto" w:fill="auto"/>
            <w:vAlign w:val="bottom"/>
            <w:hideMark/>
          </w:tcPr>
          <w:p w14:paraId="395635BB" w14:textId="77777777" w:rsidR="00C95312" w:rsidRPr="00F51109" w:rsidRDefault="00C95312" w:rsidP="00E85896">
            <w:pPr>
              <w:jc w:val="right"/>
              <w:rPr>
                <w:color w:val="000000"/>
                <w:sz w:val="16"/>
                <w:szCs w:val="16"/>
                <w:lang w:eastAsia="ko-KR"/>
              </w:rPr>
            </w:pPr>
            <w:r w:rsidRPr="00F51109">
              <w:rPr>
                <w:color w:val="000000"/>
                <w:sz w:val="16"/>
                <w:szCs w:val="16"/>
                <w:lang w:eastAsia="ko-KR"/>
              </w:rPr>
              <w:t>987</w:t>
            </w:r>
          </w:p>
        </w:tc>
        <w:tc>
          <w:tcPr>
            <w:tcW w:w="964" w:type="dxa"/>
            <w:tcBorders>
              <w:top w:val="nil"/>
              <w:left w:val="nil"/>
              <w:bottom w:val="nil"/>
              <w:right w:val="nil"/>
            </w:tcBorders>
            <w:shd w:val="clear" w:color="auto" w:fill="auto"/>
            <w:vAlign w:val="bottom"/>
            <w:hideMark/>
          </w:tcPr>
          <w:p w14:paraId="3B5810E3" w14:textId="77777777" w:rsidR="00C95312" w:rsidRPr="00F51109" w:rsidRDefault="00C95312" w:rsidP="00E85896">
            <w:pPr>
              <w:jc w:val="right"/>
              <w:rPr>
                <w:color w:val="000000"/>
                <w:sz w:val="16"/>
                <w:szCs w:val="16"/>
                <w:lang w:eastAsia="ko-KR"/>
              </w:rPr>
            </w:pPr>
            <w:r w:rsidRPr="00F51109">
              <w:rPr>
                <w:color w:val="000000"/>
                <w:sz w:val="16"/>
                <w:szCs w:val="16"/>
                <w:lang w:eastAsia="ko-KR"/>
              </w:rPr>
              <w:t>953</w:t>
            </w:r>
          </w:p>
        </w:tc>
        <w:tc>
          <w:tcPr>
            <w:tcW w:w="964" w:type="dxa"/>
            <w:gridSpan w:val="3"/>
            <w:tcBorders>
              <w:top w:val="nil"/>
              <w:left w:val="nil"/>
              <w:bottom w:val="nil"/>
              <w:right w:val="nil"/>
            </w:tcBorders>
            <w:shd w:val="clear" w:color="auto" w:fill="auto"/>
            <w:vAlign w:val="bottom"/>
            <w:hideMark/>
          </w:tcPr>
          <w:p w14:paraId="3C8CB90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953</w:t>
            </w:r>
          </w:p>
        </w:tc>
        <w:tc>
          <w:tcPr>
            <w:tcW w:w="964" w:type="dxa"/>
            <w:gridSpan w:val="3"/>
            <w:tcBorders>
              <w:top w:val="nil"/>
              <w:left w:val="nil"/>
              <w:bottom w:val="nil"/>
              <w:right w:val="nil"/>
            </w:tcBorders>
            <w:shd w:val="clear" w:color="auto" w:fill="auto"/>
            <w:vAlign w:val="bottom"/>
            <w:hideMark/>
          </w:tcPr>
          <w:p w14:paraId="7DA2C583" w14:textId="324AD58B"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909</w:t>
            </w:r>
          </w:p>
        </w:tc>
        <w:tc>
          <w:tcPr>
            <w:tcW w:w="964" w:type="dxa"/>
            <w:tcBorders>
              <w:top w:val="nil"/>
              <w:left w:val="nil"/>
              <w:bottom w:val="nil"/>
              <w:right w:val="nil"/>
            </w:tcBorders>
            <w:shd w:val="clear" w:color="auto" w:fill="auto"/>
            <w:vAlign w:val="bottom"/>
            <w:hideMark/>
          </w:tcPr>
          <w:p w14:paraId="6880247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868</w:t>
            </w:r>
          </w:p>
        </w:tc>
      </w:tr>
      <w:tr w:rsidR="00C95312" w:rsidRPr="00F51109" w14:paraId="0BDB1AFF"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1DE84C25"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Total Non-Financial Assets</w:t>
            </w:r>
          </w:p>
        </w:tc>
        <w:tc>
          <w:tcPr>
            <w:tcW w:w="964" w:type="dxa"/>
            <w:tcBorders>
              <w:top w:val="nil"/>
              <w:left w:val="nil"/>
              <w:bottom w:val="nil"/>
              <w:right w:val="nil"/>
            </w:tcBorders>
            <w:shd w:val="clear" w:color="auto" w:fill="auto"/>
            <w:vAlign w:val="center"/>
            <w:hideMark/>
          </w:tcPr>
          <w:p w14:paraId="73BDFAD5"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285,884</w:t>
            </w:r>
          </w:p>
        </w:tc>
        <w:tc>
          <w:tcPr>
            <w:tcW w:w="964" w:type="dxa"/>
            <w:tcBorders>
              <w:top w:val="nil"/>
              <w:left w:val="nil"/>
              <w:bottom w:val="nil"/>
              <w:right w:val="nil"/>
            </w:tcBorders>
            <w:shd w:val="clear" w:color="auto" w:fill="auto"/>
            <w:vAlign w:val="center"/>
            <w:hideMark/>
          </w:tcPr>
          <w:p w14:paraId="5A4CC3F3"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308,421</w:t>
            </w:r>
          </w:p>
        </w:tc>
        <w:tc>
          <w:tcPr>
            <w:tcW w:w="964" w:type="dxa"/>
            <w:tcBorders>
              <w:top w:val="nil"/>
              <w:left w:val="nil"/>
              <w:bottom w:val="nil"/>
              <w:right w:val="nil"/>
            </w:tcBorders>
            <w:shd w:val="clear" w:color="auto" w:fill="auto"/>
            <w:vAlign w:val="center"/>
            <w:hideMark/>
          </w:tcPr>
          <w:p w14:paraId="4E0623CF"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325,296</w:t>
            </w:r>
          </w:p>
        </w:tc>
        <w:tc>
          <w:tcPr>
            <w:tcW w:w="964" w:type="dxa"/>
            <w:gridSpan w:val="3"/>
            <w:tcBorders>
              <w:top w:val="nil"/>
              <w:left w:val="nil"/>
              <w:bottom w:val="nil"/>
              <w:right w:val="nil"/>
            </w:tcBorders>
            <w:shd w:val="clear" w:color="auto" w:fill="auto"/>
            <w:vAlign w:val="center"/>
            <w:hideMark/>
          </w:tcPr>
          <w:p w14:paraId="5C989091"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342,095</w:t>
            </w:r>
          </w:p>
        </w:tc>
        <w:tc>
          <w:tcPr>
            <w:tcW w:w="964" w:type="dxa"/>
            <w:gridSpan w:val="3"/>
            <w:tcBorders>
              <w:top w:val="nil"/>
              <w:left w:val="nil"/>
              <w:bottom w:val="nil"/>
              <w:right w:val="nil"/>
            </w:tcBorders>
            <w:shd w:val="clear" w:color="auto" w:fill="auto"/>
            <w:vAlign w:val="center"/>
            <w:hideMark/>
          </w:tcPr>
          <w:p w14:paraId="63EEF8BE"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355,186</w:t>
            </w:r>
          </w:p>
        </w:tc>
        <w:tc>
          <w:tcPr>
            <w:tcW w:w="964" w:type="dxa"/>
            <w:tcBorders>
              <w:top w:val="nil"/>
              <w:left w:val="nil"/>
              <w:bottom w:val="nil"/>
              <w:right w:val="nil"/>
            </w:tcBorders>
            <w:shd w:val="clear" w:color="auto" w:fill="auto"/>
            <w:vAlign w:val="center"/>
            <w:hideMark/>
          </w:tcPr>
          <w:p w14:paraId="61C98AB5" w14:textId="1F206766"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367,132</w:t>
            </w:r>
          </w:p>
        </w:tc>
      </w:tr>
      <w:tr w:rsidR="00C95312" w:rsidRPr="00F51109" w14:paraId="05E76FFB"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6FA768EC"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Total Assets</w:t>
            </w:r>
          </w:p>
        </w:tc>
        <w:tc>
          <w:tcPr>
            <w:tcW w:w="964" w:type="dxa"/>
            <w:tcBorders>
              <w:top w:val="single" w:sz="4" w:space="0" w:color="auto"/>
              <w:left w:val="nil"/>
              <w:bottom w:val="single" w:sz="4" w:space="0" w:color="auto"/>
              <w:right w:val="nil"/>
            </w:tcBorders>
            <w:shd w:val="clear" w:color="auto" w:fill="auto"/>
            <w:vAlign w:val="center"/>
            <w:hideMark/>
          </w:tcPr>
          <w:p w14:paraId="04712019"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454,096</w:t>
            </w:r>
          </w:p>
        </w:tc>
        <w:tc>
          <w:tcPr>
            <w:tcW w:w="964" w:type="dxa"/>
            <w:tcBorders>
              <w:top w:val="single" w:sz="4" w:space="0" w:color="auto"/>
              <w:left w:val="nil"/>
              <w:bottom w:val="single" w:sz="4" w:space="0" w:color="auto"/>
              <w:right w:val="nil"/>
            </w:tcBorders>
            <w:shd w:val="clear" w:color="auto" w:fill="auto"/>
            <w:vAlign w:val="center"/>
            <w:hideMark/>
          </w:tcPr>
          <w:p w14:paraId="02E90407"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495,052</w:t>
            </w:r>
          </w:p>
        </w:tc>
        <w:tc>
          <w:tcPr>
            <w:tcW w:w="964" w:type="dxa"/>
            <w:tcBorders>
              <w:top w:val="single" w:sz="4" w:space="0" w:color="auto"/>
              <w:left w:val="nil"/>
              <w:bottom w:val="single" w:sz="4" w:space="0" w:color="auto"/>
              <w:right w:val="nil"/>
            </w:tcBorders>
            <w:shd w:val="clear" w:color="auto" w:fill="auto"/>
            <w:vAlign w:val="center"/>
            <w:hideMark/>
          </w:tcPr>
          <w:p w14:paraId="404C22B6"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514,439</w:t>
            </w:r>
          </w:p>
        </w:tc>
        <w:tc>
          <w:tcPr>
            <w:tcW w:w="964" w:type="dxa"/>
            <w:gridSpan w:val="3"/>
            <w:tcBorders>
              <w:top w:val="single" w:sz="4" w:space="0" w:color="auto"/>
              <w:left w:val="nil"/>
              <w:bottom w:val="single" w:sz="4" w:space="0" w:color="auto"/>
              <w:right w:val="nil"/>
            </w:tcBorders>
            <w:shd w:val="clear" w:color="auto" w:fill="auto"/>
            <w:vAlign w:val="center"/>
            <w:hideMark/>
          </w:tcPr>
          <w:p w14:paraId="43DC735D"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540,643</w:t>
            </w:r>
          </w:p>
        </w:tc>
        <w:tc>
          <w:tcPr>
            <w:tcW w:w="964" w:type="dxa"/>
            <w:gridSpan w:val="3"/>
            <w:tcBorders>
              <w:top w:val="single" w:sz="4" w:space="0" w:color="auto"/>
              <w:left w:val="nil"/>
              <w:bottom w:val="single" w:sz="4" w:space="0" w:color="auto"/>
              <w:right w:val="nil"/>
            </w:tcBorders>
            <w:shd w:val="clear" w:color="auto" w:fill="auto"/>
            <w:vAlign w:val="center"/>
            <w:hideMark/>
          </w:tcPr>
          <w:p w14:paraId="7B42A00E"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560,341</w:t>
            </w:r>
          </w:p>
        </w:tc>
        <w:tc>
          <w:tcPr>
            <w:tcW w:w="964" w:type="dxa"/>
            <w:tcBorders>
              <w:top w:val="single" w:sz="4" w:space="0" w:color="auto"/>
              <w:left w:val="nil"/>
              <w:bottom w:val="single" w:sz="4" w:space="0" w:color="auto"/>
              <w:right w:val="nil"/>
            </w:tcBorders>
            <w:shd w:val="clear" w:color="auto" w:fill="auto"/>
            <w:vAlign w:val="center"/>
            <w:hideMark/>
          </w:tcPr>
          <w:p w14:paraId="46034128" w14:textId="74F7B7E6" w:rsidR="00C95312" w:rsidRPr="00D14430" w:rsidRDefault="00D14430" w:rsidP="00E85896">
            <w:pPr>
              <w:jc w:val="right"/>
              <w:rPr>
                <w:b/>
                <w:bCs/>
                <w:color w:val="A6A6A6" w:themeColor="background1" w:themeShade="A6"/>
                <w:sz w:val="16"/>
                <w:szCs w:val="16"/>
                <w:lang w:eastAsia="ko-KR"/>
              </w:rPr>
            </w:pPr>
            <w:r w:rsidRPr="00E2024F">
              <w:rPr>
                <w:i/>
                <w:iCs/>
                <w:noProof/>
                <w:color w:val="4F4F4F"/>
                <w:sz w:val="22"/>
                <w:szCs w:val="22"/>
              </w:rPr>
              <mc:AlternateContent>
                <mc:Choice Requires="wps">
                  <w:drawing>
                    <wp:anchor distT="0" distB="0" distL="114300" distR="114300" simplePos="0" relativeHeight="251658247" behindDoc="0" locked="0" layoutInCell="1" allowOverlap="1" wp14:anchorId="6A6266E1" wp14:editId="0EBBBB73">
                      <wp:simplePos x="0" y="0"/>
                      <wp:positionH relativeFrom="column">
                        <wp:posOffset>-1028065</wp:posOffset>
                      </wp:positionH>
                      <wp:positionV relativeFrom="paragraph">
                        <wp:posOffset>-1809115</wp:posOffset>
                      </wp:positionV>
                      <wp:extent cx="1542415" cy="1885315"/>
                      <wp:effectExtent l="228600" t="0" r="19685" b="19685"/>
                      <wp:wrapNone/>
                      <wp:docPr id="12" name="Speech Bubble: Rectangle with Corners Rounded 11">
                        <a:extLst xmlns:a="http://schemas.openxmlformats.org/drawingml/2006/main">
                          <a:ext uri="{FF2B5EF4-FFF2-40B4-BE49-F238E27FC236}">
                            <a16:creationId xmlns:a16="http://schemas.microsoft.com/office/drawing/2014/main" id="{63F5A3B9-34A9-426F-860B-C030A7FF1A2B}"/>
                          </a:ext>
                        </a:extLst>
                      </wp:docPr>
                      <wp:cNvGraphicFramePr/>
                      <a:graphic xmlns:a="http://schemas.openxmlformats.org/drawingml/2006/main">
                        <a:graphicData uri="http://schemas.microsoft.com/office/word/2010/wordprocessingShape">
                          <wps:wsp>
                            <wps:cNvSpPr/>
                            <wps:spPr>
                              <a:xfrm>
                                <a:off x="0" y="0"/>
                                <a:ext cx="1542415" cy="1885315"/>
                              </a:xfrm>
                              <a:prstGeom prst="wedgeRoundRectCallout">
                                <a:avLst>
                                  <a:gd name="adj1" fmla="val -63554"/>
                                  <a:gd name="adj2" fmla="val 46947"/>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7F443338" w14:textId="77777777" w:rsidR="005B1B1A" w:rsidRDefault="005B1B1A" w:rsidP="005B1B1A">
                                  <w:pPr>
                                    <w:rPr>
                                      <w:sz w:val="24"/>
                                      <w:szCs w:val="24"/>
                                    </w:rPr>
                                  </w:pPr>
                                  <w:r>
                                    <w:rPr>
                                      <w:b/>
                                      <w:color w:val="44546A" w:themeColor="text2"/>
                                      <w:kern w:val="24"/>
                                      <w:sz w:val="18"/>
                                      <w:szCs w:val="18"/>
                                    </w:rPr>
                                    <w:t>Assets at end of year</w:t>
                                  </w:r>
                                </w:p>
                                <w:p w14:paraId="766DEF24" w14:textId="77777777" w:rsidR="005B1B1A" w:rsidRDefault="005B1B1A" w:rsidP="005B1B1A">
                                  <w:r>
                                    <w:rPr>
                                      <w:color w:val="44546A" w:themeColor="text2"/>
                                      <w:kern w:val="24"/>
                                      <w:sz w:val="18"/>
                                      <w:szCs w:val="18"/>
                                    </w:rPr>
                                    <w:t>An asset is a store of value. It represents a</w:t>
                                  </w:r>
                                </w:p>
                                <w:p w14:paraId="727C2565" w14:textId="77777777" w:rsidR="005B1B1A" w:rsidRDefault="005B1B1A" w:rsidP="005B1B1A">
                                  <w:pPr>
                                    <w:rPr>
                                      <w:color w:val="44546A" w:themeColor="text2"/>
                                      <w:kern w:val="24"/>
                                      <w:sz w:val="18"/>
                                      <w:szCs w:val="18"/>
                                    </w:rPr>
                                  </w:pPr>
                                  <w:r>
                                    <w:rPr>
                                      <w:color w:val="44546A" w:themeColor="text2"/>
                                      <w:kern w:val="24"/>
                                      <w:sz w:val="18"/>
                                      <w:szCs w:val="18"/>
                                    </w:rPr>
                                    <w:t xml:space="preserve">benefit (or series of benefits) accruing to the owner by holding or using it. </w:t>
                                  </w:r>
                                </w:p>
                                <w:p w14:paraId="1EB45251" w14:textId="77777777" w:rsidR="000942A3" w:rsidRDefault="000942A3" w:rsidP="005B1B1A"/>
                                <w:p w14:paraId="1FB3947F" w14:textId="77777777" w:rsidR="005B1B1A" w:rsidRDefault="005B1B1A" w:rsidP="005B1B1A">
                                  <w:r>
                                    <w:rPr>
                                      <w:color w:val="44546A" w:themeColor="text2"/>
                                      <w:kern w:val="24"/>
                                      <w:sz w:val="18"/>
                                      <w:szCs w:val="18"/>
                                    </w:rPr>
                                    <w:t xml:space="preserve">Broken down by </w:t>
                                  </w:r>
                                </w:p>
                                <w:p w14:paraId="475488E7" w14:textId="77777777" w:rsidR="005B1B1A" w:rsidRDefault="005B1B1A" w:rsidP="00C47E8E">
                                  <w:pPr>
                                    <w:pStyle w:val="ListParagraph"/>
                                    <w:widowControl/>
                                    <w:numPr>
                                      <w:ilvl w:val="0"/>
                                      <w:numId w:val="38"/>
                                    </w:numPr>
                                    <w:tabs>
                                      <w:tab w:val="clear" w:pos="4196"/>
                                      <w:tab w:val="clear" w:pos="5046"/>
                                      <w:tab w:val="clear" w:pos="5897"/>
                                      <w:tab w:val="clear" w:pos="6747"/>
                                      <w:tab w:val="clear" w:pos="7598"/>
                                    </w:tabs>
                                    <w:autoSpaceDE/>
                                    <w:autoSpaceDN/>
                                    <w:rPr>
                                      <w:sz w:val="18"/>
                                    </w:rPr>
                                  </w:pPr>
                                  <w:r>
                                    <w:rPr>
                                      <w:color w:val="44546A" w:themeColor="text2"/>
                                      <w:kern w:val="24"/>
                                      <w:sz w:val="18"/>
                                      <w:szCs w:val="18"/>
                                    </w:rPr>
                                    <w:t>Financial Assets</w:t>
                                  </w:r>
                                </w:p>
                                <w:p w14:paraId="1114EBAC" w14:textId="77777777" w:rsidR="005B1B1A" w:rsidRDefault="005B1B1A" w:rsidP="00C47E8E">
                                  <w:pPr>
                                    <w:pStyle w:val="ListParagraph"/>
                                    <w:widowControl/>
                                    <w:numPr>
                                      <w:ilvl w:val="0"/>
                                      <w:numId w:val="38"/>
                                    </w:numPr>
                                    <w:tabs>
                                      <w:tab w:val="clear" w:pos="4196"/>
                                      <w:tab w:val="clear" w:pos="5046"/>
                                      <w:tab w:val="clear" w:pos="5897"/>
                                      <w:tab w:val="clear" w:pos="6747"/>
                                      <w:tab w:val="clear" w:pos="7598"/>
                                    </w:tabs>
                                    <w:autoSpaceDE/>
                                    <w:autoSpaceDN/>
                                    <w:rPr>
                                      <w:sz w:val="18"/>
                                    </w:rPr>
                                  </w:pPr>
                                  <w:r>
                                    <w:rPr>
                                      <w:color w:val="44546A" w:themeColor="text2"/>
                                      <w:kern w:val="24"/>
                                      <w:sz w:val="18"/>
                                      <w:szCs w:val="18"/>
                                    </w:rPr>
                                    <w:t>Non-Financial Assets</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6A6266E1" id="Speech Bubble: Rectangle with Corners Rounded 11" o:spid="_x0000_s1079" type="#_x0000_t62" style="position:absolute;left:0;text-align:left;margin-left:-80.95pt;margin-top:-142.45pt;width:121.45pt;height:148.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" adj="-2928,20941" fillcolor="#f2f2f2 [3052]" strokecolor="#44546a [3215]" strokeweight="1.75pt">
                      <v:stroke dashstyle="3 1"/>
                      <v:textbox inset="1mm,1mm,1mm,1mm">
                        <w:txbxContent>
                          <w:p w14:paraId="7F443338" w14:textId="77777777" w:rsidR="005B1B1A" w:rsidRDefault="005B1B1A" w:rsidP="005B1B1A">
                            <w:pPr>
                              <w:rPr>
                                <w:sz w:val="24"/>
                                <w:szCs w:val="24"/>
                              </w:rPr>
                            </w:pPr>
                            <w:r>
                              <w:rPr>
                                <w:b/>
                                <w:color w:val="44546A" w:themeColor="text2"/>
                                <w:kern w:val="24"/>
                                <w:sz w:val="18"/>
                                <w:szCs w:val="18"/>
                              </w:rPr>
                              <w:t>Assets at end of year</w:t>
                            </w:r>
                          </w:p>
                          <w:p w14:paraId="766DEF24" w14:textId="77777777" w:rsidR="005B1B1A" w:rsidRDefault="005B1B1A" w:rsidP="005B1B1A">
                            <w:r>
                              <w:rPr>
                                <w:color w:val="44546A" w:themeColor="text2"/>
                                <w:kern w:val="24"/>
                                <w:sz w:val="18"/>
                                <w:szCs w:val="18"/>
                              </w:rPr>
                              <w:t>An asset is a store of value. It represents a</w:t>
                            </w:r>
                          </w:p>
                          <w:p w14:paraId="727C2565" w14:textId="77777777" w:rsidR="005B1B1A" w:rsidRDefault="005B1B1A" w:rsidP="005B1B1A">
                            <w:pPr>
                              <w:rPr>
                                <w:color w:val="44546A" w:themeColor="text2"/>
                                <w:kern w:val="24"/>
                                <w:sz w:val="18"/>
                                <w:szCs w:val="18"/>
                              </w:rPr>
                            </w:pPr>
                            <w:r>
                              <w:rPr>
                                <w:color w:val="44546A" w:themeColor="text2"/>
                                <w:kern w:val="24"/>
                                <w:sz w:val="18"/>
                                <w:szCs w:val="18"/>
                              </w:rPr>
                              <w:t xml:space="preserve">benefit (or series of benefits) accruing to the owner by holding or using it. </w:t>
                            </w:r>
                          </w:p>
                          <w:p w14:paraId="1EB45251" w14:textId="77777777" w:rsidR="000942A3" w:rsidRDefault="000942A3" w:rsidP="005B1B1A"/>
                          <w:p w14:paraId="1FB3947F" w14:textId="77777777" w:rsidR="005B1B1A" w:rsidRDefault="005B1B1A" w:rsidP="005B1B1A">
                            <w:r>
                              <w:rPr>
                                <w:color w:val="44546A" w:themeColor="text2"/>
                                <w:kern w:val="24"/>
                                <w:sz w:val="18"/>
                                <w:szCs w:val="18"/>
                              </w:rPr>
                              <w:t xml:space="preserve">Broken down by </w:t>
                            </w:r>
                          </w:p>
                          <w:p w14:paraId="475488E7" w14:textId="77777777" w:rsidR="005B1B1A" w:rsidRDefault="005B1B1A" w:rsidP="00C47E8E">
                            <w:pPr>
                              <w:pStyle w:val="ListParagraph"/>
                              <w:widowControl/>
                              <w:numPr>
                                <w:ilvl w:val="0"/>
                                <w:numId w:val="38"/>
                              </w:numPr>
                              <w:tabs>
                                <w:tab w:val="clear" w:pos="4196"/>
                                <w:tab w:val="clear" w:pos="5046"/>
                                <w:tab w:val="clear" w:pos="5897"/>
                                <w:tab w:val="clear" w:pos="6747"/>
                                <w:tab w:val="clear" w:pos="7598"/>
                              </w:tabs>
                              <w:autoSpaceDE/>
                              <w:autoSpaceDN/>
                              <w:rPr>
                                <w:sz w:val="18"/>
                              </w:rPr>
                            </w:pPr>
                            <w:r>
                              <w:rPr>
                                <w:color w:val="44546A" w:themeColor="text2"/>
                                <w:kern w:val="24"/>
                                <w:sz w:val="18"/>
                                <w:szCs w:val="18"/>
                              </w:rPr>
                              <w:t>Financial Assets</w:t>
                            </w:r>
                          </w:p>
                          <w:p w14:paraId="1114EBAC" w14:textId="77777777" w:rsidR="005B1B1A" w:rsidRDefault="005B1B1A" w:rsidP="00C47E8E">
                            <w:pPr>
                              <w:pStyle w:val="ListParagraph"/>
                              <w:widowControl/>
                              <w:numPr>
                                <w:ilvl w:val="0"/>
                                <w:numId w:val="38"/>
                              </w:numPr>
                              <w:tabs>
                                <w:tab w:val="clear" w:pos="4196"/>
                                <w:tab w:val="clear" w:pos="5046"/>
                                <w:tab w:val="clear" w:pos="5897"/>
                                <w:tab w:val="clear" w:pos="6747"/>
                                <w:tab w:val="clear" w:pos="7598"/>
                              </w:tabs>
                              <w:autoSpaceDE/>
                              <w:autoSpaceDN/>
                              <w:rPr>
                                <w:sz w:val="18"/>
                              </w:rPr>
                            </w:pPr>
                            <w:r>
                              <w:rPr>
                                <w:color w:val="44546A" w:themeColor="text2"/>
                                <w:kern w:val="24"/>
                                <w:sz w:val="18"/>
                                <w:szCs w:val="18"/>
                              </w:rPr>
                              <w:t>Non-Financial Assets</w:t>
                            </w:r>
                          </w:p>
                        </w:txbxContent>
                      </v:textbox>
                    </v:shape>
                  </w:pict>
                </mc:Fallback>
              </mc:AlternateContent>
            </w:r>
            <w:r w:rsidR="00C95312" w:rsidRPr="00D14430">
              <w:rPr>
                <w:b/>
                <w:bCs/>
                <w:color w:val="A6A6A6" w:themeColor="background1" w:themeShade="A6"/>
                <w:sz w:val="16"/>
                <w:szCs w:val="16"/>
                <w:lang w:eastAsia="ko-KR"/>
              </w:rPr>
              <w:t>579,575</w:t>
            </w:r>
          </w:p>
        </w:tc>
      </w:tr>
      <w:tr w:rsidR="00C95312" w:rsidRPr="00F51109" w14:paraId="4116EF82"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1ABF987F" w14:textId="77777777" w:rsidR="00C95312" w:rsidRPr="00F51109" w:rsidRDefault="00C95312" w:rsidP="00E85896">
            <w:pPr>
              <w:rPr>
                <w:b/>
                <w:bCs/>
                <w:color w:val="000000"/>
                <w:sz w:val="16"/>
                <w:szCs w:val="16"/>
                <w:lang w:eastAsia="ko-KR"/>
              </w:rPr>
            </w:pPr>
            <w:r w:rsidRPr="00F51109">
              <w:rPr>
                <w:b/>
                <w:bCs/>
                <w:color w:val="000000"/>
                <w:sz w:val="16"/>
                <w:szCs w:val="16"/>
                <w:lang w:eastAsia="ko-KR"/>
              </w:rPr>
              <w:t>Liabilities</w:t>
            </w:r>
          </w:p>
        </w:tc>
        <w:tc>
          <w:tcPr>
            <w:tcW w:w="964" w:type="dxa"/>
            <w:tcBorders>
              <w:top w:val="nil"/>
              <w:left w:val="nil"/>
              <w:bottom w:val="nil"/>
              <w:right w:val="nil"/>
            </w:tcBorders>
            <w:shd w:val="clear" w:color="auto" w:fill="auto"/>
            <w:vAlign w:val="center"/>
            <w:hideMark/>
          </w:tcPr>
          <w:p w14:paraId="434A0F56" w14:textId="77777777" w:rsidR="00C95312" w:rsidRPr="00D14430" w:rsidRDefault="00C95312" w:rsidP="00E85896">
            <w:pPr>
              <w:rPr>
                <w:b/>
                <w:bCs/>
                <w:color w:val="A6A6A6" w:themeColor="background1" w:themeShade="A6"/>
                <w:sz w:val="16"/>
                <w:szCs w:val="16"/>
                <w:lang w:eastAsia="ko-KR"/>
              </w:rPr>
            </w:pPr>
          </w:p>
        </w:tc>
        <w:tc>
          <w:tcPr>
            <w:tcW w:w="964" w:type="dxa"/>
            <w:tcBorders>
              <w:top w:val="nil"/>
              <w:left w:val="nil"/>
              <w:bottom w:val="nil"/>
              <w:right w:val="nil"/>
            </w:tcBorders>
            <w:shd w:val="clear" w:color="auto" w:fill="auto"/>
            <w:vAlign w:val="center"/>
            <w:hideMark/>
          </w:tcPr>
          <w:p w14:paraId="0B3B2FDC"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center"/>
            <w:hideMark/>
          </w:tcPr>
          <w:p w14:paraId="78A7C7B0"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center"/>
            <w:hideMark/>
          </w:tcPr>
          <w:p w14:paraId="57A490B0" w14:textId="77777777" w:rsidR="00C95312" w:rsidRPr="00D14430" w:rsidRDefault="00C95312" w:rsidP="00E85896">
            <w:pPr>
              <w:rPr>
                <w:color w:val="A6A6A6" w:themeColor="background1" w:themeShade="A6"/>
                <w:lang w:eastAsia="ko-KR"/>
              </w:rPr>
            </w:pPr>
          </w:p>
        </w:tc>
        <w:tc>
          <w:tcPr>
            <w:tcW w:w="964" w:type="dxa"/>
            <w:gridSpan w:val="3"/>
            <w:tcBorders>
              <w:top w:val="nil"/>
              <w:left w:val="nil"/>
              <w:bottom w:val="nil"/>
              <w:right w:val="nil"/>
            </w:tcBorders>
            <w:shd w:val="clear" w:color="auto" w:fill="auto"/>
            <w:vAlign w:val="center"/>
            <w:hideMark/>
          </w:tcPr>
          <w:p w14:paraId="5F4FA38D" w14:textId="77777777" w:rsidR="00C95312" w:rsidRPr="00D14430" w:rsidRDefault="00C95312" w:rsidP="00E85896">
            <w:pPr>
              <w:rPr>
                <w:color w:val="A6A6A6" w:themeColor="background1" w:themeShade="A6"/>
                <w:lang w:eastAsia="ko-KR"/>
              </w:rPr>
            </w:pPr>
          </w:p>
        </w:tc>
        <w:tc>
          <w:tcPr>
            <w:tcW w:w="964" w:type="dxa"/>
            <w:tcBorders>
              <w:top w:val="nil"/>
              <w:left w:val="nil"/>
              <w:bottom w:val="nil"/>
              <w:right w:val="nil"/>
            </w:tcBorders>
            <w:shd w:val="clear" w:color="auto" w:fill="auto"/>
            <w:vAlign w:val="center"/>
            <w:hideMark/>
          </w:tcPr>
          <w:p w14:paraId="0D423C7B" w14:textId="77777777" w:rsidR="00C95312" w:rsidRPr="00D14430" w:rsidRDefault="00C95312" w:rsidP="00E85896">
            <w:pPr>
              <w:rPr>
                <w:color w:val="A6A6A6" w:themeColor="background1" w:themeShade="A6"/>
                <w:lang w:eastAsia="ko-KR"/>
              </w:rPr>
            </w:pPr>
          </w:p>
        </w:tc>
      </w:tr>
      <w:tr w:rsidR="00C95312" w:rsidRPr="00F51109" w14:paraId="337E9CC6"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27EF2A3E" w14:textId="77777777" w:rsidR="00C95312" w:rsidRPr="00F51109" w:rsidRDefault="00C95312" w:rsidP="00E85896">
            <w:pPr>
              <w:rPr>
                <w:color w:val="000000"/>
                <w:sz w:val="16"/>
                <w:szCs w:val="16"/>
                <w:lang w:eastAsia="ko-KR"/>
              </w:rPr>
            </w:pPr>
            <w:r w:rsidRPr="00F51109">
              <w:rPr>
                <w:color w:val="000000"/>
                <w:sz w:val="16"/>
                <w:szCs w:val="16"/>
                <w:lang w:eastAsia="ko-KR"/>
              </w:rPr>
              <w:t>Deposits Held</w:t>
            </w:r>
          </w:p>
        </w:tc>
        <w:tc>
          <w:tcPr>
            <w:tcW w:w="964" w:type="dxa"/>
            <w:tcBorders>
              <w:top w:val="nil"/>
              <w:left w:val="nil"/>
              <w:bottom w:val="nil"/>
              <w:right w:val="nil"/>
            </w:tcBorders>
            <w:shd w:val="clear" w:color="auto" w:fill="auto"/>
            <w:vAlign w:val="bottom"/>
            <w:hideMark/>
          </w:tcPr>
          <w:p w14:paraId="1D34421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282</w:t>
            </w:r>
          </w:p>
        </w:tc>
        <w:tc>
          <w:tcPr>
            <w:tcW w:w="964" w:type="dxa"/>
            <w:tcBorders>
              <w:top w:val="nil"/>
              <w:left w:val="nil"/>
              <w:bottom w:val="nil"/>
              <w:right w:val="nil"/>
            </w:tcBorders>
            <w:shd w:val="clear" w:color="auto" w:fill="auto"/>
            <w:vAlign w:val="bottom"/>
            <w:hideMark/>
          </w:tcPr>
          <w:p w14:paraId="78D88E0C" w14:textId="77777777" w:rsidR="00C95312" w:rsidRPr="00F51109" w:rsidRDefault="00C95312" w:rsidP="00E85896">
            <w:pPr>
              <w:jc w:val="right"/>
              <w:rPr>
                <w:color w:val="000000"/>
                <w:sz w:val="16"/>
                <w:szCs w:val="16"/>
                <w:lang w:eastAsia="ko-KR"/>
              </w:rPr>
            </w:pPr>
            <w:r w:rsidRPr="00F51109">
              <w:rPr>
                <w:color w:val="000000"/>
                <w:sz w:val="16"/>
                <w:szCs w:val="16"/>
                <w:lang w:eastAsia="ko-KR"/>
              </w:rPr>
              <w:t>282</w:t>
            </w:r>
          </w:p>
        </w:tc>
        <w:tc>
          <w:tcPr>
            <w:tcW w:w="964" w:type="dxa"/>
            <w:tcBorders>
              <w:top w:val="nil"/>
              <w:left w:val="nil"/>
              <w:bottom w:val="nil"/>
              <w:right w:val="nil"/>
            </w:tcBorders>
            <w:shd w:val="clear" w:color="auto" w:fill="auto"/>
            <w:vAlign w:val="bottom"/>
            <w:hideMark/>
          </w:tcPr>
          <w:p w14:paraId="26CE61D0" w14:textId="77777777" w:rsidR="00C95312" w:rsidRPr="00F51109" w:rsidRDefault="00C95312" w:rsidP="00E85896">
            <w:pPr>
              <w:jc w:val="right"/>
              <w:rPr>
                <w:color w:val="000000"/>
                <w:sz w:val="16"/>
                <w:szCs w:val="16"/>
                <w:lang w:eastAsia="ko-KR"/>
              </w:rPr>
            </w:pPr>
            <w:r w:rsidRPr="00F51109">
              <w:rPr>
                <w:color w:val="000000"/>
                <w:sz w:val="16"/>
                <w:szCs w:val="16"/>
                <w:lang w:eastAsia="ko-KR"/>
              </w:rPr>
              <w:t>282</w:t>
            </w:r>
          </w:p>
        </w:tc>
        <w:tc>
          <w:tcPr>
            <w:tcW w:w="964" w:type="dxa"/>
            <w:gridSpan w:val="3"/>
            <w:tcBorders>
              <w:top w:val="nil"/>
              <w:left w:val="nil"/>
              <w:bottom w:val="nil"/>
              <w:right w:val="nil"/>
            </w:tcBorders>
            <w:shd w:val="clear" w:color="auto" w:fill="auto"/>
            <w:vAlign w:val="bottom"/>
            <w:hideMark/>
          </w:tcPr>
          <w:p w14:paraId="568B415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282</w:t>
            </w:r>
          </w:p>
        </w:tc>
        <w:tc>
          <w:tcPr>
            <w:tcW w:w="964" w:type="dxa"/>
            <w:gridSpan w:val="3"/>
            <w:tcBorders>
              <w:top w:val="nil"/>
              <w:left w:val="nil"/>
              <w:bottom w:val="nil"/>
              <w:right w:val="nil"/>
            </w:tcBorders>
            <w:shd w:val="clear" w:color="auto" w:fill="auto"/>
            <w:vAlign w:val="bottom"/>
            <w:hideMark/>
          </w:tcPr>
          <w:p w14:paraId="3756FCE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282</w:t>
            </w:r>
          </w:p>
        </w:tc>
        <w:tc>
          <w:tcPr>
            <w:tcW w:w="964" w:type="dxa"/>
            <w:tcBorders>
              <w:top w:val="nil"/>
              <w:left w:val="nil"/>
              <w:bottom w:val="nil"/>
              <w:right w:val="nil"/>
            </w:tcBorders>
            <w:shd w:val="clear" w:color="auto" w:fill="auto"/>
            <w:vAlign w:val="bottom"/>
            <w:hideMark/>
          </w:tcPr>
          <w:p w14:paraId="1F30F04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282</w:t>
            </w:r>
          </w:p>
        </w:tc>
      </w:tr>
      <w:tr w:rsidR="00C95312" w:rsidRPr="00F51109" w14:paraId="44E2AECC"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1B512EA0" w14:textId="77777777" w:rsidR="00C95312" w:rsidRPr="00F51109" w:rsidRDefault="00C95312" w:rsidP="00E85896">
            <w:pPr>
              <w:rPr>
                <w:color w:val="000000"/>
                <w:sz w:val="16"/>
                <w:szCs w:val="16"/>
                <w:lang w:eastAsia="ko-KR"/>
              </w:rPr>
            </w:pPr>
            <w:r w:rsidRPr="00F51109">
              <w:rPr>
                <w:color w:val="000000"/>
                <w:sz w:val="16"/>
                <w:szCs w:val="16"/>
                <w:lang w:eastAsia="ko-KR"/>
              </w:rPr>
              <w:t>Payables</w:t>
            </w:r>
          </w:p>
        </w:tc>
        <w:tc>
          <w:tcPr>
            <w:tcW w:w="964" w:type="dxa"/>
            <w:tcBorders>
              <w:top w:val="nil"/>
              <w:left w:val="nil"/>
              <w:bottom w:val="nil"/>
              <w:right w:val="nil"/>
            </w:tcBorders>
            <w:shd w:val="clear" w:color="auto" w:fill="auto"/>
            <w:vAlign w:val="bottom"/>
            <w:hideMark/>
          </w:tcPr>
          <w:p w14:paraId="147669A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10,052</w:t>
            </w:r>
          </w:p>
        </w:tc>
        <w:tc>
          <w:tcPr>
            <w:tcW w:w="964" w:type="dxa"/>
            <w:tcBorders>
              <w:top w:val="nil"/>
              <w:left w:val="nil"/>
              <w:bottom w:val="nil"/>
              <w:right w:val="nil"/>
            </w:tcBorders>
            <w:shd w:val="clear" w:color="auto" w:fill="auto"/>
            <w:vAlign w:val="bottom"/>
            <w:hideMark/>
          </w:tcPr>
          <w:p w14:paraId="1DC0B225" w14:textId="77777777" w:rsidR="00C95312" w:rsidRPr="00F51109" w:rsidRDefault="00C95312" w:rsidP="00E85896">
            <w:pPr>
              <w:jc w:val="right"/>
              <w:rPr>
                <w:color w:val="000000"/>
                <w:sz w:val="16"/>
                <w:szCs w:val="16"/>
                <w:lang w:eastAsia="ko-KR"/>
              </w:rPr>
            </w:pPr>
            <w:r w:rsidRPr="00F51109">
              <w:rPr>
                <w:color w:val="000000"/>
                <w:sz w:val="16"/>
                <w:szCs w:val="16"/>
                <w:lang w:eastAsia="ko-KR"/>
              </w:rPr>
              <w:t>9,097</w:t>
            </w:r>
          </w:p>
        </w:tc>
        <w:tc>
          <w:tcPr>
            <w:tcW w:w="964" w:type="dxa"/>
            <w:tcBorders>
              <w:top w:val="nil"/>
              <w:left w:val="nil"/>
              <w:bottom w:val="nil"/>
              <w:right w:val="nil"/>
            </w:tcBorders>
            <w:shd w:val="clear" w:color="auto" w:fill="auto"/>
            <w:vAlign w:val="bottom"/>
            <w:hideMark/>
          </w:tcPr>
          <w:p w14:paraId="047EF3F0" w14:textId="77777777" w:rsidR="00C95312" w:rsidRPr="00F51109" w:rsidRDefault="00C95312" w:rsidP="00E85896">
            <w:pPr>
              <w:jc w:val="right"/>
              <w:rPr>
                <w:color w:val="000000"/>
                <w:sz w:val="16"/>
                <w:szCs w:val="16"/>
                <w:lang w:eastAsia="ko-KR"/>
              </w:rPr>
            </w:pPr>
            <w:r w:rsidRPr="00F51109">
              <w:rPr>
                <w:color w:val="000000"/>
                <w:sz w:val="16"/>
                <w:szCs w:val="16"/>
                <w:lang w:eastAsia="ko-KR"/>
              </w:rPr>
              <w:t>8,847</w:t>
            </w:r>
          </w:p>
        </w:tc>
        <w:tc>
          <w:tcPr>
            <w:tcW w:w="964" w:type="dxa"/>
            <w:gridSpan w:val="3"/>
            <w:tcBorders>
              <w:top w:val="nil"/>
              <w:left w:val="nil"/>
              <w:bottom w:val="nil"/>
              <w:right w:val="nil"/>
            </w:tcBorders>
            <w:shd w:val="clear" w:color="auto" w:fill="auto"/>
            <w:vAlign w:val="bottom"/>
            <w:hideMark/>
          </w:tcPr>
          <w:p w14:paraId="1560DE0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8,936</w:t>
            </w:r>
          </w:p>
        </w:tc>
        <w:tc>
          <w:tcPr>
            <w:tcW w:w="964" w:type="dxa"/>
            <w:gridSpan w:val="3"/>
            <w:tcBorders>
              <w:top w:val="nil"/>
              <w:left w:val="nil"/>
              <w:bottom w:val="nil"/>
              <w:right w:val="nil"/>
            </w:tcBorders>
            <w:shd w:val="clear" w:color="auto" w:fill="auto"/>
            <w:vAlign w:val="bottom"/>
            <w:hideMark/>
          </w:tcPr>
          <w:p w14:paraId="4032BA5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9,065</w:t>
            </w:r>
          </w:p>
        </w:tc>
        <w:tc>
          <w:tcPr>
            <w:tcW w:w="964" w:type="dxa"/>
            <w:tcBorders>
              <w:top w:val="nil"/>
              <w:left w:val="nil"/>
              <w:bottom w:val="nil"/>
              <w:right w:val="nil"/>
            </w:tcBorders>
            <w:shd w:val="clear" w:color="auto" w:fill="auto"/>
            <w:vAlign w:val="bottom"/>
            <w:hideMark/>
          </w:tcPr>
          <w:p w14:paraId="75226DFE"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9,250</w:t>
            </w:r>
          </w:p>
        </w:tc>
      </w:tr>
      <w:tr w:rsidR="00C95312" w:rsidRPr="00F51109" w14:paraId="08E35FA6"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475895F6" w14:textId="77777777" w:rsidR="00C95312" w:rsidRPr="00F51109" w:rsidRDefault="00C95312" w:rsidP="00E85896">
            <w:pPr>
              <w:rPr>
                <w:color w:val="000000"/>
                <w:sz w:val="16"/>
                <w:szCs w:val="16"/>
                <w:lang w:eastAsia="ko-KR"/>
              </w:rPr>
            </w:pPr>
            <w:r w:rsidRPr="00F51109">
              <w:rPr>
                <w:color w:val="000000"/>
                <w:sz w:val="16"/>
                <w:szCs w:val="16"/>
                <w:lang w:eastAsia="ko-KR"/>
              </w:rPr>
              <w:t>Contract Liabilities</w:t>
            </w:r>
          </w:p>
        </w:tc>
        <w:tc>
          <w:tcPr>
            <w:tcW w:w="964" w:type="dxa"/>
            <w:tcBorders>
              <w:top w:val="nil"/>
              <w:left w:val="nil"/>
              <w:bottom w:val="nil"/>
              <w:right w:val="nil"/>
            </w:tcBorders>
            <w:shd w:val="clear" w:color="auto" w:fill="auto"/>
            <w:vAlign w:val="bottom"/>
            <w:hideMark/>
          </w:tcPr>
          <w:p w14:paraId="2C7DCDA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934</w:t>
            </w:r>
          </w:p>
        </w:tc>
        <w:tc>
          <w:tcPr>
            <w:tcW w:w="964" w:type="dxa"/>
            <w:tcBorders>
              <w:top w:val="nil"/>
              <w:left w:val="nil"/>
              <w:bottom w:val="nil"/>
              <w:right w:val="nil"/>
            </w:tcBorders>
            <w:shd w:val="clear" w:color="auto" w:fill="auto"/>
            <w:vAlign w:val="bottom"/>
            <w:hideMark/>
          </w:tcPr>
          <w:p w14:paraId="7146ED28" w14:textId="77777777" w:rsidR="00C95312" w:rsidRPr="00F51109" w:rsidRDefault="00C95312" w:rsidP="00E85896">
            <w:pPr>
              <w:jc w:val="right"/>
              <w:rPr>
                <w:color w:val="000000"/>
                <w:sz w:val="16"/>
                <w:szCs w:val="16"/>
                <w:lang w:eastAsia="ko-KR"/>
              </w:rPr>
            </w:pPr>
            <w:r w:rsidRPr="00F51109">
              <w:rPr>
                <w:color w:val="000000"/>
                <w:sz w:val="16"/>
                <w:szCs w:val="16"/>
                <w:lang w:eastAsia="ko-KR"/>
              </w:rPr>
              <w:t>763</w:t>
            </w:r>
          </w:p>
        </w:tc>
        <w:tc>
          <w:tcPr>
            <w:tcW w:w="964" w:type="dxa"/>
            <w:tcBorders>
              <w:top w:val="nil"/>
              <w:left w:val="nil"/>
              <w:bottom w:val="nil"/>
              <w:right w:val="nil"/>
            </w:tcBorders>
            <w:shd w:val="clear" w:color="auto" w:fill="auto"/>
            <w:vAlign w:val="bottom"/>
            <w:hideMark/>
          </w:tcPr>
          <w:p w14:paraId="49051CE7" w14:textId="77777777" w:rsidR="00C95312" w:rsidRPr="00F51109" w:rsidRDefault="00C95312" w:rsidP="00E85896">
            <w:pPr>
              <w:jc w:val="right"/>
              <w:rPr>
                <w:color w:val="000000"/>
                <w:sz w:val="16"/>
                <w:szCs w:val="16"/>
                <w:lang w:eastAsia="ko-KR"/>
              </w:rPr>
            </w:pPr>
            <w:r w:rsidRPr="00F51109">
              <w:rPr>
                <w:color w:val="000000"/>
                <w:sz w:val="16"/>
                <w:szCs w:val="16"/>
                <w:lang w:eastAsia="ko-KR"/>
              </w:rPr>
              <w:t>759</w:t>
            </w:r>
          </w:p>
        </w:tc>
        <w:tc>
          <w:tcPr>
            <w:tcW w:w="964" w:type="dxa"/>
            <w:gridSpan w:val="3"/>
            <w:tcBorders>
              <w:top w:val="nil"/>
              <w:left w:val="nil"/>
              <w:bottom w:val="nil"/>
              <w:right w:val="nil"/>
            </w:tcBorders>
            <w:shd w:val="clear" w:color="auto" w:fill="auto"/>
            <w:vAlign w:val="bottom"/>
            <w:hideMark/>
          </w:tcPr>
          <w:p w14:paraId="6432B00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751</w:t>
            </w:r>
          </w:p>
        </w:tc>
        <w:tc>
          <w:tcPr>
            <w:tcW w:w="964" w:type="dxa"/>
            <w:gridSpan w:val="3"/>
            <w:tcBorders>
              <w:top w:val="nil"/>
              <w:left w:val="nil"/>
              <w:bottom w:val="nil"/>
              <w:right w:val="nil"/>
            </w:tcBorders>
            <w:shd w:val="clear" w:color="auto" w:fill="auto"/>
            <w:vAlign w:val="bottom"/>
            <w:hideMark/>
          </w:tcPr>
          <w:p w14:paraId="079885F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752</w:t>
            </w:r>
          </w:p>
        </w:tc>
        <w:tc>
          <w:tcPr>
            <w:tcW w:w="964" w:type="dxa"/>
            <w:tcBorders>
              <w:top w:val="nil"/>
              <w:left w:val="nil"/>
              <w:bottom w:val="nil"/>
              <w:right w:val="nil"/>
            </w:tcBorders>
            <w:shd w:val="clear" w:color="auto" w:fill="auto"/>
            <w:vAlign w:val="bottom"/>
            <w:hideMark/>
          </w:tcPr>
          <w:p w14:paraId="0157304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754</w:t>
            </w:r>
          </w:p>
        </w:tc>
      </w:tr>
      <w:tr w:rsidR="00C95312" w:rsidRPr="00F51109" w14:paraId="09CE7FD2"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15D9069A" w14:textId="77777777" w:rsidR="00C95312" w:rsidRPr="00F51109" w:rsidRDefault="00C95312" w:rsidP="00E85896">
            <w:pPr>
              <w:rPr>
                <w:color w:val="000000"/>
                <w:sz w:val="16"/>
                <w:szCs w:val="16"/>
                <w:lang w:eastAsia="ko-KR"/>
              </w:rPr>
            </w:pPr>
            <w:r w:rsidRPr="00F51109">
              <w:rPr>
                <w:color w:val="000000"/>
                <w:sz w:val="16"/>
                <w:szCs w:val="16"/>
                <w:lang w:eastAsia="ko-KR"/>
              </w:rPr>
              <w:t>Borrowings and Derivatives at Fair Value</w:t>
            </w:r>
          </w:p>
        </w:tc>
        <w:tc>
          <w:tcPr>
            <w:tcW w:w="964" w:type="dxa"/>
            <w:tcBorders>
              <w:top w:val="nil"/>
              <w:left w:val="nil"/>
              <w:bottom w:val="nil"/>
              <w:right w:val="nil"/>
            </w:tcBorders>
            <w:shd w:val="clear" w:color="auto" w:fill="auto"/>
            <w:vAlign w:val="bottom"/>
            <w:hideMark/>
          </w:tcPr>
          <w:p w14:paraId="41DEEFC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212</w:t>
            </w:r>
          </w:p>
        </w:tc>
        <w:tc>
          <w:tcPr>
            <w:tcW w:w="964" w:type="dxa"/>
            <w:tcBorders>
              <w:top w:val="nil"/>
              <w:left w:val="nil"/>
              <w:bottom w:val="nil"/>
              <w:right w:val="nil"/>
            </w:tcBorders>
            <w:shd w:val="clear" w:color="auto" w:fill="auto"/>
            <w:vAlign w:val="bottom"/>
            <w:hideMark/>
          </w:tcPr>
          <w:p w14:paraId="20A0FBAC"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w:t>
            </w:r>
          </w:p>
        </w:tc>
        <w:tc>
          <w:tcPr>
            <w:tcW w:w="964" w:type="dxa"/>
            <w:tcBorders>
              <w:top w:val="nil"/>
              <w:left w:val="nil"/>
              <w:bottom w:val="nil"/>
              <w:right w:val="nil"/>
            </w:tcBorders>
            <w:shd w:val="clear" w:color="auto" w:fill="auto"/>
            <w:vAlign w:val="bottom"/>
            <w:hideMark/>
          </w:tcPr>
          <w:p w14:paraId="5AE3BFF6" w14:textId="77777777" w:rsidR="00C95312" w:rsidRPr="00F51109" w:rsidRDefault="00C95312" w:rsidP="00E85896">
            <w:pPr>
              <w:jc w:val="right"/>
              <w:rPr>
                <w:color w:val="000000"/>
                <w:sz w:val="16"/>
                <w:szCs w:val="16"/>
                <w:lang w:eastAsia="ko-KR"/>
              </w:rPr>
            </w:pPr>
            <w:r w:rsidRPr="00F51109">
              <w:rPr>
                <w:color w:val="000000"/>
                <w:sz w:val="16"/>
                <w:szCs w:val="16"/>
                <w:lang w:eastAsia="ko-KR"/>
              </w:rPr>
              <w:t>11</w:t>
            </w:r>
          </w:p>
        </w:tc>
        <w:tc>
          <w:tcPr>
            <w:tcW w:w="964" w:type="dxa"/>
            <w:gridSpan w:val="3"/>
            <w:tcBorders>
              <w:top w:val="nil"/>
              <w:left w:val="nil"/>
              <w:bottom w:val="nil"/>
              <w:right w:val="nil"/>
            </w:tcBorders>
            <w:shd w:val="clear" w:color="auto" w:fill="auto"/>
            <w:vAlign w:val="bottom"/>
            <w:hideMark/>
          </w:tcPr>
          <w:p w14:paraId="6E482F5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11</w:t>
            </w:r>
          </w:p>
        </w:tc>
        <w:tc>
          <w:tcPr>
            <w:tcW w:w="964" w:type="dxa"/>
            <w:gridSpan w:val="3"/>
            <w:tcBorders>
              <w:top w:val="nil"/>
              <w:left w:val="nil"/>
              <w:bottom w:val="nil"/>
              <w:right w:val="nil"/>
            </w:tcBorders>
            <w:shd w:val="clear" w:color="auto" w:fill="auto"/>
            <w:vAlign w:val="bottom"/>
            <w:hideMark/>
          </w:tcPr>
          <w:p w14:paraId="624CD07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11</w:t>
            </w:r>
          </w:p>
        </w:tc>
        <w:tc>
          <w:tcPr>
            <w:tcW w:w="964" w:type="dxa"/>
            <w:tcBorders>
              <w:top w:val="nil"/>
              <w:left w:val="nil"/>
              <w:bottom w:val="nil"/>
              <w:right w:val="nil"/>
            </w:tcBorders>
            <w:shd w:val="clear" w:color="auto" w:fill="auto"/>
            <w:vAlign w:val="bottom"/>
            <w:hideMark/>
          </w:tcPr>
          <w:p w14:paraId="37E5E6A8"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11</w:t>
            </w:r>
          </w:p>
        </w:tc>
      </w:tr>
      <w:tr w:rsidR="00C95312" w:rsidRPr="00F51109" w14:paraId="6357C0D0"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520A4506" w14:textId="77777777" w:rsidR="00C95312" w:rsidRPr="00F51109" w:rsidRDefault="00C95312" w:rsidP="00E85896">
            <w:pPr>
              <w:rPr>
                <w:color w:val="000000"/>
                <w:sz w:val="16"/>
                <w:szCs w:val="16"/>
                <w:lang w:eastAsia="ko-KR"/>
              </w:rPr>
            </w:pPr>
            <w:r w:rsidRPr="00F51109">
              <w:rPr>
                <w:color w:val="000000"/>
                <w:sz w:val="16"/>
                <w:szCs w:val="16"/>
                <w:lang w:eastAsia="ko-KR"/>
              </w:rPr>
              <w:t>Borrowings at Amortised Cost</w:t>
            </w:r>
          </w:p>
        </w:tc>
        <w:tc>
          <w:tcPr>
            <w:tcW w:w="964" w:type="dxa"/>
            <w:tcBorders>
              <w:top w:val="nil"/>
              <w:left w:val="nil"/>
              <w:bottom w:val="nil"/>
              <w:right w:val="nil"/>
            </w:tcBorders>
            <w:shd w:val="clear" w:color="auto" w:fill="auto"/>
            <w:vAlign w:val="bottom"/>
            <w:hideMark/>
          </w:tcPr>
          <w:p w14:paraId="6F06D7A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90,133</w:t>
            </w:r>
          </w:p>
        </w:tc>
        <w:tc>
          <w:tcPr>
            <w:tcW w:w="964" w:type="dxa"/>
            <w:tcBorders>
              <w:top w:val="nil"/>
              <w:left w:val="nil"/>
              <w:bottom w:val="nil"/>
              <w:right w:val="nil"/>
            </w:tcBorders>
            <w:shd w:val="clear" w:color="auto" w:fill="auto"/>
            <w:vAlign w:val="bottom"/>
            <w:hideMark/>
          </w:tcPr>
          <w:p w14:paraId="748D52FA" w14:textId="77777777" w:rsidR="00C95312" w:rsidRPr="00F51109" w:rsidRDefault="00C95312" w:rsidP="00E85896">
            <w:pPr>
              <w:jc w:val="right"/>
              <w:rPr>
                <w:color w:val="000000"/>
                <w:sz w:val="16"/>
                <w:szCs w:val="16"/>
                <w:lang w:eastAsia="ko-KR"/>
              </w:rPr>
            </w:pPr>
            <w:r w:rsidRPr="00F51109">
              <w:rPr>
                <w:color w:val="000000"/>
                <w:sz w:val="16"/>
                <w:szCs w:val="16"/>
                <w:lang w:eastAsia="ko-KR"/>
              </w:rPr>
              <w:t>105,621</w:t>
            </w:r>
          </w:p>
        </w:tc>
        <w:tc>
          <w:tcPr>
            <w:tcW w:w="964" w:type="dxa"/>
            <w:tcBorders>
              <w:top w:val="nil"/>
              <w:left w:val="nil"/>
              <w:bottom w:val="nil"/>
              <w:right w:val="nil"/>
            </w:tcBorders>
            <w:shd w:val="clear" w:color="auto" w:fill="auto"/>
            <w:vAlign w:val="bottom"/>
            <w:hideMark/>
          </w:tcPr>
          <w:p w14:paraId="6CB52B24" w14:textId="77777777" w:rsidR="00C95312" w:rsidRPr="00F51109" w:rsidRDefault="00C95312" w:rsidP="00E85896">
            <w:pPr>
              <w:jc w:val="right"/>
              <w:rPr>
                <w:color w:val="000000"/>
                <w:sz w:val="16"/>
                <w:szCs w:val="16"/>
                <w:lang w:eastAsia="ko-KR"/>
              </w:rPr>
            </w:pPr>
            <w:r w:rsidRPr="00F51109">
              <w:rPr>
                <w:color w:val="000000"/>
                <w:sz w:val="16"/>
                <w:szCs w:val="16"/>
                <w:lang w:eastAsia="ko-KR"/>
              </w:rPr>
              <w:t>128,131</w:t>
            </w:r>
          </w:p>
        </w:tc>
        <w:tc>
          <w:tcPr>
            <w:tcW w:w="964" w:type="dxa"/>
            <w:gridSpan w:val="3"/>
            <w:tcBorders>
              <w:top w:val="nil"/>
              <w:left w:val="nil"/>
              <w:bottom w:val="nil"/>
              <w:right w:val="nil"/>
            </w:tcBorders>
            <w:shd w:val="clear" w:color="auto" w:fill="auto"/>
            <w:vAlign w:val="bottom"/>
            <w:hideMark/>
          </w:tcPr>
          <w:p w14:paraId="7D44FAB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148,338</w:t>
            </w:r>
          </w:p>
        </w:tc>
        <w:tc>
          <w:tcPr>
            <w:tcW w:w="964" w:type="dxa"/>
            <w:gridSpan w:val="3"/>
            <w:tcBorders>
              <w:top w:val="nil"/>
              <w:left w:val="nil"/>
              <w:bottom w:val="nil"/>
              <w:right w:val="nil"/>
            </w:tcBorders>
            <w:shd w:val="clear" w:color="auto" w:fill="auto"/>
            <w:vAlign w:val="bottom"/>
            <w:hideMark/>
          </w:tcPr>
          <w:p w14:paraId="5A522075"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165,411</w:t>
            </w:r>
          </w:p>
        </w:tc>
        <w:tc>
          <w:tcPr>
            <w:tcW w:w="964" w:type="dxa"/>
            <w:tcBorders>
              <w:top w:val="nil"/>
              <w:left w:val="nil"/>
              <w:bottom w:val="nil"/>
              <w:right w:val="nil"/>
            </w:tcBorders>
            <w:shd w:val="clear" w:color="auto" w:fill="auto"/>
            <w:vAlign w:val="bottom"/>
            <w:hideMark/>
          </w:tcPr>
          <w:p w14:paraId="1BB3FF5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182,191</w:t>
            </w:r>
          </w:p>
        </w:tc>
      </w:tr>
      <w:tr w:rsidR="00C95312" w:rsidRPr="00F51109" w14:paraId="6FD7C6A0"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388CD058" w14:textId="77777777" w:rsidR="00C95312" w:rsidRPr="00F51109" w:rsidRDefault="00C95312" w:rsidP="00E85896">
            <w:pPr>
              <w:rPr>
                <w:color w:val="000000"/>
                <w:sz w:val="16"/>
                <w:szCs w:val="16"/>
                <w:lang w:eastAsia="ko-KR"/>
              </w:rPr>
            </w:pPr>
            <w:r w:rsidRPr="00F51109">
              <w:rPr>
                <w:color w:val="000000"/>
                <w:sz w:val="16"/>
                <w:szCs w:val="16"/>
                <w:lang w:eastAsia="ko-KR"/>
              </w:rPr>
              <w:t>Advances Received</w:t>
            </w:r>
          </w:p>
        </w:tc>
        <w:tc>
          <w:tcPr>
            <w:tcW w:w="964" w:type="dxa"/>
            <w:tcBorders>
              <w:top w:val="nil"/>
              <w:left w:val="nil"/>
              <w:bottom w:val="nil"/>
              <w:right w:val="nil"/>
            </w:tcBorders>
            <w:shd w:val="clear" w:color="auto" w:fill="auto"/>
            <w:vAlign w:val="bottom"/>
            <w:hideMark/>
          </w:tcPr>
          <w:p w14:paraId="0D217F36"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625</w:t>
            </w:r>
          </w:p>
        </w:tc>
        <w:tc>
          <w:tcPr>
            <w:tcW w:w="964" w:type="dxa"/>
            <w:tcBorders>
              <w:top w:val="nil"/>
              <w:left w:val="nil"/>
              <w:bottom w:val="nil"/>
              <w:right w:val="nil"/>
            </w:tcBorders>
            <w:shd w:val="clear" w:color="auto" w:fill="auto"/>
            <w:vAlign w:val="bottom"/>
            <w:hideMark/>
          </w:tcPr>
          <w:p w14:paraId="5919F9C8" w14:textId="77777777" w:rsidR="00C95312" w:rsidRPr="00F51109" w:rsidRDefault="00C95312" w:rsidP="00E85896">
            <w:pPr>
              <w:jc w:val="right"/>
              <w:rPr>
                <w:color w:val="000000"/>
                <w:sz w:val="16"/>
                <w:szCs w:val="16"/>
                <w:lang w:eastAsia="ko-KR"/>
              </w:rPr>
            </w:pPr>
            <w:r w:rsidRPr="00F51109">
              <w:rPr>
                <w:color w:val="000000"/>
                <w:sz w:val="16"/>
                <w:szCs w:val="16"/>
                <w:lang w:eastAsia="ko-KR"/>
              </w:rPr>
              <w:t>554</w:t>
            </w:r>
          </w:p>
        </w:tc>
        <w:tc>
          <w:tcPr>
            <w:tcW w:w="964" w:type="dxa"/>
            <w:tcBorders>
              <w:top w:val="nil"/>
              <w:left w:val="nil"/>
              <w:bottom w:val="nil"/>
              <w:right w:val="nil"/>
            </w:tcBorders>
            <w:shd w:val="clear" w:color="auto" w:fill="auto"/>
            <w:vAlign w:val="bottom"/>
            <w:hideMark/>
          </w:tcPr>
          <w:p w14:paraId="54904C37" w14:textId="77777777" w:rsidR="00C95312" w:rsidRPr="00F51109" w:rsidRDefault="00C95312" w:rsidP="00E85896">
            <w:pPr>
              <w:jc w:val="right"/>
              <w:rPr>
                <w:color w:val="000000"/>
                <w:sz w:val="16"/>
                <w:szCs w:val="16"/>
                <w:lang w:eastAsia="ko-KR"/>
              </w:rPr>
            </w:pPr>
            <w:r w:rsidRPr="00F51109">
              <w:rPr>
                <w:color w:val="000000"/>
                <w:sz w:val="16"/>
                <w:szCs w:val="16"/>
                <w:lang w:eastAsia="ko-KR"/>
              </w:rPr>
              <w:t>501</w:t>
            </w:r>
          </w:p>
        </w:tc>
        <w:tc>
          <w:tcPr>
            <w:tcW w:w="964" w:type="dxa"/>
            <w:gridSpan w:val="3"/>
            <w:tcBorders>
              <w:top w:val="nil"/>
              <w:left w:val="nil"/>
              <w:bottom w:val="nil"/>
              <w:right w:val="nil"/>
            </w:tcBorders>
            <w:shd w:val="clear" w:color="auto" w:fill="auto"/>
            <w:vAlign w:val="bottom"/>
            <w:hideMark/>
          </w:tcPr>
          <w:p w14:paraId="3EC8BCA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452</w:t>
            </w:r>
          </w:p>
        </w:tc>
        <w:tc>
          <w:tcPr>
            <w:tcW w:w="964" w:type="dxa"/>
            <w:gridSpan w:val="3"/>
            <w:tcBorders>
              <w:top w:val="nil"/>
              <w:left w:val="nil"/>
              <w:bottom w:val="nil"/>
              <w:right w:val="nil"/>
            </w:tcBorders>
            <w:shd w:val="clear" w:color="auto" w:fill="auto"/>
            <w:vAlign w:val="bottom"/>
            <w:hideMark/>
          </w:tcPr>
          <w:p w14:paraId="35FA81B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401</w:t>
            </w:r>
          </w:p>
        </w:tc>
        <w:tc>
          <w:tcPr>
            <w:tcW w:w="964" w:type="dxa"/>
            <w:tcBorders>
              <w:top w:val="nil"/>
              <w:left w:val="nil"/>
              <w:bottom w:val="nil"/>
              <w:right w:val="nil"/>
            </w:tcBorders>
            <w:shd w:val="clear" w:color="auto" w:fill="auto"/>
            <w:vAlign w:val="bottom"/>
            <w:hideMark/>
          </w:tcPr>
          <w:p w14:paraId="664E95D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360</w:t>
            </w:r>
          </w:p>
        </w:tc>
      </w:tr>
      <w:tr w:rsidR="00C95312" w:rsidRPr="00F51109" w14:paraId="6D447A97"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43EBE0AF" w14:textId="77777777" w:rsidR="00C95312" w:rsidRPr="00F51109" w:rsidRDefault="00C95312" w:rsidP="00E85896">
            <w:pPr>
              <w:rPr>
                <w:color w:val="000000"/>
                <w:sz w:val="16"/>
                <w:szCs w:val="16"/>
                <w:lang w:eastAsia="ko-KR"/>
              </w:rPr>
            </w:pPr>
            <w:r w:rsidRPr="00F51109">
              <w:rPr>
                <w:color w:val="000000"/>
                <w:sz w:val="16"/>
                <w:szCs w:val="16"/>
                <w:lang w:eastAsia="ko-KR"/>
              </w:rPr>
              <w:t>Employee Provisions</w:t>
            </w:r>
          </w:p>
        </w:tc>
        <w:tc>
          <w:tcPr>
            <w:tcW w:w="964" w:type="dxa"/>
            <w:tcBorders>
              <w:top w:val="nil"/>
              <w:left w:val="nil"/>
              <w:bottom w:val="nil"/>
              <w:right w:val="nil"/>
            </w:tcBorders>
            <w:shd w:val="clear" w:color="auto" w:fill="auto"/>
            <w:vAlign w:val="bottom"/>
            <w:hideMark/>
          </w:tcPr>
          <w:p w14:paraId="4B177D74"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23,386</w:t>
            </w:r>
          </w:p>
        </w:tc>
        <w:tc>
          <w:tcPr>
            <w:tcW w:w="964" w:type="dxa"/>
            <w:tcBorders>
              <w:top w:val="nil"/>
              <w:left w:val="nil"/>
              <w:bottom w:val="nil"/>
              <w:right w:val="nil"/>
            </w:tcBorders>
            <w:shd w:val="clear" w:color="auto" w:fill="auto"/>
            <w:vAlign w:val="bottom"/>
            <w:hideMark/>
          </w:tcPr>
          <w:p w14:paraId="5F34A9D9" w14:textId="77777777" w:rsidR="00C95312" w:rsidRPr="00F51109" w:rsidRDefault="00C95312" w:rsidP="00E85896">
            <w:pPr>
              <w:jc w:val="right"/>
              <w:rPr>
                <w:color w:val="000000"/>
                <w:sz w:val="16"/>
                <w:szCs w:val="16"/>
                <w:lang w:eastAsia="ko-KR"/>
              </w:rPr>
            </w:pPr>
            <w:r w:rsidRPr="00F51109">
              <w:rPr>
                <w:color w:val="000000"/>
                <w:sz w:val="16"/>
                <w:szCs w:val="16"/>
                <w:lang w:eastAsia="ko-KR"/>
              </w:rPr>
              <w:t>23,676</w:t>
            </w:r>
          </w:p>
        </w:tc>
        <w:tc>
          <w:tcPr>
            <w:tcW w:w="964" w:type="dxa"/>
            <w:tcBorders>
              <w:top w:val="nil"/>
              <w:left w:val="nil"/>
              <w:bottom w:val="nil"/>
              <w:right w:val="nil"/>
            </w:tcBorders>
            <w:shd w:val="clear" w:color="auto" w:fill="auto"/>
            <w:vAlign w:val="bottom"/>
            <w:hideMark/>
          </w:tcPr>
          <w:p w14:paraId="0264DA74" w14:textId="77777777" w:rsidR="00C95312" w:rsidRPr="00F51109" w:rsidRDefault="00C95312" w:rsidP="00E85896">
            <w:pPr>
              <w:jc w:val="right"/>
              <w:rPr>
                <w:color w:val="000000"/>
                <w:sz w:val="16"/>
                <w:szCs w:val="16"/>
                <w:lang w:eastAsia="ko-KR"/>
              </w:rPr>
            </w:pPr>
            <w:r w:rsidRPr="00F51109">
              <w:rPr>
                <w:color w:val="000000"/>
                <w:sz w:val="16"/>
                <w:szCs w:val="16"/>
                <w:lang w:eastAsia="ko-KR"/>
              </w:rPr>
              <w:t>24,715</w:t>
            </w:r>
          </w:p>
        </w:tc>
        <w:tc>
          <w:tcPr>
            <w:tcW w:w="964" w:type="dxa"/>
            <w:gridSpan w:val="3"/>
            <w:tcBorders>
              <w:top w:val="nil"/>
              <w:left w:val="nil"/>
              <w:bottom w:val="nil"/>
              <w:right w:val="nil"/>
            </w:tcBorders>
            <w:shd w:val="clear" w:color="auto" w:fill="auto"/>
            <w:vAlign w:val="bottom"/>
            <w:hideMark/>
          </w:tcPr>
          <w:p w14:paraId="721D47D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25,554</w:t>
            </w:r>
          </w:p>
        </w:tc>
        <w:tc>
          <w:tcPr>
            <w:tcW w:w="964" w:type="dxa"/>
            <w:gridSpan w:val="3"/>
            <w:tcBorders>
              <w:top w:val="nil"/>
              <w:left w:val="nil"/>
              <w:bottom w:val="nil"/>
              <w:right w:val="nil"/>
            </w:tcBorders>
            <w:shd w:val="clear" w:color="auto" w:fill="auto"/>
            <w:vAlign w:val="bottom"/>
            <w:hideMark/>
          </w:tcPr>
          <w:p w14:paraId="6859E9A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26,330</w:t>
            </w:r>
          </w:p>
        </w:tc>
        <w:tc>
          <w:tcPr>
            <w:tcW w:w="964" w:type="dxa"/>
            <w:tcBorders>
              <w:top w:val="nil"/>
              <w:left w:val="nil"/>
              <w:bottom w:val="nil"/>
              <w:right w:val="nil"/>
            </w:tcBorders>
            <w:shd w:val="clear" w:color="auto" w:fill="auto"/>
            <w:vAlign w:val="bottom"/>
            <w:hideMark/>
          </w:tcPr>
          <w:p w14:paraId="5C66C29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27,317</w:t>
            </w:r>
          </w:p>
        </w:tc>
      </w:tr>
      <w:tr w:rsidR="00C95312" w:rsidRPr="00F51109" w14:paraId="5E595E0A"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771FDB3A" w14:textId="77777777" w:rsidR="00C95312" w:rsidRPr="00F51109" w:rsidRDefault="00C95312" w:rsidP="00E85896">
            <w:pPr>
              <w:rPr>
                <w:color w:val="000000"/>
                <w:sz w:val="16"/>
                <w:szCs w:val="16"/>
                <w:lang w:eastAsia="ko-KR"/>
              </w:rPr>
            </w:pPr>
            <w:r w:rsidRPr="00F51109">
              <w:rPr>
                <w:color w:val="000000"/>
                <w:sz w:val="16"/>
                <w:szCs w:val="16"/>
                <w:lang w:eastAsia="ko-KR"/>
              </w:rPr>
              <w:t>Superannuation Provision</w:t>
            </w:r>
            <w:r w:rsidRPr="00F51109">
              <w:rPr>
                <w:color w:val="000000"/>
                <w:sz w:val="16"/>
                <w:szCs w:val="16"/>
                <w:vertAlign w:val="superscript"/>
                <w:lang w:eastAsia="ko-KR"/>
              </w:rPr>
              <w:t>(a)</w:t>
            </w:r>
          </w:p>
        </w:tc>
        <w:tc>
          <w:tcPr>
            <w:tcW w:w="964" w:type="dxa"/>
            <w:tcBorders>
              <w:top w:val="nil"/>
              <w:left w:val="nil"/>
              <w:bottom w:val="nil"/>
              <w:right w:val="nil"/>
            </w:tcBorders>
            <w:shd w:val="clear" w:color="auto" w:fill="auto"/>
            <w:vAlign w:val="bottom"/>
            <w:hideMark/>
          </w:tcPr>
          <w:p w14:paraId="1C2A4153"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57,591</w:t>
            </w:r>
          </w:p>
        </w:tc>
        <w:tc>
          <w:tcPr>
            <w:tcW w:w="964" w:type="dxa"/>
            <w:tcBorders>
              <w:top w:val="nil"/>
              <w:left w:val="nil"/>
              <w:bottom w:val="nil"/>
              <w:right w:val="nil"/>
            </w:tcBorders>
            <w:shd w:val="clear" w:color="auto" w:fill="auto"/>
            <w:vAlign w:val="bottom"/>
            <w:hideMark/>
          </w:tcPr>
          <w:p w14:paraId="1C18CD5E" w14:textId="77777777" w:rsidR="00C95312" w:rsidRPr="00F51109" w:rsidRDefault="00C95312" w:rsidP="00E85896">
            <w:pPr>
              <w:jc w:val="right"/>
              <w:rPr>
                <w:color w:val="000000"/>
                <w:sz w:val="16"/>
                <w:szCs w:val="16"/>
                <w:lang w:eastAsia="ko-KR"/>
              </w:rPr>
            </w:pPr>
            <w:r w:rsidRPr="00F51109">
              <w:rPr>
                <w:color w:val="000000"/>
                <w:sz w:val="16"/>
                <w:szCs w:val="16"/>
                <w:lang w:eastAsia="ko-KR"/>
              </w:rPr>
              <w:t>45,002</w:t>
            </w:r>
          </w:p>
        </w:tc>
        <w:tc>
          <w:tcPr>
            <w:tcW w:w="964" w:type="dxa"/>
            <w:tcBorders>
              <w:top w:val="nil"/>
              <w:left w:val="nil"/>
              <w:bottom w:val="nil"/>
              <w:right w:val="nil"/>
            </w:tcBorders>
            <w:shd w:val="clear" w:color="auto" w:fill="auto"/>
            <w:vAlign w:val="bottom"/>
            <w:hideMark/>
          </w:tcPr>
          <w:p w14:paraId="7E8B5C2C" w14:textId="77777777" w:rsidR="00C95312" w:rsidRPr="00F51109" w:rsidRDefault="00C95312" w:rsidP="00E85896">
            <w:pPr>
              <w:jc w:val="right"/>
              <w:rPr>
                <w:color w:val="000000"/>
                <w:sz w:val="16"/>
                <w:szCs w:val="16"/>
                <w:lang w:eastAsia="ko-KR"/>
              </w:rPr>
            </w:pPr>
            <w:r w:rsidRPr="00F51109">
              <w:rPr>
                <w:color w:val="000000"/>
                <w:sz w:val="16"/>
                <w:szCs w:val="16"/>
                <w:lang w:eastAsia="ko-KR"/>
              </w:rPr>
              <w:t>45,234</w:t>
            </w:r>
          </w:p>
        </w:tc>
        <w:tc>
          <w:tcPr>
            <w:tcW w:w="964" w:type="dxa"/>
            <w:gridSpan w:val="3"/>
            <w:tcBorders>
              <w:top w:val="nil"/>
              <w:left w:val="nil"/>
              <w:bottom w:val="nil"/>
              <w:right w:val="nil"/>
            </w:tcBorders>
            <w:shd w:val="clear" w:color="auto" w:fill="auto"/>
            <w:vAlign w:val="bottom"/>
            <w:hideMark/>
          </w:tcPr>
          <w:p w14:paraId="435BF9B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44,520</w:t>
            </w:r>
          </w:p>
        </w:tc>
        <w:tc>
          <w:tcPr>
            <w:tcW w:w="964" w:type="dxa"/>
            <w:gridSpan w:val="3"/>
            <w:tcBorders>
              <w:top w:val="nil"/>
              <w:left w:val="nil"/>
              <w:bottom w:val="nil"/>
              <w:right w:val="nil"/>
            </w:tcBorders>
            <w:shd w:val="clear" w:color="auto" w:fill="auto"/>
            <w:vAlign w:val="bottom"/>
            <w:hideMark/>
          </w:tcPr>
          <w:p w14:paraId="3A87094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43,744</w:t>
            </w:r>
          </w:p>
        </w:tc>
        <w:tc>
          <w:tcPr>
            <w:tcW w:w="964" w:type="dxa"/>
            <w:tcBorders>
              <w:top w:val="nil"/>
              <w:left w:val="nil"/>
              <w:bottom w:val="nil"/>
              <w:right w:val="nil"/>
            </w:tcBorders>
            <w:shd w:val="clear" w:color="auto" w:fill="auto"/>
            <w:vAlign w:val="bottom"/>
            <w:hideMark/>
          </w:tcPr>
          <w:p w14:paraId="697C3DB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45,186</w:t>
            </w:r>
          </w:p>
        </w:tc>
      </w:tr>
      <w:tr w:rsidR="00C95312" w:rsidRPr="00F51109" w14:paraId="373BDEE1"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2579926E" w14:textId="77777777" w:rsidR="00C95312" w:rsidRPr="00F51109" w:rsidRDefault="00C95312" w:rsidP="00E85896">
            <w:pPr>
              <w:rPr>
                <w:color w:val="000000"/>
                <w:sz w:val="16"/>
                <w:szCs w:val="16"/>
                <w:lang w:eastAsia="ko-KR"/>
              </w:rPr>
            </w:pPr>
            <w:r w:rsidRPr="00F51109">
              <w:rPr>
                <w:color w:val="000000"/>
                <w:sz w:val="16"/>
                <w:szCs w:val="16"/>
                <w:lang w:eastAsia="ko-KR"/>
              </w:rPr>
              <w:t>Tax Equivalents Payable</w:t>
            </w:r>
          </w:p>
        </w:tc>
        <w:tc>
          <w:tcPr>
            <w:tcW w:w="964" w:type="dxa"/>
            <w:tcBorders>
              <w:top w:val="nil"/>
              <w:left w:val="nil"/>
              <w:bottom w:val="nil"/>
              <w:right w:val="nil"/>
            </w:tcBorders>
            <w:shd w:val="clear" w:color="auto" w:fill="auto"/>
            <w:vAlign w:val="bottom"/>
            <w:hideMark/>
          </w:tcPr>
          <w:p w14:paraId="43F355E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35</w:t>
            </w:r>
          </w:p>
        </w:tc>
        <w:tc>
          <w:tcPr>
            <w:tcW w:w="964" w:type="dxa"/>
            <w:tcBorders>
              <w:top w:val="nil"/>
              <w:left w:val="nil"/>
              <w:bottom w:val="nil"/>
              <w:right w:val="nil"/>
            </w:tcBorders>
            <w:shd w:val="clear" w:color="auto" w:fill="auto"/>
            <w:vAlign w:val="bottom"/>
            <w:hideMark/>
          </w:tcPr>
          <w:p w14:paraId="69339E37" w14:textId="77777777" w:rsidR="00C95312" w:rsidRPr="00F51109" w:rsidRDefault="00C95312" w:rsidP="00E85896">
            <w:pPr>
              <w:jc w:val="right"/>
              <w:rPr>
                <w:color w:val="000000"/>
                <w:sz w:val="16"/>
                <w:szCs w:val="16"/>
                <w:lang w:eastAsia="ko-KR"/>
              </w:rPr>
            </w:pPr>
            <w:r w:rsidRPr="00F51109">
              <w:rPr>
                <w:color w:val="000000"/>
                <w:sz w:val="16"/>
                <w:szCs w:val="16"/>
                <w:lang w:eastAsia="ko-KR"/>
              </w:rPr>
              <w:t>2</w:t>
            </w:r>
          </w:p>
        </w:tc>
        <w:tc>
          <w:tcPr>
            <w:tcW w:w="964" w:type="dxa"/>
            <w:tcBorders>
              <w:top w:val="nil"/>
              <w:left w:val="nil"/>
              <w:bottom w:val="nil"/>
              <w:right w:val="nil"/>
            </w:tcBorders>
            <w:shd w:val="clear" w:color="auto" w:fill="auto"/>
            <w:vAlign w:val="bottom"/>
            <w:hideMark/>
          </w:tcPr>
          <w:p w14:paraId="7C498443" w14:textId="77777777" w:rsidR="00C95312" w:rsidRPr="00F51109" w:rsidRDefault="00C95312" w:rsidP="00E85896">
            <w:pPr>
              <w:jc w:val="right"/>
              <w:rPr>
                <w:color w:val="000000"/>
                <w:sz w:val="16"/>
                <w:szCs w:val="16"/>
                <w:lang w:eastAsia="ko-KR"/>
              </w:rPr>
            </w:pPr>
            <w:r w:rsidRPr="00F51109">
              <w:rPr>
                <w:color w:val="000000"/>
                <w:sz w:val="16"/>
                <w:szCs w:val="16"/>
                <w:lang w:eastAsia="ko-KR"/>
              </w:rPr>
              <w:t>3</w:t>
            </w:r>
          </w:p>
        </w:tc>
        <w:tc>
          <w:tcPr>
            <w:tcW w:w="964" w:type="dxa"/>
            <w:gridSpan w:val="3"/>
            <w:tcBorders>
              <w:top w:val="nil"/>
              <w:left w:val="nil"/>
              <w:bottom w:val="nil"/>
              <w:right w:val="nil"/>
            </w:tcBorders>
            <w:shd w:val="clear" w:color="auto" w:fill="auto"/>
            <w:vAlign w:val="bottom"/>
            <w:hideMark/>
          </w:tcPr>
          <w:p w14:paraId="2B63E7D7"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0</w:t>
            </w:r>
          </w:p>
        </w:tc>
        <w:tc>
          <w:tcPr>
            <w:tcW w:w="964" w:type="dxa"/>
            <w:gridSpan w:val="3"/>
            <w:tcBorders>
              <w:top w:val="nil"/>
              <w:left w:val="nil"/>
              <w:bottom w:val="nil"/>
              <w:right w:val="nil"/>
            </w:tcBorders>
            <w:shd w:val="clear" w:color="auto" w:fill="auto"/>
            <w:vAlign w:val="bottom"/>
            <w:hideMark/>
          </w:tcPr>
          <w:p w14:paraId="32C1F35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0</w:t>
            </w:r>
          </w:p>
        </w:tc>
        <w:tc>
          <w:tcPr>
            <w:tcW w:w="964" w:type="dxa"/>
            <w:tcBorders>
              <w:top w:val="nil"/>
              <w:left w:val="nil"/>
              <w:bottom w:val="nil"/>
              <w:right w:val="nil"/>
            </w:tcBorders>
            <w:shd w:val="clear" w:color="auto" w:fill="auto"/>
            <w:vAlign w:val="bottom"/>
            <w:hideMark/>
          </w:tcPr>
          <w:p w14:paraId="55A1B223"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0</w:t>
            </w:r>
          </w:p>
        </w:tc>
      </w:tr>
      <w:tr w:rsidR="00C95312" w:rsidRPr="00F51109" w14:paraId="56E3F967"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0EE22260" w14:textId="5D8CE67D" w:rsidR="00C95312" w:rsidRPr="00F51109" w:rsidRDefault="00C95312" w:rsidP="00E85896">
            <w:pPr>
              <w:rPr>
                <w:color w:val="000000"/>
                <w:sz w:val="16"/>
                <w:szCs w:val="16"/>
                <w:lang w:eastAsia="ko-KR"/>
              </w:rPr>
            </w:pPr>
            <w:r w:rsidRPr="00F51109">
              <w:rPr>
                <w:color w:val="000000"/>
                <w:sz w:val="16"/>
                <w:szCs w:val="16"/>
                <w:lang w:eastAsia="ko-KR"/>
              </w:rPr>
              <w:t>Deferred Tax Equivalent Provision</w:t>
            </w:r>
          </w:p>
        </w:tc>
        <w:tc>
          <w:tcPr>
            <w:tcW w:w="964" w:type="dxa"/>
            <w:tcBorders>
              <w:top w:val="nil"/>
              <w:left w:val="nil"/>
              <w:bottom w:val="nil"/>
              <w:right w:val="nil"/>
            </w:tcBorders>
            <w:shd w:val="clear" w:color="auto" w:fill="auto"/>
            <w:vAlign w:val="bottom"/>
            <w:hideMark/>
          </w:tcPr>
          <w:p w14:paraId="144D7F0A"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50</w:t>
            </w:r>
          </w:p>
        </w:tc>
        <w:tc>
          <w:tcPr>
            <w:tcW w:w="964" w:type="dxa"/>
            <w:tcBorders>
              <w:top w:val="nil"/>
              <w:left w:val="nil"/>
              <w:bottom w:val="nil"/>
              <w:right w:val="nil"/>
            </w:tcBorders>
            <w:shd w:val="clear" w:color="auto" w:fill="auto"/>
            <w:vAlign w:val="bottom"/>
            <w:hideMark/>
          </w:tcPr>
          <w:p w14:paraId="7C0F6504" w14:textId="77777777" w:rsidR="00C95312" w:rsidRPr="00F51109" w:rsidRDefault="00C95312" w:rsidP="00E85896">
            <w:pPr>
              <w:jc w:val="right"/>
              <w:rPr>
                <w:color w:val="000000"/>
                <w:sz w:val="16"/>
                <w:szCs w:val="16"/>
                <w:lang w:eastAsia="ko-KR"/>
              </w:rPr>
            </w:pPr>
            <w:r w:rsidRPr="00F51109">
              <w:rPr>
                <w:color w:val="000000"/>
                <w:sz w:val="16"/>
                <w:szCs w:val="16"/>
                <w:lang w:eastAsia="ko-KR"/>
              </w:rPr>
              <w:t>50</w:t>
            </w:r>
          </w:p>
        </w:tc>
        <w:tc>
          <w:tcPr>
            <w:tcW w:w="964" w:type="dxa"/>
            <w:tcBorders>
              <w:top w:val="nil"/>
              <w:left w:val="nil"/>
              <w:bottom w:val="nil"/>
              <w:right w:val="nil"/>
            </w:tcBorders>
            <w:shd w:val="clear" w:color="auto" w:fill="auto"/>
            <w:vAlign w:val="bottom"/>
            <w:hideMark/>
          </w:tcPr>
          <w:p w14:paraId="75A3481B" w14:textId="77777777" w:rsidR="00C95312" w:rsidRPr="00F51109" w:rsidRDefault="00C95312" w:rsidP="00E85896">
            <w:pPr>
              <w:jc w:val="right"/>
              <w:rPr>
                <w:color w:val="000000"/>
                <w:sz w:val="16"/>
                <w:szCs w:val="16"/>
                <w:lang w:eastAsia="ko-KR"/>
              </w:rPr>
            </w:pPr>
            <w:r w:rsidRPr="00F51109">
              <w:rPr>
                <w:color w:val="000000"/>
                <w:sz w:val="16"/>
                <w:szCs w:val="16"/>
                <w:lang w:eastAsia="ko-KR"/>
              </w:rPr>
              <w:t>50</w:t>
            </w:r>
          </w:p>
        </w:tc>
        <w:tc>
          <w:tcPr>
            <w:tcW w:w="964" w:type="dxa"/>
            <w:gridSpan w:val="3"/>
            <w:tcBorders>
              <w:top w:val="nil"/>
              <w:left w:val="nil"/>
              <w:bottom w:val="nil"/>
              <w:right w:val="nil"/>
            </w:tcBorders>
            <w:shd w:val="clear" w:color="auto" w:fill="auto"/>
            <w:vAlign w:val="bottom"/>
            <w:hideMark/>
          </w:tcPr>
          <w:p w14:paraId="1412252E" w14:textId="2971F53B"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50</w:t>
            </w:r>
          </w:p>
        </w:tc>
        <w:tc>
          <w:tcPr>
            <w:tcW w:w="964" w:type="dxa"/>
            <w:gridSpan w:val="3"/>
            <w:tcBorders>
              <w:top w:val="nil"/>
              <w:left w:val="nil"/>
              <w:bottom w:val="nil"/>
              <w:right w:val="nil"/>
            </w:tcBorders>
            <w:shd w:val="clear" w:color="auto" w:fill="auto"/>
            <w:vAlign w:val="bottom"/>
            <w:hideMark/>
          </w:tcPr>
          <w:p w14:paraId="1729027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50</w:t>
            </w:r>
          </w:p>
        </w:tc>
        <w:tc>
          <w:tcPr>
            <w:tcW w:w="964" w:type="dxa"/>
            <w:tcBorders>
              <w:top w:val="nil"/>
              <w:left w:val="nil"/>
              <w:bottom w:val="nil"/>
              <w:right w:val="nil"/>
            </w:tcBorders>
            <w:shd w:val="clear" w:color="auto" w:fill="auto"/>
            <w:vAlign w:val="bottom"/>
            <w:hideMark/>
          </w:tcPr>
          <w:p w14:paraId="1B4F93C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58</w:t>
            </w:r>
          </w:p>
        </w:tc>
      </w:tr>
      <w:tr w:rsidR="00C95312" w:rsidRPr="00F51109" w14:paraId="4972C2D3"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02E3B74B" w14:textId="77777777" w:rsidR="00C95312" w:rsidRPr="00F51109" w:rsidRDefault="00C95312" w:rsidP="00E85896">
            <w:pPr>
              <w:rPr>
                <w:color w:val="000000"/>
                <w:sz w:val="16"/>
                <w:szCs w:val="16"/>
                <w:lang w:eastAsia="ko-KR"/>
              </w:rPr>
            </w:pPr>
            <w:r w:rsidRPr="00F51109">
              <w:rPr>
                <w:color w:val="000000"/>
                <w:sz w:val="16"/>
                <w:szCs w:val="16"/>
                <w:lang w:eastAsia="ko-KR"/>
              </w:rPr>
              <w:t>Other Provisions</w:t>
            </w:r>
          </w:p>
        </w:tc>
        <w:tc>
          <w:tcPr>
            <w:tcW w:w="964" w:type="dxa"/>
            <w:tcBorders>
              <w:top w:val="nil"/>
              <w:left w:val="nil"/>
              <w:bottom w:val="nil"/>
              <w:right w:val="nil"/>
            </w:tcBorders>
            <w:shd w:val="clear" w:color="auto" w:fill="auto"/>
            <w:vAlign w:val="bottom"/>
            <w:hideMark/>
          </w:tcPr>
          <w:p w14:paraId="74FB67A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14,180</w:t>
            </w:r>
          </w:p>
        </w:tc>
        <w:tc>
          <w:tcPr>
            <w:tcW w:w="964" w:type="dxa"/>
            <w:tcBorders>
              <w:top w:val="nil"/>
              <w:left w:val="nil"/>
              <w:bottom w:val="nil"/>
              <w:right w:val="nil"/>
            </w:tcBorders>
            <w:shd w:val="clear" w:color="auto" w:fill="auto"/>
            <w:vAlign w:val="bottom"/>
            <w:hideMark/>
          </w:tcPr>
          <w:p w14:paraId="6BC530DD" w14:textId="77777777" w:rsidR="00C95312" w:rsidRPr="00F51109" w:rsidRDefault="00C95312" w:rsidP="00E85896">
            <w:pPr>
              <w:jc w:val="right"/>
              <w:rPr>
                <w:color w:val="000000"/>
                <w:sz w:val="16"/>
                <w:szCs w:val="16"/>
                <w:lang w:eastAsia="ko-KR"/>
              </w:rPr>
            </w:pPr>
            <w:r w:rsidRPr="00F51109">
              <w:rPr>
                <w:color w:val="000000"/>
                <w:sz w:val="16"/>
                <w:szCs w:val="16"/>
                <w:lang w:eastAsia="ko-KR"/>
              </w:rPr>
              <w:t>14,191</w:t>
            </w:r>
          </w:p>
        </w:tc>
        <w:tc>
          <w:tcPr>
            <w:tcW w:w="964" w:type="dxa"/>
            <w:tcBorders>
              <w:top w:val="nil"/>
              <w:left w:val="nil"/>
              <w:bottom w:val="nil"/>
              <w:right w:val="nil"/>
            </w:tcBorders>
            <w:shd w:val="clear" w:color="auto" w:fill="auto"/>
            <w:vAlign w:val="bottom"/>
            <w:hideMark/>
          </w:tcPr>
          <w:p w14:paraId="06F0771D" w14:textId="77777777" w:rsidR="00C95312" w:rsidRPr="00F51109" w:rsidRDefault="00C95312" w:rsidP="00E85896">
            <w:pPr>
              <w:jc w:val="right"/>
              <w:rPr>
                <w:color w:val="000000"/>
                <w:sz w:val="16"/>
                <w:szCs w:val="16"/>
                <w:lang w:eastAsia="ko-KR"/>
              </w:rPr>
            </w:pPr>
            <w:r w:rsidRPr="00F51109">
              <w:rPr>
                <w:color w:val="000000"/>
                <w:sz w:val="16"/>
                <w:szCs w:val="16"/>
                <w:lang w:eastAsia="ko-KR"/>
              </w:rPr>
              <w:t>13,786</w:t>
            </w:r>
          </w:p>
        </w:tc>
        <w:tc>
          <w:tcPr>
            <w:tcW w:w="964" w:type="dxa"/>
            <w:gridSpan w:val="3"/>
            <w:tcBorders>
              <w:top w:val="nil"/>
              <w:left w:val="nil"/>
              <w:bottom w:val="nil"/>
              <w:right w:val="nil"/>
            </w:tcBorders>
            <w:shd w:val="clear" w:color="auto" w:fill="auto"/>
            <w:vAlign w:val="bottom"/>
            <w:hideMark/>
          </w:tcPr>
          <w:p w14:paraId="52164B8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13,569</w:t>
            </w:r>
          </w:p>
        </w:tc>
        <w:tc>
          <w:tcPr>
            <w:tcW w:w="964" w:type="dxa"/>
            <w:gridSpan w:val="3"/>
            <w:tcBorders>
              <w:top w:val="nil"/>
              <w:left w:val="nil"/>
              <w:bottom w:val="nil"/>
              <w:right w:val="nil"/>
            </w:tcBorders>
            <w:shd w:val="clear" w:color="auto" w:fill="auto"/>
            <w:vAlign w:val="bottom"/>
            <w:hideMark/>
          </w:tcPr>
          <w:p w14:paraId="3C5B880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13,561</w:t>
            </w:r>
          </w:p>
        </w:tc>
        <w:tc>
          <w:tcPr>
            <w:tcW w:w="964" w:type="dxa"/>
            <w:tcBorders>
              <w:top w:val="nil"/>
              <w:left w:val="nil"/>
              <w:bottom w:val="nil"/>
              <w:right w:val="nil"/>
            </w:tcBorders>
            <w:shd w:val="clear" w:color="auto" w:fill="auto"/>
            <w:vAlign w:val="bottom"/>
            <w:hideMark/>
          </w:tcPr>
          <w:p w14:paraId="1E7D56AC"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13,674</w:t>
            </w:r>
          </w:p>
        </w:tc>
      </w:tr>
      <w:tr w:rsidR="00C95312" w:rsidRPr="00F51109" w14:paraId="758C2ED1"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52A8F749" w14:textId="01E31349" w:rsidR="00C95312" w:rsidRPr="00F51109" w:rsidRDefault="00C95312" w:rsidP="00E85896">
            <w:pPr>
              <w:rPr>
                <w:color w:val="000000"/>
                <w:sz w:val="16"/>
                <w:szCs w:val="16"/>
                <w:lang w:eastAsia="ko-KR"/>
              </w:rPr>
            </w:pPr>
            <w:r w:rsidRPr="00F51109">
              <w:rPr>
                <w:color w:val="000000"/>
                <w:sz w:val="16"/>
                <w:szCs w:val="16"/>
                <w:lang w:eastAsia="ko-KR"/>
              </w:rPr>
              <w:t xml:space="preserve">Other </w:t>
            </w:r>
          </w:p>
        </w:tc>
        <w:tc>
          <w:tcPr>
            <w:tcW w:w="964" w:type="dxa"/>
            <w:tcBorders>
              <w:top w:val="nil"/>
              <w:left w:val="nil"/>
              <w:bottom w:val="nil"/>
              <w:right w:val="nil"/>
            </w:tcBorders>
            <w:shd w:val="clear" w:color="auto" w:fill="auto"/>
            <w:vAlign w:val="bottom"/>
            <w:hideMark/>
          </w:tcPr>
          <w:p w14:paraId="3723952B"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22,028</w:t>
            </w:r>
          </w:p>
        </w:tc>
        <w:tc>
          <w:tcPr>
            <w:tcW w:w="964" w:type="dxa"/>
            <w:tcBorders>
              <w:top w:val="nil"/>
              <w:left w:val="nil"/>
              <w:bottom w:val="nil"/>
              <w:right w:val="nil"/>
            </w:tcBorders>
            <w:shd w:val="clear" w:color="auto" w:fill="auto"/>
            <w:vAlign w:val="bottom"/>
            <w:hideMark/>
          </w:tcPr>
          <w:p w14:paraId="6B1E70CE" w14:textId="77777777" w:rsidR="00C95312" w:rsidRPr="00F51109" w:rsidRDefault="00C95312" w:rsidP="00E85896">
            <w:pPr>
              <w:jc w:val="right"/>
              <w:rPr>
                <w:color w:val="000000"/>
                <w:sz w:val="16"/>
                <w:szCs w:val="16"/>
                <w:lang w:eastAsia="ko-KR"/>
              </w:rPr>
            </w:pPr>
            <w:r w:rsidRPr="00F51109">
              <w:rPr>
                <w:color w:val="000000"/>
                <w:sz w:val="16"/>
                <w:szCs w:val="16"/>
                <w:lang w:eastAsia="ko-KR"/>
              </w:rPr>
              <w:t>23,991</w:t>
            </w:r>
          </w:p>
        </w:tc>
        <w:tc>
          <w:tcPr>
            <w:tcW w:w="964" w:type="dxa"/>
            <w:tcBorders>
              <w:top w:val="nil"/>
              <w:left w:val="nil"/>
              <w:bottom w:val="nil"/>
              <w:right w:val="nil"/>
            </w:tcBorders>
            <w:shd w:val="clear" w:color="auto" w:fill="auto"/>
            <w:vAlign w:val="bottom"/>
            <w:hideMark/>
          </w:tcPr>
          <w:p w14:paraId="09DA750B" w14:textId="77777777" w:rsidR="00C95312" w:rsidRPr="00F51109" w:rsidRDefault="00C95312" w:rsidP="00E85896">
            <w:pPr>
              <w:jc w:val="right"/>
              <w:rPr>
                <w:color w:val="000000"/>
                <w:sz w:val="16"/>
                <w:szCs w:val="16"/>
                <w:lang w:eastAsia="ko-KR"/>
              </w:rPr>
            </w:pPr>
            <w:r w:rsidRPr="00F51109">
              <w:rPr>
                <w:color w:val="000000"/>
                <w:sz w:val="16"/>
                <w:szCs w:val="16"/>
                <w:lang w:eastAsia="ko-KR"/>
              </w:rPr>
              <w:t>24,917</w:t>
            </w:r>
          </w:p>
        </w:tc>
        <w:tc>
          <w:tcPr>
            <w:tcW w:w="964" w:type="dxa"/>
            <w:gridSpan w:val="3"/>
            <w:tcBorders>
              <w:top w:val="nil"/>
              <w:left w:val="nil"/>
              <w:bottom w:val="nil"/>
              <w:right w:val="nil"/>
            </w:tcBorders>
            <w:shd w:val="clear" w:color="auto" w:fill="auto"/>
            <w:vAlign w:val="bottom"/>
            <w:hideMark/>
          </w:tcPr>
          <w:p w14:paraId="1CC8D12F"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24,949</w:t>
            </w:r>
          </w:p>
        </w:tc>
        <w:tc>
          <w:tcPr>
            <w:tcW w:w="964" w:type="dxa"/>
            <w:gridSpan w:val="3"/>
            <w:tcBorders>
              <w:top w:val="nil"/>
              <w:left w:val="nil"/>
              <w:bottom w:val="nil"/>
              <w:right w:val="nil"/>
            </w:tcBorders>
            <w:shd w:val="clear" w:color="auto" w:fill="auto"/>
            <w:vAlign w:val="bottom"/>
            <w:hideMark/>
          </w:tcPr>
          <w:p w14:paraId="5F0DB5AA" w14:textId="6DD0668E"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21,667</w:t>
            </w:r>
          </w:p>
        </w:tc>
        <w:tc>
          <w:tcPr>
            <w:tcW w:w="964" w:type="dxa"/>
            <w:tcBorders>
              <w:top w:val="nil"/>
              <w:left w:val="nil"/>
              <w:bottom w:val="nil"/>
              <w:right w:val="nil"/>
            </w:tcBorders>
            <w:shd w:val="clear" w:color="auto" w:fill="auto"/>
            <w:vAlign w:val="bottom"/>
            <w:hideMark/>
          </w:tcPr>
          <w:p w14:paraId="2BFF207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20,178</w:t>
            </w:r>
          </w:p>
        </w:tc>
      </w:tr>
      <w:tr w:rsidR="00C95312" w:rsidRPr="00F51109" w14:paraId="24427EDB" w14:textId="77777777" w:rsidTr="00E85896">
        <w:trPr>
          <w:gridAfter w:val="1"/>
          <w:wAfter w:w="52" w:type="dxa"/>
          <w:trHeight w:val="283"/>
        </w:trPr>
        <w:tc>
          <w:tcPr>
            <w:tcW w:w="4212" w:type="dxa"/>
            <w:tcBorders>
              <w:top w:val="nil"/>
              <w:left w:val="nil"/>
              <w:bottom w:val="nil"/>
              <w:right w:val="nil"/>
            </w:tcBorders>
            <w:shd w:val="clear" w:color="auto" w:fill="auto"/>
            <w:vAlign w:val="center"/>
            <w:hideMark/>
          </w:tcPr>
          <w:p w14:paraId="1DED08BB" w14:textId="166C559A" w:rsidR="00C95312" w:rsidRPr="00F51109" w:rsidRDefault="00C95312" w:rsidP="00E85896">
            <w:pPr>
              <w:rPr>
                <w:b/>
                <w:bCs/>
                <w:color w:val="008EBA"/>
                <w:sz w:val="16"/>
                <w:szCs w:val="16"/>
                <w:lang w:eastAsia="ko-KR"/>
              </w:rPr>
            </w:pPr>
            <w:r w:rsidRPr="00F51109">
              <w:rPr>
                <w:b/>
                <w:bCs/>
                <w:color w:val="008EBA"/>
                <w:sz w:val="16"/>
                <w:szCs w:val="16"/>
                <w:lang w:eastAsia="ko-KR"/>
              </w:rPr>
              <w:t>Total Liabilities</w:t>
            </w:r>
          </w:p>
        </w:tc>
        <w:tc>
          <w:tcPr>
            <w:tcW w:w="964" w:type="dxa"/>
            <w:tcBorders>
              <w:top w:val="single" w:sz="4" w:space="0" w:color="auto"/>
              <w:left w:val="nil"/>
              <w:bottom w:val="single" w:sz="4" w:space="0" w:color="auto"/>
              <w:right w:val="nil"/>
            </w:tcBorders>
            <w:shd w:val="clear" w:color="auto" w:fill="auto"/>
            <w:vAlign w:val="center"/>
            <w:hideMark/>
          </w:tcPr>
          <w:p w14:paraId="2974AAB4"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219,509</w:t>
            </w:r>
          </w:p>
        </w:tc>
        <w:tc>
          <w:tcPr>
            <w:tcW w:w="964" w:type="dxa"/>
            <w:tcBorders>
              <w:top w:val="single" w:sz="4" w:space="0" w:color="auto"/>
              <w:left w:val="nil"/>
              <w:bottom w:val="single" w:sz="4" w:space="0" w:color="auto"/>
              <w:right w:val="nil"/>
            </w:tcBorders>
            <w:shd w:val="clear" w:color="auto" w:fill="auto"/>
            <w:vAlign w:val="center"/>
            <w:hideMark/>
          </w:tcPr>
          <w:p w14:paraId="7BC57AC7"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223,239</w:t>
            </w:r>
          </w:p>
        </w:tc>
        <w:tc>
          <w:tcPr>
            <w:tcW w:w="964" w:type="dxa"/>
            <w:tcBorders>
              <w:top w:val="single" w:sz="4" w:space="0" w:color="auto"/>
              <w:left w:val="nil"/>
              <w:bottom w:val="single" w:sz="4" w:space="0" w:color="auto"/>
              <w:right w:val="nil"/>
            </w:tcBorders>
            <w:shd w:val="clear" w:color="auto" w:fill="auto"/>
            <w:vAlign w:val="center"/>
            <w:hideMark/>
          </w:tcPr>
          <w:p w14:paraId="620417C1"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247,236</w:t>
            </w:r>
          </w:p>
        </w:tc>
        <w:tc>
          <w:tcPr>
            <w:tcW w:w="964" w:type="dxa"/>
            <w:gridSpan w:val="3"/>
            <w:tcBorders>
              <w:top w:val="single" w:sz="4" w:space="0" w:color="auto"/>
              <w:left w:val="nil"/>
              <w:bottom w:val="single" w:sz="4" w:space="0" w:color="auto"/>
              <w:right w:val="nil"/>
            </w:tcBorders>
            <w:shd w:val="clear" w:color="auto" w:fill="auto"/>
            <w:vAlign w:val="center"/>
            <w:hideMark/>
          </w:tcPr>
          <w:p w14:paraId="521043DE"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267,413</w:t>
            </w:r>
          </w:p>
        </w:tc>
        <w:tc>
          <w:tcPr>
            <w:tcW w:w="964" w:type="dxa"/>
            <w:gridSpan w:val="3"/>
            <w:tcBorders>
              <w:top w:val="single" w:sz="4" w:space="0" w:color="auto"/>
              <w:left w:val="nil"/>
              <w:bottom w:val="single" w:sz="4" w:space="0" w:color="auto"/>
              <w:right w:val="nil"/>
            </w:tcBorders>
            <w:shd w:val="clear" w:color="auto" w:fill="auto"/>
            <w:vAlign w:val="center"/>
            <w:hideMark/>
          </w:tcPr>
          <w:p w14:paraId="5508860C" w14:textId="4AB30690"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281,274</w:t>
            </w:r>
          </w:p>
        </w:tc>
        <w:tc>
          <w:tcPr>
            <w:tcW w:w="964" w:type="dxa"/>
            <w:tcBorders>
              <w:top w:val="single" w:sz="4" w:space="0" w:color="auto"/>
              <w:left w:val="nil"/>
              <w:bottom w:val="single" w:sz="4" w:space="0" w:color="auto"/>
              <w:right w:val="nil"/>
            </w:tcBorders>
            <w:shd w:val="clear" w:color="auto" w:fill="auto"/>
            <w:vAlign w:val="center"/>
            <w:hideMark/>
          </w:tcPr>
          <w:p w14:paraId="430B5180"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299,260</w:t>
            </w:r>
          </w:p>
        </w:tc>
      </w:tr>
      <w:tr w:rsidR="00C95312" w:rsidRPr="00F51109" w14:paraId="392CF877" w14:textId="77777777" w:rsidTr="00E85896">
        <w:trPr>
          <w:gridAfter w:val="1"/>
          <w:wAfter w:w="52" w:type="dxa"/>
          <w:trHeight w:val="283"/>
        </w:trPr>
        <w:tc>
          <w:tcPr>
            <w:tcW w:w="4212" w:type="dxa"/>
            <w:tcBorders>
              <w:top w:val="single" w:sz="4" w:space="0" w:color="auto"/>
              <w:left w:val="nil"/>
              <w:bottom w:val="single" w:sz="4" w:space="0" w:color="auto"/>
              <w:right w:val="nil"/>
            </w:tcBorders>
            <w:shd w:val="clear" w:color="auto" w:fill="auto"/>
            <w:vAlign w:val="center"/>
            <w:hideMark/>
          </w:tcPr>
          <w:p w14:paraId="26096BDB" w14:textId="297CA85C" w:rsidR="00C95312" w:rsidRPr="00F51109" w:rsidRDefault="00C95312" w:rsidP="00E85896">
            <w:pPr>
              <w:rPr>
                <w:b/>
                <w:bCs/>
                <w:color w:val="008EBA"/>
                <w:sz w:val="16"/>
                <w:szCs w:val="16"/>
                <w:lang w:eastAsia="ko-KR"/>
              </w:rPr>
            </w:pPr>
            <w:r w:rsidRPr="00F51109">
              <w:rPr>
                <w:b/>
                <w:bCs/>
                <w:color w:val="008EBA"/>
                <w:sz w:val="16"/>
                <w:szCs w:val="16"/>
                <w:lang w:eastAsia="ko-KR"/>
              </w:rPr>
              <w:t>NET ASSETS</w:t>
            </w:r>
          </w:p>
        </w:tc>
        <w:tc>
          <w:tcPr>
            <w:tcW w:w="964" w:type="dxa"/>
            <w:tcBorders>
              <w:top w:val="nil"/>
              <w:left w:val="nil"/>
              <w:bottom w:val="single" w:sz="4" w:space="0" w:color="auto"/>
              <w:right w:val="nil"/>
            </w:tcBorders>
            <w:shd w:val="clear" w:color="auto" w:fill="auto"/>
            <w:vAlign w:val="center"/>
            <w:hideMark/>
          </w:tcPr>
          <w:p w14:paraId="527B714C"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234,587</w:t>
            </w:r>
          </w:p>
        </w:tc>
        <w:tc>
          <w:tcPr>
            <w:tcW w:w="964" w:type="dxa"/>
            <w:tcBorders>
              <w:top w:val="nil"/>
              <w:left w:val="nil"/>
              <w:bottom w:val="single" w:sz="4" w:space="0" w:color="auto"/>
              <w:right w:val="nil"/>
            </w:tcBorders>
            <w:shd w:val="clear" w:color="auto" w:fill="auto"/>
            <w:vAlign w:val="center"/>
            <w:hideMark/>
          </w:tcPr>
          <w:p w14:paraId="64B6480C"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271,812</w:t>
            </w:r>
          </w:p>
        </w:tc>
        <w:tc>
          <w:tcPr>
            <w:tcW w:w="964" w:type="dxa"/>
            <w:tcBorders>
              <w:top w:val="nil"/>
              <w:left w:val="nil"/>
              <w:bottom w:val="single" w:sz="4" w:space="0" w:color="auto"/>
              <w:right w:val="nil"/>
            </w:tcBorders>
            <w:shd w:val="clear" w:color="auto" w:fill="auto"/>
            <w:vAlign w:val="center"/>
            <w:hideMark/>
          </w:tcPr>
          <w:p w14:paraId="3FF6F397"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267,203</w:t>
            </w:r>
          </w:p>
        </w:tc>
        <w:tc>
          <w:tcPr>
            <w:tcW w:w="964" w:type="dxa"/>
            <w:gridSpan w:val="3"/>
            <w:tcBorders>
              <w:top w:val="nil"/>
              <w:left w:val="nil"/>
              <w:bottom w:val="single" w:sz="4" w:space="0" w:color="auto"/>
              <w:right w:val="nil"/>
            </w:tcBorders>
            <w:shd w:val="clear" w:color="auto" w:fill="auto"/>
            <w:vAlign w:val="center"/>
            <w:hideMark/>
          </w:tcPr>
          <w:p w14:paraId="7FEBABA9"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273,230</w:t>
            </w:r>
          </w:p>
        </w:tc>
        <w:tc>
          <w:tcPr>
            <w:tcW w:w="964" w:type="dxa"/>
            <w:gridSpan w:val="3"/>
            <w:tcBorders>
              <w:top w:val="nil"/>
              <w:left w:val="nil"/>
              <w:bottom w:val="single" w:sz="4" w:space="0" w:color="auto"/>
              <w:right w:val="nil"/>
            </w:tcBorders>
            <w:shd w:val="clear" w:color="auto" w:fill="auto"/>
            <w:vAlign w:val="center"/>
            <w:hideMark/>
          </w:tcPr>
          <w:p w14:paraId="0F25815C" w14:textId="5CA79135"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279,067</w:t>
            </w:r>
          </w:p>
        </w:tc>
        <w:tc>
          <w:tcPr>
            <w:tcW w:w="964" w:type="dxa"/>
            <w:tcBorders>
              <w:top w:val="nil"/>
              <w:left w:val="nil"/>
              <w:bottom w:val="single" w:sz="4" w:space="0" w:color="auto"/>
              <w:right w:val="nil"/>
            </w:tcBorders>
            <w:shd w:val="clear" w:color="auto" w:fill="auto"/>
            <w:vAlign w:val="center"/>
            <w:hideMark/>
          </w:tcPr>
          <w:p w14:paraId="2CE06FC7"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280,316</w:t>
            </w:r>
          </w:p>
        </w:tc>
      </w:tr>
      <w:tr w:rsidR="00C95312" w:rsidRPr="00F51109" w14:paraId="332204CD" w14:textId="77777777" w:rsidTr="00E85896">
        <w:trPr>
          <w:gridAfter w:val="1"/>
          <w:wAfter w:w="52" w:type="dxa"/>
          <w:trHeight w:val="237"/>
        </w:trPr>
        <w:tc>
          <w:tcPr>
            <w:tcW w:w="4212" w:type="dxa"/>
            <w:tcBorders>
              <w:top w:val="nil"/>
              <w:left w:val="nil"/>
              <w:bottom w:val="nil"/>
              <w:right w:val="nil"/>
            </w:tcBorders>
            <w:shd w:val="clear" w:color="auto" w:fill="auto"/>
            <w:vAlign w:val="center"/>
            <w:hideMark/>
          </w:tcPr>
          <w:p w14:paraId="0D44B889" w14:textId="58950728" w:rsidR="00C95312" w:rsidRPr="00F51109" w:rsidRDefault="00C95312" w:rsidP="00E85896">
            <w:pPr>
              <w:rPr>
                <w:b/>
                <w:bCs/>
                <w:color w:val="000000"/>
                <w:sz w:val="16"/>
                <w:szCs w:val="16"/>
                <w:lang w:eastAsia="ko-KR"/>
              </w:rPr>
            </w:pPr>
            <w:r w:rsidRPr="00F51109">
              <w:rPr>
                <w:b/>
                <w:bCs/>
                <w:color w:val="000000"/>
                <w:sz w:val="16"/>
                <w:szCs w:val="16"/>
                <w:lang w:eastAsia="ko-KR"/>
              </w:rPr>
              <w:t>NET WORTH</w:t>
            </w:r>
          </w:p>
        </w:tc>
        <w:tc>
          <w:tcPr>
            <w:tcW w:w="964" w:type="dxa"/>
            <w:tcBorders>
              <w:top w:val="nil"/>
              <w:left w:val="nil"/>
              <w:bottom w:val="nil"/>
              <w:right w:val="nil"/>
            </w:tcBorders>
            <w:shd w:val="clear" w:color="auto" w:fill="auto"/>
            <w:vAlign w:val="center"/>
            <w:hideMark/>
          </w:tcPr>
          <w:p w14:paraId="2068284D" w14:textId="77777777" w:rsidR="00C95312" w:rsidRPr="00D14430" w:rsidRDefault="00C95312" w:rsidP="00E85896">
            <w:pPr>
              <w:rPr>
                <w:b/>
                <w:bCs/>
                <w:color w:val="A6A6A6" w:themeColor="background1" w:themeShade="A6"/>
                <w:sz w:val="16"/>
                <w:szCs w:val="16"/>
                <w:lang w:eastAsia="ko-KR"/>
              </w:rPr>
            </w:pPr>
          </w:p>
        </w:tc>
        <w:tc>
          <w:tcPr>
            <w:tcW w:w="964" w:type="dxa"/>
            <w:tcBorders>
              <w:top w:val="nil"/>
              <w:left w:val="nil"/>
              <w:bottom w:val="nil"/>
              <w:right w:val="nil"/>
            </w:tcBorders>
            <w:shd w:val="clear" w:color="auto" w:fill="auto"/>
            <w:vAlign w:val="center"/>
            <w:hideMark/>
          </w:tcPr>
          <w:p w14:paraId="56DEE538" w14:textId="77777777" w:rsidR="00C95312" w:rsidRPr="00F51109" w:rsidRDefault="00C95312" w:rsidP="00E85896">
            <w:pPr>
              <w:rPr>
                <w:lang w:eastAsia="ko-KR"/>
              </w:rPr>
            </w:pPr>
          </w:p>
        </w:tc>
        <w:tc>
          <w:tcPr>
            <w:tcW w:w="964" w:type="dxa"/>
            <w:tcBorders>
              <w:top w:val="nil"/>
              <w:left w:val="nil"/>
              <w:bottom w:val="nil"/>
              <w:right w:val="nil"/>
            </w:tcBorders>
            <w:shd w:val="clear" w:color="auto" w:fill="auto"/>
            <w:vAlign w:val="center"/>
            <w:hideMark/>
          </w:tcPr>
          <w:p w14:paraId="400C679E" w14:textId="77777777" w:rsidR="00C95312" w:rsidRPr="00F51109" w:rsidRDefault="00C95312" w:rsidP="00E85896">
            <w:pPr>
              <w:rPr>
                <w:lang w:eastAsia="ko-KR"/>
              </w:rPr>
            </w:pPr>
          </w:p>
        </w:tc>
        <w:tc>
          <w:tcPr>
            <w:tcW w:w="964" w:type="dxa"/>
            <w:gridSpan w:val="3"/>
            <w:tcBorders>
              <w:top w:val="nil"/>
              <w:left w:val="nil"/>
              <w:bottom w:val="nil"/>
              <w:right w:val="nil"/>
            </w:tcBorders>
            <w:shd w:val="clear" w:color="auto" w:fill="auto"/>
            <w:vAlign w:val="center"/>
            <w:hideMark/>
          </w:tcPr>
          <w:p w14:paraId="36EFDCCF" w14:textId="77777777" w:rsidR="00C95312" w:rsidRPr="00D14430" w:rsidRDefault="00C95312" w:rsidP="00E85896">
            <w:pPr>
              <w:rPr>
                <w:color w:val="A6A6A6" w:themeColor="background1" w:themeShade="A6"/>
                <w:lang w:eastAsia="ko-KR"/>
              </w:rPr>
            </w:pPr>
          </w:p>
        </w:tc>
        <w:tc>
          <w:tcPr>
            <w:tcW w:w="964" w:type="dxa"/>
            <w:gridSpan w:val="3"/>
            <w:tcBorders>
              <w:top w:val="nil"/>
              <w:left w:val="nil"/>
              <w:bottom w:val="nil"/>
              <w:right w:val="nil"/>
            </w:tcBorders>
            <w:shd w:val="clear" w:color="auto" w:fill="auto"/>
            <w:vAlign w:val="center"/>
            <w:hideMark/>
          </w:tcPr>
          <w:p w14:paraId="2AF6C4D2" w14:textId="1D78136A" w:rsidR="00C95312" w:rsidRPr="00D14430" w:rsidRDefault="00D14430" w:rsidP="00E85896">
            <w:pPr>
              <w:rPr>
                <w:color w:val="A6A6A6" w:themeColor="background1" w:themeShade="A6"/>
                <w:lang w:eastAsia="ko-KR"/>
              </w:rPr>
            </w:pPr>
            <w:r w:rsidRPr="00E2024F">
              <w:rPr>
                <w:i/>
                <w:noProof/>
                <w:color w:val="4F4F4F"/>
                <w:sz w:val="22"/>
                <w:szCs w:val="22"/>
              </w:rPr>
              <mc:AlternateContent>
                <mc:Choice Requires="wps">
                  <w:drawing>
                    <wp:anchor distT="0" distB="0" distL="114300" distR="114300" simplePos="0" relativeHeight="251658248" behindDoc="0" locked="0" layoutInCell="1" allowOverlap="1" wp14:anchorId="2F28D424" wp14:editId="32969661">
                      <wp:simplePos x="0" y="0"/>
                      <wp:positionH relativeFrom="column">
                        <wp:posOffset>-513715</wp:posOffset>
                      </wp:positionH>
                      <wp:positionV relativeFrom="paragraph">
                        <wp:posOffset>-1753870</wp:posOffset>
                      </wp:positionV>
                      <wp:extent cx="1546860" cy="1840230"/>
                      <wp:effectExtent l="171450" t="0" r="15240" b="26670"/>
                      <wp:wrapNone/>
                      <wp:docPr id="16" name="Speech Bubble: Rectangle with Corners Rounded 15">
                        <a:extLst xmlns:a="http://schemas.openxmlformats.org/drawingml/2006/main">
                          <a:ext uri="{FF2B5EF4-FFF2-40B4-BE49-F238E27FC236}">
                            <a16:creationId xmlns:a16="http://schemas.microsoft.com/office/drawing/2014/main" id="{8CDCB04E-A35F-40EE-AC71-73894F2940C6}"/>
                          </a:ext>
                        </a:extLst>
                      </wp:docPr>
                      <wp:cNvGraphicFramePr/>
                      <a:graphic xmlns:a="http://schemas.openxmlformats.org/drawingml/2006/main">
                        <a:graphicData uri="http://schemas.microsoft.com/office/word/2010/wordprocessingShape">
                          <wps:wsp>
                            <wps:cNvSpPr/>
                            <wps:spPr>
                              <a:xfrm>
                                <a:off x="0" y="0"/>
                                <a:ext cx="1546860" cy="1840230"/>
                              </a:xfrm>
                              <a:prstGeom prst="wedgeRoundRectCallout">
                                <a:avLst>
                                  <a:gd name="adj1" fmla="val -60181"/>
                                  <a:gd name="adj2" fmla="val 31166"/>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6AA1F295" w14:textId="77777777" w:rsidR="005B1B1A" w:rsidRDefault="005B1B1A" w:rsidP="005B1B1A">
                                  <w:pPr>
                                    <w:rPr>
                                      <w:sz w:val="24"/>
                                      <w:szCs w:val="24"/>
                                    </w:rPr>
                                  </w:pPr>
                                  <w:r>
                                    <w:rPr>
                                      <w:b/>
                                      <w:color w:val="44546A" w:themeColor="text2"/>
                                      <w:kern w:val="24"/>
                                      <w:sz w:val="18"/>
                                      <w:szCs w:val="18"/>
                                    </w:rPr>
                                    <w:t>Liabilities at end of year</w:t>
                                  </w:r>
                                </w:p>
                                <w:p w14:paraId="61E43ACF" w14:textId="77777777" w:rsidR="005B1B1A" w:rsidRDefault="005B1B1A" w:rsidP="005B1B1A">
                                  <w:r>
                                    <w:rPr>
                                      <w:color w:val="44546A" w:themeColor="text2"/>
                                      <w:kern w:val="24"/>
                                      <w:sz w:val="18"/>
                                      <w:szCs w:val="18"/>
                                    </w:rPr>
                                    <w:t>Often established through contract, a liability is when the Government (the debtor) is obliged, under specific circumstances, to</w:t>
                                  </w:r>
                                </w:p>
                                <w:p w14:paraId="0BB0FAA2" w14:textId="77777777" w:rsidR="005B1B1A" w:rsidRDefault="005B1B1A" w:rsidP="005B1B1A">
                                  <w:r>
                                    <w:rPr>
                                      <w:color w:val="44546A" w:themeColor="text2"/>
                                      <w:kern w:val="24"/>
                                      <w:sz w:val="18"/>
                                      <w:szCs w:val="18"/>
                                    </w:rPr>
                                    <w:t xml:space="preserve">provide funds or other resources to another unit (the creditor).  </w:t>
                                  </w:r>
                                </w:p>
                                <w:p w14:paraId="1F8BCDC1" w14:textId="77777777" w:rsidR="005B1B1A" w:rsidRDefault="005B1B1A" w:rsidP="005B1B1A">
                                  <w:r>
                                    <w:rPr>
                                      <w:color w:val="44546A" w:themeColor="text2"/>
                                      <w:kern w:val="24"/>
                                      <w:sz w:val="18"/>
                                      <w:szCs w:val="18"/>
                                    </w:rPr>
                                    <w:t>All liabilities are financial.</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2F28D424" id="Speech Bubble: Rectangle with Corners Rounded 15" o:spid="_x0000_s1080" type="#_x0000_t62" style="position:absolute;margin-left:-40.45pt;margin-top:-138.1pt;width:121.8pt;height:14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" adj="-2199,17532" fillcolor="#f2f2f2 [3052]" strokecolor="#44546a [3215]" strokeweight="1.75pt">
                      <v:stroke dashstyle="3 1"/>
                      <v:textbox inset="1mm,1mm,1mm,1mm">
                        <w:txbxContent>
                          <w:p w14:paraId="6AA1F295" w14:textId="77777777" w:rsidR="005B1B1A" w:rsidRDefault="005B1B1A" w:rsidP="005B1B1A">
                            <w:pPr>
                              <w:rPr>
                                <w:sz w:val="24"/>
                                <w:szCs w:val="24"/>
                              </w:rPr>
                            </w:pPr>
                            <w:r>
                              <w:rPr>
                                <w:b/>
                                <w:color w:val="44546A" w:themeColor="text2"/>
                                <w:kern w:val="24"/>
                                <w:sz w:val="18"/>
                                <w:szCs w:val="18"/>
                              </w:rPr>
                              <w:t>Liabilities at end of year</w:t>
                            </w:r>
                          </w:p>
                          <w:p w14:paraId="61E43ACF" w14:textId="77777777" w:rsidR="005B1B1A" w:rsidRDefault="005B1B1A" w:rsidP="005B1B1A">
                            <w:r>
                              <w:rPr>
                                <w:color w:val="44546A" w:themeColor="text2"/>
                                <w:kern w:val="24"/>
                                <w:sz w:val="18"/>
                                <w:szCs w:val="18"/>
                              </w:rPr>
                              <w:t>Often established through contract, a liability is when the Government (the debtor) is obliged, under specific circumstances, to</w:t>
                            </w:r>
                          </w:p>
                          <w:p w14:paraId="0BB0FAA2" w14:textId="77777777" w:rsidR="005B1B1A" w:rsidRDefault="005B1B1A" w:rsidP="005B1B1A">
                            <w:r>
                              <w:rPr>
                                <w:color w:val="44546A" w:themeColor="text2"/>
                                <w:kern w:val="24"/>
                                <w:sz w:val="18"/>
                                <w:szCs w:val="18"/>
                              </w:rPr>
                              <w:t xml:space="preserve">provide funds or other resources to another unit (the creditor).  </w:t>
                            </w:r>
                          </w:p>
                          <w:p w14:paraId="1F8BCDC1" w14:textId="77777777" w:rsidR="005B1B1A" w:rsidRDefault="005B1B1A" w:rsidP="005B1B1A">
                            <w:r>
                              <w:rPr>
                                <w:color w:val="44546A" w:themeColor="text2"/>
                                <w:kern w:val="24"/>
                                <w:sz w:val="18"/>
                                <w:szCs w:val="18"/>
                              </w:rPr>
                              <w:t>All liabilities are financial.</w:t>
                            </w:r>
                          </w:p>
                        </w:txbxContent>
                      </v:textbox>
                    </v:shape>
                  </w:pict>
                </mc:Fallback>
              </mc:AlternateContent>
            </w:r>
          </w:p>
        </w:tc>
        <w:tc>
          <w:tcPr>
            <w:tcW w:w="964" w:type="dxa"/>
            <w:tcBorders>
              <w:top w:val="nil"/>
              <w:left w:val="nil"/>
              <w:bottom w:val="nil"/>
              <w:right w:val="nil"/>
            </w:tcBorders>
            <w:shd w:val="clear" w:color="auto" w:fill="auto"/>
            <w:vAlign w:val="center"/>
            <w:hideMark/>
          </w:tcPr>
          <w:p w14:paraId="57E97B0A" w14:textId="77777777" w:rsidR="00C95312" w:rsidRPr="00D14430" w:rsidRDefault="00C95312" w:rsidP="00E85896">
            <w:pPr>
              <w:rPr>
                <w:color w:val="A6A6A6" w:themeColor="background1" w:themeShade="A6"/>
                <w:lang w:eastAsia="ko-KR"/>
              </w:rPr>
            </w:pPr>
          </w:p>
        </w:tc>
      </w:tr>
      <w:tr w:rsidR="00C95312" w:rsidRPr="00F51109" w14:paraId="31C03EBA"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3B1F01F7" w14:textId="1C1B6DA7" w:rsidR="00C95312" w:rsidRPr="00F51109" w:rsidRDefault="00D14430" w:rsidP="00E85896">
            <w:pPr>
              <w:rPr>
                <w:color w:val="000000"/>
                <w:sz w:val="16"/>
                <w:szCs w:val="16"/>
                <w:lang w:eastAsia="ko-KR"/>
              </w:rPr>
            </w:pPr>
            <w:r w:rsidRPr="00E2024F">
              <w:rPr>
                <w:i/>
                <w:noProof/>
                <w:color w:val="4F4F4F"/>
                <w:sz w:val="22"/>
                <w:szCs w:val="22"/>
              </w:rPr>
              <mc:AlternateContent>
                <mc:Choice Requires="wps">
                  <w:drawing>
                    <wp:anchor distT="0" distB="0" distL="114300" distR="114300" simplePos="0" relativeHeight="251658251" behindDoc="0" locked="0" layoutInCell="1" allowOverlap="1" wp14:anchorId="43D8C961" wp14:editId="6D2F8449">
                      <wp:simplePos x="0" y="0"/>
                      <wp:positionH relativeFrom="column">
                        <wp:posOffset>1451610</wp:posOffset>
                      </wp:positionH>
                      <wp:positionV relativeFrom="paragraph">
                        <wp:posOffset>38100</wp:posOffset>
                      </wp:positionV>
                      <wp:extent cx="1635125" cy="1079500"/>
                      <wp:effectExtent l="190500" t="0" r="22225" b="25400"/>
                      <wp:wrapNone/>
                      <wp:docPr id="22" name="Speech Bubble: Rectangle with Corners Rounded 21">
                        <a:extLst xmlns:a="http://schemas.openxmlformats.org/drawingml/2006/main">
                          <a:ext uri="{FF2B5EF4-FFF2-40B4-BE49-F238E27FC236}">
                            <a16:creationId xmlns:a16="http://schemas.microsoft.com/office/drawing/2014/main" id="{13256056-75D9-4FFC-B90B-E1DC0E9EEFF5}"/>
                          </a:ext>
                        </a:extLst>
                      </wp:docPr>
                      <wp:cNvGraphicFramePr/>
                      <a:graphic xmlns:a="http://schemas.openxmlformats.org/drawingml/2006/main">
                        <a:graphicData uri="http://schemas.microsoft.com/office/word/2010/wordprocessingShape">
                          <wps:wsp>
                            <wps:cNvSpPr/>
                            <wps:spPr>
                              <a:xfrm>
                                <a:off x="0" y="0"/>
                                <a:ext cx="1635125" cy="1079500"/>
                              </a:xfrm>
                              <a:prstGeom prst="wedgeRoundRectCallout">
                                <a:avLst>
                                  <a:gd name="adj1" fmla="val -60916"/>
                                  <a:gd name="adj2" fmla="val 28727"/>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5084C5FE" w14:textId="77777777" w:rsidR="005B1B1A" w:rsidRDefault="005B1B1A" w:rsidP="005B1B1A">
                                  <w:pPr>
                                    <w:rPr>
                                      <w:sz w:val="24"/>
                                      <w:szCs w:val="24"/>
                                    </w:rPr>
                                  </w:pPr>
                                  <w:r>
                                    <w:rPr>
                                      <w:b/>
                                      <w:color w:val="44546A" w:themeColor="text2"/>
                                      <w:kern w:val="24"/>
                                      <w:sz w:val="18"/>
                                      <w:szCs w:val="18"/>
                                    </w:rPr>
                                    <w:t>Net debt</w:t>
                                  </w:r>
                                </w:p>
                                <w:p w14:paraId="10AC7F63" w14:textId="77777777" w:rsidR="005B1B1A" w:rsidRDefault="005B1B1A" w:rsidP="005B1B1A">
                                  <w:r>
                                    <w:rPr>
                                      <w:color w:val="44546A" w:themeColor="text2"/>
                                      <w:kern w:val="24"/>
                                      <w:sz w:val="18"/>
                                      <w:szCs w:val="18"/>
                                    </w:rPr>
                                    <w:t xml:space="preserve">The stock of </w:t>
                                  </w:r>
                                  <w:r>
                                    <w:rPr>
                                      <w:color w:val="44546A" w:themeColor="text2"/>
                                      <w:kern w:val="24"/>
                                      <w:sz w:val="18"/>
                                      <w:szCs w:val="18"/>
                                      <w:u w:val="single"/>
                                    </w:rPr>
                                    <w:t>selected</w:t>
                                  </w:r>
                                  <w:r>
                                    <w:rPr>
                                      <w:color w:val="44546A" w:themeColor="text2"/>
                                      <w:kern w:val="24"/>
                                      <w:sz w:val="18"/>
                                      <w:szCs w:val="18"/>
                                    </w:rPr>
                                    <w:t xml:space="preserve"> financial liabilities less </w:t>
                                  </w:r>
                                  <w:r>
                                    <w:rPr>
                                      <w:color w:val="44546A" w:themeColor="text2"/>
                                      <w:kern w:val="24"/>
                                      <w:sz w:val="18"/>
                                      <w:szCs w:val="18"/>
                                      <w:u w:val="single"/>
                                    </w:rPr>
                                    <w:t xml:space="preserve">selected </w:t>
                                  </w:r>
                                  <w:r>
                                    <w:rPr>
                                      <w:color w:val="44546A" w:themeColor="text2"/>
                                      <w:kern w:val="24"/>
                                      <w:sz w:val="18"/>
                                      <w:szCs w:val="18"/>
                                    </w:rPr>
                                    <w:t>financial assets. It is one measure of the financial position of the State.</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43D8C961" id="Speech Bubble: Rectangle with Corners Rounded 21" o:spid="_x0000_s1081" type="#_x0000_t62" style="position:absolute;margin-left:114.3pt;margin-top:3pt;width:128.75pt;height: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" adj="-2358,17005" fillcolor="#f2f2f2 [3052]" strokecolor="#44546a [3215]" strokeweight="1.75pt">
                      <v:stroke dashstyle="3 1"/>
                      <v:textbox inset="1mm,1mm,1mm,1mm">
                        <w:txbxContent>
                          <w:p w14:paraId="5084C5FE" w14:textId="77777777" w:rsidR="005B1B1A" w:rsidRDefault="005B1B1A" w:rsidP="005B1B1A">
                            <w:pPr>
                              <w:rPr>
                                <w:sz w:val="24"/>
                                <w:szCs w:val="24"/>
                              </w:rPr>
                            </w:pPr>
                            <w:r>
                              <w:rPr>
                                <w:b/>
                                <w:color w:val="44546A" w:themeColor="text2"/>
                                <w:kern w:val="24"/>
                                <w:sz w:val="18"/>
                                <w:szCs w:val="18"/>
                              </w:rPr>
                              <w:t>Net debt</w:t>
                            </w:r>
                          </w:p>
                          <w:p w14:paraId="10AC7F63" w14:textId="77777777" w:rsidR="005B1B1A" w:rsidRDefault="005B1B1A" w:rsidP="005B1B1A">
                            <w:r>
                              <w:rPr>
                                <w:color w:val="44546A" w:themeColor="text2"/>
                                <w:kern w:val="24"/>
                                <w:sz w:val="18"/>
                                <w:szCs w:val="18"/>
                              </w:rPr>
                              <w:t xml:space="preserve">The stock of </w:t>
                            </w:r>
                            <w:r>
                              <w:rPr>
                                <w:color w:val="44546A" w:themeColor="text2"/>
                                <w:kern w:val="24"/>
                                <w:sz w:val="18"/>
                                <w:szCs w:val="18"/>
                                <w:u w:val="single"/>
                              </w:rPr>
                              <w:t>selected</w:t>
                            </w:r>
                            <w:r>
                              <w:rPr>
                                <w:color w:val="44546A" w:themeColor="text2"/>
                                <w:kern w:val="24"/>
                                <w:sz w:val="18"/>
                                <w:szCs w:val="18"/>
                              </w:rPr>
                              <w:t xml:space="preserve"> financial liabilities less </w:t>
                            </w:r>
                            <w:r>
                              <w:rPr>
                                <w:color w:val="44546A" w:themeColor="text2"/>
                                <w:kern w:val="24"/>
                                <w:sz w:val="18"/>
                                <w:szCs w:val="18"/>
                                <w:u w:val="single"/>
                              </w:rPr>
                              <w:t xml:space="preserve">selected </w:t>
                            </w:r>
                            <w:r>
                              <w:rPr>
                                <w:color w:val="44546A" w:themeColor="text2"/>
                                <w:kern w:val="24"/>
                                <w:sz w:val="18"/>
                                <w:szCs w:val="18"/>
                              </w:rPr>
                              <w:t>financial assets. It is one measure of the financial position of the State.</w:t>
                            </w:r>
                          </w:p>
                        </w:txbxContent>
                      </v:textbox>
                    </v:shape>
                  </w:pict>
                </mc:Fallback>
              </mc:AlternateContent>
            </w:r>
            <w:r w:rsidR="00C95312" w:rsidRPr="00F51109">
              <w:rPr>
                <w:color w:val="000000"/>
                <w:sz w:val="16"/>
                <w:szCs w:val="16"/>
                <w:lang w:eastAsia="ko-KR"/>
              </w:rPr>
              <w:t>Accumulated Funds</w:t>
            </w:r>
          </w:p>
        </w:tc>
        <w:tc>
          <w:tcPr>
            <w:tcW w:w="964" w:type="dxa"/>
            <w:tcBorders>
              <w:top w:val="nil"/>
              <w:left w:val="nil"/>
              <w:bottom w:val="nil"/>
              <w:right w:val="nil"/>
            </w:tcBorders>
            <w:shd w:val="clear" w:color="auto" w:fill="auto"/>
            <w:vAlign w:val="bottom"/>
            <w:hideMark/>
          </w:tcPr>
          <w:p w14:paraId="2F9B443D"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75,365</w:t>
            </w:r>
          </w:p>
        </w:tc>
        <w:tc>
          <w:tcPr>
            <w:tcW w:w="964" w:type="dxa"/>
            <w:tcBorders>
              <w:top w:val="nil"/>
              <w:left w:val="nil"/>
              <w:bottom w:val="nil"/>
              <w:right w:val="nil"/>
            </w:tcBorders>
            <w:shd w:val="clear" w:color="auto" w:fill="auto"/>
            <w:vAlign w:val="bottom"/>
            <w:hideMark/>
          </w:tcPr>
          <w:p w14:paraId="72959406" w14:textId="77777777" w:rsidR="00C95312" w:rsidRPr="00F51109" w:rsidRDefault="00C95312" w:rsidP="00E85896">
            <w:pPr>
              <w:jc w:val="right"/>
              <w:rPr>
                <w:color w:val="000000"/>
                <w:sz w:val="16"/>
                <w:szCs w:val="16"/>
                <w:lang w:eastAsia="ko-KR"/>
              </w:rPr>
            </w:pPr>
            <w:r w:rsidRPr="00F51109">
              <w:rPr>
                <w:color w:val="000000"/>
                <w:sz w:val="16"/>
                <w:szCs w:val="16"/>
                <w:lang w:eastAsia="ko-KR"/>
              </w:rPr>
              <w:t>77,094</w:t>
            </w:r>
          </w:p>
        </w:tc>
        <w:tc>
          <w:tcPr>
            <w:tcW w:w="964" w:type="dxa"/>
            <w:tcBorders>
              <w:top w:val="nil"/>
              <w:left w:val="nil"/>
              <w:bottom w:val="nil"/>
              <w:right w:val="nil"/>
            </w:tcBorders>
            <w:shd w:val="clear" w:color="auto" w:fill="auto"/>
            <w:vAlign w:val="bottom"/>
            <w:hideMark/>
          </w:tcPr>
          <w:p w14:paraId="6F5CAF66" w14:textId="2806ADFF" w:rsidR="00C95312" w:rsidRPr="00F51109" w:rsidRDefault="00C95312" w:rsidP="00E85896">
            <w:pPr>
              <w:jc w:val="right"/>
              <w:rPr>
                <w:color w:val="000000"/>
                <w:sz w:val="16"/>
                <w:szCs w:val="16"/>
                <w:lang w:eastAsia="ko-KR"/>
              </w:rPr>
            </w:pPr>
            <w:r w:rsidRPr="00F51109">
              <w:rPr>
                <w:color w:val="000000"/>
                <w:sz w:val="16"/>
                <w:szCs w:val="16"/>
                <w:lang w:eastAsia="ko-KR"/>
              </w:rPr>
              <w:t>66,265</w:t>
            </w:r>
          </w:p>
        </w:tc>
        <w:tc>
          <w:tcPr>
            <w:tcW w:w="964" w:type="dxa"/>
            <w:gridSpan w:val="3"/>
            <w:tcBorders>
              <w:top w:val="nil"/>
              <w:left w:val="nil"/>
              <w:bottom w:val="nil"/>
              <w:right w:val="nil"/>
            </w:tcBorders>
            <w:shd w:val="clear" w:color="auto" w:fill="auto"/>
            <w:vAlign w:val="bottom"/>
            <w:hideMark/>
          </w:tcPr>
          <w:p w14:paraId="51C1DAC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65,035</w:t>
            </w:r>
          </w:p>
        </w:tc>
        <w:tc>
          <w:tcPr>
            <w:tcW w:w="964" w:type="dxa"/>
            <w:gridSpan w:val="3"/>
            <w:tcBorders>
              <w:top w:val="nil"/>
              <w:left w:val="nil"/>
              <w:bottom w:val="nil"/>
              <w:right w:val="nil"/>
            </w:tcBorders>
            <w:shd w:val="clear" w:color="auto" w:fill="auto"/>
            <w:vAlign w:val="bottom"/>
            <w:hideMark/>
          </w:tcPr>
          <w:p w14:paraId="14F22450"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67,028</w:t>
            </w:r>
          </w:p>
        </w:tc>
        <w:tc>
          <w:tcPr>
            <w:tcW w:w="964" w:type="dxa"/>
            <w:tcBorders>
              <w:top w:val="nil"/>
              <w:left w:val="nil"/>
              <w:bottom w:val="nil"/>
              <w:right w:val="nil"/>
            </w:tcBorders>
            <w:shd w:val="clear" w:color="auto" w:fill="auto"/>
            <w:vAlign w:val="bottom"/>
            <w:hideMark/>
          </w:tcPr>
          <w:p w14:paraId="2867D0C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67,015</w:t>
            </w:r>
          </w:p>
        </w:tc>
      </w:tr>
      <w:tr w:rsidR="00C95312" w:rsidRPr="00F51109" w14:paraId="6DDC6D8C"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37332B68" w14:textId="77777777" w:rsidR="00C95312" w:rsidRPr="00F51109" w:rsidRDefault="00C95312" w:rsidP="00E85896">
            <w:pPr>
              <w:rPr>
                <w:color w:val="000000"/>
                <w:sz w:val="16"/>
                <w:szCs w:val="16"/>
                <w:lang w:eastAsia="ko-KR"/>
              </w:rPr>
            </w:pPr>
            <w:r w:rsidRPr="00F51109">
              <w:rPr>
                <w:color w:val="000000"/>
                <w:sz w:val="16"/>
                <w:szCs w:val="16"/>
                <w:lang w:eastAsia="ko-KR"/>
              </w:rPr>
              <w:t>Reserves</w:t>
            </w:r>
          </w:p>
        </w:tc>
        <w:tc>
          <w:tcPr>
            <w:tcW w:w="964" w:type="dxa"/>
            <w:tcBorders>
              <w:top w:val="nil"/>
              <w:left w:val="nil"/>
              <w:bottom w:val="nil"/>
              <w:right w:val="nil"/>
            </w:tcBorders>
            <w:shd w:val="clear" w:color="auto" w:fill="auto"/>
            <w:vAlign w:val="bottom"/>
            <w:hideMark/>
          </w:tcPr>
          <w:p w14:paraId="4114F359"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159,222</w:t>
            </w:r>
          </w:p>
        </w:tc>
        <w:tc>
          <w:tcPr>
            <w:tcW w:w="964" w:type="dxa"/>
            <w:tcBorders>
              <w:top w:val="nil"/>
              <w:left w:val="nil"/>
              <w:bottom w:val="nil"/>
              <w:right w:val="nil"/>
            </w:tcBorders>
            <w:shd w:val="clear" w:color="auto" w:fill="auto"/>
            <w:vAlign w:val="bottom"/>
            <w:hideMark/>
          </w:tcPr>
          <w:p w14:paraId="5BC86A82" w14:textId="77777777" w:rsidR="00C95312" w:rsidRPr="00F51109" w:rsidRDefault="00C95312" w:rsidP="00E85896">
            <w:pPr>
              <w:jc w:val="right"/>
              <w:rPr>
                <w:color w:val="000000"/>
                <w:sz w:val="16"/>
                <w:szCs w:val="16"/>
                <w:lang w:eastAsia="ko-KR"/>
              </w:rPr>
            </w:pPr>
            <w:r w:rsidRPr="00F51109">
              <w:rPr>
                <w:color w:val="000000"/>
                <w:sz w:val="16"/>
                <w:szCs w:val="16"/>
                <w:lang w:eastAsia="ko-KR"/>
              </w:rPr>
              <w:t>194,718</w:t>
            </w:r>
          </w:p>
        </w:tc>
        <w:tc>
          <w:tcPr>
            <w:tcW w:w="964" w:type="dxa"/>
            <w:tcBorders>
              <w:top w:val="nil"/>
              <w:left w:val="nil"/>
              <w:bottom w:val="nil"/>
              <w:right w:val="nil"/>
            </w:tcBorders>
            <w:shd w:val="clear" w:color="auto" w:fill="auto"/>
            <w:vAlign w:val="bottom"/>
            <w:hideMark/>
          </w:tcPr>
          <w:p w14:paraId="32AADA83" w14:textId="77777777" w:rsidR="00C95312" w:rsidRPr="00F51109" w:rsidRDefault="00C95312" w:rsidP="00E85896">
            <w:pPr>
              <w:jc w:val="right"/>
              <w:rPr>
                <w:color w:val="000000"/>
                <w:sz w:val="16"/>
                <w:szCs w:val="16"/>
                <w:lang w:eastAsia="ko-KR"/>
              </w:rPr>
            </w:pPr>
            <w:r w:rsidRPr="00F51109">
              <w:rPr>
                <w:color w:val="000000"/>
                <w:sz w:val="16"/>
                <w:szCs w:val="16"/>
                <w:lang w:eastAsia="ko-KR"/>
              </w:rPr>
              <w:t>200,938</w:t>
            </w:r>
          </w:p>
        </w:tc>
        <w:tc>
          <w:tcPr>
            <w:tcW w:w="964" w:type="dxa"/>
            <w:gridSpan w:val="3"/>
            <w:tcBorders>
              <w:top w:val="nil"/>
              <w:left w:val="nil"/>
              <w:bottom w:val="nil"/>
              <w:right w:val="nil"/>
            </w:tcBorders>
            <w:shd w:val="clear" w:color="auto" w:fill="auto"/>
            <w:vAlign w:val="bottom"/>
            <w:hideMark/>
          </w:tcPr>
          <w:p w14:paraId="5F8DB2E6" w14:textId="5E33FDB1"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208,195</w:t>
            </w:r>
          </w:p>
        </w:tc>
        <w:tc>
          <w:tcPr>
            <w:tcW w:w="964" w:type="dxa"/>
            <w:gridSpan w:val="3"/>
            <w:tcBorders>
              <w:top w:val="nil"/>
              <w:left w:val="nil"/>
              <w:bottom w:val="nil"/>
              <w:right w:val="nil"/>
            </w:tcBorders>
            <w:shd w:val="clear" w:color="auto" w:fill="auto"/>
            <w:vAlign w:val="bottom"/>
            <w:hideMark/>
          </w:tcPr>
          <w:p w14:paraId="5A14FD31"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212,038</w:t>
            </w:r>
          </w:p>
        </w:tc>
        <w:tc>
          <w:tcPr>
            <w:tcW w:w="964" w:type="dxa"/>
            <w:tcBorders>
              <w:top w:val="nil"/>
              <w:left w:val="nil"/>
              <w:bottom w:val="nil"/>
              <w:right w:val="nil"/>
            </w:tcBorders>
            <w:shd w:val="clear" w:color="auto" w:fill="auto"/>
            <w:vAlign w:val="bottom"/>
            <w:hideMark/>
          </w:tcPr>
          <w:p w14:paraId="72422042" w14:textId="77777777" w:rsidR="00C95312" w:rsidRPr="00D14430" w:rsidRDefault="00C95312" w:rsidP="00E85896">
            <w:pPr>
              <w:jc w:val="right"/>
              <w:rPr>
                <w:color w:val="A6A6A6" w:themeColor="background1" w:themeShade="A6"/>
                <w:sz w:val="16"/>
                <w:szCs w:val="16"/>
                <w:lang w:eastAsia="ko-KR"/>
              </w:rPr>
            </w:pPr>
            <w:r w:rsidRPr="00D14430">
              <w:rPr>
                <w:color w:val="A6A6A6" w:themeColor="background1" w:themeShade="A6"/>
                <w:sz w:val="16"/>
                <w:szCs w:val="16"/>
                <w:lang w:eastAsia="ko-KR"/>
              </w:rPr>
              <w:t>213,300</w:t>
            </w:r>
          </w:p>
        </w:tc>
      </w:tr>
      <w:tr w:rsidR="00C95312" w:rsidRPr="00F51109" w14:paraId="23CC0B7E" w14:textId="77777777" w:rsidTr="00E85896">
        <w:trPr>
          <w:gridAfter w:val="1"/>
          <w:wAfter w:w="52" w:type="dxa"/>
          <w:trHeight w:val="283"/>
        </w:trPr>
        <w:tc>
          <w:tcPr>
            <w:tcW w:w="4212" w:type="dxa"/>
            <w:tcBorders>
              <w:top w:val="single" w:sz="4" w:space="0" w:color="auto"/>
              <w:left w:val="nil"/>
              <w:bottom w:val="single" w:sz="4" w:space="0" w:color="auto"/>
              <w:right w:val="nil"/>
            </w:tcBorders>
            <w:shd w:val="clear" w:color="auto" w:fill="auto"/>
            <w:vAlign w:val="center"/>
            <w:hideMark/>
          </w:tcPr>
          <w:p w14:paraId="3C639184"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TOTAL NET WORTH</w:t>
            </w:r>
          </w:p>
        </w:tc>
        <w:tc>
          <w:tcPr>
            <w:tcW w:w="964" w:type="dxa"/>
            <w:tcBorders>
              <w:top w:val="single" w:sz="4" w:space="0" w:color="auto"/>
              <w:left w:val="nil"/>
              <w:bottom w:val="single" w:sz="4" w:space="0" w:color="auto"/>
              <w:right w:val="nil"/>
            </w:tcBorders>
            <w:shd w:val="clear" w:color="auto" w:fill="auto"/>
            <w:vAlign w:val="center"/>
            <w:hideMark/>
          </w:tcPr>
          <w:p w14:paraId="52D23FF5"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234,587</w:t>
            </w:r>
          </w:p>
        </w:tc>
        <w:tc>
          <w:tcPr>
            <w:tcW w:w="964" w:type="dxa"/>
            <w:tcBorders>
              <w:top w:val="single" w:sz="4" w:space="0" w:color="auto"/>
              <w:left w:val="nil"/>
              <w:bottom w:val="single" w:sz="4" w:space="0" w:color="auto"/>
              <w:right w:val="nil"/>
            </w:tcBorders>
            <w:shd w:val="clear" w:color="auto" w:fill="auto"/>
            <w:vAlign w:val="center"/>
            <w:hideMark/>
          </w:tcPr>
          <w:p w14:paraId="66EC6D06"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271,812</w:t>
            </w:r>
          </w:p>
        </w:tc>
        <w:tc>
          <w:tcPr>
            <w:tcW w:w="964" w:type="dxa"/>
            <w:tcBorders>
              <w:top w:val="single" w:sz="4" w:space="0" w:color="auto"/>
              <w:left w:val="nil"/>
              <w:bottom w:val="single" w:sz="4" w:space="0" w:color="auto"/>
              <w:right w:val="nil"/>
            </w:tcBorders>
            <w:shd w:val="clear" w:color="auto" w:fill="auto"/>
            <w:vAlign w:val="center"/>
            <w:hideMark/>
          </w:tcPr>
          <w:p w14:paraId="171F62E9"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267,203</w:t>
            </w:r>
          </w:p>
        </w:tc>
        <w:tc>
          <w:tcPr>
            <w:tcW w:w="964" w:type="dxa"/>
            <w:gridSpan w:val="3"/>
            <w:tcBorders>
              <w:top w:val="single" w:sz="4" w:space="0" w:color="auto"/>
              <w:left w:val="nil"/>
              <w:bottom w:val="single" w:sz="4" w:space="0" w:color="auto"/>
              <w:right w:val="nil"/>
            </w:tcBorders>
            <w:shd w:val="clear" w:color="auto" w:fill="auto"/>
            <w:vAlign w:val="center"/>
            <w:hideMark/>
          </w:tcPr>
          <w:p w14:paraId="2A22556B" w14:textId="6709E13D"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273,230</w:t>
            </w:r>
          </w:p>
        </w:tc>
        <w:tc>
          <w:tcPr>
            <w:tcW w:w="964" w:type="dxa"/>
            <w:gridSpan w:val="3"/>
            <w:tcBorders>
              <w:top w:val="single" w:sz="4" w:space="0" w:color="auto"/>
              <w:left w:val="nil"/>
              <w:bottom w:val="single" w:sz="4" w:space="0" w:color="auto"/>
              <w:right w:val="nil"/>
            </w:tcBorders>
            <w:shd w:val="clear" w:color="auto" w:fill="auto"/>
            <w:vAlign w:val="center"/>
            <w:hideMark/>
          </w:tcPr>
          <w:p w14:paraId="0233BC5F"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279,067</w:t>
            </w:r>
          </w:p>
        </w:tc>
        <w:tc>
          <w:tcPr>
            <w:tcW w:w="964" w:type="dxa"/>
            <w:tcBorders>
              <w:top w:val="single" w:sz="4" w:space="0" w:color="auto"/>
              <w:left w:val="nil"/>
              <w:bottom w:val="single" w:sz="4" w:space="0" w:color="auto"/>
              <w:right w:val="nil"/>
            </w:tcBorders>
            <w:shd w:val="clear" w:color="auto" w:fill="auto"/>
            <w:vAlign w:val="center"/>
            <w:hideMark/>
          </w:tcPr>
          <w:p w14:paraId="15CE3B77"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280,316</w:t>
            </w:r>
          </w:p>
        </w:tc>
      </w:tr>
      <w:tr w:rsidR="00C95312" w:rsidRPr="00F51109" w14:paraId="251F092B" w14:textId="77777777" w:rsidTr="00E85896">
        <w:trPr>
          <w:gridAfter w:val="1"/>
          <w:wAfter w:w="52" w:type="dxa"/>
          <w:trHeight w:val="237"/>
        </w:trPr>
        <w:tc>
          <w:tcPr>
            <w:tcW w:w="4212" w:type="dxa"/>
            <w:tcBorders>
              <w:top w:val="nil"/>
              <w:left w:val="nil"/>
              <w:bottom w:val="nil"/>
              <w:right w:val="nil"/>
            </w:tcBorders>
            <w:shd w:val="clear" w:color="auto" w:fill="auto"/>
            <w:vAlign w:val="center"/>
            <w:hideMark/>
          </w:tcPr>
          <w:p w14:paraId="65E1A149" w14:textId="77777777" w:rsidR="00C95312" w:rsidRPr="00F51109" w:rsidRDefault="00C95312" w:rsidP="00E85896">
            <w:pPr>
              <w:rPr>
                <w:b/>
                <w:bCs/>
                <w:color w:val="000000"/>
                <w:sz w:val="16"/>
                <w:szCs w:val="16"/>
                <w:lang w:eastAsia="ko-KR"/>
              </w:rPr>
            </w:pPr>
            <w:r w:rsidRPr="00F51109">
              <w:rPr>
                <w:b/>
                <w:bCs/>
                <w:color w:val="000000"/>
                <w:sz w:val="16"/>
                <w:szCs w:val="16"/>
                <w:lang w:eastAsia="ko-KR"/>
              </w:rPr>
              <w:t>OTHER FISCAL AGGREGATES</w:t>
            </w:r>
          </w:p>
        </w:tc>
        <w:tc>
          <w:tcPr>
            <w:tcW w:w="964" w:type="dxa"/>
            <w:tcBorders>
              <w:top w:val="nil"/>
              <w:left w:val="nil"/>
              <w:bottom w:val="nil"/>
              <w:right w:val="nil"/>
            </w:tcBorders>
            <w:shd w:val="clear" w:color="auto" w:fill="auto"/>
            <w:vAlign w:val="center"/>
            <w:hideMark/>
          </w:tcPr>
          <w:p w14:paraId="1BF5566C" w14:textId="77777777" w:rsidR="00C95312" w:rsidRPr="00D14430" w:rsidRDefault="00C95312" w:rsidP="00E85896">
            <w:pPr>
              <w:rPr>
                <w:rFonts w:ascii="Calibri" w:hAnsi="Calibri" w:cs="Calibri"/>
                <w:color w:val="A6A6A6" w:themeColor="background1" w:themeShade="A6"/>
                <w:sz w:val="22"/>
                <w:szCs w:val="22"/>
                <w:lang w:eastAsia="ko-KR"/>
              </w:rPr>
            </w:pPr>
            <w:r w:rsidRPr="00D14430">
              <w:rPr>
                <w:rFonts w:ascii="Calibri" w:hAnsi="Calibri" w:cs="Calibri"/>
                <w:color w:val="A6A6A6" w:themeColor="background1" w:themeShade="A6"/>
                <w:sz w:val="22"/>
                <w:szCs w:val="22"/>
                <w:lang w:eastAsia="ko-KR"/>
              </w:rPr>
              <w:t> </w:t>
            </w:r>
          </w:p>
        </w:tc>
        <w:tc>
          <w:tcPr>
            <w:tcW w:w="964" w:type="dxa"/>
            <w:tcBorders>
              <w:top w:val="nil"/>
              <w:left w:val="nil"/>
              <w:bottom w:val="nil"/>
              <w:right w:val="nil"/>
            </w:tcBorders>
            <w:shd w:val="clear" w:color="auto" w:fill="auto"/>
            <w:vAlign w:val="center"/>
            <w:hideMark/>
          </w:tcPr>
          <w:p w14:paraId="2E012C1A" w14:textId="77777777" w:rsidR="00C95312" w:rsidRPr="00F51109" w:rsidRDefault="00C95312" w:rsidP="00E85896">
            <w:pPr>
              <w:rPr>
                <w:rFonts w:ascii="Calibri" w:hAnsi="Calibri" w:cs="Calibri"/>
                <w:color w:val="000000"/>
                <w:sz w:val="22"/>
                <w:szCs w:val="22"/>
                <w:lang w:eastAsia="ko-KR"/>
              </w:rPr>
            </w:pPr>
            <w:r w:rsidRPr="00F51109">
              <w:rPr>
                <w:rFonts w:ascii="Calibri" w:hAnsi="Calibri" w:cs="Calibri"/>
                <w:color w:val="000000"/>
                <w:sz w:val="22"/>
                <w:szCs w:val="22"/>
                <w:lang w:eastAsia="ko-KR"/>
              </w:rPr>
              <w:t> </w:t>
            </w:r>
          </w:p>
        </w:tc>
        <w:tc>
          <w:tcPr>
            <w:tcW w:w="964" w:type="dxa"/>
            <w:tcBorders>
              <w:top w:val="nil"/>
              <w:left w:val="nil"/>
              <w:bottom w:val="nil"/>
              <w:right w:val="nil"/>
            </w:tcBorders>
            <w:shd w:val="clear" w:color="auto" w:fill="auto"/>
            <w:vAlign w:val="center"/>
            <w:hideMark/>
          </w:tcPr>
          <w:p w14:paraId="7E05A421" w14:textId="77777777" w:rsidR="00C95312" w:rsidRPr="00F51109" w:rsidRDefault="00C95312" w:rsidP="00E85896">
            <w:pPr>
              <w:rPr>
                <w:rFonts w:ascii="Calibri" w:hAnsi="Calibri" w:cs="Calibri"/>
                <w:color w:val="000000"/>
                <w:sz w:val="22"/>
                <w:szCs w:val="22"/>
                <w:lang w:eastAsia="ko-KR"/>
              </w:rPr>
            </w:pPr>
            <w:r w:rsidRPr="00F51109">
              <w:rPr>
                <w:rFonts w:ascii="Calibri" w:hAnsi="Calibri" w:cs="Calibri"/>
                <w:color w:val="000000"/>
                <w:sz w:val="22"/>
                <w:szCs w:val="22"/>
                <w:lang w:eastAsia="ko-KR"/>
              </w:rPr>
              <w:t> </w:t>
            </w:r>
          </w:p>
        </w:tc>
        <w:tc>
          <w:tcPr>
            <w:tcW w:w="964" w:type="dxa"/>
            <w:gridSpan w:val="3"/>
            <w:tcBorders>
              <w:top w:val="nil"/>
              <w:left w:val="nil"/>
              <w:bottom w:val="nil"/>
              <w:right w:val="nil"/>
            </w:tcBorders>
            <w:shd w:val="clear" w:color="auto" w:fill="auto"/>
            <w:vAlign w:val="center"/>
            <w:hideMark/>
          </w:tcPr>
          <w:p w14:paraId="39767927" w14:textId="3183C451" w:rsidR="00C95312" w:rsidRPr="00D14430" w:rsidRDefault="00C95312" w:rsidP="00E85896">
            <w:pPr>
              <w:rPr>
                <w:rFonts w:ascii="Calibri" w:hAnsi="Calibri" w:cs="Calibri"/>
                <w:color w:val="A6A6A6" w:themeColor="background1" w:themeShade="A6"/>
                <w:sz w:val="22"/>
                <w:szCs w:val="22"/>
                <w:lang w:eastAsia="ko-KR"/>
              </w:rPr>
            </w:pPr>
            <w:r w:rsidRPr="00D14430">
              <w:rPr>
                <w:rFonts w:ascii="Calibri" w:hAnsi="Calibri" w:cs="Calibri"/>
                <w:color w:val="A6A6A6" w:themeColor="background1" w:themeShade="A6"/>
                <w:sz w:val="22"/>
                <w:szCs w:val="22"/>
                <w:lang w:eastAsia="ko-KR"/>
              </w:rPr>
              <w:t> </w:t>
            </w:r>
          </w:p>
        </w:tc>
        <w:tc>
          <w:tcPr>
            <w:tcW w:w="964" w:type="dxa"/>
            <w:gridSpan w:val="3"/>
            <w:tcBorders>
              <w:top w:val="nil"/>
              <w:left w:val="nil"/>
              <w:bottom w:val="nil"/>
              <w:right w:val="nil"/>
            </w:tcBorders>
            <w:shd w:val="clear" w:color="auto" w:fill="auto"/>
            <w:vAlign w:val="center"/>
            <w:hideMark/>
          </w:tcPr>
          <w:p w14:paraId="1112AE0E" w14:textId="77777777" w:rsidR="00C95312" w:rsidRPr="00D14430" w:rsidRDefault="00C95312" w:rsidP="00E85896">
            <w:pPr>
              <w:rPr>
                <w:rFonts w:ascii="Calibri" w:hAnsi="Calibri" w:cs="Calibri"/>
                <w:color w:val="A6A6A6" w:themeColor="background1" w:themeShade="A6"/>
                <w:sz w:val="22"/>
                <w:szCs w:val="22"/>
                <w:lang w:eastAsia="ko-KR"/>
              </w:rPr>
            </w:pPr>
            <w:r w:rsidRPr="00D14430">
              <w:rPr>
                <w:rFonts w:ascii="Calibri" w:hAnsi="Calibri" w:cs="Calibri"/>
                <w:color w:val="A6A6A6" w:themeColor="background1" w:themeShade="A6"/>
                <w:sz w:val="22"/>
                <w:szCs w:val="22"/>
                <w:lang w:eastAsia="ko-KR"/>
              </w:rPr>
              <w:t> </w:t>
            </w:r>
          </w:p>
        </w:tc>
        <w:tc>
          <w:tcPr>
            <w:tcW w:w="964" w:type="dxa"/>
            <w:tcBorders>
              <w:top w:val="nil"/>
              <w:left w:val="nil"/>
              <w:bottom w:val="nil"/>
              <w:right w:val="nil"/>
            </w:tcBorders>
            <w:shd w:val="clear" w:color="auto" w:fill="auto"/>
            <w:vAlign w:val="center"/>
            <w:hideMark/>
          </w:tcPr>
          <w:p w14:paraId="14ABFD3F" w14:textId="77777777" w:rsidR="00C95312" w:rsidRPr="00D14430" w:rsidRDefault="00C95312" w:rsidP="00E85896">
            <w:pPr>
              <w:rPr>
                <w:rFonts w:ascii="Calibri" w:hAnsi="Calibri" w:cs="Calibri"/>
                <w:color w:val="A6A6A6" w:themeColor="background1" w:themeShade="A6"/>
                <w:sz w:val="22"/>
                <w:szCs w:val="22"/>
                <w:lang w:eastAsia="ko-KR"/>
              </w:rPr>
            </w:pPr>
            <w:r w:rsidRPr="00D14430">
              <w:rPr>
                <w:rFonts w:ascii="Calibri" w:hAnsi="Calibri" w:cs="Calibri"/>
                <w:color w:val="A6A6A6" w:themeColor="background1" w:themeShade="A6"/>
                <w:sz w:val="22"/>
                <w:szCs w:val="22"/>
                <w:lang w:eastAsia="ko-KR"/>
              </w:rPr>
              <w:t> </w:t>
            </w:r>
          </w:p>
        </w:tc>
      </w:tr>
      <w:tr w:rsidR="00C95312" w:rsidRPr="00F51109" w14:paraId="1127AF71"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32AF81B3"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Net Debt</w:t>
            </w:r>
            <w:r w:rsidRPr="00F51109">
              <w:rPr>
                <w:b/>
                <w:bCs/>
                <w:color w:val="008EBA"/>
                <w:sz w:val="16"/>
                <w:szCs w:val="16"/>
                <w:vertAlign w:val="superscript"/>
                <w:lang w:eastAsia="ko-KR"/>
              </w:rPr>
              <w:t>(b)</w:t>
            </w:r>
          </w:p>
        </w:tc>
        <w:tc>
          <w:tcPr>
            <w:tcW w:w="964" w:type="dxa"/>
            <w:tcBorders>
              <w:top w:val="nil"/>
              <w:left w:val="nil"/>
              <w:bottom w:val="nil"/>
              <w:right w:val="nil"/>
            </w:tcBorders>
            <w:shd w:val="clear" w:color="auto" w:fill="auto"/>
            <w:vAlign w:val="bottom"/>
            <w:hideMark/>
          </w:tcPr>
          <w:p w14:paraId="120F8A05"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37,076</w:t>
            </w:r>
          </w:p>
        </w:tc>
        <w:tc>
          <w:tcPr>
            <w:tcW w:w="964" w:type="dxa"/>
            <w:tcBorders>
              <w:top w:val="nil"/>
              <w:left w:val="nil"/>
              <w:bottom w:val="nil"/>
              <w:right w:val="nil"/>
            </w:tcBorders>
            <w:shd w:val="clear" w:color="auto" w:fill="auto"/>
            <w:vAlign w:val="bottom"/>
            <w:hideMark/>
          </w:tcPr>
          <w:p w14:paraId="792E9B0F"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53,538</w:t>
            </w:r>
          </w:p>
        </w:tc>
        <w:tc>
          <w:tcPr>
            <w:tcW w:w="964" w:type="dxa"/>
            <w:tcBorders>
              <w:top w:val="nil"/>
              <w:left w:val="nil"/>
              <w:bottom w:val="nil"/>
              <w:right w:val="nil"/>
            </w:tcBorders>
            <w:shd w:val="clear" w:color="auto" w:fill="auto"/>
            <w:vAlign w:val="bottom"/>
            <w:hideMark/>
          </w:tcPr>
          <w:p w14:paraId="0BFF85F7"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78,169</w:t>
            </w:r>
          </w:p>
        </w:tc>
        <w:tc>
          <w:tcPr>
            <w:tcW w:w="964" w:type="dxa"/>
            <w:gridSpan w:val="3"/>
            <w:tcBorders>
              <w:top w:val="nil"/>
              <w:left w:val="nil"/>
              <w:bottom w:val="nil"/>
              <w:right w:val="nil"/>
            </w:tcBorders>
            <w:shd w:val="clear" w:color="auto" w:fill="auto"/>
            <w:vAlign w:val="bottom"/>
            <w:hideMark/>
          </w:tcPr>
          <w:p w14:paraId="64C2FD6A" w14:textId="61F885A8"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93,749</w:t>
            </w:r>
          </w:p>
        </w:tc>
        <w:tc>
          <w:tcPr>
            <w:tcW w:w="964" w:type="dxa"/>
            <w:gridSpan w:val="3"/>
            <w:tcBorders>
              <w:top w:val="nil"/>
              <w:left w:val="nil"/>
              <w:bottom w:val="nil"/>
              <w:right w:val="nil"/>
            </w:tcBorders>
            <w:shd w:val="clear" w:color="auto" w:fill="auto"/>
            <w:vAlign w:val="bottom"/>
            <w:hideMark/>
          </w:tcPr>
          <w:p w14:paraId="2780BD8D"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105,519</w:t>
            </w:r>
          </w:p>
        </w:tc>
        <w:tc>
          <w:tcPr>
            <w:tcW w:w="964" w:type="dxa"/>
            <w:tcBorders>
              <w:top w:val="nil"/>
              <w:left w:val="nil"/>
              <w:bottom w:val="nil"/>
              <w:right w:val="nil"/>
            </w:tcBorders>
            <w:shd w:val="clear" w:color="auto" w:fill="auto"/>
            <w:vAlign w:val="bottom"/>
            <w:hideMark/>
          </w:tcPr>
          <w:p w14:paraId="10F48F3C"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114,814</w:t>
            </w:r>
          </w:p>
        </w:tc>
      </w:tr>
      <w:tr w:rsidR="00C95312" w:rsidRPr="00F51109" w14:paraId="6F01A410" w14:textId="77777777" w:rsidTr="00E85896">
        <w:trPr>
          <w:gridAfter w:val="1"/>
          <w:wAfter w:w="52" w:type="dxa"/>
          <w:trHeight w:val="237"/>
        </w:trPr>
        <w:tc>
          <w:tcPr>
            <w:tcW w:w="4212" w:type="dxa"/>
            <w:tcBorders>
              <w:top w:val="nil"/>
              <w:left w:val="nil"/>
              <w:bottom w:val="nil"/>
              <w:right w:val="nil"/>
            </w:tcBorders>
            <w:shd w:val="clear" w:color="auto" w:fill="auto"/>
            <w:vAlign w:val="bottom"/>
            <w:hideMark/>
          </w:tcPr>
          <w:p w14:paraId="3A822FD5"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Net Financial Liabilities</w:t>
            </w:r>
            <w:r w:rsidRPr="00F51109">
              <w:rPr>
                <w:b/>
                <w:bCs/>
                <w:color w:val="008EBA"/>
                <w:sz w:val="16"/>
                <w:szCs w:val="16"/>
                <w:vertAlign w:val="superscript"/>
                <w:lang w:eastAsia="ko-KR"/>
              </w:rPr>
              <w:t>(c)</w:t>
            </w:r>
          </w:p>
        </w:tc>
        <w:tc>
          <w:tcPr>
            <w:tcW w:w="964" w:type="dxa"/>
            <w:tcBorders>
              <w:top w:val="nil"/>
              <w:left w:val="nil"/>
              <w:bottom w:val="nil"/>
              <w:right w:val="nil"/>
            </w:tcBorders>
            <w:shd w:val="clear" w:color="auto" w:fill="auto"/>
            <w:vAlign w:val="bottom"/>
            <w:hideMark/>
          </w:tcPr>
          <w:p w14:paraId="2F71D78B"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137,076</w:t>
            </w:r>
          </w:p>
        </w:tc>
        <w:tc>
          <w:tcPr>
            <w:tcW w:w="964" w:type="dxa"/>
            <w:tcBorders>
              <w:top w:val="nil"/>
              <w:left w:val="nil"/>
              <w:bottom w:val="nil"/>
              <w:right w:val="nil"/>
            </w:tcBorders>
            <w:shd w:val="clear" w:color="auto" w:fill="auto"/>
            <w:vAlign w:val="bottom"/>
            <w:hideMark/>
          </w:tcPr>
          <w:p w14:paraId="3D66CF2E"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148,939</w:t>
            </w:r>
          </w:p>
        </w:tc>
        <w:tc>
          <w:tcPr>
            <w:tcW w:w="964" w:type="dxa"/>
            <w:tcBorders>
              <w:top w:val="nil"/>
              <w:left w:val="nil"/>
              <w:bottom w:val="nil"/>
              <w:right w:val="nil"/>
            </w:tcBorders>
            <w:shd w:val="clear" w:color="auto" w:fill="auto"/>
            <w:vAlign w:val="bottom"/>
            <w:hideMark/>
          </w:tcPr>
          <w:p w14:paraId="2C26EFD4"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174,467</w:t>
            </w:r>
          </w:p>
        </w:tc>
        <w:tc>
          <w:tcPr>
            <w:tcW w:w="964" w:type="dxa"/>
            <w:gridSpan w:val="3"/>
            <w:tcBorders>
              <w:top w:val="nil"/>
              <w:left w:val="nil"/>
              <w:bottom w:val="nil"/>
              <w:right w:val="nil"/>
            </w:tcBorders>
            <w:shd w:val="clear" w:color="auto" w:fill="auto"/>
            <w:vAlign w:val="bottom"/>
            <w:hideMark/>
          </w:tcPr>
          <w:p w14:paraId="6CCB62DE" w14:textId="36F0E3F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189,863</w:t>
            </w:r>
          </w:p>
        </w:tc>
        <w:tc>
          <w:tcPr>
            <w:tcW w:w="964" w:type="dxa"/>
            <w:gridSpan w:val="3"/>
            <w:tcBorders>
              <w:top w:val="nil"/>
              <w:left w:val="nil"/>
              <w:bottom w:val="nil"/>
              <w:right w:val="nil"/>
            </w:tcBorders>
            <w:shd w:val="clear" w:color="auto" w:fill="auto"/>
            <w:vAlign w:val="bottom"/>
            <w:hideMark/>
          </w:tcPr>
          <w:p w14:paraId="519CCA18" w14:textId="7FB3AF84" w:rsidR="00C95312" w:rsidRPr="00D14430" w:rsidRDefault="00D14430" w:rsidP="00E85896">
            <w:pPr>
              <w:jc w:val="right"/>
              <w:rPr>
                <w:b/>
                <w:bCs/>
                <w:color w:val="A6A6A6" w:themeColor="background1" w:themeShade="A6"/>
                <w:sz w:val="16"/>
                <w:szCs w:val="16"/>
                <w:lang w:eastAsia="ko-KR"/>
              </w:rPr>
            </w:pPr>
            <w:r w:rsidRPr="00E2024F">
              <w:rPr>
                <w:i/>
                <w:noProof/>
                <w:color w:val="4F4F4F"/>
                <w:sz w:val="22"/>
                <w:szCs w:val="22"/>
              </w:rPr>
              <mc:AlternateContent>
                <mc:Choice Requires="wps">
                  <w:drawing>
                    <wp:anchor distT="0" distB="0" distL="114300" distR="114300" simplePos="0" relativeHeight="251658250" behindDoc="0" locked="0" layoutInCell="1" allowOverlap="1" wp14:anchorId="3BD32CE9" wp14:editId="19FF171E">
                      <wp:simplePos x="0" y="0"/>
                      <wp:positionH relativeFrom="column">
                        <wp:posOffset>-510540</wp:posOffset>
                      </wp:positionH>
                      <wp:positionV relativeFrom="paragraph">
                        <wp:posOffset>-433070</wp:posOffset>
                      </wp:positionV>
                      <wp:extent cx="1542415" cy="503555"/>
                      <wp:effectExtent l="171450" t="0" r="19685" b="10795"/>
                      <wp:wrapNone/>
                      <wp:docPr id="24" name="Speech Bubble: Rectangle with Corners Rounded 20"/>
                      <wp:cNvGraphicFramePr/>
                      <a:graphic xmlns:a="http://schemas.openxmlformats.org/drawingml/2006/main">
                        <a:graphicData uri="http://schemas.microsoft.com/office/word/2010/wordprocessingShape">
                          <wps:wsp>
                            <wps:cNvSpPr/>
                            <wps:spPr>
                              <a:xfrm>
                                <a:off x="0" y="0"/>
                                <a:ext cx="1542415" cy="503555"/>
                              </a:xfrm>
                              <a:prstGeom prst="wedgeRoundRectCallout">
                                <a:avLst>
                                  <a:gd name="adj1" fmla="val -59338"/>
                                  <a:gd name="adj2" fmla="val -43562"/>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436FCD18" w14:textId="77777777" w:rsidR="005B1B1A" w:rsidRDefault="005B1B1A" w:rsidP="005B1B1A">
                                  <w:pPr>
                                    <w:rPr>
                                      <w:sz w:val="24"/>
                                      <w:szCs w:val="24"/>
                                    </w:rPr>
                                  </w:pPr>
                                  <w:r>
                                    <w:rPr>
                                      <w:b/>
                                      <w:color w:val="44546A" w:themeColor="text2"/>
                                      <w:kern w:val="24"/>
                                      <w:sz w:val="18"/>
                                      <w:szCs w:val="18"/>
                                    </w:rPr>
                                    <w:t>Net worth</w:t>
                                  </w:r>
                                </w:p>
                                <w:p w14:paraId="331BE74A" w14:textId="77777777" w:rsidR="005B1B1A" w:rsidRDefault="005B1B1A" w:rsidP="005B1B1A">
                                  <w:r>
                                    <w:rPr>
                                      <w:color w:val="44546A" w:themeColor="text2"/>
                                      <w:kern w:val="24"/>
                                      <w:sz w:val="18"/>
                                      <w:szCs w:val="18"/>
                                    </w:rPr>
                                    <w:t>Assets minus liabilities</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3BD32CE9" id="Speech Bubble: Rectangle with Corners Rounded 20" o:spid="_x0000_s1082" type="#_x0000_t62" style="position:absolute;left:0;text-align:left;margin-left:-40.2pt;margin-top:-34.1pt;width:121.45pt;height:39.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" adj="-2017,1391" fillcolor="#f2f2f2 [3052]" strokecolor="#44546a [3215]" strokeweight="1.75pt">
                      <v:stroke dashstyle="3 1"/>
                      <v:textbox inset="1mm,1mm,1mm,1mm">
                        <w:txbxContent>
                          <w:p w14:paraId="436FCD18" w14:textId="77777777" w:rsidR="005B1B1A" w:rsidRDefault="005B1B1A" w:rsidP="005B1B1A">
                            <w:pPr>
                              <w:rPr>
                                <w:sz w:val="24"/>
                                <w:szCs w:val="24"/>
                              </w:rPr>
                            </w:pPr>
                            <w:r>
                              <w:rPr>
                                <w:b/>
                                <w:color w:val="44546A" w:themeColor="text2"/>
                                <w:kern w:val="24"/>
                                <w:sz w:val="18"/>
                                <w:szCs w:val="18"/>
                              </w:rPr>
                              <w:t>Net worth</w:t>
                            </w:r>
                          </w:p>
                          <w:p w14:paraId="331BE74A" w14:textId="77777777" w:rsidR="005B1B1A" w:rsidRDefault="005B1B1A" w:rsidP="005B1B1A">
                            <w:r>
                              <w:rPr>
                                <w:color w:val="44546A" w:themeColor="text2"/>
                                <w:kern w:val="24"/>
                                <w:sz w:val="18"/>
                                <w:szCs w:val="18"/>
                              </w:rPr>
                              <w:t>Assets minus liabilities</w:t>
                            </w:r>
                          </w:p>
                        </w:txbxContent>
                      </v:textbox>
                    </v:shape>
                  </w:pict>
                </mc:Fallback>
              </mc:AlternateContent>
            </w:r>
            <w:r w:rsidR="00C95312" w:rsidRPr="00D14430">
              <w:rPr>
                <w:b/>
                <w:bCs/>
                <w:color w:val="A6A6A6" w:themeColor="background1" w:themeShade="A6"/>
                <w:sz w:val="16"/>
                <w:szCs w:val="16"/>
                <w:lang w:eastAsia="ko-KR"/>
              </w:rPr>
              <w:t>199,705</w:t>
            </w:r>
          </w:p>
        </w:tc>
        <w:tc>
          <w:tcPr>
            <w:tcW w:w="964" w:type="dxa"/>
            <w:tcBorders>
              <w:top w:val="nil"/>
              <w:left w:val="nil"/>
              <w:bottom w:val="nil"/>
              <w:right w:val="nil"/>
            </w:tcBorders>
            <w:shd w:val="clear" w:color="auto" w:fill="auto"/>
            <w:vAlign w:val="bottom"/>
            <w:hideMark/>
          </w:tcPr>
          <w:p w14:paraId="0701E6D8"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210,191</w:t>
            </w:r>
          </w:p>
        </w:tc>
      </w:tr>
      <w:tr w:rsidR="00C95312" w:rsidRPr="00F51109" w14:paraId="3D30AAA8" w14:textId="77777777" w:rsidTr="00E85896">
        <w:trPr>
          <w:gridAfter w:val="1"/>
          <w:wAfter w:w="52" w:type="dxa"/>
          <w:trHeight w:val="237"/>
        </w:trPr>
        <w:tc>
          <w:tcPr>
            <w:tcW w:w="4212" w:type="dxa"/>
            <w:tcBorders>
              <w:top w:val="nil"/>
              <w:left w:val="nil"/>
              <w:bottom w:val="single" w:sz="4" w:space="0" w:color="auto"/>
              <w:right w:val="nil"/>
            </w:tcBorders>
            <w:shd w:val="clear" w:color="auto" w:fill="auto"/>
            <w:vAlign w:val="bottom"/>
            <w:hideMark/>
          </w:tcPr>
          <w:p w14:paraId="2CFFF179" w14:textId="77777777" w:rsidR="00C95312" w:rsidRPr="00F51109" w:rsidRDefault="00C95312" w:rsidP="00E85896">
            <w:pPr>
              <w:rPr>
                <w:b/>
                <w:bCs/>
                <w:color w:val="008EBA"/>
                <w:sz w:val="16"/>
                <w:szCs w:val="16"/>
                <w:lang w:eastAsia="ko-KR"/>
              </w:rPr>
            </w:pPr>
            <w:r w:rsidRPr="00F51109">
              <w:rPr>
                <w:b/>
                <w:bCs/>
                <w:color w:val="008EBA"/>
                <w:sz w:val="16"/>
                <w:szCs w:val="16"/>
                <w:lang w:eastAsia="ko-KR"/>
              </w:rPr>
              <w:t>Net Financial Worth</w:t>
            </w:r>
            <w:r w:rsidRPr="00F51109">
              <w:rPr>
                <w:b/>
                <w:bCs/>
                <w:color w:val="008EBA"/>
                <w:sz w:val="16"/>
                <w:szCs w:val="16"/>
                <w:vertAlign w:val="superscript"/>
                <w:lang w:eastAsia="ko-KR"/>
              </w:rPr>
              <w:t>(d)</w:t>
            </w:r>
          </w:p>
        </w:tc>
        <w:tc>
          <w:tcPr>
            <w:tcW w:w="964" w:type="dxa"/>
            <w:tcBorders>
              <w:top w:val="nil"/>
              <w:left w:val="nil"/>
              <w:bottom w:val="single" w:sz="4" w:space="0" w:color="auto"/>
              <w:right w:val="nil"/>
            </w:tcBorders>
            <w:shd w:val="clear" w:color="auto" w:fill="auto"/>
            <w:vAlign w:val="bottom"/>
            <w:hideMark/>
          </w:tcPr>
          <w:p w14:paraId="71DF8BF1"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(51,297)</w:t>
            </w:r>
          </w:p>
        </w:tc>
        <w:tc>
          <w:tcPr>
            <w:tcW w:w="964" w:type="dxa"/>
            <w:tcBorders>
              <w:top w:val="nil"/>
              <w:left w:val="nil"/>
              <w:bottom w:val="single" w:sz="4" w:space="0" w:color="auto"/>
              <w:right w:val="nil"/>
            </w:tcBorders>
            <w:shd w:val="clear" w:color="auto" w:fill="auto"/>
            <w:vAlign w:val="bottom"/>
            <w:hideMark/>
          </w:tcPr>
          <w:p w14:paraId="2808865A"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(36,609)</w:t>
            </w:r>
          </w:p>
        </w:tc>
        <w:tc>
          <w:tcPr>
            <w:tcW w:w="964" w:type="dxa"/>
            <w:tcBorders>
              <w:top w:val="nil"/>
              <w:left w:val="nil"/>
              <w:bottom w:val="single" w:sz="4" w:space="0" w:color="auto"/>
              <w:right w:val="nil"/>
            </w:tcBorders>
            <w:shd w:val="clear" w:color="auto" w:fill="auto"/>
            <w:vAlign w:val="bottom"/>
            <w:hideMark/>
          </w:tcPr>
          <w:p w14:paraId="6A16F074" w14:textId="77777777" w:rsidR="00C95312" w:rsidRPr="00F51109" w:rsidRDefault="00C95312" w:rsidP="00E85896">
            <w:pPr>
              <w:jc w:val="right"/>
              <w:rPr>
                <w:b/>
                <w:bCs/>
                <w:color w:val="008EBA"/>
                <w:sz w:val="16"/>
                <w:szCs w:val="16"/>
                <w:lang w:eastAsia="ko-KR"/>
              </w:rPr>
            </w:pPr>
            <w:r w:rsidRPr="00F51109">
              <w:rPr>
                <w:b/>
                <w:bCs/>
                <w:color w:val="008EBA"/>
                <w:sz w:val="16"/>
                <w:szCs w:val="16"/>
                <w:lang w:eastAsia="ko-KR"/>
              </w:rPr>
              <w:t>(58,093)</w:t>
            </w:r>
          </w:p>
        </w:tc>
        <w:tc>
          <w:tcPr>
            <w:tcW w:w="964" w:type="dxa"/>
            <w:gridSpan w:val="3"/>
            <w:tcBorders>
              <w:top w:val="nil"/>
              <w:left w:val="nil"/>
              <w:bottom w:val="single" w:sz="4" w:space="0" w:color="auto"/>
              <w:right w:val="nil"/>
            </w:tcBorders>
            <w:shd w:val="clear" w:color="auto" w:fill="auto"/>
            <w:vAlign w:val="bottom"/>
            <w:hideMark/>
          </w:tcPr>
          <w:p w14:paraId="0D13701B"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(68,865)</w:t>
            </w:r>
          </w:p>
        </w:tc>
        <w:tc>
          <w:tcPr>
            <w:tcW w:w="964" w:type="dxa"/>
            <w:gridSpan w:val="3"/>
            <w:tcBorders>
              <w:top w:val="nil"/>
              <w:left w:val="nil"/>
              <w:bottom w:val="single" w:sz="4" w:space="0" w:color="auto"/>
              <w:right w:val="nil"/>
            </w:tcBorders>
            <w:shd w:val="clear" w:color="auto" w:fill="auto"/>
            <w:vAlign w:val="bottom"/>
            <w:hideMark/>
          </w:tcPr>
          <w:p w14:paraId="3DC066BE"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(76,119)</w:t>
            </w:r>
          </w:p>
        </w:tc>
        <w:tc>
          <w:tcPr>
            <w:tcW w:w="964" w:type="dxa"/>
            <w:tcBorders>
              <w:top w:val="nil"/>
              <w:left w:val="nil"/>
              <w:bottom w:val="single" w:sz="4" w:space="0" w:color="auto"/>
              <w:right w:val="nil"/>
            </w:tcBorders>
            <w:shd w:val="clear" w:color="auto" w:fill="auto"/>
            <w:vAlign w:val="bottom"/>
            <w:hideMark/>
          </w:tcPr>
          <w:p w14:paraId="193263F0" w14:textId="77777777" w:rsidR="00C95312" w:rsidRPr="00D14430" w:rsidRDefault="00C95312" w:rsidP="00E85896">
            <w:pPr>
              <w:jc w:val="right"/>
              <w:rPr>
                <w:b/>
                <w:bCs/>
                <w:color w:val="A6A6A6" w:themeColor="background1" w:themeShade="A6"/>
                <w:sz w:val="16"/>
                <w:szCs w:val="16"/>
                <w:lang w:eastAsia="ko-KR"/>
              </w:rPr>
            </w:pPr>
            <w:r w:rsidRPr="00D14430">
              <w:rPr>
                <w:b/>
                <w:bCs/>
                <w:color w:val="A6A6A6" w:themeColor="background1" w:themeShade="A6"/>
                <w:sz w:val="16"/>
                <w:szCs w:val="16"/>
                <w:lang w:eastAsia="ko-KR"/>
              </w:rPr>
              <w:t>(86,816)</w:t>
            </w:r>
          </w:p>
        </w:tc>
      </w:tr>
    </w:tbl>
    <w:p w14:paraId="0F0FB8EA" w14:textId="77777777" w:rsidR="00C95312" w:rsidRPr="00515FDA" w:rsidRDefault="00C95312" w:rsidP="00C95312">
      <w:pPr>
        <w:rPr>
          <w:sz w:val="6"/>
          <w:szCs w:val="6"/>
        </w:rPr>
      </w:pPr>
    </w:p>
    <w:p w14:paraId="12D33F26" w14:textId="22B86F32" w:rsidR="005B1B1A" w:rsidRPr="00E2024F" w:rsidRDefault="005B1B1A" w:rsidP="00E2024F">
      <w:pPr>
        <w:tabs>
          <w:tab w:val="left" w:pos="1276"/>
        </w:tabs>
        <w:spacing w:before="240" w:after="120"/>
        <w:rPr>
          <w:i/>
          <w:color w:val="4F4F4F"/>
          <w:sz w:val="22"/>
          <w:szCs w:val="22"/>
        </w:rPr>
      </w:pPr>
      <w:r w:rsidRPr="5E0D339E">
        <w:rPr>
          <w:i/>
          <w:iCs/>
          <w:color w:val="4F4F4F"/>
          <w:sz w:val="22"/>
          <w:szCs w:val="22"/>
        </w:rPr>
        <w:br w:type="page"/>
      </w:r>
    </w:p>
    <w:p w14:paraId="77E7FC16" w14:textId="375477F5" w:rsidR="006633E6" w:rsidRPr="009B4CB5" w:rsidRDefault="006633E6" w:rsidP="009B4CB5">
      <w:pPr>
        <w:pStyle w:val="Heading3"/>
      </w:pPr>
      <w:r w:rsidRPr="009B4CB5">
        <w:lastRenderedPageBreak/>
        <w:t>Cash Flow Statement</w:t>
      </w:r>
    </w:p>
    <w:p w14:paraId="5D67B6A0" w14:textId="3A37E66A" w:rsidR="00225CF2" w:rsidRPr="00385DEC" w:rsidRDefault="006633E6" w:rsidP="003B5132">
      <w:pPr>
        <w:pStyle w:val="BodyText"/>
      </w:pPr>
      <w:r w:rsidRPr="00385DEC">
        <w:t xml:space="preserve">The </w:t>
      </w:r>
      <w:r w:rsidR="00D74495" w:rsidRPr="00385DEC">
        <w:t xml:space="preserve">Cash Flow Statement shows how the </w:t>
      </w:r>
      <w:r w:rsidR="00345754">
        <w:t xml:space="preserve">NSW </w:t>
      </w:r>
      <w:r w:rsidR="00D74495" w:rsidRPr="00385DEC">
        <w:t xml:space="preserve">Government obtains and spends cash. It records the </w:t>
      </w:r>
      <w:r w:rsidR="008E6504">
        <w:t>g</w:t>
      </w:r>
      <w:r w:rsidR="00D74495" w:rsidRPr="00385DEC">
        <w:t>overnment’s cash inflows and outflows</w:t>
      </w:r>
      <w:r w:rsidR="00225CF2">
        <w:t xml:space="preserve">. </w:t>
      </w:r>
      <w:r w:rsidR="00225CF2" w:rsidRPr="00385DEC">
        <w:t>The Cash Flow Statement reports against two fiscal measures:</w:t>
      </w:r>
    </w:p>
    <w:p w14:paraId="6ED5F422" w14:textId="77777777" w:rsidR="00225CF2" w:rsidRDefault="00225CF2" w:rsidP="003B5132">
      <w:pPr>
        <w:pStyle w:val="Bullet1"/>
      </w:pPr>
      <w:r>
        <w:t>net increase in cash held</w:t>
      </w:r>
    </w:p>
    <w:p w14:paraId="376EE14C" w14:textId="1AECE8F3" w:rsidR="00225CF2" w:rsidRDefault="00225CF2" w:rsidP="003B5132">
      <w:pPr>
        <w:pStyle w:val="Bullet1"/>
      </w:pPr>
      <w:r>
        <w:t>cash surplus / (deficit)</w:t>
      </w:r>
      <w:r w:rsidR="00FE5B27">
        <w:t>.</w:t>
      </w:r>
      <w:r w:rsidR="00A7450C">
        <w:rPr>
          <w:rStyle w:val="FootnoteReference"/>
        </w:rPr>
        <w:footnoteReference w:id="5"/>
      </w:r>
    </w:p>
    <w:p w14:paraId="19BEDD5E" w14:textId="266DE813" w:rsidR="00B523AF" w:rsidRPr="00385DEC" w:rsidRDefault="00A94893" w:rsidP="003B5132">
      <w:pPr>
        <w:pStyle w:val="BodyText"/>
      </w:pPr>
      <w:r>
        <w:t>The Cash Flow statement is categorised i</w:t>
      </w:r>
      <w:r w:rsidR="00D74495" w:rsidRPr="00385DEC">
        <w:t xml:space="preserve">nto </w:t>
      </w:r>
      <w:r w:rsidR="00B523AF" w:rsidRPr="00385DEC">
        <w:t>three main sections:</w:t>
      </w:r>
    </w:p>
    <w:p w14:paraId="4A3F1EEA" w14:textId="4336EA2B" w:rsidR="00B523AF" w:rsidRDefault="00B523AF" w:rsidP="003B5132">
      <w:pPr>
        <w:pStyle w:val="Bullet1"/>
      </w:pPr>
      <w:r>
        <w:t xml:space="preserve">cash flow from </w:t>
      </w:r>
      <w:r w:rsidR="00D74495">
        <w:t>operating activities</w:t>
      </w:r>
    </w:p>
    <w:p w14:paraId="7291C096" w14:textId="21B43928" w:rsidR="00B523AF" w:rsidRDefault="00B523AF" w:rsidP="003B5132">
      <w:pPr>
        <w:pStyle w:val="Bullet1"/>
      </w:pPr>
      <w:r>
        <w:t xml:space="preserve">cash flow from </w:t>
      </w:r>
      <w:r w:rsidR="00D74495">
        <w:t xml:space="preserve">investing activities </w:t>
      </w:r>
    </w:p>
    <w:p w14:paraId="5C962291" w14:textId="39B16E43" w:rsidR="006633E6" w:rsidRDefault="00B523AF" w:rsidP="003B5132">
      <w:pPr>
        <w:pStyle w:val="Bullet1"/>
      </w:pPr>
      <w:r>
        <w:t xml:space="preserve">cash flow from </w:t>
      </w:r>
      <w:r w:rsidR="00D74495">
        <w:t>financing activities.</w:t>
      </w:r>
    </w:p>
    <w:p w14:paraId="06B8FA0F" w14:textId="49298662" w:rsidR="00463C9F" w:rsidRDefault="00463C9F" w:rsidP="00463C9F">
      <w:pPr>
        <w:pStyle w:val="Heading4"/>
        <w:rPr>
          <w:rFonts w:hint="eastAsia"/>
        </w:rPr>
      </w:pPr>
      <w:r>
        <w:t>Cash flow from operations</w:t>
      </w:r>
    </w:p>
    <w:p w14:paraId="015DBBB7" w14:textId="0D8F3119" w:rsidR="00463C9F" w:rsidRDefault="00463C9F" w:rsidP="003B5132">
      <w:pPr>
        <w:pStyle w:val="BodyText"/>
      </w:pPr>
      <w:r>
        <w:t xml:space="preserve">This section </w:t>
      </w:r>
      <w:r w:rsidRPr="00463C9F">
        <w:t>contains the main cash</w:t>
      </w:r>
      <w:r>
        <w:t xml:space="preserve"> </w:t>
      </w:r>
      <w:r w:rsidRPr="00463C9F">
        <w:t xml:space="preserve">generating activities of </w:t>
      </w:r>
      <w:r>
        <w:t xml:space="preserve">the </w:t>
      </w:r>
      <w:r w:rsidR="00345754">
        <w:t xml:space="preserve">NSW </w:t>
      </w:r>
      <w:r>
        <w:t>Government</w:t>
      </w:r>
      <w:r w:rsidRPr="00463C9F">
        <w:t xml:space="preserve">. </w:t>
      </w:r>
      <w:r>
        <w:t xml:space="preserve">Any </w:t>
      </w:r>
      <w:r w:rsidRPr="00463C9F">
        <w:t xml:space="preserve">money earned or spent in the normal day-to-day running of </w:t>
      </w:r>
      <w:r>
        <w:t xml:space="preserve">the </w:t>
      </w:r>
      <w:r w:rsidR="008E6504">
        <w:t>g</w:t>
      </w:r>
      <w:r>
        <w:t xml:space="preserve">overnment </w:t>
      </w:r>
      <w:r w:rsidRPr="00463C9F">
        <w:t xml:space="preserve">will appear in the operations section of </w:t>
      </w:r>
      <w:r>
        <w:t>the</w:t>
      </w:r>
      <w:r w:rsidRPr="00463C9F">
        <w:t xml:space="preserve"> cash flow statement.</w:t>
      </w:r>
    </w:p>
    <w:p w14:paraId="03F6F9AE" w14:textId="72086A33" w:rsidR="00463C9F" w:rsidRDefault="00463C9F" w:rsidP="00463C9F">
      <w:pPr>
        <w:pStyle w:val="Heading4"/>
        <w:rPr>
          <w:rFonts w:hint="eastAsia"/>
        </w:rPr>
      </w:pPr>
      <w:r>
        <w:t>Cash flow from financing</w:t>
      </w:r>
    </w:p>
    <w:p w14:paraId="16AF02F2" w14:textId="7C459CDE" w:rsidR="00463C9F" w:rsidRPr="00463C9F" w:rsidRDefault="00343505" w:rsidP="003B5132">
      <w:pPr>
        <w:pStyle w:val="BodyText"/>
      </w:pPr>
      <w:r>
        <w:t>F</w:t>
      </w:r>
      <w:r w:rsidR="003A1362">
        <w:t xml:space="preserve">inancing activities refers to </w:t>
      </w:r>
      <w:r w:rsidR="00E8218A">
        <w:t>activities related to</w:t>
      </w:r>
      <w:r w:rsidR="00F75937">
        <w:t xml:space="preserve"> raising finance, other than from </w:t>
      </w:r>
      <w:r w:rsidR="00E43B12">
        <w:t xml:space="preserve">operations or investments. This includes activities such as </w:t>
      </w:r>
      <w:r w:rsidR="0065633B">
        <w:t>borrowing</w:t>
      </w:r>
      <w:r w:rsidR="00E43B12">
        <w:t xml:space="preserve">, </w:t>
      </w:r>
      <w:r w:rsidR="003A1362">
        <w:t>repayments</w:t>
      </w:r>
      <w:r w:rsidR="00E43B12">
        <w:t xml:space="preserve"> of borrowing</w:t>
      </w:r>
      <w:r w:rsidR="003A1362">
        <w:t>, or</w:t>
      </w:r>
      <w:r>
        <w:t xml:space="preserve"> </w:t>
      </w:r>
      <w:r w:rsidR="00463C9F">
        <w:t>issuance of shares or bonds.</w:t>
      </w:r>
    </w:p>
    <w:p w14:paraId="5310B895" w14:textId="42B8E0B6" w:rsidR="00463C9F" w:rsidRPr="00463C9F" w:rsidRDefault="00463C9F" w:rsidP="00463C9F">
      <w:pPr>
        <w:pStyle w:val="Heading4"/>
        <w:rPr>
          <w:rFonts w:hint="eastAsia"/>
        </w:rPr>
      </w:pPr>
      <w:r w:rsidRPr="00463C9F">
        <w:t>Cash flow from investment</w:t>
      </w:r>
    </w:p>
    <w:p w14:paraId="43860E96" w14:textId="77777777" w:rsidR="00463C9F" w:rsidRPr="00463C9F" w:rsidRDefault="00463C9F" w:rsidP="003B5132">
      <w:pPr>
        <w:pStyle w:val="BodyText"/>
      </w:pPr>
      <w:r w:rsidRPr="00463C9F">
        <w:t xml:space="preserve">Investing activities </w:t>
      </w:r>
      <w:r w:rsidR="00D46E2E">
        <w:t>included</w:t>
      </w:r>
      <w:r w:rsidR="00D46E2E" w:rsidRPr="00463C9F">
        <w:t xml:space="preserve"> </w:t>
      </w:r>
      <w:r w:rsidRPr="00463C9F">
        <w:t xml:space="preserve">in this section generally include purchases or sales of long-term assets, such as property, plant and equipment. The sale or purchase of </w:t>
      </w:r>
      <w:r w:rsidR="001121D3">
        <w:t xml:space="preserve">other </w:t>
      </w:r>
      <w:r w:rsidRPr="00463C9F">
        <w:t>investment</w:t>
      </w:r>
      <w:r w:rsidR="001121D3">
        <w:t>s</w:t>
      </w:r>
      <w:r w:rsidRPr="00463C9F">
        <w:t xml:space="preserve"> would also be included here.</w:t>
      </w:r>
    </w:p>
    <w:p w14:paraId="11DE89FD" w14:textId="22C4A24A" w:rsidR="00DC476B" w:rsidRDefault="075DDF81" w:rsidP="003B5132">
      <w:pPr>
        <w:pStyle w:val="BodyText"/>
      </w:pPr>
      <w:r>
        <w:t xml:space="preserve">Figure 5 </w:t>
      </w:r>
      <w:r w:rsidR="006633E6">
        <w:t>below provides an example of a Cash Flow Statement</w:t>
      </w:r>
      <w:r w:rsidR="00463C9F">
        <w:t xml:space="preserve"> and explains some of the main concepts</w:t>
      </w:r>
      <w:r w:rsidR="006633E6">
        <w:t xml:space="preserve">. </w:t>
      </w:r>
    </w:p>
    <w:p w14:paraId="154CFF88" w14:textId="77777777" w:rsidR="00DC476B" w:rsidRDefault="00DC476B">
      <w:pPr>
        <w:widowControl/>
        <w:tabs>
          <w:tab w:val="clear" w:pos="4196"/>
          <w:tab w:val="clear" w:pos="5046"/>
          <w:tab w:val="clear" w:pos="5897"/>
          <w:tab w:val="clear" w:pos="6747"/>
          <w:tab w:val="clear" w:pos="7598"/>
        </w:tabs>
        <w:autoSpaceDE/>
        <w:autoSpaceDN/>
        <w:rPr>
          <w:rFonts w:eastAsia="Calibri" w:cs="Times New Roman"/>
          <w:iCs/>
          <w:sz w:val="22"/>
          <w:szCs w:val="16"/>
          <w:lang w:val="en-US" w:eastAsia="ja-JP"/>
        </w:rPr>
      </w:pPr>
      <w:r>
        <w:br w:type="page"/>
      </w:r>
    </w:p>
    <w:p w14:paraId="6A86AD73" w14:textId="14FEF96F" w:rsidR="005B1B1A" w:rsidRDefault="00FD60A6" w:rsidP="00E2024F">
      <w:pPr>
        <w:tabs>
          <w:tab w:val="left" w:pos="1276"/>
        </w:tabs>
        <w:spacing w:before="240" w:after="120"/>
        <w:rPr>
          <w:i/>
          <w:iCs/>
          <w:color w:val="4F4F4F"/>
          <w:sz w:val="22"/>
          <w:szCs w:val="22"/>
        </w:rPr>
      </w:pPr>
      <w:r w:rsidRPr="5E0D339E">
        <w:rPr>
          <w:i/>
          <w:iCs/>
          <w:color w:val="4F4F4F"/>
          <w:sz w:val="22"/>
          <w:szCs w:val="22"/>
        </w:rPr>
        <w:lastRenderedPageBreak/>
        <w:t>Figure 5:</w:t>
      </w:r>
      <w:r w:rsidRPr="00E2024F">
        <w:rPr>
          <w:i/>
          <w:iCs/>
          <w:color w:val="4F4F4F"/>
          <w:sz w:val="22"/>
          <w:szCs w:val="22"/>
        </w:rPr>
        <w:tab/>
      </w:r>
      <w:r w:rsidR="003B6A48" w:rsidRPr="5E0D339E">
        <w:rPr>
          <w:i/>
          <w:iCs/>
          <w:color w:val="4F4F4F"/>
          <w:sz w:val="22"/>
          <w:szCs w:val="22"/>
        </w:rPr>
        <w:t>Exemplar Cash Flow Statement</w:t>
      </w:r>
    </w:p>
    <w:p w14:paraId="6CE5518D" w14:textId="4B71B7FE" w:rsidR="00FA5BDA" w:rsidRDefault="003A1E89" w:rsidP="003A1E89">
      <w:pPr>
        <w:widowControl/>
        <w:tabs>
          <w:tab w:val="clear" w:pos="4196"/>
          <w:tab w:val="clear" w:pos="5046"/>
          <w:tab w:val="clear" w:pos="5897"/>
          <w:tab w:val="clear" w:pos="6747"/>
          <w:tab w:val="clear" w:pos="7598"/>
        </w:tabs>
        <w:autoSpaceDE/>
        <w:autoSpaceDN/>
        <w:rPr>
          <w:bCs/>
          <w:color w:val="44546A" w:themeColor="text2"/>
          <w:kern w:val="28"/>
        </w:rPr>
      </w:pPr>
      <w:r w:rsidRPr="003A1E89">
        <w:rPr>
          <w:b/>
          <w:color w:val="44546A" w:themeColor="text2"/>
          <w:kern w:val="28"/>
        </w:rPr>
        <w:t xml:space="preserve">Cash Flow Statement - </w:t>
      </w:r>
      <w:r w:rsidRPr="003A1E89">
        <w:rPr>
          <w:bCs/>
          <w:color w:val="44546A" w:themeColor="text2"/>
          <w:kern w:val="28"/>
        </w:rPr>
        <w:t>Table A.1.3 in Budget Paper No. 1 (continued)</w:t>
      </w:r>
    </w:p>
    <w:p w14:paraId="6576503A" w14:textId="63E3CADF" w:rsidR="003A1E89" w:rsidRDefault="00956584" w:rsidP="003A1E89">
      <w:pPr>
        <w:widowControl/>
        <w:tabs>
          <w:tab w:val="clear" w:pos="4196"/>
          <w:tab w:val="clear" w:pos="5046"/>
          <w:tab w:val="clear" w:pos="5897"/>
          <w:tab w:val="clear" w:pos="6747"/>
          <w:tab w:val="clear" w:pos="7598"/>
        </w:tabs>
        <w:autoSpaceDE/>
        <w:autoSpaceDN/>
        <w:rPr>
          <w:bCs/>
          <w:color w:val="44546A" w:themeColor="text2"/>
          <w:kern w:val="28"/>
        </w:rPr>
      </w:pPr>
      <w:r w:rsidRPr="001122D0">
        <w:rPr>
          <w:noProof/>
        </w:rPr>
        <mc:AlternateContent>
          <mc:Choice Requires="wps">
            <w:drawing>
              <wp:anchor distT="0" distB="0" distL="114300" distR="114300" simplePos="0" relativeHeight="251658259" behindDoc="0" locked="0" layoutInCell="1" allowOverlap="1" wp14:anchorId="7B8B8A40" wp14:editId="4FCBB338">
                <wp:simplePos x="0" y="0"/>
                <wp:positionH relativeFrom="column">
                  <wp:posOffset>4702432</wp:posOffset>
                </wp:positionH>
                <wp:positionV relativeFrom="paragraph">
                  <wp:posOffset>6490078</wp:posOffset>
                </wp:positionV>
                <wp:extent cx="1542415" cy="1510294"/>
                <wp:effectExtent l="209550" t="0" r="19685" b="13970"/>
                <wp:wrapNone/>
                <wp:docPr id="42" name="Speech Bubble: Rectangle with Corners Rounded 20"/>
                <wp:cNvGraphicFramePr/>
                <a:graphic xmlns:a="http://schemas.openxmlformats.org/drawingml/2006/main">
                  <a:graphicData uri="http://schemas.microsoft.com/office/word/2010/wordprocessingShape">
                    <wps:wsp>
                      <wps:cNvSpPr/>
                      <wps:spPr>
                        <a:xfrm>
                          <a:off x="0" y="0"/>
                          <a:ext cx="1542415" cy="1510294"/>
                        </a:xfrm>
                        <a:prstGeom prst="wedgeRoundRectCallout">
                          <a:avLst>
                            <a:gd name="adj1" fmla="val -61774"/>
                            <a:gd name="adj2" fmla="val 41043"/>
                            <a:gd name="adj3" fmla="val 16667"/>
                          </a:avLst>
                        </a:prstGeom>
                        <a:solidFill>
                          <a:sysClr val="window" lastClr="FFFFFF">
                            <a:lumMod val="95000"/>
                          </a:sysClr>
                        </a:solidFill>
                        <a:ln w="22225" cap="flat" cmpd="sng" algn="ctr">
                          <a:solidFill>
                            <a:srgbClr val="44546A"/>
                          </a:solidFill>
                          <a:prstDash val="sysDash"/>
                          <a:miter lim="800000"/>
                        </a:ln>
                        <a:effectLst/>
                      </wps:spPr>
                      <wps:txbx>
                        <w:txbxContent>
                          <w:p w14:paraId="52F480BC" w14:textId="77777777" w:rsidR="00956584" w:rsidRDefault="00956584" w:rsidP="00956584">
                            <w:pPr>
                              <w:rPr>
                                <w:sz w:val="24"/>
                                <w:szCs w:val="24"/>
                              </w:rPr>
                            </w:pPr>
                            <w:r>
                              <w:rPr>
                                <w:b/>
                                <w:color w:val="44546A" w:themeColor="text2"/>
                                <w:kern w:val="24"/>
                                <w:sz w:val="18"/>
                                <w:szCs w:val="18"/>
                              </w:rPr>
                              <w:t>Cash result</w:t>
                            </w:r>
                          </w:p>
                          <w:p w14:paraId="08FB949A" w14:textId="77777777" w:rsidR="00956584" w:rsidRDefault="00956584" w:rsidP="00956584">
                            <w:r>
                              <w:rPr>
                                <w:color w:val="44546A" w:themeColor="text2"/>
                                <w:kern w:val="24"/>
                                <w:sz w:val="18"/>
                                <w:szCs w:val="18"/>
                              </w:rPr>
                              <w:t>Is a key measure of the Government’s call on financial markets. It comprises of net cash from operating activities, plus net cash flows from sales and disposals of non-financial assets</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7B8B8A40" id="_x0000_s1083" type="#_x0000_t62" style="position:absolute;margin-left:370.25pt;margin-top:511.05pt;width:121.45pt;height:118.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" adj="-2543,19665" fillcolor="#f2f2f2" strokecolor="#44546a" strokeweight="1.75pt">
                <v:stroke dashstyle="3 1"/>
                <v:textbox inset="1mm,1mm,1mm,1mm">
                  <w:txbxContent>
                    <w:p w14:paraId="52F480BC" w14:textId="77777777" w:rsidR="00956584" w:rsidRDefault="00956584" w:rsidP="00956584">
                      <w:pPr>
                        <w:rPr>
                          <w:sz w:val="24"/>
                          <w:szCs w:val="24"/>
                        </w:rPr>
                      </w:pPr>
                      <w:r>
                        <w:rPr>
                          <w:b/>
                          <w:color w:val="44546A" w:themeColor="text2"/>
                          <w:kern w:val="24"/>
                          <w:sz w:val="18"/>
                          <w:szCs w:val="18"/>
                        </w:rPr>
                        <w:t>Cash result</w:t>
                      </w:r>
                    </w:p>
                    <w:p w14:paraId="08FB949A" w14:textId="77777777" w:rsidR="00956584" w:rsidRDefault="00956584" w:rsidP="00956584">
                      <w:r>
                        <w:rPr>
                          <w:color w:val="44546A" w:themeColor="text2"/>
                          <w:kern w:val="24"/>
                          <w:sz w:val="18"/>
                          <w:szCs w:val="18"/>
                        </w:rPr>
                        <w:t>Is a key measure of the Government’s call on financial markets. It comprises of net cash from operating activities, plus net cash flows from sales and disposals of non-financial assets</w:t>
                      </w:r>
                    </w:p>
                  </w:txbxContent>
                </v:textbox>
              </v:shape>
            </w:pict>
          </mc:Fallback>
        </mc:AlternateContent>
      </w:r>
    </w:p>
    <w:tbl>
      <w:tblPr>
        <w:tblW w:w="9889" w:type="dxa"/>
        <w:tblLook w:val="04A0" w:firstRow="1" w:lastRow="0" w:firstColumn="1" w:lastColumn="0" w:noHBand="0" w:noVBand="1"/>
      </w:tblPr>
      <w:tblGrid>
        <w:gridCol w:w="4337"/>
        <w:gridCol w:w="903"/>
        <w:gridCol w:w="916"/>
        <w:gridCol w:w="916"/>
        <w:gridCol w:w="901"/>
        <w:gridCol w:w="40"/>
        <w:gridCol w:w="830"/>
        <w:gridCol w:w="86"/>
        <w:gridCol w:w="960"/>
      </w:tblGrid>
      <w:tr w:rsidR="00A53E2D" w:rsidRPr="00F51109" w14:paraId="08F68CA1" w14:textId="77777777" w:rsidTr="00E85896">
        <w:trPr>
          <w:trHeight w:val="283"/>
        </w:trPr>
        <w:tc>
          <w:tcPr>
            <w:tcW w:w="4337" w:type="dxa"/>
            <w:tcBorders>
              <w:top w:val="nil"/>
              <w:left w:val="nil"/>
              <w:bottom w:val="nil"/>
              <w:right w:val="nil"/>
            </w:tcBorders>
            <w:shd w:val="clear" w:color="000000" w:fill="008EBA"/>
            <w:vAlign w:val="center"/>
            <w:hideMark/>
          </w:tcPr>
          <w:p w14:paraId="5E3DE5E3" w14:textId="77777777" w:rsidR="00A53E2D" w:rsidRPr="00F51109" w:rsidRDefault="00A53E2D" w:rsidP="00E85896">
            <w:pPr>
              <w:jc w:val="center"/>
              <w:rPr>
                <w:color w:val="000000"/>
                <w:sz w:val="16"/>
                <w:szCs w:val="16"/>
                <w:lang w:eastAsia="ko-KR"/>
              </w:rPr>
            </w:pPr>
            <w:r w:rsidRPr="00F51109">
              <w:rPr>
                <w:color w:val="000000"/>
                <w:sz w:val="16"/>
                <w:szCs w:val="16"/>
                <w:lang w:eastAsia="ko-KR"/>
              </w:rPr>
              <w:t> </w:t>
            </w:r>
          </w:p>
        </w:tc>
        <w:tc>
          <w:tcPr>
            <w:tcW w:w="903" w:type="dxa"/>
            <w:tcBorders>
              <w:top w:val="nil"/>
              <w:left w:val="nil"/>
              <w:bottom w:val="nil"/>
              <w:right w:val="nil"/>
            </w:tcBorders>
            <w:shd w:val="clear" w:color="000000" w:fill="008EBA"/>
            <w:vAlign w:val="bottom"/>
            <w:hideMark/>
          </w:tcPr>
          <w:p w14:paraId="07A92C01"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2020-21</w:t>
            </w:r>
          </w:p>
        </w:tc>
        <w:tc>
          <w:tcPr>
            <w:tcW w:w="916" w:type="dxa"/>
            <w:tcBorders>
              <w:top w:val="nil"/>
              <w:left w:val="nil"/>
              <w:bottom w:val="nil"/>
              <w:right w:val="nil"/>
            </w:tcBorders>
            <w:shd w:val="clear" w:color="000000" w:fill="008EBA"/>
            <w:vAlign w:val="bottom"/>
            <w:hideMark/>
          </w:tcPr>
          <w:p w14:paraId="0009E37B"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2021-22</w:t>
            </w:r>
          </w:p>
        </w:tc>
        <w:tc>
          <w:tcPr>
            <w:tcW w:w="916" w:type="dxa"/>
            <w:tcBorders>
              <w:top w:val="nil"/>
              <w:left w:val="nil"/>
              <w:bottom w:val="nil"/>
              <w:right w:val="nil"/>
            </w:tcBorders>
            <w:shd w:val="clear" w:color="000000" w:fill="008EBA"/>
            <w:vAlign w:val="bottom"/>
            <w:hideMark/>
          </w:tcPr>
          <w:p w14:paraId="1668933E"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2022-23</w:t>
            </w:r>
          </w:p>
        </w:tc>
        <w:tc>
          <w:tcPr>
            <w:tcW w:w="941" w:type="dxa"/>
            <w:gridSpan w:val="2"/>
            <w:tcBorders>
              <w:top w:val="nil"/>
              <w:left w:val="nil"/>
              <w:bottom w:val="nil"/>
              <w:right w:val="nil"/>
            </w:tcBorders>
            <w:shd w:val="clear" w:color="000000" w:fill="008EBA"/>
            <w:vAlign w:val="bottom"/>
            <w:hideMark/>
          </w:tcPr>
          <w:p w14:paraId="44E575C9"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2023-24</w:t>
            </w:r>
          </w:p>
        </w:tc>
        <w:tc>
          <w:tcPr>
            <w:tcW w:w="916" w:type="dxa"/>
            <w:gridSpan w:val="2"/>
            <w:tcBorders>
              <w:top w:val="nil"/>
              <w:left w:val="nil"/>
              <w:bottom w:val="nil"/>
              <w:right w:val="nil"/>
            </w:tcBorders>
            <w:shd w:val="clear" w:color="000000" w:fill="008EBA"/>
            <w:vAlign w:val="bottom"/>
            <w:hideMark/>
          </w:tcPr>
          <w:p w14:paraId="31E4735C"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2024-25</w:t>
            </w:r>
          </w:p>
        </w:tc>
        <w:tc>
          <w:tcPr>
            <w:tcW w:w="960" w:type="dxa"/>
            <w:tcBorders>
              <w:top w:val="nil"/>
              <w:left w:val="nil"/>
              <w:bottom w:val="nil"/>
              <w:right w:val="nil"/>
            </w:tcBorders>
            <w:shd w:val="clear" w:color="000000" w:fill="008EBA"/>
            <w:vAlign w:val="bottom"/>
            <w:hideMark/>
          </w:tcPr>
          <w:p w14:paraId="242A61CC" w14:textId="77777777" w:rsidR="00A53E2D" w:rsidRPr="00F51109" w:rsidRDefault="00A53E2D" w:rsidP="00E85896">
            <w:pPr>
              <w:jc w:val="center"/>
              <w:rPr>
                <w:color w:val="FFFFFF"/>
                <w:sz w:val="17"/>
                <w:szCs w:val="17"/>
                <w:lang w:eastAsia="ko-KR"/>
              </w:rPr>
            </w:pPr>
            <w:r w:rsidRPr="00F51109">
              <w:rPr>
                <w:color w:val="FFFFFF"/>
                <w:sz w:val="17"/>
                <w:szCs w:val="17"/>
                <w:lang w:eastAsia="ko-KR"/>
              </w:rPr>
              <w:t>2025-26</w:t>
            </w:r>
          </w:p>
        </w:tc>
      </w:tr>
      <w:tr w:rsidR="00A53E2D" w:rsidRPr="00F51109" w14:paraId="145FD78F" w14:textId="77777777" w:rsidTr="00E85896">
        <w:trPr>
          <w:trHeight w:val="227"/>
        </w:trPr>
        <w:tc>
          <w:tcPr>
            <w:tcW w:w="4337" w:type="dxa"/>
            <w:tcBorders>
              <w:top w:val="nil"/>
              <w:left w:val="nil"/>
              <w:bottom w:val="nil"/>
              <w:right w:val="nil"/>
            </w:tcBorders>
            <w:shd w:val="clear" w:color="000000" w:fill="008EBA"/>
            <w:vAlign w:val="center"/>
            <w:hideMark/>
          </w:tcPr>
          <w:p w14:paraId="757DB4D5" w14:textId="77777777" w:rsidR="00A53E2D" w:rsidRPr="00F51109" w:rsidRDefault="00A53E2D" w:rsidP="00E85896">
            <w:pPr>
              <w:jc w:val="center"/>
              <w:rPr>
                <w:color w:val="000000"/>
                <w:sz w:val="16"/>
                <w:szCs w:val="16"/>
                <w:lang w:eastAsia="ko-KR"/>
              </w:rPr>
            </w:pPr>
            <w:r w:rsidRPr="00F51109">
              <w:rPr>
                <w:color w:val="000000"/>
                <w:sz w:val="16"/>
                <w:szCs w:val="16"/>
                <w:lang w:eastAsia="ko-KR"/>
              </w:rPr>
              <w:t> </w:t>
            </w:r>
          </w:p>
        </w:tc>
        <w:tc>
          <w:tcPr>
            <w:tcW w:w="903" w:type="dxa"/>
            <w:tcBorders>
              <w:top w:val="nil"/>
              <w:left w:val="nil"/>
              <w:bottom w:val="nil"/>
              <w:right w:val="nil"/>
            </w:tcBorders>
            <w:shd w:val="clear" w:color="000000" w:fill="008EBA"/>
            <w:vAlign w:val="center"/>
            <w:hideMark/>
          </w:tcPr>
          <w:p w14:paraId="728F3FFE" w14:textId="77777777" w:rsidR="00A53E2D" w:rsidRPr="00F51109" w:rsidRDefault="00A53E2D" w:rsidP="00E85896">
            <w:pPr>
              <w:jc w:val="center"/>
              <w:rPr>
                <w:color w:val="FFFFFF"/>
                <w:sz w:val="16"/>
                <w:szCs w:val="16"/>
                <w:lang w:eastAsia="ko-KR"/>
              </w:rPr>
            </w:pPr>
            <w:r w:rsidRPr="00F51109">
              <w:rPr>
                <w:color w:val="FFFFFF"/>
                <w:sz w:val="16"/>
                <w:szCs w:val="16"/>
                <w:lang w:eastAsia="ko-KR"/>
              </w:rPr>
              <w:t>Actual</w:t>
            </w:r>
          </w:p>
        </w:tc>
        <w:tc>
          <w:tcPr>
            <w:tcW w:w="916" w:type="dxa"/>
            <w:tcBorders>
              <w:top w:val="nil"/>
              <w:left w:val="nil"/>
              <w:bottom w:val="nil"/>
              <w:right w:val="nil"/>
            </w:tcBorders>
            <w:shd w:val="clear" w:color="000000" w:fill="008EBA"/>
            <w:vAlign w:val="center"/>
            <w:hideMark/>
          </w:tcPr>
          <w:p w14:paraId="7C96F3C6" w14:textId="77777777" w:rsidR="00A53E2D" w:rsidRPr="00F51109" w:rsidRDefault="00A53E2D" w:rsidP="00E85896">
            <w:pPr>
              <w:jc w:val="center"/>
              <w:rPr>
                <w:color w:val="FFFFFF"/>
                <w:sz w:val="16"/>
                <w:szCs w:val="16"/>
                <w:lang w:eastAsia="ko-KR"/>
              </w:rPr>
            </w:pPr>
            <w:r w:rsidRPr="00F51109">
              <w:rPr>
                <w:color w:val="FFFFFF"/>
                <w:sz w:val="16"/>
                <w:szCs w:val="16"/>
                <w:lang w:eastAsia="ko-KR"/>
              </w:rPr>
              <w:t>Revised</w:t>
            </w:r>
          </w:p>
        </w:tc>
        <w:tc>
          <w:tcPr>
            <w:tcW w:w="916" w:type="dxa"/>
            <w:tcBorders>
              <w:top w:val="nil"/>
              <w:left w:val="nil"/>
              <w:bottom w:val="nil"/>
              <w:right w:val="nil"/>
            </w:tcBorders>
            <w:shd w:val="clear" w:color="000000" w:fill="008EBA"/>
            <w:vAlign w:val="center"/>
            <w:hideMark/>
          </w:tcPr>
          <w:p w14:paraId="4612E08D" w14:textId="77777777" w:rsidR="00A53E2D" w:rsidRPr="00F51109" w:rsidRDefault="00A53E2D" w:rsidP="00E85896">
            <w:pPr>
              <w:jc w:val="center"/>
              <w:rPr>
                <w:color w:val="FFFFFF"/>
                <w:sz w:val="17"/>
                <w:szCs w:val="17"/>
                <w:lang w:eastAsia="ko-KR"/>
              </w:rPr>
            </w:pPr>
            <w:r w:rsidRPr="00F51109">
              <w:rPr>
                <w:color w:val="FFFFFF"/>
                <w:sz w:val="17"/>
                <w:szCs w:val="17"/>
                <w:lang w:eastAsia="ko-KR"/>
              </w:rPr>
              <w:t>Budget</w:t>
            </w:r>
          </w:p>
        </w:tc>
        <w:tc>
          <w:tcPr>
            <w:tcW w:w="2817" w:type="dxa"/>
            <w:gridSpan w:val="5"/>
            <w:tcBorders>
              <w:top w:val="nil"/>
              <w:left w:val="nil"/>
              <w:bottom w:val="nil"/>
              <w:right w:val="nil"/>
            </w:tcBorders>
            <w:shd w:val="clear" w:color="000000" w:fill="008EBA"/>
            <w:vAlign w:val="center"/>
            <w:hideMark/>
          </w:tcPr>
          <w:p w14:paraId="5D3D512B" w14:textId="77777777" w:rsidR="00A53E2D" w:rsidRPr="00F51109" w:rsidRDefault="00A53E2D" w:rsidP="00E85896">
            <w:pPr>
              <w:jc w:val="center"/>
              <w:rPr>
                <w:color w:val="FFFFFF"/>
                <w:sz w:val="17"/>
                <w:szCs w:val="17"/>
                <w:lang w:eastAsia="ko-KR"/>
              </w:rPr>
            </w:pPr>
            <w:r w:rsidRPr="00F51109">
              <w:rPr>
                <w:color w:val="FFFFFF"/>
                <w:sz w:val="17"/>
                <w:szCs w:val="17"/>
                <w:lang w:eastAsia="ko-KR"/>
              </w:rPr>
              <w:t>Forward Estimates</w:t>
            </w:r>
          </w:p>
        </w:tc>
      </w:tr>
      <w:tr w:rsidR="00A53E2D" w:rsidRPr="00F51109" w14:paraId="72187D23" w14:textId="77777777" w:rsidTr="00E85896">
        <w:trPr>
          <w:trHeight w:val="283"/>
        </w:trPr>
        <w:tc>
          <w:tcPr>
            <w:tcW w:w="4337" w:type="dxa"/>
            <w:tcBorders>
              <w:top w:val="nil"/>
              <w:left w:val="nil"/>
              <w:bottom w:val="nil"/>
              <w:right w:val="nil"/>
            </w:tcBorders>
            <w:shd w:val="clear" w:color="000000" w:fill="00426F"/>
            <w:vAlign w:val="center"/>
            <w:hideMark/>
          </w:tcPr>
          <w:p w14:paraId="3BDD42DF" w14:textId="77777777" w:rsidR="00A53E2D" w:rsidRPr="00F51109" w:rsidRDefault="00A53E2D" w:rsidP="00E85896">
            <w:pPr>
              <w:jc w:val="center"/>
              <w:rPr>
                <w:color w:val="000000"/>
                <w:sz w:val="16"/>
                <w:szCs w:val="16"/>
                <w:lang w:eastAsia="ko-KR"/>
              </w:rPr>
            </w:pPr>
            <w:r w:rsidRPr="00F51109">
              <w:rPr>
                <w:color w:val="000000"/>
                <w:sz w:val="16"/>
                <w:szCs w:val="16"/>
                <w:lang w:eastAsia="ko-KR"/>
              </w:rPr>
              <w:t> </w:t>
            </w:r>
          </w:p>
        </w:tc>
        <w:tc>
          <w:tcPr>
            <w:tcW w:w="903" w:type="dxa"/>
            <w:tcBorders>
              <w:top w:val="nil"/>
              <w:left w:val="nil"/>
              <w:bottom w:val="nil"/>
              <w:right w:val="nil"/>
            </w:tcBorders>
            <w:shd w:val="clear" w:color="000000" w:fill="00426F"/>
            <w:hideMark/>
          </w:tcPr>
          <w:p w14:paraId="325B2826"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c>
          <w:tcPr>
            <w:tcW w:w="916" w:type="dxa"/>
            <w:tcBorders>
              <w:top w:val="nil"/>
              <w:left w:val="nil"/>
              <w:bottom w:val="nil"/>
              <w:right w:val="nil"/>
            </w:tcBorders>
            <w:shd w:val="clear" w:color="000000" w:fill="00426F"/>
            <w:hideMark/>
          </w:tcPr>
          <w:p w14:paraId="6E200A0D"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c>
          <w:tcPr>
            <w:tcW w:w="916" w:type="dxa"/>
            <w:tcBorders>
              <w:top w:val="nil"/>
              <w:left w:val="nil"/>
              <w:bottom w:val="nil"/>
              <w:right w:val="nil"/>
            </w:tcBorders>
            <w:shd w:val="clear" w:color="000000" w:fill="00426F"/>
            <w:hideMark/>
          </w:tcPr>
          <w:p w14:paraId="5E2E832A"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c>
          <w:tcPr>
            <w:tcW w:w="901" w:type="dxa"/>
            <w:tcBorders>
              <w:top w:val="nil"/>
              <w:left w:val="nil"/>
              <w:bottom w:val="nil"/>
              <w:right w:val="nil"/>
            </w:tcBorders>
            <w:shd w:val="clear" w:color="000000" w:fill="00426F"/>
            <w:hideMark/>
          </w:tcPr>
          <w:p w14:paraId="396AD892"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c>
          <w:tcPr>
            <w:tcW w:w="870" w:type="dxa"/>
            <w:gridSpan w:val="2"/>
            <w:tcBorders>
              <w:top w:val="nil"/>
              <w:left w:val="nil"/>
              <w:bottom w:val="nil"/>
              <w:right w:val="nil"/>
            </w:tcBorders>
            <w:shd w:val="clear" w:color="000000" w:fill="00426F"/>
            <w:hideMark/>
          </w:tcPr>
          <w:p w14:paraId="53032B9C"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c>
          <w:tcPr>
            <w:tcW w:w="1046" w:type="dxa"/>
            <w:gridSpan w:val="2"/>
            <w:tcBorders>
              <w:top w:val="nil"/>
              <w:left w:val="nil"/>
              <w:bottom w:val="nil"/>
              <w:right w:val="nil"/>
            </w:tcBorders>
            <w:shd w:val="clear" w:color="000000" w:fill="00426F"/>
            <w:hideMark/>
          </w:tcPr>
          <w:p w14:paraId="3BACDFF5" w14:textId="77777777" w:rsidR="00A53E2D" w:rsidRPr="00F51109" w:rsidRDefault="00A53E2D" w:rsidP="00E85896">
            <w:pPr>
              <w:jc w:val="center"/>
              <w:rPr>
                <w:color w:val="FFFFFF"/>
                <w:sz w:val="17"/>
                <w:szCs w:val="17"/>
                <w:lang w:eastAsia="ko-KR"/>
              </w:rPr>
            </w:pPr>
            <w:r w:rsidRPr="00F51109">
              <w:rPr>
                <w:color w:val="FFFFFF"/>
                <w:sz w:val="17"/>
                <w:szCs w:val="17"/>
                <w:lang w:eastAsia="ko-KR"/>
              </w:rPr>
              <w:t>$m</w:t>
            </w:r>
          </w:p>
        </w:tc>
      </w:tr>
      <w:tr w:rsidR="00A53E2D" w:rsidRPr="00F51109" w14:paraId="1F76C2AF" w14:textId="77777777" w:rsidTr="00E85896">
        <w:trPr>
          <w:trHeight w:val="288"/>
        </w:trPr>
        <w:tc>
          <w:tcPr>
            <w:tcW w:w="4337" w:type="dxa"/>
            <w:tcBorders>
              <w:top w:val="nil"/>
              <w:left w:val="nil"/>
              <w:bottom w:val="nil"/>
              <w:right w:val="nil"/>
            </w:tcBorders>
            <w:shd w:val="clear" w:color="auto" w:fill="auto"/>
            <w:vAlign w:val="bottom"/>
            <w:hideMark/>
          </w:tcPr>
          <w:p w14:paraId="30859E54" w14:textId="77777777" w:rsidR="00A53E2D" w:rsidRPr="00F51109" w:rsidRDefault="00A53E2D" w:rsidP="00E85896">
            <w:pPr>
              <w:rPr>
                <w:b/>
                <w:bCs/>
                <w:color w:val="000000"/>
                <w:sz w:val="16"/>
                <w:szCs w:val="16"/>
                <w:lang w:eastAsia="ko-KR"/>
              </w:rPr>
            </w:pPr>
            <w:r w:rsidRPr="00F51109">
              <w:rPr>
                <w:b/>
                <w:bCs/>
                <w:color w:val="000000"/>
                <w:sz w:val="16"/>
                <w:szCs w:val="16"/>
                <w:lang w:eastAsia="ko-KR"/>
              </w:rPr>
              <w:t>Cash Receipts from Operating Activities</w:t>
            </w:r>
          </w:p>
        </w:tc>
        <w:tc>
          <w:tcPr>
            <w:tcW w:w="903" w:type="dxa"/>
            <w:tcBorders>
              <w:top w:val="nil"/>
              <w:left w:val="nil"/>
              <w:bottom w:val="nil"/>
              <w:right w:val="nil"/>
            </w:tcBorders>
            <w:shd w:val="clear" w:color="auto" w:fill="auto"/>
            <w:vAlign w:val="bottom"/>
            <w:hideMark/>
          </w:tcPr>
          <w:p w14:paraId="1117C4AD" w14:textId="77777777" w:rsidR="00A53E2D" w:rsidRPr="00F51109" w:rsidRDefault="00A53E2D" w:rsidP="00E85896">
            <w:pPr>
              <w:rPr>
                <w:b/>
                <w:bCs/>
                <w:color w:val="000000"/>
                <w:sz w:val="16"/>
                <w:szCs w:val="16"/>
                <w:lang w:eastAsia="ko-KR"/>
              </w:rPr>
            </w:pPr>
          </w:p>
        </w:tc>
        <w:tc>
          <w:tcPr>
            <w:tcW w:w="916" w:type="dxa"/>
            <w:tcBorders>
              <w:top w:val="nil"/>
              <w:left w:val="nil"/>
              <w:bottom w:val="nil"/>
              <w:right w:val="nil"/>
            </w:tcBorders>
            <w:shd w:val="clear" w:color="auto" w:fill="auto"/>
            <w:vAlign w:val="bottom"/>
            <w:hideMark/>
          </w:tcPr>
          <w:p w14:paraId="57E0D140" w14:textId="77777777" w:rsidR="00A53E2D" w:rsidRPr="00F51109" w:rsidRDefault="00A53E2D" w:rsidP="00E85896">
            <w:pPr>
              <w:rPr>
                <w:lang w:eastAsia="ko-KR"/>
              </w:rPr>
            </w:pPr>
          </w:p>
        </w:tc>
        <w:tc>
          <w:tcPr>
            <w:tcW w:w="916" w:type="dxa"/>
            <w:tcBorders>
              <w:top w:val="nil"/>
              <w:left w:val="nil"/>
              <w:bottom w:val="nil"/>
              <w:right w:val="nil"/>
            </w:tcBorders>
            <w:shd w:val="clear" w:color="auto" w:fill="auto"/>
            <w:vAlign w:val="bottom"/>
            <w:hideMark/>
          </w:tcPr>
          <w:p w14:paraId="66C86B20" w14:textId="77777777" w:rsidR="00A53E2D" w:rsidRPr="00F51109" w:rsidRDefault="00A53E2D" w:rsidP="00E85896">
            <w:pPr>
              <w:rPr>
                <w:lang w:eastAsia="ko-KR"/>
              </w:rPr>
            </w:pPr>
          </w:p>
        </w:tc>
        <w:tc>
          <w:tcPr>
            <w:tcW w:w="901" w:type="dxa"/>
            <w:tcBorders>
              <w:top w:val="nil"/>
              <w:left w:val="nil"/>
              <w:bottom w:val="nil"/>
              <w:right w:val="nil"/>
            </w:tcBorders>
            <w:shd w:val="clear" w:color="auto" w:fill="auto"/>
            <w:vAlign w:val="bottom"/>
            <w:hideMark/>
          </w:tcPr>
          <w:p w14:paraId="31C29387" w14:textId="77777777" w:rsidR="00A53E2D" w:rsidRPr="00F51109" w:rsidRDefault="00A53E2D" w:rsidP="00E85896">
            <w:pPr>
              <w:rPr>
                <w:lang w:eastAsia="ko-KR"/>
              </w:rPr>
            </w:pPr>
          </w:p>
        </w:tc>
        <w:tc>
          <w:tcPr>
            <w:tcW w:w="870" w:type="dxa"/>
            <w:gridSpan w:val="2"/>
            <w:tcBorders>
              <w:top w:val="nil"/>
              <w:left w:val="nil"/>
              <w:bottom w:val="nil"/>
              <w:right w:val="nil"/>
            </w:tcBorders>
            <w:shd w:val="clear" w:color="auto" w:fill="auto"/>
            <w:vAlign w:val="bottom"/>
            <w:hideMark/>
          </w:tcPr>
          <w:p w14:paraId="10A260E9" w14:textId="77777777" w:rsidR="00A53E2D" w:rsidRPr="00F51109" w:rsidRDefault="00A53E2D" w:rsidP="00E85896">
            <w:pPr>
              <w:rPr>
                <w:lang w:eastAsia="ko-KR"/>
              </w:rPr>
            </w:pPr>
          </w:p>
        </w:tc>
        <w:tc>
          <w:tcPr>
            <w:tcW w:w="1046" w:type="dxa"/>
            <w:gridSpan w:val="2"/>
            <w:tcBorders>
              <w:top w:val="nil"/>
              <w:left w:val="nil"/>
              <w:bottom w:val="nil"/>
              <w:right w:val="nil"/>
            </w:tcBorders>
            <w:shd w:val="clear" w:color="auto" w:fill="auto"/>
            <w:vAlign w:val="bottom"/>
            <w:hideMark/>
          </w:tcPr>
          <w:p w14:paraId="406C8D55" w14:textId="77777777" w:rsidR="00A53E2D" w:rsidRPr="00F51109" w:rsidRDefault="00A53E2D" w:rsidP="00E85896">
            <w:pPr>
              <w:rPr>
                <w:lang w:eastAsia="ko-KR"/>
              </w:rPr>
            </w:pPr>
          </w:p>
        </w:tc>
      </w:tr>
      <w:tr w:rsidR="00A53E2D" w:rsidRPr="00F51109" w14:paraId="66DD5631" w14:textId="77777777" w:rsidTr="00E85896">
        <w:trPr>
          <w:trHeight w:val="227"/>
        </w:trPr>
        <w:tc>
          <w:tcPr>
            <w:tcW w:w="4337" w:type="dxa"/>
            <w:tcBorders>
              <w:top w:val="nil"/>
              <w:left w:val="nil"/>
              <w:bottom w:val="nil"/>
              <w:right w:val="nil"/>
            </w:tcBorders>
            <w:shd w:val="clear" w:color="auto" w:fill="auto"/>
            <w:vAlign w:val="bottom"/>
            <w:hideMark/>
          </w:tcPr>
          <w:p w14:paraId="2A176E05" w14:textId="77777777" w:rsidR="00A53E2D" w:rsidRPr="00F51109" w:rsidRDefault="00A53E2D" w:rsidP="00E85896">
            <w:pPr>
              <w:rPr>
                <w:color w:val="000000"/>
                <w:sz w:val="16"/>
                <w:szCs w:val="16"/>
                <w:lang w:eastAsia="ko-KR"/>
              </w:rPr>
            </w:pPr>
            <w:r w:rsidRPr="00F51109">
              <w:rPr>
                <w:color w:val="000000"/>
                <w:sz w:val="16"/>
                <w:szCs w:val="16"/>
                <w:lang w:eastAsia="ko-KR"/>
              </w:rPr>
              <w:t>Taxation</w:t>
            </w:r>
          </w:p>
        </w:tc>
        <w:tc>
          <w:tcPr>
            <w:tcW w:w="903" w:type="dxa"/>
            <w:tcBorders>
              <w:top w:val="nil"/>
              <w:left w:val="nil"/>
              <w:bottom w:val="nil"/>
              <w:right w:val="nil"/>
            </w:tcBorders>
            <w:shd w:val="clear" w:color="auto" w:fill="auto"/>
            <w:vAlign w:val="bottom"/>
            <w:hideMark/>
          </w:tcPr>
          <w:p w14:paraId="5FE4835E"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34,344 </w:t>
            </w:r>
          </w:p>
        </w:tc>
        <w:tc>
          <w:tcPr>
            <w:tcW w:w="916" w:type="dxa"/>
            <w:tcBorders>
              <w:top w:val="nil"/>
              <w:left w:val="nil"/>
              <w:bottom w:val="nil"/>
              <w:right w:val="nil"/>
            </w:tcBorders>
            <w:shd w:val="clear" w:color="auto" w:fill="auto"/>
            <w:vAlign w:val="bottom"/>
            <w:hideMark/>
          </w:tcPr>
          <w:p w14:paraId="5C9086E9"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40,023 </w:t>
            </w:r>
          </w:p>
        </w:tc>
        <w:tc>
          <w:tcPr>
            <w:tcW w:w="916" w:type="dxa"/>
            <w:tcBorders>
              <w:top w:val="nil"/>
              <w:left w:val="nil"/>
              <w:bottom w:val="nil"/>
              <w:right w:val="nil"/>
            </w:tcBorders>
            <w:shd w:val="clear" w:color="auto" w:fill="auto"/>
            <w:vAlign w:val="bottom"/>
            <w:hideMark/>
          </w:tcPr>
          <w:p w14:paraId="2F9489B6"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39,706 </w:t>
            </w:r>
          </w:p>
        </w:tc>
        <w:tc>
          <w:tcPr>
            <w:tcW w:w="901" w:type="dxa"/>
            <w:tcBorders>
              <w:top w:val="nil"/>
              <w:left w:val="nil"/>
              <w:bottom w:val="nil"/>
              <w:right w:val="nil"/>
            </w:tcBorders>
            <w:shd w:val="clear" w:color="auto" w:fill="auto"/>
            <w:vAlign w:val="bottom"/>
            <w:hideMark/>
          </w:tcPr>
          <w:p w14:paraId="7073E8A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39,714 </w:t>
            </w:r>
          </w:p>
        </w:tc>
        <w:tc>
          <w:tcPr>
            <w:tcW w:w="870" w:type="dxa"/>
            <w:gridSpan w:val="2"/>
            <w:tcBorders>
              <w:top w:val="nil"/>
              <w:left w:val="nil"/>
              <w:bottom w:val="nil"/>
              <w:right w:val="nil"/>
            </w:tcBorders>
            <w:shd w:val="clear" w:color="auto" w:fill="auto"/>
            <w:vAlign w:val="bottom"/>
            <w:hideMark/>
          </w:tcPr>
          <w:p w14:paraId="29B03657"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41,723 </w:t>
            </w:r>
          </w:p>
        </w:tc>
        <w:tc>
          <w:tcPr>
            <w:tcW w:w="1046" w:type="dxa"/>
            <w:gridSpan w:val="2"/>
            <w:tcBorders>
              <w:top w:val="nil"/>
              <w:left w:val="nil"/>
              <w:bottom w:val="nil"/>
              <w:right w:val="nil"/>
            </w:tcBorders>
            <w:shd w:val="clear" w:color="auto" w:fill="auto"/>
            <w:vAlign w:val="bottom"/>
            <w:hideMark/>
          </w:tcPr>
          <w:p w14:paraId="682176F4"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43,752 </w:t>
            </w:r>
          </w:p>
        </w:tc>
      </w:tr>
      <w:tr w:rsidR="00A53E2D" w:rsidRPr="00F51109" w14:paraId="568866C8" w14:textId="77777777" w:rsidTr="00E85896">
        <w:trPr>
          <w:trHeight w:val="227"/>
        </w:trPr>
        <w:tc>
          <w:tcPr>
            <w:tcW w:w="4337" w:type="dxa"/>
            <w:tcBorders>
              <w:top w:val="nil"/>
              <w:left w:val="nil"/>
              <w:bottom w:val="nil"/>
              <w:right w:val="nil"/>
            </w:tcBorders>
            <w:shd w:val="clear" w:color="auto" w:fill="auto"/>
            <w:vAlign w:val="bottom"/>
            <w:hideMark/>
          </w:tcPr>
          <w:p w14:paraId="544070B0" w14:textId="77777777" w:rsidR="00A53E2D" w:rsidRPr="00F51109" w:rsidRDefault="00A53E2D" w:rsidP="00E85896">
            <w:pPr>
              <w:rPr>
                <w:color w:val="000000"/>
                <w:sz w:val="16"/>
                <w:szCs w:val="16"/>
                <w:lang w:eastAsia="ko-KR"/>
              </w:rPr>
            </w:pPr>
            <w:r w:rsidRPr="00F51109">
              <w:rPr>
                <w:color w:val="000000"/>
                <w:sz w:val="16"/>
                <w:szCs w:val="16"/>
                <w:lang w:eastAsia="ko-KR"/>
              </w:rPr>
              <w:t>Sales of Goods and Services</w:t>
            </w:r>
          </w:p>
        </w:tc>
        <w:tc>
          <w:tcPr>
            <w:tcW w:w="903" w:type="dxa"/>
            <w:tcBorders>
              <w:top w:val="nil"/>
              <w:left w:val="nil"/>
              <w:bottom w:val="nil"/>
              <w:right w:val="nil"/>
            </w:tcBorders>
            <w:shd w:val="clear" w:color="auto" w:fill="auto"/>
            <w:vAlign w:val="bottom"/>
            <w:hideMark/>
          </w:tcPr>
          <w:p w14:paraId="472FF67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10,268 </w:t>
            </w:r>
          </w:p>
        </w:tc>
        <w:tc>
          <w:tcPr>
            <w:tcW w:w="916" w:type="dxa"/>
            <w:tcBorders>
              <w:top w:val="nil"/>
              <w:left w:val="nil"/>
              <w:bottom w:val="nil"/>
              <w:right w:val="nil"/>
            </w:tcBorders>
            <w:shd w:val="clear" w:color="auto" w:fill="auto"/>
            <w:vAlign w:val="bottom"/>
            <w:hideMark/>
          </w:tcPr>
          <w:p w14:paraId="160E131D"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10,197 </w:t>
            </w:r>
          </w:p>
        </w:tc>
        <w:tc>
          <w:tcPr>
            <w:tcW w:w="916" w:type="dxa"/>
            <w:tcBorders>
              <w:top w:val="nil"/>
              <w:left w:val="nil"/>
              <w:bottom w:val="nil"/>
              <w:right w:val="nil"/>
            </w:tcBorders>
            <w:shd w:val="clear" w:color="auto" w:fill="auto"/>
            <w:vAlign w:val="bottom"/>
            <w:hideMark/>
          </w:tcPr>
          <w:p w14:paraId="34FFECA5" w14:textId="1C2C396C" w:rsidR="00A53E2D" w:rsidRPr="00F51109" w:rsidRDefault="00A53E2D" w:rsidP="00E85896">
            <w:pPr>
              <w:jc w:val="right"/>
              <w:rPr>
                <w:color w:val="000000"/>
                <w:sz w:val="16"/>
                <w:szCs w:val="16"/>
                <w:lang w:eastAsia="ko-KR"/>
              </w:rPr>
            </w:pPr>
            <w:r w:rsidRPr="00F51109">
              <w:rPr>
                <w:color w:val="000000"/>
                <w:sz w:val="16"/>
                <w:szCs w:val="16"/>
                <w:lang w:eastAsia="ko-KR"/>
              </w:rPr>
              <w:t xml:space="preserve">10,576 </w:t>
            </w:r>
          </w:p>
        </w:tc>
        <w:tc>
          <w:tcPr>
            <w:tcW w:w="901" w:type="dxa"/>
            <w:tcBorders>
              <w:top w:val="nil"/>
              <w:left w:val="nil"/>
              <w:bottom w:val="nil"/>
              <w:right w:val="nil"/>
            </w:tcBorders>
            <w:shd w:val="clear" w:color="auto" w:fill="auto"/>
            <w:vAlign w:val="bottom"/>
            <w:hideMark/>
          </w:tcPr>
          <w:p w14:paraId="592636C1"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10,270 </w:t>
            </w:r>
          </w:p>
        </w:tc>
        <w:tc>
          <w:tcPr>
            <w:tcW w:w="870" w:type="dxa"/>
            <w:gridSpan w:val="2"/>
            <w:tcBorders>
              <w:top w:val="nil"/>
              <w:left w:val="nil"/>
              <w:bottom w:val="nil"/>
              <w:right w:val="nil"/>
            </w:tcBorders>
            <w:shd w:val="clear" w:color="auto" w:fill="auto"/>
            <w:vAlign w:val="bottom"/>
            <w:hideMark/>
          </w:tcPr>
          <w:p w14:paraId="2A0F688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9,306 </w:t>
            </w:r>
          </w:p>
        </w:tc>
        <w:tc>
          <w:tcPr>
            <w:tcW w:w="1046" w:type="dxa"/>
            <w:gridSpan w:val="2"/>
            <w:tcBorders>
              <w:top w:val="nil"/>
              <w:left w:val="nil"/>
              <w:bottom w:val="nil"/>
              <w:right w:val="nil"/>
            </w:tcBorders>
            <w:shd w:val="clear" w:color="auto" w:fill="auto"/>
            <w:vAlign w:val="bottom"/>
            <w:hideMark/>
          </w:tcPr>
          <w:p w14:paraId="2C29B16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9,305 </w:t>
            </w:r>
          </w:p>
        </w:tc>
      </w:tr>
      <w:tr w:rsidR="00A53E2D" w:rsidRPr="00F51109" w14:paraId="43396520" w14:textId="77777777" w:rsidTr="00E85896">
        <w:trPr>
          <w:trHeight w:val="227"/>
        </w:trPr>
        <w:tc>
          <w:tcPr>
            <w:tcW w:w="4337" w:type="dxa"/>
            <w:tcBorders>
              <w:top w:val="nil"/>
              <w:left w:val="nil"/>
              <w:bottom w:val="nil"/>
              <w:right w:val="nil"/>
            </w:tcBorders>
            <w:shd w:val="clear" w:color="auto" w:fill="auto"/>
            <w:vAlign w:val="bottom"/>
            <w:hideMark/>
          </w:tcPr>
          <w:p w14:paraId="49DBEBBC" w14:textId="77777777" w:rsidR="00A53E2D" w:rsidRPr="00F51109" w:rsidRDefault="00A53E2D" w:rsidP="00E85896">
            <w:pPr>
              <w:rPr>
                <w:color w:val="000000"/>
                <w:sz w:val="16"/>
                <w:szCs w:val="16"/>
                <w:lang w:eastAsia="ko-KR"/>
              </w:rPr>
            </w:pPr>
            <w:r w:rsidRPr="00F51109">
              <w:rPr>
                <w:color w:val="000000"/>
                <w:sz w:val="16"/>
                <w:szCs w:val="16"/>
                <w:lang w:eastAsia="ko-KR"/>
              </w:rPr>
              <w:t>Grant and Subsidies Received</w:t>
            </w:r>
          </w:p>
        </w:tc>
        <w:tc>
          <w:tcPr>
            <w:tcW w:w="903" w:type="dxa"/>
            <w:tcBorders>
              <w:top w:val="nil"/>
              <w:left w:val="nil"/>
              <w:bottom w:val="nil"/>
              <w:right w:val="nil"/>
            </w:tcBorders>
            <w:shd w:val="clear" w:color="auto" w:fill="auto"/>
            <w:vAlign w:val="bottom"/>
            <w:hideMark/>
          </w:tcPr>
          <w:p w14:paraId="14EF666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35,421 </w:t>
            </w:r>
          </w:p>
        </w:tc>
        <w:tc>
          <w:tcPr>
            <w:tcW w:w="916" w:type="dxa"/>
            <w:tcBorders>
              <w:top w:val="nil"/>
              <w:left w:val="nil"/>
              <w:bottom w:val="nil"/>
              <w:right w:val="nil"/>
            </w:tcBorders>
            <w:shd w:val="clear" w:color="auto" w:fill="auto"/>
            <w:vAlign w:val="bottom"/>
            <w:hideMark/>
          </w:tcPr>
          <w:p w14:paraId="3F389F30"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45,941 </w:t>
            </w:r>
          </w:p>
        </w:tc>
        <w:tc>
          <w:tcPr>
            <w:tcW w:w="916" w:type="dxa"/>
            <w:tcBorders>
              <w:top w:val="nil"/>
              <w:left w:val="nil"/>
              <w:bottom w:val="nil"/>
              <w:right w:val="nil"/>
            </w:tcBorders>
            <w:shd w:val="clear" w:color="auto" w:fill="auto"/>
            <w:vAlign w:val="bottom"/>
            <w:hideMark/>
          </w:tcPr>
          <w:p w14:paraId="7A3FD47E"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43,772 </w:t>
            </w:r>
          </w:p>
        </w:tc>
        <w:tc>
          <w:tcPr>
            <w:tcW w:w="901" w:type="dxa"/>
            <w:tcBorders>
              <w:top w:val="nil"/>
              <w:left w:val="nil"/>
              <w:bottom w:val="nil"/>
              <w:right w:val="nil"/>
            </w:tcBorders>
            <w:shd w:val="clear" w:color="auto" w:fill="auto"/>
            <w:vAlign w:val="bottom"/>
            <w:hideMark/>
          </w:tcPr>
          <w:p w14:paraId="7DC7E0B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45,856 </w:t>
            </w:r>
          </w:p>
        </w:tc>
        <w:tc>
          <w:tcPr>
            <w:tcW w:w="870" w:type="dxa"/>
            <w:gridSpan w:val="2"/>
            <w:tcBorders>
              <w:top w:val="nil"/>
              <w:left w:val="nil"/>
              <w:bottom w:val="nil"/>
              <w:right w:val="nil"/>
            </w:tcBorders>
            <w:shd w:val="clear" w:color="auto" w:fill="auto"/>
            <w:vAlign w:val="bottom"/>
            <w:hideMark/>
          </w:tcPr>
          <w:p w14:paraId="7805429E"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47,050 </w:t>
            </w:r>
          </w:p>
        </w:tc>
        <w:tc>
          <w:tcPr>
            <w:tcW w:w="1046" w:type="dxa"/>
            <w:gridSpan w:val="2"/>
            <w:tcBorders>
              <w:top w:val="nil"/>
              <w:left w:val="nil"/>
              <w:bottom w:val="nil"/>
              <w:right w:val="nil"/>
            </w:tcBorders>
            <w:shd w:val="clear" w:color="auto" w:fill="auto"/>
            <w:vAlign w:val="bottom"/>
            <w:hideMark/>
          </w:tcPr>
          <w:p w14:paraId="7CD99BC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47,763 </w:t>
            </w:r>
          </w:p>
        </w:tc>
      </w:tr>
      <w:tr w:rsidR="00A53E2D" w:rsidRPr="00F51109" w14:paraId="52CAFA7A" w14:textId="77777777" w:rsidTr="00E85896">
        <w:trPr>
          <w:trHeight w:val="227"/>
        </w:trPr>
        <w:tc>
          <w:tcPr>
            <w:tcW w:w="4337" w:type="dxa"/>
            <w:tcBorders>
              <w:top w:val="nil"/>
              <w:left w:val="nil"/>
              <w:bottom w:val="nil"/>
              <w:right w:val="nil"/>
            </w:tcBorders>
            <w:shd w:val="clear" w:color="auto" w:fill="auto"/>
            <w:vAlign w:val="bottom"/>
            <w:hideMark/>
          </w:tcPr>
          <w:p w14:paraId="0BE95C03" w14:textId="77777777" w:rsidR="00A53E2D" w:rsidRPr="00F51109" w:rsidRDefault="00A53E2D" w:rsidP="00E85896">
            <w:pPr>
              <w:rPr>
                <w:color w:val="000000"/>
                <w:sz w:val="16"/>
                <w:szCs w:val="16"/>
                <w:lang w:eastAsia="ko-KR"/>
              </w:rPr>
            </w:pPr>
            <w:r w:rsidRPr="00F51109">
              <w:rPr>
                <w:color w:val="000000"/>
                <w:sz w:val="16"/>
                <w:szCs w:val="16"/>
                <w:lang w:eastAsia="ko-KR"/>
              </w:rPr>
              <w:t xml:space="preserve">Interest </w:t>
            </w:r>
          </w:p>
        </w:tc>
        <w:tc>
          <w:tcPr>
            <w:tcW w:w="903" w:type="dxa"/>
            <w:tcBorders>
              <w:top w:val="nil"/>
              <w:left w:val="nil"/>
              <w:bottom w:val="nil"/>
              <w:right w:val="nil"/>
            </w:tcBorders>
            <w:shd w:val="clear" w:color="auto" w:fill="auto"/>
            <w:vAlign w:val="bottom"/>
            <w:hideMark/>
          </w:tcPr>
          <w:p w14:paraId="127B9B5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217 </w:t>
            </w:r>
          </w:p>
        </w:tc>
        <w:tc>
          <w:tcPr>
            <w:tcW w:w="916" w:type="dxa"/>
            <w:tcBorders>
              <w:top w:val="nil"/>
              <w:left w:val="nil"/>
              <w:bottom w:val="nil"/>
              <w:right w:val="nil"/>
            </w:tcBorders>
            <w:shd w:val="clear" w:color="auto" w:fill="auto"/>
            <w:vAlign w:val="bottom"/>
            <w:hideMark/>
          </w:tcPr>
          <w:p w14:paraId="2B02E738"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204 </w:t>
            </w:r>
          </w:p>
        </w:tc>
        <w:tc>
          <w:tcPr>
            <w:tcW w:w="916" w:type="dxa"/>
            <w:tcBorders>
              <w:top w:val="nil"/>
              <w:left w:val="nil"/>
              <w:bottom w:val="nil"/>
              <w:right w:val="nil"/>
            </w:tcBorders>
            <w:shd w:val="clear" w:color="auto" w:fill="auto"/>
            <w:vAlign w:val="bottom"/>
            <w:hideMark/>
          </w:tcPr>
          <w:p w14:paraId="296D12EE"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295 </w:t>
            </w:r>
          </w:p>
        </w:tc>
        <w:tc>
          <w:tcPr>
            <w:tcW w:w="901" w:type="dxa"/>
            <w:tcBorders>
              <w:top w:val="nil"/>
              <w:left w:val="nil"/>
              <w:bottom w:val="nil"/>
              <w:right w:val="nil"/>
            </w:tcBorders>
            <w:shd w:val="clear" w:color="auto" w:fill="auto"/>
            <w:vAlign w:val="bottom"/>
            <w:hideMark/>
          </w:tcPr>
          <w:p w14:paraId="587C0828"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339 </w:t>
            </w:r>
          </w:p>
        </w:tc>
        <w:tc>
          <w:tcPr>
            <w:tcW w:w="870" w:type="dxa"/>
            <w:gridSpan w:val="2"/>
            <w:tcBorders>
              <w:top w:val="nil"/>
              <w:left w:val="nil"/>
              <w:bottom w:val="nil"/>
              <w:right w:val="nil"/>
            </w:tcBorders>
            <w:shd w:val="clear" w:color="auto" w:fill="auto"/>
            <w:vAlign w:val="bottom"/>
            <w:hideMark/>
          </w:tcPr>
          <w:p w14:paraId="2951BC4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371 </w:t>
            </w:r>
          </w:p>
        </w:tc>
        <w:tc>
          <w:tcPr>
            <w:tcW w:w="1046" w:type="dxa"/>
            <w:gridSpan w:val="2"/>
            <w:tcBorders>
              <w:top w:val="nil"/>
              <w:left w:val="nil"/>
              <w:bottom w:val="nil"/>
              <w:right w:val="nil"/>
            </w:tcBorders>
            <w:shd w:val="clear" w:color="auto" w:fill="auto"/>
            <w:vAlign w:val="bottom"/>
            <w:hideMark/>
          </w:tcPr>
          <w:p w14:paraId="3FAFB54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408 </w:t>
            </w:r>
          </w:p>
        </w:tc>
      </w:tr>
      <w:tr w:rsidR="00A53E2D" w:rsidRPr="00F51109" w14:paraId="2812671D" w14:textId="77777777" w:rsidTr="00E85896">
        <w:trPr>
          <w:trHeight w:val="227"/>
        </w:trPr>
        <w:tc>
          <w:tcPr>
            <w:tcW w:w="4337" w:type="dxa"/>
            <w:tcBorders>
              <w:top w:val="nil"/>
              <w:left w:val="nil"/>
              <w:bottom w:val="nil"/>
              <w:right w:val="nil"/>
            </w:tcBorders>
            <w:shd w:val="clear" w:color="auto" w:fill="auto"/>
            <w:vAlign w:val="bottom"/>
            <w:hideMark/>
          </w:tcPr>
          <w:p w14:paraId="4FF7FA4E" w14:textId="77777777" w:rsidR="00A53E2D" w:rsidRPr="00F51109" w:rsidRDefault="00A53E2D" w:rsidP="00E85896">
            <w:pPr>
              <w:ind w:right="-136"/>
              <w:rPr>
                <w:color w:val="000000"/>
                <w:sz w:val="16"/>
                <w:szCs w:val="16"/>
                <w:lang w:eastAsia="ko-KR"/>
              </w:rPr>
            </w:pPr>
            <w:r w:rsidRPr="00F51109">
              <w:rPr>
                <w:color w:val="000000"/>
                <w:sz w:val="16"/>
                <w:szCs w:val="16"/>
                <w:lang w:eastAsia="ko-KR"/>
              </w:rPr>
              <w:t>Dividends and Income Tax Equivalents from Other Sectors</w:t>
            </w:r>
          </w:p>
        </w:tc>
        <w:tc>
          <w:tcPr>
            <w:tcW w:w="903" w:type="dxa"/>
            <w:tcBorders>
              <w:top w:val="nil"/>
              <w:left w:val="nil"/>
              <w:bottom w:val="nil"/>
              <w:right w:val="nil"/>
            </w:tcBorders>
            <w:shd w:val="clear" w:color="auto" w:fill="auto"/>
            <w:vAlign w:val="bottom"/>
            <w:hideMark/>
          </w:tcPr>
          <w:p w14:paraId="774A4FF5"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1,582 </w:t>
            </w:r>
          </w:p>
        </w:tc>
        <w:tc>
          <w:tcPr>
            <w:tcW w:w="916" w:type="dxa"/>
            <w:tcBorders>
              <w:top w:val="nil"/>
              <w:left w:val="nil"/>
              <w:bottom w:val="nil"/>
              <w:right w:val="nil"/>
            </w:tcBorders>
            <w:shd w:val="clear" w:color="auto" w:fill="auto"/>
            <w:vAlign w:val="bottom"/>
            <w:hideMark/>
          </w:tcPr>
          <w:p w14:paraId="78EA7119"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483 </w:t>
            </w:r>
          </w:p>
        </w:tc>
        <w:tc>
          <w:tcPr>
            <w:tcW w:w="916" w:type="dxa"/>
            <w:tcBorders>
              <w:top w:val="nil"/>
              <w:left w:val="nil"/>
              <w:bottom w:val="nil"/>
              <w:right w:val="nil"/>
            </w:tcBorders>
            <w:shd w:val="clear" w:color="auto" w:fill="auto"/>
            <w:vAlign w:val="bottom"/>
            <w:hideMark/>
          </w:tcPr>
          <w:p w14:paraId="5501B91A"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558 </w:t>
            </w:r>
          </w:p>
        </w:tc>
        <w:tc>
          <w:tcPr>
            <w:tcW w:w="901" w:type="dxa"/>
            <w:tcBorders>
              <w:top w:val="nil"/>
              <w:left w:val="nil"/>
              <w:bottom w:val="nil"/>
              <w:right w:val="nil"/>
            </w:tcBorders>
            <w:shd w:val="clear" w:color="auto" w:fill="auto"/>
            <w:vAlign w:val="bottom"/>
            <w:hideMark/>
          </w:tcPr>
          <w:p w14:paraId="3E26FF60" w14:textId="6CB42574"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691 </w:t>
            </w:r>
          </w:p>
        </w:tc>
        <w:tc>
          <w:tcPr>
            <w:tcW w:w="870" w:type="dxa"/>
            <w:gridSpan w:val="2"/>
            <w:tcBorders>
              <w:top w:val="nil"/>
              <w:left w:val="nil"/>
              <w:bottom w:val="nil"/>
              <w:right w:val="nil"/>
            </w:tcBorders>
            <w:shd w:val="clear" w:color="auto" w:fill="auto"/>
            <w:vAlign w:val="bottom"/>
            <w:hideMark/>
          </w:tcPr>
          <w:p w14:paraId="791FD30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677 </w:t>
            </w:r>
          </w:p>
        </w:tc>
        <w:tc>
          <w:tcPr>
            <w:tcW w:w="1046" w:type="dxa"/>
            <w:gridSpan w:val="2"/>
            <w:tcBorders>
              <w:top w:val="nil"/>
              <w:left w:val="nil"/>
              <w:bottom w:val="nil"/>
              <w:right w:val="nil"/>
            </w:tcBorders>
            <w:shd w:val="clear" w:color="auto" w:fill="auto"/>
            <w:vAlign w:val="bottom"/>
            <w:hideMark/>
          </w:tcPr>
          <w:p w14:paraId="54F0770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1,554 </w:t>
            </w:r>
          </w:p>
        </w:tc>
      </w:tr>
      <w:tr w:rsidR="00A53E2D" w:rsidRPr="00F51109" w14:paraId="292FE5A8" w14:textId="77777777" w:rsidTr="00E85896">
        <w:trPr>
          <w:trHeight w:val="227"/>
        </w:trPr>
        <w:tc>
          <w:tcPr>
            <w:tcW w:w="4337" w:type="dxa"/>
            <w:tcBorders>
              <w:top w:val="nil"/>
              <w:left w:val="nil"/>
              <w:bottom w:val="nil"/>
              <w:right w:val="nil"/>
            </w:tcBorders>
            <w:shd w:val="clear" w:color="auto" w:fill="auto"/>
            <w:vAlign w:val="bottom"/>
            <w:hideMark/>
          </w:tcPr>
          <w:p w14:paraId="650A7FC7" w14:textId="77777777" w:rsidR="00A53E2D" w:rsidRPr="00F51109" w:rsidRDefault="00A53E2D" w:rsidP="00E85896">
            <w:pPr>
              <w:rPr>
                <w:color w:val="000000"/>
                <w:sz w:val="16"/>
                <w:szCs w:val="16"/>
                <w:lang w:eastAsia="ko-KR"/>
              </w:rPr>
            </w:pPr>
            <w:r w:rsidRPr="00F51109">
              <w:rPr>
                <w:color w:val="000000"/>
                <w:sz w:val="16"/>
                <w:szCs w:val="16"/>
                <w:lang w:eastAsia="ko-KR"/>
              </w:rPr>
              <w:t xml:space="preserve">Other </w:t>
            </w:r>
          </w:p>
        </w:tc>
        <w:tc>
          <w:tcPr>
            <w:tcW w:w="903" w:type="dxa"/>
            <w:tcBorders>
              <w:top w:val="nil"/>
              <w:left w:val="nil"/>
              <w:bottom w:val="nil"/>
              <w:right w:val="nil"/>
            </w:tcBorders>
            <w:shd w:val="clear" w:color="auto" w:fill="auto"/>
            <w:vAlign w:val="bottom"/>
            <w:hideMark/>
          </w:tcPr>
          <w:p w14:paraId="5ED4D0A1"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9,948 </w:t>
            </w:r>
          </w:p>
        </w:tc>
        <w:tc>
          <w:tcPr>
            <w:tcW w:w="916" w:type="dxa"/>
            <w:tcBorders>
              <w:top w:val="nil"/>
              <w:left w:val="nil"/>
              <w:bottom w:val="nil"/>
              <w:right w:val="nil"/>
            </w:tcBorders>
            <w:shd w:val="clear" w:color="auto" w:fill="auto"/>
            <w:vAlign w:val="bottom"/>
            <w:hideMark/>
          </w:tcPr>
          <w:p w14:paraId="25549A70"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9,051 </w:t>
            </w:r>
          </w:p>
        </w:tc>
        <w:tc>
          <w:tcPr>
            <w:tcW w:w="916" w:type="dxa"/>
            <w:tcBorders>
              <w:top w:val="nil"/>
              <w:left w:val="nil"/>
              <w:bottom w:val="nil"/>
              <w:right w:val="nil"/>
            </w:tcBorders>
            <w:shd w:val="clear" w:color="auto" w:fill="auto"/>
            <w:vAlign w:val="bottom"/>
            <w:hideMark/>
          </w:tcPr>
          <w:p w14:paraId="39B58E62"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8,699 </w:t>
            </w:r>
          </w:p>
        </w:tc>
        <w:tc>
          <w:tcPr>
            <w:tcW w:w="901" w:type="dxa"/>
            <w:tcBorders>
              <w:top w:val="nil"/>
              <w:left w:val="nil"/>
              <w:bottom w:val="nil"/>
              <w:right w:val="nil"/>
            </w:tcBorders>
            <w:shd w:val="clear" w:color="auto" w:fill="auto"/>
            <w:vAlign w:val="bottom"/>
            <w:hideMark/>
          </w:tcPr>
          <w:p w14:paraId="05241B53"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7,194 </w:t>
            </w:r>
          </w:p>
        </w:tc>
        <w:tc>
          <w:tcPr>
            <w:tcW w:w="870" w:type="dxa"/>
            <w:gridSpan w:val="2"/>
            <w:tcBorders>
              <w:top w:val="nil"/>
              <w:left w:val="nil"/>
              <w:bottom w:val="nil"/>
              <w:right w:val="nil"/>
            </w:tcBorders>
            <w:shd w:val="clear" w:color="auto" w:fill="auto"/>
            <w:vAlign w:val="bottom"/>
            <w:hideMark/>
          </w:tcPr>
          <w:p w14:paraId="5538EAD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6,814 </w:t>
            </w:r>
          </w:p>
        </w:tc>
        <w:tc>
          <w:tcPr>
            <w:tcW w:w="1046" w:type="dxa"/>
            <w:gridSpan w:val="2"/>
            <w:tcBorders>
              <w:top w:val="nil"/>
              <w:left w:val="nil"/>
              <w:bottom w:val="nil"/>
              <w:right w:val="nil"/>
            </w:tcBorders>
            <w:shd w:val="clear" w:color="auto" w:fill="auto"/>
            <w:vAlign w:val="bottom"/>
            <w:hideMark/>
          </w:tcPr>
          <w:p w14:paraId="0395E99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6,348 </w:t>
            </w:r>
          </w:p>
        </w:tc>
      </w:tr>
      <w:tr w:rsidR="00A53E2D" w:rsidRPr="00F51109" w14:paraId="1C55C970" w14:textId="77777777" w:rsidTr="00E85896">
        <w:trPr>
          <w:trHeight w:val="345"/>
        </w:trPr>
        <w:tc>
          <w:tcPr>
            <w:tcW w:w="4337" w:type="dxa"/>
            <w:tcBorders>
              <w:top w:val="nil"/>
              <w:left w:val="nil"/>
              <w:bottom w:val="nil"/>
              <w:right w:val="nil"/>
            </w:tcBorders>
            <w:shd w:val="clear" w:color="auto" w:fill="auto"/>
            <w:vAlign w:val="center"/>
            <w:hideMark/>
          </w:tcPr>
          <w:p w14:paraId="2D8A2BA9"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Total Cash Receipts from Operating Activities</w:t>
            </w:r>
          </w:p>
        </w:tc>
        <w:tc>
          <w:tcPr>
            <w:tcW w:w="903" w:type="dxa"/>
            <w:tcBorders>
              <w:top w:val="nil"/>
              <w:left w:val="nil"/>
              <w:bottom w:val="nil"/>
              <w:right w:val="nil"/>
            </w:tcBorders>
            <w:shd w:val="clear" w:color="auto" w:fill="auto"/>
            <w:vAlign w:val="center"/>
            <w:hideMark/>
          </w:tcPr>
          <w:p w14:paraId="28B9ACC4"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91,780 </w:t>
            </w:r>
          </w:p>
        </w:tc>
        <w:tc>
          <w:tcPr>
            <w:tcW w:w="916" w:type="dxa"/>
            <w:tcBorders>
              <w:top w:val="nil"/>
              <w:left w:val="nil"/>
              <w:bottom w:val="nil"/>
              <w:right w:val="nil"/>
            </w:tcBorders>
            <w:shd w:val="clear" w:color="auto" w:fill="auto"/>
            <w:vAlign w:val="center"/>
            <w:hideMark/>
          </w:tcPr>
          <w:p w14:paraId="7625A1C8"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105,899 </w:t>
            </w:r>
          </w:p>
        </w:tc>
        <w:tc>
          <w:tcPr>
            <w:tcW w:w="916" w:type="dxa"/>
            <w:tcBorders>
              <w:top w:val="nil"/>
              <w:left w:val="nil"/>
              <w:bottom w:val="nil"/>
              <w:right w:val="nil"/>
            </w:tcBorders>
            <w:shd w:val="clear" w:color="auto" w:fill="auto"/>
            <w:vAlign w:val="center"/>
            <w:hideMark/>
          </w:tcPr>
          <w:p w14:paraId="1CBC79E8"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103,605 </w:t>
            </w:r>
          </w:p>
        </w:tc>
        <w:tc>
          <w:tcPr>
            <w:tcW w:w="901" w:type="dxa"/>
            <w:tcBorders>
              <w:top w:val="nil"/>
              <w:left w:val="nil"/>
              <w:bottom w:val="nil"/>
              <w:right w:val="nil"/>
            </w:tcBorders>
            <w:shd w:val="clear" w:color="auto" w:fill="auto"/>
            <w:vAlign w:val="center"/>
            <w:hideMark/>
          </w:tcPr>
          <w:p w14:paraId="059D83B0"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104,064 </w:t>
            </w:r>
          </w:p>
        </w:tc>
        <w:tc>
          <w:tcPr>
            <w:tcW w:w="870" w:type="dxa"/>
            <w:gridSpan w:val="2"/>
            <w:tcBorders>
              <w:top w:val="nil"/>
              <w:left w:val="nil"/>
              <w:bottom w:val="nil"/>
              <w:right w:val="nil"/>
            </w:tcBorders>
            <w:shd w:val="clear" w:color="auto" w:fill="auto"/>
            <w:vAlign w:val="center"/>
            <w:hideMark/>
          </w:tcPr>
          <w:p w14:paraId="06D1B894"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105,940 </w:t>
            </w:r>
          </w:p>
        </w:tc>
        <w:tc>
          <w:tcPr>
            <w:tcW w:w="1046" w:type="dxa"/>
            <w:gridSpan w:val="2"/>
            <w:tcBorders>
              <w:top w:val="nil"/>
              <w:left w:val="nil"/>
              <w:bottom w:val="nil"/>
              <w:right w:val="nil"/>
            </w:tcBorders>
            <w:shd w:val="clear" w:color="auto" w:fill="auto"/>
            <w:vAlign w:val="center"/>
            <w:hideMark/>
          </w:tcPr>
          <w:p w14:paraId="36A2BDBD"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109,129 </w:t>
            </w:r>
          </w:p>
        </w:tc>
      </w:tr>
      <w:tr w:rsidR="00A53E2D" w:rsidRPr="00F51109" w14:paraId="133D847A" w14:textId="77777777" w:rsidTr="00E85896">
        <w:trPr>
          <w:trHeight w:val="283"/>
        </w:trPr>
        <w:tc>
          <w:tcPr>
            <w:tcW w:w="4337" w:type="dxa"/>
            <w:tcBorders>
              <w:top w:val="nil"/>
              <w:left w:val="nil"/>
              <w:bottom w:val="nil"/>
              <w:right w:val="nil"/>
            </w:tcBorders>
            <w:shd w:val="clear" w:color="auto" w:fill="auto"/>
            <w:vAlign w:val="bottom"/>
            <w:hideMark/>
          </w:tcPr>
          <w:p w14:paraId="221D95FF" w14:textId="77777777" w:rsidR="00A53E2D" w:rsidRPr="00F51109" w:rsidRDefault="00A53E2D" w:rsidP="00E85896">
            <w:pPr>
              <w:rPr>
                <w:b/>
                <w:bCs/>
                <w:color w:val="000000"/>
                <w:sz w:val="16"/>
                <w:szCs w:val="16"/>
                <w:lang w:eastAsia="ko-KR"/>
              </w:rPr>
            </w:pPr>
            <w:r w:rsidRPr="00F51109">
              <w:rPr>
                <w:b/>
                <w:bCs/>
                <w:color w:val="000000"/>
                <w:sz w:val="16"/>
                <w:szCs w:val="16"/>
                <w:lang w:eastAsia="ko-KR"/>
              </w:rPr>
              <w:t>Cash Payments from Operating Activities</w:t>
            </w:r>
          </w:p>
        </w:tc>
        <w:tc>
          <w:tcPr>
            <w:tcW w:w="903" w:type="dxa"/>
            <w:tcBorders>
              <w:top w:val="nil"/>
              <w:left w:val="nil"/>
              <w:bottom w:val="nil"/>
              <w:right w:val="nil"/>
            </w:tcBorders>
            <w:shd w:val="clear" w:color="auto" w:fill="auto"/>
            <w:vAlign w:val="bottom"/>
            <w:hideMark/>
          </w:tcPr>
          <w:p w14:paraId="641015FA" w14:textId="77777777" w:rsidR="00A53E2D" w:rsidRPr="00DC0DBB" w:rsidRDefault="00A53E2D" w:rsidP="00E85896">
            <w:pPr>
              <w:rPr>
                <w:b/>
                <w:bCs/>
                <w:color w:val="A6A6A6" w:themeColor="background1" w:themeShade="A6"/>
                <w:sz w:val="16"/>
                <w:szCs w:val="16"/>
                <w:lang w:eastAsia="ko-KR"/>
              </w:rPr>
            </w:pPr>
          </w:p>
        </w:tc>
        <w:tc>
          <w:tcPr>
            <w:tcW w:w="916" w:type="dxa"/>
            <w:tcBorders>
              <w:top w:val="nil"/>
              <w:left w:val="nil"/>
              <w:bottom w:val="nil"/>
              <w:right w:val="nil"/>
            </w:tcBorders>
            <w:shd w:val="clear" w:color="auto" w:fill="auto"/>
            <w:vAlign w:val="bottom"/>
            <w:hideMark/>
          </w:tcPr>
          <w:p w14:paraId="5827F674" w14:textId="77777777" w:rsidR="00A53E2D" w:rsidRPr="00F51109" w:rsidRDefault="00A53E2D" w:rsidP="00E85896">
            <w:pPr>
              <w:jc w:val="right"/>
              <w:rPr>
                <w:lang w:eastAsia="ko-KR"/>
              </w:rPr>
            </w:pPr>
          </w:p>
        </w:tc>
        <w:tc>
          <w:tcPr>
            <w:tcW w:w="916" w:type="dxa"/>
            <w:tcBorders>
              <w:top w:val="nil"/>
              <w:left w:val="nil"/>
              <w:bottom w:val="nil"/>
              <w:right w:val="nil"/>
            </w:tcBorders>
            <w:shd w:val="clear" w:color="auto" w:fill="auto"/>
            <w:vAlign w:val="bottom"/>
            <w:hideMark/>
          </w:tcPr>
          <w:p w14:paraId="1026A9CB"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364C8892"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312008E1" w14:textId="7777777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3501704A" w14:textId="77777777" w:rsidR="00A53E2D" w:rsidRPr="00DC0DBB" w:rsidRDefault="00A53E2D" w:rsidP="00E85896">
            <w:pPr>
              <w:jc w:val="right"/>
              <w:rPr>
                <w:color w:val="A6A6A6" w:themeColor="background1" w:themeShade="A6"/>
                <w:lang w:eastAsia="ko-KR"/>
              </w:rPr>
            </w:pPr>
          </w:p>
        </w:tc>
      </w:tr>
      <w:tr w:rsidR="00A53E2D" w:rsidRPr="00F51109" w14:paraId="6DEB86FD" w14:textId="77777777" w:rsidTr="00E85896">
        <w:trPr>
          <w:trHeight w:val="240"/>
        </w:trPr>
        <w:tc>
          <w:tcPr>
            <w:tcW w:w="4337" w:type="dxa"/>
            <w:tcBorders>
              <w:top w:val="nil"/>
              <w:left w:val="nil"/>
              <w:bottom w:val="nil"/>
              <w:right w:val="nil"/>
            </w:tcBorders>
            <w:shd w:val="clear" w:color="auto" w:fill="auto"/>
            <w:vAlign w:val="center"/>
            <w:hideMark/>
          </w:tcPr>
          <w:p w14:paraId="3A0FFBA3" w14:textId="77777777" w:rsidR="00A53E2D" w:rsidRPr="00F51109" w:rsidRDefault="00A53E2D" w:rsidP="00E85896">
            <w:pPr>
              <w:rPr>
                <w:color w:val="000000"/>
                <w:sz w:val="16"/>
                <w:szCs w:val="16"/>
                <w:lang w:eastAsia="ko-KR"/>
              </w:rPr>
            </w:pPr>
            <w:r w:rsidRPr="00F51109">
              <w:rPr>
                <w:color w:val="000000"/>
                <w:sz w:val="16"/>
                <w:szCs w:val="16"/>
                <w:lang w:eastAsia="ko-KR"/>
              </w:rPr>
              <w:t>Employee Related</w:t>
            </w:r>
          </w:p>
        </w:tc>
        <w:tc>
          <w:tcPr>
            <w:tcW w:w="903" w:type="dxa"/>
            <w:tcBorders>
              <w:top w:val="nil"/>
              <w:left w:val="nil"/>
              <w:bottom w:val="nil"/>
              <w:right w:val="nil"/>
            </w:tcBorders>
            <w:shd w:val="clear" w:color="auto" w:fill="auto"/>
            <w:vAlign w:val="center"/>
            <w:hideMark/>
          </w:tcPr>
          <w:p w14:paraId="1235625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(35,904)</w:t>
            </w:r>
          </w:p>
        </w:tc>
        <w:tc>
          <w:tcPr>
            <w:tcW w:w="916" w:type="dxa"/>
            <w:tcBorders>
              <w:top w:val="nil"/>
              <w:left w:val="nil"/>
              <w:bottom w:val="nil"/>
              <w:right w:val="nil"/>
            </w:tcBorders>
            <w:shd w:val="clear" w:color="auto" w:fill="auto"/>
            <w:vAlign w:val="center"/>
            <w:hideMark/>
          </w:tcPr>
          <w:p w14:paraId="250ACAC6" w14:textId="77777777" w:rsidR="00A53E2D" w:rsidRPr="00F51109" w:rsidRDefault="00A53E2D" w:rsidP="00E85896">
            <w:pPr>
              <w:jc w:val="right"/>
              <w:rPr>
                <w:color w:val="000000"/>
                <w:sz w:val="16"/>
                <w:szCs w:val="16"/>
                <w:lang w:eastAsia="ko-KR"/>
              </w:rPr>
            </w:pPr>
            <w:r w:rsidRPr="00F51109">
              <w:rPr>
                <w:color w:val="000000"/>
                <w:sz w:val="16"/>
                <w:szCs w:val="16"/>
                <w:lang w:eastAsia="ko-KR"/>
              </w:rPr>
              <w:t>(38,687)</w:t>
            </w:r>
          </w:p>
        </w:tc>
        <w:tc>
          <w:tcPr>
            <w:tcW w:w="916" w:type="dxa"/>
            <w:tcBorders>
              <w:top w:val="nil"/>
              <w:left w:val="nil"/>
              <w:bottom w:val="nil"/>
              <w:right w:val="nil"/>
            </w:tcBorders>
            <w:shd w:val="clear" w:color="auto" w:fill="auto"/>
            <w:vAlign w:val="center"/>
            <w:hideMark/>
          </w:tcPr>
          <w:p w14:paraId="2A11CAA0" w14:textId="77777777" w:rsidR="00A53E2D" w:rsidRPr="00F51109" w:rsidRDefault="00A53E2D" w:rsidP="00E85896">
            <w:pPr>
              <w:jc w:val="right"/>
              <w:rPr>
                <w:color w:val="000000"/>
                <w:sz w:val="16"/>
                <w:szCs w:val="16"/>
                <w:lang w:eastAsia="ko-KR"/>
              </w:rPr>
            </w:pPr>
            <w:r w:rsidRPr="00F51109">
              <w:rPr>
                <w:color w:val="000000"/>
                <w:sz w:val="16"/>
                <w:szCs w:val="16"/>
                <w:lang w:eastAsia="ko-KR"/>
              </w:rPr>
              <w:t>(41,707)</w:t>
            </w:r>
          </w:p>
        </w:tc>
        <w:tc>
          <w:tcPr>
            <w:tcW w:w="901" w:type="dxa"/>
            <w:tcBorders>
              <w:top w:val="nil"/>
              <w:left w:val="nil"/>
              <w:bottom w:val="nil"/>
              <w:right w:val="nil"/>
            </w:tcBorders>
            <w:shd w:val="clear" w:color="auto" w:fill="auto"/>
            <w:vAlign w:val="center"/>
            <w:hideMark/>
          </w:tcPr>
          <w:p w14:paraId="0797148D" w14:textId="6FD335B3"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(42,131)</w:t>
            </w:r>
          </w:p>
        </w:tc>
        <w:tc>
          <w:tcPr>
            <w:tcW w:w="870" w:type="dxa"/>
            <w:gridSpan w:val="2"/>
            <w:tcBorders>
              <w:top w:val="nil"/>
              <w:left w:val="nil"/>
              <w:bottom w:val="nil"/>
              <w:right w:val="nil"/>
            </w:tcBorders>
            <w:shd w:val="clear" w:color="auto" w:fill="auto"/>
            <w:vAlign w:val="center"/>
            <w:hideMark/>
          </w:tcPr>
          <w:p w14:paraId="49FC1015"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(43,392)</w:t>
            </w:r>
          </w:p>
        </w:tc>
        <w:tc>
          <w:tcPr>
            <w:tcW w:w="1046" w:type="dxa"/>
            <w:gridSpan w:val="2"/>
            <w:tcBorders>
              <w:top w:val="nil"/>
              <w:left w:val="nil"/>
              <w:bottom w:val="nil"/>
              <w:right w:val="nil"/>
            </w:tcBorders>
            <w:shd w:val="clear" w:color="auto" w:fill="auto"/>
            <w:vAlign w:val="center"/>
            <w:hideMark/>
          </w:tcPr>
          <w:p w14:paraId="6601CB9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(44,671)</w:t>
            </w:r>
          </w:p>
        </w:tc>
      </w:tr>
      <w:tr w:rsidR="00A53E2D" w:rsidRPr="00F51109" w14:paraId="47331C5A" w14:textId="77777777" w:rsidTr="00E85896">
        <w:trPr>
          <w:trHeight w:val="240"/>
        </w:trPr>
        <w:tc>
          <w:tcPr>
            <w:tcW w:w="4337" w:type="dxa"/>
            <w:tcBorders>
              <w:top w:val="nil"/>
              <w:left w:val="nil"/>
              <w:bottom w:val="nil"/>
              <w:right w:val="nil"/>
            </w:tcBorders>
            <w:shd w:val="clear" w:color="auto" w:fill="auto"/>
            <w:vAlign w:val="center"/>
            <w:hideMark/>
          </w:tcPr>
          <w:p w14:paraId="7FA687C6" w14:textId="77777777" w:rsidR="00A53E2D" w:rsidRPr="00F51109" w:rsidRDefault="00A53E2D" w:rsidP="00E85896">
            <w:pPr>
              <w:rPr>
                <w:color w:val="000000"/>
                <w:sz w:val="16"/>
                <w:szCs w:val="16"/>
                <w:lang w:eastAsia="ko-KR"/>
              </w:rPr>
            </w:pPr>
            <w:r w:rsidRPr="00F51109">
              <w:rPr>
                <w:color w:val="000000"/>
                <w:sz w:val="16"/>
                <w:szCs w:val="16"/>
                <w:lang w:eastAsia="ko-KR"/>
              </w:rPr>
              <w:t>Superannuation</w:t>
            </w:r>
          </w:p>
        </w:tc>
        <w:tc>
          <w:tcPr>
            <w:tcW w:w="903" w:type="dxa"/>
            <w:tcBorders>
              <w:top w:val="nil"/>
              <w:left w:val="nil"/>
              <w:bottom w:val="nil"/>
              <w:right w:val="nil"/>
            </w:tcBorders>
            <w:shd w:val="clear" w:color="auto" w:fill="auto"/>
            <w:vAlign w:val="center"/>
            <w:hideMark/>
          </w:tcPr>
          <w:p w14:paraId="32B3BE7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(3,191)</w:t>
            </w:r>
          </w:p>
        </w:tc>
        <w:tc>
          <w:tcPr>
            <w:tcW w:w="916" w:type="dxa"/>
            <w:tcBorders>
              <w:top w:val="nil"/>
              <w:left w:val="nil"/>
              <w:bottom w:val="nil"/>
              <w:right w:val="nil"/>
            </w:tcBorders>
            <w:shd w:val="clear" w:color="auto" w:fill="auto"/>
            <w:vAlign w:val="center"/>
            <w:hideMark/>
          </w:tcPr>
          <w:p w14:paraId="349F186D" w14:textId="77777777" w:rsidR="00A53E2D" w:rsidRPr="00F51109" w:rsidRDefault="00A53E2D" w:rsidP="00E85896">
            <w:pPr>
              <w:jc w:val="right"/>
              <w:rPr>
                <w:color w:val="000000"/>
                <w:sz w:val="16"/>
                <w:szCs w:val="16"/>
                <w:lang w:eastAsia="ko-KR"/>
              </w:rPr>
            </w:pPr>
            <w:r w:rsidRPr="00F51109">
              <w:rPr>
                <w:color w:val="000000"/>
                <w:sz w:val="16"/>
                <w:szCs w:val="16"/>
                <w:lang w:eastAsia="ko-KR"/>
              </w:rPr>
              <w:t>(3,321)</w:t>
            </w:r>
          </w:p>
        </w:tc>
        <w:tc>
          <w:tcPr>
            <w:tcW w:w="916" w:type="dxa"/>
            <w:tcBorders>
              <w:top w:val="nil"/>
              <w:left w:val="nil"/>
              <w:bottom w:val="nil"/>
              <w:right w:val="nil"/>
            </w:tcBorders>
            <w:shd w:val="clear" w:color="auto" w:fill="auto"/>
            <w:vAlign w:val="center"/>
            <w:hideMark/>
          </w:tcPr>
          <w:p w14:paraId="5678D9B9" w14:textId="77777777" w:rsidR="00A53E2D" w:rsidRPr="00F51109" w:rsidRDefault="00A53E2D" w:rsidP="00E85896">
            <w:pPr>
              <w:jc w:val="right"/>
              <w:rPr>
                <w:color w:val="000000"/>
                <w:sz w:val="16"/>
                <w:szCs w:val="16"/>
                <w:lang w:eastAsia="ko-KR"/>
              </w:rPr>
            </w:pPr>
            <w:r w:rsidRPr="00F51109">
              <w:rPr>
                <w:color w:val="000000"/>
                <w:sz w:val="16"/>
                <w:szCs w:val="16"/>
                <w:lang w:eastAsia="ko-KR"/>
              </w:rPr>
              <w:t>(5,002)</w:t>
            </w:r>
          </w:p>
        </w:tc>
        <w:tc>
          <w:tcPr>
            <w:tcW w:w="901" w:type="dxa"/>
            <w:tcBorders>
              <w:top w:val="nil"/>
              <w:left w:val="nil"/>
              <w:bottom w:val="nil"/>
              <w:right w:val="nil"/>
            </w:tcBorders>
            <w:shd w:val="clear" w:color="auto" w:fill="auto"/>
            <w:vAlign w:val="center"/>
            <w:hideMark/>
          </w:tcPr>
          <w:p w14:paraId="75457D0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(5,257)</w:t>
            </w:r>
          </w:p>
        </w:tc>
        <w:tc>
          <w:tcPr>
            <w:tcW w:w="870" w:type="dxa"/>
            <w:gridSpan w:val="2"/>
            <w:tcBorders>
              <w:top w:val="nil"/>
              <w:left w:val="nil"/>
              <w:bottom w:val="nil"/>
              <w:right w:val="nil"/>
            </w:tcBorders>
            <w:shd w:val="clear" w:color="auto" w:fill="auto"/>
            <w:vAlign w:val="center"/>
            <w:hideMark/>
          </w:tcPr>
          <w:p w14:paraId="05DA41D3"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(5,467)</w:t>
            </w:r>
          </w:p>
        </w:tc>
        <w:tc>
          <w:tcPr>
            <w:tcW w:w="1046" w:type="dxa"/>
            <w:gridSpan w:val="2"/>
            <w:tcBorders>
              <w:top w:val="nil"/>
              <w:left w:val="nil"/>
              <w:bottom w:val="nil"/>
              <w:right w:val="nil"/>
            </w:tcBorders>
            <w:shd w:val="clear" w:color="auto" w:fill="auto"/>
            <w:vAlign w:val="center"/>
            <w:hideMark/>
          </w:tcPr>
          <w:p w14:paraId="211BEBD5"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(5,691)</w:t>
            </w:r>
          </w:p>
        </w:tc>
      </w:tr>
      <w:tr w:rsidR="00A53E2D" w:rsidRPr="00F51109" w14:paraId="2B6AD4A2" w14:textId="77777777" w:rsidTr="00E85896">
        <w:trPr>
          <w:trHeight w:val="240"/>
        </w:trPr>
        <w:tc>
          <w:tcPr>
            <w:tcW w:w="4337" w:type="dxa"/>
            <w:tcBorders>
              <w:top w:val="nil"/>
              <w:left w:val="nil"/>
              <w:bottom w:val="nil"/>
              <w:right w:val="nil"/>
            </w:tcBorders>
            <w:shd w:val="clear" w:color="auto" w:fill="auto"/>
            <w:vAlign w:val="center"/>
            <w:hideMark/>
          </w:tcPr>
          <w:p w14:paraId="0ED37799" w14:textId="77777777" w:rsidR="00A53E2D" w:rsidRPr="00F51109" w:rsidRDefault="00A53E2D" w:rsidP="00E85896">
            <w:pPr>
              <w:rPr>
                <w:color w:val="000000"/>
                <w:sz w:val="16"/>
                <w:szCs w:val="16"/>
                <w:lang w:eastAsia="ko-KR"/>
              </w:rPr>
            </w:pPr>
            <w:r w:rsidRPr="00F51109">
              <w:rPr>
                <w:color w:val="000000"/>
                <w:sz w:val="16"/>
                <w:szCs w:val="16"/>
                <w:lang w:eastAsia="ko-KR"/>
              </w:rPr>
              <w:t>Payments for Goods and Services</w:t>
            </w:r>
          </w:p>
        </w:tc>
        <w:tc>
          <w:tcPr>
            <w:tcW w:w="903" w:type="dxa"/>
            <w:tcBorders>
              <w:top w:val="nil"/>
              <w:left w:val="nil"/>
              <w:bottom w:val="nil"/>
              <w:right w:val="nil"/>
            </w:tcBorders>
            <w:shd w:val="clear" w:color="auto" w:fill="auto"/>
            <w:vAlign w:val="center"/>
            <w:hideMark/>
          </w:tcPr>
          <w:p w14:paraId="619FE65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(23,817)</w:t>
            </w:r>
          </w:p>
        </w:tc>
        <w:tc>
          <w:tcPr>
            <w:tcW w:w="916" w:type="dxa"/>
            <w:tcBorders>
              <w:top w:val="nil"/>
              <w:left w:val="nil"/>
              <w:bottom w:val="nil"/>
              <w:right w:val="nil"/>
            </w:tcBorders>
            <w:shd w:val="clear" w:color="auto" w:fill="auto"/>
            <w:vAlign w:val="center"/>
            <w:hideMark/>
          </w:tcPr>
          <w:p w14:paraId="4E53CB67" w14:textId="77777777" w:rsidR="00A53E2D" w:rsidRPr="00F51109" w:rsidRDefault="00A53E2D" w:rsidP="00E85896">
            <w:pPr>
              <w:jc w:val="right"/>
              <w:rPr>
                <w:color w:val="000000"/>
                <w:sz w:val="16"/>
                <w:szCs w:val="16"/>
                <w:lang w:eastAsia="ko-KR"/>
              </w:rPr>
            </w:pPr>
            <w:r w:rsidRPr="00F51109">
              <w:rPr>
                <w:color w:val="000000"/>
                <w:sz w:val="16"/>
                <w:szCs w:val="16"/>
                <w:lang w:eastAsia="ko-KR"/>
              </w:rPr>
              <w:t>(28,831)</w:t>
            </w:r>
          </w:p>
        </w:tc>
        <w:tc>
          <w:tcPr>
            <w:tcW w:w="916" w:type="dxa"/>
            <w:tcBorders>
              <w:top w:val="nil"/>
              <w:left w:val="nil"/>
              <w:bottom w:val="nil"/>
              <w:right w:val="nil"/>
            </w:tcBorders>
            <w:shd w:val="clear" w:color="auto" w:fill="auto"/>
            <w:vAlign w:val="center"/>
            <w:hideMark/>
          </w:tcPr>
          <w:p w14:paraId="7FAF12AB" w14:textId="77777777" w:rsidR="00A53E2D" w:rsidRPr="00F51109" w:rsidRDefault="00A53E2D" w:rsidP="00E85896">
            <w:pPr>
              <w:jc w:val="right"/>
              <w:rPr>
                <w:color w:val="000000"/>
                <w:sz w:val="16"/>
                <w:szCs w:val="16"/>
                <w:lang w:eastAsia="ko-KR"/>
              </w:rPr>
            </w:pPr>
            <w:r w:rsidRPr="00F51109">
              <w:rPr>
                <w:color w:val="000000"/>
                <w:sz w:val="16"/>
                <w:szCs w:val="16"/>
                <w:lang w:eastAsia="ko-KR"/>
              </w:rPr>
              <w:t>(27,348)</w:t>
            </w:r>
          </w:p>
        </w:tc>
        <w:tc>
          <w:tcPr>
            <w:tcW w:w="901" w:type="dxa"/>
            <w:tcBorders>
              <w:top w:val="nil"/>
              <w:left w:val="nil"/>
              <w:bottom w:val="nil"/>
              <w:right w:val="nil"/>
            </w:tcBorders>
            <w:shd w:val="clear" w:color="auto" w:fill="auto"/>
            <w:vAlign w:val="center"/>
            <w:hideMark/>
          </w:tcPr>
          <w:p w14:paraId="7A6C2BAB"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(25,436)</w:t>
            </w:r>
          </w:p>
        </w:tc>
        <w:tc>
          <w:tcPr>
            <w:tcW w:w="870" w:type="dxa"/>
            <w:gridSpan w:val="2"/>
            <w:tcBorders>
              <w:top w:val="nil"/>
              <w:left w:val="nil"/>
              <w:bottom w:val="nil"/>
              <w:right w:val="nil"/>
            </w:tcBorders>
            <w:shd w:val="clear" w:color="auto" w:fill="auto"/>
            <w:vAlign w:val="center"/>
            <w:hideMark/>
          </w:tcPr>
          <w:p w14:paraId="22D44193"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(23,839)</w:t>
            </w:r>
          </w:p>
        </w:tc>
        <w:tc>
          <w:tcPr>
            <w:tcW w:w="1046" w:type="dxa"/>
            <w:gridSpan w:val="2"/>
            <w:tcBorders>
              <w:top w:val="nil"/>
              <w:left w:val="nil"/>
              <w:bottom w:val="nil"/>
              <w:right w:val="nil"/>
            </w:tcBorders>
            <w:shd w:val="clear" w:color="auto" w:fill="auto"/>
            <w:vAlign w:val="center"/>
            <w:hideMark/>
          </w:tcPr>
          <w:p w14:paraId="43E46105"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(24,616)</w:t>
            </w:r>
          </w:p>
        </w:tc>
      </w:tr>
      <w:tr w:rsidR="00A53E2D" w:rsidRPr="00F51109" w14:paraId="47FB0748" w14:textId="77777777" w:rsidTr="00E85896">
        <w:trPr>
          <w:trHeight w:val="240"/>
        </w:trPr>
        <w:tc>
          <w:tcPr>
            <w:tcW w:w="4337" w:type="dxa"/>
            <w:tcBorders>
              <w:top w:val="nil"/>
              <w:left w:val="nil"/>
              <w:bottom w:val="nil"/>
              <w:right w:val="nil"/>
            </w:tcBorders>
            <w:shd w:val="clear" w:color="auto" w:fill="auto"/>
            <w:vAlign w:val="center"/>
            <w:hideMark/>
          </w:tcPr>
          <w:p w14:paraId="3C6C2032" w14:textId="77777777" w:rsidR="00A53E2D" w:rsidRPr="00F51109" w:rsidRDefault="00A53E2D" w:rsidP="00E85896">
            <w:pPr>
              <w:rPr>
                <w:color w:val="000000"/>
                <w:sz w:val="16"/>
                <w:szCs w:val="16"/>
                <w:lang w:eastAsia="ko-KR"/>
              </w:rPr>
            </w:pPr>
            <w:r w:rsidRPr="00F51109">
              <w:rPr>
                <w:color w:val="000000"/>
                <w:sz w:val="16"/>
                <w:szCs w:val="16"/>
                <w:lang w:eastAsia="ko-KR"/>
              </w:rPr>
              <w:t xml:space="preserve">Grants and Subsidies </w:t>
            </w:r>
          </w:p>
        </w:tc>
        <w:tc>
          <w:tcPr>
            <w:tcW w:w="903" w:type="dxa"/>
            <w:tcBorders>
              <w:top w:val="nil"/>
              <w:left w:val="nil"/>
              <w:bottom w:val="nil"/>
              <w:right w:val="nil"/>
            </w:tcBorders>
            <w:shd w:val="clear" w:color="auto" w:fill="auto"/>
            <w:vAlign w:val="center"/>
            <w:hideMark/>
          </w:tcPr>
          <w:p w14:paraId="1B1BF3B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(19,035)</w:t>
            </w:r>
          </w:p>
        </w:tc>
        <w:tc>
          <w:tcPr>
            <w:tcW w:w="916" w:type="dxa"/>
            <w:tcBorders>
              <w:top w:val="nil"/>
              <w:left w:val="nil"/>
              <w:bottom w:val="nil"/>
              <w:right w:val="nil"/>
            </w:tcBorders>
            <w:shd w:val="clear" w:color="auto" w:fill="auto"/>
            <w:vAlign w:val="center"/>
            <w:hideMark/>
          </w:tcPr>
          <w:p w14:paraId="1A623769" w14:textId="77777777" w:rsidR="00A53E2D" w:rsidRPr="00F51109" w:rsidRDefault="00A53E2D" w:rsidP="00E85896">
            <w:pPr>
              <w:jc w:val="right"/>
              <w:rPr>
                <w:color w:val="000000"/>
                <w:sz w:val="16"/>
                <w:szCs w:val="16"/>
                <w:lang w:eastAsia="ko-KR"/>
              </w:rPr>
            </w:pPr>
            <w:r w:rsidRPr="00F51109">
              <w:rPr>
                <w:color w:val="000000"/>
                <w:sz w:val="16"/>
                <w:szCs w:val="16"/>
                <w:lang w:eastAsia="ko-KR"/>
              </w:rPr>
              <w:t>(33,116)</w:t>
            </w:r>
          </w:p>
        </w:tc>
        <w:tc>
          <w:tcPr>
            <w:tcW w:w="916" w:type="dxa"/>
            <w:tcBorders>
              <w:top w:val="nil"/>
              <w:left w:val="nil"/>
              <w:bottom w:val="nil"/>
              <w:right w:val="nil"/>
            </w:tcBorders>
            <w:shd w:val="clear" w:color="auto" w:fill="auto"/>
            <w:vAlign w:val="center"/>
            <w:hideMark/>
          </w:tcPr>
          <w:p w14:paraId="44F46EE4" w14:textId="77777777" w:rsidR="00A53E2D" w:rsidRPr="00F51109" w:rsidRDefault="00A53E2D" w:rsidP="00E85896">
            <w:pPr>
              <w:jc w:val="right"/>
              <w:rPr>
                <w:color w:val="000000"/>
                <w:sz w:val="16"/>
                <w:szCs w:val="16"/>
                <w:lang w:eastAsia="ko-KR"/>
              </w:rPr>
            </w:pPr>
            <w:r w:rsidRPr="00F51109">
              <w:rPr>
                <w:color w:val="000000"/>
                <w:sz w:val="16"/>
                <w:szCs w:val="16"/>
                <w:lang w:eastAsia="ko-KR"/>
              </w:rPr>
              <w:t>(25,921)</w:t>
            </w:r>
          </w:p>
        </w:tc>
        <w:tc>
          <w:tcPr>
            <w:tcW w:w="901" w:type="dxa"/>
            <w:tcBorders>
              <w:top w:val="nil"/>
              <w:left w:val="nil"/>
              <w:bottom w:val="nil"/>
              <w:right w:val="nil"/>
            </w:tcBorders>
            <w:shd w:val="clear" w:color="auto" w:fill="auto"/>
            <w:vAlign w:val="center"/>
            <w:hideMark/>
          </w:tcPr>
          <w:p w14:paraId="704F000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(21,184)</w:t>
            </w:r>
          </w:p>
        </w:tc>
        <w:tc>
          <w:tcPr>
            <w:tcW w:w="870" w:type="dxa"/>
            <w:gridSpan w:val="2"/>
            <w:tcBorders>
              <w:top w:val="nil"/>
              <w:left w:val="nil"/>
              <w:bottom w:val="nil"/>
              <w:right w:val="nil"/>
            </w:tcBorders>
            <w:shd w:val="clear" w:color="auto" w:fill="auto"/>
            <w:vAlign w:val="center"/>
            <w:hideMark/>
          </w:tcPr>
          <w:p w14:paraId="21C23A7C" w14:textId="42140732"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(20,068)</w:t>
            </w:r>
          </w:p>
        </w:tc>
        <w:tc>
          <w:tcPr>
            <w:tcW w:w="1046" w:type="dxa"/>
            <w:gridSpan w:val="2"/>
            <w:tcBorders>
              <w:top w:val="nil"/>
              <w:left w:val="nil"/>
              <w:bottom w:val="nil"/>
              <w:right w:val="nil"/>
            </w:tcBorders>
            <w:shd w:val="clear" w:color="auto" w:fill="auto"/>
            <w:vAlign w:val="center"/>
            <w:hideMark/>
          </w:tcPr>
          <w:p w14:paraId="334A646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(18,960)</w:t>
            </w:r>
          </w:p>
        </w:tc>
      </w:tr>
      <w:tr w:rsidR="00A53E2D" w:rsidRPr="00F51109" w14:paraId="015C2758" w14:textId="77777777" w:rsidTr="00E85896">
        <w:trPr>
          <w:trHeight w:val="240"/>
        </w:trPr>
        <w:tc>
          <w:tcPr>
            <w:tcW w:w="4337" w:type="dxa"/>
            <w:tcBorders>
              <w:top w:val="nil"/>
              <w:left w:val="nil"/>
              <w:bottom w:val="nil"/>
              <w:right w:val="nil"/>
            </w:tcBorders>
            <w:shd w:val="clear" w:color="auto" w:fill="auto"/>
            <w:vAlign w:val="center"/>
            <w:hideMark/>
          </w:tcPr>
          <w:p w14:paraId="045327A8" w14:textId="77777777" w:rsidR="00A53E2D" w:rsidRPr="00F51109" w:rsidRDefault="00A53E2D" w:rsidP="00E85896">
            <w:pPr>
              <w:rPr>
                <w:color w:val="000000"/>
                <w:sz w:val="16"/>
                <w:szCs w:val="16"/>
                <w:lang w:eastAsia="ko-KR"/>
              </w:rPr>
            </w:pPr>
            <w:r w:rsidRPr="00F51109">
              <w:rPr>
                <w:color w:val="000000"/>
                <w:sz w:val="16"/>
                <w:szCs w:val="16"/>
                <w:lang w:eastAsia="ko-KR"/>
              </w:rPr>
              <w:t xml:space="preserve">Interest </w:t>
            </w:r>
          </w:p>
        </w:tc>
        <w:tc>
          <w:tcPr>
            <w:tcW w:w="903" w:type="dxa"/>
            <w:tcBorders>
              <w:top w:val="nil"/>
              <w:left w:val="nil"/>
              <w:bottom w:val="nil"/>
              <w:right w:val="nil"/>
            </w:tcBorders>
            <w:shd w:val="clear" w:color="auto" w:fill="auto"/>
            <w:vAlign w:val="center"/>
            <w:hideMark/>
          </w:tcPr>
          <w:p w14:paraId="05250AF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(2,201)</w:t>
            </w:r>
          </w:p>
        </w:tc>
        <w:tc>
          <w:tcPr>
            <w:tcW w:w="916" w:type="dxa"/>
            <w:tcBorders>
              <w:top w:val="nil"/>
              <w:left w:val="nil"/>
              <w:bottom w:val="nil"/>
              <w:right w:val="nil"/>
            </w:tcBorders>
            <w:shd w:val="clear" w:color="auto" w:fill="auto"/>
            <w:vAlign w:val="center"/>
            <w:hideMark/>
          </w:tcPr>
          <w:p w14:paraId="79232CCD" w14:textId="77777777" w:rsidR="00A53E2D" w:rsidRPr="00F51109" w:rsidRDefault="00A53E2D" w:rsidP="00E85896">
            <w:pPr>
              <w:jc w:val="right"/>
              <w:rPr>
                <w:color w:val="000000"/>
                <w:sz w:val="16"/>
                <w:szCs w:val="16"/>
                <w:lang w:eastAsia="ko-KR"/>
              </w:rPr>
            </w:pPr>
            <w:r w:rsidRPr="00F51109">
              <w:rPr>
                <w:color w:val="000000"/>
                <w:sz w:val="16"/>
                <w:szCs w:val="16"/>
                <w:lang w:eastAsia="ko-KR"/>
              </w:rPr>
              <w:t>(2,558)</w:t>
            </w:r>
          </w:p>
        </w:tc>
        <w:tc>
          <w:tcPr>
            <w:tcW w:w="916" w:type="dxa"/>
            <w:tcBorders>
              <w:top w:val="nil"/>
              <w:left w:val="nil"/>
              <w:bottom w:val="nil"/>
              <w:right w:val="nil"/>
            </w:tcBorders>
            <w:shd w:val="clear" w:color="auto" w:fill="auto"/>
            <w:vAlign w:val="center"/>
            <w:hideMark/>
          </w:tcPr>
          <w:p w14:paraId="557AAAB5" w14:textId="77777777" w:rsidR="00A53E2D" w:rsidRPr="00F51109" w:rsidRDefault="00A53E2D" w:rsidP="00E85896">
            <w:pPr>
              <w:jc w:val="right"/>
              <w:rPr>
                <w:color w:val="000000"/>
                <w:sz w:val="16"/>
                <w:szCs w:val="16"/>
                <w:lang w:eastAsia="ko-KR"/>
              </w:rPr>
            </w:pPr>
            <w:r w:rsidRPr="00F51109">
              <w:rPr>
                <w:color w:val="000000"/>
                <w:sz w:val="16"/>
                <w:szCs w:val="16"/>
                <w:lang w:eastAsia="ko-KR"/>
              </w:rPr>
              <w:t>(3,051)</w:t>
            </w:r>
          </w:p>
        </w:tc>
        <w:tc>
          <w:tcPr>
            <w:tcW w:w="901" w:type="dxa"/>
            <w:tcBorders>
              <w:top w:val="nil"/>
              <w:left w:val="nil"/>
              <w:bottom w:val="nil"/>
              <w:right w:val="nil"/>
            </w:tcBorders>
            <w:shd w:val="clear" w:color="auto" w:fill="auto"/>
            <w:vAlign w:val="center"/>
            <w:hideMark/>
          </w:tcPr>
          <w:p w14:paraId="5DF3D3DE"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(3,563)</w:t>
            </w:r>
          </w:p>
        </w:tc>
        <w:tc>
          <w:tcPr>
            <w:tcW w:w="870" w:type="dxa"/>
            <w:gridSpan w:val="2"/>
            <w:tcBorders>
              <w:top w:val="nil"/>
              <w:left w:val="nil"/>
              <w:bottom w:val="nil"/>
              <w:right w:val="nil"/>
            </w:tcBorders>
            <w:shd w:val="clear" w:color="auto" w:fill="auto"/>
            <w:vAlign w:val="center"/>
            <w:hideMark/>
          </w:tcPr>
          <w:p w14:paraId="6E13DDFD" w14:textId="3B12711E"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(3,934)</w:t>
            </w:r>
          </w:p>
        </w:tc>
        <w:tc>
          <w:tcPr>
            <w:tcW w:w="1046" w:type="dxa"/>
            <w:gridSpan w:val="2"/>
            <w:tcBorders>
              <w:top w:val="nil"/>
              <w:left w:val="nil"/>
              <w:bottom w:val="nil"/>
              <w:right w:val="nil"/>
            </w:tcBorders>
            <w:shd w:val="clear" w:color="auto" w:fill="auto"/>
            <w:vAlign w:val="center"/>
            <w:hideMark/>
          </w:tcPr>
          <w:p w14:paraId="0B3813C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(4,292)</w:t>
            </w:r>
          </w:p>
        </w:tc>
      </w:tr>
      <w:tr w:rsidR="00A53E2D" w:rsidRPr="00F51109" w14:paraId="37AC30C0" w14:textId="77777777" w:rsidTr="00E85896">
        <w:trPr>
          <w:trHeight w:val="240"/>
        </w:trPr>
        <w:tc>
          <w:tcPr>
            <w:tcW w:w="4337" w:type="dxa"/>
            <w:tcBorders>
              <w:top w:val="nil"/>
              <w:left w:val="nil"/>
              <w:bottom w:val="nil"/>
              <w:right w:val="nil"/>
            </w:tcBorders>
            <w:shd w:val="clear" w:color="auto" w:fill="auto"/>
            <w:vAlign w:val="center"/>
            <w:hideMark/>
          </w:tcPr>
          <w:p w14:paraId="475E1137" w14:textId="77777777" w:rsidR="00A53E2D" w:rsidRPr="00F51109" w:rsidRDefault="00A53E2D" w:rsidP="00E85896">
            <w:pPr>
              <w:rPr>
                <w:color w:val="000000"/>
                <w:sz w:val="16"/>
                <w:szCs w:val="16"/>
                <w:lang w:eastAsia="ko-KR"/>
              </w:rPr>
            </w:pPr>
            <w:r w:rsidRPr="00F51109">
              <w:rPr>
                <w:color w:val="000000"/>
                <w:sz w:val="16"/>
                <w:szCs w:val="16"/>
                <w:lang w:eastAsia="ko-KR"/>
              </w:rPr>
              <w:t xml:space="preserve">Other </w:t>
            </w:r>
          </w:p>
        </w:tc>
        <w:tc>
          <w:tcPr>
            <w:tcW w:w="903" w:type="dxa"/>
            <w:tcBorders>
              <w:top w:val="nil"/>
              <w:left w:val="nil"/>
              <w:bottom w:val="nil"/>
              <w:right w:val="nil"/>
            </w:tcBorders>
            <w:shd w:val="clear" w:color="auto" w:fill="auto"/>
            <w:vAlign w:val="center"/>
            <w:hideMark/>
          </w:tcPr>
          <w:p w14:paraId="7EC7584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(6,717)</w:t>
            </w:r>
          </w:p>
        </w:tc>
        <w:tc>
          <w:tcPr>
            <w:tcW w:w="916" w:type="dxa"/>
            <w:tcBorders>
              <w:top w:val="nil"/>
              <w:left w:val="nil"/>
              <w:bottom w:val="nil"/>
              <w:right w:val="nil"/>
            </w:tcBorders>
            <w:shd w:val="clear" w:color="auto" w:fill="auto"/>
            <w:vAlign w:val="center"/>
            <w:hideMark/>
          </w:tcPr>
          <w:p w14:paraId="409367CD" w14:textId="77777777" w:rsidR="00A53E2D" w:rsidRPr="00F51109" w:rsidRDefault="00A53E2D" w:rsidP="00E85896">
            <w:pPr>
              <w:jc w:val="right"/>
              <w:rPr>
                <w:color w:val="000000"/>
                <w:sz w:val="16"/>
                <w:szCs w:val="16"/>
                <w:lang w:eastAsia="ko-KR"/>
              </w:rPr>
            </w:pPr>
            <w:r w:rsidRPr="00F51109">
              <w:rPr>
                <w:color w:val="000000"/>
                <w:sz w:val="16"/>
                <w:szCs w:val="16"/>
                <w:lang w:eastAsia="ko-KR"/>
              </w:rPr>
              <w:t>(4,950)</w:t>
            </w:r>
          </w:p>
        </w:tc>
        <w:tc>
          <w:tcPr>
            <w:tcW w:w="916" w:type="dxa"/>
            <w:tcBorders>
              <w:top w:val="nil"/>
              <w:left w:val="nil"/>
              <w:bottom w:val="nil"/>
              <w:right w:val="nil"/>
            </w:tcBorders>
            <w:shd w:val="clear" w:color="auto" w:fill="auto"/>
            <w:vAlign w:val="center"/>
            <w:hideMark/>
          </w:tcPr>
          <w:p w14:paraId="7201F79D" w14:textId="77777777" w:rsidR="00A53E2D" w:rsidRPr="00F51109" w:rsidRDefault="00A53E2D" w:rsidP="00E85896">
            <w:pPr>
              <w:jc w:val="right"/>
              <w:rPr>
                <w:color w:val="000000"/>
                <w:sz w:val="16"/>
                <w:szCs w:val="16"/>
                <w:lang w:eastAsia="ko-KR"/>
              </w:rPr>
            </w:pPr>
            <w:r w:rsidRPr="00F51109">
              <w:rPr>
                <w:color w:val="000000"/>
                <w:sz w:val="16"/>
                <w:szCs w:val="16"/>
                <w:lang w:eastAsia="ko-KR"/>
              </w:rPr>
              <w:t>(3,276)</w:t>
            </w:r>
          </w:p>
        </w:tc>
        <w:tc>
          <w:tcPr>
            <w:tcW w:w="901" w:type="dxa"/>
            <w:tcBorders>
              <w:top w:val="nil"/>
              <w:left w:val="nil"/>
              <w:bottom w:val="nil"/>
              <w:right w:val="nil"/>
            </w:tcBorders>
            <w:shd w:val="clear" w:color="auto" w:fill="auto"/>
            <w:vAlign w:val="center"/>
            <w:hideMark/>
          </w:tcPr>
          <w:p w14:paraId="5085419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(2,660)</w:t>
            </w:r>
          </w:p>
        </w:tc>
        <w:tc>
          <w:tcPr>
            <w:tcW w:w="870" w:type="dxa"/>
            <w:gridSpan w:val="2"/>
            <w:tcBorders>
              <w:top w:val="nil"/>
              <w:left w:val="nil"/>
              <w:bottom w:val="nil"/>
              <w:right w:val="nil"/>
            </w:tcBorders>
            <w:shd w:val="clear" w:color="auto" w:fill="auto"/>
            <w:vAlign w:val="center"/>
            <w:hideMark/>
          </w:tcPr>
          <w:p w14:paraId="23311126" w14:textId="6D2A898E"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(2,621)</w:t>
            </w:r>
          </w:p>
        </w:tc>
        <w:tc>
          <w:tcPr>
            <w:tcW w:w="1046" w:type="dxa"/>
            <w:gridSpan w:val="2"/>
            <w:tcBorders>
              <w:top w:val="nil"/>
              <w:left w:val="nil"/>
              <w:bottom w:val="nil"/>
              <w:right w:val="nil"/>
            </w:tcBorders>
            <w:shd w:val="clear" w:color="auto" w:fill="auto"/>
            <w:vAlign w:val="center"/>
            <w:hideMark/>
          </w:tcPr>
          <w:p w14:paraId="2C6B9E7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(2,601)</w:t>
            </w:r>
          </w:p>
        </w:tc>
      </w:tr>
      <w:tr w:rsidR="00A53E2D" w:rsidRPr="00F51109" w14:paraId="198AB354" w14:textId="77777777" w:rsidTr="00E85896">
        <w:trPr>
          <w:trHeight w:val="283"/>
        </w:trPr>
        <w:tc>
          <w:tcPr>
            <w:tcW w:w="4337" w:type="dxa"/>
            <w:tcBorders>
              <w:top w:val="nil"/>
              <w:left w:val="nil"/>
              <w:bottom w:val="nil"/>
              <w:right w:val="nil"/>
            </w:tcBorders>
            <w:shd w:val="clear" w:color="auto" w:fill="auto"/>
            <w:vAlign w:val="center"/>
            <w:hideMark/>
          </w:tcPr>
          <w:p w14:paraId="63D6FB95"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Total Cash Payments from Operating Activities</w:t>
            </w:r>
          </w:p>
        </w:tc>
        <w:tc>
          <w:tcPr>
            <w:tcW w:w="903" w:type="dxa"/>
            <w:tcBorders>
              <w:top w:val="nil"/>
              <w:left w:val="nil"/>
              <w:bottom w:val="single" w:sz="4" w:space="0" w:color="auto"/>
              <w:right w:val="nil"/>
            </w:tcBorders>
            <w:shd w:val="clear" w:color="auto" w:fill="auto"/>
            <w:vAlign w:val="center"/>
            <w:hideMark/>
          </w:tcPr>
          <w:p w14:paraId="497E680F"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(90,864)</w:t>
            </w:r>
          </w:p>
        </w:tc>
        <w:tc>
          <w:tcPr>
            <w:tcW w:w="916" w:type="dxa"/>
            <w:tcBorders>
              <w:top w:val="nil"/>
              <w:left w:val="nil"/>
              <w:bottom w:val="single" w:sz="4" w:space="0" w:color="auto"/>
              <w:right w:val="nil"/>
            </w:tcBorders>
            <w:shd w:val="clear" w:color="auto" w:fill="auto"/>
            <w:vAlign w:val="center"/>
            <w:hideMark/>
          </w:tcPr>
          <w:p w14:paraId="116AD4A1"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(111,462)</w:t>
            </w:r>
          </w:p>
        </w:tc>
        <w:tc>
          <w:tcPr>
            <w:tcW w:w="916" w:type="dxa"/>
            <w:tcBorders>
              <w:top w:val="nil"/>
              <w:left w:val="nil"/>
              <w:bottom w:val="single" w:sz="4" w:space="0" w:color="auto"/>
              <w:right w:val="nil"/>
            </w:tcBorders>
            <w:shd w:val="clear" w:color="auto" w:fill="auto"/>
            <w:vAlign w:val="center"/>
            <w:hideMark/>
          </w:tcPr>
          <w:p w14:paraId="4A6BDB69"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(106,304)</w:t>
            </w:r>
          </w:p>
        </w:tc>
        <w:tc>
          <w:tcPr>
            <w:tcW w:w="901" w:type="dxa"/>
            <w:tcBorders>
              <w:top w:val="nil"/>
              <w:left w:val="nil"/>
              <w:bottom w:val="single" w:sz="4" w:space="0" w:color="auto"/>
              <w:right w:val="nil"/>
            </w:tcBorders>
            <w:shd w:val="clear" w:color="auto" w:fill="auto"/>
            <w:vAlign w:val="center"/>
            <w:hideMark/>
          </w:tcPr>
          <w:p w14:paraId="26CD2A75"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(100,230)</w:t>
            </w:r>
          </w:p>
        </w:tc>
        <w:tc>
          <w:tcPr>
            <w:tcW w:w="870" w:type="dxa"/>
            <w:gridSpan w:val="2"/>
            <w:tcBorders>
              <w:top w:val="nil"/>
              <w:left w:val="nil"/>
              <w:bottom w:val="single" w:sz="4" w:space="0" w:color="auto"/>
              <w:right w:val="nil"/>
            </w:tcBorders>
            <w:shd w:val="clear" w:color="auto" w:fill="auto"/>
            <w:vAlign w:val="center"/>
            <w:hideMark/>
          </w:tcPr>
          <w:p w14:paraId="27E27FC8"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(99,321)</w:t>
            </w:r>
          </w:p>
        </w:tc>
        <w:tc>
          <w:tcPr>
            <w:tcW w:w="1046" w:type="dxa"/>
            <w:gridSpan w:val="2"/>
            <w:tcBorders>
              <w:top w:val="nil"/>
              <w:left w:val="nil"/>
              <w:bottom w:val="single" w:sz="4" w:space="0" w:color="auto"/>
              <w:right w:val="nil"/>
            </w:tcBorders>
            <w:shd w:val="clear" w:color="auto" w:fill="auto"/>
            <w:vAlign w:val="center"/>
            <w:hideMark/>
          </w:tcPr>
          <w:p w14:paraId="374CD4C1"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(100,832)</w:t>
            </w:r>
          </w:p>
        </w:tc>
      </w:tr>
      <w:tr w:rsidR="00A53E2D" w:rsidRPr="00F51109" w14:paraId="655CD2D6" w14:textId="77777777" w:rsidTr="00E85896">
        <w:trPr>
          <w:trHeight w:val="283"/>
        </w:trPr>
        <w:tc>
          <w:tcPr>
            <w:tcW w:w="4337" w:type="dxa"/>
            <w:tcBorders>
              <w:top w:val="nil"/>
              <w:left w:val="nil"/>
              <w:bottom w:val="nil"/>
              <w:right w:val="nil"/>
            </w:tcBorders>
            <w:shd w:val="clear" w:color="auto" w:fill="auto"/>
            <w:vAlign w:val="center"/>
            <w:hideMark/>
          </w:tcPr>
          <w:p w14:paraId="790E4E5E"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 xml:space="preserve">Net Cash Flows from Operating Activities </w:t>
            </w:r>
          </w:p>
        </w:tc>
        <w:tc>
          <w:tcPr>
            <w:tcW w:w="903" w:type="dxa"/>
            <w:tcBorders>
              <w:top w:val="nil"/>
              <w:left w:val="nil"/>
              <w:bottom w:val="nil"/>
              <w:right w:val="nil"/>
            </w:tcBorders>
            <w:shd w:val="clear" w:color="auto" w:fill="auto"/>
            <w:vAlign w:val="bottom"/>
            <w:hideMark/>
          </w:tcPr>
          <w:p w14:paraId="34E15679"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916 </w:t>
            </w:r>
          </w:p>
        </w:tc>
        <w:tc>
          <w:tcPr>
            <w:tcW w:w="916" w:type="dxa"/>
            <w:tcBorders>
              <w:top w:val="nil"/>
              <w:left w:val="nil"/>
              <w:bottom w:val="nil"/>
              <w:right w:val="nil"/>
            </w:tcBorders>
            <w:shd w:val="clear" w:color="auto" w:fill="auto"/>
            <w:vAlign w:val="bottom"/>
            <w:hideMark/>
          </w:tcPr>
          <w:p w14:paraId="43BF3035"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(5,563)</w:t>
            </w:r>
          </w:p>
        </w:tc>
        <w:tc>
          <w:tcPr>
            <w:tcW w:w="916" w:type="dxa"/>
            <w:tcBorders>
              <w:top w:val="nil"/>
              <w:left w:val="nil"/>
              <w:bottom w:val="nil"/>
              <w:right w:val="nil"/>
            </w:tcBorders>
            <w:shd w:val="clear" w:color="auto" w:fill="auto"/>
            <w:vAlign w:val="bottom"/>
            <w:hideMark/>
          </w:tcPr>
          <w:p w14:paraId="18A92956"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(2,699)</w:t>
            </w:r>
          </w:p>
        </w:tc>
        <w:tc>
          <w:tcPr>
            <w:tcW w:w="901" w:type="dxa"/>
            <w:tcBorders>
              <w:top w:val="nil"/>
              <w:left w:val="nil"/>
              <w:bottom w:val="nil"/>
              <w:right w:val="nil"/>
            </w:tcBorders>
            <w:shd w:val="clear" w:color="auto" w:fill="auto"/>
            <w:vAlign w:val="bottom"/>
            <w:hideMark/>
          </w:tcPr>
          <w:p w14:paraId="2CA3980B"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3,834 </w:t>
            </w:r>
          </w:p>
        </w:tc>
        <w:tc>
          <w:tcPr>
            <w:tcW w:w="870" w:type="dxa"/>
            <w:gridSpan w:val="2"/>
            <w:tcBorders>
              <w:top w:val="nil"/>
              <w:left w:val="nil"/>
              <w:bottom w:val="nil"/>
              <w:right w:val="nil"/>
            </w:tcBorders>
            <w:shd w:val="clear" w:color="auto" w:fill="auto"/>
            <w:vAlign w:val="bottom"/>
            <w:hideMark/>
          </w:tcPr>
          <w:p w14:paraId="1B0CA2A2" w14:textId="67A39862" w:rsidR="00A53E2D" w:rsidRPr="00DC0DBB" w:rsidRDefault="003C366F" w:rsidP="00E85896">
            <w:pPr>
              <w:jc w:val="right"/>
              <w:rPr>
                <w:b/>
                <w:bCs/>
                <w:color w:val="A6A6A6" w:themeColor="background1" w:themeShade="A6"/>
                <w:sz w:val="16"/>
                <w:szCs w:val="16"/>
                <w:lang w:eastAsia="ko-KR"/>
              </w:rPr>
            </w:pPr>
            <w:r w:rsidRPr="001122D0">
              <w:rPr>
                <w:noProof/>
              </w:rPr>
              <mc:AlternateContent>
                <mc:Choice Requires="wps">
                  <w:drawing>
                    <wp:anchor distT="0" distB="0" distL="114300" distR="114300" simplePos="0" relativeHeight="251658257" behindDoc="0" locked="0" layoutInCell="1" allowOverlap="1" wp14:anchorId="37EB79E0" wp14:editId="38743334">
                      <wp:simplePos x="0" y="0"/>
                      <wp:positionH relativeFrom="column">
                        <wp:posOffset>-499745</wp:posOffset>
                      </wp:positionH>
                      <wp:positionV relativeFrom="paragraph">
                        <wp:posOffset>-329565</wp:posOffset>
                      </wp:positionV>
                      <wp:extent cx="1542415" cy="376555"/>
                      <wp:effectExtent l="171450" t="0" r="19685" b="61595"/>
                      <wp:wrapNone/>
                      <wp:docPr id="40" name="Speech Bubble: Rectangle with Corners Rounded 11"/>
                      <wp:cNvGraphicFramePr/>
                      <a:graphic xmlns:a="http://schemas.openxmlformats.org/drawingml/2006/main">
                        <a:graphicData uri="http://schemas.microsoft.com/office/word/2010/wordprocessingShape">
                          <wps:wsp>
                            <wps:cNvSpPr/>
                            <wps:spPr>
                              <a:xfrm>
                                <a:off x="0" y="0"/>
                                <a:ext cx="1542415" cy="376555"/>
                              </a:xfrm>
                              <a:prstGeom prst="wedgeRoundRectCallout">
                                <a:avLst>
                                  <a:gd name="adj1" fmla="val -58681"/>
                                  <a:gd name="adj2" fmla="val 50273"/>
                                  <a:gd name="adj3" fmla="val 16667"/>
                                </a:avLst>
                              </a:prstGeom>
                              <a:solidFill>
                                <a:sysClr val="window" lastClr="FFFFFF">
                                  <a:lumMod val="95000"/>
                                </a:sysClr>
                              </a:solidFill>
                              <a:ln w="22225" cap="flat" cmpd="sng" algn="ctr">
                                <a:solidFill>
                                  <a:srgbClr val="44546A"/>
                                </a:solidFill>
                                <a:prstDash val="sysDash"/>
                                <a:miter lim="800000"/>
                              </a:ln>
                              <a:effectLst/>
                            </wps:spPr>
                            <wps:txbx>
                              <w:txbxContent>
                                <w:p w14:paraId="2836222C" w14:textId="77777777" w:rsidR="002D0572" w:rsidRDefault="002D0572" w:rsidP="002D0572">
                                  <w:pPr>
                                    <w:rPr>
                                      <w:sz w:val="24"/>
                                      <w:szCs w:val="24"/>
                                    </w:rPr>
                                  </w:pPr>
                                  <w:r>
                                    <w:rPr>
                                      <w:b/>
                                      <w:color w:val="44546A" w:themeColor="text2"/>
                                      <w:kern w:val="24"/>
                                      <w:sz w:val="18"/>
                                      <w:szCs w:val="18"/>
                                    </w:rPr>
                                    <w:t xml:space="preserve">Cash changes from operating activities </w:t>
                                  </w:r>
                                </w:p>
                              </w:txbxContent>
                            </wps:txbx>
                            <wps:bodyPr lIns="36000" tIns="36000" rIns="36000" bIns="36000" rtlCol="0" anchor="t"/>
                          </wps:wsp>
                        </a:graphicData>
                      </a:graphic>
                      <wp14:sizeRelH relativeFrom="margin">
                        <wp14:pctWidth>0</wp14:pctWidth>
                      </wp14:sizeRelH>
                      <wp14:sizeRelV relativeFrom="margin">
                        <wp14:pctHeight>0</wp14:pctHeight>
                      </wp14:sizeRelV>
                    </wp:anchor>
                  </w:drawing>
                </mc:Choice>
                <mc:Fallback>
                  <w:pict>
                    <v:shape w14:anchorId="37EB79E0" id="_x0000_s1084" type="#_x0000_t62" style="position:absolute;left:0;text-align:left;margin-left:-39.35pt;margin-top:-25.95pt;width:121.45pt;height:29.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" adj="-1875,21659" fillcolor="#f2f2f2" strokecolor="#44546a" strokeweight="1.75pt">
                      <v:stroke dashstyle="3 1"/>
                      <v:textbox inset="1mm,1mm,1mm,1mm">
                        <w:txbxContent>
                          <w:p w14:paraId="2836222C" w14:textId="77777777" w:rsidR="002D0572" w:rsidRDefault="002D0572" w:rsidP="002D0572">
                            <w:pPr>
                              <w:rPr>
                                <w:sz w:val="24"/>
                                <w:szCs w:val="24"/>
                              </w:rPr>
                            </w:pPr>
                            <w:r>
                              <w:rPr>
                                <w:b/>
                                <w:color w:val="44546A" w:themeColor="text2"/>
                                <w:kern w:val="24"/>
                                <w:sz w:val="18"/>
                                <w:szCs w:val="18"/>
                              </w:rPr>
                              <w:t xml:space="preserve">Cash changes from operating activities </w:t>
                            </w:r>
                          </w:p>
                        </w:txbxContent>
                      </v:textbox>
                    </v:shape>
                  </w:pict>
                </mc:Fallback>
              </mc:AlternateContent>
            </w:r>
            <w:r w:rsidR="00A53E2D" w:rsidRPr="00DC0DBB">
              <w:rPr>
                <w:b/>
                <w:bCs/>
                <w:color w:val="A6A6A6" w:themeColor="background1" w:themeShade="A6"/>
                <w:sz w:val="16"/>
                <w:szCs w:val="16"/>
                <w:lang w:eastAsia="ko-KR"/>
              </w:rPr>
              <w:t xml:space="preserve">6,620 </w:t>
            </w:r>
          </w:p>
        </w:tc>
        <w:tc>
          <w:tcPr>
            <w:tcW w:w="1046" w:type="dxa"/>
            <w:gridSpan w:val="2"/>
            <w:tcBorders>
              <w:top w:val="nil"/>
              <w:left w:val="nil"/>
              <w:bottom w:val="nil"/>
              <w:right w:val="nil"/>
            </w:tcBorders>
            <w:shd w:val="clear" w:color="auto" w:fill="auto"/>
            <w:vAlign w:val="bottom"/>
            <w:hideMark/>
          </w:tcPr>
          <w:p w14:paraId="4EC7E303"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8,297 </w:t>
            </w:r>
          </w:p>
        </w:tc>
      </w:tr>
      <w:tr w:rsidR="00A53E2D" w:rsidRPr="00F51109" w14:paraId="5C949684" w14:textId="77777777" w:rsidTr="00E85896">
        <w:trPr>
          <w:trHeight w:val="283"/>
        </w:trPr>
        <w:tc>
          <w:tcPr>
            <w:tcW w:w="4337" w:type="dxa"/>
            <w:tcBorders>
              <w:top w:val="nil"/>
              <w:left w:val="nil"/>
              <w:bottom w:val="nil"/>
              <w:right w:val="nil"/>
            </w:tcBorders>
            <w:shd w:val="clear" w:color="auto" w:fill="auto"/>
            <w:noWrap/>
            <w:vAlign w:val="bottom"/>
            <w:hideMark/>
          </w:tcPr>
          <w:p w14:paraId="35115966" w14:textId="77777777" w:rsidR="00A53E2D" w:rsidRPr="00F51109" w:rsidRDefault="00A53E2D" w:rsidP="00E85896">
            <w:pPr>
              <w:ind w:right="-136"/>
              <w:rPr>
                <w:b/>
                <w:bCs/>
                <w:color w:val="000000"/>
                <w:sz w:val="16"/>
                <w:szCs w:val="16"/>
                <w:lang w:eastAsia="ko-KR"/>
              </w:rPr>
            </w:pPr>
            <w:r w:rsidRPr="00F51109">
              <w:rPr>
                <w:b/>
                <w:bCs/>
                <w:color w:val="000000"/>
                <w:sz w:val="16"/>
                <w:szCs w:val="16"/>
                <w:lang w:eastAsia="ko-KR"/>
              </w:rPr>
              <w:t>Cash Flows from Investments in Non-Financial Assets</w:t>
            </w:r>
          </w:p>
        </w:tc>
        <w:tc>
          <w:tcPr>
            <w:tcW w:w="903" w:type="dxa"/>
            <w:tcBorders>
              <w:top w:val="nil"/>
              <w:left w:val="nil"/>
              <w:bottom w:val="nil"/>
              <w:right w:val="nil"/>
            </w:tcBorders>
            <w:shd w:val="clear" w:color="auto" w:fill="auto"/>
            <w:vAlign w:val="bottom"/>
            <w:hideMark/>
          </w:tcPr>
          <w:p w14:paraId="759F68FB" w14:textId="77777777" w:rsidR="00A53E2D" w:rsidRPr="00DC0DBB" w:rsidRDefault="00A53E2D" w:rsidP="00E85896">
            <w:pPr>
              <w:rPr>
                <w:b/>
                <w:bCs/>
                <w:color w:val="A6A6A6" w:themeColor="background1" w:themeShade="A6"/>
                <w:sz w:val="16"/>
                <w:szCs w:val="16"/>
                <w:lang w:eastAsia="ko-KR"/>
              </w:rPr>
            </w:pPr>
          </w:p>
        </w:tc>
        <w:tc>
          <w:tcPr>
            <w:tcW w:w="916" w:type="dxa"/>
            <w:tcBorders>
              <w:top w:val="nil"/>
              <w:left w:val="nil"/>
              <w:bottom w:val="nil"/>
              <w:right w:val="nil"/>
            </w:tcBorders>
            <w:shd w:val="clear" w:color="auto" w:fill="auto"/>
            <w:vAlign w:val="bottom"/>
            <w:hideMark/>
          </w:tcPr>
          <w:p w14:paraId="7F8B5798" w14:textId="77777777" w:rsidR="00A53E2D" w:rsidRPr="00F51109" w:rsidRDefault="00A53E2D" w:rsidP="00E85896">
            <w:pPr>
              <w:jc w:val="right"/>
              <w:rPr>
                <w:lang w:eastAsia="ko-KR"/>
              </w:rPr>
            </w:pPr>
          </w:p>
        </w:tc>
        <w:tc>
          <w:tcPr>
            <w:tcW w:w="916" w:type="dxa"/>
            <w:tcBorders>
              <w:top w:val="nil"/>
              <w:left w:val="nil"/>
              <w:bottom w:val="nil"/>
              <w:right w:val="nil"/>
            </w:tcBorders>
            <w:shd w:val="clear" w:color="auto" w:fill="auto"/>
            <w:vAlign w:val="bottom"/>
            <w:hideMark/>
          </w:tcPr>
          <w:p w14:paraId="1FAC7083"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356502AB"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7F2432FC" w14:textId="7777777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2AC4D7B9" w14:textId="77777777" w:rsidR="00A53E2D" w:rsidRPr="00DC0DBB" w:rsidRDefault="00A53E2D" w:rsidP="00E85896">
            <w:pPr>
              <w:jc w:val="right"/>
              <w:rPr>
                <w:color w:val="A6A6A6" w:themeColor="background1" w:themeShade="A6"/>
                <w:lang w:eastAsia="ko-KR"/>
              </w:rPr>
            </w:pPr>
          </w:p>
        </w:tc>
      </w:tr>
      <w:tr w:rsidR="00A53E2D" w:rsidRPr="00F51109" w14:paraId="2EA07D74" w14:textId="77777777" w:rsidTr="00E85896">
        <w:trPr>
          <w:trHeight w:val="227"/>
        </w:trPr>
        <w:tc>
          <w:tcPr>
            <w:tcW w:w="4337" w:type="dxa"/>
            <w:tcBorders>
              <w:top w:val="nil"/>
              <w:left w:val="nil"/>
              <w:bottom w:val="nil"/>
              <w:right w:val="nil"/>
            </w:tcBorders>
            <w:shd w:val="clear" w:color="auto" w:fill="auto"/>
            <w:vAlign w:val="bottom"/>
            <w:hideMark/>
          </w:tcPr>
          <w:p w14:paraId="4B5F3CA4" w14:textId="77777777" w:rsidR="00A53E2D" w:rsidRPr="00F51109" w:rsidRDefault="00A53E2D" w:rsidP="00E85896">
            <w:pPr>
              <w:rPr>
                <w:color w:val="000000"/>
                <w:sz w:val="16"/>
                <w:szCs w:val="16"/>
                <w:lang w:eastAsia="ko-KR"/>
              </w:rPr>
            </w:pPr>
            <w:r w:rsidRPr="00F51109">
              <w:rPr>
                <w:color w:val="000000"/>
                <w:sz w:val="16"/>
                <w:szCs w:val="16"/>
                <w:lang w:eastAsia="ko-KR"/>
              </w:rPr>
              <w:t>Proceeds from Sale of Non-Financial Assets</w:t>
            </w:r>
          </w:p>
        </w:tc>
        <w:tc>
          <w:tcPr>
            <w:tcW w:w="903" w:type="dxa"/>
            <w:tcBorders>
              <w:top w:val="nil"/>
              <w:left w:val="nil"/>
              <w:bottom w:val="nil"/>
              <w:right w:val="nil"/>
            </w:tcBorders>
            <w:shd w:val="clear" w:color="auto" w:fill="auto"/>
            <w:vAlign w:val="bottom"/>
            <w:hideMark/>
          </w:tcPr>
          <w:p w14:paraId="1FA62EA1"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305 </w:t>
            </w:r>
          </w:p>
        </w:tc>
        <w:tc>
          <w:tcPr>
            <w:tcW w:w="916" w:type="dxa"/>
            <w:tcBorders>
              <w:top w:val="nil"/>
              <w:left w:val="nil"/>
              <w:bottom w:val="nil"/>
              <w:right w:val="nil"/>
            </w:tcBorders>
            <w:shd w:val="clear" w:color="auto" w:fill="auto"/>
            <w:vAlign w:val="bottom"/>
            <w:hideMark/>
          </w:tcPr>
          <w:p w14:paraId="4557A22A"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563 </w:t>
            </w:r>
          </w:p>
        </w:tc>
        <w:tc>
          <w:tcPr>
            <w:tcW w:w="916" w:type="dxa"/>
            <w:tcBorders>
              <w:top w:val="nil"/>
              <w:left w:val="nil"/>
              <w:bottom w:val="nil"/>
              <w:right w:val="nil"/>
            </w:tcBorders>
            <w:shd w:val="clear" w:color="auto" w:fill="auto"/>
            <w:vAlign w:val="bottom"/>
            <w:hideMark/>
          </w:tcPr>
          <w:p w14:paraId="4DF510A1"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586 </w:t>
            </w:r>
          </w:p>
        </w:tc>
        <w:tc>
          <w:tcPr>
            <w:tcW w:w="901" w:type="dxa"/>
            <w:tcBorders>
              <w:top w:val="nil"/>
              <w:left w:val="nil"/>
              <w:bottom w:val="nil"/>
              <w:right w:val="nil"/>
            </w:tcBorders>
            <w:shd w:val="clear" w:color="auto" w:fill="auto"/>
            <w:vAlign w:val="bottom"/>
            <w:hideMark/>
          </w:tcPr>
          <w:p w14:paraId="4D8BD57E"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2,751 </w:t>
            </w:r>
          </w:p>
        </w:tc>
        <w:tc>
          <w:tcPr>
            <w:tcW w:w="870" w:type="dxa"/>
            <w:gridSpan w:val="2"/>
            <w:tcBorders>
              <w:top w:val="nil"/>
              <w:left w:val="nil"/>
              <w:bottom w:val="nil"/>
              <w:right w:val="nil"/>
            </w:tcBorders>
            <w:shd w:val="clear" w:color="auto" w:fill="auto"/>
            <w:vAlign w:val="bottom"/>
            <w:hideMark/>
          </w:tcPr>
          <w:p w14:paraId="088A16EC" w14:textId="1DC3D915"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1,591 </w:t>
            </w:r>
          </w:p>
        </w:tc>
        <w:tc>
          <w:tcPr>
            <w:tcW w:w="1046" w:type="dxa"/>
            <w:gridSpan w:val="2"/>
            <w:tcBorders>
              <w:top w:val="nil"/>
              <w:left w:val="nil"/>
              <w:bottom w:val="nil"/>
              <w:right w:val="nil"/>
            </w:tcBorders>
            <w:shd w:val="clear" w:color="auto" w:fill="auto"/>
            <w:vAlign w:val="bottom"/>
            <w:hideMark/>
          </w:tcPr>
          <w:p w14:paraId="349E0E89" w14:textId="26961884"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328 </w:t>
            </w:r>
          </w:p>
        </w:tc>
      </w:tr>
      <w:tr w:rsidR="00A53E2D" w:rsidRPr="00F51109" w14:paraId="0B6BA1C5" w14:textId="77777777" w:rsidTr="00E85896">
        <w:trPr>
          <w:trHeight w:val="227"/>
        </w:trPr>
        <w:tc>
          <w:tcPr>
            <w:tcW w:w="4337" w:type="dxa"/>
            <w:tcBorders>
              <w:top w:val="nil"/>
              <w:left w:val="nil"/>
              <w:bottom w:val="nil"/>
              <w:right w:val="nil"/>
            </w:tcBorders>
            <w:shd w:val="clear" w:color="auto" w:fill="auto"/>
            <w:vAlign w:val="bottom"/>
            <w:hideMark/>
          </w:tcPr>
          <w:p w14:paraId="5DF9A341" w14:textId="77777777" w:rsidR="00A53E2D" w:rsidRPr="00F51109" w:rsidRDefault="00A53E2D" w:rsidP="00E85896">
            <w:pPr>
              <w:rPr>
                <w:color w:val="000000"/>
                <w:sz w:val="16"/>
                <w:szCs w:val="16"/>
                <w:lang w:eastAsia="ko-KR"/>
              </w:rPr>
            </w:pPr>
            <w:r w:rsidRPr="00F51109">
              <w:rPr>
                <w:color w:val="000000"/>
                <w:sz w:val="16"/>
                <w:szCs w:val="16"/>
                <w:lang w:eastAsia="ko-KR"/>
              </w:rPr>
              <w:t>Purchases of Non-Financial Assets</w:t>
            </w:r>
          </w:p>
        </w:tc>
        <w:tc>
          <w:tcPr>
            <w:tcW w:w="903" w:type="dxa"/>
            <w:tcBorders>
              <w:top w:val="nil"/>
              <w:left w:val="nil"/>
              <w:bottom w:val="single" w:sz="4" w:space="0" w:color="auto"/>
              <w:right w:val="nil"/>
            </w:tcBorders>
            <w:shd w:val="clear" w:color="auto" w:fill="auto"/>
            <w:vAlign w:val="bottom"/>
            <w:hideMark/>
          </w:tcPr>
          <w:p w14:paraId="4CF8E5D4"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(16,395)</w:t>
            </w:r>
          </w:p>
        </w:tc>
        <w:tc>
          <w:tcPr>
            <w:tcW w:w="916" w:type="dxa"/>
            <w:tcBorders>
              <w:top w:val="nil"/>
              <w:left w:val="nil"/>
              <w:bottom w:val="single" w:sz="4" w:space="0" w:color="auto"/>
              <w:right w:val="nil"/>
            </w:tcBorders>
            <w:shd w:val="clear" w:color="auto" w:fill="auto"/>
            <w:vAlign w:val="bottom"/>
            <w:hideMark/>
          </w:tcPr>
          <w:p w14:paraId="0395E178" w14:textId="77777777" w:rsidR="00A53E2D" w:rsidRPr="00F51109" w:rsidRDefault="00A53E2D" w:rsidP="00E85896">
            <w:pPr>
              <w:jc w:val="right"/>
              <w:rPr>
                <w:color w:val="000000"/>
                <w:sz w:val="16"/>
                <w:szCs w:val="16"/>
                <w:lang w:eastAsia="ko-KR"/>
              </w:rPr>
            </w:pPr>
            <w:r w:rsidRPr="00F51109">
              <w:rPr>
                <w:color w:val="000000"/>
                <w:sz w:val="16"/>
                <w:szCs w:val="16"/>
                <w:lang w:eastAsia="ko-KR"/>
              </w:rPr>
              <w:t>(18,849)</w:t>
            </w:r>
          </w:p>
        </w:tc>
        <w:tc>
          <w:tcPr>
            <w:tcW w:w="916" w:type="dxa"/>
            <w:tcBorders>
              <w:top w:val="nil"/>
              <w:left w:val="nil"/>
              <w:bottom w:val="single" w:sz="4" w:space="0" w:color="auto"/>
              <w:right w:val="nil"/>
            </w:tcBorders>
            <w:shd w:val="clear" w:color="auto" w:fill="auto"/>
            <w:vAlign w:val="bottom"/>
            <w:hideMark/>
          </w:tcPr>
          <w:p w14:paraId="27F757D7" w14:textId="77777777" w:rsidR="00A53E2D" w:rsidRPr="00F51109" w:rsidRDefault="00A53E2D" w:rsidP="00E85896">
            <w:pPr>
              <w:jc w:val="right"/>
              <w:rPr>
                <w:color w:val="000000"/>
                <w:sz w:val="16"/>
                <w:szCs w:val="16"/>
                <w:lang w:eastAsia="ko-KR"/>
              </w:rPr>
            </w:pPr>
            <w:r w:rsidRPr="00F51109">
              <w:rPr>
                <w:color w:val="000000"/>
                <w:sz w:val="16"/>
                <w:szCs w:val="16"/>
                <w:lang w:eastAsia="ko-KR"/>
              </w:rPr>
              <w:t>(21,843)</w:t>
            </w:r>
          </w:p>
        </w:tc>
        <w:tc>
          <w:tcPr>
            <w:tcW w:w="901" w:type="dxa"/>
            <w:tcBorders>
              <w:top w:val="nil"/>
              <w:left w:val="nil"/>
              <w:bottom w:val="single" w:sz="4" w:space="0" w:color="auto"/>
              <w:right w:val="nil"/>
            </w:tcBorders>
            <w:shd w:val="clear" w:color="auto" w:fill="auto"/>
            <w:vAlign w:val="bottom"/>
            <w:hideMark/>
          </w:tcPr>
          <w:p w14:paraId="56F1A321"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(20,217)</w:t>
            </w:r>
          </w:p>
        </w:tc>
        <w:tc>
          <w:tcPr>
            <w:tcW w:w="870" w:type="dxa"/>
            <w:gridSpan w:val="2"/>
            <w:tcBorders>
              <w:top w:val="nil"/>
              <w:left w:val="nil"/>
              <w:bottom w:val="single" w:sz="4" w:space="0" w:color="auto"/>
              <w:right w:val="nil"/>
            </w:tcBorders>
            <w:shd w:val="clear" w:color="auto" w:fill="auto"/>
            <w:vAlign w:val="bottom"/>
            <w:hideMark/>
          </w:tcPr>
          <w:p w14:paraId="0F0C0288" w14:textId="67437729" w:rsidR="00A53E2D" w:rsidRPr="00DC0DBB" w:rsidRDefault="004A00E3" w:rsidP="00E85896">
            <w:pPr>
              <w:jc w:val="right"/>
              <w:rPr>
                <w:color w:val="A6A6A6" w:themeColor="background1" w:themeShade="A6"/>
                <w:sz w:val="16"/>
                <w:szCs w:val="16"/>
                <w:lang w:eastAsia="ko-KR"/>
              </w:rPr>
            </w:pPr>
            <w:r w:rsidRPr="001122D0">
              <w:rPr>
                <w:noProof/>
              </w:rPr>
              <mc:AlternateContent>
                <mc:Choice Requires="wps">
                  <w:drawing>
                    <wp:anchor distT="0" distB="0" distL="114300" distR="114300" simplePos="0" relativeHeight="251658258" behindDoc="0" locked="0" layoutInCell="1" allowOverlap="1" wp14:anchorId="0923552A" wp14:editId="45E9FB2C">
                      <wp:simplePos x="0" y="0"/>
                      <wp:positionH relativeFrom="column">
                        <wp:posOffset>-544195</wp:posOffset>
                      </wp:positionH>
                      <wp:positionV relativeFrom="paragraph">
                        <wp:posOffset>95885</wp:posOffset>
                      </wp:positionV>
                      <wp:extent cx="1546860" cy="629285"/>
                      <wp:effectExtent l="114300" t="0" r="15240" b="18415"/>
                      <wp:wrapNone/>
                      <wp:docPr id="41" name="Speech Bubble: Rectangle with Corners Rounded 15"/>
                      <wp:cNvGraphicFramePr/>
                      <a:graphic xmlns:a="http://schemas.openxmlformats.org/drawingml/2006/main">
                        <a:graphicData uri="http://schemas.microsoft.com/office/word/2010/wordprocessingShape">
                          <wps:wsp>
                            <wps:cNvSpPr/>
                            <wps:spPr>
                              <a:xfrm>
                                <a:off x="0" y="0"/>
                                <a:ext cx="1546860" cy="629285"/>
                              </a:xfrm>
                              <a:prstGeom prst="wedgeRoundRectCallout">
                                <a:avLst>
                                  <a:gd name="adj1" fmla="val -56943"/>
                                  <a:gd name="adj2" fmla="val -13796"/>
                                  <a:gd name="adj3" fmla="val 16667"/>
                                </a:avLst>
                              </a:prstGeom>
                              <a:solidFill>
                                <a:sysClr val="window" lastClr="FFFFFF">
                                  <a:lumMod val="95000"/>
                                </a:sysClr>
                              </a:solidFill>
                              <a:ln w="22225" cap="flat" cmpd="sng" algn="ctr">
                                <a:solidFill>
                                  <a:srgbClr val="44546A"/>
                                </a:solidFill>
                                <a:prstDash val="sysDash"/>
                                <a:miter lim="800000"/>
                              </a:ln>
                              <a:effectLst/>
                            </wps:spPr>
                            <wps:txbx>
                              <w:txbxContent>
                                <w:p w14:paraId="42C914AD" w14:textId="77777777" w:rsidR="00C35088" w:rsidRDefault="00C35088" w:rsidP="00C35088">
                                  <w:pPr>
                                    <w:rPr>
                                      <w:sz w:val="24"/>
                                      <w:szCs w:val="24"/>
                                    </w:rPr>
                                  </w:pPr>
                                  <w:r>
                                    <w:rPr>
                                      <w:b/>
                                      <w:color w:val="44546A" w:themeColor="text2"/>
                                      <w:kern w:val="24"/>
                                      <w:sz w:val="18"/>
                                      <w:szCs w:val="18"/>
                                    </w:rPr>
                                    <w:t>Cash from asset sales minus asset purchases (incl. new infrastructure)</w:t>
                                  </w:r>
                                </w:p>
                              </w:txbxContent>
                            </wps:txbx>
                            <wps:bodyPr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0923552A" id="_x0000_s1085" type="#_x0000_t62" style="position:absolute;left:0;text-align:left;margin-left:-42.85pt;margin-top:7.55pt;width:121.8pt;height:49.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" adj="-1500,7820" fillcolor="#f2f2f2" strokecolor="#44546a" strokeweight="1.75pt">
                      <v:stroke dashstyle="3 1"/>
                      <v:textbox inset="1mm,1mm,1mm,1mm">
                        <w:txbxContent>
                          <w:p w14:paraId="42C914AD" w14:textId="77777777" w:rsidR="00C35088" w:rsidRDefault="00C35088" w:rsidP="00C35088">
                            <w:pPr>
                              <w:rPr>
                                <w:sz w:val="24"/>
                                <w:szCs w:val="24"/>
                              </w:rPr>
                            </w:pPr>
                            <w:r>
                              <w:rPr>
                                <w:b/>
                                <w:color w:val="44546A" w:themeColor="text2"/>
                                <w:kern w:val="24"/>
                                <w:sz w:val="18"/>
                                <w:szCs w:val="18"/>
                              </w:rPr>
                              <w:t>Cash from asset sales minus asset purchases (incl. new infrastructure)</w:t>
                            </w:r>
                          </w:p>
                        </w:txbxContent>
                      </v:textbox>
                    </v:shape>
                  </w:pict>
                </mc:Fallback>
              </mc:AlternateContent>
            </w:r>
            <w:r w:rsidR="00A53E2D" w:rsidRPr="00DC0DBB">
              <w:rPr>
                <w:color w:val="A6A6A6" w:themeColor="background1" w:themeShade="A6"/>
                <w:sz w:val="16"/>
                <w:szCs w:val="16"/>
                <w:lang w:eastAsia="ko-KR"/>
              </w:rPr>
              <w:t>(20,855)</w:t>
            </w:r>
          </w:p>
        </w:tc>
        <w:tc>
          <w:tcPr>
            <w:tcW w:w="1046" w:type="dxa"/>
            <w:gridSpan w:val="2"/>
            <w:tcBorders>
              <w:top w:val="nil"/>
              <w:left w:val="nil"/>
              <w:bottom w:val="single" w:sz="4" w:space="0" w:color="auto"/>
              <w:right w:val="nil"/>
            </w:tcBorders>
            <w:shd w:val="clear" w:color="auto" w:fill="auto"/>
            <w:vAlign w:val="bottom"/>
            <w:hideMark/>
          </w:tcPr>
          <w:p w14:paraId="5AC9D134" w14:textId="1CBB7E76"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(20,458)</w:t>
            </w:r>
          </w:p>
        </w:tc>
      </w:tr>
      <w:tr w:rsidR="00A53E2D" w:rsidRPr="00F51109" w14:paraId="0C552BA4" w14:textId="77777777" w:rsidTr="00E85896">
        <w:trPr>
          <w:trHeight w:val="375"/>
        </w:trPr>
        <w:tc>
          <w:tcPr>
            <w:tcW w:w="4337" w:type="dxa"/>
            <w:tcBorders>
              <w:top w:val="nil"/>
              <w:left w:val="nil"/>
              <w:bottom w:val="nil"/>
              <w:right w:val="nil"/>
            </w:tcBorders>
            <w:shd w:val="clear" w:color="auto" w:fill="auto"/>
            <w:vAlign w:val="bottom"/>
            <w:hideMark/>
          </w:tcPr>
          <w:p w14:paraId="3B29A8EE"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Cash Flows from Investments in Non-Financial Assets</w:t>
            </w:r>
          </w:p>
        </w:tc>
        <w:tc>
          <w:tcPr>
            <w:tcW w:w="903" w:type="dxa"/>
            <w:tcBorders>
              <w:top w:val="nil"/>
              <w:left w:val="nil"/>
              <w:bottom w:val="nil"/>
              <w:right w:val="nil"/>
            </w:tcBorders>
            <w:shd w:val="clear" w:color="auto" w:fill="auto"/>
            <w:vAlign w:val="bottom"/>
            <w:hideMark/>
          </w:tcPr>
          <w:p w14:paraId="48428C4D"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(16,090)</w:t>
            </w:r>
          </w:p>
        </w:tc>
        <w:tc>
          <w:tcPr>
            <w:tcW w:w="916" w:type="dxa"/>
            <w:tcBorders>
              <w:top w:val="nil"/>
              <w:left w:val="nil"/>
              <w:bottom w:val="nil"/>
              <w:right w:val="nil"/>
            </w:tcBorders>
            <w:shd w:val="clear" w:color="auto" w:fill="auto"/>
            <w:vAlign w:val="bottom"/>
            <w:hideMark/>
          </w:tcPr>
          <w:p w14:paraId="3C0D37A5"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(18,286)</w:t>
            </w:r>
          </w:p>
        </w:tc>
        <w:tc>
          <w:tcPr>
            <w:tcW w:w="916" w:type="dxa"/>
            <w:tcBorders>
              <w:top w:val="nil"/>
              <w:left w:val="nil"/>
              <w:bottom w:val="nil"/>
              <w:right w:val="nil"/>
            </w:tcBorders>
            <w:shd w:val="clear" w:color="auto" w:fill="auto"/>
            <w:vAlign w:val="bottom"/>
            <w:hideMark/>
          </w:tcPr>
          <w:p w14:paraId="621C8E54"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(21,257)</w:t>
            </w:r>
          </w:p>
        </w:tc>
        <w:tc>
          <w:tcPr>
            <w:tcW w:w="901" w:type="dxa"/>
            <w:tcBorders>
              <w:top w:val="nil"/>
              <w:left w:val="nil"/>
              <w:bottom w:val="nil"/>
              <w:right w:val="nil"/>
            </w:tcBorders>
            <w:shd w:val="clear" w:color="auto" w:fill="auto"/>
            <w:vAlign w:val="bottom"/>
            <w:hideMark/>
          </w:tcPr>
          <w:p w14:paraId="7C8D211A"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(17,466)</w:t>
            </w:r>
          </w:p>
        </w:tc>
        <w:tc>
          <w:tcPr>
            <w:tcW w:w="870" w:type="dxa"/>
            <w:gridSpan w:val="2"/>
            <w:tcBorders>
              <w:top w:val="nil"/>
              <w:left w:val="nil"/>
              <w:bottom w:val="nil"/>
              <w:right w:val="nil"/>
            </w:tcBorders>
            <w:shd w:val="clear" w:color="auto" w:fill="auto"/>
            <w:vAlign w:val="bottom"/>
            <w:hideMark/>
          </w:tcPr>
          <w:p w14:paraId="4D3BD490" w14:textId="7B54F091"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(19,264)</w:t>
            </w:r>
          </w:p>
        </w:tc>
        <w:tc>
          <w:tcPr>
            <w:tcW w:w="1046" w:type="dxa"/>
            <w:gridSpan w:val="2"/>
            <w:tcBorders>
              <w:top w:val="nil"/>
              <w:left w:val="nil"/>
              <w:bottom w:val="nil"/>
              <w:right w:val="nil"/>
            </w:tcBorders>
            <w:shd w:val="clear" w:color="auto" w:fill="auto"/>
            <w:vAlign w:val="bottom"/>
            <w:hideMark/>
          </w:tcPr>
          <w:p w14:paraId="0B56645E"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(20,130)</w:t>
            </w:r>
          </w:p>
        </w:tc>
      </w:tr>
      <w:tr w:rsidR="00A53E2D" w:rsidRPr="00F51109" w14:paraId="547D49C1" w14:textId="77777777" w:rsidTr="00E85896">
        <w:trPr>
          <w:trHeight w:val="340"/>
        </w:trPr>
        <w:tc>
          <w:tcPr>
            <w:tcW w:w="6156" w:type="dxa"/>
            <w:gridSpan w:val="3"/>
            <w:tcBorders>
              <w:top w:val="nil"/>
              <w:left w:val="nil"/>
              <w:bottom w:val="nil"/>
              <w:right w:val="nil"/>
            </w:tcBorders>
            <w:shd w:val="clear" w:color="auto" w:fill="auto"/>
            <w:vAlign w:val="bottom"/>
            <w:hideMark/>
          </w:tcPr>
          <w:p w14:paraId="3A77DC9D" w14:textId="77777777" w:rsidR="00A53E2D" w:rsidRPr="00F51109" w:rsidRDefault="00A53E2D" w:rsidP="00E85896">
            <w:pPr>
              <w:rPr>
                <w:lang w:eastAsia="ko-KR"/>
              </w:rPr>
            </w:pPr>
            <w:r w:rsidRPr="00F51109">
              <w:rPr>
                <w:b/>
                <w:bCs/>
                <w:color w:val="000000"/>
                <w:sz w:val="16"/>
                <w:szCs w:val="16"/>
                <w:lang w:eastAsia="ko-KR"/>
              </w:rPr>
              <w:t>Cash Flows from Investments in Financial Assets for Policy Purposes</w:t>
            </w:r>
          </w:p>
        </w:tc>
        <w:tc>
          <w:tcPr>
            <w:tcW w:w="916" w:type="dxa"/>
            <w:tcBorders>
              <w:top w:val="nil"/>
              <w:left w:val="nil"/>
              <w:bottom w:val="nil"/>
              <w:right w:val="nil"/>
            </w:tcBorders>
            <w:shd w:val="clear" w:color="auto" w:fill="auto"/>
            <w:vAlign w:val="bottom"/>
            <w:hideMark/>
          </w:tcPr>
          <w:p w14:paraId="2357490E"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669A65A4"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4C3A3053" w14:textId="398A701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6F5CC1A2" w14:textId="77777777" w:rsidR="00A53E2D" w:rsidRPr="00DC0DBB" w:rsidRDefault="00A53E2D" w:rsidP="00E85896">
            <w:pPr>
              <w:jc w:val="right"/>
              <w:rPr>
                <w:color w:val="A6A6A6" w:themeColor="background1" w:themeShade="A6"/>
                <w:lang w:eastAsia="ko-KR"/>
              </w:rPr>
            </w:pPr>
          </w:p>
        </w:tc>
      </w:tr>
      <w:tr w:rsidR="00A53E2D" w:rsidRPr="00F51109" w14:paraId="7775256D" w14:textId="77777777" w:rsidTr="00E85896">
        <w:trPr>
          <w:trHeight w:val="227"/>
        </w:trPr>
        <w:tc>
          <w:tcPr>
            <w:tcW w:w="4337" w:type="dxa"/>
            <w:tcBorders>
              <w:top w:val="nil"/>
              <w:left w:val="nil"/>
              <w:bottom w:val="nil"/>
              <w:right w:val="nil"/>
            </w:tcBorders>
            <w:shd w:val="clear" w:color="auto" w:fill="auto"/>
            <w:vAlign w:val="bottom"/>
            <w:hideMark/>
          </w:tcPr>
          <w:p w14:paraId="65834C26" w14:textId="77777777" w:rsidR="00A53E2D" w:rsidRPr="00F51109" w:rsidRDefault="00A53E2D" w:rsidP="00E85896">
            <w:pPr>
              <w:rPr>
                <w:color w:val="000000"/>
                <w:sz w:val="16"/>
                <w:szCs w:val="16"/>
                <w:lang w:eastAsia="ko-KR"/>
              </w:rPr>
            </w:pPr>
            <w:r w:rsidRPr="00F51109">
              <w:rPr>
                <w:color w:val="000000"/>
                <w:sz w:val="16"/>
                <w:szCs w:val="16"/>
                <w:lang w:eastAsia="ko-KR"/>
              </w:rPr>
              <w:t>Receipts</w:t>
            </w:r>
          </w:p>
        </w:tc>
        <w:tc>
          <w:tcPr>
            <w:tcW w:w="903" w:type="dxa"/>
            <w:tcBorders>
              <w:top w:val="nil"/>
              <w:left w:val="nil"/>
              <w:bottom w:val="nil"/>
              <w:right w:val="nil"/>
            </w:tcBorders>
            <w:shd w:val="clear" w:color="auto" w:fill="auto"/>
            <w:vAlign w:val="bottom"/>
            <w:hideMark/>
          </w:tcPr>
          <w:p w14:paraId="790D423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787 </w:t>
            </w:r>
          </w:p>
        </w:tc>
        <w:tc>
          <w:tcPr>
            <w:tcW w:w="916" w:type="dxa"/>
            <w:tcBorders>
              <w:top w:val="nil"/>
              <w:left w:val="nil"/>
              <w:bottom w:val="nil"/>
              <w:right w:val="nil"/>
            </w:tcBorders>
            <w:shd w:val="clear" w:color="auto" w:fill="auto"/>
            <w:vAlign w:val="bottom"/>
            <w:hideMark/>
          </w:tcPr>
          <w:p w14:paraId="0CB328B5"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10,757 </w:t>
            </w:r>
          </w:p>
        </w:tc>
        <w:tc>
          <w:tcPr>
            <w:tcW w:w="916" w:type="dxa"/>
            <w:tcBorders>
              <w:top w:val="nil"/>
              <w:left w:val="nil"/>
              <w:bottom w:val="nil"/>
              <w:right w:val="nil"/>
            </w:tcBorders>
            <w:shd w:val="clear" w:color="auto" w:fill="auto"/>
            <w:vAlign w:val="bottom"/>
            <w:hideMark/>
          </w:tcPr>
          <w:p w14:paraId="502D55AF"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338 </w:t>
            </w:r>
          </w:p>
        </w:tc>
        <w:tc>
          <w:tcPr>
            <w:tcW w:w="901" w:type="dxa"/>
            <w:tcBorders>
              <w:top w:val="nil"/>
              <w:left w:val="nil"/>
              <w:bottom w:val="nil"/>
              <w:right w:val="nil"/>
            </w:tcBorders>
            <w:shd w:val="clear" w:color="auto" w:fill="auto"/>
            <w:vAlign w:val="bottom"/>
            <w:hideMark/>
          </w:tcPr>
          <w:p w14:paraId="763D01A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184 </w:t>
            </w:r>
          </w:p>
        </w:tc>
        <w:tc>
          <w:tcPr>
            <w:tcW w:w="870" w:type="dxa"/>
            <w:gridSpan w:val="2"/>
            <w:tcBorders>
              <w:top w:val="nil"/>
              <w:left w:val="nil"/>
              <w:bottom w:val="nil"/>
              <w:right w:val="nil"/>
            </w:tcBorders>
            <w:shd w:val="clear" w:color="auto" w:fill="auto"/>
            <w:vAlign w:val="bottom"/>
            <w:hideMark/>
          </w:tcPr>
          <w:p w14:paraId="1D76214B" w14:textId="68E09499"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540 </w:t>
            </w:r>
          </w:p>
        </w:tc>
        <w:tc>
          <w:tcPr>
            <w:tcW w:w="1046" w:type="dxa"/>
            <w:gridSpan w:val="2"/>
            <w:tcBorders>
              <w:top w:val="nil"/>
              <w:left w:val="nil"/>
              <w:bottom w:val="nil"/>
              <w:right w:val="nil"/>
            </w:tcBorders>
            <w:shd w:val="clear" w:color="auto" w:fill="auto"/>
            <w:vAlign w:val="bottom"/>
            <w:hideMark/>
          </w:tcPr>
          <w:p w14:paraId="57E7ECD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292 </w:t>
            </w:r>
          </w:p>
        </w:tc>
      </w:tr>
      <w:tr w:rsidR="00A53E2D" w:rsidRPr="00F51109" w14:paraId="4EFD6A75" w14:textId="77777777" w:rsidTr="00E85896">
        <w:trPr>
          <w:trHeight w:val="227"/>
        </w:trPr>
        <w:tc>
          <w:tcPr>
            <w:tcW w:w="4337" w:type="dxa"/>
            <w:tcBorders>
              <w:top w:val="nil"/>
              <w:left w:val="nil"/>
              <w:bottom w:val="nil"/>
              <w:right w:val="nil"/>
            </w:tcBorders>
            <w:shd w:val="clear" w:color="auto" w:fill="auto"/>
            <w:vAlign w:val="bottom"/>
            <w:hideMark/>
          </w:tcPr>
          <w:p w14:paraId="6429D170" w14:textId="77777777" w:rsidR="00A53E2D" w:rsidRPr="00F51109" w:rsidRDefault="00A53E2D" w:rsidP="00E85896">
            <w:pPr>
              <w:rPr>
                <w:color w:val="000000"/>
                <w:sz w:val="16"/>
                <w:szCs w:val="16"/>
                <w:lang w:eastAsia="ko-KR"/>
              </w:rPr>
            </w:pPr>
            <w:r w:rsidRPr="00F51109">
              <w:rPr>
                <w:color w:val="000000"/>
                <w:sz w:val="16"/>
                <w:szCs w:val="16"/>
                <w:lang w:eastAsia="ko-KR"/>
              </w:rPr>
              <w:t>Payments</w:t>
            </w:r>
          </w:p>
        </w:tc>
        <w:tc>
          <w:tcPr>
            <w:tcW w:w="903" w:type="dxa"/>
            <w:tcBorders>
              <w:top w:val="nil"/>
              <w:left w:val="nil"/>
              <w:bottom w:val="single" w:sz="4" w:space="0" w:color="auto"/>
              <w:right w:val="nil"/>
            </w:tcBorders>
            <w:shd w:val="clear" w:color="auto" w:fill="auto"/>
            <w:vAlign w:val="bottom"/>
            <w:hideMark/>
          </w:tcPr>
          <w:p w14:paraId="3354A5DB"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(3,315)</w:t>
            </w:r>
          </w:p>
        </w:tc>
        <w:tc>
          <w:tcPr>
            <w:tcW w:w="916" w:type="dxa"/>
            <w:tcBorders>
              <w:top w:val="nil"/>
              <w:left w:val="nil"/>
              <w:bottom w:val="single" w:sz="4" w:space="0" w:color="auto"/>
              <w:right w:val="nil"/>
            </w:tcBorders>
            <w:shd w:val="clear" w:color="auto" w:fill="auto"/>
            <w:vAlign w:val="bottom"/>
            <w:hideMark/>
          </w:tcPr>
          <w:p w14:paraId="516B992D" w14:textId="77777777" w:rsidR="00A53E2D" w:rsidRPr="00F51109" w:rsidRDefault="00A53E2D" w:rsidP="00E85896">
            <w:pPr>
              <w:jc w:val="right"/>
              <w:rPr>
                <w:color w:val="000000"/>
                <w:sz w:val="16"/>
                <w:szCs w:val="16"/>
                <w:lang w:eastAsia="ko-KR"/>
              </w:rPr>
            </w:pPr>
            <w:r w:rsidRPr="00F51109">
              <w:rPr>
                <w:color w:val="000000"/>
                <w:sz w:val="16"/>
                <w:szCs w:val="16"/>
                <w:lang w:eastAsia="ko-KR"/>
              </w:rPr>
              <w:t>(2,716)</w:t>
            </w:r>
          </w:p>
        </w:tc>
        <w:tc>
          <w:tcPr>
            <w:tcW w:w="916" w:type="dxa"/>
            <w:tcBorders>
              <w:top w:val="nil"/>
              <w:left w:val="nil"/>
              <w:bottom w:val="single" w:sz="4" w:space="0" w:color="auto"/>
              <w:right w:val="nil"/>
            </w:tcBorders>
            <w:shd w:val="clear" w:color="auto" w:fill="auto"/>
            <w:vAlign w:val="bottom"/>
            <w:hideMark/>
          </w:tcPr>
          <w:p w14:paraId="27E02C4A" w14:textId="77777777" w:rsidR="00A53E2D" w:rsidRPr="00F51109" w:rsidRDefault="00A53E2D" w:rsidP="00E85896">
            <w:pPr>
              <w:jc w:val="right"/>
              <w:rPr>
                <w:color w:val="000000"/>
                <w:sz w:val="16"/>
                <w:szCs w:val="16"/>
                <w:lang w:eastAsia="ko-KR"/>
              </w:rPr>
            </w:pPr>
            <w:r w:rsidRPr="00F51109">
              <w:rPr>
                <w:color w:val="000000"/>
                <w:sz w:val="16"/>
                <w:szCs w:val="16"/>
                <w:lang w:eastAsia="ko-KR"/>
              </w:rPr>
              <w:t>(2,663)</w:t>
            </w:r>
          </w:p>
        </w:tc>
        <w:tc>
          <w:tcPr>
            <w:tcW w:w="901" w:type="dxa"/>
            <w:tcBorders>
              <w:top w:val="nil"/>
              <w:left w:val="nil"/>
              <w:bottom w:val="single" w:sz="4" w:space="0" w:color="auto"/>
              <w:right w:val="nil"/>
            </w:tcBorders>
            <w:shd w:val="clear" w:color="auto" w:fill="auto"/>
            <w:vAlign w:val="bottom"/>
            <w:hideMark/>
          </w:tcPr>
          <w:p w14:paraId="5E0FDDA9"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(2,696)</w:t>
            </w:r>
          </w:p>
        </w:tc>
        <w:tc>
          <w:tcPr>
            <w:tcW w:w="870" w:type="dxa"/>
            <w:gridSpan w:val="2"/>
            <w:tcBorders>
              <w:top w:val="nil"/>
              <w:left w:val="nil"/>
              <w:bottom w:val="single" w:sz="4" w:space="0" w:color="auto"/>
              <w:right w:val="nil"/>
            </w:tcBorders>
            <w:shd w:val="clear" w:color="auto" w:fill="auto"/>
            <w:vAlign w:val="bottom"/>
            <w:hideMark/>
          </w:tcPr>
          <w:p w14:paraId="21B780E0" w14:textId="76B773EB"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(1,271)</w:t>
            </w:r>
          </w:p>
        </w:tc>
        <w:tc>
          <w:tcPr>
            <w:tcW w:w="1046" w:type="dxa"/>
            <w:gridSpan w:val="2"/>
            <w:tcBorders>
              <w:top w:val="nil"/>
              <w:left w:val="nil"/>
              <w:bottom w:val="single" w:sz="4" w:space="0" w:color="auto"/>
              <w:right w:val="nil"/>
            </w:tcBorders>
            <w:shd w:val="clear" w:color="auto" w:fill="auto"/>
            <w:vAlign w:val="bottom"/>
            <w:hideMark/>
          </w:tcPr>
          <w:p w14:paraId="17D7DB1B"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(65)</w:t>
            </w:r>
          </w:p>
        </w:tc>
      </w:tr>
      <w:tr w:rsidR="00A53E2D" w:rsidRPr="00F51109" w14:paraId="749F5F39" w14:textId="77777777" w:rsidTr="00E85896">
        <w:trPr>
          <w:trHeight w:val="495"/>
        </w:trPr>
        <w:tc>
          <w:tcPr>
            <w:tcW w:w="4337" w:type="dxa"/>
            <w:tcBorders>
              <w:top w:val="nil"/>
              <w:left w:val="nil"/>
              <w:bottom w:val="nil"/>
              <w:right w:val="nil"/>
            </w:tcBorders>
            <w:shd w:val="clear" w:color="auto" w:fill="auto"/>
            <w:vAlign w:val="bottom"/>
            <w:hideMark/>
          </w:tcPr>
          <w:p w14:paraId="6AE9E790"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Cash Flows from Investments in Financial Assets for Policy Purposes</w:t>
            </w:r>
          </w:p>
        </w:tc>
        <w:tc>
          <w:tcPr>
            <w:tcW w:w="903" w:type="dxa"/>
            <w:tcBorders>
              <w:top w:val="nil"/>
              <w:left w:val="nil"/>
              <w:bottom w:val="nil"/>
              <w:right w:val="nil"/>
            </w:tcBorders>
            <w:shd w:val="clear" w:color="auto" w:fill="auto"/>
            <w:vAlign w:val="bottom"/>
            <w:hideMark/>
          </w:tcPr>
          <w:p w14:paraId="2A657015"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(2,528)</w:t>
            </w:r>
          </w:p>
        </w:tc>
        <w:tc>
          <w:tcPr>
            <w:tcW w:w="916" w:type="dxa"/>
            <w:tcBorders>
              <w:top w:val="nil"/>
              <w:left w:val="nil"/>
              <w:bottom w:val="nil"/>
              <w:right w:val="nil"/>
            </w:tcBorders>
            <w:shd w:val="clear" w:color="auto" w:fill="auto"/>
            <w:vAlign w:val="bottom"/>
            <w:hideMark/>
          </w:tcPr>
          <w:p w14:paraId="10899758"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8,042 </w:t>
            </w:r>
          </w:p>
        </w:tc>
        <w:tc>
          <w:tcPr>
            <w:tcW w:w="916" w:type="dxa"/>
            <w:tcBorders>
              <w:top w:val="nil"/>
              <w:left w:val="nil"/>
              <w:bottom w:val="nil"/>
              <w:right w:val="nil"/>
            </w:tcBorders>
            <w:shd w:val="clear" w:color="auto" w:fill="auto"/>
            <w:vAlign w:val="bottom"/>
            <w:hideMark/>
          </w:tcPr>
          <w:p w14:paraId="097FC9EA" w14:textId="4280EE51" w:rsidR="00A53E2D" w:rsidRPr="00F51109" w:rsidRDefault="00A53E2D" w:rsidP="00E85896">
            <w:pPr>
              <w:jc w:val="right"/>
              <w:rPr>
                <w:b/>
                <w:bCs/>
                <w:color w:val="008EBA"/>
                <w:sz w:val="16"/>
                <w:szCs w:val="16"/>
                <w:lang w:eastAsia="ko-KR"/>
              </w:rPr>
            </w:pPr>
            <w:r w:rsidRPr="00F51109">
              <w:rPr>
                <w:b/>
                <w:bCs/>
                <w:color w:val="008EBA"/>
                <w:sz w:val="16"/>
                <w:szCs w:val="16"/>
                <w:lang w:eastAsia="ko-KR"/>
              </w:rPr>
              <w:t>(2,325)</w:t>
            </w:r>
          </w:p>
        </w:tc>
        <w:tc>
          <w:tcPr>
            <w:tcW w:w="901" w:type="dxa"/>
            <w:tcBorders>
              <w:top w:val="nil"/>
              <w:left w:val="nil"/>
              <w:bottom w:val="nil"/>
              <w:right w:val="nil"/>
            </w:tcBorders>
            <w:shd w:val="clear" w:color="auto" w:fill="auto"/>
            <w:vAlign w:val="bottom"/>
            <w:hideMark/>
          </w:tcPr>
          <w:p w14:paraId="0671B94E" w14:textId="327859D2"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(2,512)</w:t>
            </w:r>
          </w:p>
        </w:tc>
        <w:tc>
          <w:tcPr>
            <w:tcW w:w="870" w:type="dxa"/>
            <w:gridSpan w:val="2"/>
            <w:tcBorders>
              <w:top w:val="nil"/>
              <w:left w:val="nil"/>
              <w:bottom w:val="nil"/>
              <w:right w:val="nil"/>
            </w:tcBorders>
            <w:shd w:val="clear" w:color="auto" w:fill="auto"/>
            <w:vAlign w:val="bottom"/>
            <w:hideMark/>
          </w:tcPr>
          <w:p w14:paraId="53DE87A7" w14:textId="6F8EDFCB"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(731)</w:t>
            </w:r>
          </w:p>
        </w:tc>
        <w:tc>
          <w:tcPr>
            <w:tcW w:w="1046" w:type="dxa"/>
            <w:gridSpan w:val="2"/>
            <w:tcBorders>
              <w:top w:val="nil"/>
              <w:left w:val="nil"/>
              <w:bottom w:val="nil"/>
              <w:right w:val="nil"/>
            </w:tcBorders>
            <w:shd w:val="clear" w:color="auto" w:fill="auto"/>
            <w:vAlign w:val="bottom"/>
            <w:hideMark/>
          </w:tcPr>
          <w:p w14:paraId="1B06F2DA"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227 </w:t>
            </w:r>
          </w:p>
        </w:tc>
      </w:tr>
      <w:tr w:rsidR="00A53E2D" w:rsidRPr="00F51109" w14:paraId="63A3A0E4" w14:textId="77777777" w:rsidTr="00E85896">
        <w:trPr>
          <w:trHeight w:val="454"/>
        </w:trPr>
        <w:tc>
          <w:tcPr>
            <w:tcW w:w="4337" w:type="dxa"/>
            <w:tcBorders>
              <w:top w:val="nil"/>
              <w:left w:val="nil"/>
              <w:bottom w:val="nil"/>
              <w:right w:val="nil"/>
            </w:tcBorders>
            <w:shd w:val="clear" w:color="auto" w:fill="auto"/>
            <w:vAlign w:val="bottom"/>
            <w:hideMark/>
          </w:tcPr>
          <w:p w14:paraId="2114F93B" w14:textId="77777777" w:rsidR="00A53E2D" w:rsidRPr="00F51109" w:rsidRDefault="00A53E2D" w:rsidP="00E85896">
            <w:pPr>
              <w:rPr>
                <w:b/>
                <w:bCs/>
                <w:color w:val="000000"/>
                <w:sz w:val="16"/>
                <w:szCs w:val="16"/>
                <w:lang w:eastAsia="ko-KR"/>
              </w:rPr>
            </w:pPr>
            <w:r w:rsidRPr="00F51109">
              <w:rPr>
                <w:b/>
                <w:bCs/>
                <w:color w:val="000000"/>
                <w:sz w:val="16"/>
                <w:szCs w:val="16"/>
                <w:lang w:eastAsia="ko-KR"/>
              </w:rPr>
              <w:t>Cash Flows from Investments in Financial Assets for Liquidity Purposes</w:t>
            </w:r>
          </w:p>
        </w:tc>
        <w:tc>
          <w:tcPr>
            <w:tcW w:w="903" w:type="dxa"/>
            <w:tcBorders>
              <w:top w:val="nil"/>
              <w:left w:val="nil"/>
              <w:bottom w:val="nil"/>
              <w:right w:val="nil"/>
            </w:tcBorders>
            <w:shd w:val="clear" w:color="auto" w:fill="auto"/>
            <w:vAlign w:val="bottom"/>
            <w:hideMark/>
          </w:tcPr>
          <w:p w14:paraId="3CAA1916" w14:textId="77777777" w:rsidR="00A53E2D" w:rsidRPr="00DC0DBB" w:rsidRDefault="00A53E2D" w:rsidP="00E85896">
            <w:pPr>
              <w:rPr>
                <w:b/>
                <w:bCs/>
                <w:color w:val="A6A6A6" w:themeColor="background1" w:themeShade="A6"/>
                <w:sz w:val="16"/>
                <w:szCs w:val="16"/>
                <w:lang w:eastAsia="ko-KR"/>
              </w:rPr>
            </w:pPr>
          </w:p>
        </w:tc>
        <w:tc>
          <w:tcPr>
            <w:tcW w:w="916" w:type="dxa"/>
            <w:tcBorders>
              <w:top w:val="nil"/>
              <w:left w:val="nil"/>
              <w:bottom w:val="nil"/>
              <w:right w:val="nil"/>
            </w:tcBorders>
            <w:shd w:val="clear" w:color="auto" w:fill="auto"/>
            <w:vAlign w:val="bottom"/>
            <w:hideMark/>
          </w:tcPr>
          <w:p w14:paraId="649133DC" w14:textId="53FE7538" w:rsidR="00A53E2D" w:rsidRPr="00F51109" w:rsidRDefault="00A53E2D" w:rsidP="00E85896">
            <w:pPr>
              <w:jc w:val="right"/>
              <w:rPr>
                <w:lang w:eastAsia="ko-KR"/>
              </w:rPr>
            </w:pPr>
          </w:p>
        </w:tc>
        <w:tc>
          <w:tcPr>
            <w:tcW w:w="916" w:type="dxa"/>
            <w:tcBorders>
              <w:top w:val="nil"/>
              <w:left w:val="nil"/>
              <w:bottom w:val="nil"/>
              <w:right w:val="nil"/>
            </w:tcBorders>
            <w:shd w:val="clear" w:color="auto" w:fill="auto"/>
            <w:vAlign w:val="bottom"/>
            <w:hideMark/>
          </w:tcPr>
          <w:p w14:paraId="317F7B14"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02A18749"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09CFA6E8" w14:textId="7777777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7E42CC46" w14:textId="77777777" w:rsidR="00A53E2D" w:rsidRPr="00DC0DBB" w:rsidRDefault="00A53E2D" w:rsidP="00E85896">
            <w:pPr>
              <w:jc w:val="right"/>
              <w:rPr>
                <w:color w:val="A6A6A6" w:themeColor="background1" w:themeShade="A6"/>
                <w:lang w:eastAsia="ko-KR"/>
              </w:rPr>
            </w:pPr>
          </w:p>
        </w:tc>
      </w:tr>
      <w:tr w:rsidR="00A53E2D" w:rsidRPr="00F51109" w14:paraId="71A0621E" w14:textId="77777777" w:rsidTr="00E85896">
        <w:trPr>
          <w:trHeight w:val="227"/>
        </w:trPr>
        <w:tc>
          <w:tcPr>
            <w:tcW w:w="4337" w:type="dxa"/>
            <w:tcBorders>
              <w:top w:val="nil"/>
              <w:left w:val="nil"/>
              <w:bottom w:val="nil"/>
              <w:right w:val="nil"/>
            </w:tcBorders>
            <w:shd w:val="clear" w:color="auto" w:fill="auto"/>
            <w:vAlign w:val="bottom"/>
            <w:hideMark/>
          </w:tcPr>
          <w:p w14:paraId="1760251F" w14:textId="77777777" w:rsidR="00A53E2D" w:rsidRPr="00F51109" w:rsidRDefault="00A53E2D" w:rsidP="00E85896">
            <w:pPr>
              <w:rPr>
                <w:color w:val="000000"/>
                <w:sz w:val="16"/>
                <w:szCs w:val="16"/>
                <w:lang w:eastAsia="ko-KR"/>
              </w:rPr>
            </w:pPr>
            <w:r w:rsidRPr="00F51109">
              <w:rPr>
                <w:color w:val="000000"/>
                <w:sz w:val="16"/>
                <w:szCs w:val="16"/>
                <w:lang w:eastAsia="ko-KR"/>
              </w:rPr>
              <w:t>Proceeds from Sale of Investments</w:t>
            </w:r>
          </w:p>
        </w:tc>
        <w:tc>
          <w:tcPr>
            <w:tcW w:w="903" w:type="dxa"/>
            <w:tcBorders>
              <w:top w:val="nil"/>
              <w:left w:val="nil"/>
              <w:bottom w:val="nil"/>
              <w:right w:val="nil"/>
            </w:tcBorders>
            <w:shd w:val="clear" w:color="auto" w:fill="auto"/>
            <w:vAlign w:val="bottom"/>
            <w:hideMark/>
          </w:tcPr>
          <w:p w14:paraId="5E7CC504"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2,956 </w:t>
            </w:r>
          </w:p>
        </w:tc>
        <w:tc>
          <w:tcPr>
            <w:tcW w:w="916" w:type="dxa"/>
            <w:tcBorders>
              <w:top w:val="nil"/>
              <w:left w:val="nil"/>
              <w:bottom w:val="nil"/>
              <w:right w:val="nil"/>
            </w:tcBorders>
            <w:shd w:val="clear" w:color="auto" w:fill="auto"/>
            <w:vAlign w:val="bottom"/>
            <w:hideMark/>
          </w:tcPr>
          <w:p w14:paraId="739F117A"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3,644 </w:t>
            </w:r>
          </w:p>
        </w:tc>
        <w:tc>
          <w:tcPr>
            <w:tcW w:w="916" w:type="dxa"/>
            <w:tcBorders>
              <w:top w:val="nil"/>
              <w:left w:val="nil"/>
              <w:bottom w:val="nil"/>
              <w:right w:val="nil"/>
            </w:tcBorders>
            <w:shd w:val="clear" w:color="auto" w:fill="auto"/>
            <w:vAlign w:val="bottom"/>
            <w:hideMark/>
          </w:tcPr>
          <w:p w14:paraId="386E6C28"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3,795 </w:t>
            </w:r>
          </w:p>
        </w:tc>
        <w:tc>
          <w:tcPr>
            <w:tcW w:w="901" w:type="dxa"/>
            <w:tcBorders>
              <w:top w:val="nil"/>
              <w:left w:val="nil"/>
              <w:bottom w:val="nil"/>
              <w:right w:val="nil"/>
            </w:tcBorders>
            <w:shd w:val="clear" w:color="auto" w:fill="auto"/>
            <w:vAlign w:val="bottom"/>
            <w:hideMark/>
          </w:tcPr>
          <w:p w14:paraId="7F3817A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4,708 </w:t>
            </w:r>
          </w:p>
        </w:tc>
        <w:tc>
          <w:tcPr>
            <w:tcW w:w="870" w:type="dxa"/>
            <w:gridSpan w:val="2"/>
            <w:tcBorders>
              <w:top w:val="nil"/>
              <w:left w:val="nil"/>
              <w:bottom w:val="nil"/>
              <w:right w:val="nil"/>
            </w:tcBorders>
            <w:shd w:val="clear" w:color="auto" w:fill="auto"/>
            <w:vAlign w:val="bottom"/>
            <w:hideMark/>
          </w:tcPr>
          <w:p w14:paraId="25F0CC7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3,430 </w:t>
            </w:r>
          </w:p>
        </w:tc>
        <w:tc>
          <w:tcPr>
            <w:tcW w:w="1046" w:type="dxa"/>
            <w:gridSpan w:val="2"/>
            <w:tcBorders>
              <w:top w:val="nil"/>
              <w:left w:val="nil"/>
              <w:bottom w:val="nil"/>
              <w:right w:val="nil"/>
            </w:tcBorders>
            <w:shd w:val="clear" w:color="auto" w:fill="auto"/>
            <w:vAlign w:val="bottom"/>
            <w:hideMark/>
          </w:tcPr>
          <w:p w14:paraId="21E1E1CE"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1,638 </w:t>
            </w:r>
          </w:p>
        </w:tc>
      </w:tr>
      <w:tr w:rsidR="00A53E2D" w:rsidRPr="00F51109" w14:paraId="47C240A6" w14:textId="77777777" w:rsidTr="00E85896">
        <w:trPr>
          <w:trHeight w:val="227"/>
        </w:trPr>
        <w:tc>
          <w:tcPr>
            <w:tcW w:w="4337" w:type="dxa"/>
            <w:tcBorders>
              <w:top w:val="nil"/>
              <w:left w:val="nil"/>
              <w:bottom w:val="nil"/>
              <w:right w:val="nil"/>
            </w:tcBorders>
            <w:shd w:val="clear" w:color="auto" w:fill="auto"/>
            <w:vAlign w:val="bottom"/>
            <w:hideMark/>
          </w:tcPr>
          <w:p w14:paraId="30E10146" w14:textId="77777777" w:rsidR="00A53E2D" w:rsidRPr="00F51109" w:rsidRDefault="00A53E2D" w:rsidP="00E85896">
            <w:pPr>
              <w:rPr>
                <w:color w:val="000000"/>
                <w:sz w:val="16"/>
                <w:szCs w:val="16"/>
                <w:lang w:eastAsia="ko-KR"/>
              </w:rPr>
            </w:pPr>
            <w:r w:rsidRPr="00F51109">
              <w:rPr>
                <w:color w:val="000000"/>
                <w:sz w:val="16"/>
                <w:szCs w:val="16"/>
                <w:lang w:eastAsia="ko-KR"/>
              </w:rPr>
              <w:t>Purchase of Investments</w:t>
            </w:r>
          </w:p>
        </w:tc>
        <w:tc>
          <w:tcPr>
            <w:tcW w:w="903" w:type="dxa"/>
            <w:tcBorders>
              <w:top w:val="nil"/>
              <w:left w:val="nil"/>
              <w:bottom w:val="single" w:sz="4" w:space="0" w:color="auto"/>
              <w:right w:val="nil"/>
            </w:tcBorders>
            <w:shd w:val="clear" w:color="auto" w:fill="auto"/>
            <w:vAlign w:val="bottom"/>
            <w:hideMark/>
          </w:tcPr>
          <w:p w14:paraId="42FAB551"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(4,416)</w:t>
            </w:r>
          </w:p>
        </w:tc>
        <w:tc>
          <w:tcPr>
            <w:tcW w:w="916" w:type="dxa"/>
            <w:tcBorders>
              <w:top w:val="nil"/>
              <w:left w:val="nil"/>
              <w:bottom w:val="single" w:sz="4" w:space="0" w:color="auto"/>
              <w:right w:val="nil"/>
            </w:tcBorders>
            <w:shd w:val="clear" w:color="auto" w:fill="auto"/>
            <w:vAlign w:val="bottom"/>
            <w:hideMark/>
          </w:tcPr>
          <w:p w14:paraId="270ACAEE" w14:textId="77777777" w:rsidR="00A53E2D" w:rsidRPr="00F51109" w:rsidRDefault="00A53E2D" w:rsidP="00E85896">
            <w:pPr>
              <w:jc w:val="right"/>
              <w:rPr>
                <w:color w:val="000000"/>
                <w:sz w:val="16"/>
                <w:szCs w:val="16"/>
                <w:lang w:eastAsia="ko-KR"/>
              </w:rPr>
            </w:pPr>
            <w:r w:rsidRPr="00F51109">
              <w:rPr>
                <w:color w:val="000000"/>
                <w:sz w:val="16"/>
                <w:szCs w:val="16"/>
                <w:lang w:eastAsia="ko-KR"/>
              </w:rPr>
              <w:t>(2,426)</w:t>
            </w:r>
          </w:p>
        </w:tc>
        <w:tc>
          <w:tcPr>
            <w:tcW w:w="916" w:type="dxa"/>
            <w:tcBorders>
              <w:top w:val="nil"/>
              <w:left w:val="nil"/>
              <w:bottom w:val="single" w:sz="4" w:space="0" w:color="auto"/>
              <w:right w:val="nil"/>
            </w:tcBorders>
            <w:shd w:val="clear" w:color="auto" w:fill="auto"/>
            <w:vAlign w:val="bottom"/>
            <w:hideMark/>
          </w:tcPr>
          <w:p w14:paraId="6417D284" w14:textId="77777777" w:rsidR="00A53E2D" w:rsidRPr="00F51109" w:rsidRDefault="00A53E2D" w:rsidP="00E85896">
            <w:pPr>
              <w:jc w:val="right"/>
              <w:rPr>
                <w:color w:val="000000"/>
                <w:sz w:val="16"/>
                <w:szCs w:val="16"/>
                <w:lang w:eastAsia="ko-KR"/>
              </w:rPr>
            </w:pPr>
            <w:r w:rsidRPr="00F51109">
              <w:rPr>
                <w:color w:val="000000"/>
                <w:sz w:val="16"/>
                <w:szCs w:val="16"/>
                <w:lang w:eastAsia="ko-KR"/>
              </w:rPr>
              <w:t>(857)</w:t>
            </w:r>
          </w:p>
        </w:tc>
        <w:tc>
          <w:tcPr>
            <w:tcW w:w="901" w:type="dxa"/>
            <w:tcBorders>
              <w:top w:val="nil"/>
              <w:left w:val="nil"/>
              <w:bottom w:val="single" w:sz="4" w:space="0" w:color="auto"/>
              <w:right w:val="nil"/>
            </w:tcBorders>
            <w:shd w:val="clear" w:color="auto" w:fill="auto"/>
            <w:vAlign w:val="bottom"/>
            <w:hideMark/>
          </w:tcPr>
          <w:p w14:paraId="00F40BC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(5,417)</w:t>
            </w:r>
          </w:p>
        </w:tc>
        <w:tc>
          <w:tcPr>
            <w:tcW w:w="870" w:type="dxa"/>
            <w:gridSpan w:val="2"/>
            <w:tcBorders>
              <w:top w:val="nil"/>
              <w:left w:val="nil"/>
              <w:bottom w:val="single" w:sz="4" w:space="0" w:color="auto"/>
              <w:right w:val="nil"/>
            </w:tcBorders>
            <w:shd w:val="clear" w:color="auto" w:fill="auto"/>
            <w:vAlign w:val="bottom"/>
            <w:hideMark/>
          </w:tcPr>
          <w:p w14:paraId="2D75053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(5,282)</w:t>
            </w:r>
          </w:p>
        </w:tc>
        <w:tc>
          <w:tcPr>
            <w:tcW w:w="1046" w:type="dxa"/>
            <w:gridSpan w:val="2"/>
            <w:tcBorders>
              <w:top w:val="nil"/>
              <w:left w:val="nil"/>
              <w:bottom w:val="single" w:sz="4" w:space="0" w:color="auto"/>
              <w:right w:val="nil"/>
            </w:tcBorders>
            <w:shd w:val="clear" w:color="auto" w:fill="auto"/>
            <w:vAlign w:val="bottom"/>
            <w:hideMark/>
          </w:tcPr>
          <w:p w14:paraId="7D552D9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(5,163)</w:t>
            </w:r>
          </w:p>
        </w:tc>
      </w:tr>
      <w:tr w:rsidR="00A53E2D" w:rsidRPr="00F51109" w14:paraId="78671EBD" w14:textId="77777777" w:rsidTr="00E85896">
        <w:trPr>
          <w:trHeight w:val="454"/>
        </w:trPr>
        <w:tc>
          <w:tcPr>
            <w:tcW w:w="4337" w:type="dxa"/>
            <w:tcBorders>
              <w:top w:val="nil"/>
              <w:left w:val="nil"/>
              <w:bottom w:val="nil"/>
              <w:right w:val="nil"/>
            </w:tcBorders>
            <w:shd w:val="clear" w:color="auto" w:fill="auto"/>
            <w:vAlign w:val="bottom"/>
            <w:hideMark/>
          </w:tcPr>
          <w:p w14:paraId="0236F341"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Cash Flows from Investments in Financial Assets for Liquidity Purposes</w:t>
            </w:r>
          </w:p>
        </w:tc>
        <w:tc>
          <w:tcPr>
            <w:tcW w:w="903" w:type="dxa"/>
            <w:tcBorders>
              <w:top w:val="nil"/>
              <w:left w:val="nil"/>
              <w:bottom w:val="nil"/>
              <w:right w:val="nil"/>
            </w:tcBorders>
            <w:shd w:val="clear" w:color="auto" w:fill="auto"/>
            <w:vAlign w:val="bottom"/>
            <w:hideMark/>
          </w:tcPr>
          <w:p w14:paraId="111EBB04"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(1,460)</w:t>
            </w:r>
          </w:p>
        </w:tc>
        <w:tc>
          <w:tcPr>
            <w:tcW w:w="916" w:type="dxa"/>
            <w:tcBorders>
              <w:top w:val="nil"/>
              <w:left w:val="nil"/>
              <w:bottom w:val="nil"/>
              <w:right w:val="nil"/>
            </w:tcBorders>
            <w:shd w:val="clear" w:color="auto" w:fill="auto"/>
            <w:vAlign w:val="bottom"/>
            <w:hideMark/>
          </w:tcPr>
          <w:p w14:paraId="62F936FC"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1,217 </w:t>
            </w:r>
          </w:p>
        </w:tc>
        <w:tc>
          <w:tcPr>
            <w:tcW w:w="916" w:type="dxa"/>
            <w:tcBorders>
              <w:top w:val="nil"/>
              <w:left w:val="nil"/>
              <w:bottom w:val="nil"/>
              <w:right w:val="nil"/>
            </w:tcBorders>
            <w:shd w:val="clear" w:color="auto" w:fill="auto"/>
            <w:vAlign w:val="bottom"/>
            <w:hideMark/>
          </w:tcPr>
          <w:p w14:paraId="0DBF4AAD"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2,938 </w:t>
            </w:r>
          </w:p>
        </w:tc>
        <w:tc>
          <w:tcPr>
            <w:tcW w:w="901" w:type="dxa"/>
            <w:tcBorders>
              <w:top w:val="nil"/>
              <w:left w:val="nil"/>
              <w:bottom w:val="nil"/>
              <w:right w:val="nil"/>
            </w:tcBorders>
            <w:shd w:val="clear" w:color="auto" w:fill="auto"/>
            <w:vAlign w:val="bottom"/>
            <w:hideMark/>
          </w:tcPr>
          <w:p w14:paraId="7EA07C40"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(709)</w:t>
            </w:r>
          </w:p>
        </w:tc>
        <w:tc>
          <w:tcPr>
            <w:tcW w:w="870" w:type="dxa"/>
            <w:gridSpan w:val="2"/>
            <w:tcBorders>
              <w:top w:val="nil"/>
              <w:left w:val="nil"/>
              <w:bottom w:val="nil"/>
              <w:right w:val="nil"/>
            </w:tcBorders>
            <w:shd w:val="clear" w:color="auto" w:fill="auto"/>
            <w:vAlign w:val="bottom"/>
            <w:hideMark/>
          </w:tcPr>
          <w:p w14:paraId="6DCBA64C"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(1,852)</w:t>
            </w:r>
          </w:p>
        </w:tc>
        <w:tc>
          <w:tcPr>
            <w:tcW w:w="1046" w:type="dxa"/>
            <w:gridSpan w:val="2"/>
            <w:tcBorders>
              <w:top w:val="nil"/>
              <w:left w:val="nil"/>
              <w:bottom w:val="nil"/>
              <w:right w:val="nil"/>
            </w:tcBorders>
            <w:shd w:val="clear" w:color="auto" w:fill="auto"/>
            <w:vAlign w:val="bottom"/>
            <w:hideMark/>
          </w:tcPr>
          <w:p w14:paraId="38B7A5F9"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(3,524)</w:t>
            </w:r>
          </w:p>
        </w:tc>
      </w:tr>
      <w:tr w:rsidR="00A53E2D" w:rsidRPr="00F51109" w14:paraId="380859EC" w14:textId="77777777" w:rsidTr="00E85896">
        <w:trPr>
          <w:trHeight w:val="324"/>
        </w:trPr>
        <w:tc>
          <w:tcPr>
            <w:tcW w:w="4337" w:type="dxa"/>
            <w:tcBorders>
              <w:top w:val="nil"/>
              <w:left w:val="nil"/>
              <w:bottom w:val="nil"/>
              <w:right w:val="nil"/>
            </w:tcBorders>
            <w:shd w:val="clear" w:color="auto" w:fill="auto"/>
            <w:vAlign w:val="center"/>
            <w:hideMark/>
          </w:tcPr>
          <w:p w14:paraId="27133E56"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Cash Flows from Investing Activities</w:t>
            </w:r>
          </w:p>
        </w:tc>
        <w:tc>
          <w:tcPr>
            <w:tcW w:w="903" w:type="dxa"/>
            <w:tcBorders>
              <w:top w:val="nil"/>
              <w:left w:val="nil"/>
              <w:bottom w:val="nil"/>
              <w:right w:val="nil"/>
            </w:tcBorders>
            <w:shd w:val="clear" w:color="auto" w:fill="auto"/>
            <w:vAlign w:val="bottom"/>
            <w:hideMark/>
          </w:tcPr>
          <w:p w14:paraId="284B1E85"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(20,078)</w:t>
            </w:r>
          </w:p>
        </w:tc>
        <w:tc>
          <w:tcPr>
            <w:tcW w:w="916" w:type="dxa"/>
            <w:tcBorders>
              <w:top w:val="nil"/>
              <w:left w:val="nil"/>
              <w:bottom w:val="nil"/>
              <w:right w:val="nil"/>
            </w:tcBorders>
            <w:shd w:val="clear" w:color="auto" w:fill="auto"/>
            <w:vAlign w:val="bottom"/>
            <w:hideMark/>
          </w:tcPr>
          <w:p w14:paraId="64DE8D69"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(9,027)</w:t>
            </w:r>
          </w:p>
        </w:tc>
        <w:tc>
          <w:tcPr>
            <w:tcW w:w="916" w:type="dxa"/>
            <w:tcBorders>
              <w:top w:val="nil"/>
              <w:left w:val="nil"/>
              <w:bottom w:val="nil"/>
              <w:right w:val="nil"/>
            </w:tcBorders>
            <w:shd w:val="clear" w:color="auto" w:fill="auto"/>
            <w:vAlign w:val="bottom"/>
            <w:hideMark/>
          </w:tcPr>
          <w:p w14:paraId="48E3DEB8"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(20,644)</w:t>
            </w:r>
          </w:p>
        </w:tc>
        <w:tc>
          <w:tcPr>
            <w:tcW w:w="901" w:type="dxa"/>
            <w:tcBorders>
              <w:top w:val="nil"/>
              <w:left w:val="nil"/>
              <w:bottom w:val="nil"/>
              <w:right w:val="nil"/>
            </w:tcBorders>
            <w:shd w:val="clear" w:color="auto" w:fill="auto"/>
            <w:vAlign w:val="bottom"/>
            <w:hideMark/>
          </w:tcPr>
          <w:p w14:paraId="68E4100F"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(20,686)</w:t>
            </w:r>
          </w:p>
        </w:tc>
        <w:tc>
          <w:tcPr>
            <w:tcW w:w="870" w:type="dxa"/>
            <w:gridSpan w:val="2"/>
            <w:tcBorders>
              <w:top w:val="nil"/>
              <w:left w:val="nil"/>
              <w:bottom w:val="nil"/>
              <w:right w:val="nil"/>
            </w:tcBorders>
            <w:shd w:val="clear" w:color="auto" w:fill="auto"/>
            <w:vAlign w:val="bottom"/>
            <w:hideMark/>
          </w:tcPr>
          <w:p w14:paraId="1048F9C7"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(21,847)</w:t>
            </w:r>
          </w:p>
        </w:tc>
        <w:tc>
          <w:tcPr>
            <w:tcW w:w="1046" w:type="dxa"/>
            <w:gridSpan w:val="2"/>
            <w:tcBorders>
              <w:top w:val="nil"/>
              <w:left w:val="nil"/>
              <w:bottom w:val="nil"/>
              <w:right w:val="nil"/>
            </w:tcBorders>
            <w:shd w:val="clear" w:color="auto" w:fill="auto"/>
            <w:vAlign w:val="bottom"/>
            <w:hideMark/>
          </w:tcPr>
          <w:p w14:paraId="5AA2F11A"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(23,427)</w:t>
            </w:r>
          </w:p>
        </w:tc>
      </w:tr>
      <w:tr w:rsidR="00A53E2D" w:rsidRPr="00F51109" w14:paraId="5A0CB58A" w14:textId="77777777" w:rsidTr="00E85896">
        <w:trPr>
          <w:trHeight w:val="283"/>
        </w:trPr>
        <w:tc>
          <w:tcPr>
            <w:tcW w:w="4337" w:type="dxa"/>
            <w:tcBorders>
              <w:top w:val="nil"/>
              <w:left w:val="nil"/>
              <w:bottom w:val="nil"/>
              <w:right w:val="nil"/>
            </w:tcBorders>
            <w:shd w:val="clear" w:color="auto" w:fill="auto"/>
            <w:vAlign w:val="bottom"/>
            <w:hideMark/>
          </w:tcPr>
          <w:p w14:paraId="336E86A8" w14:textId="77777777" w:rsidR="00A53E2D" w:rsidRPr="00F51109" w:rsidRDefault="00A53E2D" w:rsidP="00E85896">
            <w:pPr>
              <w:rPr>
                <w:b/>
                <w:bCs/>
                <w:color w:val="000000"/>
                <w:sz w:val="16"/>
                <w:szCs w:val="16"/>
                <w:lang w:eastAsia="ko-KR"/>
              </w:rPr>
            </w:pPr>
            <w:r w:rsidRPr="00F51109">
              <w:rPr>
                <w:b/>
                <w:bCs/>
                <w:color w:val="000000"/>
                <w:sz w:val="16"/>
                <w:szCs w:val="16"/>
                <w:lang w:eastAsia="ko-KR"/>
              </w:rPr>
              <w:t>Cash Flows from Financing Activities</w:t>
            </w:r>
          </w:p>
        </w:tc>
        <w:tc>
          <w:tcPr>
            <w:tcW w:w="903" w:type="dxa"/>
            <w:tcBorders>
              <w:top w:val="nil"/>
              <w:left w:val="nil"/>
              <w:bottom w:val="nil"/>
              <w:right w:val="nil"/>
            </w:tcBorders>
            <w:shd w:val="clear" w:color="auto" w:fill="auto"/>
            <w:vAlign w:val="bottom"/>
            <w:hideMark/>
          </w:tcPr>
          <w:p w14:paraId="32309F4B" w14:textId="77777777" w:rsidR="00A53E2D" w:rsidRPr="00DC0DBB" w:rsidRDefault="00A53E2D" w:rsidP="00E85896">
            <w:pPr>
              <w:rPr>
                <w:b/>
                <w:bCs/>
                <w:color w:val="A6A6A6" w:themeColor="background1" w:themeShade="A6"/>
                <w:sz w:val="16"/>
                <w:szCs w:val="16"/>
                <w:lang w:eastAsia="ko-KR"/>
              </w:rPr>
            </w:pPr>
          </w:p>
        </w:tc>
        <w:tc>
          <w:tcPr>
            <w:tcW w:w="916" w:type="dxa"/>
            <w:tcBorders>
              <w:top w:val="nil"/>
              <w:left w:val="nil"/>
              <w:bottom w:val="nil"/>
              <w:right w:val="nil"/>
            </w:tcBorders>
            <w:shd w:val="clear" w:color="auto" w:fill="auto"/>
            <w:vAlign w:val="bottom"/>
            <w:hideMark/>
          </w:tcPr>
          <w:p w14:paraId="0E5BC5EF" w14:textId="77777777" w:rsidR="00A53E2D" w:rsidRPr="00F51109" w:rsidRDefault="00A53E2D" w:rsidP="00E85896">
            <w:pPr>
              <w:jc w:val="right"/>
              <w:rPr>
                <w:lang w:eastAsia="ko-KR"/>
              </w:rPr>
            </w:pPr>
          </w:p>
        </w:tc>
        <w:tc>
          <w:tcPr>
            <w:tcW w:w="916" w:type="dxa"/>
            <w:tcBorders>
              <w:top w:val="nil"/>
              <w:left w:val="nil"/>
              <w:bottom w:val="nil"/>
              <w:right w:val="nil"/>
            </w:tcBorders>
            <w:shd w:val="clear" w:color="auto" w:fill="auto"/>
            <w:vAlign w:val="bottom"/>
            <w:hideMark/>
          </w:tcPr>
          <w:p w14:paraId="71C51273"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3061C18F"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314B677D" w14:textId="7777777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34CDE666" w14:textId="77777777" w:rsidR="00A53E2D" w:rsidRPr="00DC0DBB" w:rsidRDefault="00A53E2D" w:rsidP="00E85896">
            <w:pPr>
              <w:jc w:val="right"/>
              <w:rPr>
                <w:color w:val="A6A6A6" w:themeColor="background1" w:themeShade="A6"/>
                <w:lang w:eastAsia="ko-KR"/>
              </w:rPr>
            </w:pPr>
          </w:p>
        </w:tc>
      </w:tr>
      <w:tr w:rsidR="00A53E2D" w:rsidRPr="00F51109" w14:paraId="6666C3DA" w14:textId="77777777" w:rsidTr="00E85896">
        <w:trPr>
          <w:trHeight w:val="227"/>
        </w:trPr>
        <w:tc>
          <w:tcPr>
            <w:tcW w:w="4337" w:type="dxa"/>
            <w:tcBorders>
              <w:top w:val="nil"/>
              <w:left w:val="nil"/>
              <w:bottom w:val="nil"/>
              <w:right w:val="nil"/>
            </w:tcBorders>
            <w:shd w:val="clear" w:color="auto" w:fill="auto"/>
            <w:vAlign w:val="bottom"/>
            <w:hideMark/>
          </w:tcPr>
          <w:p w14:paraId="349D4AD9" w14:textId="77777777" w:rsidR="00A53E2D" w:rsidRPr="00F51109" w:rsidRDefault="00A53E2D" w:rsidP="00E85896">
            <w:pPr>
              <w:rPr>
                <w:color w:val="000000"/>
                <w:sz w:val="16"/>
                <w:szCs w:val="16"/>
                <w:lang w:eastAsia="ko-KR"/>
              </w:rPr>
            </w:pPr>
            <w:r w:rsidRPr="00F51109">
              <w:rPr>
                <w:color w:val="000000"/>
                <w:sz w:val="16"/>
                <w:szCs w:val="16"/>
                <w:lang w:eastAsia="ko-KR"/>
              </w:rPr>
              <w:t>Advances (Net)</w:t>
            </w:r>
          </w:p>
        </w:tc>
        <w:tc>
          <w:tcPr>
            <w:tcW w:w="903" w:type="dxa"/>
            <w:tcBorders>
              <w:top w:val="nil"/>
              <w:left w:val="nil"/>
              <w:bottom w:val="nil"/>
              <w:right w:val="nil"/>
            </w:tcBorders>
            <w:shd w:val="clear" w:color="auto" w:fill="auto"/>
            <w:vAlign w:val="bottom"/>
            <w:hideMark/>
          </w:tcPr>
          <w:p w14:paraId="114D26E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(101)</w:t>
            </w:r>
          </w:p>
        </w:tc>
        <w:tc>
          <w:tcPr>
            <w:tcW w:w="916" w:type="dxa"/>
            <w:tcBorders>
              <w:top w:val="nil"/>
              <w:left w:val="nil"/>
              <w:bottom w:val="nil"/>
              <w:right w:val="nil"/>
            </w:tcBorders>
            <w:shd w:val="clear" w:color="auto" w:fill="auto"/>
            <w:vAlign w:val="bottom"/>
            <w:hideMark/>
          </w:tcPr>
          <w:p w14:paraId="57DA04A5" w14:textId="77777777" w:rsidR="00A53E2D" w:rsidRPr="00F51109" w:rsidRDefault="00A53E2D" w:rsidP="00E85896">
            <w:pPr>
              <w:jc w:val="right"/>
              <w:rPr>
                <w:color w:val="000000"/>
                <w:sz w:val="16"/>
                <w:szCs w:val="16"/>
                <w:lang w:eastAsia="ko-KR"/>
              </w:rPr>
            </w:pPr>
            <w:r w:rsidRPr="00F51109">
              <w:rPr>
                <w:color w:val="000000"/>
                <w:sz w:val="16"/>
                <w:szCs w:val="16"/>
                <w:lang w:eastAsia="ko-KR"/>
              </w:rPr>
              <w:t>(98)</w:t>
            </w:r>
          </w:p>
        </w:tc>
        <w:tc>
          <w:tcPr>
            <w:tcW w:w="916" w:type="dxa"/>
            <w:tcBorders>
              <w:top w:val="nil"/>
              <w:left w:val="nil"/>
              <w:bottom w:val="nil"/>
              <w:right w:val="nil"/>
            </w:tcBorders>
            <w:shd w:val="clear" w:color="auto" w:fill="auto"/>
            <w:vAlign w:val="bottom"/>
            <w:hideMark/>
          </w:tcPr>
          <w:p w14:paraId="61F10588" w14:textId="77777777" w:rsidR="00A53E2D" w:rsidRPr="00F51109" w:rsidRDefault="00A53E2D" w:rsidP="00E85896">
            <w:pPr>
              <w:jc w:val="right"/>
              <w:rPr>
                <w:color w:val="000000"/>
                <w:sz w:val="16"/>
                <w:szCs w:val="16"/>
                <w:lang w:eastAsia="ko-KR"/>
              </w:rPr>
            </w:pPr>
            <w:r w:rsidRPr="00F51109">
              <w:rPr>
                <w:color w:val="000000"/>
                <w:sz w:val="16"/>
                <w:szCs w:val="16"/>
                <w:lang w:eastAsia="ko-KR"/>
              </w:rPr>
              <w:t>(98)</w:t>
            </w:r>
          </w:p>
        </w:tc>
        <w:tc>
          <w:tcPr>
            <w:tcW w:w="901" w:type="dxa"/>
            <w:tcBorders>
              <w:top w:val="nil"/>
              <w:left w:val="nil"/>
              <w:bottom w:val="nil"/>
              <w:right w:val="nil"/>
            </w:tcBorders>
            <w:shd w:val="clear" w:color="auto" w:fill="auto"/>
            <w:vAlign w:val="bottom"/>
            <w:hideMark/>
          </w:tcPr>
          <w:p w14:paraId="766E1934"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(91)</w:t>
            </w:r>
          </w:p>
        </w:tc>
        <w:tc>
          <w:tcPr>
            <w:tcW w:w="870" w:type="dxa"/>
            <w:gridSpan w:val="2"/>
            <w:tcBorders>
              <w:top w:val="nil"/>
              <w:left w:val="nil"/>
              <w:bottom w:val="nil"/>
              <w:right w:val="nil"/>
            </w:tcBorders>
            <w:shd w:val="clear" w:color="auto" w:fill="auto"/>
            <w:vAlign w:val="bottom"/>
            <w:hideMark/>
          </w:tcPr>
          <w:p w14:paraId="78C9E82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(81)</w:t>
            </w:r>
          </w:p>
        </w:tc>
        <w:tc>
          <w:tcPr>
            <w:tcW w:w="1046" w:type="dxa"/>
            <w:gridSpan w:val="2"/>
            <w:tcBorders>
              <w:top w:val="nil"/>
              <w:left w:val="nil"/>
              <w:bottom w:val="nil"/>
              <w:right w:val="nil"/>
            </w:tcBorders>
            <w:shd w:val="clear" w:color="auto" w:fill="auto"/>
            <w:vAlign w:val="bottom"/>
            <w:hideMark/>
          </w:tcPr>
          <w:p w14:paraId="74DD3C7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(63)</w:t>
            </w:r>
          </w:p>
        </w:tc>
      </w:tr>
      <w:tr w:rsidR="00A53E2D" w:rsidRPr="00F51109" w14:paraId="42DD16CA" w14:textId="77777777" w:rsidTr="00E85896">
        <w:trPr>
          <w:trHeight w:val="227"/>
        </w:trPr>
        <w:tc>
          <w:tcPr>
            <w:tcW w:w="4337" w:type="dxa"/>
            <w:tcBorders>
              <w:top w:val="nil"/>
              <w:left w:val="nil"/>
              <w:bottom w:val="nil"/>
              <w:right w:val="nil"/>
            </w:tcBorders>
            <w:shd w:val="clear" w:color="auto" w:fill="auto"/>
            <w:vAlign w:val="bottom"/>
            <w:hideMark/>
          </w:tcPr>
          <w:p w14:paraId="0F747BCF" w14:textId="77777777" w:rsidR="00A53E2D" w:rsidRPr="00F51109" w:rsidRDefault="00A53E2D" w:rsidP="00E85896">
            <w:pPr>
              <w:rPr>
                <w:color w:val="000000"/>
                <w:sz w:val="16"/>
                <w:szCs w:val="16"/>
                <w:lang w:eastAsia="ko-KR"/>
              </w:rPr>
            </w:pPr>
            <w:r w:rsidRPr="00F51109">
              <w:rPr>
                <w:color w:val="000000"/>
                <w:sz w:val="16"/>
                <w:szCs w:val="16"/>
                <w:lang w:eastAsia="ko-KR"/>
              </w:rPr>
              <w:t>Proceeds from Borrowings</w:t>
            </w:r>
          </w:p>
        </w:tc>
        <w:tc>
          <w:tcPr>
            <w:tcW w:w="903" w:type="dxa"/>
            <w:tcBorders>
              <w:top w:val="nil"/>
              <w:left w:val="nil"/>
              <w:bottom w:val="nil"/>
              <w:right w:val="nil"/>
            </w:tcBorders>
            <w:shd w:val="clear" w:color="auto" w:fill="auto"/>
            <w:vAlign w:val="bottom"/>
            <w:hideMark/>
          </w:tcPr>
          <w:p w14:paraId="02BE601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18,853 </w:t>
            </w:r>
          </w:p>
        </w:tc>
        <w:tc>
          <w:tcPr>
            <w:tcW w:w="916" w:type="dxa"/>
            <w:tcBorders>
              <w:top w:val="nil"/>
              <w:left w:val="nil"/>
              <w:bottom w:val="nil"/>
              <w:right w:val="nil"/>
            </w:tcBorders>
            <w:shd w:val="clear" w:color="auto" w:fill="auto"/>
            <w:vAlign w:val="bottom"/>
            <w:hideMark/>
          </w:tcPr>
          <w:p w14:paraId="5C79D694"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24,661 </w:t>
            </w:r>
          </w:p>
        </w:tc>
        <w:tc>
          <w:tcPr>
            <w:tcW w:w="916" w:type="dxa"/>
            <w:tcBorders>
              <w:top w:val="nil"/>
              <w:left w:val="nil"/>
              <w:bottom w:val="nil"/>
              <w:right w:val="nil"/>
            </w:tcBorders>
            <w:shd w:val="clear" w:color="auto" w:fill="auto"/>
            <w:vAlign w:val="bottom"/>
            <w:hideMark/>
          </w:tcPr>
          <w:p w14:paraId="4929E5C0"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25,835 </w:t>
            </w:r>
          </w:p>
        </w:tc>
        <w:tc>
          <w:tcPr>
            <w:tcW w:w="901" w:type="dxa"/>
            <w:tcBorders>
              <w:top w:val="nil"/>
              <w:left w:val="nil"/>
              <w:bottom w:val="nil"/>
              <w:right w:val="nil"/>
            </w:tcBorders>
            <w:shd w:val="clear" w:color="auto" w:fill="auto"/>
            <w:vAlign w:val="bottom"/>
            <w:hideMark/>
          </w:tcPr>
          <w:p w14:paraId="675FDC8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20,206 </w:t>
            </w:r>
          </w:p>
        </w:tc>
        <w:tc>
          <w:tcPr>
            <w:tcW w:w="870" w:type="dxa"/>
            <w:gridSpan w:val="2"/>
            <w:tcBorders>
              <w:top w:val="nil"/>
              <w:left w:val="nil"/>
              <w:bottom w:val="nil"/>
              <w:right w:val="nil"/>
            </w:tcBorders>
            <w:shd w:val="clear" w:color="auto" w:fill="auto"/>
            <w:vAlign w:val="bottom"/>
            <w:hideMark/>
          </w:tcPr>
          <w:p w14:paraId="639B0DF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16,394 </w:t>
            </w:r>
          </w:p>
        </w:tc>
        <w:tc>
          <w:tcPr>
            <w:tcW w:w="1046" w:type="dxa"/>
            <w:gridSpan w:val="2"/>
            <w:tcBorders>
              <w:top w:val="nil"/>
              <w:left w:val="nil"/>
              <w:bottom w:val="nil"/>
              <w:right w:val="nil"/>
            </w:tcBorders>
            <w:shd w:val="clear" w:color="auto" w:fill="auto"/>
            <w:vAlign w:val="bottom"/>
            <w:hideMark/>
          </w:tcPr>
          <w:p w14:paraId="4E73930C"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16,991 </w:t>
            </w:r>
          </w:p>
        </w:tc>
      </w:tr>
      <w:tr w:rsidR="00A53E2D" w:rsidRPr="00F51109" w14:paraId="4CEDD367" w14:textId="77777777" w:rsidTr="00E85896">
        <w:trPr>
          <w:trHeight w:val="227"/>
        </w:trPr>
        <w:tc>
          <w:tcPr>
            <w:tcW w:w="4337" w:type="dxa"/>
            <w:tcBorders>
              <w:top w:val="nil"/>
              <w:left w:val="nil"/>
              <w:bottom w:val="nil"/>
              <w:right w:val="nil"/>
            </w:tcBorders>
            <w:shd w:val="clear" w:color="auto" w:fill="auto"/>
            <w:vAlign w:val="bottom"/>
            <w:hideMark/>
          </w:tcPr>
          <w:p w14:paraId="36C01EA5" w14:textId="77777777" w:rsidR="00A53E2D" w:rsidRPr="00F51109" w:rsidRDefault="00A53E2D" w:rsidP="00E85896">
            <w:pPr>
              <w:rPr>
                <w:color w:val="000000"/>
                <w:sz w:val="16"/>
                <w:szCs w:val="16"/>
                <w:lang w:eastAsia="ko-KR"/>
              </w:rPr>
            </w:pPr>
            <w:r w:rsidRPr="00F51109">
              <w:rPr>
                <w:color w:val="000000"/>
                <w:sz w:val="16"/>
                <w:szCs w:val="16"/>
                <w:lang w:eastAsia="ko-KR"/>
              </w:rPr>
              <w:t>Repayment of Borrowings</w:t>
            </w:r>
          </w:p>
        </w:tc>
        <w:tc>
          <w:tcPr>
            <w:tcW w:w="903" w:type="dxa"/>
            <w:tcBorders>
              <w:top w:val="nil"/>
              <w:left w:val="nil"/>
              <w:bottom w:val="nil"/>
              <w:right w:val="nil"/>
            </w:tcBorders>
            <w:shd w:val="clear" w:color="auto" w:fill="auto"/>
            <w:vAlign w:val="bottom"/>
            <w:hideMark/>
          </w:tcPr>
          <w:p w14:paraId="036482E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(1,945)</w:t>
            </w:r>
          </w:p>
        </w:tc>
        <w:tc>
          <w:tcPr>
            <w:tcW w:w="916" w:type="dxa"/>
            <w:tcBorders>
              <w:top w:val="nil"/>
              <w:left w:val="nil"/>
              <w:bottom w:val="nil"/>
              <w:right w:val="nil"/>
            </w:tcBorders>
            <w:shd w:val="clear" w:color="auto" w:fill="auto"/>
            <w:vAlign w:val="bottom"/>
            <w:hideMark/>
          </w:tcPr>
          <w:p w14:paraId="41FF6F8D" w14:textId="77777777" w:rsidR="00A53E2D" w:rsidRPr="00F51109" w:rsidRDefault="00A53E2D" w:rsidP="00E85896">
            <w:pPr>
              <w:jc w:val="right"/>
              <w:rPr>
                <w:color w:val="000000"/>
                <w:sz w:val="16"/>
                <w:szCs w:val="16"/>
                <w:lang w:eastAsia="ko-KR"/>
              </w:rPr>
            </w:pPr>
            <w:r w:rsidRPr="00F51109">
              <w:rPr>
                <w:color w:val="000000"/>
                <w:sz w:val="16"/>
                <w:szCs w:val="16"/>
                <w:lang w:eastAsia="ko-KR"/>
              </w:rPr>
              <w:t>(10,727)</w:t>
            </w:r>
          </w:p>
        </w:tc>
        <w:tc>
          <w:tcPr>
            <w:tcW w:w="916" w:type="dxa"/>
            <w:tcBorders>
              <w:top w:val="nil"/>
              <w:left w:val="nil"/>
              <w:bottom w:val="nil"/>
              <w:right w:val="nil"/>
            </w:tcBorders>
            <w:shd w:val="clear" w:color="auto" w:fill="auto"/>
            <w:vAlign w:val="bottom"/>
            <w:hideMark/>
          </w:tcPr>
          <w:p w14:paraId="7F674990" w14:textId="454D2187" w:rsidR="00A53E2D" w:rsidRPr="00F51109" w:rsidRDefault="00A53E2D" w:rsidP="00E85896">
            <w:pPr>
              <w:jc w:val="right"/>
              <w:rPr>
                <w:color w:val="000000"/>
                <w:sz w:val="16"/>
                <w:szCs w:val="16"/>
                <w:lang w:eastAsia="ko-KR"/>
              </w:rPr>
            </w:pPr>
            <w:r w:rsidRPr="00F51109">
              <w:rPr>
                <w:color w:val="000000"/>
                <w:sz w:val="16"/>
                <w:szCs w:val="16"/>
                <w:lang w:eastAsia="ko-KR"/>
              </w:rPr>
              <w:t>(4,824)</w:t>
            </w:r>
          </w:p>
        </w:tc>
        <w:tc>
          <w:tcPr>
            <w:tcW w:w="901" w:type="dxa"/>
            <w:tcBorders>
              <w:top w:val="nil"/>
              <w:left w:val="nil"/>
              <w:bottom w:val="nil"/>
              <w:right w:val="nil"/>
            </w:tcBorders>
            <w:shd w:val="clear" w:color="auto" w:fill="auto"/>
            <w:vAlign w:val="bottom"/>
            <w:hideMark/>
          </w:tcPr>
          <w:p w14:paraId="387E153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(3,107)</w:t>
            </w:r>
          </w:p>
        </w:tc>
        <w:tc>
          <w:tcPr>
            <w:tcW w:w="870" w:type="dxa"/>
            <w:gridSpan w:val="2"/>
            <w:tcBorders>
              <w:top w:val="nil"/>
              <w:left w:val="nil"/>
              <w:bottom w:val="nil"/>
              <w:right w:val="nil"/>
            </w:tcBorders>
            <w:shd w:val="clear" w:color="auto" w:fill="auto"/>
            <w:vAlign w:val="bottom"/>
            <w:hideMark/>
          </w:tcPr>
          <w:p w14:paraId="5801D625"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(1,244)</w:t>
            </w:r>
          </w:p>
        </w:tc>
        <w:tc>
          <w:tcPr>
            <w:tcW w:w="1046" w:type="dxa"/>
            <w:gridSpan w:val="2"/>
            <w:tcBorders>
              <w:top w:val="nil"/>
              <w:left w:val="nil"/>
              <w:bottom w:val="nil"/>
              <w:right w:val="nil"/>
            </w:tcBorders>
            <w:shd w:val="clear" w:color="auto" w:fill="auto"/>
            <w:vAlign w:val="bottom"/>
            <w:hideMark/>
          </w:tcPr>
          <w:p w14:paraId="5981357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(1,920)</w:t>
            </w:r>
          </w:p>
        </w:tc>
      </w:tr>
      <w:tr w:rsidR="00A53E2D" w:rsidRPr="00F51109" w14:paraId="1ADA6682" w14:textId="77777777" w:rsidTr="00E85896">
        <w:trPr>
          <w:trHeight w:val="227"/>
        </w:trPr>
        <w:tc>
          <w:tcPr>
            <w:tcW w:w="4337" w:type="dxa"/>
            <w:tcBorders>
              <w:top w:val="nil"/>
              <w:left w:val="nil"/>
              <w:bottom w:val="nil"/>
              <w:right w:val="nil"/>
            </w:tcBorders>
            <w:shd w:val="clear" w:color="auto" w:fill="auto"/>
            <w:vAlign w:val="bottom"/>
            <w:hideMark/>
          </w:tcPr>
          <w:p w14:paraId="5AD3EBD6" w14:textId="77777777" w:rsidR="00A53E2D" w:rsidRPr="00F51109" w:rsidRDefault="00A53E2D" w:rsidP="00E85896">
            <w:pPr>
              <w:rPr>
                <w:color w:val="000000"/>
                <w:sz w:val="16"/>
                <w:szCs w:val="16"/>
                <w:lang w:eastAsia="ko-KR"/>
              </w:rPr>
            </w:pPr>
            <w:r w:rsidRPr="00F51109">
              <w:rPr>
                <w:color w:val="000000"/>
                <w:sz w:val="16"/>
                <w:szCs w:val="16"/>
                <w:lang w:eastAsia="ko-KR"/>
              </w:rPr>
              <w:t>Deposits Received (Net)</w:t>
            </w:r>
          </w:p>
        </w:tc>
        <w:tc>
          <w:tcPr>
            <w:tcW w:w="903" w:type="dxa"/>
            <w:tcBorders>
              <w:top w:val="nil"/>
              <w:left w:val="nil"/>
              <w:bottom w:val="nil"/>
              <w:right w:val="nil"/>
            </w:tcBorders>
            <w:shd w:val="clear" w:color="auto" w:fill="auto"/>
            <w:vAlign w:val="bottom"/>
            <w:hideMark/>
          </w:tcPr>
          <w:p w14:paraId="0F0B4D48"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(10)</w:t>
            </w:r>
          </w:p>
        </w:tc>
        <w:tc>
          <w:tcPr>
            <w:tcW w:w="916" w:type="dxa"/>
            <w:tcBorders>
              <w:top w:val="nil"/>
              <w:left w:val="nil"/>
              <w:bottom w:val="nil"/>
              <w:right w:val="nil"/>
            </w:tcBorders>
            <w:shd w:val="clear" w:color="auto" w:fill="auto"/>
            <w:vAlign w:val="bottom"/>
            <w:hideMark/>
          </w:tcPr>
          <w:p w14:paraId="3FA08325" w14:textId="77777777" w:rsidR="00A53E2D" w:rsidRPr="00F51109" w:rsidRDefault="00A53E2D" w:rsidP="00E85896">
            <w:pPr>
              <w:jc w:val="right"/>
              <w:rPr>
                <w:color w:val="000000"/>
                <w:sz w:val="16"/>
                <w:szCs w:val="16"/>
                <w:lang w:eastAsia="ko-KR"/>
              </w:rPr>
            </w:pPr>
            <w:r w:rsidRPr="00F51109">
              <w:rPr>
                <w:color w:val="000000"/>
                <w:sz w:val="16"/>
                <w:szCs w:val="16"/>
                <w:lang w:eastAsia="ko-KR"/>
              </w:rPr>
              <w:t>(0)</w:t>
            </w:r>
          </w:p>
        </w:tc>
        <w:tc>
          <w:tcPr>
            <w:tcW w:w="916" w:type="dxa"/>
            <w:tcBorders>
              <w:top w:val="nil"/>
              <w:left w:val="nil"/>
              <w:bottom w:val="nil"/>
              <w:right w:val="nil"/>
            </w:tcBorders>
            <w:shd w:val="clear" w:color="auto" w:fill="auto"/>
            <w:vAlign w:val="bottom"/>
            <w:hideMark/>
          </w:tcPr>
          <w:p w14:paraId="0BD400EE" w14:textId="77777777" w:rsidR="00A53E2D" w:rsidRPr="00F51109" w:rsidRDefault="00A53E2D" w:rsidP="00E85896">
            <w:pPr>
              <w:jc w:val="right"/>
              <w:rPr>
                <w:color w:val="000000"/>
                <w:sz w:val="16"/>
                <w:szCs w:val="16"/>
                <w:lang w:eastAsia="ko-KR"/>
              </w:rPr>
            </w:pPr>
            <w:r w:rsidRPr="00F51109">
              <w:rPr>
                <w:color w:val="000000"/>
                <w:sz w:val="16"/>
                <w:szCs w:val="16"/>
                <w:lang w:eastAsia="ko-KR"/>
              </w:rPr>
              <w:t>...</w:t>
            </w:r>
          </w:p>
        </w:tc>
        <w:tc>
          <w:tcPr>
            <w:tcW w:w="901" w:type="dxa"/>
            <w:tcBorders>
              <w:top w:val="nil"/>
              <w:left w:val="nil"/>
              <w:bottom w:val="nil"/>
              <w:right w:val="nil"/>
            </w:tcBorders>
            <w:shd w:val="clear" w:color="auto" w:fill="auto"/>
            <w:vAlign w:val="bottom"/>
            <w:hideMark/>
          </w:tcPr>
          <w:p w14:paraId="5F345FC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w:t>
            </w:r>
          </w:p>
        </w:tc>
        <w:tc>
          <w:tcPr>
            <w:tcW w:w="870" w:type="dxa"/>
            <w:gridSpan w:val="2"/>
            <w:tcBorders>
              <w:top w:val="nil"/>
              <w:left w:val="nil"/>
              <w:bottom w:val="nil"/>
              <w:right w:val="nil"/>
            </w:tcBorders>
            <w:shd w:val="clear" w:color="auto" w:fill="auto"/>
            <w:vAlign w:val="bottom"/>
            <w:hideMark/>
          </w:tcPr>
          <w:p w14:paraId="774C6EA0"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w:t>
            </w:r>
          </w:p>
        </w:tc>
        <w:tc>
          <w:tcPr>
            <w:tcW w:w="1046" w:type="dxa"/>
            <w:gridSpan w:val="2"/>
            <w:tcBorders>
              <w:top w:val="nil"/>
              <w:left w:val="nil"/>
              <w:bottom w:val="nil"/>
              <w:right w:val="nil"/>
            </w:tcBorders>
            <w:shd w:val="clear" w:color="auto" w:fill="auto"/>
            <w:vAlign w:val="bottom"/>
            <w:hideMark/>
          </w:tcPr>
          <w:p w14:paraId="4A3CD594"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w:t>
            </w:r>
          </w:p>
        </w:tc>
      </w:tr>
      <w:tr w:rsidR="00A53E2D" w:rsidRPr="00F51109" w14:paraId="12633392" w14:textId="77777777" w:rsidTr="00E85896">
        <w:trPr>
          <w:trHeight w:val="227"/>
        </w:trPr>
        <w:tc>
          <w:tcPr>
            <w:tcW w:w="4337" w:type="dxa"/>
            <w:tcBorders>
              <w:top w:val="nil"/>
              <w:left w:val="nil"/>
              <w:bottom w:val="nil"/>
              <w:right w:val="nil"/>
            </w:tcBorders>
            <w:shd w:val="clear" w:color="auto" w:fill="auto"/>
            <w:vAlign w:val="bottom"/>
            <w:hideMark/>
          </w:tcPr>
          <w:p w14:paraId="479B579A" w14:textId="77777777" w:rsidR="00A53E2D" w:rsidRPr="00F51109" w:rsidRDefault="00A53E2D" w:rsidP="00E85896">
            <w:pPr>
              <w:rPr>
                <w:color w:val="000000"/>
                <w:sz w:val="16"/>
                <w:szCs w:val="16"/>
                <w:lang w:eastAsia="ko-KR"/>
              </w:rPr>
            </w:pPr>
            <w:r w:rsidRPr="00F51109">
              <w:rPr>
                <w:color w:val="000000"/>
                <w:sz w:val="16"/>
                <w:szCs w:val="16"/>
                <w:lang w:eastAsia="ko-KR"/>
              </w:rPr>
              <w:t>Other (Net)</w:t>
            </w:r>
          </w:p>
        </w:tc>
        <w:tc>
          <w:tcPr>
            <w:tcW w:w="903" w:type="dxa"/>
            <w:tcBorders>
              <w:top w:val="nil"/>
              <w:left w:val="nil"/>
              <w:bottom w:val="nil"/>
              <w:right w:val="nil"/>
            </w:tcBorders>
            <w:shd w:val="clear" w:color="auto" w:fill="auto"/>
            <w:vAlign w:val="bottom"/>
            <w:hideMark/>
          </w:tcPr>
          <w:p w14:paraId="2D7C88A3"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8 </w:t>
            </w:r>
          </w:p>
        </w:tc>
        <w:tc>
          <w:tcPr>
            <w:tcW w:w="916" w:type="dxa"/>
            <w:tcBorders>
              <w:top w:val="nil"/>
              <w:left w:val="nil"/>
              <w:bottom w:val="nil"/>
              <w:right w:val="nil"/>
            </w:tcBorders>
            <w:shd w:val="clear" w:color="auto" w:fill="auto"/>
            <w:vAlign w:val="bottom"/>
            <w:hideMark/>
          </w:tcPr>
          <w:p w14:paraId="1D9298F4"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58 </w:t>
            </w:r>
          </w:p>
        </w:tc>
        <w:tc>
          <w:tcPr>
            <w:tcW w:w="916" w:type="dxa"/>
            <w:tcBorders>
              <w:top w:val="nil"/>
              <w:left w:val="nil"/>
              <w:bottom w:val="nil"/>
              <w:right w:val="nil"/>
            </w:tcBorders>
            <w:shd w:val="clear" w:color="auto" w:fill="auto"/>
            <w:vAlign w:val="bottom"/>
            <w:hideMark/>
          </w:tcPr>
          <w:p w14:paraId="1C0283E9" w14:textId="77777777" w:rsidR="00A53E2D" w:rsidRPr="00F51109" w:rsidRDefault="00A53E2D" w:rsidP="00E85896">
            <w:pPr>
              <w:jc w:val="right"/>
              <w:rPr>
                <w:color w:val="000000"/>
                <w:sz w:val="16"/>
                <w:szCs w:val="16"/>
                <w:lang w:eastAsia="ko-KR"/>
              </w:rPr>
            </w:pPr>
            <w:r w:rsidRPr="00F51109">
              <w:rPr>
                <w:color w:val="000000"/>
                <w:sz w:val="16"/>
                <w:szCs w:val="16"/>
                <w:lang w:eastAsia="ko-KR"/>
              </w:rPr>
              <w:t xml:space="preserve">45 </w:t>
            </w:r>
          </w:p>
        </w:tc>
        <w:tc>
          <w:tcPr>
            <w:tcW w:w="901" w:type="dxa"/>
            <w:tcBorders>
              <w:top w:val="nil"/>
              <w:left w:val="nil"/>
              <w:bottom w:val="nil"/>
              <w:right w:val="nil"/>
            </w:tcBorders>
            <w:shd w:val="clear" w:color="auto" w:fill="auto"/>
            <w:vAlign w:val="bottom"/>
            <w:hideMark/>
          </w:tcPr>
          <w:p w14:paraId="278B4F1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53 </w:t>
            </w:r>
          </w:p>
        </w:tc>
        <w:tc>
          <w:tcPr>
            <w:tcW w:w="870" w:type="dxa"/>
            <w:gridSpan w:val="2"/>
            <w:tcBorders>
              <w:top w:val="nil"/>
              <w:left w:val="nil"/>
              <w:bottom w:val="nil"/>
              <w:right w:val="nil"/>
            </w:tcBorders>
            <w:shd w:val="clear" w:color="auto" w:fill="auto"/>
            <w:vAlign w:val="bottom"/>
            <w:hideMark/>
          </w:tcPr>
          <w:p w14:paraId="26672B0F"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61 </w:t>
            </w:r>
          </w:p>
        </w:tc>
        <w:tc>
          <w:tcPr>
            <w:tcW w:w="1046" w:type="dxa"/>
            <w:gridSpan w:val="2"/>
            <w:tcBorders>
              <w:top w:val="nil"/>
              <w:left w:val="nil"/>
              <w:bottom w:val="nil"/>
              <w:right w:val="nil"/>
            </w:tcBorders>
            <w:shd w:val="clear" w:color="auto" w:fill="auto"/>
            <w:vAlign w:val="bottom"/>
            <w:hideMark/>
          </w:tcPr>
          <w:p w14:paraId="5EEBAD46"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65 </w:t>
            </w:r>
          </w:p>
        </w:tc>
      </w:tr>
      <w:tr w:rsidR="00A53E2D" w:rsidRPr="00F51109" w14:paraId="74FD1D34" w14:textId="77777777" w:rsidTr="00E85896">
        <w:trPr>
          <w:trHeight w:val="283"/>
        </w:trPr>
        <w:tc>
          <w:tcPr>
            <w:tcW w:w="4337" w:type="dxa"/>
            <w:tcBorders>
              <w:top w:val="nil"/>
              <w:left w:val="nil"/>
              <w:bottom w:val="nil"/>
              <w:right w:val="nil"/>
            </w:tcBorders>
            <w:shd w:val="clear" w:color="auto" w:fill="auto"/>
            <w:vAlign w:val="center"/>
            <w:hideMark/>
          </w:tcPr>
          <w:p w14:paraId="02BE130D"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Cash Flows from Financing Activities</w:t>
            </w:r>
          </w:p>
        </w:tc>
        <w:tc>
          <w:tcPr>
            <w:tcW w:w="903" w:type="dxa"/>
            <w:tcBorders>
              <w:top w:val="nil"/>
              <w:left w:val="nil"/>
              <w:bottom w:val="nil"/>
              <w:right w:val="nil"/>
            </w:tcBorders>
            <w:shd w:val="clear" w:color="auto" w:fill="auto"/>
            <w:vAlign w:val="center"/>
            <w:hideMark/>
          </w:tcPr>
          <w:p w14:paraId="50ED973D"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16,805 </w:t>
            </w:r>
          </w:p>
        </w:tc>
        <w:tc>
          <w:tcPr>
            <w:tcW w:w="916" w:type="dxa"/>
            <w:tcBorders>
              <w:top w:val="nil"/>
              <w:left w:val="nil"/>
              <w:bottom w:val="nil"/>
              <w:right w:val="nil"/>
            </w:tcBorders>
            <w:shd w:val="clear" w:color="auto" w:fill="auto"/>
            <w:vAlign w:val="center"/>
            <w:hideMark/>
          </w:tcPr>
          <w:p w14:paraId="45CFDDDF"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13,894 </w:t>
            </w:r>
          </w:p>
        </w:tc>
        <w:tc>
          <w:tcPr>
            <w:tcW w:w="916" w:type="dxa"/>
            <w:tcBorders>
              <w:top w:val="nil"/>
              <w:left w:val="nil"/>
              <w:bottom w:val="nil"/>
              <w:right w:val="nil"/>
            </w:tcBorders>
            <w:shd w:val="clear" w:color="auto" w:fill="auto"/>
            <w:vAlign w:val="center"/>
            <w:hideMark/>
          </w:tcPr>
          <w:p w14:paraId="527F9545" w14:textId="0CBBD3DC" w:rsidR="00A53E2D" w:rsidRPr="00F51109" w:rsidRDefault="00A53E2D" w:rsidP="00E85896">
            <w:pPr>
              <w:jc w:val="right"/>
              <w:rPr>
                <w:b/>
                <w:bCs/>
                <w:color w:val="008EBA"/>
                <w:sz w:val="16"/>
                <w:szCs w:val="16"/>
                <w:lang w:eastAsia="ko-KR"/>
              </w:rPr>
            </w:pPr>
            <w:r w:rsidRPr="00F51109">
              <w:rPr>
                <w:b/>
                <w:bCs/>
                <w:color w:val="008EBA"/>
                <w:sz w:val="16"/>
                <w:szCs w:val="16"/>
                <w:lang w:eastAsia="ko-KR"/>
              </w:rPr>
              <w:t xml:space="preserve">20,959 </w:t>
            </w:r>
          </w:p>
        </w:tc>
        <w:tc>
          <w:tcPr>
            <w:tcW w:w="901" w:type="dxa"/>
            <w:tcBorders>
              <w:top w:val="nil"/>
              <w:left w:val="nil"/>
              <w:bottom w:val="nil"/>
              <w:right w:val="nil"/>
            </w:tcBorders>
            <w:shd w:val="clear" w:color="auto" w:fill="auto"/>
            <w:vAlign w:val="center"/>
            <w:hideMark/>
          </w:tcPr>
          <w:p w14:paraId="038E4911"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17,060 </w:t>
            </w:r>
          </w:p>
        </w:tc>
        <w:tc>
          <w:tcPr>
            <w:tcW w:w="870" w:type="dxa"/>
            <w:gridSpan w:val="2"/>
            <w:tcBorders>
              <w:top w:val="nil"/>
              <w:left w:val="nil"/>
              <w:bottom w:val="nil"/>
              <w:right w:val="nil"/>
            </w:tcBorders>
            <w:shd w:val="clear" w:color="auto" w:fill="auto"/>
            <w:vAlign w:val="center"/>
            <w:hideMark/>
          </w:tcPr>
          <w:p w14:paraId="0495D238"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15,131 </w:t>
            </w:r>
          </w:p>
        </w:tc>
        <w:tc>
          <w:tcPr>
            <w:tcW w:w="1046" w:type="dxa"/>
            <w:gridSpan w:val="2"/>
            <w:tcBorders>
              <w:top w:val="nil"/>
              <w:left w:val="nil"/>
              <w:bottom w:val="nil"/>
              <w:right w:val="nil"/>
            </w:tcBorders>
            <w:shd w:val="clear" w:color="auto" w:fill="auto"/>
            <w:vAlign w:val="center"/>
            <w:hideMark/>
          </w:tcPr>
          <w:p w14:paraId="02AE54F0"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15,073 </w:t>
            </w:r>
          </w:p>
        </w:tc>
      </w:tr>
      <w:tr w:rsidR="00A53E2D" w:rsidRPr="00F51109" w14:paraId="5D13D603" w14:textId="77777777" w:rsidTr="00E85896">
        <w:trPr>
          <w:trHeight w:val="283"/>
        </w:trPr>
        <w:tc>
          <w:tcPr>
            <w:tcW w:w="4337" w:type="dxa"/>
            <w:tcBorders>
              <w:top w:val="nil"/>
              <w:left w:val="nil"/>
              <w:bottom w:val="nil"/>
              <w:right w:val="nil"/>
            </w:tcBorders>
            <w:shd w:val="clear" w:color="auto" w:fill="auto"/>
            <w:vAlign w:val="center"/>
            <w:hideMark/>
          </w:tcPr>
          <w:p w14:paraId="2D563F91"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Net Increase/(Decrease) in Cash Held</w:t>
            </w:r>
          </w:p>
        </w:tc>
        <w:tc>
          <w:tcPr>
            <w:tcW w:w="903" w:type="dxa"/>
            <w:tcBorders>
              <w:top w:val="single" w:sz="4" w:space="0" w:color="auto"/>
              <w:left w:val="nil"/>
              <w:bottom w:val="single" w:sz="4" w:space="0" w:color="auto"/>
              <w:right w:val="nil"/>
            </w:tcBorders>
            <w:shd w:val="clear" w:color="auto" w:fill="auto"/>
            <w:vAlign w:val="center"/>
            <w:hideMark/>
          </w:tcPr>
          <w:p w14:paraId="60D168D4"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(2,357)</w:t>
            </w:r>
          </w:p>
        </w:tc>
        <w:tc>
          <w:tcPr>
            <w:tcW w:w="916" w:type="dxa"/>
            <w:tcBorders>
              <w:top w:val="single" w:sz="4" w:space="0" w:color="auto"/>
              <w:left w:val="nil"/>
              <w:bottom w:val="single" w:sz="4" w:space="0" w:color="auto"/>
              <w:right w:val="nil"/>
            </w:tcBorders>
            <w:shd w:val="clear" w:color="auto" w:fill="auto"/>
            <w:vAlign w:val="center"/>
            <w:hideMark/>
          </w:tcPr>
          <w:p w14:paraId="5CAF6DF9"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(697)</w:t>
            </w:r>
          </w:p>
        </w:tc>
        <w:tc>
          <w:tcPr>
            <w:tcW w:w="916" w:type="dxa"/>
            <w:tcBorders>
              <w:top w:val="single" w:sz="4" w:space="0" w:color="auto"/>
              <w:left w:val="nil"/>
              <w:bottom w:val="single" w:sz="4" w:space="0" w:color="auto"/>
              <w:right w:val="nil"/>
            </w:tcBorders>
            <w:shd w:val="clear" w:color="auto" w:fill="auto"/>
            <w:vAlign w:val="center"/>
            <w:hideMark/>
          </w:tcPr>
          <w:p w14:paraId="511AC4F2"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(2,384)</w:t>
            </w:r>
          </w:p>
        </w:tc>
        <w:tc>
          <w:tcPr>
            <w:tcW w:w="901" w:type="dxa"/>
            <w:tcBorders>
              <w:top w:val="single" w:sz="4" w:space="0" w:color="auto"/>
              <w:left w:val="nil"/>
              <w:bottom w:val="single" w:sz="4" w:space="0" w:color="auto"/>
              <w:right w:val="nil"/>
            </w:tcBorders>
            <w:shd w:val="clear" w:color="auto" w:fill="auto"/>
            <w:vAlign w:val="center"/>
            <w:hideMark/>
          </w:tcPr>
          <w:p w14:paraId="0B024971" w14:textId="48551C08"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 xml:space="preserve">208 </w:t>
            </w:r>
          </w:p>
        </w:tc>
        <w:tc>
          <w:tcPr>
            <w:tcW w:w="870" w:type="dxa"/>
            <w:gridSpan w:val="2"/>
            <w:tcBorders>
              <w:top w:val="single" w:sz="4" w:space="0" w:color="auto"/>
              <w:left w:val="nil"/>
              <w:bottom w:val="single" w:sz="4" w:space="0" w:color="auto"/>
              <w:right w:val="nil"/>
            </w:tcBorders>
            <w:shd w:val="clear" w:color="auto" w:fill="auto"/>
            <w:vAlign w:val="center"/>
            <w:hideMark/>
          </w:tcPr>
          <w:p w14:paraId="71C81923"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(97)</w:t>
            </w:r>
          </w:p>
        </w:tc>
        <w:tc>
          <w:tcPr>
            <w:tcW w:w="1046" w:type="dxa"/>
            <w:gridSpan w:val="2"/>
            <w:tcBorders>
              <w:top w:val="single" w:sz="4" w:space="0" w:color="auto"/>
              <w:left w:val="nil"/>
              <w:bottom w:val="single" w:sz="4" w:space="0" w:color="auto"/>
              <w:right w:val="nil"/>
            </w:tcBorders>
            <w:shd w:val="clear" w:color="auto" w:fill="auto"/>
            <w:vAlign w:val="center"/>
            <w:hideMark/>
          </w:tcPr>
          <w:p w14:paraId="2479508C"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(57)</w:t>
            </w:r>
          </w:p>
        </w:tc>
      </w:tr>
      <w:tr w:rsidR="00A53E2D" w:rsidRPr="00F51109" w14:paraId="489FB0A0" w14:textId="77777777" w:rsidTr="00E85896">
        <w:trPr>
          <w:trHeight w:val="288"/>
        </w:trPr>
        <w:tc>
          <w:tcPr>
            <w:tcW w:w="4337" w:type="dxa"/>
            <w:tcBorders>
              <w:top w:val="nil"/>
              <w:left w:val="nil"/>
              <w:bottom w:val="nil"/>
              <w:right w:val="nil"/>
            </w:tcBorders>
            <w:shd w:val="clear" w:color="auto" w:fill="auto"/>
            <w:vAlign w:val="bottom"/>
            <w:hideMark/>
          </w:tcPr>
          <w:p w14:paraId="5D06120C" w14:textId="77777777" w:rsidR="00A53E2D" w:rsidRPr="00F51109" w:rsidRDefault="00A53E2D" w:rsidP="00E85896">
            <w:pPr>
              <w:rPr>
                <w:b/>
                <w:bCs/>
                <w:color w:val="000000"/>
                <w:sz w:val="16"/>
                <w:szCs w:val="16"/>
                <w:lang w:eastAsia="ko-KR"/>
              </w:rPr>
            </w:pPr>
            <w:r w:rsidRPr="00F51109">
              <w:rPr>
                <w:b/>
                <w:bCs/>
                <w:color w:val="000000"/>
                <w:sz w:val="16"/>
                <w:szCs w:val="16"/>
                <w:lang w:eastAsia="ko-KR"/>
              </w:rPr>
              <w:t>Derivation of Cash Result</w:t>
            </w:r>
          </w:p>
        </w:tc>
        <w:tc>
          <w:tcPr>
            <w:tcW w:w="903" w:type="dxa"/>
            <w:tcBorders>
              <w:top w:val="nil"/>
              <w:left w:val="nil"/>
              <w:bottom w:val="nil"/>
              <w:right w:val="nil"/>
            </w:tcBorders>
            <w:shd w:val="clear" w:color="auto" w:fill="auto"/>
            <w:vAlign w:val="bottom"/>
            <w:hideMark/>
          </w:tcPr>
          <w:p w14:paraId="4CEF31D9" w14:textId="77777777" w:rsidR="00A53E2D" w:rsidRPr="00DC0DBB" w:rsidRDefault="00A53E2D" w:rsidP="00E85896">
            <w:pPr>
              <w:rPr>
                <w:b/>
                <w:bCs/>
                <w:color w:val="A6A6A6" w:themeColor="background1" w:themeShade="A6"/>
                <w:sz w:val="16"/>
                <w:szCs w:val="16"/>
                <w:lang w:eastAsia="ko-KR"/>
              </w:rPr>
            </w:pPr>
          </w:p>
        </w:tc>
        <w:tc>
          <w:tcPr>
            <w:tcW w:w="916" w:type="dxa"/>
            <w:tcBorders>
              <w:top w:val="nil"/>
              <w:left w:val="nil"/>
              <w:bottom w:val="nil"/>
              <w:right w:val="nil"/>
            </w:tcBorders>
            <w:shd w:val="clear" w:color="auto" w:fill="auto"/>
            <w:vAlign w:val="bottom"/>
            <w:hideMark/>
          </w:tcPr>
          <w:p w14:paraId="0F58235B" w14:textId="77777777" w:rsidR="00A53E2D" w:rsidRPr="00F51109" w:rsidRDefault="00A53E2D" w:rsidP="00E85896">
            <w:pPr>
              <w:jc w:val="right"/>
              <w:rPr>
                <w:lang w:eastAsia="ko-KR"/>
              </w:rPr>
            </w:pPr>
          </w:p>
        </w:tc>
        <w:tc>
          <w:tcPr>
            <w:tcW w:w="916" w:type="dxa"/>
            <w:tcBorders>
              <w:top w:val="nil"/>
              <w:left w:val="nil"/>
              <w:bottom w:val="nil"/>
              <w:right w:val="nil"/>
            </w:tcBorders>
            <w:shd w:val="clear" w:color="auto" w:fill="auto"/>
            <w:vAlign w:val="bottom"/>
            <w:hideMark/>
          </w:tcPr>
          <w:p w14:paraId="43512583" w14:textId="77777777" w:rsidR="00A53E2D" w:rsidRPr="00F51109" w:rsidRDefault="00A53E2D" w:rsidP="00E85896">
            <w:pPr>
              <w:jc w:val="right"/>
              <w:rPr>
                <w:lang w:eastAsia="ko-KR"/>
              </w:rPr>
            </w:pPr>
          </w:p>
        </w:tc>
        <w:tc>
          <w:tcPr>
            <w:tcW w:w="901" w:type="dxa"/>
            <w:tcBorders>
              <w:top w:val="nil"/>
              <w:left w:val="nil"/>
              <w:bottom w:val="nil"/>
              <w:right w:val="nil"/>
            </w:tcBorders>
            <w:shd w:val="clear" w:color="auto" w:fill="auto"/>
            <w:vAlign w:val="bottom"/>
            <w:hideMark/>
          </w:tcPr>
          <w:p w14:paraId="1B18E90F" w14:textId="77777777" w:rsidR="00A53E2D" w:rsidRPr="00DC0DBB" w:rsidRDefault="00A53E2D" w:rsidP="00E85896">
            <w:pPr>
              <w:jc w:val="right"/>
              <w:rPr>
                <w:color w:val="A6A6A6" w:themeColor="background1" w:themeShade="A6"/>
                <w:lang w:eastAsia="ko-KR"/>
              </w:rPr>
            </w:pPr>
          </w:p>
        </w:tc>
        <w:tc>
          <w:tcPr>
            <w:tcW w:w="870" w:type="dxa"/>
            <w:gridSpan w:val="2"/>
            <w:tcBorders>
              <w:top w:val="nil"/>
              <w:left w:val="nil"/>
              <w:bottom w:val="nil"/>
              <w:right w:val="nil"/>
            </w:tcBorders>
            <w:shd w:val="clear" w:color="auto" w:fill="auto"/>
            <w:vAlign w:val="bottom"/>
            <w:hideMark/>
          </w:tcPr>
          <w:p w14:paraId="25B1AF74" w14:textId="77777777" w:rsidR="00A53E2D" w:rsidRPr="00DC0DBB" w:rsidRDefault="00A53E2D" w:rsidP="00E85896">
            <w:pPr>
              <w:jc w:val="right"/>
              <w:rPr>
                <w:color w:val="A6A6A6" w:themeColor="background1" w:themeShade="A6"/>
                <w:lang w:eastAsia="ko-KR"/>
              </w:rPr>
            </w:pPr>
          </w:p>
        </w:tc>
        <w:tc>
          <w:tcPr>
            <w:tcW w:w="1046" w:type="dxa"/>
            <w:gridSpan w:val="2"/>
            <w:tcBorders>
              <w:top w:val="nil"/>
              <w:left w:val="nil"/>
              <w:bottom w:val="nil"/>
              <w:right w:val="nil"/>
            </w:tcBorders>
            <w:shd w:val="clear" w:color="auto" w:fill="auto"/>
            <w:vAlign w:val="bottom"/>
            <w:hideMark/>
          </w:tcPr>
          <w:p w14:paraId="2CA4C82A" w14:textId="77777777" w:rsidR="00A53E2D" w:rsidRPr="00DC0DBB" w:rsidRDefault="00A53E2D" w:rsidP="00E85896">
            <w:pPr>
              <w:jc w:val="right"/>
              <w:rPr>
                <w:color w:val="A6A6A6" w:themeColor="background1" w:themeShade="A6"/>
                <w:lang w:eastAsia="ko-KR"/>
              </w:rPr>
            </w:pPr>
          </w:p>
        </w:tc>
      </w:tr>
      <w:tr w:rsidR="00A53E2D" w:rsidRPr="00F51109" w14:paraId="1DB00E2D" w14:textId="77777777" w:rsidTr="00E85896">
        <w:trPr>
          <w:trHeight w:val="227"/>
        </w:trPr>
        <w:tc>
          <w:tcPr>
            <w:tcW w:w="4337" w:type="dxa"/>
            <w:tcBorders>
              <w:top w:val="nil"/>
              <w:left w:val="nil"/>
              <w:bottom w:val="nil"/>
              <w:right w:val="nil"/>
            </w:tcBorders>
            <w:shd w:val="clear" w:color="auto" w:fill="auto"/>
            <w:vAlign w:val="bottom"/>
            <w:hideMark/>
          </w:tcPr>
          <w:p w14:paraId="3147BAE6" w14:textId="77777777" w:rsidR="00A53E2D" w:rsidRPr="00F51109" w:rsidRDefault="00A53E2D" w:rsidP="00E85896">
            <w:pPr>
              <w:rPr>
                <w:color w:val="000000"/>
                <w:sz w:val="16"/>
                <w:szCs w:val="16"/>
                <w:lang w:eastAsia="ko-KR"/>
              </w:rPr>
            </w:pPr>
            <w:r w:rsidRPr="00F51109">
              <w:rPr>
                <w:color w:val="000000"/>
                <w:sz w:val="16"/>
                <w:szCs w:val="16"/>
                <w:lang w:eastAsia="ko-KR"/>
              </w:rPr>
              <w:t>Net Cash Flows From Operating Activities</w:t>
            </w:r>
          </w:p>
        </w:tc>
        <w:tc>
          <w:tcPr>
            <w:tcW w:w="903" w:type="dxa"/>
            <w:tcBorders>
              <w:top w:val="nil"/>
              <w:left w:val="nil"/>
              <w:bottom w:val="nil"/>
              <w:right w:val="nil"/>
            </w:tcBorders>
            <w:shd w:val="clear" w:color="auto" w:fill="auto"/>
            <w:vAlign w:val="bottom"/>
            <w:hideMark/>
          </w:tcPr>
          <w:p w14:paraId="27D9DC0D"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916 </w:t>
            </w:r>
          </w:p>
        </w:tc>
        <w:tc>
          <w:tcPr>
            <w:tcW w:w="916" w:type="dxa"/>
            <w:tcBorders>
              <w:top w:val="nil"/>
              <w:left w:val="nil"/>
              <w:bottom w:val="nil"/>
              <w:right w:val="nil"/>
            </w:tcBorders>
            <w:shd w:val="clear" w:color="auto" w:fill="auto"/>
            <w:vAlign w:val="bottom"/>
            <w:hideMark/>
          </w:tcPr>
          <w:p w14:paraId="6BDBB809" w14:textId="77777777" w:rsidR="00A53E2D" w:rsidRPr="00F51109" w:rsidRDefault="00A53E2D" w:rsidP="00E85896">
            <w:pPr>
              <w:jc w:val="right"/>
              <w:rPr>
                <w:color w:val="000000"/>
                <w:sz w:val="16"/>
                <w:szCs w:val="16"/>
                <w:lang w:eastAsia="ko-KR"/>
              </w:rPr>
            </w:pPr>
            <w:r w:rsidRPr="00F51109">
              <w:rPr>
                <w:color w:val="000000"/>
                <w:sz w:val="16"/>
                <w:szCs w:val="16"/>
                <w:lang w:eastAsia="ko-KR"/>
              </w:rPr>
              <w:t>(5,563)</w:t>
            </w:r>
          </w:p>
        </w:tc>
        <w:tc>
          <w:tcPr>
            <w:tcW w:w="916" w:type="dxa"/>
            <w:tcBorders>
              <w:top w:val="nil"/>
              <w:left w:val="nil"/>
              <w:bottom w:val="nil"/>
              <w:right w:val="nil"/>
            </w:tcBorders>
            <w:shd w:val="clear" w:color="auto" w:fill="auto"/>
            <w:vAlign w:val="bottom"/>
            <w:hideMark/>
          </w:tcPr>
          <w:p w14:paraId="67301EE3" w14:textId="77777777" w:rsidR="00A53E2D" w:rsidRPr="00F51109" w:rsidRDefault="00A53E2D" w:rsidP="00E85896">
            <w:pPr>
              <w:jc w:val="right"/>
              <w:rPr>
                <w:color w:val="000000"/>
                <w:sz w:val="16"/>
                <w:szCs w:val="16"/>
                <w:lang w:eastAsia="ko-KR"/>
              </w:rPr>
            </w:pPr>
            <w:r w:rsidRPr="00F51109">
              <w:rPr>
                <w:color w:val="000000"/>
                <w:sz w:val="16"/>
                <w:szCs w:val="16"/>
                <w:lang w:eastAsia="ko-KR"/>
              </w:rPr>
              <w:t>(2,699)</w:t>
            </w:r>
          </w:p>
        </w:tc>
        <w:tc>
          <w:tcPr>
            <w:tcW w:w="901" w:type="dxa"/>
            <w:tcBorders>
              <w:top w:val="nil"/>
              <w:left w:val="nil"/>
              <w:bottom w:val="nil"/>
              <w:right w:val="nil"/>
            </w:tcBorders>
            <w:shd w:val="clear" w:color="auto" w:fill="auto"/>
            <w:vAlign w:val="bottom"/>
            <w:hideMark/>
          </w:tcPr>
          <w:p w14:paraId="3C1DE0C7"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3,834 </w:t>
            </w:r>
          </w:p>
        </w:tc>
        <w:tc>
          <w:tcPr>
            <w:tcW w:w="870" w:type="dxa"/>
            <w:gridSpan w:val="2"/>
            <w:tcBorders>
              <w:top w:val="nil"/>
              <w:left w:val="nil"/>
              <w:bottom w:val="nil"/>
              <w:right w:val="nil"/>
            </w:tcBorders>
            <w:shd w:val="clear" w:color="auto" w:fill="auto"/>
            <w:vAlign w:val="bottom"/>
            <w:hideMark/>
          </w:tcPr>
          <w:p w14:paraId="614504DD" w14:textId="3D6B574C"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6,620 </w:t>
            </w:r>
          </w:p>
        </w:tc>
        <w:tc>
          <w:tcPr>
            <w:tcW w:w="1046" w:type="dxa"/>
            <w:gridSpan w:val="2"/>
            <w:tcBorders>
              <w:top w:val="nil"/>
              <w:left w:val="nil"/>
              <w:bottom w:val="nil"/>
              <w:right w:val="nil"/>
            </w:tcBorders>
            <w:shd w:val="clear" w:color="auto" w:fill="auto"/>
            <w:vAlign w:val="bottom"/>
            <w:hideMark/>
          </w:tcPr>
          <w:p w14:paraId="2FD87292"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 xml:space="preserve">8,297 </w:t>
            </w:r>
          </w:p>
        </w:tc>
      </w:tr>
      <w:tr w:rsidR="00A53E2D" w:rsidRPr="00F51109" w14:paraId="7434D142" w14:textId="77777777" w:rsidTr="00E85896">
        <w:trPr>
          <w:trHeight w:val="227"/>
        </w:trPr>
        <w:tc>
          <w:tcPr>
            <w:tcW w:w="4337" w:type="dxa"/>
            <w:tcBorders>
              <w:top w:val="nil"/>
              <w:left w:val="nil"/>
              <w:bottom w:val="nil"/>
              <w:right w:val="nil"/>
            </w:tcBorders>
            <w:shd w:val="clear" w:color="auto" w:fill="auto"/>
            <w:noWrap/>
            <w:vAlign w:val="bottom"/>
            <w:hideMark/>
          </w:tcPr>
          <w:p w14:paraId="061CA49A" w14:textId="77777777" w:rsidR="00A53E2D" w:rsidRPr="00F51109" w:rsidRDefault="00A53E2D" w:rsidP="00E85896">
            <w:pPr>
              <w:ind w:right="-136"/>
              <w:rPr>
                <w:color w:val="000000"/>
                <w:sz w:val="16"/>
                <w:szCs w:val="16"/>
                <w:lang w:eastAsia="ko-KR"/>
              </w:rPr>
            </w:pPr>
            <w:r w:rsidRPr="00F51109">
              <w:rPr>
                <w:color w:val="000000"/>
                <w:sz w:val="16"/>
                <w:szCs w:val="16"/>
                <w:lang w:eastAsia="ko-KR"/>
              </w:rPr>
              <w:t>Net Cash Flows from Investments in Non-Financial Assets</w:t>
            </w:r>
          </w:p>
        </w:tc>
        <w:tc>
          <w:tcPr>
            <w:tcW w:w="903" w:type="dxa"/>
            <w:tcBorders>
              <w:top w:val="nil"/>
              <w:left w:val="nil"/>
              <w:bottom w:val="nil"/>
              <w:right w:val="nil"/>
            </w:tcBorders>
            <w:shd w:val="clear" w:color="auto" w:fill="auto"/>
            <w:vAlign w:val="bottom"/>
            <w:hideMark/>
          </w:tcPr>
          <w:p w14:paraId="13E349AB"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(16,090)</w:t>
            </w:r>
          </w:p>
        </w:tc>
        <w:tc>
          <w:tcPr>
            <w:tcW w:w="916" w:type="dxa"/>
            <w:tcBorders>
              <w:top w:val="nil"/>
              <w:left w:val="nil"/>
              <w:bottom w:val="nil"/>
              <w:right w:val="nil"/>
            </w:tcBorders>
            <w:shd w:val="clear" w:color="auto" w:fill="auto"/>
            <w:vAlign w:val="bottom"/>
            <w:hideMark/>
          </w:tcPr>
          <w:p w14:paraId="118DCE8F" w14:textId="77777777" w:rsidR="00A53E2D" w:rsidRPr="00F51109" w:rsidRDefault="00A53E2D" w:rsidP="00E85896">
            <w:pPr>
              <w:jc w:val="right"/>
              <w:rPr>
                <w:color w:val="000000"/>
                <w:sz w:val="16"/>
                <w:szCs w:val="16"/>
                <w:lang w:eastAsia="ko-KR"/>
              </w:rPr>
            </w:pPr>
            <w:r w:rsidRPr="00F51109">
              <w:rPr>
                <w:color w:val="000000"/>
                <w:sz w:val="16"/>
                <w:szCs w:val="16"/>
                <w:lang w:eastAsia="ko-KR"/>
              </w:rPr>
              <w:t>(18,286)</w:t>
            </w:r>
          </w:p>
        </w:tc>
        <w:tc>
          <w:tcPr>
            <w:tcW w:w="916" w:type="dxa"/>
            <w:tcBorders>
              <w:top w:val="nil"/>
              <w:left w:val="nil"/>
              <w:bottom w:val="nil"/>
              <w:right w:val="nil"/>
            </w:tcBorders>
            <w:shd w:val="clear" w:color="auto" w:fill="auto"/>
            <w:vAlign w:val="bottom"/>
            <w:hideMark/>
          </w:tcPr>
          <w:p w14:paraId="083A0896" w14:textId="77777777" w:rsidR="00A53E2D" w:rsidRPr="00F51109" w:rsidRDefault="00A53E2D" w:rsidP="00E85896">
            <w:pPr>
              <w:jc w:val="right"/>
              <w:rPr>
                <w:color w:val="000000"/>
                <w:sz w:val="16"/>
                <w:szCs w:val="16"/>
                <w:lang w:eastAsia="ko-KR"/>
              </w:rPr>
            </w:pPr>
            <w:r w:rsidRPr="00F51109">
              <w:rPr>
                <w:color w:val="000000"/>
                <w:sz w:val="16"/>
                <w:szCs w:val="16"/>
                <w:lang w:eastAsia="ko-KR"/>
              </w:rPr>
              <w:t>(21,257)</w:t>
            </w:r>
          </w:p>
        </w:tc>
        <w:tc>
          <w:tcPr>
            <w:tcW w:w="901" w:type="dxa"/>
            <w:tcBorders>
              <w:top w:val="nil"/>
              <w:left w:val="nil"/>
              <w:bottom w:val="nil"/>
              <w:right w:val="nil"/>
            </w:tcBorders>
            <w:shd w:val="clear" w:color="auto" w:fill="auto"/>
            <w:vAlign w:val="bottom"/>
            <w:hideMark/>
          </w:tcPr>
          <w:p w14:paraId="356824A8"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(17,466)</w:t>
            </w:r>
          </w:p>
        </w:tc>
        <w:tc>
          <w:tcPr>
            <w:tcW w:w="870" w:type="dxa"/>
            <w:gridSpan w:val="2"/>
            <w:tcBorders>
              <w:top w:val="nil"/>
              <w:left w:val="nil"/>
              <w:bottom w:val="nil"/>
              <w:right w:val="nil"/>
            </w:tcBorders>
            <w:shd w:val="clear" w:color="auto" w:fill="auto"/>
            <w:vAlign w:val="bottom"/>
            <w:hideMark/>
          </w:tcPr>
          <w:p w14:paraId="7753036A" w14:textId="14FF06CF"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(19,264)</w:t>
            </w:r>
          </w:p>
        </w:tc>
        <w:tc>
          <w:tcPr>
            <w:tcW w:w="1046" w:type="dxa"/>
            <w:gridSpan w:val="2"/>
            <w:tcBorders>
              <w:top w:val="nil"/>
              <w:left w:val="nil"/>
              <w:bottom w:val="nil"/>
              <w:right w:val="nil"/>
            </w:tcBorders>
            <w:shd w:val="clear" w:color="auto" w:fill="auto"/>
            <w:vAlign w:val="bottom"/>
            <w:hideMark/>
          </w:tcPr>
          <w:p w14:paraId="46B6F72A" w14:textId="77777777" w:rsidR="00A53E2D" w:rsidRPr="00DC0DBB" w:rsidRDefault="00A53E2D" w:rsidP="00E85896">
            <w:pPr>
              <w:jc w:val="right"/>
              <w:rPr>
                <w:color w:val="A6A6A6" w:themeColor="background1" w:themeShade="A6"/>
                <w:sz w:val="16"/>
                <w:szCs w:val="16"/>
                <w:lang w:eastAsia="ko-KR"/>
              </w:rPr>
            </w:pPr>
            <w:r w:rsidRPr="00DC0DBB">
              <w:rPr>
                <w:color w:val="A6A6A6" w:themeColor="background1" w:themeShade="A6"/>
                <w:sz w:val="16"/>
                <w:szCs w:val="16"/>
                <w:lang w:eastAsia="ko-KR"/>
              </w:rPr>
              <w:t>(20,130)</w:t>
            </w:r>
          </w:p>
        </w:tc>
      </w:tr>
      <w:tr w:rsidR="00A53E2D" w:rsidRPr="00F51109" w14:paraId="2CC1FE2B" w14:textId="77777777" w:rsidTr="00E85896">
        <w:trPr>
          <w:trHeight w:val="340"/>
        </w:trPr>
        <w:tc>
          <w:tcPr>
            <w:tcW w:w="4337" w:type="dxa"/>
            <w:tcBorders>
              <w:top w:val="single" w:sz="4" w:space="0" w:color="auto"/>
              <w:left w:val="nil"/>
              <w:bottom w:val="single" w:sz="4" w:space="0" w:color="auto"/>
              <w:right w:val="nil"/>
            </w:tcBorders>
            <w:shd w:val="clear" w:color="auto" w:fill="auto"/>
            <w:vAlign w:val="center"/>
            <w:hideMark/>
          </w:tcPr>
          <w:p w14:paraId="294CCA5D" w14:textId="77777777" w:rsidR="00A53E2D" w:rsidRPr="00F51109" w:rsidRDefault="00A53E2D" w:rsidP="00E85896">
            <w:pPr>
              <w:rPr>
                <w:b/>
                <w:bCs/>
                <w:color w:val="008EBA"/>
                <w:sz w:val="16"/>
                <w:szCs w:val="16"/>
                <w:lang w:eastAsia="ko-KR"/>
              </w:rPr>
            </w:pPr>
            <w:r w:rsidRPr="00F51109">
              <w:rPr>
                <w:b/>
                <w:bCs/>
                <w:color w:val="008EBA"/>
                <w:sz w:val="16"/>
                <w:szCs w:val="16"/>
                <w:lang w:eastAsia="ko-KR"/>
              </w:rPr>
              <w:t>Cash Surplus/(Deficit)</w:t>
            </w:r>
          </w:p>
        </w:tc>
        <w:tc>
          <w:tcPr>
            <w:tcW w:w="903" w:type="dxa"/>
            <w:tcBorders>
              <w:top w:val="single" w:sz="4" w:space="0" w:color="auto"/>
              <w:left w:val="nil"/>
              <w:bottom w:val="single" w:sz="4" w:space="0" w:color="auto"/>
              <w:right w:val="nil"/>
            </w:tcBorders>
            <w:shd w:val="clear" w:color="auto" w:fill="auto"/>
            <w:vAlign w:val="center"/>
            <w:hideMark/>
          </w:tcPr>
          <w:p w14:paraId="01FC0F28"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(15,174)</w:t>
            </w:r>
          </w:p>
        </w:tc>
        <w:tc>
          <w:tcPr>
            <w:tcW w:w="916" w:type="dxa"/>
            <w:tcBorders>
              <w:top w:val="single" w:sz="4" w:space="0" w:color="auto"/>
              <w:left w:val="nil"/>
              <w:bottom w:val="single" w:sz="4" w:space="0" w:color="auto"/>
              <w:right w:val="nil"/>
            </w:tcBorders>
            <w:shd w:val="clear" w:color="auto" w:fill="auto"/>
            <w:vAlign w:val="center"/>
            <w:hideMark/>
          </w:tcPr>
          <w:p w14:paraId="3DDE1BF1"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(23,849)</w:t>
            </w:r>
          </w:p>
        </w:tc>
        <w:tc>
          <w:tcPr>
            <w:tcW w:w="916" w:type="dxa"/>
            <w:tcBorders>
              <w:top w:val="single" w:sz="4" w:space="0" w:color="auto"/>
              <w:left w:val="nil"/>
              <w:bottom w:val="single" w:sz="4" w:space="0" w:color="auto"/>
              <w:right w:val="nil"/>
            </w:tcBorders>
            <w:shd w:val="clear" w:color="auto" w:fill="auto"/>
            <w:vAlign w:val="center"/>
            <w:hideMark/>
          </w:tcPr>
          <w:p w14:paraId="0CE2BF0D" w14:textId="77777777" w:rsidR="00A53E2D" w:rsidRPr="00F51109" w:rsidRDefault="00A53E2D" w:rsidP="00E85896">
            <w:pPr>
              <w:jc w:val="right"/>
              <w:rPr>
                <w:b/>
                <w:bCs/>
                <w:color w:val="008EBA"/>
                <w:sz w:val="16"/>
                <w:szCs w:val="16"/>
                <w:lang w:eastAsia="ko-KR"/>
              </w:rPr>
            </w:pPr>
            <w:r w:rsidRPr="00F51109">
              <w:rPr>
                <w:b/>
                <w:bCs/>
                <w:color w:val="008EBA"/>
                <w:sz w:val="16"/>
                <w:szCs w:val="16"/>
                <w:lang w:eastAsia="ko-KR"/>
              </w:rPr>
              <w:t>(23,957)</w:t>
            </w:r>
          </w:p>
        </w:tc>
        <w:tc>
          <w:tcPr>
            <w:tcW w:w="901" w:type="dxa"/>
            <w:tcBorders>
              <w:top w:val="single" w:sz="4" w:space="0" w:color="auto"/>
              <w:left w:val="nil"/>
              <w:bottom w:val="single" w:sz="4" w:space="0" w:color="auto"/>
              <w:right w:val="nil"/>
            </w:tcBorders>
            <w:shd w:val="clear" w:color="auto" w:fill="auto"/>
            <w:vAlign w:val="center"/>
            <w:hideMark/>
          </w:tcPr>
          <w:p w14:paraId="71C81FAD"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(13,631)</w:t>
            </w:r>
          </w:p>
        </w:tc>
        <w:tc>
          <w:tcPr>
            <w:tcW w:w="870" w:type="dxa"/>
            <w:gridSpan w:val="2"/>
            <w:tcBorders>
              <w:top w:val="single" w:sz="4" w:space="0" w:color="auto"/>
              <w:left w:val="nil"/>
              <w:bottom w:val="single" w:sz="4" w:space="0" w:color="auto"/>
              <w:right w:val="nil"/>
            </w:tcBorders>
            <w:shd w:val="clear" w:color="auto" w:fill="auto"/>
            <w:vAlign w:val="center"/>
            <w:hideMark/>
          </w:tcPr>
          <w:p w14:paraId="25741467" w14:textId="61AA3B28"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(12,645)</w:t>
            </w:r>
          </w:p>
        </w:tc>
        <w:tc>
          <w:tcPr>
            <w:tcW w:w="1046" w:type="dxa"/>
            <w:gridSpan w:val="2"/>
            <w:tcBorders>
              <w:top w:val="single" w:sz="4" w:space="0" w:color="auto"/>
              <w:left w:val="nil"/>
              <w:bottom w:val="single" w:sz="4" w:space="0" w:color="auto"/>
              <w:right w:val="nil"/>
            </w:tcBorders>
            <w:shd w:val="clear" w:color="auto" w:fill="auto"/>
            <w:vAlign w:val="center"/>
            <w:hideMark/>
          </w:tcPr>
          <w:p w14:paraId="713F8443" w14:textId="77777777" w:rsidR="00A53E2D" w:rsidRPr="00DC0DBB" w:rsidRDefault="00A53E2D" w:rsidP="00E85896">
            <w:pPr>
              <w:jc w:val="right"/>
              <w:rPr>
                <w:b/>
                <w:bCs/>
                <w:color w:val="A6A6A6" w:themeColor="background1" w:themeShade="A6"/>
                <w:sz w:val="16"/>
                <w:szCs w:val="16"/>
                <w:lang w:eastAsia="ko-KR"/>
              </w:rPr>
            </w:pPr>
            <w:r w:rsidRPr="00DC0DBB">
              <w:rPr>
                <w:b/>
                <w:bCs/>
                <w:color w:val="A6A6A6" w:themeColor="background1" w:themeShade="A6"/>
                <w:sz w:val="16"/>
                <w:szCs w:val="16"/>
                <w:lang w:eastAsia="ko-KR"/>
              </w:rPr>
              <w:t>(11,833)</w:t>
            </w:r>
          </w:p>
        </w:tc>
      </w:tr>
    </w:tbl>
    <w:p w14:paraId="29408CF7" w14:textId="77777777" w:rsidR="00A53E2D" w:rsidRPr="008C5BD0" w:rsidRDefault="00A53E2D" w:rsidP="00A53E2D">
      <w:pPr>
        <w:rPr>
          <w:sz w:val="6"/>
          <w:szCs w:val="6"/>
        </w:rPr>
      </w:pPr>
    </w:p>
    <w:p w14:paraId="57796E0E" w14:textId="77777777" w:rsidR="003A1E89" w:rsidRPr="003A1E89" w:rsidRDefault="003A1E89" w:rsidP="003A1E89">
      <w:pPr>
        <w:widowControl/>
        <w:tabs>
          <w:tab w:val="clear" w:pos="4196"/>
          <w:tab w:val="clear" w:pos="5046"/>
          <w:tab w:val="clear" w:pos="5897"/>
          <w:tab w:val="clear" w:pos="6747"/>
          <w:tab w:val="clear" w:pos="7598"/>
        </w:tabs>
        <w:autoSpaceDE/>
        <w:autoSpaceDN/>
        <w:rPr>
          <w:bCs/>
          <w:color w:val="44546A" w:themeColor="text2"/>
          <w:kern w:val="28"/>
        </w:rPr>
      </w:pPr>
    </w:p>
    <w:p w14:paraId="70E210DB" w14:textId="2B7DEB0F" w:rsidR="005B1B1A" w:rsidRDefault="00135585">
      <w:pPr>
        <w:widowControl/>
        <w:tabs>
          <w:tab w:val="clear" w:pos="4196"/>
          <w:tab w:val="clear" w:pos="5046"/>
          <w:tab w:val="clear" w:pos="5897"/>
          <w:tab w:val="clear" w:pos="6747"/>
          <w:tab w:val="clear" w:pos="7598"/>
        </w:tabs>
        <w:autoSpaceDE/>
        <w:autoSpaceDN/>
        <w:rPr>
          <w:rFonts w:eastAsia="Calibri" w:cs="Times New Roman"/>
          <w:iCs/>
          <w:sz w:val="22"/>
          <w:szCs w:val="16"/>
          <w:lang w:val="en-US" w:eastAsia="ja-JP"/>
        </w:rPr>
      </w:pPr>
      <w:r w:rsidRPr="001122D0">
        <w:rPr>
          <w:noProof/>
        </w:rPr>
        <mc:AlternateContent>
          <mc:Choice Requires="wps">
            <w:drawing>
              <wp:anchor distT="0" distB="0" distL="114300" distR="114300" simplePos="0" relativeHeight="251658254" behindDoc="0" locked="0" layoutInCell="1" allowOverlap="1" wp14:anchorId="7BA8E6CB" wp14:editId="28D37B1B">
                <wp:simplePos x="0" y="0"/>
                <wp:positionH relativeFrom="column">
                  <wp:posOffset>4042410</wp:posOffset>
                </wp:positionH>
                <wp:positionV relativeFrom="paragraph">
                  <wp:posOffset>5403850</wp:posOffset>
                </wp:positionV>
                <wp:extent cx="1542415" cy="1510294"/>
                <wp:effectExtent l="209550" t="0" r="19685" b="13970"/>
                <wp:wrapNone/>
                <wp:docPr id="21" name="Speech Bubble: Rectangle with Corners Rounded 20">
                  <a:extLst xmlns:a="http://schemas.openxmlformats.org/drawingml/2006/main">
                    <a:ext uri="{FF2B5EF4-FFF2-40B4-BE49-F238E27FC236}">
                      <a16:creationId xmlns:a16="http://schemas.microsoft.com/office/drawing/2014/main" id="{527D6582-E107-4D7F-BE46-6ECBFB29CEF8}"/>
                    </a:ext>
                  </a:extLst>
                </wp:docPr>
                <wp:cNvGraphicFramePr/>
                <a:graphic xmlns:a="http://schemas.openxmlformats.org/drawingml/2006/main">
                  <a:graphicData uri="http://schemas.microsoft.com/office/word/2010/wordprocessingShape">
                    <wps:wsp>
                      <wps:cNvSpPr/>
                      <wps:spPr>
                        <a:xfrm>
                          <a:off x="0" y="0"/>
                          <a:ext cx="1542415" cy="1510294"/>
                        </a:xfrm>
                        <a:prstGeom prst="wedgeRoundRectCallout">
                          <a:avLst>
                            <a:gd name="adj1" fmla="val -61774"/>
                            <a:gd name="adj2" fmla="val 41043"/>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795BF5DC" w14:textId="77777777" w:rsidR="001122D0" w:rsidRDefault="001122D0" w:rsidP="001122D0">
                            <w:pPr>
                              <w:rPr>
                                <w:sz w:val="24"/>
                                <w:szCs w:val="24"/>
                              </w:rPr>
                            </w:pPr>
                            <w:r>
                              <w:rPr>
                                <w:b/>
                                <w:color w:val="44546A" w:themeColor="text2"/>
                                <w:kern w:val="24"/>
                                <w:sz w:val="18"/>
                                <w:szCs w:val="18"/>
                              </w:rPr>
                              <w:t>Cash result</w:t>
                            </w:r>
                          </w:p>
                          <w:p w14:paraId="57F3E890" w14:textId="77777777" w:rsidR="001122D0" w:rsidRDefault="001122D0" w:rsidP="001122D0">
                            <w:r>
                              <w:rPr>
                                <w:color w:val="44546A" w:themeColor="text2"/>
                                <w:kern w:val="24"/>
                                <w:sz w:val="18"/>
                                <w:szCs w:val="18"/>
                              </w:rPr>
                              <w:t>Is a key measure of the Government’s call on financial markets. It comprises of net cash from operating activities, plus net cash flows from sales and disposals of non-financial assets</w:t>
                            </w:r>
                          </w:p>
                        </w:txbxContent>
                      </wps:txbx>
                      <wps:bodyPr lIns="36000" tIns="36000" rIns="36000" bIns="36000" rtlCol="0" anchor="t">
                        <a:noAutofit/>
                      </wps:bodyPr>
                    </wps:wsp>
                  </a:graphicData>
                </a:graphic>
                <wp14:sizeRelV relativeFrom="margin">
                  <wp14:pctHeight>0</wp14:pctHeight>
                </wp14:sizeRelV>
              </wp:anchor>
            </w:drawing>
          </mc:Choice>
          <mc:Fallback>
            <w:pict>
              <v:shape w14:anchorId="7BA8E6CB" id="_x0000_s1086" type="#_x0000_t62" style="position:absolute;margin-left:318.3pt;margin-top:425.5pt;width:121.45pt;height:118.9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" adj="-2543,19665" fillcolor="#f2f2f2 [3052]" strokecolor="#44546a [3215]" strokeweight="1.75pt">
                <v:stroke dashstyle="3 1"/>
                <v:textbox inset="1mm,1mm,1mm,1mm">
                  <w:txbxContent>
                    <w:p w14:paraId="795BF5DC" w14:textId="77777777" w:rsidR="001122D0" w:rsidRDefault="001122D0" w:rsidP="001122D0">
                      <w:pPr>
                        <w:rPr>
                          <w:sz w:val="24"/>
                          <w:szCs w:val="24"/>
                        </w:rPr>
                      </w:pPr>
                      <w:r>
                        <w:rPr>
                          <w:b/>
                          <w:color w:val="44546A" w:themeColor="text2"/>
                          <w:kern w:val="24"/>
                          <w:sz w:val="18"/>
                          <w:szCs w:val="18"/>
                        </w:rPr>
                        <w:t>Cash result</w:t>
                      </w:r>
                    </w:p>
                    <w:p w14:paraId="57F3E890" w14:textId="77777777" w:rsidR="001122D0" w:rsidRDefault="001122D0" w:rsidP="001122D0">
                      <w:r>
                        <w:rPr>
                          <w:color w:val="44546A" w:themeColor="text2"/>
                          <w:kern w:val="24"/>
                          <w:sz w:val="18"/>
                          <w:szCs w:val="18"/>
                        </w:rPr>
                        <w:t>Is a key measure of the Government’s call on financial markets. It comprises of net cash from operating activities, plus net cash flows from sales and disposals of non-financial assets</w:t>
                      </w:r>
                    </w:p>
                  </w:txbxContent>
                </v:textbox>
              </v:shape>
            </w:pict>
          </mc:Fallback>
        </mc:AlternateContent>
      </w:r>
      <w:r w:rsidRPr="001122D0">
        <w:rPr>
          <w:noProof/>
        </w:rPr>
        <mc:AlternateContent>
          <mc:Choice Requires="wps">
            <w:drawing>
              <wp:anchor distT="0" distB="0" distL="114300" distR="114300" simplePos="0" relativeHeight="251658253" behindDoc="0" locked="0" layoutInCell="1" allowOverlap="1" wp14:anchorId="41F4583A" wp14:editId="7B669F24">
                <wp:simplePos x="0" y="0"/>
                <wp:positionH relativeFrom="column">
                  <wp:posOffset>3952240</wp:posOffset>
                </wp:positionH>
                <wp:positionV relativeFrom="paragraph">
                  <wp:posOffset>3404235</wp:posOffset>
                </wp:positionV>
                <wp:extent cx="1546860" cy="629393"/>
                <wp:effectExtent l="114300" t="0" r="15240" b="18415"/>
                <wp:wrapNone/>
                <wp:docPr id="28" name="Speech Bubble: Rectangle with Corners Rounded 15"/>
                <wp:cNvGraphicFramePr/>
                <a:graphic xmlns:a="http://schemas.openxmlformats.org/drawingml/2006/main">
                  <a:graphicData uri="http://schemas.microsoft.com/office/word/2010/wordprocessingShape">
                    <wps:wsp>
                      <wps:cNvSpPr/>
                      <wps:spPr>
                        <a:xfrm>
                          <a:off x="0" y="0"/>
                          <a:ext cx="1546860" cy="629393"/>
                        </a:xfrm>
                        <a:prstGeom prst="wedgeRoundRectCallout">
                          <a:avLst>
                            <a:gd name="adj1" fmla="val -56943"/>
                            <a:gd name="adj2" fmla="val -13796"/>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3DD39731" w14:textId="77777777" w:rsidR="001122D0" w:rsidRDefault="001122D0" w:rsidP="001122D0">
                            <w:pPr>
                              <w:rPr>
                                <w:sz w:val="24"/>
                                <w:szCs w:val="24"/>
                              </w:rPr>
                            </w:pPr>
                            <w:r>
                              <w:rPr>
                                <w:b/>
                                <w:color w:val="44546A" w:themeColor="text2"/>
                                <w:kern w:val="24"/>
                                <w:sz w:val="18"/>
                                <w:szCs w:val="18"/>
                              </w:rPr>
                              <w:t>Cash from asset sales minus asset purchases (incl. new infrastructure)</w:t>
                            </w:r>
                          </w:p>
                        </w:txbxContent>
                      </wps:txbx>
                      <wps:bodyPr lIns="36000" tIns="36000" rIns="36000" bIns="36000" rtlCol="0" anchor="t">
                        <a:noAutofit/>
                      </wps:bodyPr>
                    </wps:wsp>
                  </a:graphicData>
                </a:graphic>
                <wp14:sizeRelV relativeFrom="margin">
                  <wp14:pctHeight>0</wp14:pctHeight>
                </wp14:sizeRelV>
              </wp:anchor>
            </w:drawing>
          </mc:Choice>
          <mc:Fallback>
            <w:pict>
              <v:shape w14:anchorId="41F4583A" id="_x0000_s1087" type="#_x0000_t62" style="position:absolute;margin-left:311.2pt;margin-top:268.05pt;width:121.8pt;height:49.5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" adj="-1500,7820" fillcolor="#f2f2f2 [3052]" strokecolor="#44546a [3215]" strokeweight="1.75pt">
                <v:stroke dashstyle="3 1"/>
                <v:textbox inset="1mm,1mm,1mm,1mm">
                  <w:txbxContent>
                    <w:p w14:paraId="3DD39731" w14:textId="77777777" w:rsidR="001122D0" w:rsidRDefault="001122D0" w:rsidP="001122D0">
                      <w:pPr>
                        <w:rPr>
                          <w:sz w:val="24"/>
                          <w:szCs w:val="24"/>
                        </w:rPr>
                      </w:pPr>
                      <w:r>
                        <w:rPr>
                          <w:b/>
                          <w:color w:val="44546A" w:themeColor="text2"/>
                          <w:kern w:val="24"/>
                          <w:sz w:val="18"/>
                          <w:szCs w:val="18"/>
                        </w:rPr>
                        <w:t>Cash from asset sales minus asset purchases (incl. new infrastructure)</w:t>
                      </w:r>
                    </w:p>
                  </w:txbxContent>
                </v:textbox>
              </v:shape>
            </w:pict>
          </mc:Fallback>
        </mc:AlternateContent>
      </w:r>
      <w:r w:rsidR="00943B96" w:rsidRPr="001122D0">
        <w:rPr>
          <w:noProof/>
        </w:rPr>
        <mc:AlternateContent>
          <mc:Choice Requires="wps">
            <w:drawing>
              <wp:anchor distT="0" distB="0" distL="114300" distR="114300" simplePos="0" relativeHeight="251658252" behindDoc="0" locked="0" layoutInCell="1" allowOverlap="1" wp14:anchorId="3A930B8D" wp14:editId="5A05ADF1">
                <wp:simplePos x="0" y="0"/>
                <wp:positionH relativeFrom="column">
                  <wp:posOffset>3966210</wp:posOffset>
                </wp:positionH>
                <wp:positionV relativeFrom="paragraph">
                  <wp:posOffset>2389505</wp:posOffset>
                </wp:positionV>
                <wp:extent cx="1542415" cy="438150"/>
                <wp:effectExtent l="171450" t="0" r="19685" b="57150"/>
                <wp:wrapNone/>
                <wp:docPr id="27" name="Speech Bubble: Rectangle with Corners Rounded 11"/>
                <wp:cNvGraphicFramePr/>
                <a:graphic xmlns:a="http://schemas.openxmlformats.org/drawingml/2006/main">
                  <a:graphicData uri="http://schemas.microsoft.com/office/word/2010/wordprocessingShape">
                    <wps:wsp>
                      <wps:cNvSpPr/>
                      <wps:spPr>
                        <a:xfrm>
                          <a:off x="0" y="0"/>
                          <a:ext cx="1542415" cy="438150"/>
                        </a:xfrm>
                        <a:prstGeom prst="wedgeRoundRectCallout">
                          <a:avLst>
                            <a:gd name="adj1" fmla="val -58681"/>
                            <a:gd name="adj2" fmla="val 50273"/>
                            <a:gd name="adj3" fmla="val 16667"/>
                          </a:avLst>
                        </a:prstGeom>
                        <a:solidFill>
                          <a:schemeClr val="bg1">
                            <a:lumMod val="95000"/>
                          </a:schemeClr>
                        </a:solidFill>
                        <a:ln w="22225">
                          <a:solidFill>
                            <a:schemeClr val="tx2"/>
                          </a:solidFill>
                          <a:prstDash val="sysDash"/>
                        </a:ln>
                      </wps:spPr>
                      <wps:style>
                        <a:lnRef idx="2">
                          <a:schemeClr val="accent1"/>
                        </a:lnRef>
                        <a:fillRef idx="1">
                          <a:schemeClr val="lt1"/>
                        </a:fillRef>
                        <a:effectRef idx="0">
                          <a:schemeClr val="accent1"/>
                        </a:effectRef>
                        <a:fontRef idx="minor">
                          <a:schemeClr val="dk1"/>
                        </a:fontRef>
                      </wps:style>
                      <wps:txbx>
                        <w:txbxContent>
                          <w:p w14:paraId="2AD1631A" w14:textId="77777777" w:rsidR="001122D0" w:rsidRDefault="001122D0" w:rsidP="001122D0">
                            <w:pPr>
                              <w:rPr>
                                <w:sz w:val="24"/>
                                <w:szCs w:val="24"/>
                              </w:rPr>
                            </w:pPr>
                            <w:r>
                              <w:rPr>
                                <w:b/>
                                <w:color w:val="44546A" w:themeColor="text2"/>
                                <w:kern w:val="24"/>
                                <w:sz w:val="18"/>
                                <w:szCs w:val="18"/>
                              </w:rPr>
                              <w:t xml:space="preserve">Cash changes from operating activities </w:t>
                            </w:r>
                          </w:p>
                        </w:txbxContent>
                      </wps:txbx>
                      <wps:bodyPr lIns="36000" tIns="36000" rIns="36000" bIns="36000" rtlCol="0" anchor="t">
                        <a:noAutofit/>
                      </wps:bodyPr>
                    </wps:wsp>
                  </a:graphicData>
                </a:graphic>
                <wp14:sizeRelV relativeFrom="margin">
                  <wp14:pctHeight>0</wp14:pctHeight>
                </wp14:sizeRelV>
              </wp:anchor>
            </w:drawing>
          </mc:Choice>
          <mc:Fallback>
            <w:pict>
              <v:shape w14:anchorId="3A930B8D" id="_x0000_s1088" type="#_x0000_t62" style="position:absolute;margin-left:312.3pt;margin-top:188.15pt;width:121.45pt;height:3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" adj="-1875,21659" fillcolor="#f2f2f2 [3052]" strokecolor="#44546a [3215]" strokeweight="1.75pt">
                <v:stroke dashstyle="3 1"/>
                <v:textbox inset="1mm,1mm,1mm,1mm">
                  <w:txbxContent>
                    <w:p w14:paraId="2AD1631A" w14:textId="77777777" w:rsidR="001122D0" w:rsidRDefault="001122D0" w:rsidP="001122D0">
                      <w:pPr>
                        <w:rPr>
                          <w:sz w:val="24"/>
                          <w:szCs w:val="24"/>
                        </w:rPr>
                      </w:pPr>
                      <w:r>
                        <w:rPr>
                          <w:b/>
                          <w:color w:val="44546A" w:themeColor="text2"/>
                          <w:kern w:val="24"/>
                          <w:sz w:val="18"/>
                          <w:szCs w:val="18"/>
                        </w:rPr>
                        <w:t xml:space="preserve">Cash changes from operating activities </w:t>
                      </w:r>
                    </w:p>
                  </w:txbxContent>
                </v:textbox>
              </v:shape>
            </w:pict>
          </mc:Fallback>
        </mc:AlternateContent>
      </w:r>
      <w:r w:rsidR="005B1B1A">
        <w:br w:type="page"/>
      </w:r>
    </w:p>
    <w:p w14:paraId="4E195333" w14:textId="77777777" w:rsidR="00AC3443" w:rsidRDefault="00AC3443" w:rsidP="003B5132">
      <w:pPr>
        <w:pStyle w:val="BodyText"/>
        <w:sectPr w:rsidR="00AC3443" w:rsidSect="004018FB">
          <w:footerReference w:type="first" r:id="rId28"/>
          <w:pgSz w:w="11907" w:h="16840" w:code="9"/>
          <w:pgMar w:top="1134" w:right="1134" w:bottom="1134" w:left="1134" w:header="454" w:footer="454" w:gutter="0"/>
          <w:pgNumType w:fmt="lowerRoman" w:start="1"/>
          <w:cols w:space="720"/>
          <w:titlePg/>
        </w:sectPr>
      </w:pPr>
    </w:p>
    <w:p w14:paraId="07510026" w14:textId="37427A0F" w:rsidR="006633E6" w:rsidRDefault="006633E6" w:rsidP="006633E6">
      <w:pPr>
        <w:pStyle w:val="Heading1"/>
        <w:keepNext w:val="0"/>
        <w:tabs>
          <w:tab w:val="left" w:pos="2127"/>
        </w:tabs>
        <w:spacing w:after="240"/>
      </w:pPr>
      <w:bookmarkStart w:id="23" w:name="_Toc106280673"/>
      <w:r>
        <w:lastRenderedPageBreak/>
        <w:t>statement of significant accounting policies</w:t>
      </w:r>
      <w:r w:rsidR="00AD6E52">
        <w:t xml:space="preserve"> </w:t>
      </w:r>
      <w:r w:rsidR="00204830">
        <w:t>and</w:t>
      </w:r>
      <w:r w:rsidR="00AD6E52">
        <w:t xml:space="preserve"> forecast assumptions</w:t>
      </w:r>
      <w:bookmarkEnd w:id="23"/>
    </w:p>
    <w:p w14:paraId="186395C8" w14:textId="27F4A302" w:rsidR="007038C8" w:rsidRPr="008833AE" w:rsidRDefault="007038C8" w:rsidP="007038C8">
      <w:pPr>
        <w:pStyle w:val="Heading2"/>
        <w:rPr>
          <w:rFonts w:ascii="Arial" w:hAnsi="Arial" w:cs="Arial"/>
        </w:rPr>
      </w:pPr>
      <w:bookmarkStart w:id="24" w:name="_Toc106280674"/>
      <w:r w:rsidRPr="008833AE">
        <w:rPr>
          <w:rFonts w:ascii="Arial" w:hAnsi="Arial" w:cs="Arial"/>
        </w:rPr>
        <w:t xml:space="preserve">Scope of </w:t>
      </w:r>
      <w:r w:rsidR="00EA009D">
        <w:rPr>
          <w:rFonts w:ascii="Arial" w:hAnsi="Arial" w:cs="Arial"/>
        </w:rPr>
        <w:t xml:space="preserve">the </w:t>
      </w:r>
      <w:r w:rsidR="00F05CE1">
        <w:rPr>
          <w:rFonts w:ascii="Arial" w:hAnsi="Arial" w:cs="Arial"/>
        </w:rPr>
        <w:t>Ac</w:t>
      </w:r>
      <w:r w:rsidR="009055CA">
        <w:rPr>
          <w:rFonts w:ascii="Arial" w:hAnsi="Arial" w:cs="Arial"/>
        </w:rPr>
        <w:t>tual Financial Statements and Estimated Financial Statements</w:t>
      </w:r>
      <w:r w:rsidR="000D2095">
        <w:rPr>
          <w:rFonts w:ascii="Arial" w:hAnsi="Arial" w:cs="Arial"/>
        </w:rPr>
        <w:t xml:space="preserve"> for the </w:t>
      </w:r>
      <w:r w:rsidR="00D12D43">
        <w:rPr>
          <w:rFonts w:ascii="Arial" w:hAnsi="Arial" w:cs="Arial"/>
        </w:rPr>
        <w:t>g</w:t>
      </w:r>
      <w:r w:rsidR="000D2095">
        <w:rPr>
          <w:rFonts w:ascii="Arial" w:hAnsi="Arial" w:cs="Arial"/>
        </w:rPr>
        <w:t xml:space="preserve">eneral </w:t>
      </w:r>
      <w:r w:rsidR="00D12D43">
        <w:rPr>
          <w:rFonts w:ascii="Arial" w:hAnsi="Arial" w:cs="Arial"/>
        </w:rPr>
        <w:t>g</w:t>
      </w:r>
      <w:r w:rsidR="000D2095">
        <w:rPr>
          <w:rFonts w:ascii="Arial" w:hAnsi="Arial" w:cs="Arial"/>
        </w:rPr>
        <w:t xml:space="preserve">overnment </w:t>
      </w:r>
      <w:r w:rsidR="00D12D43">
        <w:rPr>
          <w:rFonts w:ascii="Arial" w:hAnsi="Arial" w:cs="Arial"/>
        </w:rPr>
        <w:t>s</w:t>
      </w:r>
      <w:r w:rsidR="000D2095">
        <w:rPr>
          <w:rFonts w:ascii="Arial" w:hAnsi="Arial" w:cs="Arial"/>
        </w:rPr>
        <w:t>ector</w:t>
      </w:r>
      <w:bookmarkEnd w:id="24"/>
    </w:p>
    <w:p w14:paraId="71E0A648" w14:textId="7C92B365" w:rsidR="006278A3" w:rsidRDefault="006278A3" w:rsidP="003B5132">
      <w:pPr>
        <w:pStyle w:val="BodyText"/>
      </w:pPr>
      <w:r>
        <w:t xml:space="preserve">This Statement of Significant Accounting Policies and Forecast Assumptions applies to the actual and estimated financial statements </w:t>
      </w:r>
      <w:r w:rsidR="00D8194B">
        <w:t xml:space="preserve">of </w:t>
      </w:r>
      <w:r>
        <w:t>the general government sector</w:t>
      </w:r>
      <w:r w:rsidR="00D8194B">
        <w:t xml:space="preserve"> </w:t>
      </w:r>
      <w:r w:rsidR="1D1E34AF">
        <w:t xml:space="preserve">(GGS) </w:t>
      </w:r>
      <w:r w:rsidR="00D8194B">
        <w:t xml:space="preserve">for the </w:t>
      </w:r>
      <w:r w:rsidR="006233B4">
        <w:t>2022-23</w:t>
      </w:r>
      <w:r w:rsidR="00C33E20">
        <w:t xml:space="preserve"> Budget</w:t>
      </w:r>
      <w:r w:rsidR="00076C94">
        <w:t xml:space="preserve"> publications</w:t>
      </w:r>
      <w:r w:rsidR="00426E94">
        <w:t>.</w:t>
      </w:r>
    </w:p>
    <w:p w14:paraId="3F75CB2F" w14:textId="3341AA55" w:rsidR="007038C8" w:rsidRPr="00D9425A" w:rsidRDefault="007038C8" w:rsidP="003B5132">
      <w:pPr>
        <w:pStyle w:val="BodyText"/>
      </w:pPr>
      <w:r w:rsidRPr="00D9425A">
        <w:t>The GGS comprises government agencies controlled by the State that:</w:t>
      </w:r>
    </w:p>
    <w:p w14:paraId="2500A663" w14:textId="77777777" w:rsidR="007038C8" w:rsidRPr="00D9425A" w:rsidRDefault="007038C8" w:rsidP="003B5132">
      <w:pPr>
        <w:pStyle w:val="Bullet1"/>
      </w:pPr>
      <w:r>
        <w:t>undertake regulatory functions</w:t>
      </w:r>
    </w:p>
    <w:p w14:paraId="24FBF56A" w14:textId="77777777" w:rsidR="007038C8" w:rsidRPr="00D9425A" w:rsidRDefault="007038C8" w:rsidP="003B5132">
      <w:pPr>
        <w:pStyle w:val="Bullet1"/>
      </w:pPr>
      <w:r>
        <w:t>redistribute income and wealth</w:t>
      </w:r>
    </w:p>
    <w:p w14:paraId="7102A7FD" w14:textId="1214109D" w:rsidR="007038C8" w:rsidRDefault="007038C8" w:rsidP="003B5132">
      <w:pPr>
        <w:pStyle w:val="Bullet1"/>
      </w:pPr>
      <w:r>
        <w:t>provide or distribute goods and services on a non-market basis to individuals and the community and/or provide other services to general government agencies</w:t>
      </w:r>
      <w:r w:rsidR="00545CBD">
        <w:t>.</w:t>
      </w:r>
    </w:p>
    <w:p w14:paraId="0DF395DD" w14:textId="3AB7EEB4" w:rsidR="007038C8" w:rsidRDefault="00351BD8" w:rsidP="003B5132">
      <w:pPr>
        <w:pStyle w:val="BodyText"/>
      </w:pPr>
      <w:r>
        <w:t>T</w:t>
      </w:r>
      <w:r w:rsidR="007038C8">
        <w:t xml:space="preserve">he scope of the GGS is determined in accordance with the principles and rules contained in the Australian Bureau of Statistics, </w:t>
      </w:r>
      <w:r w:rsidR="007038C8" w:rsidRPr="0A37D981">
        <w:rPr>
          <w:i/>
        </w:rPr>
        <w:t>Australian System of Government Finance Statistics: Concepts, Sources and Methods 2015 (</w:t>
      </w:r>
      <w:r w:rsidR="00911F74">
        <w:rPr>
          <w:i/>
        </w:rPr>
        <w:t>C</w:t>
      </w:r>
      <w:r w:rsidR="007038C8" w:rsidRPr="0A37D981">
        <w:rPr>
          <w:i/>
        </w:rPr>
        <w:t xml:space="preserve">at. No. 5514) </w:t>
      </w:r>
      <w:r w:rsidR="007038C8">
        <w:t>(ABS-GFS Manual).</w:t>
      </w:r>
    </w:p>
    <w:p w14:paraId="54C909FD" w14:textId="782D9EF3" w:rsidR="007038C8" w:rsidRDefault="00254B42" w:rsidP="003B5132">
      <w:pPr>
        <w:pStyle w:val="BodyText"/>
      </w:pPr>
      <w:r>
        <w:t>T</w:t>
      </w:r>
      <w:r w:rsidR="007038C8" w:rsidRPr="00D9425A">
        <w:t>he Financial Statements of the GGS</w:t>
      </w:r>
      <w:r w:rsidR="007038C8">
        <w:t xml:space="preserve"> include:</w:t>
      </w:r>
    </w:p>
    <w:p w14:paraId="3F910C6C" w14:textId="77777777" w:rsidR="007038C8" w:rsidRDefault="007038C8" w:rsidP="003B5132">
      <w:pPr>
        <w:pStyle w:val="Bullet1"/>
      </w:pPr>
      <w:r>
        <w:t>the GGS operating statement</w:t>
      </w:r>
    </w:p>
    <w:p w14:paraId="3A965916" w14:textId="77777777" w:rsidR="007038C8" w:rsidRDefault="007038C8" w:rsidP="003B5132">
      <w:pPr>
        <w:pStyle w:val="Bullet1"/>
      </w:pPr>
      <w:r>
        <w:t>the GGS balance sheet</w:t>
      </w:r>
    </w:p>
    <w:p w14:paraId="6D1D8BA5" w14:textId="75C40426" w:rsidR="007038C8" w:rsidRDefault="007038C8" w:rsidP="003B5132">
      <w:pPr>
        <w:pStyle w:val="Bullet1"/>
      </w:pPr>
      <w:r>
        <w:t xml:space="preserve">the GGS </w:t>
      </w:r>
      <w:r w:rsidR="00EA1D75">
        <w:t>c</w:t>
      </w:r>
      <w:r>
        <w:t>ash flow statement</w:t>
      </w:r>
      <w:r w:rsidR="00A1110B">
        <w:t>.</w:t>
      </w:r>
    </w:p>
    <w:p w14:paraId="4B9D88E3" w14:textId="2ECE96F6" w:rsidR="006278A3" w:rsidRDefault="00D51AF6" w:rsidP="003B5132">
      <w:pPr>
        <w:pStyle w:val="BodyText"/>
      </w:pPr>
      <w:r>
        <w:t xml:space="preserve">The </w:t>
      </w:r>
      <w:r w:rsidR="001D57B1">
        <w:t>F</w:t>
      </w:r>
      <w:r>
        <w:t xml:space="preserve">inancial </w:t>
      </w:r>
      <w:r w:rsidR="001D57B1">
        <w:t>S</w:t>
      </w:r>
      <w:r>
        <w:t>tatements for the GGS include:</w:t>
      </w:r>
    </w:p>
    <w:p w14:paraId="33C9F22A" w14:textId="1C456C13" w:rsidR="00463A30" w:rsidRPr="00A24439" w:rsidRDefault="00AB2FD3" w:rsidP="003B5132">
      <w:pPr>
        <w:pStyle w:val="Bullet1"/>
      </w:pPr>
      <w:r w:rsidRPr="00DD48B5">
        <w:t>t</w:t>
      </w:r>
      <w:r w:rsidR="004D6063" w:rsidRPr="00DD48B5">
        <w:t xml:space="preserve">he </w:t>
      </w:r>
      <w:r w:rsidR="002242B1">
        <w:t>a</w:t>
      </w:r>
      <w:r w:rsidR="004D6063">
        <w:t xml:space="preserve">ctual </w:t>
      </w:r>
      <w:r w:rsidR="002242B1">
        <w:t>f</w:t>
      </w:r>
      <w:r w:rsidR="004D6063">
        <w:t>inancial</w:t>
      </w:r>
      <w:r w:rsidR="004D6063" w:rsidRPr="00DD48B5">
        <w:t xml:space="preserve"> </w:t>
      </w:r>
      <w:r w:rsidR="002242B1">
        <w:t xml:space="preserve">results </w:t>
      </w:r>
      <w:r w:rsidR="000E6B20" w:rsidRPr="00C335B5">
        <w:t>for</w:t>
      </w:r>
      <w:r w:rsidR="007038C8" w:rsidRPr="00C335B5">
        <w:t xml:space="preserve"> the </w:t>
      </w:r>
      <w:r w:rsidR="000E6B20" w:rsidRPr="00C335B5">
        <w:t xml:space="preserve">GGS for </w:t>
      </w:r>
      <w:r w:rsidR="00EA4D06" w:rsidRPr="00C335B5">
        <w:t xml:space="preserve">the </w:t>
      </w:r>
      <w:r w:rsidR="000E6B20" w:rsidRPr="00C335B5">
        <w:t xml:space="preserve">financial </w:t>
      </w:r>
      <w:r w:rsidR="00EA4D06">
        <w:t>year</w:t>
      </w:r>
      <w:r w:rsidR="002242B1">
        <w:t xml:space="preserve"> </w:t>
      </w:r>
      <w:r w:rsidR="00EA4D06" w:rsidRPr="00C335B5">
        <w:t xml:space="preserve">ending </w:t>
      </w:r>
      <w:r w:rsidR="00EA4D06" w:rsidRPr="00C335B5" w:rsidDel="00DD6E4B">
        <w:t xml:space="preserve">30 June </w:t>
      </w:r>
      <w:r w:rsidR="00310442" w:rsidRPr="00C335B5">
        <w:t>202</w:t>
      </w:r>
      <w:r w:rsidR="000F2B78">
        <w:t>1</w:t>
      </w:r>
    </w:p>
    <w:p w14:paraId="467FC058" w14:textId="55975B00" w:rsidR="00307226" w:rsidRPr="00DD48B5" w:rsidRDefault="00307226" w:rsidP="003B5132">
      <w:pPr>
        <w:pStyle w:val="Bullet1"/>
      </w:pPr>
      <w:r w:rsidRPr="00A24439">
        <w:t xml:space="preserve">the </w:t>
      </w:r>
      <w:r w:rsidR="001612F3">
        <w:t xml:space="preserve">revised </w:t>
      </w:r>
      <w:r w:rsidR="001E42A2">
        <w:t>budget estimates</w:t>
      </w:r>
      <w:r w:rsidR="00856F47" w:rsidRPr="00A24439">
        <w:t xml:space="preserve"> for the GGS for the current year ending 30 June 202</w:t>
      </w:r>
      <w:r w:rsidR="000F2B78">
        <w:t>2</w:t>
      </w:r>
    </w:p>
    <w:p w14:paraId="3AB3C149" w14:textId="67274A66" w:rsidR="007038C8" w:rsidRDefault="00AB2FD3" w:rsidP="003B5132">
      <w:pPr>
        <w:pStyle w:val="Bullet1"/>
      </w:pPr>
      <w:r>
        <w:t>t</w:t>
      </w:r>
      <w:r w:rsidR="007038C8" w:rsidRPr="00E94451">
        <w:t xml:space="preserve">he </w:t>
      </w:r>
      <w:r w:rsidR="00FA7051">
        <w:t>Estimated Financial Statements</w:t>
      </w:r>
      <w:r w:rsidR="00B15823">
        <w:t xml:space="preserve"> </w:t>
      </w:r>
      <w:r w:rsidR="00254B42">
        <w:t xml:space="preserve">for the GGS </w:t>
      </w:r>
      <w:r w:rsidR="00B15823">
        <w:t xml:space="preserve">for the </w:t>
      </w:r>
      <w:r w:rsidR="006175B0">
        <w:t xml:space="preserve">budget year ending 30 June </w:t>
      </w:r>
      <w:r w:rsidR="005D0D01">
        <w:t>202</w:t>
      </w:r>
      <w:r w:rsidR="000F2B78">
        <w:t>3</w:t>
      </w:r>
      <w:r w:rsidR="005D0D01">
        <w:t xml:space="preserve"> </w:t>
      </w:r>
      <w:r w:rsidR="006175B0">
        <w:t xml:space="preserve">and three forward years ending 30 June </w:t>
      </w:r>
      <w:r w:rsidR="006175B0" w:rsidDel="005D0D01">
        <w:t>202</w:t>
      </w:r>
      <w:r w:rsidR="000F2B78">
        <w:t>4</w:t>
      </w:r>
      <w:r w:rsidR="006175B0">
        <w:t>,</w:t>
      </w:r>
      <w:r w:rsidR="006175B0" w:rsidDel="005D0D01">
        <w:t xml:space="preserve"> </w:t>
      </w:r>
      <w:r w:rsidR="005D0D01">
        <w:t>202</w:t>
      </w:r>
      <w:r w:rsidR="000F2B78">
        <w:t>5</w:t>
      </w:r>
      <w:r w:rsidR="005D0D01">
        <w:t xml:space="preserve"> </w:t>
      </w:r>
      <w:r w:rsidR="006175B0">
        <w:t xml:space="preserve">and </w:t>
      </w:r>
      <w:r w:rsidR="005D0D01">
        <w:t>202</w:t>
      </w:r>
      <w:r w:rsidR="000F2B78">
        <w:t>6</w:t>
      </w:r>
      <w:r w:rsidR="007038C8" w:rsidRPr="00E94451">
        <w:t>.</w:t>
      </w:r>
    </w:p>
    <w:p w14:paraId="07A503D3" w14:textId="7180CC51" w:rsidR="0051025E" w:rsidRPr="008833AE" w:rsidRDefault="0051025E" w:rsidP="0051025E">
      <w:pPr>
        <w:pStyle w:val="Heading2"/>
        <w:rPr>
          <w:rFonts w:ascii="Arial" w:hAnsi="Arial" w:cs="Arial"/>
          <w:lang w:eastAsia="en-AU"/>
        </w:rPr>
      </w:pPr>
      <w:bookmarkStart w:id="25" w:name="_Toc106280675"/>
      <w:r w:rsidRPr="008833AE">
        <w:rPr>
          <w:rFonts w:ascii="Arial" w:hAnsi="Arial" w:cs="Arial"/>
          <w:lang w:eastAsia="en-AU"/>
        </w:rPr>
        <w:t>Basis of preparation</w:t>
      </w:r>
      <w:bookmarkEnd w:id="25"/>
      <w:r w:rsidRPr="008833AE">
        <w:rPr>
          <w:rFonts w:ascii="Arial" w:hAnsi="Arial" w:cs="Arial"/>
          <w:lang w:eastAsia="en-AU"/>
        </w:rPr>
        <w:t xml:space="preserve"> </w:t>
      </w:r>
    </w:p>
    <w:p w14:paraId="609063A9" w14:textId="571862E0" w:rsidR="0051025E" w:rsidRDefault="0051025E" w:rsidP="003B5132">
      <w:pPr>
        <w:pStyle w:val="BodyText"/>
      </w:pPr>
      <w:r w:rsidRPr="0094078D">
        <w:t xml:space="preserve">The </w:t>
      </w:r>
      <w:r w:rsidR="0083042F">
        <w:t>GGS Actual and Estimated Financial Statements</w:t>
      </w:r>
      <w:r w:rsidRPr="0094078D">
        <w:t xml:space="preserve"> are prepared using the accrual basis of accounting. This basis recognises the effect of transactions and events when they are forecast to occur</w:t>
      </w:r>
      <w:r>
        <w:t>.</w:t>
      </w:r>
    </w:p>
    <w:p w14:paraId="3C81178B" w14:textId="77777777" w:rsidR="000A7D61" w:rsidRDefault="000A7D61" w:rsidP="00040C2B">
      <w:pPr>
        <w:pStyle w:val="Heading3"/>
      </w:pPr>
      <w:r>
        <w:br w:type="page"/>
      </w:r>
    </w:p>
    <w:p w14:paraId="79D3E8AF" w14:textId="3541E87F" w:rsidR="00D47783" w:rsidRPr="0067486B" w:rsidRDefault="0000417B" w:rsidP="00040C2B">
      <w:pPr>
        <w:pStyle w:val="Heading3"/>
        <w:rPr>
          <w:b w:val="0"/>
        </w:rPr>
      </w:pPr>
      <w:r>
        <w:lastRenderedPageBreak/>
        <w:t xml:space="preserve">The </w:t>
      </w:r>
      <w:r w:rsidR="009A23F9">
        <w:t xml:space="preserve">GGS </w:t>
      </w:r>
      <w:r w:rsidR="00D47783" w:rsidRPr="0067486B">
        <w:t>Actual Financial Statements</w:t>
      </w:r>
    </w:p>
    <w:p w14:paraId="18B93880" w14:textId="2F345C65" w:rsidR="00FD2610" w:rsidRDefault="00DE139A" w:rsidP="003B5132">
      <w:pPr>
        <w:pStyle w:val="BodyText"/>
      </w:pPr>
      <w:r w:rsidDel="000353EB">
        <w:t xml:space="preserve">The </w:t>
      </w:r>
      <w:r w:rsidR="00AF350F" w:rsidRPr="000D66F5" w:rsidDel="000353EB">
        <w:t xml:space="preserve">actual results for </w:t>
      </w:r>
      <w:r w:rsidR="003E5ED7" w:rsidRPr="007A5BFE">
        <w:t>20</w:t>
      </w:r>
      <w:r w:rsidR="004162C0">
        <w:t>20</w:t>
      </w:r>
      <w:r w:rsidR="003E5ED7" w:rsidRPr="007A5BFE">
        <w:t>-2</w:t>
      </w:r>
      <w:r w:rsidR="004162C0">
        <w:t>1</w:t>
      </w:r>
      <w:r w:rsidR="003E5ED7">
        <w:t xml:space="preserve"> reflect the audited financial statements for the GGS as presented in the </w:t>
      </w:r>
      <w:hyperlink r:id="rId29" w:history="1">
        <w:r w:rsidR="003E5ED7" w:rsidRPr="002E6D8E">
          <w:rPr>
            <w:rStyle w:val="Hyperlink"/>
            <w:i/>
          </w:rPr>
          <w:t>Total State Sector Accounts 20</w:t>
        </w:r>
        <w:r w:rsidR="004162C0">
          <w:rPr>
            <w:rStyle w:val="Hyperlink"/>
            <w:i/>
          </w:rPr>
          <w:t>20</w:t>
        </w:r>
        <w:r w:rsidR="003E5ED7" w:rsidRPr="002E6D8E">
          <w:rPr>
            <w:rStyle w:val="Hyperlink"/>
            <w:i/>
          </w:rPr>
          <w:t>-2</w:t>
        </w:r>
        <w:r w:rsidR="004162C0">
          <w:rPr>
            <w:rStyle w:val="Hyperlink"/>
            <w:i/>
          </w:rPr>
          <w:t>1</w:t>
        </w:r>
        <w:r w:rsidR="003E5ED7" w:rsidRPr="002E6D8E">
          <w:rPr>
            <w:rStyle w:val="Hyperlink"/>
          </w:rPr>
          <w:t>.</w:t>
        </w:r>
      </w:hyperlink>
    </w:p>
    <w:p w14:paraId="2A45E61D" w14:textId="75B3B27C" w:rsidR="00B51DC2" w:rsidRPr="00371AE9" w:rsidRDefault="00B51DC2" w:rsidP="003B5132">
      <w:pPr>
        <w:pStyle w:val="BodyText"/>
        <w:rPr>
          <w:i/>
        </w:rPr>
      </w:pPr>
      <w:r w:rsidRPr="00371AE9">
        <w:t>The following new accounting standards were adopted</w:t>
      </w:r>
      <w:r w:rsidR="66EA2E01">
        <w:t>/withdrawn</w:t>
      </w:r>
      <w:r w:rsidRPr="00371AE9">
        <w:t xml:space="preserve"> for the first time in the </w:t>
      </w:r>
      <w:r w:rsidRPr="00371AE9">
        <w:rPr>
          <w:i/>
        </w:rPr>
        <w:t>Total State Sector Accounts 20</w:t>
      </w:r>
      <w:r w:rsidR="00D57115">
        <w:rPr>
          <w:i/>
        </w:rPr>
        <w:t>20</w:t>
      </w:r>
      <w:r w:rsidRPr="00371AE9">
        <w:rPr>
          <w:i/>
        </w:rPr>
        <w:t>-2</w:t>
      </w:r>
      <w:r w:rsidR="00D57115">
        <w:rPr>
          <w:i/>
        </w:rPr>
        <w:t>1</w:t>
      </w:r>
      <w:r w:rsidR="00CE2E2B" w:rsidRPr="00371AE9">
        <w:t>:</w:t>
      </w:r>
    </w:p>
    <w:p w14:paraId="15B2FCF3" w14:textId="191917F2" w:rsidR="00CE2E2B" w:rsidRPr="00C335B5" w:rsidRDefault="00CE2E2B" w:rsidP="003B5132">
      <w:pPr>
        <w:pStyle w:val="Bullet1"/>
      </w:pPr>
      <w:r w:rsidRPr="00DD48B5">
        <w:t>AASB 1</w:t>
      </w:r>
      <w:r w:rsidR="00282713">
        <w:t>059</w:t>
      </w:r>
      <w:r w:rsidR="001B43DC" w:rsidRPr="00DD48B5">
        <w:t xml:space="preserve"> </w:t>
      </w:r>
      <w:r w:rsidR="00D20C5C">
        <w:t>Service Concession Arrangements: Grantors</w:t>
      </w:r>
    </w:p>
    <w:p w14:paraId="0849C0C4" w14:textId="09A2757C" w:rsidR="00CE2E2B" w:rsidRPr="00C335B5" w:rsidRDefault="00FC0F7A" w:rsidP="003B5132">
      <w:pPr>
        <w:pStyle w:val="Bullet1"/>
      </w:pPr>
      <w:r>
        <w:t>w</w:t>
      </w:r>
      <w:r w:rsidR="00D85FAB">
        <w:t>ithdrawal of TPP 06-08 Accounting for Privately Financed Projects</w:t>
      </w:r>
      <w:r w:rsidR="00FA78D9">
        <w:t>.</w:t>
      </w:r>
    </w:p>
    <w:p w14:paraId="00D754D6" w14:textId="5ECCD452" w:rsidR="006F631C" w:rsidRPr="00DC17A9" w:rsidRDefault="00790E6A" w:rsidP="003B5132">
      <w:pPr>
        <w:pStyle w:val="BodyText"/>
      </w:pPr>
      <w:r w:rsidRPr="00C335B5">
        <w:t xml:space="preserve">Please refer to the </w:t>
      </w:r>
      <w:r w:rsidRPr="00C335B5">
        <w:rPr>
          <w:i/>
        </w:rPr>
        <w:t>Total State Sector Accounts 20</w:t>
      </w:r>
      <w:r w:rsidR="00D85FAB">
        <w:rPr>
          <w:i/>
        </w:rPr>
        <w:t>20</w:t>
      </w:r>
      <w:r w:rsidRPr="00C335B5">
        <w:rPr>
          <w:i/>
        </w:rPr>
        <w:t>-2</w:t>
      </w:r>
      <w:r w:rsidR="00D85FAB">
        <w:rPr>
          <w:i/>
        </w:rPr>
        <w:t>1</w:t>
      </w:r>
      <w:r w:rsidRPr="00C335B5">
        <w:t xml:space="preserve"> for more information</w:t>
      </w:r>
      <w:r w:rsidR="00F17D0D">
        <w:t xml:space="preserve"> on the</w:t>
      </w:r>
      <w:r w:rsidR="00305463">
        <w:t xml:space="preserve"> impact from the</w:t>
      </w:r>
      <w:r w:rsidR="00F17D0D">
        <w:t xml:space="preserve"> </w:t>
      </w:r>
      <w:r w:rsidR="00305463">
        <w:t>adoption of these standards</w:t>
      </w:r>
      <w:r w:rsidRPr="00DD48B5">
        <w:t>.</w:t>
      </w:r>
    </w:p>
    <w:p w14:paraId="2C2E55F1" w14:textId="1380CC96" w:rsidR="0092223D" w:rsidRPr="0067486B" w:rsidRDefault="0092223D" w:rsidP="00040C2B">
      <w:pPr>
        <w:pStyle w:val="Heading3"/>
        <w:rPr>
          <w:b w:val="0"/>
        </w:rPr>
      </w:pPr>
      <w:r w:rsidRPr="0067486B">
        <w:t xml:space="preserve">The </w:t>
      </w:r>
      <w:r w:rsidR="00C73E47">
        <w:t xml:space="preserve">GGS </w:t>
      </w:r>
      <w:r w:rsidRPr="0067486B">
        <w:t>Estimated Financial Statements</w:t>
      </w:r>
    </w:p>
    <w:p w14:paraId="1E4C2919" w14:textId="569BD86E" w:rsidR="0051025E" w:rsidRPr="001B0367" w:rsidRDefault="0051025E" w:rsidP="003B5132">
      <w:pPr>
        <w:pStyle w:val="BodyText"/>
      </w:pPr>
      <w:r w:rsidRPr="00D9425A">
        <w:t>The</w:t>
      </w:r>
      <w:r>
        <w:t xml:space="preserve"> </w:t>
      </w:r>
      <w:r w:rsidR="00C73E47">
        <w:t>GGS</w:t>
      </w:r>
      <w:r>
        <w:t xml:space="preserve"> Estimated Financial</w:t>
      </w:r>
      <w:r w:rsidRPr="00D9425A">
        <w:t xml:space="preserve"> </w:t>
      </w:r>
      <w:r>
        <w:t>S</w:t>
      </w:r>
      <w:r w:rsidRPr="00D9425A">
        <w:t>tatements are prepared in accordance with this Statement of Significant Accounting Policies and Forecast Assumptions and include:</w:t>
      </w:r>
    </w:p>
    <w:p w14:paraId="15E84C85" w14:textId="72FA4765" w:rsidR="00A40FEF" w:rsidRDefault="00A40FEF" w:rsidP="003B5132">
      <w:pPr>
        <w:pStyle w:val="Bullet1"/>
      </w:pPr>
      <w:r>
        <w:t>revised estimates for the current budget year ending 30 June 202</w:t>
      </w:r>
      <w:r w:rsidR="00E13160">
        <w:t>2</w:t>
      </w:r>
    </w:p>
    <w:p w14:paraId="7D384DAF" w14:textId="0691E654" w:rsidR="0051025E" w:rsidRPr="00DC17A9" w:rsidRDefault="0051025E" w:rsidP="003B5132">
      <w:pPr>
        <w:pStyle w:val="Bullet1"/>
      </w:pPr>
      <w:r>
        <w:t>estimates for the budget year ending 30 June </w:t>
      </w:r>
      <w:r w:rsidR="003E773D">
        <w:t>202</w:t>
      </w:r>
      <w:r w:rsidR="00E13160">
        <w:t>3</w:t>
      </w:r>
      <w:r w:rsidR="003E773D">
        <w:t xml:space="preserve"> </w:t>
      </w:r>
    </w:p>
    <w:p w14:paraId="74093C5D" w14:textId="447251CB" w:rsidR="0051025E" w:rsidRDefault="0051025E" w:rsidP="003B5132">
      <w:pPr>
        <w:pStyle w:val="Bullet1"/>
      </w:pPr>
      <w:r>
        <w:t xml:space="preserve">estimates for the three forward years ending 30 June </w:t>
      </w:r>
      <w:r w:rsidR="003E773D">
        <w:t>202</w:t>
      </w:r>
      <w:r w:rsidR="00E13160">
        <w:t>4</w:t>
      </w:r>
      <w:r>
        <w:t>,</w:t>
      </w:r>
      <w:r w:rsidDel="003E773D">
        <w:t xml:space="preserve"> </w:t>
      </w:r>
      <w:r w:rsidR="003E773D">
        <w:t>202</w:t>
      </w:r>
      <w:r w:rsidR="00E13160">
        <w:t>5</w:t>
      </w:r>
      <w:r w:rsidR="00FF52C3">
        <w:t xml:space="preserve"> </w:t>
      </w:r>
      <w:r>
        <w:t xml:space="preserve">and </w:t>
      </w:r>
      <w:r w:rsidR="003E773D">
        <w:t>202</w:t>
      </w:r>
      <w:r w:rsidR="00E13160">
        <w:t>6</w:t>
      </w:r>
      <w:r w:rsidR="00D96A69">
        <w:t>.</w:t>
      </w:r>
    </w:p>
    <w:p w14:paraId="3E1AB848" w14:textId="19A60987" w:rsidR="004B08BD" w:rsidRDefault="00D96A69" w:rsidP="00786EEC">
      <w:pPr>
        <w:pStyle w:val="BodyText"/>
      </w:pPr>
      <w:r>
        <w:t>T</w:t>
      </w:r>
      <w:r w:rsidR="009E4820">
        <w:t>he GGS 202</w:t>
      </w:r>
      <w:r w:rsidR="00E13160">
        <w:t>1</w:t>
      </w:r>
      <w:r w:rsidR="009E4820">
        <w:t>-2</w:t>
      </w:r>
      <w:r w:rsidR="00E13160">
        <w:t>2</w:t>
      </w:r>
      <w:r w:rsidR="009E4820">
        <w:t xml:space="preserve"> </w:t>
      </w:r>
      <w:r w:rsidR="009C0CA1">
        <w:t>revised estimates are based on the following information provided by agencies:</w:t>
      </w:r>
    </w:p>
    <w:p w14:paraId="272B3E0F" w14:textId="11C848BA" w:rsidR="00EB1349" w:rsidRDefault="3A22CDD7" w:rsidP="003B5132">
      <w:pPr>
        <w:pStyle w:val="Bullet1"/>
      </w:pPr>
      <w:r>
        <w:t xml:space="preserve">actual results for the 10-month period ending 30 April </w:t>
      </w:r>
      <w:r w:rsidR="00EB1349" w:rsidRPr="00887BE5">
        <w:t>202</w:t>
      </w:r>
      <w:r w:rsidR="00E13160" w:rsidRPr="00887BE5">
        <w:t>2</w:t>
      </w:r>
      <w:r>
        <w:t xml:space="preserve"> </w:t>
      </w:r>
    </w:p>
    <w:p w14:paraId="07CB8EA0" w14:textId="6325788B" w:rsidR="00EB1349" w:rsidRDefault="00EB1349" w:rsidP="003B5132">
      <w:pPr>
        <w:pStyle w:val="Bullet1"/>
      </w:pPr>
      <w:r>
        <w:t>updated year end projections.</w:t>
      </w:r>
    </w:p>
    <w:p w14:paraId="0C7D1535" w14:textId="281DFA73" w:rsidR="0051025E" w:rsidRDefault="0051025E" w:rsidP="003B5132">
      <w:pPr>
        <w:pStyle w:val="BodyText"/>
      </w:pPr>
      <w:r w:rsidRPr="0094078D">
        <w:t>The</w:t>
      </w:r>
      <w:r w:rsidR="00C73E47">
        <w:t xml:space="preserve"> GGS</w:t>
      </w:r>
      <w:r>
        <w:t xml:space="preserve"> Estimated Financial</w:t>
      </w:r>
      <w:r w:rsidRPr="0094078D">
        <w:t xml:space="preserve"> </w:t>
      </w:r>
      <w:r>
        <w:t>S</w:t>
      </w:r>
      <w:r w:rsidRPr="0094078D">
        <w:t>tatements</w:t>
      </w:r>
      <w:r>
        <w:t xml:space="preserve"> for the budget and forward years</w:t>
      </w:r>
      <w:r w:rsidR="00183415">
        <w:t xml:space="preserve"> are prepared</w:t>
      </w:r>
      <w:r>
        <w:t xml:space="preserve"> to reflect existing operations and the impact of new policy decisions taken by the NSW Government, where their financial effect can be reliably estimated. </w:t>
      </w:r>
    </w:p>
    <w:p w14:paraId="7FFA6407" w14:textId="2BFB49CF" w:rsidR="005F6C9F" w:rsidRPr="009C7C76" w:rsidRDefault="005F6C9F" w:rsidP="003B5132">
      <w:pPr>
        <w:pStyle w:val="BodyText"/>
      </w:pPr>
      <w:r>
        <w:t>They take i</w:t>
      </w:r>
      <w:r w:rsidRPr="0046541F">
        <w:rPr>
          <w:color w:val="000000" w:themeColor="text1"/>
        </w:rPr>
        <w:t xml:space="preserve">nto account other economic and financial data available to Treasury up to </w:t>
      </w:r>
      <w:r w:rsidR="00433A27">
        <w:rPr>
          <w:color w:val="000000" w:themeColor="text1"/>
        </w:rPr>
        <w:t>1</w:t>
      </w:r>
      <w:r w:rsidR="003E40BD">
        <w:rPr>
          <w:color w:val="000000" w:themeColor="text1"/>
        </w:rPr>
        <w:t>6</w:t>
      </w:r>
      <w:r w:rsidR="004920D4">
        <w:rPr>
          <w:color w:val="000000" w:themeColor="text1"/>
        </w:rPr>
        <w:t> </w:t>
      </w:r>
      <w:r w:rsidR="008C3E4D" w:rsidRPr="003E40BD">
        <w:rPr>
          <w:color w:val="000000" w:themeColor="text1"/>
        </w:rPr>
        <w:t>June</w:t>
      </w:r>
      <w:r w:rsidR="00204C99" w:rsidRPr="009A4FEC">
        <w:rPr>
          <w:color w:val="000000" w:themeColor="text1"/>
        </w:rPr>
        <w:t> </w:t>
      </w:r>
      <w:r w:rsidR="008C3E4D" w:rsidRPr="009A4FEC">
        <w:rPr>
          <w:color w:val="000000" w:themeColor="text1"/>
        </w:rPr>
        <w:t>202</w:t>
      </w:r>
      <w:r w:rsidR="00E13160">
        <w:rPr>
          <w:color w:val="000000" w:themeColor="text1"/>
        </w:rPr>
        <w:t>2</w:t>
      </w:r>
      <w:r>
        <w:t xml:space="preserve">, including Commonwealth Government funding decisions announced in </w:t>
      </w:r>
      <w:r w:rsidRPr="007776A4">
        <w:t xml:space="preserve">the </w:t>
      </w:r>
      <w:r w:rsidR="004920D4">
        <w:br w:type="textWrapping" w:clear="all"/>
      </w:r>
      <w:r w:rsidR="006233B4" w:rsidRPr="003E40BD">
        <w:t>2022-23</w:t>
      </w:r>
      <w:r w:rsidR="00204C99">
        <w:t> </w:t>
      </w:r>
      <w:r w:rsidRPr="0067486B">
        <w:t>Commonwealth Government Budget</w:t>
      </w:r>
      <w:r>
        <w:t>.</w:t>
      </w:r>
    </w:p>
    <w:p w14:paraId="2BD0A370" w14:textId="7962AD87" w:rsidR="0023715D" w:rsidRPr="000235D1" w:rsidRDefault="0023715D" w:rsidP="003B5132">
      <w:pPr>
        <w:pStyle w:val="BodyText"/>
      </w:pPr>
      <w:r w:rsidRPr="000235D1">
        <w:t xml:space="preserve">In keeping with these principles, where the impact of a policy decision or planned event cannot be reliably estimated, the impact is not reflected within the </w:t>
      </w:r>
      <w:r w:rsidR="00B22AF4">
        <w:t>GGS</w:t>
      </w:r>
      <w:r w:rsidRPr="000235D1">
        <w:t xml:space="preserve"> Estimated Financial Statements (e.g. due to uncertainties regarding the timing and amount of future cash flows).</w:t>
      </w:r>
    </w:p>
    <w:p w14:paraId="35A33D7D" w14:textId="5134FE3B" w:rsidR="0051025E" w:rsidRPr="001B0367" w:rsidRDefault="00545643" w:rsidP="003B5132">
      <w:pPr>
        <w:pStyle w:val="BodyText"/>
      </w:pPr>
      <w:r>
        <w:t>Additionally</w:t>
      </w:r>
      <w:r w:rsidR="005F6C9F">
        <w:t xml:space="preserve">, they do </w:t>
      </w:r>
      <w:r w:rsidR="005F6C9F">
        <w:rPr>
          <w:b/>
          <w:bCs/>
        </w:rPr>
        <w:t>not</w:t>
      </w:r>
      <w:r w:rsidR="0051025E">
        <w:t xml:space="preserve"> include the impact of major asset transactions until they are finalised. </w:t>
      </w:r>
      <w:r w:rsidR="0051025E" w:rsidRPr="00B972E6">
        <w:t>The</w:t>
      </w:r>
      <w:r w:rsidR="006A429D">
        <w:t xml:space="preserve"> estimated</w:t>
      </w:r>
      <w:r w:rsidR="0051025E">
        <w:t xml:space="preserve"> financial impact of these future planned discontinuing operations or restructuring transactions are not recognised due to their commercial-in-confidence nature.</w:t>
      </w:r>
    </w:p>
    <w:p w14:paraId="13374B9B" w14:textId="77777777" w:rsidR="000A7D61" w:rsidRDefault="000A7D61" w:rsidP="003B5132">
      <w:pPr>
        <w:pStyle w:val="BodyText"/>
      </w:pPr>
      <w:r>
        <w:br w:type="page"/>
      </w:r>
    </w:p>
    <w:p w14:paraId="00060170" w14:textId="6F18530F" w:rsidR="00585A65" w:rsidRDefault="00B57581" w:rsidP="003B5132">
      <w:pPr>
        <w:pStyle w:val="BodyText"/>
      </w:pPr>
      <w:r>
        <w:lastRenderedPageBreak/>
        <w:t xml:space="preserve">In the </w:t>
      </w:r>
      <w:r w:rsidR="00532BDF">
        <w:t>GGS</w:t>
      </w:r>
      <w:r>
        <w:t xml:space="preserve"> Estimated Financial Statements, a</w:t>
      </w:r>
      <w:r w:rsidRPr="005C6480">
        <w:t>ny</w:t>
      </w:r>
      <w:r w:rsidR="0051025E" w:rsidRPr="005C6480">
        <w:t xml:space="preserve"> estimates or assumptions made in measuring revenue, expenses, other economic flows, assets or liabilities are based on</w:t>
      </w:r>
      <w:r w:rsidR="00585A65">
        <w:t>:</w:t>
      </w:r>
    </w:p>
    <w:p w14:paraId="7A2D0167" w14:textId="1DAE4187" w:rsidR="003361EE" w:rsidRDefault="0051025E" w:rsidP="003B5132">
      <w:pPr>
        <w:pStyle w:val="Bullet1"/>
      </w:pPr>
      <w:r w:rsidRPr="005C6480">
        <w:t xml:space="preserve">the latest information available at the time </w:t>
      </w:r>
    </w:p>
    <w:p w14:paraId="6061C7EA" w14:textId="361BB183" w:rsidR="003361EE" w:rsidRDefault="0051025E" w:rsidP="003B5132">
      <w:pPr>
        <w:pStyle w:val="Bullet1"/>
      </w:pPr>
      <w:r w:rsidRPr="005C6480">
        <w:t>professional judgements derived from experience</w:t>
      </w:r>
      <w:r w:rsidRPr="005C6480" w:rsidDel="003361EE">
        <w:t xml:space="preserve"> </w:t>
      </w:r>
    </w:p>
    <w:p w14:paraId="6EF30CA3" w14:textId="77777777" w:rsidR="003361EE" w:rsidRDefault="0051025E" w:rsidP="003B5132">
      <w:pPr>
        <w:pStyle w:val="Bullet1"/>
      </w:pPr>
      <w:r w:rsidRPr="005C6480">
        <w:t xml:space="preserve">other factors considered to be reasonable under the circumstances. </w:t>
      </w:r>
    </w:p>
    <w:p w14:paraId="432E39F3" w14:textId="641882FA" w:rsidR="0051025E" w:rsidRPr="005C6480" w:rsidRDefault="0051025E" w:rsidP="003B5132">
      <w:pPr>
        <w:pStyle w:val="BodyText"/>
      </w:pPr>
      <w:r w:rsidRPr="005C6480">
        <w:t xml:space="preserve">Actual results may differ from such estimates. Key assumptions are detailed below </w:t>
      </w:r>
      <w:r w:rsidR="00FD57FA">
        <w:t>in</w:t>
      </w:r>
      <w:r w:rsidRPr="005C6480">
        <w:t xml:space="preserve"> the</w:t>
      </w:r>
      <w:r w:rsidRPr="005C6480" w:rsidDel="00FD57FA">
        <w:t xml:space="preserve"> </w:t>
      </w:r>
      <w:r w:rsidR="00FD57FA">
        <w:t>sections:</w:t>
      </w:r>
      <w:r w:rsidR="00FD57FA" w:rsidRPr="005C6480">
        <w:t xml:space="preserve"> </w:t>
      </w:r>
      <w:r w:rsidRPr="005C6480">
        <w:rPr>
          <w:i/>
        </w:rPr>
        <w:t>Material economic assumptions</w:t>
      </w:r>
      <w:r w:rsidRPr="005C6480">
        <w:t xml:space="preserve"> and </w:t>
      </w:r>
      <w:r w:rsidRPr="005C6480">
        <w:rPr>
          <w:i/>
        </w:rPr>
        <w:t>Summary of other key assumptions</w:t>
      </w:r>
      <w:r w:rsidRPr="005C6480">
        <w:t xml:space="preserve">.  </w:t>
      </w:r>
    </w:p>
    <w:p w14:paraId="5F71EEC6" w14:textId="325635F0" w:rsidR="0051025E" w:rsidRPr="008833AE" w:rsidRDefault="0051025E" w:rsidP="0051025E">
      <w:pPr>
        <w:pStyle w:val="Heading2"/>
        <w:rPr>
          <w:rFonts w:ascii="Arial" w:hAnsi="Arial" w:cs="Arial"/>
          <w:lang w:eastAsia="en-AU"/>
        </w:rPr>
      </w:pPr>
      <w:bookmarkStart w:id="26" w:name="_Toc106280676"/>
      <w:r w:rsidRPr="008833AE">
        <w:rPr>
          <w:rFonts w:ascii="Arial" w:hAnsi="Arial" w:cs="Arial"/>
          <w:lang w:eastAsia="en-AU"/>
        </w:rPr>
        <w:t>Accounting policies</w:t>
      </w:r>
      <w:bookmarkEnd w:id="26"/>
    </w:p>
    <w:p w14:paraId="0C81A288" w14:textId="10B75376" w:rsidR="00803DA6" w:rsidRDefault="0051025E" w:rsidP="003B5132">
      <w:pPr>
        <w:pStyle w:val="BodyText"/>
      </w:pPr>
      <w:r w:rsidRPr="00B972E6">
        <w:t>Australian Accounting Standards (AAS) do not include requirements</w:t>
      </w:r>
      <w:r>
        <w:t xml:space="preserve"> for,</w:t>
      </w:r>
      <w:r w:rsidRPr="00B972E6">
        <w:t xml:space="preserve"> or provide guidance on</w:t>
      </w:r>
      <w:r>
        <w:t>,</w:t>
      </w:r>
      <w:r w:rsidRPr="00B972E6">
        <w:t xml:space="preserve"> the preparation or presentation of prospective</w:t>
      </w:r>
      <w:r>
        <w:t xml:space="preserve"> financial information, such as that included </w:t>
      </w:r>
      <w:r w:rsidR="00803DA6">
        <w:t xml:space="preserve">in the </w:t>
      </w:r>
      <w:r w:rsidR="0018035F">
        <w:t xml:space="preserve">GGS </w:t>
      </w:r>
      <w:r w:rsidR="00803DA6">
        <w:t>Estimated</w:t>
      </w:r>
      <w:r w:rsidR="00803DA6" w:rsidRPr="00B972E6">
        <w:t xml:space="preserve"> </w:t>
      </w:r>
      <w:r w:rsidR="00803DA6">
        <w:t>F</w:t>
      </w:r>
      <w:r w:rsidR="00803DA6" w:rsidRPr="00B972E6">
        <w:t xml:space="preserve">inancial </w:t>
      </w:r>
      <w:r w:rsidR="00803DA6">
        <w:t>S</w:t>
      </w:r>
      <w:r w:rsidR="00803DA6" w:rsidRPr="00B972E6">
        <w:t xml:space="preserve">tatements. However, recognition and measurement principles within AAS have been applied in the presentation of the </w:t>
      </w:r>
      <w:r w:rsidR="005E611C">
        <w:t xml:space="preserve">GGS </w:t>
      </w:r>
      <w:r w:rsidR="00803DA6" w:rsidRPr="00B972E6">
        <w:t>Estimated Financial Statements to the maximum extent possible.</w:t>
      </w:r>
    </w:p>
    <w:p w14:paraId="3508C2F1" w14:textId="7DA36F55" w:rsidR="00D40E93" w:rsidRDefault="00803DA6" w:rsidP="003B5132">
      <w:pPr>
        <w:pStyle w:val="BodyText"/>
      </w:pPr>
      <w:r w:rsidRPr="00504A87">
        <w:t xml:space="preserve">The </w:t>
      </w:r>
      <w:r w:rsidR="005E611C">
        <w:t>GGS</w:t>
      </w:r>
      <w:r w:rsidRPr="00504A87">
        <w:t xml:space="preserve"> Estimated Financial Statements</w:t>
      </w:r>
      <w:r w:rsidR="00C15515">
        <w:t>, except for the revised estimates,</w:t>
      </w:r>
      <w:r w:rsidRPr="00504A87">
        <w:t xml:space="preserve"> adopt the accounting policies expected to be used in preparing</w:t>
      </w:r>
      <w:r w:rsidR="00DB3C73">
        <w:t xml:space="preserve"> the</w:t>
      </w:r>
      <w:r w:rsidRPr="00504A87">
        <w:t xml:space="preserve"> </w:t>
      </w:r>
      <w:r w:rsidR="00DB3C73" w:rsidRPr="000542A7">
        <w:rPr>
          <w:i/>
        </w:rPr>
        <w:t xml:space="preserve">Total State Sector Accounts </w:t>
      </w:r>
      <w:r w:rsidRPr="00504A87">
        <w:t xml:space="preserve">for </w:t>
      </w:r>
      <w:r w:rsidR="006233B4">
        <w:t>2022-23</w:t>
      </w:r>
      <w:r w:rsidRPr="00504A87">
        <w:t>.</w:t>
      </w:r>
      <w:r>
        <w:t xml:space="preserve"> </w:t>
      </w:r>
      <w:r w:rsidR="00E0475A">
        <w:t xml:space="preserve">The revised estimates have been prepared </w:t>
      </w:r>
      <w:r w:rsidR="00ED3FAD">
        <w:t>in accordance with the accou</w:t>
      </w:r>
      <w:r w:rsidR="00227366">
        <w:t xml:space="preserve">nting policies </w:t>
      </w:r>
      <w:r w:rsidR="003F0DDD">
        <w:t xml:space="preserve">expected to be </w:t>
      </w:r>
      <w:r w:rsidR="00B843F7">
        <w:t xml:space="preserve">used in preparing the </w:t>
      </w:r>
      <w:r w:rsidR="001C7B43" w:rsidRPr="009A4FEC">
        <w:rPr>
          <w:i/>
        </w:rPr>
        <w:t xml:space="preserve">Total State Sector Accounts </w:t>
      </w:r>
      <w:r w:rsidR="001C7B43">
        <w:t xml:space="preserve">for </w:t>
      </w:r>
      <w:r w:rsidRPr="00504A87">
        <w:t>202</w:t>
      </w:r>
      <w:r w:rsidR="003544C6">
        <w:t>1</w:t>
      </w:r>
      <w:r w:rsidRPr="00504A87">
        <w:t>-2</w:t>
      </w:r>
      <w:r w:rsidR="003544C6">
        <w:t>2</w:t>
      </w:r>
      <w:r w:rsidRPr="00504A87">
        <w:t>.</w:t>
      </w:r>
    </w:p>
    <w:p w14:paraId="6444E238" w14:textId="41146A20" w:rsidR="00803DA6" w:rsidRDefault="00C80E8B" w:rsidP="003B5132">
      <w:pPr>
        <w:pStyle w:val="BodyText"/>
      </w:pPr>
      <w:r>
        <w:t>T</w:t>
      </w:r>
      <w:r w:rsidR="00803DA6">
        <w:t xml:space="preserve">he </w:t>
      </w:r>
      <w:r w:rsidR="00697E0A">
        <w:t>GGS</w:t>
      </w:r>
      <w:r w:rsidR="00803DA6">
        <w:t xml:space="preserve"> </w:t>
      </w:r>
      <w:r w:rsidR="000B0267">
        <w:t>Estimated Financial Statements</w:t>
      </w:r>
      <w:r w:rsidR="00803DA6">
        <w:t xml:space="preserve"> have been prepared consistently with the </w:t>
      </w:r>
      <w:r w:rsidR="00697E0A">
        <w:t xml:space="preserve">GGS </w:t>
      </w:r>
      <w:r w:rsidR="003636D2" w:rsidRPr="0067486B">
        <w:t>Actual Financial Statements</w:t>
      </w:r>
      <w:r>
        <w:t xml:space="preserve">, except for the matters described </w:t>
      </w:r>
      <w:r w:rsidRPr="00B059FB">
        <w:t xml:space="preserve">below under </w:t>
      </w:r>
      <w:r w:rsidRPr="00B059FB">
        <w:rPr>
          <w:i/>
        </w:rPr>
        <w:t>Changes in accounting policies</w:t>
      </w:r>
      <w:r w:rsidR="00803DA6" w:rsidDel="00C80E8B">
        <w:t>.</w:t>
      </w:r>
    </w:p>
    <w:p w14:paraId="41A75BA1" w14:textId="642A2DE5" w:rsidR="00803DA6" w:rsidRDefault="00C80E8B" w:rsidP="003B5132">
      <w:pPr>
        <w:pStyle w:val="BodyText"/>
      </w:pPr>
      <w:r w:rsidRPr="00163AD6">
        <w:t xml:space="preserve">The </w:t>
      </w:r>
      <w:r w:rsidR="00803DA6" w:rsidRPr="00163AD6">
        <w:t>significant accounting</w:t>
      </w:r>
      <w:r w:rsidRPr="00163AD6">
        <w:t xml:space="preserve"> policies</w:t>
      </w:r>
      <w:r w:rsidR="00803DA6" w:rsidRPr="00163AD6">
        <w:t xml:space="preserve"> </w:t>
      </w:r>
      <w:r w:rsidR="0065222A" w:rsidRPr="00163AD6">
        <w:t>(</w:t>
      </w:r>
      <w:r w:rsidR="00803DA6" w:rsidRPr="00163AD6">
        <w:t>including the principles of consolidation</w:t>
      </w:r>
      <w:r w:rsidR="0065222A" w:rsidRPr="00163AD6">
        <w:t>)</w:t>
      </w:r>
      <w:r w:rsidR="00803DA6" w:rsidRPr="00163AD6">
        <w:t>, significant accounting judgements and estimates, and the recognition and measurement policies for revenue, expenses, other economic flows, assets and liabilities</w:t>
      </w:r>
      <w:r w:rsidR="0065222A" w:rsidRPr="00163AD6">
        <w:t xml:space="preserve"> are outlined within Note 1 Statement of Significant Accounting Policies in the </w:t>
      </w:r>
      <w:r w:rsidR="0065222A" w:rsidRPr="00163AD6">
        <w:rPr>
          <w:i/>
        </w:rPr>
        <w:t>Total State Sector Accounts 20</w:t>
      </w:r>
      <w:r w:rsidR="002474DD">
        <w:rPr>
          <w:i/>
        </w:rPr>
        <w:t>20</w:t>
      </w:r>
      <w:r w:rsidR="0065222A" w:rsidRPr="00163AD6">
        <w:rPr>
          <w:i/>
        </w:rPr>
        <w:t>-2</w:t>
      </w:r>
      <w:r w:rsidR="002474DD">
        <w:rPr>
          <w:i/>
        </w:rPr>
        <w:t>1</w:t>
      </w:r>
      <w:r w:rsidR="00803DA6" w:rsidRPr="00163AD6">
        <w:t>.</w:t>
      </w:r>
    </w:p>
    <w:p w14:paraId="4C730ECC" w14:textId="599810AC" w:rsidR="00803DA6" w:rsidRDefault="00803DA6" w:rsidP="003B5132">
      <w:pPr>
        <w:pStyle w:val="BodyText"/>
      </w:pPr>
      <w:r w:rsidRPr="00A23EB9">
        <w:t>The</w:t>
      </w:r>
      <w:r w:rsidR="00BF5B3E" w:rsidRPr="00A23EB9">
        <w:t xml:space="preserve"> GGS</w:t>
      </w:r>
      <w:r w:rsidRPr="00A23EB9">
        <w:t xml:space="preserve"> </w:t>
      </w:r>
      <w:r w:rsidR="009A6E51" w:rsidRPr="00A23EB9">
        <w:t>Actual Financial Statements</w:t>
      </w:r>
      <w:r w:rsidRPr="00A23EB9">
        <w:t xml:space="preserve"> reflect the audited financial statements for the GGS as presented in the </w:t>
      </w:r>
      <w:r w:rsidRPr="00A23EB9">
        <w:rPr>
          <w:i/>
        </w:rPr>
        <w:t>Total State Sector Accounts 20</w:t>
      </w:r>
      <w:r w:rsidR="002069E2">
        <w:rPr>
          <w:i/>
        </w:rPr>
        <w:t>20</w:t>
      </w:r>
      <w:r w:rsidRPr="00A23EB9">
        <w:rPr>
          <w:i/>
        </w:rPr>
        <w:t>-2</w:t>
      </w:r>
      <w:r w:rsidR="002069E2">
        <w:rPr>
          <w:i/>
        </w:rPr>
        <w:t>1</w:t>
      </w:r>
      <w:r w:rsidRPr="00A23EB9">
        <w:t xml:space="preserve">. </w:t>
      </w:r>
    </w:p>
    <w:p w14:paraId="09134004" w14:textId="39C47352" w:rsidR="00CC375C" w:rsidRDefault="00CC375C" w:rsidP="003B5132">
      <w:pPr>
        <w:pStyle w:val="BodyText"/>
      </w:pPr>
      <w:r>
        <w:t xml:space="preserve">The </w:t>
      </w:r>
      <w:r w:rsidRPr="00F41F13">
        <w:rPr>
          <w:i/>
        </w:rPr>
        <w:t>Government Sector Finance Act 2018</w:t>
      </w:r>
      <w:r w:rsidRPr="00F41F13">
        <w:t xml:space="preserve"> (GSF Act) </w:t>
      </w:r>
      <w:r>
        <w:t>does not require the presentation of prior years’ Actual Financial Statements to be restated to include the impacts of the adoption of new accounting standards.</w:t>
      </w:r>
    </w:p>
    <w:p w14:paraId="750B83BE" w14:textId="3FC651C4" w:rsidR="00803DA6" w:rsidRPr="008833AE" w:rsidRDefault="00803DA6" w:rsidP="00803DA6">
      <w:pPr>
        <w:pStyle w:val="Heading2"/>
        <w:rPr>
          <w:rFonts w:ascii="Arial" w:hAnsi="Arial" w:cs="Arial"/>
        </w:rPr>
      </w:pPr>
      <w:bookmarkStart w:id="27" w:name="_Toc106280677"/>
      <w:r w:rsidRPr="008833AE">
        <w:rPr>
          <w:rFonts w:ascii="Arial" w:hAnsi="Arial" w:cs="Arial"/>
        </w:rPr>
        <w:t>Changes in accounting policies</w:t>
      </w:r>
      <w:bookmarkEnd w:id="27"/>
    </w:p>
    <w:p w14:paraId="35311C5B" w14:textId="67B8713E" w:rsidR="006C3916" w:rsidRDefault="00E7444D" w:rsidP="003B5132">
      <w:pPr>
        <w:pStyle w:val="BodyText"/>
      </w:pPr>
      <w:r>
        <w:t>Changes in Australian Accounting Standards</w:t>
      </w:r>
      <w:r w:rsidR="00E41D68">
        <w:t xml:space="preserve"> (AAS)</w:t>
      </w:r>
      <w:r>
        <w:t xml:space="preserve"> are taken into account when preparing the </w:t>
      </w:r>
      <w:r w:rsidR="005D5FF8">
        <w:t xml:space="preserve">GGS </w:t>
      </w:r>
      <w:r>
        <w:t xml:space="preserve">Estimated Financial Statements. </w:t>
      </w:r>
    </w:p>
    <w:p w14:paraId="12EB14A1" w14:textId="25623100" w:rsidR="009F4A9A" w:rsidRDefault="002C2E46" w:rsidP="00786EEC">
      <w:pPr>
        <w:pStyle w:val="BodyText"/>
      </w:pPr>
      <w:r>
        <w:rPr>
          <w:szCs w:val="23"/>
        </w:rPr>
        <w:t xml:space="preserve">The accounting policies applied in 2022-23 </w:t>
      </w:r>
      <w:r w:rsidR="003A0A99">
        <w:rPr>
          <w:szCs w:val="23"/>
        </w:rPr>
        <w:t>b</w:t>
      </w:r>
      <w:r>
        <w:rPr>
          <w:szCs w:val="23"/>
        </w:rPr>
        <w:t xml:space="preserve">udget year are consistent with those of the previous </w:t>
      </w:r>
      <w:r w:rsidDel="003E0450">
        <w:rPr>
          <w:szCs w:val="23"/>
        </w:rPr>
        <w:t>b</w:t>
      </w:r>
      <w:r>
        <w:rPr>
          <w:szCs w:val="23"/>
        </w:rPr>
        <w:t xml:space="preserve">udget year. </w:t>
      </w:r>
      <w:r w:rsidR="00E804D3" w:rsidRPr="003563E6">
        <w:t>There are no</w:t>
      </w:r>
      <w:r w:rsidR="00E804D3" w:rsidRPr="003563E6" w:rsidDel="002158BB">
        <w:t xml:space="preserve"> </w:t>
      </w:r>
      <w:r w:rsidR="00E804D3" w:rsidRPr="003563E6">
        <w:t xml:space="preserve">significant changes to AAS or accounting policies </w:t>
      </w:r>
      <w:r w:rsidR="00E804D3">
        <w:t xml:space="preserve">in </w:t>
      </w:r>
      <w:r w:rsidR="00AB6C6F">
        <w:br w:type="textWrapping" w:clear="all"/>
      </w:r>
      <w:r w:rsidR="00E804D3">
        <w:t xml:space="preserve">2022-23 </w:t>
      </w:r>
      <w:r w:rsidR="00E804D3" w:rsidRPr="003563E6">
        <w:t xml:space="preserve">that </w:t>
      </w:r>
      <w:r w:rsidR="00E804D3">
        <w:t xml:space="preserve">materially </w:t>
      </w:r>
      <w:r w:rsidR="00E804D3" w:rsidRPr="003563E6">
        <w:t xml:space="preserve">impact the </w:t>
      </w:r>
      <w:r w:rsidR="00E804D3">
        <w:t>GGS</w:t>
      </w:r>
      <w:r w:rsidR="00E804D3" w:rsidRPr="003563E6">
        <w:t xml:space="preserve"> Estimated Financial Statements. </w:t>
      </w:r>
    </w:p>
    <w:p w14:paraId="2CD43A0F" w14:textId="77777777" w:rsidR="00717BD4" w:rsidRPr="00786EEC" w:rsidRDefault="00717BD4" w:rsidP="00786EEC">
      <w:pPr>
        <w:pStyle w:val="BodyText"/>
        <w:rPr>
          <w:highlight w:val="yellow"/>
        </w:rPr>
      </w:pPr>
    </w:p>
    <w:p w14:paraId="053CF142" w14:textId="6CE3E22D" w:rsidR="00D60FA6" w:rsidRPr="000C7511" w:rsidRDefault="00D255F0" w:rsidP="000C7511">
      <w:pPr>
        <w:pStyle w:val="Heading3"/>
        <w:spacing w:before="120"/>
        <w:rPr>
          <w:rFonts w:ascii="Arial" w:hAnsi="Arial" w:cs="Arial"/>
        </w:rPr>
      </w:pPr>
      <w:r w:rsidRPr="000C7511">
        <w:rPr>
          <w:rFonts w:ascii="Arial" w:hAnsi="Arial" w:cs="Arial"/>
        </w:rPr>
        <w:lastRenderedPageBreak/>
        <w:t xml:space="preserve">New Accounting Standards </w:t>
      </w:r>
      <w:r w:rsidR="009E55B0" w:rsidRPr="000C7511">
        <w:rPr>
          <w:rFonts w:ascii="Arial" w:hAnsi="Arial" w:cs="Arial"/>
        </w:rPr>
        <w:t>issued but not effect</w:t>
      </w:r>
      <w:r w:rsidR="00F1089A" w:rsidRPr="000C7511">
        <w:rPr>
          <w:rFonts w:ascii="Arial" w:hAnsi="Arial" w:cs="Arial"/>
        </w:rPr>
        <w:t>ive</w:t>
      </w:r>
    </w:p>
    <w:p w14:paraId="6E3E87C8" w14:textId="3C00E9C5" w:rsidR="00FC1133" w:rsidRDefault="00FC1133" w:rsidP="003B5132">
      <w:pPr>
        <w:pStyle w:val="BodyText"/>
      </w:pPr>
      <w:r>
        <w:t xml:space="preserve">AASB 17 </w:t>
      </w:r>
      <w:r>
        <w:rPr>
          <w:i/>
        </w:rPr>
        <w:t>Insurance Contracts</w:t>
      </w:r>
      <w:r>
        <w:t xml:space="preserve"> </w:t>
      </w:r>
      <w:r w:rsidR="007C5F04">
        <w:t xml:space="preserve">(AASB 17) </w:t>
      </w:r>
      <w:r>
        <w:t xml:space="preserve">replaces AASB 4 </w:t>
      </w:r>
      <w:r>
        <w:rPr>
          <w:i/>
        </w:rPr>
        <w:t>Insurance Contracts,</w:t>
      </w:r>
      <w:r>
        <w:t xml:space="preserve"> AASB 1023 </w:t>
      </w:r>
      <w:r>
        <w:rPr>
          <w:i/>
        </w:rPr>
        <w:t xml:space="preserve">General Insurance Contracts </w:t>
      </w:r>
      <w:r>
        <w:t xml:space="preserve">and AASB 1038 </w:t>
      </w:r>
      <w:r>
        <w:rPr>
          <w:i/>
        </w:rPr>
        <w:t>Life Insurance Contracts.</w:t>
      </w:r>
      <w:r>
        <w:t xml:space="preserve"> AASB 17 applies from </w:t>
      </w:r>
      <w:r w:rsidRPr="00490B44">
        <w:t>1 J</w:t>
      </w:r>
      <w:r w:rsidR="00490B44" w:rsidRPr="00786EEC">
        <w:t>anuary</w:t>
      </w:r>
      <w:r w:rsidRPr="00490B44">
        <w:t xml:space="preserve"> 2023</w:t>
      </w:r>
      <w:r w:rsidR="00BB1359">
        <w:t xml:space="preserve"> to the private sector</w:t>
      </w:r>
      <w:r w:rsidR="752A7B0F">
        <w:t xml:space="preserve"> and for-profit public sector entities.</w:t>
      </w:r>
      <w:r w:rsidR="00327652">
        <w:t xml:space="preserve"> </w:t>
      </w:r>
      <w:r w:rsidR="00396257">
        <w:t xml:space="preserve">The </w:t>
      </w:r>
      <w:r w:rsidR="0006720A">
        <w:t>Australian Accounting Standards Board</w:t>
      </w:r>
      <w:r w:rsidR="00FD0A64">
        <w:t xml:space="preserve"> (AASB</w:t>
      </w:r>
      <w:r w:rsidR="0006720A">
        <w:t>)</w:t>
      </w:r>
      <w:r w:rsidR="00396257">
        <w:t xml:space="preserve"> has </w:t>
      </w:r>
      <w:r w:rsidR="009E4D92">
        <w:t>decided that additional consideration is warranted for the public sector</w:t>
      </w:r>
      <w:r w:rsidR="006F7201">
        <w:t xml:space="preserve"> and </w:t>
      </w:r>
      <w:r w:rsidR="00BE0533">
        <w:t xml:space="preserve">temporarily excluded </w:t>
      </w:r>
      <w:r w:rsidR="007A6368">
        <w:t>not-for-profit</w:t>
      </w:r>
      <w:r w:rsidR="005E10AF">
        <w:t xml:space="preserve"> public sector</w:t>
      </w:r>
      <w:r w:rsidR="007A6368">
        <w:t xml:space="preserve"> entities from the scope of AASB 17 pending</w:t>
      </w:r>
      <w:r w:rsidR="007C5F04">
        <w:t xml:space="preserve"> the </w:t>
      </w:r>
      <w:r w:rsidR="007A6368">
        <w:t xml:space="preserve">outcome </w:t>
      </w:r>
      <w:r w:rsidR="004423E1">
        <w:t xml:space="preserve">of </w:t>
      </w:r>
      <w:r w:rsidR="00201939">
        <w:t xml:space="preserve">a </w:t>
      </w:r>
      <w:r w:rsidR="004423E1">
        <w:t>separate project</w:t>
      </w:r>
      <w:r w:rsidR="00201939">
        <w:t xml:space="preserve"> to </w:t>
      </w:r>
      <w:r w:rsidR="004423E1">
        <w:t>address</w:t>
      </w:r>
      <w:r w:rsidR="005A625B">
        <w:t xml:space="preserve"> key concerns from</w:t>
      </w:r>
      <w:r w:rsidR="00201939">
        <w:t xml:space="preserve"> the </w:t>
      </w:r>
      <w:r w:rsidR="005A625B">
        <w:t>sector</w:t>
      </w:r>
      <w:r w:rsidR="00327652">
        <w:t xml:space="preserve">. </w:t>
      </w:r>
      <w:r w:rsidR="00BB1359">
        <w:t xml:space="preserve"> </w:t>
      </w:r>
    </w:p>
    <w:p w14:paraId="603A767D" w14:textId="145A3071" w:rsidR="00B03E86" w:rsidRPr="00BC2AC0" w:rsidRDefault="00B03E86" w:rsidP="003B5132">
      <w:pPr>
        <w:pStyle w:val="BodyText"/>
      </w:pPr>
      <w:r w:rsidRPr="00BC2AC0">
        <w:t xml:space="preserve">There are no </w:t>
      </w:r>
      <w:r w:rsidR="0020746B">
        <w:t>other</w:t>
      </w:r>
      <w:r w:rsidRPr="00BC2AC0">
        <w:t xml:space="preserve"> standards that are </w:t>
      </w:r>
      <w:r w:rsidR="00596F17">
        <w:t>issued and</w:t>
      </w:r>
      <w:r w:rsidRPr="00BC2AC0">
        <w:t xml:space="preserve"> not yet effective</w:t>
      </w:r>
      <w:r w:rsidR="00BE533B">
        <w:t xml:space="preserve">, or </w:t>
      </w:r>
      <w:r w:rsidRPr="00BC2AC0">
        <w:t xml:space="preserve">that </w:t>
      </w:r>
      <w:r w:rsidR="00BE533B">
        <w:t>have been adopted early,</w:t>
      </w:r>
      <w:r w:rsidRPr="00BC2AC0">
        <w:t xml:space="preserve"> that </w:t>
      </w:r>
      <w:r w:rsidR="00BE533B">
        <w:t>are</w:t>
      </w:r>
      <w:r w:rsidRPr="00BC2AC0">
        <w:t xml:space="preserve"> expected to have a material impact on the </w:t>
      </w:r>
      <w:r w:rsidR="00953B3D">
        <w:t>GGS</w:t>
      </w:r>
      <w:r w:rsidRPr="00BC2AC0">
        <w:t xml:space="preserve"> Estimated Financial Statements. </w:t>
      </w:r>
    </w:p>
    <w:p w14:paraId="3DE08A54" w14:textId="42B3E11D" w:rsidR="00B03E86" w:rsidRPr="008833AE" w:rsidRDefault="00B03E86" w:rsidP="00B03E86">
      <w:pPr>
        <w:pStyle w:val="Heading2"/>
        <w:rPr>
          <w:rFonts w:ascii="Arial" w:hAnsi="Arial" w:cs="Arial"/>
          <w:b w:val="0"/>
        </w:rPr>
      </w:pPr>
      <w:bookmarkStart w:id="28" w:name="_Toc106280678"/>
      <w:r w:rsidRPr="008833AE">
        <w:rPr>
          <w:rFonts w:ascii="Arial" w:hAnsi="Arial" w:cs="Arial"/>
        </w:rPr>
        <w:t xml:space="preserve">Presentation of the </w:t>
      </w:r>
      <w:r w:rsidR="00953B3D">
        <w:rPr>
          <w:rFonts w:ascii="Arial" w:hAnsi="Arial" w:cs="Arial"/>
        </w:rPr>
        <w:t xml:space="preserve">GGS </w:t>
      </w:r>
      <w:r w:rsidRPr="008833AE">
        <w:rPr>
          <w:rFonts w:ascii="Arial" w:hAnsi="Arial" w:cs="Arial"/>
        </w:rPr>
        <w:t>Estimated Financial Statements</w:t>
      </w:r>
      <w:bookmarkEnd w:id="28"/>
    </w:p>
    <w:p w14:paraId="6A278816" w14:textId="2984D0CE" w:rsidR="00B03E86" w:rsidRPr="003668ED" w:rsidRDefault="00B03E86" w:rsidP="003B5132">
      <w:pPr>
        <w:pStyle w:val="BodyText"/>
      </w:pPr>
      <w:r w:rsidRPr="003668ED">
        <w:t xml:space="preserve">The </w:t>
      </w:r>
      <w:r w:rsidR="00BB041E" w:rsidRPr="00786EEC">
        <w:rPr>
          <w:i/>
        </w:rPr>
        <w:t>Statement of Finances</w:t>
      </w:r>
      <w:r w:rsidRPr="003668ED">
        <w:t xml:space="preserve"> follow</w:t>
      </w:r>
      <w:r w:rsidR="00BB041E" w:rsidRPr="003668ED">
        <w:t>s</w:t>
      </w:r>
      <w:r w:rsidRPr="003668ED">
        <w:t xml:space="preserve"> the presentation requirements for GGS reporting contained in AASB 1049 </w:t>
      </w:r>
      <w:r w:rsidRPr="003668ED">
        <w:rPr>
          <w:i/>
        </w:rPr>
        <w:t xml:space="preserve">Whole of Government and General Government Sector Financial Reporting </w:t>
      </w:r>
      <w:r w:rsidRPr="003668ED">
        <w:t>(AASB 1049).</w:t>
      </w:r>
    </w:p>
    <w:p w14:paraId="4877703A" w14:textId="2342FB01" w:rsidR="00A252A5" w:rsidRDefault="00F1273A" w:rsidP="003B5132">
      <w:pPr>
        <w:pStyle w:val="BodyText"/>
      </w:pPr>
      <w:r>
        <w:t>This accounting standard</w:t>
      </w:r>
      <w:r w:rsidR="00B03E86" w:rsidRPr="00484FC9">
        <w:t xml:space="preserve"> harmonises </w:t>
      </w:r>
      <w:r>
        <w:t>G</w:t>
      </w:r>
      <w:r w:rsidRPr="00484FC9">
        <w:t xml:space="preserve">enerally </w:t>
      </w:r>
      <w:r>
        <w:t>A</w:t>
      </w:r>
      <w:r w:rsidRPr="00484FC9">
        <w:t xml:space="preserve">ccepted </w:t>
      </w:r>
      <w:r>
        <w:t>A</w:t>
      </w:r>
      <w:r w:rsidRPr="00484FC9">
        <w:t>ccounting</w:t>
      </w:r>
      <w:r w:rsidR="00B03E86" w:rsidRPr="00484FC9" w:rsidDel="00F1273A">
        <w:t xml:space="preserve"> </w:t>
      </w:r>
      <w:r>
        <w:t>P</w:t>
      </w:r>
      <w:r w:rsidRPr="00484FC9">
        <w:t xml:space="preserve">rinciples </w:t>
      </w:r>
      <w:r w:rsidR="00B03E86" w:rsidRPr="00484FC9">
        <w:t xml:space="preserve">(GAAP) with Government Financial Statistics (GFS) principles in accordance with the GFS framework adopted by the Australian Bureau of Statistics (ABS). </w:t>
      </w:r>
    </w:p>
    <w:p w14:paraId="00B8BE7B" w14:textId="1FB123F3" w:rsidR="00A24DBE" w:rsidRDefault="004246D4" w:rsidP="003B5132">
      <w:pPr>
        <w:pStyle w:val="BodyText"/>
        <w:rPr>
          <w:rFonts w:eastAsia="Calibri" w:cs="Times New Roman"/>
          <w:szCs w:val="18"/>
          <w:lang w:val="en-US" w:eastAsia="ja-JP"/>
        </w:rPr>
      </w:pPr>
      <w:r>
        <w:t xml:space="preserve">The net operating balance (that is, the Budget Result) presented in accordance </w:t>
      </w:r>
      <w:r w:rsidR="00F62D14">
        <w:t>with AASB 1049</w:t>
      </w:r>
      <w:r w:rsidR="00FF5EEA">
        <w:t xml:space="preserve"> is the net result of harmonised GFS-GAAP transactions for the GGS.</w:t>
      </w:r>
      <w:r w:rsidR="00A24DBE">
        <w:br w:type="page"/>
      </w:r>
    </w:p>
    <w:p w14:paraId="4DA97FB1" w14:textId="66024909" w:rsidR="00FD0969" w:rsidRDefault="00FD0969" w:rsidP="003B5132">
      <w:pPr>
        <w:pStyle w:val="BodyText"/>
      </w:pPr>
      <w:r>
        <w:lastRenderedPageBreak/>
        <w:t>AASB 1049 requirements include:</w:t>
      </w:r>
    </w:p>
    <w:p w14:paraId="3C0F1FFE" w14:textId="6C34709B" w:rsidR="00FD0969" w:rsidRPr="00484FC9" w:rsidRDefault="00F5496C" w:rsidP="003B5132">
      <w:pPr>
        <w:pStyle w:val="Bullet1"/>
      </w:pPr>
      <w:r>
        <w:t>t</w:t>
      </w:r>
      <w:r w:rsidR="00B03E86" w:rsidRPr="00484FC9">
        <w:t>he statement of comprehensive income (referred to as the operating statement) classifies</w:t>
      </w:r>
      <w:r w:rsidR="00B03E86">
        <w:t xml:space="preserve"> amounts into </w:t>
      </w:r>
      <w:r w:rsidR="00B03E86" w:rsidRPr="00A24DBE">
        <w:t>transactions</w:t>
      </w:r>
      <w:r w:rsidR="00B03E86" w:rsidRPr="00484FC9">
        <w:t xml:space="preserve"> or </w:t>
      </w:r>
      <w:r w:rsidR="00B03E86" w:rsidRPr="00A24DBE">
        <w:t>other economic flows</w:t>
      </w:r>
      <w:r w:rsidR="00B03E86" w:rsidRPr="00484FC9">
        <w:t>, in order to be consistent with GFS principles, applied from a GAAP perspective.</w:t>
      </w:r>
    </w:p>
    <w:p w14:paraId="5B8AB1B1" w14:textId="51D7E21D" w:rsidR="00D253F9" w:rsidRPr="00F12611" w:rsidRDefault="00F5496C" w:rsidP="003B5132">
      <w:pPr>
        <w:pStyle w:val="Bullet1"/>
      </w:pPr>
      <w:r>
        <w:t>i</w:t>
      </w:r>
      <w:r w:rsidR="00B03E86" w:rsidRPr="00F12611">
        <w:t>n the operating statement:</w:t>
      </w:r>
    </w:p>
    <w:p w14:paraId="1A915C7B" w14:textId="11DDDA18" w:rsidR="003911BF" w:rsidRPr="00F12611" w:rsidRDefault="00D87A01" w:rsidP="003B5132">
      <w:pPr>
        <w:pStyle w:val="Bullet2"/>
        <w:numPr>
          <w:ilvl w:val="0"/>
          <w:numId w:val="35"/>
        </w:numPr>
      </w:pPr>
      <w:r>
        <w:t>the</w:t>
      </w:r>
      <w:r w:rsidR="00B03E86">
        <w:t xml:space="preserve"> </w:t>
      </w:r>
      <w:r w:rsidR="00B03E86" w:rsidRPr="00FE284F">
        <w:rPr>
          <w:i/>
        </w:rPr>
        <w:t>net operating balance</w:t>
      </w:r>
      <w:r w:rsidR="00B03E86">
        <w:t xml:space="preserve"> is the net result of </w:t>
      </w:r>
      <w:r w:rsidR="00B03E86" w:rsidRPr="00FE284F">
        <w:rPr>
          <w:i/>
        </w:rPr>
        <w:t>revenue and expenses from</w:t>
      </w:r>
      <w:r w:rsidR="00B03E86">
        <w:t xml:space="preserve"> </w:t>
      </w:r>
      <w:r w:rsidR="00B03E86" w:rsidRPr="00FE284F">
        <w:rPr>
          <w:i/>
        </w:rPr>
        <w:t>transactions</w:t>
      </w:r>
      <w:r w:rsidR="00B03E86">
        <w:t xml:space="preserve">. Transactions are the result of mutually agreed interactions between parties. This excludes </w:t>
      </w:r>
      <w:r w:rsidR="00B03E86" w:rsidRPr="00FE284F">
        <w:rPr>
          <w:i/>
        </w:rPr>
        <w:t>other economic flows</w:t>
      </w:r>
      <w:r w:rsidR="00B03E86">
        <w:t>, that represent changes in the volume or value of assets or liabilities that do not arise from transactions with other entities (and which are often outside the control of government)</w:t>
      </w:r>
    </w:p>
    <w:p w14:paraId="2B522671" w14:textId="5DA133C7" w:rsidR="00B03E86" w:rsidRPr="00F12611" w:rsidRDefault="00D87A01" w:rsidP="003B5132">
      <w:pPr>
        <w:pStyle w:val="Bullet2"/>
        <w:numPr>
          <w:ilvl w:val="0"/>
          <w:numId w:val="35"/>
        </w:numPr>
      </w:pPr>
      <w:r>
        <w:t>the</w:t>
      </w:r>
      <w:r w:rsidR="00B03E86">
        <w:t xml:space="preserve"> </w:t>
      </w:r>
      <w:r w:rsidR="00B03E86" w:rsidRPr="00DE4C6E">
        <w:rPr>
          <w:i/>
        </w:rPr>
        <w:t xml:space="preserve">operating result </w:t>
      </w:r>
      <w:r w:rsidR="00B03E86">
        <w:t xml:space="preserve">includes the </w:t>
      </w:r>
      <w:r w:rsidR="00B03E86" w:rsidRPr="00DE4C6E">
        <w:rPr>
          <w:i/>
        </w:rPr>
        <w:t>net operating balance</w:t>
      </w:r>
      <w:r w:rsidR="00B03E86">
        <w:t xml:space="preserve"> and certain </w:t>
      </w:r>
      <w:r w:rsidR="00B03E86" w:rsidRPr="00DE4C6E">
        <w:rPr>
          <w:i/>
        </w:rPr>
        <w:t xml:space="preserve">other economic flows. </w:t>
      </w:r>
      <w:r w:rsidR="00B03E86">
        <w:t>It is the same under both the harmonised GFS-GAAP and pure GAAP presentations.</w:t>
      </w:r>
    </w:p>
    <w:p w14:paraId="5FCC2DB6" w14:textId="64262762" w:rsidR="00B03E86" w:rsidRPr="00F12611" w:rsidRDefault="00D14DE0" w:rsidP="003B5132">
      <w:pPr>
        <w:pStyle w:val="BodyText"/>
      </w:pPr>
      <w:r>
        <w:t>T</w:t>
      </w:r>
      <w:r w:rsidR="00B03E86">
        <w:t>he GGS financial statements adopt the recognition, measurement and disclosure requirements of GAAP</w:t>
      </w:r>
      <w:r w:rsidR="00E944F0">
        <w:t>, cons</w:t>
      </w:r>
      <w:r w:rsidR="00C55AC8">
        <w:t xml:space="preserve">istent with the following principles </w:t>
      </w:r>
      <w:r w:rsidR="006C4809">
        <w:t>in AASB 1049:</w:t>
      </w:r>
    </w:p>
    <w:p w14:paraId="37028D30" w14:textId="77777777" w:rsidR="00B03E86" w:rsidRPr="00F12611" w:rsidRDefault="00B03E86" w:rsidP="003B5132">
      <w:pPr>
        <w:pStyle w:val="Bullet1"/>
      </w:pPr>
      <w:r>
        <w:t>where options exist in GAAP, the GGS financial statements adopt the option that is aligned with GFS, to minimise differences between GAAP and GFS and/or</w:t>
      </w:r>
    </w:p>
    <w:p w14:paraId="77EF3DC1" w14:textId="086FA7A5" w:rsidR="00B03E86" w:rsidRPr="00F12611" w:rsidRDefault="00B03E86" w:rsidP="003B5132">
      <w:pPr>
        <w:pStyle w:val="Bullet1"/>
      </w:pPr>
      <w:r>
        <w:t xml:space="preserve">where </w:t>
      </w:r>
      <w:r w:rsidR="00FE2211">
        <w:t>only one approach is allowed</w:t>
      </w:r>
      <w:r>
        <w:t xml:space="preserve"> in GAAP and there is conflict between GAAP and GFS, GAAP prevails.</w:t>
      </w:r>
    </w:p>
    <w:p w14:paraId="302114B8" w14:textId="6CE4935D" w:rsidR="00B03E86" w:rsidRPr="008833AE" w:rsidRDefault="00B03E86" w:rsidP="003B5132">
      <w:pPr>
        <w:pStyle w:val="BodyText"/>
      </w:pPr>
      <w:r w:rsidRPr="00F424EF">
        <w:t xml:space="preserve">Due to the prospective nature of the </w:t>
      </w:r>
      <w:r w:rsidR="009125DE">
        <w:t>GGS</w:t>
      </w:r>
      <w:r w:rsidRPr="00F424EF">
        <w:t xml:space="preserve"> </w:t>
      </w:r>
      <w:r>
        <w:t>Estimated Financial S</w:t>
      </w:r>
      <w:r w:rsidRPr="00F424EF">
        <w:t xml:space="preserve">tatements, detailed notes to the </w:t>
      </w:r>
      <w:r w:rsidR="009125DE">
        <w:t xml:space="preserve">GGS </w:t>
      </w:r>
      <w:r w:rsidRPr="00F424EF">
        <w:t>Estimated Financial Statements are not required to be included. This is consistent with Section</w:t>
      </w:r>
      <w:r w:rsidR="00D87A01">
        <w:t> </w:t>
      </w:r>
      <w:r w:rsidRPr="00F424EF">
        <w:t xml:space="preserve">4.2 of the </w:t>
      </w:r>
      <w:r w:rsidRPr="00F424EF">
        <w:rPr>
          <w:i/>
        </w:rPr>
        <w:t>Government Sector Finance Act 2018</w:t>
      </w:r>
      <w:r w:rsidR="005D6432">
        <w:t xml:space="preserve">, that does not require </w:t>
      </w:r>
      <w:r w:rsidR="007D4C94" w:rsidRPr="007D4C94">
        <w:t>the Budget Papers to be presented so as to include notes within the meaning of the Australian Accounting Standards</w:t>
      </w:r>
      <w:r w:rsidRPr="00F424EF">
        <w:rPr>
          <w:i/>
        </w:rPr>
        <w:t>.</w:t>
      </w:r>
      <w:r>
        <w:t xml:space="preserve"> </w:t>
      </w:r>
    </w:p>
    <w:p w14:paraId="00249736" w14:textId="77777777" w:rsidR="00B03E86" w:rsidRPr="00F12611" w:rsidRDefault="00B03E86" w:rsidP="003B5132">
      <w:pPr>
        <w:pStyle w:val="BodyText"/>
      </w:pPr>
      <w:r w:rsidRPr="00F12611">
        <w:t>Each year ends on 30 June, all monetary amounts are presented in Australian dollars and rounded to the nearest million dollars ($m).</w:t>
      </w:r>
    </w:p>
    <w:p w14:paraId="16C9A738" w14:textId="77777777" w:rsidR="00B03E86" w:rsidRPr="00F12611" w:rsidRDefault="00B03E86" w:rsidP="003B5132">
      <w:pPr>
        <w:pStyle w:val="BodyText"/>
      </w:pPr>
      <w:r w:rsidRPr="00F12611">
        <w:t>Use of a zero (“0”) represents amounts rounded to zero. Use of three dots (“…”) represents nil amounts.</w:t>
      </w:r>
    </w:p>
    <w:p w14:paraId="5120D674" w14:textId="77777777" w:rsidR="00B03E86" w:rsidRPr="00F12611" w:rsidRDefault="00B03E86" w:rsidP="003B5132">
      <w:pPr>
        <w:pStyle w:val="BodyText"/>
      </w:pPr>
      <w:r w:rsidRPr="00F12611">
        <w:t>Tables may not add in all instances due to rounding to the nearest million dollars.</w:t>
      </w:r>
    </w:p>
    <w:p w14:paraId="73CFF071" w14:textId="77777777" w:rsidR="00B03E86" w:rsidRPr="008833AE" w:rsidRDefault="00B03E86" w:rsidP="00B03E86">
      <w:pPr>
        <w:pStyle w:val="Heading3"/>
        <w:rPr>
          <w:rFonts w:ascii="Arial" w:hAnsi="Arial" w:cs="Arial"/>
        </w:rPr>
      </w:pPr>
      <w:r w:rsidRPr="008833AE">
        <w:rPr>
          <w:rFonts w:ascii="Arial" w:hAnsi="Arial" w:cs="Arial"/>
        </w:rPr>
        <w:t>Presentation changes</w:t>
      </w:r>
    </w:p>
    <w:p w14:paraId="0B481C56" w14:textId="6EC9E203" w:rsidR="00B03E86" w:rsidRPr="009C7C76" w:rsidRDefault="00B03E86" w:rsidP="003B5132">
      <w:pPr>
        <w:pStyle w:val="BodyText"/>
      </w:pPr>
      <w:r w:rsidRPr="009C7C76">
        <w:t xml:space="preserve">There have been no </w:t>
      </w:r>
      <w:r w:rsidR="00665526">
        <w:t xml:space="preserve">significant </w:t>
      </w:r>
      <w:r w:rsidRPr="009C7C76">
        <w:t xml:space="preserve">presentation changes since the release of the </w:t>
      </w:r>
      <w:r w:rsidR="002B0E1B">
        <w:t>202</w:t>
      </w:r>
      <w:r w:rsidR="004026D3">
        <w:t>1</w:t>
      </w:r>
      <w:r w:rsidR="002B0E1B">
        <w:t>-2</w:t>
      </w:r>
      <w:r w:rsidR="004026D3">
        <w:t>2</w:t>
      </w:r>
      <w:r w:rsidRPr="009C7C76">
        <w:t xml:space="preserve"> </w:t>
      </w:r>
      <w:r w:rsidR="00115396" w:rsidRPr="00786EEC">
        <w:t>Statement of Finances</w:t>
      </w:r>
      <w:r w:rsidRPr="00130A19">
        <w:t>.</w:t>
      </w:r>
      <w:r w:rsidRPr="009C7C76">
        <w:t xml:space="preserve"> The presentation of information in the financial estimates remains consistent with GAAP and GFS presentation requirements.</w:t>
      </w:r>
    </w:p>
    <w:p w14:paraId="6873B754" w14:textId="4F29F69C" w:rsidR="00B03E86" w:rsidRPr="008833AE" w:rsidRDefault="00B03E86" w:rsidP="00B03E86">
      <w:pPr>
        <w:pStyle w:val="Heading2"/>
        <w:rPr>
          <w:rFonts w:ascii="Arial" w:hAnsi="Arial" w:cs="Arial"/>
        </w:rPr>
      </w:pPr>
      <w:bookmarkStart w:id="29" w:name="_Toc106280679"/>
      <w:r w:rsidRPr="008833AE">
        <w:rPr>
          <w:rFonts w:ascii="Arial" w:hAnsi="Arial" w:cs="Arial"/>
        </w:rPr>
        <w:t>Definitions</w:t>
      </w:r>
      <w:bookmarkEnd w:id="29"/>
    </w:p>
    <w:p w14:paraId="3A4CF22C" w14:textId="113BCC85" w:rsidR="00B03E86" w:rsidRPr="009C7C76" w:rsidRDefault="00B03E86" w:rsidP="003B5132">
      <w:pPr>
        <w:pStyle w:val="BodyText"/>
      </w:pPr>
      <w:r w:rsidRPr="009C7C76">
        <w:t>Key technical terms, including fiscal aggregates, are defined in the Glossary to this</w:t>
      </w:r>
      <w:r w:rsidRPr="009C7C76">
        <w:rPr>
          <w:i/>
        </w:rPr>
        <w:t xml:space="preserve"> </w:t>
      </w:r>
      <w:r w:rsidR="00201EA8" w:rsidRPr="00786EEC">
        <w:t>document</w:t>
      </w:r>
      <w:r w:rsidRPr="00786EEC">
        <w:t xml:space="preserve"> </w:t>
      </w:r>
      <w:r>
        <w:t xml:space="preserve">and </w:t>
      </w:r>
      <w:r w:rsidRPr="00CB3162">
        <w:t>Note 38 of the</w:t>
      </w:r>
      <w:r w:rsidRPr="00CB3162">
        <w:rPr>
          <w:i/>
        </w:rPr>
        <w:t xml:space="preserve"> Total State Sector Accounts 20</w:t>
      </w:r>
      <w:r w:rsidR="00D5754A">
        <w:rPr>
          <w:i/>
        </w:rPr>
        <w:t>20</w:t>
      </w:r>
      <w:r w:rsidRPr="00CB3162">
        <w:rPr>
          <w:i/>
        </w:rPr>
        <w:t>-2</w:t>
      </w:r>
      <w:r w:rsidR="00D5754A">
        <w:rPr>
          <w:i/>
        </w:rPr>
        <w:t>1</w:t>
      </w:r>
      <w:r w:rsidRPr="00CB3162">
        <w:rPr>
          <w:i/>
        </w:rPr>
        <w:t>.</w:t>
      </w:r>
    </w:p>
    <w:p w14:paraId="3F048E57" w14:textId="77777777" w:rsidR="004B0D5B" w:rsidRDefault="004B0D5B" w:rsidP="00B03E86">
      <w:pPr>
        <w:pStyle w:val="Heading2"/>
        <w:rPr>
          <w:rFonts w:ascii="Arial" w:hAnsi="Arial" w:cs="Arial"/>
        </w:rPr>
      </w:pPr>
      <w:r>
        <w:rPr>
          <w:rFonts w:ascii="Arial" w:hAnsi="Arial" w:cs="Arial"/>
        </w:rPr>
        <w:br w:type="page"/>
      </w:r>
    </w:p>
    <w:p w14:paraId="34F367F6" w14:textId="630C9E1C" w:rsidR="00B03E86" w:rsidRPr="008833AE" w:rsidRDefault="00B03E86" w:rsidP="00B03E86">
      <w:pPr>
        <w:pStyle w:val="Heading2"/>
        <w:rPr>
          <w:rFonts w:ascii="Arial" w:hAnsi="Arial" w:cs="Arial"/>
        </w:rPr>
      </w:pPr>
      <w:bookmarkStart w:id="30" w:name="_Toc106280680"/>
      <w:r w:rsidRPr="008833AE">
        <w:rPr>
          <w:rFonts w:ascii="Arial" w:hAnsi="Arial" w:cs="Arial"/>
        </w:rPr>
        <w:lastRenderedPageBreak/>
        <w:t>Material economic assumptions</w:t>
      </w:r>
      <w:bookmarkEnd w:id="30"/>
    </w:p>
    <w:p w14:paraId="78E82A5F" w14:textId="3E21CCB4" w:rsidR="00B03E86" w:rsidRDefault="00B03E86" w:rsidP="003B5132">
      <w:pPr>
        <w:pStyle w:val="BodyText"/>
      </w:pPr>
      <w:r w:rsidRPr="009C7C76">
        <w:t xml:space="preserve">The </w:t>
      </w:r>
      <w:r w:rsidR="009125DE">
        <w:t>GGS</w:t>
      </w:r>
      <w:r w:rsidRPr="009C7C76">
        <w:t xml:space="preserve"> Estimated Financial Statements have been prepared using the material economic assumptions </w:t>
      </w:r>
      <w:r w:rsidR="00E62DD4">
        <w:t xml:space="preserve">that underpin the </w:t>
      </w:r>
      <w:r w:rsidR="006233B4">
        <w:t>2022-23</w:t>
      </w:r>
      <w:r w:rsidR="00F40907">
        <w:t xml:space="preserve"> Budget</w:t>
      </w:r>
      <w:r w:rsidR="00C877F9">
        <w:t xml:space="preserve">, as set out </w:t>
      </w:r>
      <w:r w:rsidR="001E6674">
        <w:t>below</w:t>
      </w:r>
      <w:r w:rsidR="00351F8E">
        <w:t>:</w:t>
      </w:r>
    </w:p>
    <w:p w14:paraId="1AA301C9" w14:textId="16F82F57" w:rsidR="008748D8" w:rsidRPr="00107835" w:rsidRDefault="008748D8" w:rsidP="00107835">
      <w:pPr>
        <w:pStyle w:val="TableX0"/>
        <w:ind w:left="357" w:hanging="357"/>
        <w:rPr>
          <w:vertAlign w:val="superscript"/>
        </w:rPr>
      </w:pPr>
      <w:r>
        <w:t>Key economic performance assumptions</w:t>
      </w:r>
      <w:r w:rsidRPr="4C71A21F">
        <w:rPr>
          <w:vertAlign w:val="superscript"/>
        </w:rPr>
        <w:t>(a</w:t>
      </w:r>
      <w:r w:rsidRPr="00D621CC">
        <w:rPr>
          <w:vertAlign w:val="superscript"/>
        </w:rPr>
        <w:t>)</w:t>
      </w:r>
    </w:p>
    <w:tbl>
      <w:tblPr>
        <w:tblW w:w="9701" w:type="dxa"/>
        <w:tblCellMar>
          <w:left w:w="0" w:type="dxa"/>
          <w:right w:w="0" w:type="dxa"/>
        </w:tblCellMar>
        <w:tblLook w:val="04A0" w:firstRow="1" w:lastRow="0" w:firstColumn="1" w:lastColumn="0" w:noHBand="0" w:noVBand="1"/>
        <w:tblCaption w:val="Table 1: Key economic performance assumptions"/>
        <w:tblDescription w:val="Table 1: Key economic performance assumptions"/>
      </w:tblPr>
      <w:tblGrid>
        <w:gridCol w:w="3544"/>
        <w:gridCol w:w="869"/>
        <w:gridCol w:w="858"/>
        <w:gridCol w:w="858"/>
        <w:gridCol w:w="902"/>
        <w:gridCol w:w="902"/>
        <w:gridCol w:w="902"/>
        <w:gridCol w:w="866"/>
      </w:tblGrid>
      <w:tr w:rsidR="00A3627F" w14:paraId="128AB66A" w14:textId="77777777" w:rsidTr="00D86595">
        <w:trPr>
          <w:trHeight w:val="300"/>
        </w:trPr>
        <w:tc>
          <w:tcPr>
            <w:tcW w:w="3544" w:type="dxa"/>
            <w:tcBorders>
              <w:top w:val="nil"/>
              <w:left w:val="nil"/>
              <w:bottom w:val="nil"/>
              <w:right w:val="nil"/>
            </w:tcBorders>
            <w:shd w:val="clear" w:color="000000" w:fill="008EBA"/>
            <w:noWrap/>
            <w:tcMar>
              <w:top w:w="15" w:type="dxa"/>
              <w:left w:w="15" w:type="dxa"/>
              <w:bottom w:w="0" w:type="dxa"/>
              <w:right w:w="15" w:type="dxa"/>
            </w:tcMar>
            <w:vAlign w:val="bottom"/>
            <w:hideMark/>
          </w:tcPr>
          <w:p w14:paraId="18D8691C" w14:textId="77777777" w:rsidR="00A3627F" w:rsidRPr="00D86595" w:rsidRDefault="00A3627F">
            <w:pPr>
              <w:widowControl/>
              <w:tabs>
                <w:tab w:val="clear" w:pos="4196"/>
                <w:tab w:val="clear" w:pos="5046"/>
                <w:tab w:val="clear" w:pos="5897"/>
                <w:tab w:val="clear" w:pos="6747"/>
                <w:tab w:val="clear" w:pos="7598"/>
              </w:tabs>
              <w:autoSpaceDE/>
              <w:autoSpaceDN/>
              <w:rPr>
                <w:color w:val="FFFFFF"/>
                <w:sz w:val="16"/>
                <w:szCs w:val="16"/>
              </w:rPr>
            </w:pPr>
            <w:r w:rsidRPr="00D86595">
              <w:rPr>
                <w:color w:val="FFFFFF"/>
                <w:sz w:val="16"/>
                <w:szCs w:val="16"/>
              </w:rPr>
              <w:t> </w:t>
            </w:r>
          </w:p>
        </w:tc>
        <w:tc>
          <w:tcPr>
            <w:tcW w:w="869" w:type="dxa"/>
            <w:tcBorders>
              <w:top w:val="nil"/>
              <w:left w:val="nil"/>
              <w:bottom w:val="nil"/>
              <w:right w:val="nil"/>
            </w:tcBorders>
            <w:shd w:val="clear" w:color="000000" w:fill="008EBA"/>
            <w:tcMar>
              <w:top w:w="15" w:type="dxa"/>
              <w:left w:w="15" w:type="dxa"/>
              <w:bottom w:w="0" w:type="dxa"/>
              <w:right w:w="15" w:type="dxa"/>
            </w:tcMar>
            <w:vAlign w:val="center"/>
            <w:hideMark/>
          </w:tcPr>
          <w:p w14:paraId="41451404" w14:textId="77777777" w:rsidR="00A3627F" w:rsidRPr="00D86595" w:rsidRDefault="00A3627F">
            <w:pPr>
              <w:jc w:val="center"/>
              <w:rPr>
                <w:color w:val="FFFFFF"/>
                <w:sz w:val="16"/>
                <w:szCs w:val="16"/>
              </w:rPr>
            </w:pPr>
            <w:r w:rsidRPr="00D86595">
              <w:rPr>
                <w:color w:val="FFFFFF"/>
                <w:sz w:val="16"/>
                <w:szCs w:val="16"/>
              </w:rPr>
              <w:t xml:space="preserve">2019-20 </w:t>
            </w:r>
          </w:p>
        </w:tc>
        <w:tc>
          <w:tcPr>
            <w:tcW w:w="858" w:type="dxa"/>
            <w:tcBorders>
              <w:top w:val="nil"/>
              <w:left w:val="nil"/>
              <w:bottom w:val="nil"/>
              <w:right w:val="nil"/>
            </w:tcBorders>
            <w:shd w:val="clear" w:color="000000" w:fill="008EBA"/>
            <w:tcMar>
              <w:top w:w="15" w:type="dxa"/>
              <w:left w:w="15" w:type="dxa"/>
              <w:bottom w:w="0" w:type="dxa"/>
              <w:right w:w="15" w:type="dxa"/>
            </w:tcMar>
            <w:vAlign w:val="center"/>
            <w:hideMark/>
          </w:tcPr>
          <w:p w14:paraId="121DA3D0" w14:textId="77777777" w:rsidR="00A3627F" w:rsidRPr="00D86595" w:rsidRDefault="00A3627F">
            <w:pPr>
              <w:jc w:val="center"/>
              <w:rPr>
                <w:color w:val="FFFFFF"/>
                <w:sz w:val="16"/>
                <w:szCs w:val="16"/>
              </w:rPr>
            </w:pPr>
            <w:r w:rsidRPr="00D86595">
              <w:rPr>
                <w:color w:val="FFFFFF"/>
                <w:sz w:val="16"/>
                <w:szCs w:val="16"/>
              </w:rPr>
              <w:t>2020-21</w:t>
            </w:r>
          </w:p>
        </w:tc>
        <w:tc>
          <w:tcPr>
            <w:tcW w:w="858" w:type="dxa"/>
            <w:tcBorders>
              <w:top w:val="nil"/>
              <w:left w:val="nil"/>
              <w:bottom w:val="nil"/>
              <w:right w:val="nil"/>
            </w:tcBorders>
            <w:shd w:val="clear" w:color="000000" w:fill="008EBA"/>
            <w:tcMar>
              <w:top w:w="15" w:type="dxa"/>
              <w:left w:w="15" w:type="dxa"/>
              <w:bottom w:w="0" w:type="dxa"/>
              <w:right w:w="15" w:type="dxa"/>
            </w:tcMar>
            <w:vAlign w:val="center"/>
            <w:hideMark/>
          </w:tcPr>
          <w:p w14:paraId="16222B8C" w14:textId="77777777" w:rsidR="00A3627F" w:rsidRPr="00D86595" w:rsidRDefault="00A3627F">
            <w:pPr>
              <w:jc w:val="center"/>
              <w:rPr>
                <w:color w:val="FFFFFF"/>
                <w:sz w:val="16"/>
                <w:szCs w:val="16"/>
              </w:rPr>
            </w:pPr>
            <w:r w:rsidRPr="00D86595">
              <w:rPr>
                <w:color w:val="FFFFFF"/>
                <w:sz w:val="16"/>
                <w:szCs w:val="16"/>
              </w:rPr>
              <w:t>2021-22</w:t>
            </w:r>
          </w:p>
        </w:tc>
        <w:tc>
          <w:tcPr>
            <w:tcW w:w="902" w:type="dxa"/>
            <w:tcBorders>
              <w:top w:val="nil"/>
              <w:left w:val="nil"/>
              <w:bottom w:val="nil"/>
              <w:right w:val="nil"/>
            </w:tcBorders>
            <w:shd w:val="clear" w:color="000000" w:fill="008EBA"/>
            <w:tcMar>
              <w:top w:w="15" w:type="dxa"/>
              <w:left w:w="15" w:type="dxa"/>
              <w:bottom w:w="0" w:type="dxa"/>
              <w:right w:w="15" w:type="dxa"/>
            </w:tcMar>
            <w:vAlign w:val="center"/>
            <w:hideMark/>
          </w:tcPr>
          <w:p w14:paraId="37ED4A30" w14:textId="77777777" w:rsidR="00A3627F" w:rsidRPr="00D86595" w:rsidRDefault="00A3627F">
            <w:pPr>
              <w:jc w:val="center"/>
              <w:rPr>
                <w:color w:val="FFFFFF"/>
                <w:sz w:val="16"/>
                <w:szCs w:val="16"/>
              </w:rPr>
            </w:pPr>
            <w:r w:rsidRPr="00D86595">
              <w:rPr>
                <w:color w:val="FFFFFF"/>
                <w:sz w:val="16"/>
                <w:szCs w:val="16"/>
              </w:rPr>
              <w:t>2022-23</w:t>
            </w:r>
          </w:p>
        </w:tc>
        <w:tc>
          <w:tcPr>
            <w:tcW w:w="902" w:type="dxa"/>
            <w:tcBorders>
              <w:top w:val="nil"/>
              <w:left w:val="nil"/>
              <w:bottom w:val="nil"/>
              <w:right w:val="nil"/>
            </w:tcBorders>
            <w:shd w:val="clear" w:color="000000" w:fill="008EBA"/>
            <w:tcMar>
              <w:top w:w="15" w:type="dxa"/>
              <w:left w:w="15" w:type="dxa"/>
              <w:bottom w:w="0" w:type="dxa"/>
              <w:right w:w="15" w:type="dxa"/>
            </w:tcMar>
            <w:vAlign w:val="center"/>
            <w:hideMark/>
          </w:tcPr>
          <w:p w14:paraId="2543F359" w14:textId="77777777" w:rsidR="00A3627F" w:rsidRPr="00D86595" w:rsidRDefault="00A3627F">
            <w:pPr>
              <w:jc w:val="center"/>
              <w:rPr>
                <w:color w:val="FFFFFF"/>
                <w:sz w:val="16"/>
                <w:szCs w:val="16"/>
              </w:rPr>
            </w:pPr>
            <w:r w:rsidRPr="00D86595">
              <w:rPr>
                <w:color w:val="FFFFFF"/>
                <w:sz w:val="16"/>
                <w:szCs w:val="16"/>
              </w:rPr>
              <w:t>2023-24</w:t>
            </w:r>
          </w:p>
        </w:tc>
        <w:tc>
          <w:tcPr>
            <w:tcW w:w="902" w:type="dxa"/>
            <w:tcBorders>
              <w:top w:val="nil"/>
              <w:left w:val="nil"/>
              <w:bottom w:val="nil"/>
              <w:right w:val="nil"/>
            </w:tcBorders>
            <w:shd w:val="clear" w:color="000000" w:fill="008EBA"/>
            <w:tcMar>
              <w:top w:w="15" w:type="dxa"/>
              <w:left w:w="15" w:type="dxa"/>
              <w:bottom w:w="0" w:type="dxa"/>
              <w:right w:w="15" w:type="dxa"/>
            </w:tcMar>
            <w:vAlign w:val="center"/>
            <w:hideMark/>
          </w:tcPr>
          <w:p w14:paraId="3ADB63FD" w14:textId="77777777" w:rsidR="00A3627F" w:rsidRPr="00D86595" w:rsidRDefault="00A3627F">
            <w:pPr>
              <w:jc w:val="center"/>
              <w:rPr>
                <w:color w:val="FFFFFF"/>
                <w:sz w:val="16"/>
                <w:szCs w:val="16"/>
              </w:rPr>
            </w:pPr>
            <w:r w:rsidRPr="00D86595">
              <w:rPr>
                <w:color w:val="FFFFFF"/>
                <w:sz w:val="16"/>
                <w:szCs w:val="16"/>
              </w:rPr>
              <w:t>2024-25</w:t>
            </w:r>
          </w:p>
        </w:tc>
        <w:tc>
          <w:tcPr>
            <w:tcW w:w="866" w:type="dxa"/>
            <w:tcBorders>
              <w:top w:val="nil"/>
              <w:left w:val="nil"/>
              <w:bottom w:val="nil"/>
              <w:right w:val="nil"/>
            </w:tcBorders>
            <w:shd w:val="clear" w:color="000000" w:fill="008EBA"/>
            <w:tcMar>
              <w:top w:w="15" w:type="dxa"/>
              <w:left w:w="15" w:type="dxa"/>
              <w:bottom w:w="0" w:type="dxa"/>
              <w:right w:w="15" w:type="dxa"/>
            </w:tcMar>
            <w:vAlign w:val="center"/>
            <w:hideMark/>
          </w:tcPr>
          <w:p w14:paraId="0D97C5C4" w14:textId="77777777" w:rsidR="00A3627F" w:rsidRPr="00D86595" w:rsidRDefault="00A3627F">
            <w:pPr>
              <w:jc w:val="center"/>
              <w:rPr>
                <w:color w:val="FFFFFF"/>
                <w:sz w:val="16"/>
                <w:szCs w:val="16"/>
              </w:rPr>
            </w:pPr>
            <w:r w:rsidRPr="00D86595">
              <w:rPr>
                <w:color w:val="FFFFFF"/>
                <w:sz w:val="16"/>
                <w:szCs w:val="16"/>
              </w:rPr>
              <w:t>2025-26</w:t>
            </w:r>
          </w:p>
        </w:tc>
      </w:tr>
      <w:tr w:rsidR="00A3627F" w14:paraId="5E1A428C" w14:textId="77777777" w:rsidTr="00D86595">
        <w:trPr>
          <w:trHeight w:val="300"/>
        </w:trPr>
        <w:tc>
          <w:tcPr>
            <w:tcW w:w="3544" w:type="dxa"/>
            <w:tcBorders>
              <w:top w:val="nil"/>
              <w:left w:val="nil"/>
              <w:bottom w:val="nil"/>
              <w:right w:val="nil"/>
            </w:tcBorders>
            <w:shd w:val="clear" w:color="000000" w:fill="00426F"/>
            <w:noWrap/>
            <w:tcMar>
              <w:top w:w="15" w:type="dxa"/>
              <w:left w:w="15" w:type="dxa"/>
              <w:bottom w:w="0" w:type="dxa"/>
              <w:right w:w="15" w:type="dxa"/>
            </w:tcMar>
            <w:hideMark/>
          </w:tcPr>
          <w:p w14:paraId="6E84BB8C" w14:textId="77777777" w:rsidR="00A3627F" w:rsidRPr="00D86595" w:rsidRDefault="00A3627F">
            <w:pPr>
              <w:rPr>
                <w:color w:val="FFFFFF"/>
                <w:sz w:val="16"/>
                <w:szCs w:val="16"/>
              </w:rPr>
            </w:pPr>
            <w:r w:rsidRPr="00D86595">
              <w:rPr>
                <w:color w:val="FFFFFF"/>
                <w:sz w:val="16"/>
                <w:szCs w:val="16"/>
              </w:rPr>
              <w:t> </w:t>
            </w:r>
          </w:p>
        </w:tc>
        <w:tc>
          <w:tcPr>
            <w:tcW w:w="869" w:type="dxa"/>
            <w:tcBorders>
              <w:top w:val="nil"/>
              <w:left w:val="nil"/>
              <w:bottom w:val="nil"/>
              <w:right w:val="nil"/>
            </w:tcBorders>
            <w:shd w:val="clear" w:color="000000" w:fill="00426F"/>
            <w:tcMar>
              <w:top w:w="15" w:type="dxa"/>
              <w:left w:w="15" w:type="dxa"/>
              <w:bottom w:w="0" w:type="dxa"/>
              <w:right w:w="15" w:type="dxa"/>
            </w:tcMar>
            <w:vAlign w:val="center"/>
            <w:hideMark/>
          </w:tcPr>
          <w:p w14:paraId="751BEF27" w14:textId="77777777" w:rsidR="00A3627F" w:rsidRPr="00D86595" w:rsidRDefault="00A3627F">
            <w:pPr>
              <w:jc w:val="center"/>
              <w:rPr>
                <w:color w:val="FFFFFF"/>
                <w:sz w:val="16"/>
                <w:szCs w:val="16"/>
              </w:rPr>
            </w:pPr>
            <w:r w:rsidRPr="00D86595">
              <w:rPr>
                <w:color w:val="FFFFFF"/>
                <w:sz w:val="16"/>
                <w:szCs w:val="16"/>
              </w:rPr>
              <w:t>Outcomes</w:t>
            </w:r>
          </w:p>
        </w:tc>
        <w:tc>
          <w:tcPr>
            <w:tcW w:w="858" w:type="dxa"/>
            <w:tcBorders>
              <w:top w:val="nil"/>
              <w:left w:val="nil"/>
              <w:bottom w:val="nil"/>
              <w:right w:val="nil"/>
            </w:tcBorders>
            <w:shd w:val="clear" w:color="000000" w:fill="00426F"/>
            <w:tcMar>
              <w:top w:w="15" w:type="dxa"/>
              <w:left w:w="15" w:type="dxa"/>
              <w:bottom w:w="0" w:type="dxa"/>
              <w:right w:w="15" w:type="dxa"/>
            </w:tcMar>
            <w:vAlign w:val="center"/>
            <w:hideMark/>
          </w:tcPr>
          <w:p w14:paraId="4BB2B0C4" w14:textId="77777777" w:rsidR="00A3627F" w:rsidRPr="00D86595" w:rsidRDefault="00A3627F">
            <w:pPr>
              <w:jc w:val="center"/>
              <w:rPr>
                <w:color w:val="FFFFFF"/>
                <w:sz w:val="16"/>
                <w:szCs w:val="16"/>
              </w:rPr>
            </w:pPr>
            <w:r w:rsidRPr="00D86595">
              <w:rPr>
                <w:color w:val="FFFFFF"/>
                <w:sz w:val="16"/>
                <w:szCs w:val="16"/>
              </w:rPr>
              <w:t>Outcome</w:t>
            </w:r>
          </w:p>
        </w:tc>
        <w:tc>
          <w:tcPr>
            <w:tcW w:w="858" w:type="dxa"/>
            <w:tcBorders>
              <w:top w:val="nil"/>
              <w:left w:val="nil"/>
              <w:bottom w:val="nil"/>
              <w:right w:val="nil"/>
            </w:tcBorders>
            <w:shd w:val="clear" w:color="000000" w:fill="00426F"/>
            <w:tcMar>
              <w:top w:w="15" w:type="dxa"/>
              <w:left w:w="15" w:type="dxa"/>
              <w:bottom w:w="0" w:type="dxa"/>
              <w:right w:w="15" w:type="dxa"/>
            </w:tcMar>
            <w:vAlign w:val="center"/>
            <w:hideMark/>
          </w:tcPr>
          <w:p w14:paraId="213423F3" w14:textId="77777777" w:rsidR="00A3627F" w:rsidRPr="00D86595" w:rsidRDefault="00A3627F">
            <w:pPr>
              <w:jc w:val="center"/>
              <w:rPr>
                <w:color w:val="FFFFFF"/>
                <w:sz w:val="16"/>
                <w:szCs w:val="16"/>
              </w:rPr>
            </w:pPr>
            <w:r w:rsidRPr="00D86595">
              <w:rPr>
                <w:color w:val="FFFFFF"/>
                <w:sz w:val="16"/>
                <w:szCs w:val="16"/>
              </w:rPr>
              <w:t>Forecasts</w:t>
            </w:r>
          </w:p>
        </w:tc>
        <w:tc>
          <w:tcPr>
            <w:tcW w:w="902" w:type="dxa"/>
            <w:tcBorders>
              <w:top w:val="nil"/>
              <w:left w:val="nil"/>
              <w:bottom w:val="nil"/>
              <w:right w:val="nil"/>
            </w:tcBorders>
            <w:shd w:val="clear" w:color="000000" w:fill="00426F"/>
            <w:tcMar>
              <w:top w:w="15" w:type="dxa"/>
              <w:left w:w="15" w:type="dxa"/>
              <w:bottom w:w="0" w:type="dxa"/>
              <w:right w:w="15" w:type="dxa"/>
            </w:tcMar>
            <w:vAlign w:val="center"/>
            <w:hideMark/>
          </w:tcPr>
          <w:p w14:paraId="6853E576" w14:textId="77777777" w:rsidR="00A3627F" w:rsidRPr="00D86595" w:rsidRDefault="00A3627F">
            <w:pPr>
              <w:jc w:val="center"/>
              <w:rPr>
                <w:color w:val="FFFFFF"/>
                <w:sz w:val="16"/>
                <w:szCs w:val="16"/>
              </w:rPr>
            </w:pPr>
            <w:r w:rsidRPr="00D86595">
              <w:rPr>
                <w:color w:val="FFFFFF"/>
                <w:sz w:val="16"/>
                <w:szCs w:val="16"/>
              </w:rPr>
              <w:t>Projections</w:t>
            </w:r>
          </w:p>
        </w:tc>
        <w:tc>
          <w:tcPr>
            <w:tcW w:w="902" w:type="dxa"/>
            <w:tcBorders>
              <w:top w:val="nil"/>
              <w:left w:val="nil"/>
              <w:bottom w:val="nil"/>
              <w:right w:val="nil"/>
            </w:tcBorders>
            <w:shd w:val="clear" w:color="000000" w:fill="00426F"/>
            <w:tcMar>
              <w:top w:w="15" w:type="dxa"/>
              <w:left w:w="15" w:type="dxa"/>
              <w:bottom w:w="0" w:type="dxa"/>
              <w:right w:w="15" w:type="dxa"/>
            </w:tcMar>
            <w:vAlign w:val="center"/>
            <w:hideMark/>
          </w:tcPr>
          <w:p w14:paraId="7596C4F1" w14:textId="77777777" w:rsidR="00A3627F" w:rsidRPr="00D86595" w:rsidRDefault="00A3627F">
            <w:pPr>
              <w:jc w:val="center"/>
              <w:rPr>
                <w:color w:val="FFFFFF"/>
                <w:sz w:val="16"/>
                <w:szCs w:val="16"/>
              </w:rPr>
            </w:pPr>
            <w:r w:rsidRPr="00D86595">
              <w:rPr>
                <w:color w:val="FFFFFF"/>
                <w:sz w:val="16"/>
                <w:szCs w:val="16"/>
              </w:rPr>
              <w:t>Projections</w:t>
            </w:r>
          </w:p>
        </w:tc>
        <w:tc>
          <w:tcPr>
            <w:tcW w:w="902" w:type="dxa"/>
            <w:tcBorders>
              <w:top w:val="nil"/>
              <w:left w:val="nil"/>
              <w:bottom w:val="nil"/>
              <w:right w:val="nil"/>
            </w:tcBorders>
            <w:shd w:val="clear" w:color="000000" w:fill="00426F"/>
            <w:tcMar>
              <w:top w:w="15" w:type="dxa"/>
              <w:left w:w="15" w:type="dxa"/>
              <w:bottom w:w="0" w:type="dxa"/>
              <w:right w:w="15" w:type="dxa"/>
            </w:tcMar>
            <w:vAlign w:val="center"/>
            <w:hideMark/>
          </w:tcPr>
          <w:p w14:paraId="340E5307" w14:textId="77777777" w:rsidR="00A3627F" w:rsidRPr="00D86595" w:rsidRDefault="00A3627F">
            <w:pPr>
              <w:jc w:val="center"/>
              <w:rPr>
                <w:color w:val="FFFFFF"/>
                <w:sz w:val="16"/>
                <w:szCs w:val="16"/>
              </w:rPr>
            </w:pPr>
            <w:r w:rsidRPr="00D86595">
              <w:rPr>
                <w:color w:val="FFFFFF"/>
                <w:sz w:val="16"/>
                <w:szCs w:val="16"/>
              </w:rPr>
              <w:t>Projections</w:t>
            </w:r>
          </w:p>
        </w:tc>
        <w:tc>
          <w:tcPr>
            <w:tcW w:w="866" w:type="dxa"/>
            <w:tcBorders>
              <w:top w:val="nil"/>
              <w:left w:val="nil"/>
              <w:bottom w:val="nil"/>
              <w:right w:val="nil"/>
            </w:tcBorders>
            <w:shd w:val="clear" w:color="000000" w:fill="00426F"/>
            <w:tcMar>
              <w:top w:w="15" w:type="dxa"/>
              <w:left w:w="15" w:type="dxa"/>
              <w:bottom w:w="0" w:type="dxa"/>
              <w:right w:w="15" w:type="dxa"/>
            </w:tcMar>
            <w:vAlign w:val="center"/>
            <w:hideMark/>
          </w:tcPr>
          <w:p w14:paraId="24940897" w14:textId="77777777" w:rsidR="00A3627F" w:rsidRPr="00D86595" w:rsidRDefault="00A3627F">
            <w:pPr>
              <w:jc w:val="center"/>
              <w:rPr>
                <w:color w:val="FFFFFF"/>
                <w:sz w:val="16"/>
                <w:szCs w:val="16"/>
              </w:rPr>
            </w:pPr>
            <w:r w:rsidRPr="00D86595">
              <w:rPr>
                <w:color w:val="FFFFFF"/>
                <w:sz w:val="16"/>
                <w:szCs w:val="16"/>
              </w:rPr>
              <w:t>Projections</w:t>
            </w:r>
          </w:p>
        </w:tc>
      </w:tr>
      <w:tr w:rsidR="00A3627F" w14:paraId="26AC3C61" w14:textId="77777777" w:rsidTr="004817C4">
        <w:trPr>
          <w:trHeight w:val="170"/>
        </w:trPr>
        <w:tc>
          <w:tcPr>
            <w:tcW w:w="3544" w:type="dxa"/>
            <w:tcBorders>
              <w:top w:val="nil"/>
              <w:left w:val="nil"/>
              <w:bottom w:val="nil"/>
              <w:right w:val="nil"/>
            </w:tcBorders>
            <w:shd w:val="clear" w:color="auto" w:fill="auto"/>
            <w:tcMar>
              <w:top w:w="15" w:type="dxa"/>
              <w:left w:w="15" w:type="dxa"/>
              <w:bottom w:w="0" w:type="dxa"/>
              <w:right w:w="15" w:type="dxa"/>
            </w:tcMar>
            <w:vAlign w:val="bottom"/>
            <w:hideMark/>
          </w:tcPr>
          <w:p w14:paraId="3077EFD1" w14:textId="77777777" w:rsidR="00A3627F" w:rsidRPr="00D86595" w:rsidRDefault="00A3627F" w:rsidP="00EC3EC9">
            <w:pPr>
              <w:spacing w:before="20" w:after="20"/>
              <w:rPr>
                <w:color w:val="000000"/>
                <w:sz w:val="16"/>
                <w:szCs w:val="16"/>
              </w:rPr>
            </w:pPr>
            <w:r w:rsidRPr="00D86595">
              <w:rPr>
                <w:color w:val="000000"/>
                <w:sz w:val="16"/>
                <w:szCs w:val="16"/>
              </w:rPr>
              <w:t>New South Wales population (persons)</w:t>
            </w:r>
            <w:r w:rsidRPr="00D86595">
              <w:rPr>
                <w:color w:val="000000"/>
                <w:sz w:val="16"/>
                <w:szCs w:val="16"/>
                <w:vertAlign w:val="superscript"/>
              </w:rPr>
              <w:t>(b)</w:t>
            </w:r>
          </w:p>
        </w:tc>
        <w:tc>
          <w:tcPr>
            <w:tcW w:w="869" w:type="dxa"/>
            <w:tcBorders>
              <w:top w:val="nil"/>
              <w:left w:val="nil"/>
              <w:bottom w:val="nil"/>
              <w:right w:val="nil"/>
            </w:tcBorders>
            <w:shd w:val="clear" w:color="auto" w:fill="auto"/>
            <w:tcMar>
              <w:top w:w="15" w:type="dxa"/>
              <w:left w:w="15" w:type="dxa"/>
              <w:bottom w:w="0" w:type="dxa"/>
              <w:right w:w="15" w:type="dxa"/>
            </w:tcMar>
            <w:vAlign w:val="bottom"/>
            <w:hideMark/>
          </w:tcPr>
          <w:p w14:paraId="0438018B" w14:textId="77777777" w:rsidR="00A3627F" w:rsidRPr="00D86595" w:rsidRDefault="00A3627F" w:rsidP="00EC3EC9">
            <w:pPr>
              <w:spacing w:before="20" w:after="20"/>
              <w:jc w:val="right"/>
              <w:rPr>
                <w:color w:val="000000"/>
                <w:sz w:val="16"/>
                <w:szCs w:val="16"/>
              </w:rPr>
            </w:pPr>
            <w:r w:rsidRPr="00D86595">
              <w:rPr>
                <w:color w:val="000000"/>
                <w:sz w:val="16"/>
                <w:szCs w:val="16"/>
              </w:rPr>
              <w:t>8,167,000</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739FD216" w14:textId="77777777" w:rsidR="00A3627F" w:rsidRPr="00D86595" w:rsidRDefault="00A3627F" w:rsidP="00EC3EC9">
            <w:pPr>
              <w:spacing w:before="20" w:after="20"/>
              <w:jc w:val="right"/>
              <w:rPr>
                <w:color w:val="000000"/>
                <w:sz w:val="16"/>
                <w:szCs w:val="16"/>
              </w:rPr>
            </w:pPr>
            <w:r w:rsidRPr="00D86595">
              <w:rPr>
                <w:color w:val="000000"/>
                <w:sz w:val="16"/>
                <w:szCs w:val="16"/>
              </w:rPr>
              <w:t>8,189,000</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554B96B8" w14:textId="77777777" w:rsidR="00A3627F" w:rsidRPr="00D86595" w:rsidRDefault="00A3627F" w:rsidP="00EC3EC9">
            <w:pPr>
              <w:spacing w:before="20" w:after="20"/>
              <w:jc w:val="right"/>
              <w:rPr>
                <w:color w:val="000000"/>
                <w:sz w:val="16"/>
                <w:szCs w:val="16"/>
              </w:rPr>
            </w:pPr>
            <w:r w:rsidRPr="00D86595">
              <w:rPr>
                <w:color w:val="000000"/>
                <w:sz w:val="16"/>
                <w:szCs w:val="16"/>
              </w:rPr>
              <w:t>8,201,000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4FE1ED14" w14:textId="77777777" w:rsidR="00A3627F" w:rsidRPr="00D86595" w:rsidRDefault="00A3627F" w:rsidP="00EC3EC9">
            <w:pPr>
              <w:spacing w:before="20" w:after="20"/>
              <w:jc w:val="right"/>
              <w:rPr>
                <w:color w:val="000000"/>
                <w:sz w:val="16"/>
                <w:szCs w:val="16"/>
              </w:rPr>
            </w:pPr>
            <w:r w:rsidRPr="00D86595">
              <w:rPr>
                <w:color w:val="000000"/>
                <w:sz w:val="16"/>
                <w:szCs w:val="16"/>
              </w:rPr>
              <w:t>8,248,000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2951091C" w14:textId="77777777" w:rsidR="00A3627F" w:rsidRPr="00D86595" w:rsidRDefault="00A3627F" w:rsidP="00EC3EC9">
            <w:pPr>
              <w:spacing w:before="20" w:after="20"/>
              <w:jc w:val="right"/>
              <w:rPr>
                <w:color w:val="000000"/>
                <w:sz w:val="16"/>
                <w:szCs w:val="16"/>
              </w:rPr>
            </w:pPr>
            <w:r w:rsidRPr="00D86595">
              <w:rPr>
                <w:color w:val="000000"/>
                <w:sz w:val="16"/>
                <w:szCs w:val="16"/>
              </w:rPr>
              <w:t>8,326,000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24D73FC8" w14:textId="77777777" w:rsidR="00A3627F" w:rsidRPr="00D86595" w:rsidRDefault="00A3627F" w:rsidP="00EC3EC9">
            <w:pPr>
              <w:spacing w:before="20" w:after="20"/>
              <w:jc w:val="right"/>
              <w:rPr>
                <w:color w:val="000000"/>
                <w:sz w:val="16"/>
                <w:szCs w:val="16"/>
              </w:rPr>
            </w:pPr>
            <w:r w:rsidRPr="00D86595">
              <w:rPr>
                <w:color w:val="000000"/>
                <w:sz w:val="16"/>
                <w:szCs w:val="16"/>
              </w:rPr>
              <w:t>8,420,000</w:t>
            </w:r>
          </w:p>
        </w:tc>
        <w:tc>
          <w:tcPr>
            <w:tcW w:w="866" w:type="dxa"/>
            <w:tcBorders>
              <w:top w:val="nil"/>
              <w:left w:val="nil"/>
              <w:bottom w:val="nil"/>
              <w:right w:val="nil"/>
            </w:tcBorders>
            <w:shd w:val="clear" w:color="auto" w:fill="auto"/>
            <w:tcMar>
              <w:top w:w="15" w:type="dxa"/>
              <w:left w:w="15" w:type="dxa"/>
              <w:bottom w:w="0" w:type="dxa"/>
              <w:right w:w="15" w:type="dxa"/>
            </w:tcMar>
            <w:vAlign w:val="bottom"/>
            <w:hideMark/>
          </w:tcPr>
          <w:p w14:paraId="70B68F81" w14:textId="77777777" w:rsidR="00A3627F" w:rsidRPr="00D86595" w:rsidRDefault="00A3627F" w:rsidP="00EC3EC9">
            <w:pPr>
              <w:spacing w:before="20" w:after="20"/>
              <w:jc w:val="right"/>
              <w:rPr>
                <w:color w:val="000000"/>
                <w:sz w:val="16"/>
                <w:szCs w:val="16"/>
              </w:rPr>
            </w:pPr>
            <w:r w:rsidRPr="00D86595">
              <w:rPr>
                <w:color w:val="000000"/>
                <w:sz w:val="16"/>
                <w:szCs w:val="16"/>
              </w:rPr>
              <w:t>8,513,000</w:t>
            </w:r>
          </w:p>
        </w:tc>
      </w:tr>
      <w:tr w:rsidR="00A3627F" w14:paraId="07EEE89D" w14:textId="77777777" w:rsidTr="004817C4">
        <w:trPr>
          <w:trHeight w:val="170"/>
        </w:trPr>
        <w:tc>
          <w:tcPr>
            <w:tcW w:w="3544" w:type="dxa"/>
            <w:tcBorders>
              <w:top w:val="nil"/>
              <w:left w:val="nil"/>
              <w:bottom w:val="nil"/>
              <w:right w:val="nil"/>
            </w:tcBorders>
            <w:shd w:val="clear" w:color="auto" w:fill="auto"/>
            <w:tcMar>
              <w:top w:w="15" w:type="dxa"/>
              <w:left w:w="15" w:type="dxa"/>
              <w:bottom w:w="0" w:type="dxa"/>
              <w:right w:w="15" w:type="dxa"/>
            </w:tcMar>
            <w:vAlign w:val="bottom"/>
            <w:hideMark/>
          </w:tcPr>
          <w:p w14:paraId="38951A19" w14:textId="77777777" w:rsidR="00A3627F" w:rsidRPr="00D86595" w:rsidRDefault="00A3627F" w:rsidP="00EC3EC9">
            <w:pPr>
              <w:spacing w:before="20" w:after="20"/>
              <w:rPr>
                <w:color w:val="000000"/>
                <w:sz w:val="16"/>
                <w:szCs w:val="16"/>
              </w:rPr>
            </w:pPr>
            <w:r w:rsidRPr="00D86595">
              <w:rPr>
                <w:color w:val="000000"/>
                <w:sz w:val="16"/>
                <w:szCs w:val="16"/>
              </w:rPr>
              <w:t>Nominal gross state product ($million)</w:t>
            </w:r>
          </w:p>
        </w:tc>
        <w:tc>
          <w:tcPr>
            <w:tcW w:w="869" w:type="dxa"/>
            <w:tcBorders>
              <w:top w:val="nil"/>
              <w:left w:val="nil"/>
              <w:bottom w:val="nil"/>
              <w:right w:val="nil"/>
            </w:tcBorders>
            <w:shd w:val="clear" w:color="auto" w:fill="auto"/>
            <w:tcMar>
              <w:top w:w="15" w:type="dxa"/>
              <w:left w:w="15" w:type="dxa"/>
              <w:bottom w:w="0" w:type="dxa"/>
              <w:right w:w="15" w:type="dxa"/>
            </w:tcMar>
            <w:vAlign w:val="bottom"/>
            <w:hideMark/>
          </w:tcPr>
          <w:p w14:paraId="4B170826" w14:textId="77777777" w:rsidR="00A3627F" w:rsidRPr="00D86595" w:rsidRDefault="00A3627F" w:rsidP="00EC3EC9">
            <w:pPr>
              <w:spacing w:before="20" w:after="20"/>
              <w:jc w:val="right"/>
              <w:rPr>
                <w:color w:val="000000"/>
                <w:sz w:val="16"/>
                <w:szCs w:val="16"/>
              </w:rPr>
            </w:pPr>
            <w:r w:rsidRPr="00D86595">
              <w:rPr>
                <w:color w:val="000000"/>
                <w:sz w:val="16"/>
                <w:szCs w:val="16"/>
              </w:rPr>
              <w:t>624,600</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4DA07631" w14:textId="77777777" w:rsidR="00A3627F" w:rsidRPr="00D86595" w:rsidRDefault="00A3627F" w:rsidP="00EC3EC9">
            <w:pPr>
              <w:spacing w:before="20" w:after="20"/>
              <w:jc w:val="right"/>
              <w:rPr>
                <w:color w:val="000000"/>
                <w:sz w:val="16"/>
                <w:szCs w:val="16"/>
              </w:rPr>
            </w:pPr>
            <w:r w:rsidRPr="00D86595">
              <w:rPr>
                <w:color w:val="000000"/>
                <w:sz w:val="16"/>
                <w:szCs w:val="16"/>
              </w:rPr>
              <w:t>643,100</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1FE30E38" w14:textId="77777777" w:rsidR="00A3627F" w:rsidRPr="00D86595" w:rsidRDefault="00A3627F" w:rsidP="00EC3EC9">
            <w:pPr>
              <w:spacing w:before="20" w:after="20"/>
              <w:jc w:val="right"/>
              <w:rPr>
                <w:color w:val="000000"/>
                <w:sz w:val="16"/>
                <w:szCs w:val="16"/>
              </w:rPr>
            </w:pPr>
            <w:r w:rsidRPr="00D86595">
              <w:rPr>
                <w:color w:val="000000"/>
                <w:sz w:val="16"/>
                <w:szCs w:val="16"/>
              </w:rPr>
              <w:t>686,000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64A53AB5" w14:textId="77777777" w:rsidR="00A3627F" w:rsidRPr="00D86595" w:rsidRDefault="00A3627F" w:rsidP="00EC3EC9">
            <w:pPr>
              <w:spacing w:before="20" w:after="20"/>
              <w:jc w:val="right"/>
              <w:rPr>
                <w:color w:val="000000"/>
                <w:sz w:val="16"/>
                <w:szCs w:val="16"/>
              </w:rPr>
            </w:pPr>
            <w:r w:rsidRPr="00D86595">
              <w:rPr>
                <w:color w:val="000000"/>
                <w:sz w:val="16"/>
                <w:szCs w:val="16"/>
              </w:rPr>
              <w:t>753,200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31CA0CB8" w14:textId="77777777" w:rsidR="00A3627F" w:rsidRPr="00D86595" w:rsidRDefault="00A3627F" w:rsidP="00EC3EC9">
            <w:pPr>
              <w:spacing w:before="20" w:after="20"/>
              <w:jc w:val="right"/>
              <w:rPr>
                <w:color w:val="000000"/>
                <w:sz w:val="16"/>
                <w:szCs w:val="16"/>
              </w:rPr>
            </w:pPr>
            <w:r w:rsidRPr="00D86595">
              <w:rPr>
                <w:color w:val="000000"/>
                <w:sz w:val="16"/>
                <w:szCs w:val="16"/>
              </w:rPr>
              <w:t>786,400</w:t>
            </w:r>
          </w:p>
        </w:tc>
        <w:tc>
          <w:tcPr>
            <w:tcW w:w="902" w:type="dxa"/>
            <w:tcBorders>
              <w:top w:val="nil"/>
              <w:left w:val="nil"/>
              <w:bottom w:val="nil"/>
              <w:right w:val="nil"/>
            </w:tcBorders>
            <w:shd w:val="clear" w:color="auto" w:fill="auto"/>
            <w:tcMar>
              <w:top w:w="15" w:type="dxa"/>
              <w:left w:w="15" w:type="dxa"/>
              <w:bottom w:w="0" w:type="dxa"/>
              <w:right w:w="15" w:type="dxa"/>
            </w:tcMar>
            <w:vAlign w:val="bottom"/>
            <w:hideMark/>
          </w:tcPr>
          <w:p w14:paraId="2F56B5F4" w14:textId="77777777" w:rsidR="00A3627F" w:rsidRPr="00D86595" w:rsidRDefault="00A3627F" w:rsidP="00EC3EC9">
            <w:pPr>
              <w:spacing w:before="20" w:after="20"/>
              <w:jc w:val="right"/>
              <w:rPr>
                <w:color w:val="000000"/>
                <w:sz w:val="16"/>
                <w:szCs w:val="16"/>
              </w:rPr>
            </w:pPr>
            <w:r w:rsidRPr="00D86595">
              <w:rPr>
                <w:color w:val="000000"/>
                <w:sz w:val="16"/>
                <w:szCs w:val="16"/>
              </w:rPr>
              <w:t>810,900</w:t>
            </w:r>
          </w:p>
        </w:tc>
        <w:tc>
          <w:tcPr>
            <w:tcW w:w="866" w:type="dxa"/>
            <w:tcBorders>
              <w:top w:val="nil"/>
              <w:left w:val="nil"/>
              <w:bottom w:val="nil"/>
              <w:right w:val="nil"/>
            </w:tcBorders>
            <w:shd w:val="clear" w:color="auto" w:fill="auto"/>
            <w:tcMar>
              <w:top w:w="15" w:type="dxa"/>
              <w:left w:w="15" w:type="dxa"/>
              <w:bottom w:w="0" w:type="dxa"/>
              <w:right w:w="15" w:type="dxa"/>
            </w:tcMar>
            <w:vAlign w:val="bottom"/>
            <w:hideMark/>
          </w:tcPr>
          <w:p w14:paraId="2C8F1394" w14:textId="77777777" w:rsidR="00A3627F" w:rsidRPr="00D86595" w:rsidRDefault="00A3627F" w:rsidP="00EC3EC9">
            <w:pPr>
              <w:spacing w:before="20" w:after="20"/>
              <w:jc w:val="right"/>
              <w:rPr>
                <w:color w:val="000000"/>
                <w:sz w:val="16"/>
                <w:szCs w:val="16"/>
              </w:rPr>
            </w:pPr>
            <w:r w:rsidRPr="00D86595">
              <w:rPr>
                <w:color w:val="000000"/>
                <w:sz w:val="16"/>
                <w:szCs w:val="16"/>
              </w:rPr>
              <w:t>837,200</w:t>
            </w:r>
          </w:p>
        </w:tc>
      </w:tr>
      <w:tr w:rsidR="00A3627F" w14:paraId="69C2B87B" w14:textId="77777777" w:rsidTr="004817C4">
        <w:trPr>
          <w:trHeight w:val="170"/>
        </w:trPr>
        <w:tc>
          <w:tcPr>
            <w:tcW w:w="3544" w:type="dxa"/>
            <w:tcBorders>
              <w:top w:val="nil"/>
              <w:left w:val="nil"/>
              <w:bottom w:val="nil"/>
              <w:right w:val="nil"/>
            </w:tcBorders>
            <w:shd w:val="clear" w:color="auto" w:fill="auto"/>
            <w:tcMar>
              <w:top w:w="15" w:type="dxa"/>
              <w:left w:w="15" w:type="dxa"/>
              <w:bottom w:w="0" w:type="dxa"/>
              <w:right w:w="15" w:type="dxa"/>
            </w:tcMar>
            <w:vAlign w:val="bottom"/>
            <w:hideMark/>
          </w:tcPr>
          <w:p w14:paraId="735E8C53" w14:textId="77777777" w:rsidR="00A3627F" w:rsidRPr="00D86595" w:rsidRDefault="00A3627F" w:rsidP="00EC3EC9">
            <w:pPr>
              <w:spacing w:before="20" w:after="20"/>
              <w:rPr>
                <w:color w:val="000000"/>
                <w:sz w:val="16"/>
                <w:szCs w:val="16"/>
              </w:rPr>
            </w:pPr>
            <w:r w:rsidRPr="00D86595">
              <w:rPr>
                <w:color w:val="000000"/>
                <w:sz w:val="16"/>
                <w:szCs w:val="16"/>
              </w:rPr>
              <w:t>Real gross state product (per cent)</w:t>
            </w:r>
          </w:p>
        </w:tc>
        <w:tc>
          <w:tcPr>
            <w:tcW w:w="869" w:type="dxa"/>
            <w:tcBorders>
              <w:top w:val="nil"/>
              <w:left w:val="nil"/>
              <w:bottom w:val="nil"/>
              <w:right w:val="nil"/>
            </w:tcBorders>
            <w:shd w:val="clear" w:color="auto" w:fill="auto"/>
            <w:tcMar>
              <w:top w:w="15" w:type="dxa"/>
              <w:left w:w="15" w:type="dxa"/>
              <w:bottom w:w="0" w:type="dxa"/>
              <w:right w:w="15" w:type="dxa"/>
            </w:tcMar>
            <w:vAlign w:val="bottom"/>
            <w:hideMark/>
          </w:tcPr>
          <w:p w14:paraId="0D3A3C53" w14:textId="77777777" w:rsidR="00A3627F" w:rsidRPr="00D86595" w:rsidRDefault="00A3627F" w:rsidP="00EC3EC9">
            <w:pPr>
              <w:spacing w:before="20" w:after="20"/>
              <w:jc w:val="right"/>
              <w:rPr>
                <w:color w:val="000000"/>
                <w:sz w:val="16"/>
                <w:szCs w:val="16"/>
              </w:rPr>
            </w:pPr>
            <w:r w:rsidRPr="00D86595">
              <w:rPr>
                <w:color w:val="000000"/>
                <w:sz w:val="16"/>
                <w:szCs w:val="16"/>
              </w:rPr>
              <w:t>-0.6</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0E28EC7C" w14:textId="77777777" w:rsidR="00A3627F" w:rsidRPr="00D86595" w:rsidRDefault="00A3627F" w:rsidP="00EC3EC9">
            <w:pPr>
              <w:spacing w:before="20" w:after="20"/>
              <w:jc w:val="right"/>
              <w:rPr>
                <w:color w:val="000000"/>
                <w:sz w:val="16"/>
                <w:szCs w:val="16"/>
              </w:rPr>
            </w:pPr>
            <w:r w:rsidRPr="00D86595">
              <w:rPr>
                <w:color w:val="000000"/>
                <w:sz w:val="16"/>
                <w:szCs w:val="16"/>
              </w:rPr>
              <w:t>1.4</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53050A97" w14:textId="280437C4" w:rsidR="00A3627F" w:rsidRPr="00D86595" w:rsidRDefault="00C866FB" w:rsidP="00EC3EC9">
            <w:pPr>
              <w:spacing w:before="20" w:after="20"/>
              <w:jc w:val="right"/>
              <w:rPr>
                <w:color w:val="000000"/>
                <w:sz w:val="16"/>
                <w:szCs w:val="16"/>
              </w:rPr>
            </w:pPr>
            <w:r>
              <w:rPr>
                <w:color w:val="000000"/>
                <w:sz w:val="16"/>
                <w:szCs w:val="16"/>
              </w:rPr>
              <w:t>1</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03742FE1" w14:textId="3F8B7BDF" w:rsidR="00A3627F" w:rsidRPr="00D86595" w:rsidRDefault="00C866FB" w:rsidP="00EC3EC9">
            <w:pPr>
              <w:spacing w:before="20" w:after="20"/>
              <w:jc w:val="right"/>
              <w:rPr>
                <w:color w:val="000000"/>
                <w:sz w:val="16"/>
                <w:szCs w:val="16"/>
              </w:rPr>
            </w:pPr>
            <w:r>
              <w:rPr>
                <w:color w:val="000000"/>
                <w:sz w:val="16"/>
                <w:szCs w:val="16"/>
              </w:rPr>
              <w:t>4</w:t>
            </w:r>
            <w:r w:rsidRPr="00702C7F">
              <w:rPr>
                <w:color w:val="000000"/>
                <w:sz w:val="16"/>
                <w:szCs w:val="16"/>
              </w:rPr>
              <w:t>¼</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1B5D893B" w14:textId="1497D8FC" w:rsidR="00A3627F" w:rsidRPr="00D86595" w:rsidRDefault="00BE519A" w:rsidP="00EC3EC9">
            <w:pPr>
              <w:spacing w:before="20" w:after="20"/>
              <w:jc w:val="right"/>
              <w:rPr>
                <w:color w:val="000000"/>
                <w:sz w:val="16"/>
                <w:szCs w:val="16"/>
              </w:rPr>
            </w:pPr>
            <w:r>
              <w:rPr>
                <w:color w:val="000000"/>
                <w:sz w:val="16"/>
                <w:szCs w:val="16"/>
              </w:rPr>
              <w:t>3</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6E6662A4" w14:textId="481DE698" w:rsidR="00A3627F" w:rsidRPr="00D86595" w:rsidRDefault="00C866FB" w:rsidP="00EC3EC9">
            <w:pPr>
              <w:spacing w:before="20" w:after="20"/>
              <w:jc w:val="right"/>
              <w:rPr>
                <w:color w:val="000000"/>
                <w:sz w:val="16"/>
                <w:szCs w:val="16"/>
              </w:rPr>
            </w:pPr>
            <w:r>
              <w:rPr>
                <w:color w:val="000000"/>
                <w:sz w:val="16"/>
                <w:szCs w:val="16"/>
              </w:rPr>
              <w:t>2</w:t>
            </w:r>
            <w:r w:rsidRPr="00377041">
              <w:rPr>
                <w:color w:val="000000"/>
                <w:sz w:val="16"/>
                <w:szCs w:val="16"/>
              </w:rPr>
              <w:t>½</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68E30EFC" w14:textId="208C8054" w:rsidR="00A3627F" w:rsidRPr="00D86595" w:rsidRDefault="00377041" w:rsidP="00EC3EC9">
            <w:pPr>
              <w:spacing w:before="20" w:after="20"/>
              <w:jc w:val="right"/>
              <w:rPr>
                <w:color w:val="000000"/>
                <w:sz w:val="16"/>
                <w:szCs w:val="16"/>
              </w:rPr>
            </w:pPr>
            <w:r>
              <w:rPr>
                <w:color w:val="000000"/>
                <w:sz w:val="16"/>
                <w:szCs w:val="16"/>
              </w:rPr>
              <w:t>1</w:t>
            </w:r>
            <w:r w:rsidRPr="00377041">
              <w:rPr>
                <w:color w:val="000000"/>
                <w:sz w:val="16"/>
                <w:szCs w:val="16"/>
              </w:rPr>
              <w:t>½</w:t>
            </w:r>
          </w:p>
        </w:tc>
      </w:tr>
      <w:tr w:rsidR="00A3627F" w14:paraId="2A405E77"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6E2C25D7" w14:textId="77777777" w:rsidR="00A3627F" w:rsidRPr="00D86595" w:rsidRDefault="00A3627F" w:rsidP="00EC3EC9">
            <w:pPr>
              <w:spacing w:before="20" w:after="20"/>
              <w:rPr>
                <w:color w:val="000000"/>
                <w:sz w:val="16"/>
                <w:szCs w:val="16"/>
              </w:rPr>
            </w:pPr>
            <w:r w:rsidRPr="00D86595">
              <w:rPr>
                <w:color w:val="000000"/>
                <w:sz w:val="16"/>
                <w:szCs w:val="16"/>
              </w:rPr>
              <w:t>Real state final demand (per cent)</w:t>
            </w:r>
          </w:p>
        </w:tc>
        <w:tc>
          <w:tcPr>
            <w:tcW w:w="869" w:type="dxa"/>
            <w:tcBorders>
              <w:top w:val="nil"/>
              <w:left w:val="nil"/>
              <w:bottom w:val="nil"/>
              <w:right w:val="nil"/>
            </w:tcBorders>
            <w:shd w:val="clear" w:color="000000" w:fill="FFFFFF"/>
            <w:tcMar>
              <w:top w:w="15" w:type="dxa"/>
              <w:left w:w="15" w:type="dxa"/>
              <w:bottom w:w="0" w:type="dxa"/>
              <w:right w:w="15" w:type="dxa"/>
            </w:tcMar>
            <w:vAlign w:val="bottom"/>
            <w:hideMark/>
          </w:tcPr>
          <w:p w14:paraId="2EB49D2C" w14:textId="77777777" w:rsidR="00A3627F" w:rsidRPr="00D86595" w:rsidRDefault="00A3627F" w:rsidP="00EC3EC9">
            <w:pPr>
              <w:spacing w:before="20" w:after="20"/>
              <w:jc w:val="right"/>
              <w:rPr>
                <w:color w:val="000000"/>
                <w:sz w:val="16"/>
                <w:szCs w:val="16"/>
              </w:rPr>
            </w:pPr>
            <w:r w:rsidRPr="00D86595">
              <w:rPr>
                <w:color w:val="000000"/>
                <w:sz w:val="16"/>
                <w:szCs w:val="16"/>
              </w:rPr>
              <w:t>-2.0</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61FE6265" w14:textId="77777777" w:rsidR="00A3627F" w:rsidRPr="00D86595" w:rsidRDefault="00A3627F" w:rsidP="00EC3EC9">
            <w:pPr>
              <w:spacing w:before="20" w:after="20"/>
              <w:jc w:val="right"/>
              <w:rPr>
                <w:color w:val="000000"/>
                <w:sz w:val="16"/>
                <w:szCs w:val="16"/>
              </w:rPr>
            </w:pPr>
            <w:r w:rsidRPr="00D86595">
              <w:rPr>
                <w:color w:val="000000"/>
                <w:sz w:val="16"/>
                <w:szCs w:val="16"/>
              </w:rPr>
              <w:t>3.0</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7711AC7B" w14:textId="43E41AAD" w:rsidR="00A3627F" w:rsidRPr="00D86595" w:rsidRDefault="00C866FB" w:rsidP="00EC3EC9">
            <w:pPr>
              <w:spacing w:before="20" w:after="20"/>
              <w:jc w:val="right"/>
              <w:rPr>
                <w:color w:val="000000"/>
                <w:sz w:val="16"/>
                <w:szCs w:val="16"/>
              </w:rPr>
            </w:pPr>
            <w:r>
              <w:rPr>
                <w:color w:val="000000"/>
                <w:sz w:val="16"/>
                <w:szCs w:val="16"/>
              </w:rPr>
              <w:t>2</w:t>
            </w:r>
            <w:r w:rsidRPr="00591257">
              <w:rPr>
                <w:color w:val="000000"/>
                <w:sz w:val="16"/>
                <w:szCs w:val="16"/>
              </w:rPr>
              <w:t>¾</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7C12EB2F" w14:textId="232F4671" w:rsidR="00A3627F" w:rsidRPr="00D86595" w:rsidRDefault="00C866FB" w:rsidP="00EC3EC9">
            <w:pPr>
              <w:spacing w:before="20" w:after="20"/>
              <w:jc w:val="right"/>
              <w:rPr>
                <w:color w:val="000000"/>
                <w:sz w:val="16"/>
                <w:szCs w:val="16"/>
              </w:rPr>
            </w:pPr>
            <w:r>
              <w:rPr>
                <w:color w:val="000000"/>
                <w:sz w:val="16"/>
                <w:szCs w:val="16"/>
              </w:rPr>
              <w:t>5</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7CD557B1" w14:textId="6081693B" w:rsidR="00A3627F" w:rsidRPr="00D86595" w:rsidRDefault="00C866FB" w:rsidP="00EC3EC9">
            <w:pPr>
              <w:spacing w:before="20" w:after="20"/>
              <w:jc w:val="right"/>
              <w:rPr>
                <w:color w:val="000000"/>
                <w:sz w:val="16"/>
                <w:szCs w:val="16"/>
              </w:rPr>
            </w:pPr>
            <w:r>
              <w:rPr>
                <w:color w:val="000000"/>
                <w:sz w:val="16"/>
                <w:szCs w:val="16"/>
              </w:rPr>
              <w:t>1</w:t>
            </w:r>
            <w:r w:rsidRPr="00591257">
              <w:rPr>
                <w:color w:val="000000"/>
                <w:sz w:val="16"/>
                <w:szCs w:val="16"/>
              </w:rPr>
              <w:t>¾</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1F92179D" w14:textId="4AF3375F" w:rsidR="00A3627F" w:rsidRPr="00D86595" w:rsidRDefault="00C866FB" w:rsidP="00EC3EC9">
            <w:pPr>
              <w:spacing w:before="20" w:after="20"/>
              <w:jc w:val="right"/>
              <w:rPr>
                <w:color w:val="000000"/>
                <w:sz w:val="16"/>
                <w:szCs w:val="16"/>
              </w:rPr>
            </w:pPr>
            <w:r>
              <w:rPr>
                <w:color w:val="000000"/>
                <w:sz w:val="16"/>
                <w:szCs w:val="16"/>
              </w:rPr>
              <w:t>2</w:t>
            </w:r>
            <w:r w:rsidRPr="00702C7F">
              <w:rPr>
                <w:color w:val="000000"/>
                <w:sz w:val="16"/>
                <w:szCs w:val="16"/>
              </w:rPr>
              <w:t>¼</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42A0B4AE"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2    </w:t>
            </w:r>
          </w:p>
        </w:tc>
      </w:tr>
      <w:tr w:rsidR="00A3627F" w14:paraId="4DB7D1D5"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0274BA40" w14:textId="77777777" w:rsidR="00A3627F" w:rsidRPr="00D86595" w:rsidRDefault="00A3627F" w:rsidP="00EC3EC9">
            <w:pPr>
              <w:spacing w:before="20" w:after="20"/>
              <w:rPr>
                <w:color w:val="000000"/>
                <w:sz w:val="16"/>
                <w:szCs w:val="16"/>
              </w:rPr>
            </w:pPr>
            <w:r w:rsidRPr="00D86595">
              <w:rPr>
                <w:color w:val="000000"/>
                <w:sz w:val="16"/>
                <w:szCs w:val="16"/>
              </w:rPr>
              <w:t>Employment (per cent)</w:t>
            </w:r>
          </w:p>
        </w:tc>
        <w:tc>
          <w:tcPr>
            <w:tcW w:w="869" w:type="dxa"/>
            <w:tcBorders>
              <w:top w:val="nil"/>
              <w:left w:val="nil"/>
              <w:bottom w:val="nil"/>
              <w:right w:val="nil"/>
            </w:tcBorders>
            <w:shd w:val="clear" w:color="000000" w:fill="FFFFFF"/>
            <w:tcMar>
              <w:top w:w="15" w:type="dxa"/>
              <w:left w:w="15" w:type="dxa"/>
              <w:bottom w:w="0" w:type="dxa"/>
              <w:right w:w="15" w:type="dxa"/>
            </w:tcMar>
            <w:vAlign w:val="bottom"/>
            <w:hideMark/>
          </w:tcPr>
          <w:p w14:paraId="5319D382" w14:textId="77777777" w:rsidR="00A3627F" w:rsidRPr="00D86595" w:rsidRDefault="00A3627F" w:rsidP="00EC3EC9">
            <w:pPr>
              <w:spacing w:before="20" w:after="20"/>
              <w:jc w:val="right"/>
              <w:rPr>
                <w:color w:val="000000"/>
                <w:sz w:val="16"/>
                <w:szCs w:val="16"/>
              </w:rPr>
            </w:pPr>
            <w:r w:rsidRPr="00D86595">
              <w:rPr>
                <w:color w:val="000000"/>
                <w:sz w:val="16"/>
                <w:szCs w:val="16"/>
              </w:rPr>
              <w:t>0.0</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20D40D27" w14:textId="77777777" w:rsidR="00A3627F" w:rsidRPr="00D86595" w:rsidRDefault="00A3627F" w:rsidP="00EC3EC9">
            <w:pPr>
              <w:spacing w:before="20" w:after="20"/>
              <w:jc w:val="right"/>
              <w:rPr>
                <w:color w:val="000000"/>
                <w:sz w:val="16"/>
                <w:szCs w:val="16"/>
              </w:rPr>
            </w:pPr>
            <w:r w:rsidRPr="00D86595">
              <w:rPr>
                <w:color w:val="000000"/>
                <w:sz w:val="16"/>
                <w:szCs w:val="16"/>
              </w:rPr>
              <w:t>0.4</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0209635E"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1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3D35CA97"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53A9DA99"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1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363404F6" w14:textId="2030FDC7" w:rsidR="00A3627F" w:rsidRPr="00D86595" w:rsidRDefault="00C866FB" w:rsidP="00EC3EC9">
            <w:pPr>
              <w:spacing w:before="20" w:after="20"/>
              <w:jc w:val="right"/>
              <w:rPr>
                <w:color w:val="000000"/>
                <w:sz w:val="16"/>
                <w:szCs w:val="16"/>
              </w:rPr>
            </w:pPr>
            <w:r>
              <w:rPr>
                <w:color w:val="000000"/>
                <w:sz w:val="16"/>
                <w:szCs w:val="16"/>
              </w:rPr>
              <w:t>1</w:t>
            </w:r>
            <w:r w:rsidRPr="00702C7F">
              <w:rPr>
                <w:color w:val="000000"/>
                <w:sz w:val="16"/>
                <w:szCs w:val="16"/>
              </w:rPr>
              <w:t>¼</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04AF21FE"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1    </w:t>
            </w:r>
          </w:p>
        </w:tc>
      </w:tr>
      <w:tr w:rsidR="00A3627F" w14:paraId="3191F8B6"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1FF9B9F0" w14:textId="77777777" w:rsidR="00A3627F" w:rsidRPr="00D86595" w:rsidRDefault="00A3627F" w:rsidP="00EC3EC9">
            <w:pPr>
              <w:spacing w:before="20" w:after="20"/>
              <w:rPr>
                <w:color w:val="000000"/>
                <w:sz w:val="16"/>
                <w:szCs w:val="16"/>
              </w:rPr>
            </w:pPr>
            <w:r w:rsidRPr="00D86595">
              <w:rPr>
                <w:color w:val="000000"/>
                <w:sz w:val="16"/>
                <w:szCs w:val="16"/>
              </w:rPr>
              <w:t>Unemployment rate (per cent)</w:t>
            </w:r>
            <w:r w:rsidRPr="00D86595">
              <w:rPr>
                <w:color w:val="000000"/>
                <w:sz w:val="16"/>
                <w:szCs w:val="16"/>
                <w:vertAlign w:val="superscript"/>
              </w:rPr>
              <w:t>(c)</w:t>
            </w:r>
          </w:p>
        </w:tc>
        <w:tc>
          <w:tcPr>
            <w:tcW w:w="869" w:type="dxa"/>
            <w:tcBorders>
              <w:top w:val="nil"/>
              <w:left w:val="nil"/>
              <w:bottom w:val="nil"/>
              <w:right w:val="nil"/>
            </w:tcBorders>
            <w:shd w:val="clear" w:color="000000" w:fill="FFFFFF"/>
            <w:tcMar>
              <w:top w:w="15" w:type="dxa"/>
              <w:left w:w="15" w:type="dxa"/>
              <w:bottom w:w="0" w:type="dxa"/>
              <w:right w:w="15" w:type="dxa"/>
            </w:tcMar>
            <w:vAlign w:val="bottom"/>
            <w:hideMark/>
          </w:tcPr>
          <w:p w14:paraId="4A5EF2B2" w14:textId="77777777" w:rsidR="00A3627F" w:rsidRPr="00D86595" w:rsidRDefault="00A3627F" w:rsidP="00EC3EC9">
            <w:pPr>
              <w:spacing w:before="20" w:after="20"/>
              <w:jc w:val="right"/>
              <w:rPr>
                <w:color w:val="000000"/>
                <w:sz w:val="16"/>
                <w:szCs w:val="16"/>
              </w:rPr>
            </w:pPr>
            <w:r w:rsidRPr="00D86595">
              <w:rPr>
                <w:color w:val="000000"/>
                <w:sz w:val="16"/>
                <w:szCs w:val="16"/>
              </w:rPr>
              <w:t>6.5</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37916D95" w14:textId="77777777" w:rsidR="00A3627F" w:rsidRPr="00D86595" w:rsidRDefault="00A3627F" w:rsidP="00EC3EC9">
            <w:pPr>
              <w:spacing w:before="20" w:after="20"/>
              <w:jc w:val="right"/>
              <w:rPr>
                <w:color w:val="000000"/>
                <w:sz w:val="16"/>
                <w:szCs w:val="16"/>
              </w:rPr>
            </w:pPr>
            <w:r w:rsidRPr="00D86595">
              <w:rPr>
                <w:color w:val="000000"/>
                <w:sz w:val="16"/>
                <w:szCs w:val="16"/>
              </w:rPr>
              <w:t>5.2</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6125BB94" w14:textId="3198080B" w:rsidR="00A3627F" w:rsidRPr="00D86595" w:rsidRDefault="00C866FB" w:rsidP="00EC3EC9">
            <w:pPr>
              <w:spacing w:before="20" w:after="20"/>
              <w:jc w:val="right"/>
              <w:rPr>
                <w:color w:val="000000"/>
                <w:sz w:val="16"/>
                <w:szCs w:val="16"/>
              </w:rPr>
            </w:pPr>
            <w:r>
              <w:rPr>
                <w:color w:val="000000"/>
                <w:sz w:val="16"/>
                <w:szCs w:val="16"/>
              </w:rPr>
              <w:t>3</w:t>
            </w:r>
            <w:r w:rsidRPr="00591257">
              <w:rPr>
                <w:color w:val="000000"/>
                <w:sz w:val="16"/>
                <w:szCs w:val="16"/>
              </w:rPr>
              <w:t>¾</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7F99FD6B" w14:textId="6858C580" w:rsidR="00A3627F" w:rsidRPr="00D86595" w:rsidRDefault="00C866FB" w:rsidP="00EC3EC9">
            <w:pPr>
              <w:spacing w:before="20" w:after="20"/>
              <w:jc w:val="right"/>
              <w:rPr>
                <w:color w:val="000000"/>
                <w:sz w:val="16"/>
                <w:szCs w:val="16"/>
              </w:rPr>
            </w:pPr>
            <w:r>
              <w:rPr>
                <w:color w:val="000000"/>
                <w:sz w:val="16"/>
                <w:szCs w:val="16"/>
              </w:rPr>
              <w:t>3</w:t>
            </w:r>
            <w:r w:rsidRPr="00591257">
              <w:rPr>
                <w:color w:val="000000"/>
                <w:sz w:val="16"/>
                <w:szCs w:val="16"/>
              </w:rPr>
              <w:t>¾</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519BFE36" w14:textId="06EDF077" w:rsidR="00A3627F" w:rsidRPr="00D86595" w:rsidRDefault="00C866FB" w:rsidP="00EC3EC9">
            <w:pPr>
              <w:spacing w:before="20" w:after="20"/>
              <w:jc w:val="right"/>
              <w:rPr>
                <w:color w:val="000000"/>
                <w:sz w:val="16"/>
                <w:szCs w:val="16"/>
              </w:rPr>
            </w:pPr>
            <w:r>
              <w:rPr>
                <w:color w:val="000000"/>
                <w:sz w:val="16"/>
                <w:szCs w:val="16"/>
              </w:rPr>
              <w:t>3</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68743FB2" w14:textId="6FC6B9B4" w:rsidR="00A3627F" w:rsidRPr="00D86595" w:rsidRDefault="00C866FB" w:rsidP="00EC3EC9">
            <w:pPr>
              <w:spacing w:before="20" w:after="20"/>
              <w:jc w:val="right"/>
              <w:rPr>
                <w:color w:val="000000"/>
                <w:sz w:val="16"/>
                <w:szCs w:val="16"/>
              </w:rPr>
            </w:pPr>
            <w:r>
              <w:rPr>
                <w:color w:val="000000"/>
                <w:sz w:val="16"/>
                <w:szCs w:val="16"/>
              </w:rPr>
              <w:t>3</w:t>
            </w:r>
            <w:r w:rsidRPr="00377041">
              <w:rPr>
                <w:color w:val="000000"/>
                <w:sz w:val="16"/>
                <w:szCs w:val="16"/>
              </w:rPr>
              <w:t>½</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4EBC86F3" w14:textId="59E76166" w:rsidR="00A3627F" w:rsidRPr="00D86595" w:rsidRDefault="00B446BC" w:rsidP="00EC3EC9">
            <w:pPr>
              <w:spacing w:before="20" w:after="20"/>
              <w:jc w:val="right"/>
              <w:rPr>
                <w:color w:val="000000"/>
                <w:sz w:val="16"/>
                <w:szCs w:val="16"/>
              </w:rPr>
            </w:pPr>
            <w:r>
              <w:rPr>
                <w:color w:val="000000"/>
                <w:sz w:val="16"/>
                <w:szCs w:val="16"/>
              </w:rPr>
              <w:t>3</w:t>
            </w:r>
            <w:r w:rsidRPr="00591257">
              <w:rPr>
                <w:color w:val="000000"/>
                <w:sz w:val="16"/>
                <w:szCs w:val="16"/>
              </w:rPr>
              <w:t>¾</w:t>
            </w:r>
          </w:p>
        </w:tc>
      </w:tr>
      <w:tr w:rsidR="00A3627F" w14:paraId="11D5BAAE"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47FF2F30" w14:textId="77777777" w:rsidR="00A3627F" w:rsidRPr="00D86595" w:rsidRDefault="00A3627F" w:rsidP="00EC3EC9">
            <w:pPr>
              <w:spacing w:before="20" w:after="20"/>
              <w:rPr>
                <w:color w:val="000000"/>
                <w:sz w:val="16"/>
                <w:szCs w:val="16"/>
              </w:rPr>
            </w:pPr>
            <w:r w:rsidRPr="00D86595">
              <w:rPr>
                <w:color w:val="000000"/>
                <w:sz w:val="16"/>
                <w:szCs w:val="16"/>
              </w:rPr>
              <w:t>Sydney consumer price index (per cent)</w:t>
            </w:r>
            <w:r w:rsidRPr="00D86595">
              <w:rPr>
                <w:color w:val="000000"/>
                <w:sz w:val="16"/>
                <w:szCs w:val="16"/>
                <w:vertAlign w:val="superscript"/>
              </w:rPr>
              <w:t>(d)</w:t>
            </w:r>
          </w:p>
        </w:tc>
        <w:tc>
          <w:tcPr>
            <w:tcW w:w="869" w:type="dxa"/>
            <w:tcBorders>
              <w:top w:val="nil"/>
              <w:left w:val="nil"/>
              <w:bottom w:val="nil"/>
              <w:right w:val="nil"/>
            </w:tcBorders>
            <w:shd w:val="clear" w:color="auto" w:fill="auto"/>
            <w:tcMar>
              <w:top w:w="15" w:type="dxa"/>
              <w:left w:w="15" w:type="dxa"/>
              <w:bottom w:w="0" w:type="dxa"/>
              <w:right w:w="15" w:type="dxa"/>
            </w:tcMar>
            <w:vAlign w:val="bottom"/>
            <w:hideMark/>
          </w:tcPr>
          <w:p w14:paraId="23C232CF" w14:textId="77777777" w:rsidR="00A3627F" w:rsidRPr="00D86595" w:rsidRDefault="00A3627F" w:rsidP="00EC3EC9">
            <w:pPr>
              <w:spacing w:before="20" w:after="20"/>
              <w:jc w:val="right"/>
              <w:rPr>
                <w:color w:val="000000"/>
                <w:sz w:val="16"/>
                <w:szCs w:val="16"/>
              </w:rPr>
            </w:pPr>
            <w:r w:rsidRPr="00D86595">
              <w:rPr>
                <w:color w:val="000000"/>
                <w:sz w:val="16"/>
                <w:szCs w:val="16"/>
              </w:rPr>
              <w:t>1.0</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6C23F807" w14:textId="77777777" w:rsidR="00A3627F" w:rsidRPr="00D86595" w:rsidRDefault="00A3627F" w:rsidP="00EC3EC9">
            <w:pPr>
              <w:spacing w:before="20" w:after="20"/>
              <w:jc w:val="right"/>
              <w:rPr>
                <w:color w:val="000000"/>
                <w:sz w:val="16"/>
                <w:szCs w:val="16"/>
              </w:rPr>
            </w:pPr>
            <w:r w:rsidRPr="00D86595">
              <w:rPr>
                <w:color w:val="000000"/>
                <w:sz w:val="16"/>
                <w:szCs w:val="16"/>
              </w:rPr>
              <w:t>1.5</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3AEF13AA"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4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00D222A0" w14:textId="30131B3F" w:rsidR="00A3627F" w:rsidRPr="00D86595" w:rsidRDefault="00C866FB" w:rsidP="00EC3EC9">
            <w:pPr>
              <w:spacing w:before="20" w:after="20"/>
              <w:jc w:val="right"/>
              <w:rPr>
                <w:color w:val="000000"/>
                <w:sz w:val="16"/>
                <w:szCs w:val="16"/>
              </w:rPr>
            </w:pPr>
            <w:r>
              <w:rPr>
                <w:color w:val="000000"/>
                <w:sz w:val="16"/>
                <w:szCs w:val="16"/>
              </w:rPr>
              <w:t>5</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1886FAA4"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0D4A26FF"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70C6B334" w14:textId="08631151" w:rsidR="00A3627F" w:rsidRPr="00D86595" w:rsidRDefault="00B446BC" w:rsidP="00EC3EC9">
            <w:pPr>
              <w:spacing w:before="20" w:after="20"/>
              <w:jc w:val="right"/>
              <w:rPr>
                <w:color w:val="000000"/>
                <w:sz w:val="16"/>
                <w:szCs w:val="16"/>
              </w:rPr>
            </w:pPr>
            <w:r>
              <w:rPr>
                <w:color w:val="000000"/>
                <w:sz w:val="16"/>
                <w:szCs w:val="16"/>
              </w:rPr>
              <w:t>2</w:t>
            </w:r>
            <w:r w:rsidRPr="00591257">
              <w:rPr>
                <w:color w:val="000000"/>
                <w:sz w:val="16"/>
                <w:szCs w:val="16"/>
              </w:rPr>
              <w:t>¾</w:t>
            </w:r>
          </w:p>
        </w:tc>
      </w:tr>
      <w:tr w:rsidR="00A3627F" w14:paraId="599B229E"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4F676CEB" w14:textId="77777777" w:rsidR="00A3627F" w:rsidRPr="00D86595" w:rsidRDefault="00A3627F" w:rsidP="00EC3EC9">
            <w:pPr>
              <w:spacing w:before="20" w:after="20"/>
              <w:rPr>
                <w:color w:val="000000"/>
                <w:sz w:val="16"/>
                <w:szCs w:val="16"/>
              </w:rPr>
            </w:pPr>
            <w:r w:rsidRPr="00D86595">
              <w:rPr>
                <w:color w:val="000000"/>
                <w:sz w:val="16"/>
                <w:szCs w:val="16"/>
              </w:rPr>
              <w:t>Sydney consumer price index excluding tobacco excise effect (per cent)</w:t>
            </w:r>
          </w:p>
        </w:tc>
        <w:tc>
          <w:tcPr>
            <w:tcW w:w="869" w:type="dxa"/>
            <w:tcBorders>
              <w:top w:val="nil"/>
              <w:left w:val="nil"/>
              <w:bottom w:val="nil"/>
              <w:right w:val="nil"/>
            </w:tcBorders>
            <w:shd w:val="clear" w:color="auto" w:fill="auto"/>
            <w:tcMar>
              <w:top w:w="15" w:type="dxa"/>
              <w:left w:w="15" w:type="dxa"/>
              <w:bottom w:w="0" w:type="dxa"/>
              <w:right w:w="15" w:type="dxa"/>
            </w:tcMar>
            <w:vAlign w:val="bottom"/>
            <w:hideMark/>
          </w:tcPr>
          <w:p w14:paraId="4DCA46B1" w14:textId="77777777" w:rsidR="00A3627F" w:rsidRPr="00D86595" w:rsidRDefault="00A3627F" w:rsidP="00EC3EC9">
            <w:pPr>
              <w:spacing w:before="20" w:after="20"/>
              <w:jc w:val="right"/>
              <w:rPr>
                <w:color w:val="000000"/>
                <w:sz w:val="16"/>
                <w:szCs w:val="16"/>
              </w:rPr>
            </w:pPr>
            <w:r w:rsidRPr="00D86595">
              <w:rPr>
                <w:color w:val="000000"/>
                <w:sz w:val="16"/>
                <w:szCs w:val="16"/>
              </w:rPr>
              <w:t>0.8</w:t>
            </w:r>
          </w:p>
        </w:tc>
        <w:tc>
          <w:tcPr>
            <w:tcW w:w="858" w:type="dxa"/>
            <w:tcBorders>
              <w:top w:val="nil"/>
              <w:left w:val="nil"/>
              <w:bottom w:val="nil"/>
              <w:right w:val="nil"/>
            </w:tcBorders>
            <w:shd w:val="clear" w:color="auto" w:fill="auto"/>
            <w:tcMar>
              <w:top w:w="15" w:type="dxa"/>
              <w:left w:w="15" w:type="dxa"/>
              <w:bottom w:w="0" w:type="dxa"/>
              <w:right w:w="15" w:type="dxa"/>
            </w:tcMar>
            <w:vAlign w:val="bottom"/>
            <w:hideMark/>
          </w:tcPr>
          <w:p w14:paraId="6406CD8A" w14:textId="77777777" w:rsidR="00A3627F" w:rsidRPr="00D86595" w:rsidRDefault="00A3627F" w:rsidP="00EC3EC9">
            <w:pPr>
              <w:spacing w:before="20" w:after="20"/>
              <w:jc w:val="right"/>
              <w:rPr>
                <w:color w:val="000000"/>
                <w:sz w:val="16"/>
                <w:szCs w:val="16"/>
              </w:rPr>
            </w:pPr>
            <w:r w:rsidRPr="00D86595">
              <w:rPr>
                <w:color w:val="000000"/>
                <w:sz w:val="16"/>
                <w:szCs w:val="16"/>
              </w:rPr>
              <w:t>1.3</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74080DC8"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4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7405AC03" w14:textId="4C32BCB6" w:rsidR="00A3627F" w:rsidRPr="00D86595" w:rsidRDefault="00C866FB" w:rsidP="00EC3EC9">
            <w:pPr>
              <w:spacing w:before="20" w:after="20"/>
              <w:jc w:val="right"/>
              <w:rPr>
                <w:color w:val="000000"/>
                <w:sz w:val="16"/>
                <w:szCs w:val="16"/>
              </w:rPr>
            </w:pPr>
            <w:r>
              <w:rPr>
                <w:color w:val="000000"/>
                <w:sz w:val="16"/>
                <w:szCs w:val="16"/>
              </w:rPr>
              <w:t>5</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18A4E0C2"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084F3B16"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629A6ED7" w14:textId="04280C6B" w:rsidR="00A3627F" w:rsidRPr="00D86595" w:rsidRDefault="00591257" w:rsidP="00EC3EC9">
            <w:pPr>
              <w:spacing w:before="20" w:after="20"/>
              <w:jc w:val="right"/>
              <w:rPr>
                <w:color w:val="000000"/>
                <w:sz w:val="16"/>
                <w:szCs w:val="16"/>
              </w:rPr>
            </w:pPr>
            <w:r>
              <w:rPr>
                <w:color w:val="000000"/>
                <w:sz w:val="16"/>
                <w:szCs w:val="16"/>
              </w:rPr>
              <w:t>2</w:t>
            </w:r>
            <w:r w:rsidRPr="00591257">
              <w:rPr>
                <w:color w:val="000000"/>
                <w:sz w:val="16"/>
                <w:szCs w:val="16"/>
              </w:rPr>
              <w:t>¾</w:t>
            </w:r>
          </w:p>
        </w:tc>
      </w:tr>
      <w:tr w:rsidR="00A3627F" w14:paraId="08173F17" w14:textId="77777777" w:rsidTr="004817C4">
        <w:trPr>
          <w:trHeight w:val="170"/>
        </w:trPr>
        <w:tc>
          <w:tcPr>
            <w:tcW w:w="3544" w:type="dxa"/>
            <w:tcBorders>
              <w:top w:val="nil"/>
              <w:left w:val="nil"/>
              <w:bottom w:val="nil"/>
              <w:right w:val="nil"/>
            </w:tcBorders>
            <w:shd w:val="clear" w:color="000000" w:fill="FFFFFF"/>
            <w:tcMar>
              <w:top w:w="15" w:type="dxa"/>
              <w:left w:w="15" w:type="dxa"/>
              <w:bottom w:w="0" w:type="dxa"/>
              <w:right w:w="15" w:type="dxa"/>
            </w:tcMar>
            <w:vAlign w:val="bottom"/>
            <w:hideMark/>
          </w:tcPr>
          <w:p w14:paraId="2F8BF28C" w14:textId="77777777" w:rsidR="00A3627F" w:rsidRPr="00D86595" w:rsidRDefault="00A3627F" w:rsidP="00EC3EC9">
            <w:pPr>
              <w:spacing w:before="20" w:after="20"/>
              <w:rPr>
                <w:color w:val="000000"/>
                <w:sz w:val="16"/>
                <w:szCs w:val="16"/>
              </w:rPr>
            </w:pPr>
            <w:r w:rsidRPr="00D86595">
              <w:rPr>
                <w:color w:val="000000"/>
                <w:sz w:val="16"/>
                <w:szCs w:val="16"/>
              </w:rPr>
              <w:t>Wage price index</w:t>
            </w:r>
            <w:r w:rsidRPr="00D86595">
              <w:rPr>
                <w:color w:val="000000"/>
                <w:sz w:val="16"/>
                <w:szCs w:val="16"/>
                <w:vertAlign w:val="superscript"/>
              </w:rPr>
              <w:t xml:space="preserve"> </w:t>
            </w:r>
            <w:r w:rsidRPr="00D86595">
              <w:rPr>
                <w:color w:val="000000"/>
                <w:sz w:val="16"/>
                <w:szCs w:val="16"/>
              </w:rPr>
              <w:t>(per cent)</w:t>
            </w:r>
            <w:r w:rsidRPr="00D86595">
              <w:rPr>
                <w:color w:val="000000"/>
                <w:sz w:val="16"/>
                <w:szCs w:val="16"/>
                <w:vertAlign w:val="superscript"/>
              </w:rPr>
              <w:t>(e)</w:t>
            </w:r>
          </w:p>
        </w:tc>
        <w:tc>
          <w:tcPr>
            <w:tcW w:w="869" w:type="dxa"/>
            <w:tcBorders>
              <w:top w:val="nil"/>
              <w:left w:val="nil"/>
              <w:bottom w:val="nil"/>
              <w:right w:val="nil"/>
            </w:tcBorders>
            <w:shd w:val="clear" w:color="000000" w:fill="FFFFFF"/>
            <w:tcMar>
              <w:top w:w="15" w:type="dxa"/>
              <w:left w:w="15" w:type="dxa"/>
              <w:bottom w:w="0" w:type="dxa"/>
              <w:right w:w="15" w:type="dxa"/>
            </w:tcMar>
            <w:vAlign w:val="bottom"/>
            <w:hideMark/>
          </w:tcPr>
          <w:p w14:paraId="26E4B4F6" w14:textId="77777777" w:rsidR="00A3627F" w:rsidRPr="00D86595" w:rsidRDefault="00A3627F" w:rsidP="00EC3EC9">
            <w:pPr>
              <w:spacing w:before="20" w:after="20"/>
              <w:jc w:val="right"/>
              <w:rPr>
                <w:color w:val="000000"/>
                <w:sz w:val="16"/>
                <w:szCs w:val="16"/>
              </w:rPr>
            </w:pPr>
            <w:r w:rsidRPr="00D86595">
              <w:rPr>
                <w:color w:val="000000"/>
                <w:sz w:val="16"/>
                <w:szCs w:val="16"/>
              </w:rPr>
              <w:t>2.0</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2EFEFB83" w14:textId="77777777" w:rsidR="00A3627F" w:rsidRPr="00D86595" w:rsidRDefault="00A3627F" w:rsidP="00EC3EC9">
            <w:pPr>
              <w:spacing w:before="20" w:after="20"/>
              <w:jc w:val="right"/>
              <w:rPr>
                <w:color w:val="000000"/>
                <w:sz w:val="16"/>
                <w:szCs w:val="16"/>
              </w:rPr>
            </w:pPr>
            <w:r w:rsidRPr="00D86595">
              <w:rPr>
                <w:color w:val="000000"/>
                <w:sz w:val="16"/>
                <w:szCs w:val="16"/>
              </w:rPr>
              <w:t>1.5</w:t>
            </w:r>
          </w:p>
        </w:tc>
        <w:tc>
          <w:tcPr>
            <w:tcW w:w="858" w:type="dxa"/>
            <w:tcBorders>
              <w:top w:val="nil"/>
              <w:left w:val="nil"/>
              <w:bottom w:val="nil"/>
              <w:right w:val="nil"/>
            </w:tcBorders>
            <w:shd w:val="clear" w:color="000000" w:fill="FFFFFF"/>
            <w:tcMar>
              <w:top w:w="15" w:type="dxa"/>
              <w:left w:w="15" w:type="dxa"/>
              <w:bottom w:w="0" w:type="dxa"/>
              <w:right w:w="15" w:type="dxa"/>
            </w:tcMar>
            <w:vAlign w:val="bottom"/>
            <w:hideMark/>
          </w:tcPr>
          <w:p w14:paraId="0703A8A2" w14:textId="64A88149" w:rsidR="00A3627F" w:rsidRPr="00D86595" w:rsidRDefault="00C866FB" w:rsidP="00EC3EC9">
            <w:pPr>
              <w:spacing w:before="20" w:after="20"/>
              <w:jc w:val="right"/>
              <w:rPr>
                <w:color w:val="000000"/>
                <w:sz w:val="16"/>
                <w:szCs w:val="16"/>
              </w:rPr>
            </w:pPr>
            <w:r>
              <w:rPr>
                <w:color w:val="000000"/>
                <w:sz w:val="16"/>
                <w:szCs w:val="16"/>
              </w:rPr>
              <w:t>2</w:t>
            </w:r>
            <w:r w:rsidRPr="00702C7F">
              <w:rPr>
                <w:color w:val="000000"/>
                <w:sz w:val="16"/>
                <w:szCs w:val="16"/>
              </w:rPr>
              <w:t>¼</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326912BD" w14:textId="30488DE6" w:rsidR="00A3627F" w:rsidRPr="00D86595" w:rsidRDefault="00C866FB" w:rsidP="00EC3EC9">
            <w:pPr>
              <w:spacing w:before="20" w:after="20"/>
              <w:jc w:val="right"/>
              <w:rPr>
                <w:color w:val="000000"/>
                <w:sz w:val="16"/>
                <w:szCs w:val="16"/>
              </w:rPr>
            </w:pPr>
            <w:r>
              <w:rPr>
                <w:color w:val="000000"/>
                <w:sz w:val="16"/>
                <w:szCs w:val="16"/>
              </w:rPr>
              <w:t>3</w:t>
            </w:r>
            <w:r w:rsidRPr="00377041">
              <w:rPr>
                <w:color w:val="000000"/>
                <w:sz w:val="16"/>
                <w:szCs w:val="16"/>
              </w:rPr>
              <w:t>½</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0400A5DE" w14:textId="2BA85003" w:rsidR="00A3627F" w:rsidRPr="00D86595" w:rsidRDefault="00CB49FA" w:rsidP="00EC3EC9">
            <w:pPr>
              <w:spacing w:before="20" w:after="20"/>
              <w:jc w:val="right"/>
              <w:rPr>
                <w:color w:val="000000"/>
                <w:sz w:val="16"/>
                <w:szCs w:val="16"/>
              </w:rPr>
            </w:pPr>
            <w:r w:rsidRPr="00CB49FA">
              <w:rPr>
                <w:color w:val="000000"/>
                <w:sz w:val="16"/>
                <w:szCs w:val="16"/>
              </w:rPr>
              <w:t>3¼</w:t>
            </w:r>
          </w:p>
        </w:tc>
        <w:tc>
          <w:tcPr>
            <w:tcW w:w="902" w:type="dxa"/>
            <w:tcBorders>
              <w:top w:val="nil"/>
              <w:left w:val="nil"/>
              <w:bottom w:val="nil"/>
              <w:right w:val="nil"/>
            </w:tcBorders>
            <w:shd w:val="clear" w:color="000000" w:fill="FFFFFF"/>
            <w:tcMar>
              <w:top w:w="15" w:type="dxa"/>
              <w:left w:w="15" w:type="dxa"/>
              <w:bottom w:w="0" w:type="dxa"/>
              <w:right w:w="15" w:type="dxa"/>
            </w:tcMar>
            <w:vAlign w:val="bottom"/>
            <w:hideMark/>
          </w:tcPr>
          <w:p w14:paraId="27E7FAE2" w14:textId="489F537A" w:rsidR="00A3627F" w:rsidRPr="00D86595" w:rsidRDefault="00CB49FA" w:rsidP="00EC3EC9">
            <w:pPr>
              <w:spacing w:before="20" w:after="20"/>
              <w:jc w:val="right"/>
              <w:rPr>
                <w:color w:val="000000"/>
                <w:sz w:val="16"/>
                <w:szCs w:val="16"/>
              </w:rPr>
            </w:pPr>
            <w:r w:rsidRPr="00CB49FA">
              <w:rPr>
                <w:color w:val="000000"/>
                <w:sz w:val="16"/>
                <w:szCs w:val="16"/>
              </w:rPr>
              <w:t>3¼</w:t>
            </w:r>
          </w:p>
        </w:tc>
        <w:tc>
          <w:tcPr>
            <w:tcW w:w="866" w:type="dxa"/>
            <w:tcBorders>
              <w:top w:val="nil"/>
              <w:left w:val="nil"/>
              <w:bottom w:val="nil"/>
              <w:right w:val="nil"/>
            </w:tcBorders>
            <w:shd w:val="clear" w:color="000000" w:fill="FFFFFF"/>
            <w:tcMar>
              <w:top w:w="15" w:type="dxa"/>
              <w:left w:w="15" w:type="dxa"/>
              <w:bottom w:w="0" w:type="dxa"/>
              <w:right w:w="15" w:type="dxa"/>
            </w:tcMar>
            <w:vAlign w:val="bottom"/>
            <w:hideMark/>
          </w:tcPr>
          <w:p w14:paraId="099083A6" w14:textId="1BEC6C57" w:rsidR="00A3627F" w:rsidRPr="00D86595" w:rsidRDefault="00702C7F" w:rsidP="00EC3EC9">
            <w:pPr>
              <w:spacing w:before="20" w:after="20"/>
              <w:jc w:val="right"/>
              <w:rPr>
                <w:color w:val="000000"/>
                <w:sz w:val="16"/>
                <w:szCs w:val="16"/>
              </w:rPr>
            </w:pPr>
            <w:r w:rsidRPr="00702C7F">
              <w:rPr>
                <w:color w:val="000000"/>
                <w:sz w:val="16"/>
                <w:szCs w:val="16"/>
              </w:rPr>
              <w:t>3¼</w:t>
            </w:r>
          </w:p>
        </w:tc>
      </w:tr>
      <w:tr w:rsidR="00A3627F" w14:paraId="4D1A6D2B" w14:textId="77777777" w:rsidTr="004817C4">
        <w:trPr>
          <w:trHeight w:val="170"/>
        </w:trPr>
        <w:tc>
          <w:tcPr>
            <w:tcW w:w="3544"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7EDC0947" w14:textId="77777777" w:rsidR="00A3627F" w:rsidRPr="00D86595" w:rsidRDefault="00A3627F" w:rsidP="00EC3EC9">
            <w:pPr>
              <w:spacing w:before="20" w:after="20"/>
              <w:rPr>
                <w:color w:val="000000"/>
                <w:sz w:val="16"/>
                <w:szCs w:val="16"/>
              </w:rPr>
            </w:pPr>
            <w:r w:rsidRPr="00D86595">
              <w:rPr>
                <w:color w:val="000000"/>
                <w:sz w:val="16"/>
                <w:szCs w:val="16"/>
              </w:rPr>
              <w:t>Nominal gross state product</w:t>
            </w:r>
          </w:p>
        </w:tc>
        <w:tc>
          <w:tcPr>
            <w:tcW w:w="869"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5A5CE446" w14:textId="77777777" w:rsidR="00A3627F" w:rsidRPr="00D86595" w:rsidRDefault="00A3627F" w:rsidP="00EC3EC9">
            <w:pPr>
              <w:spacing w:before="20" w:after="20"/>
              <w:jc w:val="right"/>
              <w:rPr>
                <w:color w:val="000000"/>
                <w:sz w:val="16"/>
                <w:szCs w:val="16"/>
              </w:rPr>
            </w:pPr>
            <w:r w:rsidRPr="00D86595">
              <w:rPr>
                <w:color w:val="000000"/>
                <w:sz w:val="16"/>
                <w:szCs w:val="16"/>
              </w:rPr>
              <w:t>-0.1</w:t>
            </w:r>
          </w:p>
        </w:tc>
        <w:tc>
          <w:tcPr>
            <w:tcW w:w="858"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38AE3875" w14:textId="77777777" w:rsidR="00A3627F" w:rsidRPr="00D86595" w:rsidRDefault="00A3627F" w:rsidP="00EC3EC9">
            <w:pPr>
              <w:spacing w:before="20" w:after="20"/>
              <w:jc w:val="right"/>
              <w:rPr>
                <w:color w:val="000000"/>
                <w:sz w:val="16"/>
                <w:szCs w:val="16"/>
              </w:rPr>
            </w:pPr>
            <w:r w:rsidRPr="00D86595">
              <w:rPr>
                <w:color w:val="000000"/>
                <w:sz w:val="16"/>
                <w:szCs w:val="16"/>
              </w:rPr>
              <w:t>3.0</w:t>
            </w:r>
          </w:p>
        </w:tc>
        <w:tc>
          <w:tcPr>
            <w:tcW w:w="858"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0EB8B0FB" w14:textId="5C1C586E" w:rsidR="00A3627F" w:rsidRPr="00D86595" w:rsidRDefault="009A46FB" w:rsidP="00EC3EC9">
            <w:pPr>
              <w:spacing w:before="20" w:after="20"/>
              <w:jc w:val="right"/>
              <w:rPr>
                <w:color w:val="000000"/>
                <w:sz w:val="16"/>
                <w:szCs w:val="16"/>
              </w:rPr>
            </w:pPr>
            <w:r w:rsidRPr="009A46FB">
              <w:rPr>
                <w:color w:val="000000"/>
                <w:sz w:val="16"/>
                <w:szCs w:val="16"/>
              </w:rPr>
              <w:t>6¾</w:t>
            </w:r>
          </w:p>
        </w:tc>
        <w:tc>
          <w:tcPr>
            <w:tcW w:w="902"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5E6A43CE" w14:textId="4F94C530" w:rsidR="00A3627F" w:rsidRPr="00D86595" w:rsidRDefault="009A46FB" w:rsidP="00EC3EC9">
            <w:pPr>
              <w:spacing w:before="20" w:after="20"/>
              <w:jc w:val="right"/>
              <w:rPr>
                <w:color w:val="000000"/>
                <w:sz w:val="16"/>
                <w:szCs w:val="16"/>
              </w:rPr>
            </w:pPr>
            <w:r>
              <w:rPr>
                <w:color w:val="000000"/>
                <w:sz w:val="16"/>
                <w:szCs w:val="16"/>
              </w:rPr>
              <w:t>9</w:t>
            </w:r>
            <w:r w:rsidRPr="009A46FB">
              <w:rPr>
                <w:color w:val="000000"/>
                <w:sz w:val="16"/>
                <w:szCs w:val="16"/>
              </w:rPr>
              <w:t>¾</w:t>
            </w:r>
          </w:p>
        </w:tc>
        <w:tc>
          <w:tcPr>
            <w:tcW w:w="902"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2DB81FA3" w14:textId="4F6A276C" w:rsidR="00A3627F" w:rsidRPr="00D86595" w:rsidRDefault="00733B49" w:rsidP="00EC3EC9">
            <w:pPr>
              <w:spacing w:before="20" w:after="20"/>
              <w:jc w:val="right"/>
              <w:rPr>
                <w:color w:val="000000"/>
                <w:sz w:val="16"/>
                <w:szCs w:val="16"/>
              </w:rPr>
            </w:pPr>
            <w:r>
              <w:rPr>
                <w:color w:val="000000"/>
                <w:sz w:val="16"/>
                <w:szCs w:val="16"/>
              </w:rPr>
              <w:t>4</w:t>
            </w:r>
            <w:r w:rsidRPr="00733B49">
              <w:rPr>
                <w:color w:val="000000"/>
                <w:sz w:val="16"/>
                <w:szCs w:val="16"/>
              </w:rPr>
              <w:t>½</w:t>
            </w:r>
          </w:p>
        </w:tc>
        <w:tc>
          <w:tcPr>
            <w:tcW w:w="902"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0BA275FA" w14:textId="77777777" w:rsidR="00A3627F" w:rsidRPr="00D86595" w:rsidRDefault="00A3627F" w:rsidP="00EC3EC9">
            <w:pPr>
              <w:spacing w:before="20" w:after="20"/>
              <w:jc w:val="right"/>
              <w:rPr>
                <w:color w:val="000000"/>
                <w:sz w:val="16"/>
                <w:szCs w:val="16"/>
              </w:rPr>
            </w:pPr>
            <w:r w:rsidRPr="00D86595">
              <w:rPr>
                <w:color w:val="000000"/>
                <w:sz w:val="16"/>
                <w:szCs w:val="16"/>
              </w:rPr>
              <w:t xml:space="preserve">3    </w:t>
            </w:r>
          </w:p>
        </w:tc>
        <w:tc>
          <w:tcPr>
            <w:tcW w:w="866" w:type="dxa"/>
            <w:tcBorders>
              <w:top w:val="nil"/>
              <w:left w:val="nil"/>
              <w:bottom w:val="single" w:sz="8" w:space="0" w:color="auto"/>
              <w:right w:val="nil"/>
            </w:tcBorders>
            <w:shd w:val="clear" w:color="000000" w:fill="FFFFFF"/>
            <w:tcMar>
              <w:top w:w="15" w:type="dxa"/>
              <w:left w:w="15" w:type="dxa"/>
              <w:bottom w:w="0" w:type="dxa"/>
              <w:right w:w="15" w:type="dxa"/>
            </w:tcMar>
            <w:vAlign w:val="bottom"/>
            <w:hideMark/>
          </w:tcPr>
          <w:p w14:paraId="7294AF6A" w14:textId="5E59AC2C" w:rsidR="00A3627F" w:rsidRPr="00D86595" w:rsidRDefault="00702C7F" w:rsidP="00EC3EC9">
            <w:pPr>
              <w:spacing w:before="20" w:after="20"/>
              <w:jc w:val="right"/>
              <w:rPr>
                <w:color w:val="000000"/>
                <w:sz w:val="16"/>
                <w:szCs w:val="16"/>
              </w:rPr>
            </w:pPr>
            <w:r w:rsidRPr="00702C7F">
              <w:rPr>
                <w:color w:val="000000"/>
                <w:sz w:val="16"/>
                <w:szCs w:val="16"/>
              </w:rPr>
              <w:t>3¼</w:t>
            </w:r>
          </w:p>
        </w:tc>
      </w:tr>
    </w:tbl>
    <w:p w14:paraId="6D477AA1" w14:textId="77777777" w:rsidR="00E52F45" w:rsidRPr="007F5E51" w:rsidRDefault="00E52F45">
      <w:pPr>
        <w:rPr>
          <w:sz w:val="10"/>
          <w:szCs w:val="10"/>
        </w:rPr>
      </w:pPr>
    </w:p>
    <w:p w14:paraId="27DC4555" w14:textId="2CB6BBEA" w:rsidR="00E52F45" w:rsidRPr="00D86595" w:rsidRDefault="00E52F45" w:rsidP="00BB7704">
      <w:pPr>
        <w:ind w:left="357" w:hanging="357"/>
        <w:rPr>
          <w:color w:val="000000"/>
          <w:sz w:val="16"/>
          <w:szCs w:val="16"/>
        </w:rPr>
      </w:pPr>
      <w:r w:rsidRPr="00D86595">
        <w:rPr>
          <w:color w:val="000000"/>
          <w:sz w:val="16"/>
          <w:szCs w:val="16"/>
        </w:rPr>
        <w:t>(a)</w:t>
      </w:r>
      <w:r w:rsidR="007F5E51">
        <w:rPr>
          <w:color w:val="000000"/>
          <w:sz w:val="16"/>
          <w:szCs w:val="16"/>
        </w:rPr>
        <w:tab/>
      </w:r>
      <w:r w:rsidR="00BB7704">
        <w:rPr>
          <w:color w:val="000000"/>
          <w:sz w:val="16"/>
          <w:szCs w:val="16"/>
        </w:rPr>
        <w:tab/>
      </w:r>
      <w:r w:rsidRPr="00D86595">
        <w:rPr>
          <w:color w:val="000000"/>
          <w:sz w:val="16"/>
          <w:szCs w:val="16"/>
        </w:rPr>
        <w:t>Per cent change, year average, unless otherwise indicated</w:t>
      </w:r>
    </w:p>
    <w:p w14:paraId="39C60DB2" w14:textId="31B439B6" w:rsidR="00E52F45" w:rsidRPr="00D86595" w:rsidRDefault="00E52F45" w:rsidP="00BB7704">
      <w:pPr>
        <w:ind w:left="357" w:hanging="357"/>
        <w:rPr>
          <w:color w:val="000000"/>
          <w:sz w:val="16"/>
          <w:szCs w:val="16"/>
        </w:rPr>
      </w:pPr>
      <w:r w:rsidRPr="00D86595">
        <w:rPr>
          <w:color w:val="000000"/>
          <w:sz w:val="16"/>
          <w:szCs w:val="16"/>
        </w:rPr>
        <w:t>(b)</w:t>
      </w:r>
      <w:r w:rsidR="00BB7704">
        <w:rPr>
          <w:color w:val="000000"/>
          <w:sz w:val="16"/>
          <w:szCs w:val="16"/>
        </w:rPr>
        <w:tab/>
      </w:r>
      <w:r w:rsidRPr="00D86595">
        <w:rPr>
          <w:color w:val="000000"/>
          <w:sz w:val="16"/>
          <w:szCs w:val="16"/>
        </w:rPr>
        <w:t>As at 30 June each year</w:t>
      </w:r>
    </w:p>
    <w:p w14:paraId="1030EE1F" w14:textId="73664007" w:rsidR="00E52F45" w:rsidRPr="00D86595" w:rsidRDefault="00E52F45" w:rsidP="00BB7704">
      <w:pPr>
        <w:ind w:left="357" w:hanging="357"/>
        <w:rPr>
          <w:color w:val="000000"/>
          <w:sz w:val="16"/>
          <w:szCs w:val="16"/>
        </w:rPr>
      </w:pPr>
      <w:r w:rsidRPr="00D86595">
        <w:rPr>
          <w:color w:val="000000"/>
          <w:sz w:val="16"/>
          <w:szCs w:val="16"/>
        </w:rPr>
        <w:t>(c)</w:t>
      </w:r>
      <w:r w:rsidR="00BB7704">
        <w:rPr>
          <w:color w:val="000000"/>
          <w:sz w:val="16"/>
          <w:szCs w:val="16"/>
        </w:rPr>
        <w:tab/>
      </w:r>
      <w:r w:rsidRPr="00D86595">
        <w:rPr>
          <w:color w:val="000000"/>
          <w:sz w:val="16"/>
          <w:szCs w:val="16"/>
        </w:rPr>
        <w:t>As at June quarter, per cent</w:t>
      </w:r>
    </w:p>
    <w:p w14:paraId="35801FD7" w14:textId="6B316CD6" w:rsidR="00E52F45" w:rsidRPr="00D86595" w:rsidRDefault="00E52F45" w:rsidP="00BB7704">
      <w:pPr>
        <w:ind w:left="357" w:hanging="357"/>
        <w:rPr>
          <w:color w:val="000000"/>
          <w:sz w:val="16"/>
          <w:szCs w:val="16"/>
        </w:rPr>
      </w:pPr>
      <w:r w:rsidRPr="00D86595">
        <w:rPr>
          <w:color w:val="000000"/>
          <w:sz w:val="16"/>
          <w:szCs w:val="16"/>
        </w:rPr>
        <w:t>(d)</w:t>
      </w:r>
      <w:r w:rsidR="00BB7704">
        <w:rPr>
          <w:color w:val="000000"/>
          <w:sz w:val="16"/>
          <w:szCs w:val="16"/>
        </w:rPr>
        <w:tab/>
      </w:r>
      <w:r w:rsidR="00BB7704">
        <w:rPr>
          <w:color w:val="000000"/>
          <w:sz w:val="16"/>
          <w:szCs w:val="16"/>
        </w:rPr>
        <w:tab/>
      </w:r>
      <w:r w:rsidRPr="00D86595">
        <w:rPr>
          <w:color w:val="000000"/>
          <w:sz w:val="16"/>
          <w:szCs w:val="16"/>
        </w:rPr>
        <w:t>2019-20 to 2020-21 includes ¼ percentage point from tobacco excise increases.</w:t>
      </w:r>
    </w:p>
    <w:p w14:paraId="5925D653" w14:textId="5D75BF62" w:rsidR="00E52F45" w:rsidRPr="00D86595" w:rsidRDefault="00E52F45" w:rsidP="00BB7704">
      <w:pPr>
        <w:ind w:left="357" w:hanging="357"/>
        <w:rPr>
          <w:color w:val="000000"/>
          <w:sz w:val="16"/>
          <w:szCs w:val="16"/>
        </w:rPr>
      </w:pPr>
      <w:r w:rsidRPr="00D86595">
        <w:rPr>
          <w:color w:val="000000"/>
          <w:sz w:val="16"/>
          <w:szCs w:val="16"/>
        </w:rPr>
        <w:t>(e)</w:t>
      </w:r>
      <w:r w:rsidR="00BB7704">
        <w:rPr>
          <w:color w:val="000000"/>
          <w:sz w:val="16"/>
          <w:szCs w:val="16"/>
        </w:rPr>
        <w:tab/>
      </w:r>
      <w:r w:rsidRPr="00D86595">
        <w:rPr>
          <w:color w:val="000000"/>
          <w:sz w:val="16"/>
          <w:szCs w:val="16"/>
        </w:rPr>
        <w:t>Weighted private and public sector wages</w:t>
      </w:r>
    </w:p>
    <w:p w14:paraId="56980710" w14:textId="77777777" w:rsidR="00E52F45" w:rsidRPr="00D86595" w:rsidRDefault="00E52F45">
      <w:pPr>
        <w:rPr>
          <w:sz w:val="16"/>
          <w:szCs w:val="16"/>
        </w:rPr>
      </w:pPr>
    </w:p>
    <w:p w14:paraId="2153DCC9" w14:textId="77777777" w:rsidR="00E52F45" w:rsidRPr="00385873" w:rsidRDefault="00E52F45">
      <w:pPr>
        <w:rPr>
          <w:i/>
          <w:iCs/>
          <w:color w:val="4F4F4F"/>
          <w:sz w:val="16"/>
          <w:szCs w:val="16"/>
        </w:rPr>
      </w:pPr>
      <w:r w:rsidRPr="00385873">
        <w:rPr>
          <w:i/>
          <w:iCs/>
          <w:color w:val="4F4F4F"/>
          <w:sz w:val="16"/>
          <w:szCs w:val="16"/>
        </w:rPr>
        <w:t>Source: ABS 3101.0, 5206.0, 5220.0, 6202.0, 6401.0, 6345.0 and Treasury</w:t>
      </w:r>
    </w:p>
    <w:p w14:paraId="66F13762" w14:textId="77777777" w:rsidR="00E52F45" w:rsidRPr="00D86595" w:rsidRDefault="00E52F45">
      <w:pPr>
        <w:rPr>
          <w:sz w:val="16"/>
          <w:szCs w:val="16"/>
        </w:rPr>
      </w:pPr>
    </w:p>
    <w:p w14:paraId="25D41E23" w14:textId="5E5F9C90" w:rsidR="00B03E86" w:rsidRPr="008833AE" w:rsidRDefault="00B03E86" w:rsidP="00B03E86">
      <w:pPr>
        <w:pStyle w:val="Heading2"/>
        <w:rPr>
          <w:rFonts w:ascii="Arial" w:hAnsi="Arial" w:cs="Arial"/>
        </w:rPr>
      </w:pPr>
      <w:bookmarkStart w:id="31" w:name="_Toc106280681"/>
      <w:r w:rsidRPr="008833AE" w:rsidDel="00233907">
        <w:rPr>
          <w:rFonts w:ascii="Arial" w:hAnsi="Arial" w:cs="Arial"/>
        </w:rPr>
        <w:t xml:space="preserve">Summary </w:t>
      </w:r>
      <w:r w:rsidR="00F621EF">
        <w:rPr>
          <w:rFonts w:ascii="Arial" w:hAnsi="Arial" w:cs="Arial"/>
        </w:rPr>
        <w:t>o</w:t>
      </w:r>
      <w:r w:rsidRPr="008833AE">
        <w:rPr>
          <w:rFonts w:ascii="Arial" w:hAnsi="Arial" w:cs="Arial"/>
        </w:rPr>
        <w:t>f other key assumptions</w:t>
      </w:r>
      <w:bookmarkEnd w:id="31"/>
    </w:p>
    <w:p w14:paraId="5594F2A4" w14:textId="7EE4425B" w:rsidR="00B03E86" w:rsidRPr="00650FE9" w:rsidRDefault="00B03E86" w:rsidP="003B5132">
      <w:pPr>
        <w:pStyle w:val="BodyText"/>
      </w:pPr>
      <w:r w:rsidRPr="00650FE9">
        <w:t xml:space="preserve">The following section outlines the other key assumptions used in the preparation of the </w:t>
      </w:r>
      <w:r w:rsidR="00757EE1">
        <w:t xml:space="preserve">GGS </w:t>
      </w:r>
      <w:r w:rsidRPr="00650FE9">
        <w:t xml:space="preserve">Estimated Financial Statements. The summary takes into account materiality in relation to the GGS’s overall financial position and sensitivity to changes in key economic assumptions.  </w:t>
      </w:r>
    </w:p>
    <w:p w14:paraId="4E2D53D2" w14:textId="77777777" w:rsidR="00B03E86" w:rsidRPr="00650FE9" w:rsidRDefault="00B03E86" w:rsidP="003B5132">
      <w:pPr>
        <w:pStyle w:val="BodyText"/>
        <w:rPr>
          <w:rFonts w:eastAsia="Arial Unicode MS"/>
          <w:b/>
          <w:kern w:val="28"/>
          <w:szCs w:val="36"/>
        </w:rPr>
      </w:pPr>
      <w:r w:rsidRPr="00650FE9">
        <w:t>Notwithstanding these key assumptions, agency finance officers apply appropriate professional judgement in determining estimated financial information.</w:t>
      </w:r>
    </w:p>
    <w:p w14:paraId="3BF57BC0" w14:textId="2714B8CA" w:rsidR="00B03E86" w:rsidRPr="008833AE" w:rsidRDefault="00B03E86" w:rsidP="00B03E86">
      <w:pPr>
        <w:pStyle w:val="Heading3"/>
        <w:rPr>
          <w:rFonts w:ascii="Arial" w:hAnsi="Arial" w:cs="Arial"/>
        </w:rPr>
      </w:pPr>
      <w:r w:rsidRPr="008833AE">
        <w:rPr>
          <w:rFonts w:ascii="Arial" w:hAnsi="Arial" w:cs="Arial"/>
        </w:rPr>
        <w:t>Revenue from transactions</w:t>
      </w:r>
    </w:p>
    <w:p w14:paraId="53995422" w14:textId="77777777" w:rsidR="00B03E86" w:rsidRPr="008833AE" w:rsidRDefault="00B03E86" w:rsidP="00B03E86">
      <w:pPr>
        <w:pStyle w:val="Heading4"/>
        <w:rPr>
          <w:rFonts w:ascii="Arial" w:hAnsi="Arial" w:cs="Arial"/>
          <w:lang w:eastAsia="en-AU"/>
        </w:rPr>
      </w:pPr>
      <w:r w:rsidRPr="008833AE">
        <w:rPr>
          <w:rFonts w:ascii="Arial" w:hAnsi="Arial" w:cs="Arial"/>
          <w:lang w:eastAsia="en-AU"/>
        </w:rPr>
        <w:t xml:space="preserve">Taxation </w:t>
      </w:r>
    </w:p>
    <w:p w14:paraId="3C3D7EF5" w14:textId="25566B20" w:rsidR="00B03E86" w:rsidRPr="00650FE9" w:rsidRDefault="00B03E86" w:rsidP="003B5132">
      <w:pPr>
        <w:pStyle w:val="BodyText"/>
      </w:pPr>
      <w:r w:rsidRPr="00650FE9">
        <w:t>Taxation revenue is forecast by assessing economic and other factors that influence the various taxation bases. Payroll tax, for example, involves an assessment of the outlook for employment and wages</w:t>
      </w:r>
      <w:r w:rsidR="16AE2458">
        <w:t>, and builds upon NSW Treasury’s own forecasts of the relevant macroeconomic indicators.</w:t>
      </w:r>
      <w:r w:rsidRPr="00650FE9">
        <w:t xml:space="preserve"> Forecasts of government debt guarantee fees take into account an assessment of the level of debt of </w:t>
      </w:r>
      <w:r w:rsidR="00D10752">
        <w:t>p</w:t>
      </w:r>
      <w:r w:rsidR="008F4098">
        <w:t xml:space="preserve">ublic </w:t>
      </w:r>
      <w:r w:rsidR="00D10752">
        <w:t>n</w:t>
      </w:r>
      <w:r w:rsidR="008F4098">
        <w:t>on-financi</w:t>
      </w:r>
      <w:r w:rsidR="001663CB">
        <w:t xml:space="preserve">al </w:t>
      </w:r>
      <w:r w:rsidR="00D10752">
        <w:t>c</w:t>
      </w:r>
      <w:r w:rsidR="001663CB">
        <w:t>orporations (</w:t>
      </w:r>
      <w:r w:rsidRPr="00650FE9">
        <w:t>PNFC</w:t>
      </w:r>
      <w:r w:rsidR="001663CB">
        <w:t>s)</w:t>
      </w:r>
      <w:r w:rsidRPr="00650FE9">
        <w:t xml:space="preserve"> and their credit rating differential compared with the State as a whole. The forecasts of taxation revenue also involve the analysis of historical information and relationships (using econometric and other statistical methods), and consultation with relevant government agencies.</w:t>
      </w:r>
    </w:p>
    <w:p w14:paraId="5858D6E3" w14:textId="05A7E0CB" w:rsidR="00B00BC5" w:rsidRDefault="00B00BC5" w:rsidP="00260C43">
      <w:pPr>
        <w:pStyle w:val="Heading4"/>
        <w:keepNext/>
        <w:rPr>
          <w:rFonts w:ascii="Arial" w:hAnsi="Arial" w:cs="Arial"/>
          <w:lang w:eastAsia="en-AU"/>
        </w:rPr>
      </w:pPr>
      <w:r>
        <w:rPr>
          <w:rFonts w:ascii="Arial" w:hAnsi="Arial" w:cs="Arial"/>
          <w:lang w:eastAsia="en-AU"/>
        </w:rPr>
        <w:br w:type="page"/>
      </w:r>
    </w:p>
    <w:p w14:paraId="29E91EDD" w14:textId="484D4B91" w:rsidR="00260C43" w:rsidRPr="008833AE" w:rsidRDefault="00260C43" w:rsidP="00260C43">
      <w:pPr>
        <w:pStyle w:val="Heading4"/>
        <w:keepNext/>
        <w:rPr>
          <w:rFonts w:ascii="Arial" w:hAnsi="Arial" w:cs="Arial"/>
          <w:lang w:eastAsia="en-AU"/>
        </w:rPr>
      </w:pPr>
      <w:r w:rsidRPr="008833AE">
        <w:rPr>
          <w:rFonts w:ascii="Arial" w:hAnsi="Arial" w:cs="Arial"/>
          <w:lang w:eastAsia="en-AU"/>
        </w:rPr>
        <w:lastRenderedPageBreak/>
        <w:t>Grants and subsidies revenue</w:t>
      </w:r>
    </w:p>
    <w:p w14:paraId="6F51BDD4" w14:textId="7F586D3C" w:rsidR="00260C43" w:rsidRPr="00650FE9" w:rsidRDefault="00260C43" w:rsidP="003B5132">
      <w:pPr>
        <w:pStyle w:val="BodyText"/>
      </w:pPr>
      <w:r w:rsidRPr="00650FE9">
        <w:t>Forecast grants from the Commonwealth Government are based on the latest available information from the Commonwealth Government and projections of timing of payments at the time of preparation of the Budget. This takes into account the conditions, payment timetable</w:t>
      </w:r>
      <w:r w:rsidR="002003E9">
        <w:t>,</w:t>
      </w:r>
      <w:r w:rsidRPr="00650FE9">
        <w:t xml:space="preserve"> escalation factors relevant to each type of grant</w:t>
      </w:r>
      <w:r w:rsidR="002003E9">
        <w:t xml:space="preserve"> and where relevant, estimated progress against grant obligations</w:t>
      </w:r>
      <w:r w:rsidRPr="00650FE9">
        <w:t>.</w:t>
      </w:r>
    </w:p>
    <w:p w14:paraId="2DEC5B0A" w14:textId="25174831" w:rsidR="00260C43" w:rsidRDefault="00260C43" w:rsidP="003B5132">
      <w:pPr>
        <w:pStyle w:val="BodyText"/>
      </w:pPr>
      <w:r>
        <w:t xml:space="preserve">Goods and Services Tax (GST) grants are forecast based on estimates of the national GST pool by </w:t>
      </w:r>
      <w:r w:rsidRPr="0012269D">
        <w:t>New South Wales Treasury.</w:t>
      </w:r>
      <w:r>
        <w:t xml:space="preserve"> For </w:t>
      </w:r>
      <w:r w:rsidR="006233B4">
        <w:t>2022-23</w:t>
      </w:r>
      <w:r w:rsidRPr="4C71A21F">
        <w:t>,</w:t>
      </w:r>
      <w:r>
        <w:t xml:space="preserve"> the GST forecast is based on </w:t>
      </w:r>
      <w:r w:rsidDel="006D5356">
        <w:t xml:space="preserve">the </w:t>
      </w:r>
      <w:r>
        <w:t xml:space="preserve">assessed relativity for New South Wales in </w:t>
      </w:r>
      <w:r w:rsidR="006233B4">
        <w:t>2022-23</w:t>
      </w:r>
      <w:r>
        <w:t xml:space="preserve"> and the Commonwealth Government’s population projections. The assessed relativity is based on the three-year average of actual data</w:t>
      </w:r>
      <w:r w:rsidR="00583916">
        <w:br w:type="textWrapping" w:clear="all"/>
      </w:r>
      <w:r>
        <w:t>(</w:t>
      </w:r>
      <w:r w:rsidRPr="4C71A21F">
        <w:t>201</w:t>
      </w:r>
      <w:r w:rsidR="00843E98">
        <w:t>8</w:t>
      </w:r>
      <w:r w:rsidRPr="4C71A21F">
        <w:t>-1</w:t>
      </w:r>
      <w:r w:rsidR="00843E98">
        <w:t>9</w:t>
      </w:r>
      <w:r w:rsidR="008C1B0C" w:rsidRPr="4C71A21F">
        <w:t>,</w:t>
      </w:r>
      <w:r w:rsidR="008338AB" w:rsidRPr="4C71A21F">
        <w:t xml:space="preserve"> </w:t>
      </w:r>
      <w:r w:rsidR="00843E98">
        <w:t>20</w:t>
      </w:r>
      <w:r w:rsidR="00CF2B81" w:rsidRPr="4C71A21F" w:rsidDel="00843E98">
        <w:t>19</w:t>
      </w:r>
      <w:r w:rsidRPr="4C71A21F">
        <w:t xml:space="preserve"> </w:t>
      </w:r>
      <w:r w:rsidR="00CF2B81" w:rsidRPr="4C71A21F">
        <w:t>-</w:t>
      </w:r>
      <w:r w:rsidR="00843E98">
        <w:t>20</w:t>
      </w:r>
      <w:r w:rsidRPr="4C71A21F">
        <w:t xml:space="preserve"> and </w:t>
      </w:r>
      <w:r w:rsidR="00CF2B81" w:rsidRPr="4C71A21F">
        <w:t>20</w:t>
      </w:r>
      <w:r w:rsidR="00843E98">
        <w:t>20</w:t>
      </w:r>
      <w:r w:rsidRPr="4C71A21F">
        <w:t>-</w:t>
      </w:r>
      <w:r w:rsidR="00CF2B81" w:rsidRPr="4C71A21F">
        <w:t>2</w:t>
      </w:r>
      <w:r w:rsidR="00843E98">
        <w:t>1</w:t>
      </w:r>
      <w:r>
        <w:t>) as published by the Commonwealth Grants Commission.</w:t>
      </w:r>
    </w:p>
    <w:p w14:paraId="5F6D4D32" w14:textId="77CCEA17" w:rsidR="00260C43" w:rsidRDefault="00260C43" w:rsidP="003B5132">
      <w:pPr>
        <w:pStyle w:val="BodyText"/>
      </w:pPr>
      <w:r>
        <w:t xml:space="preserve">Beyond </w:t>
      </w:r>
      <w:r w:rsidR="006233B4">
        <w:t>202</w:t>
      </w:r>
      <w:r w:rsidR="00F834A2" w:rsidRPr="00786EEC">
        <w:t>2</w:t>
      </w:r>
      <w:r w:rsidR="006233B4" w:rsidRPr="00A57644">
        <w:t>-2</w:t>
      </w:r>
      <w:r w:rsidR="00F834A2" w:rsidRPr="00786EEC">
        <w:t>3</w:t>
      </w:r>
      <w:r>
        <w:t xml:space="preserve">, the State’s share of GST is based on </w:t>
      </w:r>
      <w:r w:rsidR="00F24A1B">
        <w:t>NSW</w:t>
      </w:r>
      <w:r>
        <w:t xml:space="preserve"> Treasury’s </w:t>
      </w:r>
      <w:r w:rsidR="46E5E143">
        <w:t xml:space="preserve">forecasts of </w:t>
      </w:r>
      <w:r>
        <w:t xml:space="preserve">relativities </w:t>
      </w:r>
      <w:r w:rsidR="46E5E143">
        <w:t xml:space="preserve">and </w:t>
      </w:r>
      <w:r>
        <w:t>national GST pool</w:t>
      </w:r>
      <w:r w:rsidR="46E5E143">
        <w:t>, and on</w:t>
      </w:r>
      <w:r>
        <w:t xml:space="preserve"> the Commonwealth’s state population projections. </w:t>
      </w:r>
      <w:r w:rsidR="46E5E143">
        <w:t>NSW Treasury’s forecasts of</w:t>
      </w:r>
      <w:r>
        <w:t xml:space="preserve"> per capita annual relativities are based on </w:t>
      </w:r>
      <w:r w:rsidR="46E5E143">
        <w:t xml:space="preserve">its forecasts of </w:t>
      </w:r>
      <w:r>
        <w:t>the projected fiscal capacity of New South Wales compared with other states and territories.</w:t>
      </w:r>
    </w:p>
    <w:p w14:paraId="7F376AB3" w14:textId="6A72981D" w:rsidR="00260C43" w:rsidRPr="008833AE" w:rsidRDefault="00260C43" w:rsidP="00260C43">
      <w:pPr>
        <w:pStyle w:val="Heading4"/>
        <w:spacing w:before="300" w:after="80"/>
        <w:rPr>
          <w:rFonts w:ascii="Arial" w:hAnsi="Arial" w:cs="Arial"/>
          <w:lang w:eastAsia="en-AU"/>
        </w:rPr>
      </w:pPr>
      <w:r w:rsidRPr="008833AE">
        <w:rPr>
          <w:rFonts w:ascii="Arial" w:hAnsi="Arial" w:cs="Arial"/>
          <w:lang w:eastAsia="en-AU"/>
        </w:rPr>
        <w:t>Sale of goods and services</w:t>
      </w:r>
    </w:p>
    <w:p w14:paraId="0C0558AE" w14:textId="0B3D5D55" w:rsidR="00260C43" w:rsidRPr="00182FB5" w:rsidRDefault="00260C43" w:rsidP="003B5132">
      <w:pPr>
        <w:pStyle w:val="BodyText"/>
      </w:pPr>
      <w:r w:rsidRPr="00182FB5">
        <w:t xml:space="preserve">Revenue from the sale of goods and services is forecast by </w:t>
      </w:r>
      <w:r w:rsidR="46E5E143">
        <w:t xml:space="preserve">agencies, </w:t>
      </w:r>
      <w:r w:rsidRPr="00182FB5">
        <w:t>taking into account all known factors, including:</w:t>
      </w:r>
    </w:p>
    <w:p w14:paraId="4427C43B" w14:textId="77777777" w:rsidR="00260C43" w:rsidRPr="00182FB5" w:rsidRDefault="00260C43" w:rsidP="003B5132">
      <w:pPr>
        <w:pStyle w:val="Bullet1"/>
      </w:pPr>
      <w:r>
        <w:t>estimates of changes in demand for services provided</w:t>
      </w:r>
    </w:p>
    <w:p w14:paraId="449FEE0A" w14:textId="77777777" w:rsidR="00260C43" w:rsidRPr="008A6D5D" w:rsidRDefault="00260C43" w:rsidP="003B5132">
      <w:pPr>
        <w:pStyle w:val="Bullet1"/>
        <w:rPr>
          <w:rFonts w:eastAsia="Arial Unicode MS"/>
          <w:kern w:val="28"/>
          <w:sz w:val="24"/>
          <w:szCs w:val="24"/>
        </w:rPr>
      </w:pPr>
      <w:r>
        <w:t>expected unit price variations based on proposed fee increases imposed by general government agencies and/or indexation.</w:t>
      </w:r>
    </w:p>
    <w:p w14:paraId="467BD0F8" w14:textId="18750A78" w:rsidR="00260C43" w:rsidRPr="008833AE" w:rsidRDefault="00260C43" w:rsidP="00260C43">
      <w:pPr>
        <w:pStyle w:val="Heading4"/>
        <w:spacing w:before="300" w:after="80"/>
        <w:rPr>
          <w:rFonts w:ascii="Arial" w:hAnsi="Arial" w:cs="Arial"/>
          <w:lang w:eastAsia="en-AU"/>
        </w:rPr>
      </w:pPr>
      <w:r w:rsidRPr="008833AE">
        <w:rPr>
          <w:rFonts w:ascii="Arial" w:hAnsi="Arial" w:cs="Arial"/>
          <w:lang w:eastAsia="en-AU"/>
        </w:rPr>
        <w:t>Dividend and income tax equivalents from other sectors</w:t>
      </w:r>
    </w:p>
    <w:p w14:paraId="170CA40C" w14:textId="49D7B3C3" w:rsidR="00260C43" w:rsidRPr="0039094F" w:rsidRDefault="00260C43" w:rsidP="003B5132">
      <w:pPr>
        <w:pStyle w:val="BodyText"/>
      </w:pPr>
      <w:r w:rsidRPr="0039094F">
        <w:t xml:space="preserve">Dividend and income tax equivalent revenue from other sectors </w:t>
      </w:r>
      <w:r w:rsidR="46E5E143">
        <w:t>is</w:t>
      </w:r>
      <w:r w:rsidRPr="0039094F">
        <w:t xml:space="preserve"> estimated by the PNFC and</w:t>
      </w:r>
      <w:r w:rsidR="00ED5E14">
        <w:t xml:space="preserve"> </w:t>
      </w:r>
      <w:r w:rsidR="001247AC">
        <w:t>p</w:t>
      </w:r>
      <w:r w:rsidR="00ED5E14">
        <w:t xml:space="preserve">ublic </w:t>
      </w:r>
      <w:r w:rsidR="001247AC">
        <w:t>f</w:t>
      </w:r>
      <w:r w:rsidR="00ED5E14">
        <w:t xml:space="preserve">inancial </w:t>
      </w:r>
      <w:r w:rsidR="004145F9">
        <w:t>c</w:t>
      </w:r>
      <w:r w:rsidR="00ED5E14">
        <w:t>orporations (</w:t>
      </w:r>
      <w:r w:rsidRPr="0039094F">
        <w:t>PFC</w:t>
      </w:r>
      <w:r w:rsidR="00ED5E14">
        <w:t xml:space="preserve">) </w:t>
      </w:r>
      <w:r w:rsidRPr="0039094F">
        <w:t xml:space="preserve">sectors. </w:t>
      </w:r>
      <w:r w:rsidR="46E5E143">
        <w:t>These forecasts</w:t>
      </w:r>
      <w:r w:rsidRPr="0039094F">
        <w:t xml:space="preserve"> are based on expected profitability and the agreed dividend policy at the time of the Budget.  </w:t>
      </w:r>
    </w:p>
    <w:p w14:paraId="5AFE0DB1" w14:textId="55EC9058" w:rsidR="00260C43" w:rsidRPr="008833AE" w:rsidRDefault="00260C43" w:rsidP="00260C43">
      <w:pPr>
        <w:pStyle w:val="Heading4"/>
        <w:spacing w:before="300" w:after="80"/>
        <w:rPr>
          <w:rFonts w:ascii="Arial" w:hAnsi="Arial" w:cs="Arial"/>
          <w:i/>
          <w:lang w:eastAsia="en-AU"/>
        </w:rPr>
      </w:pPr>
      <w:r w:rsidRPr="008833AE">
        <w:rPr>
          <w:rFonts w:ascii="Arial" w:hAnsi="Arial" w:cs="Arial"/>
          <w:lang w:eastAsia="en-AU"/>
        </w:rPr>
        <w:t>Other dividends and distributions</w:t>
      </w:r>
    </w:p>
    <w:p w14:paraId="5F601504" w14:textId="77777777" w:rsidR="00260C43" w:rsidRPr="00E8555C" w:rsidRDefault="00260C43" w:rsidP="003B5132">
      <w:pPr>
        <w:pStyle w:val="BodyText"/>
      </w:pPr>
      <w:r w:rsidRPr="00E8555C">
        <w:t>Other dividends include estimates of dividends to be received from investments in entities other than the PNFC and PFC sectors, with the revenue recognised when the right to receive payment is expected to be established. Estimates are based on advice from external parties.</w:t>
      </w:r>
    </w:p>
    <w:p w14:paraId="041332DE" w14:textId="77777777" w:rsidR="00260C43" w:rsidRPr="00E8555C" w:rsidRDefault="00260C43" w:rsidP="003B5132">
      <w:pPr>
        <w:pStyle w:val="BodyText"/>
      </w:pPr>
      <w:r w:rsidRPr="00E8555C">
        <w:t>Distributions are mainly from managed fund investments administered by TCorp, with the revenue recognised when the right to receive payment is expected to be established based on advice from TCorp. It excludes estimated fair value movements in the unit price of the investments, which are recognised as ‘other economic flows – included in the operating result’.</w:t>
      </w:r>
    </w:p>
    <w:p w14:paraId="644A7A6A" w14:textId="77777777" w:rsidR="00BB5B99" w:rsidRDefault="00BB5B99" w:rsidP="00260C43">
      <w:pPr>
        <w:pStyle w:val="Heading4"/>
        <w:spacing w:before="300" w:after="80"/>
        <w:rPr>
          <w:rFonts w:ascii="Arial" w:hAnsi="Arial" w:cs="Arial"/>
          <w:lang w:eastAsia="en-AU"/>
        </w:rPr>
      </w:pPr>
      <w:r>
        <w:rPr>
          <w:rFonts w:ascii="Arial" w:hAnsi="Arial" w:cs="Arial"/>
          <w:lang w:eastAsia="en-AU"/>
        </w:rPr>
        <w:br w:type="page"/>
      </w:r>
    </w:p>
    <w:p w14:paraId="6F931E27" w14:textId="576BF95E" w:rsidR="00260C43" w:rsidRPr="008833AE" w:rsidRDefault="00260C43" w:rsidP="00260C43">
      <w:pPr>
        <w:pStyle w:val="Heading4"/>
        <w:spacing w:before="300" w:after="80"/>
        <w:rPr>
          <w:rFonts w:ascii="Arial" w:hAnsi="Arial" w:cs="Arial"/>
          <w:lang w:eastAsia="en-AU"/>
        </w:rPr>
      </w:pPr>
      <w:r w:rsidRPr="008833AE">
        <w:rPr>
          <w:rFonts w:ascii="Arial" w:hAnsi="Arial" w:cs="Arial"/>
          <w:lang w:eastAsia="en-AU"/>
        </w:rPr>
        <w:lastRenderedPageBreak/>
        <w:t>Fines, regulatory fees and other revenues</w:t>
      </w:r>
    </w:p>
    <w:p w14:paraId="5545D802" w14:textId="018C3822" w:rsidR="001E105C" w:rsidRPr="00CB2C6C" w:rsidRDefault="00260C43" w:rsidP="003B5132">
      <w:pPr>
        <w:pStyle w:val="BodyText"/>
      </w:pPr>
      <w:r w:rsidRPr="00CB2C6C">
        <w:t xml:space="preserve">Fines, regulatory fees and other revenues include estimates of fines issued by the courts, estimated traffic infringement fines, estimated revenue from enforcement orders and regulatory fees and contributions. </w:t>
      </w:r>
      <w:r w:rsidR="46E5E143">
        <w:t>This line</w:t>
      </w:r>
      <w:r w:rsidRPr="00CB2C6C">
        <w:t xml:space="preserve"> also includes estimated royalty revenue</w:t>
      </w:r>
      <w:r w:rsidR="46E5E143">
        <w:t xml:space="preserve">, which NSW Treasury forecasts </w:t>
      </w:r>
      <w:r w:rsidRPr="00CB2C6C">
        <w:t xml:space="preserve">based on assessments of coal volumes </w:t>
      </w:r>
      <w:r w:rsidR="46E5E143">
        <w:t>&amp;</w:t>
      </w:r>
      <w:r w:rsidRPr="00CB2C6C">
        <w:t xml:space="preserve"> prices and the Australian dollar exchange rate. Other revenue forecasts are adjusted for indexation where appropriate.</w:t>
      </w:r>
    </w:p>
    <w:p w14:paraId="51D80BDE" w14:textId="50C015BB" w:rsidR="00260C43" w:rsidRPr="008833AE" w:rsidRDefault="00260C43" w:rsidP="00AA7503">
      <w:pPr>
        <w:pStyle w:val="Heading4"/>
        <w:spacing w:before="300" w:after="80"/>
        <w:rPr>
          <w:rFonts w:cs="Arial" w:hint="eastAsia"/>
          <w:lang w:eastAsia="en-AU"/>
        </w:rPr>
      </w:pPr>
      <w:r w:rsidRPr="00724AA2">
        <w:rPr>
          <w:rFonts w:ascii="Arial" w:hAnsi="Arial" w:cs="Arial"/>
          <w:lang w:eastAsia="en-AU"/>
        </w:rPr>
        <w:t>Expenses from transactions</w:t>
      </w:r>
    </w:p>
    <w:p w14:paraId="684C2B6C" w14:textId="18F050CC" w:rsidR="00260C43" w:rsidRPr="001E2070" w:rsidRDefault="00260C43" w:rsidP="003B5132">
      <w:pPr>
        <w:pStyle w:val="BodyText"/>
      </w:pPr>
      <w:r w:rsidRPr="001E2070">
        <w:t xml:space="preserve">To improve the accuracy of </w:t>
      </w:r>
      <w:r w:rsidR="00BC7B7A">
        <w:t>b</w:t>
      </w:r>
      <w:r w:rsidRPr="001E2070">
        <w:t xml:space="preserve">udget estimates, consistent with longstanding practice and reflecting historic trends, the </w:t>
      </w:r>
      <w:r w:rsidR="003244A9">
        <w:t xml:space="preserve">GGS </w:t>
      </w:r>
      <w:r w:rsidR="0041365B">
        <w:t>Estimated Financial Statements</w:t>
      </w:r>
      <w:r w:rsidRPr="001E2070">
        <w:t xml:space="preserve"> includes adjustments:</w:t>
      </w:r>
    </w:p>
    <w:p w14:paraId="4D2ABE07" w14:textId="0437B5FB" w:rsidR="00260C43" w:rsidRPr="001E2070" w:rsidRDefault="00260C43" w:rsidP="003B5132">
      <w:pPr>
        <w:pStyle w:val="Bullet1"/>
      </w:pPr>
      <w:r w:rsidRPr="001E2070">
        <w:t>to account for parameter and technical adjustments expected to be required to maintain service provision on a no policy change basis, reflecting the historic conservative bias in aggregate spending estimates</w:t>
      </w:r>
    </w:p>
    <w:p w14:paraId="7BC8ECAE" w14:textId="12744DAF" w:rsidR="00260C43" w:rsidRPr="002641EC" w:rsidRDefault="00260C43" w:rsidP="003B5132">
      <w:pPr>
        <w:pStyle w:val="Bullet1"/>
        <w:rPr>
          <w:i/>
        </w:rPr>
      </w:pPr>
      <w:r w:rsidRPr="002641EC">
        <w:t xml:space="preserve">to account for expenses expected to be carried forward into future years reflecting changes in timing of delivery of government activity, consistent with the policy set out in </w:t>
      </w:r>
      <w:r w:rsidR="00D908B8">
        <w:t>TPG</w:t>
      </w:r>
      <w:r w:rsidR="0043330E">
        <w:t>22-05</w:t>
      </w:r>
      <w:r w:rsidR="00CC38DF">
        <w:t xml:space="preserve"> </w:t>
      </w:r>
      <w:r w:rsidR="00595738">
        <w:t xml:space="preserve">NSW </w:t>
      </w:r>
      <w:r w:rsidRPr="00A24DBE">
        <w:t xml:space="preserve">Treasury </w:t>
      </w:r>
      <w:r w:rsidR="00935367">
        <w:t xml:space="preserve">Policy and </w:t>
      </w:r>
      <w:r w:rsidR="003557D7">
        <w:t>Guidelines</w:t>
      </w:r>
      <w:r w:rsidR="00CC38DF">
        <w:t>:</w:t>
      </w:r>
      <w:r w:rsidR="0046175E">
        <w:t xml:space="preserve"> </w:t>
      </w:r>
      <w:r w:rsidR="0046175E" w:rsidRPr="00786EEC">
        <w:rPr>
          <w:i/>
        </w:rPr>
        <w:t xml:space="preserve">Carry </w:t>
      </w:r>
      <w:r w:rsidR="00CC38DF">
        <w:rPr>
          <w:i/>
        </w:rPr>
        <w:t>F</w:t>
      </w:r>
      <w:r w:rsidR="0046175E" w:rsidRPr="00786EEC">
        <w:rPr>
          <w:i/>
        </w:rPr>
        <w:t>orwards Policy</w:t>
      </w:r>
    </w:p>
    <w:p w14:paraId="662CBCC1" w14:textId="0E397F00" w:rsidR="00260C43" w:rsidRPr="001E2070" w:rsidRDefault="00260C43" w:rsidP="003B5132">
      <w:pPr>
        <w:pStyle w:val="Bullet1"/>
      </w:pPr>
      <w:r>
        <w:t xml:space="preserve">to reflect </w:t>
      </w:r>
      <w:r w:rsidR="00DD343A">
        <w:t>g</w:t>
      </w:r>
      <w:r>
        <w:t>overnment decisions not yet included in agency estimates, for example due to timing or because they are commercial in confidence or subject to further requirements.</w:t>
      </w:r>
    </w:p>
    <w:p w14:paraId="5D522788" w14:textId="77777777" w:rsidR="00260C43" w:rsidRPr="008833AE" w:rsidRDefault="00260C43" w:rsidP="00260C43">
      <w:pPr>
        <w:pStyle w:val="Heading4"/>
        <w:rPr>
          <w:rFonts w:ascii="Arial" w:hAnsi="Arial" w:cs="Arial"/>
          <w:lang w:eastAsia="en-AU"/>
        </w:rPr>
      </w:pPr>
      <w:r w:rsidRPr="008833AE">
        <w:rPr>
          <w:rFonts w:ascii="Arial" w:hAnsi="Arial" w:cs="Arial"/>
          <w:lang w:eastAsia="en-AU"/>
        </w:rPr>
        <w:t>Employee expenses</w:t>
      </w:r>
    </w:p>
    <w:p w14:paraId="547418F4" w14:textId="6C39E9C7" w:rsidR="003209B2" w:rsidRDefault="00260C43" w:rsidP="003B5132">
      <w:pPr>
        <w:pStyle w:val="BodyText"/>
      </w:pPr>
      <w:r w:rsidRPr="00C448B1">
        <w:t xml:space="preserve">Employee expenses are forecast based on expected staffing profiles, salaries, conditions and </w:t>
      </w:r>
      <w:r w:rsidR="00E54196">
        <w:br/>
      </w:r>
      <w:r w:rsidRPr="00C448B1">
        <w:t xml:space="preserve">on-costs. </w:t>
      </w:r>
      <w:r w:rsidR="00864084">
        <w:t>These can vary depending on</w:t>
      </w:r>
      <w:r w:rsidR="00BB1867">
        <w:t>:</w:t>
      </w:r>
    </w:p>
    <w:p w14:paraId="04EE1E4A" w14:textId="4EC9D1AE" w:rsidR="003209B2" w:rsidRPr="00C0195C" w:rsidRDefault="78009F24" w:rsidP="003B5132">
      <w:pPr>
        <w:pStyle w:val="Bullet1"/>
      </w:pPr>
      <w:r>
        <w:t>approved wage agreements</w:t>
      </w:r>
      <w:r w:rsidR="5F27164C">
        <w:t xml:space="preserve"> and other wage determinations in place</w:t>
      </w:r>
    </w:p>
    <w:p w14:paraId="0EB374CF" w14:textId="2F7DE045" w:rsidR="5F27164C" w:rsidRDefault="5F27164C" w:rsidP="003B5132">
      <w:pPr>
        <w:pStyle w:val="Bullet1"/>
      </w:pPr>
      <w:r w:rsidRPr="523F331C">
        <w:t>the State’s public sector wages policy</w:t>
      </w:r>
    </w:p>
    <w:p w14:paraId="642FEE67" w14:textId="0B118BAA" w:rsidR="5F27164C" w:rsidRDefault="5F27164C" w:rsidP="003B5132">
      <w:pPr>
        <w:pStyle w:val="Bullet1"/>
      </w:pPr>
      <w:r w:rsidRPr="523F331C">
        <w:t>new initiatives</w:t>
      </w:r>
    </w:p>
    <w:p w14:paraId="4D290D22" w14:textId="5F4EA873" w:rsidR="5F27164C" w:rsidRDefault="5F27164C" w:rsidP="003B5132">
      <w:pPr>
        <w:pStyle w:val="Bullet1"/>
      </w:pPr>
      <w:r w:rsidRPr="523F331C">
        <w:t>other policy changes.</w:t>
      </w:r>
    </w:p>
    <w:p w14:paraId="324F7689" w14:textId="2916B932" w:rsidR="00BB5B99" w:rsidRDefault="00BB5B99" w:rsidP="00260C43">
      <w:pPr>
        <w:pStyle w:val="Heading4"/>
        <w:rPr>
          <w:rFonts w:ascii="Arial" w:hAnsi="Arial" w:cs="Arial"/>
          <w:lang w:eastAsia="en-AU"/>
        </w:rPr>
      </w:pPr>
      <w:r>
        <w:rPr>
          <w:rFonts w:ascii="Arial" w:hAnsi="Arial" w:cs="Arial"/>
          <w:lang w:eastAsia="en-AU"/>
        </w:rPr>
        <w:br w:type="page"/>
      </w:r>
    </w:p>
    <w:p w14:paraId="6AC8E9F6" w14:textId="7D39ED3F" w:rsidR="00260C43" w:rsidRPr="008833AE" w:rsidRDefault="00260C43" w:rsidP="00260C43">
      <w:pPr>
        <w:pStyle w:val="Heading4"/>
        <w:rPr>
          <w:rFonts w:ascii="Arial" w:hAnsi="Arial" w:cs="Arial"/>
          <w:lang w:eastAsia="en-AU"/>
        </w:rPr>
      </w:pPr>
      <w:r w:rsidRPr="008833AE">
        <w:rPr>
          <w:rFonts w:ascii="Arial" w:hAnsi="Arial" w:cs="Arial"/>
          <w:lang w:eastAsia="en-AU"/>
        </w:rPr>
        <w:lastRenderedPageBreak/>
        <w:t>Superannuation expense (and liabilities)</w:t>
      </w:r>
    </w:p>
    <w:p w14:paraId="38C46FC3" w14:textId="77777777" w:rsidR="00260C43" w:rsidRPr="00315493" w:rsidRDefault="00260C43" w:rsidP="003B5132">
      <w:pPr>
        <w:pStyle w:val="BodyText"/>
      </w:pPr>
      <w:r w:rsidRPr="00315493">
        <w:t>Superannuation expense comprises:</w:t>
      </w:r>
    </w:p>
    <w:p w14:paraId="63006D2B" w14:textId="218D132D" w:rsidR="00260C43" w:rsidRPr="00315493" w:rsidRDefault="00AB2FD3" w:rsidP="003B5132">
      <w:pPr>
        <w:pStyle w:val="Bullet1"/>
      </w:pPr>
      <w:r>
        <w:t>f</w:t>
      </w:r>
      <w:r w:rsidR="00260C43">
        <w:t>or defined contribution plan</w:t>
      </w:r>
      <w:r w:rsidR="00C21188">
        <w:t>s</w:t>
      </w:r>
      <w:r w:rsidR="00260C43">
        <w:t>, the forecast accrued contribution</w:t>
      </w:r>
      <w:r w:rsidR="00C708DB">
        <w:t>s</w:t>
      </w:r>
      <w:r w:rsidR="00260C43">
        <w:t xml:space="preserve"> for the period</w:t>
      </w:r>
    </w:p>
    <w:p w14:paraId="226908F4" w14:textId="06A6F407" w:rsidR="00260C43" w:rsidRPr="00315493" w:rsidRDefault="00AB2FD3" w:rsidP="003B5132">
      <w:pPr>
        <w:pStyle w:val="Bullet1"/>
      </w:pPr>
      <w:r>
        <w:t>f</w:t>
      </w:r>
      <w:r w:rsidR="00260C43">
        <w:t>or defined benefit plans, the forecast service cost and the net interest expense. This excludes the re-measurements (i.e. actuarial gains and losses and return on plan assets in excess of the long-term Commonwealth Government Securities (CGS) rate), which are classified as ‘other economic flows – other comprehensive income’.</w:t>
      </w:r>
    </w:p>
    <w:p w14:paraId="3289358F" w14:textId="77777777" w:rsidR="00260C43" w:rsidRPr="00265EF4" w:rsidRDefault="00260C43" w:rsidP="003B5132">
      <w:pPr>
        <w:pStyle w:val="BodyText"/>
      </w:pPr>
      <w:r w:rsidRPr="00265EF4">
        <w:t>Superannuation expenses for defined contribution plans are based on assumptions regarding future salaries and contribution rates.</w:t>
      </w:r>
    </w:p>
    <w:p w14:paraId="54D87C46" w14:textId="71E5E7DF" w:rsidR="00260C43" w:rsidRPr="00265EF4" w:rsidRDefault="00260C43" w:rsidP="003B5132">
      <w:pPr>
        <w:pStyle w:val="BodyText"/>
      </w:pPr>
      <w:r w:rsidRPr="00265EF4">
        <w:t>Superannuation expenses for defined benefit plans are estimated based on actuarial advice, applying the long</w:t>
      </w:r>
      <w:r w:rsidR="00D06D4F">
        <w:t>-</w:t>
      </w:r>
      <w:r w:rsidRPr="00265EF4">
        <w:t xml:space="preserve">term CGS yield as at </w:t>
      </w:r>
      <w:r w:rsidRPr="00F86A26">
        <w:t>30 June</w:t>
      </w:r>
      <w:r w:rsidRPr="00265EF4">
        <w:t xml:space="preserve"> in the prior year to the opening value of net liabilities (gross superannuation liabilities less assets), less benefit payments at the mid-point of the contribution year, plus any accruing liability for the year. </w:t>
      </w:r>
    </w:p>
    <w:p w14:paraId="102474A8" w14:textId="1BFD58D7" w:rsidR="00260C43" w:rsidRPr="00265EF4" w:rsidRDefault="00260C43" w:rsidP="003B5132">
      <w:pPr>
        <w:pStyle w:val="BodyText"/>
      </w:pPr>
      <w:r w:rsidRPr="00265EF4">
        <w:t>Forecasts of defined benefit superannuation liabilities are based on actuarial estimates of cash flows for the various defined benefit superannuation schemes, discounted using a nominal long</w:t>
      </w:r>
      <w:r w:rsidR="003B684C">
        <w:t>-</w:t>
      </w:r>
      <w:r w:rsidRPr="00265EF4">
        <w:t xml:space="preserve">term CGS yield as at </w:t>
      </w:r>
      <w:r w:rsidRPr="00F86A26">
        <w:t>30 June.</w:t>
      </w:r>
      <w:r w:rsidRPr="00265EF4">
        <w:t xml:space="preserve"> Gross liability estimates are based on a number of demographic and financial assumptions. </w:t>
      </w:r>
    </w:p>
    <w:p w14:paraId="619C01BC" w14:textId="46612CC4" w:rsidR="00260C43" w:rsidRPr="00F347D9" w:rsidRDefault="00260C43" w:rsidP="003B5132">
      <w:pPr>
        <w:pStyle w:val="BodyText"/>
      </w:pPr>
      <w:r w:rsidRPr="00F347D9">
        <w:t>The table below sets out the major financial assumptions used to estimate the superannuation expense and liability in respect of defined benefit superannuation for the Budget and forward estimates period.</w:t>
      </w:r>
    </w:p>
    <w:p w14:paraId="53674412" w14:textId="77777777" w:rsidR="00421B2E" w:rsidRDefault="00260C43" w:rsidP="00D621CC">
      <w:pPr>
        <w:pStyle w:val="TableX0"/>
        <w:ind w:left="357" w:hanging="357"/>
      </w:pPr>
      <w:r w:rsidRPr="009A4FEC">
        <w:t>Superannuation assumptions – pooled fund / state super schemes</w:t>
      </w:r>
    </w:p>
    <w:tbl>
      <w:tblPr>
        <w:tblW w:w="5000" w:type="pct"/>
        <w:tblLayout w:type="fixed"/>
        <w:tblLook w:val="04A0" w:firstRow="1" w:lastRow="0" w:firstColumn="1" w:lastColumn="0" w:noHBand="0" w:noVBand="1"/>
        <w:tblCaption w:val="Table 2: Superannuation assumptions – pooled fund / state super schemes"/>
        <w:tblDescription w:val="Table 2: Superannuation assumptions – pooled fund / state super schemes"/>
      </w:tblPr>
      <w:tblGrid>
        <w:gridCol w:w="3449"/>
        <w:gridCol w:w="1238"/>
        <w:gridCol w:w="1238"/>
        <w:gridCol w:w="1238"/>
        <w:gridCol w:w="1238"/>
        <w:gridCol w:w="1238"/>
      </w:tblGrid>
      <w:tr w:rsidR="0053576C" w:rsidRPr="005E227D" w14:paraId="27DE3BD2" w14:textId="77777777" w:rsidTr="00786EEC">
        <w:trPr>
          <w:trHeight w:val="290"/>
        </w:trPr>
        <w:tc>
          <w:tcPr>
            <w:tcW w:w="1789" w:type="pct"/>
            <w:tcBorders>
              <w:top w:val="nil"/>
              <w:left w:val="nil"/>
              <w:bottom w:val="nil"/>
              <w:right w:val="nil"/>
            </w:tcBorders>
            <w:shd w:val="clear" w:color="auto" w:fill="008EBA"/>
            <w:noWrap/>
            <w:vAlign w:val="bottom"/>
            <w:hideMark/>
          </w:tcPr>
          <w:p w14:paraId="3BAB4CF7" w14:textId="77777777" w:rsidR="00421B2E" w:rsidRPr="00F963D5" w:rsidRDefault="00421B2E" w:rsidP="009D44DE">
            <w:pPr>
              <w:widowControl/>
              <w:tabs>
                <w:tab w:val="clear" w:pos="4196"/>
                <w:tab w:val="clear" w:pos="5046"/>
                <w:tab w:val="clear" w:pos="5897"/>
                <w:tab w:val="clear" w:pos="6747"/>
                <w:tab w:val="clear" w:pos="7598"/>
              </w:tabs>
              <w:autoSpaceDE/>
              <w:autoSpaceDN/>
              <w:jc w:val="both"/>
              <w:rPr>
                <w:color w:val="FFFFFF"/>
                <w:sz w:val="18"/>
                <w:szCs w:val="18"/>
              </w:rPr>
            </w:pPr>
            <w:r w:rsidRPr="00F963D5">
              <w:rPr>
                <w:color w:val="FFFFFF"/>
                <w:sz w:val="18"/>
                <w:szCs w:val="18"/>
              </w:rPr>
              <w:t> </w:t>
            </w:r>
          </w:p>
        </w:tc>
        <w:tc>
          <w:tcPr>
            <w:tcW w:w="642" w:type="pct"/>
            <w:tcBorders>
              <w:top w:val="nil"/>
              <w:left w:val="nil"/>
              <w:bottom w:val="nil"/>
              <w:right w:val="nil"/>
            </w:tcBorders>
            <w:shd w:val="clear" w:color="auto" w:fill="008EBA"/>
            <w:noWrap/>
            <w:vAlign w:val="center"/>
            <w:hideMark/>
          </w:tcPr>
          <w:p w14:paraId="35B4852F" w14:textId="0E8CBD4A" w:rsidR="00421B2E" w:rsidRPr="00F963D5" w:rsidRDefault="2273C930" w:rsidP="007A1A20">
            <w:pPr>
              <w:widowControl/>
              <w:tabs>
                <w:tab w:val="clear" w:pos="4196"/>
                <w:tab w:val="clear" w:pos="5046"/>
                <w:tab w:val="clear" w:pos="5897"/>
                <w:tab w:val="clear" w:pos="6747"/>
                <w:tab w:val="clear" w:pos="7598"/>
              </w:tabs>
              <w:autoSpaceDE/>
              <w:autoSpaceDN/>
              <w:jc w:val="center"/>
              <w:rPr>
                <w:color w:val="FFFFFF"/>
                <w:sz w:val="18"/>
                <w:szCs w:val="18"/>
              </w:rPr>
            </w:pPr>
            <w:r w:rsidRPr="1A574573">
              <w:rPr>
                <w:color w:val="FFFFFF" w:themeColor="background1"/>
                <w:sz w:val="18"/>
                <w:szCs w:val="18"/>
              </w:rPr>
              <w:t>2021</w:t>
            </w:r>
            <w:r w:rsidR="42C8919C" w:rsidRPr="1A574573">
              <w:rPr>
                <w:color w:val="FFFFFF" w:themeColor="background1"/>
                <w:sz w:val="18"/>
                <w:szCs w:val="18"/>
              </w:rPr>
              <w:t>-</w:t>
            </w:r>
            <w:r w:rsidRPr="1A574573">
              <w:rPr>
                <w:color w:val="FFFFFF" w:themeColor="background1"/>
                <w:sz w:val="18"/>
                <w:szCs w:val="18"/>
              </w:rPr>
              <w:t>22</w:t>
            </w:r>
          </w:p>
        </w:tc>
        <w:tc>
          <w:tcPr>
            <w:tcW w:w="642" w:type="pct"/>
            <w:tcBorders>
              <w:top w:val="nil"/>
              <w:left w:val="nil"/>
              <w:bottom w:val="nil"/>
              <w:right w:val="nil"/>
            </w:tcBorders>
            <w:shd w:val="clear" w:color="auto" w:fill="008EBA"/>
            <w:noWrap/>
            <w:vAlign w:val="center"/>
            <w:hideMark/>
          </w:tcPr>
          <w:p w14:paraId="696633AA" w14:textId="05B4446F" w:rsidR="00421B2E" w:rsidRPr="00F963D5" w:rsidRDefault="2273C930">
            <w:pPr>
              <w:widowControl/>
              <w:tabs>
                <w:tab w:val="clear" w:pos="4196"/>
                <w:tab w:val="clear" w:pos="5046"/>
                <w:tab w:val="clear" w:pos="5897"/>
                <w:tab w:val="clear" w:pos="6747"/>
                <w:tab w:val="clear" w:pos="7598"/>
              </w:tabs>
              <w:autoSpaceDE/>
              <w:autoSpaceDN/>
              <w:jc w:val="center"/>
              <w:rPr>
                <w:color w:val="FFFFFF"/>
                <w:sz w:val="18"/>
                <w:szCs w:val="18"/>
              </w:rPr>
            </w:pPr>
            <w:r w:rsidRPr="1A574573">
              <w:rPr>
                <w:color w:val="FFFFFF" w:themeColor="background1"/>
                <w:sz w:val="18"/>
                <w:szCs w:val="18"/>
              </w:rPr>
              <w:t>2022</w:t>
            </w:r>
            <w:r w:rsidR="42C8919C" w:rsidRPr="1A574573">
              <w:rPr>
                <w:color w:val="FFFFFF" w:themeColor="background1"/>
                <w:sz w:val="18"/>
                <w:szCs w:val="18"/>
              </w:rPr>
              <w:t>-</w:t>
            </w:r>
            <w:r w:rsidRPr="1A574573">
              <w:rPr>
                <w:color w:val="FFFFFF" w:themeColor="background1"/>
                <w:sz w:val="18"/>
                <w:szCs w:val="18"/>
              </w:rPr>
              <w:t>23</w:t>
            </w:r>
          </w:p>
        </w:tc>
        <w:tc>
          <w:tcPr>
            <w:tcW w:w="642" w:type="pct"/>
            <w:tcBorders>
              <w:top w:val="nil"/>
              <w:left w:val="nil"/>
              <w:bottom w:val="nil"/>
              <w:right w:val="nil"/>
            </w:tcBorders>
            <w:shd w:val="clear" w:color="auto" w:fill="008EBA"/>
            <w:noWrap/>
            <w:vAlign w:val="center"/>
            <w:hideMark/>
          </w:tcPr>
          <w:p w14:paraId="10D8E790" w14:textId="38057D7A" w:rsidR="00421B2E" w:rsidRPr="00F963D5" w:rsidRDefault="2273C930">
            <w:pPr>
              <w:widowControl/>
              <w:tabs>
                <w:tab w:val="clear" w:pos="4196"/>
                <w:tab w:val="clear" w:pos="5046"/>
                <w:tab w:val="clear" w:pos="5897"/>
                <w:tab w:val="clear" w:pos="6747"/>
                <w:tab w:val="clear" w:pos="7598"/>
              </w:tabs>
              <w:autoSpaceDE/>
              <w:autoSpaceDN/>
              <w:jc w:val="center"/>
              <w:rPr>
                <w:color w:val="FFFFFF"/>
                <w:sz w:val="18"/>
                <w:szCs w:val="18"/>
              </w:rPr>
            </w:pPr>
            <w:r w:rsidRPr="1A574573">
              <w:rPr>
                <w:color w:val="FFFFFF" w:themeColor="background1"/>
                <w:sz w:val="18"/>
                <w:szCs w:val="18"/>
              </w:rPr>
              <w:t>2023</w:t>
            </w:r>
            <w:r w:rsidR="42C8919C" w:rsidRPr="1A574573">
              <w:rPr>
                <w:color w:val="FFFFFF" w:themeColor="background1"/>
                <w:sz w:val="18"/>
                <w:szCs w:val="18"/>
              </w:rPr>
              <w:t>-</w:t>
            </w:r>
            <w:r w:rsidRPr="1A574573">
              <w:rPr>
                <w:color w:val="FFFFFF" w:themeColor="background1"/>
                <w:sz w:val="18"/>
                <w:szCs w:val="18"/>
              </w:rPr>
              <w:t>24</w:t>
            </w:r>
          </w:p>
        </w:tc>
        <w:tc>
          <w:tcPr>
            <w:tcW w:w="642" w:type="pct"/>
            <w:tcBorders>
              <w:top w:val="nil"/>
              <w:left w:val="nil"/>
              <w:bottom w:val="nil"/>
              <w:right w:val="nil"/>
            </w:tcBorders>
            <w:shd w:val="clear" w:color="auto" w:fill="008EBA"/>
            <w:noWrap/>
            <w:vAlign w:val="center"/>
            <w:hideMark/>
          </w:tcPr>
          <w:p w14:paraId="6C383AE1" w14:textId="56BECBF5" w:rsidR="00421B2E" w:rsidRPr="00F963D5" w:rsidRDefault="2273C930">
            <w:pPr>
              <w:widowControl/>
              <w:tabs>
                <w:tab w:val="clear" w:pos="4196"/>
                <w:tab w:val="clear" w:pos="5046"/>
                <w:tab w:val="clear" w:pos="5897"/>
                <w:tab w:val="clear" w:pos="6747"/>
                <w:tab w:val="clear" w:pos="7598"/>
              </w:tabs>
              <w:autoSpaceDE/>
              <w:autoSpaceDN/>
              <w:jc w:val="center"/>
              <w:rPr>
                <w:color w:val="FFFFFF"/>
                <w:sz w:val="18"/>
                <w:szCs w:val="18"/>
              </w:rPr>
            </w:pPr>
            <w:r w:rsidRPr="1A574573">
              <w:rPr>
                <w:color w:val="FFFFFF" w:themeColor="background1"/>
                <w:sz w:val="18"/>
                <w:szCs w:val="18"/>
              </w:rPr>
              <w:t>2024</w:t>
            </w:r>
            <w:r w:rsidR="42C8919C" w:rsidRPr="1A574573">
              <w:rPr>
                <w:color w:val="FFFFFF" w:themeColor="background1"/>
                <w:sz w:val="18"/>
                <w:szCs w:val="18"/>
              </w:rPr>
              <w:t>-</w:t>
            </w:r>
            <w:r w:rsidRPr="1A574573">
              <w:rPr>
                <w:color w:val="FFFFFF" w:themeColor="background1"/>
                <w:sz w:val="18"/>
                <w:szCs w:val="18"/>
              </w:rPr>
              <w:t>25</w:t>
            </w:r>
          </w:p>
        </w:tc>
        <w:tc>
          <w:tcPr>
            <w:tcW w:w="642" w:type="pct"/>
            <w:tcBorders>
              <w:top w:val="nil"/>
              <w:left w:val="nil"/>
              <w:bottom w:val="nil"/>
              <w:right w:val="nil"/>
            </w:tcBorders>
            <w:shd w:val="clear" w:color="auto" w:fill="008EBA"/>
            <w:noWrap/>
            <w:vAlign w:val="center"/>
            <w:hideMark/>
          </w:tcPr>
          <w:p w14:paraId="4437B316" w14:textId="79C23D24" w:rsidR="00421B2E" w:rsidRPr="00F963D5" w:rsidRDefault="2273C930">
            <w:pPr>
              <w:widowControl/>
              <w:tabs>
                <w:tab w:val="clear" w:pos="4196"/>
                <w:tab w:val="clear" w:pos="5046"/>
                <w:tab w:val="clear" w:pos="5897"/>
                <w:tab w:val="clear" w:pos="6747"/>
                <w:tab w:val="clear" w:pos="7598"/>
              </w:tabs>
              <w:autoSpaceDE/>
              <w:autoSpaceDN/>
              <w:jc w:val="center"/>
              <w:rPr>
                <w:color w:val="FFFFFF"/>
                <w:sz w:val="18"/>
                <w:szCs w:val="18"/>
              </w:rPr>
            </w:pPr>
            <w:r w:rsidRPr="1A574573">
              <w:rPr>
                <w:color w:val="FFFFFF" w:themeColor="background1"/>
                <w:sz w:val="18"/>
                <w:szCs w:val="18"/>
              </w:rPr>
              <w:t>2025</w:t>
            </w:r>
            <w:r w:rsidR="42C8919C" w:rsidRPr="1A574573">
              <w:rPr>
                <w:color w:val="FFFFFF" w:themeColor="background1"/>
                <w:sz w:val="18"/>
                <w:szCs w:val="18"/>
              </w:rPr>
              <w:t>-</w:t>
            </w:r>
            <w:r w:rsidRPr="1A574573">
              <w:rPr>
                <w:color w:val="FFFFFF" w:themeColor="background1"/>
                <w:sz w:val="18"/>
                <w:szCs w:val="18"/>
              </w:rPr>
              <w:t>26</w:t>
            </w:r>
          </w:p>
        </w:tc>
      </w:tr>
      <w:tr w:rsidR="0053576C" w:rsidRPr="005E227D" w14:paraId="5ABEAE7F" w14:textId="77777777" w:rsidTr="00786EEC">
        <w:trPr>
          <w:trHeight w:val="290"/>
        </w:trPr>
        <w:tc>
          <w:tcPr>
            <w:tcW w:w="1789" w:type="pct"/>
            <w:tcBorders>
              <w:top w:val="nil"/>
              <w:left w:val="nil"/>
              <w:bottom w:val="nil"/>
              <w:right w:val="nil"/>
            </w:tcBorders>
            <w:shd w:val="clear" w:color="auto" w:fill="00426F"/>
            <w:noWrap/>
            <w:vAlign w:val="bottom"/>
            <w:hideMark/>
          </w:tcPr>
          <w:p w14:paraId="13A99F30" w14:textId="77777777" w:rsidR="00421B2E" w:rsidRPr="00F963D5" w:rsidRDefault="00421B2E" w:rsidP="009D44DE">
            <w:pPr>
              <w:widowControl/>
              <w:tabs>
                <w:tab w:val="clear" w:pos="4196"/>
                <w:tab w:val="clear" w:pos="5046"/>
                <w:tab w:val="clear" w:pos="5897"/>
                <w:tab w:val="clear" w:pos="6747"/>
                <w:tab w:val="clear" w:pos="7598"/>
              </w:tabs>
              <w:autoSpaceDE/>
              <w:autoSpaceDN/>
              <w:jc w:val="both"/>
              <w:rPr>
                <w:color w:val="FFFFFF"/>
                <w:sz w:val="18"/>
                <w:szCs w:val="18"/>
              </w:rPr>
            </w:pPr>
            <w:r w:rsidRPr="00F963D5">
              <w:rPr>
                <w:color w:val="FFFFFF"/>
                <w:sz w:val="18"/>
                <w:szCs w:val="18"/>
              </w:rPr>
              <w:t> </w:t>
            </w:r>
          </w:p>
        </w:tc>
        <w:tc>
          <w:tcPr>
            <w:tcW w:w="642" w:type="pct"/>
            <w:tcBorders>
              <w:top w:val="nil"/>
              <w:left w:val="nil"/>
              <w:bottom w:val="nil"/>
              <w:right w:val="nil"/>
            </w:tcBorders>
            <w:shd w:val="clear" w:color="auto" w:fill="00426F"/>
            <w:noWrap/>
            <w:vAlign w:val="center"/>
            <w:hideMark/>
          </w:tcPr>
          <w:p w14:paraId="6D4CBB3E" w14:textId="77777777" w:rsidR="00421B2E" w:rsidRPr="00F963D5" w:rsidRDefault="00421B2E" w:rsidP="007A1A20">
            <w:pPr>
              <w:widowControl/>
              <w:tabs>
                <w:tab w:val="clear" w:pos="4196"/>
                <w:tab w:val="clear" w:pos="5046"/>
                <w:tab w:val="clear" w:pos="5897"/>
                <w:tab w:val="clear" w:pos="6747"/>
                <w:tab w:val="clear" w:pos="7598"/>
              </w:tabs>
              <w:autoSpaceDE/>
              <w:autoSpaceDN/>
              <w:jc w:val="center"/>
              <w:rPr>
                <w:color w:val="FFFFFF"/>
                <w:sz w:val="18"/>
                <w:szCs w:val="18"/>
              </w:rPr>
            </w:pPr>
            <w:r w:rsidRPr="00F963D5">
              <w:rPr>
                <w:color w:val="FFFFFF"/>
                <w:sz w:val="18"/>
                <w:szCs w:val="18"/>
              </w:rPr>
              <w:t>%</w:t>
            </w:r>
          </w:p>
        </w:tc>
        <w:tc>
          <w:tcPr>
            <w:tcW w:w="642" w:type="pct"/>
            <w:tcBorders>
              <w:top w:val="nil"/>
              <w:left w:val="nil"/>
              <w:bottom w:val="nil"/>
              <w:right w:val="nil"/>
            </w:tcBorders>
            <w:shd w:val="clear" w:color="auto" w:fill="00426F"/>
            <w:noWrap/>
            <w:vAlign w:val="center"/>
            <w:hideMark/>
          </w:tcPr>
          <w:p w14:paraId="33B82C51" w14:textId="77777777" w:rsidR="00421B2E" w:rsidRPr="00F963D5" w:rsidRDefault="00421B2E">
            <w:pPr>
              <w:widowControl/>
              <w:tabs>
                <w:tab w:val="clear" w:pos="4196"/>
                <w:tab w:val="clear" w:pos="5046"/>
                <w:tab w:val="clear" w:pos="5897"/>
                <w:tab w:val="clear" w:pos="6747"/>
                <w:tab w:val="clear" w:pos="7598"/>
              </w:tabs>
              <w:autoSpaceDE/>
              <w:autoSpaceDN/>
              <w:jc w:val="center"/>
              <w:rPr>
                <w:color w:val="FFFFFF"/>
                <w:sz w:val="18"/>
                <w:szCs w:val="18"/>
              </w:rPr>
            </w:pPr>
            <w:r w:rsidRPr="00F963D5">
              <w:rPr>
                <w:color w:val="FFFFFF"/>
                <w:sz w:val="18"/>
                <w:szCs w:val="18"/>
              </w:rPr>
              <w:t>%</w:t>
            </w:r>
          </w:p>
        </w:tc>
        <w:tc>
          <w:tcPr>
            <w:tcW w:w="642" w:type="pct"/>
            <w:tcBorders>
              <w:top w:val="nil"/>
              <w:left w:val="nil"/>
              <w:bottom w:val="nil"/>
              <w:right w:val="nil"/>
            </w:tcBorders>
            <w:shd w:val="clear" w:color="auto" w:fill="00426F"/>
            <w:noWrap/>
            <w:vAlign w:val="center"/>
            <w:hideMark/>
          </w:tcPr>
          <w:p w14:paraId="3B88DD64" w14:textId="77777777" w:rsidR="00421B2E" w:rsidRPr="00F963D5" w:rsidRDefault="00421B2E">
            <w:pPr>
              <w:widowControl/>
              <w:tabs>
                <w:tab w:val="clear" w:pos="4196"/>
                <w:tab w:val="clear" w:pos="5046"/>
                <w:tab w:val="clear" w:pos="5897"/>
                <w:tab w:val="clear" w:pos="6747"/>
                <w:tab w:val="clear" w:pos="7598"/>
              </w:tabs>
              <w:autoSpaceDE/>
              <w:autoSpaceDN/>
              <w:jc w:val="center"/>
              <w:rPr>
                <w:color w:val="FFFFFF"/>
                <w:sz w:val="18"/>
                <w:szCs w:val="18"/>
              </w:rPr>
            </w:pPr>
            <w:r w:rsidRPr="00F963D5">
              <w:rPr>
                <w:color w:val="FFFFFF"/>
                <w:sz w:val="18"/>
                <w:szCs w:val="18"/>
              </w:rPr>
              <w:t>%</w:t>
            </w:r>
          </w:p>
        </w:tc>
        <w:tc>
          <w:tcPr>
            <w:tcW w:w="642" w:type="pct"/>
            <w:tcBorders>
              <w:top w:val="nil"/>
              <w:left w:val="nil"/>
              <w:bottom w:val="nil"/>
              <w:right w:val="nil"/>
            </w:tcBorders>
            <w:shd w:val="clear" w:color="auto" w:fill="00426F"/>
            <w:noWrap/>
            <w:vAlign w:val="center"/>
            <w:hideMark/>
          </w:tcPr>
          <w:p w14:paraId="0CA2277D" w14:textId="77777777" w:rsidR="00421B2E" w:rsidRPr="00F963D5" w:rsidRDefault="00421B2E">
            <w:pPr>
              <w:widowControl/>
              <w:tabs>
                <w:tab w:val="clear" w:pos="4196"/>
                <w:tab w:val="clear" w:pos="5046"/>
                <w:tab w:val="clear" w:pos="5897"/>
                <w:tab w:val="clear" w:pos="6747"/>
                <w:tab w:val="clear" w:pos="7598"/>
              </w:tabs>
              <w:autoSpaceDE/>
              <w:autoSpaceDN/>
              <w:jc w:val="center"/>
              <w:rPr>
                <w:color w:val="FFFFFF"/>
                <w:sz w:val="18"/>
                <w:szCs w:val="18"/>
              </w:rPr>
            </w:pPr>
            <w:r w:rsidRPr="00F963D5">
              <w:rPr>
                <w:color w:val="FFFFFF"/>
                <w:sz w:val="18"/>
                <w:szCs w:val="18"/>
              </w:rPr>
              <w:t>%</w:t>
            </w:r>
          </w:p>
        </w:tc>
        <w:tc>
          <w:tcPr>
            <w:tcW w:w="642" w:type="pct"/>
            <w:tcBorders>
              <w:top w:val="nil"/>
              <w:left w:val="nil"/>
              <w:bottom w:val="nil"/>
              <w:right w:val="nil"/>
            </w:tcBorders>
            <w:shd w:val="clear" w:color="auto" w:fill="00426F"/>
            <w:noWrap/>
            <w:vAlign w:val="center"/>
            <w:hideMark/>
          </w:tcPr>
          <w:p w14:paraId="43D197F0" w14:textId="77777777" w:rsidR="00421B2E" w:rsidRPr="00F963D5" w:rsidRDefault="00421B2E">
            <w:pPr>
              <w:widowControl/>
              <w:tabs>
                <w:tab w:val="clear" w:pos="4196"/>
                <w:tab w:val="clear" w:pos="5046"/>
                <w:tab w:val="clear" w:pos="5897"/>
                <w:tab w:val="clear" w:pos="6747"/>
                <w:tab w:val="clear" w:pos="7598"/>
              </w:tabs>
              <w:autoSpaceDE/>
              <w:autoSpaceDN/>
              <w:jc w:val="center"/>
              <w:rPr>
                <w:color w:val="FFFFFF"/>
                <w:sz w:val="18"/>
                <w:szCs w:val="18"/>
              </w:rPr>
            </w:pPr>
            <w:r w:rsidRPr="00F963D5">
              <w:rPr>
                <w:color w:val="FFFFFF"/>
                <w:sz w:val="18"/>
                <w:szCs w:val="18"/>
              </w:rPr>
              <w:t>%</w:t>
            </w:r>
          </w:p>
        </w:tc>
      </w:tr>
      <w:tr w:rsidR="00421B2E" w:rsidRPr="00421B2E" w14:paraId="72329D63" w14:textId="77777777" w:rsidTr="00786EEC">
        <w:trPr>
          <w:trHeight w:val="330"/>
        </w:trPr>
        <w:tc>
          <w:tcPr>
            <w:tcW w:w="1789" w:type="pct"/>
            <w:tcBorders>
              <w:top w:val="nil"/>
              <w:left w:val="nil"/>
              <w:bottom w:val="nil"/>
              <w:right w:val="nil"/>
            </w:tcBorders>
            <w:shd w:val="clear" w:color="auto" w:fill="auto"/>
            <w:noWrap/>
            <w:vAlign w:val="bottom"/>
            <w:hideMark/>
          </w:tcPr>
          <w:p w14:paraId="603935F2" w14:textId="77777777" w:rsidR="00421B2E" w:rsidRPr="00F963D5" w:rsidRDefault="00421B2E" w:rsidP="00421B2E">
            <w:pPr>
              <w:widowControl/>
              <w:tabs>
                <w:tab w:val="clear" w:pos="4196"/>
                <w:tab w:val="clear" w:pos="5046"/>
                <w:tab w:val="clear" w:pos="5897"/>
                <w:tab w:val="clear" w:pos="6747"/>
                <w:tab w:val="clear" w:pos="7598"/>
              </w:tabs>
              <w:autoSpaceDE/>
              <w:autoSpaceDN/>
              <w:rPr>
                <w:color w:val="000000"/>
                <w:sz w:val="18"/>
                <w:szCs w:val="18"/>
              </w:rPr>
            </w:pPr>
            <w:r w:rsidRPr="00F963D5">
              <w:rPr>
                <w:color w:val="000000"/>
                <w:sz w:val="18"/>
                <w:szCs w:val="18"/>
              </w:rPr>
              <w:t xml:space="preserve">Liability discount rate </w:t>
            </w:r>
            <w:r w:rsidRPr="00F963D5">
              <w:rPr>
                <w:color w:val="000000"/>
                <w:sz w:val="18"/>
                <w:szCs w:val="18"/>
                <w:vertAlign w:val="superscript"/>
              </w:rPr>
              <w:t>(a)</w:t>
            </w:r>
          </w:p>
        </w:tc>
        <w:tc>
          <w:tcPr>
            <w:tcW w:w="642" w:type="pct"/>
            <w:tcBorders>
              <w:top w:val="nil"/>
              <w:left w:val="nil"/>
              <w:bottom w:val="nil"/>
              <w:right w:val="nil"/>
            </w:tcBorders>
            <w:shd w:val="clear" w:color="auto" w:fill="auto"/>
            <w:noWrap/>
            <w:vAlign w:val="bottom"/>
            <w:hideMark/>
          </w:tcPr>
          <w:p w14:paraId="0DD76FC4" w14:textId="6D47E4C2" w:rsidR="00421B2E" w:rsidRPr="008334DD" w:rsidRDefault="009D2533"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3.30</w:t>
            </w:r>
          </w:p>
        </w:tc>
        <w:tc>
          <w:tcPr>
            <w:tcW w:w="642" w:type="pct"/>
            <w:tcBorders>
              <w:top w:val="nil"/>
              <w:left w:val="nil"/>
              <w:bottom w:val="nil"/>
              <w:right w:val="nil"/>
            </w:tcBorders>
            <w:shd w:val="clear" w:color="auto" w:fill="auto"/>
            <w:noWrap/>
            <w:vAlign w:val="bottom"/>
            <w:hideMark/>
          </w:tcPr>
          <w:p w14:paraId="1CE7666E" w14:textId="7DA8BDC0" w:rsidR="00421B2E" w:rsidRPr="008334DD" w:rsidRDefault="00845ECC"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3.20</w:t>
            </w:r>
          </w:p>
        </w:tc>
        <w:tc>
          <w:tcPr>
            <w:tcW w:w="642" w:type="pct"/>
            <w:tcBorders>
              <w:top w:val="nil"/>
              <w:left w:val="nil"/>
              <w:bottom w:val="nil"/>
              <w:right w:val="nil"/>
            </w:tcBorders>
            <w:shd w:val="clear" w:color="auto" w:fill="auto"/>
            <w:noWrap/>
            <w:vAlign w:val="bottom"/>
            <w:hideMark/>
          </w:tcPr>
          <w:p w14:paraId="74515496" w14:textId="358A065D" w:rsidR="00421B2E" w:rsidRPr="008334DD" w:rsidRDefault="006469F2"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3.20</w:t>
            </w:r>
          </w:p>
        </w:tc>
        <w:tc>
          <w:tcPr>
            <w:tcW w:w="642" w:type="pct"/>
            <w:tcBorders>
              <w:top w:val="nil"/>
              <w:left w:val="nil"/>
              <w:bottom w:val="nil"/>
              <w:right w:val="nil"/>
            </w:tcBorders>
            <w:shd w:val="clear" w:color="auto" w:fill="auto"/>
            <w:noWrap/>
            <w:vAlign w:val="bottom"/>
            <w:hideMark/>
          </w:tcPr>
          <w:p w14:paraId="6F26FB65" w14:textId="4813A5AE" w:rsidR="00421B2E" w:rsidRPr="008334DD" w:rsidRDefault="001B606F"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3.20</w:t>
            </w:r>
          </w:p>
        </w:tc>
        <w:tc>
          <w:tcPr>
            <w:tcW w:w="642" w:type="pct"/>
            <w:tcBorders>
              <w:top w:val="nil"/>
              <w:left w:val="nil"/>
              <w:bottom w:val="nil"/>
              <w:right w:val="nil"/>
            </w:tcBorders>
            <w:shd w:val="clear" w:color="auto" w:fill="auto"/>
            <w:noWrap/>
            <w:vAlign w:val="bottom"/>
            <w:hideMark/>
          </w:tcPr>
          <w:p w14:paraId="45874A1A" w14:textId="080B055D" w:rsidR="00421B2E" w:rsidRPr="008334DD" w:rsidRDefault="009136E1"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2.90</w:t>
            </w:r>
          </w:p>
        </w:tc>
      </w:tr>
      <w:tr w:rsidR="00421B2E" w:rsidRPr="00421B2E" w14:paraId="7EFA5534" w14:textId="77777777" w:rsidTr="00786EEC">
        <w:trPr>
          <w:trHeight w:val="330"/>
        </w:trPr>
        <w:tc>
          <w:tcPr>
            <w:tcW w:w="1789" w:type="pct"/>
            <w:tcBorders>
              <w:top w:val="nil"/>
              <w:left w:val="nil"/>
              <w:bottom w:val="nil"/>
              <w:right w:val="nil"/>
            </w:tcBorders>
            <w:shd w:val="clear" w:color="auto" w:fill="auto"/>
            <w:noWrap/>
            <w:vAlign w:val="bottom"/>
            <w:hideMark/>
          </w:tcPr>
          <w:p w14:paraId="1ACCC5EB" w14:textId="70FF2241" w:rsidR="00421B2E" w:rsidRPr="00F963D5" w:rsidRDefault="00421B2E" w:rsidP="00421B2E">
            <w:pPr>
              <w:widowControl/>
              <w:tabs>
                <w:tab w:val="clear" w:pos="4196"/>
                <w:tab w:val="clear" w:pos="5046"/>
                <w:tab w:val="clear" w:pos="5897"/>
                <w:tab w:val="clear" w:pos="6747"/>
                <w:tab w:val="clear" w:pos="7598"/>
              </w:tabs>
              <w:autoSpaceDE/>
              <w:autoSpaceDN/>
              <w:rPr>
                <w:color w:val="000000"/>
                <w:sz w:val="18"/>
                <w:szCs w:val="18"/>
              </w:rPr>
            </w:pPr>
            <w:r w:rsidRPr="00F963D5">
              <w:rPr>
                <w:color w:val="000000"/>
                <w:sz w:val="18"/>
                <w:szCs w:val="18"/>
              </w:rPr>
              <w:t>Expected return on investments</w:t>
            </w:r>
            <w:r w:rsidRPr="00F963D5">
              <w:rPr>
                <w:color w:val="000000"/>
                <w:sz w:val="18"/>
                <w:szCs w:val="18"/>
                <w:vertAlign w:val="superscript"/>
              </w:rPr>
              <w:t>(b)</w:t>
            </w:r>
          </w:p>
        </w:tc>
        <w:tc>
          <w:tcPr>
            <w:tcW w:w="642" w:type="pct"/>
            <w:tcBorders>
              <w:top w:val="nil"/>
              <w:left w:val="nil"/>
              <w:bottom w:val="nil"/>
              <w:right w:val="nil"/>
            </w:tcBorders>
            <w:shd w:val="clear" w:color="auto" w:fill="auto"/>
            <w:noWrap/>
            <w:vAlign w:val="bottom"/>
            <w:hideMark/>
          </w:tcPr>
          <w:p w14:paraId="3CD19207" w14:textId="3F006EAE" w:rsidR="00421B2E" w:rsidRPr="008334DD" w:rsidRDefault="00E94E7D"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2.8</w:t>
            </w:r>
            <w:r w:rsidR="00651A03" w:rsidRPr="2E1123B8">
              <w:rPr>
                <w:color w:val="000000" w:themeColor="text1"/>
                <w:sz w:val="18"/>
                <w:szCs w:val="18"/>
              </w:rPr>
              <w:t>0</w:t>
            </w:r>
            <w:r w:rsidR="2273C930" w:rsidRPr="2E1123B8">
              <w:rPr>
                <w:color w:val="000000" w:themeColor="text1"/>
                <w:sz w:val="18"/>
                <w:szCs w:val="18"/>
              </w:rPr>
              <w:t>/</w:t>
            </w:r>
            <w:r w:rsidRPr="2E1123B8">
              <w:rPr>
                <w:color w:val="000000" w:themeColor="text1"/>
                <w:sz w:val="18"/>
                <w:szCs w:val="18"/>
              </w:rPr>
              <w:t>2.7</w:t>
            </w:r>
            <w:r w:rsidR="00651A03" w:rsidRPr="2E1123B8">
              <w:rPr>
                <w:color w:val="000000" w:themeColor="text1"/>
                <w:sz w:val="18"/>
                <w:szCs w:val="18"/>
              </w:rPr>
              <w:t>0</w:t>
            </w:r>
          </w:p>
        </w:tc>
        <w:tc>
          <w:tcPr>
            <w:tcW w:w="642" w:type="pct"/>
            <w:tcBorders>
              <w:top w:val="nil"/>
              <w:left w:val="nil"/>
              <w:bottom w:val="nil"/>
              <w:right w:val="nil"/>
            </w:tcBorders>
            <w:shd w:val="clear" w:color="auto" w:fill="auto"/>
            <w:noWrap/>
            <w:vAlign w:val="bottom"/>
            <w:hideMark/>
          </w:tcPr>
          <w:p w14:paraId="4EDBDF39" w14:textId="7C5EC419" w:rsidR="00421B2E" w:rsidRPr="00F963D5" w:rsidRDefault="13569993"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6.5</w:t>
            </w:r>
            <w:r w:rsidRPr="004A134A">
              <w:rPr>
                <w:color w:val="000000" w:themeColor="text1"/>
                <w:sz w:val="18"/>
                <w:szCs w:val="18"/>
              </w:rPr>
              <w:t>0/5.70</w:t>
            </w:r>
          </w:p>
        </w:tc>
        <w:tc>
          <w:tcPr>
            <w:tcW w:w="642" w:type="pct"/>
            <w:tcBorders>
              <w:top w:val="nil"/>
              <w:left w:val="nil"/>
              <w:bottom w:val="nil"/>
              <w:right w:val="nil"/>
            </w:tcBorders>
            <w:shd w:val="clear" w:color="auto" w:fill="auto"/>
            <w:noWrap/>
            <w:vAlign w:val="bottom"/>
            <w:hideMark/>
          </w:tcPr>
          <w:p w14:paraId="640F6EE3" w14:textId="33924B2B" w:rsidR="00421B2E" w:rsidRPr="00F963D5" w:rsidRDefault="13569993" w:rsidP="00421B2E">
            <w:pPr>
              <w:widowControl/>
              <w:tabs>
                <w:tab w:val="clear" w:pos="4196"/>
                <w:tab w:val="clear" w:pos="5046"/>
                <w:tab w:val="clear" w:pos="5897"/>
                <w:tab w:val="clear" w:pos="6747"/>
                <w:tab w:val="clear" w:pos="7598"/>
              </w:tabs>
              <w:autoSpaceDE/>
              <w:autoSpaceDN/>
              <w:jc w:val="center"/>
              <w:rPr>
                <w:color w:val="000000"/>
                <w:sz w:val="18"/>
                <w:szCs w:val="18"/>
              </w:rPr>
            </w:pPr>
            <w:r w:rsidRPr="004A134A">
              <w:rPr>
                <w:color w:val="000000" w:themeColor="text1"/>
                <w:sz w:val="18"/>
                <w:szCs w:val="18"/>
              </w:rPr>
              <w:t>6.50/5.70</w:t>
            </w:r>
          </w:p>
        </w:tc>
        <w:tc>
          <w:tcPr>
            <w:tcW w:w="642" w:type="pct"/>
            <w:tcBorders>
              <w:top w:val="nil"/>
              <w:left w:val="nil"/>
              <w:bottom w:val="nil"/>
              <w:right w:val="nil"/>
            </w:tcBorders>
            <w:shd w:val="clear" w:color="auto" w:fill="auto"/>
            <w:noWrap/>
            <w:vAlign w:val="bottom"/>
            <w:hideMark/>
          </w:tcPr>
          <w:p w14:paraId="3F1DEADC" w14:textId="33924B2B" w:rsidR="00421B2E" w:rsidRPr="00F963D5" w:rsidRDefault="13569993" w:rsidP="00421B2E">
            <w:pPr>
              <w:widowControl/>
              <w:tabs>
                <w:tab w:val="clear" w:pos="4196"/>
                <w:tab w:val="clear" w:pos="5046"/>
                <w:tab w:val="clear" w:pos="5897"/>
                <w:tab w:val="clear" w:pos="6747"/>
                <w:tab w:val="clear" w:pos="7598"/>
              </w:tabs>
              <w:autoSpaceDE/>
              <w:autoSpaceDN/>
              <w:jc w:val="center"/>
              <w:rPr>
                <w:color w:val="000000"/>
                <w:sz w:val="18"/>
                <w:szCs w:val="18"/>
              </w:rPr>
            </w:pPr>
            <w:r w:rsidRPr="004A134A">
              <w:rPr>
                <w:color w:val="000000" w:themeColor="text1"/>
                <w:sz w:val="18"/>
                <w:szCs w:val="18"/>
              </w:rPr>
              <w:t>6.50/5.70</w:t>
            </w:r>
          </w:p>
        </w:tc>
        <w:tc>
          <w:tcPr>
            <w:tcW w:w="642" w:type="pct"/>
            <w:tcBorders>
              <w:top w:val="nil"/>
              <w:left w:val="nil"/>
              <w:bottom w:val="nil"/>
              <w:right w:val="nil"/>
            </w:tcBorders>
            <w:shd w:val="clear" w:color="auto" w:fill="auto"/>
            <w:noWrap/>
            <w:vAlign w:val="bottom"/>
            <w:hideMark/>
          </w:tcPr>
          <w:p w14:paraId="79C7BF14" w14:textId="33924B2B" w:rsidR="00421B2E" w:rsidRPr="00F963D5" w:rsidRDefault="13569993" w:rsidP="00421B2E">
            <w:pPr>
              <w:widowControl/>
              <w:tabs>
                <w:tab w:val="clear" w:pos="4196"/>
                <w:tab w:val="clear" w:pos="5046"/>
                <w:tab w:val="clear" w:pos="5897"/>
                <w:tab w:val="clear" w:pos="6747"/>
                <w:tab w:val="clear" w:pos="7598"/>
              </w:tabs>
              <w:autoSpaceDE/>
              <w:autoSpaceDN/>
              <w:jc w:val="center"/>
              <w:rPr>
                <w:color w:val="000000"/>
                <w:sz w:val="18"/>
                <w:szCs w:val="18"/>
              </w:rPr>
            </w:pPr>
            <w:r w:rsidRPr="004A134A">
              <w:rPr>
                <w:color w:val="000000" w:themeColor="text1"/>
                <w:sz w:val="18"/>
                <w:szCs w:val="18"/>
              </w:rPr>
              <w:t>6.50/5.70</w:t>
            </w:r>
          </w:p>
        </w:tc>
      </w:tr>
      <w:tr w:rsidR="00421B2E" w:rsidRPr="00421B2E" w14:paraId="5C2F1D7B" w14:textId="77777777" w:rsidTr="00786EEC">
        <w:trPr>
          <w:trHeight w:val="330"/>
        </w:trPr>
        <w:tc>
          <w:tcPr>
            <w:tcW w:w="1789" w:type="pct"/>
            <w:tcBorders>
              <w:top w:val="nil"/>
              <w:left w:val="nil"/>
              <w:bottom w:val="nil"/>
              <w:right w:val="nil"/>
            </w:tcBorders>
            <w:shd w:val="clear" w:color="auto" w:fill="auto"/>
            <w:noWrap/>
            <w:vAlign w:val="bottom"/>
            <w:hideMark/>
          </w:tcPr>
          <w:p w14:paraId="64A39E4E" w14:textId="06D20995" w:rsidR="00421B2E" w:rsidRPr="00F963D5" w:rsidRDefault="00421B2E" w:rsidP="00421B2E">
            <w:pPr>
              <w:widowControl/>
              <w:tabs>
                <w:tab w:val="clear" w:pos="4196"/>
                <w:tab w:val="clear" w:pos="5046"/>
                <w:tab w:val="clear" w:pos="5897"/>
                <w:tab w:val="clear" w:pos="6747"/>
                <w:tab w:val="clear" w:pos="7598"/>
              </w:tabs>
              <w:autoSpaceDE/>
              <w:autoSpaceDN/>
              <w:rPr>
                <w:color w:val="000000"/>
                <w:sz w:val="18"/>
                <w:szCs w:val="18"/>
              </w:rPr>
            </w:pPr>
            <w:r w:rsidRPr="00F963D5">
              <w:rPr>
                <w:color w:val="000000"/>
                <w:sz w:val="18"/>
                <w:szCs w:val="18"/>
              </w:rPr>
              <w:t>Expected salary increases</w:t>
            </w:r>
            <w:r w:rsidRPr="00F963D5">
              <w:rPr>
                <w:color w:val="000000"/>
                <w:sz w:val="18"/>
                <w:szCs w:val="18"/>
                <w:vertAlign w:val="superscript"/>
              </w:rPr>
              <w:t>(c)</w:t>
            </w:r>
          </w:p>
        </w:tc>
        <w:tc>
          <w:tcPr>
            <w:tcW w:w="642" w:type="pct"/>
            <w:tcBorders>
              <w:top w:val="nil"/>
              <w:left w:val="nil"/>
              <w:bottom w:val="nil"/>
              <w:right w:val="nil"/>
            </w:tcBorders>
            <w:shd w:val="clear" w:color="auto" w:fill="auto"/>
            <w:noWrap/>
            <w:vAlign w:val="bottom"/>
            <w:hideMark/>
          </w:tcPr>
          <w:p w14:paraId="73FCFE42" w14:textId="7D41C453" w:rsidR="00421B2E" w:rsidRPr="00F66934" w:rsidRDefault="2273C930" w:rsidP="00421B2E">
            <w:pPr>
              <w:widowControl/>
              <w:tabs>
                <w:tab w:val="clear" w:pos="4196"/>
                <w:tab w:val="clear" w:pos="5046"/>
                <w:tab w:val="clear" w:pos="5897"/>
                <w:tab w:val="clear" w:pos="6747"/>
                <w:tab w:val="clear" w:pos="7598"/>
              </w:tabs>
              <w:autoSpaceDE/>
              <w:autoSpaceDN/>
              <w:jc w:val="center"/>
              <w:rPr>
                <w:color w:val="000000"/>
                <w:sz w:val="18"/>
                <w:szCs w:val="18"/>
              </w:rPr>
            </w:pPr>
            <w:r w:rsidRPr="00786EEC">
              <w:rPr>
                <w:color w:val="000000" w:themeColor="text1"/>
                <w:sz w:val="18"/>
                <w:szCs w:val="18"/>
              </w:rPr>
              <w:t>2.74</w:t>
            </w:r>
          </w:p>
        </w:tc>
        <w:tc>
          <w:tcPr>
            <w:tcW w:w="642" w:type="pct"/>
            <w:tcBorders>
              <w:top w:val="nil"/>
              <w:left w:val="nil"/>
              <w:bottom w:val="nil"/>
              <w:right w:val="nil"/>
            </w:tcBorders>
            <w:shd w:val="clear" w:color="auto" w:fill="auto"/>
            <w:noWrap/>
            <w:vAlign w:val="bottom"/>
            <w:hideMark/>
          </w:tcPr>
          <w:p w14:paraId="4BB327B5" w14:textId="546C29B5" w:rsidR="00421B2E" w:rsidRPr="00F66934" w:rsidRDefault="240FF2D8" w:rsidP="00421B2E">
            <w:pPr>
              <w:widowControl/>
              <w:tabs>
                <w:tab w:val="clear" w:pos="4196"/>
                <w:tab w:val="clear" w:pos="5046"/>
                <w:tab w:val="clear" w:pos="5897"/>
                <w:tab w:val="clear" w:pos="6747"/>
                <w:tab w:val="clear" w:pos="7598"/>
              </w:tabs>
              <w:autoSpaceDE/>
              <w:autoSpaceDN/>
              <w:jc w:val="center"/>
              <w:rPr>
                <w:color w:val="000000"/>
                <w:sz w:val="18"/>
                <w:szCs w:val="18"/>
              </w:rPr>
            </w:pPr>
            <w:r w:rsidRPr="00786EEC">
              <w:rPr>
                <w:color w:val="000000" w:themeColor="text1"/>
                <w:sz w:val="18"/>
                <w:szCs w:val="18"/>
              </w:rPr>
              <w:t>3.15</w:t>
            </w:r>
          </w:p>
        </w:tc>
        <w:tc>
          <w:tcPr>
            <w:tcW w:w="642" w:type="pct"/>
            <w:tcBorders>
              <w:top w:val="nil"/>
              <w:left w:val="nil"/>
              <w:bottom w:val="nil"/>
              <w:right w:val="nil"/>
            </w:tcBorders>
            <w:shd w:val="clear" w:color="auto" w:fill="auto"/>
            <w:noWrap/>
            <w:vAlign w:val="bottom"/>
            <w:hideMark/>
          </w:tcPr>
          <w:p w14:paraId="33071CCD" w14:textId="5E266384" w:rsidR="00421B2E" w:rsidRPr="00F66934" w:rsidRDefault="0FED1AE7" w:rsidP="00421B2E">
            <w:pPr>
              <w:widowControl/>
              <w:tabs>
                <w:tab w:val="clear" w:pos="4196"/>
                <w:tab w:val="clear" w:pos="5046"/>
                <w:tab w:val="clear" w:pos="5897"/>
                <w:tab w:val="clear" w:pos="6747"/>
                <w:tab w:val="clear" w:pos="7598"/>
              </w:tabs>
              <w:autoSpaceDE/>
              <w:autoSpaceDN/>
              <w:jc w:val="center"/>
              <w:rPr>
                <w:color w:val="000000"/>
                <w:sz w:val="18"/>
                <w:szCs w:val="18"/>
              </w:rPr>
            </w:pPr>
            <w:r w:rsidRPr="00786EEC">
              <w:rPr>
                <w:color w:val="000000" w:themeColor="text1"/>
                <w:sz w:val="18"/>
                <w:szCs w:val="18"/>
              </w:rPr>
              <w:t>3.62</w:t>
            </w:r>
          </w:p>
        </w:tc>
        <w:tc>
          <w:tcPr>
            <w:tcW w:w="642" w:type="pct"/>
            <w:tcBorders>
              <w:top w:val="nil"/>
              <w:left w:val="nil"/>
              <w:bottom w:val="nil"/>
              <w:right w:val="nil"/>
            </w:tcBorders>
            <w:shd w:val="clear" w:color="auto" w:fill="auto"/>
            <w:noWrap/>
            <w:vAlign w:val="bottom"/>
            <w:hideMark/>
          </w:tcPr>
          <w:p w14:paraId="32E8BA57" w14:textId="1549815F" w:rsidR="00421B2E" w:rsidRPr="00F66934" w:rsidRDefault="00421B2E" w:rsidP="00421B2E">
            <w:pPr>
              <w:widowControl/>
              <w:tabs>
                <w:tab w:val="clear" w:pos="4196"/>
                <w:tab w:val="clear" w:pos="5046"/>
                <w:tab w:val="clear" w:pos="5897"/>
                <w:tab w:val="clear" w:pos="6747"/>
                <w:tab w:val="clear" w:pos="7598"/>
              </w:tabs>
              <w:autoSpaceDE/>
              <w:autoSpaceDN/>
              <w:jc w:val="center"/>
              <w:rPr>
                <w:color w:val="000000"/>
                <w:sz w:val="18"/>
                <w:szCs w:val="18"/>
              </w:rPr>
            </w:pPr>
            <w:r w:rsidRPr="00786EEC">
              <w:rPr>
                <w:color w:val="000000" w:themeColor="text1"/>
                <w:sz w:val="18"/>
                <w:szCs w:val="18"/>
              </w:rPr>
              <w:t>2.</w:t>
            </w:r>
            <w:r w:rsidR="588E7DDD" w:rsidRPr="00786EEC">
              <w:rPr>
                <w:color w:val="000000" w:themeColor="text1"/>
                <w:sz w:val="18"/>
                <w:szCs w:val="18"/>
              </w:rPr>
              <w:t>87</w:t>
            </w:r>
          </w:p>
        </w:tc>
        <w:tc>
          <w:tcPr>
            <w:tcW w:w="642" w:type="pct"/>
            <w:tcBorders>
              <w:top w:val="nil"/>
              <w:left w:val="nil"/>
              <w:bottom w:val="nil"/>
              <w:right w:val="nil"/>
            </w:tcBorders>
            <w:shd w:val="clear" w:color="auto" w:fill="auto"/>
            <w:noWrap/>
            <w:vAlign w:val="bottom"/>
            <w:hideMark/>
          </w:tcPr>
          <w:p w14:paraId="25417B97" w14:textId="7D41C453" w:rsidR="00421B2E" w:rsidRPr="00F66934" w:rsidRDefault="7C85A905" w:rsidP="009A4FEC">
            <w:pPr>
              <w:tabs>
                <w:tab w:val="clear" w:pos="4196"/>
                <w:tab w:val="clear" w:pos="5046"/>
                <w:tab w:val="clear" w:pos="5897"/>
                <w:tab w:val="clear" w:pos="6747"/>
                <w:tab w:val="clear" w:pos="7598"/>
              </w:tabs>
              <w:spacing w:line="259" w:lineRule="auto"/>
              <w:jc w:val="center"/>
              <w:rPr>
                <w:color w:val="000000" w:themeColor="text1"/>
                <w:sz w:val="18"/>
                <w:szCs w:val="18"/>
              </w:rPr>
            </w:pPr>
            <w:r w:rsidRPr="00786EEC">
              <w:rPr>
                <w:color w:val="000000" w:themeColor="text1"/>
                <w:sz w:val="18"/>
                <w:szCs w:val="18"/>
              </w:rPr>
              <w:t>2.74</w:t>
            </w:r>
          </w:p>
        </w:tc>
      </w:tr>
      <w:tr w:rsidR="00421B2E" w:rsidRPr="00421B2E" w14:paraId="07B16C8C" w14:textId="77777777" w:rsidTr="00786EEC">
        <w:trPr>
          <w:trHeight w:val="340"/>
        </w:trPr>
        <w:tc>
          <w:tcPr>
            <w:tcW w:w="1789" w:type="pct"/>
            <w:tcBorders>
              <w:top w:val="nil"/>
              <w:left w:val="nil"/>
              <w:bottom w:val="single" w:sz="8" w:space="0" w:color="auto"/>
              <w:right w:val="nil"/>
            </w:tcBorders>
            <w:shd w:val="clear" w:color="auto" w:fill="auto"/>
            <w:noWrap/>
            <w:vAlign w:val="bottom"/>
            <w:hideMark/>
          </w:tcPr>
          <w:p w14:paraId="168AD86B" w14:textId="5F135387" w:rsidR="00421B2E" w:rsidRPr="00F963D5" w:rsidRDefault="00421B2E" w:rsidP="00421B2E">
            <w:pPr>
              <w:widowControl/>
              <w:tabs>
                <w:tab w:val="clear" w:pos="4196"/>
                <w:tab w:val="clear" w:pos="5046"/>
                <w:tab w:val="clear" w:pos="5897"/>
                <w:tab w:val="clear" w:pos="6747"/>
                <w:tab w:val="clear" w:pos="7598"/>
              </w:tabs>
              <w:autoSpaceDE/>
              <w:autoSpaceDN/>
              <w:rPr>
                <w:color w:val="000000"/>
                <w:sz w:val="18"/>
                <w:szCs w:val="18"/>
                <w:vertAlign w:val="superscript"/>
              </w:rPr>
            </w:pPr>
            <w:r w:rsidRPr="1A574573">
              <w:rPr>
                <w:color w:val="000000" w:themeColor="text1"/>
                <w:sz w:val="18"/>
                <w:szCs w:val="18"/>
              </w:rPr>
              <w:t>Expected rate of CPI</w:t>
            </w:r>
          </w:p>
        </w:tc>
        <w:tc>
          <w:tcPr>
            <w:tcW w:w="642" w:type="pct"/>
            <w:tcBorders>
              <w:top w:val="nil"/>
              <w:left w:val="nil"/>
              <w:bottom w:val="single" w:sz="8" w:space="0" w:color="auto"/>
              <w:right w:val="nil"/>
            </w:tcBorders>
            <w:shd w:val="clear" w:color="auto" w:fill="auto"/>
            <w:noWrap/>
            <w:vAlign w:val="bottom"/>
            <w:hideMark/>
          </w:tcPr>
          <w:p w14:paraId="679D4774" w14:textId="158577C4" w:rsidR="00421B2E" w:rsidRPr="00F963D5" w:rsidRDefault="156694A5"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4.00</w:t>
            </w:r>
          </w:p>
        </w:tc>
        <w:tc>
          <w:tcPr>
            <w:tcW w:w="642" w:type="pct"/>
            <w:tcBorders>
              <w:top w:val="nil"/>
              <w:left w:val="nil"/>
              <w:bottom w:val="single" w:sz="8" w:space="0" w:color="auto"/>
              <w:right w:val="nil"/>
            </w:tcBorders>
            <w:shd w:val="clear" w:color="auto" w:fill="auto"/>
            <w:noWrap/>
            <w:vAlign w:val="bottom"/>
            <w:hideMark/>
          </w:tcPr>
          <w:p w14:paraId="17CB0B07" w14:textId="0317EA06" w:rsidR="00421B2E" w:rsidRPr="00F963D5" w:rsidRDefault="2273C930"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5.50</w:t>
            </w:r>
          </w:p>
        </w:tc>
        <w:tc>
          <w:tcPr>
            <w:tcW w:w="642" w:type="pct"/>
            <w:tcBorders>
              <w:top w:val="nil"/>
              <w:left w:val="nil"/>
              <w:bottom w:val="single" w:sz="8" w:space="0" w:color="auto"/>
              <w:right w:val="nil"/>
            </w:tcBorders>
            <w:shd w:val="clear" w:color="auto" w:fill="auto"/>
            <w:noWrap/>
            <w:vAlign w:val="bottom"/>
            <w:hideMark/>
          </w:tcPr>
          <w:p w14:paraId="6372D5DF" w14:textId="7B7B5809" w:rsidR="00421B2E" w:rsidRPr="008334DD" w:rsidRDefault="2273C930"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3.00</w:t>
            </w:r>
          </w:p>
        </w:tc>
        <w:tc>
          <w:tcPr>
            <w:tcW w:w="642" w:type="pct"/>
            <w:tcBorders>
              <w:top w:val="nil"/>
              <w:left w:val="nil"/>
              <w:bottom w:val="single" w:sz="8" w:space="0" w:color="auto"/>
              <w:right w:val="nil"/>
            </w:tcBorders>
            <w:shd w:val="clear" w:color="auto" w:fill="auto"/>
            <w:noWrap/>
            <w:vAlign w:val="bottom"/>
            <w:hideMark/>
          </w:tcPr>
          <w:p w14:paraId="4783AD0B" w14:textId="45ED57C4" w:rsidR="00421B2E" w:rsidRPr="00552322" w:rsidRDefault="1F1B91F5" w:rsidP="00552322">
            <w:pPr>
              <w:widowControl/>
              <w:tabs>
                <w:tab w:val="clear" w:pos="4196"/>
                <w:tab w:val="clear" w:pos="5046"/>
                <w:tab w:val="clear" w:pos="5897"/>
                <w:tab w:val="clear" w:pos="6747"/>
                <w:tab w:val="clear" w:pos="7598"/>
              </w:tabs>
              <w:spacing w:line="259" w:lineRule="auto"/>
              <w:jc w:val="center"/>
              <w:rPr>
                <w:sz w:val="18"/>
                <w:szCs w:val="18"/>
              </w:rPr>
            </w:pPr>
            <w:r w:rsidRPr="2E1123B8">
              <w:rPr>
                <w:color w:val="000000" w:themeColor="text1"/>
                <w:sz w:val="18"/>
                <w:szCs w:val="18"/>
              </w:rPr>
              <w:t>3</w:t>
            </w:r>
            <w:r w:rsidR="0C317B60" w:rsidRPr="2E1123B8">
              <w:rPr>
                <w:color w:val="000000" w:themeColor="text1"/>
                <w:sz w:val="18"/>
                <w:szCs w:val="18"/>
              </w:rPr>
              <w:t>.</w:t>
            </w:r>
            <w:r w:rsidRPr="2E1123B8">
              <w:rPr>
                <w:color w:val="000000" w:themeColor="text1"/>
                <w:sz w:val="18"/>
                <w:szCs w:val="18"/>
              </w:rPr>
              <w:t>00</w:t>
            </w:r>
          </w:p>
        </w:tc>
        <w:tc>
          <w:tcPr>
            <w:tcW w:w="642" w:type="pct"/>
            <w:tcBorders>
              <w:top w:val="nil"/>
              <w:left w:val="nil"/>
              <w:bottom w:val="single" w:sz="8" w:space="0" w:color="auto"/>
              <w:right w:val="nil"/>
            </w:tcBorders>
            <w:shd w:val="clear" w:color="auto" w:fill="auto"/>
            <w:noWrap/>
            <w:vAlign w:val="bottom"/>
            <w:hideMark/>
          </w:tcPr>
          <w:p w14:paraId="21926174" w14:textId="3D4CD5D7" w:rsidR="00421B2E" w:rsidRPr="00F963D5" w:rsidRDefault="00421B2E" w:rsidP="00421B2E">
            <w:pPr>
              <w:widowControl/>
              <w:tabs>
                <w:tab w:val="clear" w:pos="4196"/>
                <w:tab w:val="clear" w:pos="5046"/>
                <w:tab w:val="clear" w:pos="5897"/>
                <w:tab w:val="clear" w:pos="6747"/>
                <w:tab w:val="clear" w:pos="7598"/>
              </w:tabs>
              <w:autoSpaceDE/>
              <w:autoSpaceDN/>
              <w:jc w:val="center"/>
              <w:rPr>
                <w:color w:val="000000"/>
                <w:sz w:val="18"/>
                <w:szCs w:val="18"/>
              </w:rPr>
            </w:pPr>
            <w:r w:rsidRPr="2E1123B8">
              <w:rPr>
                <w:color w:val="000000" w:themeColor="text1"/>
                <w:sz w:val="18"/>
                <w:szCs w:val="18"/>
              </w:rPr>
              <w:t>2.</w:t>
            </w:r>
            <w:r w:rsidR="2273C930" w:rsidRPr="2E1123B8">
              <w:rPr>
                <w:color w:val="000000" w:themeColor="text1"/>
                <w:sz w:val="18"/>
                <w:szCs w:val="18"/>
              </w:rPr>
              <w:t>75</w:t>
            </w:r>
          </w:p>
        </w:tc>
      </w:tr>
    </w:tbl>
    <w:p w14:paraId="43B86A47" w14:textId="77777777" w:rsidR="002E72DE" w:rsidRPr="00AD3485" w:rsidRDefault="002E72DE" w:rsidP="002E72DE">
      <w:pPr>
        <w:rPr>
          <w:sz w:val="6"/>
          <w:szCs w:val="6"/>
          <w:highlight w:val="yellow"/>
        </w:rPr>
      </w:pPr>
    </w:p>
    <w:p w14:paraId="294242B9" w14:textId="44ED4F59" w:rsidR="005E62BC" w:rsidRPr="00C45B7C" w:rsidRDefault="005E62BC" w:rsidP="004A5E8E">
      <w:pPr>
        <w:pStyle w:val="ListParagraph"/>
        <w:widowControl/>
        <w:numPr>
          <w:ilvl w:val="0"/>
          <w:numId w:val="32"/>
        </w:numPr>
        <w:tabs>
          <w:tab w:val="clear" w:pos="4196"/>
          <w:tab w:val="clear" w:pos="5046"/>
          <w:tab w:val="clear" w:pos="5897"/>
          <w:tab w:val="clear" w:pos="6747"/>
          <w:tab w:val="clear" w:pos="7598"/>
        </w:tabs>
        <w:ind w:left="357" w:hanging="357"/>
        <w:rPr>
          <w:sz w:val="17"/>
          <w:szCs w:val="17"/>
        </w:rPr>
      </w:pPr>
      <w:r w:rsidRPr="00C45B7C">
        <w:rPr>
          <w:sz w:val="17"/>
          <w:szCs w:val="17"/>
        </w:rPr>
        <w:t xml:space="preserve">The liability discount rate is as at 30 June </w:t>
      </w:r>
      <w:r w:rsidR="00802386" w:rsidRPr="00C45B7C">
        <w:rPr>
          <w:sz w:val="17"/>
          <w:szCs w:val="17"/>
        </w:rPr>
        <w:t xml:space="preserve">for </w:t>
      </w:r>
      <w:r w:rsidRPr="00C45B7C">
        <w:rPr>
          <w:sz w:val="17"/>
          <w:szCs w:val="17"/>
        </w:rPr>
        <w:t xml:space="preserve">each </w:t>
      </w:r>
      <w:r w:rsidR="009657B5" w:rsidRPr="00C45B7C">
        <w:rPr>
          <w:sz w:val="17"/>
          <w:szCs w:val="17"/>
        </w:rPr>
        <w:t>financial year.</w:t>
      </w:r>
    </w:p>
    <w:p w14:paraId="02EE4D29" w14:textId="69200D03" w:rsidR="00260C43" w:rsidRPr="00C45B7C" w:rsidRDefault="00260C43" w:rsidP="004A5E8E">
      <w:pPr>
        <w:pStyle w:val="ListParagraph"/>
        <w:widowControl/>
        <w:numPr>
          <w:ilvl w:val="0"/>
          <w:numId w:val="32"/>
        </w:numPr>
        <w:tabs>
          <w:tab w:val="clear" w:pos="4196"/>
          <w:tab w:val="clear" w:pos="5046"/>
          <w:tab w:val="clear" w:pos="5897"/>
          <w:tab w:val="clear" w:pos="6747"/>
          <w:tab w:val="clear" w:pos="7598"/>
        </w:tabs>
        <w:ind w:left="357" w:hanging="357"/>
        <w:rPr>
          <w:sz w:val="17"/>
          <w:szCs w:val="17"/>
        </w:rPr>
      </w:pPr>
      <w:r w:rsidRPr="00C45B7C">
        <w:rPr>
          <w:sz w:val="17"/>
          <w:szCs w:val="17"/>
        </w:rPr>
        <w:t xml:space="preserve">The expected return on investments is </w:t>
      </w:r>
      <w:r w:rsidR="001524ED">
        <w:rPr>
          <w:sz w:val="17"/>
          <w:szCs w:val="17"/>
        </w:rPr>
        <w:t>6.5</w:t>
      </w:r>
      <w:r w:rsidR="6087444B" w:rsidRPr="1A574573">
        <w:rPr>
          <w:sz w:val="17"/>
          <w:szCs w:val="17"/>
        </w:rPr>
        <w:t xml:space="preserve"> per cent on assets backing pension liabilities and </w:t>
      </w:r>
      <w:r w:rsidR="001524ED">
        <w:rPr>
          <w:sz w:val="17"/>
          <w:szCs w:val="17"/>
        </w:rPr>
        <w:t>5.</w:t>
      </w:r>
      <w:r w:rsidRPr="00C45B7C">
        <w:rPr>
          <w:sz w:val="17"/>
          <w:szCs w:val="17"/>
        </w:rPr>
        <w:t xml:space="preserve">7 per cent on assets backing non-pension liabilities. For the EISS, the expected long-term investment return is </w:t>
      </w:r>
      <w:r w:rsidR="6087444B" w:rsidRPr="1A574573">
        <w:rPr>
          <w:sz w:val="17"/>
          <w:szCs w:val="17"/>
        </w:rPr>
        <w:t>5.0</w:t>
      </w:r>
      <w:r w:rsidRPr="00C45B7C">
        <w:rPr>
          <w:sz w:val="17"/>
          <w:szCs w:val="17"/>
        </w:rPr>
        <w:t xml:space="preserve"> per cent (after fees and charges).</w:t>
      </w:r>
    </w:p>
    <w:p w14:paraId="0B12DCC4" w14:textId="6A7DFFA9" w:rsidR="00260C43" w:rsidRPr="00C45B7C" w:rsidRDefault="299FE844" w:rsidP="004A5E8E">
      <w:pPr>
        <w:pStyle w:val="ListParagraph"/>
        <w:widowControl/>
        <w:numPr>
          <w:ilvl w:val="0"/>
          <w:numId w:val="32"/>
        </w:numPr>
        <w:tabs>
          <w:tab w:val="clear" w:pos="4196"/>
          <w:tab w:val="clear" w:pos="5046"/>
          <w:tab w:val="clear" w:pos="5897"/>
          <w:tab w:val="clear" w:pos="6747"/>
          <w:tab w:val="clear" w:pos="7598"/>
        </w:tabs>
        <w:ind w:left="357" w:hanging="357"/>
        <w:rPr>
          <w:sz w:val="17"/>
          <w:szCs w:val="17"/>
        </w:rPr>
      </w:pPr>
      <w:r w:rsidRPr="1A574573">
        <w:rPr>
          <w:sz w:val="17"/>
          <w:szCs w:val="17"/>
        </w:rPr>
        <w:t>Note</w:t>
      </w:r>
      <w:r w:rsidR="33CCA4D9" w:rsidRPr="00C45B7C">
        <w:rPr>
          <w:sz w:val="17"/>
          <w:szCs w:val="17"/>
        </w:rPr>
        <w:t xml:space="preserve"> that this input includes promotions and other factors in addition to the ex</w:t>
      </w:r>
      <w:r w:rsidR="44F6CFDB" w:rsidRPr="00C45B7C">
        <w:rPr>
          <w:sz w:val="17"/>
          <w:szCs w:val="17"/>
        </w:rPr>
        <w:t>pected increase in base salary</w:t>
      </w:r>
      <w:r w:rsidR="3C5412EA" w:rsidRPr="1A574573">
        <w:rPr>
          <w:sz w:val="17"/>
          <w:szCs w:val="17"/>
        </w:rPr>
        <w:t>.</w:t>
      </w:r>
    </w:p>
    <w:p w14:paraId="3BEB4FBB" w14:textId="253E697F" w:rsidR="1A574573" w:rsidRDefault="1A574573" w:rsidP="1E1F2D07">
      <w:pPr>
        <w:widowControl/>
        <w:tabs>
          <w:tab w:val="clear" w:pos="4196"/>
          <w:tab w:val="clear" w:pos="5046"/>
          <w:tab w:val="clear" w:pos="5897"/>
          <w:tab w:val="clear" w:pos="6747"/>
          <w:tab w:val="clear" w:pos="7598"/>
        </w:tabs>
      </w:pPr>
    </w:p>
    <w:p w14:paraId="13274128" w14:textId="4A092874" w:rsidR="00C408DC" w:rsidRPr="008833AE" w:rsidRDefault="00C408DC" w:rsidP="00C408DC">
      <w:pPr>
        <w:pStyle w:val="Heading4"/>
        <w:rPr>
          <w:rFonts w:ascii="Arial" w:hAnsi="Arial" w:cs="Arial"/>
        </w:rPr>
      </w:pPr>
      <w:r w:rsidRPr="008833AE">
        <w:rPr>
          <w:rFonts w:ascii="Arial" w:hAnsi="Arial" w:cs="Arial"/>
        </w:rPr>
        <w:t>Depreciation and amortisation</w:t>
      </w:r>
    </w:p>
    <w:p w14:paraId="18659A77" w14:textId="3BFE106D" w:rsidR="002F5A78" w:rsidRDefault="00C408DC" w:rsidP="003B5132">
      <w:pPr>
        <w:pStyle w:val="BodyText"/>
      </w:pPr>
      <w:r w:rsidRPr="00F13756">
        <w:t>Property, plant and equipment are depreciated (net of residual value) over their respective useful lives. Right-of-use assets are generally depreciated over their respective lease term. Depreciation is generally allocated on a straight-line basis.</w:t>
      </w:r>
    </w:p>
    <w:p w14:paraId="122BB857" w14:textId="77777777" w:rsidR="002509A5" w:rsidRDefault="002509A5">
      <w:pPr>
        <w:widowControl/>
        <w:tabs>
          <w:tab w:val="clear" w:pos="4196"/>
          <w:tab w:val="clear" w:pos="5046"/>
          <w:tab w:val="clear" w:pos="5897"/>
          <w:tab w:val="clear" w:pos="6747"/>
          <w:tab w:val="clear" w:pos="7598"/>
        </w:tabs>
        <w:autoSpaceDE/>
        <w:autoSpaceDN/>
        <w:rPr>
          <w:rFonts w:eastAsia="Calibri" w:cs="Times New Roman"/>
          <w:iCs/>
          <w:sz w:val="22"/>
          <w:szCs w:val="16"/>
          <w:lang w:val="en-US" w:eastAsia="ja-JP"/>
        </w:rPr>
      </w:pPr>
      <w:r>
        <w:br w:type="page"/>
      </w:r>
    </w:p>
    <w:p w14:paraId="2496F63A" w14:textId="09EADCF7" w:rsidR="00124342" w:rsidRDefault="00C408DC" w:rsidP="003B5132">
      <w:pPr>
        <w:pStyle w:val="BodyText"/>
      </w:pPr>
      <w:r w:rsidRPr="000B3038">
        <w:lastRenderedPageBreak/>
        <w:t>Depreciation is forecast on</w:t>
      </w:r>
      <w:r w:rsidR="00124342">
        <w:t>:</w:t>
      </w:r>
      <w:r w:rsidRPr="000B3038">
        <w:t xml:space="preserve"> </w:t>
      </w:r>
    </w:p>
    <w:p w14:paraId="51BD786D" w14:textId="13AB1FAD" w:rsidR="004A581C" w:rsidRDefault="00C408DC" w:rsidP="003B5132">
      <w:pPr>
        <w:pStyle w:val="Bullet1"/>
      </w:pPr>
      <w:r w:rsidRPr="000B3038">
        <w:t xml:space="preserve">the basis of known asset valuations </w:t>
      </w:r>
    </w:p>
    <w:p w14:paraId="5FF8F1C6" w14:textId="23BDF6B1" w:rsidR="004A581C" w:rsidRDefault="00C408DC" w:rsidP="003B5132">
      <w:pPr>
        <w:pStyle w:val="Bullet1"/>
      </w:pPr>
      <w:r w:rsidRPr="000B3038">
        <w:t xml:space="preserve">the expected economic life of assets </w:t>
      </w:r>
    </w:p>
    <w:p w14:paraId="3E7D4D10" w14:textId="201C2AEA" w:rsidR="004A581C" w:rsidRDefault="00C408DC" w:rsidP="003B5132">
      <w:pPr>
        <w:pStyle w:val="Bullet1"/>
      </w:pPr>
      <w:r w:rsidRPr="000B3038">
        <w:t>assumed new asset investment</w:t>
      </w:r>
    </w:p>
    <w:p w14:paraId="399D20D2" w14:textId="77777777" w:rsidR="004A581C" w:rsidRDefault="00C408DC" w:rsidP="003B5132">
      <w:pPr>
        <w:pStyle w:val="Bullet1"/>
      </w:pPr>
      <w:r w:rsidRPr="000B3038">
        <w:t xml:space="preserve">asset sale programs. </w:t>
      </w:r>
    </w:p>
    <w:p w14:paraId="3E1AEE7B" w14:textId="680241A4" w:rsidR="00C408DC" w:rsidRPr="000B3038" w:rsidRDefault="00C408DC" w:rsidP="003B5132">
      <w:pPr>
        <w:pStyle w:val="BodyText"/>
      </w:pPr>
      <w:r w:rsidRPr="000B3038">
        <w:t>The depreciation expense is based on the assumption that there will be no change in depreciation rates over the forecast period but includes the estimated impact of the current and future revaluation of assets over the forecast period. The depreciation expense may also be impacted by future changes in useful lives, residual value or valuation methodology.</w:t>
      </w:r>
    </w:p>
    <w:p w14:paraId="2A3BBDED" w14:textId="77777777" w:rsidR="00C408DC" w:rsidRPr="008833AE" w:rsidRDefault="00C408DC" w:rsidP="003B5132">
      <w:pPr>
        <w:pStyle w:val="BodyText"/>
      </w:pPr>
      <w:r w:rsidRPr="00C75432">
        <w:t>Certain heritage assets, including original artworks and collections and heritage buildings, may not have limited useful lives because appropriate custodial and preservation policies are adopted. Such assets are not subject to depreciation. Land is not a depreciable asset.</w:t>
      </w:r>
    </w:p>
    <w:p w14:paraId="50F1ED63" w14:textId="00F469A5" w:rsidR="00C408DC" w:rsidRPr="00F9657B" w:rsidRDefault="00C408DC" w:rsidP="003B5132">
      <w:pPr>
        <w:pStyle w:val="BodyText"/>
      </w:pPr>
      <w:r w:rsidRPr="00F9657B">
        <w:t>Intangible assets with finite lives are amortised using the straight-line method.</w:t>
      </w:r>
      <w:r w:rsidRPr="00F9657B">
        <w:rPr>
          <w:i/>
        </w:rPr>
        <w:t xml:space="preserve"> </w:t>
      </w:r>
      <w:r w:rsidRPr="00F9657B">
        <w:t>Intangible assets with indefinite lives are not amortised but tested for impairment annually.</w:t>
      </w:r>
    </w:p>
    <w:p w14:paraId="6C2CC2F5" w14:textId="75379CD5" w:rsidR="00C408DC" w:rsidRPr="008833AE" w:rsidRDefault="00C408DC" w:rsidP="00C408DC">
      <w:pPr>
        <w:pStyle w:val="Heading4"/>
        <w:keepNext/>
        <w:rPr>
          <w:rFonts w:ascii="Arial" w:hAnsi="Arial" w:cs="Arial"/>
          <w:lang w:eastAsia="en-AU"/>
        </w:rPr>
      </w:pPr>
      <w:r w:rsidRPr="008833AE">
        <w:rPr>
          <w:rFonts w:ascii="Arial" w:hAnsi="Arial" w:cs="Arial"/>
          <w:lang w:eastAsia="en-AU"/>
        </w:rPr>
        <w:t>Interest expense</w:t>
      </w:r>
    </w:p>
    <w:p w14:paraId="0C402299" w14:textId="77777777" w:rsidR="00C408DC" w:rsidRPr="007A20E4" w:rsidRDefault="00C408DC" w:rsidP="003B5132">
      <w:pPr>
        <w:pStyle w:val="BodyText"/>
      </w:pPr>
      <w:r w:rsidRPr="007A20E4">
        <w:t>The forecasts for the interest expense are based on:</w:t>
      </w:r>
    </w:p>
    <w:p w14:paraId="137C0926" w14:textId="63AEF7DF" w:rsidR="00C408DC" w:rsidRPr="007A20E4" w:rsidRDefault="00AB2FD3" w:rsidP="003B5132">
      <w:pPr>
        <w:pStyle w:val="Bullet1"/>
      </w:pPr>
      <w:r>
        <w:t>p</w:t>
      </w:r>
      <w:r w:rsidR="00C408DC" w:rsidRPr="0A37D981">
        <w:t>ayments required on outstanding borrowings (e.g. debt facilities with NSW TCorp and lease liabilities</w:t>
      </w:r>
      <w:r w:rsidR="7B8980B4">
        <w:t>) and</w:t>
      </w:r>
      <w:r w:rsidR="00C408DC" w:rsidRPr="0A37D981">
        <w:t xml:space="preserve"> other long-term financial liabilities</w:t>
      </w:r>
    </w:p>
    <w:p w14:paraId="1877A7CF" w14:textId="2843EC52" w:rsidR="00C408DC" w:rsidRDefault="00AB2FD3" w:rsidP="003B5132">
      <w:pPr>
        <w:pStyle w:val="Bullet1"/>
      </w:pPr>
      <w:r>
        <w:t>e</w:t>
      </w:r>
      <w:r w:rsidR="00C408DC" w:rsidRPr="0A37D981">
        <w:t>xpected payments on any new borrowings (including any refinancing of existing borrowings) required to finance general government activities based on forward contracts for TCorp bonds</w:t>
      </w:r>
    </w:p>
    <w:p w14:paraId="416D8219" w14:textId="04B878C9" w:rsidR="00C408DC" w:rsidRPr="00900BDC" w:rsidRDefault="00AB2FD3" w:rsidP="003B5132">
      <w:pPr>
        <w:pStyle w:val="Bullet1"/>
      </w:pPr>
      <w:r>
        <w:t>t</w:t>
      </w:r>
      <w:r w:rsidR="00C408DC" w:rsidRPr="0A37D981">
        <w:t>he unwinding of discounts on non-employee provisions.</w:t>
      </w:r>
    </w:p>
    <w:p w14:paraId="2124C104" w14:textId="333C499E" w:rsidR="00C408DC" w:rsidRPr="008833AE" w:rsidRDefault="00C408DC" w:rsidP="00C408DC">
      <w:pPr>
        <w:pStyle w:val="Heading4"/>
        <w:keepNext/>
        <w:rPr>
          <w:rFonts w:ascii="Arial" w:hAnsi="Arial" w:cs="Arial"/>
          <w:lang w:eastAsia="en-AU"/>
        </w:rPr>
      </w:pPr>
      <w:r w:rsidRPr="008833AE">
        <w:rPr>
          <w:rFonts w:ascii="Arial" w:hAnsi="Arial" w:cs="Arial"/>
          <w:lang w:eastAsia="en-AU"/>
        </w:rPr>
        <w:t>Other operating expenses</w:t>
      </w:r>
    </w:p>
    <w:p w14:paraId="6D2C93C1" w14:textId="77777777" w:rsidR="0048412E" w:rsidRDefault="00C408DC" w:rsidP="003B5132">
      <w:pPr>
        <w:pStyle w:val="BodyText"/>
      </w:pPr>
      <w:r w:rsidRPr="002B0F1D">
        <w:t xml:space="preserve">Other operating expenses mainly represent the day-to-day running costs incurred in the normal operations of agencies and include the cost of supplies and services. They are forecast by applying appropriate economic parameters and known activity changes. This includes planned changes in the method of service delivery and the application of government policies. </w:t>
      </w:r>
    </w:p>
    <w:p w14:paraId="1A0D7851" w14:textId="3084AEA4" w:rsidR="00C408DC" w:rsidRPr="002B0F1D" w:rsidRDefault="00C408DC" w:rsidP="003B5132">
      <w:pPr>
        <w:pStyle w:val="BodyText"/>
      </w:pPr>
      <w:r w:rsidRPr="002B0F1D">
        <w:t>Other operating expenses also reflect the impact of government efficiency strategies, such as efficiency dividends.</w:t>
      </w:r>
    </w:p>
    <w:p w14:paraId="11CD884E" w14:textId="77777777" w:rsidR="00C408DC" w:rsidRPr="008833AE" w:rsidRDefault="00C408DC" w:rsidP="00C408DC">
      <w:pPr>
        <w:pStyle w:val="Heading4"/>
        <w:keepNext/>
        <w:keepLines/>
        <w:rPr>
          <w:rFonts w:ascii="Arial" w:hAnsi="Arial" w:cs="Arial"/>
          <w:lang w:eastAsia="en-AU"/>
        </w:rPr>
      </w:pPr>
      <w:r w:rsidRPr="008833AE">
        <w:rPr>
          <w:rFonts w:ascii="Arial" w:hAnsi="Arial" w:cs="Arial"/>
          <w:lang w:eastAsia="en-AU"/>
        </w:rPr>
        <w:t>Grants</w:t>
      </w:r>
      <w:r>
        <w:rPr>
          <w:rFonts w:ascii="Arial" w:hAnsi="Arial" w:cs="Arial"/>
          <w:lang w:eastAsia="en-AU"/>
        </w:rPr>
        <w:t xml:space="preserve">, </w:t>
      </w:r>
      <w:r w:rsidRPr="008833AE">
        <w:rPr>
          <w:rFonts w:ascii="Arial" w:hAnsi="Arial" w:cs="Arial"/>
          <w:lang w:eastAsia="en-AU"/>
        </w:rPr>
        <w:t xml:space="preserve">subsidies </w:t>
      </w:r>
      <w:r>
        <w:rPr>
          <w:rFonts w:ascii="Arial" w:hAnsi="Arial" w:cs="Arial"/>
          <w:lang w:eastAsia="en-AU"/>
        </w:rPr>
        <w:t>and other transfers expenses</w:t>
      </w:r>
    </w:p>
    <w:p w14:paraId="07C5140C" w14:textId="77777777" w:rsidR="0023290C" w:rsidRDefault="00C408DC" w:rsidP="003B5132">
      <w:pPr>
        <w:pStyle w:val="BodyText"/>
      </w:pPr>
      <w:r w:rsidRPr="00F07517">
        <w:t>Grants, subsidies and other transfers expenses generally comprise cash contributions to local government authorities</w:t>
      </w:r>
      <w:r>
        <w:t>,</w:t>
      </w:r>
      <w:r w:rsidRPr="00F07517">
        <w:t xml:space="preserve"> non-government organisations</w:t>
      </w:r>
      <w:r>
        <w:t xml:space="preserve"> and</w:t>
      </w:r>
      <w:r w:rsidRPr="00F07517">
        <w:t xml:space="preserve"> the PNFC and PFC sectors. </w:t>
      </w:r>
    </w:p>
    <w:p w14:paraId="14F2D9C0" w14:textId="79FD5C26" w:rsidR="00C408DC" w:rsidRPr="00F07517" w:rsidRDefault="00C408DC" w:rsidP="003B5132">
      <w:pPr>
        <w:pStyle w:val="BodyText"/>
      </w:pPr>
      <w:r w:rsidRPr="00F07517">
        <w:t>The forecast grant payments are determined by taking into account current and past policy decisions, the forecast payment schedules and escalation factors relevant to each type of grant.</w:t>
      </w:r>
    </w:p>
    <w:p w14:paraId="4398642E" w14:textId="3F2FB31B" w:rsidR="00C408DC" w:rsidRPr="008833AE" w:rsidRDefault="00C408DC" w:rsidP="00C408DC">
      <w:pPr>
        <w:pStyle w:val="Heading3"/>
        <w:rPr>
          <w:rFonts w:ascii="Arial" w:hAnsi="Arial" w:cs="Arial"/>
          <w:b w:val="0"/>
          <w:lang w:eastAsia="en-AU"/>
        </w:rPr>
      </w:pPr>
      <w:r w:rsidRPr="0A37D981">
        <w:rPr>
          <w:rFonts w:ascii="Arial" w:hAnsi="Arial" w:cs="Arial"/>
          <w:lang w:eastAsia="en-AU"/>
        </w:rPr>
        <w:lastRenderedPageBreak/>
        <w:t>Other economic flows</w:t>
      </w:r>
    </w:p>
    <w:p w14:paraId="03A26B1F" w14:textId="607EB22D" w:rsidR="004258FA" w:rsidRPr="0067486B" w:rsidRDefault="0E86B555" w:rsidP="003B5132">
      <w:pPr>
        <w:pStyle w:val="BodyText"/>
      </w:pPr>
      <w:r w:rsidRPr="0067486B">
        <w:t>Other economic flows are changes in the volume or value of an asset or liability that do not result from transactions</w:t>
      </w:r>
      <w:r w:rsidR="7E26C43A" w:rsidRPr="0067486B">
        <w:t xml:space="preserve"> (and which are often outside the control of government)</w:t>
      </w:r>
      <w:r w:rsidR="3883263D" w:rsidRPr="0067486B">
        <w:t>.</w:t>
      </w:r>
    </w:p>
    <w:p w14:paraId="484812D9" w14:textId="77777777" w:rsidR="00C408DC" w:rsidRPr="008833AE" w:rsidRDefault="00C408DC" w:rsidP="00C408DC">
      <w:pPr>
        <w:pStyle w:val="Heading4"/>
        <w:keepNext/>
        <w:rPr>
          <w:rFonts w:ascii="Arial" w:hAnsi="Arial" w:cs="Arial"/>
          <w:lang w:eastAsia="en-AU"/>
        </w:rPr>
      </w:pPr>
      <w:r w:rsidRPr="008833AE">
        <w:rPr>
          <w:rFonts w:ascii="Arial" w:hAnsi="Arial" w:cs="Arial"/>
          <w:lang w:eastAsia="en-AU"/>
        </w:rPr>
        <w:t>Revaluations</w:t>
      </w:r>
    </w:p>
    <w:p w14:paraId="1007FC61" w14:textId="77777777" w:rsidR="00C408DC" w:rsidRPr="00F07517" w:rsidRDefault="00C408DC" w:rsidP="003B5132">
      <w:pPr>
        <w:pStyle w:val="BodyText"/>
      </w:pPr>
      <w:r w:rsidRPr="00F07517">
        <w:t>The estimates are based on an examination and extrapolation of historical trends in the valuation of property, plant and equipment. The budget and forward estimates years include the estimated impact of revaluations of property, plant and equipment.</w:t>
      </w:r>
    </w:p>
    <w:p w14:paraId="1D69DE25" w14:textId="77777777" w:rsidR="00C408DC" w:rsidRPr="008833AE" w:rsidRDefault="00C408DC" w:rsidP="00C408DC">
      <w:pPr>
        <w:pStyle w:val="Heading4"/>
        <w:rPr>
          <w:rFonts w:ascii="Arial" w:hAnsi="Arial" w:cs="Arial"/>
          <w:lang w:eastAsia="en-AU"/>
        </w:rPr>
      </w:pPr>
      <w:r w:rsidRPr="008833AE">
        <w:rPr>
          <w:rFonts w:ascii="Arial" w:hAnsi="Arial" w:cs="Arial"/>
          <w:lang w:eastAsia="en-AU"/>
        </w:rPr>
        <w:t>Superannuation actuarial gains / losses</w:t>
      </w:r>
    </w:p>
    <w:p w14:paraId="017C012B" w14:textId="77777777" w:rsidR="00C408DC" w:rsidRPr="00F07517" w:rsidRDefault="00C408DC" w:rsidP="003B5132">
      <w:pPr>
        <w:pStyle w:val="BodyText"/>
      </w:pPr>
      <w:r w:rsidRPr="00F07517">
        <w:t>The forecast actuarial gains or losses on defined benefit superannuation</w:t>
      </w:r>
      <w:r>
        <w:t xml:space="preserve"> liabilities</w:t>
      </w:r>
      <w:r w:rsidRPr="00F07517">
        <w:t xml:space="preserve"> are based on the revised estimates of the margin of forecast fund earnings in excess of the expected discount rate.</w:t>
      </w:r>
    </w:p>
    <w:p w14:paraId="0D458C4A" w14:textId="45FC3257" w:rsidR="00C408DC" w:rsidRPr="008833AE" w:rsidRDefault="00C408DC" w:rsidP="00C408DC">
      <w:pPr>
        <w:pStyle w:val="Heading4"/>
        <w:rPr>
          <w:rFonts w:ascii="Arial" w:hAnsi="Arial" w:cs="Arial"/>
          <w:lang w:eastAsia="en-AU"/>
        </w:rPr>
      </w:pPr>
      <w:r w:rsidRPr="008833AE">
        <w:rPr>
          <w:rFonts w:ascii="Arial" w:hAnsi="Arial" w:cs="Arial"/>
          <w:lang w:eastAsia="en-AU"/>
        </w:rPr>
        <w:t>Net gain / (loss) on equity investments in other sectors</w:t>
      </w:r>
    </w:p>
    <w:p w14:paraId="4023B92B" w14:textId="4A7D053D" w:rsidR="00C408DC" w:rsidRDefault="00C408DC" w:rsidP="003B5132">
      <w:pPr>
        <w:pStyle w:val="BodyText"/>
        <w:rPr>
          <w:kern w:val="28"/>
          <w:sz w:val="26"/>
          <w:szCs w:val="36"/>
        </w:rPr>
      </w:pPr>
      <w:r w:rsidRPr="00F07517">
        <w:t xml:space="preserve">The net gain / (loss) on equity investments in other sectors is based on estimates of the PNFC and PFC sectors’ forward comprehensive results adjusted for transactions with owners. The underlying management estimates of future comprehensive results are based on current Statements of Corporate Intent. Future distributions to equity holders are based on Treasury’s </w:t>
      </w:r>
      <w:r w:rsidRPr="00F07517">
        <w:rPr>
          <w:i/>
        </w:rPr>
        <w:t>Commercial Policy Framework</w:t>
      </w:r>
      <w:r w:rsidRPr="00F07517">
        <w:t>.</w:t>
      </w:r>
    </w:p>
    <w:p w14:paraId="35837423" w14:textId="41D47915" w:rsidR="00C408DC" w:rsidRPr="008833AE" w:rsidRDefault="00C408DC" w:rsidP="00C408DC">
      <w:pPr>
        <w:pStyle w:val="Heading3"/>
        <w:rPr>
          <w:rFonts w:ascii="Arial" w:hAnsi="Arial" w:cs="Arial"/>
          <w:lang w:eastAsia="en-AU"/>
        </w:rPr>
      </w:pPr>
      <w:r w:rsidRPr="0A37D981">
        <w:rPr>
          <w:rFonts w:ascii="Arial" w:hAnsi="Arial" w:cs="Arial"/>
          <w:lang w:eastAsia="en-AU"/>
        </w:rPr>
        <w:t xml:space="preserve">Net acquisition of non-financial assets </w:t>
      </w:r>
    </w:p>
    <w:p w14:paraId="6CAC6F3C" w14:textId="49E857E9" w:rsidR="098F555D" w:rsidRPr="0067486B" w:rsidRDefault="098F555D" w:rsidP="003B5132">
      <w:pPr>
        <w:pStyle w:val="BodyText"/>
        <w:rPr>
          <w:szCs w:val="20"/>
        </w:rPr>
      </w:pPr>
      <w:r>
        <w:t>This is purchases (or acquisitions) less sales (or disp</w:t>
      </w:r>
      <w:r w:rsidR="57667017">
        <w:t>osals) of non-financial assets less depreciation</w:t>
      </w:r>
      <w:r w:rsidR="16FE7804">
        <w:t>, plus changes in inventory and other movements in non-financial assets</w:t>
      </w:r>
      <w:r w:rsidR="19A717A2">
        <w:t>. Purchases and sales of non-financial assets generally include accrued expenses and payabl</w:t>
      </w:r>
      <w:r w:rsidR="4FDA2E62">
        <w:t xml:space="preserve">es for capital items. Other movements in non-financial assets include </w:t>
      </w:r>
      <w:r w:rsidR="01B1FCB1">
        <w:t>non-cash capital grant revenue/expense such as assets contributed by developers.</w:t>
      </w:r>
    </w:p>
    <w:p w14:paraId="5FF6997E" w14:textId="77777777" w:rsidR="00C408DC" w:rsidRPr="00A3026A" w:rsidRDefault="00C408DC" w:rsidP="00A869CE">
      <w:pPr>
        <w:pStyle w:val="Heading3"/>
        <w:widowControl/>
        <w:rPr>
          <w:rFonts w:ascii="Arial" w:hAnsi="Arial" w:cs="Arial"/>
          <w:lang w:eastAsia="en-AU"/>
        </w:rPr>
      </w:pPr>
      <w:r w:rsidRPr="008833AE">
        <w:rPr>
          <w:rFonts w:ascii="Arial" w:hAnsi="Arial" w:cs="Arial"/>
          <w:lang w:eastAsia="en-AU"/>
        </w:rPr>
        <w:t>Assets</w:t>
      </w:r>
    </w:p>
    <w:p w14:paraId="126B6CF0" w14:textId="77777777" w:rsidR="00C408DC" w:rsidRPr="008833AE" w:rsidRDefault="00C408DC" w:rsidP="00A869CE">
      <w:pPr>
        <w:pStyle w:val="Heading4"/>
        <w:keepNext/>
        <w:widowControl/>
        <w:spacing w:before="280"/>
        <w:rPr>
          <w:rFonts w:ascii="Arial" w:hAnsi="Arial" w:cs="Arial"/>
        </w:rPr>
      </w:pPr>
      <w:r w:rsidRPr="008833AE">
        <w:rPr>
          <w:rFonts w:ascii="Arial" w:hAnsi="Arial" w:cs="Arial"/>
        </w:rPr>
        <w:t>Property, plant and equipment</w:t>
      </w:r>
    </w:p>
    <w:p w14:paraId="3E3EF7D2" w14:textId="4A68003A" w:rsidR="00C408DC" w:rsidRPr="000D52CC" w:rsidRDefault="00C408DC" w:rsidP="003B5132">
      <w:pPr>
        <w:pStyle w:val="BodyText"/>
      </w:pPr>
      <w:r w:rsidRPr="000D52CC">
        <w:t xml:space="preserve">The estimates of property, plant and equipment over the forecast period are at fair value and take into account planned acquisitions, disposals, and the impact of depreciation, impairment and revaluations. New investments in assets are valued at the forecast purchase price and where appropriate, recognised progressively over the estimated construction period. </w:t>
      </w:r>
    </w:p>
    <w:p w14:paraId="10B61BD1" w14:textId="24018882" w:rsidR="00C408DC" w:rsidRDefault="00C408DC" w:rsidP="003B5132">
      <w:pPr>
        <w:pStyle w:val="BodyText"/>
      </w:pPr>
      <w:r>
        <w:t>R</w:t>
      </w:r>
      <w:r w:rsidRPr="00602181">
        <w:t xml:space="preserve">ight-of-use assets are based on the State’s best estimate of the timing of renewals of lease arrangements and the impact of depreciation. </w:t>
      </w:r>
      <w:r w:rsidR="003C0508">
        <w:t xml:space="preserve">Service concession assets are measured at </w:t>
      </w:r>
      <w:r w:rsidR="003A467D">
        <w:t>estimated</w:t>
      </w:r>
      <w:r w:rsidR="003C0508">
        <w:t xml:space="preserve"> </w:t>
      </w:r>
      <w:r w:rsidR="000A6C95">
        <w:t xml:space="preserve">current </w:t>
      </w:r>
      <w:r w:rsidR="003C0508">
        <w:t>replacement cost.</w:t>
      </w:r>
    </w:p>
    <w:p w14:paraId="3AFE4B5B" w14:textId="77777777" w:rsidR="00C408DC" w:rsidRPr="000D52CC" w:rsidRDefault="00C408DC" w:rsidP="003B5132">
      <w:pPr>
        <w:pStyle w:val="BodyText"/>
      </w:pPr>
      <w:r w:rsidRPr="000D52CC">
        <w:t>The forward estimates include the estimated impact of revaluations of property, plant and equipment. These estimates are based on an examination of expected cost trends.</w:t>
      </w:r>
    </w:p>
    <w:p w14:paraId="489DACFD" w14:textId="77777777" w:rsidR="00C408DC" w:rsidRPr="000D52CC" w:rsidRDefault="00C408DC" w:rsidP="003B5132">
      <w:pPr>
        <w:pStyle w:val="BodyText"/>
      </w:pPr>
      <w:r w:rsidRPr="000D52CC">
        <w:t>To improve the accuracy of budget estimates, consistent with longstanding practice and reflecting historic trends, the Budget includes adjustments:</w:t>
      </w:r>
    </w:p>
    <w:p w14:paraId="640231F6" w14:textId="3A283EBD" w:rsidR="00C408DC" w:rsidRPr="000D52CC" w:rsidRDefault="00C408DC" w:rsidP="003B5132">
      <w:pPr>
        <w:pStyle w:val="Bullet1"/>
        <w:rPr>
          <w:i/>
        </w:rPr>
      </w:pPr>
      <w:r>
        <w:lastRenderedPageBreak/>
        <w:t xml:space="preserve">to account for capital expenses expected to be carried forward into future years reflecting changes in timing of delivery of government activity, consistent with the policy set out in </w:t>
      </w:r>
      <w:r w:rsidR="00292651">
        <w:t xml:space="preserve">TPG22-05 NSW Treasury Policy and Guidelines: </w:t>
      </w:r>
      <w:r w:rsidR="00292651" w:rsidRPr="7F72D19C">
        <w:rPr>
          <w:i/>
        </w:rPr>
        <w:t>Carry Forwards Policy</w:t>
      </w:r>
    </w:p>
    <w:p w14:paraId="43439238" w14:textId="7DE83EDD" w:rsidR="00C408DC" w:rsidRPr="000D52CC" w:rsidRDefault="00C408DC" w:rsidP="003B5132">
      <w:pPr>
        <w:pStyle w:val="Bullet1"/>
      </w:pPr>
      <w:r>
        <w:t>to reflect government decisions on capital expenditure that are not yet included in agency estimates, for example due to timing, because they are commercial in confidence or subject to further requirements.</w:t>
      </w:r>
    </w:p>
    <w:p w14:paraId="124D3EBF" w14:textId="77777777" w:rsidR="00C408DC" w:rsidRPr="008833AE" w:rsidRDefault="00C408DC" w:rsidP="00C408DC">
      <w:pPr>
        <w:pStyle w:val="Heading3"/>
        <w:rPr>
          <w:rFonts w:ascii="Arial" w:hAnsi="Arial" w:cs="Arial"/>
          <w:b w:val="0"/>
        </w:rPr>
      </w:pPr>
      <w:r w:rsidRPr="008833AE">
        <w:rPr>
          <w:rFonts w:ascii="Arial" w:hAnsi="Arial" w:cs="Arial"/>
          <w:lang w:eastAsia="en-AU"/>
        </w:rPr>
        <w:t>Liabilities</w:t>
      </w:r>
    </w:p>
    <w:p w14:paraId="386CD50B" w14:textId="77777777" w:rsidR="00C408DC" w:rsidRPr="008833AE" w:rsidRDefault="00C408DC" w:rsidP="00C408DC">
      <w:pPr>
        <w:pStyle w:val="Heading4"/>
        <w:keepNext/>
        <w:spacing w:before="280"/>
        <w:rPr>
          <w:rFonts w:ascii="Arial" w:hAnsi="Arial" w:cs="Arial"/>
        </w:rPr>
      </w:pPr>
      <w:r w:rsidRPr="008833AE">
        <w:rPr>
          <w:rFonts w:ascii="Arial" w:hAnsi="Arial" w:cs="Arial"/>
        </w:rPr>
        <w:t>Borrowings</w:t>
      </w:r>
    </w:p>
    <w:p w14:paraId="4235CE8E" w14:textId="77777777" w:rsidR="00C408DC" w:rsidRPr="00E73970" w:rsidRDefault="00C408DC" w:rsidP="003B5132">
      <w:pPr>
        <w:pStyle w:val="BodyText"/>
      </w:pPr>
      <w:r w:rsidRPr="00E73970">
        <w:t xml:space="preserve">Estimates for borrowings are based on current debt levels </w:t>
      </w:r>
      <w:r w:rsidRPr="007E687A">
        <w:t>(including lease liabilities)</w:t>
      </w:r>
      <w:r w:rsidRPr="00E73970">
        <w:t>, amortisation of any premiums or discounts, and the cash flows expected to be required to fund future government activities.</w:t>
      </w:r>
    </w:p>
    <w:p w14:paraId="6BAD2593" w14:textId="77777777" w:rsidR="00C408DC" w:rsidRPr="008833AE" w:rsidRDefault="00C408DC" w:rsidP="00C408DC">
      <w:pPr>
        <w:pStyle w:val="Heading4"/>
        <w:spacing w:before="280"/>
        <w:rPr>
          <w:rFonts w:ascii="Arial" w:hAnsi="Arial" w:cs="Arial"/>
        </w:rPr>
      </w:pPr>
      <w:r w:rsidRPr="008833AE">
        <w:rPr>
          <w:rFonts w:ascii="Arial" w:hAnsi="Arial" w:cs="Arial"/>
        </w:rPr>
        <w:t>Employee provisions</w:t>
      </w:r>
    </w:p>
    <w:p w14:paraId="6C875E4D" w14:textId="6F205561" w:rsidR="00C408DC" w:rsidRPr="008E07FA" w:rsidRDefault="00C408DC" w:rsidP="003B5132">
      <w:pPr>
        <w:pStyle w:val="BodyText"/>
      </w:pPr>
      <w:r w:rsidRPr="008E07FA">
        <w:t xml:space="preserve">Employee provisions are forecast based on </w:t>
      </w:r>
      <w:r w:rsidR="00A401E7">
        <w:t>e</w:t>
      </w:r>
      <w:r w:rsidR="00A401E7" w:rsidRPr="00A401E7">
        <w:t xml:space="preserve">stimated future cash outflows </w:t>
      </w:r>
      <w:r w:rsidR="00A401E7">
        <w:t xml:space="preserve">to settle </w:t>
      </w:r>
      <w:r w:rsidR="00410198">
        <w:t>employees’ entitlement</w:t>
      </w:r>
      <w:r w:rsidR="004316B0">
        <w:t>s</w:t>
      </w:r>
      <w:r w:rsidR="007F6BEB">
        <w:t>, such as</w:t>
      </w:r>
      <w:r w:rsidR="00410198">
        <w:t xml:space="preserve"> </w:t>
      </w:r>
      <w:r w:rsidR="00F67B59">
        <w:t xml:space="preserve">unused </w:t>
      </w:r>
      <w:r w:rsidR="007A46D9">
        <w:t>long service leave, annual leave</w:t>
      </w:r>
      <w:r w:rsidR="00D614AD">
        <w:t>.</w:t>
      </w:r>
    </w:p>
    <w:p w14:paraId="2039B160" w14:textId="77777777" w:rsidR="00C408DC" w:rsidRPr="008833AE" w:rsidRDefault="00C408DC" w:rsidP="00C408DC">
      <w:pPr>
        <w:pStyle w:val="Heading4"/>
        <w:spacing w:before="280"/>
        <w:rPr>
          <w:rFonts w:ascii="Arial" w:hAnsi="Arial" w:cs="Arial"/>
        </w:rPr>
      </w:pPr>
      <w:r w:rsidRPr="008833AE">
        <w:rPr>
          <w:rFonts w:ascii="Arial" w:hAnsi="Arial" w:cs="Arial"/>
        </w:rPr>
        <w:t>Superannuation provisions</w:t>
      </w:r>
    </w:p>
    <w:p w14:paraId="60567E06" w14:textId="642C412B" w:rsidR="00C408DC" w:rsidRPr="00A43B32" w:rsidRDefault="00C408DC" w:rsidP="003B5132">
      <w:pPr>
        <w:pStyle w:val="BodyText"/>
        <w:rPr>
          <w:rFonts w:eastAsia="Arial Unicode MS"/>
          <w:b/>
          <w:kern w:val="28"/>
          <w:sz w:val="24"/>
          <w:szCs w:val="36"/>
        </w:rPr>
      </w:pPr>
      <w:r w:rsidRPr="00A43B32">
        <w:t>Refer to</w:t>
      </w:r>
      <w:r w:rsidR="00A75E85">
        <w:t xml:space="preserve"> section:</w:t>
      </w:r>
      <w:r w:rsidRPr="00A43B32">
        <w:t xml:space="preserve"> </w:t>
      </w:r>
      <w:r w:rsidRPr="00A43B32">
        <w:rPr>
          <w:i/>
        </w:rPr>
        <w:t>Superannuation expense (and liabilities)</w:t>
      </w:r>
      <w:r w:rsidRPr="00A43B32">
        <w:t xml:space="preserve"> above for information on assumptions that also impact the measurement of the superannuation provisions.</w:t>
      </w:r>
    </w:p>
    <w:p w14:paraId="712D9753" w14:textId="77777777" w:rsidR="00C408DC" w:rsidRPr="008833AE" w:rsidRDefault="00C408DC" w:rsidP="00C408DC">
      <w:pPr>
        <w:pStyle w:val="Heading4"/>
        <w:spacing w:before="280"/>
        <w:rPr>
          <w:rFonts w:ascii="Arial" w:hAnsi="Arial" w:cs="Arial"/>
        </w:rPr>
      </w:pPr>
      <w:r w:rsidRPr="008833AE">
        <w:rPr>
          <w:rFonts w:ascii="Arial" w:hAnsi="Arial" w:cs="Arial"/>
        </w:rPr>
        <w:t>Other provisions</w:t>
      </w:r>
    </w:p>
    <w:p w14:paraId="7D13419C" w14:textId="6C7582DB" w:rsidR="00C408DC" w:rsidRPr="00A43B32" w:rsidRDefault="00C408DC" w:rsidP="003B5132">
      <w:pPr>
        <w:pStyle w:val="BodyText"/>
      </w:pPr>
      <w:r w:rsidRPr="00A43B32">
        <w:t>Other provisions include the State’s obligations for several insurance schemes. To estimate future claim liabilities, actuarial assumptions have been applied for future claims to be incurred, claim payments, inflation and liability discount rates. Actual liabilities may differ from estimates.</w:t>
      </w:r>
    </w:p>
    <w:p w14:paraId="2E7A84E0" w14:textId="3E34964A" w:rsidR="00262460" w:rsidRPr="00305600" w:rsidRDefault="006633E6" w:rsidP="002F1E8E">
      <w:r>
        <w:br w:type="page"/>
      </w:r>
    </w:p>
    <w:p w14:paraId="35972143" w14:textId="07333F4B" w:rsidR="006633E6" w:rsidRDefault="006633E6" w:rsidP="006633E6">
      <w:pPr>
        <w:pStyle w:val="Heading1"/>
        <w:keepNext w:val="0"/>
        <w:tabs>
          <w:tab w:val="left" w:pos="2127"/>
        </w:tabs>
        <w:spacing w:after="240"/>
      </w:pPr>
      <w:bookmarkStart w:id="32" w:name="_Toc106280682"/>
      <w:r>
        <w:lastRenderedPageBreak/>
        <w:t>Glossary</w:t>
      </w:r>
      <w:bookmarkEnd w:id="32"/>
    </w:p>
    <w:p w14:paraId="006F9033" w14:textId="3B02913E" w:rsidR="00A344D2" w:rsidRPr="00040C2B" w:rsidRDefault="00A344D2" w:rsidP="003B5132">
      <w:pPr>
        <w:pStyle w:val="BodyText"/>
      </w:pPr>
      <w:r>
        <w:t xml:space="preserve">Please note </w:t>
      </w:r>
      <w:r w:rsidRPr="00040C2B">
        <w:t xml:space="preserve">a glossary of terms can </w:t>
      </w:r>
      <w:r>
        <w:t xml:space="preserve">also </w:t>
      </w:r>
      <w:r w:rsidRPr="00040C2B">
        <w:t xml:space="preserve">be found in </w:t>
      </w:r>
      <w:r w:rsidRPr="007160D5">
        <w:t xml:space="preserve">Note 38 of the </w:t>
      </w:r>
      <w:hyperlink r:id="rId30" w:history="1">
        <w:r w:rsidRPr="00A344D2">
          <w:rPr>
            <w:rStyle w:val="Hyperlink"/>
            <w:i/>
          </w:rPr>
          <w:t>Report on State Finances 20</w:t>
        </w:r>
        <w:r w:rsidR="007D687E">
          <w:rPr>
            <w:rStyle w:val="Hyperlink"/>
            <w:i/>
          </w:rPr>
          <w:t>20</w:t>
        </w:r>
        <w:r w:rsidRPr="00A344D2">
          <w:rPr>
            <w:rStyle w:val="Hyperlink"/>
            <w:i/>
          </w:rPr>
          <w:t>-2</w:t>
        </w:r>
      </w:hyperlink>
      <w:r w:rsidR="007D687E">
        <w:rPr>
          <w:rStyle w:val="Hyperlink"/>
          <w:i/>
        </w:rPr>
        <w:t>1</w:t>
      </w:r>
      <w:r w:rsidRPr="007160D5">
        <w:t>.</w:t>
      </w:r>
    </w:p>
    <w:p w14:paraId="42423171" w14:textId="77777777" w:rsidR="00A344D2" w:rsidRPr="00A344D2" w:rsidRDefault="00A344D2" w:rsidP="00A344D2"/>
    <w:tbl>
      <w:tblPr>
        <w:tblW w:w="9639" w:type="dxa"/>
        <w:tblBorders>
          <w:top w:val="single" w:sz="4" w:space="0" w:color="auto"/>
          <w:bottom w:val="single" w:sz="4" w:space="0" w:color="auto"/>
          <w:insideH w:val="single" w:sz="4" w:space="0" w:color="BFBFBF"/>
          <w:insideV w:val="single" w:sz="4" w:space="0" w:color="BFBFBF"/>
        </w:tblBorders>
        <w:tblLook w:val="01E0" w:firstRow="1" w:lastRow="1" w:firstColumn="1" w:lastColumn="1" w:noHBand="0" w:noVBand="0"/>
      </w:tblPr>
      <w:tblGrid>
        <w:gridCol w:w="3160"/>
        <w:gridCol w:w="6479"/>
      </w:tblGrid>
      <w:tr w:rsidR="006633E6" w:rsidRPr="00520A5F" w14:paraId="4868F6E5" w14:textId="77777777" w:rsidTr="00207F27">
        <w:trPr>
          <w:cantSplit/>
          <w:trHeight w:val="80"/>
        </w:trPr>
        <w:tc>
          <w:tcPr>
            <w:tcW w:w="3160" w:type="dxa"/>
            <w:shd w:val="clear" w:color="auto" w:fill="auto"/>
          </w:tcPr>
          <w:p w14:paraId="66806472" w14:textId="77777777" w:rsidR="006633E6" w:rsidRPr="00520A5F" w:rsidRDefault="006633E6" w:rsidP="00520A5F">
            <w:pPr>
              <w:spacing w:before="60" w:after="60"/>
              <w:rPr>
                <w:sz w:val="18"/>
                <w:szCs w:val="18"/>
              </w:rPr>
            </w:pPr>
            <w:r w:rsidRPr="00724AA2">
              <w:rPr>
                <w:sz w:val="18"/>
                <w:szCs w:val="18"/>
              </w:rPr>
              <w:t xml:space="preserve">ABS </w:t>
            </w:r>
            <w:r w:rsidRPr="00724AA2">
              <w:rPr>
                <w:sz w:val="18"/>
                <w:szCs w:val="18"/>
                <w:lang w:val="en-US"/>
              </w:rPr>
              <w:t>Government Finance Statistics</w:t>
            </w:r>
            <w:r w:rsidRPr="00724AA2">
              <w:rPr>
                <w:sz w:val="18"/>
                <w:szCs w:val="18"/>
              </w:rPr>
              <w:t xml:space="preserve"> GFS Manual (ABS GFS)</w:t>
            </w:r>
          </w:p>
        </w:tc>
        <w:tc>
          <w:tcPr>
            <w:tcW w:w="6479" w:type="dxa"/>
            <w:shd w:val="clear" w:color="auto" w:fill="auto"/>
          </w:tcPr>
          <w:p w14:paraId="669A4C2B" w14:textId="77777777" w:rsidR="006633E6" w:rsidRPr="00520A5F" w:rsidRDefault="006633E6" w:rsidP="00520A5F">
            <w:pPr>
              <w:spacing w:before="60" w:after="60"/>
              <w:rPr>
                <w:iCs/>
                <w:sz w:val="18"/>
                <w:szCs w:val="18"/>
              </w:rPr>
            </w:pPr>
            <w:r w:rsidRPr="00520A5F">
              <w:rPr>
                <w:iCs/>
                <w:sz w:val="18"/>
                <w:szCs w:val="18"/>
              </w:rPr>
              <w:t xml:space="preserve">The ABS publication </w:t>
            </w:r>
            <w:r w:rsidRPr="002E112E">
              <w:rPr>
                <w:i/>
                <w:sz w:val="18"/>
                <w:szCs w:val="18"/>
              </w:rPr>
              <w:t>Australian System of Government Finance Statistics: Concepts, Sources and Methods</w:t>
            </w:r>
            <w:r w:rsidRPr="00520A5F">
              <w:rPr>
                <w:iCs/>
                <w:sz w:val="18"/>
                <w:szCs w:val="18"/>
              </w:rPr>
              <w:t xml:space="preserve"> as updated from time to time.</w:t>
            </w:r>
          </w:p>
        </w:tc>
      </w:tr>
      <w:tr w:rsidR="00D07081" w:rsidRPr="00520A5F" w14:paraId="47641828" w14:textId="77777777" w:rsidTr="00207F27">
        <w:trPr>
          <w:cantSplit/>
        </w:trPr>
        <w:tc>
          <w:tcPr>
            <w:tcW w:w="3160" w:type="dxa"/>
            <w:shd w:val="clear" w:color="auto" w:fill="auto"/>
          </w:tcPr>
          <w:p w14:paraId="6397A0DB" w14:textId="78182D1F" w:rsidR="00D07081" w:rsidRPr="00520A5F" w:rsidRDefault="00D07081" w:rsidP="00520A5F">
            <w:pPr>
              <w:spacing w:before="60" w:after="60"/>
              <w:rPr>
                <w:sz w:val="18"/>
                <w:szCs w:val="18"/>
              </w:rPr>
            </w:pPr>
            <w:r w:rsidRPr="00724AA2">
              <w:rPr>
                <w:sz w:val="18"/>
                <w:szCs w:val="18"/>
              </w:rPr>
              <w:t>Act</w:t>
            </w:r>
          </w:p>
        </w:tc>
        <w:tc>
          <w:tcPr>
            <w:tcW w:w="6479" w:type="dxa"/>
            <w:shd w:val="clear" w:color="auto" w:fill="auto"/>
          </w:tcPr>
          <w:p w14:paraId="4B02D9A3" w14:textId="6C8ADAF3" w:rsidR="00D07081" w:rsidRPr="00520A5F" w:rsidRDefault="00C27CF0" w:rsidP="00520A5F">
            <w:pPr>
              <w:spacing w:before="60" w:after="60"/>
              <w:rPr>
                <w:iCs/>
                <w:sz w:val="18"/>
                <w:szCs w:val="18"/>
              </w:rPr>
            </w:pPr>
            <w:r>
              <w:rPr>
                <w:iCs/>
                <w:sz w:val="18"/>
                <w:szCs w:val="18"/>
              </w:rPr>
              <w:t>A</w:t>
            </w:r>
            <w:r w:rsidR="00CF5217">
              <w:rPr>
                <w:iCs/>
                <w:sz w:val="18"/>
                <w:szCs w:val="18"/>
              </w:rPr>
              <w:t xml:space="preserve"> statute </w:t>
            </w:r>
            <w:r w:rsidR="00420DC5">
              <w:rPr>
                <w:iCs/>
                <w:sz w:val="18"/>
                <w:szCs w:val="18"/>
              </w:rPr>
              <w:t>or law passed by both Houses of Parliament</w:t>
            </w:r>
            <w:r w:rsidR="00B00211">
              <w:rPr>
                <w:iCs/>
                <w:sz w:val="18"/>
                <w:szCs w:val="18"/>
              </w:rPr>
              <w:t>.</w:t>
            </w:r>
            <w:r w:rsidR="00420DC5">
              <w:rPr>
                <w:iCs/>
                <w:sz w:val="18"/>
                <w:szCs w:val="18"/>
              </w:rPr>
              <w:t xml:space="preserve"> </w:t>
            </w:r>
          </w:p>
        </w:tc>
      </w:tr>
      <w:tr w:rsidR="006633E6" w:rsidRPr="00520A5F" w14:paraId="2AB87AC0" w14:textId="77777777" w:rsidTr="00207F27">
        <w:trPr>
          <w:cantSplit/>
        </w:trPr>
        <w:tc>
          <w:tcPr>
            <w:tcW w:w="3160" w:type="dxa"/>
            <w:shd w:val="clear" w:color="auto" w:fill="auto"/>
          </w:tcPr>
          <w:p w14:paraId="7DD490E5" w14:textId="77777777" w:rsidR="006633E6" w:rsidRPr="00520A5F" w:rsidRDefault="006633E6" w:rsidP="00520A5F">
            <w:pPr>
              <w:spacing w:before="60" w:after="60"/>
              <w:rPr>
                <w:sz w:val="18"/>
                <w:szCs w:val="18"/>
              </w:rPr>
            </w:pPr>
            <w:r w:rsidRPr="00724AA2">
              <w:rPr>
                <w:sz w:val="18"/>
                <w:szCs w:val="18"/>
              </w:rPr>
              <w:t>Appropriation</w:t>
            </w:r>
          </w:p>
        </w:tc>
        <w:tc>
          <w:tcPr>
            <w:tcW w:w="6479" w:type="dxa"/>
            <w:shd w:val="clear" w:color="auto" w:fill="auto"/>
          </w:tcPr>
          <w:p w14:paraId="5EC79BFF" w14:textId="25FE9DE8" w:rsidR="006633E6" w:rsidRPr="00520A5F" w:rsidRDefault="006633E6" w:rsidP="00520A5F">
            <w:pPr>
              <w:spacing w:before="60" w:after="60"/>
              <w:rPr>
                <w:iCs/>
                <w:sz w:val="18"/>
                <w:szCs w:val="18"/>
              </w:rPr>
            </w:pPr>
            <w:r w:rsidRPr="00520A5F">
              <w:rPr>
                <w:iCs/>
                <w:sz w:val="18"/>
                <w:szCs w:val="18"/>
              </w:rPr>
              <w:t xml:space="preserve">The authority given </w:t>
            </w:r>
            <w:r w:rsidR="00723D33">
              <w:rPr>
                <w:iCs/>
                <w:sz w:val="18"/>
                <w:szCs w:val="18"/>
              </w:rPr>
              <w:t>by</w:t>
            </w:r>
            <w:r w:rsidR="00723D33" w:rsidRPr="00520A5F">
              <w:rPr>
                <w:iCs/>
                <w:sz w:val="18"/>
                <w:szCs w:val="18"/>
              </w:rPr>
              <w:t xml:space="preserve"> </w:t>
            </w:r>
            <w:r w:rsidRPr="00520A5F">
              <w:rPr>
                <w:iCs/>
                <w:sz w:val="18"/>
                <w:szCs w:val="18"/>
              </w:rPr>
              <w:t xml:space="preserve">Parliament for the expenditure of monies from the consolidated fund for the annual services of </w:t>
            </w:r>
            <w:r w:rsidR="009F42B0">
              <w:rPr>
                <w:iCs/>
                <w:sz w:val="18"/>
                <w:szCs w:val="18"/>
              </w:rPr>
              <w:t>g</w:t>
            </w:r>
            <w:r w:rsidRPr="00520A5F">
              <w:rPr>
                <w:iCs/>
                <w:sz w:val="18"/>
                <w:szCs w:val="18"/>
              </w:rPr>
              <w:t xml:space="preserve">overnment and the Legislature. </w:t>
            </w:r>
          </w:p>
        </w:tc>
      </w:tr>
      <w:tr w:rsidR="006E42D2" w:rsidRPr="00520A5F" w14:paraId="10F8D57A" w14:textId="77777777" w:rsidTr="00207F27">
        <w:trPr>
          <w:cantSplit/>
        </w:trPr>
        <w:tc>
          <w:tcPr>
            <w:tcW w:w="3160" w:type="dxa"/>
            <w:shd w:val="clear" w:color="auto" w:fill="auto"/>
          </w:tcPr>
          <w:p w14:paraId="3C00CE68" w14:textId="3F4F73A9" w:rsidR="006E42D2" w:rsidRPr="00520A5F" w:rsidRDefault="006E42D2" w:rsidP="00520A5F">
            <w:pPr>
              <w:spacing w:before="60" w:after="60"/>
              <w:rPr>
                <w:sz w:val="18"/>
                <w:szCs w:val="18"/>
              </w:rPr>
            </w:pPr>
            <w:r w:rsidRPr="00724AA2">
              <w:rPr>
                <w:sz w:val="18"/>
                <w:szCs w:val="18"/>
              </w:rPr>
              <w:t>Bill</w:t>
            </w:r>
          </w:p>
        </w:tc>
        <w:tc>
          <w:tcPr>
            <w:tcW w:w="6479" w:type="dxa"/>
            <w:shd w:val="clear" w:color="auto" w:fill="auto"/>
          </w:tcPr>
          <w:p w14:paraId="05FB33A4" w14:textId="33FC8A0D" w:rsidR="006E42D2" w:rsidRPr="00520A5F" w:rsidRDefault="00C27CF0" w:rsidP="00520A5F">
            <w:pPr>
              <w:spacing w:before="60" w:after="60"/>
              <w:rPr>
                <w:iCs/>
                <w:sz w:val="18"/>
                <w:szCs w:val="18"/>
              </w:rPr>
            </w:pPr>
            <w:r>
              <w:rPr>
                <w:iCs/>
                <w:sz w:val="18"/>
                <w:szCs w:val="18"/>
              </w:rPr>
              <w:t>A</w:t>
            </w:r>
            <w:r w:rsidR="006E42D2">
              <w:rPr>
                <w:iCs/>
                <w:sz w:val="18"/>
                <w:szCs w:val="18"/>
              </w:rPr>
              <w:t xml:space="preserve"> proposed law presented </w:t>
            </w:r>
            <w:r w:rsidR="008A1B22">
              <w:rPr>
                <w:iCs/>
                <w:sz w:val="18"/>
                <w:szCs w:val="18"/>
              </w:rPr>
              <w:t xml:space="preserve">to </w:t>
            </w:r>
            <w:r w:rsidR="00246643">
              <w:rPr>
                <w:iCs/>
                <w:sz w:val="18"/>
                <w:szCs w:val="18"/>
              </w:rPr>
              <w:t xml:space="preserve">Parliament </w:t>
            </w:r>
            <w:r w:rsidR="008B5B49">
              <w:rPr>
                <w:iCs/>
                <w:sz w:val="18"/>
                <w:szCs w:val="18"/>
              </w:rPr>
              <w:t xml:space="preserve">for debate prior to becoming an Act. Most </w:t>
            </w:r>
            <w:r w:rsidR="005E621C">
              <w:rPr>
                <w:iCs/>
                <w:sz w:val="18"/>
                <w:szCs w:val="18"/>
              </w:rPr>
              <w:t>bills originate in the Legislative Assembly in N</w:t>
            </w:r>
            <w:r w:rsidR="003746E5">
              <w:rPr>
                <w:iCs/>
                <w:sz w:val="18"/>
                <w:szCs w:val="18"/>
              </w:rPr>
              <w:t xml:space="preserve">ew </w:t>
            </w:r>
            <w:r w:rsidR="005E621C">
              <w:rPr>
                <w:iCs/>
                <w:sz w:val="18"/>
                <w:szCs w:val="18"/>
              </w:rPr>
              <w:t>S</w:t>
            </w:r>
            <w:r w:rsidR="003746E5">
              <w:rPr>
                <w:iCs/>
                <w:sz w:val="18"/>
                <w:szCs w:val="18"/>
              </w:rPr>
              <w:t xml:space="preserve">outh </w:t>
            </w:r>
            <w:r w:rsidR="005E621C">
              <w:rPr>
                <w:iCs/>
                <w:sz w:val="18"/>
                <w:szCs w:val="18"/>
              </w:rPr>
              <w:t>W</w:t>
            </w:r>
            <w:r w:rsidR="003746E5">
              <w:rPr>
                <w:iCs/>
                <w:sz w:val="18"/>
                <w:szCs w:val="18"/>
              </w:rPr>
              <w:t>ales</w:t>
            </w:r>
            <w:r w:rsidR="005E621C">
              <w:rPr>
                <w:iCs/>
                <w:sz w:val="18"/>
                <w:szCs w:val="18"/>
              </w:rPr>
              <w:t>.</w:t>
            </w:r>
          </w:p>
        </w:tc>
      </w:tr>
      <w:tr w:rsidR="006633E6" w:rsidRPr="00520A5F" w14:paraId="506E72CB" w14:textId="77777777" w:rsidTr="00207F27">
        <w:trPr>
          <w:cantSplit/>
        </w:trPr>
        <w:tc>
          <w:tcPr>
            <w:tcW w:w="3160" w:type="dxa"/>
            <w:shd w:val="clear" w:color="auto" w:fill="auto"/>
          </w:tcPr>
          <w:p w14:paraId="0249EDEC" w14:textId="77777777" w:rsidR="006633E6" w:rsidRPr="00520A5F" w:rsidRDefault="006633E6" w:rsidP="00520A5F">
            <w:pPr>
              <w:spacing w:before="60" w:after="60"/>
              <w:rPr>
                <w:sz w:val="18"/>
                <w:szCs w:val="18"/>
              </w:rPr>
            </w:pPr>
            <w:r w:rsidRPr="00520A5F">
              <w:rPr>
                <w:sz w:val="18"/>
                <w:szCs w:val="18"/>
              </w:rPr>
              <w:t>Budget result (net operating balance)</w:t>
            </w:r>
          </w:p>
        </w:tc>
        <w:tc>
          <w:tcPr>
            <w:tcW w:w="6479" w:type="dxa"/>
            <w:shd w:val="clear" w:color="auto" w:fill="auto"/>
          </w:tcPr>
          <w:p w14:paraId="693925DD" w14:textId="1CE6C43C" w:rsidR="006633E6" w:rsidRPr="00520A5F" w:rsidRDefault="006633E6" w:rsidP="00520A5F">
            <w:pPr>
              <w:spacing w:before="60" w:after="60"/>
              <w:rPr>
                <w:iCs/>
                <w:sz w:val="18"/>
                <w:szCs w:val="18"/>
              </w:rPr>
            </w:pPr>
            <w:r w:rsidRPr="00520A5F">
              <w:rPr>
                <w:iCs/>
                <w:sz w:val="18"/>
                <w:szCs w:val="18"/>
              </w:rPr>
              <w:t xml:space="preserve">The budget result represents the difference between expenses and revenues from transactions for the general government sector. This measure is equivalent to the net operating balance adopted in accounting standard AASB </w:t>
            </w:r>
            <w:r w:rsidRPr="00C544FF">
              <w:rPr>
                <w:i/>
                <w:sz w:val="18"/>
                <w:szCs w:val="18"/>
              </w:rPr>
              <w:t>1049 Whole-of-Government and General Government Sector Financial Reporting</w:t>
            </w:r>
            <w:r w:rsidRPr="00520A5F">
              <w:rPr>
                <w:iCs/>
                <w:sz w:val="18"/>
                <w:szCs w:val="18"/>
              </w:rPr>
              <w:t>.</w:t>
            </w:r>
          </w:p>
        </w:tc>
      </w:tr>
      <w:tr w:rsidR="006633E6" w:rsidRPr="00520A5F" w14:paraId="37BBAFD1" w14:textId="77777777" w:rsidTr="00207F27">
        <w:trPr>
          <w:cantSplit/>
        </w:trPr>
        <w:tc>
          <w:tcPr>
            <w:tcW w:w="3160" w:type="dxa"/>
            <w:shd w:val="clear" w:color="auto" w:fill="auto"/>
          </w:tcPr>
          <w:p w14:paraId="3836A89E" w14:textId="77777777" w:rsidR="006633E6" w:rsidRPr="00520A5F" w:rsidRDefault="006633E6" w:rsidP="00520A5F">
            <w:pPr>
              <w:spacing w:before="60" w:after="60"/>
              <w:rPr>
                <w:sz w:val="18"/>
                <w:szCs w:val="18"/>
              </w:rPr>
            </w:pPr>
            <w:r w:rsidRPr="00724AA2">
              <w:rPr>
                <w:sz w:val="18"/>
                <w:szCs w:val="18"/>
              </w:rPr>
              <w:t>Capital expenditure</w:t>
            </w:r>
          </w:p>
        </w:tc>
        <w:tc>
          <w:tcPr>
            <w:tcW w:w="6479" w:type="dxa"/>
            <w:shd w:val="clear" w:color="auto" w:fill="auto"/>
          </w:tcPr>
          <w:p w14:paraId="23EF8B32" w14:textId="063C9E8D" w:rsidR="006633E6" w:rsidRPr="00BE2FE3" w:rsidRDefault="00E956A5" w:rsidP="00965DA1">
            <w:pPr>
              <w:spacing w:before="60" w:after="60"/>
              <w:rPr>
                <w:sz w:val="18"/>
                <w:szCs w:val="18"/>
              </w:rPr>
            </w:pPr>
            <w:r w:rsidRPr="00AA7503">
              <w:rPr>
                <w:iCs/>
                <w:sz w:val="18"/>
                <w:szCs w:val="18"/>
              </w:rPr>
              <w:t>Expenditure</w:t>
            </w:r>
            <w:r w:rsidRPr="00965DA1">
              <w:rPr>
                <w:sz w:val="18"/>
                <w:szCs w:val="18"/>
              </w:rPr>
              <w:t xml:space="preserve"> relating to the acquisition or enhancement of property, plant and equipment (including land and buildings, plant and equipment and infrastructure systems) and intangibles (including computer software and easements). </w:t>
            </w:r>
            <w:r w:rsidRPr="00AA7503">
              <w:rPr>
                <w:iCs/>
                <w:sz w:val="18"/>
                <w:szCs w:val="18"/>
              </w:rPr>
              <w:t>In NSW capital</w:t>
            </w:r>
            <w:r w:rsidRPr="00965DA1">
              <w:rPr>
                <w:sz w:val="18"/>
                <w:szCs w:val="18"/>
              </w:rPr>
              <w:t xml:space="preserve"> expenditure also includes </w:t>
            </w:r>
            <w:r w:rsidRPr="00AA7503">
              <w:rPr>
                <w:iCs/>
                <w:sz w:val="18"/>
                <w:szCs w:val="18"/>
              </w:rPr>
              <w:t xml:space="preserve">leases and </w:t>
            </w:r>
            <w:r w:rsidRPr="00965DA1">
              <w:rPr>
                <w:sz w:val="18"/>
                <w:szCs w:val="18"/>
              </w:rPr>
              <w:t xml:space="preserve">assets acquired using </w:t>
            </w:r>
            <w:r w:rsidRPr="00AA7503">
              <w:rPr>
                <w:iCs/>
                <w:sz w:val="18"/>
                <w:szCs w:val="18"/>
              </w:rPr>
              <w:t>service concession arrangements under the financial liability model.</w:t>
            </w:r>
          </w:p>
        </w:tc>
      </w:tr>
      <w:tr w:rsidR="006633E6" w:rsidRPr="00520A5F" w14:paraId="31BC5C93" w14:textId="77777777" w:rsidTr="00207F27">
        <w:trPr>
          <w:cantSplit/>
        </w:trPr>
        <w:tc>
          <w:tcPr>
            <w:tcW w:w="3160" w:type="dxa"/>
            <w:shd w:val="clear" w:color="auto" w:fill="auto"/>
          </w:tcPr>
          <w:p w14:paraId="3654B6AC" w14:textId="77777777" w:rsidR="006633E6" w:rsidRPr="00520A5F" w:rsidRDefault="006633E6" w:rsidP="00520A5F">
            <w:pPr>
              <w:spacing w:before="60" w:after="60"/>
              <w:rPr>
                <w:sz w:val="18"/>
                <w:szCs w:val="18"/>
              </w:rPr>
            </w:pPr>
            <w:r w:rsidRPr="00520A5F">
              <w:rPr>
                <w:sz w:val="18"/>
                <w:szCs w:val="18"/>
              </w:rPr>
              <w:t>Capital grants</w:t>
            </w:r>
          </w:p>
        </w:tc>
        <w:tc>
          <w:tcPr>
            <w:tcW w:w="6479" w:type="dxa"/>
            <w:shd w:val="clear" w:color="auto" w:fill="auto"/>
          </w:tcPr>
          <w:p w14:paraId="6AF0C4D7" w14:textId="77777777" w:rsidR="006633E6" w:rsidRPr="00520A5F" w:rsidRDefault="006633E6" w:rsidP="00520A5F">
            <w:pPr>
              <w:spacing w:before="60" w:after="60"/>
              <w:rPr>
                <w:iCs/>
                <w:sz w:val="18"/>
                <w:szCs w:val="18"/>
              </w:rPr>
            </w:pPr>
            <w:r w:rsidRPr="00520A5F">
              <w:rPr>
                <w:iCs/>
                <w:sz w:val="18"/>
                <w:szCs w:val="18"/>
              </w:rPr>
              <w:t xml:space="preserve">Amounts paid or received for capital purposes for which no economic benefits of equal value are receivable or payable in return.  </w:t>
            </w:r>
          </w:p>
        </w:tc>
      </w:tr>
      <w:tr w:rsidR="006633E6" w:rsidRPr="00520A5F" w14:paraId="3642B074" w14:textId="77777777" w:rsidTr="00207F27">
        <w:trPr>
          <w:cantSplit/>
        </w:trPr>
        <w:tc>
          <w:tcPr>
            <w:tcW w:w="3160" w:type="dxa"/>
            <w:shd w:val="clear" w:color="auto" w:fill="auto"/>
          </w:tcPr>
          <w:p w14:paraId="22383F9B" w14:textId="77777777" w:rsidR="006633E6" w:rsidRPr="00520A5F" w:rsidRDefault="006633E6" w:rsidP="00520A5F">
            <w:pPr>
              <w:spacing w:before="60" w:after="60"/>
              <w:rPr>
                <w:sz w:val="18"/>
                <w:szCs w:val="18"/>
              </w:rPr>
            </w:pPr>
            <w:r w:rsidRPr="00724AA2">
              <w:rPr>
                <w:sz w:val="18"/>
                <w:szCs w:val="18"/>
              </w:rPr>
              <w:t>Cash surplus/(deficit)</w:t>
            </w:r>
          </w:p>
        </w:tc>
        <w:tc>
          <w:tcPr>
            <w:tcW w:w="6479" w:type="dxa"/>
            <w:shd w:val="clear" w:color="auto" w:fill="auto"/>
          </w:tcPr>
          <w:p w14:paraId="62ECECBB" w14:textId="77777777" w:rsidR="006633E6" w:rsidRPr="00520A5F" w:rsidRDefault="006633E6" w:rsidP="00520A5F">
            <w:pPr>
              <w:spacing w:before="60" w:after="60"/>
              <w:rPr>
                <w:iCs/>
                <w:sz w:val="18"/>
                <w:szCs w:val="18"/>
              </w:rPr>
            </w:pPr>
            <w:r w:rsidRPr="00520A5F">
              <w:rPr>
                <w:iCs/>
                <w:sz w:val="18"/>
                <w:szCs w:val="18"/>
              </w:rPr>
              <w:t xml:space="preserve">Net cash flows from operating activities plus net cash flows from acquisition and disposal of non-financial assets (less distributions paid for the public non-financial corporation (PNFC) and public financial corporation (PFC) sectors). </w:t>
            </w:r>
          </w:p>
        </w:tc>
      </w:tr>
      <w:tr w:rsidR="006633E6" w:rsidRPr="00520A5F" w14:paraId="29A56E6F" w14:textId="77777777" w:rsidTr="00207F27">
        <w:trPr>
          <w:cantSplit/>
        </w:trPr>
        <w:tc>
          <w:tcPr>
            <w:tcW w:w="3160" w:type="dxa"/>
            <w:shd w:val="clear" w:color="auto" w:fill="auto"/>
          </w:tcPr>
          <w:p w14:paraId="377828E9" w14:textId="77777777" w:rsidR="006633E6" w:rsidRPr="00520A5F" w:rsidRDefault="006633E6" w:rsidP="00520A5F">
            <w:pPr>
              <w:spacing w:before="60" w:after="60"/>
              <w:rPr>
                <w:sz w:val="18"/>
                <w:szCs w:val="18"/>
              </w:rPr>
            </w:pPr>
            <w:r w:rsidRPr="00520A5F">
              <w:rPr>
                <w:sz w:val="18"/>
                <w:szCs w:val="18"/>
              </w:rPr>
              <w:t>Classification of the functions of government – Australia (COFOG-A)</w:t>
            </w:r>
          </w:p>
        </w:tc>
        <w:tc>
          <w:tcPr>
            <w:tcW w:w="6479" w:type="dxa"/>
            <w:shd w:val="clear" w:color="auto" w:fill="auto"/>
          </w:tcPr>
          <w:p w14:paraId="17C63329" w14:textId="223E2E83" w:rsidR="006633E6" w:rsidRPr="00520A5F" w:rsidRDefault="006633E6" w:rsidP="00520A5F">
            <w:pPr>
              <w:spacing w:before="60" w:after="60"/>
              <w:rPr>
                <w:iCs/>
                <w:sz w:val="18"/>
                <w:szCs w:val="18"/>
              </w:rPr>
            </w:pPr>
            <w:r w:rsidRPr="00520A5F">
              <w:rPr>
                <w:iCs/>
                <w:sz w:val="18"/>
                <w:szCs w:val="18"/>
              </w:rPr>
              <w:t>A system of classification for revenue, expenses and transactions in non</w:t>
            </w:r>
            <w:r w:rsidRPr="00520A5F">
              <w:rPr>
                <w:iCs/>
                <w:sz w:val="18"/>
                <w:szCs w:val="18"/>
              </w:rPr>
              <w:noBreakHyphen/>
              <w:t xml:space="preserve">financial assets, according to the primary purpose for the outlay (e.g. health, education, transport). This replaces the former </w:t>
            </w:r>
            <w:r w:rsidR="00E47DD5">
              <w:rPr>
                <w:iCs/>
                <w:sz w:val="18"/>
                <w:szCs w:val="18"/>
              </w:rPr>
              <w:t>g</w:t>
            </w:r>
            <w:r w:rsidRPr="00520A5F">
              <w:rPr>
                <w:iCs/>
                <w:sz w:val="18"/>
                <w:szCs w:val="18"/>
              </w:rPr>
              <w:t xml:space="preserve">overnment purpose classification (GPC) breakdown. </w:t>
            </w:r>
          </w:p>
        </w:tc>
      </w:tr>
      <w:tr w:rsidR="006633E6" w:rsidRPr="00520A5F" w14:paraId="7F224935" w14:textId="77777777" w:rsidTr="00207F27">
        <w:trPr>
          <w:cantSplit/>
        </w:trPr>
        <w:tc>
          <w:tcPr>
            <w:tcW w:w="3160" w:type="dxa"/>
            <w:shd w:val="clear" w:color="auto" w:fill="auto"/>
          </w:tcPr>
          <w:p w14:paraId="4A8A5730" w14:textId="653257F0" w:rsidR="006633E6" w:rsidRPr="00520A5F" w:rsidRDefault="006633E6" w:rsidP="00520A5F">
            <w:pPr>
              <w:spacing w:before="60" w:after="60"/>
              <w:rPr>
                <w:sz w:val="18"/>
                <w:szCs w:val="18"/>
              </w:rPr>
            </w:pPr>
            <w:r w:rsidRPr="00520A5F">
              <w:rPr>
                <w:sz w:val="18"/>
                <w:szCs w:val="18"/>
              </w:rPr>
              <w:t xml:space="preserve">Contingent assets </w:t>
            </w:r>
          </w:p>
        </w:tc>
        <w:tc>
          <w:tcPr>
            <w:tcW w:w="6479" w:type="dxa"/>
            <w:shd w:val="clear" w:color="auto" w:fill="auto"/>
          </w:tcPr>
          <w:p w14:paraId="383FB57D" w14:textId="57647D69" w:rsidR="006633E6" w:rsidRPr="00520A5F" w:rsidRDefault="006633E6" w:rsidP="00520A5F">
            <w:pPr>
              <w:spacing w:before="60" w:after="60"/>
              <w:rPr>
                <w:iCs/>
                <w:sz w:val="18"/>
                <w:szCs w:val="18"/>
              </w:rPr>
            </w:pPr>
            <w:r w:rsidRPr="00520A5F">
              <w:rPr>
                <w:iCs/>
                <w:sz w:val="18"/>
                <w:szCs w:val="18"/>
              </w:rPr>
              <w:t>Possible future assets that arise from past events and whose existence will be confirmed only by the occurrence or non-occurrence of one or more uncertain future events not wholly in control of the State.</w:t>
            </w:r>
          </w:p>
        </w:tc>
      </w:tr>
      <w:tr w:rsidR="002B15C0" w:rsidRPr="00520A5F" w14:paraId="0AF7A267" w14:textId="77777777" w:rsidTr="00207F27">
        <w:trPr>
          <w:cantSplit/>
        </w:trPr>
        <w:tc>
          <w:tcPr>
            <w:tcW w:w="3160" w:type="dxa"/>
            <w:shd w:val="clear" w:color="auto" w:fill="auto"/>
          </w:tcPr>
          <w:p w14:paraId="5CF9D368" w14:textId="51032550" w:rsidR="002B15C0" w:rsidRPr="00520A5F" w:rsidRDefault="002B15C0" w:rsidP="00520A5F">
            <w:pPr>
              <w:spacing w:before="60" w:after="60"/>
              <w:rPr>
                <w:sz w:val="18"/>
                <w:szCs w:val="18"/>
              </w:rPr>
            </w:pPr>
            <w:r w:rsidRPr="00520A5F">
              <w:rPr>
                <w:sz w:val="18"/>
                <w:szCs w:val="18"/>
              </w:rPr>
              <w:t>Contingent liabilities</w:t>
            </w:r>
          </w:p>
        </w:tc>
        <w:tc>
          <w:tcPr>
            <w:tcW w:w="6479" w:type="dxa"/>
            <w:shd w:val="clear" w:color="auto" w:fill="auto"/>
          </w:tcPr>
          <w:p w14:paraId="77301737" w14:textId="50D16FD8" w:rsidR="008C2433" w:rsidRPr="00040C2B" w:rsidRDefault="002B15C0" w:rsidP="004F0FE8">
            <w:pPr>
              <w:spacing w:before="60" w:after="60"/>
              <w:rPr>
                <w:iCs/>
                <w:sz w:val="18"/>
                <w:szCs w:val="18"/>
              </w:rPr>
            </w:pPr>
            <w:r w:rsidRPr="00520A5F">
              <w:rPr>
                <w:iCs/>
                <w:sz w:val="18"/>
                <w:szCs w:val="18"/>
              </w:rPr>
              <w:t xml:space="preserve">Possible future </w:t>
            </w:r>
            <w:r>
              <w:rPr>
                <w:iCs/>
                <w:sz w:val="18"/>
                <w:szCs w:val="18"/>
              </w:rPr>
              <w:t>liabilities</w:t>
            </w:r>
            <w:r w:rsidRPr="00520A5F">
              <w:rPr>
                <w:iCs/>
                <w:sz w:val="18"/>
                <w:szCs w:val="18"/>
              </w:rPr>
              <w:t xml:space="preserve"> that arise from past events and whose existence will be confirmed only by the occurrence or non-occurrence of one or more uncertain future events not wholly in control of the State</w:t>
            </w:r>
            <w:r w:rsidR="00BE5CE8">
              <w:rPr>
                <w:iCs/>
                <w:sz w:val="18"/>
                <w:szCs w:val="18"/>
              </w:rPr>
              <w:t>. It also includes p</w:t>
            </w:r>
            <w:r w:rsidR="008C2433">
              <w:rPr>
                <w:iCs/>
                <w:sz w:val="18"/>
                <w:szCs w:val="18"/>
              </w:rPr>
              <w:t>resent liabilities that arise from past events where</w:t>
            </w:r>
            <w:r w:rsidR="00B44B5F">
              <w:rPr>
                <w:iCs/>
                <w:sz w:val="18"/>
                <w:szCs w:val="18"/>
              </w:rPr>
              <w:t xml:space="preserve"> </w:t>
            </w:r>
            <w:r w:rsidR="008C2433">
              <w:rPr>
                <w:iCs/>
                <w:sz w:val="18"/>
                <w:szCs w:val="18"/>
              </w:rPr>
              <w:t xml:space="preserve">it is </w:t>
            </w:r>
            <w:r w:rsidR="00B44B5F">
              <w:rPr>
                <w:iCs/>
                <w:sz w:val="18"/>
                <w:szCs w:val="18"/>
              </w:rPr>
              <w:t xml:space="preserve">not probable </w:t>
            </w:r>
            <w:r w:rsidR="008175EA">
              <w:rPr>
                <w:iCs/>
                <w:sz w:val="18"/>
                <w:szCs w:val="18"/>
              </w:rPr>
              <w:t>the State</w:t>
            </w:r>
            <w:r w:rsidR="00B44B5F">
              <w:rPr>
                <w:iCs/>
                <w:sz w:val="18"/>
                <w:szCs w:val="18"/>
              </w:rPr>
              <w:t xml:space="preserve"> will be required to settle the liability or the </w:t>
            </w:r>
            <w:r w:rsidR="002537CD">
              <w:rPr>
                <w:iCs/>
                <w:sz w:val="18"/>
                <w:szCs w:val="18"/>
              </w:rPr>
              <w:t>amount of the obligation cannot be reliably estimated</w:t>
            </w:r>
            <w:r w:rsidR="00BA3B33">
              <w:rPr>
                <w:iCs/>
                <w:sz w:val="18"/>
                <w:szCs w:val="18"/>
              </w:rPr>
              <w:t>.</w:t>
            </w:r>
          </w:p>
        </w:tc>
      </w:tr>
      <w:tr w:rsidR="006633E6" w:rsidRPr="00520A5F" w14:paraId="7E1C6791" w14:textId="77777777" w:rsidTr="00207F27">
        <w:trPr>
          <w:cantSplit/>
        </w:trPr>
        <w:tc>
          <w:tcPr>
            <w:tcW w:w="3160" w:type="dxa"/>
            <w:shd w:val="clear" w:color="auto" w:fill="auto"/>
          </w:tcPr>
          <w:p w14:paraId="615F7D6C" w14:textId="77777777" w:rsidR="006633E6" w:rsidRPr="00520A5F" w:rsidRDefault="006633E6" w:rsidP="00520A5F">
            <w:pPr>
              <w:spacing w:before="60" w:after="60"/>
              <w:rPr>
                <w:sz w:val="18"/>
                <w:szCs w:val="18"/>
              </w:rPr>
            </w:pPr>
            <w:r w:rsidRPr="00520A5F">
              <w:rPr>
                <w:sz w:val="18"/>
                <w:szCs w:val="18"/>
              </w:rPr>
              <w:t>Cluster</w:t>
            </w:r>
          </w:p>
        </w:tc>
        <w:tc>
          <w:tcPr>
            <w:tcW w:w="6479" w:type="dxa"/>
            <w:shd w:val="clear" w:color="auto" w:fill="auto"/>
          </w:tcPr>
          <w:p w14:paraId="275B8C26" w14:textId="468B0A18" w:rsidR="006633E6" w:rsidRPr="00520A5F" w:rsidRDefault="00C544FF" w:rsidP="00520A5F">
            <w:pPr>
              <w:spacing w:before="60" w:after="60"/>
              <w:rPr>
                <w:iCs/>
                <w:sz w:val="18"/>
                <w:szCs w:val="18"/>
              </w:rPr>
            </w:pPr>
            <w:r>
              <w:rPr>
                <w:iCs/>
                <w:sz w:val="18"/>
                <w:szCs w:val="18"/>
              </w:rPr>
              <w:t xml:space="preserve">Under the NSW Governance Framework, </w:t>
            </w:r>
            <w:r w:rsidR="006633E6" w:rsidRPr="00520A5F">
              <w:rPr>
                <w:iCs/>
                <w:sz w:val="18"/>
                <w:szCs w:val="18"/>
              </w:rPr>
              <w:t xml:space="preserve">NSW Government </w:t>
            </w:r>
            <w:r>
              <w:rPr>
                <w:iCs/>
                <w:sz w:val="18"/>
                <w:szCs w:val="18"/>
              </w:rPr>
              <w:t xml:space="preserve">general government </w:t>
            </w:r>
            <w:r w:rsidR="006633E6" w:rsidRPr="00520A5F">
              <w:rPr>
                <w:iCs/>
                <w:sz w:val="18"/>
                <w:szCs w:val="18"/>
              </w:rPr>
              <w:t xml:space="preserve">entities </w:t>
            </w:r>
            <w:r>
              <w:rPr>
                <w:iCs/>
                <w:sz w:val="18"/>
                <w:szCs w:val="18"/>
              </w:rPr>
              <w:t>are</w:t>
            </w:r>
            <w:r w:rsidR="006633E6" w:rsidRPr="00520A5F">
              <w:rPr>
                <w:iCs/>
                <w:sz w:val="18"/>
                <w:szCs w:val="18"/>
              </w:rPr>
              <w:t xml:space="preserve"> consolidated into </w:t>
            </w:r>
            <w:r w:rsidR="0055204B">
              <w:rPr>
                <w:iCs/>
                <w:sz w:val="18"/>
                <w:szCs w:val="18"/>
              </w:rPr>
              <w:t>C</w:t>
            </w:r>
            <w:r w:rsidR="006633E6" w:rsidRPr="00520A5F">
              <w:rPr>
                <w:iCs/>
                <w:sz w:val="18"/>
                <w:szCs w:val="18"/>
              </w:rPr>
              <w:t xml:space="preserve">lusters reflecting broad policy areas of </w:t>
            </w:r>
            <w:r w:rsidR="009F42B0">
              <w:rPr>
                <w:iCs/>
                <w:sz w:val="18"/>
                <w:szCs w:val="18"/>
              </w:rPr>
              <w:t>g</w:t>
            </w:r>
            <w:r w:rsidR="006633E6" w:rsidRPr="00520A5F">
              <w:rPr>
                <w:iCs/>
                <w:sz w:val="18"/>
                <w:szCs w:val="18"/>
              </w:rPr>
              <w:t xml:space="preserve">overnment. </w:t>
            </w:r>
            <w:r>
              <w:rPr>
                <w:iCs/>
                <w:sz w:val="18"/>
                <w:szCs w:val="18"/>
              </w:rPr>
              <w:t>C</w:t>
            </w:r>
            <w:r w:rsidR="006633E6" w:rsidRPr="00520A5F">
              <w:rPr>
                <w:iCs/>
                <w:sz w:val="18"/>
                <w:szCs w:val="18"/>
              </w:rPr>
              <w:t xml:space="preserve">lusters are not legal entities. They are administrative arrangements that bring together a group of different legal and administrative entities. </w:t>
            </w:r>
          </w:p>
        </w:tc>
      </w:tr>
      <w:tr w:rsidR="006633E6" w:rsidRPr="00520A5F" w14:paraId="2369B97E" w14:textId="77777777" w:rsidTr="00207F27">
        <w:trPr>
          <w:cantSplit/>
        </w:trPr>
        <w:tc>
          <w:tcPr>
            <w:tcW w:w="3160" w:type="dxa"/>
            <w:shd w:val="clear" w:color="auto" w:fill="auto"/>
          </w:tcPr>
          <w:p w14:paraId="22BE16BF" w14:textId="77777777" w:rsidR="006633E6" w:rsidRPr="00520A5F" w:rsidRDefault="006633E6" w:rsidP="00520A5F">
            <w:pPr>
              <w:spacing w:before="60" w:after="60"/>
              <w:rPr>
                <w:sz w:val="18"/>
                <w:szCs w:val="18"/>
              </w:rPr>
            </w:pPr>
            <w:r w:rsidRPr="00520A5F">
              <w:rPr>
                <w:sz w:val="18"/>
                <w:szCs w:val="18"/>
              </w:rPr>
              <w:t>Cluster grants</w:t>
            </w:r>
          </w:p>
        </w:tc>
        <w:tc>
          <w:tcPr>
            <w:tcW w:w="6479" w:type="dxa"/>
            <w:shd w:val="clear" w:color="auto" w:fill="auto"/>
          </w:tcPr>
          <w:p w14:paraId="717B549B" w14:textId="1F4DDF93" w:rsidR="006633E6" w:rsidRPr="00520A5F" w:rsidRDefault="006633E6" w:rsidP="00520A5F">
            <w:pPr>
              <w:spacing w:before="60" w:after="60"/>
              <w:rPr>
                <w:iCs/>
                <w:sz w:val="18"/>
                <w:szCs w:val="18"/>
              </w:rPr>
            </w:pPr>
            <w:r w:rsidRPr="00520A5F">
              <w:rPr>
                <w:iCs/>
                <w:sz w:val="18"/>
                <w:szCs w:val="18"/>
              </w:rPr>
              <w:t xml:space="preserve">This represents the appropriation passed on by the principal </w:t>
            </w:r>
            <w:r w:rsidR="00C544FF">
              <w:rPr>
                <w:iCs/>
                <w:sz w:val="18"/>
                <w:szCs w:val="18"/>
              </w:rPr>
              <w:t>department</w:t>
            </w:r>
            <w:r w:rsidRPr="00520A5F">
              <w:rPr>
                <w:iCs/>
                <w:sz w:val="18"/>
                <w:szCs w:val="18"/>
              </w:rPr>
              <w:t xml:space="preserve"> to the other government agencies within the </w:t>
            </w:r>
            <w:r w:rsidR="005A5532">
              <w:rPr>
                <w:iCs/>
                <w:sz w:val="18"/>
                <w:szCs w:val="18"/>
              </w:rPr>
              <w:t>Cluster</w:t>
            </w:r>
            <w:r w:rsidRPr="00520A5F">
              <w:rPr>
                <w:iCs/>
                <w:sz w:val="18"/>
                <w:szCs w:val="18"/>
              </w:rPr>
              <w:t xml:space="preserve"> to fund their services.</w:t>
            </w:r>
          </w:p>
        </w:tc>
      </w:tr>
      <w:tr w:rsidR="00A026F6" w:rsidRPr="00520A5F" w14:paraId="37B8C5F4" w14:textId="77777777" w:rsidTr="00207F27">
        <w:trPr>
          <w:cantSplit/>
        </w:trPr>
        <w:tc>
          <w:tcPr>
            <w:tcW w:w="3160" w:type="dxa"/>
            <w:shd w:val="clear" w:color="auto" w:fill="auto"/>
          </w:tcPr>
          <w:p w14:paraId="0914973C" w14:textId="452BFC36" w:rsidR="00A026F6" w:rsidRPr="002E112E" w:rsidRDefault="00A026F6" w:rsidP="002E112E">
            <w:pPr>
              <w:spacing w:before="60" w:after="60"/>
              <w:rPr>
                <w:b/>
                <w:sz w:val="18"/>
                <w:szCs w:val="18"/>
              </w:rPr>
            </w:pPr>
            <w:r w:rsidRPr="002E112E">
              <w:rPr>
                <w:sz w:val="18"/>
                <w:szCs w:val="18"/>
              </w:rPr>
              <w:t>Commitments</w:t>
            </w:r>
            <w:r w:rsidR="00220A01" w:rsidRPr="00040C2B">
              <w:rPr>
                <w:sz w:val="18"/>
                <w:szCs w:val="18"/>
                <w:vertAlign w:val="superscript"/>
              </w:rPr>
              <w:t>(a)</w:t>
            </w:r>
          </w:p>
          <w:p w14:paraId="523DBFD2" w14:textId="75FA7CC2" w:rsidR="00A026F6" w:rsidRPr="00520A5F" w:rsidRDefault="00A026F6" w:rsidP="00A026F6">
            <w:pPr>
              <w:spacing w:before="60" w:after="60"/>
              <w:rPr>
                <w:sz w:val="18"/>
                <w:szCs w:val="18"/>
              </w:rPr>
            </w:pPr>
            <w:r w:rsidRPr="002E112E">
              <w:rPr>
                <w:sz w:val="18"/>
                <w:szCs w:val="18"/>
              </w:rPr>
              <w:t>(Restart NSW)</w:t>
            </w:r>
          </w:p>
        </w:tc>
        <w:tc>
          <w:tcPr>
            <w:tcW w:w="6479" w:type="dxa"/>
            <w:shd w:val="clear" w:color="auto" w:fill="auto"/>
          </w:tcPr>
          <w:p w14:paraId="25F4B461" w14:textId="259125E0" w:rsidR="00A026F6" w:rsidRPr="00520A5F" w:rsidRDefault="00A026F6" w:rsidP="00A026F6">
            <w:pPr>
              <w:spacing w:before="60" w:after="60"/>
              <w:rPr>
                <w:iCs/>
                <w:sz w:val="18"/>
                <w:szCs w:val="18"/>
              </w:rPr>
            </w:pPr>
            <w:r w:rsidRPr="002E112E">
              <w:rPr>
                <w:sz w:val="18"/>
                <w:szCs w:val="18"/>
              </w:rPr>
              <w:t xml:space="preserve">Inflows that are committed to be spent on an individual project. A Restart NSW commitment can only be recognised once the Treasurer has accepted a specific funding recommendation from Infrastructure NSW for an individual project, as required by the </w:t>
            </w:r>
            <w:r w:rsidRPr="002E112E">
              <w:rPr>
                <w:i/>
                <w:sz w:val="18"/>
                <w:szCs w:val="18"/>
              </w:rPr>
              <w:t>Restart NSW Fund Act 2011</w:t>
            </w:r>
            <w:r w:rsidRPr="002E112E">
              <w:rPr>
                <w:sz w:val="18"/>
                <w:szCs w:val="18"/>
              </w:rPr>
              <w:t>.</w:t>
            </w:r>
            <w:r w:rsidRPr="00786EEC">
              <w:rPr>
                <w:sz w:val="18"/>
                <w:szCs w:val="18"/>
              </w:rPr>
              <w:t xml:space="preserve"> </w:t>
            </w:r>
          </w:p>
        </w:tc>
      </w:tr>
      <w:tr w:rsidR="00A026F6" w:rsidRPr="00520A5F" w14:paraId="71144E92" w14:textId="77777777" w:rsidTr="00207F27">
        <w:trPr>
          <w:cantSplit/>
        </w:trPr>
        <w:tc>
          <w:tcPr>
            <w:tcW w:w="3160" w:type="dxa"/>
            <w:shd w:val="clear" w:color="auto" w:fill="auto"/>
          </w:tcPr>
          <w:p w14:paraId="29FDE1EE" w14:textId="77777777" w:rsidR="00A026F6" w:rsidRPr="00520A5F" w:rsidRDefault="00A026F6" w:rsidP="00A026F6">
            <w:pPr>
              <w:spacing w:before="60" w:after="60"/>
              <w:rPr>
                <w:sz w:val="18"/>
                <w:szCs w:val="18"/>
              </w:rPr>
            </w:pPr>
            <w:bookmarkStart w:id="33" w:name="_Toc185856908"/>
            <w:r w:rsidRPr="003253B2">
              <w:rPr>
                <w:sz w:val="18"/>
                <w:szCs w:val="18"/>
              </w:rPr>
              <w:t>Comprehensive Result (Change in net worth</w:t>
            </w:r>
            <w:bookmarkEnd w:id="33"/>
            <w:r w:rsidRPr="003253B2">
              <w:rPr>
                <w:sz w:val="18"/>
                <w:szCs w:val="18"/>
              </w:rPr>
              <w:t>)</w:t>
            </w:r>
          </w:p>
        </w:tc>
        <w:tc>
          <w:tcPr>
            <w:tcW w:w="6479" w:type="dxa"/>
            <w:shd w:val="clear" w:color="auto" w:fill="auto"/>
          </w:tcPr>
          <w:p w14:paraId="0BD1220F" w14:textId="77777777" w:rsidR="00A026F6" w:rsidRPr="00520A5F" w:rsidRDefault="00A026F6" w:rsidP="00A026F6">
            <w:pPr>
              <w:spacing w:before="60" w:after="60"/>
              <w:rPr>
                <w:iCs/>
                <w:sz w:val="18"/>
                <w:szCs w:val="18"/>
              </w:rPr>
            </w:pPr>
            <w:r w:rsidRPr="00520A5F">
              <w:rPr>
                <w:iCs/>
                <w:sz w:val="18"/>
                <w:szCs w:val="18"/>
              </w:rPr>
              <w:t xml:space="preserve">Change in net worth (comprehensive result) is revenue from transactions less expenses from transactions plus other economic flows and measures the variation in a government’s accumulated assets and liabilities.  </w:t>
            </w:r>
          </w:p>
        </w:tc>
      </w:tr>
      <w:tr w:rsidR="00A026F6" w:rsidRPr="00520A5F" w14:paraId="3391C8B1" w14:textId="77777777" w:rsidTr="00207F27">
        <w:trPr>
          <w:cantSplit/>
        </w:trPr>
        <w:tc>
          <w:tcPr>
            <w:tcW w:w="3160" w:type="dxa"/>
            <w:shd w:val="clear" w:color="auto" w:fill="auto"/>
          </w:tcPr>
          <w:p w14:paraId="33172EED" w14:textId="77777777" w:rsidR="00A026F6" w:rsidRPr="00520A5F" w:rsidRDefault="00A026F6" w:rsidP="00A026F6">
            <w:pPr>
              <w:spacing w:before="60" w:after="60"/>
              <w:rPr>
                <w:sz w:val="18"/>
                <w:szCs w:val="18"/>
              </w:rPr>
            </w:pPr>
            <w:r w:rsidRPr="00520A5F">
              <w:rPr>
                <w:sz w:val="18"/>
                <w:szCs w:val="18"/>
              </w:rPr>
              <w:lastRenderedPageBreak/>
              <w:t>Concessional charges</w:t>
            </w:r>
          </w:p>
        </w:tc>
        <w:tc>
          <w:tcPr>
            <w:tcW w:w="6479" w:type="dxa"/>
            <w:shd w:val="clear" w:color="auto" w:fill="auto"/>
          </w:tcPr>
          <w:p w14:paraId="1B70058E" w14:textId="77777777" w:rsidR="00A026F6" w:rsidRPr="00520A5F" w:rsidRDefault="00A026F6" w:rsidP="00A026F6">
            <w:pPr>
              <w:spacing w:before="60" w:after="60"/>
              <w:rPr>
                <w:iCs/>
                <w:sz w:val="18"/>
                <w:szCs w:val="18"/>
              </w:rPr>
            </w:pPr>
            <w:r w:rsidRPr="00520A5F">
              <w:rPr>
                <w:iCs/>
                <w:sz w:val="18"/>
                <w:szCs w:val="18"/>
              </w:rPr>
              <w:t xml:space="preserve">Concessional charges apply to goods and services provided by government agencies at a lower fee or charge to certain members of the community, compared to the wider population, to pursue an economic or social policy goal such as reducing the cost of living. </w:t>
            </w:r>
          </w:p>
        </w:tc>
      </w:tr>
      <w:tr w:rsidR="00A026F6" w:rsidRPr="00520A5F" w14:paraId="1C389ECA" w14:textId="77777777" w:rsidTr="00207F27">
        <w:trPr>
          <w:cantSplit/>
        </w:trPr>
        <w:tc>
          <w:tcPr>
            <w:tcW w:w="3160" w:type="dxa"/>
            <w:shd w:val="clear" w:color="auto" w:fill="auto"/>
          </w:tcPr>
          <w:p w14:paraId="7ACCF94D" w14:textId="77777777" w:rsidR="00A026F6" w:rsidRPr="00520A5F" w:rsidRDefault="00A026F6" w:rsidP="00A026F6">
            <w:pPr>
              <w:spacing w:before="60" w:after="60"/>
              <w:rPr>
                <w:sz w:val="18"/>
                <w:szCs w:val="18"/>
              </w:rPr>
            </w:pPr>
            <w:r w:rsidRPr="00520A5F">
              <w:rPr>
                <w:sz w:val="18"/>
                <w:szCs w:val="18"/>
              </w:rPr>
              <w:t>Consolidated Fund</w:t>
            </w:r>
          </w:p>
        </w:tc>
        <w:tc>
          <w:tcPr>
            <w:tcW w:w="6479" w:type="dxa"/>
            <w:shd w:val="clear" w:color="auto" w:fill="auto"/>
          </w:tcPr>
          <w:p w14:paraId="2484F85C" w14:textId="77777777" w:rsidR="00A026F6" w:rsidRPr="00520A5F" w:rsidRDefault="00A026F6" w:rsidP="00A026F6">
            <w:pPr>
              <w:spacing w:before="60" w:after="60"/>
              <w:rPr>
                <w:iCs/>
                <w:sz w:val="18"/>
                <w:szCs w:val="18"/>
              </w:rPr>
            </w:pPr>
            <w:r w:rsidRPr="003B0B2D">
              <w:rPr>
                <w:sz w:val="18"/>
                <w:szCs w:val="18"/>
              </w:rPr>
              <w:t xml:space="preserve">The fund is established under s39 of the </w:t>
            </w:r>
            <w:r w:rsidRPr="003B0B2D">
              <w:rPr>
                <w:i/>
                <w:sz w:val="18"/>
                <w:szCs w:val="18"/>
              </w:rPr>
              <w:t>Constitution Act 1902</w:t>
            </w:r>
            <w:r w:rsidRPr="00B0277A">
              <w:rPr>
                <w:sz w:val="18"/>
                <w:szCs w:val="18"/>
              </w:rPr>
              <w:t xml:space="preserve"> which includes all public monies collected, received or held by any person for or on behalf of the State.</w:t>
            </w:r>
          </w:p>
        </w:tc>
      </w:tr>
      <w:tr w:rsidR="00A026F6" w:rsidRPr="00520A5F" w14:paraId="4C872EDB" w14:textId="77777777" w:rsidTr="00207F27">
        <w:trPr>
          <w:cantSplit/>
        </w:trPr>
        <w:tc>
          <w:tcPr>
            <w:tcW w:w="3160" w:type="dxa"/>
            <w:shd w:val="clear" w:color="auto" w:fill="auto"/>
          </w:tcPr>
          <w:p w14:paraId="43307C28" w14:textId="15365E65" w:rsidR="00A026F6" w:rsidRPr="00520A5F" w:rsidRDefault="00375B3D" w:rsidP="00A026F6">
            <w:pPr>
              <w:spacing w:before="60" w:after="60"/>
              <w:rPr>
                <w:sz w:val="18"/>
                <w:szCs w:val="18"/>
              </w:rPr>
            </w:pPr>
            <w:r w:rsidRPr="00520A5F">
              <w:rPr>
                <w:sz w:val="18"/>
                <w:szCs w:val="18"/>
              </w:rPr>
              <w:t>Current grants</w:t>
            </w:r>
          </w:p>
        </w:tc>
        <w:tc>
          <w:tcPr>
            <w:tcW w:w="6479" w:type="dxa"/>
            <w:shd w:val="clear" w:color="auto" w:fill="auto"/>
          </w:tcPr>
          <w:p w14:paraId="3617DD07" w14:textId="61D016B1" w:rsidR="00A026F6" w:rsidRPr="00520A5F" w:rsidRDefault="00375B3D" w:rsidP="00A026F6">
            <w:pPr>
              <w:spacing w:before="60" w:after="60"/>
              <w:rPr>
                <w:iCs/>
                <w:sz w:val="18"/>
                <w:szCs w:val="18"/>
              </w:rPr>
            </w:pPr>
            <w:r w:rsidRPr="00520A5F">
              <w:rPr>
                <w:iCs/>
                <w:sz w:val="18"/>
                <w:szCs w:val="18"/>
              </w:rPr>
              <w:t>Amounts paid or received for current purposes for which no economic benefits of equal value are receivable or payable in return.</w:t>
            </w:r>
          </w:p>
        </w:tc>
      </w:tr>
      <w:tr w:rsidR="00A026F6" w:rsidRPr="00520A5F" w14:paraId="00858740" w14:textId="77777777" w:rsidTr="7955CFF7">
        <w:tblPrEx>
          <w:tblLook w:val="04A0" w:firstRow="1" w:lastRow="0" w:firstColumn="1" w:lastColumn="0" w:noHBand="0" w:noVBand="1"/>
        </w:tblPrEx>
        <w:trPr>
          <w:trHeight w:val="375"/>
        </w:trPr>
        <w:tc>
          <w:tcPr>
            <w:tcW w:w="3160" w:type="dxa"/>
            <w:shd w:val="clear" w:color="auto" w:fill="auto"/>
          </w:tcPr>
          <w:p w14:paraId="791D752D" w14:textId="07036184" w:rsidR="00A026F6" w:rsidRPr="00520A5F" w:rsidRDefault="00375B3D" w:rsidP="00A026F6">
            <w:pPr>
              <w:spacing w:before="60" w:after="60"/>
              <w:rPr>
                <w:sz w:val="18"/>
                <w:szCs w:val="18"/>
                <w:highlight w:val="yellow"/>
              </w:rPr>
            </w:pPr>
            <w:r w:rsidRPr="002E112E">
              <w:rPr>
                <w:sz w:val="18"/>
                <w:szCs w:val="18"/>
              </w:rPr>
              <w:t>Estimated total cost (ETC)</w:t>
            </w:r>
          </w:p>
        </w:tc>
        <w:tc>
          <w:tcPr>
            <w:tcW w:w="6479" w:type="dxa"/>
            <w:shd w:val="clear" w:color="auto" w:fill="auto"/>
          </w:tcPr>
          <w:p w14:paraId="7A253595" w14:textId="27C0B6EF" w:rsidR="00A026F6" w:rsidRPr="00520A5F" w:rsidRDefault="00375B3D" w:rsidP="00A026F6">
            <w:pPr>
              <w:spacing w:before="60" w:after="60"/>
              <w:rPr>
                <w:sz w:val="18"/>
                <w:szCs w:val="18"/>
                <w:highlight w:val="yellow"/>
              </w:rPr>
            </w:pPr>
            <w:r w:rsidRPr="002E112E">
              <w:rPr>
                <w:sz w:val="18"/>
                <w:szCs w:val="18"/>
              </w:rPr>
              <w:t>Represents the current cost estimate of planning, procuring and delivering the infrastructure/project/asset. The ETC may change as more detailed planning is undertaken and further information on market conditions becomes available. Due to commercial sensitivities, the ETC for some major works is not included.</w:t>
            </w:r>
          </w:p>
        </w:tc>
      </w:tr>
      <w:tr w:rsidR="008732ED" w:rsidRPr="00520A5F" w14:paraId="0A66401C" w14:textId="77777777" w:rsidTr="7955CFF7">
        <w:tblPrEx>
          <w:tblLook w:val="04A0" w:firstRow="1" w:lastRow="0" w:firstColumn="1" w:lastColumn="0" w:noHBand="0" w:noVBand="1"/>
        </w:tblPrEx>
        <w:trPr>
          <w:trHeight w:val="375"/>
        </w:trPr>
        <w:tc>
          <w:tcPr>
            <w:tcW w:w="3160" w:type="dxa"/>
            <w:shd w:val="clear" w:color="auto" w:fill="auto"/>
          </w:tcPr>
          <w:p w14:paraId="65CEF91E" w14:textId="259CE5EB" w:rsidR="008732ED" w:rsidRPr="002E112E" w:rsidRDefault="00B16157" w:rsidP="00A026F6">
            <w:pPr>
              <w:spacing w:before="60" w:after="60"/>
              <w:rPr>
                <w:sz w:val="18"/>
                <w:szCs w:val="18"/>
              </w:rPr>
            </w:pPr>
            <w:r>
              <w:rPr>
                <w:sz w:val="18"/>
                <w:szCs w:val="18"/>
              </w:rPr>
              <w:t>E</w:t>
            </w:r>
            <w:r w:rsidRPr="00B16157">
              <w:rPr>
                <w:sz w:val="18"/>
                <w:szCs w:val="18"/>
              </w:rPr>
              <w:t>nvironmental, social and governance</w:t>
            </w:r>
            <w:r>
              <w:rPr>
                <w:sz w:val="18"/>
                <w:szCs w:val="18"/>
              </w:rPr>
              <w:t xml:space="preserve"> (</w:t>
            </w:r>
            <w:r w:rsidR="008732ED">
              <w:rPr>
                <w:sz w:val="18"/>
                <w:szCs w:val="18"/>
              </w:rPr>
              <w:t>ESG</w:t>
            </w:r>
            <w:r>
              <w:rPr>
                <w:sz w:val="18"/>
                <w:szCs w:val="18"/>
              </w:rPr>
              <w:t>)</w:t>
            </w:r>
          </w:p>
        </w:tc>
        <w:tc>
          <w:tcPr>
            <w:tcW w:w="6479" w:type="dxa"/>
            <w:shd w:val="clear" w:color="auto" w:fill="auto"/>
          </w:tcPr>
          <w:p w14:paraId="5037DEAC" w14:textId="3375FA3F" w:rsidR="008732ED" w:rsidRPr="002E112E" w:rsidRDefault="002721D9" w:rsidP="00A026F6">
            <w:pPr>
              <w:spacing w:before="60" w:after="60"/>
              <w:rPr>
                <w:sz w:val="18"/>
                <w:szCs w:val="18"/>
              </w:rPr>
            </w:pPr>
            <w:r w:rsidRPr="002721D9">
              <w:rPr>
                <w:sz w:val="18"/>
                <w:szCs w:val="18"/>
              </w:rPr>
              <w:t>ESG stands for Environmental, Social, and Governance. It is a set of principles, criteria, standards or benchmarks applied by governments and businesses to promote sustainable approaches to growth, investment and governance.</w:t>
            </w:r>
          </w:p>
        </w:tc>
      </w:tr>
      <w:tr w:rsidR="00A026F6" w:rsidRPr="00520A5F" w14:paraId="48BE1D88" w14:textId="77777777" w:rsidTr="00207F27">
        <w:tblPrEx>
          <w:tblLook w:val="04A0" w:firstRow="1" w:lastRow="0" w:firstColumn="1" w:lastColumn="0" w:noHBand="0" w:noVBand="1"/>
        </w:tblPrEx>
        <w:tc>
          <w:tcPr>
            <w:tcW w:w="3160" w:type="dxa"/>
            <w:shd w:val="clear" w:color="auto" w:fill="auto"/>
          </w:tcPr>
          <w:p w14:paraId="1DA247F1" w14:textId="76E04B6D" w:rsidR="00A026F6" w:rsidRPr="00520A5F" w:rsidRDefault="00375B3D" w:rsidP="00A026F6">
            <w:pPr>
              <w:spacing w:before="60" w:after="60"/>
              <w:rPr>
                <w:sz w:val="18"/>
                <w:szCs w:val="18"/>
              </w:rPr>
            </w:pPr>
            <w:r w:rsidRPr="002E112E">
              <w:rPr>
                <w:sz w:val="18"/>
                <w:szCs w:val="18"/>
              </w:rPr>
              <w:t>Elimination</w:t>
            </w:r>
          </w:p>
        </w:tc>
        <w:tc>
          <w:tcPr>
            <w:tcW w:w="6479" w:type="dxa"/>
            <w:shd w:val="clear" w:color="auto" w:fill="auto"/>
          </w:tcPr>
          <w:p w14:paraId="75AEAA09" w14:textId="2F0E4F20" w:rsidR="00A026F6" w:rsidRPr="00520A5F" w:rsidRDefault="00375B3D" w:rsidP="00A026F6">
            <w:pPr>
              <w:spacing w:before="60" w:after="60"/>
              <w:rPr>
                <w:iCs/>
                <w:sz w:val="18"/>
                <w:szCs w:val="18"/>
              </w:rPr>
            </w:pPr>
            <w:r w:rsidRPr="002E112E">
              <w:rPr>
                <w:sz w:val="18"/>
                <w:szCs w:val="18"/>
              </w:rPr>
              <w:t>Removes the impact of transactions between government entities when preparing consolidated financial statements.</w:t>
            </w:r>
          </w:p>
        </w:tc>
      </w:tr>
      <w:tr w:rsidR="00FB0F85" w:rsidRPr="00520A5F" w14:paraId="39862D4A" w14:textId="77777777" w:rsidTr="00207F27">
        <w:tblPrEx>
          <w:tblLook w:val="04A0" w:firstRow="1" w:lastRow="0" w:firstColumn="1" w:lastColumn="0" w:noHBand="0" w:noVBand="1"/>
        </w:tblPrEx>
        <w:tc>
          <w:tcPr>
            <w:tcW w:w="3160" w:type="dxa"/>
            <w:shd w:val="clear" w:color="auto" w:fill="auto"/>
          </w:tcPr>
          <w:p w14:paraId="4B53E383" w14:textId="7F0567E5" w:rsidR="00FB0F85" w:rsidRPr="00520A5F" w:rsidRDefault="00375B3D" w:rsidP="00FB0F85">
            <w:pPr>
              <w:spacing w:before="60" w:after="60"/>
              <w:rPr>
                <w:sz w:val="18"/>
                <w:szCs w:val="18"/>
              </w:rPr>
            </w:pPr>
            <w:r w:rsidRPr="00520A5F">
              <w:rPr>
                <w:sz w:val="18"/>
                <w:szCs w:val="18"/>
              </w:rPr>
              <w:t>Fiscal aggregates</w:t>
            </w:r>
          </w:p>
        </w:tc>
        <w:tc>
          <w:tcPr>
            <w:tcW w:w="6479" w:type="dxa"/>
            <w:shd w:val="clear" w:color="auto" w:fill="auto"/>
          </w:tcPr>
          <w:p w14:paraId="6C4BF86C" w14:textId="5F0F1588" w:rsidR="00FB0F85" w:rsidRPr="00FB0F85" w:rsidRDefault="00375B3D" w:rsidP="00FB0F85">
            <w:pPr>
              <w:spacing w:before="60" w:after="60"/>
              <w:rPr>
                <w:iCs/>
                <w:sz w:val="18"/>
                <w:szCs w:val="18"/>
              </w:rPr>
            </w:pPr>
            <w:r w:rsidRPr="00520A5F">
              <w:rPr>
                <w:iCs/>
                <w:sz w:val="18"/>
                <w:szCs w:val="18"/>
              </w:rPr>
              <w:t xml:space="preserve">These are analytical balances that are useful for macroeconomic purposes, including assessing the impact of a government and its sectors on the economy. </w:t>
            </w:r>
            <w:r w:rsidRPr="003B0B2D">
              <w:rPr>
                <w:sz w:val="18"/>
                <w:szCs w:val="18"/>
              </w:rPr>
              <w:t xml:space="preserve">AASB 1049 </w:t>
            </w:r>
            <w:r w:rsidRPr="003B0B2D">
              <w:rPr>
                <w:i/>
                <w:sz w:val="18"/>
                <w:szCs w:val="18"/>
              </w:rPr>
              <w:t>Whole</w:t>
            </w:r>
            <w:r w:rsidRPr="00B0277A">
              <w:rPr>
                <w:i/>
                <w:sz w:val="18"/>
                <w:szCs w:val="18"/>
              </w:rPr>
              <w:t>-of-Government and General Government Sector Financial Reporting</w:t>
            </w:r>
            <w:r w:rsidRPr="00B0277A">
              <w:rPr>
                <w:sz w:val="18"/>
                <w:szCs w:val="18"/>
              </w:rPr>
              <w:t xml:space="preserve"> prescribes the net operating balance (budget result), net lending/borrowing, change in net worth (comprehensive result), net debt, net worth and cash surplus/(deficit).</w:t>
            </w:r>
          </w:p>
        </w:tc>
      </w:tr>
      <w:tr w:rsidR="00FB0F85" w:rsidRPr="00520A5F" w14:paraId="7CF013E3" w14:textId="77777777" w:rsidTr="00207F27">
        <w:tblPrEx>
          <w:tblLook w:val="04A0" w:firstRow="1" w:lastRow="0" w:firstColumn="1" w:lastColumn="0" w:noHBand="0" w:noVBand="1"/>
        </w:tblPrEx>
        <w:tc>
          <w:tcPr>
            <w:tcW w:w="3160" w:type="dxa"/>
            <w:shd w:val="clear" w:color="auto" w:fill="auto"/>
          </w:tcPr>
          <w:p w14:paraId="31619161" w14:textId="2D0C65D5" w:rsidR="00FB0F85" w:rsidRPr="00520A5F" w:rsidRDefault="00375B3D" w:rsidP="00FB0F85">
            <w:pPr>
              <w:spacing w:before="60" w:after="60"/>
              <w:rPr>
                <w:sz w:val="18"/>
                <w:szCs w:val="18"/>
              </w:rPr>
            </w:pPr>
            <w:r w:rsidRPr="00520A5F">
              <w:rPr>
                <w:sz w:val="18"/>
                <w:szCs w:val="18"/>
              </w:rPr>
              <w:t>Fiscal gap</w:t>
            </w:r>
          </w:p>
        </w:tc>
        <w:tc>
          <w:tcPr>
            <w:tcW w:w="6479" w:type="dxa"/>
            <w:shd w:val="clear" w:color="auto" w:fill="auto"/>
          </w:tcPr>
          <w:p w14:paraId="0712F28F" w14:textId="4A456D07" w:rsidR="00FB0F85" w:rsidRPr="00FB0F85" w:rsidRDefault="00375B3D" w:rsidP="00FB0F85">
            <w:pPr>
              <w:spacing w:before="60" w:after="60"/>
              <w:rPr>
                <w:iCs/>
                <w:sz w:val="18"/>
                <w:szCs w:val="18"/>
              </w:rPr>
            </w:pPr>
            <w:r w:rsidRPr="00520A5F">
              <w:rPr>
                <w:iCs/>
                <w:sz w:val="18"/>
                <w:szCs w:val="18"/>
              </w:rPr>
              <w:t xml:space="preserve">The fiscal gap is the difference between the base period primary balance as a share of </w:t>
            </w:r>
            <w:r w:rsidR="0087262D">
              <w:rPr>
                <w:iCs/>
                <w:sz w:val="18"/>
                <w:szCs w:val="18"/>
              </w:rPr>
              <w:t>G</w:t>
            </w:r>
            <w:r w:rsidRPr="00520A5F">
              <w:rPr>
                <w:iCs/>
                <w:sz w:val="18"/>
                <w:szCs w:val="18"/>
              </w:rPr>
              <w:t xml:space="preserve">ross </w:t>
            </w:r>
            <w:r w:rsidR="0087262D">
              <w:rPr>
                <w:iCs/>
                <w:sz w:val="18"/>
                <w:szCs w:val="18"/>
              </w:rPr>
              <w:t>S</w:t>
            </w:r>
            <w:r w:rsidRPr="00520A5F">
              <w:rPr>
                <w:iCs/>
                <w:sz w:val="18"/>
                <w:szCs w:val="18"/>
              </w:rPr>
              <w:t xml:space="preserve">tate </w:t>
            </w:r>
            <w:r w:rsidR="0087262D">
              <w:rPr>
                <w:iCs/>
                <w:sz w:val="18"/>
                <w:szCs w:val="18"/>
              </w:rPr>
              <w:t>P</w:t>
            </w:r>
            <w:r w:rsidRPr="00520A5F">
              <w:rPr>
                <w:iCs/>
                <w:sz w:val="18"/>
                <w:szCs w:val="18"/>
              </w:rPr>
              <w:t>roduct (GSP) and the primary balance as a share of GSP at the end of the projection period, on a no policy change basis. The primary balance is the gap between spending and revenue excluding interest transactions but including net capital expenditure. A positive gap implies that fiscal pressures will be building over the projection period.</w:t>
            </w:r>
          </w:p>
        </w:tc>
      </w:tr>
      <w:tr w:rsidR="00FB0F85" w:rsidRPr="00520A5F" w14:paraId="58318960" w14:textId="77777777" w:rsidTr="00207F27">
        <w:tblPrEx>
          <w:tblLook w:val="04A0" w:firstRow="1" w:lastRow="0" w:firstColumn="1" w:lastColumn="0" w:noHBand="0" w:noVBand="1"/>
        </w:tblPrEx>
        <w:tc>
          <w:tcPr>
            <w:tcW w:w="3160" w:type="dxa"/>
            <w:shd w:val="clear" w:color="auto" w:fill="auto"/>
          </w:tcPr>
          <w:p w14:paraId="407FCF2F" w14:textId="7A534C5A" w:rsidR="00FB0F85" w:rsidRPr="00520A5F" w:rsidRDefault="00375B3D" w:rsidP="00FB0F85">
            <w:pPr>
              <w:spacing w:before="60" w:after="60"/>
              <w:rPr>
                <w:sz w:val="18"/>
                <w:szCs w:val="18"/>
              </w:rPr>
            </w:pPr>
            <w:r w:rsidRPr="00C544FF">
              <w:rPr>
                <w:i/>
                <w:iCs/>
                <w:sz w:val="18"/>
                <w:szCs w:val="18"/>
              </w:rPr>
              <w:t>Fiscal Responsibility Act 2012</w:t>
            </w:r>
            <w:r w:rsidRPr="00520A5F">
              <w:rPr>
                <w:sz w:val="18"/>
                <w:szCs w:val="18"/>
              </w:rPr>
              <w:t xml:space="preserve"> (FRA)</w:t>
            </w:r>
          </w:p>
        </w:tc>
        <w:tc>
          <w:tcPr>
            <w:tcW w:w="6479" w:type="dxa"/>
            <w:shd w:val="clear" w:color="auto" w:fill="auto"/>
          </w:tcPr>
          <w:p w14:paraId="023C23AE" w14:textId="1E54BCED" w:rsidR="00FB0F85" w:rsidRPr="00520A5F" w:rsidRDefault="00375B3D" w:rsidP="00FB0F85">
            <w:pPr>
              <w:spacing w:before="60" w:after="60"/>
              <w:rPr>
                <w:iCs/>
                <w:sz w:val="18"/>
                <w:szCs w:val="18"/>
              </w:rPr>
            </w:pPr>
            <w:r w:rsidRPr="00520A5F">
              <w:rPr>
                <w:iCs/>
                <w:sz w:val="18"/>
                <w:szCs w:val="18"/>
              </w:rPr>
              <w:t>The Act sets out both medium-term and long-term fiscal targets and principles providing a framework for budgeting in New South Wales.</w:t>
            </w:r>
          </w:p>
        </w:tc>
      </w:tr>
      <w:tr w:rsidR="00FB0F85" w:rsidRPr="00520A5F" w14:paraId="175987F8" w14:textId="77777777" w:rsidTr="00207F27">
        <w:tblPrEx>
          <w:tblLook w:val="04A0" w:firstRow="1" w:lastRow="0" w:firstColumn="1" w:lastColumn="0" w:noHBand="0" w:noVBand="1"/>
        </w:tblPrEx>
        <w:tc>
          <w:tcPr>
            <w:tcW w:w="3160" w:type="dxa"/>
            <w:shd w:val="clear" w:color="auto" w:fill="auto"/>
          </w:tcPr>
          <w:p w14:paraId="7F70066F" w14:textId="487A80AF" w:rsidR="00FB0F85" w:rsidRPr="00520A5F" w:rsidRDefault="00375B3D" w:rsidP="00FB0F85">
            <w:pPr>
              <w:spacing w:before="60" w:after="60"/>
              <w:rPr>
                <w:sz w:val="18"/>
                <w:szCs w:val="18"/>
              </w:rPr>
            </w:pPr>
            <w:r w:rsidRPr="00520A5F">
              <w:rPr>
                <w:sz w:val="18"/>
                <w:szCs w:val="18"/>
              </w:rPr>
              <w:t>Forward estimates</w:t>
            </w:r>
          </w:p>
        </w:tc>
        <w:tc>
          <w:tcPr>
            <w:tcW w:w="6479" w:type="dxa"/>
            <w:shd w:val="clear" w:color="auto" w:fill="auto"/>
          </w:tcPr>
          <w:p w14:paraId="07B3CA03" w14:textId="4BD0C623" w:rsidR="00FB0F85" w:rsidRPr="00520A5F" w:rsidRDefault="00375B3D" w:rsidP="00FB0F85">
            <w:pPr>
              <w:spacing w:before="60" w:after="60"/>
              <w:rPr>
                <w:iCs/>
                <w:sz w:val="18"/>
                <w:szCs w:val="18"/>
              </w:rPr>
            </w:pPr>
            <w:r w:rsidRPr="003B0B2D">
              <w:rPr>
                <w:sz w:val="18"/>
                <w:szCs w:val="18"/>
              </w:rPr>
              <w:t>Refers to the period from 202</w:t>
            </w:r>
            <w:r w:rsidR="00810BEE" w:rsidRPr="003B0B2D">
              <w:rPr>
                <w:sz w:val="18"/>
                <w:szCs w:val="18"/>
              </w:rPr>
              <w:t>3</w:t>
            </w:r>
            <w:r w:rsidRPr="00293161">
              <w:rPr>
                <w:sz w:val="18"/>
                <w:szCs w:val="18"/>
              </w:rPr>
              <w:t>-2</w:t>
            </w:r>
            <w:r w:rsidR="00810BEE" w:rsidRPr="00293161">
              <w:rPr>
                <w:sz w:val="18"/>
                <w:szCs w:val="18"/>
              </w:rPr>
              <w:t>4</w:t>
            </w:r>
            <w:r w:rsidRPr="00293161">
              <w:rPr>
                <w:sz w:val="18"/>
                <w:szCs w:val="18"/>
              </w:rPr>
              <w:t xml:space="preserve"> to 202</w:t>
            </w:r>
            <w:r w:rsidR="00810BEE" w:rsidRPr="00293161">
              <w:rPr>
                <w:sz w:val="18"/>
                <w:szCs w:val="18"/>
              </w:rPr>
              <w:t>5</w:t>
            </w:r>
            <w:r w:rsidRPr="00293161">
              <w:rPr>
                <w:sz w:val="18"/>
                <w:szCs w:val="18"/>
              </w:rPr>
              <w:t>-2</w:t>
            </w:r>
            <w:r w:rsidR="00810BEE" w:rsidRPr="00293161">
              <w:rPr>
                <w:sz w:val="18"/>
                <w:szCs w:val="18"/>
              </w:rPr>
              <w:t>6</w:t>
            </w:r>
            <w:r w:rsidRPr="00293161">
              <w:rPr>
                <w:sz w:val="18"/>
                <w:szCs w:val="18"/>
              </w:rPr>
              <w:t>.</w:t>
            </w:r>
          </w:p>
        </w:tc>
      </w:tr>
      <w:tr w:rsidR="00FB0F85" w:rsidRPr="00520A5F" w14:paraId="7EBEACCE" w14:textId="77777777" w:rsidTr="00207F27">
        <w:tblPrEx>
          <w:tblLook w:val="04A0" w:firstRow="1" w:lastRow="0" w:firstColumn="1" w:lastColumn="0" w:noHBand="0" w:noVBand="1"/>
        </w:tblPrEx>
        <w:tc>
          <w:tcPr>
            <w:tcW w:w="3160" w:type="dxa"/>
            <w:shd w:val="clear" w:color="auto" w:fill="auto"/>
          </w:tcPr>
          <w:p w14:paraId="60C1F561" w14:textId="2D48D1F6" w:rsidR="00FB0F85" w:rsidRPr="00520A5F" w:rsidRDefault="00375B3D" w:rsidP="00FB0F85">
            <w:pPr>
              <w:spacing w:before="60" w:after="60"/>
              <w:rPr>
                <w:sz w:val="18"/>
                <w:szCs w:val="18"/>
              </w:rPr>
            </w:pPr>
            <w:r w:rsidRPr="00724AA2">
              <w:rPr>
                <w:sz w:val="18"/>
                <w:szCs w:val="18"/>
              </w:rPr>
              <w:t>General government sector (GGS)</w:t>
            </w:r>
          </w:p>
        </w:tc>
        <w:tc>
          <w:tcPr>
            <w:tcW w:w="6479" w:type="dxa"/>
            <w:shd w:val="clear" w:color="auto" w:fill="auto"/>
          </w:tcPr>
          <w:p w14:paraId="0BEF849A" w14:textId="234E05BB" w:rsidR="00FB0F85" w:rsidRPr="00520A5F" w:rsidRDefault="00375B3D" w:rsidP="00FB0F85">
            <w:pPr>
              <w:spacing w:before="60" w:after="60"/>
              <w:rPr>
                <w:iCs/>
                <w:sz w:val="18"/>
                <w:szCs w:val="18"/>
              </w:rPr>
            </w:pPr>
            <w:r w:rsidRPr="00520A5F">
              <w:rPr>
                <w:iCs/>
                <w:sz w:val="18"/>
                <w:szCs w:val="18"/>
              </w:rPr>
              <w:t xml:space="preserve">This is an ABS classification of agencies that provide public services (such as health, education and police), or perform a regulatory function. General government agencies are funded </w:t>
            </w:r>
            <w:r w:rsidR="00922900">
              <w:rPr>
                <w:iCs/>
                <w:sz w:val="18"/>
                <w:szCs w:val="18"/>
              </w:rPr>
              <w:t>mainly</w:t>
            </w:r>
            <w:r w:rsidRPr="00520A5F">
              <w:rPr>
                <w:iCs/>
                <w:sz w:val="18"/>
                <w:szCs w:val="18"/>
              </w:rPr>
              <w:t xml:space="preserve"> by taxation (directly or indirectly). </w:t>
            </w:r>
          </w:p>
        </w:tc>
      </w:tr>
      <w:tr w:rsidR="00FB0F85" w:rsidRPr="00520A5F" w14:paraId="59390D1D" w14:textId="77777777" w:rsidTr="00207F27">
        <w:tblPrEx>
          <w:tblLook w:val="04A0" w:firstRow="1" w:lastRow="0" w:firstColumn="1" w:lastColumn="0" w:noHBand="0" w:noVBand="1"/>
        </w:tblPrEx>
        <w:tc>
          <w:tcPr>
            <w:tcW w:w="3160" w:type="dxa"/>
            <w:shd w:val="clear" w:color="auto" w:fill="auto"/>
          </w:tcPr>
          <w:p w14:paraId="73F8691F" w14:textId="0C9AE808" w:rsidR="00FB0F85" w:rsidRPr="00520A5F" w:rsidRDefault="00375B3D" w:rsidP="00FB0F85">
            <w:pPr>
              <w:spacing w:before="60" w:after="60"/>
              <w:rPr>
                <w:sz w:val="18"/>
                <w:szCs w:val="18"/>
              </w:rPr>
            </w:pPr>
            <w:r>
              <w:rPr>
                <w:sz w:val="18"/>
                <w:szCs w:val="18"/>
              </w:rPr>
              <w:t>Goods</w:t>
            </w:r>
          </w:p>
        </w:tc>
        <w:tc>
          <w:tcPr>
            <w:tcW w:w="6479" w:type="dxa"/>
            <w:shd w:val="clear" w:color="auto" w:fill="auto"/>
          </w:tcPr>
          <w:p w14:paraId="1BE5C812" w14:textId="59AD1D5A" w:rsidR="00FB0F85" w:rsidRPr="00520A5F" w:rsidRDefault="00375B3D" w:rsidP="00FB0F85">
            <w:pPr>
              <w:spacing w:before="60" w:after="60"/>
              <w:rPr>
                <w:iCs/>
                <w:sz w:val="18"/>
                <w:szCs w:val="18"/>
              </w:rPr>
            </w:pPr>
            <w:r>
              <w:rPr>
                <w:iCs/>
                <w:sz w:val="18"/>
                <w:szCs w:val="18"/>
              </w:rPr>
              <w:t>Represent any object or product that can be used to satisfy human wants and has a value.</w:t>
            </w:r>
          </w:p>
        </w:tc>
      </w:tr>
      <w:tr w:rsidR="00FB0F85" w:rsidRPr="00520A5F" w14:paraId="3CF5DF52" w14:textId="77777777" w:rsidTr="00207F27">
        <w:tblPrEx>
          <w:tblLook w:val="04A0" w:firstRow="1" w:lastRow="0" w:firstColumn="1" w:lastColumn="0" w:noHBand="0" w:noVBand="1"/>
        </w:tblPrEx>
        <w:tc>
          <w:tcPr>
            <w:tcW w:w="3160" w:type="dxa"/>
            <w:shd w:val="clear" w:color="auto" w:fill="auto"/>
          </w:tcPr>
          <w:p w14:paraId="7CB902AC" w14:textId="3701F9FC" w:rsidR="00FB0F85" w:rsidRPr="00520A5F" w:rsidRDefault="00375B3D" w:rsidP="00FB0F85">
            <w:pPr>
              <w:spacing w:before="60" w:after="60"/>
              <w:rPr>
                <w:sz w:val="18"/>
                <w:szCs w:val="18"/>
              </w:rPr>
            </w:pPr>
            <w:r w:rsidRPr="00520A5F">
              <w:rPr>
                <w:sz w:val="18"/>
                <w:szCs w:val="18"/>
              </w:rPr>
              <w:t>government / Government</w:t>
            </w:r>
          </w:p>
        </w:tc>
        <w:tc>
          <w:tcPr>
            <w:tcW w:w="6479" w:type="dxa"/>
            <w:shd w:val="clear" w:color="auto" w:fill="auto"/>
          </w:tcPr>
          <w:p w14:paraId="6BE09520" w14:textId="77777777" w:rsidR="00375B3D" w:rsidRPr="00520A5F" w:rsidRDefault="00375B3D" w:rsidP="00FB0F85">
            <w:pPr>
              <w:spacing w:before="60" w:after="60"/>
              <w:rPr>
                <w:iCs/>
                <w:sz w:val="18"/>
                <w:szCs w:val="18"/>
              </w:rPr>
            </w:pPr>
            <w:r w:rsidRPr="00520A5F">
              <w:rPr>
                <w:iCs/>
                <w:sz w:val="18"/>
                <w:szCs w:val="18"/>
              </w:rPr>
              <w:t>‘government’ refers to the institution of government and is used as a pronoun in these budget papers (e.g. government department).</w:t>
            </w:r>
          </w:p>
          <w:p w14:paraId="60A88B53" w14:textId="21C5E88F" w:rsidR="00FB0F85" w:rsidRPr="00520A5F" w:rsidRDefault="00375B3D" w:rsidP="00FB0F85">
            <w:pPr>
              <w:spacing w:before="60" w:after="60"/>
              <w:rPr>
                <w:iCs/>
                <w:sz w:val="18"/>
                <w:szCs w:val="18"/>
              </w:rPr>
            </w:pPr>
            <w:r w:rsidRPr="00520A5F">
              <w:rPr>
                <w:iCs/>
                <w:sz w:val="18"/>
                <w:szCs w:val="18"/>
              </w:rPr>
              <w:t xml:space="preserve">The ‘Government’ refers to the present Government constituted by the Executive. </w:t>
            </w:r>
          </w:p>
        </w:tc>
      </w:tr>
      <w:tr w:rsidR="00FB0F85" w:rsidRPr="00520A5F" w14:paraId="742FF4FC" w14:textId="77777777" w:rsidTr="00207F27">
        <w:tblPrEx>
          <w:tblLook w:val="04A0" w:firstRow="1" w:lastRow="0" w:firstColumn="1" w:lastColumn="0" w:noHBand="0" w:noVBand="1"/>
        </w:tblPrEx>
        <w:tc>
          <w:tcPr>
            <w:tcW w:w="3160" w:type="dxa"/>
            <w:shd w:val="clear" w:color="auto" w:fill="auto"/>
          </w:tcPr>
          <w:p w14:paraId="3F852368" w14:textId="42982F4D" w:rsidR="00FB0F85" w:rsidRPr="00520A5F" w:rsidRDefault="00375B3D" w:rsidP="00FB0F85">
            <w:pPr>
              <w:spacing w:before="60" w:after="60"/>
              <w:rPr>
                <w:sz w:val="18"/>
                <w:szCs w:val="18"/>
              </w:rPr>
            </w:pPr>
            <w:r w:rsidRPr="00724AA2">
              <w:rPr>
                <w:sz w:val="18"/>
                <w:szCs w:val="18"/>
              </w:rPr>
              <w:t>Government finance statistics (GFS)</w:t>
            </w:r>
          </w:p>
        </w:tc>
        <w:tc>
          <w:tcPr>
            <w:tcW w:w="6479" w:type="dxa"/>
            <w:shd w:val="clear" w:color="auto" w:fill="auto"/>
          </w:tcPr>
          <w:p w14:paraId="71AC25B8" w14:textId="467CA026" w:rsidR="00FB0F85" w:rsidRPr="00520A5F" w:rsidRDefault="00375B3D" w:rsidP="00FB0F85">
            <w:pPr>
              <w:spacing w:before="60" w:after="60"/>
              <w:rPr>
                <w:iCs/>
                <w:sz w:val="18"/>
                <w:szCs w:val="18"/>
              </w:rPr>
            </w:pPr>
            <w:r w:rsidRPr="00520A5F">
              <w:rPr>
                <w:iCs/>
                <w:sz w:val="18"/>
                <w:szCs w:val="18"/>
              </w:rPr>
              <w:t>A system of financial reporting developed by the International Monetary Fund and used by the Australian Bureau of Statistics to classify the financial transactions of governments and measure their impact on the rest of the economy.</w:t>
            </w:r>
          </w:p>
        </w:tc>
      </w:tr>
    </w:tbl>
    <w:p w14:paraId="5F30B577" w14:textId="77777777" w:rsidR="00A62297" w:rsidRDefault="00A62297">
      <w:r>
        <w:br w:type="page"/>
      </w:r>
    </w:p>
    <w:tbl>
      <w:tblPr>
        <w:tblW w:w="9639" w:type="dxa"/>
        <w:tblBorders>
          <w:top w:val="single" w:sz="4" w:space="0" w:color="auto"/>
          <w:bottom w:val="single" w:sz="4" w:space="0" w:color="auto"/>
          <w:insideH w:val="single" w:sz="4" w:space="0" w:color="BFBFBF"/>
          <w:insideV w:val="single" w:sz="4" w:space="0" w:color="BFBFBF"/>
        </w:tblBorders>
        <w:tblLook w:val="04A0" w:firstRow="1" w:lastRow="0" w:firstColumn="1" w:lastColumn="0" w:noHBand="0" w:noVBand="1"/>
      </w:tblPr>
      <w:tblGrid>
        <w:gridCol w:w="3160"/>
        <w:gridCol w:w="6479"/>
      </w:tblGrid>
      <w:tr w:rsidR="00FB0F85" w:rsidRPr="00520A5F" w14:paraId="4263F118" w14:textId="77777777" w:rsidTr="00786EEC">
        <w:trPr>
          <w:trHeight w:val="4101"/>
        </w:trPr>
        <w:tc>
          <w:tcPr>
            <w:tcW w:w="3160" w:type="dxa"/>
            <w:shd w:val="clear" w:color="auto" w:fill="auto"/>
          </w:tcPr>
          <w:p w14:paraId="187D5F84" w14:textId="3159EF0A" w:rsidR="00FB0F85" w:rsidRPr="00C544FF" w:rsidRDefault="00FB0F85" w:rsidP="00FB0F85">
            <w:pPr>
              <w:spacing w:before="60" w:after="60"/>
              <w:ind w:right="-179"/>
              <w:rPr>
                <w:i/>
                <w:iCs/>
                <w:sz w:val="18"/>
                <w:szCs w:val="18"/>
              </w:rPr>
            </w:pPr>
            <w:r w:rsidRPr="00C544FF">
              <w:rPr>
                <w:i/>
                <w:iCs/>
                <w:sz w:val="18"/>
                <w:szCs w:val="18"/>
              </w:rPr>
              <w:lastRenderedPageBreak/>
              <w:t>Government Sector Finance Act 2018</w:t>
            </w:r>
          </w:p>
        </w:tc>
        <w:tc>
          <w:tcPr>
            <w:tcW w:w="6479" w:type="dxa"/>
            <w:shd w:val="clear" w:color="auto" w:fill="auto"/>
          </w:tcPr>
          <w:p w14:paraId="430AE95B" w14:textId="7781A092" w:rsidR="00C16829" w:rsidRDefault="00FB0F85" w:rsidP="00FB0F85">
            <w:pPr>
              <w:spacing w:before="60" w:after="60"/>
              <w:rPr>
                <w:iCs/>
                <w:sz w:val="18"/>
                <w:szCs w:val="18"/>
              </w:rPr>
            </w:pPr>
            <w:r w:rsidRPr="00520A5F">
              <w:rPr>
                <w:iCs/>
                <w:sz w:val="18"/>
                <w:szCs w:val="18"/>
              </w:rPr>
              <w:t xml:space="preserve">The </w:t>
            </w:r>
            <w:r w:rsidRPr="00C544FF">
              <w:rPr>
                <w:i/>
                <w:sz w:val="18"/>
                <w:szCs w:val="18"/>
              </w:rPr>
              <w:t>Government Sector Finance Act 2018</w:t>
            </w:r>
            <w:r w:rsidRPr="00520A5F">
              <w:rPr>
                <w:iCs/>
                <w:sz w:val="18"/>
                <w:szCs w:val="18"/>
              </w:rPr>
              <w:t xml:space="preserve"> </w:t>
            </w:r>
            <w:r w:rsidR="007A63E8">
              <w:rPr>
                <w:iCs/>
                <w:sz w:val="18"/>
                <w:szCs w:val="18"/>
              </w:rPr>
              <w:t xml:space="preserve">(GSF Act) </w:t>
            </w:r>
            <w:r w:rsidRPr="00520A5F">
              <w:rPr>
                <w:iCs/>
                <w:sz w:val="18"/>
                <w:szCs w:val="18"/>
              </w:rPr>
              <w:t>creates the financial management framework for the government sector in New South Wales that promotes and supports sound financial management, budgeting, performance, financial risk management, transparency and accountability in the government sector. This Act will eventually replace four other Acts</w:t>
            </w:r>
            <w:r w:rsidR="00665BDE">
              <w:rPr>
                <w:iCs/>
                <w:sz w:val="18"/>
                <w:szCs w:val="18"/>
              </w:rPr>
              <w:t>:</w:t>
            </w:r>
          </w:p>
          <w:p w14:paraId="10DC7345" w14:textId="0EEA7F06" w:rsidR="00C16829" w:rsidRPr="00040C2B" w:rsidRDefault="00C16829" w:rsidP="00B90F75">
            <w:pPr>
              <w:pStyle w:val="ListParagraph"/>
              <w:numPr>
                <w:ilvl w:val="0"/>
                <w:numId w:val="34"/>
              </w:numPr>
              <w:spacing w:before="60" w:after="60"/>
              <w:contextualSpacing w:val="0"/>
              <w:rPr>
                <w:iCs/>
                <w:sz w:val="18"/>
                <w:szCs w:val="18"/>
              </w:rPr>
            </w:pPr>
            <w:r w:rsidRPr="00040C2B">
              <w:rPr>
                <w:iCs/>
                <w:sz w:val="18"/>
                <w:szCs w:val="18"/>
              </w:rPr>
              <w:t xml:space="preserve">The GSF Act replaced the </w:t>
            </w:r>
            <w:r w:rsidRPr="00040C2B">
              <w:rPr>
                <w:i/>
                <w:sz w:val="18"/>
                <w:szCs w:val="18"/>
              </w:rPr>
              <w:t>Public Authorities (Financial Arrangements) Act 1987</w:t>
            </w:r>
            <w:r w:rsidRPr="00040C2B">
              <w:rPr>
                <w:iCs/>
                <w:sz w:val="18"/>
                <w:szCs w:val="18"/>
              </w:rPr>
              <w:t xml:space="preserve"> from 1 December 2018. </w:t>
            </w:r>
          </w:p>
          <w:p w14:paraId="0C8CFCF2" w14:textId="3DA51697" w:rsidR="00BA4AF1" w:rsidRDefault="008F4437" w:rsidP="00535E6C">
            <w:pPr>
              <w:pStyle w:val="ListParagraph"/>
              <w:numPr>
                <w:ilvl w:val="0"/>
                <w:numId w:val="34"/>
              </w:numPr>
              <w:spacing w:before="60" w:after="60"/>
              <w:contextualSpacing w:val="0"/>
              <w:rPr>
                <w:iCs/>
                <w:sz w:val="18"/>
                <w:szCs w:val="18"/>
              </w:rPr>
            </w:pPr>
            <w:r>
              <w:rPr>
                <w:iCs/>
                <w:sz w:val="18"/>
                <w:szCs w:val="18"/>
              </w:rPr>
              <w:t xml:space="preserve">With </w:t>
            </w:r>
            <w:r w:rsidR="006E5BF7">
              <w:rPr>
                <w:iCs/>
                <w:sz w:val="18"/>
                <w:szCs w:val="18"/>
              </w:rPr>
              <w:t xml:space="preserve">the </w:t>
            </w:r>
            <w:r w:rsidRPr="008F4437">
              <w:rPr>
                <w:iCs/>
                <w:sz w:val="18"/>
                <w:szCs w:val="18"/>
              </w:rPr>
              <w:t xml:space="preserve">commencement of the </w:t>
            </w:r>
            <w:r w:rsidR="007A63E8" w:rsidRPr="00A15250">
              <w:rPr>
                <w:sz w:val="18"/>
                <w:szCs w:val="18"/>
              </w:rPr>
              <w:t>GSF</w:t>
            </w:r>
            <w:r w:rsidRPr="00AD0128">
              <w:rPr>
                <w:sz w:val="18"/>
                <w:szCs w:val="18"/>
              </w:rPr>
              <w:t xml:space="preserve"> Act</w:t>
            </w:r>
            <w:r>
              <w:rPr>
                <w:i/>
                <w:sz w:val="18"/>
                <w:szCs w:val="18"/>
              </w:rPr>
              <w:t xml:space="preserve"> </w:t>
            </w:r>
            <w:r w:rsidRPr="008F4437">
              <w:rPr>
                <w:iCs/>
                <w:sz w:val="18"/>
                <w:szCs w:val="18"/>
              </w:rPr>
              <w:t>financial reporting provisions on 1</w:t>
            </w:r>
            <w:r w:rsidR="00AD0966">
              <w:rPr>
                <w:iCs/>
                <w:sz w:val="18"/>
                <w:szCs w:val="18"/>
              </w:rPr>
              <w:t> </w:t>
            </w:r>
            <w:r w:rsidRPr="008F4437">
              <w:rPr>
                <w:iCs/>
                <w:sz w:val="18"/>
                <w:szCs w:val="18"/>
              </w:rPr>
              <w:t xml:space="preserve">July 2021, the </w:t>
            </w:r>
            <w:r w:rsidRPr="00786EEC">
              <w:rPr>
                <w:i/>
                <w:sz w:val="18"/>
                <w:szCs w:val="18"/>
              </w:rPr>
              <w:t>Public Finance and Audit Act 1983</w:t>
            </w:r>
            <w:r w:rsidRPr="008F4437">
              <w:rPr>
                <w:iCs/>
                <w:sz w:val="18"/>
                <w:szCs w:val="18"/>
              </w:rPr>
              <w:t xml:space="preserve"> (PF&amp;A Act) financial reporting provisions have been repealed.</w:t>
            </w:r>
            <w:r w:rsidRPr="008F4437" w:rsidDel="002139F2">
              <w:rPr>
                <w:iCs/>
                <w:sz w:val="18"/>
                <w:szCs w:val="18"/>
              </w:rPr>
              <w:t xml:space="preserve"> </w:t>
            </w:r>
            <w:r w:rsidRPr="008F4437">
              <w:rPr>
                <w:iCs/>
                <w:sz w:val="18"/>
                <w:szCs w:val="18"/>
              </w:rPr>
              <w:t>Remaining provisions of the PF&amp;A Act relate to the powers and functions of the Auditor-General and establishing the Audit Office, and the Public Accounts Committee. On 1</w:t>
            </w:r>
            <w:r w:rsidR="002139F2">
              <w:rPr>
                <w:iCs/>
                <w:sz w:val="18"/>
                <w:szCs w:val="18"/>
              </w:rPr>
              <w:t> </w:t>
            </w:r>
            <w:r w:rsidRPr="008F4437">
              <w:rPr>
                <w:iCs/>
                <w:sz w:val="18"/>
                <w:szCs w:val="18"/>
              </w:rPr>
              <w:t xml:space="preserve">July 2021 the PF&amp;A Act was renamed as the </w:t>
            </w:r>
            <w:r w:rsidRPr="00786EEC">
              <w:rPr>
                <w:i/>
                <w:sz w:val="18"/>
                <w:szCs w:val="18"/>
              </w:rPr>
              <w:t>Government Sector Audit Act 1983</w:t>
            </w:r>
            <w:r w:rsidRPr="008F4437">
              <w:rPr>
                <w:iCs/>
                <w:sz w:val="18"/>
                <w:szCs w:val="18"/>
              </w:rPr>
              <w:t>.</w:t>
            </w:r>
          </w:p>
          <w:p w14:paraId="7E55F34E" w14:textId="4E07B191" w:rsidR="00FB0F85" w:rsidRPr="00786EEC" w:rsidRDefault="00BA4AF1" w:rsidP="00786EEC">
            <w:pPr>
              <w:pStyle w:val="ListParagraph"/>
              <w:numPr>
                <w:ilvl w:val="0"/>
                <w:numId w:val="34"/>
              </w:numPr>
              <w:spacing w:before="60" w:after="60"/>
              <w:contextualSpacing w:val="0"/>
              <w:rPr>
                <w:sz w:val="18"/>
                <w:szCs w:val="18"/>
              </w:rPr>
            </w:pPr>
            <w:r w:rsidRPr="006764C6">
              <w:rPr>
                <w:sz w:val="18"/>
                <w:szCs w:val="18"/>
                <w:lang w:eastAsia="en-US"/>
              </w:rPr>
              <w:t xml:space="preserve">It is scheduled to repeal the </w:t>
            </w:r>
            <w:r w:rsidRPr="006764C6">
              <w:rPr>
                <w:i/>
                <w:iCs/>
                <w:sz w:val="18"/>
                <w:szCs w:val="18"/>
                <w:lang w:eastAsia="en-US"/>
              </w:rPr>
              <w:t>Annual Reports (Departments) Act 1985</w:t>
            </w:r>
            <w:r w:rsidRPr="006764C6">
              <w:rPr>
                <w:sz w:val="18"/>
                <w:szCs w:val="18"/>
                <w:lang w:eastAsia="en-US"/>
              </w:rPr>
              <w:t xml:space="preserve"> and </w:t>
            </w:r>
            <w:r w:rsidRPr="006764C6">
              <w:rPr>
                <w:i/>
                <w:iCs/>
                <w:sz w:val="18"/>
                <w:szCs w:val="18"/>
                <w:lang w:eastAsia="en-US"/>
              </w:rPr>
              <w:t>Annual Reports (Statutory Bodies) Act 1984</w:t>
            </w:r>
            <w:r w:rsidRPr="006764C6">
              <w:rPr>
                <w:sz w:val="18"/>
                <w:szCs w:val="18"/>
                <w:lang w:eastAsia="en-US"/>
              </w:rPr>
              <w:t xml:space="preserve"> and commence the GSF Act annual reporting provisions on 1 July 2023.</w:t>
            </w:r>
          </w:p>
        </w:tc>
      </w:tr>
      <w:tr w:rsidR="00FB0F85" w:rsidRPr="00520A5F" w14:paraId="0CE659C0" w14:textId="77777777" w:rsidTr="00207F27">
        <w:tc>
          <w:tcPr>
            <w:tcW w:w="3160" w:type="dxa"/>
            <w:shd w:val="clear" w:color="auto" w:fill="auto"/>
          </w:tcPr>
          <w:p w14:paraId="0F250601" w14:textId="77777777" w:rsidR="00FB0F85" w:rsidRPr="00520A5F" w:rsidRDefault="00FB0F85" w:rsidP="00FB0F85">
            <w:pPr>
              <w:spacing w:before="60" w:after="60"/>
              <w:rPr>
                <w:sz w:val="18"/>
                <w:szCs w:val="18"/>
              </w:rPr>
            </w:pPr>
            <w:r w:rsidRPr="00520A5F">
              <w:rPr>
                <w:sz w:val="18"/>
                <w:szCs w:val="18"/>
              </w:rPr>
              <w:t>Grants for on-passing</w:t>
            </w:r>
          </w:p>
        </w:tc>
        <w:tc>
          <w:tcPr>
            <w:tcW w:w="6479" w:type="dxa"/>
            <w:shd w:val="clear" w:color="auto" w:fill="auto"/>
          </w:tcPr>
          <w:p w14:paraId="1A641780" w14:textId="1833ECFB" w:rsidR="00FB0F85" w:rsidRPr="00520A5F" w:rsidRDefault="00FB0F85" w:rsidP="00FB0F85">
            <w:pPr>
              <w:spacing w:before="60" w:after="60"/>
              <w:rPr>
                <w:iCs/>
                <w:sz w:val="18"/>
                <w:szCs w:val="18"/>
              </w:rPr>
            </w:pPr>
            <w:r w:rsidRPr="00520A5F">
              <w:rPr>
                <w:iCs/>
                <w:sz w:val="18"/>
                <w:szCs w:val="18"/>
              </w:rPr>
              <w:t>All grants paid to one institutional sector (for example, a state government) to be passed on to another institutional sector (for example, local government or a non-profit institution). For New South Wales, these primarily comprise grants from the Commonwealth Government to be on</w:t>
            </w:r>
            <w:r w:rsidRPr="00520A5F">
              <w:rPr>
                <w:iCs/>
                <w:sz w:val="18"/>
                <w:szCs w:val="18"/>
              </w:rPr>
              <w:noBreakHyphen/>
              <w:t xml:space="preserve">passed to specified private schools and to specified local government authorities. </w:t>
            </w:r>
          </w:p>
        </w:tc>
      </w:tr>
      <w:tr w:rsidR="00FB0F85" w:rsidRPr="00520A5F" w14:paraId="62D60A6B" w14:textId="77777777" w:rsidTr="00207F27">
        <w:tc>
          <w:tcPr>
            <w:tcW w:w="3160" w:type="dxa"/>
            <w:shd w:val="clear" w:color="auto" w:fill="auto"/>
          </w:tcPr>
          <w:p w14:paraId="7C0DE2D4" w14:textId="61A05AC9" w:rsidR="00FB0F85" w:rsidRPr="00520A5F" w:rsidRDefault="00FB0F85" w:rsidP="00FB0F85">
            <w:pPr>
              <w:spacing w:before="60" w:after="60"/>
              <w:rPr>
                <w:sz w:val="18"/>
                <w:szCs w:val="18"/>
              </w:rPr>
            </w:pPr>
            <w:r w:rsidRPr="00724AA2">
              <w:rPr>
                <w:sz w:val="18"/>
                <w:szCs w:val="18"/>
              </w:rPr>
              <w:t xml:space="preserve">Gross </w:t>
            </w:r>
            <w:r w:rsidR="0087262D" w:rsidRPr="00786EEC">
              <w:rPr>
                <w:sz w:val="18"/>
                <w:szCs w:val="18"/>
              </w:rPr>
              <w:t>S</w:t>
            </w:r>
            <w:r w:rsidRPr="00724AA2">
              <w:rPr>
                <w:sz w:val="18"/>
                <w:szCs w:val="18"/>
              </w:rPr>
              <w:t xml:space="preserve">tate </w:t>
            </w:r>
            <w:r w:rsidR="0087262D" w:rsidRPr="00786EEC">
              <w:rPr>
                <w:sz w:val="18"/>
                <w:szCs w:val="18"/>
              </w:rPr>
              <w:t>P</w:t>
            </w:r>
            <w:r w:rsidRPr="00724AA2">
              <w:rPr>
                <w:sz w:val="18"/>
                <w:szCs w:val="18"/>
              </w:rPr>
              <w:t>roduct (GSP)</w:t>
            </w:r>
          </w:p>
        </w:tc>
        <w:tc>
          <w:tcPr>
            <w:tcW w:w="6479" w:type="dxa"/>
            <w:shd w:val="clear" w:color="auto" w:fill="auto"/>
          </w:tcPr>
          <w:p w14:paraId="3BC3D52E" w14:textId="77777777" w:rsidR="00FB0F85" w:rsidRPr="00520A5F" w:rsidRDefault="00FB0F85" w:rsidP="00FB0F85">
            <w:pPr>
              <w:spacing w:before="60" w:after="60"/>
              <w:rPr>
                <w:iCs/>
                <w:sz w:val="18"/>
                <w:szCs w:val="18"/>
              </w:rPr>
            </w:pPr>
            <w:r w:rsidRPr="00520A5F">
              <w:rPr>
                <w:iCs/>
                <w:sz w:val="18"/>
                <w:szCs w:val="18"/>
              </w:rPr>
              <w:t>The total market value of final goods and services produced within a state.</w:t>
            </w:r>
          </w:p>
        </w:tc>
      </w:tr>
      <w:tr w:rsidR="00FB0F85" w:rsidRPr="00520A5F" w14:paraId="0828A82D" w14:textId="77777777" w:rsidTr="00207F27">
        <w:tc>
          <w:tcPr>
            <w:tcW w:w="3160" w:type="dxa"/>
            <w:shd w:val="clear" w:color="auto" w:fill="auto"/>
          </w:tcPr>
          <w:p w14:paraId="485A9A5D" w14:textId="77777777" w:rsidR="00FB0F85" w:rsidRPr="00520A5F" w:rsidRDefault="00FB0F85" w:rsidP="00FB0F85">
            <w:pPr>
              <w:spacing w:before="60" w:after="60"/>
              <w:rPr>
                <w:sz w:val="18"/>
                <w:szCs w:val="18"/>
              </w:rPr>
            </w:pPr>
            <w:r w:rsidRPr="00724AA2">
              <w:rPr>
                <w:sz w:val="18"/>
                <w:szCs w:val="18"/>
              </w:rPr>
              <w:t>Half-Yearly Review</w:t>
            </w:r>
          </w:p>
        </w:tc>
        <w:tc>
          <w:tcPr>
            <w:tcW w:w="6479" w:type="dxa"/>
            <w:shd w:val="clear" w:color="auto" w:fill="auto"/>
          </w:tcPr>
          <w:p w14:paraId="56E0C66A" w14:textId="5FC7B233" w:rsidR="00FB0F85" w:rsidRPr="00520A5F" w:rsidRDefault="00FB0F85" w:rsidP="00FB0F85">
            <w:pPr>
              <w:spacing w:before="60" w:after="60"/>
              <w:rPr>
                <w:iCs/>
                <w:sz w:val="18"/>
                <w:szCs w:val="18"/>
              </w:rPr>
            </w:pPr>
            <w:r w:rsidRPr="00520A5F">
              <w:rPr>
                <w:iCs/>
                <w:sz w:val="18"/>
                <w:szCs w:val="18"/>
              </w:rPr>
              <w:t xml:space="preserve">Required under </w:t>
            </w:r>
            <w:r w:rsidR="000370B8">
              <w:rPr>
                <w:iCs/>
                <w:sz w:val="18"/>
                <w:szCs w:val="18"/>
              </w:rPr>
              <w:t xml:space="preserve">the </w:t>
            </w:r>
            <w:r w:rsidR="000370B8" w:rsidRPr="00786EEC">
              <w:rPr>
                <w:i/>
                <w:sz w:val="18"/>
                <w:szCs w:val="18"/>
              </w:rPr>
              <w:t>Government Sector Finance Act 2018</w:t>
            </w:r>
            <w:r w:rsidRPr="00520A5F">
              <w:rPr>
                <w:iCs/>
                <w:sz w:val="18"/>
                <w:szCs w:val="18"/>
              </w:rPr>
              <w:t>, the Half-Yearly Review provides an update to the economic and financial assumptions released in the Budget.</w:t>
            </w:r>
          </w:p>
        </w:tc>
      </w:tr>
      <w:tr w:rsidR="006B7E18" w:rsidRPr="006B7E18" w14:paraId="7564FC1B" w14:textId="77777777" w:rsidTr="00207F27">
        <w:tc>
          <w:tcPr>
            <w:tcW w:w="3160" w:type="dxa"/>
            <w:shd w:val="clear" w:color="auto" w:fill="auto"/>
          </w:tcPr>
          <w:p w14:paraId="23E55066" w14:textId="563D577A" w:rsidR="006B7E18" w:rsidRPr="002E112E" w:rsidRDefault="006B7E18" w:rsidP="006B7E18">
            <w:pPr>
              <w:pStyle w:val="Heading3"/>
              <w:keepNext w:val="0"/>
              <w:spacing w:before="60"/>
              <w:rPr>
                <w:rFonts w:ascii="Arial" w:hAnsi="Arial" w:cs="Arial"/>
                <w:b w:val="0"/>
                <w:sz w:val="18"/>
                <w:szCs w:val="18"/>
              </w:rPr>
            </w:pPr>
            <w:r w:rsidRPr="002E112E">
              <w:rPr>
                <w:rFonts w:ascii="Arial" w:hAnsi="Arial" w:cs="Arial"/>
                <w:b w:val="0"/>
                <w:sz w:val="18"/>
                <w:szCs w:val="18"/>
              </w:rPr>
              <w:t>Inflows</w:t>
            </w:r>
            <w:r w:rsidR="00CC638C" w:rsidRPr="00040C2B">
              <w:rPr>
                <w:rFonts w:ascii="Arial" w:hAnsi="Arial" w:cs="Arial"/>
                <w:b w:val="0"/>
                <w:sz w:val="18"/>
                <w:szCs w:val="18"/>
                <w:vertAlign w:val="superscript"/>
              </w:rPr>
              <w:t>(a)</w:t>
            </w:r>
          </w:p>
          <w:p w14:paraId="2811F532" w14:textId="2F4A15D3" w:rsidR="006B7E18" w:rsidRPr="006B7E18" w:rsidRDefault="006B7E18" w:rsidP="006B7E18">
            <w:pPr>
              <w:spacing w:before="60" w:after="60"/>
              <w:rPr>
                <w:sz w:val="18"/>
                <w:szCs w:val="18"/>
              </w:rPr>
            </w:pPr>
            <w:r w:rsidRPr="002E112E">
              <w:rPr>
                <w:sz w:val="18"/>
                <w:szCs w:val="18"/>
              </w:rPr>
              <w:t>(Restart NSW)</w:t>
            </w:r>
          </w:p>
        </w:tc>
        <w:tc>
          <w:tcPr>
            <w:tcW w:w="6479" w:type="dxa"/>
            <w:shd w:val="clear" w:color="auto" w:fill="auto"/>
          </w:tcPr>
          <w:p w14:paraId="53F83DBA" w14:textId="0B0C3EEC" w:rsidR="006B7E18" w:rsidRPr="006B7E18" w:rsidRDefault="006B7E18" w:rsidP="006B7E18">
            <w:pPr>
              <w:spacing w:before="60" w:after="60"/>
              <w:rPr>
                <w:iCs/>
                <w:sz w:val="18"/>
                <w:szCs w:val="18"/>
              </w:rPr>
            </w:pPr>
            <w:r w:rsidRPr="002E112E">
              <w:rPr>
                <w:sz w:val="18"/>
                <w:szCs w:val="18"/>
              </w:rPr>
              <w:t>Funds deposited into Restart NSW, including proceeds from asset recycling transactions, Commonwealth Government Asset Recycling Initiative payments, proceeds from Waratah Bonds, windfall tax revenue and investment earnings, which are then invested into Rebuilding NSW and other Restart NSW projects.</w:t>
            </w:r>
          </w:p>
        </w:tc>
      </w:tr>
      <w:tr w:rsidR="006B7E18" w:rsidRPr="00520A5F" w14:paraId="77C40175" w14:textId="77777777" w:rsidTr="00207F27">
        <w:tc>
          <w:tcPr>
            <w:tcW w:w="3160" w:type="dxa"/>
            <w:shd w:val="clear" w:color="auto" w:fill="auto"/>
          </w:tcPr>
          <w:p w14:paraId="1AC88DC2" w14:textId="77777777" w:rsidR="006B7E18" w:rsidRPr="00520A5F" w:rsidRDefault="006B7E18" w:rsidP="006B7E18">
            <w:pPr>
              <w:spacing w:before="60" w:after="60"/>
              <w:rPr>
                <w:sz w:val="18"/>
                <w:szCs w:val="18"/>
              </w:rPr>
            </w:pPr>
            <w:r w:rsidRPr="00724AA2">
              <w:rPr>
                <w:sz w:val="18"/>
                <w:szCs w:val="18"/>
              </w:rPr>
              <w:t>Interest expense</w:t>
            </w:r>
          </w:p>
        </w:tc>
        <w:tc>
          <w:tcPr>
            <w:tcW w:w="6479" w:type="dxa"/>
            <w:shd w:val="clear" w:color="auto" w:fill="auto"/>
          </w:tcPr>
          <w:p w14:paraId="1AF302ED" w14:textId="08D6D9A1" w:rsidR="006B7E18" w:rsidRPr="00520A5F" w:rsidRDefault="006B7E18" w:rsidP="006B7E18">
            <w:pPr>
              <w:spacing w:before="60" w:after="60"/>
              <w:rPr>
                <w:iCs/>
                <w:sz w:val="18"/>
                <w:szCs w:val="18"/>
              </w:rPr>
            </w:pPr>
            <w:r w:rsidRPr="00520A5F">
              <w:rPr>
                <w:iCs/>
                <w:sz w:val="18"/>
                <w:szCs w:val="18"/>
              </w:rPr>
              <w:t xml:space="preserve">Costs incurred in connection with the borrowing of funds. It includes interest on advances, loans, overdrafts, bonds and bills, deposits, interest components of lease repayments, </w:t>
            </w:r>
            <w:r w:rsidR="00DB7029">
              <w:rPr>
                <w:iCs/>
                <w:sz w:val="18"/>
                <w:szCs w:val="18"/>
              </w:rPr>
              <w:t xml:space="preserve">service </w:t>
            </w:r>
            <w:r w:rsidR="00DB7029" w:rsidRPr="00DB7029">
              <w:rPr>
                <w:iCs/>
                <w:sz w:val="18"/>
                <w:szCs w:val="18"/>
              </w:rPr>
              <w:t>concession</w:t>
            </w:r>
            <w:r w:rsidR="00DB7029">
              <w:rPr>
                <w:iCs/>
                <w:sz w:val="18"/>
                <w:szCs w:val="18"/>
              </w:rPr>
              <w:t xml:space="preserve"> </w:t>
            </w:r>
            <w:r w:rsidR="00DB7029" w:rsidRPr="00DB7029">
              <w:rPr>
                <w:iCs/>
                <w:sz w:val="18"/>
                <w:szCs w:val="18"/>
              </w:rPr>
              <w:t>financial liabilities</w:t>
            </w:r>
            <w:r w:rsidR="00DB7029">
              <w:rPr>
                <w:iCs/>
                <w:sz w:val="18"/>
                <w:szCs w:val="18"/>
              </w:rPr>
              <w:t xml:space="preserve"> </w:t>
            </w:r>
            <w:r w:rsidRPr="00520A5F">
              <w:rPr>
                <w:iCs/>
                <w:sz w:val="18"/>
                <w:szCs w:val="18"/>
              </w:rPr>
              <w:t xml:space="preserve">and amortisation of discounts or premiums in relation to borrowings. Where discounting is used, the carrying amount of a liability increases in each period to reflect the passage of time. This increase is also recognised as an interest expense. </w:t>
            </w:r>
          </w:p>
        </w:tc>
      </w:tr>
      <w:tr w:rsidR="006B7E18" w:rsidRPr="00520A5F" w14:paraId="7D1CF632" w14:textId="77777777" w:rsidTr="00207F27">
        <w:tc>
          <w:tcPr>
            <w:tcW w:w="3160" w:type="dxa"/>
            <w:shd w:val="clear" w:color="auto" w:fill="auto"/>
          </w:tcPr>
          <w:p w14:paraId="3578CAA8" w14:textId="77777777" w:rsidR="006B7E18" w:rsidRPr="00520A5F" w:rsidRDefault="006B7E18" w:rsidP="006B7E18">
            <w:pPr>
              <w:spacing w:before="60" w:after="60"/>
              <w:rPr>
                <w:sz w:val="18"/>
                <w:szCs w:val="18"/>
              </w:rPr>
            </w:pPr>
            <w:r w:rsidRPr="00520A5F">
              <w:rPr>
                <w:sz w:val="18"/>
                <w:szCs w:val="18"/>
              </w:rPr>
              <w:t>Machinery of Government (MoG)</w:t>
            </w:r>
          </w:p>
        </w:tc>
        <w:tc>
          <w:tcPr>
            <w:tcW w:w="6479" w:type="dxa"/>
            <w:shd w:val="clear" w:color="auto" w:fill="auto"/>
          </w:tcPr>
          <w:p w14:paraId="76037142" w14:textId="77777777" w:rsidR="006B7E18" w:rsidRPr="00520A5F" w:rsidRDefault="006B7E18" w:rsidP="006B7E18">
            <w:pPr>
              <w:spacing w:before="60" w:after="60"/>
              <w:rPr>
                <w:iCs/>
                <w:sz w:val="18"/>
                <w:szCs w:val="18"/>
              </w:rPr>
            </w:pPr>
            <w:r w:rsidRPr="00520A5F">
              <w:rPr>
                <w:iCs/>
                <w:sz w:val="18"/>
                <w:szCs w:val="18"/>
              </w:rPr>
              <w:t>MoG changes vary in scope and can involve: the abolition or creation of new government entities; the merger or absorption of entities; and small or large transfers of policy, program or service delivery responsibilities to other entities.</w:t>
            </w:r>
          </w:p>
        </w:tc>
      </w:tr>
      <w:tr w:rsidR="006842FD" w:rsidRPr="00520A5F" w14:paraId="44E2C4D7" w14:textId="77777777" w:rsidTr="00207F27">
        <w:tc>
          <w:tcPr>
            <w:tcW w:w="3160" w:type="dxa"/>
            <w:shd w:val="clear" w:color="auto" w:fill="auto"/>
          </w:tcPr>
          <w:p w14:paraId="1B7352B5" w14:textId="6D30C1D9" w:rsidR="006842FD" w:rsidRPr="006842FD" w:rsidRDefault="006842FD" w:rsidP="006842FD">
            <w:pPr>
              <w:spacing w:before="60" w:after="60"/>
              <w:rPr>
                <w:sz w:val="18"/>
                <w:szCs w:val="18"/>
              </w:rPr>
            </w:pPr>
            <w:r w:rsidRPr="002E112E">
              <w:rPr>
                <w:sz w:val="18"/>
                <w:szCs w:val="18"/>
              </w:rPr>
              <w:t>Major works</w:t>
            </w:r>
          </w:p>
        </w:tc>
        <w:tc>
          <w:tcPr>
            <w:tcW w:w="6479" w:type="dxa"/>
            <w:shd w:val="clear" w:color="auto" w:fill="auto"/>
          </w:tcPr>
          <w:p w14:paraId="3238B775" w14:textId="43742E80" w:rsidR="006842FD" w:rsidRPr="006842FD" w:rsidRDefault="006842FD" w:rsidP="006842FD">
            <w:pPr>
              <w:spacing w:before="60" w:after="60"/>
              <w:rPr>
                <w:iCs/>
                <w:sz w:val="18"/>
                <w:szCs w:val="18"/>
              </w:rPr>
            </w:pPr>
            <w:r w:rsidRPr="003B0B2D">
              <w:rPr>
                <w:sz w:val="18"/>
                <w:szCs w:val="18"/>
              </w:rPr>
              <w:t xml:space="preserve">Refers to projects with an estimated total cost of $250,000 or above, subdivided into new projects (approved to begin in </w:t>
            </w:r>
            <w:r w:rsidR="007555C1" w:rsidRPr="003B0B2D">
              <w:rPr>
                <w:sz w:val="18"/>
                <w:szCs w:val="18"/>
              </w:rPr>
              <w:t>202</w:t>
            </w:r>
            <w:r w:rsidR="00295009" w:rsidRPr="00786EEC">
              <w:rPr>
                <w:sz w:val="18"/>
                <w:szCs w:val="18"/>
              </w:rPr>
              <w:t>2</w:t>
            </w:r>
            <w:r w:rsidR="007555C1" w:rsidRPr="00D97818">
              <w:rPr>
                <w:sz w:val="18"/>
                <w:szCs w:val="18"/>
              </w:rPr>
              <w:t>-2</w:t>
            </w:r>
            <w:r w:rsidR="00295009" w:rsidRPr="00786EEC">
              <w:rPr>
                <w:sz w:val="18"/>
                <w:szCs w:val="18"/>
              </w:rPr>
              <w:t>3</w:t>
            </w:r>
            <w:r w:rsidRPr="00D97818">
              <w:rPr>
                <w:sz w:val="18"/>
                <w:szCs w:val="18"/>
              </w:rPr>
              <w:t>) and works in progress (commenced before 20</w:t>
            </w:r>
            <w:r w:rsidR="00032E43" w:rsidRPr="00D97818">
              <w:rPr>
                <w:sz w:val="18"/>
                <w:szCs w:val="18"/>
              </w:rPr>
              <w:t>2</w:t>
            </w:r>
            <w:r w:rsidR="00295009" w:rsidRPr="00786EEC">
              <w:rPr>
                <w:sz w:val="18"/>
                <w:szCs w:val="18"/>
              </w:rPr>
              <w:t>2</w:t>
            </w:r>
            <w:r w:rsidR="00032E43" w:rsidRPr="00D97818">
              <w:rPr>
                <w:sz w:val="18"/>
                <w:szCs w:val="18"/>
              </w:rPr>
              <w:t>-2</w:t>
            </w:r>
            <w:r w:rsidR="00295009" w:rsidRPr="00786EEC">
              <w:rPr>
                <w:sz w:val="18"/>
                <w:szCs w:val="18"/>
              </w:rPr>
              <w:t>3</w:t>
            </w:r>
            <w:r w:rsidRPr="00D97818">
              <w:rPr>
                <w:sz w:val="18"/>
                <w:szCs w:val="18"/>
              </w:rPr>
              <w:t xml:space="preserve"> but not yet completed).</w:t>
            </w:r>
          </w:p>
        </w:tc>
      </w:tr>
      <w:tr w:rsidR="006842FD" w:rsidRPr="00520A5F" w14:paraId="7EDB839C" w14:textId="77777777" w:rsidTr="00207F27">
        <w:tc>
          <w:tcPr>
            <w:tcW w:w="3160" w:type="dxa"/>
            <w:shd w:val="clear" w:color="auto" w:fill="auto"/>
          </w:tcPr>
          <w:p w14:paraId="2D805192" w14:textId="71B8CC04" w:rsidR="006842FD" w:rsidRPr="006842FD" w:rsidRDefault="006842FD" w:rsidP="006842FD">
            <w:pPr>
              <w:spacing w:before="60" w:after="60"/>
              <w:rPr>
                <w:sz w:val="18"/>
                <w:szCs w:val="18"/>
              </w:rPr>
            </w:pPr>
            <w:r w:rsidRPr="002E112E">
              <w:rPr>
                <w:sz w:val="18"/>
                <w:szCs w:val="18"/>
              </w:rPr>
              <w:t>Minor works</w:t>
            </w:r>
          </w:p>
        </w:tc>
        <w:tc>
          <w:tcPr>
            <w:tcW w:w="6479" w:type="dxa"/>
            <w:shd w:val="clear" w:color="auto" w:fill="auto"/>
          </w:tcPr>
          <w:p w14:paraId="2EC60C88" w14:textId="5977A998" w:rsidR="006842FD" w:rsidRPr="006842FD" w:rsidRDefault="006842FD" w:rsidP="006842FD">
            <w:pPr>
              <w:spacing w:before="60" w:after="60"/>
              <w:rPr>
                <w:iCs/>
                <w:sz w:val="18"/>
                <w:szCs w:val="18"/>
              </w:rPr>
            </w:pPr>
            <w:r w:rsidRPr="003B0B2D">
              <w:rPr>
                <w:sz w:val="18"/>
                <w:szCs w:val="18"/>
              </w:rPr>
              <w:t>Refers to projects with an estimated total cost below $250,000, such as minor plant and equipment or annual provisions for replacements.</w:t>
            </w:r>
            <w:r w:rsidRPr="002E112E">
              <w:rPr>
                <w:sz w:val="18"/>
                <w:szCs w:val="18"/>
              </w:rPr>
              <w:t xml:space="preserve"> </w:t>
            </w:r>
          </w:p>
        </w:tc>
      </w:tr>
      <w:tr w:rsidR="006B7E18" w:rsidRPr="00520A5F" w14:paraId="0E9C92BD" w14:textId="77777777" w:rsidTr="00207F27">
        <w:tc>
          <w:tcPr>
            <w:tcW w:w="3160" w:type="dxa"/>
            <w:shd w:val="clear" w:color="auto" w:fill="auto"/>
          </w:tcPr>
          <w:p w14:paraId="5B1DDADE" w14:textId="77777777" w:rsidR="006B7E18" w:rsidRPr="00520A5F" w:rsidRDefault="006B7E18" w:rsidP="006B7E18">
            <w:pPr>
              <w:spacing w:before="60" w:after="60"/>
              <w:rPr>
                <w:sz w:val="18"/>
                <w:szCs w:val="18"/>
              </w:rPr>
            </w:pPr>
            <w:r>
              <w:rPr>
                <w:sz w:val="18"/>
                <w:szCs w:val="18"/>
              </w:rPr>
              <w:t>Measure</w:t>
            </w:r>
          </w:p>
        </w:tc>
        <w:tc>
          <w:tcPr>
            <w:tcW w:w="6479" w:type="dxa"/>
            <w:shd w:val="clear" w:color="auto" w:fill="auto"/>
          </w:tcPr>
          <w:p w14:paraId="2362567C" w14:textId="5B28C5FB" w:rsidR="006B7E18" w:rsidRPr="00520A5F" w:rsidRDefault="006B7E18" w:rsidP="006B7E18">
            <w:pPr>
              <w:spacing w:before="60" w:after="60"/>
              <w:rPr>
                <w:iCs/>
                <w:sz w:val="18"/>
                <w:szCs w:val="18"/>
              </w:rPr>
            </w:pPr>
            <w:r>
              <w:rPr>
                <w:iCs/>
                <w:sz w:val="18"/>
                <w:szCs w:val="18"/>
              </w:rPr>
              <w:t xml:space="preserve">Refers to </w:t>
            </w:r>
            <w:r w:rsidR="0021239B">
              <w:rPr>
                <w:iCs/>
                <w:sz w:val="18"/>
                <w:szCs w:val="18"/>
              </w:rPr>
              <w:t>g</w:t>
            </w:r>
            <w:r>
              <w:rPr>
                <w:iCs/>
                <w:sz w:val="18"/>
                <w:szCs w:val="18"/>
              </w:rPr>
              <w:t>overnment decisions, either as recurrent or capital expenditure, revenue or savings decisions.</w:t>
            </w:r>
          </w:p>
        </w:tc>
      </w:tr>
      <w:tr w:rsidR="006B7E18" w:rsidRPr="00520A5F" w14:paraId="2A5D9D45" w14:textId="77777777" w:rsidTr="00207F27">
        <w:tc>
          <w:tcPr>
            <w:tcW w:w="3160" w:type="dxa"/>
            <w:shd w:val="clear" w:color="auto" w:fill="auto"/>
          </w:tcPr>
          <w:p w14:paraId="27B61F46" w14:textId="77777777" w:rsidR="006B7E18" w:rsidRPr="00520A5F" w:rsidRDefault="006B7E18" w:rsidP="006B7E18">
            <w:pPr>
              <w:spacing w:before="60" w:after="60"/>
              <w:rPr>
                <w:sz w:val="18"/>
                <w:szCs w:val="18"/>
              </w:rPr>
            </w:pPr>
            <w:r w:rsidRPr="00520A5F">
              <w:rPr>
                <w:sz w:val="18"/>
                <w:szCs w:val="18"/>
              </w:rPr>
              <w:t>National Agreement (please also see National Specific Purpose Payments)</w:t>
            </w:r>
          </w:p>
        </w:tc>
        <w:tc>
          <w:tcPr>
            <w:tcW w:w="6479" w:type="dxa"/>
            <w:shd w:val="clear" w:color="auto" w:fill="auto"/>
          </w:tcPr>
          <w:p w14:paraId="10DA8644" w14:textId="46401416" w:rsidR="006B7E18" w:rsidRPr="00520A5F" w:rsidRDefault="006B7E18" w:rsidP="006B7E18">
            <w:pPr>
              <w:spacing w:before="60" w:after="60"/>
              <w:rPr>
                <w:iCs/>
                <w:sz w:val="18"/>
                <w:szCs w:val="18"/>
              </w:rPr>
            </w:pPr>
            <w:r w:rsidRPr="00520A5F">
              <w:rPr>
                <w:iCs/>
                <w:sz w:val="18"/>
                <w:szCs w:val="18"/>
              </w:rPr>
              <w:t>National Agreements define the objectives, outcomes, outputs and performance indicators and clarify the roles and responsibilities that guide the Commonwealth and the States in the delivery of services across a particular sector. The sectors include Health, Education, Skills and Workforce, Disability and Indigenous.</w:t>
            </w:r>
          </w:p>
        </w:tc>
      </w:tr>
      <w:tr w:rsidR="006B7E18" w:rsidRPr="00520A5F" w14:paraId="503D6482" w14:textId="77777777" w:rsidTr="00207F27">
        <w:tc>
          <w:tcPr>
            <w:tcW w:w="3160" w:type="dxa"/>
            <w:shd w:val="clear" w:color="auto" w:fill="auto"/>
          </w:tcPr>
          <w:p w14:paraId="64672D3E" w14:textId="77777777" w:rsidR="006B7E18" w:rsidRPr="00520A5F" w:rsidRDefault="006B7E18" w:rsidP="006B7E18">
            <w:pPr>
              <w:spacing w:before="60" w:after="60"/>
              <w:rPr>
                <w:sz w:val="18"/>
                <w:szCs w:val="18"/>
              </w:rPr>
            </w:pPr>
            <w:r w:rsidRPr="00520A5F">
              <w:rPr>
                <w:sz w:val="18"/>
                <w:szCs w:val="18"/>
              </w:rPr>
              <w:t>National Partnership Payment (NPP)</w:t>
            </w:r>
          </w:p>
        </w:tc>
        <w:tc>
          <w:tcPr>
            <w:tcW w:w="6479" w:type="dxa"/>
            <w:shd w:val="clear" w:color="auto" w:fill="auto"/>
          </w:tcPr>
          <w:p w14:paraId="653F80CF" w14:textId="77777777" w:rsidR="006B7E18" w:rsidRPr="00520A5F" w:rsidRDefault="006B7E18" w:rsidP="006B7E18">
            <w:pPr>
              <w:spacing w:before="60" w:after="60"/>
              <w:rPr>
                <w:iCs/>
                <w:sz w:val="18"/>
                <w:szCs w:val="18"/>
              </w:rPr>
            </w:pPr>
            <w:r w:rsidRPr="00520A5F">
              <w:rPr>
                <w:iCs/>
                <w:sz w:val="18"/>
                <w:szCs w:val="18"/>
              </w:rPr>
              <w:t>A Commonwealth Government grant to States and Territories to support the delivery of specified outputs or projects, to facilitate reforms or to reward the delivery of nationally significant reforms. Each NPP is supported by a National Partnership Agreement which defines mutually agreed objectives, outputs and performance benchmarks.</w:t>
            </w:r>
          </w:p>
        </w:tc>
      </w:tr>
      <w:tr w:rsidR="006B7E18" w:rsidRPr="00520A5F" w14:paraId="17A0C59A" w14:textId="77777777" w:rsidTr="00207F27">
        <w:tc>
          <w:tcPr>
            <w:tcW w:w="3160" w:type="dxa"/>
            <w:shd w:val="clear" w:color="auto" w:fill="auto"/>
          </w:tcPr>
          <w:p w14:paraId="5E45AADD" w14:textId="77777777" w:rsidR="006B7E18" w:rsidRPr="00520A5F" w:rsidRDefault="006B7E18" w:rsidP="00482BFD">
            <w:pPr>
              <w:keepNext/>
              <w:keepLines/>
              <w:widowControl/>
              <w:spacing w:before="60" w:after="60"/>
              <w:rPr>
                <w:sz w:val="18"/>
                <w:szCs w:val="18"/>
              </w:rPr>
            </w:pPr>
            <w:r w:rsidRPr="00520A5F">
              <w:rPr>
                <w:sz w:val="18"/>
                <w:szCs w:val="18"/>
              </w:rPr>
              <w:lastRenderedPageBreak/>
              <w:t>National Specific Purpose Payments (SPP)</w:t>
            </w:r>
          </w:p>
        </w:tc>
        <w:tc>
          <w:tcPr>
            <w:tcW w:w="6479" w:type="dxa"/>
            <w:shd w:val="clear" w:color="auto" w:fill="auto"/>
          </w:tcPr>
          <w:p w14:paraId="31B8BFBF" w14:textId="77777777" w:rsidR="006B7E18" w:rsidRPr="00520A5F" w:rsidRDefault="006B7E18" w:rsidP="006B7E18">
            <w:pPr>
              <w:spacing w:before="60" w:after="60"/>
              <w:rPr>
                <w:iCs/>
                <w:sz w:val="18"/>
                <w:szCs w:val="18"/>
              </w:rPr>
            </w:pPr>
            <w:r w:rsidRPr="00520A5F">
              <w:rPr>
                <w:iCs/>
                <w:sz w:val="18"/>
                <w:szCs w:val="18"/>
              </w:rPr>
              <w:t>A Commonwealth Government grant made to the States and Territories under the associated National Agreement. These grants must be spent in the key service delivery sector (Health, Education, Skills and Workforce, Disability and Indigenous) for which it is provided. States are free to allocate the funds within that sector to achieve the mutually agreed objectives specified in the associated National Agreement.</w:t>
            </w:r>
          </w:p>
        </w:tc>
      </w:tr>
      <w:tr w:rsidR="006B7E18" w:rsidRPr="00520A5F" w14:paraId="50263B7F" w14:textId="77777777" w:rsidTr="00207F27">
        <w:tc>
          <w:tcPr>
            <w:tcW w:w="3160" w:type="dxa"/>
            <w:shd w:val="clear" w:color="auto" w:fill="auto"/>
          </w:tcPr>
          <w:p w14:paraId="0DC955CD" w14:textId="77777777" w:rsidR="006B7E18" w:rsidRPr="00520A5F" w:rsidRDefault="006B7E18" w:rsidP="006B7E18">
            <w:pPr>
              <w:spacing w:before="60" w:after="60"/>
              <w:rPr>
                <w:sz w:val="18"/>
                <w:szCs w:val="18"/>
              </w:rPr>
            </w:pPr>
            <w:r w:rsidRPr="00724AA2">
              <w:rPr>
                <w:sz w:val="18"/>
                <w:szCs w:val="18"/>
              </w:rPr>
              <w:t xml:space="preserve">Net acquisition of </w:t>
            </w:r>
            <w:r w:rsidRPr="00724AA2">
              <w:rPr>
                <w:sz w:val="18"/>
                <w:szCs w:val="18"/>
              </w:rPr>
              <w:br/>
              <w:t>non-financial assets</w:t>
            </w:r>
            <w:r w:rsidRPr="00520A5F">
              <w:rPr>
                <w:sz w:val="18"/>
                <w:szCs w:val="18"/>
              </w:rPr>
              <w:t xml:space="preserve"> </w:t>
            </w:r>
          </w:p>
        </w:tc>
        <w:tc>
          <w:tcPr>
            <w:tcW w:w="6479" w:type="dxa"/>
            <w:shd w:val="clear" w:color="auto" w:fill="auto"/>
          </w:tcPr>
          <w:p w14:paraId="7FED5D6E" w14:textId="17B03232" w:rsidR="006B7E18" w:rsidRPr="00520A5F" w:rsidRDefault="006B7E18" w:rsidP="00AA7503">
            <w:pPr>
              <w:keepLines/>
              <w:spacing w:before="60" w:after="60"/>
              <w:rPr>
                <w:iCs/>
                <w:sz w:val="18"/>
                <w:szCs w:val="18"/>
              </w:rPr>
            </w:pPr>
            <w:r w:rsidRPr="00520A5F">
              <w:rPr>
                <w:iCs/>
                <w:sz w:val="18"/>
                <w:szCs w:val="18"/>
              </w:rPr>
              <w:t>This is purchases (or acquisitions) of non-financial assets less sales (or disposals) of non</w:t>
            </w:r>
            <w:r w:rsidRPr="00520A5F">
              <w:rPr>
                <w:iCs/>
                <w:sz w:val="18"/>
                <w:szCs w:val="18"/>
              </w:rPr>
              <w:noBreakHyphen/>
              <w:t>financial assets less depreciation plus changes in inventories and other movements in non</w:t>
            </w:r>
            <w:r w:rsidRPr="00520A5F">
              <w:rPr>
                <w:iCs/>
                <w:sz w:val="18"/>
                <w:szCs w:val="18"/>
              </w:rPr>
              <w:noBreakHyphen/>
              <w:t>financial assets. Purchases and sales (or net acquisitions) of non-financial assets generally include accrued expenses and payables for capital items. Other movement</w:t>
            </w:r>
            <w:r w:rsidR="00E167EC">
              <w:rPr>
                <w:iCs/>
                <w:sz w:val="18"/>
                <w:szCs w:val="18"/>
              </w:rPr>
              <w:t>s</w:t>
            </w:r>
            <w:r w:rsidRPr="00520A5F">
              <w:rPr>
                <w:iCs/>
                <w:sz w:val="18"/>
                <w:szCs w:val="18"/>
              </w:rPr>
              <w:t xml:space="preserve"> in non-financial assets include non-cash capital grant revenue/expenses such as developer contribution assets.</w:t>
            </w:r>
          </w:p>
        </w:tc>
      </w:tr>
      <w:tr w:rsidR="006B7E18" w:rsidRPr="00520A5F" w14:paraId="79ABCF0B" w14:textId="77777777" w:rsidTr="00207F27">
        <w:tc>
          <w:tcPr>
            <w:tcW w:w="3160" w:type="dxa"/>
            <w:shd w:val="clear" w:color="auto" w:fill="auto"/>
          </w:tcPr>
          <w:p w14:paraId="65C55EC3" w14:textId="77777777" w:rsidR="006B7E18" w:rsidRPr="00520A5F" w:rsidRDefault="006B7E18" w:rsidP="006B7E18">
            <w:pPr>
              <w:spacing w:before="60" w:after="60"/>
              <w:rPr>
                <w:sz w:val="18"/>
                <w:szCs w:val="18"/>
              </w:rPr>
            </w:pPr>
            <w:r w:rsidRPr="00520A5F">
              <w:rPr>
                <w:sz w:val="18"/>
                <w:szCs w:val="18"/>
              </w:rPr>
              <w:t>Net financial assets</w:t>
            </w:r>
          </w:p>
        </w:tc>
        <w:tc>
          <w:tcPr>
            <w:tcW w:w="6479" w:type="dxa"/>
            <w:shd w:val="clear" w:color="auto" w:fill="auto"/>
          </w:tcPr>
          <w:p w14:paraId="5FD140B2" w14:textId="77777777" w:rsidR="006B7E18" w:rsidRPr="00520A5F" w:rsidRDefault="006B7E18" w:rsidP="006B7E18">
            <w:pPr>
              <w:spacing w:before="60" w:after="60"/>
              <w:rPr>
                <w:iCs/>
                <w:sz w:val="18"/>
                <w:szCs w:val="18"/>
              </w:rPr>
            </w:pPr>
            <w:r w:rsidRPr="00520A5F">
              <w:rPr>
                <w:iCs/>
                <w:sz w:val="18"/>
                <w:szCs w:val="18"/>
              </w:rPr>
              <w:t>See net financial worth.</w:t>
            </w:r>
          </w:p>
        </w:tc>
      </w:tr>
      <w:tr w:rsidR="006B7E18" w:rsidRPr="00520A5F" w14:paraId="09EB9B3D" w14:textId="77777777" w:rsidTr="00207F27">
        <w:tc>
          <w:tcPr>
            <w:tcW w:w="3160" w:type="dxa"/>
            <w:shd w:val="clear" w:color="auto" w:fill="auto"/>
          </w:tcPr>
          <w:p w14:paraId="4F32C5CB" w14:textId="77777777" w:rsidR="006B7E18" w:rsidRPr="00520A5F" w:rsidRDefault="006B7E18" w:rsidP="006B7E18">
            <w:pPr>
              <w:spacing w:before="60" w:after="60"/>
              <w:rPr>
                <w:sz w:val="18"/>
                <w:szCs w:val="18"/>
              </w:rPr>
            </w:pPr>
            <w:r w:rsidRPr="00724AA2">
              <w:rPr>
                <w:sz w:val="18"/>
                <w:szCs w:val="18"/>
              </w:rPr>
              <w:t>Net debt</w:t>
            </w:r>
          </w:p>
        </w:tc>
        <w:tc>
          <w:tcPr>
            <w:tcW w:w="6479" w:type="dxa"/>
            <w:shd w:val="clear" w:color="auto" w:fill="auto"/>
          </w:tcPr>
          <w:p w14:paraId="69DACCB1" w14:textId="1D07EB05" w:rsidR="006B7E18" w:rsidRPr="00520A5F" w:rsidRDefault="006B7E18" w:rsidP="006B7E18">
            <w:pPr>
              <w:spacing w:before="60" w:after="60"/>
              <w:rPr>
                <w:iCs/>
                <w:sz w:val="18"/>
                <w:szCs w:val="18"/>
              </w:rPr>
            </w:pPr>
            <w:r w:rsidRPr="00520A5F">
              <w:rPr>
                <w:iCs/>
                <w:sz w:val="18"/>
                <w:szCs w:val="18"/>
              </w:rPr>
              <w:t>Net debt equals the sum of financial liabilities (deposits held, advances received, borrowings</w:t>
            </w:r>
            <w:r w:rsidR="006D7357">
              <w:rPr>
                <w:iCs/>
                <w:sz w:val="18"/>
                <w:szCs w:val="18"/>
              </w:rPr>
              <w:t xml:space="preserve"> and derivatives</w:t>
            </w:r>
            <w:r w:rsidRPr="00520A5F">
              <w:rPr>
                <w:iCs/>
                <w:sz w:val="18"/>
                <w:szCs w:val="18"/>
              </w:rPr>
              <w:t>) less the sum of financial assets (cash and deposits, advances paid and investments, loans and placements).</w:t>
            </w:r>
          </w:p>
        </w:tc>
      </w:tr>
      <w:tr w:rsidR="006B7E18" w:rsidRPr="00520A5F" w14:paraId="5B24CC73" w14:textId="77777777" w:rsidTr="00207F27">
        <w:tc>
          <w:tcPr>
            <w:tcW w:w="3160" w:type="dxa"/>
            <w:shd w:val="clear" w:color="auto" w:fill="auto"/>
          </w:tcPr>
          <w:p w14:paraId="2EAF2D15" w14:textId="77777777" w:rsidR="006B7E18" w:rsidRPr="00520A5F" w:rsidRDefault="006B7E18" w:rsidP="006B7E18">
            <w:pPr>
              <w:spacing w:before="60" w:after="60"/>
              <w:rPr>
                <w:sz w:val="18"/>
                <w:szCs w:val="18"/>
              </w:rPr>
            </w:pPr>
            <w:r w:rsidRPr="00520A5F">
              <w:rPr>
                <w:sz w:val="18"/>
                <w:szCs w:val="18"/>
              </w:rPr>
              <w:t>Net financial liabilities (NFL)</w:t>
            </w:r>
          </w:p>
        </w:tc>
        <w:tc>
          <w:tcPr>
            <w:tcW w:w="6479" w:type="dxa"/>
            <w:shd w:val="clear" w:color="auto" w:fill="auto"/>
          </w:tcPr>
          <w:p w14:paraId="116141C5" w14:textId="77777777" w:rsidR="006B7E18" w:rsidRPr="00520A5F" w:rsidRDefault="006B7E18" w:rsidP="006B7E18">
            <w:pPr>
              <w:spacing w:before="60" w:after="60"/>
              <w:rPr>
                <w:iCs/>
                <w:sz w:val="18"/>
                <w:szCs w:val="18"/>
              </w:rPr>
            </w:pPr>
            <w:r w:rsidRPr="00520A5F">
              <w:rPr>
                <w:iCs/>
                <w:sz w:val="18"/>
                <w:szCs w:val="18"/>
              </w:rPr>
              <w:t>This is the total liabilities less financial assets, other than equity in PNFCs and PFCs. It is a more accurate indicator than net debt of a jurisdiction’s fiscal position. This is because it is a broader measure than net debt in that it includes significant liabilities other than borrowings (for example, accrued employee liabilities such as superannuation and long service leave entitlements). For the PNFC and PFC sectors, it is equal to negative net financial worth. For the general government sector NFL, excluding the net worth of other sectors results in a purer measure than net financial worth as, in general, the net worth of other sectors of government is backed up by physical assets.</w:t>
            </w:r>
          </w:p>
        </w:tc>
      </w:tr>
      <w:tr w:rsidR="006B7E18" w:rsidRPr="00520A5F" w14:paraId="2E06E7DD" w14:textId="77777777" w:rsidTr="00207F27">
        <w:tc>
          <w:tcPr>
            <w:tcW w:w="3160" w:type="dxa"/>
            <w:shd w:val="clear" w:color="auto" w:fill="auto"/>
          </w:tcPr>
          <w:p w14:paraId="2DC44639" w14:textId="77777777" w:rsidR="006B7E18" w:rsidRPr="00520A5F" w:rsidRDefault="006B7E18" w:rsidP="006B7E18">
            <w:pPr>
              <w:spacing w:before="60" w:after="60"/>
              <w:rPr>
                <w:sz w:val="18"/>
                <w:szCs w:val="18"/>
              </w:rPr>
            </w:pPr>
            <w:r w:rsidRPr="00520A5F">
              <w:rPr>
                <w:sz w:val="18"/>
                <w:szCs w:val="18"/>
              </w:rPr>
              <w:t>Net financial worth</w:t>
            </w:r>
          </w:p>
        </w:tc>
        <w:tc>
          <w:tcPr>
            <w:tcW w:w="6479" w:type="dxa"/>
            <w:shd w:val="clear" w:color="auto" w:fill="auto"/>
          </w:tcPr>
          <w:p w14:paraId="5DC6C881" w14:textId="77777777" w:rsidR="006B7E18" w:rsidRPr="00520A5F" w:rsidRDefault="006B7E18" w:rsidP="006B7E18">
            <w:pPr>
              <w:spacing w:before="60" w:after="60"/>
              <w:rPr>
                <w:iCs/>
                <w:sz w:val="18"/>
                <w:szCs w:val="18"/>
              </w:rPr>
            </w:pPr>
            <w:r w:rsidRPr="00520A5F">
              <w:rPr>
                <w:iCs/>
                <w:sz w:val="18"/>
                <w:szCs w:val="18"/>
              </w:rPr>
              <w:t xml:space="preserve">Net financial worth measures a government’s net holdings of financial assets. </w:t>
            </w:r>
            <w:r w:rsidRPr="00520A5F">
              <w:rPr>
                <w:iCs/>
                <w:sz w:val="18"/>
                <w:szCs w:val="18"/>
              </w:rPr>
              <w:br/>
              <w:t>It is calculated from the balance sheet as financial assets less liabilities. It is a broader measure than net debt, in that it incorporates provisions made (such as superannuation) as well as holdings of equity. It includes all classes of financial assets and liabilities, only some of which are included in net debt.</w:t>
            </w:r>
          </w:p>
        </w:tc>
      </w:tr>
      <w:tr w:rsidR="006B7E18" w:rsidRPr="00520A5F" w14:paraId="6DABCB8C" w14:textId="77777777" w:rsidTr="00207F27">
        <w:tc>
          <w:tcPr>
            <w:tcW w:w="3160" w:type="dxa"/>
            <w:shd w:val="clear" w:color="auto" w:fill="auto"/>
          </w:tcPr>
          <w:p w14:paraId="59F9CB72" w14:textId="77777777" w:rsidR="006B7E18" w:rsidRPr="00520A5F" w:rsidRDefault="006B7E18" w:rsidP="006B7E18">
            <w:pPr>
              <w:spacing w:before="60" w:after="60"/>
              <w:rPr>
                <w:sz w:val="18"/>
                <w:szCs w:val="18"/>
              </w:rPr>
            </w:pPr>
            <w:r w:rsidRPr="00724AA2">
              <w:rPr>
                <w:sz w:val="18"/>
                <w:szCs w:val="18"/>
              </w:rPr>
              <w:t xml:space="preserve">Net interest on the </w:t>
            </w:r>
            <w:r w:rsidRPr="00724AA2">
              <w:rPr>
                <w:sz w:val="18"/>
                <w:szCs w:val="18"/>
              </w:rPr>
              <w:br/>
              <w:t>net defined benefit liability/asset</w:t>
            </w:r>
          </w:p>
        </w:tc>
        <w:tc>
          <w:tcPr>
            <w:tcW w:w="6479" w:type="dxa"/>
            <w:shd w:val="clear" w:color="auto" w:fill="auto"/>
          </w:tcPr>
          <w:p w14:paraId="5EFEBD2A" w14:textId="5F0CC347" w:rsidR="006B7E18" w:rsidRPr="00520A5F" w:rsidRDefault="006B7E18" w:rsidP="006B7E18">
            <w:pPr>
              <w:spacing w:before="60" w:after="60"/>
              <w:rPr>
                <w:iCs/>
                <w:sz w:val="18"/>
                <w:szCs w:val="18"/>
              </w:rPr>
            </w:pPr>
            <w:r w:rsidRPr="00520A5F">
              <w:rPr>
                <w:iCs/>
                <w:sz w:val="18"/>
                <w:szCs w:val="18"/>
              </w:rPr>
              <w:t>This is the change during the period to the net defined benefit liability/asset that arises from the passage of time.</w:t>
            </w:r>
          </w:p>
        </w:tc>
      </w:tr>
      <w:tr w:rsidR="006B7E18" w:rsidRPr="00520A5F" w14:paraId="4E042345" w14:textId="77777777" w:rsidTr="00207F27">
        <w:tc>
          <w:tcPr>
            <w:tcW w:w="3160" w:type="dxa"/>
            <w:shd w:val="clear" w:color="auto" w:fill="auto"/>
          </w:tcPr>
          <w:p w14:paraId="72ACAB26" w14:textId="77777777" w:rsidR="006B7E18" w:rsidRPr="00520A5F" w:rsidRDefault="006B7E18" w:rsidP="006B7E18">
            <w:pPr>
              <w:spacing w:before="60" w:after="60"/>
              <w:rPr>
                <w:sz w:val="18"/>
                <w:szCs w:val="18"/>
              </w:rPr>
            </w:pPr>
            <w:r w:rsidRPr="00724AA2">
              <w:rPr>
                <w:sz w:val="18"/>
                <w:szCs w:val="18"/>
              </w:rPr>
              <w:t>Net lending/(borrowing)</w:t>
            </w:r>
          </w:p>
        </w:tc>
        <w:tc>
          <w:tcPr>
            <w:tcW w:w="6479" w:type="dxa"/>
            <w:shd w:val="clear" w:color="auto" w:fill="auto"/>
          </w:tcPr>
          <w:p w14:paraId="652EC338" w14:textId="77777777" w:rsidR="006B7E18" w:rsidRPr="00520A5F" w:rsidRDefault="006B7E18" w:rsidP="006B7E18">
            <w:pPr>
              <w:spacing w:before="60" w:after="60"/>
              <w:rPr>
                <w:iCs/>
                <w:sz w:val="18"/>
                <w:szCs w:val="18"/>
              </w:rPr>
            </w:pPr>
            <w:r w:rsidRPr="00520A5F">
              <w:rPr>
                <w:iCs/>
                <w:sz w:val="18"/>
                <w:szCs w:val="18"/>
              </w:rPr>
              <w:t>This is the financing requirement of government, calculated as the net operating balance less the net acquisition of non-financial assets. It also equals transactions in financial assets less transactions in liabilities. A positive result reflects a net lending position and a negative result reflects a net borrowing position.</w:t>
            </w:r>
          </w:p>
        </w:tc>
      </w:tr>
      <w:tr w:rsidR="006B7E18" w:rsidRPr="00520A5F" w14:paraId="229643A4" w14:textId="77777777" w:rsidTr="00207F27">
        <w:tc>
          <w:tcPr>
            <w:tcW w:w="3160" w:type="dxa"/>
            <w:shd w:val="clear" w:color="auto" w:fill="auto"/>
          </w:tcPr>
          <w:p w14:paraId="0FC9E570" w14:textId="77777777" w:rsidR="006B7E18" w:rsidRPr="00520A5F" w:rsidRDefault="006B7E18" w:rsidP="006B7E18">
            <w:pPr>
              <w:spacing w:before="60" w:after="60"/>
              <w:rPr>
                <w:sz w:val="18"/>
                <w:szCs w:val="18"/>
              </w:rPr>
            </w:pPr>
            <w:r w:rsidRPr="00724AA2">
              <w:rPr>
                <w:sz w:val="18"/>
                <w:szCs w:val="18"/>
              </w:rPr>
              <w:t>Net operating balance (budget result)</w:t>
            </w:r>
          </w:p>
        </w:tc>
        <w:tc>
          <w:tcPr>
            <w:tcW w:w="6479" w:type="dxa"/>
            <w:shd w:val="clear" w:color="auto" w:fill="auto"/>
          </w:tcPr>
          <w:p w14:paraId="4F73A538" w14:textId="77777777" w:rsidR="006B7E18" w:rsidRPr="00520A5F" w:rsidRDefault="006B7E18" w:rsidP="006B7E18">
            <w:pPr>
              <w:spacing w:before="60" w:after="60"/>
              <w:rPr>
                <w:iCs/>
                <w:sz w:val="18"/>
                <w:szCs w:val="18"/>
              </w:rPr>
            </w:pPr>
            <w:r w:rsidRPr="00520A5F">
              <w:rPr>
                <w:iCs/>
                <w:sz w:val="18"/>
                <w:szCs w:val="18"/>
              </w:rPr>
              <w:t>This is calculated as revenue from transactions less expenses from transactions.</w:t>
            </w:r>
          </w:p>
        </w:tc>
      </w:tr>
      <w:tr w:rsidR="006B7E18" w:rsidRPr="00520A5F" w14:paraId="74176705" w14:textId="77777777" w:rsidTr="00207F27">
        <w:tc>
          <w:tcPr>
            <w:tcW w:w="3160" w:type="dxa"/>
            <w:shd w:val="clear" w:color="auto" w:fill="auto"/>
          </w:tcPr>
          <w:p w14:paraId="79ADAC70" w14:textId="77777777" w:rsidR="006B7E18" w:rsidRPr="00520A5F" w:rsidRDefault="006B7E18" w:rsidP="006B7E18">
            <w:pPr>
              <w:spacing w:before="60" w:after="60"/>
              <w:rPr>
                <w:sz w:val="18"/>
                <w:szCs w:val="18"/>
              </w:rPr>
            </w:pPr>
            <w:r w:rsidRPr="00724AA2">
              <w:rPr>
                <w:sz w:val="18"/>
                <w:szCs w:val="18"/>
              </w:rPr>
              <w:t>Net worth</w:t>
            </w:r>
          </w:p>
        </w:tc>
        <w:tc>
          <w:tcPr>
            <w:tcW w:w="6479" w:type="dxa"/>
            <w:shd w:val="clear" w:color="auto" w:fill="auto"/>
          </w:tcPr>
          <w:p w14:paraId="16BD37EE" w14:textId="77777777" w:rsidR="006B7E18" w:rsidRPr="00520A5F" w:rsidRDefault="006B7E18" w:rsidP="006B7E18">
            <w:pPr>
              <w:spacing w:before="60" w:after="60"/>
              <w:rPr>
                <w:iCs/>
                <w:sz w:val="18"/>
                <w:szCs w:val="18"/>
              </w:rPr>
            </w:pPr>
            <w:r w:rsidRPr="00520A5F">
              <w:rPr>
                <w:iCs/>
                <w:sz w:val="18"/>
                <w:szCs w:val="18"/>
              </w:rPr>
              <w:t>This is an economic measure of wealth and is equal to total assets less liabilities.</w:t>
            </w:r>
          </w:p>
        </w:tc>
      </w:tr>
      <w:tr w:rsidR="006B7E18" w:rsidRPr="00520A5F" w14:paraId="51FE1E26" w14:textId="77777777" w:rsidTr="00207F27">
        <w:tc>
          <w:tcPr>
            <w:tcW w:w="3160" w:type="dxa"/>
            <w:shd w:val="clear" w:color="auto" w:fill="auto"/>
          </w:tcPr>
          <w:p w14:paraId="40D8288C" w14:textId="77777777" w:rsidR="006B7E18" w:rsidRPr="00520A5F" w:rsidRDefault="006B7E18" w:rsidP="006B7E18">
            <w:pPr>
              <w:spacing w:before="60" w:after="60"/>
              <w:rPr>
                <w:sz w:val="18"/>
                <w:szCs w:val="18"/>
              </w:rPr>
            </w:pPr>
            <w:r w:rsidRPr="00520A5F">
              <w:rPr>
                <w:sz w:val="18"/>
                <w:szCs w:val="18"/>
              </w:rPr>
              <w:t>Nominal dollars/prices</w:t>
            </w:r>
          </w:p>
        </w:tc>
        <w:tc>
          <w:tcPr>
            <w:tcW w:w="6479" w:type="dxa"/>
            <w:shd w:val="clear" w:color="auto" w:fill="auto"/>
          </w:tcPr>
          <w:p w14:paraId="3F9854E8" w14:textId="77777777" w:rsidR="006B7E18" w:rsidRPr="00520A5F" w:rsidRDefault="006B7E18" w:rsidP="006B7E18">
            <w:pPr>
              <w:spacing w:before="60" w:after="60"/>
              <w:rPr>
                <w:iCs/>
                <w:sz w:val="18"/>
                <w:szCs w:val="18"/>
              </w:rPr>
            </w:pPr>
            <w:r w:rsidRPr="00520A5F">
              <w:rPr>
                <w:iCs/>
                <w:sz w:val="18"/>
                <w:szCs w:val="18"/>
              </w:rPr>
              <w:t>This shows the dollars of the relevant period. No adjustment is made each time period for inflation.</w:t>
            </w:r>
          </w:p>
        </w:tc>
      </w:tr>
      <w:tr w:rsidR="006B7E18" w:rsidRPr="00520A5F" w14:paraId="5F8C8375" w14:textId="77777777" w:rsidTr="00207F27">
        <w:tc>
          <w:tcPr>
            <w:tcW w:w="3160" w:type="dxa"/>
            <w:shd w:val="clear" w:color="auto" w:fill="auto"/>
          </w:tcPr>
          <w:p w14:paraId="1CD777CA" w14:textId="77777777" w:rsidR="006B7E18" w:rsidRPr="00520A5F" w:rsidRDefault="006B7E18" w:rsidP="006B7E18">
            <w:pPr>
              <w:spacing w:before="60" w:after="60"/>
              <w:rPr>
                <w:sz w:val="18"/>
                <w:szCs w:val="18"/>
              </w:rPr>
            </w:pPr>
            <w:r w:rsidRPr="00520A5F">
              <w:rPr>
                <w:sz w:val="18"/>
                <w:szCs w:val="18"/>
              </w:rPr>
              <w:t>Non-financial public sector (NFPS)</w:t>
            </w:r>
          </w:p>
        </w:tc>
        <w:tc>
          <w:tcPr>
            <w:tcW w:w="6479" w:type="dxa"/>
            <w:shd w:val="clear" w:color="auto" w:fill="auto"/>
          </w:tcPr>
          <w:p w14:paraId="111B4E03" w14:textId="7CBCB800" w:rsidR="006B7E18" w:rsidRPr="00520A5F" w:rsidRDefault="006B7E18" w:rsidP="006B7E18">
            <w:pPr>
              <w:spacing w:before="60" w:after="60"/>
              <w:rPr>
                <w:iCs/>
                <w:sz w:val="18"/>
                <w:szCs w:val="18"/>
              </w:rPr>
            </w:pPr>
            <w:r w:rsidRPr="00520A5F">
              <w:rPr>
                <w:iCs/>
                <w:sz w:val="18"/>
                <w:szCs w:val="18"/>
              </w:rPr>
              <w:t>This is a sub-sector formed by the consolidation of the general government sector and PNFC sector.</w:t>
            </w:r>
          </w:p>
        </w:tc>
      </w:tr>
      <w:tr w:rsidR="006B7E18" w:rsidRPr="00520A5F" w14:paraId="66A2F993" w14:textId="77777777" w:rsidTr="00207F27">
        <w:tc>
          <w:tcPr>
            <w:tcW w:w="3160" w:type="dxa"/>
            <w:shd w:val="clear" w:color="auto" w:fill="auto"/>
          </w:tcPr>
          <w:p w14:paraId="7C90CEFB" w14:textId="6AF3CEEB" w:rsidR="006B7E18" w:rsidRPr="00520A5F" w:rsidRDefault="006B7E18" w:rsidP="006B7E18">
            <w:pPr>
              <w:keepNext/>
              <w:spacing w:before="60" w:after="60"/>
              <w:rPr>
                <w:sz w:val="18"/>
                <w:szCs w:val="18"/>
              </w:rPr>
            </w:pPr>
            <w:r>
              <w:rPr>
                <w:sz w:val="18"/>
                <w:szCs w:val="18"/>
              </w:rPr>
              <w:t>NSW Generations Fund (NGF)</w:t>
            </w:r>
          </w:p>
        </w:tc>
        <w:tc>
          <w:tcPr>
            <w:tcW w:w="6479" w:type="dxa"/>
            <w:shd w:val="clear" w:color="auto" w:fill="auto"/>
          </w:tcPr>
          <w:p w14:paraId="5A616D17" w14:textId="0D0B42C5" w:rsidR="006B7E18" w:rsidRPr="00520A5F" w:rsidRDefault="006B7E18" w:rsidP="006B7E18">
            <w:pPr>
              <w:spacing w:before="60" w:after="60"/>
              <w:rPr>
                <w:iCs/>
                <w:sz w:val="18"/>
                <w:szCs w:val="18"/>
              </w:rPr>
            </w:pPr>
            <w:r>
              <w:rPr>
                <w:iCs/>
                <w:sz w:val="18"/>
                <w:szCs w:val="18"/>
              </w:rPr>
              <w:t>Is a world-first sovereign fund that combines the dual-purpose of debt retirement with citizen-led community investment. The NGF’s assets are dedicated to debt retirement.</w:t>
            </w:r>
          </w:p>
        </w:tc>
      </w:tr>
      <w:tr w:rsidR="006B7E18" w:rsidRPr="00520A5F" w14:paraId="1C2CC517" w14:textId="77777777" w:rsidTr="00207F27">
        <w:tc>
          <w:tcPr>
            <w:tcW w:w="3160" w:type="dxa"/>
            <w:shd w:val="clear" w:color="auto" w:fill="auto"/>
          </w:tcPr>
          <w:p w14:paraId="2C9C0C73" w14:textId="77777777" w:rsidR="006B7E18" w:rsidRPr="00520A5F" w:rsidRDefault="006B7E18" w:rsidP="006B7E18">
            <w:pPr>
              <w:keepNext/>
              <w:spacing w:before="60" w:after="60"/>
              <w:rPr>
                <w:sz w:val="18"/>
                <w:szCs w:val="18"/>
              </w:rPr>
            </w:pPr>
            <w:r w:rsidRPr="00724AA2">
              <w:rPr>
                <w:sz w:val="18"/>
                <w:szCs w:val="18"/>
              </w:rPr>
              <w:t>Operating Result</w:t>
            </w:r>
          </w:p>
        </w:tc>
        <w:tc>
          <w:tcPr>
            <w:tcW w:w="6479" w:type="dxa"/>
            <w:shd w:val="clear" w:color="auto" w:fill="auto"/>
          </w:tcPr>
          <w:p w14:paraId="799675A9" w14:textId="731A4125" w:rsidR="006B7E18" w:rsidRPr="00520A5F" w:rsidRDefault="006B7E18" w:rsidP="006B7E18">
            <w:pPr>
              <w:spacing w:before="60" w:after="60"/>
              <w:rPr>
                <w:iCs/>
                <w:sz w:val="18"/>
                <w:szCs w:val="18"/>
              </w:rPr>
            </w:pPr>
            <w:r w:rsidRPr="00520A5F">
              <w:rPr>
                <w:iCs/>
                <w:sz w:val="18"/>
                <w:szCs w:val="18"/>
              </w:rPr>
              <w:t xml:space="preserve">This is a measure of financial performance of the operations for the period. It is the net result of items of revenue, gains and expenses (including losses) recognised for the period, excluding those that are classified as ‘other </w:t>
            </w:r>
            <w:r w:rsidR="00C674CC">
              <w:rPr>
                <w:iCs/>
                <w:sz w:val="18"/>
                <w:szCs w:val="18"/>
              </w:rPr>
              <w:t>comprehensive income</w:t>
            </w:r>
            <w:r w:rsidRPr="00520A5F">
              <w:rPr>
                <w:iCs/>
                <w:sz w:val="18"/>
                <w:szCs w:val="18"/>
              </w:rPr>
              <w:t>’.</w:t>
            </w:r>
          </w:p>
        </w:tc>
      </w:tr>
      <w:tr w:rsidR="006B7E18" w:rsidRPr="00520A5F" w14:paraId="248B10C5" w14:textId="77777777" w:rsidTr="00207F27">
        <w:tc>
          <w:tcPr>
            <w:tcW w:w="3160" w:type="dxa"/>
            <w:shd w:val="clear" w:color="auto" w:fill="auto"/>
          </w:tcPr>
          <w:p w14:paraId="7C91BE05" w14:textId="77777777" w:rsidR="006B7E18" w:rsidRPr="00520A5F" w:rsidRDefault="006B7E18" w:rsidP="006B7E18">
            <w:pPr>
              <w:spacing w:before="60" w:after="60"/>
              <w:rPr>
                <w:sz w:val="18"/>
                <w:szCs w:val="18"/>
              </w:rPr>
            </w:pPr>
            <w:r w:rsidRPr="00724AA2">
              <w:rPr>
                <w:sz w:val="18"/>
                <w:szCs w:val="18"/>
              </w:rPr>
              <w:t>Other economic flows</w:t>
            </w:r>
            <w:r w:rsidRPr="00520A5F">
              <w:rPr>
                <w:sz w:val="18"/>
                <w:szCs w:val="18"/>
              </w:rPr>
              <w:t xml:space="preserve"> </w:t>
            </w:r>
          </w:p>
        </w:tc>
        <w:tc>
          <w:tcPr>
            <w:tcW w:w="6479" w:type="dxa"/>
            <w:shd w:val="clear" w:color="auto" w:fill="auto"/>
          </w:tcPr>
          <w:p w14:paraId="7E33CEA2" w14:textId="77777777" w:rsidR="006B7E18" w:rsidRPr="00520A5F" w:rsidRDefault="006B7E18" w:rsidP="006B7E18">
            <w:pPr>
              <w:spacing w:before="60" w:after="60"/>
              <w:rPr>
                <w:iCs/>
                <w:sz w:val="18"/>
                <w:szCs w:val="18"/>
              </w:rPr>
            </w:pPr>
            <w:r w:rsidRPr="00520A5F">
              <w:rPr>
                <w:iCs/>
                <w:sz w:val="18"/>
                <w:szCs w:val="18"/>
              </w:rPr>
              <w:t>These are the changes in the volume or value of an asset or liability that do not result from transactions (that is, revaluations and other changes in the volume of assets).</w:t>
            </w:r>
          </w:p>
        </w:tc>
      </w:tr>
      <w:tr w:rsidR="006B7E18" w:rsidRPr="00520A5F" w14:paraId="2784C583" w14:textId="77777777" w:rsidTr="0010031F">
        <w:tc>
          <w:tcPr>
            <w:tcW w:w="3160" w:type="dxa"/>
            <w:shd w:val="clear" w:color="auto" w:fill="auto"/>
          </w:tcPr>
          <w:p w14:paraId="060F090C" w14:textId="77777777" w:rsidR="006B7E18" w:rsidRPr="00520A5F" w:rsidRDefault="006B7E18" w:rsidP="00482BFD">
            <w:pPr>
              <w:keepNext/>
              <w:keepLines/>
              <w:widowControl/>
              <w:spacing w:before="60" w:after="60"/>
              <w:rPr>
                <w:sz w:val="18"/>
                <w:szCs w:val="18"/>
              </w:rPr>
            </w:pPr>
            <w:r w:rsidRPr="00724AA2">
              <w:rPr>
                <w:sz w:val="18"/>
                <w:szCs w:val="18"/>
              </w:rPr>
              <w:lastRenderedPageBreak/>
              <w:t>Other superannuation expense</w:t>
            </w:r>
            <w:r w:rsidRPr="00520A5F">
              <w:rPr>
                <w:sz w:val="18"/>
                <w:szCs w:val="18"/>
              </w:rPr>
              <w:t xml:space="preserve"> </w:t>
            </w:r>
          </w:p>
        </w:tc>
        <w:tc>
          <w:tcPr>
            <w:tcW w:w="6479" w:type="dxa"/>
            <w:shd w:val="clear" w:color="auto" w:fill="auto"/>
          </w:tcPr>
          <w:p w14:paraId="09DABCAC" w14:textId="2EC4EBAB" w:rsidR="006B7E18" w:rsidRPr="00520A5F" w:rsidRDefault="006B7E18" w:rsidP="006B7E18">
            <w:pPr>
              <w:spacing w:before="60" w:after="60"/>
              <w:rPr>
                <w:iCs/>
                <w:sz w:val="18"/>
                <w:szCs w:val="18"/>
              </w:rPr>
            </w:pPr>
            <w:r w:rsidRPr="00520A5F">
              <w:rPr>
                <w:iCs/>
                <w:sz w:val="18"/>
                <w:szCs w:val="18"/>
              </w:rPr>
              <w:t xml:space="preserve">This includes all superannuation expenses from transactions except superannuation interest cost. It generally includes all employer contributions to accumulation schemes and the current service cost, which is the increase in defined benefit entitlements associated with the employment services provided by employees in the current period. Superannuation actuarial gains/losses are excluded as they are disclosed as </w:t>
            </w:r>
            <w:r w:rsidR="00582D0E">
              <w:rPr>
                <w:iCs/>
                <w:sz w:val="18"/>
                <w:szCs w:val="18"/>
              </w:rPr>
              <w:t>a</w:t>
            </w:r>
            <w:r w:rsidR="006A10CA">
              <w:rPr>
                <w:iCs/>
                <w:sz w:val="18"/>
                <w:szCs w:val="18"/>
              </w:rPr>
              <w:t>n</w:t>
            </w:r>
            <w:r w:rsidR="006A10CA" w:rsidRPr="00520A5F">
              <w:rPr>
                <w:iCs/>
                <w:sz w:val="18"/>
                <w:szCs w:val="18"/>
              </w:rPr>
              <w:t xml:space="preserve"> </w:t>
            </w:r>
            <w:r w:rsidR="00CC53FA">
              <w:rPr>
                <w:iCs/>
                <w:sz w:val="18"/>
                <w:szCs w:val="18"/>
              </w:rPr>
              <w:t>‘</w:t>
            </w:r>
            <w:r w:rsidRPr="00520A5F">
              <w:rPr>
                <w:iCs/>
                <w:sz w:val="18"/>
                <w:szCs w:val="18"/>
              </w:rPr>
              <w:t>other economic flow</w:t>
            </w:r>
            <w:r w:rsidR="00CC53FA">
              <w:rPr>
                <w:iCs/>
                <w:sz w:val="18"/>
                <w:szCs w:val="18"/>
              </w:rPr>
              <w:t>’</w:t>
            </w:r>
            <w:r w:rsidRPr="00520A5F">
              <w:rPr>
                <w:iCs/>
                <w:sz w:val="18"/>
                <w:szCs w:val="18"/>
              </w:rPr>
              <w:t>.</w:t>
            </w:r>
          </w:p>
        </w:tc>
      </w:tr>
      <w:tr w:rsidR="006B7E18" w:rsidRPr="00520A5F" w14:paraId="7465682F" w14:textId="77777777" w:rsidTr="00207F27">
        <w:tc>
          <w:tcPr>
            <w:tcW w:w="3160" w:type="dxa"/>
            <w:shd w:val="clear" w:color="auto" w:fill="auto"/>
          </w:tcPr>
          <w:p w14:paraId="2B9A00D1" w14:textId="69AC3726" w:rsidR="006B7E18" w:rsidRPr="00520A5F" w:rsidRDefault="006B7E18" w:rsidP="006B7E18">
            <w:pPr>
              <w:spacing w:before="60" w:after="60"/>
              <w:rPr>
                <w:sz w:val="18"/>
                <w:szCs w:val="18"/>
              </w:rPr>
            </w:pPr>
            <w:r w:rsidRPr="00520A5F">
              <w:rPr>
                <w:sz w:val="18"/>
                <w:szCs w:val="18"/>
              </w:rPr>
              <w:t xml:space="preserve">Outcome </w:t>
            </w:r>
            <w:r>
              <w:rPr>
                <w:sz w:val="18"/>
                <w:szCs w:val="18"/>
              </w:rPr>
              <w:t>I</w:t>
            </w:r>
            <w:r w:rsidRPr="00520A5F">
              <w:rPr>
                <w:sz w:val="18"/>
                <w:szCs w:val="18"/>
              </w:rPr>
              <w:t>ndicator</w:t>
            </w:r>
          </w:p>
        </w:tc>
        <w:tc>
          <w:tcPr>
            <w:tcW w:w="6479" w:type="dxa"/>
            <w:shd w:val="clear" w:color="auto" w:fill="auto"/>
          </w:tcPr>
          <w:p w14:paraId="4E1E1DAE" w14:textId="6EEBDE7E" w:rsidR="006B7E18" w:rsidRPr="00520A5F" w:rsidRDefault="004B1C26" w:rsidP="006B7E18">
            <w:pPr>
              <w:spacing w:before="60" w:after="60"/>
              <w:rPr>
                <w:iCs/>
                <w:sz w:val="18"/>
                <w:szCs w:val="18"/>
              </w:rPr>
            </w:pPr>
            <w:r>
              <w:rPr>
                <w:sz w:val="18"/>
                <w:szCs w:val="18"/>
              </w:rPr>
              <w:t>Measure</w:t>
            </w:r>
            <w:r w:rsidR="00354BBC">
              <w:rPr>
                <w:sz w:val="18"/>
                <w:szCs w:val="18"/>
              </w:rPr>
              <w:t>s</w:t>
            </w:r>
            <w:r>
              <w:rPr>
                <w:sz w:val="18"/>
                <w:szCs w:val="18"/>
              </w:rPr>
              <w:t xml:space="preserve"> </w:t>
            </w:r>
            <w:r w:rsidR="006B7E18" w:rsidRPr="002E112E">
              <w:rPr>
                <w:sz w:val="18"/>
                <w:szCs w:val="18"/>
              </w:rPr>
              <w:t xml:space="preserve">progress in achieving the </w:t>
            </w:r>
            <w:r w:rsidR="002F6E35">
              <w:rPr>
                <w:sz w:val="18"/>
                <w:szCs w:val="18"/>
              </w:rPr>
              <w:t>State Outcome</w:t>
            </w:r>
            <w:r w:rsidR="006B7E18" w:rsidRPr="002E112E">
              <w:rPr>
                <w:sz w:val="18"/>
                <w:szCs w:val="18"/>
              </w:rPr>
              <w:t>. Indicators are measures of effectiveness,</w:t>
            </w:r>
            <w:r w:rsidR="006B7E18">
              <w:rPr>
                <w:iCs/>
                <w:sz w:val="18"/>
                <w:szCs w:val="18"/>
              </w:rPr>
              <w:t xml:space="preserve"> </w:t>
            </w:r>
            <w:r w:rsidR="006B7E18" w:rsidRPr="002E112E">
              <w:rPr>
                <w:sz w:val="18"/>
                <w:szCs w:val="18"/>
              </w:rPr>
              <w:t xml:space="preserve">measured through a range of data sources and types (including proportions, rates, time, or value). </w:t>
            </w:r>
          </w:p>
        </w:tc>
      </w:tr>
      <w:tr w:rsidR="006B7E18" w:rsidRPr="00520A5F" w14:paraId="66F69C49" w14:textId="77777777" w:rsidTr="00207F27">
        <w:tc>
          <w:tcPr>
            <w:tcW w:w="3160" w:type="dxa"/>
            <w:shd w:val="clear" w:color="auto" w:fill="auto"/>
          </w:tcPr>
          <w:p w14:paraId="715ADA51" w14:textId="77777777" w:rsidR="006B7E18" w:rsidRPr="00520A5F" w:rsidRDefault="006B7E18" w:rsidP="006B7E18">
            <w:pPr>
              <w:spacing w:before="60" w:after="60"/>
              <w:rPr>
                <w:sz w:val="18"/>
                <w:szCs w:val="18"/>
              </w:rPr>
            </w:pPr>
            <w:r w:rsidRPr="00520A5F">
              <w:rPr>
                <w:sz w:val="18"/>
                <w:szCs w:val="18"/>
              </w:rPr>
              <w:t xml:space="preserve">Payables </w:t>
            </w:r>
          </w:p>
        </w:tc>
        <w:tc>
          <w:tcPr>
            <w:tcW w:w="6479" w:type="dxa"/>
            <w:shd w:val="clear" w:color="auto" w:fill="auto"/>
          </w:tcPr>
          <w:p w14:paraId="45765062" w14:textId="69C389C6" w:rsidR="006B7E18" w:rsidRPr="00520A5F" w:rsidRDefault="006B7E18" w:rsidP="006B7E18">
            <w:pPr>
              <w:spacing w:before="60" w:after="60"/>
              <w:rPr>
                <w:iCs/>
                <w:sz w:val="18"/>
                <w:szCs w:val="18"/>
              </w:rPr>
            </w:pPr>
            <w:r w:rsidRPr="00520A5F">
              <w:rPr>
                <w:iCs/>
                <w:sz w:val="18"/>
                <w:szCs w:val="18"/>
              </w:rPr>
              <w:t>A liability that includes short and long-term trade creditors and accounts payable.</w:t>
            </w:r>
          </w:p>
        </w:tc>
      </w:tr>
      <w:tr w:rsidR="006B7E18" w:rsidRPr="00520A5F" w14:paraId="76562EA5" w14:textId="77777777" w:rsidTr="00207F27">
        <w:tc>
          <w:tcPr>
            <w:tcW w:w="3160" w:type="dxa"/>
            <w:shd w:val="clear" w:color="auto" w:fill="auto"/>
          </w:tcPr>
          <w:p w14:paraId="7A76B017" w14:textId="4041AC4A" w:rsidR="006B7E18" w:rsidRPr="00786EEC" w:rsidRDefault="006B7E18" w:rsidP="006B7E18">
            <w:pPr>
              <w:spacing w:before="60" w:after="60"/>
              <w:rPr>
                <w:sz w:val="18"/>
                <w:szCs w:val="18"/>
              </w:rPr>
            </w:pPr>
            <w:r>
              <w:rPr>
                <w:sz w:val="18"/>
                <w:szCs w:val="18"/>
              </w:rPr>
              <w:t>Program</w:t>
            </w:r>
          </w:p>
        </w:tc>
        <w:tc>
          <w:tcPr>
            <w:tcW w:w="6479" w:type="dxa"/>
            <w:shd w:val="clear" w:color="auto" w:fill="auto"/>
          </w:tcPr>
          <w:p w14:paraId="364E566C" w14:textId="1D4843BD" w:rsidR="006B7E18" w:rsidRPr="00520A5F" w:rsidRDefault="004E3B5B" w:rsidP="006B7E18">
            <w:pPr>
              <w:spacing w:before="60" w:after="60"/>
              <w:rPr>
                <w:iCs/>
                <w:sz w:val="18"/>
                <w:szCs w:val="18"/>
              </w:rPr>
            </w:pPr>
            <w:r w:rsidRPr="00786EEC">
              <w:rPr>
                <w:rFonts w:eastAsiaTheme="minorHAnsi"/>
                <w:sz w:val="18"/>
                <w:szCs w:val="18"/>
              </w:rPr>
              <w:t>The collection of activities, tasks, divisions or functions of an agency, designed to deliver specific outputs that contribute towards achieving a State Outcome.</w:t>
            </w:r>
          </w:p>
        </w:tc>
      </w:tr>
      <w:tr w:rsidR="006B7E18" w:rsidRPr="00520A5F" w14:paraId="42556A83" w14:textId="77777777" w:rsidTr="00207F27">
        <w:tc>
          <w:tcPr>
            <w:tcW w:w="3160" w:type="dxa"/>
            <w:shd w:val="clear" w:color="auto" w:fill="auto"/>
          </w:tcPr>
          <w:p w14:paraId="1DD690D0" w14:textId="759C1CDE" w:rsidR="006B7E18" w:rsidRPr="00520A5F" w:rsidRDefault="006B7E18" w:rsidP="006B7E18">
            <w:pPr>
              <w:spacing w:before="60" w:after="60"/>
              <w:rPr>
                <w:sz w:val="18"/>
                <w:szCs w:val="18"/>
              </w:rPr>
            </w:pPr>
            <w:r w:rsidRPr="00941441">
              <w:rPr>
                <w:sz w:val="18"/>
                <w:szCs w:val="18"/>
              </w:rPr>
              <w:t xml:space="preserve">Program </w:t>
            </w:r>
            <w:r w:rsidRPr="00E3058C">
              <w:rPr>
                <w:sz w:val="18"/>
                <w:szCs w:val="18"/>
              </w:rPr>
              <w:t>Performance</w:t>
            </w:r>
            <w:r>
              <w:rPr>
                <w:sz w:val="18"/>
                <w:szCs w:val="18"/>
              </w:rPr>
              <w:t xml:space="preserve"> Measure</w:t>
            </w:r>
          </w:p>
        </w:tc>
        <w:tc>
          <w:tcPr>
            <w:tcW w:w="6479" w:type="dxa"/>
            <w:shd w:val="clear" w:color="auto" w:fill="auto"/>
          </w:tcPr>
          <w:p w14:paraId="4B7E2B71" w14:textId="1E8D8AFE" w:rsidR="006B7E18" w:rsidRPr="00520A5F" w:rsidRDefault="006B7E18" w:rsidP="006B7E18">
            <w:pPr>
              <w:spacing w:before="60" w:after="60"/>
              <w:rPr>
                <w:iCs/>
                <w:sz w:val="18"/>
                <w:szCs w:val="18"/>
              </w:rPr>
            </w:pPr>
            <w:r w:rsidRPr="000A5EF9">
              <w:rPr>
                <w:sz w:val="18"/>
                <w:szCs w:val="18"/>
              </w:rPr>
              <w:t>Measure</w:t>
            </w:r>
            <w:r w:rsidR="00F94793">
              <w:rPr>
                <w:sz w:val="18"/>
                <w:szCs w:val="18"/>
              </w:rPr>
              <w:t>s</w:t>
            </w:r>
            <w:r w:rsidRPr="000A5EF9">
              <w:rPr>
                <w:sz w:val="18"/>
                <w:szCs w:val="18"/>
              </w:rPr>
              <w:t xml:space="preserve"> the performance of each Program and are used to assess efficiency, effectiveness and equity in delivering the Program objectives.</w:t>
            </w:r>
          </w:p>
        </w:tc>
      </w:tr>
      <w:tr w:rsidR="006B7E18" w:rsidRPr="00520A5F" w14:paraId="1F5D5A27" w14:textId="77777777" w:rsidTr="00207F27">
        <w:tc>
          <w:tcPr>
            <w:tcW w:w="3160" w:type="dxa"/>
            <w:shd w:val="clear" w:color="auto" w:fill="auto"/>
          </w:tcPr>
          <w:p w14:paraId="61E402F9" w14:textId="39E2AE6F" w:rsidR="006B7E18" w:rsidRPr="00356917" w:rsidRDefault="006B7E18" w:rsidP="006B7E18">
            <w:pPr>
              <w:spacing w:before="60" w:after="60"/>
              <w:rPr>
                <w:i/>
                <w:iCs/>
                <w:sz w:val="18"/>
                <w:szCs w:val="18"/>
              </w:rPr>
            </w:pPr>
            <w:r w:rsidRPr="00356917">
              <w:rPr>
                <w:i/>
                <w:iCs/>
                <w:sz w:val="18"/>
                <w:szCs w:val="18"/>
              </w:rPr>
              <w:t>Public Finance and Audit Act 1983</w:t>
            </w:r>
          </w:p>
        </w:tc>
        <w:tc>
          <w:tcPr>
            <w:tcW w:w="6479" w:type="dxa"/>
            <w:shd w:val="clear" w:color="auto" w:fill="auto"/>
          </w:tcPr>
          <w:p w14:paraId="0352ED11" w14:textId="7E8DAF4D" w:rsidR="006B7E18" w:rsidRPr="00520A5F" w:rsidRDefault="006B7E18" w:rsidP="006B7E18">
            <w:pPr>
              <w:spacing w:before="60" w:after="60"/>
              <w:rPr>
                <w:iCs/>
                <w:sz w:val="18"/>
                <w:szCs w:val="18"/>
              </w:rPr>
            </w:pPr>
            <w:r w:rsidRPr="00520A5F">
              <w:rPr>
                <w:iCs/>
                <w:sz w:val="18"/>
                <w:szCs w:val="18"/>
              </w:rPr>
              <w:t xml:space="preserve">An Act to make provision with respect to the administration and audit of public finances and for other purposes. </w:t>
            </w:r>
            <w:r w:rsidR="00E2072E" w:rsidRPr="00E2072E">
              <w:rPr>
                <w:iCs/>
                <w:sz w:val="18"/>
                <w:szCs w:val="18"/>
              </w:rPr>
              <w:t xml:space="preserve">On 1 July 2021 the </w:t>
            </w:r>
            <w:r w:rsidR="00CE4398" w:rsidRPr="00786EEC">
              <w:rPr>
                <w:i/>
                <w:sz w:val="18"/>
                <w:szCs w:val="18"/>
              </w:rPr>
              <w:t>Public Finance and Audit Act 1983</w:t>
            </w:r>
            <w:r w:rsidR="00CE4398">
              <w:rPr>
                <w:iCs/>
                <w:sz w:val="18"/>
                <w:szCs w:val="18"/>
              </w:rPr>
              <w:t xml:space="preserve"> </w:t>
            </w:r>
            <w:r w:rsidR="00E2072E" w:rsidRPr="00E2072E">
              <w:rPr>
                <w:iCs/>
                <w:sz w:val="18"/>
                <w:szCs w:val="18"/>
              </w:rPr>
              <w:t xml:space="preserve">was renamed as the </w:t>
            </w:r>
            <w:r w:rsidR="00E2072E" w:rsidRPr="00786EEC">
              <w:rPr>
                <w:i/>
                <w:sz w:val="18"/>
                <w:szCs w:val="18"/>
              </w:rPr>
              <w:t xml:space="preserve">Government Sector Audit Act </w:t>
            </w:r>
            <w:r w:rsidR="00E2072E" w:rsidRPr="00842A43">
              <w:rPr>
                <w:sz w:val="18"/>
                <w:szCs w:val="18"/>
              </w:rPr>
              <w:t>1983</w:t>
            </w:r>
            <w:r w:rsidR="00E2072E">
              <w:rPr>
                <w:sz w:val="18"/>
                <w:szCs w:val="18"/>
              </w:rPr>
              <w:t>.</w:t>
            </w:r>
            <w:r w:rsidR="00D356D8">
              <w:rPr>
                <w:iCs/>
                <w:sz w:val="18"/>
                <w:szCs w:val="18"/>
              </w:rPr>
              <w:t xml:space="preserve"> </w:t>
            </w:r>
            <w:r w:rsidRPr="00520A5F">
              <w:rPr>
                <w:iCs/>
                <w:sz w:val="18"/>
                <w:szCs w:val="18"/>
              </w:rPr>
              <w:t xml:space="preserve">with the elements relating to the financial matters of the State replaced by the </w:t>
            </w:r>
            <w:r w:rsidRPr="00356917">
              <w:rPr>
                <w:i/>
                <w:sz w:val="18"/>
                <w:szCs w:val="18"/>
              </w:rPr>
              <w:t>Government Sector Finance Act 2018</w:t>
            </w:r>
            <w:r w:rsidRPr="00520A5F">
              <w:rPr>
                <w:iCs/>
                <w:sz w:val="18"/>
                <w:szCs w:val="18"/>
              </w:rPr>
              <w:t>.</w:t>
            </w:r>
          </w:p>
        </w:tc>
      </w:tr>
      <w:tr w:rsidR="006B7E18" w:rsidRPr="00520A5F" w14:paraId="0B502B38" w14:textId="77777777" w:rsidTr="00207F27">
        <w:tc>
          <w:tcPr>
            <w:tcW w:w="3160" w:type="dxa"/>
            <w:shd w:val="clear" w:color="auto" w:fill="auto"/>
          </w:tcPr>
          <w:p w14:paraId="5B584DC1" w14:textId="77777777" w:rsidR="006B7E18" w:rsidRPr="00520A5F" w:rsidRDefault="006B7E18" w:rsidP="006B7E18">
            <w:pPr>
              <w:spacing w:before="60" w:after="60"/>
              <w:rPr>
                <w:sz w:val="18"/>
                <w:szCs w:val="18"/>
              </w:rPr>
            </w:pPr>
            <w:r w:rsidRPr="00520A5F">
              <w:rPr>
                <w:sz w:val="18"/>
                <w:szCs w:val="18"/>
              </w:rPr>
              <w:t>Public Private Partnerships (PPP)</w:t>
            </w:r>
          </w:p>
        </w:tc>
        <w:tc>
          <w:tcPr>
            <w:tcW w:w="6479" w:type="dxa"/>
            <w:shd w:val="clear" w:color="auto" w:fill="auto"/>
          </w:tcPr>
          <w:p w14:paraId="65ABCFCF" w14:textId="1C8B0713" w:rsidR="006B7E18" w:rsidRPr="00520A5F" w:rsidRDefault="006B7E18" w:rsidP="006B7E18">
            <w:pPr>
              <w:spacing w:before="60" w:after="60"/>
              <w:rPr>
                <w:iCs/>
                <w:sz w:val="18"/>
                <w:szCs w:val="18"/>
              </w:rPr>
            </w:pPr>
            <w:r w:rsidRPr="00520A5F">
              <w:rPr>
                <w:iCs/>
                <w:sz w:val="18"/>
                <w:szCs w:val="18"/>
              </w:rPr>
              <w:t xml:space="preserve">The creation of an infrastructure asset through private sector financing and private ownership for a concession period (usually long term). The </w:t>
            </w:r>
            <w:r w:rsidR="00AA5215">
              <w:rPr>
                <w:iCs/>
                <w:sz w:val="18"/>
                <w:szCs w:val="18"/>
              </w:rPr>
              <w:t>g</w:t>
            </w:r>
            <w:r w:rsidRPr="00520A5F">
              <w:rPr>
                <w:iCs/>
                <w:sz w:val="18"/>
                <w:szCs w:val="18"/>
              </w:rPr>
              <w:t>overnment may contribute to the project by providing land or capital works, through risk sharing, revenue diversion or purchase of the agreed services.</w:t>
            </w:r>
          </w:p>
        </w:tc>
      </w:tr>
      <w:tr w:rsidR="006B7E18" w:rsidRPr="00520A5F" w14:paraId="37BB1F45" w14:textId="77777777" w:rsidTr="00207F27">
        <w:tc>
          <w:tcPr>
            <w:tcW w:w="3160" w:type="dxa"/>
            <w:shd w:val="clear" w:color="auto" w:fill="auto"/>
          </w:tcPr>
          <w:p w14:paraId="1D96AFDB" w14:textId="77777777" w:rsidR="006B7E18" w:rsidRPr="00520A5F" w:rsidRDefault="006B7E18" w:rsidP="006B7E18">
            <w:pPr>
              <w:spacing w:before="60" w:after="60"/>
              <w:rPr>
                <w:sz w:val="18"/>
                <w:szCs w:val="18"/>
              </w:rPr>
            </w:pPr>
            <w:r w:rsidRPr="00724AA2">
              <w:rPr>
                <w:sz w:val="18"/>
                <w:szCs w:val="18"/>
              </w:rPr>
              <w:t>Public financial corporations (PFC)</w:t>
            </w:r>
          </w:p>
        </w:tc>
        <w:tc>
          <w:tcPr>
            <w:tcW w:w="6479" w:type="dxa"/>
            <w:shd w:val="clear" w:color="auto" w:fill="auto"/>
          </w:tcPr>
          <w:p w14:paraId="38E513FD" w14:textId="77777777" w:rsidR="006B7E18" w:rsidRPr="00520A5F" w:rsidRDefault="006B7E18" w:rsidP="006B7E18">
            <w:pPr>
              <w:spacing w:before="60" w:after="60"/>
              <w:rPr>
                <w:iCs/>
                <w:sz w:val="18"/>
                <w:szCs w:val="18"/>
              </w:rPr>
            </w:pPr>
            <w:r w:rsidRPr="00520A5F">
              <w:rPr>
                <w:iCs/>
                <w:sz w:val="18"/>
                <w:szCs w:val="18"/>
              </w:rPr>
              <w:t>An ABS classification of agencies that have one, or more, of the following functions:</w:t>
            </w:r>
          </w:p>
          <w:p w14:paraId="473CA9ED" w14:textId="77777777" w:rsidR="006B7E18" w:rsidRPr="00520A5F" w:rsidRDefault="006B7E18" w:rsidP="00786EEC">
            <w:pPr>
              <w:numPr>
                <w:ilvl w:val="0"/>
                <w:numId w:val="30"/>
              </w:numPr>
              <w:tabs>
                <w:tab w:val="clear" w:pos="4196"/>
                <w:tab w:val="clear" w:pos="5046"/>
                <w:tab w:val="right" w:pos="526"/>
              </w:tabs>
              <w:spacing w:before="60" w:after="60"/>
              <w:ind w:left="408" w:hanging="357"/>
              <w:rPr>
                <w:iCs/>
                <w:sz w:val="18"/>
                <w:szCs w:val="18"/>
              </w:rPr>
            </w:pPr>
            <w:r w:rsidRPr="00520A5F">
              <w:rPr>
                <w:iCs/>
                <w:sz w:val="18"/>
                <w:szCs w:val="18"/>
              </w:rPr>
              <w:t>that of a central bank</w:t>
            </w:r>
          </w:p>
          <w:p w14:paraId="7D4FBAD7" w14:textId="1C9B1F2C" w:rsidR="006B7E18" w:rsidRPr="00520A5F" w:rsidRDefault="006B7E18" w:rsidP="00786EEC">
            <w:pPr>
              <w:numPr>
                <w:ilvl w:val="0"/>
                <w:numId w:val="30"/>
              </w:numPr>
              <w:tabs>
                <w:tab w:val="clear" w:pos="4196"/>
                <w:tab w:val="right" w:pos="526"/>
              </w:tabs>
              <w:spacing w:before="60" w:after="60"/>
              <w:ind w:left="408" w:hanging="357"/>
              <w:rPr>
                <w:iCs/>
                <w:sz w:val="18"/>
                <w:szCs w:val="18"/>
              </w:rPr>
            </w:pPr>
            <w:r w:rsidRPr="00520A5F">
              <w:rPr>
                <w:iCs/>
                <w:sz w:val="18"/>
                <w:szCs w:val="18"/>
              </w:rPr>
              <w:t>the acceptance of demand time or savings deposits or</w:t>
            </w:r>
          </w:p>
          <w:p w14:paraId="76BFD0D3" w14:textId="77777777" w:rsidR="006B7E18" w:rsidRPr="00520A5F" w:rsidRDefault="006B7E18" w:rsidP="00786EEC">
            <w:pPr>
              <w:numPr>
                <w:ilvl w:val="0"/>
                <w:numId w:val="30"/>
              </w:numPr>
              <w:tabs>
                <w:tab w:val="clear" w:pos="4196"/>
                <w:tab w:val="right" w:pos="526"/>
              </w:tabs>
              <w:spacing w:before="60" w:after="60"/>
              <w:ind w:left="408" w:hanging="357"/>
              <w:rPr>
                <w:iCs/>
                <w:sz w:val="18"/>
                <w:szCs w:val="18"/>
              </w:rPr>
            </w:pPr>
            <w:r w:rsidRPr="00520A5F">
              <w:rPr>
                <w:iCs/>
                <w:sz w:val="18"/>
                <w:szCs w:val="18"/>
              </w:rPr>
              <w:t>the authority to incur liabilities and acquire financial assets in the market on their own account.</w:t>
            </w:r>
          </w:p>
        </w:tc>
      </w:tr>
      <w:tr w:rsidR="006B7E18" w:rsidRPr="00520A5F" w14:paraId="4C367D98" w14:textId="77777777" w:rsidTr="00207F27">
        <w:tc>
          <w:tcPr>
            <w:tcW w:w="3160" w:type="dxa"/>
            <w:shd w:val="clear" w:color="auto" w:fill="auto"/>
          </w:tcPr>
          <w:p w14:paraId="20AB7435" w14:textId="77777777" w:rsidR="006B7E18" w:rsidRPr="00520A5F" w:rsidRDefault="006B7E18" w:rsidP="006B7E18">
            <w:pPr>
              <w:spacing w:before="60" w:after="60"/>
              <w:rPr>
                <w:sz w:val="18"/>
                <w:szCs w:val="18"/>
              </w:rPr>
            </w:pPr>
            <w:r w:rsidRPr="00724AA2">
              <w:rPr>
                <w:sz w:val="18"/>
                <w:szCs w:val="18"/>
              </w:rPr>
              <w:t>Public non-financial corporations (PNFC)</w:t>
            </w:r>
          </w:p>
        </w:tc>
        <w:tc>
          <w:tcPr>
            <w:tcW w:w="6479" w:type="dxa"/>
            <w:shd w:val="clear" w:color="auto" w:fill="auto"/>
          </w:tcPr>
          <w:p w14:paraId="6C95DC6F" w14:textId="60A4A2B0" w:rsidR="006B7E18" w:rsidRPr="00520A5F" w:rsidRDefault="00B46DAA" w:rsidP="006B7E18">
            <w:pPr>
              <w:spacing w:before="60" w:after="60"/>
              <w:rPr>
                <w:iCs/>
                <w:sz w:val="18"/>
                <w:szCs w:val="18"/>
              </w:rPr>
            </w:pPr>
            <w:r w:rsidRPr="00520A5F">
              <w:rPr>
                <w:iCs/>
                <w:sz w:val="18"/>
                <w:szCs w:val="18"/>
              </w:rPr>
              <w:t xml:space="preserve">An ABS classification of </w:t>
            </w:r>
            <w:r w:rsidR="006B7E18" w:rsidRPr="00520A5F">
              <w:rPr>
                <w:iCs/>
                <w:sz w:val="18"/>
                <w:szCs w:val="18"/>
              </w:rPr>
              <w:t xml:space="preserve">Government controlled agencies where user charges represent a significant proportion of revenue and the agencies operate within a broadly commercial orientation.  </w:t>
            </w:r>
          </w:p>
        </w:tc>
      </w:tr>
      <w:tr w:rsidR="006B7E18" w:rsidRPr="00520A5F" w14:paraId="44C4184D" w14:textId="77777777" w:rsidTr="00207F27">
        <w:tc>
          <w:tcPr>
            <w:tcW w:w="3160" w:type="dxa"/>
            <w:shd w:val="clear" w:color="auto" w:fill="auto"/>
          </w:tcPr>
          <w:p w14:paraId="617D0004" w14:textId="77777777" w:rsidR="006B7E18" w:rsidRPr="00520A5F" w:rsidRDefault="006B7E18" w:rsidP="006B7E18">
            <w:pPr>
              <w:spacing w:before="60" w:after="60"/>
              <w:rPr>
                <w:sz w:val="18"/>
                <w:szCs w:val="18"/>
              </w:rPr>
            </w:pPr>
            <w:r w:rsidRPr="00520A5F">
              <w:rPr>
                <w:sz w:val="18"/>
                <w:szCs w:val="18"/>
              </w:rPr>
              <w:t xml:space="preserve">Receivables </w:t>
            </w:r>
          </w:p>
        </w:tc>
        <w:tc>
          <w:tcPr>
            <w:tcW w:w="6479" w:type="dxa"/>
            <w:shd w:val="clear" w:color="auto" w:fill="auto"/>
          </w:tcPr>
          <w:p w14:paraId="13768474" w14:textId="77777777" w:rsidR="006B7E18" w:rsidRPr="00520A5F" w:rsidRDefault="006B7E18" w:rsidP="006B7E18">
            <w:pPr>
              <w:spacing w:before="60" w:after="60"/>
              <w:rPr>
                <w:iCs/>
                <w:sz w:val="18"/>
                <w:szCs w:val="18"/>
              </w:rPr>
            </w:pPr>
            <w:r w:rsidRPr="00520A5F">
              <w:rPr>
                <w:iCs/>
                <w:sz w:val="18"/>
                <w:szCs w:val="18"/>
              </w:rPr>
              <w:t>An asset that includes short and long-term trade debtors, accounts receivable and interest accrued.</w:t>
            </w:r>
          </w:p>
        </w:tc>
      </w:tr>
      <w:tr w:rsidR="006B7E18" w:rsidRPr="00520A5F" w14:paraId="312C436E" w14:textId="77777777" w:rsidTr="00207F27">
        <w:tc>
          <w:tcPr>
            <w:tcW w:w="3160" w:type="dxa"/>
            <w:shd w:val="clear" w:color="auto" w:fill="auto"/>
          </w:tcPr>
          <w:p w14:paraId="31E52AB9" w14:textId="77777777" w:rsidR="006B7E18" w:rsidRPr="00520A5F" w:rsidRDefault="006B7E18" w:rsidP="006B7E18">
            <w:pPr>
              <w:spacing w:before="60" w:after="60"/>
              <w:rPr>
                <w:sz w:val="18"/>
                <w:szCs w:val="18"/>
              </w:rPr>
            </w:pPr>
            <w:r w:rsidRPr="00520A5F">
              <w:rPr>
                <w:sz w:val="18"/>
                <w:szCs w:val="18"/>
              </w:rPr>
              <w:t xml:space="preserve">Recurrent expenditure </w:t>
            </w:r>
          </w:p>
        </w:tc>
        <w:tc>
          <w:tcPr>
            <w:tcW w:w="6479" w:type="dxa"/>
            <w:shd w:val="clear" w:color="auto" w:fill="auto"/>
          </w:tcPr>
          <w:p w14:paraId="3FA4D280" w14:textId="64423874" w:rsidR="006B7E18" w:rsidRPr="00520A5F" w:rsidRDefault="006B7E18" w:rsidP="006B7E18">
            <w:pPr>
              <w:spacing w:before="60" w:after="60"/>
              <w:rPr>
                <w:iCs/>
                <w:sz w:val="18"/>
                <w:szCs w:val="18"/>
              </w:rPr>
            </w:pPr>
            <w:r w:rsidRPr="00520A5F">
              <w:rPr>
                <w:iCs/>
                <w:sz w:val="18"/>
                <w:szCs w:val="18"/>
              </w:rPr>
              <w:t xml:space="preserve">* see </w:t>
            </w:r>
            <w:r w:rsidR="002800E6">
              <w:rPr>
                <w:iCs/>
                <w:sz w:val="18"/>
                <w:szCs w:val="18"/>
              </w:rPr>
              <w:t>total</w:t>
            </w:r>
            <w:r w:rsidRPr="00520A5F" w:rsidDel="002800E6">
              <w:rPr>
                <w:iCs/>
                <w:sz w:val="18"/>
                <w:szCs w:val="18"/>
              </w:rPr>
              <w:t xml:space="preserve"> </w:t>
            </w:r>
            <w:r w:rsidRPr="00520A5F">
              <w:rPr>
                <w:iCs/>
                <w:sz w:val="18"/>
                <w:szCs w:val="18"/>
              </w:rPr>
              <w:t>expenses</w:t>
            </w:r>
            <w:r w:rsidR="008126D9">
              <w:rPr>
                <w:iCs/>
                <w:sz w:val="18"/>
                <w:szCs w:val="18"/>
              </w:rPr>
              <w:t xml:space="preserve"> (from transactions)</w:t>
            </w:r>
          </w:p>
        </w:tc>
      </w:tr>
      <w:tr w:rsidR="00DD642B" w:rsidRPr="00520A5F" w14:paraId="11DE967B" w14:textId="77777777" w:rsidTr="00207F27">
        <w:tc>
          <w:tcPr>
            <w:tcW w:w="3160" w:type="dxa"/>
            <w:shd w:val="clear" w:color="auto" w:fill="auto"/>
          </w:tcPr>
          <w:p w14:paraId="166CC59C" w14:textId="2D0B32F6" w:rsidR="00DD642B" w:rsidRPr="002E112E" w:rsidRDefault="00DD642B" w:rsidP="00DD642B">
            <w:pPr>
              <w:pStyle w:val="Heading3"/>
              <w:keepNext w:val="0"/>
              <w:spacing w:before="60" w:after="60"/>
              <w:rPr>
                <w:rFonts w:ascii="Arial" w:hAnsi="Arial" w:cs="Arial"/>
                <w:b w:val="0"/>
                <w:sz w:val="18"/>
                <w:szCs w:val="18"/>
              </w:rPr>
            </w:pPr>
            <w:r w:rsidRPr="002E112E">
              <w:rPr>
                <w:rFonts w:ascii="Arial" w:hAnsi="Arial" w:cs="Arial"/>
                <w:b w:val="0"/>
                <w:sz w:val="18"/>
                <w:szCs w:val="18"/>
              </w:rPr>
              <w:t>Reservations</w:t>
            </w:r>
            <w:r w:rsidR="00F146F9" w:rsidRPr="00040C2B">
              <w:rPr>
                <w:rFonts w:ascii="Arial" w:hAnsi="Arial" w:cs="Arial"/>
                <w:b w:val="0"/>
                <w:sz w:val="18"/>
                <w:szCs w:val="18"/>
                <w:vertAlign w:val="superscript"/>
              </w:rPr>
              <w:t>(a)</w:t>
            </w:r>
          </w:p>
          <w:p w14:paraId="05824D65" w14:textId="65E5B0D6" w:rsidR="00DD642B" w:rsidRPr="00DD642B" w:rsidRDefault="00DD642B" w:rsidP="00DD642B">
            <w:pPr>
              <w:spacing w:before="60" w:after="60"/>
              <w:rPr>
                <w:sz w:val="18"/>
                <w:szCs w:val="18"/>
              </w:rPr>
            </w:pPr>
            <w:r w:rsidRPr="002E112E">
              <w:rPr>
                <w:sz w:val="18"/>
                <w:szCs w:val="18"/>
              </w:rPr>
              <w:t>(Restart NSW)</w:t>
            </w:r>
          </w:p>
        </w:tc>
        <w:tc>
          <w:tcPr>
            <w:tcW w:w="6479" w:type="dxa"/>
            <w:shd w:val="clear" w:color="auto" w:fill="auto"/>
          </w:tcPr>
          <w:p w14:paraId="72DFE199" w14:textId="37BDE04D" w:rsidR="00DD642B" w:rsidRPr="00DD642B" w:rsidRDefault="00DD642B" w:rsidP="00DD642B">
            <w:pPr>
              <w:spacing w:before="60" w:after="60"/>
              <w:rPr>
                <w:iCs/>
                <w:sz w:val="18"/>
                <w:szCs w:val="18"/>
              </w:rPr>
            </w:pPr>
            <w:r w:rsidRPr="002E112E">
              <w:rPr>
                <w:sz w:val="18"/>
                <w:szCs w:val="18"/>
              </w:rPr>
              <w:t>Inflows that are reserved with a view to a future commitment. A Restart NSW reservation can only become a commitment once the Treasurer has accepted a specific Infrastructure NSW recommendation for each individual project.</w:t>
            </w:r>
          </w:p>
        </w:tc>
      </w:tr>
      <w:tr w:rsidR="006B7E18" w:rsidRPr="00520A5F" w14:paraId="4DC176F3" w14:textId="77777777" w:rsidTr="00207F27">
        <w:tc>
          <w:tcPr>
            <w:tcW w:w="3160" w:type="dxa"/>
            <w:shd w:val="clear" w:color="auto" w:fill="auto"/>
          </w:tcPr>
          <w:p w14:paraId="0A239F04" w14:textId="77777777" w:rsidR="006B7E18" w:rsidRPr="00786EEC" w:rsidRDefault="006B7E18" w:rsidP="006B7E18">
            <w:pPr>
              <w:spacing w:before="60" w:after="60"/>
              <w:rPr>
                <w:sz w:val="18"/>
                <w:szCs w:val="18"/>
                <w:highlight w:val="green"/>
              </w:rPr>
            </w:pPr>
            <w:r w:rsidRPr="00520A5F">
              <w:rPr>
                <w:sz w:val="18"/>
                <w:szCs w:val="18"/>
              </w:rPr>
              <w:t>Restart NSW</w:t>
            </w:r>
          </w:p>
        </w:tc>
        <w:tc>
          <w:tcPr>
            <w:tcW w:w="6479" w:type="dxa"/>
            <w:shd w:val="clear" w:color="auto" w:fill="auto"/>
          </w:tcPr>
          <w:p w14:paraId="13981DF2" w14:textId="77777777" w:rsidR="006B7E18" w:rsidRPr="00520A5F" w:rsidRDefault="006B7E18" w:rsidP="006B7E18">
            <w:pPr>
              <w:spacing w:before="60" w:after="60"/>
              <w:rPr>
                <w:iCs/>
                <w:sz w:val="18"/>
                <w:szCs w:val="18"/>
              </w:rPr>
            </w:pPr>
            <w:r w:rsidRPr="00520A5F">
              <w:rPr>
                <w:iCs/>
                <w:sz w:val="18"/>
                <w:szCs w:val="18"/>
              </w:rPr>
              <w:t xml:space="preserve">A fund established by the NSW Government in 2011. Funds deposited into Restart NSW come from asset recycling transactions, Commonwealth Government asset recycling initiative payments, proceeds from Waratah Bonds, windfall tax revenue and investment earnings. </w:t>
            </w:r>
          </w:p>
        </w:tc>
      </w:tr>
      <w:tr w:rsidR="00E91353" w:rsidRPr="00520A5F" w14:paraId="15D13FE7" w14:textId="77777777" w:rsidTr="00207F27">
        <w:tc>
          <w:tcPr>
            <w:tcW w:w="3160" w:type="dxa"/>
            <w:shd w:val="clear" w:color="auto" w:fill="auto"/>
          </w:tcPr>
          <w:p w14:paraId="30EB6214" w14:textId="711BFA97" w:rsidR="00E91353" w:rsidRPr="00E91353" w:rsidRDefault="00E91353" w:rsidP="00E91353">
            <w:pPr>
              <w:spacing w:before="60" w:after="60"/>
              <w:rPr>
                <w:sz w:val="18"/>
                <w:szCs w:val="18"/>
                <w:highlight w:val="yellow"/>
              </w:rPr>
            </w:pPr>
            <w:r w:rsidRPr="002E112E">
              <w:rPr>
                <w:sz w:val="18"/>
                <w:szCs w:val="18"/>
              </w:rPr>
              <w:t>Rebuilding NSW</w:t>
            </w:r>
          </w:p>
        </w:tc>
        <w:tc>
          <w:tcPr>
            <w:tcW w:w="6479" w:type="dxa"/>
            <w:shd w:val="clear" w:color="auto" w:fill="auto"/>
          </w:tcPr>
          <w:p w14:paraId="511E6338" w14:textId="0607A877" w:rsidR="00E91353" w:rsidRPr="00E91353" w:rsidRDefault="00E91353" w:rsidP="00E91353">
            <w:pPr>
              <w:spacing w:before="60" w:after="60"/>
              <w:rPr>
                <w:iCs/>
                <w:sz w:val="18"/>
                <w:szCs w:val="18"/>
              </w:rPr>
            </w:pPr>
            <w:r w:rsidRPr="002E112E">
              <w:rPr>
                <w:sz w:val="18"/>
                <w:szCs w:val="18"/>
              </w:rPr>
              <w:t xml:space="preserve">The NSW Government’s 10-year plan to invest $20 billion in new infrastructure funded by electricity network transactions, Commonwealth Government asset recycling initiative payments and investment earnings. Proceeds are first deposited into Restart NSW before being invested into Rebuilding NSW projects. </w:t>
            </w:r>
          </w:p>
        </w:tc>
      </w:tr>
      <w:tr w:rsidR="006B7E18" w:rsidRPr="00520A5F" w14:paraId="6A1F6401" w14:textId="77777777" w:rsidTr="00207F27">
        <w:tc>
          <w:tcPr>
            <w:tcW w:w="3160" w:type="dxa"/>
            <w:shd w:val="clear" w:color="auto" w:fill="auto"/>
          </w:tcPr>
          <w:p w14:paraId="11FD1E4C" w14:textId="599CC850" w:rsidR="006B7E18" w:rsidRPr="00520A5F" w:rsidRDefault="006B7E18" w:rsidP="006B7E18">
            <w:pPr>
              <w:spacing w:before="60" w:after="60"/>
              <w:rPr>
                <w:sz w:val="18"/>
                <w:szCs w:val="18"/>
              </w:rPr>
            </w:pPr>
            <w:r w:rsidRPr="002E112E">
              <w:rPr>
                <w:sz w:val="18"/>
                <w:szCs w:val="18"/>
              </w:rPr>
              <w:t>Service concession</w:t>
            </w:r>
            <w:r w:rsidR="00AC2840">
              <w:rPr>
                <w:sz w:val="18"/>
                <w:szCs w:val="18"/>
              </w:rPr>
              <w:t xml:space="preserve"> arrangement</w:t>
            </w:r>
          </w:p>
        </w:tc>
        <w:tc>
          <w:tcPr>
            <w:tcW w:w="6479" w:type="dxa"/>
            <w:shd w:val="clear" w:color="auto" w:fill="auto"/>
          </w:tcPr>
          <w:p w14:paraId="3680112B" w14:textId="1928861B" w:rsidR="006B7E18" w:rsidRPr="00520A5F" w:rsidRDefault="00056D09" w:rsidP="006B7E18">
            <w:pPr>
              <w:spacing w:before="60" w:after="60"/>
              <w:rPr>
                <w:iCs/>
                <w:sz w:val="18"/>
                <w:szCs w:val="18"/>
              </w:rPr>
            </w:pPr>
            <w:r>
              <w:rPr>
                <w:iCs/>
                <w:sz w:val="18"/>
                <w:szCs w:val="18"/>
              </w:rPr>
              <w:t>C</w:t>
            </w:r>
            <w:r w:rsidRPr="00056D09">
              <w:rPr>
                <w:iCs/>
                <w:sz w:val="18"/>
                <w:szCs w:val="18"/>
              </w:rPr>
              <w:t>ontracts between a grantor and an operator where an operator provides public services related to a service concession asset on behalf of a public sector grantor for a specified period of time and manages at least some of those services.</w:t>
            </w:r>
          </w:p>
        </w:tc>
      </w:tr>
      <w:tr w:rsidR="006B7E18" w:rsidRPr="00520A5F" w14:paraId="4BC73E8D" w14:textId="77777777" w:rsidTr="00207F27">
        <w:tc>
          <w:tcPr>
            <w:tcW w:w="3160" w:type="dxa"/>
            <w:shd w:val="clear" w:color="auto" w:fill="auto"/>
          </w:tcPr>
          <w:p w14:paraId="514C5BD8" w14:textId="77777777" w:rsidR="006B7E18" w:rsidRPr="00520A5F" w:rsidRDefault="006B7E18" w:rsidP="006B7E18">
            <w:pPr>
              <w:spacing w:before="60" w:after="60"/>
              <w:rPr>
                <w:sz w:val="18"/>
                <w:szCs w:val="18"/>
              </w:rPr>
            </w:pPr>
            <w:r w:rsidRPr="00520A5F">
              <w:rPr>
                <w:sz w:val="18"/>
                <w:szCs w:val="18"/>
              </w:rPr>
              <w:t>Services</w:t>
            </w:r>
          </w:p>
        </w:tc>
        <w:tc>
          <w:tcPr>
            <w:tcW w:w="6479" w:type="dxa"/>
            <w:shd w:val="clear" w:color="auto" w:fill="auto"/>
          </w:tcPr>
          <w:p w14:paraId="796C535E" w14:textId="6ED689A9" w:rsidR="006B7E18" w:rsidRPr="00520A5F" w:rsidRDefault="006B7E18" w:rsidP="006B7E18">
            <w:pPr>
              <w:spacing w:before="60" w:after="60"/>
              <w:rPr>
                <w:iCs/>
                <w:sz w:val="18"/>
                <w:szCs w:val="18"/>
              </w:rPr>
            </w:pPr>
            <w:r w:rsidRPr="00520A5F">
              <w:rPr>
                <w:iCs/>
                <w:sz w:val="18"/>
                <w:szCs w:val="18"/>
              </w:rPr>
              <w:t xml:space="preserve">These are the ‘end products’ or direct services that are delivered to clients or recipients, the broader community or another government agency. They are expected to contribute to </w:t>
            </w:r>
            <w:r w:rsidR="008868E0">
              <w:rPr>
                <w:iCs/>
                <w:sz w:val="18"/>
                <w:szCs w:val="18"/>
              </w:rPr>
              <w:t>g</w:t>
            </w:r>
            <w:r w:rsidRPr="00520A5F">
              <w:rPr>
                <w:iCs/>
                <w:sz w:val="18"/>
                <w:szCs w:val="18"/>
              </w:rPr>
              <w:t>overnment priorities</w:t>
            </w:r>
            <w:r>
              <w:rPr>
                <w:iCs/>
                <w:sz w:val="18"/>
                <w:szCs w:val="18"/>
              </w:rPr>
              <w:t xml:space="preserve"> and the delivery of outcomes</w:t>
            </w:r>
            <w:r w:rsidRPr="00520A5F">
              <w:rPr>
                <w:iCs/>
                <w:sz w:val="18"/>
                <w:szCs w:val="18"/>
              </w:rPr>
              <w:t>.</w:t>
            </w:r>
          </w:p>
        </w:tc>
      </w:tr>
      <w:tr w:rsidR="006B7E18" w:rsidRPr="00520A5F" w14:paraId="65392B7E" w14:textId="77777777" w:rsidTr="00207F27">
        <w:tc>
          <w:tcPr>
            <w:tcW w:w="3160" w:type="dxa"/>
            <w:shd w:val="clear" w:color="auto" w:fill="auto"/>
          </w:tcPr>
          <w:p w14:paraId="35B77560" w14:textId="77777777" w:rsidR="006B7E18" w:rsidRPr="00520A5F" w:rsidRDefault="006B7E18" w:rsidP="006B7E18">
            <w:pPr>
              <w:spacing w:before="60" w:after="60"/>
              <w:rPr>
                <w:sz w:val="18"/>
                <w:szCs w:val="18"/>
              </w:rPr>
            </w:pPr>
            <w:r w:rsidRPr="00520A5F">
              <w:rPr>
                <w:sz w:val="18"/>
                <w:szCs w:val="18"/>
              </w:rPr>
              <w:t>Social Impact Investments (SII)</w:t>
            </w:r>
          </w:p>
        </w:tc>
        <w:tc>
          <w:tcPr>
            <w:tcW w:w="6479" w:type="dxa"/>
            <w:shd w:val="clear" w:color="auto" w:fill="auto"/>
          </w:tcPr>
          <w:p w14:paraId="5A1EA8A8" w14:textId="376C0D95" w:rsidR="006B7E18" w:rsidRPr="00520A5F" w:rsidRDefault="006B7E18" w:rsidP="006B7E18">
            <w:pPr>
              <w:spacing w:before="60" w:after="60"/>
              <w:rPr>
                <w:rFonts w:eastAsia="Calibri"/>
                <w:sz w:val="18"/>
                <w:szCs w:val="18"/>
              </w:rPr>
            </w:pPr>
            <w:r w:rsidRPr="00520A5F">
              <w:rPr>
                <w:rFonts w:eastAsia="Calibri"/>
                <w:sz w:val="18"/>
                <w:szCs w:val="18"/>
              </w:rPr>
              <w:t xml:space="preserve">Social impact investments aim to achieve social </w:t>
            </w:r>
            <w:r w:rsidR="00FF4BF4">
              <w:rPr>
                <w:rFonts w:eastAsia="Calibri"/>
                <w:sz w:val="18"/>
                <w:szCs w:val="18"/>
              </w:rPr>
              <w:t xml:space="preserve">and financial </w:t>
            </w:r>
            <w:r w:rsidRPr="00520A5F">
              <w:rPr>
                <w:rFonts w:eastAsia="Calibri"/>
                <w:sz w:val="18"/>
                <w:szCs w:val="18"/>
              </w:rPr>
              <w:t>returns, with measurement of both.</w:t>
            </w:r>
            <w:r w:rsidR="00213831">
              <w:rPr>
                <w:rFonts w:eastAsia="Calibri"/>
                <w:sz w:val="18"/>
                <w:szCs w:val="18"/>
              </w:rPr>
              <w:t xml:space="preserve"> </w:t>
            </w:r>
            <w:r w:rsidRPr="00520A5F">
              <w:rPr>
                <w:rFonts w:eastAsia="Calibri"/>
                <w:sz w:val="18"/>
                <w:szCs w:val="18"/>
              </w:rPr>
              <w:t>For government, partnering in such transactions is a way of harnessing capital and expertise from across public, private and not</w:t>
            </w:r>
            <w:r w:rsidR="00DB60C7">
              <w:rPr>
                <w:rFonts w:eastAsia="Calibri"/>
                <w:sz w:val="18"/>
                <w:szCs w:val="18"/>
              </w:rPr>
              <w:noBreakHyphen/>
            </w:r>
            <w:r w:rsidRPr="00520A5F">
              <w:rPr>
                <w:rFonts w:eastAsia="Calibri"/>
                <w:sz w:val="18"/>
                <w:szCs w:val="18"/>
              </w:rPr>
              <w:t>for-profit sectors in order to tackle social challenges.</w:t>
            </w:r>
          </w:p>
        </w:tc>
      </w:tr>
      <w:tr w:rsidR="006B7E18" w:rsidRPr="00520A5F" w14:paraId="3D4A1375" w14:textId="77777777" w:rsidTr="00207F27">
        <w:tc>
          <w:tcPr>
            <w:tcW w:w="3160" w:type="dxa"/>
            <w:shd w:val="clear" w:color="auto" w:fill="auto"/>
          </w:tcPr>
          <w:p w14:paraId="5D466148" w14:textId="43104C05" w:rsidR="006B7E18" w:rsidRPr="00520A5F" w:rsidRDefault="006B7E18" w:rsidP="00E841F8">
            <w:pPr>
              <w:keepNext/>
              <w:keepLines/>
              <w:pageBreakBefore/>
              <w:widowControl/>
              <w:spacing w:before="60" w:after="60"/>
              <w:rPr>
                <w:sz w:val="18"/>
                <w:szCs w:val="18"/>
              </w:rPr>
            </w:pPr>
            <w:r w:rsidRPr="00520A5F">
              <w:rPr>
                <w:sz w:val="18"/>
                <w:szCs w:val="18"/>
              </w:rPr>
              <w:lastRenderedPageBreak/>
              <w:t>Special deposit</w:t>
            </w:r>
            <w:r w:rsidR="00F81805">
              <w:rPr>
                <w:sz w:val="18"/>
                <w:szCs w:val="18"/>
              </w:rPr>
              <w:t>s</w:t>
            </w:r>
            <w:r w:rsidRPr="00520A5F">
              <w:rPr>
                <w:sz w:val="18"/>
                <w:szCs w:val="18"/>
              </w:rPr>
              <w:t xml:space="preserve"> account</w:t>
            </w:r>
          </w:p>
        </w:tc>
        <w:tc>
          <w:tcPr>
            <w:tcW w:w="6479" w:type="dxa"/>
            <w:shd w:val="clear" w:color="auto" w:fill="auto"/>
          </w:tcPr>
          <w:p w14:paraId="700EDF32" w14:textId="2EF30C1D" w:rsidR="006B7E18" w:rsidRPr="00520A5F" w:rsidRDefault="006B7E18" w:rsidP="006B7E18">
            <w:pPr>
              <w:spacing w:before="60" w:after="60"/>
              <w:rPr>
                <w:iCs/>
                <w:sz w:val="18"/>
                <w:szCs w:val="18"/>
              </w:rPr>
            </w:pPr>
            <w:r w:rsidRPr="00520A5F">
              <w:rPr>
                <w:iCs/>
                <w:sz w:val="18"/>
                <w:szCs w:val="18"/>
              </w:rPr>
              <w:t xml:space="preserve">A Special deposits account is to consist of: </w:t>
            </w:r>
          </w:p>
          <w:p w14:paraId="05956B6B" w14:textId="4751EA44" w:rsidR="006B7E18" w:rsidRPr="00520A5F" w:rsidRDefault="006B7E18" w:rsidP="00786EEC">
            <w:pPr>
              <w:numPr>
                <w:ilvl w:val="0"/>
                <w:numId w:val="30"/>
              </w:numPr>
              <w:tabs>
                <w:tab w:val="clear" w:pos="4196"/>
                <w:tab w:val="clear" w:pos="5046"/>
                <w:tab w:val="right" w:pos="526"/>
              </w:tabs>
              <w:spacing w:before="60" w:after="60"/>
              <w:ind w:left="408" w:hanging="357"/>
              <w:rPr>
                <w:iCs/>
                <w:sz w:val="18"/>
                <w:szCs w:val="18"/>
              </w:rPr>
            </w:pPr>
            <w:r w:rsidRPr="00520A5F">
              <w:rPr>
                <w:iCs/>
                <w:sz w:val="18"/>
                <w:szCs w:val="18"/>
              </w:rPr>
              <w:t xml:space="preserve">all accounts of money that the Treasurer is, under statutory authority, required to hold otherwise than for or on account of the Consolidated Fund and </w:t>
            </w:r>
          </w:p>
          <w:p w14:paraId="50468ADD" w14:textId="77777777" w:rsidR="006B7E18" w:rsidRPr="00520A5F" w:rsidRDefault="006B7E18" w:rsidP="00786EEC">
            <w:pPr>
              <w:numPr>
                <w:ilvl w:val="0"/>
                <w:numId w:val="30"/>
              </w:numPr>
              <w:tabs>
                <w:tab w:val="clear" w:pos="4196"/>
                <w:tab w:val="clear" w:pos="5046"/>
                <w:tab w:val="clear" w:pos="5897"/>
                <w:tab w:val="right" w:pos="526"/>
              </w:tabs>
              <w:spacing w:before="60" w:after="60"/>
              <w:ind w:left="408" w:hanging="357"/>
              <w:rPr>
                <w:iCs/>
                <w:sz w:val="18"/>
                <w:szCs w:val="18"/>
              </w:rPr>
            </w:pPr>
            <w:r w:rsidRPr="00520A5F">
              <w:rPr>
                <w:iCs/>
                <w:sz w:val="18"/>
                <w:szCs w:val="18"/>
              </w:rPr>
              <w:t>all accounts of money that are directed or authorised to be paid to the special deposits account by or under legislation.</w:t>
            </w:r>
          </w:p>
        </w:tc>
      </w:tr>
      <w:tr w:rsidR="006B7E18" w:rsidRPr="00520A5F" w14:paraId="4FE0DC2E" w14:textId="77777777" w:rsidTr="00207F27">
        <w:tc>
          <w:tcPr>
            <w:tcW w:w="3160" w:type="dxa"/>
            <w:shd w:val="clear" w:color="auto" w:fill="auto"/>
          </w:tcPr>
          <w:p w14:paraId="5DD93ACE" w14:textId="77777777" w:rsidR="006B7E18" w:rsidRPr="00520A5F" w:rsidRDefault="006B7E18" w:rsidP="006B7E18">
            <w:pPr>
              <w:spacing w:before="60" w:after="60"/>
              <w:rPr>
                <w:sz w:val="18"/>
                <w:szCs w:val="18"/>
              </w:rPr>
            </w:pPr>
            <w:r w:rsidRPr="00520A5F">
              <w:rPr>
                <w:sz w:val="18"/>
                <w:szCs w:val="18"/>
              </w:rPr>
              <w:t>State Owned Corporation (SOC)</w:t>
            </w:r>
          </w:p>
        </w:tc>
        <w:tc>
          <w:tcPr>
            <w:tcW w:w="6479" w:type="dxa"/>
            <w:shd w:val="clear" w:color="auto" w:fill="auto"/>
          </w:tcPr>
          <w:p w14:paraId="71B1DFBA" w14:textId="77777777" w:rsidR="006B7E18" w:rsidRPr="00520A5F" w:rsidRDefault="006B7E18" w:rsidP="006B7E18">
            <w:pPr>
              <w:spacing w:before="60" w:after="60"/>
              <w:rPr>
                <w:iCs/>
                <w:sz w:val="18"/>
                <w:szCs w:val="18"/>
              </w:rPr>
            </w:pPr>
            <w:r w:rsidRPr="00520A5F">
              <w:rPr>
                <w:iCs/>
                <w:sz w:val="18"/>
                <w:szCs w:val="18"/>
              </w:rPr>
              <w:t>Government entities (mostly PNFCs) which have been established with a governance structure mirroring as far as possible that of a publicly listed company. NSW state owned corporations are scheduled under t</w:t>
            </w:r>
            <w:r w:rsidRPr="00B0277A">
              <w:rPr>
                <w:sz w:val="18"/>
                <w:szCs w:val="18"/>
              </w:rPr>
              <w:t xml:space="preserve">he </w:t>
            </w:r>
            <w:r w:rsidRPr="00B0277A">
              <w:rPr>
                <w:i/>
                <w:sz w:val="18"/>
                <w:szCs w:val="18"/>
              </w:rPr>
              <w:t>State Owned Corporations Act 1989</w:t>
            </w:r>
            <w:r w:rsidRPr="004C068B">
              <w:rPr>
                <w:sz w:val="18"/>
                <w:szCs w:val="18"/>
              </w:rPr>
              <w:t xml:space="preserve"> (Schedule 5).</w:t>
            </w:r>
          </w:p>
        </w:tc>
      </w:tr>
      <w:tr w:rsidR="006B7E18" w:rsidRPr="00520A5F" w14:paraId="13F93185" w14:textId="77777777" w:rsidTr="00207F27">
        <w:tc>
          <w:tcPr>
            <w:tcW w:w="3160" w:type="dxa"/>
            <w:shd w:val="clear" w:color="auto" w:fill="auto"/>
          </w:tcPr>
          <w:p w14:paraId="006BA310" w14:textId="27C0BD9A" w:rsidR="006B7E18" w:rsidRPr="00520A5F" w:rsidRDefault="006B7E18" w:rsidP="00AA7503">
            <w:pPr>
              <w:keepLines/>
              <w:spacing w:before="60" w:after="60"/>
              <w:rPr>
                <w:sz w:val="18"/>
                <w:szCs w:val="18"/>
              </w:rPr>
            </w:pPr>
            <w:r w:rsidRPr="00520A5F">
              <w:rPr>
                <w:sz w:val="18"/>
                <w:szCs w:val="18"/>
              </w:rPr>
              <w:t>State Outcomes</w:t>
            </w:r>
          </w:p>
        </w:tc>
        <w:tc>
          <w:tcPr>
            <w:tcW w:w="6479" w:type="dxa"/>
            <w:shd w:val="clear" w:color="auto" w:fill="auto"/>
          </w:tcPr>
          <w:p w14:paraId="3C5B41D4" w14:textId="67A0A571" w:rsidR="006B7E18" w:rsidRPr="00520A5F" w:rsidRDefault="00622B77" w:rsidP="00AA7503">
            <w:pPr>
              <w:keepLines/>
              <w:spacing w:before="60" w:after="60"/>
              <w:rPr>
                <w:iCs/>
                <w:sz w:val="18"/>
                <w:szCs w:val="18"/>
              </w:rPr>
            </w:pPr>
            <w:r w:rsidRPr="00622B77">
              <w:rPr>
                <w:iCs/>
                <w:sz w:val="18"/>
                <w:szCs w:val="18"/>
              </w:rPr>
              <w:t>Re</w:t>
            </w:r>
            <w:r w:rsidRPr="00786EEC">
              <w:rPr>
                <w:sz w:val="18"/>
                <w:szCs w:val="18"/>
              </w:rPr>
              <w:t>present the primary purpose for which Budget funding is expended in line with the goals and priorities that the Government is seeking to achieve for citizens and businesses across all of its activities</w:t>
            </w:r>
            <w:r w:rsidR="006B7E18" w:rsidRPr="00520A5F" w:rsidDel="0079119F">
              <w:rPr>
                <w:iCs/>
                <w:sz w:val="18"/>
                <w:szCs w:val="18"/>
              </w:rPr>
              <w:t xml:space="preserve"> </w:t>
            </w:r>
          </w:p>
        </w:tc>
      </w:tr>
      <w:tr w:rsidR="006B7E18" w:rsidRPr="00520A5F" w14:paraId="2B418C2B" w14:textId="77777777" w:rsidTr="00207F27">
        <w:tc>
          <w:tcPr>
            <w:tcW w:w="3160" w:type="dxa"/>
            <w:shd w:val="clear" w:color="auto" w:fill="auto"/>
          </w:tcPr>
          <w:p w14:paraId="59ED6F8A" w14:textId="77777777" w:rsidR="006B7E18" w:rsidRPr="00520A5F" w:rsidRDefault="006B7E18" w:rsidP="006B7E18">
            <w:pPr>
              <w:spacing w:before="60" w:after="60"/>
              <w:rPr>
                <w:sz w:val="18"/>
                <w:szCs w:val="18"/>
              </w:rPr>
            </w:pPr>
            <w:r w:rsidRPr="00724AA2">
              <w:rPr>
                <w:sz w:val="18"/>
                <w:szCs w:val="18"/>
              </w:rPr>
              <w:t>Superannuation interest cost</w:t>
            </w:r>
            <w:r w:rsidRPr="00520A5F">
              <w:rPr>
                <w:sz w:val="18"/>
                <w:szCs w:val="18"/>
              </w:rPr>
              <w:t xml:space="preserve"> </w:t>
            </w:r>
          </w:p>
        </w:tc>
        <w:tc>
          <w:tcPr>
            <w:tcW w:w="6479" w:type="dxa"/>
            <w:shd w:val="clear" w:color="auto" w:fill="auto"/>
          </w:tcPr>
          <w:p w14:paraId="04DCF221" w14:textId="7B1A430F" w:rsidR="006B7E18" w:rsidRPr="00520A5F" w:rsidRDefault="006B7E18" w:rsidP="006B7E18">
            <w:pPr>
              <w:spacing w:before="60" w:after="60"/>
              <w:rPr>
                <w:iCs/>
                <w:sz w:val="18"/>
                <w:szCs w:val="18"/>
              </w:rPr>
            </w:pPr>
            <w:r w:rsidRPr="00520A5F">
              <w:rPr>
                <w:iCs/>
                <w:sz w:val="18"/>
                <w:szCs w:val="18"/>
              </w:rPr>
              <w:t>This is the net interest on the net defined benefit liability/asset determined by multiplying the net defined benefit liability/asset by the discount rate (government bond rate).</w:t>
            </w:r>
          </w:p>
        </w:tc>
      </w:tr>
      <w:tr w:rsidR="006B7E18" w:rsidRPr="00520A5F" w14:paraId="28813801" w14:textId="77777777" w:rsidTr="00207F27">
        <w:tc>
          <w:tcPr>
            <w:tcW w:w="3160" w:type="dxa"/>
            <w:shd w:val="clear" w:color="auto" w:fill="auto"/>
          </w:tcPr>
          <w:p w14:paraId="0CAB1F99" w14:textId="77777777" w:rsidR="006B7E18" w:rsidRPr="00520A5F" w:rsidRDefault="006B7E18" w:rsidP="006B7E18">
            <w:pPr>
              <w:spacing w:before="60" w:after="60"/>
              <w:rPr>
                <w:sz w:val="18"/>
                <w:szCs w:val="18"/>
              </w:rPr>
            </w:pPr>
            <w:r w:rsidRPr="00520A5F">
              <w:rPr>
                <w:sz w:val="18"/>
                <w:szCs w:val="18"/>
              </w:rPr>
              <w:t>Surplus/deficit</w:t>
            </w:r>
            <w:r w:rsidRPr="00520A5F">
              <w:rPr>
                <w:sz w:val="18"/>
                <w:szCs w:val="18"/>
              </w:rPr>
              <w:br/>
              <w:t>(net result)</w:t>
            </w:r>
          </w:p>
        </w:tc>
        <w:tc>
          <w:tcPr>
            <w:tcW w:w="6479" w:type="dxa"/>
            <w:shd w:val="clear" w:color="auto" w:fill="auto"/>
          </w:tcPr>
          <w:p w14:paraId="1BE7D91F" w14:textId="3E0A859E" w:rsidR="006B7E18" w:rsidRPr="00520A5F" w:rsidRDefault="006B7E18" w:rsidP="006B7E18">
            <w:pPr>
              <w:spacing w:before="60" w:after="60"/>
              <w:rPr>
                <w:iCs/>
                <w:sz w:val="18"/>
                <w:szCs w:val="18"/>
              </w:rPr>
            </w:pPr>
            <w:r w:rsidRPr="00520A5F">
              <w:rPr>
                <w:iCs/>
                <w:sz w:val="18"/>
                <w:szCs w:val="18"/>
              </w:rPr>
              <w:t>In Budget Paper No.</w:t>
            </w:r>
            <w:r>
              <w:rPr>
                <w:iCs/>
                <w:sz w:val="18"/>
                <w:szCs w:val="18"/>
              </w:rPr>
              <w:t>2</w:t>
            </w:r>
            <w:r w:rsidRPr="00520A5F">
              <w:rPr>
                <w:iCs/>
                <w:sz w:val="18"/>
                <w:szCs w:val="18"/>
              </w:rPr>
              <w:t xml:space="preserve"> </w:t>
            </w:r>
            <w:r w:rsidRPr="00356917">
              <w:rPr>
                <w:i/>
                <w:sz w:val="18"/>
                <w:szCs w:val="18"/>
              </w:rPr>
              <w:t>Outcome</w:t>
            </w:r>
            <w:r w:rsidR="00E375E2">
              <w:rPr>
                <w:i/>
                <w:sz w:val="18"/>
                <w:szCs w:val="18"/>
              </w:rPr>
              <w:t>s</w:t>
            </w:r>
            <w:r w:rsidRPr="00356917">
              <w:rPr>
                <w:i/>
                <w:sz w:val="18"/>
                <w:szCs w:val="18"/>
              </w:rPr>
              <w:t xml:space="preserve"> Statement</w:t>
            </w:r>
            <w:r w:rsidRPr="00520A5F">
              <w:rPr>
                <w:iCs/>
                <w:sz w:val="18"/>
                <w:szCs w:val="18"/>
              </w:rPr>
              <w:t xml:space="preserve"> this is the agency accounting result which corresponds to profit or loss in private sector financial reports. It equals the net cost of services adjusted for government contributions. This is not the same as the budget result or the GFS cash surplus/(deficit).</w:t>
            </w:r>
          </w:p>
        </w:tc>
      </w:tr>
      <w:tr w:rsidR="006B7E18" w:rsidRPr="00520A5F" w14:paraId="5F0CB412" w14:textId="77777777" w:rsidTr="00207F27">
        <w:tc>
          <w:tcPr>
            <w:tcW w:w="3160" w:type="dxa"/>
            <w:shd w:val="clear" w:color="auto" w:fill="auto"/>
          </w:tcPr>
          <w:p w14:paraId="004E4B9E" w14:textId="77777777" w:rsidR="006B7E18" w:rsidRPr="00520A5F" w:rsidRDefault="006B7E18" w:rsidP="006B7E18">
            <w:pPr>
              <w:spacing w:before="60" w:after="60"/>
              <w:rPr>
                <w:sz w:val="18"/>
                <w:szCs w:val="18"/>
              </w:rPr>
            </w:pPr>
            <w:r w:rsidRPr="00520A5F">
              <w:rPr>
                <w:sz w:val="18"/>
                <w:szCs w:val="18"/>
              </w:rPr>
              <w:t>Tax expenditure</w:t>
            </w:r>
          </w:p>
        </w:tc>
        <w:tc>
          <w:tcPr>
            <w:tcW w:w="6479" w:type="dxa"/>
            <w:shd w:val="clear" w:color="auto" w:fill="auto"/>
          </w:tcPr>
          <w:p w14:paraId="56B7AA4A" w14:textId="77777777" w:rsidR="006B7E18" w:rsidRPr="00520A5F" w:rsidRDefault="006B7E18" w:rsidP="006B7E18">
            <w:pPr>
              <w:spacing w:before="60" w:after="60"/>
              <w:rPr>
                <w:iCs/>
                <w:sz w:val="18"/>
                <w:szCs w:val="18"/>
              </w:rPr>
            </w:pPr>
            <w:r w:rsidRPr="00520A5F">
              <w:rPr>
                <w:iCs/>
                <w:sz w:val="18"/>
                <w:szCs w:val="18"/>
              </w:rPr>
              <w:t>Measures the additional tax that would have been payable if standard (or benchmark) tax rates had been applied to all taxpayers. Expenditures can include specific exemptions, reduced tax rates, allowances, deductions and deferral of tax liabilities. Equivalent amounts may be paid as rebates.</w:t>
            </w:r>
          </w:p>
        </w:tc>
      </w:tr>
      <w:tr w:rsidR="006B7E18" w:rsidRPr="00520A5F" w14:paraId="51C5F24E" w14:textId="77777777" w:rsidTr="00207F27">
        <w:tc>
          <w:tcPr>
            <w:tcW w:w="3160" w:type="dxa"/>
            <w:shd w:val="clear" w:color="auto" w:fill="auto"/>
          </w:tcPr>
          <w:p w14:paraId="056500F1" w14:textId="77777777" w:rsidR="006B7E18" w:rsidRPr="00520A5F" w:rsidRDefault="006B7E18" w:rsidP="006B7E18">
            <w:pPr>
              <w:spacing w:before="60" w:after="60"/>
              <w:rPr>
                <w:sz w:val="18"/>
                <w:szCs w:val="18"/>
              </w:rPr>
            </w:pPr>
            <w:r w:rsidRPr="00520A5F">
              <w:rPr>
                <w:sz w:val="18"/>
                <w:szCs w:val="18"/>
              </w:rPr>
              <w:t>Total expenses</w:t>
            </w:r>
            <w:r>
              <w:rPr>
                <w:sz w:val="18"/>
                <w:szCs w:val="18"/>
              </w:rPr>
              <w:t xml:space="preserve"> (from transactions)</w:t>
            </w:r>
          </w:p>
          <w:p w14:paraId="0EE1CE55" w14:textId="77777777" w:rsidR="006B7E18" w:rsidRPr="00520A5F" w:rsidRDefault="006B7E18" w:rsidP="006B7E18">
            <w:pPr>
              <w:spacing w:before="60" w:after="60"/>
              <w:rPr>
                <w:iCs/>
                <w:sz w:val="18"/>
                <w:szCs w:val="18"/>
              </w:rPr>
            </w:pPr>
          </w:p>
        </w:tc>
        <w:tc>
          <w:tcPr>
            <w:tcW w:w="6479" w:type="dxa"/>
            <w:shd w:val="clear" w:color="auto" w:fill="auto"/>
          </w:tcPr>
          <w:p w14:paraId="07B54FE0" w14:textId="77777777" w:rsidR="006B7E18" w:rsidRPr="00520A5F" w:rsidRDefault="006B7E18" w:rsidP="006B7E18">
            <w:pPr>
              <w:spacing w:before="60" w:after="60"/>
              <w:rPr>
                <w:iCs/>
                <w:sz w:val="18"/>
                <w:szCs w:val="18"/>
              </w:rPr>
            </w:pPr>
            <w:r w:rsidRPr="00520A5F">
              <w:rPr>
                <w:iCs/>
                <w:sz w:val="18"/>
                <w:szCs w:val="18"/>
              </w:rPr>
              <w:t xml:space="preserve">The total amount of expenses incurred in the provision of goods and services, regardless of whether a cash payment is made to meet the expense in the same year. It does not include expenditure on the purchase of assets. It also excludes losses, which are classified as other economic flows. </w:t>
            </w:r>
          </w:p>
        </w:tc>
      </w:tr>
      <w:tr w:rsidR="006B7E18" w:rsidRPr="00520A5F" w14:paraId="254C33DB" w14:textId="77777777" w:rsidTr="00207F27">
        <w:tc>
          <w:tcPr>
            <w:tcW w:w="3160" w:type="dxa"/>
            <w:shd w:val="clear" w:color="auto" w:fill="auto"/>
          </w:tcPr>
          <w:p w14:paraId="31ED8170" w14:textId="77777777" w:rsidR="006B7E18" w:rsidRPr="00520A5F" w:rsidRDefault="006B7E18" w:rsidP="006B7E18">
            <w:pPr>
              <w:spacing w:before="60" w:after="60"/>
              <w:rPr>
                <w:sz w:val="18"/>
                <w:szCs w:val="18"/>
              </w:rPr>
            </w:pPr>
            <w:r w:rsidRPr="00520A5F">
              <w:rPr>
                <w:sz w:val="18"/>
                <w:szCs w:val="18"/>
              </w:rPr>
              <w:t>Total revenues</w:t>
            </w:r>
            <w:r>
              <w:rPr>
                <w:sz w:val="18"/>
                <w:szCs w:val="18"/>
              </w:rPr>
              <w:t xml:space="preserve"> (from transactions)</w:t>
            </w:r>
          </w:p>
        </w:tc>
        <w:tc>
          <w:tcPr>
            <w:tcW w:w="6479" w:type="dxa"/>
            <w:shd w:val="clear" w:color="auto" w:fill="auto"/>
          </w:tcPr>
          <w:p w14:paraId="7F8B7D20" w14:textId="77777777" w:rsidR="006B7E18" w:rsidRPr="00520A5F" w:rsidRDefault="006B7E18" w:rsidP="006B7E18">
            <w:pPr>
              <w:spacing w:before="60" w:after="60"/>
              <w:rPr>
                <w:iCs/>
                <w:sz w:val="18"/>
                <w:szCs w:val="18"/>
              </w:rPr>
            </w:pPr>
            <w:r w:rsidRPr="00520A5F">
              <w:rPr>
                <w:iCs/>
                <w:sz w:val="18"/>
                <w:szCs w:val="18"/>
              </w:rPr>
              <w:t>This is the total amount of revenue due by way of taxation, Commonwealth Government grants and from other sources (excluding asset sales) regardless of whether a cash payment is received. It excludes gains, which are classified as other economic flows.</w:t>
            </w:r>
          </w:p>
        </w:tc>
      </w:tr>
      <w:tr w:rsidR="006B7E18" w:rsidRPr="00520A5F" w14:paraId="4658A509" w14:textId="77777777" w:rsidTr="00207F27">
        <w:tc>
          <w:tcPr>
            <w:tcW w:w="3160" w:type="dxa"/>
            <w:shd w:val="clear" w:color="auto" w:fill="auto"/>
          </w:tcPr>
          <w:p w14:paraId="776E1C84" w14:textId="77777777" w:rsidR="006B7E18" w:rsidRPr="00520A5F" w:rsidRDefault="006B7E18" w:rsidP="006B7E18">
            <w:pPr>
              <w:spacing w:before="60" w:after="60"/>
              <w:rPr>
                <w:sz w:val="18"/>
                <w:szCs w:val="18"/>
              </w:rPr>
            </w:pPr>
            <w:r w:rsidRPr="00724AA2">
              <w:rPr>
                <w:sz w:val="18"/>
                <w:szCs w:val="18"/>
              </w:rPr>
              <w:t>Total state sector</w:t>
            </w:r>
          </w:p>
        </w:tc>
        <w:tc>
          <w:tcPr>
            <w:tcW w:w="6479" w:type="dxa"/>
            <w:shd w:val="clear" w:color="auto" w:fill="auto"/>
          </w:tcPr>
          <w:p w14:paraId="5648EA7D" w14:textId="77777777" w:rsidR="006B7E18" w:rsidRPr="00520A5F" w:rsidRDefault="006B7E18" w:rsidP="006B7E18">
            <w:pPr>
              <w:spacing w:before="60" w:after="60"/>
              <w:rPr>
                <w:iCs/>
                <w:sz w:val="18"/>
                <w:szCs w:val="18"/>
              </w:rPr>
            </w:pPr>
            <w:r w:rsidRPr="00520A5F">
              <w:rPr>
                <w:iCs/>
                <w:sz w:val="18"/>
                <w:szCs w:val="18"/>
              </w:rPr>
              <w:t>This represents all agencies and corporations owned and controlled by the NSW Government. It comprises the general government, public non-financial corporations and public financial corporations.</w:t>
            </w:r>
          </w:p>
        </w:tc>
      </w:tr>
      <w:tr w:rsidR="006B7E18" w:rsidRPr="00520A5F" w14:paraId="74ABD528" w14:textId="77777777" w:rsidTr="00207F27">
        <w:tc>
          <w:tcPr>
            <w:tcW w:w="3160" w:type="dxa"/>
            <w:shd w:val="clear" w:color="auto" w:fill="auto"/>
          </w:tcPr>
          <w:p w14:paraId="51C02C20" w14:textId="77777777" w:rsidR="006B7E18" w:rsidRPr="00520A5F" w:rsidRDefault="006B7E18" w:rsidP="006B7E18">
            <w:pPr>
              <w:spacing w:before="60" w:after="60"/>
              <w:rPr>
                <w:sz w:val="18"/>
                <w:szCs w:val="18"/>
              </w:rPr>
            </w:pPr>
            <w:r w:rsidRPr="00520A5F">
              <w:rPr>
                <w:sz w:val="18"/>
                <w:szCs w:val="18"/>
              </w:rPr>
              <w:t>Uniform Presentation Framework (UPF)</w:t>
            </w:r>
          </w:p>
        </w:tc>
        <w:tc>
          <w:tcPr>
            <w:tcW w:w="6479" w:type="dxa"/>
            <w:shd w:val="clear" w:color="auto" w:fill="auto"/>
          </w:tcPr>
          <w:p w14:paraId="5469AA01" w14:textId="77777777" w:rsidR="006B7E18" w:rsidRPr="00520A5F" w:rsidRDefault="006B7E18" w:rsidP="006B7E18">
            <w:pPr>
              <w:spacing w:before="60" w:after="60"/>
              <w:rPr>
                <w:iCs/>
                <w:sz w:val="18"/>
                <w:szCs w:val="18"/>
              </w:rPr>
            </w:pPr>
            <w:r w:rsidRPr="00520A5F">
              <w:rPr>
                <w:iCs/>
                <w:sz w:val="18"/>
                <w:szCs w:val="18"/>
              </w:rPr>
              <w:t>The uniform presentation framework provides uniformity in presentation of financial information so that users of the information can make valid comparisons between jurisdictions. A new framework was introduced in February 2019 which aligns the UPF with the ABS GFS Manual updates.</w:t>
            </w:r>
          </w:p>
        </w:tc>
      </w:tr>
      <w:tr w:rsidR="002525FC" w:rsidRPr="00520A5F" w14:paraId="6E59DF37" w14:textId="77777777" w:rsidTr="00207F27">
        <w:tc>
          <w:tcPr>
            <w:tcW w:w="3160" w:type="dxa"/>
            <w:shd w:val="clear" w:color="auto" w:fill="auto"/>
          </w:tcPr>
          <w:p w14:paraId="0B5DA8FE" w14:textId="2B122287" w:rsidR="002525FC" w:rsidRPr="00520A5F" w:rsidRDefault="002525FC" w:rsidP="006B7E18">
            <w:pPr>
              <w:spacing w:before="60" w:after="60"/>
              <w:rPr>
                <w:sz w:val="18"/>
                <w:szCs w:val="18"/>
              </w:rPr>
            </w:pPr>
            <w:r>
              <w:rPr>
                <w:sz w:val="18"/>
                <w:szCs w:val="18"/>
              </w:rPr>
              <w:t>WestInvest</w:t>
            </w:r>
          </w:p>
        </w:tc>
        <w:tc>
          <w:tcPr>
            <w:tcW w:w="6479" w:type="dxa"/>
            <w:shd w:val="clear" w:color="auto" w:fill="auto"/>
          </w:tcPr>
          <w:p w14:paraId="2328C6A8" w14:textId="4346420B" w:rsidR="002525FC" w:rsidRPr="00520A5F" w:rsidRDefault="00B918D6" w:rsidP="006B7E18">
            <w:pPr>
              <w:spacing w:before="60" w:after="60"/>
              <w:rPr>
                <w:iCs/>
                <w:sz w:val="18"/>
                <w:szCs w:val="18"/>
              </w:rPr>
            </w:pPr>
            <w:r>
              <w:rPr>
                <w:iCs/>
                <w:sz w:val="18"/>
                <w:szCs w:val="18"/>
              </w:rPr>
              <w:t xml:space="preserve">Program to fund </w:t>
            </w:r>
            <w:r w:rsidR="000F6066">
              <w:rPr>
                <w:iCs/>
                <w:sz w:val="18"/>
                <w:szCs w:val="18"/>
              </w:rPr>
              <w:t xml:space="preserve">and </w:t>
            </w:r>
            <w:r w:rsidRPr="00786EEC">
              <w:rPr>
                <w:sz w:val="18"/>
                <w:szCs w:val="18"/>
              </w:rPr>
              <w:t>deliver transformation projects that will enhance communities</w:t>
            </w:r>
            <w:r w:rsidR="00322D0D">
              <w:rPr>
                <w:iCs/>
                <w:sz w:val="18"/>
                <w:szCs w:val="18"/>
              </w:rPr>
              <w:t>, improve liveability</w:t>
            </w:r>
            <w:r w:rsidRPr="00786EEC">
              <w:rPr>
                <w:sz w:val="18"/>
                <w:szCs w:val="18"/>
              </w:rPr>
              <w:t xml:space="preserve"> and </w:t>
            </w:r>
            <w:r w:rsidR="008C5B77">
              <w:rPr>
                <w:iCs/>
                <w:sz w:val="18"/>
                <w:szCs w:val="18"/>
              </w:rPr>
              <w:t>s</w:t>
            </w:r>
            <w:r w:rsidR="008C5B77" w:rsidRPr="00786EEC">
              <w:rPr>
                <w:sz w:val="18"/>
                <w:szCs w:val="18"/>
              </w:rPr>
              <w:t>upport medium term economic recovery</w:t>
            </w:r>
            <w:r w:rsidRPr="00786EEC">
              <w:rPr>
                <w:sz w:val="18"/>
                <w:szCs w:val="18"/>
              </w:rPr>
              <w:t xml:space="preserve"> throughout Western Sydney</w:t>
            </w:r>
            <w:r w:rsidR="00882C73" w:rsidRPr="00786EEC">
              <w:rPr>
                <w:sz w:val="18"/>
                <w:szCs w:val="18"/>
              </w:rPr>
              <w:t>.</w:t>
            </w:r>
          </w:p>
        </w:tc>
      </w:tr>
    </w:tbl>
    <w:p w14:paraId="58363AB3" w14:textId="77777777" w:rsidR="00EF4F8E" w:rsidRPr="00EF4F8E" w:rsidRDefault="00EF4F8E" w:rsidP="00743E1F">
      <w:pPr>
        <w:ind w:left="357" w:hanging="357"/>
        <w:rPr>
          <w:sz w:val="6"/>
          <w:szCs w:val="6"/>
        </w:rPr>
      </w:pPr>
    </w:p>
    <w:p w14:paraId="187E47D9" w14:textId="7316750C" w:rsidR="00733A19" w:rsidRPr="00040C2B" w:rsidRDefault="00F146F9" w:rsidP="00743E1F">
      <w:pPr>
        <w:ind w:left="357" w:hanging="357"/>
        <w:rPr>
          <w:sz w:val="17"/>
          <w:szCs w:val="17"/>
        </w:rPr>
      </w:pPr>
      <w:r>
        <w:rPr>
          <w:sz w:val="17"/>
          <w:szCs w:val="17"/>
        </w:rPr>
        <w:t>(a)</w:t>
      </w:r>
      <w:r w:rsidR="00733A19" w:rsidRPr="00040C2B">
        <w:rPr>
          <w:sz w:val="17"/>
          <w:szCs w:val="17"/>
        </w:rPr>
        <w:t xml:space="preserve"> </w:t>
      </w:r>
      <w:r w:rsidR="00743E1F">
        <w:rPr>
          <w:sz w:val="17"/>
          <w:szCs w:val="17"/>
        </w:rPr>
        <w:tab/>
      </w:r>
      <w:r w:rsidR="00743E1F">
        <w:rPr>
          <w:sz w:val="17"/>
          <w:szCs w:val="17"/>
        </w:rPr>
        <w:tab/>
      </w:r>
      <w:r w:rsidR="00497919">
        <w:rPr>
          <w:sz w:val="17"/>
          <w:szCs w:val="17"/>
        </w:rPr>
        <w:t>T</w:t>
      </w:r>
      <w:r w:rsidR="00733A19" w:rsidRPr="00040C2B">
        <w:rPr>
          <w:sz w:val="17"/>
          <w:szCs w:val="17"/>
        </w:rPr>
        <w:t>erms used when referring to the Restart NSW and Rebuilding NSW programs</w:t>
      </w:r>
      <w:r w:rsidR="00DD2DA4">
        <w:rPr>
          <w:sz w:val="17"/>
          <w:szCs w:val="17"/>
        </w:rPr>
        <w:t>.</w:t>
      </w:r>
    </w:p>
    <w:p w14:paraId="3219668D" w14:textId="77777777" w:rsidR="007D0C2E" w:rsidRPr="00743E1F" w:rsidRDefault="007D0C2E" w:rsidP="00EF4F8E"/>
    <w:sectPr w:rsidR="007D0C2E" w:rsidRPr="00743E1F" w:rsidSect="00482BFD">
      <w:type w:val="continuous"/>
      <w:pgSz w:w="11907" w:h="16840" w:code="9"/>
      <w:pgMar w:top="1134" w:right="1134" w:bottom="794" w:left="1134" w:header="454" w:footer="454"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9076" w14:textId="77777777" w:rsidR="00E85896" w:rsidRDefault="00E85896">
      <w:r>
        <w:separator/>
      </w:r>
    </w:p>
    <w:p w14:paraId="6989BEEE" w14:textId="77777777" w:rsidR="00E85896" w:rsidRDefault="00E85896"/>
    <w:p w14:paraId="646E95EA" w14:textId="77777777" w:rsidR="00E85896" w:rsidRDefault="00E85896"/>
  </w:endnote>
  <w:endnote w:type="continuationSeparator" w:id="0">
    <w:p w14:paraId="4386E599" w14:textId="77777777" w:rsidR="00E85896" w:rsidRDefault="00E85896">
      <w:r>
        <w:continuationSeparator/>
      </w:r>
    </w:p>
    <w:p w14:paraId="2922EFCF" w14:textId="77777777" w:rsidR="00E85896" w:rsidRDefault="00E85896"/>
    <w:p w14:paraId="3C56933E" w14:textId="77777777" w:rsidR="00E85896" w:rsidRDefault="00E85896"/>
  </w:endnote>
  <w:endnote w:type="continuationNotice" w:id="1">
    <w:p w14:paraId="33C1B7AA" w14:textId="77777777" w:rsidR="00E85896" w:rsidRDefault="00E85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ellGothic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B0A" w14:textId="77777777" w:rsidR="00326D4C" w:rsidRPr="00762293" w:rsidRDefault="00326D4C" w:rsidP="00A11AEE">
    <w:pPr>
      <w:pBdr>
        <w:top w:val="single" w:sz="4" w:space="4" w:color="auto"/>
      </w:pBdr>
      <w:tabs>
        <w:tab w:val="right" w:pos="9638"/>
      </w:tabs>
      <w:rPr>
        <w:sz w:val="18"/>
        <w:szCs w:val="18"/>
      </w:rPr>
    </w:pPr>
    <w:r w:rsidRPr="00762293">
      <w:rPr>
        <w:sz w:val="18"/>
        <w:szCs w:val="18"/>
      </w:rPr>
      <w:fldChar w:fldCharType="begin"/>
    </w:r>
    <w:r w:rsidRPr="00762293">
      <w:rPr>
        <w:sz w:val="18"/>
        <w:szCs w:val="18"/>
      </w:rPr>
      <w:instrText xml:space="preserve"> PAGE  \* MERGEFORMAT </w:instrText>
    </w:r>
    <w:r w:rsidRPr="00762293">
      <w:rPr>
        <w:sz w:val="18"/>
        <w:szCs w:val="18"/>
      </w:rPr>
      <w:fldChar w:fldCharType="separate"/>
    </w:r>
    <w:r>
      <w:rPr>
        <w:noProof/>
        <w:sz w:val="18"/>
        <w:szCs w:val="18"/>
      </w:rPr>
      <w:t>12</w:t>
    </w:r>
    <w:r w:rsidRPr="00762293">
      <w:rPr>
        <w:sz w:val="18"/>
        <w:szCs w:val="18"/>
      </w:rPr>
      <w:fldChar w:fldCharType="end"/>
    </w:r>
    <w:r>
      <w:rPr>
        <w:sz w:val="18"/>
        <w:szCs w:val="18"/>
      </w:rPr>
      <w:tab/>
    </w:r>
    <w:r w:rsidRPr="00762293">
      <w:rPr>
        <w:rFonts w:eastAsia="Arial Unicode MS"/>
        <w:sz w:val="18"/>
        <w:szCs w:val="18"/>
      </w:rPr>
      <w:t>Budget Speech 201</w:t>
    </w:r>
    <w:r>
      <w:rPr>
        <w:rFonts w:eastAsia="Arial Unicode MS"/>
        <w:sz w:val="18"/>
        <w:szCs w:val="18"/>
      </w:rPr>
      <w:t>9</w:t>
    </w:r>
    <w:r w:rsidRPr="00762293">
      <w:rPr>
        <w:rFonts w:eastAsia="Arial Unicode MS"/>
        <w:sz w:val="18"/>
        <w:szCs w:val="18"/>
      </w:rPr>
      <w:t>-</w:t>
    </w:r>
    <w:r>
      <w:rPr>
        <w:rFonts w:eastAsia="Arial Unicode MS"/>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D82C" w14:textId="77777777" w:rsidR="00326D4C" w:rsidRDefault="00326D4C" w:rsidP="00A11AEE">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896E" w14:textId="40D73855" w:rsidR="00326D4C" w:rsidRDefault="00E5227E" w:rsidP="00EE4E58">
    <w:pPr>
      <w:pStyle w:val="Footer"/>
      <w:pBdr>
        <w:top w:val="single" w:sz="4" w:space="4" w:color="auto"/>
      </w:pBdr>
      <w:tabs>
        <w:tab w:val="clear" w:pos="4513"/>
        <w:tab w:val="clear" w:pos="9026"/>
        <w:tab w:val="right" w:pos="9639"/>
      </w:tabs>
      <w:rPr>
        <w:sz w:val="18"/>
        <w:szCs w:val="18"/>
      </w:rPr>
    </w:pPr>
    <w:r>
      <w:rPr>
        <w:sz w:val="18"/>
        <w:szCs w:val="18"/>
      </w:rPr>
      <w:t>iv</w:t>
    </w:r>
    <w:r w:rsidR="00326D4C">
      <w:rPr>
        <w:sz w:val="18"/>
        <w:szCs w:val="18"/>
      </w:rPr>
      <w:tab/>
      <w:t>How to Read the Budget Papers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132E" w14:textId="5367D69D" w:rsidR="00326D4C" w:rsidRPr="009B3447" w:rsidRDefault="00326D4C" w:rsidP="009B3447">
    <w:pPr>
      <w:pStyle w:val="Footer"/>
      <w:pBdr>
        <w:top w:val="single" w:sz="4" w:space="4" w:color="auto"/>
      </w:pBdr>
      <w:tabs>
        <w:tab w:val="clear" w:pos="4513"/>
        <w:tab w:val="clear" w:pos="9026"/>
        <w:tab w:val="right" w:pos="9639"/>
      </w:tabs>
      <w:rPr>
        <w:sz w:val="18"/>
        <w:szCs w:val="18"/>
      </w:rPr>
    </w:pPr>
    <w:r>
      <w:rPr>
        <w:rFonts w:eastAsia="Arial Unicode MS"/>
        <w:sz w:val="18"/>
        <w:szCs w:val="18"/>
      </w:rPr>
      <w:t>How to Read the Budget Papers</w:t>
    </w:r>
    <w:r>
      <w:rPr>
        <w:rFonts w:eastAsia="Arial Unicode MS"/>
        <w:sz w:val="18"/>
        <w:szCs w:val="18"/>
      </w:rPr>
      <w:tab/>
    </w:r>
    <w:r w:rsidR="00E12D73">
      <w:rPr>
        <w:rStyle w:val="PageNumber"/>
      </w:rPr>
      <w:fldChar w:fldCharType="begin"/>
    </w:r>
    <w:r w:rsidR="00E12D73">
      <w:rPr>
        <w:rStyle w:val="PageNumber"/>
      </w:rPr>
      <w:instrText xml:space="preserve"> PAGE </w:instrText>
    </w:r>
    <w:r w:rsidR="00E12D73">
      <w:rPr>
        <w:rStyle w:val="PageNumber"/>
      </w:rPr>
      <w:fldChar w:fldCharType="separate"/>
    </w:r>
    <w:r w:rsidR="00E12D73">
      <w:rPr>
        <w:rStyle w:val="PageNumber"/>
        <w:noProof/>
      </w:rPr>
      <w:t>iii</w:t>
    </w:r>
    <w:r w:rsidR="00E12D73">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65B7" w14:textId="60E4A73B" w:rsidR="00326D4C" w:rsidRDefault="00326D4C" w:rsidP="000A7415">
    <w:pPr>
      <w:pStyle w:val="Footer"/>
      <w:pBdr>
        <w:top w:val="single" w:sz="4" w:space="4" w:color="auto"/>
      </w:pBdr>
      <w:tabs>
        <w:tab w:val="clear" w:pos="4513"/>
        <w:tab w:val="clear" w:pos="9026"/>
        <w:tab w:val="right" w:pos="9639"/>
      </w:tabs>
      <w:rPr>
        <w:sz w:val="18"/>
        <w:szCs w:val="18"/>
      </w:rPr>
    </w:pPr>
    <w:r>
      <w:rPr>
        <w:rFonts w:eastAsia="Arial Unicode MS"/>
        <w:sz w:val="18"/>
        <w:szCs w:val="18"/>
      </w:rPr>
      <w:t>How to Read the Budget Papers</w:t>
    </w:r>
    <w:r>
      <w:rPr>
        <w:rFonts w:eastAsia="Arial Unicode MS"/>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F70" w14:textId="51A11E80" w:rsidR="003B3D80" w:rsidRDefault="00E12D73" w:rsidP="00EE4E58">
    <w:pPr>
      <w:pStyle w:val="Footer"/>
      <w:pBdr>
        <w:top w:val="single" w:sz="4" w:space="4" w:color="auto"/>
      </w:pBdr>
      <w:tabs>
        <w:tab w:val="clear" w:pos="4513"/>
        <w:tab w:val="clear" w:pos="9026"/>
        <w:tab w:val="right" w:pos="9639"/>
      </w:tabs>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sidR="001A0CBC">
      <w:rPr>
        <w:sz w:val="18"/>
        <w:szCs w:val="18"/>
      </w:rPr>
      <w:tab/>
      <w:t>How to Read the Budget Papers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A2F0" w14:textId="77777777" w:rsidR="006474A6" w:rsidRPr="00FA60EB" w:rsidRDefault="00FA60EB" w:rsidP="00FA60EB">
    <w:pPr>
      <w:pStyle w:val="Footer"/>
      <w:pBdr>
        <w:top w:val="single" w:sz="4" w:space="4" w:color="auto"/>
      </w:pBdr>
      <w:tabs>
        <w:tab w:val="clear" w:pos="4513"/>
        <w:tab w:val="clear" w:pos="9026"/>
        <w:tab w:val="right" w:pos="9639"/>
      </w:tabs>
      <w:jc w:val="right"/>
      <w:rPr>
        <w:rFonts w:eastAsia="Arial Unicode MS"/>
        <w:sz w:val="18"/>
        <w:szCs w:val="18"/>
      </w:rPr>
    </w:pPr>
    <w:r>
      <w:rPr>
        <w:rFonts w:eastAsia="Arial Unicode MS"/>
        <w:sz w:val="18"/>
        <w:szCs w:val="18"/>
      </w:rPr>
      <w:t>How to Read the Budget Papers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79C8" w14:textId="77777777" w:rsidR="006474A6" w:rsidRDefault="006474A6" w:rsidP="000A7415">
    <w:pPr>
      <w:pStyle w:val="Footer"/>
      <w:pBdr>
        <w:top w:val="single" w:sz="4" w:space="4" w:color="auto"/>
      </w:pBdr>
      <w:tabs>
        <w:tab w:val="clear" w:pos="4513"/>
        <w:tab w:val="clear" w:pos="9026"/>
        <w:tab w:val="right" w:pos="9639"/>
      </w:tabs>
      <w:rPr>
        <w:sz w:val="18"/>
        <w:szCs w:val="18"/>
      </w:rPr>
    </w:pPr>
    <w:r>
      <w:rPr>
        <w:rFonts w:eastAsia="Arial Unicode MS"/>
        <w:sz w:val="18"/>
        <w:szCs w:val="18"/>
      </w:rPr>
      <w:t>How to Read the Budget Papers</w:t>
    </w:r>
    <w:r>
      <w:rPr>
        <w:rFonts w:eastAsia="Arial Unicode MS"/>
        <w:sz w:val="18"/>
        <w:szCs w:val="18"/>
      </w:rPr>
      <w:tab/>
    </w:r>
    <w:r w:rsidR="000E10C5">
      <w:rPr>
        <w:rStyle w:val="PageNumber"/>
      </w:rPr>
      <w:fldChar w:fldCharType="begin"/>
    </w:r>
    <w:r w:rsidR="000E10C5">
      <w:rPr>
        <w:rStyle w:val="PageNumber"/>
      </w:rPr>
      <w:instrText xml:space="preserve"> PAGE </w:instrText>
    </w:r>
    <w:r w:rsidR="000E10C5">
      <w:rPr>
        <w:rStyle w:val="PageNumber"/>
      </w:rPr>
      <w:fldChar w:fldCharType="separate"/>
    </w:r>
    <w:r w:rsidR="000E10C5">
      <w:rPr>
        <w:rStyle w:val="PageNumber"/>
        <w:noProof/>
      </w:rPr>
      <w:t>xx</w:t>
    </w:r>
    <w:r w:rsidR="000E10C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A624" w14:textId="77777777" w:rsidR="00E85896" w:rsidRDefault="00E85896">
      <w:r>
        <w:separator/>
      </w:r>
    </w:p>
  </w:footnote>
  <w:footnote w:type="continuationSeparator" w:id="0">
    <w:p w14:paraId="22E2C813" w14:textId="77777777" w:rsidR="00E85896" w:rsidRDefault="00E85896">
      <w:r>
        <w:continuationSeparator/>
      </w:r>
    </w:p>
    <w:p w14:paraId="712257E4" w14:textId="77777777" w:rsidR="00E85896" w:rsidRDefault="00E85896"/>
    <w:p w14:paraId="4D92C19C" w14:textId="77777777" w:rsidR="00E85896" w:rsidRDefault="00E85896"/>
  </w:footnote>
  <w:footnote w:type="continuationNotice" w:id="1">
    <w:p w14:paraId="1803899C" w14:textId="77777777" w:rsidR="00E85896" w:rsidRDefault="00E85896"/>
  </w:footnote>
  <w:footnote w:id="2">
    <w:p w14:paraId="54FB882C" w14:textId="005D924A" w:rsidR="008724F8" w:rsidRDefault="008724F8" w:rsidP="00F44BA1">
      <w:pPr>
        <w:pStyle w:val="FootnoteText"/>
        <w:ind w:left="709" w:hanging="283"/>
      </w:pPr>
      <w:r>
        <w:rPr>
          <w:rStyle w:val="FootnoteReference"/>
        </w:rPr>
        <w:footnoteRef/>
      </w:r>
      <w:r>
        <w:t xml:space="preserve"> </w:t>
      </w:r>
      <w:r w:rsidR="00CD0EFF">
        <w:tab/>
      </w:r>
      <w:r w:rsidRPr="008724F8">
        <w:t>Clusters are groups of NSW</w:t>
      </w:r>
      <w:r w:rsidR="003B28B1">
        <w:t xml:space="preserve"> g</w:t>
      </w:r>
      <w:r w:rsidR="00D87248">
        <w:t xml:space="preserve">eneral </w:t>
      </w:r>
      <w:r w:rsidR="003B28B1">
        <w:t>g</w:t>
      </w:r>
      <w:r w:rsidRPr="008724F8">
        <w:t>overnment agencies and entities with shared or related policy goals.</w:t>
      </w:r>
    </w:p>
  </w:footnote>
  <w:footnote w:id="3">
    <w:p w14:paraId="2A1B19D0" w14:textId="562E2019" w:rsidR="00E64CF9" w:rsidRDefault="00E64CF9" w:rsidP="009D44DE">
      <w:pPr>
        <w:pStyle w:val="FootnoteText"/>
        <w:ind w:left="709" w:hanging="283"/>
      </w:pPr>
      <w:r>
        <w:rPr>
          <w:rStyle w:val="FootnoteReference"/>
        </w:rPr>
        <w:footnoteRef/>
      </w:r>
      <w:r>
        <w:t xml:space="preserve"> </w:t>
      </w:r>
      <w:r w:rsidR="00510033">
        <w:tab/>
      </w:r>
      <w:r w:rsidR="00A94CAF">
        <w:t xml:space="preserve">There are also a number of smaller service </w:t>
      </w:r>
      <w:r w:rsidR="00A94CAF" w:rsidRPr="00385DEC">
        <w:t>agencies</w:t>
      </w:r>
      <w:r w:rsidR="00A94CAF">
        <w:t xml:space="preserve"> and trusts</w:t>
      </w:r>
    </w:p>
  </w:footnote>
  <w:footnote w:id="4">
    <w:p w14:paraId="09506032" w14:textId="6DE15320" w:rsidR="00680A2B" w:rsidRDefault="00680A2B" w:rsidP="00096ECD">
      <w:pPr>
        <w:pStyle w:val="FootnoteText"/>
        <w:ind w:left="709" w:hanging="283"/>
      </w:pPr>
      <w:r>
        <w:rPr>
          <w:rStyle w:val="FootnoteReference"/>
        </w:rPr>
        <w:footnoteRef/>
      </w:r>
      <w:r>
        <w:t xml:space="preserve"> </w:t>
      </w:r>
      <w:r w:rsidR="00096ECD">
        <w:tab/>
      </w:r>
      <w:r>
        <w:t xml:space="preserve">Consolidated means the combined activities of all those entities in the sector. </w:t>
      </w:r>
    </w:p>
  </w:footnote>
  <w:footnote w:id="5">
    <w:p w14:paraId="0DB17C63" w14:textId="426E30A1" w:rsidR="00A7450C" w:rsidRDefault="00A7450C" w:rsidP="00FD60A6">
      <w:pPr>
        <w:pStyle w:val="FootnoteText"/>
        <w:ind w:left="709" w:hanging="283"/>
      </w:pPr>
      <w:r>
        <w:rPr>
          <w:rStyle w:val="FootnoteReference"/>
        </w:rPr>
        <w:footnoteRef/>
      </w:r>
      <w:r w:rsidR="00FD60A6">
        <w:tab/>
      </w:r>
      <w:r w:rsidRPr="00A7450C">
        <w:t>It is important to keep in mind that when the NSW Government reports a surplus, deficit or balanced budget it is referring to the Operating Statement not the Cash Flow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C20A" w14:textId="77777777" w:rsidR="00326D4C" w:rsidRPr="00762293" w:rsidRDefault="00326D4C" w:rsidP="00A11AEE">
    <w:pPr>
      <w:pBdr>
        <w:bottom w:val="single" w:sz="4" w:space="4" w:color="auto"/>
      </w:pBdr>
      <w:rPr>
        <w:rFonts w:eastAsia="Calibri"/>
      </w:rPr>
    </w:pPr>
    <w:r w:rsidRPr="00762293">
      <w:rPr>
        <w:rFonts w:eastAsia="Calibri"/>
      </w:rPr>
      <w:t>Budget Speech</w:t>
    </w:r>
  </w:p>
  <w:p w14:paraId="0E6CC012" w14:textId="77777777" w:rsidR="00326D4C" w:rsidRDefault="00326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CA33" w14:textId="77777777" w:rsidR="00326D4C" w:rsidRPr="00762293" w:rsidRDefault="00326D4C" w:rsidP="00A11AEE">
    <w:pPr>
      <w:pBdr>
        <w:bottom w:val="single" w:sz="4" w:space="4" w:color="auto"/>
      </w:pBdr>
      <w:rPr>
        <w:rFonts w:eastAsia="Calibri"/>
      </w:rPr>
    </w:pPr>
    <w:r w:rsidRPr="00762293">
      <w:rPr>
        <w:rFonts w:eastAsia="Calibri"/>
      </w:rPr>
      <w:t>Budget Speech</w:t>
    </w:r>
  </w:p>
  <w:p w14:paraId="4609C099" w14:textId="77777777" w:rsidR="00326D4C" w:rsidRDefault="00326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CDB6" w14:textId="77777777" w:rsidR="00326D4C" w:rsidRPr="00953DDF" w:rsidRDefault="00326D4C" w:rsidP="00344DDD">
    <w:pPr>
      <w:pBdr>
        <w:bottom w:val="single" w:sz="4" w:space="4" w:color="auto"/>
      </w:pBdr>
      <w:tabs>
        <w:tab w:val="center" w:pos="4153"/>
        <w:tab w:val="right" w:pos="8306"/>
      </w:tabs>
      <w:spacing w:line="192" w:lineRule="auto"/>
      <w:contextualSpacing/>
      <w:rPr>
        <w:rFonts w:eastAsia="Calibri"/>
        <w:sz w:val="18"/>
        <w:szCs w:val="18"/>
      </w:rPr>
    </w:pPr>
    <w:r>
      <w:rPr>
        <w:rFonts w:eastAsia="Calibri"/>
        <w:sz w:val="18"/>
        <w:szCs w:val="18"/>
      </w:rPr>
      <w:t>How to Read the Budget Papers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6E23" w14:textId="77777777" w:rsidR="00326D4C" w:rsidRPr="00953DDF" w:rsidRDefault="00326D4C" w:rsidP="00344DDD">
    <w:pPr>
      <w:pBdr>
        <w:bottom w:val="single" w:sz="4" w:space="4" w:color="auto"/>
      </w:pBdr>
      <w:tabs>
        <w:tab w:val="center" w:pos="4153"/>
        <w:tab w:val="right" w:pos="8306"/>
      </w:tabs>
      <w:spacing w:line="192" w:lineRule="auto"/>
      <w:contextualSpacing/>
      <w:jc w:val="right"/>
      <w:rPr>
        <w:rFonts w:eastAsia="Calibri"/>
        <w:sz w:val="18"/>
        <w:szCs w:val="18"/>
      </w:rPr>
    </w:pPr>
    <w:r>
      <w:rPr>
        <w:rFonts w:eastAsia="Calibri"/>
        <w:sz w:val="18"/>
        <w:szCs w:val="18"/>
      </w:rPr>
      <w:t>How to Read the Budget Papers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82EFF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AA74D4D0"/>
    <w:styleLink w:val="Style1"/>
    <w:lvl w:ilvl="0" w:tplc="61FA521C">
      <w:start w:val="1"/>
      <w:numFmt w:val="bullet"/>
      <w:pStyle w:val="NormalWeb"/>
      <w:lvlText w:val=""/>
      <w:lvlJc w:val="left"/>
      <w:pPr>
        <w:tabs>
          <w:tab w:val="num" w:pos="643"/>
        </w:tabs>
        <w:ind w:left="643" w:hanging="360"/>
      </w:pPr>
      <w:rPr>
        <w:rFonts w:ascii="Symbol" w:hAnsi="Symbol" w:hint="default"/>
      </w:rPr>
    </w:lvl>
    <w:lvl w:ilvl="1" w:tplc="5B7068F2">
      <w:numFmt w:val="decimal"/>
      <w:lvlText w:val=""/>
      <w:lvlJc w:val="left"/>
    </w:lvl>
    <w:lvl w:ilvl="2" w:tplc="7ED67D8E">
      <w:numFmt w:val="decimal"/>
      <w:lvlText w:val=""/>
      <w:lvlJc w:val="left"/>
    </w:lvl>
    <w:lvl w:ilvl="3" w:tplc="57F00FE0">
      <w:numFmt w:val="decimal"/>
      <w:lvlText w:val=""/>
      <w:lvlJc w:val="left"/>
    </w:lvl>
    <w:lvl w:ilvl="4" w:tplc="85384C36">
      <w:numFmt w:val="decimal"/>
      <w:lvlText w:val=""/>
      <w:lvlJc w:val="left"/>
    </w:lvl>
    <w:lvl w:ilvl="5" w:tplc="16E49BD0">
      <w:numFmt w:val="decimal"/>
      <w:lvlText w:val=""/>
      <w:lvlJc w:val="left"/>
    </w:lvl>
    <w:lvl w:ilvl="6" w:tplc="0052942C">
      <w:numFmt w:val="decimal"/>
      <w:lvlText w:val=""/>
      <w:lvlJc w:val="left"/>
    </w:lvl>
    <w:lvl w:ilvl="7" w:tplc="EAF0B9C6">
      <w:numFmt w:val="decimal"/>
      <w:lvlText w:val=""/>
      <w:lvlJc w:val="left"/>
    </w:lvl>
    <w:lvl w:ilvl="8" w:tplc="5518F0F8">
      <w:numFmt w:val="decimal"/>
      <w:lvlText w:val=""/>
      <w:lvlJc w:val="left"/>
    </w:lvl>
  </w:abstractNum>
  <w:abstractNum w:abstractNumId="2" w15:restartNumberingAfterBreak="0">
    <w:nsid w:val="FFFFFF88"/>
    <w:multiLevelType w:val="hybridMultilevel"/>
    <w:tmpl w:val="707A54F6"/>
    <w:lvl w:ilvl="0" w:tplc="F7063ED2">
      <w:start w:val="1"/>
      <w:numFmt w:val="decimal"/>
      <w:pStyle w:val="ListNumber"/>
      <w:lvlText w:val="%1."/>
      <w:lvlJc w:val="left"/>
      <w:pPr>
        <w:tabs>
          <w:tab w:val="num" w:pos="360"/>
        </w:tabs>
        <w:ind w:left="360" w:hanging="360"/>
      </w:pPr>
    </w:lvl>
    <w:lvl w:ilvl="1" w:tplc="7FD8081C">
      <w:numFmt w:val="decimal"/>
      <w:lvlText w:val=""/>
      <w:lvlJc w:val="left"/>
    </w:lvl>
    <w:lvl w:ilvl="2" w:tplc="6E10BAB8">
      <w:numFmt w:val="decimal"/>
      <w:lvlText w:val=""/>
      <w:lvlJc w:val="left"/>
    </w:lvl>
    <w:lvl w:ilvl="3" w:tplc="CC149038">
      <w:numFmt w:val="decimal"/>
      <w:lvlText w:val=""/>
      <w:lvlJc w:val="left"/>
    </w:lvl>
    <w:lvl w:ilvl="4" w:tplc="28A49B0C">
      <w:numFmt w:val="decimal"/>
      <w:lvlText w:val=""/>
      <w:lvlJc w:val="left"/>
    </w:lvl>
    <w:lvl w:ilvl="5" w:tplc="8FE02E74">
      <w:numFmt w:val="decimal"/>
      <w:lvlText w:val=""/>
      <w:lvlJc w:val="left"/>
    </w:lvl>
    <w:lvl w:ilvl="6" w:tplc="638423C2">
      <w:numFmt w:val="decimal"/>
      <w:lvlText w:val=""/>
      <w:lvlJc w:val="left"/>
    </w:lvl>
    <w:lvl w:ilvl="7" w:tplc="33828A62">
      <w:numFmt w:val="decimal"/>
      <w:lvlText w:val=""/>
      <w:lvlJc w:val="left"/>
    </w:lvl>
    <w:lvl w:ilvl="8" w:tplc="4714219C">
      <w:numFmt w:val="decimal"/>
      <w:lvlText w:val=""/>
      <w:lvlJc w:val="left"/>
    </w:lvl>
  </w:abstractNum>
  <w:abstractNum w:abstractNumId="3" w15:restartNumberingAfterBreak="0">
    <w:nsid w:val="0B573E85"/>
    <w:multiLevelType w:val="hybridMultilevel"/>
    <w:tmpl w:val="F5F2D394"/>
    <w:lvl w:ilvl="0" w:tplc="09903B30">
      <w:numFmt w:val="bullet"/>
      <w:lvlText w:val="-"/>
      <w:lvlJc w:val="left"/>
      <w:pPr>
        <w:ind w:left="410" w:hanging="360"/>
      </w:pPr>
      <w:rPr>
        <w:rFonts w:ascii="Arial" w:eastAsia="Times New Roman" w:hAnsi="Arial" w:cs="Aria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4" w15:restartNumberingAfterBreak="0">
    <w:nsid w:val="0B777EDC"/>
    <w:multiLevelType w:val="hybridMultilevel"/>
    <w:tmpl w:val="24309B1C"/>
    <w:lvl w:ilvl="0" w:tplc="22A0D0A6">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61D21"/>
    <w:multiLevelType w:val="hybridMultilevel"/>
    <w:tmpl w:val="00484CDE"/>
    <w:lvl w:ilvl="0" w:tplc="7C80C020">
      <w:start w:val="1"/>
      <w:numFmt w:val="decimal"/>
      <w:pStyle w:val="Table4x"/>
      <w:lvlText w:val="Table 4.%1:"/>
      <w:lvlJc w:val="left"/>
      <w:pPr>
        <w:ind w:left="360" w:hanging="360"/>
      </w:pPr>
      <w:rPr>
        <w:rFonts w:ascii="Arial" w:hAnsi="Arial" w:hint="default"/>
        <w:b w:val="0"/>
        <w:i/>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9726E"/>
    <w:multiLevelType w:val="hybridMultilevel"/>
    <w:tmpl w:val="4E044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9F789C"/>
    <w:multiLevelType w:val="hybridMultilevel"/>
    <w:tmpl w:val="A580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E3980"/>
    <w:multiLevelType w:val="hybridMultilevel"/>
    <w:tmpl w:val="6BB80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5C5E00"/>
    <w:multiLevelType w:val="hybridMultilevel"/>
    <w:tmpl w:val="E2BE0E62"/>
    <w:lvl w:ilvl="0" w:tplc="F7481A46">
      <w:start w:val="1"/>
      <w:numFmt w:val="decimal"/>
      <w:pStyle w:val="Chart1X"/>
      <w:lvlText w:val="Chart 1.%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862668"/>
    <w:multiLevelType w:val="hybridMultilevel"/>
    <w:tmpl w:val="4AC6DF32"/>
    <w:lvl w:ilvl="0" w:tplc="419437C6">
      <w:start w:val="1"/>
      <w:numFmt w:val="decimal"/>
      <w:lvlText w:val="%1."/>
      <w:lvlJc w:val="left"/>
      <w:pPr>
        <w:tabs>
          <w:tab w:val="num" w:pos="720"/>
        </w:tabs>
        <w:ind w:left="720" w:hanging="360"/>
      </w:pPr>
    </w:lvl>
    <w:lvl w:ilvl="1" w:tplc="0206FB86" w:tentative="1">
      <w:start w:val="1"/>
      <w:numFmt w:val="decimal"/>
      <w:lvlText w:val="%2."/>
      <w:lvlJc w:val="left"/>
      <w:pPr>
        <w:tabs>
          <w:tab w:val="num" w:pos="1440"/>
        </w:tabs>
        <w:ind w:left="1440" w:hanging="360"/>
      </w:pPr>
    </w:lvl>
    <w:lvl w:ilvl="2" w:tplc="04CEA8D4" w:tentative="1">
      <w:start w:val="1"/>
      <w:numFmt w:val="decimal"/>
      <w:lvlText w:val="%3."/>
      <w:lvlJc w:val="left"/>
      <w:pPr>
        <w:tabs>
          <w:tab w:val="num" w:pos="2160"/>
        </w:tabs>
        <w:ind w:left="2160" w:hanging="360"/>
      </w:pPr>
    </w:lvl>
    <w:lvl w:ilvl="3" w:tplc="61628104" w:tentative="1">
      <w:start w:val="1"/>
      <w:numFmt w:val="decimal"/>
      <w:lvlText w:val="%4."/>
      <w:lvlJc w:val="left"/>
      <w:pPr>
        <w:tabs>
          <w:tab w:val="num" w:pos="2880"/>
        </w:tabs>
        <w:ind w:left="2880" w:hanging="360"/>
      </w:pPr>
    </w:lvl>
    <w:lvl w:ilvl="4" w:tplc="DA52FE0C" w:tentative="1">
      <w:start w:val="1"/>
      <w:numFmt w:val="decimal"/>
      <w:lvlText w:val="%5."/>
      <w:lvlJc w:val="left"/>
      <w:pPr>
        <w:tabs>
          <w:tab w:val="num" w:pos="3600"/>
        </w:tabs>
        <w:ind w:left="3600" w:hanging="360"/>
      </w:pPr>
    </w:lvl>
    <w:lvl w:ilvl="5" w:tplc="D02CA5A0" w:tentative="1">
      <w:start w:val="1"/>
      <w:numFmt w:val="decimal"/>
      <w:lvlText w:val="%6."/>
      <w:lvlJc w:val="left"/>
      <w:pPr>
        <w:tabs>
          <w:tab w:val="num" w:pos="4320"/>
        </w:tabs>
        <w:ind w:left="4320" w:hanging="360"/>
      </w:pPr>
    </w:lvl>
    <w:lvl w:ilvl="6" w:tplc="804AF60A" w:tentative="1">
      <w:start w:val="1"/>
      <w:numFmt w:val="decimal"/>
      <w:lvlText w:val="%7."/>
      <w:lvlJc w:val="left"/>
      <w:pPr>
        <w:tabs>
          <w:tab w:val="num" w:pos="5040"/>
        </w:tabs>
        <w:ind w:left="5040" w:hanging="360"/>
      </w:pPr>
    </w:lvl>
    <w:lvl w:ilvl="7" w:tplc="7F6248D2" w:tentative="1">
      <w:start w:val="1"/>
      <w:numFmt w:val="decimal"/>
      <w:lvlText w:val="%8."/>
      <w:lvlJc w:val="left"/>
      <w:pPr>
        <w:tabs>
          <w:tab w:val="num" w:pos="5760"/>
        </w:tabs>
        <w:ind w:left="5760" w:hanging="360"/>
      </w:pPr>
    </w:lvl>
    <w:lvl w:ilvl="8" w:tplc="2766FA78" w:tentative="1">
      <w:start w:val="1"/>
      <w:numFmt w:val="decimal"/>
      <w:lvlText w:val="%9."/>
      <w:lvlJc w:val="left"/>
      <w:pPr>
        <w:tabs>
          <w:tab w:val="num" w:pos="6480"/>
        </w:tabs>
        <w:ind w:left="6480" w:hanging="360"/>
      </w:pPr>
    </w:lvl>
  </w:abstractNum>
  <w:abstractNum w:abstractNumId="14" w15:restartNumberingAfterBreak="0">
    <w:nsid w:val="1F117838"/>
    <w:multiLevelType w:val="hybridMultilevel"/>
    <w:tmpl w:val="842029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1FFF3DDA"/>
    <w:multiLevelType w:val="hybridMultilevel"/>
    <w:tmpl w:val="8AFEAA2E"/>
    <w:lvl w:ilvl="0" w:tplc="53B47D1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656E4"/>
    <w:multiLevelType w:val="hybridMultilevel"/>
    <w:tmpl w:val="3F949A3A"/>
    <w:lvl w:ilvl="0" w:tplc="594C4C22">
      <w:start w:val="1"/>
      <w:numFmt w:val="bullet"/>
      <w:pStyle w:val="Bullet3"/>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22821DCE"/>
    <w:multiLevelType w:val="hybridMultilevel"/>
    <w:tmpl w:val="3034A562"/>
    <w:lvl w:ilvl="0" w:tplc="0AC690D4">
      <w:start w:val="1"/>
      <w:numFmt w:val="bullet"/>
      <w:lvlText w:val=""/>
      <w:lvlJc w:val="left"/>
      <w:pPr>
        <w:tabs>
          <w:tab w:val="num" w:pos="720"/>
        </w:tabs>
        <w:ind w:left="720" w:hanging="360"/>
      </w:pPr>
      <w:rPr>
        <w:rFonts w:ascii="Wingdings" w:hAnsi="Wingdings" w:hint="default"/>
      </w:rPr>
    </w:lvl>
    <w:lvl w:ilvl="1" w:tplc="B9AC7A1E" w:tentative="1">
      <w:start w:val="1"/>
      <w:numFmt w:val="bullet"/>
      <w:lvlText w:val=""/>
      <w:lvlJc w:val="left"/>
      <w:pPr>
        <w:tabs>
          <w:tab w:val="num" w:pos="1440"/>
        </w:tabs>
        <w:ind w:left="1440" w:hanging="360"/>
      </w:pPr>
      <w:rPr>
        <w:rFonts w:ascii="Wingdings" w:hAnsi="Wingdings" w:hint="default"/>
      </w:rPr>
    </w:lvl>
    <w:lvl w:ilvl="2" w:tplc="5748BB32" w:tentative="1">
      <w:start w:val="1"/>
      <w:numFmt w:val="bullet"/>
      <w:lvlText w:val=""/>
      <w:lvlJc w:val="left"/>
      <w:pPr>
        <w:tabs>
          <w:tab w:val="num" w:pos="2160"/>
        </w:tabs>
        <w:ind w:left="2160" w:hanging="360"/>
      </w:pPr>
      <w:rPr>
        <w:rFonts w:ascii="Wingdings" w:hAnsi="Wingdings" w:hint="default"/>
      </w:rPr>
    </w:lvl>
    <w:lvl w:ilvl="3" w:tplc="EB7CA660" w:tentative="1">
      <w:start w:val="1"/>
      <w:numFmt w:val="bullet"/>
      <w:lvlText w:val=""/>
      <w:lvlJc w:val="left"/>
      <w:pPr>
        <w:tabs>
          <w:tab w:val="num" w:pos="2880"/>
        </w:tabs>
        <w:ind w:left="2880" w:hanging="360"/>
      </w:pPr>
      <w:rPr>
        <w:rFonts w:ascii="Wingdings" w:hAnsi="Wingdings" w:hint="default"/>
      </w:rPr>
    </w:lvl>
    <w:lvl w:ilvl="4" w:tplc="279E29EC" w:tentative="1">
      <w:start w:val="1"/>
      <w:numFmt w:val="bullet"/>
      <w:lvlText w:val=""/>
      <w:lvlJc w:val="left"/>
      <w:pPr>
        <w:tabs>
          <w:tab w:val="num" w:pos="3600"/>
        </w:tabs>
        <w:ind w:left="3600" w:hanging="360"/>
      </w:pPr>
      <w:rPr>
        <w:rFonts w:ascii="Wingdings" w:hAnsi="Wingdings" w:hint="default"/>
      </w:rPr>
    </w:lvl>
    <w:lvl w:ilvl="5" w:tplc="BADC209C" w:tentative="1">
      <w:start w:val="1"/>
      <w:numFmt w:val="bullet"/>
      <w:lvlText w:val=""/>
      <w:lvlJc w:val="left"/>
      <w:pPr>
        <w:tabs>
          <w:tab w:val="num" w:pos="4320"/>
        </w:tabs>
        <w:ind w:left="4320" w:hanging="360"/>
      </w:pPr>
      <w:rPr>
        <w:rFonts w:ascii="Wingdings" w:hAnsi="Wingdings" w:hint="default"/>
      </w:rPr>
    </w:lvl>
    <w:lvl w:ilvl="6" w:tplc="613E2188" w:tentative="1">
      <w:start w:val="1"/>
      <w:numFmt w:val="bullet"/>
      <w:lvlText w:val=""/>
      <w:lvlJc w:val="left"/>
      <w:pPr>
        <w:tabs>
          <w:tab w:val="num" w:pos="5040"/>
        </w:tabs>
        <w:ind w:left="5040" w:hanging="360"/>
      </w:pPr>
      <w:rPr>
        <w:rFonts w:ascii="Wingdings" w:hAnsi="Wingdings" w:hint="default"/>
      </w:rPr>
    </w:lvl>
    <w:lvl w:ilvl="7" w:tplc="E942363C" w:tentative="1">
      <w:start w:val="1"/>
      <w:numFmt w:val="bullet"/>
      <w:lvlText w:val=""/>
      <w:lvlJc w:val="left"/>
      <w:pPr>
        <w:tabs>
          <w:tab w:val="num" w:pos="5760"/>
        </w:tabs>
        <w:ind w:left="5760" w:hanging="360"/>
      </w:pPr>
      <w:rPr>
        <w:rFonts w:ascii="Wingdings" w:hAnsi="Wingdings" w:hint="default"/>
      </w:rPr>
    </w:lvl>
    <w:lvl w:ilvl="8" w:tplc="EB9A31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E0C34"/>
    <w:multiLevelType w:val="hybridMultilevel"/>
    <w:tmpl w:val="BB540AD0"/>
    <w:lvl w:ilvl="0" w:tplc="63B80B42">
      <w:start w:val="1"/>
      <w:numFmt w:val="bullet"/>
      <w:pStyle w:val="BulletPointStyle"/>
      <w:lvlText w:val=""/>
      <w:lvlJc w:val="left"/>
      <w:pPr>
        <w:ind w:left="357" w:hanging="357"/>
      </w:pPr>
      <w:rPr>
        <w:rFonts w:ascii="Wingdings" w:hAnsi="Wingdings" w:hint="default"/>
        <w:color w:val="auto"/>
      </w:rPr>
    </w:lvl>
    <w:lvl w:ilvl="1" w:tplc="5BBC8F96">
      <w:start w:val="1"/>
      <w:numFmt w:val="bullet"/>
      <w:lvlText w:val="o"/>
      <w:lvlJc w:val="left"/>
      <w:pPr>
        <w:ind w:left="714" w:hanging="357"/>
      </w:pPr>
      <w:rPr>
        <w:rFonts w:ascii="Courier New" w:hAnsi="Courier New" w:hint="default"/>
      </w:rPr>
    </w:lvl>
    <w:lvl w:ilvl="2" w:tplc="DC7C3A7E">
      <w:start w:val="1"/>
      <w:numFmt w:val="bullet"/>
      <w:lvlText w:val=""/>
      <w:lvlJc w:val="left"/>
      <w:pPr>
        <w:ind w:left="1071" w:hanging="357"/>
      </w:pPr>
      <w:rPr>
        <w:rFonts w:ascii="Wingdings" w:hAnsi="Wingdings" w:hint="default"/>
      </w:rPr>
    </w:lvl>
    <w:lvl w:ilvl="3" w:tplc="605C4578">
      <w:start w:val="1"/>
      <w:numFmt w:val="bullet"/>
      <w:lvlText w:val=""/>
      <w:lvlJc w:val="left"/>
      <w:pPr>
        <w:ind w:left="1428" w:hanging="357"/>
      </w:pPr>
      <w:rPr>
        <w:rFonts w:ascii="Symbol" w:hAnsi="Symbol" w:hint="default"/>
      </w:rPr>
    </w:lvl>
    <w:lvl w:ilvl="4" w:tplc="7A8E19FA">
      <w:start w:val="1"/>
      <w:numFmt w:val="bullet"/>
      <w:lvlText w:val="o"/>
      <w:lvlJc w:val="left"/>
      <w:pPr>
        <w:ind w:left="1785" w:hanging="357"/>
      </w:pPr>
      <w:rPr>
        <w:rFonts w:ascii="Courier New" w:hAnsi="Courier New" w:hint="default"/>
      </w:rPr>
    </w:lvl>
    <w:lvl w:ilvl="5" w:tplc="DADCCE48">
      <w:start w:val="1"/>
      <w:numFmt w:val="bullet"/>
      <w:lvlText w:val=""/>
      <w:lvlJc w:val="left"/>
      <w:pPr>
        <w:ind w:left="2142" w:hanging="357"/>
      </w:pPr>
      <w:rPr>
        <w:rFonts w:ascii="Wingdings" w:hAnsi="Wingdings" w:hint="default"/>
      </w:rPr>
    </w:lvl>
    <w:lvl w:ilvl="6" w:tplc="5CEC5EBE">
      <w:start w:val="1"/>
      <w:numFmt w:val="bullet"/>
      <w:lvlText w:val=""/>
      <w:lvlJc w:val="left"/>
      <w:pPr>
        <w:ind w:left="2499" w:hanging="357"/>
      </w:pPr>
      <w:rPr>
        <w:rFonts w:ascii="Symbol" w:hAnsi="Symbol" w:hint="default"/>
      </w:rPr>
    </w:lvl>
    <w:lvl w:ilvl="7" w:tplc="219490F4">
      <w:start w:val="1"/>
      <w:numFmt w:val="bullet"/>
      <w:lvlText w:val="o"/>
      <w:lvlJc w:val="left"/>
      <w:pPr>
        <w:ind w:left="2856" w:hanging="357"/>
      </w:pPr>
      <w:rPr>
        <w:rFonts w:ascii="Courier New" w:hAnsi="Courier New" w:hint="default"/>
      </w:rPr>
    </w:lvl>
    <w:lvl w:ilvl="8" w:tplc="721ACD00">
      <w:start w:val="1"/>
      <w:numFmt w:val="bullet"/>
      <w:lvlText w:val=""/>
      <w:lvlJc w:val="left"/>
      <w:pPr>
        <w:ind w:left="3213" w:hanging="357"/>
      </w:pPr>
      <w:rPr>
        <w:rFonts w:ascii="Wingdings" w:hAnsi="Wingdings" w:hint="default"/>
      </w:rPr>
    </w:lvl>
  </w:abstractNum>
  <w:abstractNum w:abstractNumId="19" w15:restartNumberingAfterBreak="0">
    <w:nsid w:val="28CF399F"/>
    <w:multiLevelType w:val="hybridMultilevel"/>
    <w:tmpl w:val="790064B6"/>
    <w:lvl w:ilvl="0" w:tplc="546E5910">
      <w:start w:val="1"/>
      <w:numFmt w:val="decimal"/>
      <w:pStyle w:val="Table3x"/>
      <w:lvlText w:val="Table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075DE4"/>
    <w:multiLevelType w:val="hybridMultilevel"/>
    <w:tmpl w:val="8878F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31E4E"/>
    <w:multiLevelType w:val="hybridMultilevel"/>
    <w:tmpl w:val="F42CF918"/>
    <w:lvl w:ilvl="0" w:tplc="1BFAC226">
      <w:start w:val="1"/>
      <w:numFmt w:val="bullet"/>
      <w:pStyle w:val="Bullet1box"/>
      <w:lvlText w:val=""/>
      <w:lvlJc w:val="left"/>
      <w:pPr>
        <w:tabs>
          <w:tab w:val="num" w:pos="425"/>
        </w:tabs>
        <w:ind w:left="425" w:hanging="425"/>
      </w:pPr>
      <w:rPr>
        <w:rFonts w:ascii="Wingdings" w:hAnsi="Wingdings" w:hint="default"/>
        <w:sz w:val="21"/>
      </w:rPr>
    </w:lvl>
    <w:lvl w:ilvl="1" w:tplc="ACA858AC">
      <w:numFmt w:val="decimal"/>
      <w:lvlText w:val=""/>
      <w:lvlJc w:val="left"/>
    </w:lvl>
    <w:lvl w:ilvl="2" w:tplc="58BEC7C6">
      <w:numFmt w:val="decimal"/>
      <w:lvlText w:val=""/>
      <w:lvlJc w:val="left"/>
    </w:lvl>
    <w:lvl w:ilvl="3" w:tplc="82D4781E">
      <w:numFmt w:val="decimal"/>
      <w:lvlText w:val=""/>
      <w:lvlJc w:val="left"/>
    </w:lvl>
    <w:lvl w:ilvl="4" w:tplc="71728156">
      <w:numFmt w:val="decimal"/>
      <w:lvlText w:val=""/>
      <w:lvlJc w:val="left"/>
    </w:lvl>
    <w:lvl w:ilvl="5" w:tplc="3D6A59AA">
      <w:numFmt w:val="decimal"/>
      <w:lvlText w:val=""/>
      <w:lvlJc w:val="left"/>
    </w:lvl>
    <w:lvl w:ilvl="6" w:tplc="26CA8D60">
      <w:numFmt w:val="decimal"/>
      <w:lvlText w:val=""/>
      <w:lvlJc w:val="left"/>
    </w:lvl>
    <w:lvl w:ilvl="7" w:tplc="FF121794">
      <w:numFmt w:val="decimal"/>
      <w:lvlText w:val=""/>
      <w:lvlJc w:val="left"/>
    </w:lvl>
    <w:lvl w:ilvl="8" w:tplc="D3920A64">
      <w:numFmt w:val="decimal"/>
      <w:lvlText w:val=""/>
      <w:lvlJc w:val="left"/>
    </w:lvl>
  </w:abstractNum>
  <w:abstractNum w:abstractNumId="26"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B030E8"/>
    <w:multiLevelType w:val="hybridMultilevel"/>
    <w:tmpl w:val="E9F60C48"/>
    <w:lvl w:ilvl="0" w:tplc="36523FF8">
      <w:start w:val="1"/>
      <w:numFmt w:val="bullet"/>
      <w:pStyle w:val="Bullet1inabox"/>
      <w:lvlText w:val="•"/>
      <w:lvlJc w:val="left"/>
      <w:pPr>
        <w:ind w:left="360" w:hanging="360"/>
      </w:pPr>
      <w:rPr>
        <w:rFonts w:ascii="Arial" w:hAnsi="Arial" w:hint="default"/>
        <w:color w:val="0579B9"/>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3E065A"/>
    <w:multiLevelType w:val="hybridMultilevel"/>
    <w:tmpl w:val="C53414E4"/>
    <w:lvl w:ilvl="0" w:tplc="AA8AF690">
      <w:start w:val="1"/>
      <w:numFmt w:val="decimal"/>
      <w:pStyle w:val="Chart7X"/>
      <w:lvlText w:val="Table 5.%1"/>
      <w:lvlJc w:val="left"/>
      <w:pPr>
        <w:ind w:left="720" w:hanging="360"/>
      </w:pPr>
      <w:rPr>
        <w:rFonts w:ascii="Arial" w:hAnsi="Arial" w:hint="default"/>
        <w:b w:val="0"/>
        <w:i/>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880962"/>
    <w:multiLevelType w:val="hybridMultilevel"/>
    <w:tmpl w:val="2F683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F944FB"/>
    <w:multiLevelType w:val="hybridMultilevel"/>
    <w:tmpl w:val="96863882"/>
    <w:styleLink w:val="BulletPoints"/>
    <w:lvl w:ilvl="0" w:tplc="388EF534">
      <w:start w:val="1"/>
      <w:numFmt w:val="bullet"/>
      <w:pStyle w:val="Bullet4"/>
      <w:lvlText w:val=""/>
      <w:lvlJc w:val="left"/>
      <w:pPr>
        <w:tabs>
          <w:tab w:val="num" w:pos="1701"/>
        </w:tabs>
        <w:ind w:left="1701" w:hanging="425"/>
      </w:pPr>
      <w:rPr>
        <w:rFonts w:ascii="Symbol" w:hAnsi="Symbol" w:hint="default"/>
        <w:sz w:val="22"/>
      </w:rPr>
    </w:lvl>
    <w:lvl w:ilvl="1" w:tplc="98323E42">
      <w:numFmt w:val="decimal"/>
      <w:lvlText w:val=""/>
      <w:lvlJc w:val="left"/>
    </w:lvl>
    <w:lvl w:ilvl="2" w:tplc="E5BACB04">
      <w:numFmt w:val="decimal"/>
      <w:lvlText w:val=""/>
      <w:lvlJc w:val="left"/>
    </w:lvl>
    <w:lvl w:ilvl="3" w:tplc="DC38E6BE">
      <w:numFmt w:val="decimal"/>
      <w:lvlText w:val=""/>
      <w:lvlJc w:val="left"/>
    </w:lvl>
    <w:lvl w:ilvl="4" w:tplc="B61CDE56">
      <w:numFmt w:val="decimal"/>
      <w:lvlText w:val=""/>
      <w:lvlJc w:val="left"/>
    </w:lvl>
    <w:lvl w:ilvl="5" w:tplc="01FC6592">
      <w:numFmt w:val="decimal"/>
      <w:lvlText w:val=""/>
      <w:lvlJc w:val="left"/>
    </w:lvl>
    <w:lvl w:ilvl="6" w:tplc="FAF8BDB0">
      <w:numFmt w:val="decimal"/>
      <w:lvlText w:val=""/>
      <w:lvlJc w:val="left"/>
    </w:lvl>
    <w:lvl w:ilvl="7" w:tplc="7DE4F924">
      <w:numFmt w:val="decimal"/>
      <w:lvlText w:val=""/>
      <w:lvlJc w:val="left"/>
    </w:lvl>
    <w:lvl w:ilvl="8" w:tplc="902C6494">
      <w:numFmt w:val="decimal"/>
      <w:lvlText w:val=""/>
      <w:lvlJc w:val="left"/>
    </w:lvl>
  </w:abstractNum>
  <w:abstractNum w:abstractNumId="31"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1B0688"/>
    <w:multiLevelType w:val="hybridMultilevel"/>
    <w:tmpl w:val="71F64A24"/>
    <w:lvl w:ilvl="0" w:tplc="005AD808">
      <w:start w:val="1"/>
      <w:numFmt w:val="decimal"/>
      <w:pStyle w:val="Chart2X"/>
      <w:lvlText w:val="Chart 2.%1:"/>
      <w:lvlJc w:val="left"/>
      <w:pPr>
        <w:ind w:left="360"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410225CB"/>
    <w:multiLevelType w:val="hybridMultilevel"/>
    <w:tmpl w:val="3E78EF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ED1631"/>
    <w:multiLevelType w:val="hybridMultilevel"/>
    <w:tmpl w:val="58901042"/>
    <w:lvl w:ilvl="0" w:tplc="F2681946">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201E48"/>
    <w:multiLevelType w:val="hybridMultilevel"/>
    <w:tmpl w:val="EF9A8D6E"/>
    <w:lvl w:ilvl="0" w:tplc="8CB8F080">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F0F32D8"/>
    <w:multiLevelType w:val="hybridMultilevel"/>
    <w:tmpl w:val="79681DC6"/>
    <w:lvl w:ilvl="0" w:tplc="A6CA41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1C62AA"/>
    <w:multiLevelType w:val="hybridMultilevel"/>
    <w:tmpl w:val="12024588"/>
    <w:lvl w:ilvl="0" w:tplc="5E96F52A">
      <w:start w:val="1"/>
      <w:numFmt w:val="bullet"/>
      <w:lvlText w:val=""/>
      <w:lvlJc w:val="left"/>
      <w:pPr>
        <w:ind w:left="720" w:hanging="360"/>
      </w:pPr>
      <w:rPr>
        <w:rFonts w:ascii="Symbol" w:hAnsi="Symbol" w:hint="default"/>
      </w:rPr>
    </w:lvl>
    <w:lvl w:ilvl="1" w:tplc="E1589AC4">
      <w:start w:val="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7D575A"/>
    <w:multiLevelType w:val="hybridMultilevel"/>
    <w:tmpl w:val="D95E9C68"/>
    <w:lvl w:ilvl="0" w:tplc="6BF2B2C4">
      <w:start w:val="1"/>
      <w:numFmt w:val="decimal"/>
      <w:pStyle w:val="TableA2X"/>
      <w:lvlText w:val="Table A2.%1:"/>
      <w:lvlJc w:val="left"/>
      <w:pPr>
        <w:ind w:left="1495" w:hanging="360"/>
      </w:pPr>
      <w:rPr>
        <w:rFonts w:hint="default"/>
      </w:rPr>
    </w:lvl>
    <w:lvl w:ilvl="1" w:tplc="0C090019" w:tentative="1">
      <w:start w:val="1"/>
      <w:numFmt w:val="lowerLetter"/>
      <w:lvlText w:val="%2."/>
      <w:lvlJc w:val="left"/>
      <w:pPr>
        <w:ind w:left="-2464" w:hanging="360"/>
      </w:pPr>
    </w:lvl>
    <w:lvl w:ilvl="2" w:tplc="0C09001B" w:tentative="1">
      <w:start w:val="1"/>
      <w:numFmt w:val="lowerRoman"/>
      <w:lvlText w:val="%3."/>
      <w:lvlJc w:val="right"/>
      <w:pPr>
        <w:ind w:left="-1744" w:hanging="180"/>
      </w:pPr>
    </w:lvl>
    <w:lvl w:ilvl="3" w:tplc="0C09000F" w:tentative="1">
      <w:start w:val="1"/>
      <w:numFmt w:val="decimal"/>
      <w:lvlText w:val="%4."/>
      <w:lvlJc w:val="left"/>
      <w:pPr>
        <w:ind w:left="-1024" w:hanging="360"/>
      </w:pPr>
    </w:lvl>
    <w:lvl w:ilvl="4" w:tplc="0C090019" w:tentative="1">
      <w:start w:val="1"/>
      <w:numFmt w:val="lowerLetter"/>
      <w:lvlText w:val="%5."/>
      <w:lvlJc w:val="left"/>
      <w:pPr>
        <w:ind w:left="-304" w:hanging="360"/>
      </w:pPr>
    </w:lvl>
    <w:lvl w:ilvl="5" w:tplc="0C09001B" w:tentative="1">
      <w:start w:val="1"/>
      <w:numFmt w:val="lowerRoman"/>
      <w:lvlText w:val="%6."/>
      <w:lvlJc w:val="right"/>
      <w:pPr>
        <w:ind w:left="416" w:hanging="180"/>
      </w:pPr>
    </w:lvl>
    <w:lvl w:ilvl="6" w:tplc="0C09000F" w:tentative="1">
      <w:start w:val="1"/>
      <w:numFmt w:val="decimal"/>
      <w:lvlText w:val="%7."/>
      <w:lvlJc w:val="left"/>
      <w:pPr>
        <w:ind w:left="1136" w:hanging="360"/>
      </w:pPr>
    </w:lvl>
    <w:lvl w:ilvl="7" w:tplc="0C090019" w:tentative="1">
      <w:start w:val="1"/>
      <w:numFmt w:val="lowerLetter"/>
      <w:lvlText w:val="%8."/>
      <w:lvlJc w:val="left"/>
      <w:pPr>
        <w:ind w:left="1856" w:hanging="360"/>
      </w:pPr>
    </w:lvl>
    <w:lvl w:ilvl="8" w:tplc="0C09001B" w:tentative="1">
      <w:start w:val="1"/>
      <w:numFmt w:val="lowerRoman"/>
      <w:lvlText w:val="%9."/>
      <w:lvlJc w:val="right"/>
      <w:pPr>
        <w:ind w:left="2576" w:hanging="180"/>
      </w:pPr>
    </w:lvl>
  </w:abstractNum>
  <w:abstractNum w:abstractNumId="40" w15:restartNumberingAfterBreak="0">
    <w:nsid w:val="56041D7B"/>
    <w:multiLevelType w:val="hybridMultilevel"/>
    <w:tmpl w:val="75B072AE"/>
    <w:lvl w:ilvl="0" w:tplc="FA24FAAA">
      <w:start w:val="1"/>
      <w:numFmt w:val="decimal"/>
      <w:pStyle w:val="Chartx"/>
      <w:lvlText w:val="Chart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A5AB606">
      <w:numFmt w:val="decimal"/>
      <w:lvlText w:val=""/>
      <w:lvlJc w:val="left"/>
    </w:lvl>
    <w:lvl w:ilvl="2" w:tplc="8694661C">
      <w:numFmt w:val="decimal"/>
      <w:lvlText w:val=""/>
      <w:lvlJc w:val="left"/>
    </w:lvl>
    <w:lvl w:ilvl="3" w:tplc="CE4CD748">
      <w:numFmt w:val="decimal"/>
      <w:lvlText w:val=""/>
      <w:lvlJc w:val="left"/>
    </w:lvl>
    <w:lvl w:ilvl="4" w:tplc="A106E2D4">
      <w:numFmt w:val="decimal"/>
      <w:lvlText w:val=""/>
      <w:lvlJc w:val="left"/>
    </w:lvl>
    <w:lvl w:ilvl="5" w:tplc="85A46C1E">
      <w:numFmt w:val="decimal"/>
      <w:lvlText w:val=""/>
      <w:lvlJc w:val="left"/>
    </w:lvl>
    <w:lvl w:ilvl="6" w:tplc="5C160EFC">
      <w:numFmt w:val="decimal"/>
      <w:lvlText w:val=""/>
      <w:lvlJc w:val="left"/>
    </w:lvl>
    <w:lvl w:ilvl="7" w:tplc="25242DDC">
      <w:numFmt w:val="decimal"/>
      <w:lvlText w:val=""/>
      <w:lvlJc w:val="left"/>
    </w:lvl>
    <w:lvl w:ilvl="8" w:tplc="D50A90DC">
      <w:numFmt w:val="decimal"/>
      <w:lvlText w:val=""/>
      <w:lvlJc w:val="left"/>
    </w:lvl>
  </w:abstractNum>
  <w:abstractNum w:abstractNumId="41"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150C89"/>
    <w:multiLevelType w:val="hybridMultilevel"/>
    <w:tmpl w:val="123AAB14"/>
    <w:lvl w:ilvl="0" w:tplc="697AF1EC">
      <w:start w:val="1"/>
      <w:numFmt w:val="none"/>
      <w:pStyle w:val="TableXX"/>
      <w:lvlText w:val=""/>
      <w:lvlJc w:val="left"/>
      <w:pPr>
        <w:ind w:left="357" w:hanging="357"/>
      </w:pPr>
      <w:rPr>
        <w:rFonts w:hint="default"/>
      </w:rPr>
    </w:lvl>
    <w:lvl w:ilvl="1" w:tplc="AD8C8844">
      <w:start w:val="1"/>
      <w:numFmt w:val="lowerLetter"/>
      <w:lvlText w:val="%2)"/>
      <w:lvlJc w:val="left"/>
      <w:pPr>
        <w:ind w:left="714" w:hanging="357"/>
      </w:pPr>
      <w:rPr>
        <w:rFonts w:hint="default"/>
      </w:rPr>
    </w:lvl>
    <w:lvl w:ilvl="2" w:tplc="41885090">
      <w:start w:val="1"/>
      <w:numFmt w:val="lowerRoman"/>
      <w:lvlText w:val="%3)"/>
      <w:lvlJc w:val="left"/>
      <w:pPr>
        <w:ind w:left="1071" w:hanging="357"/>
      </w:pPr>
      <w:rPr>
        <w:rFonts w:hint="default"/>
      </w:rPr>
    </w:lvl>
    <w:lvl w:ilvl="3" w:tplc="1CD0A636">
      <w:start w:val="1"/>
      <w:numFmt w:val="decimal"/>
      <w:lvlText w:val="(%4)"/>
      <w:lvlJc w:val="left"/>
      <w:pPr>
        <w:ind w:left="1428" w:hanging="357"/>
      </w:pPr>
      <w:rPr>
        <w:rFonts w:hint="default"/>
      </w:rPr>
    </w:lvl>
    <w:lvl w:ilvl="4" w:tplc="D1869D70">
      <w:start w:val="1"/>
      <w:numFmt w:val="lowerLetter"/>
      <w:lvlText w:val="(%5)"/>
      <w:lvlJc w:val="left"/>
      <w:pPr>
        <w:ind w:left="1785" w:hanging="357"/>
      </w:pPr>
      <w:rPr>
        <w:rFonts w:hint="default"/>
      </w:rPr>
    </w:lvl>
    <w:lvl w:ilvl="5" w:tplc="5622D548">
      <w:start w:val="1"/>
      <w:numFmt w:val="lowerRoman"/>
      <w:lvlText w:val="(%6)"/>
      <w:lvlJc w:val="left"/>
      <w:pPr>
        <w:ind w:left="2142" w:hanging="357"/>
      </w:pPr>
      <w:rPr>
        <w:rFonts w:hint="default"/>
      </w:rPr>
    </w:lvl>
    <w:lvl w:ilvl="6" w:tplc="B33817A4">
      <w:start w:val="1"/>
      <w:numFmt w:val="decimal"/>
      <w:lvlText w:val="%7."/>
      <w:lvlJc w:val="left"/>
      <w:pPr>
        <w:ind w:left="2499" w:hanging="357"/>
      </w:pPr>
      <w:rPr>
        <w:rFonts w:hint="default"/>
      </w:rPr>
    </w:lvl>
    <w:lvl w:ilvl="7" w:tplc="577823EE">
      <w:start w:val="1"/>
      <w:numFmt w:val="lowerLetter"/>
      <w:lvlText w:val="%8."/>
      <w:lvlJc w:val="left"/>
      <w:pPr>
        <w:ind w:left="2856" w:hanging="357"/>
      </w:pPr>
      <w:rPr>
        <w:rFonts w:hint="default"/>
      </w:rPr>
    </w:lvl>
    <w:lvl w:ilvl="8" w:tplc="D738392C">
      <w:start w:val="1"/>
      <w:numFmt w:val="lowerRoman"/>
      <w:lvlText w:val="%9."/>
      <w:lvlJc w:val="left"/>
      <w:pPr>
        <w:ind w:left="3213" w:hanging="357"/>
      </w:pPr>
      <w:rPr>
        <w:rFonts w:hint="default"/>
      </w:rPr>
    </w:lvl>
  </w:abstractNum>
  <w:abstractNum w:abstractNumId="43" w15:restartNumberingAfterBreak="0">
    <w:nsid w:val="5B190F3F"/>
    <w:multiLevelType w:val="hybridMultilevel"/>
    <w:tmpl w:val="49A2647A"/>
    <w:lvl w:ilvl="0" w:tplc="A6FECD44">
      <w:start w:val="1"/>
      <w:numFmt w:val="decimal"/>
      <w:pStyle w:val="TableX0"/>
      <w:lvlText w:val="Table %1:"/>
      <w:lvlJc w:val="left"/>
      <w:pPr>
        <w:ind w:left="720" w:hanging="360"/>
      </w:pPr>
      <w:rPr>
        <w:rFonts w:ascii="Arial" w:hAnsi="Arial" w:hint="default"/>
        <w:b w:val="0"/>
        <w:i/>
        <w:caps w:val="0"/>
        <w:color w:val="57514D"/>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4C59C2"/>
    <w:multiLevelType w:val="hybridMultilevel"/>
    <w:tmpl w:val="C024BC02"/>
    <w:lvl w:ilvl="0" w:tplc="D8B061D0">
      <w:start w:val="8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46" w15:restartNumberingAfterBreak="0">
    <w:nsid w:val="6E226DF3"/>
    <w:multiLevelType w:val="hybridMultilevel"/>
    <w:tmpl w:val="C010A0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EB7AB0"/>
    <w:multiLevelType w:val="hybridMultilevel"/>
    <w:tmpl w:val="F2567730"/>
    <w:lvl w:ilvl="0" w:tplc="EC2E417E">
      <w:start w:val="1"/>
      <w:numFmt w:val="decimal"/>
      <w:pStyle w:val="Table7x"/>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567EFC"/>
    <w:multiLevelType w:val="hybridMultilevel"/>
    <w:tmpl w:val="AD0C4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A105A3"/>
    <w:multiLevelType w:val="hybridMultilevel"/>
    <w:tmpl w:val="CFD847C4"/>
    <w:lvl w:ilvl="0" w:tplc="721055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E95568"/>
    <w:multiLevelType w:val="hybridMultilevel"/>
    <w:tmpl w:val="CB8EBED4"/>
    <w:lvl w:ilvl="0" w:tplc="4B2A1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F37CA6"/>
    <w:multiLevelType w:val="hybridMultilevel"/>
    <w:tmpl w:val="83224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2"/>
  </w:num>
  <w:num w:numId="4">
    <w:abstractNumId w:val="25"/>
  </w:num>
  <w:num w:numId="5">
    <w:abstractNumId w:val="27"/>
  </w:num>
  <w:num w:numId="6">
    <w:abstractNumId w:val="30"/>
  </w:num>
  <w:num w:numId="7">
    <w:abstractNumId w:val="18"/>
  </w:num>
  <w:num w:numId="8">
    <w:abstractNumId w:val="28"/>
  </w:num>
  <w:num w:numId="9">
    <w:abstractNumId w:val="45"/>
  </w:num>
  <w:num w:numId="10">
    <w:abstractNumId w:val="40"/>
  </w:num>
  <w:num w:numId="11">
    <w:abstractNumId w:val="31"/>
  </w:num>
  <w:num w:numId="12">
    <w:abstractNumId w:val="26"/>
  </w:num>
  <w:num w:numId="13">
    <w:abstractNumId w:val="0"/>
  </w:num>
  <w:num w:numId="14">
    <w:abstractNumId w:val="6"/>
  </w:num>
  <w:num w:numId="15">
    <w:abstractNumId w:val="2"/>
  </w:num>
  <w:num w:numId="16">
    <w:abstractNumId w:val="1"/>
  </w:num>
  <w:num w:numId="17">
    <w:abstractNumId w:val="47"/>
  </w:num>
  <w:num w:numId="18">
    <w:abstractNumId w:val="21"/>
  </w:num>
  <w:num w:numId="19">
    <w:abstractNumId w:val="42"/>
  </w:num>
  <w:num w:numId="20">
    <w:abstractNumId w:val="16"/>
  </w:num>
  <w:num w:numId="21">
    <w:abstractNumId w:val="10"/>
  </w:num>
  <w:num w:numId="22">
    <w:abstractNumId w:val="32"/>
  </w:num>
  <w:num w:numId="23">
    <w:abstractNumId w:val="4"/>
  </w:num>
  <w:num w:numId="24">
    <w:abstractNumId w:val="23"/>
  </w:num>
  <w:num w:numId="25">
    <w:abstractNumId w:val="41"/>
  </w:num>
  <w:num w:numId="26">
    <w:abstractNumId w:val="19"/>
  </w:num>
  <w:num w:numId="27">
    <w:abstractNumId w:val="5"/>
  </w:num>
  <w:num w:numId="28">
    <w:abstractNumId w:val="24"/>
  </w:num>
  <w:num w:numId="29">
    <w:abstractNumId w:val="48"/>
  </w:num>
  <w:num w:numId="30">
    <w:abstractNumId w:val="3"/>
  </w:num>
  <w:num w:numId="31">
    <w:abstractNumId w:val="39"/>
  </w:num>
  <w:num w:numId="32">
    <w:abstractNumId w:val="52"/>
  </w:num>
  <w:num w:numId="33">
    <w:abstractNumId w:val="43"/>
  </w:num>
  <w:num w:numId="34">
    <w:abstractNumId w:val="20"/>
  </w:num>
  <w:num w:numId="35">
    <w:abstractNumId w:val="15"/>
  </w:num>
  <w:num w:numId="36">
    <w:abstractNumId w:val="51"/>
  </w:num>
  <w:num w:numId="37">
    <w:abstractNumId w:val="13"/>
  </w:num>
  <w:num w:numId="38">
    <w:abstractNumId w:val="17"/>
  </w:num>
  <w:num w:numId="39">
    <w:abstractNumId w:val="33"/>
  </w:num>
  <w:num w:numId="40">
    <w:abstractNumId w:val="46"/>
  </w:num>
  <w:num w:numId="41">
    <w:abstractNumId w:val="38"/>
  </w:num>
  <w:num w:numId="42">
    <w:abstractNumId w:val="50"/>
  </w:num>
  <w:num w:numId="43">
    <w:abstractNumId w:val="36"/>
  </w:num>
  <w:num w:numId="44">
    <w:abstractNumId w:val="35"/>
  </w:num>
  <w:num w:numId="45">
    <w:abstractNumId w:val="29"/>
  </w:num>
  <w:num w:numId="46">
    <w:abstractNumId w:val="14"/>
  </w:num>
  <w:num w:numId="47">
    <w:abstractNumId w:val="8"/>
  </w:num>
  <w:num w:numId="48">
    <w:abstractNumId w:val="9"/>
  </w:num>
  <w:num w:numId="49">
    <w:abstractNumId w:val="49"/>
  </w:num>
  <w:num w:numId="50">
    <w:abstractNumId w:val="34"/>
  </w:num>
  <w:num w:numId="51">
    <w:abstractNumId w:val="7"/>
  </w:num>
  <w:num w:numId="52">
    <w:abstractNumId w:val="53"/>
  </w:num>
  <w:num w:numId="53">
    <w:abstractNumId w:val="37"/>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725"/>
    <w:rsid w:val="0000080C"/>
    <w:rsid w:val="00000870"/>
    <w:rsid w:val="00000B3D"/>
    <w:rsid w:val="00000BCC"/>
    <w:rsid w:val="0000130E"/>
    <w:rsid w:val="0000137A"/>
    <w:rsid w:val="00001449"/>
    <w:rsid w:val="0000146B"/>
    <w:rsid w:val="00001481"/>
    <w:rsid w:val="00001AE7"/>
    <w:rsid w:val="00001B81"/>
    <w:rsid w:val="00001D74"/>
    <w:rsid w:val="00002139"/>
    <w:rsid w:val="00002841"/>
    <w:rsid w:val="00002E5E"/>
    <w:rsid w:val="00003001"/>
    <w:rsid w:val="0000309A"/>
    <w:rsid w:val="00003244"/>
    <w:rsid w:val="000039EF"/>
    <w:rsid w:val="00003AFE"/>
    <w:rsid w:val="00003CDE"/>
    <w:rsid w:val="0000417B"/>
    <w:rsid w:val="00004540"/>
    <w:rsid w:val="000046AF"/>
    <w:rsid w:val="00005107"/>
    <w:rsid w:val="000053F6"/>
    <w:rsid w:val="00005555"/>
    <w:rsid w:val="00005681"/>
    <w:rsid w:val="00005833"/>
    <w:rsid w:val="0000597D"/>
    <w:rsid w:val="00005B1E"/>
    <w:rsid w:val="00005B53"/>
    <w:rsid w:val="000061BA"/>
    <w:rsid w:val="00006210"/>
    <w:rsid w:val="0000678D"/>
    <w:rsid w:val="00006B23"/>
    <w:rsid w:val="00006D5D"/>
    <w:rsid w:val="00007268"/>
    <w:rsid w:val="0000768A"/>
    <w:rsid w:val="000078DA"/>
    <w:rsid w:val="00007E29"/>
    <w:rsid w:val="00007EBD"/>
    <w:rsid w:val="00007F38"/>
    <w:rsid w:val="0001009D"/>
    <w:rsid w:val="00010349"/>
    <w:rsid w:val="000107B2"/>
    <w:rsid w:val="00010883"/>
    <w:rsid w:val="00010ADF"/>
    <w:rsid w:val="0001125F"/>
    <w:rsid w:val="0001136A"/>
    <w:rsid w:val="000113AE"/>
    <w:rsid w:val="00011505"/>
    <w:rsid w:val="00011554"/>
    <w:rsid w:val="00011675"/>
    <w:rsid w:val="00011879"/>
    <w:rsid w:val="00011A19"/>
    <w:rsid w:val="00011DC8"/>
    <w:rsid w:val="00012015"/>
    <w:rsid w:val="00012187"/>
    <w:rsid w:val="000126C1"/>
    <w:rsid w:val="00012788"/>
    <w:rsid w:val="0001287B"/>
    <w:rsid w:val="00012919"/>
    <w:rsid w:val="00012B4A"/>
    <w:rsid w:val="00012C0C"/>
    <w:rsid w:val="00013120"/>
    <w:rsid w:val="00013536"/>
    <w:rsid w:val="000135BE"/>
    <w:rsid w:val="00013C12"/>
    <w:rsid w:val="00014264"/>
    <w:rsid w:val="000142C9"/>
    <w:rsid w:val="000146D2"/>
    <w:rsid w:val="00014A55"/>
    <w:rsid w:val="00014EB4"/>
    <w:rsid w:val="00014F4A"/>
    <w:rsid w:val="0001520E"/>
    <w:rsid w:val="0001531F"/>
    <w:rsid w:val="000153EC"/>
    <w:rsid w:val="0001544B"/>
    <w:rsid w:val="00015487"/>
    <w:rsid w:val="0001584D"/>
    <w:rsid w:val="00015ADB"/>
    <w:rsid w:val="00015B68"/>
    <w:rsid w:val="00015BBF"/>
    <w:rsid w:val="00015C3F"/>
    <w:rsid w:val="00015CCA"/>
    <w:rsid w:val="00015DBF"/>
    <w:rsid w:val="00016065"/>
    <w:rsid w:val="00016A64"/>
    <w:rsid w:val="00016AEF"/>
    <w:rsid w:val="00017196"/>
    <w:rsid w:val="00017382"/>
    <w:rsid w:val="000173D3"/>
    <w:rsid w:val="00017752"/>
    <w:rsid w:val="00017B94"/>
    <w:rsid w:val="00020131"/>
    <w:rsid w:val="0002020D"/>
    <w:rsid w:val="000205D3"/>
    <w:rsid w:val="000206F6"/>
    <w:rsid w:val="000209EE"/>
    <w:rsid w:val="00021182"/>
    <w:rsid w:val="0002147F"/>
    <w:rsid w:val="00021696"/>
    <w:rsid w:val="00021A94"/>
    <w:rsid w:val="00021CC9"/>
    <w:rsid w:val="00022002"/>
    <w:rsid w:val="000220B7"/>
    <w:rsid w:val="000222A2"/>
    <w:rsid w:val="00022447"/>
    <w:rsid w:val="00022D9D"/>
    <w:rsid w:val="00022F96"/>
    <w:rsid w:val="00023A04"/>
    <w:rsid w:val="00023BE5"/>
    <w:rsid w:val="0002447C"/>
    <w:rsid w:val="000245D8"/>
    <w:rsid w:val="000250F2"/>
    <w:rsid w:val="00025257"/>
    <w:rsid w:val="000252BA"/>
    <w:rsid w:val="0002560E"/>
    <w:rsid w:val="00025755"/>
    <w:rsid w:val="00025C40"/>
    <w:rsid w:val="00025D2D"/>
    <w:rsid w:val="000260A1"/>
    <w:rsid w:val="00026B5A"/>
    <w:rsid w:val="00026BD0"/>
    <w:rsid w:val="00026F78"/>
    <w:rsid w:val="000270B4"/>
    <w:rsid w:val="000270EB"/>
    <w:rsid w:val="00027183"/>
    <w:rsid w:val="0002721F"/>
    <w:rsid w:val="000273E3"/>
    <w:rsid w:val="000274F4"/>
    <w:rsid w:val="00027777"/>
    <w:rsid w:val="00027A4A"/>
    <w:rsid w:val="00027B0A"/>
    <w:rsid w:val="00027E99"/>
    <w:rsid w:val="00030126"/>
    <w:rsid w:val="000303E9"/>
    <w:rsid w:val="00030522"/>
    <w:rsid w:val="0003064A"/>
    <w:rsid w:val="000306C7"/>
    <w:rsid w:val="0003077E"/>
    <w:rsid w:val="00030795"/>
    <w:rsid w:val="00030AE3"/>
    <w:rsid w:val="00030D29"/>
    <w:rsid w:val="00030D7A"/>
    <w:rsid w:val="00031016"/>
    <w:rsid w:val="00031544"/>
    <w:rsid w:val="00031733"/>
    <w:rsid w:val="00031814"/>
    <w:rsid w:val="00031861"/>
    <w:rsid w:val="000318D3"/>
    <w:rsid w:val="00031E47"/>
    <w:rsid w:val="000321F3"/>
    <w:rsid w:val="00032367"/>
    <w:rsid w:val="00032480"/>
    <w:rsid w:val="000326E8"/>
    <w:rsid w:val="000326FA"/>
    <w:rsid w:val="00032B3B"/>
    <w:rsid w:val="00032B60"/>
    <w:rsid w:val="00032E43"/>
    <w:rsid w:val="00032EAD"/>
    <w:rsid w:val="00032EED"/>
    <w:rsid w:val="00033080"/>
    <w:rsid w:val="000330B2"/>
    <w:rsid w:val="00033741"/>
    <w:rsid w:val="00033E42"/>
    <w:rsid w:val="0003408A"/>
    <w:rsid w:val="0003429E"/>
    <w:rsid w:val="000347EF"/>
    <w:rsid w:val="0003488B"/>
    <w:rsid w:val="00034B00"/>
    <w:rsid w:val="000353EB"/>
    <w:rsid w:val="00035864"/>
    <w:rsid w:val="00035B37"/>
    <w:rsid w:val="0003609E"/>
    <w:rsid w:val="0003641F"/>
    <w:rsid w:val="00036464"/>
    <w:rsid w:val="00036B4A"/>
    <w:rsid w:val="00036CA8"/>
    <w:rsid w:val="00036D0B"/>
    <w:rsid w:val="00036F12"/>
    <w:rsid w:val="00036F4B"/>
    <w:rsid w:val="0003709A"/>
    <w:rsid w:val="000370B8"/>
    <w:rsid w:val="000371B7"/>
    <w:rsid w:val="00037300"/>
    <w:rsid w:val="00037347"/>
    <w:rsid w:val="000373CE"/>
    <w:rsid w:val="00037521"/>
    <w:rsid w:val="000375BF"/>
    <w:rsid w:val="0003761A"/>
    <w:rsid w:val="00037636"/>
    <w:rsid w:val="0003780C"/>
    <w:rsid w:val="00037CB6"/>
    <w:rsid w:val="0004022B"/>
    <w:rsid w:val="00040BB2"/>
    <w:rsid w:val="00040C2B"/>
    <w:rsid w:val="00040DF1"/>
    <w:rsid w:val="00040EDC"/>
    <w:rsid w:val="00041215"/>
    <w:rsid w:val="000414BD"/>
    <w:rsid w:val="0004177E"/>
    <w:rsid w:val="00041A14"/>
    <w:rsid w:val="0004215F"/>
    <w:rsid w:val="000423CE"/>
    <w:rsid w:val="00042550"/>
    <w:rsid w:val="000426BB"/>
    <w:rsid w:val="000428A2"/>
    <w:rsid w:val="000429BA"/>
    <w:rsid w:val="00042C11"/>
    <w:rsid w:val="00042D2D"/>
    <w:rsid w:val="00043355"/>
    <w:rsid w:val="00043618"/>
    <w:rsid w:val="00043725"/>
    <w:rsid w:val="000438B6"/>
    <w:rsid w:val="00043D50"/>
    <w:rsid w:val="00043E02"/>
    <w:rsid w:val="00043FA2"/>
    <w:rsid w:val="00043FCF"/>
    <w:rsid w:val="0004438A"/>
    <w:rsid w:val="000443CD"/>
    <w:rsid w:val="00044467"/>
    <w:rsid w:val="000444F9"/>
    <w:rsid w:val="0004454E"/>
    <w:rsid w:val="00044861"/>
    <w:rsid w:val="0004535F"/>
    <w:rsid w:val="000457F9"/>
    <w:rsid w:val="0004589F"/>
    <w:rsid w:val="000458FA"/>
    <w:rsid w:val="000461F0"/>
    <w:rsid w:val="0004649D"/>
    <w:rsid w:val="00046739"/>
    <w:rsid w:val="000468CF"/>
    <w:rsid w:val="00046A83"/>
    <w:rsid w:val="00046C86"/>
    <w:rsid w:val="00047100"/>
    <w:rsid w:val="0004718F"/>
    <w:rsid w:val="00047330"/>
    <w:rsid w:val="00047A05"/>
    <w:rsid w:val="00047B5F"/>
    <w:rsid w:val="00047F4A"/>
    <w:rsid w:val="000501BA"/>
    <w:rsid w:val="000501CC"/>
    <w:rsid w:val="000502DD"/>
    <w:rsid w:val="00050461"/>
    <w:rsid w:val="00050806"/>
    <w:rsid w:val="00050B30"/>
    <w:rsid w:val="00050BFC"/>
    <w:rsid w:val="00050C3F"/>
    <w:rsid w:val="00050D1C"/>
    <w:rsid w:val="00050D25"/>
    <w:rsid w:val="00050D32"/>
    <w:rsid w:val="000511BD"/>
    <w:rsid w:val="0005158B"/>
    <w:rsid w:val="00051617"/>
    <w:rsid w:val="00051993"/>
    <w:rsid w:val="00051A01"/>
    <w:rsid w:val="00051A55"/>
    <w:rsid w:val="00051DAB"/>
    <w:rsid w:val="00051E71"/>
    <w:rsid w:val="00051E8E"/>
    <w:rsid w:val="00051E92"/>
    <w:rsid w:val="00052101"/>
    <w:rsid w:val="000521BD"/>
    <w:rsid w:val="00052501"/>
    <w:rsid w:val="00052582"/>
    <w:rsid w:val="0005340D"/>
    <w:rsid w:val="00053ABD"/>
    <w:rsid w:val="00054000"/>
    <w:rsid w:val="000540B6"/>
    <w:rsid w:val="000540F1"/>
    <w:rsid w:val="000544A1"/>
    <w:rsid w:val="000549C6"/>
    <w:rsid w:val="00054D40"/>
    <w:rsid w:val="00054E4F"/>
    <w:rsid w:val="00054EDE"/>
    <w:rsid w:val="00055378"/>
    <w:rsid w:val="000555F3"/>
    <w:rsid w:val="00055713"/>
    <w:rsid w:val="00055748"/>
    <w:rsid w:val="000558BC"/>
    <w:rsid w:val="000561BA"/>
    <w:rsid w:val="00056355"/>
    <w:rsid w:val="0005649D"/>
    <w:rsid w:val="000569A4"/>
    <w:rsid w:val="00056A37"/>
    <w:rsid w:val="00056D09"/>
    <w:rsid w:val="000570C0"/>
    <w:rsid w:val="000573A2"/>
    <w:rsid w:val="000576A8"/>
    <w:rsid w:val="000578A0"/>
    <w:rsid w:val="000578F7"/>
    <w:rsid w:val="00057996"/>
    <w:rsid w:val="00057A6E"/>
    <w:rsid w:val="0006000A"/>
    <w:rsid w:val="0006039D"/>
    <w:rsid w:val="0006070B"/>
    <w:rsid w:val="00060713"/>
    <w:rsid w:val="0006095B"/>
    <w:rsid w:val="00060A54"/>
    <w:rsid w:val="000610AC"/>
    <w:rsid w:val="0006114D"/>
    <w:rsid w:val="00061166"/>
    <w:rsid w:val="0006119D"/>
    <w:rsid w:val="000611DD"/>
    <w:rsid w:val="00061283"/>
    <w:rsid w:val="0006148E"/>
    <w:rsid w:val="0006148F"/>
    <w:rsid w:val="00061993"/>
    <w:rsid w:val="00061B9A"/>
    <w:rsid w:val="00061DA0"/>
    <w:rsid w:val="00061DE6"/>
    <w:rsid w:val="00062024"/>
    <w:rsid w:val="00062522"/>
    <w:rsid w:val="00062AFB"/>
    <w:rsid w:val="00062D23"/>
    <w:rsid w:val="00062DD4"/>
    <w:rsid w:val="00062F88"/>
    <w:rsid w:val="00063291"/>
    <w:rsid w:val="00063390"/>
    <w:rsid w:val="0006345E"/>
    <w:rsid w:val="0006368D"/>
    <w:rsid w:val="000636F5"/>
    <w:rsid w:val="00063CAF"/>
    <w:rsid w:val="000645CE"/>
    <w:rsid w:val="00064834"/>
    <w:rsid w:val="00064A39"/>
    <w:rsid w:val="00064EC7"/>
    <w:rsid w:val="00065302"/>
    <w:rsid w:val="000656DD"/>
    <w:rsid w:val="00065D2B"/>
    <w:rsid w:val="00065EA2"/>
    <w:rsid w:val="000664E4"/>
    <w:rsid w:val="00066525"/>
    <w:rsid w:val="00066650"/>
    <w:rsid w:val="00066816"/>
    <w:rsid w:val="0006698B"/>
    <w:rsid w:val="00066C12"/>
    <w:rsid w:val="000670C5"/>
    <w:rsid w:val="00067124"/>
    <w:rsid w:val="000671CD"/>
    <w:rsid w:val="0006720A"/>
    <w:rsid w:val="00067482"/>
    <w:rsid w:val="000674B8"/>
    <w:rsid w:val="000679D9"/>
    <w:rsid w:val="00067A68"/>
    <w:rsid w:val="00067CC3"/>
    <w:rsid w:val="00070291"/>
    <w:rsid w:val="000703FC"/>
    <w:rsid w:val="000704F9"/>
    <w:rsid w:val="0007118A"/>
    <w:rsid w:val="00071441"/>
    <w:rsid w:val="00071569"/>
    <w:rsid w:val="00071992"/>
    <w:rsid w:val="00071FDA"/>
    <w:rsid w:val="00072271"/>
    <w:rsid w:val="000722A4"/>
    <w:rsid w:val="0007245C"/>
    <w:rsid w:val="00072598"/>
    <w:rsid w:val="0007268F"/>
    <w:rsid w:val="0007284A"/>
    <w:rsid w:val="00072861"/>
    <w:rsid w:val="000729EB"/>
    <w:rsid w:val="00072B23"/>
    <w:rsid w:val="00072C8F"/>
    <w:rsid w:val="00072DA6"/>
    <w:rsid w:val="000731F9"/>
    <w:rsid w:val="00073323"/>
    <w:rsid w:val="000734FA"/>
    <w:rsid w:val="00073668"/>
    <w:rsid w:val="0007387E"/>
    <w:rsid w:val="00073C45"/>
    <w:rsid w:val="00073C55"/>
    <w:rsid w:val="00073E10"/>
    <w:rsid w:val="00073EA5"/>
    <w:rsid w:val="0007419D"/>
    <w:rsid w:val="000749A5"/>
    <w:rsid w:val="00074C2B"/>
    <w:rsid w:val="00074D98"/>
    <w:rsid w:val="00074EDE"/>
    <w:rsid w:val="00074F98"/>
    <w:rsid w:val="00075015"/>
    <w:rsid w:val="000752EE"/>
    <w:rsid w:val="000753E6"/>
    <w:rsid w:val="000754F5"/>
    <w:rsid w:val="0007551D"/>
    <w:rsid w:val="000758A4"/>
    <w:rsid w:val="00075934"/>
    <w:rsid w:val="00075D3F"/>
    <w:rsid w:val="00075E12"/>
    <w:rsid w:val="00076165"/>
    <w:rsid w:val="00076227"/>
    <w:rsid w:val="0007642A"/>
    <w:rsid w:val="00076435"/>
    <w:rsid w:val="00076595"/>
    <w:rsid w:val="00076C94"/>
    <w:rsid w:val="00077326"/>
    <w:rsid w:val="00077751"/>
    <w:rsid w:val="00077771"/>
    <w:rsid w:val="0007786B"/>
    <w:rsid w:val="000779A9"/>
    <w:rsid w:val="000779B3"/>
    <w:rsid w:val="00077A61"/>
    <w:rsid w:val="00077A73"/>
    <w:rsid w:val="00077C5C"/>
    <w:rsid w:val="00077DCD"/>
    <w:rsid w:val="00080119"/>
    <w:rsid w:val="000802C0"/>
    <w:rsid w:val="000802F9"/>
    <w:rsid w:val="00080376"/>
    <w:rsid w:val="00080646"/>
    <w:rsid w:val="00080A0D"/>
    <w:rsid w:val="00080AFB"/>
    <w:rsid w:val="00080D49"/>
    <w:rsid w:val="00080F34"/>
    <w:rsid w:val="00080F36"/>
    <w:rsid w:val="000813E7"/>
    <w:rsid w:val="00081499"/>
    <w:rsid w:val="00081CE8"/>
    <w:rsid w:val="00081D73"/>
    <w:rsid w:val="000821F1"/>
    <w:rsid w:val="0008221E"/>
    <w:rsid w:val="0008237B"/>
    <w:rsid w:val="000823AF"/>
    <w:rsid w:val="0008245B"/>
    <w:rsid w:val="000824E7"/>
    <w:rsid w:val="00082695"/>
    <w:rsid w:val="00082F86"/>
    <w:rsid w:val="00082FD4"/>
    <w:rsid w:val="000831DB"/>
    <w:rsid w:val="00083240"/>
    <w:rsid w:val="000833F1"/>
    <w:rsid w:val="000836A6"/>
    <w:rsid w:val="00083757"/>
    <w:rsid w:val="000837A0"/>
    <w:rsid w:val="00083BD4"/>
    <w:rsid w:val="00083E15"/>
    <w:rsid w:val="00084016"/>
    <w:rsid w:val="000840D2"/>
    <w:rsid w:val="00084192"/>
    <w:rsid w:val="00084309"/>
    <w:rsid w:val="000843BE"/>
    <w:rsid w:val="00084524"/>
    <w:rsid w:val="00084A0A"/>
    <w:rsid w:val="00084AEA"/>
    <w:rsid w:val="00084B4C"/>
    <w:rsid w:val="0008501B"/>
    <w:rsid w:val="0008509D"/>
    <w:rsid w:val="000853F9"/>
    <w:rsid w:val="00085763"/>
    <w:rsid w:val="000858DD"/>
    <w:rsid w:val="00085A4F"/>
    <w:rsid w:val="00085E65"/>
    <w:rsid w:val="00085FEA"/>
    <w:rsid w:val="0008623A"/>
    <w:rsid w:val="00086372"/>
    <w:rsid w:val="00086590"/>
    <w:rsid w:val="00086633"/>
    <w:rsid w:val="000869B0"/>
    <w:rsid w:val="0008703E"/>
    <w:rsid w:val="0008714C"/>
    <w:rsid w:val="000876E4"/>
    <w:rsid w:val="00087E81"/>
    <w:rsid w:val="00087EB4"/>
    <w:rsid w:val="00087EC5"/>
    <w:rsid w:val="000902C1"/>
    <w:rsid w:val="0009037B"/>
    <w:rsid w:val="00090582"/>
    <w:rsid w:val="000907DB"/>
    <w:rsid w:val="00091360"/>
    <w:rsid w:val="00091693"/>
    <w:rsid w:val="00091912"/>
    <w:rsid w:val="000919D3"/>
    <w:rsid w:val="00091B1D"/>
    <w:rsid w:val="0009205B"/>
    <w:rsid w:val="00092111"/>
    <w:rsid w:val="0009244A"/>
    <w:rsid w:val="000924B0"/>
    <w:rsid w:val="000926FF"/>
    <w:rsid w:val="00092AEC"/>
    <w:rsid w:val="00092DE6"/>
    <w:rsid w:val="0009341D"/>
    <w:rsid w:val="00093855"/>
    <w:rsid w:val="00093932"/>
    <w:rsid w:val="00093CA0"/>
    <w:rsid w:val="00093CC3"/>
    <w:rsid w:val="00093EA0"/>
    <w:rsid w:val="00093F4A"/>
    <w:rsid w:val="00093F92"/>
    <w:rsid w:val="00093FA1"/>
    <w:rsid w:val="00093FB4"/>
    <w:rsid w:val="000942A3"/>
    <w:rsid w:val="00094883"/>
    <w:rsid w:val="00094983"/>
    <w:rsid w:val="00094AB9"/>
    <w:rsid w:val="000954DE"/>
    <w:rsid w:val="00095826"/>
    <w:rsid w:val="00095D29"/>
    <w:rsid w:val="00096059"/>
    <w:rsid w:val="000964BD"/>
    <w:rsid w:val="00096604"/>
    <w:rsid w:val="0009662D"/>
    <w:rsid w:val="00096852"/>
    <w:rsid w:val="00096D16"/>
    <w:rsid w:val="00096D35"/>
    <w:rsid w:val="00096E45"/>
    <w:rsid w:val="00096ECD"/>
    <w:rsid w:val="000971A3"/>
    <w:rsid w:val="00097302"/>
    <w:rsid w:val="00097420"/>
    <w:rsid w:val="00097555"/>
    <w:rsid w:val="0009764F"/>
    <w:rsid w:val="00097C6B"/>
    <w:rsid w:val="00097EBB"/>
    <w:rsid w:val="00097F6C"/>
    <w:rsid w:val="000A017A"/>
    <w:rsid w:val="000A01AE"/>
    <w:rsid w:val="000A0740"/>
    <w:rsid w:val="000A08BD"/>
    <w:rsid w:val="000A0AF2"/>
    <w:rsid w:val="000A0D22"/>
    <w:rsid w:val="000A0D44"/>
    <w:rsid w:val="000A1171"/>
    <w:rsid w:val="000A11BF"/>
    <w:rsid w:val="000A1796"/>
    <w:rsid w:val="000A1DB4"/>
    <w:rsid w:val="000A1E29"/>
    <w:rsid w:val="000A1F52"/>
    <w:rsid w:val="000A208A"/>
    <w:rsid w:val="000A21A3"/>
    <w:rsid w:val="000A21B8"/>
    <w:rsid w:val="000A24EE"/>
    <w:rsid w:val="000A2655"/>
    <w:rsid w:val="000A2659"/>
    <w:rsid w:val="000A2889"/>
    <w:rsid w:val="000A2E51"/>
    <w:rsid w:val="000A309D"/>
    <w:rsid w:val="000A30B6"/>
    <w:rsid w:val="000A33EA"/>
    <w:rsid w:val="000A37BD"/>
    <w:rsid w:val="000A3B7F"/>
    <w:rsid w:val="000A41C9"/>
    <w:rsid w:val="000A427F"/>
    <w:rsid w:val="000A44F5"/>
    <w:rsid w:val="000A49D6"/>
    <w:rsid w:val="000A4C21"/>
    <w:rsid w:val="000A4F11"/>
    <w:rsid w:val="000A5096"/>
    <w:rsid w:val="000A57A9"/>
    <w:rsid w:val="000A5845"/>
    <w:rsid w:val="000A5E98"/>
    <w:rsid w:val="000A5EF9"/>
    <w:rsid w:val="000A5F29"/>
    <w:rsid w:val="000A61B7"/>
    <w:rsid w:val="000A6929"/>
    <w:rsid w:val="000A6A70"/>
    <w:rsid w:val="000A6C95"/>
    <w:rsid w:val="000A6DB5"/>
    <w:rsid w:val="000A6E3F"/>
    <w:rsid w:val="000A7154"/>
    <w:rsid w:val="000A731B"/>
    <w:rsid w:val="000A7415"/>
    <w:rsid w:val="000A77C7"/>
    <w:rsid w:val="000A7BB4"/>
    <w:rsid w:val="000A7D4E"/>
    <w:rsid w:val="000A7D61"/>
    <w:rsid w:val="000A7DB3"/>
    <w:rsid w:val="000B013B"/>
    <w:rsid w:val="000B0267"/>
    <w:rsid w:val="000B02B9"/>
    <w:rsid w:val="000B06EE"/>
    <w:rsid w:val="000B08E3"/>
    <w:rsid w:val="000B0AC8"/>
    <w:rsid w:val="000B0ADF"/>
    <w:rsid w:val="000B0BC4"/>
    <w:rsid w:val="000B0D5F"/>
    <w:rsid w:val="000B1033"/>
    <w:rsid w:val="000B13CB"/>
    <w:rsid w:val="000B1463"/>
    <w:rsid w:val="000B15C5"/>
    <w:rsid w:val="000B16AA"/>
    <w:rsid w:val="000B1765"/>
    <w:rsid w:val="000B1987"/>
    <w:rsid w:val="000B1B8B"/>
    <w:rsid w:val="000B1ED9"/>
    <w:rsid w:val="000B208A"/>
    <w:rsid w:val="000B24B6"/>
    <w:rsid w:val="000B289A"/>
    <w:rsid w:val="000B28C9"/>
    <w:rsid w:val="000B29D8"/>
    <w:rsid w:val="000B2A02"/>
    <w:rsid w:val="000B2AE3"/>
    <w:rsid w:val="000B300E"/>
    <w:rsid w:val="000B3169"/>
    <w:rsid w:val="000B32BD"/>
    <w:rsid w:val="000B32EA"/>
    <w:rsid w:val="000B34C3"/>
    <w:rsid w:val="000B35F7"/>
    <w:rsid w:val="000B37AB"/>
    <w:rsid w:val="000B3BF1"/>
    <w:rsid w:val="000B40EB"/>
    <w:rsid w:val="000B40FF"/>
    <w:rsid w:val="000B444A"/>
    <w:rsid w:val="000B453F"/>
    <w:rsid w:val="000B454A"/>
    <w:rsid w:val="000B4667"/>
    <w:rsid w:val="000B4793"/>
    <w:rsid w:val="000B49E7"/>
    <w:rsid w:val="000B4FCC"/>
    <w:rsid w:val="000B51D1"/>
    <w:rsid w:val="000B5293"/>
    <w:rsid w:val="000B53C9"/>
    <w:rsid w:val="000B5494"/>
    <w:rsid w:val="000B5A6C"/>
    <w:rsid w:val="000B5C47"/>
    <w:rsid w:val="000B653B"/>
    <w:rsid w:val="000B65C0"/>
    <w:rsid w:val="000B67CA"/>
    <w:rsid w:val="000B6AFB"/>
    <w:rsid w:val="000B6B14"/>
    <w:rsid w:val="000B6B57"/>
    <w:rsid w:val="000B739C"/>
    <w:rsid w:val="000B73CA"/>
    <w:rsid w:val="000B7DA1"/>
    <w:rsid w:val="000B7EAC"/>
    <w:rsid w:val="000B7EF8"/>
    <w:rsid w:val="000C01B0"/>
    <w:rsid w:val="000C047F"/>
    <w:rsid w:val="000C0C12"/>
    <w:rsid w:val="000C0DEF"/>
    <w:rsid w:val="000C11E0"/>
    <w:rsid w:val="000C127C"/>
    <w:rsid w:val="000C13D9"/>
    <w:rsid w:val="000C1570"/>
    <w:rsid w:val="000C16A5"/>
    <w:rsid w:val="000C1A2C"/>
    <w:rsid w:val="000C1F56"/>
    <w:rsid w:val="000C1FA0"/>
    <w:rsid w:val="000C239A"/>
    <w:rsid w:val="000C255E"/>
    <w:rsid w:val="000C2649"/>
    <w:rsid w:val="000C287A"/>
    <w:rsid w:val="000C2A0D"/>
    <w:rsid w:val="000C2F6C"/>
    <w:rsid w:val="000C303D"/>
    <w:rsid w:val="000C3083"/>
    <w:rsid w:val="000C30FC"/>
    <w:rsid w:val="000C328B"/>
    <w:rsid w:val="000C32A6"/>
    <w:rsid w:val="000C338F"/>
    <w:rsid w:val="000C37F1"/>
    <w:rsid w:val="000C39D5"/>
    <w:rsid w:val="000C3CE8"/>
    <w:rsid w:val="000C3E7E"/>
    <w:rsid w:val="000C3EE2"/>
    <w:rsid w:val="000C40A0"/>
    <w:rsid w:val="000C4587"/>
    <w:rsid w:val="000C4715"/>
    <w:rsid w:val="000C4AFA"/>
    <w:rsid w:val="000C4D5B"/>
    <w:rsid w:val="000C4DEE"/>
    <w:rsid w:val="000C50C6"/>
    <w:rsid w:val="000C523F"/>
    <w:rsid w:val="000C53BC"/>
    <w:rsid w:val="000C5B6C"/>
    <w:rsid w:val="000C5D44"/>
    <w:rsid w:val="000C5F3C"/>
    <w:rsid w:val="000C600B"/>
    <w:rsid w:val="000C65EF"/>
    <w:rsid w:val="000C6B71"/>
    <w:rsid w:val="000C6B9D"/>
    <w:rsid w:val="000C6C3A"/>
    <w:rsid w:val="000C6CA3"/>
    <w:rsid w:val="000C6D54"/>
    <w:rsid w:val="000C6FC1"/>
    <w:rsid w:val="000C70A1"/>
    <w:rsid w:val="000C710C"/>
    <w:rsid w:val="000C7212"/>
    <w:rsid w:val="000C7414"/>
    <w:rsid w:val="000C749D"/>
    <w:rsid w:val="000C7511"/>
    <w:rsid w:val="000C75B0"/>
    <w:rsid w:val="000C783C"/>
    <w:rsid w:val="000C7846"/>
    <w:rsid w:val="000C794B"/>
    <w:rsid w:val="000C7A2F"/>
    <w:rsid w:val="000D00C7"/>
    <w:rsid w:val="000D03C6"/>
    <w:rsid w:val="000D0654"/>
    <w:rsid w:val="000D07A0"/>
    <w:rsid w:val="000D088B"/>
    <w:rsid w:val="000D0A30"/>
    <w:rsid w:val="000D0CBE"/>
    <w:rsid w:val="000D1100"/>
    <w:rsid w:val="000D11B1"/>
    <w:rsid w:val="000D11C1"/>
    <w:rsid w:val="000D1372"/>
    <w:rsid w:val="000D13C7"/>
    <w:rsid w:val="000D1462"/>
    <w:rsid w:val="000D14DF"/>
    <w:rsid w:val="000D198B"/>
    <w:rsid w:val="000D1CD3"/>
    <w:rsid w:val="000D1D02"/>
    <w:rsid w:val="000D1DEB"/>
    <w:rsid w:val="000D2074"/>
    <w:rsid w:val="000D2095"/>
    <w:rsid w:val="000D22CE"/>
    <w:rsid w:val="000D2987"/>
    <w:rsid w:val="000D29C6"/>
    <w:rsid w:val="000D2A5E"/>
    <w:rsid w:val="000D2CA4"/>
    <w:rsid w:val="000D2D5B"/>
    <w:rsid w:val="000D30E7"/>
    <w:rsid w:val="000D36CF"/>
    <w:rsid w:val="000D3EFF"/>
    <w:rsid w:val="000D463E"/>
    <w:rsid w:val="000D48AD"/>
    <w:rsid w:val="000D49FF"/>
    <w:rsid w:val="000D4B1F"/>
    <w:rsid w:val="000D4C15"/>
    <w:rsid w:val="000D4D1B"/>
    <w:rsid w:val="000D4E8A"/>
    <w:rsid w:val="000D4EBD"/>
    <w:rsid w:val="000D4EC6"/>
    <w:rsid w:val="000D5129"/>
    <w:rsid w:val="000D5285"/>
    <w:rsid w:val="000D5536"/>
    <w:rsid w:val="000D573B"/>
    <w:rsid w:val="000D6236"/>
    <w:rsid w:val="000D63AA"/>
    <w:rsid w:val="000D645F"/>
    <w:rsid w:val="000D66F5"/>
    <w:rsid w:val="000D6753"/>
    <w:rsid w:val="000D6C4E"/>
    <w:rsid w:val="000D7210"/>
    <w:rsid w:val="000D7680"/>
    <w:rsid w:val="000D788E"/>
    <w:rsid w:val="000D79F2"/>
    <w:rsid w:val="000D7A6A"/>
    <w:rsid w:val="000D7B6F"/>
    <w:rsid w:val="000D7BF7"/>
    <w:rsid w:val="000D7C10"/>
    <w:rsid w:val="000E01C8"/>
    <w:rsid w:val="000E0496"/>
    <w:rsid w:val="000E0505"/>
    <w:rsid w:val="000E088F"/>
    <w:rsid w:val="000E0D60"/>
    <w:rsid w:val="000E0F1F"/>
    <w:rsid w:val="000E10C5"/>
    <w:rsid w:val="000E13CC"/>
    <w:rsid w:val="000E14EA"/>
    <w:rsid w:val="000E16C9"/>
    <w:rsid w:val="000E1D75"/>
    <w:rsid w:val="000E2081"/>
    <w:rsid w:val="000E2524"/>
    <w:rsid w:val="000E2845"/>
    <w:rsid w:val="000E28AE"/>
    <w:rsid w:val="000E29D1"/>
    <w:rsid w:val="000E2B22"/>
    <w:rsid w:val="000E2C80"/>
    <w:rsid w:val="000E2E8F"/>
    <w:rsid w:val="000E309B"/>
    <w:rsid w:val="000E3417"/>
    <w:rsid w:val="000E354C"/>
    <w:rsid w:val="000E3595"/>
    <w:rsid w:val="000E39BE"/>
    <w:rsid w:val="000E3C72"/>
    <w:rsid w:val="000E3CD2"/>
    <w:rsid w:val="000E3EEA"/>
    <w:rsid w:val="000E406E"/>
    <w:rsid w:val="000E413C"/>
    <w:rsid w:val="000E41C2"/>
    <w:rsid w:val="000E4332"/>
    <w:rsid w:val="000E4501"/>
    <w:rsid w:val="000E4C1B"/>
    <w:rsid w:val="000E4CEC"/>
    <w:rsid w:val="000E4D01"/>
    <w:rsid w:val="000E4E2B"/>
    <w:rsid w:val="000E51F7"/>
    <w:rsid w:val="000E56A0"/>
    <w:rsid w:val="000E57E0"/>
    <w:rsid w:val="000E597B"/>
    <w:rsid w:val="000E5AB6"/>
    <w:rsid w:val="000E5C9A"/>
    <w:rsid w:val="000E5F79"/>
    <w:rsid w:val="000E6604"/>
    <w:rsid w:val="000E6A19"/>
    <w:rsid w:val="000E6B14"/>
    <w:rsid w:val="000E6B20"/>
    <w:rsid w:val="000E6EFB"/>
    <w:rsid w:val="000E7235"/>
    <w:rsid w:val="000E737D"/>
    <w:rsid w:val="000E742B"/>
    <w:rsid w:val="000E7786"/>
    <w:rsid w:val="000E77EA"/>
    <w:rsid w:val="000E781B"/>
    <w:rsid w:val="000E79D2"/>
    <w:rsid w:val="000E7D06"/>
    <w:rsid w:val="000E7EFE"/>
    <w:rsid w:val="000F019B"/>
    <w:rsid w:val="000F03D2"/>
    <w:rsid w:val="000F0423"/>
    <w:rsid w:val="000F09C7"/>
    <w:rsid w:val="000F0AA3"/>
    <w:rsid w:val="000F0B60"/>
    <w:rsid w:val="000F0D14"/>
    <w:rsid w:val="000F0D65"/>
    <w:rsid w:val="000F0D75"/>
    <w:rsid w:val="000F0F04"/>
    <w:rsid w:val="000F10B8"/>
    <w:rsid w:val="000F1434"/>
    <w:rsid w:val="000F1690"/>
    <w:rsid w:val="000F179C"/>
    <w:rsid w:val="000F1AB8"/>
    <w:rsid w:val="000F1B8C"/>
    <w:rsid w:val="000F1D26"/>
    <w:rsid w:val="000F1F62"/>
    <w:rsid w:val="000F23D9"/>
    <w:rsid w:val="000F2974"/>
    <w:rsid w:val="000F2B78"/>
    <w:rsid w:val="000F2CE9"/>
    <w:rsid w:val="000F2F26"/>
    <w:rsid w:val="000F2F97"/>
    <w:rsid w:val="000F2FB6"/>
    <w:rsid w:val="000F38A4"/>
    <w:rsid w:val="000F39C1"/>
    <w:rsid w:val="000F3D4A"/>
    <w:rsid w:val="000F41DF"/>
    <w:rsid w:val="000F43B4"/>
    <w:rsid w:val="000F43D1"/>
    <w:rsid w:val="000F442C"/>
    <w:rsid w:val="000F4E1C"/>
    <w:rsid w:val="000F4EA9"/>
    <w:rsid w:val="000F4F47"/>
    <w:rsid w:val="000F52A7"/>
    <w:rsid w:val="000F52C5"/>
    <w:rsid w:val="000F53C2"/>
    <w:rsid w:val="000F59E9"/>
    <w:rsid w:val="000F5A6D"/>
    <w:rsid w:val="000F5B00"/>
    <w:rsid w:val="000F6066"/>
    <w:rsid w:val="000F6352"/>
    <w:rsid w:val="000F63AA"/>
    <w:rsid w:val="000F6B97"/>
    <w:rsid w:val="000F6F59"/>
    <w:rsid w:val="000F734C"/>
    <w:rsid w:val="000F74EE"/>
    <w:rsid w:val="000F75B7"/>
    <w:rsid w:val="000F78E2"/>
    <w:rsid w:val="000F799D"/>
    <w:rsid w:val="000F79AD"/>
    <w:rsid w:val="000F7C2F"/>
    <w:rsid w:val="000F7D1E"/>
    <w:rsid w:val="000F7D4C"/>
    <w:rsid w:val="000F7DDB"/>
    <w:rsid w:val="0010001D"/>
    <w:rsid w:val="0010027D"/>
    <w:rsid w:val="0010031F"/>
    <w:rsid w:val="0010058D"/>
    <w:rsid w:val="00100808"/>
    <w:rsid w:val="001008BA"/>
    <w:rsid w:val="00100DB4"/>
    <w:rsid w:val="001011B6"/>
    <w:rsid w:val="00101310"/>
    <w:rsid w:val="00101405"/>
    <w:rsid w:val="001015EC"/>
    <w:rsid w:val="00101615"/>
    <w:rsid w:val="0010174F"/>
    <w:rsid w:val="001017A3"/>
    <w:rsid w:val="0010197E"/>
    <w:rsid w:val="001019B9"/>
    <w:rsid w:val="00101A82"/>
    <w:rsid w:val="00101B1E"/>
    <w:rsid w:val="00101E49"/>
    <w:rsid w:val="00102542"/>
    <w:rsid w:val="001026E6"/>
    <w:rsid w:val="001027D4"/>
    <w:rsid w:val="001027D9"/>
    <w:rsid w:val="00102803"/>
    <w:rsid w:val="001029E1"/>
    <w:rsid w:val="00102C03"/>
    <w:rsid w:val="00103170"/>
    <w:rsid w:val="00103521"/>
    <w:rsid w:val="0010352C"/>
    <w:rsid w:val="00103546"/>
    <w:rsid w:val="001035EA"/>
    <w:rsid w:val="00103C38"/>
    <w:rsid w:val="00103E43"/>
    <w:rsid w:val="00103E5B"/>
    <w:rsid w:val="00103F00"/>
    <w:rsid w:val="00104006"/>
    <w:rsid w:val="00104690"/>
    <w:rsid w:val="00104A2E"/>
    <w:rsid w:val="00104A45"/>
    <w:rsid w:val="00104B8F"/>
    <w:rsid w:val="0010501A"/>
    <w:rsid w:val="00105482"/>
    <w:rsid w:val="001055F9"/>
    <w:rsid w:val="001056E7"/>
    <w:rsid w:val="0010570F"/>
    <w:rsid w:val="001058C5"/>
    <w:rsid w:val="001059C7"/>
    <w:rsid w:val="00105A3E"/>
    <w:rsid w:val="00105A77"/>
    <w:rsid w:val="00105AAA"/>
    <w:rsid w:val="00105E09"/>
    <w:rsid w:val="00105E0F"/>
    <w:rsid w:val="00105E69"/>
    <w:rsid w:val="001061FC"/>
    <w:rsid w:val="00106B80"/>
    <w:rsid w:val="00106F0A"/>
    <w:rsid w:val="00106FEC"/>
    <w:rsid w:val="0010700F"/>
    <w:rsid w:val="001071C9"/>
    <w:rsid w:val="001073DF"/>
    <w:rsid w:val="001073EB"/>
    <w:rsid w:val="001073EC"/>
    <w:rsid w:val="0010754E"/>
    <w:rsid w:val="00107669"/>
    <w:rsid w:val="00107835"/>
    <w:rsid w:val="00107E9E"/>
    <w:rsid w:val="001101FB"/>
    <w:rsid w:val="001103F3"/>
    <w:rsid w:val="00110605"/>
    <w:rsid w:val="00110770"/>
    <w:rsid w:val="00110AF4"/>
    <w:rsid w:val="00110BFD"/>
    <w:rsid w:val="001111F0"/>
    <w:rsid w:val="00111392"/>
    <w:rsid w:val="00111895"/>
    <w:rsid w:val="00111C32"/>
    <w:rsid w:val="00112173"/>
    <w:rsid w:val="00112196"/>
    <w:rsid w:val="001121B6"/>
    <w:rsid w:val="001121D3"/>
    <w:rsid w:val="001122D0"/>
    <w:rsid w:val="00112481"/>
    <w:rsid w:val="00112741"/>
    <w:rsid w:val="001129E3"/>
    <w:rsid w:val="00112CEC"/>
    <w:rsid w:val="00112F93"/>
    <w:rsid w:val="001131D6"/>
    <w:rsid w:val="001133AF"/>
    <w:rsid w:val="001134D4"/>
    <w:rsid w:val="00113783"/>
    <w:rsid w:val="00113841"/>
    <w:rsid w:val="00113AE6"/>
    <w:rsid w:val="00113CBD"/>
    <w:rsid w:val="00113DE1"/>
    <w:rsid w:val="00114489"/>
    <w:rsid w:val="00114818"/>
    <w:rsid w:val="001148F7"/>
    <w:rsid w:val="00114A24"/>
    <w:rsid w:val="00114B00"/>
    <w:rsid w:val="00114F3A"/>
    <w:rsid w:val="0011504C"/>
    <w:rsid w:val="00115158"/>
    <w:rsid w:val="00115266"/>
    <w:rsid w:val="00115396"/>
    <w:rsid w:val="00115695"/>
    <w:rsid w:val="0011665F"/>
    <w:rsid w:val="00116669"/>
    <w:rsid w:val="0011674A"/>
    <w:rsid w:val="00116A22"/>
    <w:rsid w:val="00116EF2"/>
    <w:rsid w:val="00116F3F"/>
    <w:rsid w:val="001171F4"/>
    <w:rsid w:val="00117581"/>
    <w:rsid w:val="00117856"/>
    <w:rsid w:val="001179A9"/>
    <w:rsid w:val="00117B13"/>
    <w:rsid w:val="00117B5A"/>
    <w:rsid w:val="00117DBF"/>
    <w:rsid w:val="0012001D"/>
    <w:rsid w:val="001201A1"/>
    <w:rsid w:val="00120245"/>
    <w:rsid w:val="001208A3"/>
    <w:rsid w:val="00120F1D"/>
    <w:rsid w:val="00120F7D"/>
    <w:rsid w:val="001212E0"/>
    <w:rsid w:val="001213E4"/>
    <w:rsid w:val="00121AF2"/>
    <w:rsid w:val="00121CBF"/>
    <w:rsid w:val="001220B5"/>
    <w:rsid w:val="0012213F"/>
    <w:rsid w:val="001225C0"/>
    <w:rsid w:val="00122B5C"/>
    <w:rsid w:val="00122F45"/>
    <w:rsid w:val="00123175"/>
    <w:rsid w:val="0012370C"/>
    <w:rsid w:val="001239BB"/>
    <w:rsid w:val="00123A22"/>
    <w:rsid w:val="00123E73"/>
    <w:rsid w:val="00123FC0"/>
    <w:rsid w:val="001242D7"/>
    <w:rsid w:val="00124342"/>
    <w:rsid w:val="001247AC"/>
    <w:rsid w:val="001247DB"/>
    <w:rsid w:val="001248F3"/>
    <w:rsid w:val="0012495F"/>
    <w:rsid w:val="0012497C"/>
    <w:rsid w:val="00124AE3"/>
    <w:rsid w:val="00124D1B"/>
    <w:rsid w:val="00125360"/>
    <w:rsid w:val="001253AC"/>
    <w:rsid w:val="00125510"/>
    <w:rsid w:val="0012566B"/>
    <w:rsid w:val="001257B8"/>
    <w:rsid w:val="001257DD"/>
    <w:rsid w:val="0012599E"/>
    <w:rsid w:val="00125ABA"/>
    <w:rsid w:val="00125AD5"/>
    <w:rsid w:val="00125D70"/>
    <w:rsid w:val="00125E80"/>
    <w:rsid w:val="00125FBA"/>
    <w:rsid w:val="001261C9"/>
    <w:rsid w:val="00126226"/>
    <w:rsid w:val="0012625F"/>
    <w:rsid w:val="0012661E"/>
    <w:rsid w:val="001268C2"/>
    <w:rsid w:val="00126AC2"/>
    <w:rsid w:val="00126B68"/>
    <w:rsid w:val="00126D9A"/>
    <w:rsid w:val="00126F2F"/>
    <w:rsid w:val="001270A7"/>
    <w:rsid w:val="001272AC"/>
    <w:rsid w:val="0012737E"/>
    <w:rsid w:val="00127516"/>
    <w:rsid w:val="001275A7"/>
    <w:rsid w:val="001277CA"/>
    <w:rsid w:val="00127C1C"/>
    <w:rsid w:val="00127CE1"/>
    <w:rsid w:val="00127E1E"/>
    <w:rsid w:val="001300EB"/>
    <w:rsid w:val="001303F0"/>
    <w:rsid w:val="001304E4"/>
    <w:rsid w:val="0013064C"/>
    <w:rsid w:val="00130A11"/>
    <w:rsid w:val="00130A19"/>
    <w:rsid w:val="00130EBC"/>
    <w:rsid w:val="00131001"/>
    <w:rsid w:val="0013112A"/>
    <w:rsid w:val="0013135D"/>
    <w:rsid w:val="00131470"/>
    <w:rsid w:val="00131939"/>
    <w:rsid w:val="00131A2F"/>
    <w:rsid w:val="00131DE7"/>
    <w:rsid w:val="0013209F"/>
    <w:rsid w:val="0013252F"/>
    <w:rsid w:val="00132740"/>
    <w:rsid w:val="001327BB"/>
    <w:rsid w:val="00132AF1"/>
    <w:rsid w:val="00132BE8"/>
    <w:rsid w:val="0013304A"/>
    <w:rsid w:val="0013341F"/>
    <w:rsid w:val="001336AE"/>
    <w:rsid w:val="00133B8A"/>
    <w:rsid w:val="00134059"/>
    <w:rsid w:val="001341B8"/>
    <w:rsid w:val="001341E0"/>
    <w:rsid w:val="00134251"/>
    <w:rsid w:val="001346C7"/>
    <w:rsid w:val="001347B1"/>
    <w:rsid w:val="00134867"/>
    <w:rsid w:val="00134D12"/>
    <w:rsid w:val="00134DBD"/>
    <w:rsid w:val="00134F3F"/>
    <w:rsid w:val="00135007"/>
    <w:rsid w:val="0013526B"/>
    <w:rsid w:val="00135434"/>
    <w:rsid w:val="00135585"/>
    <w:rsid w:val="00135681"/>
    <w:rsid w:val="0013583C"/>
    <w:rsid w:val="00135935"/>
    <w:rsid w:val="00135D56"/>
    <w:rsid w:val="00135E18"/>
    <w:rsid w:val="00135E7D"/>
    <w:rsid w:val="00136399"/>
    <w:rsid w:val="0013675E"/>
    <w:rsid w:val="00136AD2"/>
    <w:rsid w:val="00136B7A"/>
    <w:rsid w:val="00136F52"/>
    <w:rsid w:val="00136F69"/>
    <w:rsid w:val="00136F81"/>
    <w:rsid w:val="00137717"/>
    <w:rsid w:val="00137779"/>
    <w:rsid w:val="001378EA"/>
    <w:rsid w:val="00137F6C"/>
    <w:rsid w:val="00140571"/>
    <w:rsid w:val="00140B0E"/>
    <w:rsid w:val="001410C4"/>
    <w:rsid w:val="00141378"/>
    <w:rsid w:val="00141592"/>
    <w:rsid w:val="001417F3"/>
    <w:rsid w:val="001418D5"/>
    <w:rsid w:val="00141976"/>
    <w:rsid w:val="00141B69"/>
    <w:rsid w:val="00141BD3"/>
    <w:rsid w:val="00141CB9"/>
    <w:rsid w:val="00141FF9"/>
    <w:rsid w:val="00142239"/>
    <w:rsid w:val="001423F3"/>
    <w:rsid w:val="00142403"/>
    <w:rsid w:val="001424C4"/>
    <w:rsid w:val="00142633"/>
    <w:rsid w:val="00142A7F"/>
    <w:rsid w:val="00142D0D"/>
    <w:rsid w:val="00142D4E"/>
    <w:rsid w:val="00142E2A"/>
    <w:rsid w:val="00142FC4"/>
    <w:rsid w:val="001431F7"/>
    <w:rsid w:val="00143363"/>
    <w:rsid w:val="00143580"/>
    <w:rsid w:val="001437C7"/>
    <w:rsid w:val="001440D6"/>
    <w:rsid w:val="00144153"/>
    <w:rsid w:val="001441E5"/>
    <w:rsid w:val="00144294"/>
    <w:rsid w:val="0014433C"/>
    <w:rsid w:val="00144446"/>
    <w:rsid w:val="0014457F"/>
    <w:rsid w:val="001447CA"/>
    <w:rsid w:val="001447F5"/>
    <w:rsid w:val="00144A51"/>
    <w:rsid w:val="00144BF2"/>
    <w:rsid w:val="00144D48"/>
    <w:rsid w:val="00144E0E"/>
    <w:rsid w:val="00144E26"/>
    <w:rsid w:val="00144F44"/>
    <w:rsid w:val="00145362"/>
    <w:rsid w:val="001454DA"/>
    <w:rsid w:val="0014552E"/>
    <w:rsid w:val="00145580"/>
    <w:rsid w:val="001457E5"/>
    <w:rsid w:val="0014580B"/>
    <w:rsid w:val="0014588F"/>
    <w:rsid w:val="00145992"/>
    <w:rsid w:val="001459C0"/>
    <w:rsid w:val="00145BBB"/>
    <w:rsid w:val="00146697"/>
    <w:rsid w:val="00146D27"/>
    <w:rsid w:val="00146E7F"/>
    <w:rsid w:val="00146EBD"/>
    <w:rsid w:val="00146F15"/>
    <w:rsid w:val="001474FE"/>
    <w:rsid w:val="00147DD1"/>
    <w:rsid w:val="00147F60"/>
    <w:rsid w:val="0015016C"/>
    <w:rsid w:val="00150947"/>
    <w:rsid w:val="00150AAA"/>
    <w:rsid w:val="00150BE5"/>
    <w:rsid w:val="00150BFA"/>
    <w:rsid w:val="00150D32"/>
    <w:rsid w:val="00150D6C"/>
    <w:rsid w:val="001511FD"/>
    <w:rsid w:val="0015127F"/>
    <w:rsid w:val="00151A7B"/>
    <w:rsid w:val="001523A0"/>
    <w:rsid w:val="00152448"/>
    <w:rsid w:val="001524ED"/>
    <w:rsid w:val="001527D5"/>
    <w:rsid w:val="001527EF"/>
    <w:rsid w:val="00152950"/>
    <w:rsid w:val="0015298B"/>
    <w:rsid w:val="0015323C"/>
    <w:rsid w:val="001534EE"/>
    <w:rsid w:val="00153516"/>
    <w:rsid w:val="00153762"/>
    <w:rsid w:val="00153896"/>
    <w:rsid w:val="00153BF5"/>
    <w:rsid w:val="00154416"/>
    <w:rsid w:val="0015444B"/>
    <w:rsid w:val="001548DE"/>
    <w:rsid w:val="0015495F"/>
    <w:rsid w:val="0015531B"/>
    <w:rsid w:val="00155388"/>
    <w:rsid w:val="001553E4"/>
    <w:rsid w:val="00155A10"/>
    <w:rsid w:val="00155B90"/>
    <w:rsid w:val="00155ECD"/>
    <w:rsid w:val="00156A23"/>
    <w:rsid w:val="00156C21"/>
    <w:rsid w:val="00156C36"/>
    <w:rsid w:val="00156C3B"/>
    <w:rsid w:val="00156F21"/>
    <w:rsid w:val="0015735E"/>
    <w:rsid w:val="0015763A"/>
    <w:rsid w:val="00157888"/>
    <w:rsid w:val="001578EF"/>
    <w:rsid w:val="00157F01"/>
    <w:rsid w:val="0016012C"/>
    <w:rsid w:val="001601E4"/>
    <w:rsid w:val="001601ED"/>
    <w:rsid w:val="0016026A"/>
    <w:rsid w:val="001602C3"/>
    <w:rsid w:val="001606A3"/>
    <w:rsid w:val="0016097C"/>
    <w:rsid w:val="001609EB"/>
    <w:rsid w:val="00160DFC"/>
    <w:rsid w:val="00160E3D"/>
    <w:rsid w:val="00160EA9"/>
    <w:rsid w:val="00160EAF"/>
    <w:rsid w:val="00160EB1"/>
    <w:rsid w:val="0016105E"/>
    <w:rsid w:val="00161191"/>
    <w:rsid w:val="00161277"/>
    <w:rsid w:val="001612F3"/>
    <w:rsid w:val="00161561"/>
    <w:rsid w:val="001618CC"/>
    <w:rsid w:val="001618FB"/>
    <w:rsid w:val="00161FE4"/>
    <w:rsid w:val="001624F2"/>
    <w:rsid w:val="00162C62"/>
    <w:rsid w:val="00162DE6"/>
    <w:rsid w:val="00162DEE"/>
    <w:rsid w:val="00162E2E"/>
    <w:rsid w:val="00163299"/>
    <w:rsid w:val="001639AA"/>
    <w:rsid w:val="00163AD6"/>
    <w:rsid w:val="00163B0F"/>
    <w:rsid w:val="00163BB4"/>
    <w:rsid w:val="00163DF4"/>
    <w:rsid w:val="001641D0"/>
    <w:rsid w:val="00164211"/>
    <w:rsid w:val="0016466E"/>
    <w:rsid w:val="001647CF"/>
    <w:rsid w:val="0016481E"/>
    <w:rsid w:val="00164886"/>
    <w:rsid w:val="00164AF5"/>
    <w:rsid w:val="00164C49"/>
    <w:rsid w:val="00164EA1"/>
    <w:rsid w:val="00165216"/>
    <w:rsid w:val="00165372"/>
    <w:rsid w:val="00165625"/>
    <w:rsid w:val="00165B23"/>
    <w:rsid w:val="00165F9C"/>
    <w:rsid w:val="00166137"/>
    <w:rsid w:val="0016633F"/>
    <w:rsid w:val="001663CB"/>
    <w:rsid w:val="00166481"/>
    <w:rsid w:val="001665D7"/>
    <w:rsid w:val="001666AC"/>
    <w:rsid w:val="0016677C"/>
    <w:rsid w:val="0016696C"/>
    <w:rsid w:val="00166AB6"/>
    <w:rsid w:val="00166B32"/>
    <w:rsid w:val="00166E94"/>
    <w:rsid w:val="00166FB9"/>
    <w:rsid w:val="001674B4"/>
    <w:rsid w:val="001676B7"/>
    <w:rsid w:val="00167795"/>
    <w:rsid w:val="00167B10"/>
    <w:rsid w:val="00167D85"/>
    <w:rsid w:val="00167F53"/>
    <w:rsid w:val="0017032D"/>
    <w:rsid w:val="00170403"/>
    <w:rsid w:val="00171219"/>
    <w:rsid w:val="001712D5"/>
    <w:rsid w:val="001718F2"/>
    <w:rsid w:val="00171ABC"/>
    <w:rsid w:val="00171D6B"/>
    <w:rsid w:val="00171D85"/>
    <w:rsid w:val="001721DC"/>
    <w:rsid w:val="001724E7"/>
    <w:rsid w:val="0017254D"/>
    <w:rsid w:val="00172757"/>
    <w:rsid w:val="00173254"/>
    <w:rsid w:val="001735F8"/>
    <w:rsid w:val="001737C2"/>
    <w:rsid w:val="001738A6"/>
    <w:rsid w:val="0017393B"/>
    <w:rsid w:val="00173A9B"/>
    <w:rsid w:val="00173AA4"/>
    <w:rsid w:val="00173C59"/>
    <w:rsid w:val="0017418F"/>
    <w:rsid w:val="00174604"/>
    <w:rsid w:val="00174846"/>
    <w:rsid w:val="001748A1"/>
    <w:rsid w:val="0017499D"/>
    <w:rsid w:val="0017549C"/>
    <w:rsid w:val="00175C25"/>
    <w:rsid w:val="00176023"/>
    <w:rsid w:val="00176489"/>
    <w:rsid w:val="00176756"/>
    <w:rsid w:val="00176956"/>
    <w:rsid w:val="001772FE"/>
    <w:rsid w:val="00177547"/>
    <w:rsid w:val="00177592"/>
    <w:rsid w:val="001778A5"/>
    <w:rsid w:val="001778D6"/>
    <w:rsid w:val="0017791E"/>
    <w:rsid w:val="00177A33"/>
    <w:rsid w:val="00177B14"/>
    <w:rsid w:val="00177C29"/>
    <w:rsid w:val="00177F62"/>
    <w:rsid w:val="0018035E"/>
    <w:rsid w:val="0018035F"/>
    <w:rsid w:val="00180764"/>
    <w:rsid w:val="00180789"/>
    <w:rsid w:val="001807E9"/>
    <w:rsid w:val="001808AB"/>
    <w:rsid w:val="001809F2"/>
    <w:rsid w:val="00180AF8"/>
    <w:rsid w:val="00180E88"/>
    <w:rsid w:val="00180ED9"/>
    <w:rsid w:val="00180F51"/>
    <w:rsid w:val="001814BF"/>
    <w:rsid w:val="00181D2F"/>
    <w:rsid w:val="00181F5E"/>
    <w:rsid w:val="00181FBE"/>
    <w:rsid w:val="00181FCB"/>
    <w:rsid w:val="00182AE2"/>
    <w:rsid w:val="00182CE5"/>
    <w:rsid w:val="00182EC0"/>
    <w:rsid w:val="00183208"/>
    <w:rsid w:val="001832A4"/>
    <w:rsid w:val="00183415"/>
    <w:rsid w:val="001838BB"/>
    <w:rsid w:val="00183AEF"/>
    <w:rsid w:val="00183D17"/>
    <w:rsid w:val="00183E43"/>
    <w:rsid w:val="00183E75"/>
    <w:rsid w:val="00183F1A"/>
    <w:rsid w:val="001841A0"/>
    <w:rsid w:val="001841AD"/>
    <w:rsid w:val="00184706"/>
    <w:rsid w:val="001848EB"/>
    <w:rsid w:val="00184AFF"/>
    <w:rsid w:val="00184C59"/>
    <w:rsid w:val="0018528F"/>
    <w:rsid w:val="001852BC"/>
    <w:rsid w:val="001852EA"/>
    <w:rsid w:val="0018532C"/>
    <w:rsid w:val="00185339"/>
    <w:rsid w:val="0018549A"/>
    <w:rsid w:val="00185780"/>
    <w:rsid w:val="00185AB4"/>
    <w:rsid w:val="00185F88"/>
    <w:rsid w:val="00186014"/>
    <w:rsid w:val="00186125"/>
    <w:rsid w:val="00186539"/>
    <w:rsid w:val="00186585"/>
    <w:rsid w:val="0018671B"/>
    <w:rsid w:val="00186ACD"/>
    <w:rsid w:val="00186CF5"/>
    <w:rsid w:val="00186D5D"/>
    <w:rsid w:val="00187165"/>
    <w:rsid w:val="001872D3"/>
    <w:rsid w:val="00187356"/>
    <w:rsid w:val="00187369"/>
    <w:rsid w:val="001874C4"/>
    <w:rsid w:val="0018758B"/>
    <w:rsid w:val="0018761F"/>
    <w:rsid w:val="00187BF2"/>
    <w:rsid w:val="00187C96"/>
    <w:rsid w:val="00187CFB"/>
    <w:rsid w:val="00187E21"/>
    <w:rsid w:val="00187EFE"/>
    <w:rsid w:val="001900F0"/>
    <w:rsid w:val="00190112"/>
    <w:rsid w:val="001901B4"/>
    <w:rsid w:val="0019083E"/>
    <w:rsid w:val="00190851"/>
    <w:rsid w:val="001913F4"/>
    <w:rsid w:val="00191405"/>
    <w:rsid w:val="00191473"/>
    <w:rsid w:val="001915C7"/>
    <w:rsid w:val="00191C59"/>
    <w:rsid w:val="00191DB5"/>
    <w:rsid w:val="00192295"/>
    <w:rsid w:val="001922B9"/>
    <w:rsid w:val="0019232F"/>
    <w:rsid w:val="001924ED"/>
    <w:rsid w:val="00192667"/>
    <w:rsid w:val="0019280E"/>
    <w:rsid w:val="00192D5E"/>
    <w:rsid w:val="00192F20"/>
    <w:rsid w:val="00192F3D"/>
    <w:rsid w:val="00192F48"/>
    <w:rsid w:val="00192F86"/>
    <w:rsid w:val="0019309F"/>
    <w:rsid w:val="001934B2"/>
    <w:rsid w:val="001935FF"/>
    <w:rsid w:val="0019361C"/>
    <w:rsid w:val="001938A4"/>
    <w:rsid w:val="001938BA"/>
    <w:rsid w:val="00193AC6"/>
    <w:rsid w:val="00193AEA"/>
    <w:rsid w:val="00193EB9"/>
    <w:rsid w:val="001942F3"/>
    <w:rsid w:val="0019454D"/>
    <w:rsid w:val="00194745"/>
    <w:rsid w:val="0019486E"/>
    <w:rsid w:val="00194E6E"/>
    <w:rsid w:val="0019541A"/>
    <w:rsid w:val="00195DAA"/>
    <w:rsid w:val="00195FD0"/>
    <w:rsid w:val="00196121"/>
    <w:rsid w:val="00196155"/>
    <w:rsid w:val="0019620F"/>
    <w:rsid w:val="001964DE"/>
    <w:rsid w:val="00196537"/>
    <w:rsid w:val="0019676B"/>
    <w:rsid w:val="0019683E"/>
    <w:rsid w:val="00196876"/>
    <w:rsid w:val="00196E80"/>
    <w:rsid w:val="00197589"/>
    <w:rsid w:val="00197CB8"/>
    <w:rsid w:val="00197D37"/>
    <w:rsid w:val="00197EE3"/>
    <w:rsid w:val="00197F38"/>
    <w:rsid w:val="00198889"/>
    <w:rsid w:val="001A058D"/>
    <w:rsid w:val="001A05B2"/>
    <w:rsid w:val="001A05E2"/>
    <w:rsid w:val="001A063F"/>
    <w:rsid w:val="001A0661"/>
    <w:rsid w:val="001A076A"/>
    <w:rsid w:val="001A09A6"/>
    <w:rsid w:val="001A0CBC"/>
    <w:rsid w:val="001A0D52"/>
    <w:rsid w:val="001A140F"/>
    <w:rsid w:val="001A19A4"/>
    <w:rsid w:val="001A19C4"/>
    <w:rsid w:val="001A19CD"/>
    <w:rsid w:val="001A1AB3"/>
    <w:rsid w:val="001A1AC6"/>
    <w:rsid w:val="001A1C0F"/>
    <w:rsid w:val="001A1C98"/>
    <w:rsid w:val="001A1E14"/>
    <w:rsid w:val="001A2592"/>
    <w:rsid w:val="001A259E"/>
    <w:rsid w:val="001A2948"/>
    <w:rsid w:val="001A3280"/>
    <w:rsid w:val="001A3516"/>
    <w:rsid w:val="001A36F2"/>
    <w:rsid w:val="001A3A59"/>
    <w:rsid w:val="001A3C12"/>
    <w:rsid w:val="001A3ED8"/>
    <w:rsid w:val="001A3F32"/>
    <w:rsid w:val="001A4B6A"/>
    <w:rsid w:val="001A4DA3"/>
    <w:rsid w:val="001A507C"/>
    <w:rsid w:val="001A5573"/>
    <w:rsid w:val="001A56BC"/>
    <w:rsid w:val="001A579E"/>
    <w:rsid w:val="001A6253"/>
    <w:rsid w:val="001A767C"/>
    <w:rsid w:val="001A7D20"/>
    <w:rsid w:val="001A7E15"/>
    <w:rsid w:val="001B0059"/>
    <w:rsid w:val="001B0180"/>
    <w:rsid w:val="001B0933"/>
    <w:rsid w:val="001B0B42"/>
    <w:rsid w:val="001B0C8B"/>
    <w:rsid w:val="001B0EFF"/>
    <w:rsid w:val="001B109B"/>
    <w:rsid w:val="001B1272"/>
    <w:rsid w:val="001B1287"/>
    <w:rsid w:val="001B1559"/>
    <w:rsid w:val="001B19DA"/>
    <w:rsid w:val="001B1A78"/>
    <w:rsid w:val="001B1A7F"/>
    <w:rsid w:val="001B1B0A"/>
    <w:rsid w:val="001B1E69"/>
    <w:rsid w:val="001B20BB"/>
    <w:rsid w:val="001B2811"/>
    <w:rsid w:val="001B2828"/>
    <w:rsid w:val="001B282E"/>
    <w:rsid w:val="001B2AB9"/>
    <w:rsid w:val="001B2B93"/>
    <w:rsid w:val="001B2C67"/>
    <w:rsid w:val="001B373E"/>
    <w:rsid w:val="001B3A87"/>
    <w:rsid w:val="001B3BC3"/>
    <w:rsid w:val="001B3E40"/>
    <w:rsid w:val="001B41AE"/>
    <w:rsid w:val="001B421C"/>
    <w:rsid w:val="001B43DC"/>
    <w:rsid w:val="001B4429"/>
    <w:rsid w:val="001B48C7"/>
    <w:rsid w:val="001B4A8D"/>
    <w:rsid w:val="001B4BC8"/>
    <w:rsid w:val="001B4BE6"/>
    <w:rsid w:val="001B5118"/>
    <w:rsid w:val="001B52A4"/>
    <w:rsid w:val="001B5480"/>
    <w:rsid w:val="001B562B"/>
    <w:rsid w:val="001B6007"/>
    <w:rsid w:val="001B606F"/>
    <w:rsid w:val="001B65BA"/>
    <w:rsid w:val="001B6FEC"/>
    <w:rsid w:val="001B7102"/>
    <w:rsid w:val="001B71D8"/>
    <w:rsid w:val="001B7B3C"/>
    <w:rsid w:val="001B7DC6"/>
    <w:rsid w:val="001C077D"/>
    <w:rsid w:val="001C07BC"/>
    <w:rsid w:val="001C0AEF"/>
    <w:rsid w:val="001C197E"/>
    <w:rsid w:val="001C1CD3"/>
    <w:rsid w:val="001C1CDF"/>
    <w:rsid w:val="001C1DF9"/>
    <w:rsid w:val="001C1EF1"/>
    <w:rsid w:val="001C2078"/>
    <w:rsid w:val="001C20D4"/>
    <w:rsid w:val="001C21AB"/>
    <w:rsid w:val="001C21B0"/>
    <w:rsid w:val="001C2512"/>
    <w:rsid w:val="001C256D"/>
    <w:rsid w:val="001C280C"/>
    <w:rsid w:val="001C2880"/>
    <w:rsid w:val="001C2B9B"/>
    <w:rsid w:val="001C2FA7"/>
    <w:rsid w:val="001C323F"/>
    <w:rsid w:val="001C3257"/>
    <w:rsid w:val="001C3335"/>
    <w:rsid w:val="001C33D8"/>
    <w:rsid w:val="001C362C"/>
    <w:rsid w:val="001C37D8"/>
    <w:rsid w:val="001C3952"/>
    <w:rsid w:val="001C400E"/>
    <w:rsid w:val="001C414A"/>
    <w:rsid w:val="001C4709"/>
    <w:rsid w:val="001C4BCD"/>
    <w:rsid w:val="001C512B"/>
    <w:rsid w:val="001C54D9"/>
    <w:rsid w:val="001C5525"/>
    <w:rsid w:val="001C5D0D"/>
    <w:rsid w:val="001C5F05"/>
    <w:rsid w:val="001C6177"/>
    <w:rsid w:val="001C6520"/>
    <w:rsid w:val="001C670F"/>
    <w:rsid w:val="001C6A85"/>
    <w:rsid w:val="001C6FDD"/>
    <w:rsid w:val="001C701B"/>
    <w:rsid w:val="001C7059"/>
    <w:rsid w:val="001C73CE"/>
    <w:rsid w:val="001C766D"/>
    <w:rsid w:val="001C7856"/>
    <w:rsid w:val="001C7A84"/>
    <w:rsid w:val="001C7B43"/>
    <w:rsid w:val="001C7C77"/>
    <w:rsid w:val="001C7E50"/>
    <w:rsid w:val="001C7EEF"/>
    <w:rsid w:val="001D0300"/>
    <w:rsid w:val="001D0369"/>
    <w:rsid w:val="001D0DCD"/>
    <w:rsid w:val="001D0E9E"/>
    <w:rsid w:val="001D15BA"/>
    <w:rsid w:val="001D16D4"/>
    <w:rsid w:val="001D1747"/>
    <w:rsid w:val="001D1886"/>
    <w:rsid w:val="001D19BD"/>
    <w:rsid w:val="001D1A12"/>
    <w:rsid w:val="001D1B29"/>
    <w:rsid w:val="001D1C61"/>
    <w:rsid w:val="001D1F26"/>
    <w:rsid w:val="001D22F9"/>
    <w:rsid w:val="001D27E8"/>
    <w:rsid w:val="001D2A9C"/>
    <w:rsid w:val="001D2F47"/>
    <w:rsid w:val="001D2F4F"/>
    <w:rsid w:val="001D325C"/>
    <w:rsid w:val="001D3509"/>
    <w:rsid w:val="001D35DC"/>
    <w:rsid w:val="001D3B60"/>
    <w:rsid w:val="001D3BC7"/>
    <w:rsid w:val="001D3C47"/>
    <w:rsid w:val="001D408D"/>
    <w:rsid w:val="001D4209"/>
    <w:rsid w:val="001D437F"/>
    <w:rsid w:val="001D44D1"/>
    <w:rsid w:val="001D46CC"/>
    <w:rsid w:val="001D4823"/>
    <w:rsid w:val="001D482A"/>
    <w:rsid w:val="001D4AC2"/>
    <w:rsid w:val="001D4B86"/>
    <w:rsid w:val="001D4BB6"/>
    <w:rsid w:val="001D4BC8"/>
    <w:rsid w:val="001D4C6D"/>
    <w:rsid w:val="001D4E3F"/>
    <w:rsid w:val="001D5414"/>
    <w:rsid w:val="001D546D"/>
    <w:rsid w:val="001D54BB"/>
    <w:rsid w:val="001D5533"/>
    <w:rsid w:val="001D559A"/>
    <w:rsid w:val="001D571B"/>
    <w:rsid w:val="001D57B0"/>
    <w:rsid w:val="001D57B1"/>
    <w:rsid w:val="001D5868"/>
    <w:rsid w:val="001D5B82"/>
    <w:rsid w:val="001D5D2A"/>
    <w:rsid w:val="001D5DC1"/>
    <w:rsid w:val="001D61A9"/>
    <w:rsid w:val="001D6245"/>
    <w:rsid w:val="001D63B2"/>
    <w:rsid w:val="001D6422"/>
    <w:rsid w:val="001D6572"/>
    <w:rsid w:val="001D6A0C"/>
    <w:rsid w:val="001D6AE8"/>
    <w:rsid w:val="001D6C32"/>
    <w:rsid w:val="001D6F6F"/>
    <w:rsid w:val="001D7009"/>
    <w:rsid w:val="001D72FE"/>
    <w:rsid w:val="001D73E8"/>
    <w:rsid w:val="001D7403"/>
    <w:rsid w:val="001D76F3"/>
    <w:rsid w:val="001D7AEC"/>
    <w:rsid w:val="001E0044"/>
    <w:rsid w:val="001E0240"/>
    <w:rsid w:val="001E0AC4"/>
    <w:rsid w:val="001E0DA1"/>
    <w:rsid w:val="001E0FE2"/>
    <w:rsid w:val="001E105C"/>
    <w:rsid w:val="001E1679"/>
    <w:rsid w:val="001E1849"/>
    <w:rsid w:val="001E1C0D"/>
    <w:rsid w:val="001E1CE0"/>
    <w:rsid w:val="001E1ED0"/>
    <w:rsid w:val="001E1F4B"/>
    <w:rsid w:val="001E1FA9"/>
    <w:rsid w:val="001E260F"/>
    <w:rsid w:val="001E2871"/>
    <w:rsid w:val="001E297B"/>
    <w:rsid w:val="001E29B4"/>
    <w:rsid w:val="001E2B39"/>
    <w:rsid w:val="001E2C1D"/>
    <w:rsid w:val="001E3154"/>
    <w:rsid w:val="001E32DA"/>
    <w:rsid w:val="001E33D2"/>
    <w:rsid w:val="001E3BE0"/>
    <w:rsid w:val="001E3C05"/>
    <w:rsid w:val="001E3C52"/>
    <w:rsid w:val="001E3ED4"/>
    <w:rsid w:val="001E410E"/>
    <w:rsid w:val="001E414A"/>
    <w:rsid w:val="001E41E8"/>
    <w:rsid w:val="001E41FC"/>
    <w:rsid w:val="001E423A"/>
    <w:rsid w:val="001E42A2"/>
    <w:rsid w:val="001E450D"/>
    <w:rsid w:val="001E477F"/>
    <w:rsid w:val="001E4791"/>
    <w:rsid w:val="001E4949"/>
    <w:rsid w:val="001E4ABA"/>
    <w:rsid w:val="001E4C3F"/>
    <w:rsid w:val="001E4D3F"/>
    <w:rsid w:val="001E50E1"/>
    <w:rsid w:val="001E51DE"/>
    <w:rsid w:val="001E5298"/>
    <w:rsid w:val="001E5572"/>
    <w:rsid w:val="001E5595"/>
    <w:rsid w:val="001E5D0A"/>
    <w:rsid w:val="001E6674"/>
    <w:rsid w:val="001E6685"/>
    <w:rsid w:val="001E6D9C"/>
    <w:rsid w:val="001E705D"/>
    <w:rsid w:val="001E7081"/>
    <w:rsid w:val="001E73F4"/>
    <w:rsid w:val="001E7496"/>
    <w:rsid w:val="001E7A0B"/>
    <w:rsid w:val="001E7F0D"/>
    <w:rsid w:val="001F042D"/>
    <w:rsid w:val="001F044C"/>
    <w:rsid w:val="001F06B1"/>
    <w:rsid w:val="001F0A34"/>
    <w:rsid w:val="001F0B53"/>
    <w:rsid w:val="001F106A"/>
    <w:rsid w:val="001F1185"/>
    <w:rsid w:val="001F11CB"/>
    <w:rsid w:val="001F11DD"/>
    <w:rsid w:val="001F203C"/>
    <w:rsid w:val="001F20E8"/>
    <w:rsid w:val="001F26C8"/>
    <w:rsid w:val="001F2972"/>
    <w:rsid w:val="001F2D94"/>
    <w:rsid w:val="001F2E01"/>
    <w:rsid w:val="001F2E0F"/>
    <w:rsid w:val="001F2F35"/>
    <w:rsid w:val="001F301C"/>
    <w:rsid w:val="001F3711"/>
    <w:rsid w:val="001F37E9"/>
    <w:rsid w:val="001F380E"/>
    <w:rsid w:val="001F3919"/>
    <w:rsid w:val="001F3966"/>
    <w:rsid w:val="001F39D9"/>
    <w:rsid w:val="001F4069"/>
    <w:rsid w:val="001F40F2"/>
    <w:rsid w:val="001F40FF"/>
    <w:rsid w:val="001F4270"/>
    <w:rsid w:val="001F44AB"/>
    <w:rsid w:val="001F4517"/>
    <w:rsid w:val="001F49A9"/>
    <w:rsid w:val="001F4E6C"/>
    <w:rsid w:val="001F5080"/>
    <w:rsid w:val="001F52AE"/>
    <w:rsid w:val="001F545C"/>
    <w:rsid w:val="001F57CA"/>
    <w:rsid w:val="001F5830"/>
    <w:rsid w:val="001F5876"/>
    <w:rsid w:val="001F597B"/>
    <w:rsid w:val="001F5A74"/>
    <w:rsid w:val="001F6684"/>
    <w:rsid w:val="001F6958"/>
    <w:rsid w:val="001F6E0F"/>
    <w:rsid w:val="001F6E8E"/>
    <w:rsid w:val="001F73F4"/>
    <w:rsid w:val="001F764A"/>
    <w:rsid w:val="001F767B"/>
    <w:rsid w:val="001F76E7"/>
    <w:rsid w:val="001F79A7"/>
    <w:rsid w:val="001F7A8F"/>
    <w:rsid w:val="001F7C21"/>
    <w:rsid w:val="001F7E86"/>
    <w:rsid w:val="001F7EBD"/>
    <w:rsid w:val="001F7ED6"/>
    <w:rsid w:val="001F7F87"/>
    <w:rsid w:val="002003E9"/>
    <w:rsid w:val="0020067A"/>
    <w:rsid w:val="0020078E"/>
    <w:rsid w:val="00200976"/>
    <w:rsid w:val="00200CFE"/>
    <w:rsid w:val="00200D84"/>
    <w:rsid w:val="00200FE7"/>
    <w:rsid w:val="0020108F"/>
    <w:rsid w:val="00201113"/>
    <w:rsid w:val="0020113C"/>
    <w:rsid w:val="0020167F"/>
    <w:rsid w:val="00201744"/>
    <w:rsid w:val="00201939"/>
    <w:rsid w:val="00201DE0"/>
    <w:rsid w:val="00201E50"/>
    <w:rsid w:val="00201EA8"/>
    <w:rsid w:val="0020205E"/>
    <w:rsid w:val="0020216A"/>
    <w:rsid w:val="002025B1"/>
    <w:rsid w:val="00202707"/>
    <w:rsid w:val="002027B6"/>
    <w:rsid w:val="002027F6"/>
    <w:rsid w:val="00202F8F"/>
    <w:rsid w:val="00202FD4"/>
    <w:rsid w:val="00203029"/>
    <w:rsid w:val="0020340A"/>
    <w:rsid w:val="00203BA1"/>
    <w:rsid w:val="00203CC8"/>
    <w:rsid w:val="00204349"/>
    <w:rsid w:val="00204504"/>
    <w:rsid w:val="0020468C"/>
    <w:rsid w:val="0020480E"/>
    <w:rsid w:val="00204830"/>
    <w:rsid w:val="0020484E"/>
    <w:rsid w:val="00204C99"/>
    <w:rsid w:val="00204D8F"/>
    <w:rsid w:val="00205556"/>
    <w:rsid w:val="002057E2"/>
    <w:rsid w:val="0020598C"/>
    <w:rsid w:val="00205A0F"/>
    <w:rsid w:val="00205D3F"/>
    <w:rsid w:val="00205EB8"/>
    <w:rsid w:val="00206050"/>
    <w:rsid w:val="00206923"/>
    <w:rsid w:val="002069E2"/>
    <w:rsid w:val="00206BA4"/>
    <w:rsid w:val="00206D87"/>
    <w:rsid w:val="00206DBF"/>
    <w:rsid w:val="00206FF3"/>
    <w:rsid w:val="0020746B"/>
    <w:rsid w:val="00207529"/>
    <w:rsid w:val="00207702"/>
    <w:rsid w:val="00207E93"/>
    <w:rsid w:val="00207F27"/>
    <w:rsid w:val="00207FCB"/>
    <w:rsid w:val="0021000B"/>
    <w:rsid w:val="00210534"/>
    <w:rsid w:val="00210803"/>
    <w:rsid w:val="00210B3E"/>
    <w:rsid w:val="002110BB"/>
    <w:rsid w:val="002111D4"/>
    <w:rsid w:val="002114D1"/>
    <w:rsid w:val="002115B1"/>
    <w:rsid w:val="002115BA"/>
    <w:rsid w:val="002116AA"/>
    <w:rsid w:val="00211A4A"/>
    <w:rsid w:val="00211E3D"/>
    <w:rsid w:val="00211EDE"/>
    <w:rsid w:val="002120DB"/>
    <w:rsid w:val="0021215D"/>
    <w:rsid w:val="0021239B"/>
    <w:rsid w:val="002123D6"/>
    <w:rsid w:val="002125AA"/>
    <w:rsid w:val="00212603"/>
    <w:rsid w:val="002128BF"/>
    <w:rsid w:val="0021295B"/>
    <w:rsid w:val="002129F9"/>
    <w:rsid w:val="00212BF1"/>
    <w:rsid w:val="00212CAA"/>
    <w:rsid w:val="00212D8F"/>
    <w:rsid w:val="00212E9C"/>
    <w:rsid w:val="002130C4"/>
    <w:rsid w:val="0021334D"/>
    <w:rsid w:val="0021351C"/>
    <w:rsid w:val="0021368C"/>
    <w:rsid w:val="002137D8"/>
    <w:rsid w:val="00213831"/>
    <w:rsid w:val="0021397C"/>
    <w:rsid w:val="002139F2"/>
    <w:rsid w:val="00213AFC"/>
    <w:rsid w:val="00213F10"/>
    <w:rsid w:val="002140B0"/>
    <w:rsid w:val="002142BD"/>
    <w:rsid w:val="00214A87"/>
    <w:rsid w:val="00214ADE"/>
    <w:rsid w:val="00214D42"/>
    <w:rsid w:val="00214E2C"/>
    <w:rsid w:val="00215249"/>
    <w:rsid w:val="00215421"/>
    <w:rsid w:val="00215427"/>
    <w:rsid w:val="00215550"/>
    <w:rsid w:val="002157A8"/>
    <w:rsid w:val="002158BB"/>
    <w:rsid w:val="002158CD"/>
    <w:rsid w:val="00215D7B"/>
    <w:rsid w:val="00215F60"/>
    <w:rsid w:val="00215F98"/>
    <w:rsid w:val="002161CC"/>
    <w:rsid w:val="002162FD"/>
    <w:rsid w:val="0021640B"/>
    <w:rsid w:val="0021645A"/>
    <w:rsid w:val="00216611"/>
    <w:rsid w:val="002166F9"/>
    <w:rsid w:val="00216A9E"/>
    <w:rsid w:val="0021741D"/>
    <w:rsid w:val="0021746E"/>
    <w:rsid w:val="00217602"/>
    <w:rsid w:val="0021787F"/>
    <w:rsid w:val="002178DD"/>
    <w:rsid w:val="00217CA0"/>
    <w:rsid w:val="002200B5"/>
    <w:rsid w:val="002205E5"/>
    <w:rsid w:val="00220996"/>
    <w:rsid w:val="00220A01"/>
    <w:rsid w:val="0022119D"/>
    <w:rsid w:val="00221234"/>
    <w:rsid w:val="0022192D"/>
    <w:rsid w:val="00221E2C"/>
    <w:rsid w:val="0022276E"/>
    <w:rsid w:val="00222A4F"/>
    <w:rsid w:val="00222B73"/>
    <w:rsid w:val="00222C2E"/>
    <w:rsid w:val="00222C42"/>
    <w:rsid w:val="00223482"/>
    <w:rsid w:val="0022351F"/>
    <w:rsid w:val="00223643"/>
    <w:rsid w:val="002236DF"/>
    <w:rsid w:val="00223ACB"/>
    <w:rsid w:val="00223C39"/>
    <w:rsid w:val="00223CAF"/>
    <w:rsid w:val="00223E4E"/>
    <w:rsid w:val="00223F6F"/>
    <w:rsid w:val="0022424B"/>
    <w:rsid w:val="002242B1"/>
    <w:rsid w:val="0022446E"/>
    <w:rsid w:val="00224534"/>
    <w:rsid w:val="00224687"/>
    <w:rsid w:val="002248AC"/>
    <w:rsid w:val="00224A56"/>
    <w:rsid w:val="00224A8D"/>
    <w:rsid w:val="00224C11"/>
    <w:rsid w:val="00224CA5"/>
    <w:rsid w:val="00224EE2"/>
    <w:rsid w:val="00224EFF"/>
    <w:rsid w:val="002251BC"/>
    <w:rsid w:val="002255EE"/>
    <w:rsid w:val="0022584D"/>
    <w:rsid w:val="002258A7"/>
    <w:rsid w:val="00225CF2"/>
    <w:rsid w:val="00225D26"/>
    <w:rsid w:val="00225E49"/>
    <w:rsid w:val="00225E4E"/>
    <w:rsid w:val="00226108"/>
    <w:rsid w:val="00226276"/>
    <w:rsid w:val="002263F2"/>
    <w:rsid w:val="00226645"/>
    <w:rsid w:val="002266BB"/>
    <w:rsid w:val="002266F4"/>
    <w:rsid w:val="00226FFB"/>
    <w:rsid w:val="0022701E"/>
    <w:rsid w:val="00227178"/>
    <w:rsid w:val="002272E1"/>
    <w:rsid w:val="00227366"/>
    <w:rsid w:val="00227402"/>
    <w:rsid w:val="002274E2"/>
    <w:rsid w:val="002278DC"/>
    <w:rsid w:val="002279A5"/>
    <w:rsid w:val="00227B73"/>
    <w:rsid w:val="00227D8A"/>
    <w:rsid w:val="00227E1B"/>
    <w:rsid w:val="00230194"/>
    <w:rsid w:val="002308D3"/>
    <w:rsid w:val="00230B72"/>
    <w:rsid w:val="00230B91"/>
    <w:rsid w:val="00230C67"/>
    <w:rsid w:val="00230C81"/>
    <w:rsid w:val="00230CF9"/>
    <w:rsid w:val="00230D5A"/>
    <w:rsid w:val="00230DD9"/>
    <w:rsid w:val="00231144"/>
    <w:rsid w:val="0023135A"/>
    <w:rsid w:val="002315B4"/>
    <w:rsid w:val="002316F1"/>
    <w:rsid w:val="002318C1"/>
    <w:rsid w:val="00231E52"/>
    <w:rsid w:val="00232332"/>
    <w:rsid w:val="002325E0"/>
    <w:rsid w:val="0023290C"/>
    <w:rsid w:val="00232DCC"/>
    <w:rsid w:val="002330A2"/>
    <w:rsid w:val="00233326"/>
    <w:rsid w:val="00233530"/>
    <w:rsid w:val="00233907"/>
    <w:rsid w:val="00233992"/>
    <w:rsid w:val="002339AD"/>
    <w:rsid w:val="00233A16"/>
    <w:rsid w:val="00233CA2"/>
    <w:rsid w:val="00233F61"/>
    <w:rsid w:val="002343F1"/>
    <w:rsid w:val="002344C0"/>
    <w:rsid w:val="00234681"/>
    <w:rsid w:val="00234747"/>
    <w:rsid w:val="002348F6"/>
    <w:rsid w:val="00234B57"/>
    <w:rsid w:val="00234F4A"/>
    <w:rsid w:val="00235205"/>
    <w:rsid w:val="00235289"/>
    <w:rsid w:val="00235585"/>
    <w:rsid w:val="00235B4C"/>
    <w:rsid w:val="00235C87"/>
    <w:rsid w:val="00235DF6"/>
    <w:rsid w:val="00235F57"/>
    <w:rsid w:val="002362AE"/>
    <w:rsid w:val="002362E7"/>
    <w:rsid w:val="002365C9"/>
    <w:rsid w:val="002366AB"/>
    <w:rsid w:val="00236770"/>
    <w:rsid w:val="00236D58"/>
    <w:rsid w:val="00236F9B"/>
    <w:rsid w:val="0023715D"/>
    <w:rsid w:val="002375BA"/>
    <w:rsid w:val="0023760D"/>
    <w:rsid w:val="00237AC9"/>
    <w:rsid w:val="00237D4C"/>
    <w:rsid w:val="00237E6C"/>
    <w:rsid w:val="002401D6"/>
    <w:rsid w:val="00240682"/>
    <w:rsid w:val="002406E9"/>
    <w:rsid w:val="002409D7"/>
    <w:rsid w:val="00240A03"/>
    <w:rsid w:val="00240DE8"/>
    <w:rsid w:val="00240EE7"/>
    <w:rsid w:val="00240F6A"/>
    <w:rsid w:val="00240FB7"/>
    <w:rsid w:val="0024102A"/>
    <w:rsid w:val="00241178"/>
    <w:rsid w:val="002412BF"/>
    <w:rsid w:val="00241301"/>
    <w:rsid w:val="00241470"/>
    <w:rsid w:val="0024171C"/>
    <w:rsid w:val="0024197F"/>
    <w:rsid w:val="00241AE1"/>
    <w:rsid w:val="00241E50"/>
    <w:rsid w:val="00242328"/>
    <w:rsid w:val="0024235A"/>
    <w:rsid w:val="00242547"/>
    <w:rsid w:val="0024255A"/>
    <w:rsid w:val="00242652"/>
    <w:rsid w:val="002428B3"/>
    <w:rsid w:val="00242B71"/>
    <w:rsid w:val="00242BC9"/>
    <w:rsid w:val="00242E9F"/>
    <w:rsid w:val="00242ED3"/>
    <w:rsid w:val="00242FDC"/>
    <w:rsid w:val="002430F2"/>
    <w:rsid w:val="00243160"/>
    <w:rsid w:val="00243648"/>
    <w:rsid w:val="00243695"/>
    <w:rsid w:val="00243E09"/>
    <w:rsid w:val="00243E10"/>
    <w:rsid w:val="00243E38"/>
    <w:rsid w:val="00243F4C"/>
    <w:rsid w:val="00243FB0"/>
    <w:rsid w:val="00244098"/>
    <w:rsid w:val="00244105"/>
    <w:rsid w:val="00244192"/>
    <w:rsid w:val="002441F3"/>
    <w:rsid w:val="00244532"/>
    <w:rsid w:val="0024462A"/>
    <w:rsid w:val="00244896"/>
    <w:rsid w:val="00244AA6"/>
    <w:rsid w:val="00244D45"/>
    <w:rsid w:val="00244DC7"/>
    <w:rsid w:val="0024524E"/>
    <w:rsid w:val="00245C75"/>
    <w:rsid w:val="00245D06"/>
    <w:rsid w:val="00245E42"/>
    <w:rsid w:val="00245EF3"/>
    <w:rsid w:val="002461D5"/>
    <w:rsid w:val="002462C1"/>
    <w:rsid w:val="00246481"/>
    <w:rsid w:val="00246643"/>
    <w:rsid w:val="002466D5"/>
    <w:rsid w:val="00246732"/>
    <w:rsid w:val="00246D45"/>
    <w:rsid w:val="00247261"/>
    <w:rsid w:val="002473D5"/>
    <w:rsid w:val="002474D3"/>
    <w:rsid w:val="002474DD"/>
    <w:rsid w:val="0024786A"/>
    <w:rsid w:val="00247CA6"/>
    <w:rsid w:val="00250617"/>
    <w:rsid w:val="0025086D"/>
    <w:rsid w:val="00250947"/>
    <w:rsid w:val="0025099A"/>
    <w:rsid w:val="002509A5"/>
    <w:rsid w:val="00250BFF"/>
    <w:rsid w:val="00250D17"/>
    <w:rsid w:val="00250E1D"/>
    <w:rsid w:val="0025114F"/>
    <w:rsid w:val="0025127A"/>
    <w:rsid w:val="002515A8"/>
    <w:rsid w:val="00251678"/>
    <w:rsid w:val="00251D3F"/>
    <w:rsid w:val="00251DA3"/>
    <w:rsid w:val="00251F52"/>
    <w:rsid w:val="0025217E"/>
    <w:rsid w:val="00252291"/>
    <w:rsid w:val="002523CB"/>
    <w:rsid w:val="002525FC"/>
    <w:rsid w:val="00252B51"/>
    <w:rsid w:val="00252E69"/>
    <w:rsid w:val="00252F2D"/>
    <w:rsid w:val="00252FDD"/>
    <w:rsid w:val="00253133"/>
    <w:rsid w:val="002532D1"/>
    <w:rsid w:val="0025332A"/>
    <w:rsid w:val="002533F3"/>
    <w:rsid w:val="002533F4"/>
    <w:rsid w:val="002535C5"/>
    <w:rsid w:val="002537B1"/>
    <w:rsid w:val="002537CD"/>
    <w:rsid w:val="0025391A"/>
    <w:rsid w:val="002539A7"/>
    <w:rsid w:val="00253AB3"/>
    <w:rsid w:val="00253B71"/>
    <w:rsid w:val="00253C51"/>
    <w:rsid w:val="00253D22"/>
    <w:rsid w:val="00253F23"/>
    <w:rsid w:val="00253FF7"/>
    <w:rsid w:val="00254080"/>
    <w:rsid w:val="002540E1"/>
    <w:rsid w:val="00254B42"/>
    <w:rsid w:val="00254CD3"/>
    <w:rsid w:val="00254D69"/>
    <w:rsid w:val="00254FE3"/>
    <w:rsid w:val="00254FF6"/>
    <w:rsid w:val="002552A0"/>
    <w:rsid w:val="002555E8"/>
    <w:rsid w:val="002556F3"/>
    <w:rsid w:val="002558A8"/>
    <w:rsid w:val="002559B5"/>
    <w:rsid w:val="00255A72"/>
    <w:rsid w:val="00255B55"/>
    <w:rsid w:val="00255DC8"/>
    <w:rsid w:val="00255ED6"/>
    <w:rsid w:val="0025624F"/>
    <w:rsid w:val="00256512"/>
    <w:rsid w:val="002568AB"/>
    <w:rsid w:val="00256A13"/>
    <w:rsid w:val="0025768C"/>
    <w:rsid w:val="00257F60"/>
    <w:rsid w:val="00260101"/>
    <w:rsid w:val="0026067C"/>
    <w:rsid w:val="00260905"/>
    <w:rsid w:val="002609BC"/>
    <w:rsid w:val="00260A9A"/>
    <w:rsid w:val="00260C43"/>
    <w:rsid w:val="00260F50"/>
    <w:rsid w:val="00261266"/>
    <w:rsid w:val="00261610"/>
    <w:rsid w:val="002617B7"/>
    <w:rsid w:val="00261B5D"/>
    <w:rsid w:val="00261CBB"/>
    <w:rsid w:val="00261E45"/>
    <w:rsid w:val="00262009"/>
    <w:rsid w:val="002620EE"/>
    <w:rsid w:val="00262119"/>
    <w:rsid w:val="00262198"/>
    <w:rsid w:val="0026233A"/>
    <w:rsid w:val="00262460"/>
    <w:rsid w:val="0026258B"/>
    <w:rsid w:val="002628A2"/>
    <w:rsid w:val="00262998"/>
    <w:rsid w:val="00262CD0"/>
    <w:rsid w:val="00262D3E"/>
    <w:rsid w:val="002630CB"/>
    <w:rsid w:val="00263124"/>
    <w:rsid w:val="00263133"/>
    <w:rsid w:val="00263292"/>
    <w:rsid w:val="002632EF"/>
    <w:rsid w:val="00263459"/>
    <w:rsid w:val="00263619"/>
    <w:rsid w:val="00263716"/>
    <w:rsid w:val="00263881"/>
    <w:rsid w:val="0026391F"/>
    <w:rsid w:val="00263948"/>
    <w:rsid w:val="0026418E"/>
    <w:rsid w:val="002641EC"/>
    <w:rsid w:val="002648C9"/>
    <w:rsid w:val="002648E2"/>
    <w:rsid w:val="00264A96"/>
    <w:rsid w:val="00264B43"/>
    <w:rsid w:val="00264C66"/>
    <w:rsid w:val="00265733"/>
    <w:rsid w:val="0026575C"/>
    <w:rsid w:val="002658BD"/>
    <w:rsid w:val="00265BC5"/>
    <w:rsid w:val="00265D26"/>
    <w:rsid w:val="00265FBF"/>
    <w:rsid w:val="00266330"/>
    <w:rsid w:val="002663DD"/>
    <w:rsid w:val="00266492"/>
    <w:rsid w:val="00266703"/>
    <w:rsid w:val="00266A44"/>
    <w:rsid w:val="00266C31"/>
    <w:rsid w:val="00267440"/>
    <w:rsid w:val="0026751C"/>
    <w:rsid w:val="00267646"/>
    <w:rsid w:val="002677CB"/>
    <w:rsid w:val="00267C68"/>
    <w:rsid w:val="0027043C"/>
    <w:rsid w:val="00270675"/>
    <w:rsid w:val="002707A0"/>
    <w:rsid w:val="00270940"/>
    <w:rsid w:val="00270D4F"/>
    <w:rsid w:val="00270EAB"/>
    <w:rsid w:val="0027100F"/>
    <w:rsid w:val="002710AE"/>
    <w:rsid w:val="002712B7"/>
    <w:rsid w:val="002714C9"/>
    <w:rsid w:val="0027168F"/>
    <w:rsid w:val="002719AD"/>
    <w:rsid w:val="00271A2E"/>
    <w:rsid w:val="0027206D"/>
    <w:rsid w:val="00272074"/>
    <w:rsid w:val="002721D9"/>
    <w:rsid w:val="0027224B"/>
    <w:rsid w:val="00272387"/>
    <w:rsid w:val="002723BC"/>
    <w:rsid w:val="00272548"/>
    <w:rsid w:val="00272735"/>
    <w:rsid w:val="0027291D"/>
    <w:rsid w:val="00272AD3"/>
    <w:rsid w:val="00272C35"/>
    <w:rsid w:val="00272C4C"/>
    <w:rsid w:val="0027301A"/>
    <w:rsid w:val="00273449"/>
    <w:rsid w:val="0027383E"/>
    <w:rsid w:val="0027407D"/>
    <w:rsid w:val="00274340"/>
    <w:rsid w:val="00274656"/>
    <w:rsid w:val="00274871"/>
    <w:rsid w:val="00274925"/>
    <w:rsid w:val="00274C23"/>
    <w:rsid w:val="00274CA8"/>
    <w:rsid w:val="00275240"/>
    <w:rsid w:val="00275F01"/>
    <w:rsid w:val="00276454"/>
    <w:rsid w:val="002768AC"/>
    <w:rsid w:val="00276D82"/>
    <w:rsid w:val="00276E61"/>
    <w:rsid w:val="00276E97"/>
    <w:rsid w:val="002778D9"/>
    <w:rsid w:val="00277C47"/>
    <w:rsid w:val="00277CD2"/>
    <w:rsid w:val="002800E6"/>
    <w:rsid w:val="00280351"/>
    <w:rsid w:val="00280609"/>
    <w:rsid w:val="00280867"/>
    <w:rsid w:val="0028099A"/>
    <w:rsid w:val="0028113C"/>
    <w:rsid w:val="0028118C"/>
    <w:rsid w:val="002814C7"/>
    <w:rsid w:val="002815A3"/>
    <w:rsid w:val="00281675"/>
    <w:rsid w:val="0028169E"/>
    <w:rsid w:val="00281708"/>
    <w:rsid w:val="002817C5"/>
    <w:rsid w:val="002817F5"/>
    <w:rsid w:val="00281884"/>
    <w:rsid w:val="00281931"/>
    <w:rsid w:val="00281C04"/>
    <w:rsid w:val="00282296"/>
    <w:rsid w:val="00282713"/>
    <w:rsid w:val="002829F0"/>
    <w:rsid w:val="00282AD0"/>
    <w:rsid w:val="00282C9F"/>
    <w:rsid w:val="00282CF1"/>
    <w:rsid w:val="002832F4"/>
    <w:rsid w:val="002833A5"/>
    <w:rsid w:val="002838B4"/>
    <w:rsid w:val="00284352"/>
    <w:rsid w:val="00284375"/>
    <w:rsid w:val="0028458F"/>
    <w:rsid w:val="0028467A"/>
    <w:rsid w:val="00284BAE"/>
    <w:rsid w:val="00284D6C"/>
    <w:rsid w:val="0028509F"/>
    <w:rsid w:val="002851C1"/>
    <w:rsid w:val="0028537B"/>
    <w:rsid w:val="00285DD6"/>
    <w:rsid w:val="00285DE7"/>
    <w:rsid w:val="00285E0A"/>
    <w:rsid w:val="00285FDC"/>
    <w:rsid w:val="0028614F"/>
    <w:rsid w:val="0028632C"/>
    <w:rsid w:val="00286678"/>
    <w:rsid w:val="00286734"/>
    <w:rsid w:val="00286781"/>
    <w:rsid w:val="002868DB"/>
    <w:rsid w:val="0028696E"/>
    <w:rsid w:val="00286BDB"/>
    <w:rsid w:val="00286D0E"/>
    <w:rsid w:val="002872B5"/>
    <w:rsid w:val="00287787"/>
    <w:rsid w:val="00287817"/>
    <w:rsid w:val="00287973"/>
    <w:rsid w:val="00287B9D"/>
    <w:rsid w:val="00287C69"/>
    <w:rsid w:val="00287CEE"/>
    <w:rsid w:val="00287D1F"/>
    <w:rsid w:val="00287DB0"/>
    <w:rsid w:val="00287F58"/>
    <w:rsid w:val="00290254"/>
    <w:rsid w:val="002902D2"/>
    <w:rsid w:val="002902F3"/>
    <w:rsid w:val="002903EE"/>
    <w:rsid w:val="002908B4"/>
    <w:rsid w:val="00290955"/>
    <w:rsid w:val="00290A22"/>
    <w:rsid w:val="00290E4C"/>
    <w:rsid w:val="00290EF2"/>
    <w:rsid w:val="00290FA5"/>
    <w:rsid w:val="002912C3"/>
    <w:rsid w:val="002913A9"/>
    <w:rsid w:val="002913C0"/>
    <w:rsid w:val="00291875"/>
    <w:rsid w:val="0029195D"/>
    <w:rsid w:val="00291BF4"/>
    <w:rsid w:val="00291C23"/>
    <w:rsid w:val="00291D9C"/>
    <w:rsid w:val="00291F66"/>
    <w:rsid w:val="00291F8E"/>
    <w:rsid w:val="002925C8"/>
    <w:rsid w:val="00292651"/>
    <w:rsid w:val="002928C9"/>
    <w:rsid w:val="00292B3F"/>
    <w:rsid w:val="00292D0A"/>
    <w:rsid w:val="002930E3"/>
    <w:rsid w:val="00293161"/>
    <w:rsid w:val="00293293"/>
    <w:rsid w:val="0029337E"/>
    <w:rsid w:val="002933A6"/>
    <w:rsid w:val="002935F9"/>
    <w:rsid w:val="00293D39"/>
    <w:rsid w:val="002943DA"/>
    <w:rsid w:val="00294515"/>
    <w:rsid w:val="00294950"/>
    <w:rsid w:val="00294D41"/>
    <w:rsid w:val="00294D9D"/>
    <w:rsid w:val="00295009"/>
    <w:rsid w:val="002951B9"/>
    <w:rsid w:val="002952F8"/>
    <w:rsid w:val="0029561E"/>
    <w:rsid w:val="00295A38"/>
    <w:rsid w:val="00295A6B"/>
    <w:rsid w:val="00295AA7"/>
    <w:rsid w:val="00295F98"/>
    <w:rsid w:val="00296068"/>
    <w:rsid w:val="002962DA"/>
    <w:rsid w:val="002966F4"/>
    <w:rsid w:val="00296A2F"/>
    <w:rsid w:val="00296D0F"/>
    <w:rsid w:val="00296E7F"/>
    <w:rsid w:val="00297251"/>
    <w:rsid w:val="002972EE"/>
    <w:rsid w:val="002974B4"/>
    <w:rsid w:val="00297A81"/>
    <w:rsid w:val="00297ADD"/>
    <w:rsid w:val="00297BF2"/>
    <w:rsid w:val="00297C84"/>
    <w:rsid w:val="00297E93"/>
    <w:rsid w:val="002A07A4"/>
    <w:rsid w:val="002A0810"/>
    <w:rsid w:val="002A087D"/>
    <w:rsid w:val="002A110F"/>
    <w:rsid w:val="002A12AE"/>
    <w:rsid w:val="002A12DB"/>
    <w:rsid w:val="002A1496"/>
    <w:rsid w:val="002A1997"/>
    <w:rsid w:val="002A1DFC"/>
    <w:rsid w:val="002A1ED8"/>
    <w:rsid w:val="002A22F3"/>
    <w:rsid w:val="002A2542"/>
    <w:rsid w:val="002A26AA"/>
    <w:rsid w:val="002A26C1"/>
    <w:rsid w:val="002A2C6D"/>
    <w:rsid w:val="002A2E7B"/>
    <w:rsid w:val="002A2FF0"/>
    <w:rsid w:val="002A3014"/>
    <w:rsid w:val="002A3089"/>
    <w:rsid w:val="002A34A4"/>
    <w:rsid w:val="002A35EE"/>
    <w:rsid w:val="002A3970"/>
    <w:rsid w:val="002A39CE"/>
    <w:rsid w:val="002A4236"/>
    <w:rsid w:val="002A4374"/>
    <w:rsid w:val="002A4565"/>
    <w:rsid w:val="002A47BB"/>
    <w:rsid w:val="002A48C5"/>
    <w:rsid w:val="002A4A9B"/>
    <w:rsid w:val="002A50F8"/>
    <w:rsid w:val="002A52DB"/>
    <w:rsid w:val="002A552F"/>
    <w:rsid w:val="002A561B"/>
    <w:rsid w:val="002A562D"/>
    <w:rsid w:val="002A5937"/>
    <w:rsid w:val="002A5B3C"/>
    <w:rsid w:val="002A5DCB"/>
    <w:rsid w:val="002A5F77"/>
    <w:rsid w:val="002A64E0"/>
    <w:rsid w:val="002A686B"/>
    <w:rsid w:val="002A69AB"/>
    <w:rsid w:val="002A72F7"/>
    <w:rsid w:val="002A732F"/>
    <w:rsid w:val="002A7373"/>
    <w:rsid w:val="002A7394"/>
    <w:rsid w:val="002A746C"/>
    <w:rsid w:val="002A7536"/>
    <w:rsid w:val="002A79EE"/>
    <w:rsid w:val="002A7AF3"/>
    <w:rsid w:val="002A7B58"/>
    <w:rsid w:val="002A7CB9"/>
    <w:rsid w:val="002A7D66"/>
    <w:rsid w:val="002B0099"/>
    <w:rsid w:val="002B011A"/>
    <w:rsid w:val="002B01AC"/>
    <w:rsid w:val="002B067E"/>
    <w:rsid w:val="002B06A0"/>
    <w:rsid w:val="002B06AB"/>
    <w:rsid w:val="002B0C52"/>
    <w:rsid w:val="002B0C8E"/>
    <w:rsid w:val="002B0CA5"/>
    <w:rsid w:val="002B0E1B"/>
    <w:rsid w:val="002B144E"/>
    <w:rsid w:val="002B15C0"/>
    <w:rsid w:val="002B165F"/>
    <w:rsid w:val="002B19E7"/>
    <w:rsid w:val="002B1A22"/>
    <w:rsid w:val="002B1AAB"/>
    <w:rsid w:val="002B1F3C"/>
    <w:rsid w:val="002B2030"/>
    <w:rsid w:val="002B2263"/>
    <w:rsid w:val="002B262E"/>
    <w:rsid w:val="002B28AC"/>
    <w:rsid w:val="002B28BB"/>
    <w:rsid w:val="002B29CC"/>
    <w:rsid w:val="002B29F5"/>
    <w:rsid w:val="002B29FE"/>
    <w:rsid w:val="002B2AC8"/>
    <w:rsid w:val="002B2D1B"/>
    <w:rsid w:val="002B2E3A"/>
    <w:rsid w:val="002B2F6E"/>
    <w:rsid w:val="002B32A1"/>
    <w:rsid w:val="002B360A"/>
    <w:rsid w:val="002B37FD"/>
    <w:rsid w:val="002B38FA"/>
    <w:rsid w:val="002B3DA7"/>
    <w:rsid w:val="002B3E3D"/>
    <w:rsid w:val="002B3E4C"/>
    <w:rsid w:val="002B3F8B"/>
    <w:rsid w:val="002B409A"/>
    <w:rsid w:val="002B4AA1"/>
    <w:rsid w:val="002B4BFF"/>
    <w:rsid w:val="002B4D23"/>
    <w:rsid w:val="002B4EF6"/>
    <w:rsid w:val="002B524A"/>
    <w:rsid w:val="002B541B"/>
    <w:rsid w:val="002B5673"/>
    <w:rsid w:val="002B592F"/>
    <w:rsid w:val="002B5B96"/>
    <w:rsid w:val="002B602B"/>
    <w:rsid w:val="002B6376"/>
    <w:rsid w:val="002B660D"/>
    <w:rsid w:val="002B6CEC"/>
    <w:rsid w:val="002B6DD2"/>
    <w:rsid w:val="002B6F21"/>
    <w:rsid w:val="002B6FA6"/>
    <w:rsid w:val="002B7002"/>
    <w:rsid w:val="002B7051"/>
    <w:rsid w:val="002B70C4"/>
    <w:rsid w:val="002B7213"/>
    <w:rsid w:val="002B779B"/>
    <w:rsid w:val="002B7A2B"/>
    <w:rsid w:val="002B7C43"/>
    <w:rsid w:val="002B7E00"/>
    <w:rsid w:val="002B7EAB"/>
    <w:rsid w:val="002C0240"/>
    <w:rsid w:val="002C02FF"/>
    <w:rsid w:val="002C041C"/>
    <w:rsid w:val="002C04FD"/>
    <w:rsid w:val="002C072E"/>
    <w:rsid w:val="002C0763"/>
    <w:rsid w:val="002C0844"/>
    <w:rsid w:val="002C0BFC"/>
    <w:rsid w:val="002C0C8B"/>
    <w:rsid w:val="002C0EC2"/>
    <w:rsid w:val="002C11D5"/>
    <w:rsid w:val="002C1562"/>
    <w:rsid w:val="002C1761"/>
    <w:rsid w:val="002C196C"/>
    <w:rsid w:val="002C1AE9"/>
    <w:rsid w:val="002C1C41"/>
    <w:rsid w:val="002C1FC8"/>
    <w:rsid w:val="002C245C"/>
    <w:rsid w:val="002C266A"/>
    <w:rsid w:val="002C29E5"/>
    <w:rsid w:val="002C2DFD"/>
    <w:rsid w:val="002C2E46"/>
    <w:rsid w:val="002C3075"/>
    <w:rsid w:val="002C3367"/>
    <w:rsid w:val="002C3762"/>
    <w:rsid w:val="002C3C56"/>
    <w:rsid w:val="002C400C"/>
    <w:rsid w:val="002C42EC"/>
    <w:rsid w:val="002C43D5"/>
    <w:rsid w:val="002C4447"/>
    <w:rsid w:val="002C4466"/>
    <w:rsid w:val="002C44F5"/>
    <w:rsid w:val="002C49ED"/>
    <w:rsid w:val="002C5072"/>
    <w:rsid w:val="002C546B"/>
    <w:rsid w:val="002C57A5"/>
    <w:rsid w:val="002C5818"/>
    <w:rsid w:val="002C581E"/>
    <w:rsid w:val="002C585E"/>
    <w:rsid w:val="002C591F"/>
    <w:rsid w:val="002C5938"/>
    <w:rsid w:val="002C5C01"/>
    <w:rsid w:val="002C5C3F"/>
    <w:rsid w:val="002C5D91"/>
    <w:rsid w:val="002C5EDC"/>
    <w:rsid w:val="002C6013"/>
    <w:rsid w:val="002C6105"/>
    <w:rsid w:val="002C6112"/>
    <w:rsid w:val="002C6319"/>
    <w:rsid w:val="002C6400"/>
    <w:rsid w:val="002C673C"/>
    <w:rsid w:val="002C70EB"/>
    <w:rsid w:val="002C7378"/>
    <w:rsid w:val="002C74FA"/>
    <w:rsid w:val="002C7613"/>
    <w:rsid w:val="002C7671"/>
    <w:rsid w:val="002C7745"/>
    <w:rsid w:val="002D03CA"/>
    <w:rsid w:val="002D04A1"/>
    <w:rsid w:val="002D0572"/>
    <w:rsid w:val="002D057E"/>
    <w:rsid w:val="002D0684"/>
    <w:rsid w:val="002D0866"/>
    <w:rsid w:val="002D0C9F"/>
    <w:rsid w:val="002D0D6E"/>
    <w:rsid w:val="002D0DB1"/>
    <w:rsid w:val="002D0FD2"/>
    <w:rsid w:val="002D10E6"/>
    <w:rsid w:val="002D1175"/>
    <w:rsid w:val="002D11A7"/>
    <w:rsid w:val="002D1477"/>
    <w:rsid w:val="002D15C2"/>
    <w:rsid w:val="002D1667"/>
    <w:rsid w:val="002D1CAC"/>
    <w:rsid w:val="002D1CFA"/>
    <w:rsid w:val="002D2C7F"/>
    <w:rsid w:val="002D35A0"/>
    <w:rsid w:val="002D36BA"/>
    <w:rsid w:val="002D37EA"/>
    <w:rsid w:val="002D3874"/>
    <w:rsid w:val="002D39DE"/>
    <w:rsid w:val="002D3BBD"/>
    <w:rsid w:val="002D3F36"/>
    <w:rsid w:val="002D40AF"/>
    <w:rsid w:val="002D4101"/>
    <w:rsid w:val="002D45C8"/>
    <w:rsid w:val="002D469F"/>
    <w:rsid w:val="002D46C5"/>
    <w:rsid w:val="002D4A9C"/>
    <w:rsid w:val="002D4C7F"/>
    <w:rsid w:val="002D4DFE"/>
    <w:rsid w:val="002D4EBD"/>
    <w:rsid w:val="002D4F11"/>
    <w:rsid w:val="002D4FA8"/>
    <w:rsid w:val="002D50B7"/>
    <w:rsid w:val="002D517A"/>
    <w:rsid w:val="002D5A25"/>
    <w:rsid w:val="002D6405"/>
    <w:rsid w:val="002D69B6"/>
    <w:rsid w:val="002D6F4B"/>
    <w:rsid w:val="002D71C9"/>
    <w:rsid w:val="002D72D8"/>
    <w:rsid w:val="002D746B"/>
    <w:rsid w:val="002D76A8"/>
    <w:rsid w:val="002D7A4E"/>
    <w:rsid w:val="002D7BF1"/>
    <w:rsid w:val="002D7CBE"/>
    <w:rsid w:val="002D7DE3"/>
    <w:rsid w:val="002D7E6C"/>
    <w:rsid w:val="002D7F35"/>
    <w:rsid w:val="002D7FA9"/>
    <w:rsid w:val="002E04AF"/>
    <w:rsid w:val="002E05A3"/>
    <w:rsid w:val="002E08EF"/>
    <w:rsid w:val="002E0918"/>
    <w:rsid w:val="002E0CFE"/>
    <w:rsid w:val="002E0D8E"/>
    <w:rsid w:val="002E0F9F"/>
    <w:rsid w:val="002E112E"/>
    <w:rsid w:val="002E11A1"/>
    <w:rsid w:val="002E1578"/>
    <w:rsid w:val="002E1B66"/>
    <w:rsid w:val="002E1C7D"/>
    <w:rsid w:val="002E2108"/>
    <w:rsid w:val="002E2512"/>
    <w:rsid w:val="002E2583"/>
    <w:rsid w:val="002E347C"/>
    <w:rsid w:val="002E3539"/>
    <w:rsid w:val="002E36AD"/>
    <w:rsid w:val="002E3756"/>
    <w:rsid w:val="002E38CF"/>
    <w:rsid w:val="002E3CDD"/>
    <w:rsid w:val="002E400C"/>
    <w:rsid w:val="002E46CA"/>
    <w:rsid w:val="002E46E8"/>
    <w:rsid w:val="002E4A6A"/>
    <w:rsid w:val="002E4A6D"/>
    <w:rsid w:val="002E4DA9"/>
    <w:rsid w:val="002E583C"/>
    <w:rsid w:val="002E5D1B"/>
    <w:rsid w:val="002E5E89"/>
    <w:rsid w:val="002E5F2D"/>
    <w:rsid w:val="002E607A"/>
    <w:rsid w:val="002E61BF"/>
    <w:rsid w:val="002E6941"/>
    <w:rsid w:val="002E6A28"/>
    <w:rsid w:val="002E6C0E"/>
    <w:rsid w:val="002E6D8E"/>
    <w:rsid w:val="002E72DE"/>
    <w:rsid w:val="002E74FF"/>
    <w:rsid w:val="002E7516"/>
    <w:rsid w:val="002E75F7"/>
    <w:rsid w:val="002E7974"/>
    <w:rsid w:val="002E7C6F"/>
    <w:rsid w:val="002E7D28"/>
    <w:rsid w:val="002E7E9B"/>
    <w:rsid w:val="002F03B9"/>
    <w:rsid w:val="002F04DD"/>
    <w:rsid w:val="002F05AB"/>
    <w:rsid w:val="002F06D3"/>
    <w:rsid w:val="002F07CE"/>
    <w:rsid w:val="002F0F72"/>
    <w:rsid w:val="002F0FF8"/>
    <w:rsid w:val="002F1161"/>
    <w:rsid w:val="002F14E9"/>
    <w:rsid w:val="002F15BB"/>
    <w:rsid w:val="002F16FE"/>
    <w:rsid w:val="002F1793"/>
    <w:rsid w:val="002F1818"/>
    <w:rsid w:val="002F1B34"/>
    <w:rsid w:val="002F1C20"/>
    <w:rsid w:val="002F1DC2"/>
    <w:rsid w:val="002F1E02"/>
    <w:rsid w:val="002F1E8E"/>
    <w:rsid w:val="002F2057"/>
    <w:rsid w:val="002F20A9"/>
    <w:rsid w:val="002F241B"/>
    <w:rsid w:val="002F2490"/>
    <w:rsid w:val="002F2633"/>
    <w:rsid w:val="002F27D9"/>
    <w:rsid w:val="002F27E7"/>
    <w:rsid w:val="002F2926"/>
    <w:rsid w:val="002F2977"/>
    <w:rsid w:val="002F2BB3"/>
    <w:rsid w:val="002F2E29"/>
    <w:rsid w:val="002F3072"/>
    <w:rsid w:val="002F36AE"/>
    <w:rsid w:val="002F3724"/>
    <w:rsid w:val="002F39DE"/>
    <w:rsid w:val="002F3AD7"/>
    <w:rsid w:val="002F3DB9"/>
    <w:rsid w:val="002F4061"/>
    <w:rsid w:val="002F441B"/>
    <w:rsid w:val="002F4780"/>
    <w:rsid w:val="002F481C"/>
    <w:rsid w:val="002F4C15"/>
    <w:rsid w:val="002F4C1B"/>
    <w:rsid w:val="002F4F22"/>
    <w:rsid w:val="002F4F8A"/>
    <w:rsid w:val="002F50EE"/>
    <w:rsid w:val="002F512C"/>
    <w:rsid w:val="002F5818"/>
    <w:rsid w:val="002F58DB"/>
    <w:rsid w:val="002F5A78"/>
    <w:rsid w:val="002F5D69"/>
    <w:rsid w:val="002F5FC9"/>
    <w:rsid w:val="002F6372"/>
    <w:rsid w:val="002F63B8"/>
    <w:rsid w:val="002F6471"/>
    <w:rsid w:val="002F677A"/>
    <w:rsid w:val="002F6829"/>
    <w:rsid w:val="002F68C5"/>
    <w:rsid w:val="002F6A6F"/>
    <w:rsid w:val="002F6B35"/>
    <w:rsid w:val="002F6B81"/>
    <w:rsid w:val="002F6B96"/>
    <w:rsid w:val="002F6CE0"/>
    <w:rsid w:val="002F6E35"/>
    <w:rsid w:val="002F6F21"/>
    <w:rsid w:val="002F70D0"/>
    <w:rsid w:val="002F746A"/>
    <w:rsid w:val="002F7619"/>
    <w:rsid w:val="002F76A7"/>
    <w:rsid w:val="002F76AD"/>
    <w:rsid w:val="002F78C4"/>
    <w:rsid w:val="002F7A34"/>
    <w:rsid w:val="002F7AAC"/>
    <w:rsid w:val="002F7AE6"/>
    <w:rsid w:val="002F7BA3"/>
    <w:rsid w:val="002F7C8A"/>
    <w:rsid w:val="002F7D2D"/>
    <w:rsid w:val="002F7EEB"/>
    <w:rsid w:val="00300440"/>
    <w:rsid w:val="0030045B"/>
    <w:rsid w:val="003004EC"/>
    <w:rsid w:val="00300803"/>
    <w:rsid w:val="00300ADC"/>
    <w:rsid w:val="00300DE8"/>
    <w:rsid w:val="00300FF5"/>
    <w:rsid w:val="0030175E"/>
    <w:rsid w:val="003019D8"/>
    <w:rsid w:val="00301A15"/>
    <w:rsid w:val="00301CE9"/>
    <w:rsid w:val="00301D5E"/>
    <w:rsid w:val="00301E5A"/>
    <w:rsid w:val="00302359"/>
    <w:rsid w:val="00302363"/>
    <w:rsid w:val="003023AD"/>
    <w:rsid w:val="003023B9"/>
    <w:rsid w:val="0030244F"/>
    <w:rsid w:val="00302B15"/>
    <w:rsid w:val="00302B43"/>
    <w:rsid w:val="00303073"/>
    <w:rsid w:val="0030338F"/>
    <w:rsid w:val="003034D9"/>
    <w:rsid w:val="00303558"/>
    <w:rsid w:val="00303637"/>
    <w:rsid w:val="00303B51"/>
    <w:rsid w:val="00303D0D"/>
    <w:rsid w:val="00303F1A"/>
    <w:rsid w:val="00303F3F"/>
    <w:rsid w:val="00303F73"/>
    <w:rsid w:val="003042F9"/>
    <w:rsid w:val="00304540"/>
    <w:rsid w:val="0030454A"/>
    <w:rsid w:val="003045DF"/>
    <w:rsid w:val="003048B4"/>
    <w:rsid w:val="00304D80"/>
    <w:rsid w:val="00304DD4"/>
    <w:rsid w:val="00304EA3"/>
    <w:rsid w:val="003050E4"/>
    <w:rsid w:val="00305210"/>
    <w:rsid w:val="0030541F"/>
    <w:rsid w:val="00305463"/>
    <w:rsid w:val="003054ED"/>
    <w:rsid w:val="00305600"/>
    <w:rsid w:val="003056C7"/>
    <w:rsid w:val="0030570A"/>
    <w:rsid w:val="00305763"/>
    <w:rsid w:val="003058A0"/>
    <w:rsid w:val="00306100"/>
    <w:rsid w:val="003062F4"/>
    <w:rsid w:val="0030650E"/>
    <w:rsid w:val="00306547"/>
    <w:rsid w:val="00306793"/>
    <w:rsid w:val="00306919"/>
    <w:rsid w:val="00306B9F"/>
    <w:rsid w:val="00306E91"/>
    <w:rsid w:val="00307016"/>
    <w:rsid w:val="00307226"/>
    <w:rsid w:val="00307A07"/>
    <w:rsid w:val="00307A71"/>
    <w:rsid w:val="00307B52"/>
    <w:rsid w:val="00307BD3"/>
    <w:rsid w:val="00307DCA"/>
    <w:rsid w:val="00309BDE"/>
    <w:rsid w:val="00310376"/>
    <w:rsid w:val="003103EE"/>
    <w:rsid w:val="00310436"/>
    <w:rsid w:val="00310442"/>
    <w:rsid w:val="003106FD"/>
    <w:rsid w:val="00310720"/>
    <w:rsid w:val="00310ACE"/>
    <w:rsid w:val="00310BB6"/>
    <w:rsid w:val="00310C79"/>
    <w:rsid w:val="00310EB8"/>
    <w:rsid w:val="00310F52"/>
    <w:rsid w:val="00310F6D"/>
    <w:rsid w:val="0031138B"/>
    <w:rsid w:val="00311A13"/>
    <w:rsid w:val="00311FBD"/>
    <w:rsid w:val="003122EF"/>
    <w:rsid w:val="003122F2"/>
    <w:rsid w:val="00312520"/>
    <w:rsid w:val="00312643"/>
    <w:rsid w:val="00312671"/>
    <w:rsid w:val="00312849"/>
    <w:rsid w:val="00312EAD"/>
    <w:rsid w:val="003132C7"/>
    <w:rsid w:val="00313412"/>
    <w:rsid w:val="00313477"/>
    <w:rsid w:val="00313484"/>
    <w:rsid w:val="003136CC"/>
    <w:rsid w:val="00313774"/>
    <w:rsid w:val="00313AD2"/>
    <w:rsid w:val="00313D12"/>
    <w:rsid w:val="00313E98"/>
    <w:rsid w:val="00313EA4"/>
    <w:rsid w:val="00313F66"/>
    <w:rsid w:val="00314153"/>
    <w:rsid w:val="0031461A"/>
    <w:rsid w:val="00314867"/>
    <w:rsid w:val="00314C7F"/>
    <w:rsid w:val="00315023"/>
    <w:rsid w:val="00315209"/>
    <w:rsid w:val="0031542F"/>
    <w:rsid w:val="003155A6"/>
    <w:rsid w:val="00315769"/>
    <w:rsid w:val="003158C8"/>
    <w:rsid w:val="00315FCA"/>
    <w:rsid w:val="00315FD0"/>
    <w:rsid w:val="003160BF"/>
    <w:rsid w:val="003162E5"/>
    <w:rsid w:val="0031662E"/>
    <w:rsid w:val="003166AB"/>
    <w:rsid w:val="00316741"/>
    <w:rsid w:val="0031691B"/>
    <w:rsid w:val="00316A12"/>
    <w:rsid w:val="00316A41"/>
    <w:rsid w:val="00316ABB"/>
    <w:rsid w:val="00316D7F"/>
    <w:rsid w:val="0031758E"/>
    <w:rsid w:val="0031778C"/>
    <w:rsid w:val="00317944"/>
    <w:rsid w:val="00317C43"/>
    <w:rsid w:val="00317F64"/>
    <w:rsid w:val="003200C3"/>
    <w:rsid w:val="003201FE"/>
    <w:rsid w:val="003209B2"/>
    <w:rsid w:val="00320E92"/>
    <w:rsid w:val="00320F5A"/>
    <w:rsid w:val="0032124B"/>
    <w:rsid w:val="00321675"/>
    <w:rsid w:val="003219D6"/>
    <w:rsid w:val="00321F2B"/>
    <w:rsid w:val="00322141"/>
    <w:rsid w:val="003226AA"/>
    <w:rsid w:val="003228F2"/>
    <w:rsid w:val="0032290A"/>
    <w:rsid w:val="00322946"/>
    <w:rsid w:val="00322D0D"/>
    <w:rsid w:val="00322E96"/>
    <w:rsid w:val="00322EE5"/>
    <w:rsid w:val="003230E5"/>
    <w:rsid w:val="003235A2"/>
    <w:rsid w:val="003237A1"/>
    <w:rsid w:val="00323842"/>
    <w:rsid w:val="00323901"/>
    <w:rsid w:val="00323A31"/>
    <w:rsid w:val="00323FA8"/>
    <w:rsid w:val="0032433C"/>
    <w:rsid w:val="003244A9"/>
    <w:rsid w:val="00324897"/>
    <w:rsid w:val="00324F08"/>
    <w:rsid w:val="0032503D"/>
    <w:rsid w:val="00325093"/>
    <w:rsid w:val="003253B2"/>
    <w:rsid w:val="00325E9D"/>
    <w:rsid w:val="00325EB7"/>
    <w:rsid w:val="00325F65"/>
    <w:rsid w:val="0032631F"/>
    <w:rsid w:val="00326D4C"/>
    <w:rsid w:val="00326DB7"/>
    <w:rsid w:val="00327242"/>
    <w:rsid w:val="00327652"/>
    <w:rsid w:val="00327B6F"/>
    <w:rsid w:val="00327CD3"/>
    <w:rsid w:val="003307A0"/>
    <w:rsid w:val="00330838"/>
    <w:rsid w:val="00330922"/>
    <w:rsid w:val="00330CAC"/>
    <w:rsid w:val="00330D6E"/>
    <w:rsid w:val="00331185"/>
    <w:rsid w:val="00331585"/>
    <w:rsid w:val="00331B72"/>
    <w:rsid w:val="00331F60"/>
    <w:rsid w:val="00332035"/>
    <w:rsid w:val="003320A1"/>
    <w:rsid w:val="00332104"/>
    <w:rsid w:val="0033212D"/>
    <w:rsid w:val="003322A8"/>
    <w:rsid w:val="00332583"/>
    <w:rsid w:val="00332A68"/>
    <w:rsid w:val="00333175"/>
    <w:rsid w:val="00333323"/>
    <w:rsid w:val="003338FC"/>
    <w:rsid w:val="0033399E"/>
    <w:rsid w:val="00333FA5"/>
    <w:rsid w:val="003341A7"/>
    <w:rsid w:val="00334284"/>
    <w:rsid w:val="003344C0"/>
    <w:rsid w:val="00334683"/>
    <w:rsid w:val="003347E4"/>
    <w:rsid w:val="00334A60"/>
    <w:rsid w:val="00334EDD"/>
    <w:rsid w:val="00334F4B"/>
    <w:rsid w:val="00334F97"/>
    <w:rsid w:val="0033513D"/>
    <w:rsid w:val="0033522F"/>
    <w:rsid w:val="0033526C"/>
    <w:rsid w:val="0033539D"/>
    <w:rsid w:val="00335713"/>
    <w:rsid w:val="00335764"/>
    <w:rsid w:val="003359E5"/>
    <w:rsid w:val="00335B1B"/>
    <w:rsid w:val="00335BB8"/>
    <w:rsid w:val="00335C19"/>
    <w:rsid w:val="00335C5C"/>
    <w:rsid w:val="00336197"/>
    <w:rsid w:val="003361EE"/>
    <w:rsid w:val="0033655D"/>
    <w:rsid w:val="003368F7"/>
    <w:rsid w:val="0033696C"/>
    <w:rsid w:val="00336BAA"/>
    <w:rsid w:val="00336D60"/>
    <w:rsid w:val="00336ECA"/>
    <w:rsid w:val="00337214"/>
    <w:rsid w:val="0033728F"/>
    <w:rsid w:val="0033735C"/>
    <w:rsid w:val="003375CC"/>
    <w:rsid w:val="003377D3"/>
    <w:rsid w:val="00337A21"/>
    <w:rsid w:val="00337F35"/>
    <w:rsid w:val="003400BA"/>
    <w:rsid w:val="003404D0"/>
    <w:rsid w:val="00340B40"/>
    <w:rsid w:val="00340D48"/>
    <w:rsid w:val="00340F53"/>
    <w:rsid w:val="0034120A"/>
    <w:rsid w:val="0034175C"/>
    <w:rsid w:val="003418BC"/>
    <w:rsid w:val="003422AD"/>
    <w:rsid w:val="003423CE"/>
    <w:rsid w:val="00342558"/>
    <w:rsid w:val="0034274D"/>
    <w:rsid w:val="003427B1"/>
    <w:rsid w:val="00342944"/>
    <w:rsid w:val="00342A8C"/>
    <w:rsid w:val="00342C75"/>
    <w:rsid w:val="00342CA8"/>
    <w:rsid w:val="003431DA"/>
    <w:rsid w:val="003431F3"/>
    <w:rsid w:val="0034336D"/>
    <w:rsid w:val="00343505"/>
    <w:rsid w:val="00343A65"/>
    <w:rsid w:val="00343C1D"/>
    <w:rsid w:val="00343CC8"/>
    <w:rsid w:val="00344009"/>
    <w:rsid w:val="0034415C"/>
    <w:rsid w:val="00344DDD"/>
    <w:rsid w:val="0034505C"/>
    <w:rsid w:val="003451DD"/>
    <w:rsid w:val="003454C3"/>
    <w:rsid w:val="00345754"/>
    <w:rsid w:val="0034587D"/>
    <w:rsid w:val="0034588C"/>
    <w:rsid w:val="00345EB3"/>
    <w:rsid w:val="00346522"/>
    <w:rsid w:val="00346523"/>
    <w:rsid w:val="00346678"/>
    <w:rsid w:val="00346A21"/>
    <w:rsid w:val="00346AB3"/>
    <w:rsid w:val="00346D75"/>
    <w:rsid w:val="00346E7F"/>
    <w:rsid w:val="00346E87"/>
    <w:rsid w:val="00346F5D"/>
    <w:rsid w:val="00346FCD"/>
    <w:rsid w:val="0034710F"/>
    <w:rsid w:val="003473C8"/>
    <w:rsid w:val="003473E6"/>
    <w:rsid w:val="00347768"/>
    <w:rsid w:val="00347A0B"/>
    <w:rsid w:val="00347C4B"/>
    <w:rsid w:val="00350A8D"/>
    <w:rsid w:val="00350FFE"/>
    <w:rsid w:val="00351002"/>
    <w:rsid w:val="00351532"/>
    <w:rsid w:val="00351565"/>
    <w:rsid w:val="00351BD8"/>
    <w:rsid w:val="00351F8E"/>
    <w:rsid w:val="00351FE0"/>
    <w:rsid w:val="0035256C"/>
    <w:rsid w:val="0035273D"/>
    <w:rsid w:val="003529F4"/>
    <w:rsid w:val="00352A5C"/>
    <w:rsid w:val="0035304C"/>
    <w:rsid w:val="003530A4"/>
    <w:rsid w:val="00353464"/>
    <w:rsid w:val="003537EA"/>
    <w:rsid w:val="00353B97"/>
    <w:rsid w:val="00353EE0"/>
    <w:rsid w:val="00353F92"/>
    <w:rsid w:val="00354091"/>
    <w:rsid w:val="003544C6"/>
    <w:rsid w:val="00354600"/>
    <w:rsid w:val="00354926"/>
    <w:rsid w:val="00354BBC"/>
    <w:rsid w:val="00354C04"/>
    <w:rsid w:val="00355066"/>
    <w:rsid w:val="0035539F"/>
    <w:rsid w:val="003557D7"/>
    <w:rsid w:val="00355A5B"/>
    <w:rsid w:val="00355A8A"/>
    <w:rsid w:val="00355C14"/>
    <w:rsid w:val="00355D0A"/>
    <w:rsid w:val="00355E03"/>
    <w:rsid w:val="00355FE3"/>
    <w:rsid w:val="003563A0"/>
    <w:rsid w:val="0035681D"/>
    <w:rsid w:val="00356917"/>
    <w:rsid w:val="00356DFF"/>
    <w:rsid w:val="00356E24"/>
    <w:rsid w:val="003575B2"/>
    <w:rsid w:val="003575DF"/>
    <w:rsid w:val="0035774D"/>
    <w:rsid w:val="00357A44"/>
    <w:rsid w:val="00357A54"/>
    <w:rsid w:val="00357B33"/>
    <w:rsid w:val="00357C19"/>
    <w:rsid w:val="00357D42"/>
    <w:rsid w:val="00357ECE"/>
    <w:rsid w:val="003601E6"/>
    <w:rsid w:val="003605AD"/>
    <w:rsid w:val="003605E4"/>
    <w:rsid w:val="00360ADB"/>
    <w:rsid w:val="00360BD6"/>
    <w:rsid w:val="00360D32"/>
    <w:rsid w:val="0036187D"/>
    <w:rsid w:val="0036189F"/>
    <w:rsid w:val="00361962"/>
    <w:rsid w:val="003619EF"/>
    <w:rsid w:val="003619F4"/>
    <w:rsid w:val="00361D5C"/>
    <w:rsid w:val="003620FE"/>
    <w:rsid w:val="0036211B"/>
    <w:rsid w:val="00362464"/>
    <w:rsid w:val="003626CE"/>
    <w:rsid w:val="0036286F"/>
    <w:rsid w:val="0036289B"/>
    <w:rsid w:val="00362AE7"/>
    <w:rsid w:val="00362AFA"/>
    <w:rsid w:val="00363180"/>
    <w:rsid w:val="003631FB"/>
    <w:rsid w:val="00363312"/>
    <w:rsid w:val="003635AA"/>
    <w:rsid w:val="003636D2"/>
    <w:rsid w:val="0036373C"/>
    <w:rsid w:val="00363AD6"/>
    <w:rsid w:val="00363C44"/>
    <w:rsid w:val="00363F38"/>
    <w:rsid w:val="003640B7"/>
    <w:rsid w:val="00364348"/>
    <w:rsid w:val="003644A0"/>
    <w:rsid w:val="003646E9"/>
    <w:rsid w:val="003648FB"/>
    <w:rsid w:val="00364A1A"/>
    <w:rsid w:val="00364B0D"/>
    <w:rsid w:val="0036532A"/>
    <w:rsid w:val="003653F2"/>
    <w:rsid w:val="00365565"/>
    <w:rsid w:val="003658A2"/>
    <w:rsid w:val="0036590B"/>
    <w:rsid w:val="00365AE7"/>
    <w:rsid w:val="00365B0E"/>
    <w:rsid w:val="00365D1D"/>
    <w:rsid w:val="00365F2D"/>
    <w:rsid w:val="0036642B"/>
    <w:rsid w:val="00366558"/>
    <w:rsid w:val="003666BE"/>
    <w:rsid w:val="003666D6"/>
    <w:rsid w:val="003668ED"/>
    <w:rsid w:val="00367201"/>
    <w:rsid w:val="003672F0"/>
    <w:rsid w:val="0036749D"/>
    <w:rsid w:val="003676F5"/>
    <w:rsid w:val="003677A4"/>
    <w:rsid w:val="00367962"/>
    <w:rsid w:val="00367B16"/>
    <w:rsid w:val="00367CA9"/>
    <w:rsid w:val="00367E57"/>
    <w:rsid w:val="00370042"/>
    <w:rsid w:val="00370066"/>
    <w:rsid w:val="00370272"/>
    <w:rsid w:val="00370788"/>
    <w:rsid w:val="00370C2C"/>
    <w:rsid w:val="00370DAD"/>
    <w:rsid w:val="00370F24"/>
    <w:rsid w:val="00371198"/>
    <w:rsid w:val="0037166D"/>
    <w:rsid w:val="00371AE9"/>
    <w:rsid w:val="00371BED"/>
    <w:rsid w:val="003720AE"/>
    <w:rsid w:val="0037243C"/>
    <w:rsid w:val="00372481"/>
    <w:rsid w:val="00372A57"/>
    <w:rsid w:val="00372AD2"/>
    <w:rsid w:val="00373430"/>
    <w:rsid w:val="0037368E"/>
    <w:rsid w:val="00373901"/>
    <w:rsid w:val="00373E62"/>
    <w:rsid w:val="00373E84"/>
    <w:rsid w:val="003742AB"/>
    <w:rsid w:val="00374562"/>
    <w:rsid w:val="003746E5"/>
    <w:rsid w:val="00374750"/>
    <w:rsid w:val="00374925"/>
    <w:rsid w:val="00374A97"/>
    <w:rsid w:val="00374D09"/>
    <w:rsid w:val="0037530E"/>
    <w:rsid w:val="003753AB"/>
    <w:rsid w:val="003753B7"/>
    <w:rsid w:val="0037546B"/>
    <w:rsid w:val="003756D4"/>
    <w:rsid w:val="00375991"/>
    <w:rsid w:val="00375A12"/>
    <w:rsid w:val="00375B3D"/>
    <w:rsid w:val="0037601D"/>
    <w:rsid w:val="00376417"/>
    <w:rsid w:val="00376454"/>
    <w:rsid w:val="00376459"/>
    <w:rsid w:val="003769EB"/>
    <w:rsid w:val="00376BBA"/>
    <w:rsid w:val="00376E18"/>
    <w:rsid w:val="00376F0A"/>
    <w:rsid w:val="0037702E"/>
    <w:rsid w:val="00377041"/>
    <w:rsid w:val="00377376"/>
    <w:rsid w:val="00377446"/>
    <w:rsid w:val="00377597"/>
    <w:rsid w:val="00377E7C"/>
    <w:rsid w:val="00380021"/>
    <w:rsid w:val="003802AE"/>
    <w:rsid w:val="003802DD"/>
    <w:rsid w:val="003802E1"/>
    <w:rsid w:val="00380481"/>
    <w:rsid w:val="00380631"/>
    <w:rsid w:val="00380734"/>
    <w:rsid w:val="00380C37"/>
    <w:rsid w:val="00380E94"/>
    <w:rsid w:val="00380F6F"/>
    <w:rsid w:val="003811D9"/>
    <w:rsid w:val="00382076"/>
    <w:rsid w:val="003820C8"/>
    <w:rsid w:val="00382275"/>
    <w:rsid w:val="00382392"/>
    <w:rsid w:val="00382590"/>
    <w:rsid w:val="0038275B"/>
    <w:rsid w:val="00382998"/>
    <w:rsid w:val="00382B4E"/>
    <w:rsid w:val="00382FF5"/>
    <w:rsid w:val="00383242"/>
    <w:rsid w:val="00383953"/>
    <w:rsid w:val="003840BC"/>
    <w:rsid w:val="0038411E"/>
    <w:rsid w:val="00384231"/>
    <w:rsid w:val="003842BA"/>
    <w:rsid w:val="00384973"/>
    <w:rsid w:val="00384AE8"/>
    <w:rsid w:val="00384C7E"/>
    <w:rsid w:val="0038541E"/>
    <w:rsid w:val="00385708"/>
    <w:rsid w:val="00385787"/>
    <w:rsid w:val="003857B4"/>
    <w:rsid w:val="0038585B"/>
    <w:rsid w:val="00385873"/>
    <w:rsid w:val="00385BD3"/>
    <w:rsid w:val="00385DEC"/>
    <w:rsid w:val="00385E91"/>
    <w:rsid w:val="00386069"/>
    <w:rsid w:val="00386076"/>
    <w:rsid w:val="003866AA"/>
    <w:rsid w:val="003866DD"/>
    <w:rsid w:val="003867A6"/>
    <w:rsid w:val="00386841"/>
    <w:rsid w:val="00386C7E"/>
    <w:rsid w:val="00386D0D"/>
    <w:rsid w:val="00386E9D"/>
    <w:rsid w:val="0038752F"/>
    <w:rsid w:val="003876ED"/>
    <w:rsid w:val="00387FC3"/>
    <w:rsid w:val="00390098"/>
    <w:rsid w:val="00390193"/>
    <w:rsid w:val="00390298"/>
    <w:rsid w:val="003903A5"/>
    <w:rsid w:val="00390536"/>
    <w:rsid w:val="003905B4"/>
    <w:rsid w:val="003905E0"/>
    <w:rsid w:val="00390631"/>
    <w:rsid w:val="00390A67"/>
    <w:rsid w:val="00390B3F"/>
    <w:rsid w:val="00390B5B"/>
    <w:rsid w:val="00390EA5"/>
    <w:rsid w:val="00390F0D"/>
    <w:rsid w:val="0039115F"/>
    <w:rsid w:val="003911BF"/>
    <w:rsid w:val="003913DF"/>
    <w:rsid w:val="00391503"/>
    <w:rsid w:val="0039160B"/>
    <w:rsid w:val="00391657"/>
    <w:rsid w:val="0039185D"/>
    <w:rsid w:val="0039197F"/>
    <w:rsid w:val="00391A76"/>
    <w:rsid w:val="00391BBA"/>
    <w:rsid w:val="00391DA9"/>
    <w:rsid w:val="0039237C"/>
    <w:rsid w:val="003923B1"/>
    <w:rsid w:val="0039249C"/>
    <w:rsid w:val="003925B1"/>
    <w:rsid w:val="003926F5"/>
    <w:rsid w:val="00392732"/>
    <w:rsid w:val="00392762"/>
    <w:rsid w:val="00392964"/>
    <w:rsid w:val="00392973"/>
    <w:rsid w:val="00392BC7"/>
    <w:rsid w:val="00392BFE"/>
    <w:rsid w:val="00392DF6"/>
    <w:rsid w:val="003931AF"/>
    <w:rsid w:val="003938C8"/>
    <w:rsid w:val="00394446"/>
    <w:rsid w:val="0039467B"/>
    <w:rsid w:val="003948D6"/>
    <w:rsid w:val="003948DE"/>
    <w:rsid w:val="0039496F"/>
    <w:rsid w:val="00394C26"/>
    <w:rsid w:val="003954AD"/>
    <w:rsid w:val="003959DC"/>
    <w:rsid w:val="00395A91"/>
    <w:rsid w:val="00395ABF"/>
    <w:rsid w:val="00395FD0"/>
    <w:rsid w:val="0039623A"/>
    <w:rsid w:val="00396257"/>
    <w:rsid w:val="00396533"/>
    <w:rsid w:val="003965AC"/>
    <w:rsid w:val="00396F64"/>
    <w:rsid w:val="00396FAF"/>
    <w:rsid w:val="0039756A"/>
    <w:rsid w:val="00397865"/>
    <w:rsid w:val="00397A16"/>
    <w:rsid w:val="00397A66"/>
    <w:rsid w:val="00397C9A"/>
    <w:rsid w:val="003A0489"/>
    <w:rsid w:val="003A052B"/>
    <w:rsid w:val="003A0A99"/>
    <w:rsid w:val="003A0D35"/>
    <w:rsid w:val="003A0FF9"/>
    <w:rsid w:val="003A10D6"/>
    <w:rsid w:val="003A1362"/>
    <w:rsid w:val="003A15A5"/>
    <w:rsid w:val="003A1804"/>
    <w:rsid w:val="003A1E89"/>
    <w:rsid w:val="003A2051"/>
    <w:rsid w:val="003A205F"/>
    <w:rsid w:val="003A2781"/>
    <w:rsid w:val="003A2948"/>
    <w:rsid w:val="003A2B45"/>
    <w:rsid w:val="003A2C33"/>
    <w:rsid w:val="003A2C59"/>
    <w:rsid w:val="003A2D77"/>
    <w:rsid w:val="003A2E64"/>
    <w:rsid w:val="003A33CB"/>
    <w:rsid w:val="003A3596"/>
    <w:rsid w:val="003A36D7"/>
    <w:rsid w:val="003A376A"/>
    <w:rsid w:val="003A379B"/>
    <w:rsid w:val="003A3A22"/>
    <w:rsid w:val="003A3B6B"/>
    <w:rsid w:val="003A3E67"/>
    <w:rsid w:val="003A3FA4"/>
    <w:rsid w:val="003A3FCC"/>
    <w:rsid w:val="003A4286"/>
    <w:rsid w:val="003A450A"/>
    <w:rsid w:val="003A467D"/>
    <w:rsid w:val="003A4AE4"/>
    <w:rsid w:val="003A4AEF"/>
    <w:rsid w:val="003A4F0F"/>
    <w:rsid w:val="003A4F1B"/>
    <w:rsid w:val="003A5997"/>
    <w:rsid w:val="003A59E7"/>
    <w:rsid w:val="003A5A22"/>
    <w:rsid w:val="003A5AE9"/>
    <w:rsid w:val="003A5BED"/>
    <w:rsid w:val="003A5D04"/>
    <w:rsid w:val="003A61CE"/>
    <w:rsid w:val="003A6285"/>
    <w:rsid w:val="003A6330"/>
    <w:rsid w:val="003A6678"/>
    <w:rsid w:val="003A68B5"/>
    <w:rsid w:val="003A6939"/>
    <w:rsid w:val="003A6A47"/>
    <w:rsid w:val="003A6CBA"/>
    <w:rsid w:val="003A72D5"/>
    <w:rsid w:val="003A75C3"/>
    <w:rsid w:val="003A790C"/>
    <w:rsid w:val="003A7EE7"/>
    <w:rsid w:val="003B03F7"/>
    <w:rsid w:val="003B061F"/>
    <w:rsid w:val="003B069B"/>
    <w:rsid w:val="003B0735"/>
    <w:rsid w:val="003B0782"/>
    <w:rsid w:val="003B09CB"/>
    <w:rsid w:val="003B0B2D"/>
    <w:rsid w:val="003B0C1F"/>
    <w:rsid w:val="003B1164"/>
    <w:rsid w:val="003B14BD"/>
    <w:rsid w:val="003B1520"/>
    <w:rsid w:val="003B1ABC"/>
    <w:rsid w:val="003B1D1E"/>
    <w:rsid w:val="003B2103"/>
    <w:rsid w:val="003B221C"/>
    <w:rsid w:val="003B22F8"/>
    <w:rsid w:val="003B2831"/>
    <w:rsid w:val="003B28B1"/>
    <w:rsid w:val="003B2A6A"/>
    <w:rsid w:val="003B2E8C"/>
    <w:rsid w:val="003B2FBF"/>
    <w:rsid w:val="003B33B6"/>
    <w:rsid w:val="003B3861"/>
    <w:rsid w:val="003B3D80"/>
    <w:rsid w:val="003B3F6B"/>
    <w:rsid w:val="003B4C2D"/>
    <w:rsid w:val="003B4C7C"/>
    <w:rsid w:val="003B50C7"/>
    <w:rsid w:val="003B5132"/>
    <w:rsid w:val="003B5187"/>
    <w:rsid w:val="003B531B"/>
    <w:rsid w:val="003B5BAE"/>
    <w:rsid w:val="003B5BB5"/>
    <w:rsid w:val="003B5BDD"/>
    <w:rsid w:val="003B5C3F"/>
    <w:rsid w:val="003B5D02"/>
    <w:rsid w:val="003B5DA2"/>
    <w:rsid w:val="003B5E1E"/>
    <w:rsid w:val="003B60FA"/>
    <w:rsid w:val="003B684C"/>
    <w:rsid w:val="003B68FD"/>
    <w:rsid w:val="003B693A"/>
    <w:rsid w:val="003B69FB"/>
    <w:rsid w:val="003B6A48"/>
    <w:rsid w:val="003B6B65"/>
    <w:rsid w:val="003B73B6"/>
    <w:rsid w:val="003B767C"/>
    <w:rsid w:val="003B769D"/>
    <w:rsid w:val="003B79B9"/>
    <w:rsid w:val="003B7D85"/>
    <w:rsid w:val="003B7DB3"/>
    <w:rsid w:val="003C003F"/>
    <w:rsid w:val="003C039A"/>
    <w:rsid w:val="003C0508"/>
    <w:rsid w:val="003C0668"/>
    <w:rsid w:val="003C0695"/>
    <w:rsid w:val="003C077C"/>
    <w:rsid w:val="003C0809"/>
    <w:rsid w:val="003C0A5C"/>
    <w:rsid w:val="003C0D9A"/>
    <w:rsid w:val="003C0E9D"/>
    <w:rsid w:val="003C0EF9"/>
    <w:rsid w:val="003C1717"/>
    <w:rsid w:val="003C1933"/>
    <w:rsid w:val="003C1C23"/>
    <w:rsid w:val="003C20BB"/>
    <w:rsid w:val="003C24B7"/>
    <w:rsid w:val="003C2787"/>
    <w:rsid w:val="003C28C4"/>
    <w:rsid w:val="003C2D63"/>
    <w:rsid w:val="003C2E1B"/>
    <w:rsid w:val="003C31B7"/>
    <w:rsid w:val="003C3232"/>
    <w:rsid w:val="003C366F"/>
    <w:rsid w:val="003C3A42"/>
    <w:rsid w:val="003C3ACE"/>
    <w:rsid w:val="003C3FF9"/>
    <w:rsid w:val="003C4160"/>
    <w:rsid w:val="003C4207"/>
    <w:rsid w:val="003C4225"/>
    <w:rsid w:val="003C4B28"/>
    <w:rsid w:val="003C4D68"/>
    <w:rsid w:val="003C51A7"/>
    <w:rsid w:val="003C5323"/>
    <w:rsid w:val="003C53B5"/>
    <w:rsid w:val="003C5656"/>
    <w:rsid w:val="003C5975"/>
    <w:rsid w:val="003C5A14"/>
    <w:rsid w:val="003C5A3B"/>
    <w:rsid w:val="003C60BD"/>
    <w:rsid w:val="003C6250"/>
    <w:rsid w:val="003C6336"/>
    <w:rsid w:val="003C67CF"/>
    <w:rsid w:val="003C6813"/>
    <w:rsid w:val="003C6852"/>
    <w:rsid w:val="003C7198"/>
    <w:rsid w:val="003C747E"/>
    <w:rsid w:val="003C7749"/>
    <w:rsid w:val="003C77EA"/>
    <w:rsid w:val="003D0352"/>
    <w:rsid w:val="003D09C7"/>
    <w:rsid w:val="003D0B2A"/>
    <w:rsid w:val="003D0D82"/>
    <w:rsid w:val="003D114F"/>
    <w:rsid w:val="003D12CF"/>
    <w:rsid w:val="003D12D1"/>
    <w:rsid w:val="003D14C6"/>
    <w:rsid w:val="003D155F"/>
    <w:rsid w:val="003D1592"/>
    <w:rsid w:val="003D16E9"/>
    <w:rsid w:val="003D177C"/>
    <w:rsid w:val="003D1A7F"/>
    <w:rsid w:val="003D1D64"/>
    <w:rsid w:val="003D1E41"/>
    <w:rsid w:val="003D1FA6"/>
    <w:rsid w:val="003D23B0"/>
    <w:rsid w:val="003D26F5"/>
    <w:rsid w:val="003D2A86"/>
    <w:rsid w:val="003D2AA4"/>
    <w:rsid w:val="003D300B"/>
    <w:rsid w:val="003D3061"/>
    <w:rsid w:val="003D3177"/>
    <w:rsid w:val="003D343D"/>
    <w:rsid w:val="003D353D"/>
    <w:rsid w:val="003D3682"/>
    <w:rsid w:val="003D36A9"/>
    <w:rsid w:val="003D37B7"/>
    <w:rsid w:val="003D37C4"/>
    <w:rsid w:val="003D38AE"/>
    <w:rsid w:val="003D3AD0"/>
    <w:rsid w:val="003D3B15"/>
    <w:rsid w:val="003D3E2B"/>
    <w:rsid w:val="003D3FBC"/>
    <w:rsid w:val="003D3FFB"/>
    <w:rsid w:val="003D4031"/>
    <w:rsid w:val="003D442D"/>
    <w:rsid w:val="003D47B3"/>
    <w:rsid w:val="003D4AA3"/>
    <w:rsid w:val="003D4B22"/>
    <w:rsid w:val="003D4D99"/>
    <w:rsid w:val="003D4EA7"/>
    <w:rsid w:val="003D4FC5"/>
    <w:rsid w:val="003D501B"/>
    <w:rsid w:val="003D54E6"/>
    <w:rsid w:val="003D60E9"/>
    <w:rsid w:val="003D61C7"/>
    <w:rsid w:val="003D6256"/>
    <w:rsid w:val="003D647D"/>
    <w:rsid w:val="003D6652"/>
    <w:rsid w:val="003D6864"/>
    <w:rsid w:val="003D6BE7"/>
    <w:rsid w:val="003D6BF1"/>
    <w:rsid w:val="003D6CED"/>
    <w:rsid w:val="003D6D65"/>
    <w:rsid w:val="003D7024"/>
    <w:rsid w:val="003D788D"/>
    <w:rsid w:val="003D7AD8"/>
    <w:rsid w:val="003D7B62"/>
    <w:rsid w:val="003D7B6E"/>
    <w:rsid w:val="003D7DD4"/>
    <w:rsid w:val="003E00B7"/>
    <w:rsid w:val="003E00F3"/>
    <w:rsid w:val="003E0112"/>
    <w:rsid w:val="003E0380"/>
    <w:rsid w:val="003E0450"/>
    <w:rsid w:val="003E06D6"/>
    <w:rsid w:val="003E0775"/>
    <w:rsid w:val="003E0832"/>
    <w:rsid w:val="003E0E25"/>
    <w:rsid w:val="003E12B7"/>
    <w:rsid w:val="003E1351"/>
    <w:rsid w:val="003E13AB"/>
    <w:rsid w:val="003E1424"/>
    <w:rsid w:val="003E1733"/>
    <w:rsid w:val="003E1D99"/>
    <w:rsid w:val="003E209D"/>
    <w:rsid w:val="003E214E"/>
    <w:rsid w:val="003E21AA"/>
    <w:rsid w:val="003E23D0"/>
    <w:rsid w:val="003E27E0"/>
    <w:rsid w:val="003E280F"/>
    <w:rsid w:val="003E2C70"/>
    <w:rsid w:val="003E2CC1"/>
    <w:rsid w:val="003E312B"/>
    <w:rsid w:val="003E31C2"/>
    <w:rsid w:val="003E391C"/>
    <w:rsid w:val="003E3A3B"/>
    <w:rsid w:val="003E3CBE"/>
    <w:rsid w:val="003E408E"/>
    <w:rsid w:val="003E40BD"/>
    <w:rsid w:val="003E41B3"/>
    <w:rsid w:val="003E4640"/>
    <w:rsid w:val="003E498B"/>
    <w:rsid w:val="003E49B7"/>
    <w:rsid w:val="003E4EB4"/>
    <w:rsid w:val="003E5023"/>
    <w:rsid w:val="003E590B"/>
    <w:rsid w:val="003E591A"/>
    <w:rsid w:val="003E5A7B"/>
    <w:rsid w:val="003E5DAB"/>
    <w:rsid w:val="003E5ED7"/>
    <w:rsid w:val="003E6512"/>
    <w:rsid w:val="003E677F"/>
    <w:rsid w:val="003E6AC2"/>
    <w:rsid w:val="003E6FA4"/>
    <w:rsid w:val="003E7204"/>
    <w:rsid w:val="003E7522"/>
    <w:rsid w:val="003E769D"/>
    <w:rsid w:val="003E773D"/>
    <w:rsid w:val="003E775B"/>
    <w:rsid w:val="003E77E8"/>
    <w:rsid w:val="003E7A86"/>
    <w:rsid w:val="003F01F7"/>
    <w:rsid w:val="003F0367"/>
    <w:rsid w:val="003F0BB0"/>
    <w:rsid w:val="003F0C22"/>
    <w:rsid w:val="003F0D13"/>
    <w:rsid w:val="003F0DDD"/>
    <w:rsid w:val="003F0E19"/>
    <w:rsid w:val="003F0E4A"/>
    <w:rsid w:val="003F102F"/>
    <w:rsid w:val="003F1222"/>
    <w:rsid w:val="003F172D"/>
    <w:rsid w:val="003F1EAE"/>
    <w:rsid w:val="003F2651"/>
    <w:rsid w:val="003F26FB"/>
    <w:rsid w:val="003F280B"/>
    <w:rsid w:val="003F2A14"/>
    <w:rsid w:val="003F3097"/>
    <w:rsid w:val="003F3208"/>
    <w:rsid w:val="003F3304"/>
    <w:rsid w:val="003F33B1"/>
    <w:rsid w:val="003F3B7D"/>
    <w:rsid w:val="003F3D26"/>
    <w:rsid w:val="003F42C1"/>
    <w:rsid w:val="003F42E1"/>
    <w:rsid w:val="003F44CD"/>
    <w:rsid w:val="003F4A9F"/>
    <w:rsid w:val="003F4CFB"/>
    <w:rsid w:val="003F4D72"/>
    <w:rsid w:val="003F4F16"/>
    <w:rsid w:val="003F505D"/>
    <w:rsid w:val="003F52AC"/>
    <w:rsid w:val="003F56CD"/>
    <w:rsid w:val="003F578A"/>
    <w:rsid w:val="003F5B06"/>
    <w:rsid w:val="003F5BA6"/>
    <w:rsid w:val="003F60F3"/>
    <w:rsid w:val="003F6265"/>
    <w:rsid w:val="003F6468"/>
    <w:rsid w:val="003F66B3"/>
    <w:rsid w:val="003F67AC"/>
    <w:rsid w:val="003F68BF"/>
    <w:rsid w:val="003F6A08"/>
    <w:rsid w:val="003F6E68"/>
    <w:rsid w:val="003F6F28"/>
    <w:rsid w:val="003F6FF3"/>
    <w:rsid w:val="003F7059"/>
    <w:rsid w:val="003F73A9"/>
    <w:rsid w:val="003F740E"/>
    <w:rsid w:val="003F7594"/>
    <w:rsid w:val="003F7A55"/>
    <w:rsid w:val="003F7B35"/>
    <w:rsid w:val="003F7FDC"/>
    <w:rsid w:val="00400169"/>
    <w:rsid w:val="00400414"/>
    <w:rsid w:val="0040048C"/>
    <w:rsid w:val="00400750"/>
    <w:rsid w:val="0040075D"/>
    <w:rsid w:val="00400945"/>
    <w:rsid w:val="00400A52"/>
    <w:rsid w:val="00400ADD"/>
    <w:rsid w:val="00400B1A"/>
    <w:rsid w:val="00400BCC"/>
    <w:rsid w:val="00400C8A"/>
    <w:rsid w:val="00400E4A"/>
    <w:rsid w:val="00400EFD"/>
    <w:rsid w:val="00401334"/>
    <w:rsid w:val="0040146A"/>
    <w:rsid w:val="00401523"/>
    <w:rsid w:val="004016FB"/>
    <w:rsid w:val="004018FB"/>
    <w:rsid w:val="00401950"/>
    <w:rsid w:val="00401B86"/>
    <w:rsid w:val="00401D73"/>
    <w:rsid w:val="0040212B"/>
    <w:rsid w:val="00402224"/>
    <w:rsid w:val="00402478"/>
    <w:rsid w:val="004024A7"/>
    <w:rsid w:val="004024DC"/>
    <w:rsid w:val="004026D3"/>
    <w:rsid w:val="004026FD"/>
    <w:rsid w:val="00402733"/>
    <w:rsid w:val="00402774"/>
    <w:rsid w:val="00402A11"/>
    <w:rsid w:val="00402EE7"/>
    <w:rsid w:val="00403193"/>
    <w:rsid w:val="00403236"/>
    <w:rsid w:val="0040379B"/>
    <w:rsid w:val="004037D7"/>
    <w:rsid w:val="00403919"/>
    <w:rsid w:val="00403B2A"/>
    <w:rsid w:val="00403B53"/>
    <w:rsid w:val="00404028"/>
    <w:rsid w:val="00404207"/>
    <w:rsid w:val="00404254"/>
    <w:rsid w:val="004043EB"/>
    <w:rsid w:val="00404915"/>
    <w:rsid w:val="00404AB2"/>
    <w:rsid w:val="00404B21"/>
    <w:rsid w:val="00404DD2"/>
    <w:rsid w:val="00404E23"/>
    <w:rsid w:val="00404EBC"/>
    <w:rsid w:val="00405418"/>
    <w:rsid w:val="0040577D"/>
    <w:rsid w:val="0040587A"/>
    <w:rsid w:val="00405A62"/>
    <w:rsid w:val="00405D97"/>
    <w:rsid w:val="00405E5C"/>
    <w:rsid w:val="0040639D"/>
    <w:rsid w:val="00406485"/>
    <w:rsid w:val="00406606"/>
    <w:rsid w:val="00406DCC"/>
    <w:rsid w:val="00406E4F"/>
    <w:rsid w:val="00407010"/>
    <w:rsid w:val="004073B4"/>
    <w:rsid w:val="0040743A"/>
    <w:rsid w:val="00407643"/>
    <w:rsid w:val="004076E7"/>
    <w:rsid w:val="00407D19"/>
    <w:rsid w:val="00410042"/>
    <w:rsid w:val="00410198"/>
    <w:rsid w:val="004102D8"/>
    <w:rsid w:val="004103A5"/>
    <w:rsid w:val="0041064D"/>
    <w:rsid w:val="004106CC"/>
    <w:rsid w:val="00410889"/>
    <w:rsid w:val="004109AC"/>
    <w:rsid w:val="00411077"/>
    <w:rsid w:val="00411200"/>
    <w:rsid w:val="004113BF"/>
    <w:rsid w:val="004114E0"/>
    <w:rsid w:val="004116AE"/>
    <w:rsid w:val="004117AF"/>
    <w:rsid w:val="004117D4"/>
    <w:rsid w:val="0041189D"/>
    <w:rsid w:val="004119CE"/>
    <w:rsid w:val="00411B87"/>
    <w:rsid w:val="00412222"/>
    <w:rsid w:val="0041248E"/>
    <w:rsid w:val="004124EF"/>
    <w:rsid w:val="004127E4"/>
    <w:rsid w:val="00412BE9"/>
    <w:rsid w:val="00413511"/>
    <w:rsid w:val="0041365B"/>
    <w:rsid w:val="00413FA7"/>
    <w:rsid w:val="004141BB"/>
    <w:rsid w:val="004144B1"/>
    <w:rsid w:val="004145F9"/>
    <w:rsid w:val="00414F2B"/>
    <w:rsid w:val="0041507E"/>
    <w:rsid w:val="00415269"/>
    <w:rsid w:val="0041595C"/>
    <w:rsid w:val="00415AB6"/>
    <w:rsid w:val="00415F90"/>
    <w:rsid w:val="004161B5"/>
    <w:rsid w:val="004162C0"/>
    <w:rsid w:val="004169CF"/>
    <w:rsid w:val="00416D51"/>
    <w:rsid w:val="00417068"/>
    <w:rsid w:val="004170B3"/>
    <w:rsid w:val="00417143"/>
    <w:rsid w:val="00417364"/>
    <w:rsid w:val="004178F3"/>
    <w:rsid w:val="0041794B"/>
    <w:rsid w:val="00417B05"/>
    <w:rsid w:val="00417D26"/>
    <w:rsid w:val="00417E4F"/>
    <w:rsid w:val="004201D6"/>
    <w:rsid w:val="00420417"/>
    <w:rsid w:val="0042056A"/>
    <w:rsid w:val="0042065F"/>
    <w:rsid w:val="004208B2"/>
    <w:rsid w:val="00420C4A"/>
    <w:rsid w:val="00420DC5"/>
    <w:rsid w:val="00420E6F"/>
    <w:rsid w:val="0042190B"/>
    <w:rsid w:val="00421B2E"/>
    <w:rsid w:val="00421C7B"/>
    <w:rsid w:val="0042205F"/>
    <w:rsid w:val="0042239C"/>
    <w:rsid w:val="004223B5"/>
    <w:rsid w:val="0042273D"/>
    <w:rsid w:val="00422CFF"/>
    <w:rsid w:val="00422F2D"/>
    <w:rsid w:val="004230C5"/>
    <w:rsid w:val="00423267"/>
    <w:rsid w:val="004233F2"/>
    <w:rsid w:val="004234C9"/>
    <w:rsid w:val="00423D04"/>
    <w:rsid w:val="00423E73"/>
    <w:rsid w:val="00424499"/>
    <w:rsid w:val="004244B4"/>
    <w:rsid w:val="004246D4"/>
    <w:rsid w:val="004248FC"/>
    <w:rsid w:val="00424DA2"/>
    <w:rsid w:val="004256F4"/>
    <w:rsid w:val="004258FA"/>
    <w:rsid w:val="00425DA0"/>
    <w:rsid w:val="00426102"/>
    <w:rsid w:val="004261C8"/>
    <w:rsid w:val="00426248"/>
    <w:rsid w:val="00426249"/>
    <w:rsid w:val="004262C5"/>
    <w:rsid w:val="00426316"/>
    <w:rsid w:val="00426361"/>
    <w:rsid w:val="0042645B"/>
    <w:rsid w:val="0042667F"/>
    <w:rsid w:val="0042671B"/>
    <w:rsid w:val="00426B7E"/>
    <w:rsid w:val="00426DBA"/>
    <w:rsid w:val="00426E69"/>
    <w:rsid w:val="00426E94"/>
    <w:rsid w:val="004272B6"/>
    <w:rsid w:val="00427349"/>
    <w:rsid w:val="0042767F"/>
    <w:rsid w:val="0042774F"/>
    <w:rsid w:val="0042778F"/>
    <w:rsid w:val="00427FF1"/>
    <w:rsid w:val="00430858"/>
    <w:rsid w:val="00430A2A"/>
    <w:rsid w:val="00430AC6"/>
    <w:rsid w:val="004312B6"/>
    <w:rsid w:val="004316B0"/>
    <w:rsid w:val="00431B14"/>
    <w:rsid w:val="00431B77"/>
    <w:rsid w:val="00431D51"/>
    <w:rsid w:val="00431D8F"/>
    <w:rsid w:val="00431DEC"/>
    <w:rsid w:val="004320E7"/>
    <w:rsid w:val="00432376"/>
    <w:rsid w:val="0043240F"/>
    <w:rsid w:val="004324BA"/>
    <w:rsid w:val="0043260B"/>
    <w:rsid w:val="00432897"/>
    <w:rsid w:val="00432FFF"/>
    <w:rsid w:val="00433174"/>
    <w:rsid w:val="0043330E"/>
    <w:rsid w:val="004334B0"/>
    <w:rsid w:val="00433A27"/>
    <w:rsid w:val="00433C18"/>
    <w:rsid w:val="00433D88"/>
    <w:rsid w:val="00434111"/>
    <w:rsid w:val="0043421A"/>
    <w:rsid w:val="00434311"/>
    <w:rsid w:val="0043472B"/>
    <w:rsid w:val="0043495B"/>
    <w:rsid w:val="00434D6D"/>
    <w:rsid w:val="00434E25"/>
    <w:rsid w:val="0043502C"/>
    <w:rsid w:val="0043509F"/>
    <w:rsid w:val="004350F5"/>
    <w:rsid w:val="00435148"/>
    <w:rsid w:val="004351A1"/>
    <w:rsid w:val="0043531D"/>
    <w:rsid w:val="00435624"/>
    <w:rsid w:val="004356DC"/>
    <w:rsid w:val="004358E3"/>
    <w:rsid w:val="00435981"/>
    <w:rsid w:val="00435E94"/>
    <w:rsid w:val="004364FE"/>
    <w:rsid w:val="004369EE"/>
    <w:rsid w:val="00437018"/>
    <w:rsid w:val="0043784E"/>
    <w:rsid w:val="0043791D"/>
    <w:rsid w:val="00437A25"/>
    <w:rsid w:val="00440576"/>
    <w:rsid w:val="00440A6D"/>
    <w:rsid w:val="00440AD6"/>
    <w:rsid w:val="00440D83"/>
    <w:rsid w:val="0044101D"/>
    <w:rsid w:val="00441161"/>
    <w:rsid w:val="00441600"/>
    <w:rsid w:val="00441F04"/>
    <w:rsid w:val="0044231A"/>
    <w:rsid w:val="004423E1"/>
    <w:rsid w:val="004426B0"/>
    <w:rsid w:val="00442AD6"/>
    <w:rsid w:val="00442B86"/>
    <w:rsid w:val="00442D54"/>
    <w:rsid w:val="00442FB6"/>
    <w:rsid w:val="00442FD7"/>
    <w:rsid w:val="00443608"/>
    <w:rsid w:val="00443723"/>
    <w:rsid w:val="00443B71"/>
    <w:rsid w:val="00443F2B"/>
    <w:rsid w:val="0044449A"/>
    <w:rsid w:val="004446EF"/>
    <w:rsid w:val="00444781"/>
    <w:rsid w:val="00444E90"/>
    <w:rsid w:val="004454FD"/>
    <w:rsid w:val="00445971"/>
    <w:rsid w:val="00445AB5"/>
    <w:rsid w:val="00446013"/>
    <w:rsid w:val="004460D8"/>
    <w:rsid w:val="00446555"/>
    <w:rsid w:val="00446596"/>
    <w:rsid w:val="00446597"/>
    <w:rsid w:val="004465C0"/>
    <w:rsid w:val="00446834"/>
    <w:rsid w:val="00446930"/>
    <w:rsid w:val="00446B45"/>
    <w:rsid w:val="00446B63"/>
    <w:rsid w:val="00446B96"/>
    <w:rsid w:val="00446DB9"/>
    <w:rsid w:val="0044706A"/>
    <w:rsid w:val="00447241"/>
    <w:rsid w:val="004473CB"/>
    <w:rsid w:val="00447B58"/>
    <w:rsid w:val="00447BD2"/>
    <w:rsid w:val="00447CB6"/>
    <w:rsid w:val="00447CD4"/>
    <w:rsid w:val="00447D6A"/>
    <w:rsid w:val="00447E92"/>
    <w:rsid w:val="00447ECE"/>
    <w:rsid w:val="00447EF6"/>
    <w:rsid w:val="0045017F"/>
    <w:rsid w:val="0045024D"/>
    <w:rsid w:val="00450296"/>
    <w:rsid w:val="004504A0"/>
    <w:rsid w:val="00450513"/>
    <w:rsid w:val="00450AAE"/>
    <w:rsid w:val="00450C1F"/>
    <w:rsid w:val="00451672"/>
    <w:rsid w:val="004516FF"/>
    <w:rsid w:val="0045186B"/>
    <w:rsid w:val="00451ADA"/>
    <w:rsid w:val="00451B69"/>
    <w:rsid w:val="00451C00"/>
    <w:rsid w:val="00451E52"/>
    <w:rsid w:val="00451F64"/>
    <w:rsid w:val="004522C5"/>
    <w:rsid w:val="004523D4"/>
    <w:rsid w:val="004524DB"/>
    <w:rsid w:val="0045254A"/>
    <w:rsid w:val="00452AA6"/>
    <w:rsid w:val="00452AD3"/>
    <w:rsid w:val="00452C21"/>
    <w:rsid w:val="004531B0"/>
    <w:rsid w:val="004531EE"/>
    <w:rsid w:val="00453588"/>
    <w:rsid w:val="00453604"/>
    <w:rsid w:val="004536E3"/>
    <w:rsid w:val="004538C9"/>
    <w:rsid w:val="0045416E"/>
    <w:rsid w:val="0045464D"/>
    <w:rsid w:val="004547A0"/>
    <w:rsid w:val="00454DDD"/>
    <w:rsid w:val="00454E5A"/>
    <w:rsid w:val="00454FA0"/>
    <w:rsid w:val="004553FA"/>
    <w:rsid w:val="00455404"/>
    <w:rsid w:val="0045542F"/>
    <w:rsid w:val="0045544F"/>
    <w:rsid w:val="00455582"/>
    <w:rsid w:val="00455792"/>
    <w:rsid w:val="00455A4F"/>
    <w:rsid w:val="00455CC3"/>
    <w:rsid w:val="0045633A"/>
    <w:rsid w:val="00456BD2"/>
    <w:rsid w:val="00456E00"/>
    <w:rsid w:val="00456E0C"/>
    <w:rsid w:val="00457237"/>
    <w:rsid w:val="00457239"/>
    <w:rsid w:val="004572D0"/>
    <w:rsid w:val="0045742E"/>
    <w:rsid w:val="004574C2"/>
    <w:rsid w:val="0045771E"/>
    <w:rsid w:val="00457754"/>
    <w:rsid w:val="004577DD"/>
    <w:rsid w:val="00457AF0"/>
    <w:rsid w:val="00457ED0"/>
    <w:rsid w:val="00460531"/>
    <w:rsid w:val="00460684"/>
    <w:rsid w:val="00460987"/>
    <w:rsid w:val="00460B9D"/>
    <w:rsid w:val="00460DB1"/>
    <w:rsid w:val="00460F1B"/>
    <w:rsid w:val="00461209"/>
    <w:rsid w:val="0046175E"/>
    <w:rsid w:val="00461A96"/>
    <w:rsid w:val="00461BF4"/>
    <w:rsid w:val="00461E36"/>
    <w:rsid w:val="00461FEB"/>
    <w:rsid w:val="0046214C"/>
    <w:rsid w:val="0046214E"/>
    <w:rsid w:val="004622C8"/>
    <w:rsid w:val="00462643"/>
    <w:rsid w:val="00462644"/>
    <w:rsid w:val="00462839"/>
    <w:rsid w:val="0046299F"/>
    <w:rsid w:val="00462B56"/>
    <w:rsid w:val="00462BBB"/>
    <w:rsid w:val="00462C86"/>
    <w:rsid w:val="00462D4F"/>
    <w:rsid w:val="00462D59"/>
    <w:rsid w:val="00462DEF"/>
    <w:rsid w:val="00463115"/>
    <w:rsid w:val="00463638"/>
    <w:rsid w:val="004636B6"/>
    <w:rsid w:val="004639A4"/>
    <w:rsid w:val="00463A30"/>
    <w:rsid w:val="00463C9F"/>
    <w:rsid w:val="00463CDF"/>
    <w:rsid w:val="00463CE6"/>
    <w:rsid w:val="00463D4B"/>
    <w:rsid w:val="00463E31"/>
    <w:rsid w:val="00463FEA"/>
    <w:rsid w:val="004641E3"/>
    <w:rsid w:val="0046421F"/>
    <w:rsid w:val="0046429A"/>
    <w:rsid w:val="00464351"/>
    <w:rsid w:val="0046438D"/>
    <w:rsid w:val="0046475F"/>
    <w:rsid w:val="0046493E"/>
    <w:rsid w:val="00464C06"/>
    <w:rsid w:val="00464D12"/>
    <w:rsid w:val="00465075"/>
    <w:rsid w:val="0046518C"/>
    <w:rsid w:val="0046541F"/>
    <w:rsid w:val="00465595"/>
    <w:rsid w:val="00465A2F"/>
    <w:rsid w:val="00465ADC"/>
    <w:rsid w:val="00465B5A"/>
    <w:rsid w:val="0046609F"/>
    <w:rsid w:val="0046634E"/>
    <w:rsid w:val="0046690F"/>
    <w:rsid w:val="00466C3F"/>
    <w:rsid w:val="00466C68"/>
    <w:rsid w:val="004673B7"/>
    <w:rsid w:val="00467665"/>
    <w:rsid w:val="00467CB1"/>
    <w:rsid w:val="00467E7E"/>
    <w:rsid w:val="004700D3"/>
    <w:rsid w:val="00470271"/>
    <w:rsid w:val="00470339"/>
    <w:rsid w:val="0047044C"/>
    <w:rsid w:val="00470556"/>
    <w:rsid w:val="004709AC"/>
    <w:rsid w:val="00471261"/>
    <w:rsid w:val="00471687"/>
    <w:rsid w:val="00471692"/>
    <w:rsid w:val="0047182A"/>
    <w:rsid w:val="00471A27"/>
    <w:rsid w:val="00471B72"/>
    <w:rsid w:val="00471C11"/>
    <w:rsid w:val="00471F8C"/>
    <w:rsid w:val="00472141"/>
    <w:rsid w:val="0047253A"/>
    <w:rsid w:val="004727D8"/>
    <w:rsid w:val="00472924"/>
    <w:rsid w:val="00472C6F"/>
    <w:rsid w:val="00472E86"/>
    <w:rsid w:val="004738EA"/>
    <w:rsid w:val="00473990"/>
    <w:rsid w:val="00473D57"/>
    <w:rsid w:val="004743D7"/>
    <w:rsid w:val="0047451D"/>
    <w:rsid w:val="0047496E"/>
    <w:rsid w:val="00474CA8"/>
    <w:rsid w:val="00474D87"/>
    <w:rsid w:val="00474F40"/>
    <w:rsid w:val="0047506E"/>
    <w:rsid w:val="00475193"/>
    <w:rsid w:val="0047524D"/>
    <w:rsid w:val="00475456"/>
    <w:rsid w:val="004754E1"/>
    <w:rsid w:val="00475A76"/>
    <w:rsid w:val="00475D43"/>
    <w:rsid w:val="0047624F"/>
    <w:rsid w:val="0047630D"/>
    <w:rsid w:val="0047674B"/>
    <w:rsid w:val="004769BE"/>
    <w:rsid w:val="00476B37"/>
    <w:rsid w:val="00476F2A"/>
    <w:rsid w:val="00476F55"/>
    <w:rsid w:val="00477185"/>
    <w:rsid w:val="00477A61"/>
    <w:rsid w:val="00477B65"/>
    <w:rsid w:val="00480117"/>
    <w:rsid w:val="004803C3"/>
    <w:rsid w:val="00480475"/>
    <w:rsid w:val="00480528"/>
    <w:rsid w:val="004805BB"/>
    <w:rsid w:val="00480686"/>
    <w:rsid w:val="004806D4"/>
    <w:rsid w:val="0048078B"/>
    <w:rsid w:val="00480ABC"/>
    <w:rsid w:val="00480B61"/>
    <w:rsid w:val="004811BE"/>
    <w:rsid w:val="00481223"/>
    <w:rsid w:val="00481309"/>
    <w:rsid w:val="0048139E"/>
    <w:rsid w:val="004813BF"/>
    <w:rsid w:val="004814CC"/>
    <w:rsid w:val="004817C4"/>
    <w:rsid w:val="004819AA"/>
    <w:rsid w:val="00481DBD"/>
    <w:rsid w:val="00482413"/>
    <w:rsid w:val="0048241A"/>
    <w:rsid w:val="004825B9"/>
    <w:rsid w:val="004825C1"/>
    <w:rsid w:val="004827D3"/>
    <w:rsid w:val="004827E7"/>
    <w:rsid w:val="00482876"/>
    <w:rsid w:val="004829F4"/>
    <w:rsid w:val="00482BD0"/>
    <w:rsid w:val="00482BFD"/>
    <w:rsid w:val="00482F75"/>
    <w:rsid w:val="00482FFF"/>
    <w:rsid w:val="0048330C"/>
    <w:rsid w:val="0048331B"/>
    <w:rsid w:val="00483489"/>
    <w:rsid w:val="004834C8"/>
    <w:rsid w:val="00483A04"/>
    <w:rsid w:val="00483BFC"/>
    <w:rsid w:val="00483CCD"/>
    <w:rsid w:val="00483D5F"/>
    <w:rsid w:val="00483D8C"/>
    <w:rsid w:val="00483FC3"/>
    <w:rsid w:val="004840B4"/>
    <w:rsid w:val="0048412E"/>
    <w:rsid w:val="004843B7"/>
    <w:rsid w:val="004843D4"/>
    <w:rsid w:val="00484713"/>
    <w:rsid w:val="004847D6"/>
    <w:rsid w:val="004847E4"/>
    <w:rsid w:val="004849D8"/>
    <w:rsid w:val="004849EE"/>
    <w:rsid w:val="00484AAD"/>
    <w:rsid w:val="00484CC8"/>
    <w:rsid w:val="00485105"/>
    <w:rsid w:val="00485296"/>
    <w:rsid w:val="00485628"/>
    <w:rsid w:val="004856F4"/>
    <w:rsid w:val="00485847"/>
    <w:rsid w:val="00485EE8"/>
    <w:rsid w:val="00485FFE"/>
    <w:rsid w:val="004860B5"/>
    <w:rsid w:val="0048653B"/>
    <w:rsid w:val="004865FE"/>
    <w:rsid w:val="004869C5"/>
    <w:rsid w:val="00486D59"/>
    <w:rsid w:val="0048712E"/>
    <w:rsid w:val="00487262"/>
    <w:rsid w:val="00487434"/>
    <w:rsid w:val="004874D4"/>
    <w:rsid w:val="004877DA"/>
    <w:rsid w:val="00487A0F"/>
    <w:rsid w:val="00487D82"/>
    <w:rsid w:val="00487FDC"/>
    <w:rsid w:val="0049003A"/>
    <w:rsid w:val="00490260"/>
    <w:rsid w:val="004903C2"/>
    <w:rsid w:val="0049041C"/>
    <w:rsid w:val="0049077D"/>
    <w:rsid w:val="004907F2"/>
    <w:rsid w:val="0049089F"/>
    <w:rsid w:val="00490B44"/>
    <w:rsid w:val="00490BFE"/>
    <w:rsid w:val="00490C14"/>
    <w:rsid w:val="0049134F"/>
    <w:rsid w:val="004913CE"/>
    <w:rsid w:val="00491C08"/>
    <w:rsid w:val="00491EB4"/>
    <w:rsid w:val="004920D4"/>
    <w:rsid w:val="0049223D"/>
    <w:rsid w:val="00492245"/>
    <w:rsid w:val="004922CC"/>
    <w:rsid w:val="00492389"/>
    <w:rsid w:val="00492552"/>
    <w:rsid w:val="0049255B"/>
    <w:rsid w:val="004925F7"/>
    <w:rsid w:val="00492CC5"/>
    <w:rsid w:val="004931CE"/>
    <w:rsid w:val="004932BB"/>
    <w:rsid w:val="0049330D"/>
    <w:rsid w:val="00493316"/>
    <w:rsid w:val="00493338"/>
    <w:rsid w:val="00493524"/>
    <w:rsid w:val="004935E8"/>
    <w:rsid w:val="00493A7E"/>
    <w:rsid w:val="0049406F"/>
    <w:rsid w:val="004943ED"/>
    <w:rsid w:val="00494A37"/>
    <w:rsid w:val="00494B79"/>
    <w:rsid w:val="00494DDF"/>
    <w:rsid w:val="00495412"/>
    <w:rsid w:val="00495B51"/>
    <w:rsid w:val="00496063"/>
    <w:rsid w:val="00496270"/>
    <w:rsid w:val="00496566"/>
    <w:rsid w:val="00496569"/>
    <w:rsid w:val="00496735"/>
    <w:rsid w:val="00496DAB"/>
    <w:rsid w:val="00496DBF"/>
    <w:rsid w:val="004978FE"/>
    <w:rsid w:val="00497919"/>
    <w:rsid w:val="004A00E3"/>
    <w:rsid w:val="004A016D"/>
    <w:rsid w:val="004A0261"/>
    <w:rsid w:val="004A03A2"/>
    <w:rsid w:val="004A0AC5"/>
    <w:rsid w:val="004A0D64"/>
    <w:rsid w:val="004A0F15"/>
    <w:rsid w:val="004A12EA"/>
    <w:rsid w:val="004A134A"/>
    <w:rsid w:val="004A188F"/>
    <w:rsid w:val="004A1C98"/>
    <w:rsid w:val="004A1CA6"/>
    <w:rsid w:val="004A1DEB"/>
    <w:rsid w:val="004A20EB"/>
    <w:rsid w:val="004A23CD"/>
    <w:rsid w:val="004A2763"/>
    <w:rsid w:val="004A27DF"/>
    <w:rsid w:val="004A27FF"/>
    <w:rsid w:val="004A2EEF"/>
    <w:rsid w:val="004A3280"/>
    <w:rsid w:val="004A3368"/>
    <w:rsid w:val="004A3505"/>
    <w:rsid w:val="004A35A4"/>
    <w:rsid w:val="004A3660"/>
    <w:rsid w:val="004A3793"/>
    <w:rsid w:val="004A3C8F"/>
    <w:rsid w:val="004A3DB4"/>
    <w:rsid w:val="004A407C"/>
    <w:rsid w:val="004A4225"/>
    <w:rsid w:val="004A433A"/>
    <w:rsid w:val="004A4ADB"/>
    <w:rsid w:val="004A4DDB"/>
    <w:rsid w:val="004A5105"/>
    <w:rsid w:val="004A5590"/>
    <w:rsid w:val="004A581C"/>
    <w:rsid w:val="004A5824"/>
    <w:rsid w:val="004A5E8E"/>
    <w:rsid w:val="004A62E2"/>
    <w:rsid w:val="004A6730"/>
    <w:rsid w:val="004A6EEB"/>
    <w:rsid w:val="004A7319"/>
    <w:rsid w:val="004A7CBC"/>
    <w:rsid w:val="004A7DE0"/>
    <w:rsid w:val="004B0072"/>
    <w:rsid w:val="004B0141"/>
    <w:rsid w:val="004B015A"/>
    <w:rsid w:val="004B078E"/>
    <w:rsid w:val="004B08BD"/>
    <w:rsid w:val="004B0A62"/>
    <w:rsid w:val="004B0B05"/>
    <w:rsid w:val="004B0D5B"/>
    <w:rsid w:val="004B0E2F"/>
    <w:rsid w:val="004B191A"/>
    <w:rsid w:val="004B1AD8"/>
    <w:rsid w:val="004B1C26"/>
    <w:rsid w:val="004B1FA9"/>
    <w:rsid w:val="004B1FAB"/>
    <w:rsid w:val="004B2025"/>
    <w:rsid w:val="004B2432"/>
    <w:rsid w:val="004B251D"/>
    <w:rsid w:val="004B25E3"/>
    <w:rsid w:val="004B2757"/>
    <w:rsid w:val="004B2968"/>
    <w:rsid w:val="004B2B49"/>
    <w:rsid w:val="004B2B93"/>
    <w:rsid w:val="004B2D9D"/>
    <w:rsid w:val="004B2FB9"/>
    <w:rsid w:val="004B31AF"/>
    <w:rsid w:val="004B3814"/>
    <w:rsid w:val="004B3D54"/>
    <w:rsid w:val="004B498C"/>
    <w:rsid w:val="004B4CB0"/>
    <w:rsid w:val="004B4DA8"/>
    <w:rsid w:val="004B4DE4"/>
    <w:rsid w:val="004B4DE6"/>
    <w:rsid w:val="004B5011"/>
    <w:rsid w:val="004B517D"/>
    <w:rsid w:val="004B5422"/>
    <w:rsid w:val="004B58DC"/>
    <w:rsid w:val="004B5A93"/>
    <w:rsid w:val="004B6222"/>
    <w:rsid w:val="004B668A"/>
    <w:rsid w:val="004B6C1F"/>
    <w:rsid w:val="004B6D23"/>
    <w:rsid w:val="004B6E6C"/>
    <w:rsid w:val="004B72CE"/>
    <w:rsid w:val="004B72FC"/>
    <w:rsid w:val="004B7445"/>
    <w:rsid w:val="004B74A6"/>
    <w:rsid w:val="004B7556"/>
    <w:rsid w:val="004B7747"/>
    <w:rsid w:val="004B7854"/>
    <w:rsid w:val="004B7BC1"/>
    <w:rsid w:val="004B7CF9"/>
    <w:rsid w:val="004B7E7A"/>
    <w:rsid w:val="004C068B"/>
    <w:rsid w:val="004C06DE"/>
    <w:rsid w:val="004C06EF"/>
    <w:rsid w:val="004C0D4B"/>
    <w:rsid w:val="004C158F"/>
    <w:rsid w:val="004C18A4"/>
    <w:rsid w:val="004C1D0C"/>
    <w:rsid w:val="004C21B2"/>
    <w:rsid w:val="004C21C9"/>
    <w:rsid w:val="004C22DA"/>
    <w:rsid w:val="004C242F"/>
    <w:rsid w:val="004C2542"/>
    <w:rsid w:val="004C26A5"/>
    <w:rsid w:val="004C2E30"/>
    <w:rsid w:val="004C2EAF"/>
    <w:rsid w:val="004C34D2"/>
    <w:rsid w:val="004C393A"/>
    <w:rsid w:val="004C3B37"/>
    <w:rsid w:val="004C3E69"/>
    <w:rsid w:val="004C3FE2"/>
    <w:rsid w:val="004C41E4"/>
    <w:rsid w:val="004C4649"/>
    <w:rsid w:val="004C4687"/>
    <w:rsid w:val="004C48D5"/>
    <w:rsid w:val="004C4BCE"/>
    <w:rsid w:val="004C4CCA"/>
    <w:rsid w:val="004C4E2B"/>
    <w:rsid w:val="004C5020"/>
    <w:rsid w:val="004C519D"/>
    <w:rsid w:val="004C574B"/>
    <w:rsid w:val="004C5B92"/>
    <w:rsid w:val="004C5CDE"/>
    <w:rsid w:val="004C5D1D"/>
    <w:rsid w:val="004C6407"/>
    <w:rsid w:val="004C6A0F"/>
    <w:rsid w:val="004C6B10"/>
    <w:rsid w:val="004C6BA9"/>
    <w:rsid w:val="004C6C01"/>
    <w:rsid w:val="004C6C57"/>
    <w:rsid w:val="004C6CDD"/>
    <w:rsid w:val="004C6D46"/>
    <w:rsid w:val="004C6F3F"/>
    <w:rsid w:val="004C6F56"/>
    <w:rsid w:val="004C7C22"/>
    <w:rsid w:val="004C7C3A"/>
    <w:rsid w:val="004D00B1"/>
    <w:rsid w:val="004D027F"/>
    <w:rsid w:val="004D039F"/>
    <w:rsid w:val="004D0778"/>
    <w:rsid w:val="004D0885"/>
    <w:rsid w:val="004D09C4"/>
    <w:rsid w:val="004D0E88"/>
    <w:rsid w:val="004D11E7"/>
    <w:rsid w:val="004D1375"/>
    <w:rsid w:val="004D1500"/>
    <w:rsid w:val="004D19BC"/>
    <w:rsid w:val="004D1C9E"/>
    <w:rsid w:val="004D20EE"/>
    <w:rsid w:val="004D24A1"/>
    <w:rsid w:val="004D2588"/>
    <w:rsid w:val="004D2710"/>
    <w:rsid w:val="004D2C0A"/>
    <w:rsid w:val="004D2F20"/>
    <w:rsid w:val="004D2FB1"/>
    <w:rsid w:val="004D3582"/>
    <w:rsid w:val="004D39E9"/>
    <w:rsid w:val="004D3E12"/>
    <w:rsid w:val="004D46F4"/>
    <w:rsid w:val="004D478F"/>
    <w:rsid w:val="004D48C7"/>
    <w:rsid w:val="004D4914"/>
    <w:rsid w:val="004D4DBE"/>
    <w:rsid w:val="004D4E33"/>
    <w:rsid w:val="004D549A"/>
    <w:rsid w:val="004D5552"/>
    <w:rsid w:val="004D56D7"/>
    <w:rsid w:val="004D578A"/>
    <w:rsid w:val="004D5EA4"/>
    <w:rsid w:val="004D6063"/>
    <w:rsid w:val="004D6368"/>
    <w:rsid w:val="004D649A"/>
    <w:rsid w:val="004D68FF"/>
    <w:rsid w:val="004D69DB"/>
    <w:rsid w:val="004D6C43"/>
    <w:rsid w:val="004D6DB5"/>
    <w:rsid w:val="004D721D"/>
    <w:rsid w:val="004D7234"/>
    <w:rsid w:val="004D73A8"/>
    <w:rsid w:val="004D763D"/>
    <w:rsid w:val="004D7748"/>
    <w:rsid w:val="004D7997"/>
    <w:rsid w:val="004D7B80"/>
    <w:rsid w:val="004D7C44"/>
    <w:rsid w:val="004D7DDF"/>
    <w:rsid w:val="004E00E6"/>
    <w:rsid w:val="004E00F0"/>
    <w:rsid w:val="004E0141"/>
    <w:rsid w:val="004E06A3"/>
    <w:rsid w:val="004E0DAB"/>
    <w:rsid w:val="004E1033"/>
    <w:rsid w:val="004E12CC"/>
    <w:rsid w:val="004E12FA"/>
    <w:rsid w:val="004E14D5"/>
    <w:rsid w:val="004E165A"/>
    <w:rsid w:val="004E178F"/>
    <w:rsid w:val="004E18D7"/>
    <w:rsid w:val="004E1B7F"/>
    <w:rsid w:val="004E1C27"/>
    <w:rsid w:val="004E2359"/>
    <w:rsid w:val="004E23DE"/>
    <w:rsid w:val="004E240E"/>
    <w:rsid w:val="004E2B9B"/>
    <w:rsid w:val="004E2EFE"/>
    <w:rsid w:val="004E3160"/>
    <w:rsid w:val="004E3826"/>
    <w:rsid w:val="004E3B48"/>
    <w:rsid w:val="004E3B5B"/>
    <w:rsid w:val="004E3BD5"/>
    <w:rsid w:val="004E3E87"/>
    <w:rsid w:val="004E4233"/>
    <w:rsid w:val="004E43BA"/>
    <w:rsid w:val="004E4925"/>
    <w:rsid w:val="004E4A0B"/>
    <w:rsid w:val="004E4AF3"/>
    <w:rsid w:val="004E4CD8"/>
    <w:rsid w:val="004E4F37"/>
    <w:rsid w:val="004E534D"/>
    <w:rsid w:val="004E5923"/>
    <w:rsid w:val="004E5B14"/>
    <w:rsid w:val="004E5B53"/>
    <w:rsid w:val="004E5C13"/>
    <w:rsid w:val="004E5E62"/>
    <w:rsid w:val="004E5E66"/>
    <w:rsid w:val="004E5FB0"/>
    <w:rsid w:val="004E5FDE"/>
    <w:rsid w:val="004E60BB"/>
    <w:rsid w:val="004E65DB"/>
    <w:rsid w:val="004E6926"/>
    <w:rsid w:val="004E6C6B"/>
    <w:rsid w:val="004E6CCE"/>
    <w:rsid w:val="004E6D58"/>
    <w:rsid w:val="004E6F47"/>
    <w:rsid w:val="004E7000"/>
    <w:rsid w:val="004E70B6"/>
    <w:rsid w:val="004E71B8"/>
    <w:rsid w:val="004E72B5"/>
    <w:rsid w:val="004E72FE"/>
    <w:rsid w:val="004E736B"/>
    <w:rsid w:val="004E788B"/>
    <w:rsid w:val="004E7C93"/>
    <w:rsid w:val="004E7E08"/>
    <w:rsid w:val="004F0B1C"/>
    <w:rsid w:val="004F0E1D"/>
    <w:rsid w:val="004F0F88"/>
    <w:rsid w:val="004F0FE8"/>
    <w:rsid w:val="004F164E"/>
    <w:rsid w:val="004F18B2"/>
    <w:rsid w:val="004F19F3"/>
    <w:rsid w:val="004F1C16"/>
    <w:rsid w:val="004F1D0A"/>
    <w:rsid w:val="004F1DBB"/>
    <w:rsid w:val="004F1E5C"/>
    <w:rsid w:val="004F25A2"/>
    <w:rsid w:val="004F25AD"/>
    <w:rsid w:val="004F27E3"/>
    <w:rsid w:val="004F2A23"/>
    <w:rsid w:val="004F2BDE"/>
    <w:rsid w:val="004F2D58"/>
    <w:rsid w:val="004F32DE"/>
    <w:rsid w:val="004F3329"/>
    <w:rsid w:val="004F3476"/>
    <w:rsid w:val="004F35E2"/>
    <w:rsid w:val="004F3659"/>
    <w:rsid w:val="004F3805"/>
    <w:rsid w:val="004F39EB"/>
    <w:rsid w:val="004F4235"/>
    <w:rsid w:val="004F446E"/>
    <w:rsid w:val="004F450A"/>
    <w:rsid w:val="004F51AC"/>
    <w:rsid w:val="004F5291"/>
    <w:rsid w:val="004F52A8"/>
    <w:rsid w:val="004F58E2"/>
    <w:rsid w:val="004F58FC"/>
    <w:rsid w:val="004F5B42"/>
    <w:rsid w:val="004F5DE5"/>
    <w:rsid w:val="004F5E31"/>
    <w:rsid w:val="004F6267"/>
    <w:rsid w:val="004F62C6"/>
    <w:rsid w:val="004F64D5"/>
    <w:rsid w:val="004F65C5"/>
    <w:rsid w:val="004F6689"/>
    <w:rsid w:val="004F6842"/>
    <w:rsid w:val="004F6921"/>
    <w:rsid w:val="004F6949"/>
    <w:rsid w:val="004F695E"/>
    <w:rsid w:val="004F6A11"/>
    <w:rsid w:val="004F72AD"/>
    <w:rsid w:val="004F7365"/>
    <w:rsid w:val="004F74CB"/>
    <w:rsid w:val="004F74D8"/>
    <w:rsid w:val="004F7D0C"/>
    <w:rsid w:val="004F7F58"/>
    <w:rsid w:val="00500C7B"/>
    <w:rsid w:val="00500CCB"/>
    <w:rsid w:val="0050100F"/>
    <w:rsid w:val="0050135D"/>
    <w:rsid w:val="00501889"/>
    <w:rsid w:val="00501C61"/>
    <w:rsid w:val="00501E74"/>
    <w:rsid w:val="005020CA"/>
    <w:rsid w:val="005021A0"/>
    <w:rsid w:val="00502665"/>
    <w:rsid w:val="00502B5E"/>
    <w:rsid w:val="0050313D"/>
    <w:rsid w:val="00503157"/>
    <w:rsid w:val="005033F5"/>
    <w:rsid w:val="00503B0F"/>
    <w:rsid w:val="00503B41"/>
    <w:rsid w:val="00503CE8"/>
    <w:rsid w:val="00503E0B"/>
    <w:rsid w:val="00504044"/>
    <w:rsid w:val="00504308"/>
    <w:rsid w:val="00504ADB"/>
    <w:rsid w:val="00504FBB"/>
    <w:rsid w:val="0050535F"/>
    <w:rsid w:val="00505481"/>
    <w:rsid w:val="00505518"/>
    <w:rsid w:val="00505A41"/>
    <w:rsid w:val="00505CCC"/>
    <w:rsid w:val="00505D07"/>
    <w:rsid w:val="00506397"/>
    <w:rsid w:val="00506555"/>
    <w:rsid w:val="00506739"/>
    <w:rsid w:val="005067C0"/>
    <w:rsid w:val="00506C77"/>
    <w:rsid w:val="00506DD6"/>
    <w:rsid w:val="00506FAD"/>
    <w:rsid w:val="00507549"/>
    <w:rsid w:val="005076EA"/>
    <w:rsid w:val="0050AAD7"/>
    <w:rsid w:val="00510033"/>
    <w:rsid w:val="005100C8"/>
    <w:rsid w:val="00510224"/>
    <w:rsid w:val="0051025E"/>
    <w:rsid w:val="0051098F"/>
    <w:rsid w:val="00510A10"/>
    <w:rsid w:val="00510D04"/>
    <w:rsid w:val="00510F1C"/>
    <w:rsid w:val="00510FBF"/>
    <w:rsid w:val="00511158"/>
    <w:rsid w:val="00511289"/>
    <w:rsid w:val="005115A3"/>
    <w:rsid w:val="00511776"/>
    <w:rsid w:val="0051198A"/>
    <w:rsid w:val="00511C5A"/>
    <w:rsid w:val="00511F2C"/>
    <w:rsid w:val="00511FA2"/>
    <w:rsid w:val="00511FA9"/>
    <w:rsid w:val="00511FB6"/>
    <w:rsid w:val="005120B5"/>
    <w:rsid w:val="00512326"/>
    <w:rsid w:val="0051241E"/>
    <w:rsid w:val="005126B1"/>
    <w:rsid w:val="005128B5"/>
    <w:rsid w:val="0051290E"/>
    <w:rsid w:val="00512A7E"/>
    <w:rsid w:val="00512AD8"/>
    <w:rsid w:val="00512BB7"/>
    <w:rsid w:val="0051301A"/>
    <w:rsid w:val="005132B1"/>
    <w:rsid w:val="005133F0"/>
    <w:rsid w:val="00513617"/>
    <w:rsid w:val="0051371E"/>
    <w:rsid w:val="00513A7D"/>
    <w:rsid w:val="00513C55"/>
    <w:rsid w:val="00513F29"/>
    <w:rsid w:val="00513FD5"/>
    <w:rsid w:val="00514013"/>
    <w:rsid w:val="005141F4"/>
    <w:rsid w:val="0051422E"/>
    <w:rsid w:val="00514297"/>
    <w:rsid w:val="005146C2"/>
    <w:rsid w:val="00514D6D"/>
    <w:rsid w:val="00514DF1"/>
    <w:rsid w:val="00514ED8"/>
    <w:rsid w:val="00515088"/>
    <w:rsid w:val="00515183"/>
    <w:rsid w:val="00515661"/>
    <w:rsid w:val="00515DA3"/>
    <w:rsid w:val="00515E89"/>
    <w:rsid w:val="00515EB6"/>
    <w:rsid w:val="00515FBC"/>
    <w:rsid w:val="00516246"/>
    <w:rsid w:val="00516270"/>
    <w:rsid w:val="005163D1"/>
    <w:rsid w:val="00516755"/>
    <w:rsid w:val="00516763"/>
    <w:rsid w:val="00516E12"/>
    <w:rsid w:val="00516EC5"/>
    <w:rsid w:val="00516EE7"/>
    <w:rsid w:val="00516F05"/>
    <w:rsid w:val="00517296"/>
    <w:rsid w:val="005174D1"/>
    <w:rsid w:val="00517880"/>
    <w:rsid w:val="00517BFF"/>
    <w:rsid w:val="00517C2A"/>
    <w:rsid w:val="00520043"/>
    <w:rsid w:val="005201DD"/>
    <w:rsid w:val="0052020F"/>
    <w:rsid w:val="00520446"/>
    <w:rsid w:val="00520A5F"/>
    <w:rsid w:val="00520F77"/>
    <w:rsid w:val="00521049"/>
    <w:rsid w:val="005212D2"/>
    <w:rsid w:val="00521F0E"/>
    <w:rsid w:val="00521F2F"/>
    <w:rsid w:val="0052207D"/>
    <w:rsid w:val="0052227F"/>
    <w:rsid w:val="0052256A"/>
    <w:rsid w:val="005225BC"/>
    <w:rsid w:val="00522605"/>
    <w:rsid w:val="00522929"/>
    <w:rsid w:val="00522D37"/>
    <w:rsid w:val="00522D70"/>
    <w:rsid w:val="00522D8F"/>
    <w:rsid w:val="00522E16"/>
    <w:rsid w:val="00523124"/>
    <w:rsid w:val="00523228"/>
    <w:rsid w:val="005234FF"/>
    <w:rsid w:val="00523587"/>
    <w:rsid w:val="00523C51"/>
    <w:rsid w:val="00523EBC"/>
    <w:rsid w:val="00524110"/>
    <w:rsid w:val="005244C6"/>
    <w:rsid w:val="005248B1"/>
    <w:rsid w:val="00524FC3"/>
    <w:rsid w:val="0052524C"/>
    <w:rsid w:val="005253D9"/>
    <w:rsid w:val="00525B9E"/>
    <w:rsid w:val="00525D6C"/>
    <w:rsid w:val="00525DDF"/>
    <w:rsid w:val="00525E81"/>
    <w:rsid w:val="0052623C"/>
    <w:rsid w:val="00526453"/>
    <w:rsid w:val="00526735"/>
    <w:rsid w:val="00526820"/>
    <w:rsid w:val="005269ED"/>
    <w:rsid w:val="00526E94"/>
    <w:rsid w:val="00526E9A"/>
    <w:rsid w:val="00526FD7"/>
    <w:rsid w:val="00527161"/>
    <w:rsid w:val="005271B4"/>
    <w:rsid w:val="00527975"/>
    <w:rsid w:val="00527C27"/>
    <w:rsid w:val="00527CD9"/>
    <w:rsid w:val="00527D79"/>
    <w:rsid w:val="00527FE4"/>
    <w:rsid w:val="005301A5"/>
    <w:rsid w:val="00530442"/>
    <w:rsid w:val="00530651"/>
    <w:rsid w:val="005309F5"/>
    <w:rsid w:val="00530B6F"/>
    <w:rsid w:val="00530D37"/>
    <w:rsid w:val="00530EAC"/>
    <w:rsid w:val="00530F73"/>
    <w:rsid w:val="00531395"/>
    <w:rsid w:val="005313BE"/>
    <w:rsid w:val="00531613"/>
    <w:rsid w:val="005316D1"/>
    <w:rsid w:val="00531DCB"/>
    <w:rsid w:val="00532137"/>
    <w:rsid w:val="00532633"/>
    <w:rsid w:val="0053264E"/>
    <w:rsid w:val="005326E4"/>
    <w:rsid w:val="0053288F"/>
    <w:rsid w:val="005328CE"/>
    <w:rsid w:val="005328FD"/>
    <w:rsid w:val="0053290F"/>
    <w:rsid w:val="005329AF"/>
    <w:rsid w:val="00532BDF"/>
    <w:rsid w:val="00532C5F"/>
    <w:rsid w:val="0053313E"/>
    <w:rsid w:val="00533164"/>
    <w:rsid w:val="005333D3"/>
    <w:rsid w:val="00533430"/>
    <w:rsid w:val="00533A2F"/>
    <w:rsid w:val="00533BFC"/>
    <w:rsid w:val="00533F06"/>
    <w:rsid w:val="00534411"/>
    <w:rsid w:val="00534C8F"/>
    <w:rsid w:val="00534D35"/>
    <w:rsid w:val="00534DE5"/>
    <w:rsid w:val="00534FF3"/>
    <w:rsid w:val="005350ED"/>
    <w:rsid w:val="0053519F"/>
    <w:rsid w:val="0053576C"/>
    <w:rsid w:val="005359A2"/>
    <w:rsid w:val="00535AE9"/>
    <w:rsid w:val="00535B97"/>
    <w:rsid w:val="00535BFB"/>
    <w:rsid w:val="00535E6C"/>
    <w:rsid w:val="00535F44"/>
    <w:rsid w:val="00536646"/>
    <w:rsid w:val="0053678B"/>
    <w:rsid w:val="005367CA"/>
    <w:rsid w:val="005369FB"/>
    <w:rsid w:val="00536AAD"/>
    <w:rsid w:val="00536E9A"/>
    <w:rsid w:val="00537681"/>
    <w:rsid w:val="0053784B"/>
    <w:rsid w:val="00537D45"/>
    <w:rsid w:val="00537DAA"/>
    <w:rsid w:val="00537DB7"/>
    <w:rsid w:val="005401C2"/>
    <w:rsid w:val="0054093D"/>
    <w:rsid w:val="00540B23"/>
    <w:rsid w:val="00540D06"/>
    <w:rsid w:val="00540D81"/>
    <w:rsid w:val="005412E7"/>
    <w:rsid w:val="0054138F"/>
    <w:rsid w:val="00541C05"/>
    <w:rsid w:val="00541C8E"/>
    <w:rsid w:val="00541CDA"/>
    <w:rsid w:val="00542074"/>
    <w:rsid w:val="005420EF"/>
    <w:rsid w:val="0054238E"/>
    <w:rsid w:val="00542501"/>
    <w:rsid w:val="00542887"/>
    <w:rsid w:val="005429FA"/>
    <w:rsid w:val="00542B0C"/>
    <w:rsid w:val="00542BE1"/>
    <w:rsid w:val="00542C23"/>
    <w:rsid w:val="005432C8"/>
    <w:rsid w:val="00543342"/>
    <w:rsid w:val="00543610"/>
    <w:rsid w:val="00543DAE"/>
    <w:rsid w:val="0054401E"/>
    <w:rsid w:val="00544315"/>
    <w:rsid w:val="00544D18"/>
    <w:rsid w:val="00544DD9"/>
    <w:rsid w:val="0054525B"/>
    <w:rsid w:val="00545290"/>
    <w:rsid w:val="00545372"/>
    <w:rsid w:val="0054558C"/>
    <w:rsid w:val="00545643"/>
    <w:rsid w:val="005456C8"/>
    <w:rsid w:val="00545912"/>
    <w:rsid w:val="00545CBD"/>
    <w:rsid w:val="00546100"/>
    <w:rsid w:val="00546180"/>
    <w:rsid w:val="005461F2"/>
    <w:rsid w:val="005462C3"/>
    <w:rsid w:val="005463D3"/>
    <w:rsid w:val="005464E1"/>
    <w:rsid w:val="0054698F"/>
    <w:rsid w:val="00546C08"/>
    <w:rsid w:val="00546C40"/>
    <w:rsid w:val="00546E6D"/>
    <w:rsid w:val="00546EE0"/>
    <w:rsid w:val="00547414"/>
    <w:rsid w:val="00547610"/>
    <w:rsid w:val="00547631"/>
    <w:rsid w:val="00547674"/>
    <w:rsid w:val="005476B3"/>
    <w:rsid w:val="00547CE9"/>
    <w:rsid w:val="0055001D"/>
    <w:rsid w:val="005504E5"/>
    <w:rsid w:val="00550640"/>
    <w:rsid w:val="00550920"/>
    <w:rsid w:val="00550CC8"/>
    <w:rsid w:val="00550DE6"/>
    <w:rsid w:val="00550FE3"/>
    <w:rsid w:val="005516D0"/>
    <w:rsid w:val="0055204B"/>
    <w:rsid w:val="00552322"/>
    <w:rsid w:val="00552822"/>
    <w:rsid w:val="00552870"/>
    <w:rsid w:val="00552933"/>
    <w:rsid w:val="00552A9D"/>
    <w:rsid w:val="00552C9C"/>
    <w:rsid w:val="00552F78"/>
    <w:rsid w:val="005530DE"/>
    <w:rsid w:val="005531D1"/>
    <w:rsid w:val="00553302"/>
    <w:rsid w:val="0055334C"/>
    <w:rsid w:val="005534E6"/>
    <w:rsid w:val="0055388C"/>
    <w:rsid w:val="005539A3"/>
    <w:rsid w:val="005539D8"/>
    <w:rsid w:val="00553A70"/>
    <w:rsid w:val="00553AED"/>
    <w:rsid w:val="00553BD5"/>
    <w:rsid w:val="00553C0C"/>
    <w:rsid w:val="00553D0B"/>
    <w:rsid w:val="005542C6"/>
    <w:rsid w:val="00554518"/>
    <w:rsid w:val="005545BC"/>
    <w:rsid w:val="00554839"/>
    <w:rsid w:val="00554850"/>
    <w:rsid w:val="00554C90"/>
    <w:rsid w:val="00554DDC"/>
    <w:rsid w:val="00554E6C"/>
    <w:rsid w:val="00554F98"/>
    <w:rsid w:val="005558BE"/>
    <w:rsid w:val="00555A80"/>
    <w:rsid w:val="00555E9F"/>
    <w:rsid w:val="005562A3"/>
    <w:rsid w:val="00556431"/>
    <w:rsid w:val="005568EB"/>
    <w:rsid w:val="00556A03"/>
    <w:rsid w:val="00556DAE"/>
    <w:rsid w:val="00557238"/>
    <w:rsid w:val="0055736F"/>
    <w:rsid w:val="005573B4"/>
    <w:rsid w:val="00557606"/>
    <w:rsid w:val="0055784C"/>
    <w:rsid w:val="005579A1"/>
    <w:rsid w:val="00557BE7"/>
    <w:rsid w:val="005600AC"/>
    <w:rsid w:val="00560421"/>
    <w:rsid w:val="00560635"/>
    <w:rsid w:val="0056099A"/>
    <w:rsid w:val="00560F3A"/>
    <w:rsid w:val="00560FBD"/>
    <w:rsid w:val="0056128F"/>
    <w:rsid w:val="00561403"/>
    <w:rsid w:val="00561533"/>
    <w:rsid w:val="00561DF1"/>
    <w:rsid w:val="00562481"/>
    <w:rsid w:val="00562721"/>
    <w:rsid w:val="00562910"/>
    <w:rsid w:val="00562A84"/>
    <w:rsid w:val="00562DC5"/>
    <w:rsid w:val="00562FD1"/>
    <w:rsid w:val="00563014"/>
    <w:rsid w:val="00563151"/>
    <w:rsid w:val="005636E7"/>
    <w:rsid w:val="00563C88"/>
    <w:rsid w:val="00563CC4"/>
    <w:rsid w:val="00563E1D"/>
    <w:rsid w:val="0056431D"/>
    <w:rsid w:val="0056432C"/>
    <w:rsid w:val="005646A2"/>
    <w:rsid w:val="005646EA"/>
    <w:rsid w:val="005647EE"/>
    <w:rsid w:val="00564B27"/>
    <w:rsid w:val="00564D90"/>
    <w:rsid w:val="00564E79"/>
    <w:rsid w:val="00565227"/>
    <w:rsid w:val="00565B13"/>
    <w:rsid w:val="00565C80"/>
    <w:rsid w:val="0056609B"/>
    <w:rsid w:val="005666AE"/>
    <w:rsid w:val="00566A4E"/>
    <w:rsid w:val="00566B18"/>
    <w:rsid w:val="00566BB9"/>
    <w:rsid w:val="00566C6B"/>
    <w:rsid w:val="00566C8A"/>
    <w:rsid w:val="00566E0E"/>
    <w:rsid w:val="00567024"/>
    <w:rsid w:val="00567819"/>
    <w:rsid w:val="00567D95"/>
    <w:rsid w:val="0057000E"/>
    <w:rsid w:val="0057033B"/>
    <w:rsid w:val="00570440"/>
    <w:rsid w:val="005704C6"/>
    <w:rsid w:val="00570981"/>
    <w:rsid w:val="00570C99"/>
    <w:rsid w:val="00570EDB"/>
    <w:rsid w:val="005710DA"/>
    <w:rsid w:val="0057113D"/>
    <w:rsid w:val="0057118A"/>
    <w:rsid w:val="005715D9"/>
    <w:rsid w:val="005716CD"/>
    <w:rsid w:val="005716F7"/>
    <w:rsid w:val="0057198F"/>
    <w:rsid w:val="00571B1D"/>
    <w:rsid w:val="00571C9F"/>
    <w:rsid w:val="00571ECF"/>
    <w:rsid w:val="00571F0F"/>
    <w:rsid w:val="00571F1E"/>
    <w:rsid w:val="00572571"/>
    <w:rsid w:val="0057274D"/>
    <w:rsid w:val="005728EF"/>
    <w:rsid w:val="005728FB"/>
    <w:rsid w:val="00572950"/>
    <w:rsid w:val="00572A57"/>
    <w:rsid w:val="00572F32"/>
    <w:rsid w:val="005730E7"/>
    <w:rsid w:val="005731E9"/>
    <w:rsid w:val="005733D0"/>
    <w:rsid w:val="0057340E"/>
    <w:rsid w:val="00573503"/>
    <w:rsid w:val="005736C0"/>
    <w:rsid w:val="00573BAC"/>
    <w:rsid w:val="00573C9E"/>
    <w:rsid w:val="00573E5D"/>
    <w:rsid w:val="00573EAB"/>
    <w:rsid w:val="00573F90"/>
    <w:rsid w:val="00573FCA"/>
    <w:rsid w:val="005742C7"/>
    <w:rsid w:val="00574436"/>
    <w:rsid w:val="00574668"/>
    <w:rsid w:val="0057478F"/>
    <w:rsid w:val="0057488A"/>
    <w:rsid w:val="00574ACB"/>
    <w:rsid w:val="00574EF7"/>
    <w:rsid w:val="005755B3"/>
    <w:rsid w:val="00575911"/>
    <w:rsid w:val="005759C1"/>
    <w:rsid w:val="00575A1E"/>
    <w:rsid w:val="00575F03"/>
    <w:rsid w:val="005760D4"/>
    <w:rsid w:val="00576228"/>
    <w:rsid w:val="005762D6"/>
    <w:rsid w:val="00576768"/>
    <w:rsid w:val="00576E6A"/>
    <w:rsid w:val="00576F4B"/>
    <w:rsid w:val="00576F9E"/>
    <w:rsid w:val="005770F2"/>
    <w:rsid w:val="005771B6"/>
    <w:rsid w:val="0057721C"/>
    <w:rsid w:val="00577381"/>
    <w:rsid w:val="005774A4"/>
    <w:rsid w:val="00577548"/>
    <w:rsid w:val="00577765"/>
    <w:rsid w:val="005778B0"/>
    <w:rsid w:val="00577A1D"/>
    <w:rsid w:val="00577A40"/>
    <w:rsid w:val="00577B38"/>
    <w:rsid w:val="00577B75"/>
    <w:rsid w:val="00577EFE"/>
    <w:rsid w:val="00577F85"/>
    <w:rsid w:val="00580417"/>
    <w:rsid w:val="00580432"/>
    <w:rsid w:val="005805C3"/>
    <w:rsid w:val="00580643"/>
    <w:rsid w:val="00580936"/>
    <w:rsid w:val="00580B6B"/>
    <w:rsid w:val="00580BD3"/>
    <w:rsid w:val="00580C01"/>
    <w:rsid w:val="00580CB2"/>
    <w:rsid w:val="0058109A"/>
    <w:rsid w:val="0058116F"/>
    <w:rsid w:val="0058133D"/>
    <w:rsid w:val="00581719"/>
    <w:rsid w:val="0058175A"/>
    <w:rsid w:val="005817DE"/>
    <w:rsid w:val="005817EF"/>
    <w:rsid w:val="00581BE0"/>
    <w:rsid w:val="00581DD4"/>
    <w:rsid w:val="00581E2D"/>
    <w:rsid w:val="00581E56"/>
    <w:rsid w:val="0058207A"/>
    <w:rsid w:val="00582433"/>
    <w:rsid w:val="005824C4"/>
    <w:rsid w:val="005828C6"/>
    <w:rsid w:val="00582944"/>
    <w:rsid w:val="00582CE6"/>
    <w:rsid w:val="00582D0E"/>
    <w:rsid w:val="00582F55"/>
    <w:rsid w:val="00582FC9"/>
    <w:rsid w:val="0058309C"/>
    <w:rsid w:val="00583164"/>
    <w:rsid w:val="005832FA"/>
    <w:rsid w:val="005836CB"/>
    <w:rsid w:val="00583916"/>
    <w:rsid w:val="00583A17"/>
    <w:rsid w:val="00583F9C"/>
    <w:rsid w:val="00584036"/>
    <w:rsid w:val="005841F1"/>
    <w:rsid w:val="005842C4"/>
    <w:rsid w:val="0058445C"/>
    <w:rsid w:val="00584A70"/>
    <w:rsid w:val="00584DE9"/>
    <w:rsid w:val="00584E42"/>
    <w:rsid w:val="0058507E"/>
    <w:rsid w:val="005851AC"/>
    <w:rsid w:val="0058523A"/>
    <w:rsid w:val="0058535F"/>
    <w:rsid w:val="0058570C"/>
    <w:rsid w:val="0058571E"/>
    <w:rsid w:val="00585A65"/>
    <w:rsid w:val="00585B3C"/>
    <w:rsid w:val="00585CE4"/>
    <w:rsid w:val="00585CE9"/>
    <w:rsid w:val="00585E18"/>
    <w:rsid w:val="005862EB"/>
    <w:rsid w:val="005864A1"/>
    <w:rsid w:val="0058664B"/>
    <w:rsid w:val="005866F3"/>
    <w:rsid w:val="00586893"/>
    <w:rsid w:val="005869CA"/>
    <w:rsid w:val="00586D50"/>
    <w:rsid w:val="00586DF5"/>
    <w:rsid w:val="00586FBE"/>
    <w:rsid w:val="00587509"/>
    <w:rsid w:val="00587558"/>
    <w:rsid w:val="00587821"/>
    <w:rsid w:val="00587929"/>
    <w:rsid w:val="00587A2E"/>
    <w:rsid w:val="0059016D"/>
    <w:rsid w:val="005902E5"/>
    <w:rsid w:val="005904DA"/>
    <w:rsid w:val="00590668"/>
    <w:rsid w:val="00590739"/>
    <w:rsid w:val="00590B2B"/>
    <w:rsid w:val="00590BB6"/>
    <w:rsid w:val="00590D75"/>
    <w:rsid w:val="00591007"/>
    <w:rsid w:val="00591054"/>
    <w:rsid w:val="00591217"/>
    <w:rsid w:val="00591218"/>
    <w:rsid w:val="00591257"/>
    <w:rsid w:val="0059211B"/>
    <w:rsid w:val="0059233A"/>
    <w:rsid w:val="00592504"/>
    <w:rsid w:val="00592572"/>
    <w:rsid w:val="005925A9"/>
    <w:rsid w:val="00592601"/>
    <w:rsid w:val="005926EF"/>
    <w:rsid w:val="0059285E"/>
    <w:rsid w:val="00592950"/>
    <w:rsid w:val="005929A8"/>
    <w:rsid w:val="00592A6E"/>
    <w:rsid w:val="00592C28"/>
    <w:rsid w:val="00593003"/>
    <w:rsid w:val="0059325F"/>
    <w:rsid w:val="005933BD"/>
    <w:rsid w:val="005933D1"/>
    <w:rsid w:val="005937D5"/>
    <w:rsid w:val="005938F9"/>
    <w:rsid w:val="00593982"/>
    <w:rsid w:val="00593A0D"/>
    <w:rsid w:val="00593A14"/>
    <w:rsid w:val="00593B36"/>
    <w:rsid w:val="00593E86"/>
    <w:rsid w:val="00593E92"/>
    <w:rsid w:val="005940E3"/>
    <w:rsid w:val="00594E78"/>
    <w:rsid w:val="00594FB8"/>
    <w:rsid w:val="00594FF7"/>
    <w:rsid w:val="005953C3"/>
    <w:rsid w:val="005953F7"/>
    <w:rsid w:val="0059541E"/>
    <w:rsid w:val="005954E2"/>
    <w:rsid w:val="00595738"/>
    <w:rsid w:val="00596066"/>
    <w:rsid w:val="00596880"/>
    <w:rsid w:val="005968A3"/>
    <w:rsid w:val="00596916"/>
    <w:rsid w:val="00596C4A"/>
    <w:rsid w:val="00596ECD"/>
    <w:rsid w:val="00596F17"/>
    <w:rsid w:val="005970AB"/>
    <w:rsid w:val="00597578"/>
    <w:rsid w:val="00597650"/>
    <w:rsid w:val="00597ED4"/>
    <w:rsid w:val="00597F36"/>
    <w:rsid w:val="005A0376"/>
    <w:rsid w:val="005A07B8"/>
    <w:rsid w:val="005A0C27"/>
    <w:rsid w:val="005A0D07"/>
    <w:rsid w:val="005A0F6B"/>
    <w:rsid w:val="005A15CE"/>
    <w:rsid w:val="005A1685"/>
    <w:rsid w:val="005A1AF5"/>
    <w:rsid w:val="005A1C8F"/>
    <w:rsid w:val="005A1D5E"/>
    <w:rsid w:val="005A2A40"/>
    <w:rsid w:val="005A2B84"/>
    <w:rsid w:val="005A2C02"/>
    <w:rsid w:val="005A2DE0"/>
    <w:rsid w:val="005A341D"/>
    <w:rsid w:val="005A3432"/>
    <w:rsid w:val="005A3773"/>
    <w:rsid w:val="005A3B38"/>
    <w:rsid w:val="005A41B7"/>
    <w:rsid w:val="005A43A9"/>
    <w:rsid w:val="005A448F"/>
    <w:rsid w:val="005A4497"/>
    <w:rsid w:val="005A45D4"/>
    <w:rsid w:val="005A47CF"/>
    <w:rsid w:val="005A4C0C"/>
    <w:rsid w:val="005A4CC3"/>
    <w:rsid w:val="005A4F58"/>
    <w:rsid w:val="005A5532"/>
    <w:rsid w:val="005A58D0"/>
    <w:rsid w:val="005A5A93"/>
    <w:rsid w:val="005A5B55"/>
    <w:rsid w:val="005A5E63"/>
    <w:rsid w:val="005A5ED4"/>
    <w:rsid w:val="005A5EEB"/>
    <w:rsid w:val="005A5F9C"/>
    <w:rsid w:val="005A610B"/>
    <w:rsid w:val="005A625B"/>
    <w:rsid w:val="005A62E1"/>
    <w:rsid w:val="005A65BF"/>
    <w:rsid w:val="005A6BC1"/>
    <w:rsid w:val="005A6D6A"/>
    <w:rsid w:val="005A722A"/>
    <w:rsid w:val="005A7520"/>
    <w:rsid w:val="005A754C"/>
    <w:rsid w:val="005A7592"/>
    <w:rsid w:val="005A7723"/>
    <w:rsid w:val="005A7A5C"/>
    <w:rsid w:val="005A7B7D"/>
    <w:rsid w:val="005A7B8A"/>
    <w:rsid w:val="005A7CAE"/>
    <w:rsid w:val="005A7DBF"/>
    <w:rsid w:val="005A7F90"/>
    <w:rsid w:val="005B0106"/>
    <w:rsid w:val="005B042B"/>
    <w:rsid w:val="005B04B4"/>
    <w:rsid w:val="005B09FB"/>
    <w:rsid w:val="005B0E5C"/>
    <w:rsid w:val="005B0E76"/>
    <w:rsid w:val="005B0FAD"/>
    <w:rsid w:val="005B0FDF"/>
    <w:rsid w:val="005B1023"/>
    <w:rsid w:val="005B102E"/>
    <w:rsid w:val="005B10AB"/>
    <w:rsid w:val="005B1143"/>
    <w:rsid w:val="005B1863"/>
    <w:rsid w:val="005B1A62"/>
    <w:rsid w:val="005B1B1A"/>
    <w:rsid w:val="005B1D14"/>
    <w:rsid w:val="005B1D34"/>
    <w:rsid w:val="005B1FEF"/>
    <w:rsid w:val="005B2203"/>
    <w:rsid w:val="005B25D7"/>
    <w:rsid w:val="005B27B8"/>
    <w:rsid w:val="005B29F2"/>
    <w:rsid w:val="005B2E8C"/>
    <w:rsid w:val="005B3F1A"/>
    <w:rsid w:val="005B422A"/>
    <w:rsid w:val="005B42BA"/>
    <w:rsid w:val="005B438D"/>
    <w:rsid w:val="005B4581"/>
    <w:rsid w:val="005B45DF"/>
    <w:rsid w:val="005B486B"/>
    <w:rsid w:val="005B4C50"/>
    <w:rsid w:val="005B4FC4"/>
    <w:rsid w:val="005B570F"/>
    <w:rsid w:val="005B58A1"/>
    <w:rsid w:val="005B596A"/>
    <w:rsid w:val="005B5FBF"/>
    <w:rsid w:val="005B6007"/>
    <w:rsid w:val="005B61B2"/>
    <w:rsid w:val="005B6964"/>
    <w:rsid w:val="005B6B6A"/>
    <w:rsid w:val="005B7087"/>
    <w:rsid w:val="005B7245"/>
    <w:rsid w:val="005B777B"/>
    <w:rsid w:val="005B79ED"/>
    <w:rsid w:val="005B7DCD"/>
    <w:rsid w:val="005B7E8B"/>
    <w:rsid w:val="005C0175"/>
    <w:rsid w:val="005C0322"/>
    <w:rsid w:val="005C06AE"/>
    <w:rsid w:val="005C0770"/>
    <w:rsid w:val="005C08B8"/>
    <w:rsid w:val="005C0BD7"/>
    <w:rsid w:val="005C0BF2"/>
    <w:rsid w:val="005C0D1A"/>
    <w:rsid w:val="005C0F16"/>
    <w:rsid w:val="005C1660"/>
    <w:rsid w:val="005C1A9C"/>
    <w:rsid w:val="005C1D6E"/>
    <w:rsid w:val="005C218B"/>
    <w:rsid w:val="005C24C5"/>
    <w:rsid w:val="005C265D"/>
    <w:rsid w:val="005C279F"/>
    <w:rsid w:val="005C27F3"/>
    <w:rsid w:val="005C2A02"/>
    <w:rsid w:val="005C2AD5"/>
    <w:rsid w:val="005C2B95"/>
    <w:rsid w:val="005C2C86"/>
    <w:rsid w:val="005C3046"/>
    <w:rsid w:val="005C30E9"/>
    <w:rsid w:val="005C344F"/>
    <w:rsid w:val="005C3579"/>
    <w:rsid w:val="005C3727"/>
    <w:rsid w:val="005C3A41"/>
    <w:rsid w:val="005C3A9F"/>
    <w:rsid w:val="005C3BE5"/>
    <w:rsid w:val="005C4017"/>
    <w:rsid w:val="005C4368"/>
    <w:rsid w:val="005C4707"/>
    <w:rsid w:val="005C47C7"/>
    <w:rsid w:val="005C4E91"/>
    <w:rsid w:val="005C4F6A"/>
    <w:rsid w:val="005C525E"/>
    <w:rsid w:val="005C52E6"/>
    <w:rsid w:val="005C5A97"/>
    <w:rsid w:val="005C5AF1"/>
    <w:rsid w:val="005C5BE4"/>
    <w:rsid w:val="005C5F9B"/>
    <w:rsid w:val="005C616A"/>
    <w:rsid w:val="005C642B"/>
    <w:rsid w:val="005C6E22"/>
    <w:rsid w:val="005C6F23"/>
    <w:rsid w:val="005C754A"/>
    <w:rsid w:val="005C772D"/>
    <w:rsid w:val="005C7740"/>
    <w:rsid w:val="005C77B9"/>
    <w:rsid w:val="005C7D6A"/>
    <w:rsid w:val="005C7FA8"/>
    <w:rsid w:val="005D0771"/>
    <w:rsid w:val="005D07F9"/>
    <w:rsid w:val="005D0A97"/>
    <w:rsid w:val="005D0B73"/>
    <w:rsid w:val="005D0BAA"/>
    <w:rsid w:val="005D0D01"/>
    <w:rsid w:val="005D11F4"/>
    <w:rsid w:val="005D155C"/>
    <w:rsid w:val="005D161C"/>
    <w:rsid w:val="005D1705"/>
    <w:rsid w:val="005D1AD2"/>
    <w:rsid w:val="005D1B35"/>
    <w:rsid w:val="005D1B49"/>
    <w:rsid w:val="005D1C0E"/>
    <w:rsid w:val="005D1FEB"/>
    <w:rsid w:val="005D214D"/>
    <w:rsid w:val="005D219B"/>
    <w:rsid w:val="005D2253"/>
    <w:rsid w:val="005D2665"/>
    <w:rsid w:val="005D2B08"/>
    <w:rsid w:val="005D30D3"/>
    <w:rsid w:val="005D32D8"/>
    <w:rsid w:val="005D3419"/>
    <w:rsid w:val="005D3819"/>
    <w:rsid w:val="005D3BFA"/>
    <w:rsid w:val="005D3EFD"/>
    <w:rsid w:val="005D3FF3"/>
    <w:rsid w:val="005D47AB"/>
    <w:rsid w:val="005D49D8"/>
    <w:rsid w:val="005D4A53"/>
    <w:rsid w:val="005D4CA7"/>
    <w:rsid w:val="005D5756"/>
    <w:rsid w:val="005D5BA0"/>
    <w:rsid w:val="005D5CF4"/>
    <w:rsid w:val="005D5FF8"/>
    <w:rsid w:val="005D625E"/>
    <w:rsid w:val="005D62B8"/>
    <w:rsid w:val="005D62E6"/>
    <w:rsid w:val="005D6432"/>
    <w:rsid w:val="005D674D"/>
    <w:rsid w:val="005D6A2E"/>
    <w:rsid w:val="005D6B22"/>
    <w:rsid w:val="005D6C56"/>
    <w:rsid w:val="005D6D90"/>
    <w:rsid w:val="005D6E63"/>
    <w:rsid w:val="005D6E6C"/>
    <w:rsid w:val="005D6F55"/>
    <w:rsid w:val="005D6F6D"/>
    <w:rsid w:val="005D719B"/>
    <w:rsid w:val="005D7740"/>
    <w:rsid w:val="005D7872"/>
    <w:rsid w:val="005D7964"/>
    <w:rsid w:val="005D7970"/>
    <w:rsid w:val="005D7D6B"/>
    <w:rsid w:val="005D7D83"/>
    <w:rsid w:val="005D7DA4"/>
    <w:rsid w:val="005D7DE7"/>
    <w:rsid w:val="005E01D5"/>
    <w:rsid w:val="005E0306"/>
    <w:rsid w:val="005E0C94"/>
    <w:rsid w:val="005E0E78"/>
    <w:rsid w:val="005E0F9F"/>
    <w:rsid w:val="005E0FC8"/>
    <w:rsid w:val="005E10AF"/>
    <w:rsid w:val="005E12BA"/>
    <w:rsid w:val="005E12D3"/>
    <w:rsid w:val="005E141C"/>
    <w:rsid w:val="005E146C"/>
    <w:rsid w:val="005E14B8"/>
    <w:rsid w:val="005E1701"/>
    <w:rsid w:val="005E173D"/>
    <w:rsid w:val="005E1804"/>
    <w:rsid w:val="005E1A23"/>
    <w:rsid w:val="005E1BC2"/>
    <w:rsid w:val="005E1C9F"/>
    <w:rsid w:val="005E1DED"/>
    <w:rsid w:val="005E1E35"/>
    <w:rsid w:val="005E1FFB"/>
    <w:rsid w:val="005E2030"/>
    <w:rsid w:val="005E212B"/>
    <w:rsid w:val="005E227D"/>
    <w:rsid w:val="005E23F4"/>
    <w:rsid w:val="005E2875"/>
    <w:rsid w:val="005E2AB6"/>
    <w:rsid w:val="005E300F"/>
    <w:rsid w:val="005E30B3"/>
    <w:rsid w:val="005E31FE"/>
    <w:rsid w:val="005E3232"/>
    <w:rsid w:val="005E334C"/>
    <w:rsid w:val="005E34B1"/>
    <w:rsid w:val="005E350C"/>
    <w:rsid w:val="005E37DC"/>
    <w:rsid w:val="005E37F6"/>
    <w:rsid w:val="005E3CB8"/>
    <w:rsid w:val="005E3E70"/>
    <w:rsid w:val="005E420E"/>
    <w:rsid w:val="005E483C"/>
    <w:rsid w:val="005E487E"/>
    <w:rsid w:val="005E48CF"/>
    <w:rsid w:val="005E4A65"/>
    <w:rsid w:val="005E4FD6"/>
    <w:rsid w:val="005E5422"/>
    <w:rsid w:val="005E566F"/>
    <w:rsid w:val="005E5DBA"/>
    <w:rsid w:val="005E5E76"/>
    <w:rsid w:val="005E5F1B"/>
    <w:rsid w:val="005E611C"/>
    <w:rsid w:val="005E6174"/>
    <w:rsid w:val="005E621C"/>
    <w:rsid w:val="005E62BC"/>
    <w:rsid w:val="005E62DA"/>
    <w:rsid w:val="005E63B4"/>
    <w:rsid w:val="005E64C9"/>
    <w:rsid w:val="005E64D9"/>
    <w:rsid w:val="005E6540"/>
    <w:rsid w:val="005E655D"/>
    <w:rsid w:val="005E65DE"/>
    <w:rsid w:val="005E69A7"/>
    <w:rsid w:val="005E6AA2"/>
    <w:rsid w:val="005E6E2C"/>
    <w:rsid w:val="005E7627"/>
    <w:rsid w:val="005E7D82"/>
    <w:rsid w:val="005F0121"/>
    <w:rsid w:val="005F068E"/>
    <w:rsid w:val="005F0A29"/>
    <w:rsid w:val="005F0B35"/>
    <w:rsid w:val="005F0C6E"/>
    <w:rsid w:val="005F0D5A"/>
    <w:rsid w:val="005F0E86"/>
    <w:rsid w:val="005F0F4C"/>
    <w:rsid w:val="005F1169"/>
    <w:rsid w:val="005F1261"/>
    <w:rsid w:val="005F1293"/>
    <w:rsid w:val="005F15A4"/>
    <w:rsid w:val="005F172F"/>
    <w:rsid w:val="005F1826"/>
    <w:rsid w:val="005F1A49"/>
    <w:rsid w:val="005F1C5D"/>
    <w:rsid w:val="005F1C63"/>
    <w:rsid w:val="005F1E9E"/>
    <w:rsid w:val="005F226D"/>
    <w:rsid w:val="005F2AAE"/>
    <w:rsid w:val="005F2B09"/>
    <w:rsid w:val="005F2B7D"/>
    <w:rsid w:val="005F3E0C"/>
    <w:rsid w:val="005F3E2A"/>
    <w:rsid w:val="005F418C"/>
    <w:rsid w:val="005F41D6"/>
    <w:rsid w:val="005F4430"/>
    <w:rsid w:val="005F4694"/>
    <w:rsid w:val="005F487D"/>
    <w:rsid w:val="005F4BF5"/>
    <w:rsid w:val="005F4CEA"/>
    <w:rsid w:val="005F500E"/>
    <w:rsid w:val="005F505D"/>
    <w:rsid w:val="005F5075"/>
    <w:rsid w:val="005F546F"/>
    <w:rsid w:val="005F573E"/>
    <w:rsid w:val="005F589A"/>
    <w:rsid w:val="005F5933"/>
    <w:rsid w:val="005F59E4"/>
    <w:rsid w:val="005F5DBD"/>
    <w:rsid w:val="005F5EEE"/>
    <w:rsid w:val="005F5EF9"/>
    <w:rsid w:val="005F651B"/>
    <w:rsid w:val="005F654E"/>
    <w:rsid w:val="005F6BD6"/>
    <w:rsid w:val="005F6C9F"/>
    <w:rsid w:val="005F6CF5"/>
    <w:rsid w:val="005F6E27"/>
    <w:rsid w:val="005F726C"/>
    <w:rsid w:val="005F7305"/>
    <w:rsid w:val="005F799F"/>
    <w:rsid w:val="005F7A1A"/>
    <w:rsid w:val="005F7C1A"/>
    <w:rsid w:val="005F7C77"/>
    <w:rsid w:val="005F7FB2"/>
    <w:rsid w:val="0060024D"/>
    <w:rsid w:val="0060047D"/>
    <w:rsid w:val="0060073B"/>
    <w:rsid w:val="006007D5"/>
    <w:rsid w:val="006009C9"/>
    <w:rsid w:val="00600B09"/>
    <w:rsid w:val="00600D0D"/>
    <w:rsid w:val="00600F4C"/>
    <w:rsid w:val="0060116B"/>
    <w:rsid w:val="006014BF"/>
    <w:rsid w:val="00601715"/>
    <w:rsid w:val="00601834"/>
    <w:rsid w:val="00601950"/>
    <w:rsid w:val="0060241C"/>
    <w:rsid w:val="0060259F"/>
    <w:rsid w:val="00602E4F"/>
    <w:rsid w:val="00603893"/>
    <w:rsid w:val="0060393C"/>
    <w:rsid w:val="006040C6"/>
    <w:rsid w:val="00604769"/>
    <w:rsid w:val="006048DB"/>
    <w:rsid w:val="00604B28"/>
    <w:rsid w:val="00604BEE"/>
    <w:rsid w:val="00604C9F"/>
    <w:rsid w:val="00604F79"/>
    <w:rsid w:val="00604FE9"/>
    <w:rsid w:val="00604FF5"/>
    <w:rsid w:val="00605043"/>
    <w:rsid w:val="00605126"/>
    <w:rsid w:val="0060521B"/>
    <w:rsid w:val="006056B2"/>
    <w:rsid w:val="00605B6D"/>
    <w:rsid w:val="006065B7"/>
    <w:rsid w:val="00606643"/>
    <w:rsid w:val="00606A59"/>
    <w:rsid w:val="00606BB6"/>
    <w:rsid w:val="00606C47"/>
    <w:rsid w:val="00606D3E"/>
    <w:rsid w:val="00606E01"/>
    <w:rsid w:val="00606FB1"/>
    <w:rsid w:val="00606FBA"/>
    <w:rsid w:val="00607422"/>
    <w:rsid w:val="00607C57"/>
    <w:rsid w:val="00607E49"/>
    <w:rsid w:val="0061023D"/>
    <w:rsid w:val="00610426"/>
    <w:rsid w:val="0061098E"/>
    <w:rsid w:val="0061099A"/>
    <w:rsid w:val="00610C65"/>
    <w:rsid w:val="00610CCC"/>
    <w:rsid w:val="00611179"/>
    <w:rsid w:val="00611283"/>
    <w:rsid w:val="006113A1"/>
    <w:rsid w:val="00611714"/>
    <w:rsid w:val="00611830"/>
    <w:rsid w:val="00611E48"/>
    <w:rsid w:val="0061273E"/>
    <w:rsid w:val="006127A4"/>
    <w:rsid w:val="00612C15"/>
    <w:rsid w:val="0061362B"/>
    <w:rsid w:val="00613753"/>
    <w:rsid w:val="006137B6"/>
    <w:rsid w:val="00613A26"/>
    <w:rsid w:val="00613E1D"/>
    <w:rsid w:val="00613E66"/>
    <w:rsid w:val="00613EC4"/>
    <w:rsid w:val="00613FB7"/>
    <w:rsid w:val="00614266"/>
    <w:rsid w:val="006146E1"/>
    <w:rsid w:val="00614844"/>
    <w:rsid w:val="006149E1"/>
    <w:rsid w:val="00614B1A"/>
    <w:rsid w:val="00614F05"/>
    <w:rsid w:val="006151BD"/>
    <w:rsid w:val="006152C6"/>
    <w:rsid w:val="00615432"/>
    <w:rsid w:val="00615A46"/>
    <w:rsid w:val="00616086"/>
    <w:rsid w:val="006160A6"/>
    <w:rsid w:val="006160BB"/>
    <w:rsid w:val="00616463"/>
    <w:rsid w:val="00616529"/>
    <w:rsid w:val="006165B6"/>
    <w:rsid w:val="0061699A"/>
    <w:rsid w:val="00616C9D"/>
    <w:rsid w:val="00616F0B"/>
    <w:rsid w:val="0061705E"/>
    <w:rsid w:val="006171EB"/>
    <w:rsid w:val="006174BA"/>
    <w:rsid w:val="006175B0"/>
    <w:rsid w:val="00617C8D"/>
    <w:rsid w:val="006204DD"/>
    <w:rsid w:val="00620605"/>
    <w:rsid w:val="0062071D"/>
    <w:rsid w:val="006207D7"/>
    <w:rsid w:val="00620AA5"/>
    <w:rsid w:val="00620B11"/>
    <w:rsid w:val="00620D9D"/>
    <w:rsid w:val="00620EE0"/>
    <w:rsid w:val="006215A1"/>
    <w:rsid w:val="006215AB"/>
    <w:rsid w:val="006215E0"/>
    <w:rsid w:val="006216CD"/>
    <w:rsid w:val="006217D0"/>
    <w:rsid w:val="006218D6"/>
    <w:rsid w:val="00621AC8"/>
    <w:rsid w:val="00621AE0"/>
    <w:rsid w:val="00622263"/>
    <w:rsid w:val="006222BA"/>
    <w:rsid w:val="006226C5"/>
    <w:rsid w:val="006228C3"/>
    <w:rsid w:val="00622A2D"/>
    <w:rsid w:val="00622B77"/>
    <w:rsid w:val="00622BD1"/>
    <w:rsid w:val="00622BFD"/>
    <w:rsid w:val="00622C02"/>
    <w:rsid w:val="00622C93"/>
    <w:rsid w:val="00622E79"/>
    <w:rsid w:val="00622E90"/>
    <w:rsid w:val="00622EE5"/>
    <w:rsid w:val="00622F8D"/>
    <w:rsid w:val="0062320C"/>
    <w:rsid w:val="006232E1"/>
    <w:rsid w:val="006233B4"/>
    <w:rsid w:val="006234CD"/>
    <w:rsid w:val="006236D8"/>
    <w:rsid w:val="00623AB9"/>
    <w:rsid w:val="00623BDF"/>
    <w:rsid w:val="00623C55"/>
    <w:rsid w:val="00623FC7"/>
    <w:rsid w:val="006242E6"/>
    <w:rsid w:val="00624718"/>
    <w:rsid w:val="00624BD2"/>
    <w:rsid w:val="00624FEC"/>
    <w:rsid w:val="0062510A"/>
    <w:rsid w:val="00625423"/>
    <w:rsid w:val="0062545F"/>
    <w:rsid w:val="0062588C"/>
    <w:rsid w:val="00625B27"/>
    <w:rsid w:val="00625B48"/>
    <w:rsid w:val="00625FCE"/>
    <w:rsid w:val="00626198"/>
    <w:rsid w:val="006264AC"/>
    <w:rsid w:val="006264B6"/>
    <w:rsid w:val="00626512"/>
    <w:rsid w:val="0062652B"/>
    <w:rsid w:val="0062661F"/>
    <w:rsid w:val="006266FD"/>
    <w:rsid w:val="006267CF"/>
    <w:rsid w:val="00626823"/>
    <w:rsid w:val="00626887"/>
    <w:rsid w:val="00626B57"/>
    <w:rsid w:val="00626C13"/>
    <w:rsid w:val="00626D04"/>
    <w:rsid w:val="00626EAB"/>
    <w:rsid w:val="0062719F"/>
    <w:rsid w:val="00627409"/>
    <w:rsid w:val="00627793"/>
    <w:rsid w:val="006278A3"/>
    <w:rsid w:val="00627962"/>
    <w:rsid w:val="006279CC"/>
    <w:rsid w:val="00627A8B"/>
    <w:rsid w:val="00627A8F"/>
    <w:rsid w:val="00627BC7"/>
    <w:rsid w:val="00627E37"/>
    <w:rsid w:val="00630051"/>
    <w:rsid w:val="006301A8"/>
    <w:rsid w:val="006301A9"/>
    <w:rsid w:val="00630403"/>
    <w:rsid w:val="00630477"/>
    <w:rsid w:val="006307C5"/>
    <w:rsid w:val="00630AC3"/>
    <w:rsid w:val="00630C69"/>
    <w:rsid w:val="00631471"/>
    <w:rsid w:val="0063151A"/>
    <w:rsid w:val="00631589"/>
    <w:rsid w:val="00631611"/>
    <w:rsid w:val="0063162D"/>
    <w:rsid w:val="00631C04"/>
    <w:rsid w:val="00631EEF"/>
    <w:rsid w:val="00631F54"/>
    <w:rsid w:val="006320B2"/>
    <w:rsid w:val="006324F0"/>
    <w:rsid w:val="00632605"/>
    <w:rsid w:val="006326CA"/>
    <w:rsid w:val="00632780"/>
    <w:rsid w:val="00632BE1"/>
    <w:rsid w:val="00632DE1"/>
    <w:rsid w:val="00632FE7"/>
    <w:rsid w:val="00632FFA"/>
    <w:rsid w:val="006330D6"/>
    <w:rsid w:val="006332BE"/>
    <w:rsid w:val="00633382"/>
    <w:rsid w:val="00633410"/>
    <w:rsid w:val="00633606"/>
    <w:rsid w:val="0063395C"/>
    <w:rsid w:val="00633E89"/>
    <w:rsid w:val="0063402C"/>
    <w:rsid w:val="006340CA"/>
    <w:rsid w:val="00634593"/>
    <w:rsid w:val="006346C8"/>
    <w:rsid w:val="00634989"/>
    <w:rsid w:val="00634CB3"/>
    <w:rsid w:val="00634DCD"/>
    <w:rsid w:val="00634FF1"/>
    <w:rsid w:val="00635467"/>
    <w:rsid w:val="0063548A"/>
    <w:rsid w:val="006354C2"/>
    <w:rsid w:val="00635EA5"/>
    <w:rsid w:val="00636361"/>
    <w:rsid w:val="0063641E"/>
    <w:rsid w:val="0063684D"/>
    <w:rsid w:val="006368F5"/>
    <w:rsid w:val="00636BC8"/>
    <w:rsid w:val="00636D9A"/>
    <w:rsid w:val="00636E09"/>
    <w:rsid w:val="006372DE"/>
    <w:rsid w:val="006373D5"/>
    <w:rsid w:val="0063794D"/>
    <w:rsid w:val="00637A4D"/>
    <w:rsid w:val="00637B18"/>
    <w:rsid w:val="00637D12"/>
    <w:rsid w:val="00640492"/>
    <w:rsid w:val="006404A0"/>
    <w:rsid w:val="00640668"/>
    <w:rsid w:val="00640E95"/>
    <w:rsid w:val="00641039"/>
    <w:rsid w:val="006410B1"/>
    <w:rsid w:val="006411FB"/>
    <w:rsid w:val="006413FB"/>
    <w:rsid w:val="00641556"/>
    <w:rsid w:val="006415D2"/>
    <w:rsid w:val="006416AA"/>
    <w:rsid w:val="00641799"/>
    <w:rsid w:val="00641A6F"/>
    <w:rsid w:val="00641F48"/>
    <w:rsid w:val="006426A4"/>
    <w:rsid w:val="0064287E"/>
    <w:rsid w:val="00642DF2"/>
    <w:rsid w:val="00643205"/>
    <w:rsid w:val="0064322C"/>
    <w:rsid w:val="0064353B"/>
    <w:rsid w:val="00643BE7"/>
    <w:rsid w:val="00643C0F"/>
    <w:rsid w:val="00643CA5"/>
    <w:rsid w:val="00643CB7"/>
    <w:rsid w:val="00643CF0"/>
    <w:rsid w:val="0064433C"/>
    <w:rsid w:val="00644AD8"/>
    <w:rsid w:val="006450F6"/>
    <w:rsid w:val="0064520D"/>
    <w:rsid w:val="00645858"/>
    <w:rsid w:val="00645894"/>
    <w:rsid w:val="00645CD2"/>
    <w:rsid w:val="00645F41"/>
    <w:rsid w:val="0064610D"/>
    <w:rsid w:val="0064613A"/>
    <w:rsid w:val="006465BB"/>
    <w:rsid w:val="00646843"/>
    <w:rsid w:val="0064689C"/>
    <w:rsid w:val="006469C5"/>
    <w:rsid w:val="006469F2"/>
    <w:rsid w:val="00646E48"/>
    <w:rsid w:val="00646EEE"/>
    <w:rsid w:val="0064738F"/>
    <w:rsid w:val="006473DF"/>
    <w:rsid w:val="006474A6"/>
    <w:rsid w:val="00647531"/>
    <w:rsid w:val="00647809"/>
    <w:rsid w:val="006479D0"/>
    <w:rsid w:val="006479E3"/>
    <w:rsid w:val="00647DC8"/>
    <w:rsid w:val="00647F40"/>
    <w:rsid w:val="00650095"/>
    <w:rsid w:val="0065050D"/>
    <w:rsid w:val="00650567"/>
    <w:rsid w:val="0065063E"/>
    <w:rsid w:val="00650861"/>
    <w:rsid w:val="00650878"/>
    <w:rsid w:val="00650880"/>
    <w:rsid w:val="00650EC0"/>
    <w:rsid w:val="00651149"/>
    <w:rsid w:val="006512C7"/>
    <w:rsid w:val="00651427"/>
    <w:rsid w:val="00651747"/>
    <w:rsid w:val="00651A03"/>
    <w:rsid w:val="00651AAF"/>
    <w:rsid w:val="00651C15"/>
    <w:rsid w:val="00651C9F"/>
    <w:rsid w:val="00651ED5"/>
    <w:rsid w:val="0065208B"/>
    <w:rsid w:val="00652095"/>
    <w:rsid w:val="006520CC"/>
    <w:rsid w:val="0065222A"/>
    <w:rsid w:val="0065227E"/>
    <w:rsid w:val="006523BF"/>
    <w:rsid w:val="00653102"/>
    <w:rsid w:val="006533D6"/>
    <w:rsid w:val="0065341A"/>
    <w:rsid w:val="00653932"/>
    <w:rsid w:val="00653B35"/>
    <w:rsid w:val="00653B9D"/>
    <w:rsid w:val="006540BF"/>
    <w:rsid w:val="006553A3"/>
    <w:rsid w:val="006554FB"/>
    <w:rsid w:val="00655823"/>
    <w:rsid w:val="00655D55"/>
    <w:rsid w:val="00655D5F"/>
    <w:rsid w:val="00655E5E"/>
    <w:rsid w:val="00655EE4"/>
    <w:rsid w:val="00656211"/>
    <w:rsid w:val="0065633B"/>
    <w:rsid w:val="00656361"/>
    <w:rsid w:val="006563C3"/>
    <w:rsid w:val="00656406"/>
    <w:rsid w:val="00656422"/>
    <w:rsid w:val="006569BA"/>
    <w:rsid w:val="00656A6D"/>
    <w:rsid w:val="00656C74"/>
    <w:rsid w:val="00656E0F"/>
    <w:rsid w:val="00656E6B"/>
    <w:rsid w:val="00656F6D"/>
    <w:rsid w:val="006570B2"/>
    <w:rsid w:val="006570FB"/>
    <w:rsid w:val="006572AA"/>
    <w:rsid w:val="00657337"/>
    <w:rsid w:val="006578B0"/>
    <w:rsid w:val="00657905"/>
    <w:rsid w:val="0065791C"/>
    <w:rsid w:val="0065794D"/>
    <w:rsid w:val="00657D1F"/>
    <w:rsid w:val="00660086"/>
    <w:rsid w:val="006600EF"/>
    <w:rsid w:val="0066012C"/>
    <w:rsid w:val="0066021B"/>
    <w:rsid w:val="00660564"/>
    <w:rsid w:val="006605E3"/>
    <w:rsid w:val="00660617"/>
    <w:rsid w:val="006607C2"/>
    <w:rsid w:val="00660811"/>
    <w:rsid w:val="00660E47"/>
    <w:rsid w:val="00661039"/>
    <w:rsid w:val="006610FD"/>
    <w:rsid w:val="00661BEA"/>
    <w:rsid w:val="00661EDB"/>
    <w:rsid w:val="00661F28"/>
    <w:rsid w:val="00662003"/>
    <w:rsid w:val="006623C5"/>
    <w:rsid w:val="006626AD"/>
    <w:rsid w:val="00662806"/>
    <w:rsid w:val="00662A12"/>
    <w:rsid w:val="0066303E"/>
    <w:rsid w:val="006633E6"/>
    <w:rsid w:val="00663571"/>
    <w:rsid w:val="006638F8"/>
    <w:rsid w:val="0066398F"/>
    <w:rsid w:val="00663A30"/>
    <w:rsid w:val="00663C3B"/>
    <w:rsid w:val="00664541"/>
    <w:rsid w:val="00664D99"/>
    <w:rsid w:val="00665371"/>
    <w:rsid w:val="00665526"/>
    <w:rsid w:val="00665BDE"/>
    <w:rsid w:val="00665EE8"/>
    <w:rsid w:val="0066676F"/>
    <w:rsid w:val="0066684E"/>
    <w:rsid w:val="00666B9B"/>
    <w:rsid w:val="00666DEE"/>
    <w:rsid w:val="00666FB6"/>
    <w:rsid w:val="00667466"/>
    <w:rsid w:val="006675B9"/>
    <w:rsid w:val="00667D15"/>
    <w:rsid w:val="00667E6A"/>
    <w:rsid w:val="00667EAA"/>
    <w:rsid w:val="00667EB5"/>
    <w:rsid w:val="00670241"/>
    <w:rsid w:val="006704D8"/>
    <w:rsid w:val="006706B0"/>
    <w:rsid w:val="00670954"/>
    <w:rsid w:val="00670BE6"/>
    <w:rsid w:val="00670FA4"/>
    <w:rsid w:val="00670FD2"/>
    <w:rsid w:val="0067194C"/>
    <w:rsid w:val="00671A3B"/>
    <w:rsid w:val="00671CB3"/>
    <w:rsid w:val="00671ECD"/>
    <w:rsid w:val="00672048"/>
    <w:rsid w:val="006724E7"/>
    <w:rsid w:val="00673109"/>
    <w:rsid w:val="006732E8"/>
    <w:rsid w:val="00673339"/>
    <w:rsid w:val="006734CA"/>
    <w:rsid w:val="0067380D"/>
    <w:rsid w:val="006738FB"/>
    <w:rsid w:val="00673CF7"/>
    <w:rsid w:val="00674038"/>
    <w:rsid w:val="006741D8"/>
    <w:rsid w:val="006742A8"/>
    <w:rsid w:val="0067446C"/>
    <w:rsid w:val="00674576"/>
    <w:rsid w:val="0067460E"/>
    <w:rsid w:val="0067486B"/>
    <w:rsid w:val="00674977"/>
    <w:rsid w:val="00674DDD"/>
    <w:rsid w:val="00674E11"/>
    <w:rsid w:val="00674E3A"/>
    <w:rsid w:val="00675AB5"/>
    <w:rsid w:val="00675DE1"/>
    <w:rsid w:val="00675F77"/>
    <w:rsid w:val="006760E3"/>
    <w:rsid w:val="006762C7"/>
    <w:rsid w:val="006762D5"/>
    <w:rsid w:val="00676820"/>
    <w:rsid w:val="0067688E"/>
    <w:rsid w:val="0067697D"/>
    <w:rsid w:val="00676C11"/>
    <w:rsid w:val="00676D71"/>
    <w:rsid w:val="00676E21"/>
    <w:rsid w:val="00676F7F"/>
    <w:rsid w:val="006771BE"/>
    <w:rsid w:val="0067724D"/>
    <w:rsid w:val="006772D0"/>
    <w:rsid w:val="00677310"/>
    <w:rsid w:val="0067741C"/>
    <w:rsid w:val="0067757C"/>
    <w:rsid w:val="0067773A"/>
    <w:rsid w:val="0067778E"/>
    <w:rsid w:val="00677A89"/>
    <w:rsid w:val="00680321"/>
    <w:rsid w:val="006804A6"/>
    <w:rsid w:val="0068059A"/>
    <w:rsid w:val="006806BC"/>
    <w:rsid w:val="006807D9"/>
    <w:rsid w:val="006807FD"/>
    <w:rsid w:val="00680910"/>
    <w:rsid w:val="006809C2"/>
    <w:rsid w:val="00680A2B"/>
    <w:rsid w:val="00680B79"/>
    <w:rsid w:val="00680C62"/>
    <w:rsid w:val="00680CE9"/>
    <w:rsid w:val="00680D13"/>
    <w:rsid w:val="00680F53"/>
    <w:rsid w:val="0068174D"/>
    <w:rsid w:val="00681C65"/>
    <w:rsid w:val="00682099"/>
    <w:rsid w:val="00682273"/>
    <w:rsid w:val="006824CD"/>
    <w:rsid w:val="006824E5"/>
    <w:rsid w:val="00682734"/>
    <w:rsid w:val="00682A89"/>
    <w:rsid w:val="00682CF1"/>
    <w:rsid w:val="00682DDA"/>
    <w:rsid w:val="00682E07"/>
    <w:rsid w:val="00682E9D"/>
    <w:rsid w:val="00683211"/>
    <w:rsid w:val="0068330F"/>
    <w:rsid w:val="0068359D"/>
    <w:rsid w:val="00683733"/>
    <w:rsid w:val="0068386C"/>
    <w:rsid w:val="0068396E"/>
    <w:rsid w:val="00683AE2"/>
    <w:rsid w:val="00683B7F"/>
    <w:rsid w:val="00683D85"/>
    <w:rsid w:val="00684047"/>
    <w:rsid w:val="006840A5"/>
    <w:rsid w:val="006842FD"/>
    <w:rsid w:val="0068432B"/>
    <w:rsid w:val="006844E8"/>
    <w:rsid w:val="006845CF"/>
    <w:rsid w:val="006845ED"/>
    <w:rsid w:val="00684785"/>
    <w:rsid w:val="006848DF"/>
    <w:rsid w:val="006849E5"/>
    <w:rsid w:val="00684C0A"/>
    <w:rsid w:val="00684CC0"/>
    <w:rsid w:val="00684D82"/>
    <w:rsid w:val="00684DFC"/>
    <w:rsid w:val="00684E81"/>
    <w:rsid w:val="00684E92"/>
    <w:rsid w:val="00685001"/>
    <w:rsid w:val="0068576B"/>
    <w:rsid w:val="00685E0A"/>
    <w:rsid w:val="00685EC0"/>
    <w:rsid w:val="006860AF"/>
    <w:rsid w:val="006861B8"/>
    <w:rsid w:val="00686348"/>
    <w:rsid w:val="006863C3"/>
    <w:rsid w:val="00686592"/>
    <w:rsid w:val="00686896"/>
    <w:rsid w:val="00686AFF"/>
    <w:rsid w:val="00686DAF"/>
    <w:rsid w:val="00686E53"/>
    <w:rsid w:val="00686F6A"/>
    <w:rsid w:val="0068768E"/>
    <w:rsid w:val="00687CD0"/>
    <w:rsid w:val="00690098"/>
    <w:rsid w:val="00690181"/>
    <w:rsid w:val="00690278"/>
    <w:rsid w:val="00690BC5"/>
    <w:rsid w:val="00690BED"/>
    <w:rsid w:val="00690D74"/>
    <w:rsid w:val="00690F83"/>
    <w:rsid w:val="006916A0"/>
    <w:rsid w:val="00691915"/>
    <w:rsid w:val="00691928"/>
    <w:rsid w:val="00691C2C"/>
    <w:rsid w:val="00691DDA"/>
    <w:rsid w:val="00691F4E"/>
    <w:rsid w:val="0069206C"/>
    <w:rsid w:val="0069226D"/>
    <w:rsid w:val="00692329"/>
    <w:rsid w:val="006929F2"/>
    <w:rsid w:val="00692AC4"/>
    <w:rsid w:val="00692E64"/>
    <w:rsid w:val="00693578"/>
    <w:rsid w:val="006935D3"/>
    <w:rsid w:val="00693784"/>
    <w:rsid w:val="006938B6"/>
    <w:rsid w:val="00693B28"/>
    <w:rsid w:val="00693B52"/>
    <w:rsid w:val="00693ED8"/>
    <w:rsid w:val="00693F5E"/>
    <w:rsid w:val="006945A5"/>
    <w:rsid w:val="0069463F"/>
    <w:rsid w:val="00694767"/>
    <w:rsid w:val="00694A0D"/>
    <w:rsid w:val="00694A5E"/>
    <w:rsid w:val="00694F29"/>
    <w:rsid w:val="006950C0"/>
    <w:rsid w:val="00695177"/>
    <w:rsid w:val="0069547C"/>
    <w:rsid w:val="00695986"/>
    <w:rsid w:val="006959E8"/>
    <w:rsid w:val="00695C98"/>
    <w:rsid w:val="006960A1"/>
    <w:rsid w:val="006965F4"/>
    <w:rsid w:val="00696987"/>
    <w:rsid w:val="0069699C"/>
    <w:rsid w:val="00696D0B"/>
    <w:rsid w:val="0069701E"/>
    <w:rsid w:val="00697082"/>
    <w:rsid w:val="00697489"/>
    <w:rsid w:val="00697537"/>
    <w:rsid w:val="006979E7"/>
    <w:rsid w:val="00697DE4"/>
    <w:rsid w:val="00697E0A"/>
    <w:rsid w:val="006A010A"/>
    <w:rsid w:val="006A014B"/>
    <w:rsid w:val="006A02B1"/>
    <w:rsid w:val="006A03C5"/>
    <w:rsid w:val="006A0517"/>
    <w:rsid w:val="006A0598"/>
    <w:rsid w:val="006A0E58"/>
    <w:rsid w:val="006A10CA"/>
    <w:rsid w:val="006A1308"/>
    <w:rsid w:val="006A1B32"/>
    <w:rsid w:val="006A1CC5"/>
    <w:rsid w:val="006A1E1F"/>
    <w:rsid w:val="006A22A8"/>
    <w:rsid w:val="006A251E"/>
    <w:rsid w:val="006A255D"/>
    <w:rsid w:val="006A297F"/>
    <w:rsid w:val="006A29C3"/>
    <w:rsid w:val="006A2AB8"/>
    <w:rsid w:val="006A2E36"/>
    <w:rsid w:val="006A2F8F"/>
    <w:rsid w:val="006A327A"/>
    <w:rsid w:val="006A359A"/>
    <w:rsid w:val="006A3867"/>
    <w:rsid w:val="006A3AC5"/>
    <w:rsid w:val="006A3C45"/>
    <w:rsid w:val="006A40C9"/>
    <w:rsid w:val="006A40CC"/>
    <w:rsid w:val="006A4256"/>
    <w:rsid w:val="006A429D"/>
    <w:rsid w:val="006A454D"/>
    <w:rsid w:val="006A48C6"/>
    <w:rsid w:val="006A497F"/>
    <w:rsid w:val="006A4CA9"/>
    <w:rsid w:val="006A513A"/>
    <w:rsid w:val="006A5279"/>
    <w:rsid w:val="006A5381"/>
    <w:rsid w:val="006A5439"/>
    <w:rsid w:val="006A5601"/>
    <w:rsid w:val="006A567C"/>
    <w:rsid w:val="006A5811"/>
    <w:rsid w:val="006A59B6"/>
    <w:rsid w:val="006A5C70"/>
    <w:rsid w:val="006A5D3D"/>
    <w:rsid w:val="006A5D84"/>
    <w:rsid w:val="006A5E0E"/>
    <w:rsid w:val="006A603D"/>
    <w:rsid w:val="006A6056"/>
    <w:rsid w:val="006A6211"/>
    <w:rsid w:val="006A635A"/>
    <w:rsid w:val="006A69F9"/>
    <w:rsid w:val="006A6E43"/>
    <w:rsid w:val="006A75EE"/>
    <w:rsid w:val="006A77F9"/>
    <w:rsid w:val="006A78B2"/>
    <w:rsid w:val="006A7A04"/>
    <w:rsid w:val="006A7DF9"/>
    <w:rsid w:val="006B006A"/>
    <w:rsid w:val="006B00C2"/>
    <w:rsid w:val="006B043F"/>
    <w:rsid w:val="006B0549"/>
    <w:rsid w:val="006B055D"/>
    <w:rsid w:val="006B05F0"/>
    <w:rsid w:val="006B0DB4"/>
    <w:rsid w:val="006B0E12"/>
    <w:rsid w:val="006B12EB"/>
    <w:rsid w:val="006B1746"/>
    <w:rsid w:val="006B1CB5"/>
    <w:rsid w:val="006B1D69"/>
    <w:rsid w:val="006B1EDF"/>
    <w:rsid w:val="006B20CB"/>
    <w:rsid w:val="006B20F3"/>
    <w:rsid w:val="006B2137"/>
    <w:rsid w:val="006B2241"/>
    <w:rsid w:val="006B2600"/>
    <w:rsid w:val="006B2689"/>
    <w:rsid w:val="006B2A86"/>
    <w:rsid w:val="006B2B96"/>
    <w:rsid w:val="006B2B97"/>
    <w:rsid w:val="006B2FE6"/>
    <w:rsid w:val="006B30CB"/>
    <w:rsid w:val="006B30D0"/>
    <w:rsid w:val="006B3595"/>
    <w:rsid w:val="006B35BA"/>
    <w:rsid w:val="006B37F3"/>
    <w:rsid w:val="006B39A5"/>
    <w:rsid w:val="006B3AD3"/>
    <w:rsid w:val="006B3EFD"/>
    <w:rsid w:val="006B40D7"/>
    <w:rsid w:val="006B4519"/>
    <w:rsid w:val="006B4BCD"/>
    <w:rsid w:val="006B4CC3"/>
    <w:rsid w:val="006B4D38"/>
    <w:rsid w:val="006B4F78"/>
    <w:rsid w:val="006B5049"/>
    <w:rsid w:val="006B55C0"/>
    <w:rsid w:val="006B55CD"/>
    <w:rsid w:val="006B5767"/>
    <w:rsid w:val="006B5932"/>
    <w:rsid w:val="006B59B0"/>
    <w:rsid w:val="006B5B6D"/>
    <w:rsid w:val="006B5C4A"/>
    <w:rsid w:val="006B5E2B"/>
    <w:rsid w:val="006B5E4F"/>
    <w:rsid w:val="006B60B3"/>
    <w:rsid w:val="006B60DF"/>
    <w:rsid w:val="006B6341"/>
    <w:rsid w:val="006B65FF"/>
    <w:rsid w:val="006B6880"/>
    <w:rsid w:val="006B6D45"/>
    <w:rsid w:val="006B6DF6"/>
    <w:rsid w:val="006B7043"/>
    <w:rsid w:val="006B757E"/>
    <w:rsid w:val="006B77E4"/>
    <w:rsid w:val="006B7AB5"/>
    <w:rsid w:val="006B7B0F"/>
    <w:rsid w:val="006B7C05"/>
    <w:rsid w:val="006B7C07"/>
    <w:rsid w:val="006B7E18"/>
    <w:rsid w:val="006B7E8D"/>
    <w:rsid w:val="006B7E93"/>
    <w:rsid w:val="006B7FEF"/>
    <w:rsid w:val="006C0225"/>
    <w:rsid w:val="006C0305"/>
    <w:rsid w:val="006C0334"/>
    <w:rsid w:val="006C0610"/>
    <w:rsid w:val="006C08BE"/>
    <w:rsid w:val="006C0A1B"/>
    <w:rsid w:val="006C0B09"/>
    <w:rsid w:val="006C0FC4"/>
    <w:rsid w:val="006C148F"/>
    <w:rsid w:val="006C1D83"/>
    <w:rsid w:val="006C1F2B"/>
    <w:rsid w:val="006C2073"/>
    <w:rsid w:val="006C2335"/>
    <w:rsid w:val="006C273E"/>
    <w:rsid w:val="006C2A28"/>
    <w:rsid w:val="006C2C99"/>
    <w:rsid w:val="006C3427"/>
    <w:rsid w:val="006C368F"/>
    <w:rsid w:val="006C370D"/>
    <w:rsid w:val="006C37EA"/>
    <w:rsid w:val="006C3916"/>
    <w:rsid w:val="006C4363"/>
    <w:rsid w:val="006C43AD"/>
    <w:rsid w:val="006C4600"/>
    <w:rsid w:val="006C4809"/>
    <w:rsid w:val="006C4B19"/>
    <w:rsid w:val="006C4D1B"/>
    <w:rsid w:val="006C4DF6"/>
    <w:rsid w:val="006C50A5"/>
    <w:rsid w:val="006C513B"/>
    <w:rsid w:val="006C5727"/>
    <w:rsid w:val="006C584B"/>
    <w:rsid w:val="006C586D"/>
    <w:rsid w:val="006C5D2C"/>
    <w:rsid w:val="006C6536"/>
    <w:rsid w:val="006C65C6"/>
    <w:rsid w:val="006C6A49"/>
    <w:rsid w:val="006C6AAF"/>
    <w:rsid w:val="006C6FC1"/>
    <w:rsid w:val="006C717B"/>
    <w:rsid w:val="006C76A2"/>
    <w:rsid w:val="006C77CC"/>
    <w:rsid w:val="006C78CE"/>
    <w:rsid w:val="006C7CC2"/>
    <w:rsid w:val="006C7E4E"/>
    <w:rsid w:val="006D0389"/>
    <w:rsid w:val="006D049E"/>
    <w:rsid w:val="006D0697"/>
    <w:rsid w:val="006D0B4D"/>
    <w:rsid w:val="006D0CA3"/>
    <w:rsid w:val="006D0DA8"/>
    <w:rsid w:val="006D1374"/>
    <w:rsid w:val="006D18B8"/>
    <w:rsid w:val="006D1A1E"/>
    <w:rsid w:val="006D1AED"/>
    <w:rsid w:val="006D1BAE"/>
    <w:rsid w:val="006D1E71"/>
    <w:rsid w:val="006D1F55"/>
    <w:rsid w:val="006D20C1"/>
    <w:rsid w:val="006D21AB"/>
    <w:rsid w:val="006D2343"/>
    <w:rsid w:val="006D23B3"/>
    <w:rsid w:val="006D26D7"/>
    <w:rsid w:val="006D2A06"/>
    <w:rsid w:val="006D2A15"/>
    <w:rsid w:val="006D371D"/>
    <w:rsid w:val="006D3B43"/>
    <w:rsid w:val="006D403B"/>
    <w:rsid w:val="006D42E7"/>
    <w:rsid w:val="006D4624"/>
    <w:rsid w:val="006D4882"/>
    <w:rsid w:val="006D4A06"/>
    <w:rsid w:val="006D4AD8"/>
    <w:rsid w:val="006D5062"/>
    <w:rsid w:val="006D5226"/>
    <w:rsid w:val="006D52B5"/>
    <w:rsid w:val="006D5356"/>
    <w:rsid w:val="006D5721"/>
    <w:rsid w:val="006D5AE0"/>
    <w:rsid w:val="006D5B38"/>
    <w:rsid w:val="006D6112"/>
    <w:rsid w:val="006D646D"/>
    <w:rsid w:val="006D64E9"/>
    <w:rsid w:val="006D6967"/>
    <w:rsid w:val="006D69A3"/>
    <w:rsid w:val="006D6E46"/>
    <w:rsid w:val="006D6EAC"/>
    <w:rsid w:val="006D7337"/>
    <w:rsid w:val="006D7357"/>
    <w:rsid w:val="006D73EB"/>
    <w:rsid w:val="006D7411"/>
    <w:rsid w:val="006D7800"/>
    <w:rsid w:val="006D7960"/>
    <w:rsid w:val="006D7AF2"/>
    <w:rsid w:val="006D7BD6"/>
    <w:rsid w:val="006E02F6"/>
    <w:rsid w:val="006E0353"/>
    <w:rsid w:val="006E06AC"/>
    <w:rsid w:val="006E0AD2"/>
    <w:rsid w:val="006E0C73"/>
    <w:rsid w:val="006E0F2B"/>
    <w:rsid w:val="006E0FD5"/>
    <w:rsid w:val="006E11A6"/>
    <w:rsid w:val="006E13AA"/>
    <w:rsid w:val="006E1A8B"/>
    <w:rsid w:val="006E1CB5"/>
    <w:rsid w:val="006E2204"/>
    <w:rsid w:val="006E243F"/>
    <w:rsid w:val="006E2495"/>
    <w:rsid w:val="006E2822"/>
    <w:rsid w:val="006E28D5"/>
    <w:rsid w:val="006E2BD7"/>
    <w:rsid w:val="006E2D79"/>
    <w:rsid w:val="006E3104"/>
    <w:rsid w:val="006E322F"/>
    <w:rsid w:val="006E40BD"/>
    <w:rsid w:val="006E422C"/>
    <w:rsid w:val="006E42D2"/>
    <w:rsid w:val="006E441C"/>
    <w:rsid w:val="006E478A"/>
    <w:rsid w:val="006E4DBA"/>
    <w:rsid w:val="006E5104"/>
    <w:rsid w:val="006E54D3"/>
    <w:rsid w:val="006E54D5"/>
    <w:rsid w:val="006E55F1"/>
    <w:rsid w:val="006E5699"/>
    <w:rsid w:val="006E59C5"/>
    <w:rsid w:val="006E5BA0"/>
    <w:rsid w:val="006E5BF7"/>
    <w:rsid w:val="006E5C20"/>
    <w:rsid w:val="006E5DA1"/>
    <w:rsid w:val="006E5DB8"/>
    <w:rsid w:val="006E609E"/>
    <w:rsid w:val="006E60C1"/>
    <w:rsid w:val="006E6531"/>
    <w:rsid w:val="006E6843"/>
    <w:rsid w:val="006E6BA2"/>
    <w:rsid w:val="006E6CD8"/>
    <w:rsid w:val="006E6D48"/>
    <w:rsid w:val="006E6EE1"/>
    <w:rsid w:val="006E70C1"/>
    <w:rsid w:val="006E746B"/>
    <w:rsid w:val="006E7628"/>
    <w:rsid w:val="006E7683"/>
    <w:rsid w:val="006E799B"/>
    <w:rsid w:val="006F0092"/>
    <w:rsid w:val="006F0849"/>
    <w:rsid w:val="006F09B2"/>
    <w:rsid w:val="006F09F7"/>
    <w:rsid w:val="006F0A64"/>
    <w:rsid w:val="006F0BC0"/>
    <w:rsid w:val="006F0DC4"/>
    <w:rsid w:val="006F1741"/>
    <w:rsid w:val="006F1916"/>
    <w:rsid w:val="006F1D7C"/>
    <w:rsid w:val="006F1D85"/>
    <w:rsid w:val="006F2032"/>
    <w:rsid w:val="006F2363"/>
    <w:rsid w:val="006F26DE"/>
    <w:rsid w:val="006F2897"/>
    <w:rsid w:val="006F29E1"/>
    <w:rsid w:val="006F2A2B"/>
    <w:rsid w:val="006F2A8A"/>
    <w:rsid w:val="006F2E8D"/>
    <w:rsid w:val="006F2F90"/>
    <w:rsid w:val="006F315C"/>
    <w:rsid w:val="006F3171"/>
    <w:rsid w:val="006F31A2"/>
    <w:rsid w:val="006F350F"/>
    <w:rsid w:val="006F398C"/>
    <w:rsid w:val="006F3A9A"/>
    <w:rsid w:val="006F3E1E"/>
    <w:rsid w:val="006F3E6D"/>
    <w:rsid w:val="006F3EEF"/>
    <w:rsid w:val="006F41D0"/>
    <w:rsid w:val="006F4218"/>
    <w:rsid w:val="006F42CB"/>
    <w:rsid w:val="006F44E0"/>
    <w:rsid w:val="006F4555"/>
    <w:rsid w:val="006F470F"/>
    <w:rsid w:val="006F4AFB"/>
    <w:rsid w:val="006F4C33"/>
    <w:rsid w:val="006F4F71"/>
    <w:rsid w:val="006F51C2"/>
    <w:rsid w:val="006F52F4"/>
    <w:rsid w:val="006F5310"/>
    <w:rsid w:val="006F543F"/>
    <w:rsid w:val="006F582E"/>
    <w:rsid w:val="006F5963"/>
    <w:rsid w:val="006F5AD4"/>
    <w:rsid w:val="006F5BB8"/>
    <w:rsid w:val="006F5DC2"/>
    <w:rsid w:val="006F61BD"/>
    <w:rsid w:val="006F61CA"/>
    <w:rsid w:val="006F62B8"/>
    <w:rsid w:val="006F62EF"/>
    <w:rsid w:val="006F631C"/>
    <w:rsid w:val="006F6518"/>
    <w:rsid w:val="006F6C5B"/>
    <w:rsid w:val="006F6D8F"/>
    <w:rsid w:val="006F71ED"/>
    <w:rsid w:val="006F7201"/>
    <w:rsid w:val="006F7347"/>
    <w:rsid w:val="006F7692"/>
    <w:rsid w:val="006F77B2"/>
    <w:rsid w:val="006F781F"/>
    <w:rsid w:val="006F7BB3"/>
    <w:rsid w:val="006F7FA0"/>
    <w:rsid w:val="007001E3"/>
    <w:rsid w:val="007002B8"/>
    <w:rsid w:val="00700408"/>
    <w:rsid w:val="00700419"/>
    <w:rsid w:val="0070062E"/>
    <w:rsid w:val="00700ECD"/>
    <w:rsid w:val="00700FAD"/>
    <w:rsid w:val="007013A2"/>
    <w:rsid w:val="0070147F"/>
    <w:rsid w:val="0070164B"/>
    <w:rsid w:val="00701650"/>
    <w:rsid w:val="00701664"/>
    <w:rsid w:val="00701BD7"/>
    <w:rsid w:val="00701CA7"/>
    <w:rsid w:val="00701D1A"/>
    <w:rsid w:val="00701D41"/>
    <w:rsid w:val="00701D57"/>
    <w:rsid w:val="007020B2"/>
    <w:rsid w:val="00702423"/>
    <w:rsid w:val="0070255E"/>
    <w:rsid w:val="00702583"/>
    <w:rsid w:val="007025BD"/>
    <w:rsid w:val="0070264A"/>
    <w:rsid w:val="007026F3"/>
    <w:rsid w:val="00702C05"/>
    <w:rsid w:val="00702C7F"/>
    <w:rsid w:val="007033B3"/>
    <w:rsid w:val="007035A3"/>
    <w:rsid w:val="007037D7"/>
    <w:rsid w:val="007038C8"/>
    <w:rsid w:val="007039D2"/>
    <w:rsid w:val="00703BB9"/>
    <w:rsid w:val="00703BD3"/>
    <w:rsid w:val="00703C29"/>
    <w:rsid w:val="00703E85"/>
    <w:rsid w:val="00703F3F"/>
    <w:rsid w:val="00704187"/>
    <w:rsid w:val="00704199"/>
    <w:rsid w:val="007043D6"/>
    <w:rsid w:val="007045AC"/>
    <w:rsid w:val="007045AE"/>
    <w:rsid w:val="0070481A"/>
    <w:rsid w:val="00704855"/>
    <w:rsid w:val="0070490F"/>
    <w:rsid w:val="0070514A"/>
    <w:rsid w:val="00705156"/>
    <w:rsid w:val="007058AD"/>
    <w:rsid w:val="00705C53"/>
    <w:rsid w:val="00705CF4"/>
    <w:rsid w:val="00705F7C"/>
    <w:rsid w:val="00706786"/>
    <w:rsid w:val="00706C9E"/>
    <w:rsid w:val="00706DB6"/>
    <w:rsid w:val="00706FA0"/>
    <w:rsid w:val="00707060"/>
    <w:rsid w:val="0070716F"/>
    <w:rsid w:val="00707510"/>
    <w:rsid w:val="0070764A"/>
    <w:rsid w:val="0070766F"/>
    <w:rsid w:val="00707927"/>
    <w:rsid w:val="00707C03"/>
    <w:rsid w:val="00707C38"/>
    <w:rsid w:val="00707CAA"/>
    <w:rsid w:val="00707DA5"/>
    <w:rsid w:val="00707DD6"/>
    <w:rsid w:val="00707DEB"/>
    <w:rsid w:val="00707E3B"/>
    <w:rsid w:val="00707FE7"/>
    <w:rsid w:val="00710071"/>
    <w:rsid w:val="0071015A"/>
    <w:rsid w:val="007104EC"/>
    <w:rsid w:val="00710807"/>
    <w:rsid w:val="0071092B"/>
    <w:rsid w:val="00710B88"/>
    <w:rsid w:val="00710BC1"/>
    <w:rsid w:val="00710D39"/>
    <w:rsid w:val="00710F15"/>
    <w:rsid w:val="0071101E"/>
    <w:rsid w:val="00711430"/>
    <w:rsid w:val="0071145C"/>
    <w:rsid w:val="0071149F"/>
    <w:rsid w:val="007115AE"/>
    <w:rsid w:val="007116D1"/>
    <w:rsid w:val="007117F1"/>
    <w:rsid w:val="00711A0C"/>
    <w:rsid w:val="00711D61"/>
    <w:rsid w:val="00711F47"/>
    <w:rsid w:val="00712550"/>
    <w:rsid w:val="00712D2E"/>
    <w:rsid w:val="00712E3F"/>
    <w:rsid w:val="00712FF2"/>
    <w:rsid w:val="00713000"/>
    <w:rsid w:val="0071303A"/>
    <w:rsid w:val="0071313A"/>
    <w:rsid w:val="00713284"/>
    <w:rsid w:val="0071360B"/>
    <w:rsid w:val="00713649"/>
    <w:rsid w:val="00713782"/>
    <w:rsid w:val="00713880"/>
    <w:rsid w:val="00713A54"/>
    <w:rsid w:val="00714092"/>
    <w:rsid w:val="007140AC"/>
    <w:rsid w:val="007148C0"/>
    <w:rsid w:val="007148C8"/>
    <w:rsid w:val="00714A4E"/>
    <w:rsid w:val="00714C7A"/>
    <w:rsid w:val="00714D37"/>
    <w:rsid w:val="00714EC5"/>
    <w:rsid w:val="00715031"/>
    <w:rsid w:val="007150A7"/>
    <w:rsid w:val="007151E7"/>
    <w:rsid w:val="007152C9"/>
    <w:rsid w:val="007154FC"/>
    <w:rsid w:val="0071571E"/>
    <w:rsid w:val="007159BB"/>
    <w:rsid w:val="00715B39"/>
    <w:rsid w:val="00715CD9"/>
    <w:rsid w:val="007160D5"/>
    <w:rsid w:val="00716194"/>
    <w:rsid w:val="007161D0"/>
    <w:rsid w:val="00716440"/>
    <w:rsid w:val="0071650D"/>
    <w:rsid w:val="0071696A"/>
    <w:rsid w:val="00716D4A"/>
    <w:rsid w:val="0071705E"/>
    <w:rsid w:val="0071722A"/>
    <w:rsid w:val="007174EA"/>
    <w:rsid w:val="007176A8"/>
    <w:rsid w:val="007176C4"/>
    <w:rsid w:val="007178A7"/>
    <w:rsid w:val="007178E8"/>
    <w:rsid w:val="00717B31"/>
    <w:rsid w:val="00717BD4"/>
    <w:rsid w:val="00720234"/>
    <w:rsid w:val="007202B8"/>
    <w:rsid w:val="00720534"/>
    <w:rsid w:val="0072085A"/>
    <w:rsid w:val="007208FB"/>
    <w:rsid w:val="00720BEA"/>
    <w:rsid w:val="00720CC1"/>
    <w:rsid w:val="00720D59"/>
    <w:rsid w:val="0072117D"/>
    <w:rsid w:val="0072129A"/>
    <w:rsid w:val="00721956"/>
    <w:rsid w:val="00721CDB"/>
    <w:rsid w:val="0072269E"/>
    <w:rsid w:val="00722A90"/>
    <w:rsid w:val="00722BDE"/>
    <w:rsid w:val="00722C9B"/>
    <w:rsid w:val="00722ED8"/>
    <w:rsid w:val="00722FD6"/>
    <w:rsid w:val="00723326"/>
    <w:rsid w:val="00723B9A"/>
    <w:rsid w:val="00723BF3"/>
    <w:rsid w:val="00723C85"/>
    <w:rsid w:val="00723D33"/>
    <w:rsid w:val="00723E6E"/>
    <w:rsid w:val="00724485"/>
    <w:rsid w:val="0072459C"/>
    <w:rsid w:val="00724609"/>
    <w:rsid w:val="007246E0"/>
    <w:rsid w:val="00724AA2"/>
    <w:rsid w:val="0072520F"/>
    <w:rsid w:val="00725409"/>
    <w:rsid w:val="00725451"/>
    <w:rsid w:val="007256C3"/>
    <w:rsid w:val="00725934"/>
    <w:rsid w:val="00725998"/>
    <w:rsid w:val="00725A8F"/>
    <w:rsid w:val="00725B09"/>
    <w:rsid w:val="00725F47"/>
    <w:rsid w:val="00726360"/>
    <w:rsid w:val="00726570"/>
    <w:rsid w:val="007267B8"/>
    <w:rsid w:val="00726911"/>
    <w:rsid w:val="00726960"/>
    <w:rsid w:val="00726A3E"/>
    <w:rsid w:val="00727311"/>
    <w:rsid w:val="007278F7"/>
    <w:rsid w:val="007279F4"/>
    <w:rsid w:val="00727A12"/>
    <w:rsid w:val="00727AED"/>
    <w:rsid w:val="00727BD5"/>
    <w:rsid w:val="007302EC"/>
    <w:rsid w:val="0073047E"/>
    <w:rsid w:val="007305A7"/>
    <w:rsid w:val="007307A2"/>
    <w:rsid w:val="007309CE"/>
    <w:rsid w:val="00730D46"/>
    <w:rsid w:val="00730ECA"/>
    <w:rsid w:val="0073127E"/>
    <w:rsid w:val="00731533"/>
    <w:rsid w:val="00731620"/>
    <w:rsid w:val="00731CEE"/>
    <w:rsid w:val="00731D5C"/>
    <w:rsid w:val="00731D73"/>
    <w:rsid w:val="0073228C"/>
    <w:rsid w:val="00732479"/>
    <w:rsid w:val="0073248B"/>
    <w:rsid w:val="007324C2"/>
    <w:rsid w:val="007327F5"/>
    <w:rsid w:val="00732814"/>
    <w:rsid w:val="00732B17"/>
    <w:rsid w:val="00732C19"/>
    <w:rsid w:val="00732DC6"/>
    <w:rsid w:val="0073300B"/>
    <w:rsid w:val="007331A8"/>
    <w:rsid w:val="00733457"/>
    <w:rsid w:val="007336F6"/>
    <w:rsid w:val="00733708"/>
    <w:rsid w:val="007338C9"/>
    <w:rsid w:val="00733A19"/>
    <w:rsid w:val="00733B49"/>
    <w:rsid w:val="00733C5D"/>
    <w:rsid w:val="00733E1E"/>
    <w:rsid w:val="007345F7"/>
    <w:rsid w:val="0073460A"/>
    <w:rsid w:val="007348AF"/>
    <w:rsid w:val="007349E8"/>
    <w:rsid w:val="00734FC9"/>
    <w:rsid w:val="00734FF2"/>
    <w:rsid w:val="00735421"/>
    <w:rsid w:val="007354DD"/>
    <w:rsid w:val="00735570"/>
    <w:rsid w:val="007355F2"/>
    <w:rsid w:val="007356AC"/>
    <w:rsid w:val="007357EB"/>
    <w:rsid w:val="00735851"/>
    <w:rsid w:val="00735E3F"/>
    <w:rsid w:val="00735F0C"/>
    <w:rsid w:val="007362A6"/>
    <w:rsid w:val="007364B9"/>
    <w:rsid w:val="00736DB5"/>
    <w:rsid w:val="0073707C"/>
    <w:rsid w:val="00737199"/>
    <w:rsid w:val="00737340"/>
    <w:rsid w:val="00737939"/>
    <w:rsid w:val="00737AB3"/>
    <w:rsid w:val="00740052"/>
    <w:rsid w:val="00740101"/>
    <w:rsid w:val="00740198"/>
    <w:rsid w:val="00740451"/>
    <w:rsid w:val="00740524"/>
    <w:rsid w:val="0074082F"/>
    <w:rsid w:val="00740845"/>
    <w:rsid w:val="0074093C"/>
    <w:rsid w:val="00740942"/>
    <w:rsid w:val="00740C43"/>
    <w:rsid w:val="00740C8D"/>
    <w:rsid w:val="00740CBD"/>
    <w:rsid w:val="00740E55"/>
    <w:rsid w:val="00740EEA"/>
    <w:rsid w:val="0074105E"/>
    <w:rsid w:val="007414E2"/>
    <w:rsid w:val="007414EC"/>
    <w:rsid w:val="0074168B"/>
    <w:rsid w:val="007417C3"/>
    <w:rsid w:val="00741A9F"/>
    <w:rsid w:val="00741AB4"/>
    <w:rsid w:val="00741C24"/>
    <w:rsid w:val="00741F24"/>
    <w:rsid w:val="00742222"/>
    <w:rsid w:val="00742581"/>
    <w:rsid w:val="0074280D"/>
    <w:rsid w:val="00742BF8"/>
    <w:rsid w:val="00742EE8"/>
    <w:rsid w:val="00743030"/>
    <w:rsid w:val="00743AE5"/>
    <w:rsid w:val="00743D17"/>
    <w:rsid w:val="00743E1F"/>
    <w:rsid w:val="0074464B"/>
    <w:rsid w:val="00744BE7"/>
    <w:rsid w:val="007451AC"/>
    <w:rsid w:val="0074529B"/>
    <w:rsid w:val="007455EF"/>
    <w:rsid w:val="0074573E"/>
    <w:rsid w:val="00745886"/>
    <w:rsid w:val="00745B04"/>
    <w:rsid w:val="00745F06"/>
    <w:rsid w:val="00745F87"/>
    <w:rsid w:val="00745FC2"/>
    <w:rsid w:val="007467E2"/>
    <w:rsid w:val="0074713B"/>
    <w:rsid w:val="00747149"/>
    <w:rsid w:val="0074742D"/>
    <w:rsid w:val="00747496"/>
    <w:rsid w:val="007477C1"/>
    <w:rsid w:val="007479AE"/>
    <w:rsid w:val="007500C9"/>
    <w:rsid w:val="007500F6"/>
    <w:rsid w:val="0075055A"/>
    <w:rsid w:val="00750B6F"/>
    <w:rsid w:val="00750B89"/>
    <w:rsid w:val="00750DC3"/>
    <w:rsid w:val="00750E16"/>
    <w:rsid w:val="00750F5C"/>
    <w:rsid w:val="0075101D"/>
    <w:rsid w:val="00751354"/>
    <w:rsid w:val="007516AB"/>
    <w:rsid w:val="00751B81"/>
    <w:rsid w:val="00751CE4"/>
    <w:rsid w:val="007527C9"/>
    <w:rsid w:val="00752A10"/>
    <w:rsid w:val="00752BF6"/>
    <w:rsid w:val="00752FE4"/>
    <w:rsid w:val="00753400"/>
    <w:rsid w:val="0075352D"/>
    <w:rsid w:val="0075385C"/>
    <w:rsid w:val="00753997"/>
    <w:rsid w:val="0075453A"/>
    <w:rsid w:val="0075479E"/>
    <w:rsid w:val="0075489D"/>
    <w:rsid w:val="00754DDE"/>
    <w:rsid w:val="007550D8"/>
    <w:rsid w:val="00755480"/>
    <w:rsid w:val="007554E7"/>
    <w:rsid w:val="007555B6"/>
    <w:rsid w:val="007555C1"/>
    <w:rsid w:val="00755887"/>
    <w:rsid w:val="00755C11"/>
    <w:rsid w:val="00755D61"/>
    <w:rsid w:val="00755ECA"/>
    <w:rsid w:val="007562D4"/>
    <w:rsid w:val="007564AA"/>
    <w:rsid w:val="00756547"/>
    <w:rsid w:val="00756901"/>
    <w:rsid w:val="00756F51"/>
    <w:rsid w:val="00756FAB"/>
    <w:rsid w:val="00757076"/>
    <w:rsid w:val="00757097"/>
    <w:rsid w:val="0075745F"/>
    <w:rsid w:val="0075765E"/>
    <w:rsid w:val="007578CA"/>
    <w:rsid w:val="00757EE1"/>
    <w:rsid w:val="00757FB0"/>
    <w:rsid w:val="007602FC"/>
    <w:rsid w:val="007603EF"/>
    <w:rsid w:val="00760496"/>
    <w:rsid w:val="007606E6"/>
    <w:rsid w:val="00760C16"/>
    <w:rsid w:val="00760D44"/>
    <w:rsid w:val="00760E24"/>
    <w:rsid w:val="00760FD6"/>
    <w:rsid w:val="00761013"/>
    <w:rsid w:val="007610B3"/>
    <w:rsid w:val="0076166E"/>
    <w:rsid w:val="00761901"/>
    <w:rsid w:val="00761B40"/>
    <w:rsid w:val="00761C0D"/>
    <w:rsid w:val="00761E86"/>
    <w:rsid w:val="0076207A"/>
    <w:rsid w:val="007624FC"/>
    <w:rsid w:val="00762667"/>
    <w:rsid w:val="007626B9"/>
    <w:rsid w:val="007626BC"/>
    <w:rsid w:val="0076275B"/>
    <w:rsid w:val="007627BC"/>
    <w:rsid w:val="007628B0"/>
    <w:rsid w:val="00762AE9"/>
    <w:rsid w:val="0076306A"/>
    <w:rsid w:val="00763190"/>
    <w:rsid w:val="007633CA"/>
    <w:rsid w:val="007633D7"/>
    <w:rsid w:val="00763404"/>
    <w:rsid w:val="0076346C"/>
    <w:rsid w:val="00763729"/>
    <w:rsid w:val="00763837"/>
    <w:rsid w:val="007638F9"/>
    <w:rsid w:val="00763A53"/>
    <w:rsid w:val="00763AB7"/>
    <w:rsid w:val="00763D1A"/>
    <w:rsid w:val="00763FF1"/>
    <w:rsid w:val="00765472"/>
    <w:rsid w:val="00765567"/>
    <w:rsid w:val="00765588"/>
    <w:rsid w:val="007655D9"/>
    <w:rsid w:val="0076566D"/>
    <w:rsid w:val="007656EB"/>
    <w:rsid w:val="00765AE9"/>
    <w:rsid w:val="00765B71"/>
    <w:rsid w:val="007669D8"/>
    <w:rsid w:val="00766DFA"/>
    <w:rsid w:val="00766E94"/>
    <w:rsid w:val="00767131"/>
    <w:rsid w:val="00767158"/>
    <w:rsid w:val="0076723E"/>
    <w:rsid w:val="007672BF"/>
    <w:rsid w:val="007676AA"/>
    <w:rsid w:val="0076785E"/>
    <w:rsid w:val="007679B2"/>
    <w:rsid w:val="00767B9C"/>
    <w:rsid w:val="00767D10"/>
    <w:rsid w:val="00767FFD"/>
    <w:rsid w:val="0077016B"/>
    <w:rsid w:val="007707D6"/>
    <w:rsid w:val="00770CBB"/>
    <w:rsid w:val="00770D62"/>
    <w:rsid w:val="00770E1D"/>
    <w:rsid w:val="00770E9B"/>
    <w:rsid w:val="00771073"/>
    <w:rsid w:val="007710FD"/>
    <w:rsid w:val="00771313"/>
    <w:rsid w:val="0077139C"/>
    <w:rsid w:val="00771528"/>
    <w:rsid w:val="00771A28"/>
    <w:rsid w:val="00771A5A"/>
    <w:rsid w:val="00771B57"/>
    <w:rsid w:val="007720D9"/>
    <w:rsid w:val="007722B6"/>
    <w:rsid w:val="007722C1"/>
    <w:rsid w:val="007725E9"/>
    <w:rsid w:val="00772735"/>
    <w:rsid w:val="007736D7"/>
    <w:rsid w:val="00773A93"/>
    <w:rsid w:val="00773C89"/>
    <w:rsid w:val="00774500"/>
    <w:rsid w:val="00774584"/>
    <w:rsid w:val="007745EC"/>
    <w:rsid w:val="00774A86"/>
    <w:rsid w:val="00774EC1"/>
    <w:rsid w:val="00774EC5"/>
    <w:rsid w:val="00775142"/>
    <w:rsid w:val="00775260"/>
    <w:rsid w:val="00775364"/>
    <w:rsid w:val="007753D7"/>
    <w:rsid w:val="007753E4"/>
    <w:rsid w:val="0077582B"/>
    <w:rsid w:val="00775AEE"/>
    <w:rsid w:val="00775CFC"/>
    <w:rsid w:val="0077602F"/>
    <w:rsid w:val="00776136"/>
    <w:rsid w:val="00776602"/>
    <w:rsid w:val="00776799"/>
    <w:rsid w:val="007767FA"/>
    <w:rsid w:val="00776BBC"/>
    <w:rsid w:val="00776C69"/>
    <w:rsid w:val="00776E95"/>
    <w:rsid w:val="00777246"/>
    <w:rsid w:val="007772B1"/>
    <w:rsid w:val="007775C7"/>
    <w:rsid w:val="00777687"/>
    <w:rsid w:val="007776A4"/>
    <w:rsid w:val="007776F5"/>
    <w:rsid w:val="0077771E"/>
    <w:rsid w:val="00777805"/>
    <w:rsid w:val="007778D7"/>
    <w:rsid w:val="00777975"/>
    <w:rsid w:val="00777AB9"/>
    <w:rsid w:val="00777BF7"/>
    <w:rsid w:val="00777C20"/>
    <w:rsid w:val="0078039A"/>
    <w:rsid w:val="00781376"/>
    <w:rsid w:val="007813FD"/>
    <w:rsid w:val="00781585"/>
    <w:rsid w:val="007816B4"/>
    <w:rsid w:val="0078177E"/>
    <w:rsid w:val="00781A35"/>
    <w:rsid w:val="00781ABA"/>
    <w:rsid w:val="00781C7A"/>
    <w:rsid w:val="00782844"/>
    <w:rsid w:val="0078288F"/>
    <w:rsid w:val="00782C1C"/>
    <w:rsid w:val="00782C55"/>
    <w:rsid w:val="00782CD4"/>
    <w:rsid w:val="00783028"/>
    <w:rsid w:val="0078329D"/>
    <w:rsid w:val="00783590"/>
    <w:rsid w:val="0078386F"/>
    <w:rsid w:val="00783FA8"/>
    <w:rsid w:val="00783FCD"/>
    <w:rsid w:val="007847E6"/>
    <w:rsid w:val="00784864"/>
    <w:rsid w:val="0078491B"/>
    <w:rsid w:val="00784DE2"/>
    <w:rsid w:val="00784EDE"/>
    <w:rsid w:val="00784EFA"/>
    <w:rsid w:val="00785483"/>
    <w:rsid w:val="0078577D"/>
    <w:rsid w:val="00785C90"/>
    <w:rsid w:val="00786019"/>
    <w:rsid w:val="0078629C"/>
    <w:rsid w:val="00786538"/>
    <w:rsid w:val="00786616"/>
    <w:rsid w:val="0078666F"/>
    <w:rsid w:val="007866DC"/>
    <w:rsid w:val="0078673D"/>
    <w:rsid w:val="0078680B"/>
    <w:rsid w:val="0078688F"/>
    <w:rsid w:val="007868BE"/>
    <w:rsid w:val="00786B8C"/>
    <w:rsid w:val="00786BE0"/>
    <w:rsid w:val="00786BF4"/>
    <w:rsid w:val="00786C07"/>
    <w:rsid w:val="00786CDD"/>
    <w:rsid w:val="00786DFD"/>
    <w:rsid w:val="00786EEC"/>
    <w:rsid w:val="0078701E"/>
    <w:rsid w:val="007871A3"/>
    <w:rsid w:val="007872DC"/>
    <w:rsid w:val="007872E3"/>
    <w:rsid w:val="007875B9"/>
    <w:rsid w:val="00787811"/>
    <w:rsid w:val="00787C1F"/>
    <w:rsid w:val="00787DBF"/>
    <w:rsid w:val="00787F6E"/>
    <w:rsid w:val="0079074F"/>
    <w:rsid w:val="00790CC4"/>
    <w:rsid w:val="00790E1B"/>
    <w:rsid w:val="00790E6A"/>
    <w:rsid w:val="00791462"/>
    <w:rsid w:val="00791C6A"/>
    <w:rsid w:val="00791E18"/>
    <w:rsid w:val="00791E5D"/>
    <w:rsid w:val="0079294E"/>
    <w:rsid w:val="00792A2F"/>
    <w:rsid w:val="00792DA1"/>
    <w:rsid w:val="007931DF"/>
    <w:rsid w:val="00793345"/>
    <w:rsid w:val="00793609"/>
    <w:rsid w:val="00793939"/>
    <w:rsid w:val="0079399C"/>
    <w:rsid w:val="007939C0"/>
    <w:rsid w:val="0079478F"/>
    <w:rsid w:val="00794A05"/>
    <w:rsid w:val="00794A82"/>
    <w:rsid w:val="00794F7A"/>
    <w:rsid w:val="00794F7E"/>
    <w:rsid w:val="0079505A"/>
    <w:rsid w:val="007953B5"/>
    <w:rsid w:val="007954DA"/>
    <w:rsid w:val="00795578"/>
    <w:rsid w:val="00795672"/>
    <w:rsid w:val="00795734"/>
    <w:rsid w:val="00795A14"/>
    <w:rsid w:val="00795A95"/>
    <w:rsid w:val="00795B42"/>
    <w:rsid w:val="00795E17"/>
    <w:rsid w:val="00795F97"/>
    <w:rsid w:val="00796319"/>
    <w:rsid w:val="0079639F"/>
    <w:rsid w:val="007964B7"/>
    <w:rsid w:val="0079674C"/>
    <w:rsid w:val="0079694B"/>
    <w:rsid w:val="00796D67"/>
    <w:rsid w:val="00797599"/>
    <w:rsid w:val="00797916"/>
    <w:rsid w:val="00797930"/>
    <w:rsid w:val="00797B4E"/>
    <w:rsid w:val="007A00B1"/>
    <w:rsid w:val="007A0118"/>
    <w:rsid w:val="007A01D6"/>
    <w:rsid w:val="007A03BF"/>
    <w:rsid w:val="007A03DE"/>
    <w:rsid w:val="007A0542"/>
    <w:rsid w:val="007A0699"/>
    <w:rsid w:val="007A0B08"/>
    <w:rsid w:val="007A0CA0"/>
    <w:rsid w:val="007A0D14"/>
    <w:rsid w:val="007A0D28"/>
    <w:rsid w:val="007A1151"/>
    <w:rsid w:val="007A13D7"/>
    <w:rsid w:val="007A1430"/>
    <w:rsid w:val="007A199D"/>
    <w:rsid w:val="007A1A20"/>
    <w:rsid w:val="007A1DAF"/>
    <w:rsid w:val="007A2473"/>
    <w:rsid w:val="007A2515"/>
    <w:rsid w:val="007A2531"/>
    <w:rsid w:val="007A25C1"/>
    <w:rsid w:val="007A2645"/>
    <w:rsid w:val="007A26AD"/>
    <w:rsid w:val="007A297F"/>
    <w:rsid w:val="007A2B79"/>
    <w:rsid w:val="007A3463"/>
    <w:rsid w:val="007A37B3"/>
    <w:rsid w:val="007A3B17"/>
    <w:rsid w:val="007A3B3E"/>
    <w:rsid w:val="007A3C31"/>
    <w:rsid w:val="007A3CDE"/>
    <w:rsid w:val="007A3D2D"/>
    <w:rsid w:val="007A3F52"/>
    <w:rsid w:val="007A40BC"/>
    <w:rsid w:val="007A41A0"/>
    <w:rsid w:val="007A45D8"/>
    <w:rsid w:val="007A468A"/>
    <w:rsid w:val="007A46D9"/>
    <w:rsid w:val="007A4DDB"/>
    <w:rsid w:val="007A4F5E"/>
    <w:rsid w:val="007A50E5"/>
    <w:rsid w:val="007A5227"/>
    <w:rsid w:val="007A522C"/>
    <w:rsid w:val="007A52F8"/>
    <w:rsid w:val="007A5741"/>
    <w:rsid w:val="007A5746"/>
    <w:rsid w:val="007A5ADD"/>
    <w:rsid w:val="007A5BFE"/>
    <w:rsid w:val="007A5DBB"/>
    <w:rsid w:val="007A5EAE"/>
    <w:rsid w:val="007A62AD"/>
    <w:rsid w:val="007A6368"/>
    <w:rsid w:val="007A63E8"/>
    <w:rsid w:val="007A6927"/>
    <w:rsid w:val="007A697A"/>
    <w:rsid w:val="007A6CE5"/>
    <w:rsid w:val="007A6D97"/>
    <w:rsid w:val="007A6DC2"/>
    <w:rsid w:val="007A6F1E"/>
    <w:rsid w:val="007A72A3"/>
    <w:rsid w:val="007A72C5"/>
    <w:rsid w:val="007A73F6"/>
    <w:rsid w:val="007A7C25"/>
    <w:rsid w:val="007A7EDA"/>
    <w:rsid w:val="007B009B"/>
    <w:rsid w:val="007B0267"/>
    <w:rsid w:val="007B0269"/>
    <w:rsid w:val="007B03B1"/>
    <w:rsid w:val="007B04C7"/>
    <w:rsid w:val="007B06C8"/>
    <w:rsid w:val="007B06CA"/>
    <w:rsid w:val="007B07E8"/>
    <w:rsid w:val="007B0A74"/>
    <w:rsid w:val="007B0AC9"/>
    <w:rsid w:val="007B0C6D"/>
    <w:rsid w:val="007B1458"/>
    <w:rsid w:val="007B16CF"/>
    <w:rsid w:val="007B17FE"/>
    <w:rsid w:val="007B199D"/>
    <w:rsid w:val="007B1ACC"/>
    <w:rsid w:val="007B1D5E"/>
    <w:rsid w:val="007B1E09"/>
    <w:rsid w:val="007B1EF1"/>
    <w:rsid w:val="007B209E"/>
    <w:rsid w:val="007B21F4"/>
    <w:rsid w:val="007B23DE"/>
    <w:rsid w:val="007B245A"/>
    <w:rsid w:val="007B28B2"/>
    <w:rsid w:val="007B28EE"/>
    <w:rsid w:val="007B297A"/>
    <w:rsid w:val="007B2F83"/>
    <w:rsid w:val="007B3323"/>
    <w:rsid w:val="007B3B35"/>
    <w:rsid w:val="007B3CD8"/>
    <w:rsid w:val="007B4009"/>
    <w:rsid w:val="007B4023"/>
    <w:rsid w:val="007B40F2"/>
    <w:rsid w:val="007B4543"/>
    <w:rsid w:val="007B4599"/>
    <w:rsid w:val="007B4BBA"/>
    <w:rsid w:val="007B4DB6"/>
    <w:rsid w:val="007B50BD"/>
    <w:rsid w:val="007B51C2"/>
    <w:rsid w:val="007B53ED"/>
    <w:rsid w:val="007B54DB"/>
    <w:rsid w:val="007B5772"/>
    <w:rsid w:val="007B57FC"/>
    <w:rsid w:val="007B58D8"/>
    <w:rsid w:val="007B5995"/>
    <w:rsid w:val="007B5F5B"/>
    <w:rsid w:val="007B6267"/>
    <w:rsid w:val="007B6687"/>
    <w:rsid w:val="007B67C0"/>
    <w:rsid w:val="007B6A31"/>
    <w:rsid w:val="007B6C10"/>
    <w:rsid w:val="007B7120"/>
    <w:rsid w:val="007B7384"/>
    <w:rsid w:val="007B7B12"/>
    <w:rsid w:val="007B7DB1"/>
    <w:rsid w:val="007C000A"/>
    <w:rsid w:val="007C003F"/>
    <w:rsid w:val="007C056D"/>
    <w:rsid w:val="007C0FDC"/>
    <w:rsid w:val="007C1220"/>
    <w:rsid w:val="007C1577"/>
    <w:rsid w:val="007C1782"/>
    <w:rsid w:val="007C198B"/>
    <w:rsid w:val="007C199A"/>
    <w:rsid w:val="007C1BF5"/>
    <w:rsid w:val="007C1D2A"/>
    <w:rsid w:val="007C21B9"/>
    <w:rsid w:val="007C2A1B"/>
    <w:rsid w:val="007C2D63"/>
    <w:rsid w:val="007C2D64"/>
    <w:rsid w:val="007C2DDA"/>
    <w:rsid w:val="007C2ED5"/>
    <w:rsid w:val="007C2F85"/>
    <w:rsid w:val="007C303D"/>
    <w:rsid w:val="007C3115"/>
    <w:rsid w:val="007C3316"/>
    <w:rsid w:val="007C3612"/>
    <w:rsid w:val="007C36DB"/>
    <w:rsid w:val="007C3A3A"/>
    <w:rsid w:val="007C3C0E"/>
    <w:rsid w:val="007C3DC1"/>
    <w:rsid w:val="007C4532"/>
    <w:rsid w:val="007C4F79"/>
    <w:rsid w:val="007C514C"/>
    <w:rsid w:val="007C52CC"/>
    <w:rsid w:val="007C53B9"/>
    <w:rsid w:val="007C53FF"/>
    <w:rsid w:val="007C549F"/>
    <w:rsid w:val="007C550F"/>
    <w:rsid w:val="007C58E3"/>
    <w:rsid w:val="007C5CEC"/>
    <w:rsid w:val="007C5F04"/>
    <w:rsid w:val="007C60BE"/>
    <w:rsid w:val="007C61A1"/>
    <w:rsid w:val="007C63FF"/>
    <w:rsid w:val="007C64D2"/>
    <w:rsid w:val="007C690C"/>
    <w:rsid w:val="007C6AFF"/>
    <w:rsid w:val="007C6C6A"/>
    <w:rsid w:val="007C6DAC"/>
    <w:rsid w:val="007C6F7C"/>
    <w:rsid w:val="007C71B4"/>
    <w:rsid w:val="007C721F"/>
    <w:rsid w:val="007C7433"/>
    <w:rsid w:val="007C75D7"/>
    <w:rsid w:val="007C7B2C"/>
    <w:rsid w:val="007C7BCF"/>
    <w:rsid w:val="007C7D17"/>
    <w:rsid w:val="007D02BD"/>
    <w:rsid w:val="007D0B8A"/>
    <w:rsid w:val="007D0BF1"/>
    <w:rsid w:val="007D0C2E"/>
    <w:rsid w:val="007D0F24"/>
    <w:rsid w:val="007D1628"/>
    <w:rsid w:val="007D180A"/>
    <w:rsid w:val="007D19BE"/>
    <w:rsid w:val="007D1F9C"/>
    <w:rsid w:val="007D2261"/>
    <w:rsid w:val="007D24B2"/>
    <w:rsid w:val="007D25D6"/>
    <w:rsid w:val="007D2E63"/>
    <w:rsid w:val="007D2EFB"/>
    <w:rsid w:val="007D35AA"/>
    <w:rsid w:val="007D3CCD"/>
    <w:rsid w:val="007D3E3A"/>
    <w:rsid w:val="007D41C5"/>
    <w:rsid w:val="007D4233"/>
    <w:rsid w:val="007D45C7"/>
    <w:rsid w:val="007D47EA"/>
    <w:rsid w:val="007D492F"/>
    <w:rsid w:val="007D4A6B"/>
    <w:rsid w:val="007D4C05"/>
    <w:rsid w:val="007D4C94"/>
    <w:rsid w:val="007D4CCD"/>
    <w:rsid w:val="007D521A"/>
    <w:rsid w:val="007D53EF"/>
    <w:rsid w:val="007D5610"/>
    <w:rsid w:val="007D5673"/>
    <w:rsid w:val="007D573E"/>
    <w:rsid w:val="007D5831"/>
    <w:rsid w:val="007D58CC"/>
    <w:rsid w:val="007D5CD8"/>
    <w:rsid w:val="007D6047"/>
    <w:rsid w:val="007D62E7"/>
    <w:rsid w:val="007D65E2"/>
    <w:rsid w:val="007D687E"/>
    <w:rsid w:val="007D688C"/>
    <w:rsid w:val="007D6AB3"/>
    <w:rsid w:val="007D6B05"/>
    <w:rsid w:val="007D6B38"/>
    <w:rsid w:val="007D6D92"/>
    <w:rsid w:val="007D6E07"/>
    <w:rsid w:val="007D6EB6"/>
    <w:rsid w:val="007D6F88"/>
    <w:rsid w:val="007D7075"/>
    <w:rsid w:val="007D7162"/>
    <w:rsid w:val="007D7174"/>
    <w:rsid w:val="007D71A2"/>
    <w:rsid w:val="007E00CA"/>
    <w:rsid w:val="007E0819"/>
    <w:rsid w:val="007E08C2"/>
    <w:rsid w:val="007E094A"/>
    <w:rsid w:val="007E0C0A"/>
    <w:rsid w:val="007E1182"/>
    <w:rsid w:val="007E11B1"/>
    <w:rsid w:val="007E12C7"/>
    <w:rsid w:val="007E149C"/>
    <w:rsid w:val="007E161E"/>
    <w:rsid w:val="007E178D"/>
    <w:rsid w:val="007E1E51"/>
    <w:rsid w:val="007E2138"/>
    <w:rsid w:val="007E2242"/>
    <w:rsid w:val="007E22CA"/>
    <w:rsid w:val="007E2714"/>
    <w:rsid w:val="007E27B7"/>
    <w:rsid w:val="007E2B3C"/>
    <w:rsid w:val="007E2BAD"/>
    <w:rsid w:val="007E2CC2"/>
    <w:rsid w:val="007E2E10"/>
    <w:rsid w:val="007E2F05"/>
    <w:rsid w:val="007E31B1"/>
    <w:rsid w:val="007E3256"/>
    <w:rsid w:val="007E358F"/>
    <w:rsid w:val="007E3675"/>
    <w:rsid w:val="007E3720"/>
    <w:rsid w:val="007E37F9"/>
    <w:rsid w:val="007E381B"/>
    <w:rsid w:val="007E4723"/>
    <w:rsid w:val="007E4E92"/>
    <w:rsid w:val="007E4F3C"/>
    <w:rsid w:val="007E50E0"/>
    <w:rsid w:val="007E5797"/>
    <w:rsid w:val="007E5869"/>
    <w:rsid w:val="007E5AA5"/>
    <w:rsid w:val="007E5AE0"/>
    <w:rsid w:val="007E5C34"/>
    <w:rsid w:val="007E5D59"/>
    <w:rsid w:val="007E5FDC"/>
    <w:rsid w:val="007E6504"/>
    <w:rsid w:val="007E6AC9"/>
    <w:rsid w:val="007E6BFF"/>
    <w:rsid w:val="007E6C1A"/>
    <w:rsid w:val="007E6E07"/>
    <w:rsid w:val="007E70A3"/>
    <w:rsid w:val="007E728E"/>
    <w:rsid w:val="007E7724"/>
    <w:rsid w:val="007E7882"/>
    <w:rsid w:val="007E7EF1"/>
    <w:rsid w:val="007F0044"/>
    <w:rsid w:val="007F0254"/>
    <w:rsid w:val="007F0751"/>
    <w:rsid w:val="007F0AEB"/>
    <w:rsid w:val="007F0D6D"/>
    <w:rsid w:val="007F0FEF"/>
    <w:rsid w:val="007F12D5"/>
    <w:rsid w:val="007F14D7"/>
    <w:rsid w:val="007F1532"/>
    <w:rsid w:val="007F19D3"/>
    <w:rsid w:val="007F1A4D"/>
    <w:rsid w:val="007F23A3"/>
    <w:rsid w:val="007F24BB"/>
    <w:rsid w:val="007F275E"/>
    <w:rsid w:val="007F2890"/>
    <w:rsid w:val="007F2B73"/>
    <w:rsid w:val="007F2C11"/>
    <w:rsid w:val="007F2D4C"/>
    <w:rsid w:val="007F2DB8"/>
    <w:rsid w:val="007F2FA3"/>
    <w:rsid w:val="007F2FCF"/>
    <w:rsid w:val="007F3546"/>
    <w:rsid w:val="007F36CB"/>
    <w:rsid w:val="007F3905"/>
    <w:rsid w:val="007F3EA5"/>
    <w:rsid w:val="007F4190"/>
    <w:rsid w:val="007F4F84"/>
    <w:rsid w:val="007F5062"/>
    <w:rsid w:val="007F5244"/>
    <w:rsid w:val="007F5365"/>
    <w:rsid w:val="007F5703"/>
    <w:rsid w:val="007F5794"/>
    <w:rsid w:val="007F5AC6"/>
    <w:rsid w:val="007F5E51"/>
    <w:rsid w:val="007F62E6"/>
    <w:rsid w:val="007F62F3"/>
    <w:rsid w:val="007F642D"/>
    <w:rsid w:val="007F65C8"/>
    <w:rsid w:val="007F69F6"/>
    <w:rsid w:val="007F6B49"/>
    <w:rsid w:val="007F6BEB"/>
    <w:rsid w:val="007F6DCF"/>
    <w:rsid w:val="007F6E11"/>
    <w:rsid w:val="007F6FE3"/>
    <w:rsid w:val="007F7749"/>
    <w:rsid w:val="007F78EA"/>
    <w:rsid w:val="007F7A05"/>
    <w:rsid w:val="007F7AC1"/>
    <w:rsid w:val="007F7E39"/>
    <w:rsid w:val="007F7FD0"/>
    <w:rsid w:val="008001C1"/>
    <w:rsid w:val="008004F9"/>
    <w:rsid w:val="0080102B"/>
    <w:rsid w:val="008015B0"/>
    <w:rsid w:val="00801938"/>
    <w:rsid w:val="0080198B"/>
    <w:rsid w:val="00801CA9"/>
    <w:rsid w:val="00802386"/>
    <w:rsid w:val="00802542"/>
    <w:rsid w:val="008025BE"/>
    <w:rsid w:val="00802643"/>
    <w:rsid w:val="0080269E"/>
    <w:rsid w:val="0080270B"/>
    <w:rsid w:val="008028F6"/>
    <w:rsid w:val="00802B17"/>
    <w:rsid w:val="00802BF7"/>
    <w:rsid w:val="00802D61"/>
    <w:rsid w:val="00802ED5"/>
    <w:rsid w:val="00803499"/>
    <w:rsid w:val="00803954"/>
    <w:rsid w:val="008039DA"/>
    <w:rsid w:val="00803BF6"/>
    <w:rsid w:val="00803CF0"/>
    <w:rsid w:val="00803DA6"/>
    <w:rsid w:val="00803E8A"/>
    <w:rsid w:val="008042F3"/>
    <w:rsid w:val="008048FF"/>
    <w:rsid w:val="00804C6D"/>
    <w:rsid w:val="00805092"/>
    <w:rsid w:val="008052F7"/>
    <w:rsid w:val="0080535D"/>
    <w:rsid w:val="008057F6"/>
    <w:rsid w:val="00805832"/>
    <w:rsid w:val="00805909"/>
    <w:rsid w:val="00806028"/>
    <w:rsid w:val="0080622D"/>
    <w:rsid w:val="00806620"/>
    <w:rsid w:val="008067B1"/>
    <w:rsid w:val="00806A65"/>
    <w:rsid w:val="00806EAD"/>
    <w:rsid w:val="00807105"/>
    <w:rsid w:val="008071DD"/>
    <w:rsid w:val="008073A1"/>
    <w:rsid w:val="00807481"/>
    <w:rsid w:val="00807CA8"/>
    <w:rsid w:val="008102E4"/>
    <w:rsid w:val="008104EC"/>
    <w:rsid w:val="008105FF"/>
    <w:rsid w:val="00810BEE"/>
    <w:rsid w:val="00810DB7"/>
    <w:rsid w:val="00810DEF"/>
    <w:rsid w:val="00810F36"/>
    <w:rsid w:val="008111FC"/>
    <w:rsid w:val="00811273"/>
    <w:rsid w:val="00811406"/>
    <w:rsid w:val="0081152F"/>
    <w:rsid w:val="00811705"/>
    <w:rsid w:val="008117F3"/>
    <w:rsid w:val="00811803"/>
    <w:rsid w:val="00811D6B"/>
    <w:rsid w:val="00811F0B"/>
    <w:rsid w:val="00811FDB"/>
    <w:rsid w:val="00812184"/>
    <w:rsid w:val="00812618"/>
    <w:rsid w:val="008126D9"/>
    <w:rsid w:val="0081275A"/>
    <w:rsid w:val="008128BA"/>
    <w:rsid w:val="0081293A"/>
    <w:rsid w:val="008129CA"/>
    <w:rsid w:val="00812EA8"/>
    <w:rsid w:val="00812F7B"/>
    <w:rsid w:val="0081320D"/>
    <w:rsid w:val="008133A8"/>
    <w:rsid w:val="008133C3"/>
    <w:rsid w:val="008134B9"/>
    <w:rsid w:val="008135D8"/>
    <w:rsid w:val="008138E1"/>
    <w:rsid w:val="00813A76"/>
    <w:rsid w:val="00813D42"/>
    <w:rsid w:val="008142E9"/>
    <w:rsid w:val="00814934"/>
    <w:rsid w:val="00814A00"/>
    <w:rsid w:val="008150A8"/>
    <w:rsid w:val="00815536"/>
    <w:rsid w:val="0081559E"/>
    <w:rsid w:val="0081598E"/>
    <w:rsid w:val="00815B39"/>
    <w:rsid w:val="00815C9A"/>
    <w:rsid w:val="008163D7"/>
    <w:rsid w:val="008164D2"/>
    <w:rsid w:val="0081665C"/>
    <w:rsid w:val="008167DC"/>
    <w:rsid w:val="008168D2"/>
    <w:rsid w:val="00816C97"/>
    <w:rsid w:val="00816D48"/>
    <w:rsid w:val="00816E2B"/>
    <w:rsid w:val="00816F67"/>
    <w:rsid w:val="00816FF8"/>
    <w:rsid w:val="00817299"/>
    <w:rsid w:val="008172DD"/>
    <w:rsid w:val="008173C4"/>
    <w:rsid w:val="0081743D"/>
    <w:rsid w:val="008175EA"/>
    <w:rsid w:val="00817754"/>
    <w:rsid w:val="00817AA6"/>
    <w:rsid w:val="00817E54"/>
    <w:rsid w:val="0082004F"/>
    <w:rsid w:val="008205E0"/>
    <w:rsid w:val="008205E5"/>
    <w:rsid w:val="0082098B"/>
    <w:rsid w:val="00820CDA"/>
    <w:rsid w:val="00821132"/>
    <w:rsid w:val="008211E9"/>
    <w:rsid w:val="0082122A"/>
    <w:rsid w:val="0082153A"/>
    <w:rsid w:val="008218E3"/>
    <w:rsid w:val="0082190B"/>
    <w:rsid w:val="00821A53"/>
    <w:rsid w:val="00821C37"/>
    <w:rsid w:val="00821DC9"/>
    <w:rsid w:val="00821EAE"/>
    <w:rsid w:val="008220F5"/>
    <w:rsid w:val="008222EC"/>
    <w:rsid w:val="0082242A"/>
    <w:rsid w:val="0082271F"/>
    <w:rsid w:val="0082353C"/>
    <w:rsid w:val="008237BB"/>
    <w:rsid w:val="00823CCC"/>
    <w:rsid w:val="00823DDF"/>
    <w:rsid w:val="0082400A"/>
    <w:rsid w:val="00824425"/>
    <w:rsid w:val="00824695"/>
    <w:rsid w:val="008247D4"/>
    <w:rsid w:val="00824908"/>
    <w:rsid w:val="00824A0E"/>
    <w:rsid w:val="00824A4D"/>
    <w:rsid w:val="00824C7F"/>
    <w:rsid w:val="00824FAE"/>
    <w:rsid w:val="00825176"/>
    <w:rsid w:val="0082518E"/>
    <w:rsid w:val="00825239"/>
    <w:rsid w:val="008252F0"/>
    <w:rsid w:val="008259CB"/>
    <w:rsid w:val="00825ADD"/>
    <w:rsid w:val="00825CFD"/>
    <w:rsid w:val="00825E30"/>
    <w:rsid w:val="00826066"/>
    <w:rsid w:val="008261E8"/>
    <w:rsid w:val="00826386"/>
    <w:rsid w:val="00826448"/>
    <w:rsid w:val="008266C3"/>
    <w:rsid w:val="00826765"/>
    <w:rsid w:val="008269AA"/>
    <w:rsid w:val="00826A1D"/>
    <w:rsid w:val="00826B74"/>
    <w:rsid w:val="00826D88"/>
    <w:rsid w:val="00826E3C"/>
    <w:rsid w:val="00826F01"/>
    <w:rsid w:val="00826FFD"/>
    <w:rsid w:val="008271FC"/>
    <w:rsid w:val="008274FA"/>
    <w:rsid w:val="00827597"/>
    <w:rsid w:val="00827B74"/>
    <w:rsid w:val="00827E45"/>
    <w:rsid w:val="00827FE9"/>
    <w:rsid w:val="00830206"/>
    <w:rsid w:val="00830224"/>
    <w:rsid w:val="008303A3"/>
    <w:rsid w:val="008303C8"/>
    <w:rsid w:val="00830403"/>
    <w:rsid w:val="0083042F"/>
    <w:rsid w:val="00830666"/>
    <w:rsid w:val="00830668"/>
    <w:rsid w:val="0083096B"/>
    <w:rsid w:val="00830C26"/>
    <w:rsid w:val="00831395"/>
    <w:rsid w:val="008313F2"/>
    <w:rsid w:val="008316CE"/>
    <w:rsid w:val="00831FB2"/>
    <w:rsid w:val="00831FCA"/>
    <w:rsid w:val="008321DE"/>
    <w:rsid w:val="00832293"/>
    <w:rsid w:val="0083257D"/>
    <w:rsid w:val="00832937"/>
    <w:rsid w:val="00832B94"/>
    <w:rsid w:val="00832C90"/>
    <w:rsid w:val="008330B2"/>
    <w:rsid w:val="008332FE"/>
    <w:rsid w:val="00833333"/>
    <w:rsid w:val="008334DD"/>
    <w:rsid w:val="008335B4"/>
    <w:rsid w:val="00833624"/>
    <w:rsid w:val="008337D0"/>
    <w:rsid w:val="008338AB"/>
    <w:rsid w:val="00833984"/>
    <w:rsid w:val="00833B0B"/>
    <w:rsid w:val="00833B5A"/>
    <w:rsid w:val="00833E00"/>
    <w:rsid w:val="00833EDF"/>
    <w:rsid w:val="00834381"/>
    <w:rsid w:val="0083470D"/>
    <w:rsid w:val="00834D6C"/>
    <w:rsid w:val="00835003"/>
    <w:rsid w:val="008350EC"/>
    <w:rsid w:val="008351C3"/>
    <w:rsid w:val="00835906"/>
    <w:rsid w:val="008359F0"/>
    <w:rsid w:val="00835A71"/>
    <w:rsid w:val="00835B99"/>
    <w:rsid w:val="00835E48"/>
    <w:rsid w:val="00835EF7"/>
    <w:rsid w:val="00835F91"/>
    <w:rsid w:val="0083612C"/>
    <w:rsid w:val="00836245"/>
    <w:rsid w:val="00836605"/>
    <w:rsid w:val="00836D99"/>
    <w:rsid w:val="00836F67"/>
    <w:rsid w:val="0083702C"/>
    <w:rsid w:val="00837509"/>
    <w:rsid w:val="00837607"/>
    <w:rsid w:val="008377D6"/>
    <w:rsid w:val="00837855"/>
    <w:rsid w:val="0083796B"/>
    <w:rsid w:val="00840293"/>
    <w:rsid w:val="0084032D"/>
    <w:rsid w:val="0084044C"/>
    <w:rsid w:val="0084086C"/>
    <w:rsid w:val="00840962"/>
    <w:rsid w:val="00840F0A"/>
    <w:rsid w:val="0084154E"/>
    <w:rsid w:val="008417F9"/>
    <w:rsid w:val="00841843"/>
    <w:rsid w:val="00841DCC"/>
    <w:rsid w:val="00841DE6"/>
    <w:rsid w:val="00841E6C"/>
    <w:rsid w:val="0084204D"/>
    <w:rsid w:val="00842A18"/>
    <w:rsid w:val="00842A43"/>
    <w:rsid w:val="00842B04"/>
    <w:rsid w:val="00842C7E"/>
    <w:rsid w:val="00842C8D"/>
    <w:rsid w:val="008431F8"/>
    <w:rsid w:val="0084354D"/>
    <w:rsid w:val="00843669"/>
    <w:rsid w:val="00843AE1"/>
    <w:rsid w:val="00843D16"/>
    <w:rsid w:val="00843D3E"/>
    <w:rsid w:val="00843E64"/>
    <w:rsid w:val="00843E98"/>
    <w:rsid w:val="008442E2"/>
    <w:rsid w:val="00844783"/>
    <w:rsid w:val="00844826"/>
    <w:rsid w:val="00844960"/>
    <w:rsid w:val="00844B1C"/>
    <w:rsid w:val="00844DAF"/>
    <w:rsid w:val="00844DBD"/>
    <w:rsid w:val="00844E70"/>
    <w:rsid w:val="00845358"/>
    <w:rsid w:val="008456A7"/>
    <w:rsid w:val="008456C0"/>
    <w:rsid w:val="008458A9"/>
    <w:rsid w:val="00845A8C"/>
    <w:rsid w:val="00845BD2"/>
    <w:rsid w:val="00845C04"/>
    <w:rsid w:val="00845ECC"/>
    <w:rsid w:val="008460D4"/>
    <w:rsid w:val="00846190"/>
    <w:rsid w:val="00846BC5"/>
    <w:rsid w:val="00846BF2"/>
    <w:rsid w:val="00846CC0"/>
    <w:rsid w:val="00846F41"/>
    <w:rsid w:val="00847096"/>
    <w:rsid w:val="00847654"/>
    <w:rsid w:val="00847772"/>
    <w:rsid w:val="00847A25"/>
    <w:rsid w:val="00847C7B"/>
    <w:rsid w:val="00847F6A"/>
    <w:rsid w:val="00850087"/>
    <w:rsid w:val="0085030C"/>
    <w:rsid w:val="008503E8"/>
    <w:rsid w:val="00850A9E"/>
    <w:rsid w:val="00850C7A"/>
    <w:rsid w:val="008519E8"/>
    <w:rsid w:val="00851B9E"/>
    <w:rsid w:val="00851D71"/>
    <w:rsid w:val="00851FE3"/>
    <w:rsid w:val="0085215A"/>
    <w:rsid w:val="008523FC"/>
    <w:rsid w:val="008524E1"/>
    <w:rsid w:val="0085251D"/>
    <w:rsid w:val="00852843"/>
    <w:rsid w:val="00852F38"/>
    <w:rsid w:val="00852FB4"/>
    <w:rsid w:val="008530ED"/>
    <w:rsid w:val="00853231"/>
    <w:rsid w:val="008534B0"/>
    <w:rsid w:val="00853546"/>
    <w:rsid w:val="008535D5"/>
    <w:rsid w:val="008535E5"/>
    <w:rsid w:val="00853826"/>
    <w:rsid w:val="008538F4"/>
    <w:rsid w:val="008538F5"/>
    <w:rsid w:val="00854241"/>
    <w:rsid w:val="00854562"/>
    <w:rsid w:val="00854CFE"/>
    <w:rsid w:val="00854DEE"/>
    <w:rsid w:val="00854EC2"/>
    <w:rsid w:val="00855011"/>
    <w:rsid w:val="00855645"/>
    <w:rsid w:val="00855692"/>
    <w:rsid w:val="00855C0B"/>
    <w:rsid w:val="00855C65"/>
    <w:rsid w:val="00855F77"/>
    <w:rsid w:val="00856206"/>
    <w:rsid w:val="008563FC"/>
    <w:rsid w:val="0085682B"/>
    <w:rsid w:val="008568C7"/>
    <w:rsid w:val="00856B45"/>
    <w:rsid w:val="00856D0B"/>
    <w:rsid w:val="00856F47"/>
    <w:rsid w:val="00856F7C"/>
    <w:rsid w:val="00857552"/>
    <w:rsid w:val="008576AC"/>
    <w:rsid w:val="00857914"/>
    <w:rsid w:val="00857994"/>
    <w:rsid w:val="00857D28"/>
    <w:rsid w:val="0086062C"/>
    <w:rsid w:val="0086068B"/>
    <w:rsid w:val="00860722"/>
    <w:rsid w:val="00860998"/>
    <w:rsid w:val="008613FA"/>
    <w:rsid w:val="00861460"/>
    <w:rsid w:val="008615EA"/>
    <w:rsid w:val="00861755"/>
    <w:rsid w:val="00861A94"/>
    <w:rsid w:val="00861DA5"/>
    <w:rsid w:val="00862037"/>
    <w:rsid w:val="00862156"/>
    <w:rsid w:val="00862B7F"/>
    <w:rsid w:val="00862F96"/>
    <w:rsid w:val="008631AE"/>
    <w:rsid w:val="008634F5"/>
    <w:rsid w:val="0086354B"/>
    <w:rsid w:val="00863A2B"/>
    <w:rsid w:val="00863AAA"/>
    <w:rsid w:val="00863B97"/>
    <w:rsid w:val="00863D54"/>
    <w:rsid w:val="00863EF0"/>
    <w:rsid w:val="00864084"/>
    <w:rsid w:val="00864118"/>
    <w:rsid w:val="00864289"/>
    <w:rsid w:val="00864526"/>
    <w:rsid w:val="00864629"/>
    <w:rsid w:val="0086479C"/>
    <w:rsid w:val="00864ACC"/>
    <w:rsid w:val="00864D6C"/>
    <w:rsid w:val="008656DE"/>
    <w:rsid w:val="00865BBE"/>
    <w:rsid w:val="00865E9A"/>
    <w:rsid w:val="00865FF4"/>
    <w:rsid w:val="00866020"/>
    <w:rsid w:val="008660AA"/>
    <w:rsid w:val="008660EA"/>
    <w:rsid w:val="00866107"/>
    <w:rsid w:val="0086613C"/>
    <w:rsid w:val="00866493"/>
    <w:rsid w:val="00866BDE"/>
    <w:rsid w:val="00866CC1"/>
    <w:rsid w:val="00866DCC"/>
    <w:rsid w:val="008672E3"/>
    <w:rsid w:val="00867500"/>
    <w:rsid w:val="0086753F"/>
    <w:rsid w:val="00867E1E"/>
    <w:rsid w:val="00870259"/>
    <w:rsid w:val="0087046C"/>
    <w:rsid w:val="00870498"/>
    <w:rsid w:val="00870AEC"/>
    <w:rsid w:val="00870AFA"/>
    <w:rsid w:val="00870B45"/>
    <w:rsid w:val="00870E40"/>
    <w:rsid w:val="00870FA5"/>
    <w:rsid w:val="00871202"/>
    <w:rsid w:val="008714C5"/>
    <w:rsid w:val="00871C92"/>
    <w:rsid w:val="00871D77"/>
    <w:rsid w:val="008724F8"/>
    <w:rsid w:val="0087262D"/>
    <w:rsid w:val="00872F03"/>
    <w:rsid w:val="008732ED"/>
    <w:rsid w:val="00873322"/>
    <w:rsid w:val="0087357A"/>
    <w:rsid w:val="00873706"/>
    <w:rsid w:val="0087376D"/>
    <w:rsid w:val="00873843"/>
    <w:rsid w:val="00873B1F"/>
    <w:rsid w:val="00873C55"/>
    <w:rsid w:val="00874433"/>
    <w:rsid w:val="0087481B"/>
    <w:rsid w:val="008748B5"/>
    <w:rsid w:val="008748D8"/>
    <w:rsid w:val="008748F9"/>
    <w:rsid w:val="00874947"/>
    <w:rsid w:val="00874DAF"/>
    <w:rsid w:val="0087552D"/>
    <w:rsid w:val="0087553D"/>
    <w:rsid w:val="00875570"/>
    <w:rsid w:val="008756FA"/>
    <w:rsid w:val="00875EE3"/>
    <w:rsid w:val="00876188"/>
    <w:rsid w:val="008761B0"/>
    <w:rsid w:val="0087624F"/>
    <w:rsid w:val="00876602"/>
    <w:rsid w:val="008768C7"/>
    <w:rsid w:val="00876BD7"/>
    <w:rsid w:val="00876D24"/>
    <w:rsid w:val="00876F54"/>
    <w:rsid w:val="00877040"/>
    <w:rsid w:val="008771D4"/>
    <w:rsid w:val="0087720E"/>
    <w:rsid w:val="008773E0"/>
    <w:rsid w:val="008776DF"/>
    <w:rsid w:val="008777B5"/>
    <w:rsid w:val="008778A0"/>
    <w:rsid w:val="00877AB0"/>
    <w:rsid w:val="008801AA"/>
    <w:rsid w:val="0088059F"/>
    <w:rsid w:val="008807BB"/>
    <w:rsid w:val="008807C1"/>
    <w:rsid w:val="0088085C"/>
    <w:rsid w:val="008809F1"/>
    <w:rsid w:val="0088107E"/>
    <w:rsid w:val="00881293"/>
    <w:rsid w:val="008813C1"/>
    <w:rsid w:val="008815B6"/>
    <w:rsid w:val="0088160D"/>
    <w:rsid w:val="008818B5"/>
    <w:rsid w:val="00881A88"/>
    <w:rsid w:val="00881C17"/>
    <w:rsid w:val="008823BD"/>
    <w:rsid w:val="00882A67"/>
    <w:rsid w:val="00882AD1"/>
    <w:rsid w:val="00882C73"/>
    <w:rsid w:val="008831CA"/>
    <w:rsid w:val="008832B9"/>
    <w:rsid w:val="008833EE"/>
    <w:rsid w:val="00883405"/>
    <w:rsid w:val="00883707"/>
    <w:rsid w:val="008837E0"/>
    <w:rsid w:val="008839D9"/>
    <w:rsid w:val="00884075"/>
    <w:rsid w:val="00884102"/>
    <w:rsid w:val="008842FF"/>
    <w:rsid w:val="0088432E"/>
    <w:rsid w:val="008844E7"/>
    <w:rsid w:val="00884722"/>
    <w:rsid w:val="00884801"/>
    <w:rsid w:val="00884B30"/>
    <w:rsid w:val="00885209"/>
    <w:rsid w:val="00885602"/>
    <w:rsid w:val="00885759"/>
    <w:rsid w:val="00885DBE"/>
    <w:rsid w:val="00885F0D"/>
    <w:rsid w:val="008860E4"/>
    <w:rsid w:val="00886264"/>
    <w:rsid w:val="00886380"/>
    <w:rsid w:val="008864A2"/>
    <w:rsid w:val="008866E7"/>
    <w:rsid w:val="008868E0"/>
    <w:rsid w:val="00886951"/>
    <w:rsid w:val="00887025"/>
    <w:rsid w:val="0088714D"/>
    <w:rsid w:val="008871F3"/>
    <w:rsid w:val="008873A6"/>
    <w:rsid w:val="008873CE"/>
    <w:rsid w:val="008877B8"/>
    <w:rsid w:val="00887A34"/>
    <w:rsid w:val="00887A96"/>
    <w:rsid w:val="00887BE5"/>
    <w:rsid w:val="00890404"/>
    <w:rsid w:val="0089073B"/>
    <w:rsid w:val="00890753"/>
    <w:rsid w:val="00890757"/>
    <w:rsid w:val="008907EB"/>
    <w:rsid w:val="00890B04"/>
    <w:rsid w:val="00890B1D"/>
    <w:rsid w:val="00890EFE"/>
    <w:rsid w:val="008912B9"/>
    <w:rsid w:val="008915FD"/>
    <w:rsid w:val="008916ED"/>
    <w:rsid w:val="00891810"/>
    <w:rsid w:val="00891903"/>
    <w:rsid w:val="00891DFB"/>
    <w:rsid w:val="00891EE5"/>
    <w:rsid w:val="00891F34"/>
    <w:rsid w:val="00892360"/>
    <w:rsid w:val="008926EF"/>
    <w:rsid w:val="0089322B"/>
    <w:rsid w:val="00893720"/>
    <w:rsid w:val="008938D5"/>
    <w:rsid w:val="00893E50"/>
    <w:rsid w:val="00893E6D"/>
    <w:rsid w:val="00893ED9"/>
    <w:rsid w:val="008940D7"/>
    <w:rsid w:val="008945A2"/>
    <w:rsid w:val="008946D0"/>
    <w:rsid w:val="008946D8"/>
    <w:rsid w:val="008948D2"/>
    <w:rsid w:val="00894959"/>
    <w:rsid w:val="00894A6B"/>
    <w:rsid w:val="00894B93"/>
    <w:rsid w:val="00895568"/>
    <w:rsid w:val="00895A17"/>
    <w:rsid w:val="00895AD1"/>
    <w:rsid w:val="00895C37"/>
    <w:rsid w:val="00895EC7"/>
    <w:rsid w:val="00896520"/>
    <w:rsid w:val="008965A7"/>
    <w:rsid w:val="00896A91"/>
    <w:rsid w:val="00896D3D"/>
    <w:rsid w:val="00896F5D"/>
    <w:rsid w:val="0089713D"/>
    <w:rsid w:val="008973C0"/>
    <w:rsid w:val="0089740A"/>
    <w:rsid w:val="0089747E"/>
    <w:rsid w:val="00897709"/>
    <w:rsid w:val="00897BD7"/>
    <w:rsid w:val="008A0FA8"/>
    <w:rsid w:val="008A124F"/>
    <w:rsid w:val="008A167D"/>
    <w:rsid w:val="008A1B17"/>
    <w:rsid w:val="008A1B22"/>
    <w:rsid w:val="008A1C7C"/>
    <w:rsid w:val="008A20CB"/>
    <w:rsid w:val="008A286C"/>
    <w:rsid w:val="008A2A8A"/>
    <w:rsid w:val="008A30CE"/>
    <w:rsid w:val="008A3177"/>
    <w:rsid w:val="008A33B9"/>
    <w:rsid w:val="008A33D9"/>
    <w:rsid w:val="008A3650"/>
    <w:rsid w:val="008A3743"/>
    <w:rsid w:val="008A3954"/>
    <w:rsid w:val="008A3A85"/>
    <w:rsid w:val="008A3B69"/>
    <w:rsid w:val="008A3C5A"/>
    <w:rsid w:val="008A3E78"/>
    <w:rsid w:val="008A3FAB"/>
    <w:rsid w:val="008A3FD0"/>
    <w:rsid w:val="008A42CE"/>
    <w:rsid w:val="008A43ED"/>
    <w:rsid w:val="008A4737"/>
    <w:rsid w:val="008A4E12"/>
    <w:rsid w:val="008A55E6"/>
    <w:rsid w:val="008A6574"/>
    <w:rsid w:val="008A65EE"/>
    <w:rsid w:val="008A6809"/>
    <w:rsid w:val="008A687A"/>
    <w:rsid w:val="008A6897"/>
    <w:rsid w:val="008A6A29"/>
    <w:rsid w:val="008A6AE7"/>
    <w:rsid w:val="008A6B7B"/>
    <w:rsid w:val="008A6B7D"/>
    <w:rsid w:val="008A7256"/>
    <w:rsid w:val="008A73DB"/>
    <w:rsid w:val="008A7715"/>
    <w:rsid w:val="008A777C"/>
    <w:rsid w:val="008A7958"/>
    <w:rsid w:val="008A7A71"/>
    <w:rsid w:val="008A7D76"/>
    <w:rsid w:val="008B0251"/>
    <w:rsid w:val="008B0540"/>
    <w:rsid w:val="008B06FE"/>
    <w:rsid w:val="008B071B"/>
    <w:rsid w:val="008B0D32"/>
    <w:rsid w:val="008B0D94"/>
    <w:rsid w:val="008B0EC3"/>
    <w:rsid w:val="008B110E"/>
    <w:rsid w:val="008B1397"/>
    <w:rsid w:val="008B1EB8"/>
    <w:rsid w:val="008B1F6E"/>
    <w:rsid w:val="008B1FB7"/>
    <w:rsid w:val="008B21A1"/>
    <w:rsid w:val="008B246D"/>
    <w:rsid w:val="008B2551"/>
    <w:rsid w:val="008B28DC"/>
    <w:rsid w:val="008B29B2"/>
    <w:rsid w:val="008B2B23"/>
    <w:rsid w:val="008B2B77"/>
    <w:rsid w:val="008B2B82"/>
    <w:rsid w:val="008B2B91"/>
    <w:rsid w:val="008B31D1"/>
    <w:rsid w:val="008B3272"/>
    <w:rsid w:val="008B3345"/>
    <w:rsid w:val="008B335E"/>
    <w:rsid w:val="008B3531"/>
    <w:rsid w:val="008B365C"/>
    <w:rsid w:val="008B3715"/>
    <w:rsid w:val="008B3834"/>
    <w:rsid w:val="008B398E"/>
    <w:rsid w:val="008B3C22"/>
    <w:rsid w:val="008B3FD0"/>
    <w:rsid w:val="008B42FA"/>
    <w:rsid w:val="008B43FC"/>
    <w:rsid w:val="008B4888"/>
    <w:rsid w:val="008B4B7D"/>
    <w:rsid w:val="008B51DE"/>
    <w:rsid w:val="008B5549"/>
    <w:rsid w:val="008B5830"/>
    <w:rsid w:val="008B5B49"/>
    <w:rsid w:val="008B5C07"/>
    <w:rsid w:val="008B5D8E"/>
    <w:rsid w:val="008B665C"/>
    <w:rsid w:val="008B6ABD"/>
    <w:rsid w:val="008B6C90"/>
    <w:rsid w:val="008B7311"/>
    <w:rsid w:val="008B770B"/>
    <w:rsid w:val="008B77DF"/>
    <w:rsid w:val="008B7811"/>
    <w:rsid w:val="008B7860"/>
    <w:rsid w:val="008B7CAA"/>
    <w:rsid w:val="008B7DDA"/>
    <w:rsid w:val="008B7E29"/>
    <w:rsid w:val="008B7F69"/>
    <w:rsid w:val="008C0F11"/>
    <w:rsid w:val="008C1139"/>
    <w:rsid w:val="008C132F"/>
    <w:rsid w:val="008C136F"/>
    <w:rsid w:val="008C1454"/>
    <w:rsid w:val="008C1676"/>
    <w:rsid w:val="008C175F"/>
    <w:rsid w:val="008C1A58"/>
    <w:rsid w:val="008C1B0C"/>
    <w:rsid w:val="008C2086"/>
    <w:rsid w:val="008C2157"/>
    <w:rsid w:val="008C21DB"/>
    <w:rsid w:val="008C2433"/>
    <w:rsid w:val="008C2B8E"/>
    <w:rsid w:val="008C2BA2"/>
    <w:rsid w:val="008C2CA8"/>
    <w:rsid w:val="008C2F29"/>
    <w:rsid w:val="008C3136"/>
    <w:rsid w:val="008C3445"/>
    <w:rsid w:val="008C3523"/>
    <w:rsid w:val="008C3C79"/>
    <w:rsid w:val="008C3D23"/>
    <w:rsid w:val="008C3E4D"/>
    <w:rsid w:val="008C3F8D"/>
    <w:rsid w:val="008C4093"/>
    <w:rsid w:val="008C42E2"/>
    <w:rsid w:val="008C46CA"/>
    <w:rsid w:val="008C4857"/>
    <w:rsid w:val="008C4A15"/>
    <w:rsid w:val="008C4A47"/>
    <w:rsid w:val="008C4B5E"/>
    <w:rsid w:val="008C4B86"/>
    <w:rsid w:val="008C5400"/>
    <w:rsid w:val="008C593A"/>
    <w:rsid w:val="008C5B77"/>
    <w:rsid w:val="008C5B94"/>
    <w:rsid w:val="008C5CCF"/>
    <w:rsid w:val="008C5DA6"/>
    <w:rsid w:val="008C5E24"/>
    <w:rsid w:val="008C67F6"/>
    <w:rsid w:val="008C6BD2"/>
    <w:rsid w:val="008C6EEA"/>
    <w:rsid w:val="008C6FBE"/>
    <w:rsid w:val="008C7390"/>
    <w:rsid w:val="008C74A9"/>
    <w:rsid w:val="008C75EF"/>
    <w:rsid w:val="008C76C1"/>
    <w:rsid w:val="008C780D"/>
    <w:rsid w:val="008C7898"/>
    <w:rsid w:val="008C799B"/>
    <w:rsid w:val="008C79FD"/>
    <w:rsid w:val="008C7D9D"/>
    <w:rsid w:val="008C7F71"/>
    <w:rsid w:val="008D0322"/>
    <w:rsid w:val="008D098E"/>
    <w:rsid w:val="008D09D4"/>
    <w:rsid w:val="008D0EFA"/>
    <w:rsid w:val="008D0FB7"/>
    <w:rsid w:val="008D1002"/>
    <w:rsid w:val="008D1373"/>
    <w:rsid w:val="008D15C9"/>
    <w:rsid w:val="008D1757"/>
    <w:rsid w:val="008D19A5"/>
    <w:rsid w:val="008D1AA6"/>
    <w:rsid w:val="008D1AFC"/>
    <w:rsid w:val="008D1FE8"/>
    <w:rsid w:val="008D2144"/>
    <w:rsid w:val="008D2180"/>
    <w:rsid w:val="008D220D"/>
    <w:rsid w:val="008D22BE"/>
    <w:rsid w:val="008D22E7"/>
    <w:rsid w:val="008D254D"/>
    <w:rsid w:val="008D2566"/>
    <w:rsid w:val="008D273C"/>
    <w:rsid w:val="008D2AAD"/>
    <w:rsid w:val="008D2F2D"/>
    <w:rsid w:val="008D3162"/>
    <w:rsid w:val="008D3292"/>
    <w:rsid w:val="008D3CD5"/>
    <w:rsid w:val="008D3E4F"/>
    <w:rsid w:val="008D3E50"/>
    <w:rsid w:val="008D3F6B"/>
    <w:rsid w:val="008D3FC8"/>
    <w:rsid w:val="008D4082"/>
    <w:rsid w:val="008D4371"/>
    <w:rsid w:val="008D449E"/>
    <w:rsid w:val="008D44DB"/>
    <w:rsid w:val="008D4874"/>
    <w:rsid w:val="008D488E"/>
    <w:rsid w:val="008D4BD3"/>
    <w:rsid w:val="008D4E52"/>
    <w:rsid w:val="008D4FA1"/>
    <w:rsid w:val="008D5152"/>
    <w:rsid w:val="008D5465"/>
    <w:rsid w:val="008D591E"/>
    <w:rsid w:val="008D5A9C"/>
    <w:rsid w:val="008D5C13"/>
    <w:rsid w:val="008D5C77"/>
    <w:rsid w:val="008D62B2"/>
    <w:rsid w:val="008D63DA"/>
    <w:rsid w:val="008D685F"/>
    <w:rsid w:val="008D6A00"/>
    <w:rsid w:val="008D715D"/>
    <w:rsid w:val="008D735B"/>
    <w:rsid w:val="008D73D2"/>
    <w:rsid w:val="008D76A1"/>
    <w:rsid w:val="008D7964"/>
    <w:rsid w:val="008D7BC7"/>
    <w:rsid w:val="008D7C90"/>
    <w:rsid w:val="008E0021"/>
    <w:rsid w:val="008E04BD"/>
    <w:rsid w:val="008E054E"/>
    <w:rsid w:val="008E064D"/>
    <w:rsid w:val="008E093D"/>
    <w:rsid w:val="008E0F96"/>
    <w:rsid w:val="008E125E"/>
    <w:rsid w:val="008E14ED"/>
    <w:rsid w:val="008E15CC"/>
    <w:rsid w:val="008E1692"/>
    <w:rsid w:val="008E19B8"/>
    <w:rsid w:val="008E1A91"/>
    <w:rsid w:val="008E1AE5"/>
    <w:rsid w:val="008E23A9"/>
    <w:rsid w:val="008E253A"/>
    <w:rsid w:val="008E261C"/>
    <w:rsid w:val="008E2D95"/>
    <w:rsid w:val="008E3105"/>
    <w:rsid w:val="008E3366"/>
    <w:rsid w:val="008E34D4"/>
    <w:rsid w:val="008E382D"/>
    <w:rsid w:val="008E389F"/>
    <w:rsid w:val="008E3A1B"/>
    <w:rsid w:val="008E3E1D"/>
    <w:rsid w:val="008E436B"/>
    <w:rsid w:val="008E4501"/>
    <w:rsid w:val="008E4545"/>
    <w:rsid w:val="008E45AB"/>
    <w:rsid w:val="008E46B4"/>
    <w:rsid w:val="008E4B2A"/>
    <w:rsid w:val="008E4C3E"/>
    <w:rsid w:val="008E4FB5"/>
    <w:rsid w:val="008E5386"/>
    <w:rsid w:val="008E557B"/>
    <w:rsid w:val="008E5F92"/>
    <w:rsid w:val="008E6009"/>
    <w:rsid w:val="008E64A6"/>
    <w:rsid w:val="008E6504"/>
    <w:rsid w:val="008E665E"/>
    <w:rsid w:val="008E67E2"/>
    <w:rsid w:val="008E68C7"/>
    <w:rsid w:val="008E6CEA"/>
    <w:rsid w:val="008E6F39"/>
    <w:rsid w:val="008E7B57"/>
    <w:rsid w:val="008E7C52"/>
    <w:rsid w:val="008E7C56"/>
    <w:rsid w:val="008F0127"/>
    <w:rsid w:val="008F013E"/>
    <w:rsid w:val="008F014B"/>
    <w:rsid w:val="008F01C3"/>
    <w:rsid w:val="008F03A1"/>
    <w:rsid w:val="008F0460"/>
    <w:rsid w:val="008F0531"/>
    <w:rsid w:val="008F065A"/>
    <w:rsid w:val="008F068A"/>
    <w:rsid w:val="008F0BC9"/>
    <w:rsid w:val="008F0C49"/>
    <w:rsid w:val="008F0E44"/>
    <w:rsid w:val="008F110B"/>
    <w:rsid w:val="008F1381"/>
    <w:rsid w:val="008F13AD"/>
    <w:rsid w:val="008F1657"/>
    <w:rsid w:val="008F172D"/>
    <w:rsid w:val="008F1843"/>
    <w:rsid w:val="008F189E"/>
    <w:rsid w:val="008F1B69"/>
    <w:rsid w:val="008F1E77"/>
    <w:rsid w:val="008F1F88"/>
    <w:rsid w:val="008F23E4"/>
    <w:rsid w:val="008F266C"/>
    <w:rsid w:val="008F274D"/>
    <w:rsid w:val="008F289C"/>
    <w:rsid w:val="008F3004"/>
    <w:rsid w:val="008F3423"/>
    <w:rsid w:val="008F351E"/>
    <w:rsid w:val="008F366B"/>
    <w:rsid w:val="008F38E6"/>
    <w:rsid w:val="008F3C6F"/>
    <w:rsid w:val="008F3D31"/>
    <w:rsid w:val="008F3DE9"/>
    <w:rsid w:val="008F3FE0"/>
    <w:rsid w:val="008F4098"/>
    <w:rsid w:val="008F4263"/>
    <w:rsid w:val="008F4415"/>
    <w:rsid w:val="008F4437"/>
    <w:rsid w:val="008F4579"/>
    <w:rsid w:val="008F466F"/>
    <w:rsid w:val="008F47C0"/>
    <w:rsid w:val="008F4894"/>
    <w:rsid w:val="008F4B81"/>
    <w:rsid w:val="008F4BC9"/>
    <w:rsid w:val="008F4D06"/>
    <w:rsid w:val="008F4EB3"/>
    <w:rsid w:val="008F5524"/>
    <w:rsid w:val="008F57F8"/>
    <w:rsid w:val="008F5A88"/>
    <w:rsid w:val="008F5ADA"/>
    <w:rsid w:val="008F5BAE"/>
    <w:rsid w:val="008F5BC9"/>
    <w:rsid w:val="008F6128"/>
    <w:rsid w:val="008F6218"/>
    <w:rsid w:val="008F627F"/>
    <w:rsid w:val="008F6461"/>
    <w:rsid w:val="008F6672"/>
    <w:rsid w:val="008F6A99"/>
    <w:rsid w:val="008F6C77"/>
    <w:rsid w:val="008F6C99"/>
    <w:rsid w:val="008F6D0C"/>
    <w:rsid w:val="008F6E14"/>
    <w:rsid w:val="008F7189"/>
    <w:rsid w:val="008F72D0"/>
    <w:rsid w:val="008F7477"/>
    <w:rsid w:val="008F7673"/>
    <w:rsid w:val="008F77A2"/>
    <w:rsid w:val="008F7BE9"/>
    <w:rsid w:val="008F7C64"/>
    <w:rsid w:val="009000C3"/>
    <w:rsid w:val="009001F4"/>
    <w:rsid w:val="00900266"/>
    <w:rsid w:val="00900415"/>
    <w:rsid w:val="009004C1"/>
    <w:rsid w:val="00900796"/>
    <w:rsid w:val="0090087A"/>
    <w:rsid w:val="00900EA0"/>
    <w:rsid w:val="009014F5"/>
    <w:rsid w:val="009018E5"/>
    <w:rsid w:val="00901B94"/>
    <w:rsid w:val="009022C3"/>
    <w:rsid w:val="00902701"/>
    <w:rsid w:val="00902822"/>
    <w:rsid w:val="0090284E"/>
    <w:rsid w:val="0090286A"/>
    <w:rsid w:val="009028A5"/>
    <w:rsid w:val="00902F67"/>
    <w:rsid w:val="00903637"/>
    <w:rsid w:val="0090371F"/>
    <w:rsid w:val="009038A7"/>
    <w:rsid w:val="00903AA4"/>
    <w:rsid w:val="00903FF8"/>
    <w:rsid w:val="00904740"/>
    <w:rsid w:val="00904882"/>
    <w:rsid w:val="00904C1D"/>
    <w:rsid w:val="00904D8D"/>
    <w:rsid w:val="0090521E"/>
    <w:rsid w:val="009052F8"/>
    <w:rsid w:val="0090558F"/>
    <w:rsid w:val="009055CA"/>
    <w:rsid w:val="009058CF"/>
    <w:rsid w:val="00905F2D"/>
    <w:rsid w:val="009060FD"/>
    <w:rsid w:val="00906368"/>
    <w:rsid w:val="009063B5"/>
    <w:rsid w:val="009064E0"/>
    <w:rsid w:val="009067B9"/>
    <w:rsid w:val="0090680E"/>
    <w:rsid w:val="00906CC4"/>
    <w:rsid w:val="00906CD1"/>
    <w:rsid w:val="00906E52"/>
    <w:rsid w:val="00907370"/>
    <w:rsid w:val="009073CD"/>
    <w:rsid w:val="0090755E"/>
    <w:rsid w:val="009075E5"/>
    <w:rsid w:val="00907E27"/>
    <w:rsid w:val="00910005"/>
    <w:rsid w:val="009101F1"/>
    <w:rsid w:val="0091061B"/>
    <w:rsid w:val="00910C16"/>
    <w:rsid w:val="00910CA8"/>
    <w:rsid w:val="00910E3F"/>
    <w:rsid w:val="00910F91"/>
    <w:rsid w:val="00910FA3"/>
    <w:rsid w:val="009111A6"/>
    <w:rsid w:val="00911556"/>
    <w:rsid w:val="009119E7"/>
    <w:rsid w:val="00911E42"/>
    <w:rsid w:val="00911F74"/>
    <w:rsid w:val="00911FB2"/>
    <w:rsid w:val="00911FD9"/>
    <w:rsid w:val="00912166"/>
    <w:rsid w:val="00912469"/>
    <w:rsid w:val="0091250F"/>
    <w:rsid w:val="009125DE"/>
    <w:rsid w:val="00912685"/>
    <w:rsid w:val="0091270F"/>
    <w:rsid w:val="00912878"/>
    <w:rsid w:val="0091288B"/>
    <w:rsid w:val="00912BAC"/>
    <w:rsid w:val="00912F28"/>
    <w:rsid w:val="00912FA3"/>
    <w:rsid w:val="00913165"/>
    <w:rsid w:val="009131EB"/>
    <w:rsid w:val="009136E1"/>
    <w:rsid w:val="00913725"/>
    <w:rsid w:val="00913F8E"/>
    <w:rsid w:val="00913FF6"/>
    <w:rsid w:val="009142CB"/>
    <w:rsid w:val="009144FB"/>
    <w:rsid w:val="009149F2"/>
    <w:rsid w:val="00914D73"/>
    <w:rsid w:val="00914E8B"/>
    <w:rsid w:val="009151CF"/>
    <w:rsid w:val="00915257"/>
    <w:rsid w:val="00915292"/>
    <w:rsid w:val="00915502"/>
    <w:rsid w:val="009157DE"/>
    <w:rsid w:val="00915B04"/>
    <w:rsid w:val="00915B49"/>
    <w:rsid w:val="00915EC4"/>
    <w:rsid w:val="00916436"/>
    <w:rsid w:val="0091655C"/>
    <w:rsid w:val="00916576"/>
    <w:rsid w:val="009167B7"/>
    <w:rsid w:val="0091681A"/>
    <w:rsid w:val="00916896"/>
    <w:rsid w:val="00916C11"/>
    <w:rsid w:val="00917170"/>
    <w:rsid w:val="0091758B"/>
    <w:rsid w:val="00917683"/>
    <w:rsid w:val="00917737"/>
    <w:rsid w:val="00917825"/>
    <w:rsid w:val="009178FB"/>
    <w:rsid w:val="00917C7C"/>
    <w:rsid w:val="00917DF5"/>
    <w:rsid w:val="00920139"/>
    <w:rsid w:val="0092023B"/>
    <w:rsid w:val="009205D0"/>
    <w:rsid w:val="00920812"/>
    <w:rsid w:val="00920CD3"/>
    <w:rsid w:val="00920CFB"/>
    <w:rsid w:val="0092102E"/>
    <w:rsid w:val="009211E6"/>
    <w:rsid w:val="00921783"/>
    <w:rsid w:val="00921867"/>
    <w:rsid w:val="009219D3"/>
    <w:rsid w:val="00921B5D"/>
    <w:rsid w:val="00921B71"/>
    <w:rsid w:val="00921C88"/>
    <w:rsid w:val="00921EC3"/>
    <w:rsid w:val="00921FEE"/>
    <w:rsid w:val="0092223D"/>
    <w:rsid w:val="00922460"/>
    <w:rsid w:val="00922579"/>
    <w:rsid w:val="009225E9"/>
    <w:rsid w:val="009227BF"/>
    <w:rsid w:val="009227E4"/>
    <w:rsid w:val="00922900"/>
    <w:rsid w:val="009229ED"/>
    <w:rsid w:val="00922A8E"/>
    <w:rsid w:val="00922DC3"/>
    <w:rsid w:val="00922EA4"/>
    <w:rsid w:val="00923021"/>
    <w:rsid w:val="00923233"/>
    <w:rsid w:val="009232EC"/>
    <w:rsid w:val="009238CE"/>
    <w:rsid w:val="00924157"/>
    <w:rsid w:val="00924311"/>
    <w:rsid w:val="00924399"/>
    <w:rsid w:val="00924538"/>
    <w:rsid w:val="00924628"/>
    <w:rsid w:val="00924685"/>
    <w:rsid w:val="00924859"/>
    <w:rsid w:val="00924897"/>
    <w:rsid w:val="00924980"/>
    <w:rsid w:val="00924990"/>
    <w:rsid w:val="00924A78"/>
    <w:rsid w:val="00924B10"/>
    <w:rsid w:val="0092521B"/>
    <w:rsid w:val="009253DC"/>
    <w:rsid w:val="0092550F"/>
    <w:rsid w:val="00925561"/>
    <w:rsid w:val="00925707"/>
    <w:rsid w:val="009259EA"/>
    <w:rsid w:val="00925B3F"/>
    <w:rsid w:val="00925CA2"/>
    <w:rsid w:val="00925EF5"/>
    <w:rsid w:val="00926134"/>
    <w:rsid w:val="00926778"/>
    <w:rsid w:val="00926919"/>
    <w:rsid w:val="0092695C"/>
    <w:rsid w:val="00926A0E"/>
    <w:rsid w:val="00926B0F"/>
    <w:rsid w:val="0092702D"/>
    <w:rsid w:val="009271A0"/>
    <w:rsid w:val="00927243"/>
    <w:rsid w:val="009272F8"/>
    <w:rsid w:val="0092770E"/>
    <w:rsid w:val="009277F0"/>
    <w:rsid w:val="00927932"/>
    <w:rsid w:val="009279CD"/>
    <w:rsid w:val="00927D10"/>
    <w:rsid w:val="00927F92"/>
    <w:rsid w:val="00930133"/>
    <w:rsid w:val="009302D8"/>
    <w:rsid w:val="00930BC5"/>
    <w:rsid w:val="0093124F"/>
    <w:rsid w:val="0093127D"/>
    <w:rsid w:val="00931338"/>
    <w:rsid w:val="00931521"/>
    <w:rsid w:val="00931540"/>
    <w:rsid w:val="009315AE"/>
    <w:rsid w:val="00931C2C"/>
    <w:rsid w:val="00931DE2"/>
    <w:rsid w:val="00931E9B"/>
    <w:rsid w:val="0093214C"/>
    <w:rsid w:val="009321EA"/>
    <w:rsid w:val="00932337"/>
    <w:rsid w:val="00932671"/>
    <w:rsid w:val="00932A9D"/>
    <w:rsid w:val="00932E35"/>
    <w:rsid w:val="00932F31"/>
    <w:rsid w:val="00932FBB"/>
    <w:rsid w:val="00933B30"/>
    <w:rsid w:val="00933DA0"/>
    <w:rsid w:val="00934128"/>
    <w:rsid w:val="00934167"/>
    <w:rsid w:val="0093418E"/>
    <w:rsid w:val="00934523"/>
    <w:rsid w:val="0093474D"/>
    <w:rsid w:val="00934A33"/>
    <w:rsid w:val="00934B83"/>
    <w:rsid w:val="00935367"/>
    <w:rsid w:val="00935526"/>
    <w:rsid w:val="0093552B"/>
    <w:rsid w:val="0093568D"/>
    <w:rsid w:val="0093575E"/>
    <w:rsid w:val="009358A7"/>
    <w:rsid w:val="00935A8E"/>
    <w:rsid w:val="00935D16"/>
    <w:rsid w:val="00935E44"/>
    <w:rsid w:val="00936253"/>
    <w:rsid w:val="00936926"/>
    <w:rsid w:val="00936B1E"/>
    <w:rsid w:val="00936E64"/>
    <w:rsid w:val="0093718B"/>
    <w:rsid w:val="00937881"/>
    <w:rsid w:val="00937E8D"/>
    <w:rsid w:val="0094006C"/>
    <w:rsid w:val="009400FA"/>
    <w:rsid w:val="00940190"/>
    <w:rsid w:val="00940340"/>
    <w:rsid w:val="00940967"/>
    <w:rsid w:val="00940992"/>
    <w:rsid w:val="00941143"/>
    <w:rsid w:val="00941380"/>
    <w:rsid w:val="00941441"/>
    <w:rsid w:val="00941498"/>
    <w:rsid w:val="00941645"/>
    <w:rsid w:val="00941683"/>
    <w:rsid w:val="009418B2"/>
    <w:rsid w:val="00941AE3"/>
    <w:rsid w:val="00941C23"/>
    <w:rsid w:val="00942039"/>
    <w:rsid w:val="009422A0"/>
    <w:rsid w:val="009425AD"/>
    <w:rsid w:val="009426D4"/>
    <w:rsid w:val="0094275A"/>
    <w:rsid w:val="009429D0"/>
    <w:rsid w:val="00942BB9"/>
    <w:rsid w:val="00942C89"/>
    <w:rsid w:val="009430CD"/>
    <w:rsid w:val="0094340E"/>
    <w:rsid w:val="009438A7"/>
    <w:rsid w:val="00943B96"/>
    <w:rsid w:val="00943C41"/>
    <w:rsid w:val="00943CA7"/>
    <w:rsid w:val="00943CF9"/>
    <w:rsid w:val="00943E14"/>
    <w:rsid w:val="0094411B"/>
    <w:rsid w:val="00944280"/>
    <w:rsid w:val="00944DD0"/>
    <w:rsid w:val="00945030"/>
    <w:rsid w:val="009450D3"/>
    <w:rsid w:val="00945101"/>
    <w:rsid w:val="009451CC"/>
    <w:rsid w:val="009452DC"/>
    <w:rsid w:val="009455F7"/>
    <w:rsid w:val="0094560B"/>
    <w:rsid w:val="0094564E"/>
    <w:rsid w:val="00945909"/>
    <w:rsid w:val="00945C8C"/>
    <w:rsid w:val="00946022"/>
    <w:rsid w:val="0094618D"/>
    <w:rsid w:val="009461A8"/>
    <w:rsid w:val="00946511"/>
    <w:rsid w:val="00946929"/>
    <w:rsid w:val="009469E9"/>
    <w:rsid w:val="00946C9A"/>
    <w:rsid w:val="009471E0"/>
    <w:rsid w:val="0094737B"/>
    <w:rsid w:val="009479F5"/>
    <w:rsid w:val="009502C3"/>
    <w:rsid w:val="009505F9"/>
    <w:rsid w:val="009506BF"/>
    <w:rsid w:val="00950782"/>
    <w:rsid w:val="0095090B"/>
    <w:rsid w:val="00950EC0"/>
    <w:rsid w:val="009511FC"/>
    <w:rsid w:val="0095129E"/>
    <w:rsid w:val="0095150E"/>
    <w:rsid w:val="009516E2"/>
    <w:rsid w:val="00951993"/>
    <w:rsid w:val="00951998"/>
    <w:rsid w:val="00951CBA"/>
    <w:rsid w:val="00952211"/>
    <w:rsid w:val="0095244A"/>
    <w:rsid w:val="00952BA5"/>
    <w:rsid w:val="00952CBA"/>
    <w:rsid w:val="00952D1B"/>
    <w:rsid w:val="00953007"/>
    <w:rsid w:val="00953468"/>
    <w:rsid w:val="009535D1"/>
    <w:rsid w:val="00953848"/>
    <w:rsid w:val="0095394D"/>
    <w:rsid w:val="00953B3D"/>
    <w:rsid w:val="00953B71"/>
    <w:rsid w:val="00953DF4"/>
    <w:rsid w:val="0095497F"/>
    <w:rsid w:val="00954C29"/>
    <w:rsid w:val="00954F5A"/>
    <w:rsid w:val="00955024"/>
    <w:rsid w:val="00955091"/>
    <w:rsid w:val="00955884"/>
    <w:rsid w:val="009559B7"/>
    <w:rsid w:val="00955A35"/>
    <w:rsid w:val="00955B43"/>
    <w:rsid w:val="00955B5F"/>
    <w:rsid w:val="00955EB1"/>
    <w:rsid w:val="00955ECF"/>
    <w:rsid w:val="009563B8"/>
    <w:rsid w:val="0095644F"/>
    <w:rsid w:val="009564D4"/>
    <w:rsid w:val="00956584"/>
    <w:rsid w:val="009565BD"/>
    <w:rsid w:val="009566F0"/>
    <w:rsid w:val="00956705"/>
    <w:rsid w:val="00956A15"/>
    <w:rsid w:val="00956B8F"/>
    <w:rsid w:val="00956C38"/>
    <w:rsid w:val="00956D2F"/>
    <w:rsid w:val="0095775C"/>
    <w:rsid w:val="00957977"/>
    <w:rsid w:val="00957A13"/>
    <w:rsid w:val="00957A22"/>
    <w:rsid w:val="0096036B"/>
    <w:rsid w:val="009603D6"/>
    <w:rsid w:val="00960C11"/>
    <w:rsid w:val="00960C19"/>
    <w:rsid w:val="00961396"/>
    <w:rsid w:val="00961565"/>
    <w:rsid w:val="00961F44"/>
    <w:rsid w:val="00961FE7"/>
    <w:rsid w:val="009622C3"/>
    <w:rsid w:val="00962B4C"/>
    <w:rsid w:val="00963117"/>
    <w:rsid w:val="00963297"/>
    <w:rsid w:val="009632C4"/>
    <w:rsid w:val="009633CA"/>
    <w:rsid w:val="00963550"/>
    <w:rsid w:val="009635DF"/>
    <w:rsid w:val="009638AE"/>
    <w:rsid w:val="00963FCA"/>
    <w:rsid w:val="0096408B"/>
    <w:rsid w:val="0096420A"/>
    <w:rsid w:val="00964420"/>
    <w:rsid w:val="00964660"/>
    <w:rsid w:val="009646DE"/>
    <w:rsid w:val="00964A8E"/>
    <w:rsid w:val="00964F77"/>
    <w:rsid w:val="00965207"/>
    <w:rsid w:val="00965259"/>
    <w:rsid w:val="0096552A"/>
    <w:rsid w:val="009657B5"/>
    <w:rsid w:val="00965A3E"/>
    <w:rsid w:val="00965AC5"/>
    <w:rsid w:val="00965ACA"/>
    <w:rsid w:val="00965D2D"/>
    <w:rsid w:val="00965DA1"/>
    <w:rsid w:val="00965F1C"/>
    <w:rsid w:val="00966772"/>
    <w:rsid w:val="00966807"/>
    <w:rsid w:val="00966996"/>
    <w:rsid w:val="009669C2"/>
    <w:rsid w:val="00966AA2"/>
    <w:rsid w:val="00966BFF"/>
    <w:rsid w:val="00966D9E"/>
    <w:rsid w:val="00967046"/>
    <w:rsid w:val="009670A5"/>
    <w:rsid w:val="009673DD"/>
    <w:rsid w:val="0096754E"/>
    <w:rsid w:val="00967679"/>
    <w:rsid w:val="009676EB"/>
    <w:rsid w:val="009677C1"/>
    <w:rsid w:val="0097018B"/>
    <w:rsid w:val="0097085C"/>
    <w:rsid w:val="00971838"/>
    <w:rsid w:val="00971A03"/>
    <w:rsid w:val="00971BAE"/>
    <w:rsid w:val="00971FDE"/>
    <w:rsid w:val="009727D8"/>
    <w:rsid w:val="0097280C"/>
    <w:rsid w:val="00972D26"/>
    <w:rsid w:val="009730B5"/>
    <w:rsid w:val="009732A4"/>
    <w:rsid w:val="0097341F"/>
    <w:rsid w:val="009734D1"/>
    <w:rsid w:val="00973517"/>
    <w:rsid w:val="009736FD"/>
    <w:rsid w:val="009738EF"/>
    <w:rsid w:val="00973A0C"/>
    <w:rsid w:val="00973A0E"/>
    <w:rsid w:val="00973A58"/>
    <w:rsid w:val="00973B54"/>
    <w:rsid w:val="00973E46"/>
    <w:rsid w:val="00974074"/>
    <w:rsid w:val="00974380"/>
    <w:rsid w:val="009745EC"/>
    <w:rsid w:val="009746EA"/>
    <w:rsid w:val="00974A37"/>
    <w:rsid w:val="00974B1A"/>
    <w:rsid w:val="00974C05"/>
    <w:rsid w:val="00974C1C"/>
    <w:rsid w:val="00974C61"/>
    <w:rsid w:val="0097511D"/>
    <w:rsid w:val="009753D0"/>
    <w:rsid w:val="00975448"/>
    <w:rsid w:val="009755FB"/>
    <w:rsid w:val="00975875"/>
    <w:rsid w:val="00976223"/>
    <w:rsid w:val="00976793"/>
    <w:rsid w:val="00976EE8"/>
    <w:rsid w:val="009772CF"/>
    <w:rsid w:val="00977976"/>
    <w:rsid w:val="00977BE4"/>
    <w:rsid w:val="00977CD5"/>
    <w:rsid w:val="00977CDD"/>
    <w:rsid w:val="00977F65"/>
    <w:rsid w:val="009800E3"/>
    <w:rsid w:val="00980393"/>
    <w:rsid w:val="00980D60"/>
    <w:rsid w:val="00980F0D"/>
    <w:rsid w:val="00981667"/>
    <w:rsid w:val="00981B3E"/>
    <w:rsid w:val="00981DAB"/>
    <w:rsid w:val="009825A7"/>
    <w:rsid w:val="00982E6E"/>
    <w:rsid w:val="00982E86"/>
    <w:rsid w:val="00983111"/>
    <w:rsid w:val="009832A1"/>
    <w:rsid w:val="009832E4"/>
    <w:rsid w:val="00983682"/>
    <w:rsid w:val="009836B2"/>
    <w:rsid w:val="009836E7"/>
    <w:rsid w:val="00983D42"/>
    <w:rsid w:val="00983F10"/>
    <w:rsid w:val="0098435E"/>
    <w:rsid w:val="00984557"/>
    <w:rsid w:val="00984C12"/>
    <w:rsid w:val="00984DCB"/>
    <w:rsid w:val="00985038"/>
    <w:rsid w:val="00985485"/>
    <w:rsid w:val="009854D1"/>
    <w:rsid w:val="009855BC"/>
    <w:rsid w:val="00985D33"/>
    <w:rsid w:val="00985F27"/>
    <w:rsid w:val="00985F29"/>
    <w:rsid w:val="009862FD"/>
    <w:rsid w:val="0098639C"/>
    <w:rsid w:val="009863FA"/>
    <w:rsid w:val="00986434"/>
    <w:rsid w:val="009864B7"/>
    <w:rsid w:val="009870B8"/>
    <w:rsid w:val="00987177"/>
    <w:rsid w:val="009871E2"/>
    <w:rsid w:val="009872D5"/>
    <w:rsid w:val="009873EC"/>
    <w:rsid w:val="00987811"/>
    <w:rsid w:val="00990456"/>
    <w:rsid w:val="00990800"/>
    <w:rsid w:val="009908FE"/>
    <w:rsid w:val="00990991"/>
    <w:rsid w:val="009909B4"/>
    <w:rsid w:val="00990E67"/>
    <w:rsid w:val="00990EDC"/>
    <w:rsid w:val="009912A2"/>
    <w:rsid w:val="0099152B"/>
    <w:rsid w:val="00991A26"/>
    <w:rsid w:val="00991BF4"/>
    <w:rsid w:val="00991D7F"/>
    <w:rsid w:val="00991ECE"/>
    <w:rsid w:val="009921CF"/>
    <w:rsid w:val="0099230F"/>
    <w:rsid w:val="00992A3B"/>
    <w:rsid w:val="00992C10"/>
    <w:rsid w:val="00992DCF"/>
    <w:rsid w:val="00992E4B"/>
    <w:rsid w:val="00993588"/>
    <w:rsid w:val="009935F8"/>
    <w:rsid w:val="009936CE"/>
    <w:rsid w:val="009939A9"/>
    <w:rsid w:val="00993D2E"/>
    <w:rsid w:val="009946DD"/>
    <w:rsid w:val="009949A4"/>
    <w:rsid w:val="00994DE5"/>
    <w:rsid w:val="0099512A"/>
    <w:rsid w:val="0099532C"/>
    <w:rsid w:val="0099555F"/>
    <w:rsid w:val="00995A44"/>
    <w:rsid w:val="0099603E"/>
    <w:rsid w:val="00996699"/>
    <w:rsid w:val="009969FA"/>
    <w:rsid w:val="00996B2E"/>
    <w:rsid w:val="00996B5C"/>
    <w:rsid w:val="00996C25"/>
    <w:rsid w:val="009974E6"/>
    <w:rsid w:val="00997660"/>
    <w:rsid w:val="00997AF3"/>
    <w:rsid w:val="00997BF9"/>
    <w:rsid w:val="009A0077"/>
    <w:rsid w:val="009A023C"/>
    <w:rsid w:val="009A0242"/>
    <w:rsid w:val="009A090F"/>
    <w:rsid w:val="009A0A93"/>
    <w:rsid w:val="009A0B3D"/>
    <w:rsid w:val="009A0FFE"/>
    <w:rsid w:val="009A1028"/>
    <w:rsid w:val="009A1691"/>
    <w:rsid w:val="009A17B7"/>
    <w:rsid w:val="009A18A0"/>
    <w:rsid w:val="009A1A08"/>
    <w:rsid w:val="009A1A0B"/>
    <w:rsid w:val="009A1C81"/>
    <w:rsid w:val="009A1E79"/>
    <w:rsid w:val="009A1EB6"/>
    <w:rsid w:val="009A20BA"/>
    <w:rsid w:val="009A20BF"/>
    <w:rsid w:val="009A214A"/>
    <w:rsid w:val="009A2311"/>
    <w:rsid w:val="009A237B"/>
    <w:rsid w:val="009A23C3"/>
    <w:rsid w:val="009A23F9"/>
    <w:rsid w:val="009A242F"/>
    <w:rsid w:val="009A2470"/>
    <w:rsid w:val="009A2821"/>
    <w:rsid w:val="009A2E59"/>
    <w:rsid w:val="009A30AC"/>
    <w:rsid w:val="009A31DB"/>
    <w:rsid w:val="009A3362"/>
    <w:rsid w:val="009A350B"/>
    <w:rsid w:val="009A3D27"/>
    <w:rsid w:val="009A3EA7"/>
    <w:rsid w:val="009A415F"/>
    <w:rsid w:val="009A4643"/>
    <w:rsid w:val="009A46FB"/>
    <w:rsid w:val="009A4890"/>
    <w:rsid w:val="009A48F4"/>
    <w:rsid w:val="009A4921"/>
    <w:rsid w:val="009A4C0A"/>
    <w:rsid w:val="009A4C9B"/>
    <w:rsid w:val="009A4FEC"/>
    <w:rsid w:val="009A523D"/>
    <w:rsid w:val="009A524B"/>
    <w:rsid w:val="009A54A9"/>
    <w:rsid w:val="009A556E"/>
    <w:rsid w:val="009A55E8"/>
    <w:rsid w:val="009A5DE7"/>
    <w:rsid w:val="009A5E7A"/>
    <w:rsid w:val="009A6117"/>
    <w:rsid w:val="009A618A"/>
    <w:rsid w:val="009A62A4"/>
    <w:rsid w:val="009A636F"/>
    <w:rsid w:val="009A6407"/>
    <w:rsid w:val="009A6584"/>
    <w:rsid w:val="009A6598"/>
    <w:rsid w:val="009A66C9"/>
    <w:rsid w:val="009A679A"/>
    <w:rsid w:val="009A6847"/>
    <w:rsid w:val="009A6892"/>
    <w:rsid w:val="009A6916"/>
    <w:rsid w:val="009A6A43"/>
    <w:rsid w:val="009A6E51"/>
    <w:rsid w:val="009A6F3A"/>
    <w:rsid w:val="009A723E"/>
    <w:rsid w:val="009A72D2"/>
    <w:rsid w:val="009A72D8"/>
    <w:rsid w:val="009A7330"/>
    <w:rsid w:val="009A7577"/>
    <w:rsid w:val="009A7B58"/>
    <w:rsid w:val="009A7B65"/>
    <w:rsid w:val="009A7DD9"/>
    <w:rsid w:val="009A7E6C"/>
    <w:rsid w:val="009A7F7F"/>
    <w:rsid w:val="009B010E"/>
    <w:rsid w:val="009B010F"/>
    <w:rsid w:val="009B142D"/>
    <w:rsid w:val="009B1DFA"/>
    <w:rsid w:val="009B209E"/>
    <w:rsid w:val="009B2121"/>
    <w:rsid w:val="009B23A3"/>
    <w:rsid w:val="009B2458"/>
    <w:rsid w:val="009B2A3A"/>
    <w:rsid w:val="009B2CA9"/>
    <w:rsid w:val="009B307C"/>
    <w:rsid w:val="009B312A"/>
    <w:rsid w:val="009B31E7"/>
    <w:rsid w:val="009B3445"/>
    <w:rsid w:val="009B3447"/>
    <w:rsid w:val="009B3462"/>
    <w:rsid w:val="009B3DBE"/>
    <w:rsid w:val="009B3FA2"/>
    <w:rsid w:val="009B40D7"/>
    <w:rsid w:val="009B43AE"/>
    <w:rsid w:val="009B4565"/>
    <w:rsid w:val="009B4A4D"/>
    <w:rsid w:val="009B4B46"/>
    <w:rsid w:val="009B4CB5"/>
    <w:rsid w:val="009B4DEC"/>
    <w:rsid w:val="009B53AB"/>
    <w:rsid w:val="009B57D4"/>
    <w:rsid w:val="009B57D9"/>
    <w:rsid w:val="009B585F"/>
    <w:rsid w:val="009B586F"/>
    <w:rsid w:val="009B58CC"/>
    <w:rsid w:val="009B5993"/>
    <w:rsid w:val="009B5BC8"/>
    <w:rsid w:val="009B5DA8"/>
    <w:rsid w:val="009B67D4"/>
    <w:rsid w:val="009B6818"/>
    <w:rsid w:val="009B69F4"/>
    <w:rsid w:val="009B6E58"/>
    <w:rsid w:val="009B6FAF"/>
    <w:rsid w:val="009B6FB8"/>
    <w:rsid w:val="009B7049"/>
    <w:rsid w:val="009B7126"/>
    <w:rsid w:val="009B71AD"/>
    <w:rsid w:val="009B76CC"/>
    <w:rsid w:val="009B7DB8"/>
    <w:rsid w:val="009B7E24"/>
    <w:rsid w:val="009B7F49"/>
    <w:rsid w:val="009C02A7"/>
    <w:rsid w:val="009C09E2"/>
    <w:rsid w:val="009C0CA1"/>
    <w:rsid w:val="009C0F33"/>
    <w:rsid w:val="009C15D1"/>
    <w:rsid w:val="009C1909"/>
    <w:rsid w:val="009C1A4B"/>
    <w:rsid w:val="009C1A80"/>
    <w:rsid w:val="009C1D04"/>
    <w:rsid w:val="009C1F56"/>
    <w:rsid w:val="009C22A4"/>
    <w:rsid w:val="009C25B7"/>
    <w:rsid w:val="009C25E2"/>
    <w:rsid w:val="009C2A01"/>
    <w:rsid w:val="009C2C6C"/>
    <w:rsid w:val="009C2F1B"/>
    <w:rsid w:val="009C304C"/>
    <w:rsid w:val="009C3058"/>
    <w:rsid w:val="009C3069"/>
    <w:rsid w:val="009C33D6"/>
    <w:rsid w:val="009C3715"/>
    <w:rsid w:val="009C3A40"/>
    <w:rsid w:val="009C3BA4"/>
    <w:rsid w:val="009C3CB4"/>
    <w:rsid w:val="009C4339"/>
    <w:rsid w:val="009C452B"/>
    <w:rsid w:val="009C491E"/>
    <w:rsid w:val="009C4E2F"/>
    <w:rsid w:val="009C5080"/>
    <w:rsid w:val="009C5151"/>
    <w:rsid w:val="009C53FA"/>
    <w:rsid w:val="009C55A1"/>
    <w:rsid w:val="009C5608"/>
    <w:rsid w:val="009C569C"/>
    <w:rsid w:val="009C5722"/>
    <w:rsid w:val="009C5FEE"/>
    <w:rsid w:val="009C62E3"/>
    <w:rsid w:val="009C6496"/>
    <w:rsid w:val="009C65B6"/>
    <w:rsid w:val="009C674D"/>
    <w:rsid w:val="009C69ED"/>
    <w:rsid w:val="009C6CE3"/>
    <w:rsid w:val="009C6E5F"/>
    <w:rsid w:val="009C6FA4"/>
    <w:rsid w:val="009C71E1"/>
    <w:rsid w:val="009C72C8"/>
    <w:rsid w:val="009C73A2"/>
    <w:rsid w:val="009C7611"/>
    <w:rsid w:val="009C773D"/>
    <w:rsid w:val="009C78C2"/>
    <w:rsid w:val="009C78EE"/>
    <w:rsid w:val="009C791E"/>
    <w:rsid w:val="009C7A02"/>
    <w:rsid w:val="009C7A39"/>
    <w:rsid w:val="009C7B4C"/>
    <w:rsid w:val="009C7C33"/>
    <w:rsid w:val="009C7CBA"/>
    <w:rsid w:val="009C7ED6"/>
    <w:rsid w:val="009C7EFA"/>
    <w:rsid w:val="009D03A2"/>
    <w:rsid w:val="009D05CE"/>
    <w:rsid w:val="009D0944"/>
    <w:rsid w:val="009D0D51"/>
    <w:rsid w:val="009D0D95"/>
    <w:rsid w:val="009D0EF7"/>
    <w:rsid w:val="009D10C7"/>
    <w:rsid w:val="009D13F6"/>
    <w:rsid w:val="009D15F0"/>
    <w:rsid w:val="009D1630"/>
    <w:rsid w:val="009D219A"/>
    <w:rsid w:val="009D2384"/>
    <w:rsid w:val="009D2533"/>
    <w:rsid w:val="009D26AE"/>
    <w:rsid w:val="009D2A40"/>
    <w:rsid w:val="009D2E0D"/>
    <w:rsid w:val="009D3165"/>
    <w:rsid w:val="009D31F5"/>
    <w:rsid w:val="009D3301"/>
    <w:rsid w:val="009D359F"/>
    <w:rsid w:val="009D3BAA"/>
    <w:rsid w:val="009D4384"/>
    <w:rsid w:val="009D44DE"/>
    <w:rsid w:val="009D51EC"/>
    <w:rsid w:val="009D5E21"/>
    <w:rsid w:val="009D5EC4"/>
    <w:rsid w:val="009D5F66"/>
    <w:rsid w:val="009D5FC3"/>
    <w:rsid w:val="009D62F8"/>
    <w:rsid w:val="009D6509"/>
    <w:rsid w:val="009D689F"/>
    <w:rsid w:val="009D68B7"/>
    <w:rsid w:val="009D69C0"/>
    <w:rsid w:val="009D6CFE"/>
    <w:rsid w:val="009D6D75"/>
    <w:rsid w:val="009D6DB3"/>
    <w:rsid w:val="009D6FFD"/>
    <w:rsid w:val="009D7225"/>
    <w:rsid w:val="009D73DE"/>
    <w:rsid w:val="009D7421"/>
    <w:rsid w:val="009D7457"/>
    <w:rsid w:val="009D757D"/>
    <w:rsid w:val="009D7B1F"/>
    <w:rsid w:val="009D7E76"/>
    <w:rsid w:val="009D7ED5"/>
    <w:rsid w:val="009D7FF1"/>
    <w:rsid w:val="009E01E5"/>
    <w:rsid w:val="009E0512"/>
    <w:rsid w:val="009E0567"/>
    <w:rsid w:val="009E0A37"/>
    <w:rsid w:val="009E13B1"/>
    <w:rsid w:val="009E15E2"/>
    <w:rsid w:val="009E1664"/>
    <w:rsid w:val="009E1AE9"/>
    <w:rsid w:val="009E1B65"/>
    <w:rsid w:val="009E1E1C"/>
    <w:rsid w:val="009E1FFD"/>
    <w:rsid w:val="009E2182"/>
    <w:rsid w:val="009E224C"/>
    <w:rsid w:val="009E2320"/>
    <w:rsid w:val="009E28A3"/>
    <w:rsid w:val="009E2973"/>
    <w:rsid w:val="009E2C93"/>
    <w:rsid w:val="009E2CE1"/>
    <w:rsid w:val="009E2D33"/>
    <w:rsid w:val="009E3416"/>
    <w:rsid w:val="009E34BA"/>
    <w:rsid w:val="009E3A6B"/>
    <w:rsid w:val="009E3A78"/>
    <w:rsid w:val="009E3CED"/>
    <w:rsid w:val="009E47B5"/>
    <w:rsid w:val="009E4820"/>
    <w:rsid w:val="009E4CC6"/>
    <w:rsid w:val="009E4D92"/>
    <w:rsid w:val="009E50EA"/>
    <w:rsid w:val="009E55B0"/>
    <w:rsid w:val="009E5696"/>
    <w:rsid w:val="009E57A1"/>
    <w:rsid w:val="009E5813"/>
    <w:rsid w:val="009E5B17"/>
    <w:rsid w:val="009E5B6A"/>
    <w:rsid w:val="009E5CB6"/>
    <w:rsid w:val="009E5D75"/>
    <w:rsid w:val="009E5DEE"/>
    <w:rsid w:val="009E5EB4"/>
    <w:rsid w:val="009E627E"/>
    <w:rsid w:val="009E6365"/>
    <w:rsid w:val="009E63EE"/>
    <w:rsid w:val="009E649A"/>
    <w:rsid w:val="009E6C9E"/>
    <w:rsid w:val="009E6D10"/>
    <w:rsid w:val="009E6D68"/>
    <w:rsid w:val="009E6D9E"/>
    <w:rsid w:val="009E70A8"/>
    <w:rsid w:val="009E7590"/>
    <w:rsid w:val="009E762C"/>
    <w:rsid w:val="009E7646"/>
    <w:rsid w:val="009E7C8A"/>
    <w:rsid w:val="009E7D92"/>
    <w:rsid w:val="009E7DE4"/>
    <w:rsid w:val="009F0D06"/>
    <w:rsid w:val="009F0E19"/>
    <w:rsid w:val="009F0F06"/>
    <w:rsid w:val="009F14DC"/>
    <w:rsid w:val="009F1805"/>
    <w:rsid w:val="009F18C7"/>
    <w:rsid w:val="009F1933"/>
    <w:rsid w:val="009F1EFC"/>
    <w:rsid w:val="009F1FED"/>
    <w:rsid w:val="009F20E2"/>
    <w:rsid w:val="009F22BB"/>
    <w:rsid w:val="009F2409"/>
    <w:rsid w:val="009F2725"/>
    <w:rsid w:val="009F288D"/>
    <w:rsid w:val="009F2A27"/>
    <w:rsid w:val="009F2BE1"/>
    <w:rsid w:val="009F2E62"/>
    <w:rsid w:val="009F2FD2"/>
    <w:rsid w:val="009F3077"/>
    <w:rsid w:val="009F3134"/>
    <w:rsid w:val="009F3404"/>
    <w:rsid w:val="009F3415"/>
    <w:rsid w:val="009F34F1"/>
    <w:rsid w:val="009F368A"/>
    <w:rsid w:val="009F38F2"/>
    <w:rsid w:val="009F39D5"/>
    <w:rsid w:val="009F3A3A"/>
    <w:rsid w:val="009F3BE2"/>
    <w:rsid w:val="009F3E63"/>
    <w:rsid w:val="009F4050"/>
    <w:rsid w:val="009F42B0"/>
    <w:rsid w:val="009F43F5"/>
    <w:rsid w:val="009F4526"/>
    <w:rsid w:val="009F4A9A"/>
    <w:rsid w:val="009F4C27"/>
    <w:rsid w:val="009F4D7A"/>
    <w:rsid w:val="009F51A4"/>
    <w:rsid w:val="009F5B57"/>
    <w:rsid w:val="009F5B9D"/>
    <w:rsid w:val="009F64DE"/>
    <w:rsid w:val="009F64F7"/>
    <w:rsid w:val="009F6D9F"/>
    <w:rsid w:val="009F6F96"/>
    <w:rsid w:val="009F71F3"/>
    <w:rsid w:val="009F764C"/>
    <w:rsid w:val="009F7D21"/>
    <w:rsid w:val="009F7DE1"/>
    <w:rsid w:val="009F7DF2"/>
    <w:rsid w:val="009F92E0"/>
    <w:rsid w:val="00A0009A"/>
    <w:rsid w:val="00A003BF"/>
    <w:rsid w:val="00A00602"/>
    <w:rsid w:val="00A00BC3"/>
    <w:rsid w:val="00A01612"/>
    <w:rsid w:val="00A0175B"/>
    <w:rsid w:val="00A01B58"/>
    <w:rsid w:val="00A02289"/>
    <w:rsid w:val="00A026EB"/>
    <w:rsid w:val="00A026F6"/>
    <w:rsid w:val="00A0273E"/>
    <w:rsid w:val="00A029CF"/>
    <w:rsid w:val="00A02A03"/>
    <w:rsid w:val="00A02A6D"/>
    <w:rsid w:val="00A02D87"/>
    <w:rsid w:val="00A02DEE"/>
    <w:rsid w:val="00A03017"/>
    <w:rsid w:val="00A03079"/>
    <w:rsid w:val="00A032F8"/>
    <w:rsid w:val="00A0396D"/>
    <w:rsid w:val="00A03CAB"/>
    <w:rsid w:val="00A04096"/>
    <w:rsid w:val="00A040EB"/>
    <w:rsid w:val="00A0420F"/>
    <w:rsid w:val="00A0425A"/>
    <w:rsid w:val="00A042D8"/>
    <w:rsid w:val="00A04636"/>
    <w:rsid w:val="00A04681"/>
    <w:rsid w:val="00A0477C"/>
    <w:rsid w:val="00A04838"/>
    <w:rsid w:val="00A04CBA"/>
    <w:rsid w:val="00A05173"/>
    <w:rsid w:val="00A05455"/>
    <w:rsid w:val="00A05485"/>
    <w:rsid w:val="00A05D25"/>
    <w:rsid w:val="00A05D58"/>
    <w:rsid w:val="00A0600A"/>
    <w:rsid w:val="00A06219"/>
    <w:rsid w:val="00A06390"/>
    <w:rsid w:val="00A06547"/>
    <w:rsid w:val="00A068EA"/>
    <w:rsid w:val="00A06C42"/>
    <w:rsid w:val="00A06D03"/>
    <w:rsid w:val="00A06E13"/>
    <w:rsid w:val="00A07889"/>
    <w:rsid w:val="00A07F7F"/>
    <w:rsid w:val="00A07FA2"/>
    <w:rsid w:val="00A101D0"/>
    <w:rsid w:val="00A10224"/>
    <w:rsid w:val="00A103FF"/>
    <w:rsid w:val="00A10A99"/>
    <w:rsid w:val="00A1104C"/>
    <w:rsid w:val="00A110DE"/>
    <w:rsid w:val="00A1110B"/>
    <w:rsid w:val="00A1173A"/>
    <w:rsid w:val="00A11A7D"/>
    <w:rsid w:val="00A11AEE"/>
    <w:rsid w:val="00A11CA1"/>
    <w:rsid w:val="00A1228C"/>
    <w:rsid w:val="00A1254F"/>
    <w:rsid w:val="00A1266D"/>
    <w:rsid w:val="00A1275E"/>
    <w:rsid w:val="00A12D71"/>
    <w:rsid w:val="00A12DC2"/>
    <w:rsid w:val="00A12DDF"/>
    <w:rsid w:val="00A12E8B"/>
    <w:rsid w:val="00A1302C"/>
    <w:rsid w:val="00A13049"/>
    <w:rsid w:val="00A13058"/>
    <w:rsid w:val="00A13376"/>
    <w:rsid w:val="00A13673"/>
    <w:rsid w:val="00A14019"/>
    <w:rsid w:val="00A1427A"/>
    <w:rsid w:val="00A142AE"/>
    <w:rsid w:val="00A1458A"/>
    <w:rsid w:val="00A14675"/>
    <w:rsid w:val="00A1495E"/>
    <w:rsid w:val="00A14B3D"/>
    <w:rsid w:val="00A14C06"/>
    <w:rsid w:val="00A1511B"/>
    <w:rsid w:val="00A15229"/>
    <w:rsid w:val="00A15250"/>
    <w:rsid w:val="00A15378"/>
    <w:rsid w:val="00A156F7"/>
    <w:rsid w:val="00A15785"/>
    <w:rsid w:val="00A15B40"/>
    <w:rsid w:val="00A15DE8"/>
    <w:rsid w:val="00A15DFF"/>
    <w:rsid w:val="00A15EB0"/>
    <w:rsid w:val="00A15EF5"/>
    <w:rsid w:val="00A161DF"/>
    <w:rsid w:val="00A1649F"/>
    <w:rsid w:val="00A169EF"/>
    <w:rsid w:val="00A16CA6"/>
    <w:rsid w:val="00A16E86"/>
    <w:rsid w:val="00A17169"/>
    <w:rsid w:val="00A1730F"/>
    <w:rsid w:val="00A1746F"/>
    <w:rsid w:val="00A17686"/>
    <w:rsid w:val="00A177B2"/>
    <w:rsid w:val="00A1793C"/>
    <w:rsid w:val="00A17ACC"/>
    <w:rsid w:val="00A17B3B"/>
    <w:rsid w:val="00A17B7B"/>
    <w:rsid w:val="00A17D12"/>
    <w:rsid w:val="00A17F1C"/>
    <w:rsid w:val="00A17F30"/>
    <w:rsid w:val="00A2043B"/>
    <w:rsid w:val="00A2044D"/>
    <w:rsid w:val="00A206C3"/>
    <w:rsid w:val="00A208F3"/>
    <w:rsid w:val="00A20954"/>
    <w:rsid w:val="00A20B97"/>
    <w:rsid w:val="00A20BD1"/>
    <w:rsid w:val="00A20DAD"/>
    <w:rsid w:val="00A20EAE"/>
    <w:rsid w:val="00A20F7B"/>
    <w:rsid w:val="00A213D4"/>
    <w:rsid w:val="00A214A1"/>
    <w:rsid w:val="00A21518"/>
    <w:rsid w:val="00A21573"/>
    <w:rsid w:val="00A215B6"/>
    <w:rsid w:val="00A21701"/>
    <w:rsid w:val="00A21726"/>
    <w:rsid w:val="00A223F2"/>
    <w:rsid w:val="00A2282D"/>
    <w:rsid w:val="00A2292A"/>
    <w:rsid w:val="00A22975"/>
    <w:rsid w:val="00A22D8B"/>
    <w:rsid w:val="00A22DEB"/>
    <w:rsid w:val="00A22E65"/>
    <w:rsid w:val="00A2313B"/>
    <w:rsid w:val="00A23153"/>
    <w:rsid w:val="00A231C2"/>
    <w:rsid w:val="00A2345A"/>
    <w:rsid w:val="00A237BD"/>
    <w:rsid w:val="00A23EB9"/>
    <w:rsid w:val="00A2407F"/>
    <w:rsid w:val="00A24355"/>
    <w:rsid w:val="00A24439"/>
    <w:rsid w:val="00A2461B"/>
    <w:rsid w:val="00A24D59"/>
    <w:rsid w:val="00A24DBE"/>
    <w:rsid w:val="00A24F3E"/>
    <w:rsid w:val="00A2514E"/>
    <w:rsid w:val="00A2520A"/>
    <w:rsid w:val="00A252A5"/>
    <w:rsid w:val="00A25437"/>
    <w:rsid w:val="00A255BE"/>
    <w:rsid w:val="00A255CB"/>
    <w:rsid w:val="00A2577B"/>
    <w:rsid w:val="00A257DA"/>
    <w:rsid w:val="00A25C7C"/>
    <w:rsid w:val="00A25E73"/>
    <w:rsid w:val="00A26033"/>
    <w:rsid w:val="00A2609F"/>
    <w:rsid w:val="00A261F0"/>
    <w:rsid w:val="00A264FA"/>
    <w:rsid w:val="00A26D86"/>
    <w:rsid w:val="00A26E13"/>
    <w:rsid w:val="00A27067"/>
    <w:rsid w:val="00A271E9"/>
    <w:rsid w:val="00A2765B"/>
    <w:rsid w:val="00A2770D"/>
    <w:rsid w:val="00A2782E"/>
    <w:rsid w:val="00A27A4E"/>
    <w:rsid w:val="00A27C71"/>
    <w:rsid w:val="00A27DDF"/>
    <w:rsid w:val="00A30276"/>
    <w:rsid w:val="00A30320"/>
    <w:rsid w:val="00A305A0"/>
    <w:rsid w:val="00A30715"/>
    <w:rsid w:val="00A30757"/>
    <w:rsid w:val="00A30D03"/>
    <w:rsid w:val="00A30D55"/>
    <w:rsid w:val="00A310B0"/>
    <w:rsid w:val="00A31181"/>
    <w:rsid w:val="00A314D9"/>
    <w:rsid w:val="00A31789"/>
    <w:rsid w:val="00A318A9"/>
    <w:rsid w:val="00A31E40"/>
    <w:rsid w:val="00A327EF"/>
    <w:rsid w:val="00A32C13"/>
    <w:rsid w:val="00A32C1E"/>
    <w:rsid w:val="00A32C40"/>
    <w:rsid w:val="00A32CAA"/>
    <w:rsid w:val="00A3331F"/>
    <w:rsid w:val="00A3337D"/>
    <w:rsid w:val="00A333F2"/>
    <w:rsid w:val="00A3342F"/>
    <w:rsid w:val="00A33650"/>
    <w:rsid w:val="00A33A33"/>
    <w:rsid w:val="00A33D10"/>
    <w:rsid w:val="00A34141"/>
    <w:rsid w:val="00A343C6"/>
    <w:rsid w:val="00A344D2"/>
    <w:rsid w:val="00A346B7"/>
    <w:rsid w:val="00A347DF"/>
    <w:rsid w:val="00A347FE"/>
    <w:rsid w:val="00A3494D"/>
    <w:rsid w:val="00A34A83"/>
    <w:rsid w:val="00A35081"/>
    <w:rsid w:val="00A3512D"/>
    <w:rsid w:val="00A3518A"/>
    <w:rsid w:val="00A3539B"/>
    <w:rsid w:val="00A35D88"/>
    <w:rsid w:val="00A3606A"/>
    <w:rsid w:val="00A36182"/>
    <w:rsid w:val="00A36252"/>
    <w:rsid w:val="00A3627F"/>
    <w:rsid w:val="00A36311"/>
    <w:rsid w:val="00A36362"/>
    <w:rsid w:val="00A363D5"/>
    <w:rsid w:val="00A363F2"/>
    <w:rsid w:val="00A36606"/>
    <w:rsid w:val="00A3661F"/>
    <w:rsid w:val="00A3667B"/>
    <w:rsid w:val="00A3693B"/>
    <w:rsid w:val="00A36AAC"/>
    <w:rsid w:val="00A36BAE"/>
    <w:rsid w:val="00A36C73"/>
    <w:rsid w:val="00A37589"/>
    <w:rsid w:val="00A378A6"/>
    <w:rsid w:val="00A37FB8"/>
    <w:rsid w:val="00A401E7"/>
    <w:rsid w:val="00A40370"/>
    <w:rsid w:val="00A409E6"/>
    <w:rsid w:val="00A40CC1"/>
    <w:rsid w:val="00A40FEF"/>
    <w:rsid w:val="00A41142"/>
    <w:rsid w:val="00A41381"/>
    <w:rsid w:val="00A41485"/>
    <w:rsid w:val="00A416DD"/>
    <w:rsid w:val="00A417AB"/>
    <w:rsid w:val="00A41B1C"/>
    <w:rsid w:val="00A41F5B"/>
    <w:rsid w:val="00A4246D"/>
    <w:rsid w:val="00A4311B"/>
    <w:rsid w:val="00A4342E"/>
    <w:rsid w:val="00A434B3"/>
    <w:rsid w:val="00A43B8C"/>
    <w:rsid w:val="00A43BBC"/>
    <w:rsid w:val="00A43D8E"/>
    <w:rsid w:val="00A440A0"/>
    <w:rsid w:val="00A44142"/>
    <w:rsid w:val="00A441E5"/>
    <w:rsid w:val="00A4422A"/>
    <w:rsid w:val="00A4450B"/>
    <w:rsid w:val="00A445ED"/>
    <w:rsid w:val="00A447AE"/>
    <w:rsid w:val="00A44A2E"/>
    <w:rsid w:val="00A44D9E"/>
    <w:rsid w:val="00A44DAA"/>
    <w:rsid w:val="00A44FAB"/>
    <w:rsid w:val="00A45105"/>
    <w:rsid w:val="00A452B9"/>
    <w:rsid w:val="00A4543E"/>
    <w:rsid w:val="00A45446"/>
    <w:rsid w:val="00A45A1D"/>
    <w:rsid w:val="00A45B14"/>
    <w:rsid w:val="00A45F3E"/>
    <w:rsid w:val="00A4615C"/>
    <w:rsid w:val="00A46316"/>
    <w:rsid w:val="00A464D4"/>
    <w:rsid w:val="00A46584"/>
    <w:rsid w:val="00A46800"/>
    <w:rsid w:val="00A46836"/>
    <w:rsid w:val="00A46B70"/>
    <w:rsid w:val="00A46D52"/>
    <w:rsid w:val="00A46D65"/>
    <w:rsid w:val="00A4719D"/>
    <w:rsid w:val="00A47319"/>
    <w:rsid w:val="00A473B8"/>
    <w:rsid w:val="00A474FF"/>
    <w:rsid w:val="00A47706"/>
    <w:rsid w:val="00A4772A"/>
    <w:rsid w:val="00A47B96"/>
    <w:rsid w:val="00A47E3A"/>
    <w:rsid w:val="00A5040E"/>
    <w:rsid w:val="00A50605"/>
    <w:rsid w:val="00A508DB"/>
    <w:rsid w:val="00A508F1"/>
    <w:rsid w:val="00A50AE0"/>
    <w:rsid w:val="00A50E5D"/>
    <w:rsid w:val="00A51466"/>
    <w:rsid w:val="00A5204D"/>
    <w:rsid w:val="00A5224B"/>
    <w:rsid w:val="00A5274B"/>
    <w:rsid w:val="00A52782"/>
    <w:rsid w:val="00A52DC9"/>
    <w:rsid w:val="00A5313A"/>
    <w:rsid w:val="00A532D0"/>
    <w:rsid w:val="00A53A42"/>
    <w:rsid w:val="00A53B81"/>
    <w:rsid w:val="00A53D12"/>
    <w:rsid w:val="00A53E2D"/>
    <w:rsid w:val="00A54048"/>
    <w:rsid w:val="00A54111"/>
    <w:rsid w:val="00A54AAF"/>
    <w:rsid w:val="00A54EA3"/>
    <w:rsid w:val="00A556E2"/>
    <w:rsid w:val="00A558BC"/>
    <w:rsid w:val="00A55B66"/>
    <w:rsid w:val="00A55C9D"/>
    <w:rsid w:val="00A55F56"/>
    <w:rsid w:val="00A56608"/>
    <w:rsid w:val="00A568BE"/>
    <w:rsid w:val="00A569F3"/>
    <w:rsid w:val="00A56C03"/>
    <w:rsid w:val="00A56E56"/>
    <w:rsid w:val="00A56EB8"/>
    <w:rsid w:val="00A56EFD"/>
    <w:rsid w:val="00A5721E"/>
    <w:rsid w:val="00A57644"/>
    <w:rsid w:val="00A577B7"/>
    <w:rsid w:val="00A57876"/>
    <w:rsid w:val="00A57B00"/>
    <w:rsid w:val="00A57F6D"/>
    <w:rsid w:val="00A57F83"/>
    <w:rsid w:val="00A600E3"/>
    <w:rsid w:val="00A6028A"/>
    <w:rsid w:val="00A607CA"/>
    <w:rsid w:val="00A60933"/>
    <w:rsid w:val="00A609EA"/>
    <w:rsid w:val="00A60BB0"/>
    <w:rsid w:val="00A60D2E"/>
    <w:rsid w:val="00A60F43"/>
    <w:rsid w:val="00A610D8"/>
    <w:rsid w:val="00A61153"/>
    <w:rsid w:val="00A611CD"/>
    <w:rsid w:val="00A611D5"/>
    <w:rsid w:val="00A6173E"/>
    <w:rsid w:val="00A61896"/>
    <w:rsid w:val="00A61D96"/>
    <w:rsid w:val="00A61EDE"/>
    <w:rsid w:val="00A61F08"/>
    <w:rsid w:val="00A61FF6"/>
    <w:rsid w:val="00A62063"/>
    <w:rsid w:val="00A62198"/>
    <w:rsid w:val="00A62297"/>
    <w:rsid w:val="00A623A9"/>
    <w:rsid w:val="00A6261D"/>
    <w:rsid w:val="00A6270E"/>
    <w:rsid w:val="00A62804"/>
    <w:rsid w:val="00A62B3E"/>
    <w:rsid w:val="00A62BA9"/>
    <w:rsid w:val="00A62F09"/>
    <w:rsid w:val="00A6321F"/>
    <w:rsid w:val="00A6351A"/>
    <w:rsid w:val="00A63531"/>
    <w:rsid w:val="00A6354C"/>
    <w:rsid w:val="00A63589"/>
    <w:rsid w:val="00A63B13"/>
    <w:rsid w:val="00A64195"/>
    <w:rsid w:val="00A6475F"/>
    <w:rsid w:val="00A6477B"/>
    <w:rsid w:val="00A64789"/>
    <w:rsid w:val="00A652E6"/>
    <w:rsid w:val="00A65470"/>
    <w:rsid w:val="00A6549B"/>
    <w:rsid w:val="00A65611"/>
    <w:rsid w:val="00A65884"/>
    <w:rsid w:val="00A658CB"/>
    <w:rsid w:val="00A65922"/>
    <w:rsid w:val="00A663B3"/>
    <w:rsid w:val="00A66510"/>
    <w:rsid w:val="00A66A0B"/>
    <w:rsid w:val="00A66ED1"/>
    <w:rsid w:val="00A66F3F"/>
    <w:rsid w:val="00A6746F"/>
    <w:rsid w:val="00A67508"/>
    <w:rsid w:val="00A67692"/>
    <w:rsid w:val="00A67B88"/>
    <w:rsid w:val="00A70674"/>
    <w:rsid w:val="00A7090E"/>
    <w:rsid w:val="00A7094B"/>
    <w:rsid w:val="00A70B31"/>
    <w:rsid w:val="00A70C0E"/>
    <w:rsid w:val="00A70D81"/>
    <w:rsid w:val="00A711E7"/>
    <w:rsid w:val="00A71280"/>
    <w:rsid w:val="00A71489"/>
    <w:rsid w:val="00A71758"/>
    <w:rsid w:val="00A718C1"/>
    <w:rsid w:val="00A71B09"/>
    <w:rsid w:val="00A71D3E"/>
    <w:rsid w:val="00A71D7F"/>
    <w:rsid w:val="00A722EE"/>
    <w:rsid w:val="00A7256E"/>
    <w:rsid w:val="00A726A9"/>
    <w:rsid w:val="00A72989"/>
    <w:rsid w:val="00A72BA9"/>
    <w:rsid w:val="00A72BB1"/>
    <w:rsid w:val="00A72CA2"/>
    <w:rsid w:val="00A72FBE"/>
    <w:rsid w:val="00A73265"/>
    <w:rsid w:val="00A73481"/>
    <w:rsid w:val="00A734CC"/>
    <w:rsid w:val="00A7358D"/>
    <w:rsid w:val="00A739C7"/>
    <w:rsid w:val="00A73D4C"/>
    <w:rsid w:val="00A73F12"/>
    <w:rsid w:val="00A741D4"/>
    <w:rsid w:val="00A74206"/>
    <w:rsid w:val="00A7450C"/>
    <w:rsid w:val="00A74552"/>
    <w:rsid w:val="00A7465B"/>
    <w:rsid w:val="00A7478C"/>
    <w:rsid w:val="00A74ADD"/>
    <w:rsid w:val="00A74C25"/>
    <w:rsid w:val="00A74D5F"/>
    <w:rsid w:val="00A74E1C"/>
    <w:rsid w:val="00A74E77"/>
    <w:rsid w:val="00A750C3"/>
    <w:rsid w:val="00A75294"/>
    <w:rsid w:val="00A75452"/>
    <w:rsid w:val="00A75AC3"/>
    <w:rsid w:val="00A75D7E"/>
    <w:rsid w:val="00A75DA8"/>
    <w:rsid w:val="00A75DFA"/>
    <w:rsid w:val="00A75E85"/>
    <w:rsid w:val="00A75EAB"/>
    <w:rsid w:val="00A75F9F"/>
    <w:rsid w:val="00A7626C"/>
    <w:rsid w:val="00A76434"/>
    <w:rsid w:val="00A7651C"/>
    <w:rsid w:val="00A76529"/>
    <w:rsid w:val="00A766EF"/>
    <w:rsid w:val="00A76D63"/>
    <w:rsid w:val="00A76E68"/>
    <w:rsid w:val="00A77055"/>
    <w:rsid w:val="00A77083"/>
    <w:rsid w:val="00A77427"/>
    <w:rsid w:val="00A776BA"/>
    <w:rsid w:val="00A778F2"/>
    <w:rsid w:val="00A77A33"/>
    <w:rsid w:val="00A77A46"/>
    <w:rsid w:val="00A77E1E"/>
    <w:rsid w:val="00A77E3B"/>
    <w:rsid w:val="00A77ED8"/>
    <w:rsid w:val="00A77F5A"/>
    <w:rsid w:val="00A80060"/>
    <w:rsid w:val="00A803D6"/>
    <w:rsid w:val="00A80C02"/>
    <w:rsid w:val="00A80CCE"/>
    <w:rsid w:val="00A80E15"/>
    <w:rsid w:val="00A80F88"/>
    <w:rsid w:val="00A812AA"/>
    <w:rsid w:val="00A812FE"/>
    <w:rsid w:val="00A81302"/>
    <w:rsid w:val="00A8142D"/>
    <w:rsid w:val="00A8189C"/>
    <w:rsid w:val="00A81920"/>
    <w:rsid w:val="00A81B6D"/>
    <w:rsid w:val="00A81CC6"/>
    <w:rsid w:val="00A8225B"/>
    <w:rsid w:val="00A82A0C"/>
    <w:rsid w:val="00A82A56"/>
    <w:rsid w:val="00A82AFF"/>
    <w:rsid w:val="00A82CFA"/>
    <w:rsid w:val="00A82FBD"/>
    <w:rsid w:val="00A83030"/>
    <w:rsid w:val="00A83133"/>
    <w:rsid w:val="00A832EE"/>
    <w:rsid w:val="00A8341E"/>
    <w:rsid w:val="00A83471"/>
    <w:rsid w:val="00A83C69"/>
    <w:rsid w:val="00A83D6E"/>
    <w:rsid w:val="00A83F25"/>
    <w:rsid w:val="00A84341"/>
    <w:rsid w:val="00A84554"/>
    <w:rsid w:val="00A84733"/>
    <w:rsid w:val="00A84905"/>
    <w:rsid w:val="00A85105"/>
    <w:rsid w:val="00A8516B"/>
    <w:rsid w:val="00A8538A"/>
    <w:rsid w:val="00A8552A"/>
    <w:rsid w:val="00A8572D"/>
    <w:rsid w:val="00A85A37"/>
    <w:rsid w:val="00A85F4D"/>
    <w:rsid w:val="00A85F61"/>
    <w:rsid w:val="00A86032"/>
    <w:rsid w:val="00A86314"/>
    <w:rsid w:val="00A86382"/>
    <w:rsid w:val="00A865C3"/>
    <w:rsid w:val="00A869CE"/>
    <w:rsid w:val="00A86A10"/>
    <w:rsid w:val="00A86C74"/>
    <w:rsid w:val="00A86E4C"/>
    <w:rsid w:val="00A87064"/>
    <w:rsid w:val="00A872C8"/>
    <w:rsid w:val="00A87521"/>
    <w:rsid w:val="00A90354"/>
    <w:rsid w:val="00A90A33"/>
    <w:rsid w:val="00A90A77"/>
    <w:rsid w:val="00A90C20"/>
    <w:rsid w:val="00A90C5B"/>
    <w:rsid w:val="00A90ED7"/>
    <w:rsid w:val="00A90F6D"/>
    <w:rsid w:val="00A915A1"/>
    <w:rsid w:val="00A91768"/>
    <w:rsid w:val="00A919CC"/>
    <w:rsid w:val="00A91A55"/>
    <w:rsid w:val="00A91D75"/>
    <w:rsid w:val="00A92104"/>
    <w:rsid w:val="00A92437"/>
    <w:rsid w:val="00A92550"/>
    <w:rsid w:val="00A925B4"/>
    <w:rsid w:val="00A92962"/>
    <w:rsid w:val="00A929AE"/>
    <w:rsid w:val="00A92A07"/>
    <w:rsid w:val="00A92A31"/>
    <w:rsid w:val="00A92CB4"/>
    <w:rsid w:val="00A92DE2"/>
    <w:rsid w:val="00A92F31"/>
    <w:rsid w:val="00A93017"/>
    <w:rsid w:val="00A93604"/>
    <w:rsid w:val="00A9374E"/>
    <w:rsid w:val="00A93A58"/>
    <w:rsid w:val="00A93D53"/>
    <w:rsid w:val="00A93F97"/>
    <w:rsid w:val="00A9430A"/>
    <w:rsid w:val="00A946DB"/>
    <w:rsid w:val="00A946FD"/>
    <w:rsid w:val="00A94893"/>
    <w:rsid w:val="00A94A65"/>
    <w:rsid w:val="00A94AD0"/>
    <w:rsid w:val="00A94CAF"/>
    <w:rsid w:val="00A9505E"/>
    <w:rsid w:val="00A950CC"/>
    <w:rsid w:val="00A952E2"/>
    <w:rsid w:val="00A955A4"/>
    <w:rsid w:val="00A955F8"/>
    <w:rsid w:val="00A959C7"/>
    <w:rsid w:val="00A95A4B"/>
    <w:rsid w:val="00A95F42"/>
    <w:rsid w:val="00A969E4"/>
    <w:rsid w:val="00A96A51"/>
    <w:rsid w:val="00A96ED9"/>
    <w:rsid w:val="00A970C3"/>
    <w:rsid w:val="00A971DD"/>
    <w:rsid w:val="00A971EA"/>
    <w:rsid w:val="00A97212"/>
    <w:rsid w:val="00A973F7"/>
    <w:rsid w:val="00A978D4"/>
    <w:rsid w:val="00A97AE1"/>
    <w:rsid w:val="00A97B02"/>
    <w:rsid w:val="00A97B47"/>
    <w:rsid w:val="00A97BD1"/>
    <w:rsid w:val="00A97F7E"/>
    <w:rsid w:val="00A97FE7"/>
    <w:rsid w:val="00AA00FF"/>
    <w:rsid w:val="00AA0167"/>
    <w:rsid w:val="00AA05C2"/>
    <w:rsid w:val="00AA081C"/>
    <w:rsid w:val="00AA095E"/>
    <w:rsid w:val="00AA0B16"/>
    <w:rsid w:val="00AA0C1B"/>
    <w:rsid w:val="00AA13F6"/>
    <w:rsid w:val="00AA177F"/>
    <w:rsid w:val="00AA1F93"/>
    <w:rsid w:val="00AA24DF"/>
    <w:rsid w:val="00AA279E"/>
    <w:rsid w:val="00AA29B4"/>
    <w:rsid w:val="00AA2AEE"/>
    <w:rsid w:val="00AA2F33"/>
    <w:rsid w:val="00AA2F43"/>
    <w:rsid w:val="00AA3045"/>
    <w:rsid w:val="00AA3703"/>
    <w:rsid w:val="00AA3B91"/>
    <w:rsid w:val="00AA3C2B"/>
    <w:rsid w:val="00AA3E4D"/>
    <w:rsid w:val="00AA3F7B"/>
    <w:rsid w:val="00AA4123"/>
    <w:rsid w:val="00AA42DF"/>
    <w:rsid w:val="00AA4592"/>
    <w:rsid w:val="00AA47E7"/>
    <w:rsid w:val="00AA4880"/>
    <w:rsid w:val="00AA48DD"/>
    <w:rsid w:val="00AA49BE"/>
    <w:rsid w:val="00AA4E66"/>
    <w:rsid w:val="00AA4FBB"/>
    <w:rsid w:val="00AA514E"/>
    <w:rsid w:val="00AA517D"/>
    <w:rsid w:val="00AA5215"/>
    <w:rsid w:val="00AA5873"/>
    <w:rsid w:val="00AA6028"/>
    <w:rsid w:val="00AA60BF"/>
    <w:rsid w:val="00AA6273"/>
    <w:rsid w:val="00AA63B9"/>
    <w:rsid w:val="00AA64E5"/>
    <w:rsid w:val="00AA6577"/>
    <w:rsid w:val="00AA657C"/>
    <w:rsid w:val="00AA65D8"/>
    <w:rsid w:val="00AA6995"/>
    <w:rsid w:val="00AA6DE2"/>
    <w:rsid w:val="00AA6DFE"/>
    <w:rsid w:val="00AA6EF3"/>
    <w:rsid w:val="00AA713F"/>
    <w:rsid w:val="00AA7503"/>
    <w:rsid w:val="00AA757F"/>
    <w:rsid w:val="00AA7687"/>
    <w:rsid w:val="00AA7764"/>
    <w:rsid w:val="00AA78BA"/>
    <w:rsid w:val="00AA78F3"/>
    <w:rsid w:val="00AA7A95"/>
    <w:rsid w:val="00AA7CFC"/>
    <w:rsid w:val="00AA7FE0"/>
    <w:rsid w:val="00AB003F"/>
    <w:rsid w:val="00AB0593"/>
    <w:rsid w:val="00AB06B6"/>
    <w:rsid w:val="00AB0976"/>
    <w:rsid w:val="00AB0AC7"/>
    <w:rsid w:val="00AB0E4F"/>
    <w:rsid w:val="00AB1018"/>
    <w:rsid w:val="00AB1075"/>
    <w:rsid w:val="00AB1508"/>
    <w:rsid w:val="00AB153A"/>
    <w:rsid w:val="00AB183A"/>
    <w:rsid w:val="00AB188C"/>
    <w:rsid w:val="00AB199B"/>
    <w:rsid w:val="00AB1BE6"/>
    <w:rsid w:val="00AB1E03"/>
    <w:rsid w:val="00AB2097"/>
    <w:rsid w:val="00AB21A0"/>
    <w:rsid w:val="00AB21D9"/>
    <w:rsid w:val="00AB22E0"/>
    <w:rsid w:val="00AB252B"/>
    <w:rsid w:val="00AB2546"/>
    <w:rsid w:val="00AB25A4"/>
    <w:rsid w:val="00AB26C5"/>
    <w:rsid w:val="00AB2833"/>
    <w:rsid w:val="00AB286E"/>
    <w:rsid w:val="00AB2AFB"/>
    <w:rsid w:val="00AB2C5A"/>
    <w:rsid w:val="00AB2DA0"/>
    <w:rsid w:val="00AB2DD7"/>
    <w:rsid w:val="00AB2FD3"/>
    <w:rsid w:val="00AB3217"/>
    <w:rsid w:val="00AB347F"/>
    <w:rsid w:val="00AB3846"/>
    <w:rsid w:val="00AB39F5"/>
    <w:rsid w:val="00AB3D0E"/>
    <w:rsid w:val="00AB3E4E"/>
    <w:rsid w:val="00AB433D"/>
    <w:rsid w:val="00AB43B5"/>
    <w:rsid w:val="00AB443F"/>
    <w:rsid w:val="00AB45AF"/>
    <w:rsid w:val="00AB4A70"/>
    <w:rsid w:val="00AB51F5"/>
    <w:rsid w:val="00AB5393"/>
    <w:rsid w:val="00AB567C"/>
    <w:rsid w:val="00AB573A"/>
    <w:rsid w:val="00AB57CB"/>
    <w:rsid w:val="00AB580A"/>
    <w:rsid w:val="00AB588A"/>
    <w:rsid w:val="00AB5A3F"/>
    <w:rsid w:val="00AB5CD0"/>
    <w:rsid w:val="00AB5EED"/>
    <w:rsid w:val="00AB6012"/>
    <w:rsid w:val="00AB6094"/>
    <w:rsid w:val="00AB60F1"/>
    <w:rsid w:val="00AB6368"/>
    <w:rsid w:val="00AB6498"/>
    <w:rsid w:val="00AB69B2"/>
    <w:rsid w:val="00AB6B65"/>
    <w:rsid w:val="00AB6B89"/>
    <w:rsid w:val="00AB6BA0"/>
    <w:rsid w:val="00AB6BEE"/>
    <w:rsid w:val="00AB6C6F"/>
    <w:rsid w:val="00AB6E3C"/>
    <w:rsid w:val="00AB731F"/>
    <w:rsid w:val="00AB74B0"/>
    <w:rsid w:val="00AB7BCD"/>
    <w:rsid w:val="00AC025F"/>
    <w:rsid w:val="00AC092F"/>
    <w:rsid w:val="00AC0B74"/>
    <w:rsid w:val="00AC0FF6"/>
    <w:rsid w:val="00AC103A"/>
    <w:rsid w:val="00AC1078"/>
    <w:rsid w:val="00AC178B"/>
    <w:rsid w:val="00AC17A1"/>
    <w:rsid w:val="00AC1AC1"/>
    <w:rsid w:val="00AC1B57"/>
    <w:rsid w:val="00AC1CDA"/>
    <w:rsid w:val="00AC1E3A"/>
    <w:rsid w:val="00AC1FE1"/>
    <w:rsid w:val="00AC2691"/>
    <w:rsid w:val="00AC2840"/>
    <w:rsid w:val="00AC2A1B"/>
    <w:rsid w:val="00AC2ABB"/>
    <w:rsid w:val="00AC2B46"/>
    <w:rsid w:val="00AC2EF1"/>
    <w:rsid w:val="00AC316E"/>
    <w:rsid w:val="00AC3311"/>
    <w:rsid w:val="00AC3443"/>
    <w:rsid w:val="00AC3B4A"/>
    <w:rsid w:val="00AC3DAF"/>
    <w:rsid w:val="00AC40C8"/>
    <w:rsid w:val="00AC422F"/>
    <w:rsid w:val="00AC476F"/>
    <w:rsid w:val="00AC4BA1"/>
    <w:rsid w:val="00AC4CF0"/>
    <w:rsid w:val="00AC4FD2"/>
    <w:rsid w:val="00AC5521"/>
    <w:rsid w:val="00AC56B5"/>
    <w:rsid w:val="00AC577E"/>
    <w:rsid w:val="00AC59D2"/>
    <w:rsid w:val="00AC5FB6"/>
    <w:rsid w:val="00AC607A"/>
    <w:rsid w:val="00AC6088"/>
    <w:rsid w:val="00AC60B4"/>
    <w:rsid w:val="00AC60C1"/>
    <w:rsid w:val="00AC61A5"/>
    <w:rsid w:val="00AC61D5"/>
    <w:rsid w:val="00AC67BD"/>
    <w:rsid w:val="00AC681C"/>
    <w:rsid w:val="00AC69E5"/>
    <w:rsid w:val="00AC6B9F"/>
    <w:rsid w:val="00AC6E34"/>
    <w:rsid w:val="00AC70F0"/>
    <w:rsid w:val="00AC7683"/>
    <w:rsid w:val="00AC775B"/>
    <w:rsid w:val="00AC779E"/>
    <w:rsid w:val="00AC7A39"/>
    <w:rsid w:val="00AC7F60"/>
    <w:rsid w:val="00AD0128"/>
    <w:rsid w:val="00AD0140"/>
    <w:rsid w:val="00AD01BE"/>
    <w:rsid w:val="00AD0621"/>
    <w:rsid w:val="00AD0966"/>
    <w:rsid w:val="00AD0A78"/>
    <w:rsid w:val="00AD0F89"/>
    <w:rsid w:val="00AD1762"/>
    <w:rsid w:val="00AD17D4"/>
    <w:rsid w:val="00AD1914"/>
    <w:rsid w:val="00AD1AED"/>
    <w:rsid w:val="00AD1B25"/>
    <w:rsid w:val="00AD1C1D"/>
    <w:rsid w:val="00AD229B"/>
    <w:rsid w:val="00AD23D8"/>
    <w:rsid w:val="00AD242F"/>
    <w:rsid w:val="00AD25AB"/>
    <w:rsid w:val="00AD287E"/>
    <w:rsid w:val="00AD2942"/>
    <w:rsid w:val="00AD2971"/>
    <w:rsid w:val="00AD2B12"/>
    <w:rsid w:val="00AD2C98"/>
    <w:rsid w:val="00AD2F46"/>
    <w:rsid w:val="00AD2F69"/>
    <w:rsid w:val="00AD337F"/>
    <w:rsid w:val="00AD344D"/>
    <w:rsid w:val="00AD3485"/>
    <w:rsid w:val="00AD36ED"/>
    <w:rsid w:val="00AD3755"/>
    <w:rsid w:val="00AD37AC"/>
    <w:rsid w:val="00AD3A21"/>
    <w:rsid w:val="00AD3F05"/>
    <w:rsid w:val="00AD43C4"/>
    <w:rsid w:val="00AD47EE"/>
    <w:rsid w:val="00AD4856"/>
    <w:rsid w:val="00AD4A09"/>
    <w:rsid w:val="00AD4F8C"/>
    <w:rsid w:val="00AD5175"/>
    <w:rsid w:val="00AD5310"/>
    <w:rsid w:val="00AD5312"/>
    <w:rsid w:val="00AD5A5E"/>
    <w:rsid w:val="00AD5C3C"/>
    <w:rsid w:val="00AD5CCC"/>
    <w:rsid w:val="00AD6109"/>
    <w:rsid w:val="00AD6165"/>
    <w:rsid w:val="00AD62CA"/>
    <w:rsid w:val="00AD6385"/>
    <w:rsid w:val="00AD63D8"/>
    <w:rsid w:val="00AD65F7"/>
    <w:rsid w:val="00AD6BFE"/>
    <w:rsid w:val="00AD6E52"/>
    <w:rsid w:val="00AD7036"/>
    <w:rsid w:val="00AD7603"/>
    <w:rsid w:val="00AD773C"/>
    <w:rsid w:val="00AD7A74"/>
    <w:rsid w:val="00AE0235"/>
    <w:rsid w:val="00AE0502"/>
    <w:rsid w:val="00AE05BA"/>
    <w:rsid w:val="00AE073A"/>
    <w:rsid w:val="00AE0764"/>
    <w:rsid w:val="00AE07D7"/>
    <w:rsid w:val="00AE07DA"/>
    <w:rsid w:val="00AE095E"/>
    <w:rsid w:val="00AE099C"/>
    <w:rsid w:val="00AE0D2C"/>
    <w:rsid w:val="00AE0EB6"/>
    <w:rsid w:val="00AE10A6"/>
    <w:rsid w:val="00AE12E6"/>
    <w:rsid w:val="00AE15C8"/>
    <w:rsid w:val="00AE1EFD"/>
    <w:rsid w:val="00AE2369"/>
    <w:rsid w:val="00AE2385"/>
    <w:rsid w:val="00AE2485"/>
    <w:rsid w:val="00AE28A9"/>
    <w:rsid w:val="00AE292A"/>
    <w:rsid w:val="00AE2B0A"/>
    <w:rsid w:val="00AE2BBE"/>
    <w:rsid w:val="00AE2C41"/>
    <w:rsid w:val="00AE3264"/>
    <w:rsid w:val="00AE3722"/>
    <w:rsid w:val="00AE37D5"/>
    <w:rsid w:val="00AE389F"/>
    <w:rsid w:val="00AE39F8"/>
    <w:rsid w:val="00AE3B9D"/>
    <w:rsid w:val="00AE3D55"/>
    <w:rsid w:val="00AE3F20"/>
    <w:rsid w:val="00AE4264"/>
    <w:rsid w:val="00AE4359"/>
    <w:rsid w:val="00AE43E0"/>
    <w:rsid w:val="00AE457C"/>
    <w:rsid w:val="00AE4DEE"/>
    <w:rsid w:val="00AE51AC"/>
    <w:rsid w:val="00AE52B0"/>
    <w:rsid w:val="00AE53DA"/>
    <w:rsid w:val="00AE57AE"/>
    <w:rsid w:val="00AE599C"/>
    <w:rsid w:val="00AE59DC"/>
    <w:rsid w:val="00AE5A2E"/>
    <w:rsid w:val="00AE5B14"/>
    <w:rsid w:val="00AE5EF3"/>
    <w:rsid w:val="00AE60CC"/>
    <w:rsid w:val="00AE6123"/>
    <w:rsid w:val="00AE6345"/>
    <w:rsid w:val="00AE63AB"/>
    <w:rsid w:val="00AE660C"/>
    <w:rsid w:val="00AE6838"/>
    <w:rsid w:val="00AE6BD3"/>
    <w:rsid w:val="00AE6E19"/>
    <w:rsid w:val="00AE6FD8"/>
    <w:rsid w:val="00AE7256"/>
    <w:rsid w:val="00AE7400"/>
    <w:rsid w:val="00AE7849"/>
    <w:rsid w:val="00AE7B10"/>
    <w:rsid w:val="00AE7C86"/>
    <w:rsid w:val="00AE7EB3"/>
    <w:rsid w:val="00AF0048"/>
    <w:rsid w:val="00AF0263"/>
    <w:rsid w:val="00AF030C"/>
    <w:rsid w:val="00AF06E4"/>
    <w:rsid w:val="00AF08F6"/>
    <w:rsid w:val="00AF0D1E"/>
    <w:rsid w:val="00AF0DA5"/>
    <w:rsid w:val="00AF0EC7"/>
    <w:rsid w:val="00AF1126"/>
    <w:rsid w:val="00AF1B4F"/>
    <w:rsid w:val="00AF1D44"/>
    <w:rsid w:val="00AF1F15"/>
    <w:rsid w:val="00AF23C1"/>
    <w:rsid w:val="00AF262C"/>
    <w:rsid w:val="00AF27AA"/>
    <w:rsid w:val="00AF287B"/>
    <w:rsid w:val="00AF29A9"/>
    <w:rsid w:val="00AF2A26"/>
    <w:rsid w:val="00AF2AD1"/>
    <w:rsid w:val="00AF2E2F"/>
    <w:rsid w:val="00AF2EC8"/>
    <w:rsid w:val="00AF2FF4"/>
    <w:rsid w:val="00AF3481"/>
    <w:rsid w:val="00AF350F"/>
    <w:rsid w:val="00AF35A5"/>
    <w:rsid w:val="00AF35A8"/>
    <w:rsid w:val="00AF35DB"/>
    <w:rsid w:val="00AF3881"/>
    <w:rsid w:val="00AF3949"/>
    <w:rsid w:val="00AF3999"/>
    <w:rsid w:val="00AF3EDA"/>
    <w:rsid w:val="00AF429A"/>
    <w:rsid w:val="00AF4AF6"/>
    <w:rsid w:val="00AF4DAF"/>
    <w:rsid w:val="00AF4E0E"/>
    <w:rsid w:val="00AF4E61"/>
    <w:rsid w:val="00AF51A2"/>
    <w:rsid w:val="00AF53DA"/>
    <w:rsid w:val="00AF544A"/>
    <w:rsid w:val="00AF5461"/>
    <w:rsid w:val="00AF577F"/>
    <w:rsid w:val="00AF578B"/>
    <w:rsid w:val="00AF581B"/>
    <w:rsid w:val="00AF5832"/>
    <w:rsid w:val="00AF585A"/>
    <w:rsid w:val="00AF59C9"/>
    <w:rsid w:val="00AF5C81"/>
    <w:rsid w:val="00AF6097"/>
    <w:rsid w:val="00AF6261"/>
    <w:rsid w:val="00AF635C"/>
    <w:rsid w:val="00AF654B"/>
    <w:rsid w:val="00AF672A"/>
    <w:rsid w:val="00AF67C1"/>
    <w:rsid w:val="00AF6C56"/>
    <w:rsid w:val="00AF6E34"/>
    <w:rsid w:val="00AF70DE"/>
    <w:rsid w:val="00AF772B"/>
    <w:rsid w:val="00AF7767"/>
    <w:rsid w:val="00AF7A44"/>
    <w:rsid w:val="00AF7BFF"/>
    <w:rsid w:val="00B00211"/>
    <w:rsid w:val="00B004B0"/>
    <w:rsid w:val="00B006A3"/>
    <w:rsid w:val="00B00891"/>
    <w:rsid w:val="00B008A5"/>
    <w:rsid w:val="00B00A39"/>
    <w:rsid w:val="00B00A89"/>
    <w:rsid w:val="00B00BC5"/>
    <w:rsid w:val="00B00DFC"/>
    <w:rsid w:val="00B00F35"/>
    <w:rsid w:val="00B010DB"/>
    <w:rsid w:val="00B01408"/>
    <w:rsid w:val="00B0154C"/>
    <w:rsid w:val="00B0162D"/>
    <w:rsid w:val="00B01659"/>
    <w:rsid w:val="00B01762"/>
    <w:rsid w:val="00B01C9C"/>
    <w:rsid w:val="00B01D4C"/>
    <w:rsid w:val="00B01D66"/>
    <w:rsid w:val="00B021CD"/>
    <w:rsid w:val="00B024E4"/>
    <w:rsid w:val="00B026F1"/>
    <w:rsid w:val="00B0272C"/>
    <w:rsid w:val="00B0277A"/>
    <w:rsid w:val="00B02C83"/>
    <w:rsid w:val="00B02CFD"/>
    <w:rsid w:val="00B02DCD"/>
    <w:rsid w:val="00B02E12"/>
    <w:rsid w:val="00B03148"/>
    <w:rsid w:val="00B03333"/>
    <w:rsid w:val="00B03712"/>
    <w:rsid w:val="00B03748"/>
    <w:rsid w:val="00B037C6"/>
    <w:rsid w:val="00B03833"/>
    <w:rsid w:val="00B038F4"/>
    <w:rsid w:val="00B03E86"/>
    <w:rsid w:val="00B03E89"/>
    <w:rsid w:val="00B03F0E"/>
    <w:rsid w:val="00B03FD8"/>
    <w:rsid w:val="00B04093"/>
    <w:rsid w:val="00B04278"/>
    <w:rsid w:val="00B048F4"/>
    <w:rsid w:val="00B04AFD"/>
    <w:rsid w:val="00B04B80"/>
    <w:rsid w:val="00B04D06"/>
    <w:rsid w:val="00B04F9C"/>
    <w:rsid w:val="00B04FC6"/>
    <w:rsid w:val="00B051B1"/>
    <w:rsid w:val="00B05377"/>
    <w:rsid w:val="00B0581F"/>
    <w:rsid w:val="00B05940"/>
    <w:rsid w:val="00B059AA"/>
    <w:rsid w:val="00B05B1F"/>
    <w:rsid w:val="00B05E0A"/>
    <w:rsid w:val="00B05E75"/>
    <w:rsid w:val="00B06072"/>
    <w:rsid w:val="00B066C7"/>
    <w:rsid w:val="00B070D0"/>
    <w:rsid w:val="00B071FA"/>
    <w:rsid w:val="00B0726D"/>
    <w:rsid w:val="00B07327"/>
    <w:rsid w:val="00B07341"/>
    <w:rsid w:val="00B07B39"/>
    <w:rsid w:val="00B07BE6"/>
    <w:rsid w:val="00B07E51"/>
    <w:rsid w:val="00B07EAA"/>
    <w:rsid w:val="00B10680"/>
    <w:rsid w:val="00B107DE"/>
    <w:rsid w:val="00B1089B"/>
    <w:rsid w:val="00B10B2D"/>
    <w:rsid w:val="00B10C5E"/>
    <w:rsid w:val="00B10C88"/>
    <w:rsid w:val="00B1103F"/>
    <w:rsid w:val="00B113BB"/>
    <w:rsid w:val="00B115D9"/>
    <w:rsid w:val="00B11819"/>
    <w:rsid w:val="00B11E50"/>
    <w:rsid w:val="00B11FE9"/>
    <w:rsid w:val="00B12157"/>
    <w:rsid w:val="00B12288"/>
    <w:rsid w:val="00B12876"/>
    <w:rsid w:val="00B12945"/>
    <w:rsid w:val="00B12A9A"/>
    <w:rsid w:val="00B12B03"/>
    <w:rsid w:val="00B12CAE"/>
    <w:rsid w:val="00B13044"/>
    <w:rsid w:val="00B130D2"/>
    <w:rsid w:val="00B135AD"/>
    <w:rsid w:val="00B1376A"/>
    <w:rsid w:val="00B13B94"/>
    <w:rsid w:val="00B13F5B"/>
    <w:rsid w:val="00B13FD2"/>
    <w:rsid w:val="00B143CA"/>
    <w:rsid w:val="00B148C0"/>
    <w:rsid w:val="00B14C41"/>
    <w:rsid w:val="00B1547E"/>
    <w:rsid w:val="00B15642"/>
    <w:rsid w:val="00B15757"/>
    <w:rsid w:val="00B1578D"/>
    <w:rsid w:val="00B15823"/>
    <w:rsid w:val="00B1591D"/>
    <w:rsid w:val="00B1599B"/>
    <w:rsid w:val="00B15A76"/>
    <w:rsid w:val="00B15AC7"/>
    <w:rsid w:val="00B15AE7"/>
    <w:rsid w:val="00B15DF1"/>
    <w:rsid w:val="00B15F5C"/>
    <w:rsid w:val="00B15FE4"/>
    <w:rsid w:val="00B16157"/>
    <w:rsid w:val="00B1659A"/>
    <w:rsid w:val="00B16D1C"/>
    <w:rsid w:val="00B17048"/>
    <w:rsid w:val="00B176C5"/>
    <w:rsid w:val="00B17B24"/>
    <w:rsid w:val="00B20263"/>
    <w:rsid w:val="00B203EE"/>
    <w:rsid w:val="00B206F4"/>
    <w:rsid w:val="00B208BE"/>
    <w:rsid w:val="00B20A99"/>
    <w:rsid w:val="00B20ED8"/>
    <w:rsid w:val="00B20F6C"/>
    <w:rsid w:val="00B21335"/>
    <w:rsid w:val="00B213A2"/>
    <w:rsid w:val="00B2144F"/>
    <w:rsid w:val="00B216D5"/>
    <w:rsid w:val="00B217D9"/>
    <w:rsid w:val="00B21999"/>
    <w:rsid w:val="00B219B3"/>
    <w:rsid w:val="00B21A6A"/>
    <w:rsid w:val="00B21B2F"/>
    <w:rsid w:val="00B21C84"/>
    <w:rsid w:val="00B222ED"/>
    <w:rsid w:val="00B2235F"/>
    <w:rsid w:val="00B227B3"/>
    <w:rsid w:val="00B22AF4"/>
    <w:rsid w:val="00B22C3E"/>
    <w:rsid w:val="00B22DBF"/>
    <w:rsid w:val="00B23139"/>
    <w:rsid w:val="00B2340F"/>
    <w:rsid w:val="00B238B9"/>
    <w:rsid w:val="00B239AE"/>
    <w:rsid w:val="00B23EBF"/>
    <w:rsid w:val="00B243CF"/>
    <w:rsid w:val="00B246B9"/>
    <w:rsid w:val="00B24B20"/>
    <w:rsid w:val="00B24C92"/>
    <w:rsid w:val="00B24CCA"/>
    <w:rsid w:val="00B24D56"/>
    <w:rsid w:val="00B251C9"/>
    <w:rsid w:val="00B251E6"/>
    <w:rsid w:val="00B253FF"/>
    <w:rsid w:val="00B255A5"/>
    <w:rsid w:val="00B256E5"/>
    <w:rsid w:val="00B25CC8"/>
    <w:rsid w:val="00B25F3E"/>
    <w:rsid w:val="00B26619"/>
    <w:rsid w:val="00B26794"/>
    <w:rsid w:val="00B2697C"/>
    <w:rsid w:val="00B26A54"/>
    <w:rsid w:val="00B26AA1"/>
    <w:rsid w:val="00B26BD9"/>
    <w:rsid w:val="00B26D06"/>
    <w:rsid w:val="00B26F26"/>
    <w:rsid w:val="00B270DD"/>
    <w:rsid w:val="00B279FC"/>
    <w:rsid w:val="00B30002"/>
    <w:rsid w:val="00B30343"/>
    <w:rsid w:val="00B30802"/>
    <w:rsid w:val="00B30A7C"/>
    <w:rsid w:val="00B30C61"/>
    <w:rsid w:val="00B30C9E"/>
    <w:rsid w:val="00B30D51"/>
    <w:rsid w:val="00B313B5"/>
    <w:rsid w:val="00B31798"/>
    <w:rsid w:val="00B318AB"/>
    <w:rsid w:val="00B31DC7"/>
    <w:rsid w:val="00B31F82"/>
    <w:rsid w:val="00B3213A"/>
    <w:rsid w:val="00B32385"/>
    <w:rsid w:val="00B3258D"/>
    <w:rsid w:val="00B3260C"/>
    <w:rsid w:val="00B32717"/>
    <w:rsid w:val="00B32FB3"/>
    <w:rsid w:val="00B332F9"/>
    <w:rsid w:val="00B335A0"/>
    <w:rsid w:val="00B33613"/>
    <w:rsid w:val="00B3366D"/>
    <w:rsid w:val="00B337DB"/>
    <w:rsid w:val="00B339EA"/>
    <w:rsid w:val="00B34114"/>
    <w:rsid w:val="00B34293"/>
    <w:rsid w:val="00B34448"/>
    <w:rsid w:val="00B34974"/>
    <w:rsid w:val="00B34DE5"/>
    <w:rsid w:val="00B351FD"/>
    <w:rsid w:val="00B352F2"/>
    <w:rsid w:val="00B3537F"/>
    <w:rsid w:val="00B35608"/>
    <w:rsid w:val="00B35787"/>
    <w:rsid w:val="00B35D10"/>
    <w:rsid w:val="00B361FA"/>
    <w:rsid w:val="00B36494"/>
    <w:rsid w:val="00B364E6"/>
    <w:rsid w:val="00B36FE9"/>
    <w:rsid w:val="00B371D2"/>
    <w:rsid w:val="00B37209"/>
    <w:rsid w:val="00B37349"/>
    <w:rsid w:val="00B374B7"/>
    <w:rsid w:val="00B37962"/>
    <w:rsid w:val="00B379A0"/>
    <w:rsid w:val="00B37A64"/>
    <w:rsid w:val="00B37ABB"/>
    <w:rsid w:val="00B37E46"/>
    <w:rsid w:val="00B405B4"/>
    <w:rsid w:val="00B409C1"/>
    <w:rsid w:val="00B40A8F"/>
    <w:rsid w:val="00B40CB0"/>
    <w:rsid w:val="00B40E12"/>
    <w:rsid w:val="00B40E1C"/>
    <w:rsid w:val="00B412E9"/>
    <w:rsid w:val="00B413B7"/>
    <w:rsid w:val="00B4148E"/>
    <w:rsid w:val="00B41588"/>
    <w:rsid w:val="00B415CA"/>
    <w:rsid w:val="00B41CB1"/>
    <w:rsid w:val="00B41CDF"/>
    <w:rsid w:val="00B41D87"/>
    <w:rsid w:val="00B42930"/>
    <w:rsid w:val="00B42C1D"/>
    <w:rsid w:val="00B430A0"/>
    <w:rsid w:val="00B432A2"/>
    <w:rsid w:val="00B432B5"/>
    <w:rsid w:val="00B43571"/>
    <w:rsid w:val="00B435F6"/>
    <w:rsid w:val="00B436A9"/>
    <w:rsid w:val="00B4399E"/>
    <w:rsid w:val="00B43AEC"/>
    <w:rsid w:val="00B43BD1"/>
    <w:rsid w:val="00B43E46"/>
    <w:rsid w:val="00B446BC"/>
    <w:rsid w:val="00B4482A"/>
    <w:rsid w:val="00B448EC"/>
    <w:rsid w:val="00B44B5F"/>
    <w:rsid w:val="00B4519A"/>
    <w:rsid w:val="00B452CD"/>
    <w:rsid w:val="00B45CF1"/>
    <w:rsid w:val="00B45F6B"/>
    <w:rsid w:val="00B46036"/>
    <w:rsid w:val="00B46195"/>
    <w:rsid w:val="00B461C1"/>
    <w:rsid w:val="00B46884"/>
    <w:rsid w:val="00B469FD"/>
    <w:rsid w:val="00B469FE"/>
    <w:rsid w:val="00B46DAA"/>
    <w:rsid w:val="00B46FC8"/>
    <w:rsid w:val="00B473F6"/>
    <w:rsid w:val="00B4759A"/>
    <w:rsid w:val="00B47854"/>
    <w:rsid w:val="00B47953"/>
    <w:rsid w:val="00B47A09"/>
    <w:rsid w:val="00B47ED2"/>
    <w:rsid w:val="00B50161"/>
    <w:rsid w:val="00B5017A"/>
    <w:rsid w:val="00B502EB"/>
    <w:rsid w:val="00B50505"/>
    <w:rsid w:val="00B5078C"/>
    <w:rsid w:val="00B508A0"/>
    <w:rsid w:val="00B50BB5"/>
    <w:rsid w:val="00B50FF0"/>
    <w:rsid w:val="00B51447"/>
    <w:rsid w:val="00B514A5"/>
    <w:rsid w:val="00B51598"/>
    <w:rsid w:val="00B519DC"/>
    <w:rsid w:val="00B51DC2"/>
    <w:rsid w:val="00B523AF"/>
    <w:rsid w:val="00B52455"/>
    <w:rsid w:val="00B52554"/>
    <w:rsid w:val="00B526BC"/>
    <w:rsid w:val="00B530B2"/>
    <w:rsid w:val="00B53166"/>
    <w:rsid w:val="00B53176"/>
    <w:rsid w:val="00B53566"/>
    <w:rsid w:val="00B53BB1"/>
    <w:rsid w:val="00B53CCD"/>
    <w:rsid w:val="00B53D16"/>
    <w:rsid w:val="00B53EB6"/>
    <w:rsid w:val="00B542EC"/>
    <w:rsid w:val="00B5432C"/>
    <w:rsid w:val="00B5433F"/>
    <w:rsid w:val="00B5443E"/>
    <w:rsid w:val="00B5465F"/>
    <w:rsid w:val="00B547FD"/>
    <w:rsid w:val="00B54A39"/>
    <w:rsid w:val="00B54B96"/>
    <w:rsid w:val="00B54BA1"/>
    <w:rsid w:val="00B54CAE"/>
    <w:rsid w:val="00B55189"/>
    <w:rsid w:val="00B55345"/>
    <w:rsid w:val="00B553D9"/>
    <w:rsid w:val="00B55408"/>
    <w:rsid w:val="00B555AF"/>
    <w:rsid w:val="00B5598C"/>
    <w:rsid w:val="00B55C7D"/>
    <w:rsid w:val="00B55EED"/>
    <w:rsid w:val="00B5600E"/>
    <w:rsid w:val="00B5653C"/>
    <w:rsid w:val="00B56881"/>
    <w:rsid w:val="00B5693E"/>
    <w:rsid w:val="00B57581"/>
    <w:rsid w:val="00B6021A"/>
    <w:rsid w:val="00B60253"/>
    <w:rsid w:val="00B604A2"/>
    <w:rsid w:val="00B607A7"/>
    <w:rsid w:val="00B60A3F"/>
    <w:rsid w:val="00B60C0A"/>
    <w:rsid w:val="00B60CF4"/>
    <w:rsid w:val="00B60D04"/>
    <w:rsid w:val="00B61B46"/>
    <w:rsid w:val="00B61FB9"/>
    <w:rsid w:val="00B621DB"/>
    <w:rsid w:val="00B62331"/>
    <w:rsid w:val="00B62463"/>
    <w:rsid w:val="00B6277D"/>
    <w:rsid w:val="00B62845"/>
    <w:rsid w:val="00B62859"/>
    <w:rsid w:val="00B62E0B"/>
    <w:rsid w:val="00B63042"/>
    <w:rsid w:val="00B63096"/>
    <w:rsid w:val="00B63238"/>
    <w:rsid w:val="00B6327E"/>
    <w:rsid w:val="00B632EC"/>
    <w:rsid w:val="00B63696"/>
    <w:rsid w:val="00B63998"/>
    <w:rsid w:val="00B63ABA"/>
    <w:rsid w:val="00B63BA2"/>
    <w:rsid w:val="00B63D7A"/>
    <w:rsid w:val="00B63F4F"/>
    <w:rsid w:val="00B64464"/>
    <w:rsid w:val="00B6472C"/>
    <w:rsid w:val="00B647E4"/>
    <w:rsid w:val="00B6496F"/>
    <w:rsid w:val="00B64E9B"/>
    <w:rsid w:val="00B65484"/>
    <w:rsid w:val="00B654EB"/>
    <w:rsid w:val="00B659E0"/>
    <w:rsid w:val="00B65A30"/>
    <w:rsid w:val="00B65CB5"/>
    <w:rsid w:val="00B665CE"/>
    <w:rsid w:val="00B667A5"/>
    <w:rsid w:val="00B667EE"/>
    <w:rsid w:val="00B66E5D"/>
    <w:rsid w:val="00B66FD3"/>
    <w:rsid w:val="00B670C4"/>
    <w:rsid w:val="00B67288"/>
    <w:rsid w:val="00B67A31"/>
    <w:rsid w:val="00B67EFA"/>
    <w:rsid w:val="00B67F1B"/>
    <w:rsid w:val="00B67FD1"/>
    <w:rsid w:val="00B70153"/>
    <w:rsid w:val="00B705E1"/>
    <w:rsid w:val="00B708FF"/>
    <w:rsid w:val="00B70CC1"/>
    <w:rsid w:val="00B70D70"/>
    <w:rsid w:val="00B70EDB"/>
    <w:rsid w:val="00B70F21"/>
    <w:rsid w:val="00B714E6"/>
    <w:rsid w:val="00B71550"/>
    <w:rsid w:val="00B715D6"/>
    <w:rsid w:val="00B716B0"/>
    <w:rsid w:val="00B71D2F"/>
    <w:rsid w:val="00B71E33"/>
    <w:rsid w:val="00B71F9B"/>
    <w:rsid w:val="00B72055"/>
    <w:rsid w:val="00B721ED"/>
    <w:rsid w:val="00B72232"/>
    <w:rsid w:val="00B7226F"/>
    <w:rsid w:val="00B72510"/>
    <w:rsid w:val="00B728FC"/>
    <w:rsid w:val="00B72A95"/>
    <w:rsid w:val="00B72C3B"/>
    <w:rsid w:val="00B72CE4"/>
    <w:rsid w:val="00B72D82"/>
    <w:rsid w:val="00B73037"/>
    <w:rsid w:val="00B73108"/>
    <w:rsid w:val="00B7310D"/>
    <w:rsid w:val="00B733CB"/>
    <w:rsid w:val="00B73734"/>
    <w:rsid w:val="00B737FF"/>
    <w:rsid w:val="00B73841"/>
    <w:rsid w:val="00B738E8"/>
    <w:rsid w:val="00B739BF"/>
    <w:rsid w:val="00B73B3C"/>
    <w:rsid w:val="00B73BCA"/>
    <w:rsid w:val="00B73C26"/>
    <w:rsid w:val="00B73C51"/>
    <w:rsid w:val="00B73F2B"/>
    <w:rsid w:val="00B73F43"/>
    <w:rsid w:val="00B73F7F"/>
    <w:rsid w:val="00B73F9D"/>
    <w:rsid w:val="00B740DD"/>
    <w:rsid w:val="00B741FA"/>
    <w:rsid w:val="00B7423B"/>
    <w:rsid w:val="00B742B5"/>
    <w:rsid w:val="00B7435D"/>
    <w:rsid w:val="00B743B3"/>
    <w:rsid w:val="00B74503"/>
    <w:rsid w:val="00B74820"/>
    <w:rsid w:val="00B7485C"/>
    <w:rsid w:val="00B748D1"/>
    <w:rsid w:val="00B74954"/>
    <w:rsid w:val="00B74973"/>
    <w:rsid w:val="00B74B37"/>
    <w:rsid w:val="00B74B88"/>
    <w:rsid w:val="00B74C73"/>
    <w:rsid w:val="00B74DED"/>
    <w:rsid w:val="00B751BF"/>
    <w:rsid w:val="00B7560C"/>
    <w:rsid w:val="00B75BE7"/>
    <w:rsid w:val="00B75C3A"/>
    <w:rsid w:val="00B75DF3"/>
    <w:rsid w:val="00B75FE4"/>
    <w:rsid w:val="00B762CD"/>
    <w:rsid w:val="00B76787"/>
    <w:rsid w:val="00B767CB"/>
    <w:rsid w:val="00B76F39"/>
    <w:rsid w:val="00B770F8"/>
    <w:rsid w:val="00B7737D"/>
    <w:rsid w:val="00B77594"/>
    <w:rsid w:val="00B778DF"/>
    <w:rsid w:val="00B77B28"/>
    <w:rsid w:val="00B77D3B"/>
    <w:rsid w:val="00B80B24"/>
    <w:rsid w:val="00B810A3"/>
    <w:rsid w:val="00B8147A"/>
    <w:rsid w:val="00B814FB"/>
    <w:rsid w:val="00B81C83"/>
    <w:rsid w:val="00B81CBC"/>
    <w:rsid w:val="00B81E83"/>
    <w:rsid w:val="00B8213D"/>
    <w:rsid w:val="00B821E6"/>
    <w:rsid w:val="00B82742"/>
    <w:rsid w:val="00B8286E"/>
    <w:rsid w:val="00B82A3D"/>
    <w:rsid w:val="00B82DA4"/>
    <w:rsid w:val="00B82F1D"/>
    <w:rsid w:val="00B830B1"/>
    <w:rsid w:val="00B8324F"/>
    <w:rsid w:val="00B83735"/>
    <w:rsid w:val="00B83A68"/>
    <w:rsid w:val="00B83B16"/>
    <w:rsid w:val="00B83B66"/>
    <w:rsid w:val="00B843E9"/>
    <w:rsid w:val="00B843F7"/>
    <w:rsid w:val="00B845E1"/>
    <w:rsid w:val="00B847C2"/>
    <w:rsid w:val="00B8488D"/>
    <w:rsid w:val="00B849C6"/>
    <w:rsid w:val="00B84AD2"/>
    <w:rsid w:val="00B84B5F"/>
    <w:rsid w:val="00B84B7E"/>
    <w:rsid w:val="00B84CEF"/>
    <w:rsid w:val="00B84EB0"/>
    <w:rsid w:val="00B84F9F"/>
    <w:rsid w:val="00B850D9"/>
    <w:rsid w:val="00B85281"/>
    <w:rsid w:val="00B85480"/>
    <w:rsid w:val="00B854AE"/>
    <w:rsid w:val="00B85526"/>
    <w:rsid w:val="00B855BA"/>
    <w:rsid w:val="00B858F5"/>
    <w:rsid w:val="00B8591E"/>
    <w:rsid w:val="00B85CA1"/>
    <w:rsid w:val="00B85D20"/>
    <w:rsid w:val="00B85F1A"/>
    <w:rsid w:val="00B86085"/>
    <w:rsid w:val="00B86330"/>
    <w:rsid w:val="00B864ED"/>
    <w:rsid w:val="00B86602"/>
    <w:rsid w:val="00B86852"/>
    <w:rsid w:val="00B86B3B"/>
    <w:rsid w:val="00B86E7C"/>
    <w:rsid w:val="00B8701B"/>
    <w:rsid w:val="00B87575"/>
    <w:rsid w:val="00B87887"/>
    <w:rsid w:val="00B87AD4"/>
    <w:rsid w:val="00B87B53"/>
    <w:rsid w:val="00B87D25"/>
    <w:rsid w:val="00B87E0B"/>
    <w:rsid w:val="00B87E22"/>
    <w:rsid w:val="00B87FC8"/>
    <w:rsid w:val="00B87FE9"/>
    <w:rsid w:val="00B9038B"/>
    <w:rsid w:val="00B904E7"/>
    <w:rsid w:val="00B905A9"/>
    <w:rsid w:val="00B905E5"/>
    <w:rsid w:val="00B908D4"/>
    <w:rsid w:val="00B90BB2"/>
    <w:rsid w:val="00B90BB5"/>
    <w:rsid w:val="00B90C54"/>
    <w:rsid w:val="00B90D19"/>
    <w:rsid w:val="00B90F75"/>
    <w:rsid w:val="00B91643"/>
    <w:rsid w:val="00B918B3"/>
    <w:rsid w:val="00B918D6"/>
    <w:rsid w:val="00B91A46"/>
    <w:rsid w:val="00B91B65"/>
    <w:rsid w:val="00B9204C"/>
    <w:rsid w:val="00B92085"/>
    <w:rsid w:val="00B9224D"/>
    <w:rsid w:val="00B923A1"/>
    <w:rsid w:val="00B9248F"/>
    <w:rsid w:val="00B92BA6"/>
    <w:rsid w:val="00B92C87"/>
    <w:rsid w:val="00B92CF8"/>
    <w:rsid w:val="00B92E1F"/>
    <w:rsid w:val="00B931F8"/>
    <w:rsid w:val="00B935E8"/>
    <w:rsid w:val="00B936D7"/>
    <w:rsid w:val="00B93793"/>
    <w:rsid w:val="00B93A41"/>
    <w:rsid w:val="00B93A97"/>
    <w:rsid w:val="00B93AF2"/>
    <w:rsid w:val="00B93CDF"/>
    <w:rsid w:val="00B93CE8"/>
    <w:rsid w:val="00B93DEF"/>
    <w:rsid w:val="00B9425B"/>
    <w:rsid w:val="00B94732"/>
    <w:rsid w:val="00B94760"/>
    <w:rsid w:val="00B94B6D"/>
    <w:rsid w:val="00B94D69"/>
    <w:rsid w:val="00B94E23"/>
    <w:rsid w:val="00B950E4"/>
    <w:rsid w:val="00B9525B"/>
    <w:rsid w:val="00B9547F"/>
    <w:rsid w:val="00B95551"/>
    <w:rsid w:val="00B95553"/>
    <w:rsid w:val="00B95A9B"/>
    <w:rsid w:val="00B95B40"/>
    <w:rsid w:val="00B95C6A"/>
    <w:rsid w:val="00B95D7E"/>
    <w:rsid w:val="00B95FEB"/>
    <w:rsid w:val="00B9604C"/>
    <w:rsid w:val="00B96107"/>
    <w:rsid w:val="00B96402"/>
    <w:rsid w:val="00B966A2"/>
    <w:rsid w:val="00B969C5"/>
    <w:rsid w:val="00B96AAD"/>
    <w:rsid w:val="00B96F52"/>
    <w:rsid w:val="00B96FBC"/>
    <w:rsid w:val="00B97056"/>
    <w:rsid w:val="00B974F1"/>
    <w:rsid w:val="00B97585"/>
    <w:rsid w:val="00B975B2"/>
    <w:rsid w:val="00B97917"/>
    <w:rsid w:val="00B97A78"/>
    <w:rsid w:val="00B97CD5"/>
    <w:rsid w:val="00BA0515"/>
    <w:rsid w:val="00BA065D"/>
    <w:rsid w:val="00BA08BA"/>
    <w:rsid w:val="00BA0A6C"/>
    <w:rsid w:val="00BA0B9B"/>
    <w:rsid w:val="00BA1213"/>
    <w:rsid w:val="00BA1655"/>
    <w:rsid w:val="00BA1D11"/>
    <w:rsid w:val="00BA1DDC"/>
    <w:rsid w:val="00BA2145"/>
    <w:rsid w:val="00BA24C2"/>
    <w:rsid w:val="00BA263F"/>
    <w:rsid w:val="00BA2DA5"/>
    <w:rsid w:val="00BA2EA4"/>
    <w:rsid w:val="00BA2EE2"/>
    <w:rsid w:val="00BA2EFF"/>
    <w:rsid w:val="00BA2F56"/>
    <w:rsid w:val="00BA312C"/>
    <w:rsid w:val="00BA32BC"/>
    <w:rsid w:val="00BA3303"/>
    <w:rsid w:val="00BA3736"/>
    <w:rsid w:val="00BA375B"/>
    <w:rsid w:val="00BA3A33"/>
    <w:rsid w:val="00BA3AC4"/>
    <w:rsid w:val="00BA3AF5"/>
    <w:rsid w:val="00BA3B2E"/>
    <w:rsid w:val="00BA3B33"/>
    <w:rsid w:val="00BA3B9D"/>
    <w:rsid w:val="00BA3D1A"/>
    <w:rsid w:val="00BA3DBF"/>
    <w:rsid w:val="00BA4248"/>
    <w:rsid w:val="00BA46E9"/>
    <w:rsid w:val="00BA4AF1"/>
    <w:rsid w:val="00BA5176"/>
    <w:rsid w:val="00BA557C"/>
    <w:rsid w:val="00BA558D"/>
    <w:rsid w:val="00BA56AC"/>
    <w:rsid w:val="00BA5CF7"/>
    <w:rsid w:val="00BA5E0D"/>
    <w:rsid w:val="00BA60BA"/>
    <w:rsid w:val="00BA64F8"/>
    <w:rsid w:val="00BA66A4"/>
    <w:rsid w:val="00BA6995"/>
    <w:rsid w:val="00BA6D7C"/>
    <w:rsid w:val="00BA6EFA"/>
    <w:rsid w:val="00BA6F0C"/>
    <w:rsid w:val="00BA72E4"/>
    <w:rsid w:val="00BA7C75"/>
    <w:rsid w:val="00BA7E91"/>
    <w:rsid w:val="00BB000B"/>
    <w:rsid w:val="00BB03D1"/>
    <w:rsid w:val="00BB041E"/>
    <w:rsid w:val="00BB04EB"/>
    <w:rsid w:val="00BB09CF"/>
    <w:rsid w:val="00BB0B8F"/>
    <w:rsid w:val="00BB11F8"/>
    <w:rsid w:val="00BB1359"/>
    <w:rsid w:val="00BB13AB"/>
    <w:rsid w:val="00BB15EE"/>
    <w:rsid w:val="00BB169C"/>
    <w:rsid w:val="00BB16C8"/>
    <w:rsid w:val="00BB17F4"/>
    <w:rsid w:val="00BB1867"/>
    <w:rsid w:val="00BB18FB"/>
    <w:rsid w:val="00BB1901"/>
    <w:rsid w:val="00BB19CF"/>
    <w:rsid w:val="00BB1F62"/>
    <w:rsid w:val="00BB20C2"/>
    <w:rsid w:val="00BB22A2"/>
    <w:rsid w:val="00BB2374"/>
    <w:rsid w:val="00BB243A"/>
    <w:rsid w:val="00BB27BD"/>
    <w:rsid w:val="00BB2E91"/>
    <w:rsid w:val="00BB31C5"/>
    <w:rsid w:val="00BB31CE"/>
    <w:rsid w:val="00BB327A"/>
    <w:rsid w:val="00BB335A"/>
    <w:rsid w:val="00BB3B38"/>
    <w:rsid w:val="00BB3C09"/>
    <w:rsid w:val="00BB3CBA"/>
    <w:rsid w:val="00BB3D25"/>
    <w:rsid w:val="00BB3EBA"/>
    <w:rsid w:val="00BB3F14"/>
    <w:rsid w:val="00BB3F70"/>
    <w:rsid w:val="00BB4174"/>
    <w:rsid w:val="00BB45F8"/>
    <w:rsid w:val="00BB480A"/>
    <w:rsid w:val="00BB48C4"/>
    <w:rsid w:val="00BB4911"/>
    <w:rsid w:val="00BB4DA8"/>
    <w:rsid w:val="00BB5216"/>
    <w:rsid w:val="00BB5258"/>
    <w:rsid w:val="00BB5447"/>
    <w:rsid w:val="00BB5532"/>
    <w:rsid w:val="00BB572B"/>
    <w:rsid w:val="00BB57F7"/>
    <w:rsid w:val="00BB5B97"/>
    <w:rsid w:val="00BB5B99"/>
    <w:rsid w:val="00BB5BC3"/>
    <w:rsid w:val="00BB5F6D"/>
    <w:rsid w:val="00BB62DA"/>
    <w:rsid w:val="00BB63BD"/>
    <w:rsid w:val="00BB65C8"/>
    <w:rsid w:val="00BB67C9"/>
    <w:rsid w:val="00BB6A2B"/>
    <w:rsid w:val="00BB6C94"/>
    <w:rsid w:val="00BB6CB9"/>
    <w:rsid w:val="00BB6CE2"/>
    <w:rsid w:val="00BB6D4F"/>
    <w:rsid w:val="00BB6FCF"/>
    <w:rsid w:val="00BB7039"/>
    <w:rsid w:val="00BB7171"/>
    <w:rsid w:val="00BB7301"/>
    <w:rsid w:val="00BB74B0"/>
    <w:rsid w:val="00BB7704"/>
    <w:rsid w:val="00BB7793"/>
    <w:rsid w:val="00BB79FD"/>
    <w:rsid w:val="00BB7A86"/>
    <w:rsid w:val="00BB7C09"/>
    <w:rsid w:val="00BC0156"/>
    <w:rsid w:val="00BC037F"/>
    <w:rsid w:val="00BC03D4"/>
    <w:rsid w:val="00BC0429"/>
    <w:rsid w:val="00BC0526"/>
    <w:rsid w:val="00BC07C7"/>
    <w:rsid w:val="00BC07D3"/>
    <w:rsid w:val="00BC0A7D"/>
    <w:rsid w:val="00BC0AE6"/>
    <w:rsid w:val="00BC0CB4"/>
    <w:rsid w:val="00BC13A5"/>
    <w:rsid w:val="00BC1448"/>
    <w:rsid w:val="00BC14CA"/>
    <w:rsid w:val="00BC155D"/>
    <w:rsid w:val="00BC158F"/>
    <w:rsid w:val="00BC16A9"/>
    <w:rsid w:val="00BC189D"/>
    <w:rsid w:val="00BC1B65"/>
    <w:rsid w:val="00BC1E3C"/>
    <w:rsid w:val="00BC2000"/>
    <w:rsid w:val="00BC20FA"/>
    <w:rsid w:val="00BC213E"/>
    <w:rsid w:val="00BC245E"/>
    <w:rsid w:val="00BC24C0"/>
    <w:rsid w:val="00BC288A"/>
    <w:rsid w:val="00BC2BCF"/>
    <w:rsid w:val="00BC2DE3"/>
    <w:rsid w:val="00BC30C0"/>
    <w:rsid w:val="00BC32B9"/>
    <w:rsid w:val="00BC338B"/>
    <w:rsid w:val="00BC3EAA"/>
    <w:rsid w:val="00BC40D1"/>
    <w:rsid w:val="00BC4104"/>
    <w:rsid w:val="00BC4432"/>
    <w:rsid w:val="00BC449C"/>
    <w:rsid w:val="00BC46C1"/>
    <w:rsid w:val="00BC483A"/>
    <w:rsid w:val="00BC4857"/>
    <w:rsid w:val="00BC498C"/>
    <w:rsid w:val="00BC4FC8"/>
    <w:rsid w:val="00BC5538"/>
    <w:rsid w:val="00BC5754"/>
    <w:rsid w:val="00BC57F4"/>
    <w:rsid w:val="00BC5869"/>
    <w:rsid w:val="00BC5CDF"/>
    <w:rsid w:val="00BC5F58"/>
    <w:rsid w:val="00BC6646"/>
    <w:rsid w:val="00BC6715"/>
    <w:rsid w:val="00BC69D5"/>
    <w:rsid w:val="00BC6B24"/>
    <w:rsid w:val="00BC6C44"/>
    <w:rsid w:val="00BC6DCE"/>
    <w:rsid w:val="00BC6E45"/>
    <w:rsid w:val="00BC73DA"/>
    <w:rsid w:val="00BC754D"/>
    <w:rsid w:val="00BC7576"/>
    <w:rsid w:val="00BC75A6"/>
    <w:rsid w:val="00BC75EE"/>
    <w:rsid w:val="00BC79AB"/>
    <w:rsid w:val="00BC7ACF"/>
    <w:rsid w:val="00BC7B7A"/>
    <w:rsid w:val="00BC7CD5"/>
    <w:rsid w:val="00BC7D0B"/>
    <w:rsid w:val="00BC7D28"/>
    <w:rsid w:val="00BC7EC0"/>
    <w:rsid w:val="00BD007E"/>
    <w:rsid w:val="00BD0116"/>
    <w:rsid w:val="00BD072E"/>
    <w:rsid w:val="00BD09B4"/>
    <w:rsid w:val="00BD0EC6"/>
    <w:rsid w:val="00BD1016"/>
    <w:rsid w:val="00BD13F9"/>
    <w:rsid w:val="00BD1628"/>
    <w:rsid w:val="00BD1D32"/>
    <w:rsid w:val="00BD1E65"/>
    <w:rsid w:val="00BD23D1"/>
    <w:rsid w:val="00BD23E0"/>
    <w:rsid w:val="00BD25B1"/>
    <w:rsid w:val="00BD2A85"/>
    <w:rsid w:val="00BD2F1C"/>
    <w:rsid w:val="00BD2FF8"/>
    <w:rsid w:val="00BD3629"/>
    <w:rsid w:val="00BD36E9"/>
    <w:rsid w:val="00BD37E2"/>
    <w:rsid w:val="00BD392B"/>
    <w:rsid w:val="00BD3B77"/>
    <w:rsid w:val="00BD3BA0"/>
    <w:rsid w:val="00BD3C84"/>
    <w:rsid w:val="00BD3F92"/>
    <w:rsid w:val="00BD402C"/>
    <w:rsid w:val="00BD434B"/>
    <w:rsid w:val="00BD459D"/>
    <w:rsid w:val="00BD4611"/>
    <w:rsid w:val="00BD464B"/>
    <w:rsid w:val="00BD4E6A"/>
    <w:rsid w:val="00BD53CC"/>
    <w:rsid w:val="00BD55DD"/>
    <w:rsid w:val="00BD56A5"/>
    <w:rsid w:val="00BD592D"/>
    <w:rsid w:val="00BD5BE9"/>
    <w:rsid w:val="00BD5BEB"/>
    <w:rsid w:val="00BD5CAD"/>
    <w:rsid w:val="00BD5DDB"/>
    <w:rsid w:val="00BD5E44"/>
    <w:rsid w:val="00BD5EBA"/>
    <w:rsid w:val="00BD60DD"/>
    <w:rsid w:val="00BD61BE"/>
    <w:rsid w:val="00BD629A"/>
    <w:rsid w:val="00BD6338"/>
    <w:rsid w:val="00BD6699"/>
    <w:rsid w:val="00BD67A3"/>
    <w:rsid w:val="00BD689C"/>
    <w:rsid w:val="00BD6E18"/>
    <w:rsid w:val="00BD736F"/>
    <w:rsid w:val="00BD744D"/>
    <w:rsid w:val="00BD7707"/>
    <w:rsid w:val="00BD7B9D"/>
    <w:rsid w:val="00BD7D58"/>
    <w:rsid w:val="00BD7F97"/>
    <w:rsid w:val="00BE01C0"/>
    <w:rsid w:val="00BE023C"/>
    <w:rsid w:val="00BE0242"/>
    <w:rsid w:val="00BE0346"/>
    <w:rsid w:val="00BE0533"/>
    <w:rsid w:val="00BE0A3D"/>
    <w:rsid w:val="00BE131D"/>
    <w:rsid w:val="00BE1567"/>
    <w:rsid w:val="00BE16E6"/>
    <w:rsid w:val="00BE2069"/>
    <w:rsid w:val="00BE221A"/>
    <w:rsid w:val="00BE22B8"/>
    <w:rsid w:val="00BE2341"/>
    <w:rsid w:val="00BE2694"/>
    <w:rsid w:val="00BE26A7"/>
    <w:rsid w:val="00BE26BF"/>
    <w:rsid w:val="00BE27DC"/>
    <w:rsid w:val="00BE29D1"/>
    <w:rsid w:val="00BE2B93"/>
    <w:rsid w:val="00BE2FE3"/>
    <w:rsid w:val="00BE3024"/>
    <w:rsid w:val="00BE30E1"/>
    <w:rsid w:val="00BE3565"/>
    <w:rsid w:val="00BE369E"/>
    <w:rsid w:val="00BE38CA"/>
    <w:rsid w:val="00BE3998"/>
    <w:rsid w:val="00BE3A73"/>
    <w:rsid w:val="00BE3C30"/>
    <w:rsid w:val="00BE3F0A"/>
    <w:rsid w:val="00BE4401"/>
    <w:rsid w:val="00BE4687"/>
    <w:rsid w:val="00BE4ABA"/>
    <w:rsid w:val="00BE4C98"/>
    <w:rsid w:val="00BE4FBE"/>
    <w:rsid w:val="00BE519A"/>
    <w:rsid w:val="00BE533B"/>
    <w:rsid w:val="00BE5468"/>
    <w:rsid w:val="00BE54B4"/>
    <w:rsid w:val="00BE581A"/>
    <w:rsid w:val="00BE5A0A"/>
    <w:rsid w:val="00BE5B7F"/>
    <w:rsid w:val="00BE5CE8"/>
    <w:rsid w:val="00BE643A"/>
    <w:rsid w:val="00BE6644"/>
    <w:rsid w:val="00BE66F9"/>
    <w:rsid w:val="00BE672A"/>
    <w:rsid w:val="00BE6841"/>
    <w:rsid w:val="00BE698E"/>
    <w:rsid w:val="00BE6A15"/>
    <w:rsid w:val="00BE6C59"/>
    <w:rsid w:val="00BE6C82"/>
    <w:rsid w:val="00BE6F05"/>
    <w:rsid w:val="00BE782D"/>
    <w:rsid w:val="00BE79EB"/>
    <w:rsid w:val="00BE7CD8"/>
    <w:rsid w:val="00BE7DDC"/>
    <w:rsid w:val="00BF0066"/>
    <w:rsid w:val="00BF012C"/>
    <w:rsid w:val="00BF07B6"/>
    <w:rsid w:val="00BF0DC3"/>
    <w:rsid w:val="00BF126D"/>
    <w:rsid w:val="00BF12A0"/>
    <w:rsid w:val="00BF1692"/>
    <w:rsid w:val="00BF16B3"/>
    <w:rsid w:val="00BF1806"/>
    <w:rsid w:val="00BF1955"/>
    <w:rsid w:val="00BF19C8"/>
    <w:rsid w:val="00BF1D28"/>
    <w:rsid w:val="00BF1F37"/>
    <w:rsid w:val="00BF22EE"/>
    <w:rsid w:val="00BF239A"/>
    <w:rsid w:val="00BF2705"/>
    <w:rsid w:val="00BF276E"/>
    <w:rsid w:val="00BF2A08"/>
    <w:rsid w:val="00BF3229"/>
    <w:rsid w:val="00BF3522"/>
    <w:rsid w:val="00BF3A35"/>
    <w:rsid w:val="00BF3AD7"/>
    <w:rsid w:val="00BF4053"/>
    <w:rsid w:val="00BF40B6"/>
    <w:rsid w:val="00BF41C7"/>
    <w:rsid w:val="00BF49D3"/>
    <w:rsid w:val="00BF4B77"/>
    <w:rsid w:val="00BF4C2E"/>
    <w:rsid w:val="00BF4D1A"/>
    <w:rsid w:val="00BF4D1B"/>
    <w:rsid w:val="00BF4D66"/>
    <w:rsid w:val="00BF4F29"/>
    <w:rsid w:val="00BF575D"/>
    <w:rsid w:val="00BF578D"/>
    <w:rsid w:val="00BF5832"/>
    <w:rsid w:val="00BF5A3B"/>
    <w:rsid w:val="00BF5B3E"/>
    <w:rsid w:val="00BF6199"/>
    <w:rsid w:val="00BF6289"/>
    <w:rsid w:val="00BF656D"/>
    <w:rsid w:val="00BF6583"/>
    <w:rsid w:val="00BF667B"/>
    <w:rsid w:val="00BF66E3"/>
    <w:rsid w:val="00BF6B14"/>
    <w:rsid w:val="00BF6B82"/>
    <w:rsid w:val="00BF6E60"/>
    <w:rsid w:val="00BF7329"/>
    <w:rsid w:val="00BF738F"/>
    <w:rsid w:val="00BF7883"/>
    <w:rsid w:val="00BF799A"/>
    <w:rsid w:val="00BF7AB9"/>
    <w:rsid w:val="00BF7E78"/>
    <w:rsid w:val="00BF7F52"/>
    <w:rsid w:val="00BF7FAB"/>
    <w:rsid w:val="00C00020"/>
    <w:rsid w:val="00C0019F"/>
    <w:rsid w:val="00C002B9"/>
    <w:rsid w:val="00C008EF"/>
    <w:rsid w:val="00C00976"/>
    <w:rsid w:val="00C00ABA"/>
    <w:rsid w:val="00C00DF0"/>
    <w:rsid w:val="00C014D2"/>
    <w:rsid w:val="00C0195C"/>
    <w:rsid w:val="00C01A9B"/>
    <w:rsid w:val="00C01E12"/>
    <w:rsid w:val="00C01E3A"/>
    <w:rsid w:val="00C02479"/>
    <w:rsid w:val="00C0247E"/>
    <w:rsid w:val="00C025A7"/>
    <w:rsid w:val="00C027CA"/>
    <w:rsid w:val="00C028F0"/>
    <w:rsid w:val="00C02B33"/>
    <w:rsid w:val="00C030DE"/>
    <w:rsid w:val="00C03110"/>
    <w:rsid w:val="00C0327F"/>
    <w:rsid w:val="00C032F1"/>
    <w:rsid w:val="00C03599"/>
    <w:rsid w:val="00C037BB"/>
    <w:rsid w:val="00C03867"/>
    <w:rsid w:val="00C03A34"/>
    <w:rsid w:val="00C03AB5"/>
    <w:rsid w:val="00C03DCA"/>
    <w:rsid w:val="00C03FB0"/>
    <w:rsid w:val="00C0451E"/>
    <w:rsid w:val="00C04572"/>
    <w:rsid w:val="00C0477D"/>
    <w:rsid w:val="00C047DF"/>
    <w:rsid w:val="00C04998"/>
    <w:rsid w:val="00C04A95"/>
    <w:rsid w:val="00C04AC5"/>
    <w:rsid w:val="00C04BF1"/>
    <w:rsid w:val="00C04D49"/>
    <w:rsid w:val="00C04E6D"/>
    <w:rsid w:val="00C04F7B"/>
    <w:rsid w:val="00C052F7"/>
    <w:rsid w:val="00C0576D"/>
    <w:rsid w:val="00C05C0F"/>
    <w:rsid w:val="00C06174"/>
    <w:rsid w:val="00C0628E"/>
    <w:rsid w:val="00C06390"/>
    <w:rsid w:val="00C06564"/>
    <w:rsid w:val="00C0667F"/>
    <w:rsid w:val="00C06C0B"/>
    <w:rsid w:val="00C07193"/>
    <w:rsid w:val="00C07397"/>
    <w:rsid w:val="00C077A2"/>
    <w:rsid w:val="00C078FF"/>
    <w:rsid w:val="00C079DA"/>
    <w:rsid w:val="00C07C9F"/>
    <w:rsid w:val="00C10592"/>
    <w:rsid w:val="00C10841"/>
    <w:rsid w:val="00C10F24"/>
    <w:rsid w:val="00C111CA"/>
    <w:rsid w:val="00C11578"/>
    <w:rsid w:val="00C11C63"/>
    <w:rsid w:val="00C11D9C"/>
    <w:rsid w:val="00C12338"/>
    <w:rsid w:val="00C13251"/>
    <w:rsid w:val="00C13870"/>
    <w:rsid w:val="00C13C04"/>
    <w:rsid w:val="00C13D70"/>
    <w:rsid w:val="00C13FB3"/>
    <w:rsid w:val="00C13FDB"/>
    <w:rsid w:val="00C14568"/>
    <w:rsid w:val="00C145D1"/>
    <w:rsid w:val="00C14621"/>
    <w:rsid w:val="00C14AE9"/>
    <w:rsid w:val="00C14B41"/>
    <w:rsid w:val="00C14C63"/>
    <w:rsid w:val="00C14F04"/>
    <w:rsid w:val="00C14F75"/>
    <w:rsid w:val="00C153BB"/>
    <w:rsid w:val="00C15476"/>
    <w:rsid w:val="00C15515"/>
    <w:rsid w:val="00C15651"/>
    <w:rsid w:val="00C15758"/>
    <w:rsid w:val="00C15E8B"/>
    <w:rsid w:val="00C160B6"/>
    <w:rsid w:val="00C16215"/>
    <w:rsid w:val="00C165F2"/>
    <w:rsid w:val="00C16687"/>
    <w:rsid w:val="00C16829"/>
    <w:rsid w:val="00C169AF"/>
    <w:rsid w:val="00C16A38"/>
    <w:rsid w:val="00C16CC9"/>
    <w:rsid w:val="00C16E5C"/>
    <w:rsid w:val="00C1709C"/>
    <w:rsid w:val="00C1715F"/>
    <w:rsid w:val="00C174A9"/>
    <w:rsid w:val="00C17500"/>
    <w:rsid w:val="00C1764A"/>
    <w:rsid w:val="00C17A4A"/>
    <w:rsid w:val="00C17A72"/>
    <w:rsid w:val="00C17C92"/>
    <w:rsid w:val="00C20139"/>
    <w:rsid w:val="00C2047D"/>
    <w:rsid w:val="00C207FD"/>
    <w:rsid w:val="00C20F23"/>
    <w:rsid w:val="00C20F68"/>
    <w:rsid w:val="00C21188"/>
    <w:rsid w:val="00C2173D"/>
    <w:rsid w:val="00C21BA0"/>
    <w:rsid w:val="00C21BE6"/>
    <w:rsid w:val="00C21C27"/>
    <w:rsid w:val="00C2260C"/>
    <w:rsid w:val="00C22A8B"/>
    <w:rsid w:val="00C22E8B"/>
    <w:rsid w:val="00C23166"/>
    <w:rsid w:val="00C231A1"/>
    <w:rsid w:val="00C23235"/>
    <w:rsid w:val="00C23248"/>
    <w:rsid w:val="00C23356"/>
    <w:rsid w:val="00C23407"/>
    <w:rsid w:val="00C23529"/>
    <w:rsid w:val="00C241E7"/>
    <w:rsid w:val="00C2429E"/>
    <w:rsid w:val="00C24686"/>
    <w:rsid w:val="00C247A6"/>
    <w:rsid w:val="00C24F6A"/>
    <w:rsid w:val="00C25194"/>
    <w:rsid w:val="00C25AA2"/>
    <w:rsid w:val="00C25B85"/>
    <w:rsid w:val="00C25C5D"/>
    <w:rsid w:val="00C25C81"/>
    <w:rsid w:val="00C263B6"/>
    <w:rsid w:val="00C2663F"/>
    <w:rsid w:val="00C26807"/>
    <w:rsid w:val="00C26C7A"/>
    <w:rsid w:val="00C26CF5"/>
    <w:rsid w:val="00C2724C"/>
    <w:rsid w:val="00C274D8"/>
    <w:rsid w:val="00C274F7"/>
    <w:rsid w:val="00C278F0"/>
    <w:rsid w:val="00C27CF0"/>
    <w:rsid w:val="00C27FC7"/>
    <w:rsid w:val="00C301BC"/>
    <w:rsid w:val="00C305AC"/>
    <w:rsid w:val="00C3064D"/>
    <w:rsid w:val="00C306E1"/>
    <w:rsid w:val="00C30CF9"/>
    <w:rsid w:val="00C30EB6"/>
    <w:rsid w:val="00C3161B"/>
    <w:rsid w:val="00C31DFB"/>
    <w:rsid w:val="00C31EC3"/>
    <w:rsid w:val="00C32415"/>
    <w:rsid w:val="00C32424"/>
    <w:rsid w:val="00C3261E"/>
    <w:rsid w:val="00C32B8B"/>
    <w:rsid w:val="00C32CC8"/>
    <w:rsid w:val="00C33023"/>
    <w:rsid w:val="00C330E6"/>
    <w:rsid w:val="00C335B5"/>
    <w:rsid w:val="00C3368A"/>
    <w:rsid w:val="00C33E20"/>
    <w:rsid w:val="00C340AC"/>
    <w:rsid w:val="00C34434"/>
    <w:rsid w:val="00C345A2"/>
    <w:rsid w:val="00C34636"/>
    <w:rsid w:val="00C3482E"/>
    <w:rsid w:val="00C34A89"/>
    <w:rsid w:val="00C34ABE"/>
    <w:rsid w:val="00C34E00"/>
    <w:rsid w:val="00C34F4E"/>
    <w:rsid w:val="00C34F76"/>
    <w:rsid w:val="00C35088"/>
    <w:rsid w:val="00C357EF"/>
    <w:rsid w:val="00C358A4"/>
    <w:rsid w:val="00C35DF2"/>
    <w:rsid w:val="00C361F5"/>
    <w:rsid w:val="00C3625C"/>
    <w:rsid w:val="00C36281"/>
    <w:rsid w:val="00C362B7"/>
    <w:rsid w:val="00C36400"/>
    <w:rsid w:val="00C365CD"/>
    <w:rsid w:val="00C3672E"/>
    <w:rsid w:val="00C3695C"/>
    <w:rsid w:val="00C36B1C"/>
    <w:rsid w:val="00C36BDB"/>
    <w:rsid w:val="00C36CAD"/>
    <w:rsid w:val="00C36D8B"/>
    <w:rsid w:val="00C36DAC"/>
    <w:rsid w:val="00C36E18"/>
    <w:rsid w:val="00C37390"/>
    <w:rsid w:val="00C3772C"/>
    <w:rsid w:val="00C37952"/>
    <w:rsid w:val="00C37D59"/>
    <w:rsid w:val="00C3B3C0"/>
    <w:rsid w:val="00C404FC"/>
    <w:rsid w:val="00C40732"/>
    <w:rsid w:val="00C408DC"/>
    <w:rsid w:val="00C40C6B"/>
    <w:rsid w:val="00C4101B"/>
    <w:rsid w:val="00C41281"/>
    <w:rsid w:val="00C41803"/>
    <w:rsid w:val="00C418A1"/>
    <w:rsid w:val="00C41A85"/>
    <w:rsid w:val="00C41D51"/>
    <w:rsid w:val="00C41D69"/>
    <w:rsid w:val="00C41D80"/>
    <w:rsid w:val="00C4252A"/>
    <w:rsid w:val="00C42BF1"/>
    <w:rsid w:val="00C42BF8"/>
    <w:rsid w:val="00C42DAB"/>
    <w:rsid w:val="00C42DEC"/>
    <w:rsid w:val="00C42EDE"/>
    <w:rsid w:val="00C42F45"/>
    <w:rsid w:val="00C4306C"/>
    <w:rsid w:val="00C43502"/>
    <w:rsid w:val="00C4381F"/>
    <w:rsid w:val="00C4385F"/>
    <w:rsid w:val="00C43E7D"/>
    <w:rsid w:val="00C43EB6"/>
    <w:rsid w:val="00C43FCD"/>
    <w:rsid w:val="00C43FF1"/>
    <w:rsid w:val="00C448B9"/>
    <w:rsid w:val="00C44966"/>
    <w:rsid w:val="00C44DE3"/>
    <w:rsid w:val="00C44E96"/>
    <w:rsid w:val="00C44F0E"/>
    <w:rsid w:val="00C451BC"/>
    <w:rsid w:val="00C4527B"/>
    <w:rsid w:val="00C4563E"/>
    <w:rsid w:val="00C45A11"/>
    <w:rsid w:val="00C45B7C"/>
    <w:rsid w:val="00C45DF5"/>
    <w:rsid w:val="00C4608A"/>
    <w:rsid w:val="00C4646A"/>
    <w:rsid w:val="00C46839"/>
    <w:rsid w:val="00C46D62"/>
    <w:rsid w:val="00C46F01"/>
    <w:rsid w:val="00C4721B"/>
    <w:rsid w:val="00C4730C"/>
    <w:rsid w:val="00C4736D"/>
    <w:rsid w:val="00C473DF"/>
    <w:rsid w:val="00C47517"/>
    <w:rsid w:val="00C475CF"/>
    <w:rsid w:val="00C47603"/>
    <w:rsid w:val="00C47712"/>
    <w:rsid w:val="00C4771D"/>
    <w:rsid w:val="00C478B3"/>
    <w:rsid w:val="00C4795A"/>
    <w:rsid w:val="00C47A09"/>
    <w:rsid w:val="00C47C86"/>
    <w:rsid w:val="00C47E8E"/>
    <w:rsid w:val="00C50025"/>
    <w:rsid w:val="00C502F2"/>
    <w:rsid w:val="00C508E0"/>
    <w:rsid w:val="00C50A3D"/>
    <w:rsid w:val="00C50A6E"/>
    <w:rsid w:val="00C5109A"/>
    <w:rsid w:val="00C51449"/>
    <w:rsid w:val="00C5159D"/>
    <w:rsid w:val="00C51699"/>
    <w:rsid w:val="00C51704"/>
    <w:rsid w:val="00C51F55"/>
    <w:rsid w:val="00C525A6"/>
    <w:rsid w:val="00C5287F"/>
    <w:rsid w:val="00C52908"/>
    <w:rsid w:val="00C52A31"/>
    <w:rsid w:val="00C52B2C"/>
    <w:rsid w:val="00C52CA7"/>
    <w:rsid w:val="00C5344B"/>
    <w:rsid w:val="00C53601"/>
    <w:rsid w:val="00C5374A"/>
    <w:rsid w:val="00C5375F"/>
    <w:rsid w:val="00C53C00"/>
    <w:rsid w:val="00C54214"/>
    <w:rsid w:val="00C54223"/>
    <w:rsid w:val="00C54484"/>
    <w:rsid w:val="00C544FF"/>
    <w:rsid w:val="00C549CB"/>
    <w:rsid w:val="00C54A6F"/>
    <w:rsid w:val="00C54A9A"/>
    <w:rsid w:val="00C54E78"/>
    <w:rsid w:val="00C555A3"/>
    <w:rsid w:val="00C55910"/>
    <w:rsid w:val="00C55AC8"/>
    <w:rsid w:val="00C55C9D"/>
    <w:rsid w:val="00C56574"/>
    <w:rsid w:val="00C566AB"/>
    <w:rsid w:val="00C56908"/>
    <w:rsid w:val="00C56953"/>
    <w:rsid w:val="00C569BE"/>
    <w:rsid w:val="00C56C8B"/>
    <w:rsid w:val="00C570D9"/>
    <w:rsid w:val="00C5743F"/>
    <w:rsid w:val="00C57466"/>
    <w:rsid w:val="00C576DF"/>
    <w:rsid w:val="00C578A5"/>
    <w:rsid w:val="00C57BC5"/>
    <w:rsid w:val="00C57C6F"/>
    <w:rsid w:val="00C60140"/>
    <w:rsid w:val="00C602C6"/>
    <w:rsid w:val="00C60576"/>
    <w:rsid w:val="00C607DB"/>
    <w:rsid w:val="00C607FF"/>
    <w:rsid w:val="00C60B03"/>
    <w:rsid w:val="00C61418"/>
    <w:rsid w:val="00C61442"/>
    <w:rsid w:val="00C61682"/>
    <w:rsid w:val="00C61718"/>
    <w:rsid w:val="00C61A25"/>
    <w:rsid w:val="00C61B72"/>
    <w:rsid w:val="00C61BE0"/>
    <w:rsid w:val="00C61CD8"/>
    <w:rsid w:val="00C61E8A"/>
    <w:rsid w:val="00C62619"/>
    <w:rsid w:val="00C62649"/>
    <w:rsid w:val="00C626FD"/>
    <w:rsid w:val="00C62E02"/>
    <w:rsid w:val="00C62EBA"/>
    <w:rsid w:val="00C62F26"/>
    <w:rsid w:val="00C62F4D"/>
    <w:rsid w:val="00C63003"/>
    <w:rsid w:val="00C6314C"/>
    <w:rsid w:val="00C64651"/>
    <w:rsid w:val="00C64799"/>
    <w:rsid w:val="00C64893"/>
    <w:rsid w:val="00C648FE"/>
    <w:rsid w:val="00C64CBF"/>
    <w:rsid w:val="00C64D5A"/>
    <w:rsid w:val="00C64E10"/>
    <w:rsid w:val="00C64F1F"/>
    <w:rsid w:val="00C657B4"/>
    <w:rsid w:val="00C65888"/>
    <w:rsid w:val="00C65BE7"/>
    <w:rsid w:val="00C65DD8"/>
    <w:rsid w:val="00C65F2A"/>
    <w:rsid w:val="00C65FAE"/>
    <w:rsid w:val="00C66012"/>
    <w:rsid w:val="00C660B2"/>
    <w:rsid w:val="00C66132"/>
    <w:rsid w:val="00C66228"/>
    <w:rsid w:val="00C66BF6"/>
    <w:rsid w:val="00C66DBF"/>
    <w:rsid w:val="00C66E75"/>
    <w:rsid w:val="00C67229"/>
    <w:rsid w:val="00C6729B"/>
    <w:rsid w:val="00C6731B"/>
    <w:rsid w:val="00C674CC"/>
    <w:rsid w:val="00C67533"/>
    <w:rsid w:val="00C67588"/>
    <w:rsid w:val="00C675A7"/>
    <w:rsid w:val="00C67777"/>
    <w:rsid w:val="00C678DB"/>
    <w:rsid w:val="00C67B3A"/>
    <w:rsid w:val="00C67EFD"/>
    <w:rsid w:val="00C70203"/>
    <w:rsid w:val="00C7028E"/>
    <w:rsid w:val="00C7038B"/>
    <w:rsid w:val="00C70577"/>
    <w:rsid w:val="00C7061F"/>
    <w:rsid w:val="00C708BB"/>
    <w:rsid w:val="00C708DB"/>
    <w:rsid w:val="00C70902"/>
    <w:rsid w:val="00C70908"/>
    <w:rsid w:val="00C70E8E"/>
    <w:rsid w:val="00C70F01"/>
    <w:rsid w:val="00C7118D"/>
    <w:rsid w:val="00C71228"/>
    <w:rsid w:val="00C71258"/>
    <w:rsid w:val="00C713B1"/>
    <w:rsid w:val="00C714AA"/>
    <w:rsid w:val="00C714AE"/>
    <w:rsid w:val="00C715EF"/>
    <w:rsid w:val="00C71606"/>
    <w:rsid w:val="00C716E1"/>
    <w:rsid w:val="00C71A44"/>
    <w:rsid w:val="00C71C6C"/>
    <w:rsid w:val="00C721F6"/>
    <w:rsid w:val="00C722C7"/>
    <w:rsid w:val="00C72390"/>
    <w:rsid w:val="00C72A11"/>
    <w:rsid w:val="00C72CB9"/>
    <w:rsid w:val="00C731F0"/>
    <w:rsid w:val="00C73356"/>
    <w:rsid w:val="00C73558"/>
    <w:rsid w:val="00C73AA6"/>
    <w:rsid w:val="00C73D45"/>
    <w:rsid w:val="00C73D56"/>
    <w:rsid w:val="00C73D81"/>
    <w:rsid w:val="00C73E1E"/>
    <w:rsid w:val="00C73E47"/>
    <w:rsid w:val="00C73F35"/>
    <w:rsid w:val="00C74052"/>
    <w:rsid w:val="00C741C9"/>
    <w:rsid w:val="00C747C5"/>
    <w:rsid w:val="00C748DA"/>
    <w:rsid w:val="00C74930"/>
    <w:rsid w:val="00C74B34"/>
    <w:rsid w:val="00C74B3F"/>
    <w:rsid w:val="00C74D2E"/>
    <w:rsid w:val="00C74DF4"/>
    <w:rsid w:val="00C74EFB"/>
    <w:rsid w:val="00C75068"/>
    <w:rsid w:val="00C75278"/>
    <w:rsid w:val="00C75467"/>
    <w:rsid w:val="00C7579D"/>
    <w:rsid w:val="00C757C5"/>
    <w:rsid w:val="00C75849"/>
    <w:rsid w:val="00C759B4"/>
    <w:rsid w:val="00C75BA7"/>
    <w:rsid w:val="00C75BFF"/>
    <w:rsid w:val="00C75D65"/>
    <w:rsid w:val="00C75DCF"/>
    <w:rsid w:val="00C76191"/>
    <w:rsid w:val="00C761D8"/>
    <w:rsid w:val="00C7620B"/>
    <w:rsid w:val="00C764DC"/>
    <w:rsid w:val="00C7682B"/>
    <w:rsid w:val="00C76889"/>
    <w:rsid w:val="00C76E10"/>
    <w:rsid w:val="00C76E1B"/>
    <w:rsid w:val="00C76ED0"/>
    <w:rsid w:val="00C77069"/>
    <w:rsid w:val="00C770D8"/>
    <w:rsid w:val="00C77A93"/>
    <w:rsid w:val="00C77BC4"/>
    <w:rsid w:val="00C77BD5"/>
    <w:rsid w:val="00C77C2F"/>
    <w:rsid w:val="00C77DBC"/>
    <w:rsid w:val="00C801AE"/>
    <w:rsid w:val="00C803E5"/>
    <w:rsid w:val="00C80441"/>
    <w:rsid w:val="00C804B5"/>
    <w:rsid w:val="00C80602"/>
    <w:rsid w:val="00C80A56"/>
    <w:rsid w:val="00C80B10"/>
    <w:rsid w:val="00C80B95"/>
    <w:rsid w:val="00C80BAA"/>
    <w:rsid w:val="00C80D02"/>
    <w:rsid w:val="00C80E63"/>
    <w:rsid w:val="00C80E8B"/>
    <w:rsid w:val="00C8101E"/>
    <w:rsid w:val="00C810C9"/>
    <w:rsid w:val="00C81110"/>
    <w:rsid w:val="00C8170A"/>
    <w:rsid w:val="00C81862"/>
    <w:rsid w:val="00C81B49"/>
    <w:rsid w:val="00C824C5"/>
    <w:rsid w:val="00C82561"/>
    <w:rsid w:val="00C826DC"/>
    <w:rsid w:val="00C827C6"/>
    <w:rsid w:val="00C82F49"/>
    <w:rsid w:val="00C8310F"/>
    <w:rsid w:val="00C83496"/>
    <w:rsid w:val="00C836DE"/>
    <w:rsid w:val="00C83700"/>
    <w:rsid w:val="00C838E4"/>
    <w:rsid w:val="00C84121"/>
    <w:rsid w:val="00C84B7C"/>
    <w:rsid w:val="00C84BEF"/>
    <w:rsid w:val="00C84C74"/>
    <w:rsid w:val="00C85592"/>
    <w:rsid w:val="00C85598"/>
    <w:rsid w:val="00C858D6"/>
    <w:rsid w:val="00C85C52"/>
    <w:rsid w:val="00C85D98"/>
    <w:rsid w:val="00C86281"/>
    <w:rsid w:val="00C8631B"/>
    <w:rsid w:val="00C866FB"/>
    <w:rsid w:val="00C86958"/>
    <w:rsid w:val="00C86CFD"/>
    <w:rsid w:val="00C87076"/>
    <w:rsid w:val="00C87663"/>
    <w:rsid w:val="00C877F9"/>
    <w:rsid w:val="00C877FE"/>
    <w:rsid w:val="00C87B12"/>
    <w:rsid w:val="00C87EB6"/>
    <w:rsid w:val="00C87FC3"/>
    <w:rsid w:val="00C90091"/>
    <w:rsid w:val="00C904DD"/>
    <w:rsid w:val="00C90F95"/>
    <w:rsid w:val="00C91181"/>
    <w:rsid w:val="00C913D5"/>
    <w:rsid w:val="00C914BB"/>
    <w:rsid w:val="00C91BAF"/>
    <w:rsid w:val="00C91C72"/>
    <w:rsid w:val="00C92280"/>
    <w:rsid w:val="00C9238D"/>
    <w:rsid w:val="00C923A8"/>
    <w:rsid w:val="00C9255A"/>
    <w:rsid w:val="00C9271E"/>
    <w:rsid w:val="00C9272E"/>
    <w:rsid w:val="00C9290C"/>
    <w:rsid w:val="00C92DDB"/>
    <w:rsid w:val="00C92E09"/>
    <w:rsid w:val="00C92EA7"/>
    <w:rsid w:val="00C93282"/>
    <w:rsid w:val="00C936D0"/>
    <w:rsid w:val="00C93984"/>
    <w:rsid w:val="00C93A87"/>
    <w:rsid w:val="00C93AB6"/>
    <w:rsid w:val="00C93D74"/>
    <w:rsid w:val="00C93E0B"/>
    <w:rsid w:val="00C93F81"/>
    <w:rsid w:val="00C94895"/>
    <w:rsid w:val="00C948E4"/>
    <w:rsid w:val="00C9494F"/>
    <w:rsid w:val="00C94955"/>
    <w:rsid w:val="00C94A4A"/>
    <w:rsid w:val="00C94AE8"/>
    <w:rsid w:val="00C94D4F"/>
    <w:rsid w:val="00C95118"/>
    <w:rsid w:val="00C95312"/>
    <w:rsid w:val="00C955DF"/>
    <w:rsid w:val="00C956B9"/>
    <w:rsid w:val="00C95A69"/>
    <w:rsid w:val="00C95CE8"/>
    <w:rsid w:val="00C95E35"/>
    <w:rsid w:val="00C964A8"/>
    <w:rsid w:val="00C96A32"/>
    <w:rsid w:val="00C96C6B"/>
    <w:rsid w:val="00C96CD2"/>
    <w:rsid w:val="00C96EF8"/>
    <w:rsid w:val="00C97A9F"/>
    <w:rsid w:val="00C97D62"/>
    <w:rsid w:val="00C97D9C"/>
    <w:rsid w:val="00C97DB5"/>
    <w:rsid w:val="00CA072C"/>
    <w:rsid w:val="00CA08C9"/>
    <w:rsid w:val="00CA0950"/>
    <w:rsid w:val="00CA095F"/>
    <w:rsid w:val="00CA0BF3"/>
    <w:rsid w:val="00CA0C98"/>
    <w:rsid w:val="00CA0D2C"/>
    <w:rsid w:val="00CA0F47"/>
    <w:rsid w:val="00CA1164"/>
    <w:rsid w:val="00CA167F"/>
    <w:rsid w:val="00CA1EA7"/>
    <w:rsid w:val="00CA206A"/>
    <w:rsid w:val="00CA267C"/>
    <w:rsid w:val="00CA26CD"/>
    <w:rsid w:val="00CA2745"/>
    <w:rsid w:val="00CA2754"/>
    <w:rsid w:val="00CA2A10"/>
    <w:rsid w:val="00CA2ACF"/>
    <w:rsid w:val="00CA2C16"/>
    <w:rsid w:val="00CA2DF5"/>
    <w:rsid w:val="00CA3076"/>
    <w:rsid w:val="00CA3402"/>
    <w:rsid w:val="00CA3420"/>
    <w:rsid w:val="00CA35BE"/>
    <w:rsid w:val="00CA36FF"/>
    <w:rsid w:val="00CA3843"/>
    <w:rsid w:val="00CA3CE2"/>
    <w:rsid w:val="00CA3F1E"/>
    <w:rsid w:val="00CA4001"/>
    <w:rsid w:val="00CA4211"/>
    <w:rsid w:val="00CA4A8E"/>
    <w:rsid w:val="00CA4CFC"/>
    <w:rsid w:val="00CA4EE8"/>
    <w:rsid w:val="00CA4F3E"/>
    <w:rsid w:val="00CA5269"/>
    <w:rsid w:val="00CA52FE"/>
    <w:rsid w:val="00CA5619"/>
    <w:rsid w:val="00CA5741"/>
    <w:rsid w:val="00CA5C90"/>
    <w:rsid w:val="00CA5DFF"/>
    <w:rsid w:val="00CA5E30"/>
    <w:rsid w:val="00CA5EDA"/>
    <w:rsid w:val="00CA6100"/>
    <w:rsid w:val="00CA61A3"/>
    <w:rsid w:val="00CA628A"/>
    <w:rsid w:val="00CA6318"/>
    <w:rsid w:val="00CA65FB"/>
    <w:rsid w:val="00CA66D1"/>
    <w:rsid w:val="00CA685E"/>
    <w:rsid w:val="00CA6E2F"/>
    <w:rsid w:val="00CA6E52"/>
    <w:rsid w:val="00CA72AA"/>
    <w:rsid w:val="00CA739A"/>
    <w:rsid w:val="00CA7D0E"/>
    <w:rsid w:val="00CA7EC5"/>
    <w:rsid w:val="00CA7EE1"/>
    <w:rsid w:val="00CA7F33"/>
    <w:rsid w:val="00CB0058"/>
    <w:rsid w:val="00CB0246"/>
    <w:rsid w:val="00CB043B"/>
    <w:rsid w:val="00CB046F"/>
    <w:rsid w:val="00CB053C"/>
    <w:rsid w:val="00CB05B5"/>
    <w:rsid w:val="00CB05F5"/>
    <w:rsid w:val="00CB07CF"/>
    <w:rsid w:val="00CB0B52"/>
    <w:rsid w:val="00CB0DC7"/>
    <w:rsid w:val="00CB0FB6"/>
    <w:rsid w:val="00CB1099"/>
    <w:rsid w:val="00CB1685"/>
    <w:rsid w:val="00CB17E8"/>
    <w:rsid w:val="00CB19FC"/>
    <w:rsid w:val="00CB1DBE"/>
    <w:rsid w:val="00CB1E39"/>
    <w:rsid w:val="00CB20B7"/>
    <w:rsid w:val="00CB21C3"/>
    <w:rsid w:val="00CB2277"/>
    <w:rsid w:val="00CB24B2"/>
    <w:rsid w:val="00CB24E1"/>
    <w:rsid w:val="00CB252B"/>
    <w:rsid w:val="00CB25E1"/>
    <w:rsid w:val="00CB2A90"/>
    <w:rsid w:val="00CB2D1A"/>
    <w:rsid w:val="00CB2FA7"/>
    <w:rsid w:val="00CB30C2"/>
    <w:rsid w:val="00CB3146"/>
    <w:rsid w:val="00CB3162"/>
    <w:rsid w:val="00CB3397"/>
    <w:rsid w:val="00CB34ED"/>
    <w:rsid w:val="00CB3636"/>
    <w:rsid w:val="00CB3A31"/>
    <w:rsid w:val="00CB3B4A"/>
    <w:rsid w:val="00CB3C27"/>
    <w:rsid w:val="00CB3CDD"/>
    <w:rsid w:val="00CB3D71"/>
    <w:rsid w:val="00CB3F04"/>
    <w:rsid w:val="00CB40D1"/>
    <w:rsid w:val="00CB4182"/>
    <w:rsid w:val="00CB4297"/>
    <w:rsid w:val="00CB43A2"/>
    <w:rsid w:val="00CB49FA"/>
    <w:rsid w:val="00CB4BCB"/>
    <w:rsid w:val="00CB4ED1"/>
    <w:rsid w:val="00CB4EDD"/>
    <w:rsid w:val="00CB4FC9"/>
    <w:rsid w:val="00CB5205"/>
    <w:rsid w:val="00CB5239"/>
    <w:rsid w:val="00CB5509"/>
    <w:rsid w:val="00CB5C2B"/>
    <w:rsid w:val="00CB5D89"/>
    <w:rsid w:val="00CB5FD7"/>
    <w:rsid w:val="00CB5FEC"/>
    <w:rsid w:val="00CB658B"/>
    <w:rsid w:val="00CB6746"/>
    <w:rsid w:val="00CB6B11"/>
    <w:rsid w:val="00CB6DC6"/>
    <w:rsid w:val="00CB6FE0"/>
    <w:rsid w:val="00CB7265"/>
    <w:rsid w:val="00CB731E"/>
    <w:rsid w:val="00CB7576"/>
    <w:rsid w:val="00CB7625"/>
    <w:rsid w:val="00CB7714"/>
    <w:rsid w:val="00CB77F9"/>
    <w:rsid w:val="00CB7999"/>
    <w:rsid w:val="00CB7A08"/>
    <w:rsid w:val="00CB7AA5"/>
    <w:rsid w:val="00CB7E3A"/>
    <w:rsid w:val="00CC01A5"/>
    <w:rsid w:val="00CC04F2"/>
    <w:rsid w:val="00CC0599"/>
    <w:rsid w:val="00CC07CB"/>
    <w:rsid w:val="00CC0D91"/>
    <w:rsid w:val="00CC1256"/>
    <w:rsid w:val="00CC12E9"/>
    <w:rsid w:val="00CC1335"/>
    <w:rsid w:val="00CC1A1B"/>
    <w:rsid w:val="00CC1F83"/>
    <w:rsid w:val="00CC2001"/>
    <w:rsid w:val="00CC23E2"/>
    <w:rsid w:val="00CC27F0"/>
    <w:rsid w:val="00CC286C"/>
    <w:rsid w:val="00CC2C7F"/>
    <w:rsid w:val="00CC2D99"/>
    <w:rsid w:val="00CC2E06"/>
    <w:rsid w:val="00CC2F15"/>
    <w:rsid w:val="00CC375C"/>
    <w:rsid w:val="00CC38DF"/>
    <w:rsid w:val="00CC39E0"/>
    <w:rsid w:val="00CC3B05"/>
    <w:rsid w:val="00CC3EB0"/>
    <w:rsid w:val="00CC3FA4"/>
    <w:rsid w:val="00CC4011"/>
    <w:rsid w:val="00CC4D27"/>
    <w:rsid w:val="00CC530F"/>
    <w:rsid w:val="00CC53FA"/>
    <w:rsid w:val="00CC563C"/>
    <w:rsid w:val="00CC5A67"/>
    <w:rsid w:val="00CC5B92"/>
    <w:rsid w:val="00CC5DA2"/>
    <w:rsid w:val="00CC5F25"/>
    <w:rsid w:val="00CC62B5"/>
    <w:rsid w:val="00CC62C4"/>
    <w:rsid w:val="00CC637E"/>
    <w:rsid w:val="00CC638C"/>
    <w:rsid w:val="00CC65C7"/>
    <w:rsid w:val="00CC6D7E"/>
    <w:rsid w:val="00CC7099"/>
    <w:rsid w:val="00CC7277"/>
    <w:rsid w:val="00CC72B7"/>
    <w:rsid w:val="00CC771F"/>
    <w:rsid w:val="00CC77E0"/>
    <w:rsid w:val="00CC78BA"/>
    <w:rsid w:val="00CC7ABB"/>
    <w:rsid w:val="00CC7C6D"/>
    <w:rsid w:val="00CC7DBE"/>
    <w:rsid w:val="00CD0228"/>
    <w:rsid w:val="00CD02F7"/>
    <w:rsid w:val="00CD0C64"/>
    <w:rsid w:val="00CD0EFF"/>
    <w:rsid w:val="00CD1141"/>
    <w:rsid w:val="00CD12ED"/>
    <w:rsid w:val="00CD1507"/>
    <w:rsid w:val="00CD1CFF"/>
    <w:rsid w:val="00CD1DE9"/>
    <w:rsid w:val="00CD1E46"/>
    <w:rsid w:val="00CD203E"/>
    <w:rsid w:val="00CD2317"/>
    <w:rsid w:val="00CD2368"/>
    <w:rsid w:val="00CD239F"/>
    <w:rsid w:val="00CD2542"/>
    <w:rsid w:val="00CD27F5"/>
    <w:rsid w:val="00CD2ABB"/>
    <w:rsid w:val="00CD2B4A"/>
    <w:rsid w:val="00CD2C29"/>
    <w:rsid w:val="00CD2D40"/>
    <w:rsid w:val="00CD2EF0"/>
    <w:rsid w:val="00CD2FCC"/>
    <w:rsid w:val="00CD3507"/>
    <w:rsid w:val="00CD371E"/>
    <w:rsid w:val="00CD3724"/>
    <w:rsid w:val="00CD39F4"/>
    <w:rsid w:val="00CD3A32"/>
    <w:rsid w:val="00CD3AD7"/>
    <w:rsid w:val="00CD3C56"/>
    <w:rsid w:val="00CD3C96"/>
    <w:rsid w:val="00CD3D25"/>
    <w:rsid w:val="00CD422A"/>
    <w:rsid w:val="00CD43C2"/>
    <w:rsid w:val="00CD4728"/>
    <w:rsid w:val="00CD4769"/>
    <w:rsid w:val="00CD4982"/>
    <w:rsid w:val="00CD4B8E"/>
    <w:rsid w:val="00CD4B9F"/>
    <w:rsid w:val="00CD4C34"/>
    <w:rsid w:val="00CD5397"/>
    <w:rsid w:val="00CD56A1"/>
    <w:rsid w:val="00CD59D0"/>
    <w:rsid w:val="00CD5AC7"/>
    <w:rsid w:val="00CD5D38"/>
    <w:rsid w:val="00CD60A1"/>
    <w:rsid w:val="00CD6355"/>
    <w:rsid w:val="00CD6574"/>
    <w:rsid w:val="00CD6594"/>
    <w:rsid w:val="00CD6AD0"/>
    <w:rsid w:val="00CD6D53"/>
    <w:rsid w:val="00CD6E20"/>
    <w:rsid w:val="00CD6FFC"/>
    <w:rsid w:val="00CD7124"/>
    <w:rsid w:val="00CD730D"/>
    <w:rsid w:val="00CE09BB"/>
    <w:rsid w:val="00CE0AC9"/>
    <w:rsid w:val="00CE1079"/>
    <w:rsid w:val="00CE11B2"/>
    <w:rsid w:val="00CE12C2"/>
    <w:rsid w:val="00CE14A7"/>
    <w:rsid w:val="00CE1FFD"/>
    <w:rsid w:val="00CE266C"/>
    <w:rsid w:val="00CE2865"/>
    <w:rsid w:val="00CE2AD7"/>
    <w:rsid w:val="00CE2C31"/>
    <w:rsid w:val="00CE2E2B"/>
    <w:rsid w:val="00CE2E77"/>
    <w:rsid w:val="00CE30EE"/>
    <w:rsid w:val="00CE3841"/>
    <w:rsid w:val="00CE3C0C"/>
    <w:rsid w:val="00CE3CC9"/>
    <w:rsid w:val="00CE3CDC"/>
    <w:rsid w:val="00CE3ECD"/>
    <w:rsid w:val="00CE3F97"/>
    <w:rsid w:val="00CE41A9"/>
    <w:rsid w:val="00CE42D2"/>
    <w:rsid w:val="00CE4398"/>
    <w:rsid w:val="00CE45A2"/>
    <w:rsid w:val="00CE4633"/>
    <w:rsid w:val="00CE4954"/>
    <w:rsid w:val="00CE49AD"/>
    <w:rsid w:val="00CE4E81"/>
    <w:rsid w:val="00CE5392"/>
    <w:rsid w:val="00CE53E6"/>
    <w:rsid w:val="00CE54AB"/>
    <w:rsid w:val="00CE5901"/>
    <w:rsid w:val="00CE5AF0"/>
    <w:rsid w:val="00CE5B68"/>
    <w:rsid w:val="00CE5D6C"/>
    <w:rsid w:val="00CE6075"/>
    <w:rsid w:val="00CE631A"/>
    <w:rsid w:val="00CE65B4"/>
    <w:rsid w:val="00CE66CB"/>
    <w:rsid w:val="00CE6CD5"/>
    <w:rsid w:val="00CE6D27"/>
    <w:rsid w:val="00CE6D7F"/>
    <w:rsid w:val="00CE7AA2"/>
    <w:rsid w:val="00CE7E23"/>
    <w:rsid w:val="00CF00FD"/>
    <w:rsid w:val="00CF05BB"/>
    <w:rsid w:val="00CF072E"/>
    <w:rsid w:val="00CF08F3"/>
    <w:rsid w:val="00CF094F"/>
    <w:rsid w:val="00CF0D75"/>
    <w:rsid w:val="00CF0E9A"/>
    <w:rsid w:val="00CF0F1B"/>
    <w:rsid w:val="00CF11C9"/>
    <w:rsid w:val="00CF1315"/>
    <w:rsid w:val="00CF1605"/>
    <w:rsid w:val="00CF161A"/>
    <w:rsid w:val="00CF1737"/>
    <w:rsid w:val="00CF1E03"/>
    <w:rsid w:val="00CF1FBE"/>
    <w:rsid w:val="00CF20A8"/>
    <w:rsid w:val="00CF2220"/>
    <w:rsid w:val="00CF2485"/>
    <w:rsid w:val="00CF26BC"/>
    <w:rsid w:val="00CF26F1"/>
    <w:rsid w:val="00CF2965"/>
    <w:rsid w:val="00CF2B81"/>
    <w:rsid w:val="00CF2C46"/>
    <w:rsid w:val="00CF2FD4"/>
    <w:rsid w:val="00CF312D"/>
    <w:rsid w:val="00CF34ED"/>
    <w:rsid w:val="00CF3558"/>
    <w:rsid w:val="00CF35D9"/>
    <w:rsid w:val="00CF383C"/>
    <w:rsid w:val="00CF3A5F"/>
    <w:rsid w:val="00CF421E"/>
    <w:rsid w:val="00CF460F"/>
    <w:rsid w:val="00CF494B"/>
    <w:rsid w:val="00CF4C74"/>
    <w:rsid w:val="00CF4FCC"/>
    <w:rsid w:val="00CF5217"/>
    <w:rsid w:val="00CF57CA"/>
    <w:rsid w:val="00CF5C50"/>
    <w:rsid w:val="00CF5D40"/>
    <w:rsid w:val="00CF5D8E"/>
    <w:rsid w:val="00CF5DC4"/>
    <w:rsid w:val="00CF5EE5"/>
    <w:rsid w:val="00CF6161"/>
    <w:rsid w:val="00CF6651"/>
    <w:rsid w:val="00CF676E"/>
    <w:rsid w:val="00CF68A5"/>
    <w:rsid w:val="00CF69BE"/>
    <w:rsid w:val="00CF6B27"/>
    <w:rsid w:val="00CF6BD4"/>
    <w:rsid w:val="00CF6CF7"/>
    <w:rsid w:val="00CF6E8D"/>
    <w:rsid w:val="00CF7036"/>
    <w:rsid w:val="00CF7225"/>
    <w:rsid w:val="00CF74A6"/>
    <w:rsid w:val="00CF78FB"/>
    <w:rsid w:val="00CF78FE"/>
    <w:rsid w:val="00CF7B25"/>
    <w:rsid w:val="00CF7C16"/>
    <w:rsid w:val="00CF7C64"/>
    <w:rsid w:val="00D00346"/>
    <w:rsid w:val="00D00880"/>
    <w:rsid w:val="00D00931"/>
    <w:rsid w:val="00D009FF"/>
    <w:rsid w:val="00D00CD4"/>
    <w:rsid w:val="00D01140"/>
    <w:rsid w:val="00D01271"/>
    <w:rsid w:val="00D013F8"/>
    <w:rsid w:val="00D01438"/>
    <w:rsid w:val="00D016C8"/>
    <w:rsid w:val="00D019D0"/>
    <w:rsid w:val="00D01B35"/>
    <w:rsid w:val="00D01FA6"/>
    <w:rsid w:val="00D022AD"/>
    <w:rsid w:val="00D022BB"/>
    <w:rsid w:val="00D0243F"/>
    <w:rsid w:val="00D024F4"/>
    <w:rsid w:val="00D02684"/>
    <w:rsid w:val="00D02823"/>
    <w:rsid w:val="00D02B8B"/>
    <w:rsid w:val="00D02BBF"/>
    <w:rsid w:val="00D02FBE"/>
    <w:rsid w:val="00D03004"/>
    <w:rsid w:val="00D03027"/>
    <w:rsid w:val="00D0346D"/>
    <w:rsid w:val="00D037E7"/>
    <w:rsid w:val="00D0382B"/>
    <w:rsid w:val="00D03B49"/>
    <w:rsid w:val="00D03BDE"/>
    <w:rsid w:val="00D03D98"/>
    <w:rsid w:val="00D03DA9"/>
    <w:rsid w:val="00D04108"/>
    <w:rsid w:val="00D0422F"/>
    <w:rsid w:val="00D043E8"/>
    <w:rsid w:val="00D046F0"/>
    <w:rsid w:val="00D049CA"/>
    <w:rsid w:val="00D04FBA"/>
    <w:rsid w:val="00D052EE"/>
    <w:rsid w:val="00D05372"/>
    <w:rsid w:val="00D054A1"/>
    <w:rsid w:val="00D054DB"/>
    <w:rsid w:val="00D05563"/>
    <w:rsid w:val="00D05703"/>
    <w:rsid w:val="00D05B72"/>
    <w:rsid w:val="00D05C4A"/>
    <w:rsid w:val="00D05CB5"/>
    <w:rsid w:val="00D05CBC"/>
    <w:rsid w:val="00D05CCA"/>
    <w:rsid w:val="00D05D2C"/>
    <w:rsid w:val="00D05E4E"/>
    <w:rsid w:val="00D05F67"/>
    <w:rsid w:val="00D05F91"/>
    <w:rsid w:val="00D05FF9"/>
    <w:rsid w:val="00D061B3"/>
    <w:rsid w:val="00D061D0"/>
    <w:rsid w:val="00D064C1"/>
    <w:rsid w:val="00D0693E"/>
    <w:rsid w:val="00D06C6C"/>
    <w:rsid w:val="00D06D4F"/>
    <w:rsid w:val="00D07081"/>
    <w:rsid w:val="00D0713D"/>
    <w:rsid w:val="00D073B5"/>
    <w:rsid w:val="00D07512"/>
    <w:rsid w:val="00D075B1"/>
    <w:rsid w:val="00D078E9"/>
    <w:rsid w:val="00D07AC4"/>
    <w:rsid w:val="00D10147"/>
    <w:rsid w:val="00D1070E"/>
    <w:rsid w:val="00D10752"/>
    <w:rsid w:val="00D108DB"/>
    <w:rsid w:val="00D10D70"/>
    <w:rsid w:val="00D1115A"/>
    <w:rsid w:val="00D11AE8"/>
    <w:rsid w:val="00D122EB"/>
    <w:rsid w:val="00D12405"/>
    <w:rsid w:val="00D12D43"/>
    <w:rsid w:val="00D131A0"/>
    <w:rsid w:val="00D13250"/>
    <w:rsid w:val="00D133BD"/>
    <w:rsid w:val="00D13600"/>
    <w:rsid w:val="00D13653"/>
    <w:rsid w:val="00D137C6"/>
    <w:rsid w:val="00D13823"/>
    <w:rsid w:val="00D139C9"/>
    <w:rsid w:val="00D13E02"/>
    <w:rsid w:val="00D13FF6"/>
    <w:rsid w:val="00D142DA"/>
    <w:rsid w:val="00D1435E"/>
    <w:rsid w:val="00D14430"/>
    <w:rsid w:val="00D14830"/>
    <w:rsid w:val="00D14BC1"/>
    <w:rsid w:val="00D14DE0"/>
    <w:rsid w:val="00D1504F"/>
    <w:rsid w:val="00D1505A"/>
    <w:rsid w:val="00D15108"/>
    <w:rsid w:val="00D15293"/>
    <w:rsid w:val="00D15726"/>
    <w:rsid w:val="00D15C07"/>
    <w:rsid w:val="00D15C39"/>
    <w:rsid w:val="00D15C43"/>
    <w:rsid w:val="00D15F6E"/>
    <w:rsid w:val="00D16145"/>
    <w:rsid w:val="00D1673F"/>
    <w:rsid w:val="00D16743"/>
    <w:rsid w:val="00D16875"/>
    <w:rsid w:val="00D169E5"/>
    <w:rsid w:val="00D16C07"/>
    <w:rsid w:val="00D16C35"/>
    <w:rsid w:val="00D16E91"/>
    <w:rsid w:val="00D16EE9"/>
    <w:rsid w:val="00D1724E"/>
    <w:rsid w:val="00D1736A"/>
    <w:rsid w:val="00D178AB"/>
    <w:rsid w:val="00D17A91"/>
    <w:rsid w:val="00D17F8C"/>
    <w:rsid w:val="00D200D8"/>
    <w:rsid w:val="00D201DA"/>
    <w:rsid w:val="00D2054D"/>
    <w:rsid w:val="00D20C5C"/>
    <w:rsid w:val="00D20E62"/>
    <w:rsid w:val="00D20ED2"/>
    <w:rsid w:val="00D21343"/>
    <w:rsid w:val="00D21512"/>
    <w:rsid w:val="00D21601"/>
    <w:rsid w:val="00D216E7"/>
    <w:rsid w:val="00D2184C"/>
    <w:rsid w:val="00D2192E"/>
    <w:rsid w:val="00D21E25"/>
    <w:rsid w:val="00D21F87"/>
    <w:rsid w:val="00D22038"/>
    <w:rsid w:val="00D2254A"/>
    <w:rsid w:val="00D229F0"/>
    <w:rsid w:val="00D22BC5"/>
    <w:rsid w:val="00D22CD6"/>
    <w:rsid w:val="00D22F9C"/>
    <w:rsid w:val="00D230D9"/>
    <w:rsid w:val="00D23179"/>
    <w:rsid w:val="00D231BF"/>
    <w:rsid w:val="00D23228"/>
    <w:rsid w:val="00D23369"/>
    <w:rsid w:val="00D2338C"/>
    <w:rsid w:val="00D23483"/>
    <w:rsid w:val="00D23538"/>
    <w:rsid w:val="00D23705"/>
    <w:rsid w:val="00D2379F"/>
    <w:rsid w:val="00D239B2"/>
    <w:rsid w:val="00D23A68"/>
    <w:rsid w:val="00D23DBF"/>
    <w:rsid w:val="00D23DDB"/>
    <w:rsid w:val="00D23E06"/>
    <w:rsid w:val="00D23E7A"/>
    <w:rsid w:val="00D23EAC"/>
    <w:rsid w:val="00D23FA8"/>
    <w:rsid w:val="00D24403"/>
    <w:rsid w:val="00D2494E"/>
    <w:rsid w:val="00D24A5B"/>
    <w:rsid w:val="00D24D9B"/>
    <w:rsid w:val="00D2532E"/>
    <w:rsid w:val="00D253F9"/>
    <w:rsid w:val="00D255C2"/>
    <w:rsid w:val="00D255F0"/>
    <w:rsid w:val="00D25AAB"/>
    <w:rsid w:val="00D25ACD"/>
    <w:rsid w:val="00D25EE1"/>
    <w:rsid w:val="00D26008"/>
    <w:rsid w:val="00D261ED"/>
    <w:rsid w:val="00D265B7"/>
    <w:rsid w:val="00D2698E"/>
    <w:rsid w:val="00D26B3C"/>
    <w:rsid w:val="00D26D9B"/>
    <w:rsid w:val="00D27582"/>
    <w:rsid w:val="00D276E1"/>
    <w:rsid w:val="00D27992"/>
    <w:rsid w:val="00D27A37"/>
    <w:rsid w:val="00D27B29"/>
    <w:rsid w:val="00D27C32"/>
    <w:rsid w:val="00D30138"/>
    <w:rsid w:val="00D30159"/>
    <w:rsid w:val="00D30359"/>
    <w:rsid w:val="00D30361"/>
    <w:rsid w:val="00D303AA"/>
    <w:rsid w:val="00D30650"/>
    <w:rsid w:val="00D30941"/>
    <w:rsid w:val="00D30ACB"/>
    <w:rsid w:val="00D30D84"/>
    <w:rsid w:val="00D30D99"/>
    <w:rsid w:val="00D315D6"/>
    <w:rsid w:val="00D31856"/>
    <w:rsid w:val="00D31B33"/>
    <w:rsid w:val="00D31C82"/>
    <w:rsid w:val="00D320A6"/>
    <w:rsid w:val="00D325E8"/>
    <w:rsid w:val="00D32847"/>
    <w:rsid w:val="00D329CE"/>
    <w:rsid w:val="00D32B93"/>
    <w:rsid w:val="00D32BA1"/>
    <w:rsid w:val="00D32EE5"/>
    <w:rsid w:val="00D330E1"/>
    <w:rsid w:val="00D3368A"/>
    <w:rsid w:val="00D33777"/>
    <w:rsid w:val="00D33A88"/>
    <w:rsid w:val="00D33BE3"/>
    <w:rsid w:val="00D33CA0"/>
    <w:rsid w:val="00D34031"/>
    <w:rsid w:val="00D3426B"/>
    <w:rsid w:val="00D344A5"/>
    <w:rsid w:val="00D34CE6"/>
    <w:rsid w:val="00D35122"/>
    <w:rsid w:val="00D356D8"/>
    <w:rsid w:val="00D35833"/>
    <w:rsid w:val="00D358F5"/>
    <w:rsid w:val="00D35A64"/>
    <w:rsid w:val="00D36190"/>
    <w:rsid w:val="00D361BF"/>
    <w:rsid w:val="00D36273"/>
    <w:rsid w:val="00D36549"/>
    <w:rsid w:val="00D3670F"/>
    <w:rsid w:val="00D36AC0"/>
    <w:rsid w:val="00D36AE0"/>
    <w:rsid w:val="00D36FA0"/>
    <w:rsid w:val="00D3795E"/>
    <w:rsid w:val="00D37C2B"/>
    <w:rsid w:val="00D37F70"/>
    <w:rsid w:val="00D37FC5"/>
    <w:rsid w:val="00D40081"/>
    <w:rsid w:val="00D405F8"/>
    <w:rsid w:val="00D4080F"/>
    <w:rsid w:val="00D40820"/>
    <w:rsid w:val="00D40A3E"/>
    <w:rsid w:val="00D40BE6"/>
    <w:rsid w:val="00D40E93"/>
    <w:rsid w:val="00D411DB"/>
    <w:rsid w:val="00D41314"/>
    <w:rsid w:val="00D41A7D"/>
    <w:rsid w:val="00D41CE3"/>
    <w:rsid w:val="00D41EF5"/>
    <w:rsid w:val="00D4207D"/>
    <w:rsid w:val="00D42427"/>
    <w:rsid w:val="00D42430"/>
    <w:rsid w:val="00D42621"/>
    <w:rsid w:val="00D429AE"/>
    <w:rsid w:val="00D42A1D"/>
    <w:rsid w:val="00D42C69"/>
    <w:rsid w:val="00D433C7"/>
    <w:rsid w:val="00D43425"/>
    <w:rsid w:val="00D439FD"/>
    <w:rsid w:val="00D43BEF"/>
    <w:rsid w:val="00D43DD1"/>
    <w:rsid w:val="00D43E02"/>
    <w:rsid w:val="00D43E84"/>
    <w:rsid w:val="00D43EE8"/>
    <w:rsid w:val="00D43FD6"/>
    <w:rsid w:val="00D44175"/>
    <w:rsid w:val="00D441A8"/>
    <w:rsid w:val="00D4422B"/>
    <w:rsid w:val="00D448EC"/>
    <w:rsid w:val="00D449CA"/>
    <w:rsid w:val="00D44B32"/>
    <w:rsid w:val="00D44D06"/>
    <w:rsid w:val="00D451C0"/>
    <w:rsid w:val="00D453AC"/>
    <w:rsid w:val="00D455E4"/>
    <w:rsid w:val="00D4572B"/>
    <w:rsid w:val="00D4600D"/>
    <w:rsid w:val="00D461D5"/>
    <w:rsid w:val="00D46431"/>
    <w:rsid w:val="00D4644C"/>
    <w:rsid w:val="00D46687"/>
    <w:rsid w:val="00D46AF7"/>
    <w:rsid w:val="00D46DD6"/>
    <w:rsid w:val="00D46E2E"/>
    <w:rsid w:val="00D47451"/>
    <w:rsid w:val="00D47783"/>
    <w:rsid w:val="00D478C8"/>
    <w:rsid w:val="00D47918"/>
    <w:rsid w:val="00D47C40"/>
    <w:rsid w:val="00D47D69"/>
    <w:rsid w:val="00D47D98"/>
    <w:rsid w:val="00D47DB0"/>
    <w:rsid w:val="00D4D75D"/>
    <w:rsid w:val="00D50214"/>
    <w:rsid w:val="00D5031C"/>
    <w:rsid w:val="00D50338"/>
    <w:rsid w:val="00D505FF"/>
    <w:rsid w:val="00D5072B"/>
    <w:rsid w:val="00D50960"/>
    <w:rsid w:val="00D50A63"/>
    <w:rsid w:val="00D50E11"/>
    <w:rsid w:val="00D50FC5"/>
    <w:rsid w:val="00D51104"/>
    <w:rsid w:val="00D5139F"/>
    <w:rsid w:val="00D51AF6"/>
    <w:rsid w:val="00D51D7C"/>
    <w:rsid w:val="00D51E03"/>
    <w:rsid w:val="00D5201D"/>
    <w:rsid w:val="00D52CC1"/>
    <w:rsid w:val="00D52D28"/>
    <w:rsid w:val="00D53047"/>
    <w:rsid w:val="00D530FD"/>
    <w:rsid w:val="00D53180"/>
    <w:rsid w:val="00D53927"/>
    <w:rsid w:val="00D53C96"/>
    <w:rsid w:val="00D540EC"/>
    <w:rsid w:val="00D547C5"/>
    <w:rsid w:val="00D549FB"/>
    <w:rsid w:val="00D54DCF"/>
    <w:rsid w:val="00D55185"/>
    <w:rsid w:val="00D5532C"/>
    <w:rsid w:val="00D55694"/>
    <w:rsid w:val="00D55902"/>
    <w:rsid w:val="00D55A1C"/>
    <w:rsid w:val="00D55A70"/>
    <w:rsid w:val="00D55AAE"/>
    <w:rsid w:val="00D560CC"/>
    <w:rsid w:val="00D5650D"/>
    <w:rsid w:val="00D567FF"/>
    <w:rsid w:val="00D56A63"/>
    <w:rsid w:val="00D56ABC"/>
    <w:rsid w:val="00D56BA2"/>
    <w:rsid w:val="00D56D01"/>
    <w:rsid w:val="00D57021"/>
    <w:rsid w:val="00D57115"/>
    <w:rsid w:val="00D571E5"/>
    <w:rsid w:val="00D573F3"/>
    <w:rsid w:val="00D5748B"/>
    <w:rsid w:val="00D5754A"/>
    <w:rsid w:val="00D57656"/>
    <w:rsid w:val="00D578AD"/>
    <w:rsid w:val="00D579B6"/>
    <w:rsid w:val="00D57B73"/>
    <w:rsid w:val="00D57D09"/>
    <w:rsid w:val="00D57F24"/>
    <w:rsid w:val="00D57F97"/>
    <w:rsid w:val="00D60094"/>
    <w:rsid w:val="00D60578"/>
    <w:rsid w:val="00D60762"/>
    <w:rsid w:val="00D60A47"/>
    <w:rsid w:val="00D60AEB"/>
    <w:rsid w:val="00D60DDB"/>
    <w:rsid w:val="00D60DF8"/>
    <w:rsid w:val="00D60FA6"/>
    <w:rsid w:val="00D61042"/>
    <w:rsid w:val="00D61260"/>
    <w:rsid w:val="00D61354"/>
    <w:rsid w:val="00D614AD"/>
    <w:rsid w:val="00D614EB"/>
    <w:rsid w:val="00D61A5D"/>
    <w:rsid w:val="00D61BB4"/>
    <w:rsid w:val="00D61C50"/>
    <w:rsid w:val="00D61DCF"/>
    <w:rsid w:val="00D61EB2"/>
    <w:rsid w:val="00D621CC"/>
    <w:rsid w:val="00D62216"/>
    <w:rsid w:val="00D622EC"/>
    <w:rsid w:val="00D62587"/>
    <w:rsid w:val="00D6282E"/>
    <w:rsid w:val="00D62C86"/>
    <w:rsid w:val="00D62DEC"/>
    <w:rsid w:val="00D62ECA"/>
    <w:rsid w:val="00D62F13"/>
    <w:rsid w:val="00D62F7D"/>
    <w:rsid w:val="00D62FFF"/>
    <w:rsid w:val="00D631F8"/>
    <w:rsid w:val="00D63578"/>
    <w:rsid w:val="00D63594"/>
    <w:rsid w:val="00D63A7E"/>
    <w:rsid w:val="00D63C01"/>
    <w:rsid w:val="00D64A07"/>
    <w:rsid w:val="00D64A88"/>
    <w:rsid w:val="00D64C1C"/>
    <w:rsid w:val="00D6538E"/>
    <w:rsid w:val="00D6539D"/>
    <w:rsid w:val="00D657B3"/>
    <w:rsid w:val="00D6588A"/>
    <w:rsid w:val="00D65893"/>
    <w:rsid w:val="00D65B79"/>
    <w:rsid w:val="00D66135"/>
    <w:rsid w:val="00D66354"/>
    <w:rsid w:val="00D66360"/>
    <w:rsid w:val="00D66764"/>
    <w:rsid w:val="00D667C4"/>
    <w:rsid w:val="00D6690D"/>
    <w:rsid w:val="00D6728C"/>
    <w:rsid w:val="00D6750E"/>
    <w:rsid w:val="00D675BE"/>
    <w:rsid w:val="00D6780E"/>
    <w:rsid w:val="00D67845"/>
    <w:rsid w:val="00D67AC7"/>
    <w:rsid w:val="00D67DD4"/>
    <w:rsid w:val="00D7020A"/>
    <w:rsid w:val="00D70AC2"/>
    <w:rsid w:val="00D70DDC"/>
    <w:rsid w:val="00D70EC9"/>
    <w:rsid w:val="00D71380"/>
    <w:rsid w:val="00D713DB"/>
    <w:rsid w:val="00D7158D"/>
    <w:rsid w:val="00D715E0"/>
    <w:rsid w:val="00D71660"/>
    <w:rsid w:val="00D71862"/>
    <w:rsid w:val="00D719E9"/>
    <w:rsid w:val="00D71D50"/>
    <w:rsid w:val="00D7249C"/>
    <w:rsid w:val="00D725D2"/>
    <w:rsid w:val="00D72C97"/>
    <w:rsid w:val="00D72EC5"/>
    <w:rsid w:val="00D73035"/>
    <w:rsid w:val="00D7305D"/>
    <w:rsid w:val="00D73204"/>
    <w:rsid w:val="00D737F5"/>
    <w:rsid w:val="00D73915"/>
    <w:rsid w:val="00D73A76"/>
    <w:rsid w:val="00D73D84"/>
    <w:rsid w:val="00D7404A"/>
    <w:rsid w:val="00D742A3"/>
    <w:rsid w:val="00D7447D"/>
    <w:rsid w:val="00D74495"/>
    <w:rsid w:val="00D747B0"/>
    <w:rsid w:val="00D74878"/>
    <w:rsid w:val="00D74B3D"/>
    <w:rsid w:val="00D74F2B"/>
    <w:rsid w:val="00D75078"/>
    <w:rsid w:val="00D75227"/>
    <w:rsid w:val="00D7554A"/>
    <w:rsid w:val="00D75813"/>
    <w:rsid w:val="00D7582F"/>
    <w:rsid w:val="00D75974"/>
    <w:rsid w:val="00D75D61"/>
    <w:rsid w:val="00D75ED4"/>
    <w:rsid w:val="00D75FB5"/>
    <w:rsid w:val="00D762EF"/>
    <w:rsid w:val="00D76307"/>
    <w:rsid w:val="00D768C3"/>
    <w:rsid w:val="00D76966"/>
    <w:rsid w:val="00D76DE1"/>
    <w:rsid w:val="00D771DD"/>
    <w:rsid w:val="00D779B6"/>
    <w:rsid w:val="00D77B45"/>
    <w:rsid w:val="00D8007F"/>
    <w:rsid w:val="00D8011E"/>
    <w:rsid w:val="00D801FE"/>
    <w:rsid w:val="00D80584"/>
    <w:rsid w:val="00D806AC"/>
    <w:rsid w:val="00D80AC7"/>
    <w:rsid w:val="00D80E10"/>
    <w:rsid w:val="00D80E3A"/>
    <w:rsid w:val="00D811D0"/>
    <w:rsid w:val="00D812AB"/>
    <w:rsid w:val="00D814F4"/>
    <w:rsid w:val="00D815BF"/>
    <w:rsid w:val="00D81796"/>
    <w:rsid w:val="00D8194B"/>
    <w:rsid w:val="00D81DBA"/>
    <w:rsid w:val="00D820C1"/>
    <w:rsid w:val="00D822C3"/>
    <w:rsid w:val="00D824A9"/>
    <w:rsid w:val="00D827DC"/>
    <w:rsid w:val="00D82E6C"/>
    <w:rsid w:val="00D83871"/>
    <w:rsid w:val="00D83BC5"/>
    <w:rsid w:val="00D83E76"/>
    <w:rsid w:val="00D83EEF"/>
    <w:rsid w:val="00D83FE2"/>
    <w:rsid w:val="00D84868"/>
    <w:rsid w:val="00D84A97"/>
    <w:rsid w:val="00D84F0F"/>
    <w:rsid w:val="00D851C4"/>
    <w:rsid w:val="00D8528A"/>
    <w:rsid w:val="00D8540E"/>
    <w:rsid w:val="00D856A5"/>
    <w:rsid w:val="00D856A9"/>
    <w:rsid w:val="00D85806"/>
    <w:rsid w:val="00D85D84"/>
    <w:rsid w:val="00D85DCA"/>
    <w:rsid w:val="00D85E2A"/>
    <w:rsid w:val="00D85FAB"/>
    <w:rsid w:val="00D860AA"/>
    <w:rsid w:val="00D8634B"/>
    <w:rsid w:val="00D86595"/>
    <w:rsid w:val="00D868FB"/>
    <w:rsid w:val="00D86957"/>
    <w:rsid w:val="00D86DFD"/>
    <w:rsid w:val="00D86E15"/>
    <w:rsid w:val="00D86E63"/>
    <w:rsid w:val="00D86F72"/>
    <w:rsid w:val="00D8705E"/>
    <w:rsid w:val="00D87248"/>
    <w:rsid w:val="00D874F4"/>
    <w:rsid w:val="00D8785C"/>
    <w:rsid w:val="00D87943"/>
    <w:rsid w:val="00D87972"/>
    <w:rsid w:val="00D87A01"/>
    <w:rsid w:val="00D87A73"/>
    <w:rsid w:val="00D87CD0"/>
    <w:rsid w:val="00D87DD2"/>
    <w:rsid w:val="00D87E2D"/>
    <w:rsid w:val="00D90265"/>
    <w:rsid w:val="00D902DE"/>
    <w:rsid w:val="00D9059A"/>
    <w:rsid w:val="00D907F5"/>
    <w:rsid w:val="00D908B8"/>
    <w:rsid w:val="00D90C36"/>
    <w:rsid w:val="00D90D2B"/>
    <w:rsid w:val="00D90DC3"/>
    <w:rsid w:val="00D90DE2"/>
    <w:rsid w:val="00D91225"/>
    <w:rsid w:val="00D91357"/>
    <w:rsid w:val="00D913A8"/>
    <w:rsid w:val="00D915DE"/>
    <w:rsid w:val="00D91CF1"/>
    <w:rsid w:val="00D91FC3"/>
    <w:rsid w:val="00D9234D"/>
    <w:rsid w:val="00D924E6"/>
    <w:rsid w:val="00D92665"/>
    <w:rsid w:val="00D92FAC"/>
    <w:rsid w:val="00D93096"/>
    <w:rsid w:val="00D9325E"/>
    <w:rsid w:val="00D933BE"/>
    <w:rsid w:val="00D93969"/>
    <w:rsid w:val="00D93EB9"/>
    <w:rsid w:val="00D93F94"/>
    <w:rsid w:val="00D94A22"/>
    <w:rsid w:val="00D94BED"/>
    <w:rsid w:val="00D94C79"/>
    <w:rsid w:val="00D94CA0"/>
    <w:rsid w:val="00D9515D"/>
    <w:rsid w:val="00D95320"/>
    <w:rsid w:val="00D953EA"/>
    <w:rsid w:val="00D955FD"/>
    <w:rsid w:val="00D958F7"/>
    <w:rsid w:val="00D9606A"/>
    <w:rsid w:val="00D96093"/>
    <w:rsid w:val="00D96261"/>
    <w:rsid w:val="00D963A0"/>
    <w:rsid w:val="00D96677"/>
    <w:rsid w:val="00D96816"/>
    <w:rsid w:val="00D96A69"/>
    <w:rsid w:val="00D970B5"/>
    <w:rsid w:val="00D971CB"/>
    <w:rsid w:val="00D97359"/>
    <w:rsid w:val="00D97549"/>
    <w:rsid w:val="00D97818"/>
    <w:rsid w:val="00D97D55"/>
    <w:rsid w:val="00D97DDC"/>
    <w:rsid w:val="00DA0177"/>
    <w:rsid w:val="00DA0465"/>
    <w:rsid w:val="00DA04F2"/>
    <w:rsid w:val="00DA0628"/>
    <w:rsid w:val="00DA07B3"/>
    <w:rsid w:val="00DA0C91"/>
    <w:rsid w:val="00DA0EEC"/>
    <w:rsid w:val="00DA1735"/>
    <w:rsid w:val="00DA1799"/>
    <w:rsid w:val="00DA1AE3"/>
    <w:rsid w:val="00DA1C01"/>
    <w:rsid w:val="00DA1D5D"/>
    <w:rsid w:val="00DA24B6"/>
    <w:rsid w:val="00DA24BA"/>
    <w:rsid w:val="00DA281A"/>
    <w:rsid w:val="00DA2BB7"/>
    <w:rsid w:val="00DA2F45"/>
    <w:rsid w:val="00DA2F88"/>
    <w:rsid w:val="00DA3473"/>
    <w:rsid w:val="00DA36B0"/>
    <w:rsid w:val="00DA3710"/>
    <w:rsid w:val="00DA3AAC"/>
    <w:rsid w:val="00DA3E38"/>
    <w:rsid w:val="00DA3EB0"/>
    <w:rsid w:val="00DA3FC4"/>
    <w:rsid w:val="00DA40E6"/>
    <w:rsid w:val="00DA41A5"/>
    <w:rsid w:val="00DA424C"/>
    <w:rsid w:val="00DA42D4"/>
    <w:rsid w:val="00DA43F1"/>
    <w:rsid w:val="00DA448D"/>
    <w:rsid w:val="00DA47F5"/>
    <w:rsid w:val="00DA4939"/>
    <w:rsid w:val="00DA4ABA"/>
    <w:rsid w:val="00DA4D29"/>
    <w:rsid w:val="00DA4E2A"/>
    <w:rsid w:val="00DA518B"/>
    <w:rsid w:val="00DA52CB"/>
    <w:rsid w:val="00DA532F"/>
    <w:rsid w:val="00DA53C1"/>
    <w:rsid w:val="00DA5579"/>
    <w:rsid w:val="00DA5B97"/>
    <w:rsid w:val="00DA5CB2"/>
    <w:rsid w:val="00DA5F88"/>
    <w:rsid w:val="00DA6092"/>
    <w:rsid w:val="00DA6245"/>
    <w:rsid w:val="00DA650E"/>
    <w:rsid w:val="00DA6A06"/>
    <w:rsid w:val="00DA6C9F"/>
    <w:rsid w:val="00DA6E01"/>
    <w:rsid w:val="00DA6E05"/>
    <w:rsid w:val="00DA7181"/>
    <w:rsid w:val="00DA740D"/>
    <w:rsid w:val="00DA79D2"/>
    <w:rsid w:val="00DA7B51"/>
    <w:rsid w:val="00DA7F01"/>
    <w:rsid w:val="00DA7FD9"/>
    <w:rsid w:val="00DB0013"/>
    <w:rsid w:val="00DB02B9"/>
    <w:rsid w:val="00DB0492"/>
    <w:rsid w:val="00DB0508"/>
    <w:rsid w:val="00DB0BAA"/>
    <w:rsid w:val="00DB0BC9"/>
    <w:rsid w:val="00DB117A"/>
    <w:rsid w:val="00DB130C"/>
    <w:rsid w:val="00DB1AF2"/>
    <w:rsid w:val="00DB1B57"/>
    <w:rsid w:val="00DB1DDF"/>
    <w:rsid w:val="00DB1E2B"/>
    <w:rsid w:val="00DB2180"/>
    <w:rsid w:val="00DB22B8"/>
    <w:rsid w:val="00DB2338"/>
    <w:rsid w:val="00DB25AF"/>
    <w:rsid w:val="00DB2D3E"/>
    <w:rsid w:val="00DB2DA7"/>
    <w:rsid w:val="00DB2DB9"/>
    <w:rsid w:val="00DB2E03"/>
    <w:rsid w:val="00DB2E14"/>
    <w:rsid w:val="00DB30D2"/>
    <w:rsid w:val="00DB30D4"/>
    <w:rsid w:val="00DB30D8"/>
    <w:rsid w:val="00DB360E"/>
    <w:rsid w:val="00DB3866"/>
    <w:rsid w:val="00DB39B0"/>
    <w:rsid w:val="00DB39B7"/>
    <w:rsid w:val="00DB3B70"/>
    <w:rsid w:val="00DB3C73"/>
    <w:rsid w:val="00DB3EAE"/>
    <w:rsid w:val="00DB3EDF"/>
    <w:rsid w:val="00DB492C"/>
    <w:rsid w:val="00DB4CD2"/>
    <w:rsid w:val="00DB4D1C"/>
    <w:rsid w:val="00DB4E91"/>
    <w:rsid w:val="00DB4FFC"/>
    <w:rsid w:val="00DB5117"/>
    <w:rsid w:val="00DB5AAF"/>
    <w:rsid w:val="00DB5C37"/>
    <w:rsid w:val="00DB5D3D"/>
    <w:rsid w:val="00DB5E22"/>
    <w:rsid w:val="00DB5FE1"/>
    <w:rsid w:val="00DB60C7"/>
    <w:rsid w:val="00DB61C6"/>
    <w:rsid w:val="00DB6476"/>
    <w:rsid w:val="00DB6792"/>
    <w:rsid w:val="00DB6874"/>
    <w:rsid w:val="00DB6A6D"/>
    <w:rsid w:val="00DB6C84"/>
    <w:rsid w:val="00DB6CB3"/>
    <w:rsid w:val="00DB6F03"/>
    <w:rsid w:val="00DB6F0A"/>
    <w:rsid w:val="00DB6F64"/>
    <w:rsid w:val="00DB7029"/>
    <w:rsid w:val="00DB70AD"/>
    <w:rsid w:val="00DB7119"/>
    <w:rsid w:val="00DB721E"/>
    <w:rsid w:val="00DB7527"/>
    <w:rsid w:val="00DB777D"/>
    <w:rsid w:val="00DB7A62"/>
    <w:rsid w:val="00DB7AE8"/>
    <w:rsid w:val="00DB7B13"/>
    <w:rsid w:val="00DB7C35"/>
    <w:rsid w:val="00DB7E63"/>
    <w:rsid w:val="00DB7F8B"/>
    <w:rsid w:val="00DC01A3"/>
    <w:rsid w:val="00DC028D"/>
    <w:rsid w:val="00DC0565"/>
    <w:rsid w:val="00DC0C5B"/>
    <w:rsid w:val="00DC0DBB"/>
    <w:rsid w:val="00DC1074"/>
    <w:rsid w:val="00DC136F"/>
    <w:rsid w:val="00DC143E"/>
    <w:rsid w:val="00DC1566"/>
    <w:rsid w:val="00DC158F"/>
    <w:rsid w:val="00DC1920"/>
    <w:rsid w:val="00DC1CB4"/>
    <w:rsid w:val="00DC2875"/>
    <w:rsid w:val="00DC296E"/>
    <w:rsid w:val="00DC2DC8"/>
    <w:rsid w:val="00DC3048"/>
    <w:rsid w:val="00DC31D9"/>
    <w:rsid w:val="00DC3247"/>
    <w:rsid w:val="00DC3C86"/>
    <w:rsid w:val="00DC3F5F"/>
    <w:rsid w:val="00DC4173"/>
    <w:rsid w:val="00DC46F0"/>
    <w:rsid w:val="00DC476B"/>
    <w:rsid w:val="00DC478F"/>
    <w:rsid w:val="00DC4E91"/>
    <w:rsid w:val="00DC4EA4"/>
    <w:rsid w:val="00DC5137"/>
    <w:rsid w:val="00DC525B"/>
    <w:rsid w:val="00DC529E"/>
    <w:rsid w:val="00DC56D1"/>
    <w:rsid w:val="00DC5800"/>
    <w:rsid w:val="00DC5D9A"/>
    <w:rsid w:val="00DC5EFE"/>
    <w:rsid w:val="00DC5F5C"/>
    <w:rsid w:val="00DC6340"/>
    <w:rsid w:val="00DC67F1"/>
    <w:rsid w:val="00DC79BA"/>
    <w:rsid w:val="00DC7ABA"/>
    <w:rsid w:val="00DC7E87"/>
    <w:rsid w:val="00DD0291"/>
    <w:rsid w:val="00DD0F86"/>
    <w:rsid w:val="00DD0FBD"/>
    <w:rsid w:val="00DD0FF8"/>
    <w:rsid w:val="00DD11F3"/>
    <w:rsid w:val="00DD1849"/>
    <w:rsid w:val="00DD184C"/>
    <w:rsid w:val="00DD184E"/>
    <w:rsid w:val="00DD2103"/>
    <w:rsid w:val="00DD2508"/>
    <w:rsid w:val="00DD268C"/>
    <w:rsid w:val="00DD2798"/>
    <w:rsid w:val="00DD27DA"/>
    <w:rsid w:val="00DD2888"/>
    <w:rsid w:val="00DD29AE"/>
    <w:rsid w:val="00DD2CE4"/>
    <w:rsid w:val="00DD2D82"/>
    <w:rsid w:val="00DD2DA4"/>
    <w:rsid w:val="00DD2E4E"/>
    <w:rsid w:val="00DD2EE2"/>
    <w:rsid w:val="00DD2F4E"/>
    <w:rsid w:val="00DD2FC0"/>
    <w:rsid w:val="00DD33B1"/>
    <w:rsid w:val="00DD343A"/>
    <w:rsid w:val="00DD359C"/>
    <w:rsid w:val="00DD36DC"/>
    <w:rsid w:val="00DD3BB0"/>
    <w:rsid w:val="00DD3D38"/>
    <w:rsid w:val="00DD3D5F"/>
    <w:rsid w:val="00DD3DAF"/>
    <w:rsid w:val="00DD44D6"/>
    <w:rsid w:val="00DD4603"/>
    <w:rsid w:val="00DD48B5"/>
    <w:rsid w:val="00DD48E4"/>
    <w:rsid w:val="00DD5326"/>
    <w:rsid w:val="00DD5349"/>
    <w:rsid w:val="00DD5559"/>
    <w:rsid w:val="00DD59F6"/>
    <w:rsid w:val="00DD5A75"/>
    <w:rsid w:val="00DD5B92"/>
    <w:rsid w:val="00DD5D81"/>
    <w:rsid w:val="00DD5D91"/>
    <w:rsid w:val="00DD5FA2"/>
    <w:rsid w:val="00DD61C6"/>
    <w:rsid w:val="00DD6218"/>
    <w:rsid w:val="00DD630D"/>
    <w:rsid w:val="00DD642B"/>
    <w:rsid w:val="00DD6583"/>
    <w:rsid w:val="00DD692F"/>
    <w:rsid w:val="00DD6B2F"/>
    <w:rsid w:val="00DD6C54"/>
    <w:rsid w:val="00DD6E4B"/>
    <w:rsid w:val="00DD6F53"/>
    <w:rsid w:val="00DD7078"/>
    <w:rsid w:val="00DD7092"/>
    <w:rsid w:val="00DD768E"/>
    <w:rsid w:val="00DD770B"/>
    <w:rsid w:val="00DD782C"/>
    <w:rsid w:val="00DD7921"/>
    <w:rsid w:val="00DD7F49"/>
    <w:rsid w:val="00DE02DA"/>
    <w:rsid w:val="00DE07BE"/>
    <w:rsid w:val="00DE0A13"/>
    <w:rsid w:val="00DE0B75"/>
    <w:rsid w:val="00DE0D0E"/>
    <w:rsid w:val="00DE0E1D"/>
    <w:rsid w:val="00DE0E91"/>
    <w:rsid w:val="00DE0F25"/>
    <w:rsid w:val="00DE116B"/>
    <w:rsid w:val="00DE1221"/>
    <w:rsid w:val="00DE139A"/>
    <w:rsid w:val="00DE1583"/>
    <w:rsid w:val="00DE1A64"/>
    <w:rsid w:val="00DE1D48"/>
    <w:rsid w:val="00DE1D8B"/>
    <w:rsid w:val="00DE1D92"/>
    <w:rsid w:val="00DE2427"/>
    <w:rsid w:val="00DE27E3"/>
    <w:rsid w:val="00DE2B69"/>
    <w:rsid w:val="00DE3241"/>
    <w:rsid w:val="00DE3293"/>
    <w:rsid w:val="00DE339A"/>
    <w:rsid w:val="00DE34CF"/>
    <w:rsid w:val="00DE3732"/>
    <w:rsid w:val="00DE38D6"/>
    <w:rsid w:val="00DE3982"/>
    <w:rsid w:val="00DE3F95"/>
    <w:rsid w:val="00DE42EA"/>
    <w:rsid w:val="00DE43AC"/>
    <w:rsid w:val="00DE4691"/>
    <w:rsid w:val="00DE49E6"/>
    <w:rsid w:val="00DE4C6E"/>
    <w:rsid w:val="00DE4CFE"/>
    <w:rsid w:val="00DE4FD4"/>
    <w:rsid w:val="00DE544D"/>
    <w:rsid w:val="00DE590B"/>
    <w:rsid w:val="00DE62C8"/>
    <w:rsid w:val="00DE6306"/>
    <w:rsid w:val="00DE68E9"/>
    <w:rsid w:val="00DE6A7B"/>
    <w:rsid w:val="00DE6A8D"/>
    <w:rsid w:val="00DE6ECB"/>
    <w:rsid w:val="00DE6F1C"/>
    <w:rsid w:val="00DE70AE"/>
    <w:rsid w:val="00DE70C4"/>
    <w:rsid w:val="00DE711E"/>
    <w:rsid w:val="00DE7576"/>
    <w:rsid w:val="00DE75AA"/>
    <w:rsid w:val="00DE76E6"/>
    <w:rsid w:val="00DE782A"/>
    <w:rsid w:val="00DE7A96"/>
    <w:rsid w:val="00DE7BC0"/>
    <w:rsid w:val="00DE7D80"/>
    <w:rsid w:val="00DE7D88"/>
    <w:rsid w:val="00DE7FD1"/>
    <w:rsid w:val="00DF0013"/>
    <w:rsid w:val="00DF02D8"/>
    <w:rsid w:val="00DF0322"/>
    <w:rsid w:val="00DF0454"/>
    <w:rsid w:val="00DF058C"/>
    <w:rsid w:val="00DF0947"/>
    <w:rsid w:val="00DF0A4E"/>
    <w:rsid w:val="00DF0E86"/>
    <w:rsid w:val="00DF0EED"/>
    <w:rsid w:val="00DF123F"/>
    <w:rsid w:val="00DF1243"/>
    <w:rsid w:val="00DF1397"/>
    <w:rsid w:val="00DF1453"/>
    <w:rsid w:val="00DF1900"/>
    <w:rsid w:val="00DF197A"/>
    <w:rsid w:val="00DF202B"/>
    <w:rsid w:val="00DF205F"/>
    <w:rsid w:val="00DF23C3"/>
    <w:rsid w:val="00DF2423"/>
    <w:rsid w:val="00DF2622"/>
    <w:rsid w:val="00DF2650"/>
    <w:rsid w:val="00DF2685"/>
    <w:rsid w:val="00DF26C9"/>
    <w:rsid w:val="00DF26D3"/>
    <w:rsid w:val="00DF29D4"/>
    <w:rsid w:val="00DF2BE8"/>
    <w:rsid w:val="00DF3857"/>
    <w:rsid w:val="00DF41CC"/>
    <w:rsid w:val="00DF4537"/>
    <w:rsid w:val="00DF4642"/>
    <w:rsid w:val="00DF47C5"/>
    <w:rsid w:val="00DF484B"/>
    <w:rsid w:val="00DF49A0"/>
    <w:rsid w:val="00DF4BF3"/>
    <w:rsid w:val="00DF4C7D"/>
    <w:rsid w:val="00DF4E50"/>
    <w:rsid w:val="00DF4EC6"/>
    <w:rsid w:val="00DF4FC7"/>
    <w:rsid w:val="00DF5256"/>
    <w:rsid w:val="00DF54AD"/>
    <w:rsid w:val="00DF56F2"/>
    <w:rsid w:val="00DF58E3"/>
    <w:rsid w:val="00DF59AE"/>
    <w:rsid w:val="00DF5A8C"/>
    <w:rsid w:val="00DF5C15"/>
    <w:rsid w:val="00DF5D52"/>
    <w:rsid w:val="00DF6017"/>
    <w:rsid w:val="00DF63CA"/>
    <w:rsid w:val="00DF63FF"/>
    <w:rsid w:val="00DF647B"/>
    <w:rsid w:val="00DF6A99"/>
    <w:rsid w:val="00DF6D46"/>
    <w:rsid w:val="00DF70E6"/>
    <w:rsid w:val="00DF738A"/>
    <w:rsid w:val="00DF74E9"/>
    <w:rsid w:val="00DF756E"/>
    <w:rsid w:val="00DF776D"/>
    <w:rsid w:val="00DF78A7"/>
    <w:rsid w:val="00DF7A3E"/>
    <w:rsid w:val="00DF7DB7"/>
    <w:rsid w:val="00DF7E18"/>
    <w:rsid w:val="00DF7E34"/>
    <w:rsid w:val="00DF7F5C"/>
    <w:rsid w:val="00E0004F"/>
    <w:rsid w:val="00E00214"/>
    <w:rsid w:val="00E00291"/>
    <w:rsid w:val="00E0048C"/>
    <w:rsid w:val="00E0095C"/>
    <w:rsid w:val="00E00A76"/>
    <w:rsid w:val="00E00ABA"/>
    <w:rsid w:val="00E01126"/>
    <w:rsid w:val="00E0136A"/>
    <w:rsid w:val="00E01EC8"/>
    <w:rsid w:val="00E02092"/>
    <w:rsid w:val="00E0277D"/>
    <w:rsid w:val="00E029C0"/>
    <w:rsid w:val="00E029D0"/>
    <w:rsid w:val="00E029EC"/>
    <w:rsid w:val="00E02F78"/>
    <w:rsid w:val="00E02FE1"/>
    <w:rsid w:val="00E03350"/>
    <w:rsid w:val="00E033FF"/>
    <w:rsid w:val="00E036F6"/>
    <w:rsid w:val="00E03C26"/>
    <w:rsid w:val="00E041CC"/>
    <w:rsid w:val="00E0435F"/>
    <w:rsid w:val="00E046BA"/>
    <w:rsid w:val="00E0474F"/>
    <w:rsid w:val="00E0475A"/>
    <w:rsid w:val="00E04F78"/>
    <w:rsid w:val="00E05000"/>
    <w:rsid w:val="00E05141"/>
    <w:rsid w:val="00E051A2"/>
    <w:rsid w:val="00E052D7"/>
    <w:rsid w:val="00E055A2"/>
    <w:rsid w:val="00E0575F"/>
    <w:rsid w:val="00E05850"/>
    <w:rsid w:val="00E059E2"/>
    <w:rsid w:val="00E05FA0"/>
    <w:rsid w:val="00E06227"/>
    <w:rsid w:val="00E06893"/>
    <w:rsid w:val="00E06B02"/>
    <w:rsid w:val="00E06C5E"/>
    <w:rsid w:val="00E06D00"/>
    <w:rsid w:val="00E06D0E"/>
    <w:rsid w:val="00E06D80"/>
    <w:rsid w:val="00E06FC3"/>
    <w:rsid w:val="00E0702C"/>
    <w:rsid w:val="00E07487"/>
    <w:rsid w:val="00E07598"/>
    <w:rsid w:val="00E079F9"/>
    <w:rsid w:val="00E07B44"/>
    <w:rsid w:val="00E07BB0"/>
    <w:rsid w:val="00E07CB4"/>
    <w:rsid w:val="00E07F16"/>
    <w:rsid w:val="00E10087"/>
    <w:rsid w:val="00E101D8"/>
    <w:rsid w:val="00E103DB"/>
    <w:rsid w:val="00E104AC"/>
    <w:rsid w:val="00E105DC"/>
    <w:rsid w:val="00E1099F"/>
    <w:rsid w:val="00E1123F"/>
    <w:rsid w:val="00E1129D"/>
    <w:rsid w:val="00E115FD"/>
    <w:rsid w:val="00E11679"/>
    <w:rsid w:val="00E11942"/>
    <w:rsid w:val="00E1197D"/>
    <w:rsid w:val="00E11A62"/>
    <w:rsid w:val="00E11CA5"/>
    <w:rsid w:val="00E11D26"/>
    <w:rsid w:val="00E1298A"/>
    <w:rsid w:val="00E12D73"/>
    <w:rsid w:val="00E12E06"/>
    <w:rsid w:val="00E130D9"/>
    <w:rsid w:val="00E13160"/>
    <w:rsid w:val="00E13645"/>
    <w:rsid w:val="00E13D5F"/>
    <w:rsid w:val="00E146BC"/>
    <w:rsid w:val="00E14A86"/>
    <w:rsid w:val="00E1513B"/>
    <w:rsid w:val="00E154A0"/>
    <w:rsid w:val="00E1552D"/>
    <w:rsid w:val="00E15600"/>
    <w:rsid w:val="00E1585D"/>
    <w:rsid w:val="00E15F73"/>
    <w:rsid w:val="00E1601D"/>
    <w:rsid w:val="00E167B0"/>
    <w:rsid w:val="00E167EC"/>
    <w:rsid w:val="00E17150"/>
    <w:rsid w:val="00E173DC"/>
    <w:rsid w:val="00E17683"/>
    <w:rsid w:val="00E17AE5"/>
    <w:rsid w:val="00E17DE1"/>
    <w:rsid w:val="00E17E23"/>
    <w:rsid w:val="00E17F97"/>
    <w:rsid w:val="00E201CE"/>
    <w:rsid w:val="00E2024F"/>
    <w:rsid w:val="00E202B0"/>
    <w:rsid w:val="00E2072E"/>
    <w:rsid w:val="00E20F21"/>
    <w:rsid w:val="00E20F8F"/>
    <w:rsid w:val="00E21019"/>
    <w:rsid w:val="00E21087"/>
    <w:rsid w:val="00E217C6"/>
    <w:rsid w:val="00E21A90"/>
    <w:rsid w:val="00E21E47"/>
    <w:rsid w:val="00E21FDC"/>
    <w:rsid w:val="00E22074"/>
    <w:rsid w:val="00E222B6"/>
    <w:rsid w:val="00E223C1"/>
    <w:rsid w:val="00E2240C"/>
    <w:rsid w:val="00E22618"/>
    <w:rsid w:val="00E227F0"/>
    <w:rsid w:val="00E229C3"/>
    <w:rsid w:val="00E22AA0"/>
    <w:rsid w:val="00E22B47"/>
    <w:rsid w:val="00E22B69"/>
    <w:rsid w:val="00E22D15"/>
    <w:rsid w:val="00E2314D"/>
    <w:rsid w:val="00E234BB"/>
    <w:rsid w:val="00E23634"/>
    <w:rsid w:val="00E23873"/>
    <w:rsid w:val="00E239FE"/>
    <w:rsid w:val="00E23AA9"/>
    <w:rsid w:val="00E23B5D"/>
    <w:rsid w:val="00E23BEF"/>
    <w:rsid w:val="00E23E1E"/>
    <w:rsid w:val="00E23E9C"/>
    <w:rsid w:val="00E23F30"/>
    <w:rsid w:val="00E241F9"/>
    <w:rsid w:val="00E242D1"/>
    <w:rsid w:val="00E243C4"/>
    <w:rsid w:val="00E244C8"/>
    <w:rsid w:val="00E2484E"/>
    <w:rsid w:val="00E24E73"/>
    <w:rsid w:val="00E2500A"/>
    <w:rsid w:val="00E25AF4"/>
    <w:rsid w:val="00E25BCF"/>
    <w:rsid w:val="00E26568"/>
    <w:rsid w:val="00E26712"/>
    <w:rsid w:val="00E26E6E"/>
    <w:rsid w:val="00E27049"/>
    <w:rsid w:val="00E27503"/>
    <w:rsid w:val="00E27608"/>
    <w:rsid w:val="00E27688"/>
    <w:rsid w:val="00E27794"/>
    <w:rsid w:val="00E27BC0"/>
    <w:rsid w:val="00E27BE7"/>
    <w:rsid w:val="00E27BF4"/>
    <w:rsid w:val="00E27F4A"/>
    <w:rsid w:val="00E3011F"/>
    <w:rsid w:val="00E3014B"/>
    <w:rsid w:val="00E302CC"/>
    <w:rsid w:val="00E3031A"/>
    <w:rsid w:val="00E30497"/>
    <w:rsid w:val="00E3058C"/>
    <w:rsid w:val="00E307AD"/>
    <w:rsid w:val="00E3092D"/>
    <w:rsid w:val="00E30988"/>
    <w:rsid w:val="00E30A3F"/>
    <w:rsid w:val="00E30AC4"/>
    <w:rsid w:val="00E30E0A"/>
    <w:rsid w:val="00E310C0"/>
    <w:rsid w:val="00E312F7"/>
    <w:rsid w:val="00E3184D"/>
    <w:rsid w:val="00E319B6"/>
    <w:rsid w:val="00E31B24"/>
    <w:rsid w:val="00E31C0E"/>
    <w:rsid w:val="00E31DFF"/>
    <w:rsid w:val="00E31E2C"/>
    <w:rsid w:val="00E323D6"/>
    <w:rsid w:val="00E324E5"/>
    <w:rsid w:val="00E32503"/>
    <w:rsid w:val="00E327F8"/>
    <w:rsid w:val="00E32B8D"/>
    <w:rsid w:val="00E32BB0"/>
    <w:rsid w:val="00E32BDF"/>
    <w:rsid w:val="00E32DB1"/>
    <w:rsid w:val="00E32F99"/>
    <w:rsid w:val="00E3332D"/>
    <w:rsid w:val="00E33795"/>
    <w:rsid w:val="00E33DA2"/>
    <w:rsid w:val="00E33DF4"/>
    <w:rsid w:val="00E3405B"/>
    <w:rsid w:val="00E34664"/>
    <w:rsid w:val="00E34788"/>
    <w:rsid w:val="00E34A0A"/>
    <w:rsid w:val="00E34E32"/>
    <w:rsid w:val="00E359F0"/>
    <w:rsid w:val="00E35A3C"/>
    <w:rsid w:val="00E35D22"/>
    <w:rsid w:val="00E35DE3"/>
    <w:rsid w:val="00E35F29"/>
    <w:rsid w:val="00E3636D"/>
    <w:rsid w:val="00E36399"/>
    <w:rsid w:val="00E363F4"/>
    <w:rsid w:val="00E36456"/>
    <w:rsid w:val="00E3647C"/>
    <w:rsid w:val="00E36898"/>
    <w:rsid w:val="00E368F8"/>
    <w:rsid w:val="00E36A6A"/>
    <w:rsid w:val="00E36E65"/>
    <w:rsid w:val="00E36F22"/>
    <w:rsid w:val="00E372F5"/>
    <w:rsid w:val="00E3750F"/>
    <w:rsid w:val="00E375E2"/>
    <w:rsid w:val="00E376DE"/>
    <w:rsid w:val="00E37E57"/>
    <w:rsid w:val="00E4096C"/>
    <w:rsid w:val="00E40C57"/>
    <w:rsid w:val="00E40C89"/>
    <w:rsid w:val="00E40DE4"/>
    <w:rsid w:val="00E41007"/>
    <w:rsid w:val="00E41D68"/>
    <w:rsid w:val="00E42205"/>
    <w:rsid w:val="00E4256B"/>
    <w:rsid w:val="00E42633"/>
    <w:rsid w:val="00E42849"/>
    <w:rsid w:val="00E4296D"/>
    <w:rsid w:val="00E42D56"/>
    <w:rsid w:val="00E42ED9"/>
    <w:rsid w:val="00E43858"/>
    <w:rsid w:val="00E43A85"/>
    <w:rsid w:val="00E43B12"/>
    <w:rsid w:val="00E43C15"/>
    <w:rsid w:val="00E442A1"/>
    <w:rsid w:val="00E4459C"/>
    <w:rsid w:val="00E44611"/>
    <w:rsid w:val="00E44621"/>
    <w:rsid w:val="00E44F25"/>
    <w:rsid w:val="00E4535B"/>
    <w:rsid w:val="00E45620"/>
    <w:rsid w:val="00E4579F"/>
    <w:rsid w:val="00E45817"/>
    <w:rsid w:val="00E458DF"/>
    <w:rsid w:val="00E45945"/>
    <w:rsid w:val="00E4599E"/>
    <w:rsid w:val="00E45A1B"/>
    <w:rsid w:val="00E45C26"/>
    <w:rsid w:val="00E45E0E"/>
    <w:rsid w:val="00E46409"/>
    <w:rsid w:val="00E4690B"/>
    <w:rsid w:val="00E46B74"/>
    <w:rsid w:val="00E46C89"/>
    <w:rsid w:val="00E46F04"/>
    <w:rsid w:val="00E4729F"/>
    <w:rsid w:val="00E4736C"/>
    <w:rsid w:val="00E47464"/>
    <w:rsid w:val="00E475F8"/>
    <w:rsid w:val="00E47AC4"/>
    <w:rsid w:val="00E47B02"/>
    <w:rsid w:val="00E47BDF"/>
    <w:rsid w:val="00E47D08"/>
    <w:rsid w:val="00E47DD5"/>
    <w:rsid w:val="00E503E6"/>
    <w:rsid w:val="00E506E3"/>
    <w:rsid w:val="00E509E7"/>
    <w:rsid w:val="00E50A04"/>
    <w:rsid w:val="00E50D84"/>
    <w:rsid w:val="00E51289"/>
    <w:rsid w:val="00E5142A"/>
    <w:rsid w:val="00E5175E"/>
    <w:rsid w:val="00E517FD"/>
    <w:rsid w:val="00E51A03"/>
    <w:rsid w:val="00E51C01"/>
    <w:rsid w:val="00E5227E"/>
    <w:rsid w:val="00E52462"/>
    <w:rsid w:val="00E52489"/>
    <w:rsid w:val="00E52D30"/>
    <w:rsid w:val="00E52E3C"/>
    <w:rsid w:val="00E52F45"/>
    <w:rsid w:val="00E53019"/>
    <w:rsid w:val="00E5338F"/>
    <w:rsid w:val="00E535BE"/>
    <w:rsid w:val="00E535C3"/>
    <w:rsid w:val="00E53610"/>
    <w:rsid w:val="00E53B08"/>
    <w:rsid w:val="00E53E91"/>
    <w:rsid w:val="00E53FFB"/>
    <w:rsid w:val="00E54196"/>
    <w:rsid w:val="00E543C1"/>
    <w:rsid w:val="00E54421"/>
    <w:rsid w:val="00E54987"/>
    <w:rsid w:val="00E54A83"/>
    <w:rsid w:val="00E54F3D"/>
    <w:rsid w:val="00E5501A"/>
    <w:rsid w:val="00E550E7"/>
    <w:rsid w:val="00E55454"/>
    <w:rsid w:val="00E55749"/>
    <w:rsid w:val="00E55867"/>
    <w:rsid w:val="00E559DE"/>
    <w:rsid w:val="00E55B0F"/>
    <w:rsid w:val="00E55B22"/>
    <w:rsid w:val="00E55C25"/>
    <w:rsid w:val="00E5655C"/>
    <w:rsid w:val="00E56596"/>
    <w:rsid w:val="00E56608"/>
    <w:rsid w:val="00E566AA"/>
    <w:rsid w:val="00E56979"/>
    <w:rsid w:val="00E5698C"/>
    <w:rsid w:val="00E56B68"/>
    <w:rsid w:val="00E56B8C"/>
    <w:rsid w:val="00E56CCE"/>
    <w:rsid w:val="00E57035"/>
    <w:rsid w:val="00E57075"/>
    <w:rsid w:val="00E5709B"/>
    <w:rsid w:val="00E57208"/>
    <w:rsid w:val="00E572C3"/>
    <w:rsid w:val="00E5734A"/>
    <w:rsid w:val="00E5750A"/>
    <w:rsid w:val="00E5770D"/>
    <w:rsid w:val="00E578F5"/>
    <w:rsid w:val="00E5790F"/>
    <w:rsid w:val="00E57984"/>
    <w:rsid w:val="00E57B01"/>
    <w:rsid w:val="00E57C22"/>
    <w:rsid w:val="00E57F07"/>
    <w:rsid w:val="00E57FD1"/>
    <w:rsid w:val="00E600B6"/>
    <w:rsid w:val="00E60552"/>
    <w:rsid w:val="00E607C9"/>
    <w:rsid w:val="00E60A08"/>
    <w:rsid w:val="00E60BF6"/>
    <w:rsid w:val="00E615FE"/>
    <w:rsid w:val="00E619E0"/>
    <w:rsid w:val="00E6200D"/>
    <w:rsid w:val="00E6220E"/>
    <w:rsid w:val="00E622E0"/>
    <w:rsid w:val="00E62DD4"/>
    <w:rsid w:val="00E62EB7"/>
    <w:rsid w:val="00E63135"/>
    <w:rsid w:val="00E6336C"/>
    <w:rsid w:val="00E63477"/>
    <w:rsid w:val="00E636B0"/>
    <w:rsid w:val="00E63764"/>
    <w:rsid w:val="00E63860"/>
    <w:rsid w:val="00E63DA5"/>
    <w:rsid w:val="00E640A1"/>
    <w:rsid w:val="00E64223"/>
    <w:rsid w:val="00E642B0"/>
    <w:rsid w:val="00E64499"/>
    <w:rsid w:val="00E64836"/>
    <w:rsid w:val="00E64BD0"/>
    <w:rsid w:val="00E64C87"/>
    <w:rsid w:val="00E64CF9"/>
    <w:rsid w:val="00E64D9E"/>
    <w:rsid w:val="00E64F59"/>
    <w:rsid w:val="00E6515F"/>
    <w:rsid w:val="00E65409"/>
    <w:rsid w:val="00E6540E"/>
    <w:rsid w:val="00E6547B"/>
    <w:rsid w:val="00E654AA"/>
    <w:rsid w:val="00E65607"/>
    <w:rsid w:val="00E65728"/>
    <w:rsid w:val="00E65837"/>
    <w:rsid w:val="00E65B5E"/>
    <w:rsid w:val="00E66969"/>
    <w:rsid w:val="00E66A52"/>
    <w:rsid w:val="00E66EFA"/>
    <w:rsid w:val="00E67034"/>
    <w:rsid w:val="00E6713D"/>
    <w:rsid w:val="00E67153"/>
    <w:rsid w:val="00E672D8"/>
    <w:rsid w:val="00E672DC"/>
    <w:rsid w:val="00E67484"/>
    <w:rsid w:val="00E67894"/>
    <w:rsid w:val="00E678FB"/>
    <w:rsid w:val="00E67B9C"/>
    <w:rsid w:val="00E67D20"/>
    <w:rsid w:val="00E67FBF"/>
    <w:rsid w:val="00E70087"/>
    <w:rsid w:val="00E704E2"/>
    <w:rsid w:val="00E7058D"/>
    <w:rsid w:val="00E70756"/>
    <w:rsid w:val="00E70A85"/>
    <w:rsid w:val="00E70CA0"/>
    <w:rsid w:val="00E71358"/>
    <w:rsid w:val="00E7155B"/>
    <w:rsid w:val="00E71604"/>
    <w:rsid w:val="00E7167B"/>
    <w:rsid w:val="00E71BBD"/>
    <w:rsid w:val="00E71E15"/>
    <w:rsid w:val="00E71F57"/>
    <w:rsid w:val="00E72084"/>
    <w:rsid w:val="00E72749"/>
    <w:rsid w:val="00E7293C"/>
    <w:rsid w:val="00E72C78"/>
    <w:rsid w:val="00E72CCB"/>
    <w:rsid w:val="00E7303C"/>
    <w:rsid w:val="00E73119"/>
    <w:rsid w:val="00E7314B"/>
    <w:rsid w:val="00E732AF"/>
    <w:rsid w:val="00E7340B"/>
    <w:rsid w:val="00E73648"/>
    <w:rsid w:val="00E73683"/>
    <w:rsid w:val="00E737E0"/>
    <w:rsid w:val="00E738BF"/>
    <w:rsid w:val="00E73AA4"/>
    <w:rsid w:val="00E73C5C"/>
    <w:rsid w:val="00E73D8D"/>
    <w:rsid w:val="00E73DCB"/>
    <w:rsid w:val="00E73EB1"/>
    <w:rsid w:val="00E73F6F"/>
    <w:rsid w:val="00E742D8"/>
    <w:rsid w:val="00E7444D"/>
    <w:rsid w:val="00E744E6"/>
    <w:rsid w:val="00E74BC0"/>
    <w:rsid w:val="00E74CA4"/>
    <w:rsid w:val="00E74EAB"/>
    <w:rsid w:val="00E74EF1"/>
    <w:rsid w:val="00E74F20"/>
    <w:rsid w:val="00E752D0"/>
    <w:rsid w:val="00E75334"/>
    <w:rsid w:val="00E7573D"/>
    <w:rsid w:val="00E757A5"/>
    <w:rsid w:val="00E75890"/>
    <w:rsid w:val="00E75BB4"/>
    <w:rsid w:val="00E75F2A"/>
    <w:rsid w:val="00E7633D"/>
    <w:rsid w:val="00E7649A"/>
    <w:rsid w:val="00E765F8"/>
    <w:rsid w:val="00E768EE"/>
    <w:rsid w:val="00E769B9"/>
    <w:rsid w:val="00E76A09"/>
    <w:rsid w:val="00E76A17"/>
    <w:rsid w:val="00E76B22"/>
    <w:rsid w:val="00E76CFD"/>
    <w:rsid w:val="00E76FA9"/>
    <w:rsid w:val="00E7738A"/>
    <w:rsid w:val="00E77D76"/>
    <w:rsid w:val="00E77EF1"/>
    <w:rsid w:val="00E8025B"/>
    <w:rsid w:val="00E80361"/>
    <w:rsid w:val="00E804D3"/>
    <w:rsid w:val="00E80C6C"/>
    <w:rsid w:val="00E80E21"/>
    <w:rsid w:val="00E80EE6"/>
    <w:rsid w:val="00E812E4"/>
    <w:rsid w:val="00E81528"/>
    <w:rsid w:val="00E81837"/>
    <w:rsid w:val="00E8185A"/>
    <w:rsid w:val="00E81E2C"/>
    <w:rsid w:val="00E8218A"/>
    <w:rsid w:val="00E8226A"/>
    <w:rsid w:val="00E823A9"/>
    <w:rsid w:val="00E82513"/>
    <w:rsid w:val="00E826C6"/>
    <w:rsid w:val="00E82722"/>
    <w:rsid w:val="00E83009"/>
    <w:rsid w:val="00E8321F"/>
    <w:rsid w:val="00E83304"/>
    <w:rsid w:val="00E833CF"/>
    <w:rsid w:val="00E8350F"/>
    <w:rsid w:val="00E83569"/>
    <w:rsid w:val="00E8361C"/>
    <w:rsid w:val="00E83638"/>
    <w:rsid w:val="00E83730"/>
    <w:rsid w:val="00E83C5F"/>
    <w:rsid w:val="00E83EE4"/>
    <w:rsid w:val="00E84030"/>
    <w:rsid w:val="00E841DD"/>
    <w:rsid w:val="00E841F8"/>
    <w:rsid w:val="00E84233"/>
    <w:rsid w:val="00E84318"/>
    <w:rsid w:val="00E8437D"/>
    <w:rsid w:val="00E843D3"/>
    <w:rsid w:val="00E845BF"/>
    <w:rsid w:val="00E848A1"/>
    <w:rsid w:val="00E848AF"/>
    <w:rsid w:val="00E84980"/>
    <w:rsid w:val="00E84A06"/>
    <w:rsid w:val="00E84AFA"/>
    <w:rsid w:val="00E85651"/>
    <w:rsid w:val="00E85744"/>
    <w:rsid w:val="00E857B4"/>
    <w:rsid w:val="00E85896"/>
    <w:rsid w:val="00E85A9E"/>
    <w:rsid w:val="00E85B42"/>
    <w:rsid w:val="00E85E17"/>
    <w:rsid w:val="00E85EB7"/>
    <w:rsid w:val="00E85F69"/>
    <w:rsid w:val="00E85F6C"/>
    <w:rsid w:val="00E86053"/>
    <w:rsid w:val="00E86259"/>
    <w:rsid w:val="00E8630E"/>
    <w:rsid w:val="00E86394"/>
    <w:rsid w:val="00E866EF"/>
    <w:rsid w:val="00E867DA"/>
    <w:rsid w:val="00E869F8"/>
    <w:rsid w:val="00E86A9D"/>
    <w:rsid w:val="00E86BDF"/>
    <w:rsid w:val="00E870CB"/>
    <w:rsid w:val="00E871BD"/>
    <w:rsid w:val="00E872C2"/>
    <w:rsid w:val="00E8738E"/>
    <w:rsid w:val="00E878BB"/>
    <w:rsid w:val="00E87921"/>
    <w:rsid w:val="00E87A0E"/>
    <w:rsid w:val="00E87A46"/>
    <w:rsid w:val="00E87FB5"/>
    <w:rsid w:val="00E90304"/>
    <w:rsid w:val="00E90724"/>
    <w:rsid w:val="00E908EB"/>
    <w:rsid w:val="00E90AD4"/>
    <w:rsid w:val="00E91067"/>
    <w:rsid w:val="00E91213"/>
    <w:rsid w:val="00E91353"/>
    <w:rsid w:val="00E923D0"/>
    <w:rsid w:val="00E925E6"/>
    <w:rsid w:val="00E92600"/>
    <w:rsid w:val="00E927E4"/>
    <w:rsid w:val="00E92B7A"/>
    <w:rsid w:val="00E92E00"/>
    <w:rsid w:val="00E92EE6"/>
    <w:rsid w:val="00E92F03"/>
    <w:rsid w:val="00E92F4F"/>
    <w:rsid w:val="00E92FAC"/>
    <w:rsid w:val="00E931FD"/>
    <w:rsid w:val="00E935BC"/>
    <w:rsid w:val="00E936C9"/>
    <w:rsid w:val="00E93B18"/>
    <w:rsid w:val="00E93EC8"/>
    <w:rsid w:val="00E944F0"/>
    <w:rsid w:val="00E94558"/>
    <w:rsid w:val="00E94A31"/>
    <w:rsid w:val="00E94B2C"/>
    <w:rsid w:val="00E94B4D"/>
    <w:rsid w:val="00E94BB1"/>
    <w:rsid w:val="00E94C44"/>
    <w:rsid w:val="00E94CF6"/>
    <w:rsid w:val="00E94E7D"/>
    <w:rsid w:val="00E94F21"/>
    <w:rsid w:val="00E95001"/>
    <w:rsid w:val="00E9525B"/>
    <w:rsid w:val="00E9566B"/>
    <w:rsid w:val="00E956A5"/>
    <w:rsid w:val="00E9599D"/>
    <w:rsid w:val="00E95A48"/>
    <w:rsid w:val="00E95C70"/>
    <w:rsid w:val="00E964B1"/>
    <w:rsid w:val="00E9671C"/>
    <w:rsid w:val="00E9681D"/>
    <w:rsid w:val="00E96B8C"/>
    <w:rsid w:val="00E96CC0"/>
    <w:rsid w:val="00E96EC1"/>
    <w:rsid w:val="00E971B7"/>
    <w:rsid w:val="00E97406"/>
    <w:rsid w:val="00E9764C"/>
    <w:rsid w:val="00E97C7E"/>
    <w:rsid w:val="00E97E97"/>
    <w:rsid w:val="00EA009D"/>
    <w:rsid w:val="00EA0511"/>
    <w:rsid w:val="00EA07B8"/>
    <w:rsid w:val="00EA086F"/>
    <w:rsid w:val="00EA16B4"/>
    <w:rsid w:val="00EA17E8"/>
    <w:rsid w:val="00EA18C2"/>
    <w:rsid w:val="00EA1A7C"/>
    <w:rsid w:val="00EA1B52"/>
    <w:rsid w:val="00EA1C20"/>
    <w:rsid w:val="00EA1D75"/>
    <w:rsid w:val="00EA1F80"/>
    <w:rsid w:val="00EA2129"/>
    <w:rsid w:val="00EA2165"/>
    <w:rsid w:val="00EA2212"/>
    <w:rsid w:val="00EA2D96"/>
    <w:rsid w:val="00EA2E2B"/>
    <w:rsid w:val="00EA3020"/>
    <w:rsid w:val="00EA319E"/>
    <w:rsid w:val="00EA38C8"/>
    <w:rsid w:val="00EA3B5B"/>
    <w:rsid w:val="00EA3BF4"/>
    <w:rsid w:val="00EA3ED0"/>
    <w:rsid w:val="00EA412C"/>
    <w:rsid w:val="00EA41B3"/>
    <w:rsid w:val="00EA4627"/>
    <w:rsid w:val="00EA46F5"/>
    <w:rsid w:val="00EA48A1"/>
    <w:rsid w:val="00EA4D06"/>
    <w:rsid w:val="00EA4F05"/>
    <w:rsid w:val="00EA5071"/>
    <w:rsid w:val="00EA53E0"/>
    <w:rsid w:val="00EA5747"/>
    <w:rsid w:val="00EA577C"/>
    <w:rsid w:val="00EA59D3"/>
    <w:rsid w:val="00EA5B4E"/>
    <w:rsid w:val="00EA5BDC"/>
    <w:rsid w:val="00EA5C7C"/>
    <w:rsid w:val="00EA5DD2"/>
    <w:rsid w:val="00EA6328"/>
    <w:rsid w:val="00EA63F3"/>
    <w:rsid w:val="00EA673A"/>
    <w:rsid w:val="00EA6C47"/>
    <w:rsid w:val="00EA704E"/>
    <w:rsid w:val="00EA7103"/>
    <w:rsid w:val="00EA7248"/>
    <w:rsid w:val="00EA7AFD"/>
    <w:rsid w:val="00EA7B1A"/>
    <w:rsid w:val="00EA7B40"/>
    <w:rsid w:val="00EA7FBA"/>
    <w:rsid w:val="00EB002F"/>
    <w:rsid w:val="00EB0155"/>
    <w:rsid w:val="00EB0317"/>
    <w:rsid w:val="00EB0C8F"/>
    <w:rsid w:val="00EB0F09"/>
    <w:rsid w:val="00EB125A"/>
    <w:rsid w:val="00EB1349"/>
    <w:rsid w:val="00EB170E"/>
    <w:rsid w:val="00EB1AEE"/>
    <w:rsid w:val="00EB1D0C"/>
    <w:rsid w:val="00EB1F55"/>
    <w:rsid w:val="00EB1FFB"/>
    <w:rsid w:val="00EB2B89"/>
    <w:rsid w:val="00EB2C8D"/>
    <w:rsid w:val="00EB2E18"/>
    <w:rsid w:val="00EB2EF0"/>
    <w:rsid w:val="00EB2F22"/>
    <w:rsid w:val="00EB3254"/>
    <w:rsid w:val="00EB344B"/>
    <w:rsid w:val="00EB3917"/>
    <w:rsid w:val="00EB3D15"/>
    <w:rsid w:val="00EB4623"/>
    <w:rsid w:val="00EB4683"/>
    <w:rsid w:val="00EB489C"/>
    <w:rsid w:val="00EB4D46"/>
    <w:rsid w:val="00EB4EDA"/>
    <w:rsid w:val="00EB54CE"/>
    <w:rsid w:val="00EB5D4F"/>
    <w:rsid w:val="00EB5F21"/>
    <w:rsid w:val="00EB60DB"/>
    <w:rsid w:val="00EB64BE"/>
    <w:rsid w:val="00EB66A2"/>
    <w:rsid w:val="00EB6DD7"/>
    <w:rsid w:val="00EB70EF"/>
    <w:rsid w:val="00EB71BA"/>
    <w:rsid w:val="00EB7D59"/>
    <w:rsid w:val="00EB7E04"/>
    <w:rsid w:val="00EBB2E7"/>
    <w:rsid w:val="00EC07BF"/>
    <w:rsid w:val="00EC0AE0"/>
    <w:rsid w:val="00EC1059"/>
    <w:rsid w:val="00EC12F7"/>
    <w:rsid w:val="00EC1327"/>
    <w:rsid w:val="00EC13DD"/>
    <w:rsid w:val="00EC1E50"/>
    <w:rsid w:val="00EC1F8F"/>
    <w:rsid w:val="00EC206D"/>
    <w:rsid w:val="00EC2284"/>
    <w:rsid w:val="00EC22F5"/>
    <w:rsid w:val="00EC2720"/>
    <w:rsid w:val="00EC27D1"/>
    <w:rsid w:val="00EC27EA"/>
    <w:rsid w:val="00EC2814"/>
    <w:rsid w:val="00EC28AC"/>
    <w:rsid w:val="00EC2A23"/>
    <w:rsid w:val="00EC2B10"/>
    <w:rsid w:val="00EC2D38"/>
    <w:rsid w:val="00EC2FAF"/>
    <w:rsid w:val="00EC3310"/>
    <w:rsid w:val="00EC33A9"/>
    <w:rsid w:val="00EC37B1"/>
    <w:rsid w:val="00EC3CFC"/>
    <w:rsid w:val="00EC3D1E"/>
    <w:rsid w:val="00EC3EC9"/>
    <w:rsid w:val="00EC3F0E"/>
    <w:rsid w:val="00EC41FB"/>
    <w:rsid w:val="00EC497F"/>
    <w:rsid w:val="00EC519E"/>
    <w:rsid w:val="00EC54C9"/>
    <w:rsid w:val="00EC5744"/>
    <w:rsid w:val="00EC57F5"/>
    <w:rsid w:val="00EC5847"/>
    <w:rsid w:val="00EC5E56"/>
    <w:rsid w:val="00EC660A"/>
    <w:rsid w:val="00EC689E"/>
    <w:rsid w:val="00EC693B"/>
    <w:rsid w:val="00EC695C"/>
    <w:rsid w:val="00EC6A5E"/>
    <w:rsid w:val="00EC6BE3"/>
    <w:rsid w:val="00EC75DA"/>
    <w:rsid w:val="00EC7AC8"/>
    <w:rsid w:val="00EC7C4D"/>
    <w:rsid w:val="00EC7D94"/>
    <w:rsid w:val="00EC7FA4"/>
    <w:rsid w:val="00ED056B"/>
    <w:rsid w:val="00ED06C6"/>
    <w:rsid w:val="00ED09A5"/>
    <w:rsid w:val="00ED0CAC"/>
    <w:rsid w:val="00ED0FAE"/>
    <w:rsid w:val="00ED1226"/>
    <w:rsid w:val="00ED13B2"/>
    <w:rsid w:val="00ED148E"/>
    <w:rsid w:val="00ED197A"/>
    <w:rsid w:val="00ED1BD4"/>
    <w:rsid w:val="00ED1C7F"/>
    <w:rsid w:val="00ED1D91"/>
    <w:rsid w:val="00ED20F2"/>
    <w:rsid w:val="00ED23A7"/>
    <w:rsid w:val="00ED23FF"/>
    <w:rsid w:val="00ED2632"/>
    <w:rsid w:val="00ED2B1D"/>
    <w:rsid w:val="00ED2C99"/>
    <w:rsid w:val="00ED2DB2"/>
    <w:rsid w:val="00ED2FE9"/>
    <w:rsid w:val="00ED32DE"/>
    <w:rsid w:val="00ED3613"/>
    <w:rsid w:val="00ED3886"/>
    <w:rsid w:val="00ED3BA4"/>
    <w:rsid w:val="00ED3FAD"/>
    <w:rsid w:val="00ED404F"/>
    <w:rsid w:val="00ED40A7"/>
    <w:rsid w:val="00ED40F0"/>
    <w:rsid w:val="00ED42DF"/>
    <w:rsid w:val="00ED4867"/>
    <w:rsid w:val="00ED49CF"/>
    <w:rsid w:val="00ED49F2"/>
    <w:rsid w:val="00ED4BD0"/>
    <w:rsid w:val="00ED5224"/>
    <w:rsid w:val="00ED527A"/>
    <w:rsid w:val="00ED585C"/>
    <w:rsid w:val="00ED5AFE"/>
    <w:rsid w:val="00ED5B4D"/>
    <w:rsid w:val="00ED5DC6"/>
    <w:rsid w:val="00ED5E14"/>
    <w:rsid w:val="00ED5F1B"/>
    <w:rsid w:val="00ED5F6C"/>
    <w:rsid w:val="00ED60D9"/>
    <w:rsid w:val="00ED646D"/>
    <w:rsid w:val="00ED6BF7"/>
    <w:rsid w:val="00ED7290"/>
    <w:rsid w:val="00ED775D"/>
    <w:rsid w:val="00ED7918"/>
    <w:rsid w:val="00ED79BF"/>
    <w:rsid w:val="00ED7C0B"/>
    <w:rsid w:val="00ED7EB4"/>
    <w:rsid w:val="00ED7FA5"/>
    <w:rsid w:val="00EE0219"/>
    <w:rsid w:val="00EE054A"/>
    <w:rsid w:val="00EE0B32"/>
    <w:rsid w:val="00EE0E96"/>
    <w:rsid w:val="00EE0EE4"/>
    <w:rsid w:val="00EE11D9"/>
    <w:rsid w:val="00EE121C"/>
    <w:rsid w:val="00EE1A3F"/>
    <w:rsid w:val="00EE1AB0"/>
    <w:rsid w:val="00EE1FA5"/>
    <w:rsid w:val="00EE2017"/>
    <w:rsid w:val="00EE2335"/>
    <w:rsid w:val="00EE24C2"/>
    <w:rsid w:val="00EE2608"/>
    <w:rsid w:val="00EE27DE"/>
    <w:rsid w:val="00EE2924"/>
    <w:rsid w:val="00EE2E65"/>
    <w:rsid w:val="00EE31FE"/>
    <w:rsid w:val="00EE321C"/>
    <w:rsid w:val="00EE33B4"/>
    <w:rsid w:val="00EE3EA7"/>
    <w:rsid w:val="00EE3EEA"/>
    <w:rsid w:val="00EE41D0"/>
    <w:rsid w:val="00EE4646"/>
    <w:rsid w:val="00EE4778"/>
    <w:rsid w:val="00EE4B4A"/>
    <w:rsid w:val="00EE4B91"/>
    <w:rsid w:val="00EE4C88"/>
    <w:rsid w:val="00EE4D9D"/>
    <w:rsid w:val="00EE4E58"/>
    <w:rsid w:val="00EE51FF"/>
    <w:rsid w:val="00EE52D7"/>
    <w:rsid w:val="00EE53B9"/>
    <w:rsid w:val="00EE540F"/>
    <w:rsid w:val="00EE5C0C"/>
    <w:rsid w:val="00EE5E03"/>
    <w:rsid w:val="00EE5E93"/>
    <w:rsid w:val="00EE60A4"/>
    <w:rsid w:val="00EE6526"/>
    <w:rsid w:val="00EE6857"/>
    <w:rsid w:val="00EE689F"/>
    <w:rsid w:val="00EE6935"/>
    <w:rsid w:val="00EE6976"/>
    <w:rsid w:val="00EE6981"/>
    <w:rsid w:val="00EE6E39"/>
    <w:rsid w:val="00EE6F9B"/>
    <w:rsid w:val="00EE7044"/>
    <w:rsid w:val="00EE72F4"/>
    <w:rsid w:val="00EE79B5"/>
    <w:rsid w:val="00EE7B1F"/>
    <w:rsid w:val="00EE7D8C"/>
    <w:rsid w:val="00EF0205"/>
    <w:rsid w:val="00EF05EF"/>
    <w:rsid w:val="00EF069B"/>
    <w:rsid w:val="00EF0A6D"/>
    <w:rsid w:val="00EF0FE6"/>
    <w:rsid w:val="00EF103E"/>
    <w:rsid w:val="00EF134F"/>
    <w:rsid w:val="00EF1518"/>
    <w:rsid w:val="00EF161E"/>
    <w:rsid w:val="00EF17BB"/>
    <w:rsid w:val="00EF1D20"/>
    <w:rsid w:val="00EF1ECD"/>
    <w:rsid w:val="00EF2B95"/>
    <w:rsid w:val="00EF2C8A"/>
    <w:rsid w:val="00EF2F71"/>
    <w:rsid w:val="00EF3547"/>
    <w:rsid w:val="00EF3692"/>
    <w:rsid w:val="00EF38E1"/>
    <w:rsid w:val="00EF3A34"/>
    <w:rsid w:val="00EF3B9D"/>
    <w:rsid w:val="00EF3F98"/>
    <w:rsid w:val="00EF4083"/>
    <w:rsid w:val="00EF46EC"/>
    <w:rsid w:val="00EF4F8E"/>
    <w:rsid w:val="00EF55C2"/>
    <w:rsid w:val="00EF5767"/>
    <w:rsid w:val="00EF5A84"/>
    <w:rsid w:val="00EF5C7F"/>
    <w:rsid w:val="00EF5CA9"/>
    <w:rsid w:val="00EF5CEB"/>
    <w:rsid w:val="00EF606C"/>
    <w:rsid w:val="00EF6380"/>
    <w:rsid w:val="00EF6A76"/>
    <w:rsid w:val="00EF6C7F"/>
    <w:rsid w:val="00EF6DE1"/>
    <w:rsid w:val="00EF6F81"/>
    <w:rsid w:val="00EF71D8"/>
    <w:rsid w:val="00EF7688"/>
    <w:rsid w:val="00EF772E"/>
    <w:rsid w:val="00EF775A"/>
    <w:rsid w:val="00EF77CC"/>
    <w:rsid w:val="00EF7A46"/>
    <w:rsid w:val="00EF7C65"/>
    <w:rsid w:val="00EF7DA9"/>
    <w:rsid w:val="00EF7E56"/>
    <w:rsid w:val="00EF7FD0"/>
    <w:rsid w:val="00F005D0"/>
    <w:rsid w:val="00F006B4"/>
    <w:rsid w:val="00F006CA"/>
    <w:rsid w:val="00F0095F"/>
    <w:rsid w:val="00F00A7A"/>
    <w:rsid w:val="00F0101F"/>
    <w:rsid w:val="00F01089"/>
    <w:rsid w:val="00F01E15"/>
    <w:rsid w:val="00F0257A"/>
    <w:rsid w:val="00F025FA"/>
    <w:rsid w:val="00F02A24"/>
    <w:rsid w:val="00F02AB9"/>
    <w:rsid w:val="00F02D06"/>
    <w:rsid w:val="00F02D52"/>
    <w:rsid w:val="00F03025"/>
    <w:rsid w:val="00F036D9"/>
    <w:rsid w:val="00F0391F"/>
    <w:rsid w:val="00F039D1"/>
    <w:rsid w:val="00F041A6"/>
    <w:rsid w:val="00F044CF"/>
    <w:rsid w:val="00F04925"/>
    <w:rsid w:val="00F04946"/>
    <w:rsid w:val="00F04BFA"/>
    <w:rsid w:val="00F04D60"/>
    <w:rsid w:val="00F04D70"/>
    <w:rsid w:val="00F04F63"/>
    <w:rsid w:val="00F050B0"/>
    <w:rsid w:val="00F056F6"/>
    <w:rsid w:val="00F05833"/>
    <w:rsid w:val="00F05CE1"/>
    <w:rsid w:val="00F05E4E"/>
    <w:rsid w:val="00F05FB4"/>
    <w:rsid w:val="00F06131"/>
    <w:rsid w:val="00F06146"/>
    <w:rsid w:val="00F062E0"/>
    <w:rsid w:val="00F06508"/>
    <w:rsid w:val="00F065B3"/>
    <w:rsid w:val="00F065D3"/>
    <w:rsid w:val="00F06933"/>
    <w:rsid w:val="00F070B5"/>
    <w:rsid w:val="00F070BD"/>
    <w:rsid w:val="00F071F7"/>
    <w:rsid w:val="00F07262"/>
    <w:rsid w:val="00F072BA"/>
    <w:rsid w:val="00F0758E"/>
    <w:rsid w:val="00F077A4"/>
    <w:rsid w:val="00F07BE0"/>
    <w:rsid w:val="00F07BF5"/>
    <w:rsid w:val="00F07C40"/>
    <w:rsid w:val="00F07C6E"/>
    <w:rsid w:val="00F102DC"/>
    <w:rsid w:val="00F1032E"/>
    <w:rsid w:val="00F1039A"/>
    <w:rsid w:val="00F103DB"/>
    <w:rsid w:val="00F105E7"/>
    <w:rsid w:val="00F107A4"/>
    <w:rsid w:val="00F1089A"/>
    <w:rsid w:val="00F10A64"/>
    <w:rsid w:val="00F10A84"/>
    <w:rsid w:val="00F10D71"/>
    <w:rsid w:val="00F10E22"/>
    <w:rsid w:val="00F11019"/>
    <w:rsid w:val="00F114A8"/>
    <w:rsid w:val="00F11C95"/>
    <w:rsid w:val="00F11E42"/>
    <w:rsid w:val="00F11E79"/>
    <w:rsid w:val="00F1223D"/>
    <w:rsid w:val="00F12276"/>
    <w:rsid w:val="00F124E7"/>
    <w:rsid w:val="00F1273A"/>
    <w:rsid w:val="00F12B20"/>
    <w:rsid w:val="00F13092"/>
    <w:rsid w:val="00F132CF"/>
    <w:rsid w:val="00F13645"/>
    <w:rsid w:val="00F13923"/>
    <w:rsid w:val="00F13F38"/>
    <w:rsid w:val="00F14017"/>
    <w:rsid w:val="00F14268"/>
    <w:rsid w:val="00F146B1"/>
    <w:rsid w:val="00F146F9"/>
    <w:rsid w:val="00F14764"/>
    <w:rsid w:val="00F14854"/>
    <w:rsid w:val="00F14C23"/>
    <w:rsid w:val="00F15228"/>
    <w:rsid w:val="00F1534E"/>
    <w:rsid w:val="00F154F3"/>
    <w:rsid w:val="00F15789"/>
    <w:rsid w:val="00F158EB"/>
    <w:rsid w:val="00F1590C"/>
    <w:rsid w:val="00F15A88"/>
    <w:rsid w:val="00F15CAD"/>
    <w:rsid w:val="00F16184"/>
    <w:rsid w:val="00F16300"/>
    <w:rsid w:val="00F1648D"/>
    <w:rsid w:val="00F166D1"/>
    <w:rsid w:val="00F16738"/>
    <w:rsid w:val="00F16BF2"/>
    <w:rsid w:val="00F16D0E"/>
    <w:rsid w:val="00F16FB0"/>
    <w:rsid w:val="00F1747A"/>
    <w:rsid w:val="00F174F3"/>
    <w:rsid w:val="00F175A0"/>
    <w:rsid w:val="00F175EC"/>
    <w:rsid w:val="00F17C1E"/>
    <w:rsid w:val="00F17D0D"/>
    <w:rsid w:val="00F17E7D"/>
    <w:rsid w:val="00F20603"/>
    <w:rsid w:val="00F20D2E"/>
    <w:rsid w:val="00F21361"/>
    <w:rsid w:val="00F213C9"/>
    <w:rsid w:val="00F216D7"/>
    <w:rsid w:val="00F21983"/>
    <w:rsid w:val="00F21D50"/>
    <w:rsid w:val="00F21D97"/>
    <w:rsid w:val="00F22062"/>
    <w:rsid w:val="00F22317"/>
    <w:rsid w:val="00F2246A"/>
    <w:rsid w:val="00F22516"/>
    <w:rsid w:val="00F22CB2"/>
    <w:rsid w:val="00F230FB"/>
    <w:rsid w:val="00F2338A"/>
    <w:rsid w:val="00F23A69"/>
    <w:rsid w:val="00F23DB3"/>
    <w:rsid w:val="00F2428F"/>
    <w:rsid w:val="00F245AA"/>
    <w:rsid w:val="00F2478B"/>
    <w:rsid w:val="00F2484B"/>
    <w:rsid w:val="00F24A1B"/>
    <w:rsid w:val="00F24EC0"/>
    <w:rsid w:val="00F24F10"/>
    <w:rsid w:val="00F25181"/>
    <w:rsid w:val="00F252E2"/>
    <w:rsid w:val="00F255A2"/>
    <w:rsid w:val="00F258D6"/>
    <w:rsid w:val="00F25995"/>
    <w:rsid w:val="00F25B0A"/>
    <w:rsid w:val="00F25DDE"/>
    <w:rsid w:val="00F25F2D"/>
    <w:rsid w:val="00F25F3B"/>
    <w:rsid w:val="00F261C4"/>
    <w:rsid w:val="00F26230"/>
    <w:rsid w:val="00F2632C"/>
    <w:rsid w:val="00F26423"/>
    <w:rsid w:val="00F266AC"/>
    <w:rsid w:val="00F26783"/>
    <w:rsid w:val="00F26836"/>
    <w:rsid w:val="00F26A64"/>
    <w:rsid w:val="00F26CFF"/>
    <w:rsid w:val="00F2735F"/>
    <w:rsid w:val="00F276B3"/>
    <w:rsid w:val="00F27BF5"/>
    <w:rsid w:val="00F27C13"/>
    <w:rsid w:val="00F27DDD"/>
    <w:rsid w:val="00F3013F"/>
    <w:rsid w:val="00F3049B"/>
    <w:rsid w:val="00F3062E"/>
    <w:rsid w:val="00F30742"/>
    <w:rsid w:val="00F307E6"/>
    <w:rsid w:val="00F3085E"/>
    <w:rsid w:val="00F309A3"/>
    <w:rsid w:val="00F309AB"/>
    <w:rsid w:val="00F30B8B"/>
    <w:rsid w:val="00F30DCD"/>
    <w:rsid w:val="00F30EF9"/>
    <w:rsid w:val="00F31070"/>
    <w:rsid w:val="00F31531"/>
    <w:rsid w:val="00F31605"/>
    <w:rsid w:val="00F317EA"/>
    <w:rsid w:val="00F31909"/>
    <w:rsid w:val="00F31B2A"/>
    <w:rsid w:val="00F31E8C"/>
    <w:rsid w:val="00F31F9A"/>
    <w:rsid w:val="00F32035"/>
    <w:rsid w:val="00F3228F"/>
    <w:rsid w:val="00F327C6"/>
    <w:rsid w:val="00F32C18"/>
    <w:rsid w:val="00F330CE"/>
    <w:rsid w:val="00F33624"/>
    <w:rsid w:val="00F337EF"/>
    <w:rsid w:val="00F33908"/>
    <w:rsid w:val="00F33B68"/>
    <w:rsid w:val="00F33E3B"/>
    <w:rsid w:val="00F33FF9"/>
    <w:rsid w:val="00F341B0"/>
    <w:rsid w:val="00F343DA"/>
    <w:rsid w:val="00F348B3"/>
    <w:rsid w:val="00F34925"/>
    <w:rsid w:val="00F3499D"/>
    <w:rsid w:val="00F34BA9"/>
    <w:rsid w:val="00F34D78"/>
    <w:rsid w:val="00F3526D"/>
    <w:rsid w:val="00F35DDE"/>
    <w:rsid w:val="00F35EAC"/>
    <w:rsid w:val="00F36047"/>
    <w:rsid w:val="00F3620A"/>
    <w:rsid w:val="00F362E5"/>
    <w:rsid w:val="00F366EF"/>
    <w:rsid w:val="00F368EA"/>
    <w:rsid w:val="00F36BFE"/>
    <w:rsid w:val="00F36EF0"/>
    <w:rsid w:val="00F36F6B"/>
    <w:rsid w:val="00F36F95"/>
    <w:rsid w:val="00F3736F"/>
    <w:rsid w:val="00F3754B"/>
    <w:rsid w:val="00F3757E"/>
    <w:rsid w:val="00F378A8"/>
    <w:rsid w:val="00F37D34"/>
    <w:rsid w:val="00F402F4"/>
    <w:rsid w:val="00F40434"/>
    <w:rsid w:val="00F40796"/>
    <w:rsid w:val="00F40907"/>
    <w:rsid w:val="00F41569"/>
    <w:rsid w:val="00F41696"/>
    <w:rsid w:val="00F420A7"/>
    <w:rsid w:val="00F42175"/>
    <w:rsid w:val="00F4241D"/>
    <w:rsid w:val="00F42664"/>
    <w:rsid w:val="00F42B44"/>
    <w:rsid w:val="00F42D06"/>
    <w:rsid w:val="00F43028"/>
    <w:rsid w:val="00F4347E"/>
    <w:rsid w:val="00F436CB"/>
    <w:rsid w:val="00F4370D"/>
    <w:rsid w:val="00F43E41"/>
    <w:rsid w:val="00F44042"/>
    <w:rsid w:val="00F444C0"/>
    <w:rsid w:val="00F44BA1"/>
    <w:rsid w:val="00F44C4C"/>
    <w:rsid w:val="00F450D0"/>
    <w:rsid w:val="00F4515E"/>
    <w:rsid w:val="00F45356"/>
    <w:rsid w:val="00F45382"/>
    <w:rsid w:val="00F462F4"/>
    <w:rsid w:val="00F463EA"/>
    <w:rsid w:val="00F46567"/>
    <w:rsid w:val="00F4659A"/>
    <w:rsid w:val="00F46888"/>
    <w:rsid w:val="00F46E92"/>
    <w:rsid w:val="00F473A6"/>
    <w:rsid w:val="00F47873"/>
    <w:rsid w:val="00F479A0"/>
    <w:rsid w:val="00F47CAC"/>
    <w:rsid w:val="00F47CE2"/>
    <w:rsid w:val="00F5012F"/>
    <w:rsid w:val="00F50362"/>
    <w:rsid w:val="00F503FA"/>
    <w:rsid w:val="00F5056E"/>
    <w:rsid w:val="00F50617"/>
    <w:rsid w:val="00F5090C"/>
    <w:rsid w:val="00F50918"/>
    <w:rsid w:val="00F50AFE"/>
    <w:rsid w:val="00F50F7D"/>
    <w:rsid w:val="00F51570"/>
    <w:rsid w:val="00F516B7"/>
    <w:rsid w:val="00F51874"/>
    <w:rsid w:val="00F51AF4"/>
    <w:rsid w:val="00F51B8A"/>
    <w:rsid w:val="00F51D0A"/>
    <w:rsid w:val="00F51D15"/>
    <w:rsid w:val="00F51E03"/>
    <w:rsid w:val="00F51E2B"/>
    <w:rsid w:val="00F51E53"/>
    <w:rsid w:val="00F51F1E"/>
    <w:rsid w:val="00F51FCB"/>
    <w:rsid w:val="00F520A0"/>
    <w:rsid w:val="00F52149"/>
    <w:rsid w:val="00F5225D"/>
    <w:rsid w:val="00F52664"/>
    <w:rsid w:val="00F52797"/>
    <w:rsid w:val="00F52A35"/>
    <w:rsid w:val="00F52E02"/>
    <w:rsid w:val="00F53015"/>
    <w:rsid w:val="00F5305F"/>
    <w:rsid w:val="00F532A0"/>
    <w:rsid w:val="00F53473"/>
    <w:rsid w:val="00F5383B"/>
    <w:rsid w:val="00F5389C"/>
    <w:rsid w:val="00F53AC1"/>
    <w:rsid w:val="00F53AFD"/>
    <w:rsid w:val="00F53E4E"/>
    <w:rsid w:val="00F53E70"/>
    <w:rsid w:val="00F53F4C"/>
    <w:rsid w:val="00F54229"/>
    <w:rsid w:val="00F544B0"/>
    <w:rsid w:val="00F54519"/>
    <w:rsid w:val="00F5463B"/>
    <w:rsid w:val="00F54654"/>
    <w:rsid w:val="00F547C1"/>
    <w:rsid w:val="00F5485E"/>
    <w:rsid w:val="00F5496C"/>
    <w:rsid w:val="00F54AA5"/>
    <w:rsid w:val="00F54AEE"/>
    <w:rsid w:val="00F54E94"/>
    <w:rsid w:val="00F54F83"/>
    <w:rsid w:val="00F55006"/>
    <w:rsid w:val="00F5510C"/>
    <w:rsid w:val="00F5518E"/>
    <w:rsid w:val="00F556E6"/>
    <w:rsid w:val="00F556F7"/>
    <w:rsid w:val="00F557A3"/>
    <w:rsid w:val="00F5586D"/>
    <w:rsid w:val="00F55884"/>
    <w:rsid w:val="00F55892"/>
    <w:rsid w:val="00F559E1"/>
    <w:rsid w:val="00F55AA4"/>
    <w:rsid w:val="00F55AB1"/>
    <w:rsid w:val="00F55C19"/>
    <w:rsid w:val="00F55D79"/>
    <w:rsid w:val="00F55E2A"/>
    <w:rsid w:val="00F56123"/>
    <w:rsid w:val="00F5621D"/>
    <w:rsid w:val="00F56426"/>
    <w:rsid w:val="00F564D0"/>
    <w:rsid w:val="00F565AC"/>
    <w:rsid w:val="00F5665D"/>
    <w:rsid w:val="00F5682F"/>
    <w:rsid w:val="00F56866"/>
    <w:rsid w:val="00F56D57"/>
    <w:rsid w:val="00F571E3"/>
    <w:rsid w:val="00F578A2"/>
    <w:rsid w:val="00F579CB"/>
    <w:rsid w:val="00F57C58"/>
    <w:rsid w:val="00F57CAA"/>
    <w:rsid w:val="00F57D6C"/>
    <w:rsid w:val="00F57EDD"/>
    <w:rsid w:val="00F60059"/>
    <w:rsid w:val="00F60324"/>
    <w:rsid w:val="00F60A4E"/>
    <w:rsid w:val="00F60BC6"/>
    <w:rsid w:val="00F61038"/>
    <w:rsid w:val="00F616E6"/>
    <w:rsid w:val="00F617C1"/>
    <w:rsid w:val="00F620D7"/>
    <w:rsid w:val="00F621EF"/>
    <w:rsid w:val="00F621FA"/>
    <w:rsid w:val="00F62674"/>
    <w:rsid w:val="00F62D14"/>
    <w:rsid w:val="00F6337C"/>
    <w:rsid w:val="00F63519"/>
    <w:rsid w:val="00F638D3"/>
    <w:rsid w:val="00F63ADC"/>
    <w:rsid w:val="00F63D0A"/>
    <w:rsid w:val="00F63F3F"/>
    <w:rsid w:val="00F643F9"/>
    <w:rsid w:val="00F64529"/>
    <w:rsid w:val="00F64582"/>
    <w:rsid w:val="00F645D6"/>
    <w:rsid w:val="00F646E6"/>
    <w:rsid w:val="00F64771"/>
    <w:rsid w:val="00F64ABE"/>
    <w:rsid w:val="00F65218"/>
    <w:rsid w:val="00F6529C"/>
    <w:rsid w:val="00F652FE"/>
    <w:rsid w:val="00F654DB"/>
    <w:rsid w:val="00F658FB"/>
    <w:rsid w:val="00F65CF7"/>
    <w:rsid w:val="00F65D14"/>
    <w:rsid w:val="00F66016"/>
    <w:rsid w:val="00F66338"/>
    <w:rsid w:val="00F6634E"/>
    <w:rsid w:val="00F663E6"/>
    <w:rsid w:val="00F6642A"/>
    <w:rsid w:val="00F666EA"/>
    <w:rsid w:val="00F668DD"/>
    <w:rsid w:val="00F66934"/>
    <w:rsid w:val="00F6695F"/>
    <w:rsid w:val="00F66CFE"/>
    <w:rsid w:val="00F66D00"/>
    <w:rsid w:val="00F66FFC"/>
    <w:rsid w:val="00F67651"/>
    <w:rsid w:val="00F67884"/>
    <w:rsid w:val="00F678CC"/>
    <w:rsid w:val="00F67929"/>
    <w:rsid w:val="00F67B59"/>
    <w:rsid w:val="00F67C01"/>
    <w:rsid w:val="00F67D56"/>
    <w:rsid w:val="00F67E18"/>
    <w:rsid w:val="00F7000C"/>
    <w:rsid w:val="00F70148"/>
    <w:rsid w:val="00F7039F"/>
    <w:rsid w:val="00F704CD"/>
    <w:rsid w:val="00F707E2"/>
    <w:rsid w:val="00F70B4F"/>
    <w:rsid w:val="00F70BBC"/>
    <w:rsid w:val="00F70C0A"/>
    <w:rsid w:val="00F712AE"/>
    <w:rsid w:val="00F713CA"/>
    <w:rsid w:val="00F71627"/>
    <w:rsid w:val="00F71656"/>
    <w:rsid w:val="00F7171C"/>
    <w:rsid w:val="00F71E59"/>
    <w:rsid w:val="00F71F50"/>
    <w:rsid w:val="00F7204A"/>
    <w:rsid w:val="00F7220E"/>
    <w:rsid w:val="00F72418"/>
    <w:rsid w:val="00F72638"/>
    <w:rsid w:val="00F72A0A"/>
    <w:rsid w:val="00F73636"/>
    <w:rsid w:val="00F73799"/>
    <w:rsid w:val="00F73866"/>
    <w:rsid w:val="00F739EF"/>
    <w:rsid w:val="00F73C89"/>
    <w:rsid w:val="00F73D4B"/>
    <w:rsid w:val="00F73F63"/>
    <w:rsid w:val="00F742DB"/>
    <w:rsid w:val="00F74513"/>
    <w:rsid w:val="00F7479D"/>
    <w:rsid w:val="00F748E8"/>
    <w:rsid w:val="00F74918"/>
    <w:rsid w:val="00F74BFD"/>
    <w:rsid w:val="00F74D81"/>
    <w:rsid w:val="00F7534E"/>
    <w:rsid w:val="00F75366"/>
    <w:rsid w:val="00F75937"/>
    <w:rsid w:val="00F7610D"/>
    <w:rsid w:val="00F761C5"/>
    <w:rsid w:val="00F7663E"/>
    <w:rsid w:val="00F7665B"/>
    <w:rsid w:val="00F76962"/>
    <w:rsid w:val="00F769D8"/>
    <w:rsid w:val="00F769EB"/>
    <w:rsid w:val="00F76CC2"/>
    <w:rsid w:val="00F77591"/>
    <w:rsid w:val="00F775FD"/>
    <w:rsid w:val="00F775FF"/>
    <w:rsid w:val="00F77BD7"/>
    <w:rsid w:val="00F77C0B"/>
    <w:rsid w:val="00F77DB6"/>
    <w:rsid w:val="00F77EEF"/>
    <w:rsid w:val="00F805F0"/>
    <w:rsid w:val="00F806E2"/>
    <w:rsid w:val="00F80A6C"/>
    <w:rsid w:val="00F8109E"/>
    <w:rsid w:val="00F81805"/>
    <w:rsid w:val="00F81986"/>
    <w:rsid w:val="00F81B44"/>
    <w:rsid w:val="00F81C6E"/>
    <w:rsid w:val="00F81FCD"/>
    <w:rsid w:val="00F82387"/>
    <w:rsid w:val="00F8255C"/>
    <w:rsid w:val="00F8272C"/>
    <w:rsid w:val="00F82C91"/>
    <w:rsid w:val="00F82F4A"/>
    <w:rsid w:val="00F834A1"/>
    <w:rsid w:val="00F834A2"/>
    <w:rsid w:val="00F834B0"/>
    <w:rsid w:val="00F8366B"/>
    <w:rsid w:val="00F837B2"/>
    <w:rsid w:val="00F83864"/>
    <w:rsid w:val="00F84D4E"/>
    <w:rsid w:val="00F84DB5"/>
    <w:rsid w:val="00F84E31"/>
    <w:rsid w:val="00F85087"/>
    <w:rsid w:val="00F85597"/>
    <w:rsid w:val="00F85915"/>
    <w:rsid w:val="00F85A5F"/>
    <w:rsid w:val="00F85C24"/>
    <w:rsid w:val="00F860A6"/>
    <w:rsid w:val="00F861EC"/>
    <w:rsid w:val="00F86300"/>
    <w:rsid w:val="00F86403"/>
    <w:rsid w:val="00F86502"/>
    <w:rsid w:val="00F8683F"/>
    <w:rsid w:val="00F86A15"/>
    <w:rsid w:val="00F86A26"/>
    <w:rsid w:val="00F86D44"/>
    <w:rsid w:val="00F86F44"/>
    <w:rsid w:val="00F874C2"/>
    <w:rsid w:val="00F87807"/>
    <w:rsid w:val="00F87A3D"/>
    <w:rsid w:val="00F87DCD"/>
    <w:rsid w:val="00F87EFA"/>
    <w:rsid w:val="00F902E5"/>
    <w:rsid w:val="00F90531"/>
    <w:rsid w:val="00F905A0"/>
    <w:rsid w:val="00F909C0"/>
    <w:rsid w:val="00F90A5D"/>
    <w:rsid w:val="00F90B09"/>
    <w:rsid w:val="00F9120C"/>
    <w:rsid w:val="00F91323"/>
    <w:rsid w:val="00F91324"/>
    <w:rsid w:val="00F9143C"/>
    <w:rsid w:val="00F91834"/>
    <w:rsid w:val="00F91C46"/>
    <w:rsid w:val="00F91CBA"/>
    <w:rsid w:val="00F91FB8"/>
    <w:rsid w:val="00F920CE"/>
    <w:rsid w:val="00F920E1"/>
    <w:rsid w:val="00F92222"/>
    <w:rsid w:val="00F927E0"/>
    <w:rsid w:val="00F92870"/>
    <w:rsid w:val="00F92CB4"/>
    <w:rsid w:val="00F92CF2"/>
    <w:rsid w:val="00F932B9"/>
    <w:rsid w:val="00F9354A"/>
    <w:rsid w:val="00F935EB"/>
    <w:rsid w:val="00F93617"/>
    <w:rsid w:val="00F93744"/>
    <w:rsid w:val="00F93A50"/>
    <w:rsid w:val="00F93DAA"/>
    <w:rsid w:val="00F93DFA"/>
    <w:rsid w:val="00F946BD"/>
    <w:rsid w:val="00F94772"/>
    <w:rsid w:val="00F94793"/>
    <w:rsid w:val="00F94896"/>
    <w:rsid w:val="00F94A08"/>
    <w:rsid w:val="00F94B0C"/>
    <w:rsid w:val="00F94DD3"/>
    <w:rsid w:val="00F94E0B"/>
    <w:rsid w:val="00F95104"/>
    <w:rsid w:val="00F952CB"/>
    <w:rsid w:val="00F9533F"/>
    <w:rsid w:val="00F958C4"/>
    <w:rsid w:val="00F95A56"/>
    <w:rsid w:val="00F963D5"/>
    <w:rsid w:val="00F96560"/>
    <w:rsid w:val="00F96937"/>
    <w:rsid w:val="00F96965"/>
    <w:rsid w:val="00F96BE1"/>
    <w:rsid w:val="00F96EEC"/>
    <w:rsid w:val="00F96F75"/>
    <w:rsid w:val="00F970AC"/>
    <w:rsid w:val="00F97710"/>
    <w:rsid w:val="00F9776A"/>
    <w:rsid w:val="00F9777D"/>
    <w:rsid w:val="00F97935"/>
    <w:rsid w:val="00F97FA2"/>
    <w:rsid w:val="00FA00E5"/>
    <w:rsid w:val="00FA0294"/>
    <w:rsid w:val="00FA0426"/>
    <w:rsid w:val="00FA05C3"/>
    <w:rsid w:val="00FA05D4"/>
    <w:rsid w:val="00FA0602"/>
    <w:rsid w:val="00FA09E5"/>
    <w:rsid w:val="00FA0C4C"/>
    <w:rsid w:val="00FA0D4B"/>
    <w:rsid w:val="00FA124C"/>
    <w:rsid w:val="00FA1289"/>
    <w:rsid w:val="00FA1296"/>
    <w:rsid w:val="00FA133F"/>
    <w:rsid w:val="00FA1629"/>
    <w:rsid w:val="00FA1718"/>
    <w:rsid w:val="00FA1749"/>
    <w:rsid w:val="00FA1A35"/>
    <w:rsid w:val="00FA1FF7"/>
    <w:rsid w:val="00FA201F"/>
    <w:rsid w:val="00FA235D"/>
    <w:rsid w:val="00FA254D"/>
    <w:rsid w:val="00FA2A66"/>
    <w:rsid w:val="00FA2B8D"/>
    <w:rsid w:val="00FA2C30"/>
    <w:rsid w:val="00FA2C6C"/>
    <w:rsid w:val="00FA2D7A"/>
    <w:rsid w:val="00FA2E5F"/>
    <w:rsid w:val="00FA32C6"/>
    <w:rsid w:val="00FA3397"/>
    <w:rsid w:val="00FA3514"/>
    <w:rsid w:val="00FA36BB"/>
    <w:rsid w:val="00FA3AF6"/>
    <w:rsid w:val="00FA3C59"/>
    <w:rsid w:val="00FA443A"/>
    <w:rsid w:val="00FA4B31"/>
    <w:rsid w:val="00FA4E7E"/>
    <w:rsid w:val="00FA500F"/>
    <w:rsid w:val="00FA522D"/>
    <w:rsid w:val="00FA5456"/>
    <w:rsid w:val="00FA5468"/>
    <w:rsid w:val="00FA57AD"/>
    <w:rsid w:val="00FA58D7"/>
    <w:rsid w:val="00FA5BDA"/>
    <w:rsid w:val="00FA5C0A"/>
    <w:rsid w:val="00FA5C71"/>
    <w:rsid w:val="00FA5C92"/>
    <w:rsid w:val="00FA5E1F"/>
    <w:rsid w:val="00FA5E53"/>
    <w:rsid w:val="00FA60EB"/>
    <w:rsid w:val="00FA6421"/>
    <w:rsid w:val="00FA6427"/>
    <w:rsid w:val="00FA6666"/>
    <w:rsid w:val="00FA66F7"/>
    <w:rsid w:val="00FA6AE2"/>
    <w:rsid w:val="00FA6D6A"/>
    <w:rsid w:val="00FA7051"/>
    <w:rsid w:val="00FA7228"/>
    <w:rsid w:val="00FA7319"/>
    <w:rsid w:val="00FA73D8"/>
    <w:rsid w:val="00FA74F6"/>
    <w:rsid w:val="00FA77E2"/>
    <w:rsid w:val="00FA78D9"/>
    <w:rsid w:val="00FA7DF8"/>
    <w:rsid w:val="00FA7EA0"/>
    <w:rsid w:val="00FA7F0A"/>
    <w:rsid w:val="00FB0492"/>
    <w:rsid w:val="00FB0867"/>
    <w:rsid w:val="00FB0B8B"/>
    <w:rsid w:val="00FB0BD8"/>
    <w:rsid w:val="00FB0CA7"/>
    <w:rsid w:val="00FB0F85"/>
    <w:rsid w:val="00FB1E72"/>
    <w:rsid w:val="00FB22D9"/>
    <w:rsid w:val="00FB23A3"/>
    <w:rsid w:val="00FB2554"/>
    <w:rsid w:val="00FB279B"/>
    <w:rsid w:val="00FB2827"/>
    <w:rsid w:val="00FB2843"/>
    <w:rsid w:val="00FB2DA2"/>
    <w:rsid w:val="00FB3043"/>
    <w:rsid w:val="00FB35B8"/>
    <w:rsid w:val="00FB362A"/>
    <w:rsid w:val="00FB3AFA"/>
    <w:rsid w:val="00FB3B21"/>
    <w:rsid w:val="00FB3B6F"/>
    <w:rsid w:val="00FB4111"/>
    <w:rsid w:val="00FB4135"/>
    <w:rsid w:val="00FB42D0"/>
    <w:rsid w:val="00FB436D"/>
    <w:rsid w:val="00FB4A57"/>
    <w:rsid w:val="00FB4AFE"/>
    <w:rsid w:val="00FB4EB6"/>
    <w:rsid w:val="00FB4F5E"/>
    <w:rsid w:val="00FB4FDA"/>
    <w:rsid w:val="00FB5668"/>
    <w:rsid w:val="00FB57F7"/>
    <w:rsid w:val="00FB5B2C"/>
    <w:rsid w:val="00FB5B7A"/>
    <w:rsid w:val="00FB5D98"/>
    <w:rsid w:val="00FB61D6"/>
    <w:rsid w:val="00FB64F8"/>
    <w:rsid w:val="00FB650A"/>
    <w:rsid w:val="00FB6C5A"/>
    <w:rsid w:val="00FB6D09"/>
    <w:rsid w:val="00FB6D18"/>
    <w:rsid w:val="00FB7692"/>
    <w:rsid w:val="00FB78D0"/>
    <w:rsid w:val="00FB7B8A"/>
    <w:rsid w:val="00FB7CBD"/>
    <w:rsid w:val="00FB7ED6"/>
    <w:rsid w:val="00FC0121"/>
    <w:rsid w:val="00FC0154"/>
    <w:rsid w:val="00FC03D9"/>
    <w:rsid w:val="00FC0887"/>
    <w:rsid w:val="00FC08AF"/>
    <w:rsid w:val="00FC09E6"/>
    <w:rsid w:val="00FC0A76"/>
    <w:rsid w:val="00FC0BCF"/>
    <w:rsid w:val="00FC0D69"/>
    <w:rsid w:val="00FC0F7A"/>
    <w:rsid w:val="00FC1120"/>
    <w:rsid w:val="00FC1133"/>
    <w:rsid w:val="00FC1179"/>
    <w:rsid w:val="00FC12E1"/>
    <w:rsid w:val="00FC1490"/>
    <w:rsid w:val="00FC180B"/>
    <w:rsid w:val="00FC19E8"/>
    <w:rsid w:val="00FC1C38"/>
    <w:rsid w:val="00FC219B"/>
    <w:rsid w:val="00FC223D"/>
    <w:rsid w:val="00FC241A"/>
    <w:rsid w:val="00FC2532"/>
    <w:rsid w:val="00FC26BB"/>
    <w:rsid w:val="00FC310A"/>
    <w:rsid w:val="00FC3164"/>
    <w:rsid w:val="00FC3675"/>
    <w:rsid w:val="00FC3720"/>
    <w:rsid w:val="00FC3B8E"/>
    <w:rsid w:val="00FC431C"/>
    <w:rsid w:val="00FC4420"/>
    <w:rsid w:val="00FC45F9"/>
    <w:rsid w:val="00FC468D"/>
    <w:rsid w:val="00FC46E2"/>
    <w:rsid w:val="00FC4B97"/>
    <w:rsid w:val="00FC4FA4"/>
    <w:rsid w:val="00FC511C"/>
    <w:rsid w:val="00FC5650"/>
    <w:rsid w:val="00FC572C"/>
    <w:rsid w:val="00FC5822"/>
    <w:rsid w:val="00FC5B8A"/>
    <w:rsid w:val="00FC5C0F"/>
    <w:rsid w:val="00FC5DE4"/>
    <w:rsid w:val="00FC5EE3"/>
    <w:rsid w:val="00FC6418"/>
    <w:rsid w:val="00FC649A"/>
    <w:rsid w:val="00FC679D"/>
    <w:rsid w:val="00FC67DE"/>
    <w:rsid w:val="00FC6BF6"/>
    <w:rsid w:val="00FC6C73"/>
    <w:rsid w:val="00FC727C"/>
    <w:rsid w:val="00FC765B"/>
    <w:rsid w:val="00FC7704"/>
    <w:rsid w:val="00FC7A72"/>
    <w:rsid w:val="00FC7C2B"/>
    <w:rsid w:val="00FC7CAE"/>
    <w:rsid w:val="00FD00DA"/>
    <w:rsid w:val="00FD02EE"/>
    <w:rsid w:val="00FD04EA"/>
    <w:rsid w:val="00FD0562"/>
    <w:rsid w:val="00FD058C"/>
    <w:rsid w:val="00FD0718"/>
    <w:rsid w:val="00FD0969"/>
    <w:rsid w:val="00FD0981"/>
    <w:rsid w:val="00FD0A64"/>
    <w:rsid w:val="00FD0C5E"/>
    <w:rsid w:val="00FD0E64"/>
    <w:rsid w:val="00FD12EA"/>
    <w:rsid w:val="00FD1348"/>
    <w:rsid w:val="00FD1629"/>
    <w:rsid w:val="00FD1B21"/>
    <w:rsid w:val="00FD1D93"/>
    <w:rsid w:val="00FD226D"/>
    <w:rsid w:val="00FD229B"/>
    <w:rsid w:val="00FD22FE"/>
    <w:rsid w:val="00FD2437"/>
    <w:rsid w:val="00FD25CF"/>
    <w:rsid w:val="00FD2610"/>
    <w:rsid w:val="00FD2780"/>
    <w:rsid w:val="00FD2CCB"/>
    <w:rsid w:val="00FD30DB"/>
    <w:rsid w:val="00FD314F"/>
    <w:rsid w:val="00FD3723"/>
    <w:rsid w:val="00FD3904"/>
    <w:rsid w:val="00FD404A"/>
    <w:rsid w:val="00FD42FF"/>
    <w:rsid w:val="00FD4309"/>
    <w:rsid w:val="00FD44F7"/>
    <w:rsid w:val="00FD4A8E"/>
    <w:rsid w:val="00FD50F5"/>
    <w:rsid w:val="00FD5172"/>
    <w:rsid w:val="00FD51A5"/>
    <w:rsid w:val="00FD5346"/>
    <w:rsid w:val="00FD57FA"/>
    <w:rsid w:val="00FD5814"/>
    <w:rsid w:val="00FD5BE5"/>
    <w:rsid w:val="00FD5BF0"/>
    <w:rsid w:val="00FD5C40"/>
    <w:rsid w:val="00FD5D02"/>
    <w:rsid w:val="00FD5E33"/>
    <w:rsid w:val="00FD5FA9"/>
    <w:rsid w:val="00FD60A6"/>
    <w:rsid w:val="00FD6667"/>
    <w:rsid w:val="00FD672B"/>
    <w:rsid w:val="00FD6B8D"/>
    <w:rsid w:val="00FD6CA3"/>
    <w:rsid w:val="00FD6D15"/>
    <w:rsid w:val="00FD6EF1"/>
    <w:rsid w:val="00FD7510"/>
    <w:rsid w:val="00FD789E"/>
    <w:rsid w:val="00FD7ECE"/>
    <w:rsid w:val="00FE04B4"/>
    <w:rsid w:val="00FE082F"/>
    <w:rsid w:val="00FE08A9"/>
    <w:rsid w:val="00FE092E"/>
    <w:rsid w:val="00FE0AB6"/>
    <w:rsid w:val="00FE0AEB"/>
    <w:rsid w:val="00FE1100"/>
    <w:rsid w:val="00FE11AE"/>
    <w:rsid w:val="00FE136A"/>
    <w:rsid w:val="00FE13E0"/>
    <w:rsid w:val="00FE1717"/>
    <w:rsid w:val="00FE20E9"/>
    <w:rsid w:val="00FE2211"/>
    <w:rsid w:val="00FE22BE"/>
    <w:rsid w:val="00FE27B7"/>
    <w:rsid w:val="00FE284D"/>
    <w:rsid w:val="00FE284F"/>
    <w:rsid w:val="00FE2958"/>
    <w:rsid w:val="00FE2CC1"/>
    <w:rsid w:val="00FE2E36"/>
    <w:rsid w:val="00FE2F8A"/>
    <w:rsid w:val="00FE2FBB"/>
    <w:rsid w:val="00FE3224"/>
    <w:rsid w:val="00FE3542"/>
    <w:rsid w:val="00FE38C2"/>
    <w:rsid w:val="00FE397B"/>
    <w:rsid w:val="00FE3A4E"/>
    <w:rsid w:val="00FE3B7D"/>
    <w:rsid w:val="00FE3B9B"/>
    <w:rsid w:val="00FE3C1B"/>
    <w:rsid w:val="00FE3DEE"/>
    <w:rsid w:val="00FE3E16"/>
    <w:rsid w:val="00FE3ED5"/>
    <w:rsid w:val="00FE4171"/>
    <w:rsid w:val="00FE41B8"/>
    <w:rsid w:val="00FE431A"/>
    <w:rsid w:val="00FE4597"/>
    <w:rsid w:val="00FE4719"/>
    <w:rsid w:val="00FE4859"/>
    <w:rsid w:val="00FE488F"/>
    <w:rsid w:val="00FE49A2"/>
    <w:rsid w:val="00FE4C1D"/>
    <w:rsid w:val="00FE4C21"/>
    <w:rsid w:val="00FE4DB9"/>
    <w:rsid w:val="00FE4ECB"/>
    <w:rsid w:val="00FE5033"/>
    <w:rsid w:val="00FE5163"/>
    <w:rsid w:val="00FE54C8"/>
    <w:rsid w:val="00FE55AB"/>
    <w:rsid w:val="00FE573A"/>
    <w:rsid w:val="00FE5B27"/>
    <w:rsid w:val="00FE5C36"/>
    <w:rsid w:val="00FE5F17"/>
    <w:rsid w:val="00FE60E8"/>
    <w:rsid w:val="00FE6134"/>
    <w:rsid w:val="00FE6220"/>
    <w:rsid w:val="00FE665D"/>
    <w:rsid w:val="00FE6852"/>
    <w:rsid w:val="00FE6946"/>
    <w:rsid w:val="00FE6CC6"/>
    <w:rsid w:val="00FE6E56"/>
    <w:rsid w:val="00FE6F06"/>
    <w:rsid w:val="00FE7566"/>
    <w:rsid w:val="00FE759B"/>
    <w:rsid w:val="00FE775E"/>
    <w:rsid w:val="00FF024B"/>
    <w:rsid w:val="00FF0263"/>
    <w:rsid w:val="00FF0289"/>
    <w:rsid w:val="00FF04D2"/>
    <w:rsid w:val="00FF0559"/>
    <w:rsid w:val="00FF0631"/>
    <w:rsid w:val="00FF0876"/>
    <w:rsid w:val="00FF0B52"/>
    <w:rsid w:val="00FF11D6"/>
    <w:rsid w:val="00FF12E5"/>
    <w:rsid w:val="00FF13D3"/>
    <w:rsid w:val="00FF14B4"/>
    <w:rsid w:val="00FF153C"/>
    <w:rsid w:val="00FF1601"/>
    <w:rsid w:val="00FF1909"/>
    <w:rsid w:val="00FF19E0"/>
    <w:rsid w:val="00FF1A26"/>
    <w:rsid w:val="00FF1F2D"/>
    <w:rsid w:val="00FF1F79"/>
    <w:rsid w:val="00FF1FDE"/>
    <w:rsid w:val="00FF21EB"/>
    <w:rsid w:val="00FF26FC"/>
    <w:rsid w:val="00FF276D"/>
    <w:rsid w:val="00FF2E2F"/>
    <w:rsid w:val="00FF30D3"/>
    <w:rsid w:val="00FF33BE"/>
    <w:rsid w:val="00FF33FD"/>
    <w:rsid w:val="00FF37FF"/>
    <w:rsid w:val="00FF3C27"/>
    <w:rsid w:val="00FF3DAC"/>
    <w:rsid w:val="00FF3E98"/>
    <w:rsid w:val="00FF40CE"/>
    <w:rsid w:val="00FF4436"/>
    <w:rsid w:val="00FF4475"/>
    <w:rsid w:val="00FF44C6"/>
    <w:rsid w:val="00FF483F"/>
    <w:rsid w:val="00FF4A4B"/>
    <w:rsid w:val="00FF4B78"/>
    <w:rsid w:val="00FF4BF4"/>
    <w:rsid w:val="00FF4EA5"/>
    <w:rsid w:val="00FF52BB"/>
    <w:rsid w:val="00FF52C3"/>
    <w:rsid w:val="00FF541A"/>
    <w:rsid w:val="00FF554B"/>
    <w:rsid w:val="00FF5608"/>
    <w:rsid w:val="00FF5A8F"/>
    <w:rsid w:val="00FF5BC5"/>
    <w:rsid w:val="00FF5E54"/>
    <w:rsid w:val="00FF5EEA"/>
    <w:rsid w:val="00FF5F4A"/>
    <w:rsid w:val="00FF6959"/>
    <w:rsid w:val="00FF6C47"/>
    <w:rsid w:val="00FF6C9B"/>
    <w:rsid w:val="00FF6D8B"/>
    <w:rsid w:val="00FF7269"/>
    <w:rsid w:val="00FF7364"/>
    <w:rsid w:val="00FF7693"/>
    <w:rsid w:val="00FF7872"/>
    <w:rsid w:val="00FF791F"/>
    <w:rsid w:val="00FF7E20"/>
    <w:rsid w:val="00FF7EFA"/>
    <w:rsid w:val="00FF7EFB"/>
    <w:rsid w:val="00FF7FB5"/>
    <w:rsid w:val="01001BBB"/>
    <w:rsid w:val="012F8AFB"/>
    <w:rsid w:val="014407D9"/>
    <w:rsid w:val="01486444"/>
    <w:rsid w:val="014F4E8B"/>
    <w:rsid w:val="015F6715"/>
    <w:rsid w:val="015F8628"/>
    <w:rsid w:val="0175E63D"/>
    <w:rsid w:val="017B01B9"/>
    <w:rsid w:val="0185E2B8"/>
    <w:rsid w:val="018F8B4B"/>
    <w:rsid w:val="019AC923"/>
    <w:rsid w:val="01A80BCB"/>
    <w:rsid w:val="01B1FCB1"/>
    <w:rsid w:val="01DEE281"/>
    <w:rsid w:val="01E0AA8C"/>
    <w:rsid w:val="0201AC24"/>
    <w:rsid w:val="0205E90E"/>
    <w:rsid w:val="02751355"/>
    <w:rsid w:val="02764C51"/>
    <w:rsid w:val="027D9B95"/>
    <w:rsid w:val="0282A2B7"/>
    <w:rsid w:val="028F51FA"/>
    <w:rsid w:val="0292A5ED"/>
    <w:rsid w:val="02A0BF6C"/>
    <w:rsid w:val="02AA11D2"/>
    <w:rsid w:val="02C6E743"/>
    <w:rsid w:val="02D273EE"/>
    <w:rsid w:val="02D6594D"/>
    <w:rsid w:val="02DB38CB"/>
    <w:rsid w:val="03071FA0"/>
    <w:rsid w:val="031CEDFE"/>
    <w:rsid w:val="03206EE2"/>
    <w:rsid w:val="033B734B"/>
    <w:rsid w:val="034407A8"/>
    <w:rsid w:val="0359EE73"/>
    <w:rsid w:val="03717C0D"/>
    <w:rsid w:val="03749306"/>
    <w:rsid w:val="037F3917"/>
    <w:rsid w:val="038D2F8B"/>
    <w:rsid w:val="03A093B9"/>
    <w:rsid w:val="03B17627"/>
    <w:rsid w:val="03C9F182"/>
    <w:rsid w:val="03D9FA31"/>
    <w:rsid w:val="03F33E79"/>
    <w:rsid w:val="03F4D091"/>
    <w:rsid w:val="03FA5E33"/>
    <w:rsid w:val="03FCB699"/>
    <w:rsid w:val="0401486F"/>
    <w:rsid w:val="0412B572"/>
    <w:rsid w:val="0424FF05"/>
    <w:rsid w:val="042A169E"/>
    <w:rsid w:val="04514FF2"/>
    <w:rsid w:val="04E254F0"/>
    <w:rsid w:val="05196253"/>
    <w:rsid w:val="051F75FF"/>
    <w:rsid w:val="054C7EE7"/>
    <w:rsid w:val="0550D877"/>
    <w:rsid w:val="0558D53B"/>
    <w:rsid w:val="0560F351"/>
    <w:rsid w:val="05628DD6"/>
    <w:rsid w:val="0577D52F"/>
    <w:rsid w:val="0577D71D"/>
    <w:rsid w:val="0581ABE3"/>
    <w:rsid w:val="059ED8CE"/>
    <w:rsid w:val="05A6A440"/>
    <w:rsid w:val="05B958A8"/>
    <w:rsid w:val="05CDEB34"/>
    <w:rsid w:val="05E1EFF5"/>
    <w:rsid w:val="05E96E72"/>
    <w:rsid w:val="05F5F717"/>
    <w:rsid w:val="05F849A9"/>
    <w:rsid w:val="060043CC"/>
    <w:rsid w:val="060A6FF0"/>
    <w:rsid w:val="060EAADA"/>
    <w:rsid w:val="0625D4A0"/>
    <w:rsid w:val="062D3AEF"/>
    <w:rsid w:val="062F6014"/>
    <w:rsid w:val="064433A5"/>
    <w:rsid w:val="06506E25"/>
    <w:rsid w:val="0661B694"/>
    <w:rsid w:val="066A0772"/>
    <w:rsid w:val="06734814"/>
    <w:rsid w:val="0679EAFF"/>
    <w:rsid w:val="067BD8C8"/>
    <w:rsid w:val="067E302B"/>
    <w:rsid w:val="068ADA8E"/>
    <w:rsid w:val="06BA97CF"/>
    <w:rsid w:val="06BE567D"/>
    <w:rsid w:val="06CCF060"/>
    <w:rsid w:val="06DE8963"/>
    <w:rsid w:val="06F98AD2"/>
    <w:rsid w:val="06FB8C7C"/>
    <w:rsid w:val="07152682"/>
    <w:rsid w:val="073973C1"/>
    <w:rsid w:val="073C7B7B"/>
    <w:rsid w:val="074FF26A"/>
    <w:rsid w:val="075DDF81"/>
    <w:rsid w:val="07657E48"/>
    <w:rsid w:val="076BF3B0"/>
    <w:rsid w:val="0795A82C"/>
    <w:rsid w:val="07A25AB9"/>
    <w:rsid w:val="07AB8615"/>
    <w:rsid w:val="07F9AB95"/>
    <w:rsid w:val="08052FB1"/>
    <w:rsid w:val="0836D6DE"/>
    <w:rsid w:val="084248CB"/>
    <w:rsid w:val="08568888"/>
    <w:rsid w:val="0859ADCD"/>
    <w:rsid w:val="08788711"/>
    <w:rsid w:val="08A8A854"/>
    <w:rsid w:val="08B1B9F8"/>
    <w:rsid w:val="08C7E2E3"/>
    <w:rsid w:val="08D0F10A"/>
    <w:rsid w:val="08D3E261"/>
    <w:rsid w:val="08E977B8"/>
    <w:rsid w:val="08EC748C"/>
    <w:rsid w:val="08EED2BD"/>
    <w:rsid w:val="08F0169E"/>
    <w:rsid w:val="090741A5"/>
    <w:rsid w:val="090A3B2E"/>
    <w:rsid w:val="090BA32F"/>
    <w:rsid w:val="090BBFBD"/>
    <w:rsid w:val="0924E7C2"/>
    <w:rsid w:val="09464D32"/>
    <w:rsid w:val="0966BC53"/>
    <w:rsid w:val="096EBCCF"/>
    <w:rsid w:val="0985B50C"/>
    <w:rsid w:val="09867AC0"/>
    <w:rsid w:val="098F555D"/>
    <w:rsid w:val="099DB740"/>
    <w:rsid w:val="09A897F5"/>
    <w:rsid w:val="09B26240"/>
    <w:rsid w:val="09B641EE"/>
    <w:rsid w:val="09B7F922"/>
    <w:rsid w:val="09DDB272"/>
    <w:rsid w:val="0A0EE8DC"/>
    <w:rsid w:val="0A1F6055"/>
    <w:rsid w:val="0A37D981"/>
    <w:rsid w:val="0A3B3B63"/>
    <w:rsid w:val="0A85F4C4"/>
    <w:rsid w:val="0A8697AD"/>
    <w:rsid w:val="0A9B4550"/>
    <w:rsid w:val="0ABCDCBC"/>
    <w:rsid w:val="0ACDD585"/>
    <w:rsid w:val="0AE0EC43"/>
    <w:rsid w:val="0AF2ED64"/>
    <w:rsid w:val="0AF9A778"/>
    <w:rsid w:val="0B111FC1"/>
    <w:rsid w:val="0B361F0A"/>
    <w:rsid w:val="0B6BF5EA"/>
    <w:rsid w:val="0B6C5E41"/>
    <w:rsid w:val="0B73E73E"/>
    <w:rsid w:val="0B79E98D"/>
    <w:rsid w:val="0B9431E5"/>
    <w:rsid w:val="0B99F8F7"/>
    <w:rsid w:val="0BABB844"/>
    <w:rsid w:val="0BB1E599"/>
    <w:rsid w:val="0BB54E7A"/>
    <w:rsid w:val="0BBBDB0A"/>
    <w:rsid w:val="0BD6B237"/>
    <w:rsid w:val="0BE8D194"/>
    <w:rsid w:val="0C053477"/>
    <w:rsid w:val="0C20534A"/>
    <w:rsid w:val="0C2C2EA9"/>
    <w:rsid w:val="0C317B60"/>
    <w:rsid w:val="0C583F4C"/>
    <w:rsid w:val="0C688332"/>
    <w:rsid w:val="0C823F10"/>
    <w:rsid w:val="0C9A0679"/>
    <w:rsid w:val="0CA9E9D9"/>
    <w:rsid w:val="0CE29286"/>
    <w:rsid w:val="0CE3C176"/>
    <w:rsid w:val="0CE7B275"/>
    <w:rsid w:val="0CFAA6A5"/>
    <w:rsid w:val="0D09BB12"/>
    <w:rsid w:val="0D22072C"/>
    <w:rsid w:val="0D2FA8D1"/>
    <w:rsid w:val="0D47B5BA"/>
    <w:rsid w:val="0D6CDDF0"/>
    <w:rsid w:val="0D7677B0"/>
    <w:rsid w:val="0D78CA05"/>
    <w:rsid w:val="0D7BA1DA"/>
    <w:rsid w:val="0DA4313E"/>
    <w:rsid w:val="0DA9774F"/>
    <w:rsid w:val="0DDC5530"/>
    <w:rsid w:val="0DE5864E"/>
    <w:rsid w:val="0DF0DF30"/>
    <w:rsid w:val="0E32F4E9"/>
    <w:rsid w:val="0E3AC27F"/>
    <w:rsid w:val="0E3C1398"/>
    <w:rsid w:val="0E86B555"/>
    <w:rsid w:val="0E930552"/>
    <w:rsid w:val="0E958BD3"/>
    <w:rsid w:val="0E96AD92"/>
    <w:rsid w:val="0E9A4D53"/>
    <w:rsid w:val="0EAD3A71"/>
    <w:rsid w:val="0EF6D959"/>
    <w:rsid w:val="0EFAB056"/>
    <w:rsid w:val="0F48F8DA"/>
    <w:rsid w:val="0F5B6351"/>
    <w:rsid w:val="0F63E4FA"/>
    <w:rsid w:val="0F79351E"/>
    <w:rsid w:val="0F881BF9"/>
    <w:rsid w:val="0F99E136"/>
    <w:rsid w:val="0F9E079E"/>
    <w:rsid w:val="0FBCA51E"/>
    <w:rsid w:val="0FEADAD4"/>
    <w:rsid w:val="0FED1AE7"/>
    <w:rsid w:val="0FF533C4"/>
    <w:rsid w:val="1012BE22"/>
    <w:rsid w:val="10228D80"/>
    <w:rsid w:val="10282594"/>
    <w:rsid w:val="1036852E"/>
    <w:rsid w:val="104AB4CC"/>
    <w:rsid w:val="1088464D"/>
    <w:rsid w:val="1089D4BA"/>
    <w:rsid w:val="109092D4"/>
    <w:rsid w:val="1099420B"/>
    <w:rsid w:val="10DD2428"/>
    <w:rsid w:val="10EE5990"/>
    <w:rsid w:val="10F0DD8A"/>
    <w:rsid w:val="1117274A"/>
    <w:rsid w:val="111E83C2"/>
    <w:rsid w:val="112DF2DC"/>
    <w:rsid w:val="114729AF"/>
    <w:rsid w:val="115FA682"/>
    <w:rsid w:val="11653AFA"/>
    <w:rsid w:val="118365D8"/>
    <w:rsid w:val="11957983"/>
    <w:rsid w:val="119CCEF5"/>
    <w:rsid w:val="11BD512E"/>
    <w:rsid w:val="11D003C9"/>
    <w:rsid w:val="11D3A9C1"/>
    <w:rsid w:val="11E616D2"/>
    <w:rsid w:val="11F6C84E"/>
    <w:rsid w:val="11FD610C"/>
    <w:rsid w:val="1201574F"/>
    <w:rsid w:val="1205CAE3"/>
    <w:rsid w:val="12093337"/>
    <w:rsid w:val="122CBE01"/>
    <w:rsid w:val="122DE12D"/>
    <w:rsid w:val="1247306F"/>
    <w:rsid w:val="124E678F"/>
    <w:rsid w:val="124E7F5A"/>
    <w:rsid w:val="125972D0"/>
    <w:rsid w:val="125B25B4"/>
    <w:rsid w:val="1281409B"/>
    <w:rsid w:val="12A341DF"/>
    <w:rsid w:val="12B17617"/>
    <w:rsid w:val="12E8E919"/>
    <w:rsid w:val="12F477D6"/>
    <w:rsid w:val="131CA148"/>
    <w:rsid w:val="13203448"/>
    <w:rsid w:val="132C37A0"/>
    <w:rsid w:val="13569993"/>
    <w:rsid w:val="135BC6ED"/>
    <w:rsid w:val="135EAEAE"/>
    <w:rsid w:val="135EFBD9"/>
    <w:rsid w:val="137302C5"/>
    <w:rsid w:val="137EC1A8"/>
    <w:rsid w:val="13818A74"/>
    <w:rsid w:val="138CE8F8"/>
    <w:rsid w:val="13A60EB8"/>
    <w:rsid w:val="13C07080"/>
    <w:rsid w:val="13DA6A09"/>
    <w:rsid w:val="13DE81B5"/>
    <w:rsid w:val="13E8F044"/>
    <w:rsid w:val="1412A586"/>
    <w:rsid w:val="142E2502"/>
    <w:rsid w:val="14536408"/>
    <w:rsid w:val="146D592F"/>
    <w:rsid w:val="14948F3D"/>
    <w:rsid w:val="1497FEE3"/>
    <w:rsid w:val="14A270AE"/>
    <w:rsid w:val="14ACFDEB"/>
    <w:rsid w:val="14AE27C0"/>
    <w:rsid w:val="14B2CF2E"/>
    <w:rsid w:val="14B94544"/>
    <w:rsid w:val="14D4E478"/>
    <w:rsid w:val="14E786EF"/>
    <w:rsid w:val="14E96694"/>
    <w:rsid w:val="14EF0BEF"/>
    <w:rsid w:val="14FD2536"/>
    <w:rsid w:val="15146312"/>
    <w:rsid w:val="1516C7A0"/>
    <w:rsid w:val="151FB55B"/>
    <w:rsid w:val="15237F2F"/>
    <w:rsid w:val="1531AC9B"/>
    <w:rsid w:val="156694A5"/>
    <w:rsid w:val="1574D28A"/>
    <w:rsid w:val="1593934F"/>
    <w:rsid w:val="1597C343"/>
    <w:rsid w:val="15986A62"/>
    <w:rsid w:val="15A625B8"/>
    <w:rsid w:val="15B9A5D2"/>
    <w:rsid w:val="15C0B9E5"/>
    <w:rsid w:val="15C2268A"/>
    <w:rsid w:val="15D3BED8"/>
    <w:rsid w:val="15D92B9F"/>
    <w:rsid w:val="15ED5C56"/>
    <w:rsid w:val="15F3A3AF"/>
    <w:rsid w:val="1607C131"/>
    <w:rsid w:val="1626CCD6"/>
    <w:rsid w:val="1627A63E"/>
    <w:rsid w:val="1656D6CF"/>
    <w:rsid w:val="16892217"/>
    <w:rsid w:val="168BE682"/>
    <w:rsid w:val="16AE2458"/>
    <w:rsid w:val="16CC03C6"/>
    <w:rsid w:val="16F9FE2E"/>
    <w:rsid w:val="16FE7804"/>
    <w:rsid w:val="170CA54F"/>
    <w:rsid w:val="1716C2B7"/>
    <w:rsid w:val="172E69C2"/>
    <w:rsid w:val="1745FDFE"/>
    <w:rsid w:val="174D64E1"/>
    <w:rsid w:val="175C8A46"/>
    <w:rsid w:val="17740945"/>
    <w:rsid w:val="1776B317"/>
    <w:rsid w:val="1777A843"/>
    <w:rsid w:val="17786097"/>
    <w:rsid w:val="177BC990"/>
    <w:rsid w:val="1797FB80"/>
    <w:rsid w:val="17C3553F"/>
    <w:rsid w:val="1816E80D"/>
    <w:rsid w:val="183DC2B0"/>
    <w:rsid w:val="1853975E"/>
    <w:rsid w:val="18778F5A"/>
    <w:rsid w:val="18791B48"/>
    <w:rsid w:val="1890E4A2"/>
    <w:rsid w:val="1893219E"/>
    <w:rsid w:val="189DB0CD"/>
    <w:rsid w:val="18BC0E1E"/>
    <w:rsid w:val="18C75E5D"/>
    <w:rsid w:val="18C8276A"/>
    <w:rsid w:val="18E470EF"/>
    <w:rsid w:val="18E6D6F4"/>
    <w:rsid w:val="18F110F8"/>
    <w:rsid w:val="190EE749"/>
    <w:rsid w:val="1915F76E"/>
    <w:rsid w:val="193DDF7B"/>
    <w:rsid w:val="19551E4B"/>
    <w:rsid w:val="1965B90C"/>
    <w:rsid w:val="19729D0E"/>
    <w:rsid w:val="19A0363F"/>
    <w:rsid w:val="19A717A2"/>
    <w:rsid w:val="19D43626"/>
    <w:rsid w:val="1A1D600A"/>
    <w:rsid w:val="1A20A1EC"/>
    <w:rsid w:val="1A3C9187"/>
    <w:rsid w:val="1A3CA7A6"/>
    <w:rsid w:val="1A4C494B"/>
    <w:rsid w:val="1A4FEF67"/>
    <w:rsid w:val="1A5135EB"/>
    <w:rsid w:val="1A574573"/>
    <w:rsid w:val="1A5D28B3"/>
    <w:rsid w:val="1A80AB73"/>
    <w:rsid w:val="1AA94CF3"/>
    <w:rsid w:val="1AAC914A"/>
    <w:rsid w:val="1ABF6E8C"/>
    <w:rsid w:val="1AD6F6E8"/>
    <w:rsid w:val="1AF69D32"/>
    <w:rsid w:val="1B135033"/>
    <w:rsid w:val="1B1EB4F6"/>
    <w:rsid w:val="1B20A96A"/>
    <w:rsid w:val="1B27D522"/>
    <w:rsid w:val="1B33AA69"/>
    <w:rsid w:val="1B3C06A0"/>
    <w:rsid w:val="1B3CAD42"/>
    <w:rsid w:val="1B4D1BF8"/>
    <w:rsid w:val="1B610032"/>
    <w:rsid w:val="1B665C33"/>
    <w:rsid w:val="1B8F1138"/>
    <w:rsid w:val="1B92D1CD"/>
    <w:rsid w:val="1BA7DEE7"/>
    <w:rsid w:val="1BCAB9DB"/>
    <w:rsid w:val="1BD7ABE6"/>
    <w:rsid w:val="1BE91CE3"/>
    <w:rsid w:val="1BF2F788"/>
    <w:rsid w:val="1C162C63"/>
    <w:rsid w:val="1C1C364C"/>
    <w:rsid w:val="1C203513"/>
    <w:rsid w:val="1C2B4FCE"/>
    <w:rsid w:val="1C37E8EF"/>
    <w:rsid w:val="1C433910"/>
    <w:rsid w:val="1C56A351"/>
    <w:rsid w:val="1CE4CDEC"/>
    <w:rsid w:val="1CFF144C"/>
    <w:rsid w:val="1D05BB82"/>
    <w:rsid w:val="1D0793CE"/>
    <w:rsid w:val="1D1E34AF"/>
    <w:rsid w:val="1D253444"/>
    <w:rsid w:val="1D35E25A"/>
    <w:rsid w:val="1D60EFC3"/>
    <w:rsid w:val="1D653DA0"/>
    <w:rsid w:val="1D738310"/>
    <w:rsid w:val="1D7C396F"/>
    <w:rsid w:val="1D84C38D"/>
    <w:rsid w:val="1DB30304"/>
    <w:rsid w:val="1DBA90F3"/>
    <w:rsid w:val="1DBF1330"/>
    <w:rsid w:val="1DDDA9AC"/>
    <w:rsid w:val="1DDF71D3"/>
    <w:rsid w:val="1E174EAB"/>
    <w:rsid w:val="1E1F2D07"/>
    <w:rsid w:val="1E45ADD1"/>
    <w:rsid w:val="1E4A9E08"/>
    <w:rsid w:val="1E79F254"/>
    <w:rsid w:val="1E851064"/>
    <w:rsid w:val="1E91E960"/>
    <w:rsid w:val="1EB6CA93"/>
    <w:rsid w:val="1EC23390"/>
    <w:rsid w:val="1ED49BC6"/>
    <w:rsid w:val="1EDADA26"/>
    <w:rsid w:val="1EE88DAB"/>
    <w:rsid w:val="1EE8E271"/>
    <w:rsid w:val="1F0DDFC7"/>
    <w:rsid w:val="1F1B91F5"/>
    <w:rsid w:val="1F20E0C8"/>
    <w:rsid w:val="1F3B1B6F"/>
    <w:rsid w:val="1F47EB4C"/>
    <w:rsid w:val="1F518204"/>
    <w:rsid w:val="1F69C7D4"/>
    <w:rsid w:val="1F6BE1A6"/>
    <w:rsid w:val="1F9D14D6"/>
    <w:rsid w:val="1F9EC252"/>
    <w:rsid w:val="1FAF62F3"/>
    <w:rsid w:val="1FBA74ED"/>
    <w:rsid w:val="1FF21662"/>
    <w:rsid w:val="1FF3C266"/>
    <w:rsid w:val="1FF53BCF"/>
    <w:rsid w:val="200AA763"/>
    <w:rsid w:val="2033DB17"/>
    <w:rsid w:val="20526777"/>
    <w:rsid w:val="20667168"/>
    <w:rsid w:val="208C0298"/>
    <w:rsid w:val="20AADFA4"/>
    <w:rsid w:val="20DB670B"/>
    <w:rsid w:val="20DDB67D"/>
    <w:rsid w:val="20ECDF78"/>
    <w:rsid w:val="20EE216A"/>
    <w:rsid w:val="2105302C"/>
    <w:rsid w:val="210A5DEC"/>
    <w:rsid w:val="212CF143"/>
    <w:rsid w:val="214F701D"/>
    <w:rsid w:val="21663018"/>
    <w:rsid w:val="21779326"/>
    <w:rsid w:val="2183206F"/>
    <w:rsid w:val="2183CA2E"/>
    <w:rsid w:val="219976CE"/>
    <w:rsid w:val="219BF506"/>
    <w:rsid w:val="21A1FA9C"/>
    <w:rsid w:val="21EF8F71"/>
    <w:rsid w:val="21FC54AF"/>
    <w:rsid w:val="2201ADDF"/>
    <w:rsid w:val="222C4E51"/>
    <w:rsid w:val="22405245"/>
    <w:rsid w:val="224677F3"/>
    <w:rsid w:val="2269A121"/>
    <w:rsid w:val="2273C930"/>
    <w:rsid w:val="228308BB"/>
    <w:rsid w:val="2296CED2"/>
    <w:rsid w:val="229B06E8"/>
    <w:rsid w:val="22A5CEC3"/>
    <w:rsid w:val="22B42929"/>
    <w:rsid w:val="22D4F2F9"/>
    <w:rsid w:val="22E25F72"/>
    <w:rsid w:val="22FA0A68"/>
    <w:rsid w:val="231D48BC"/>
    <w:rsid w:val="232D7B67"/>
    <w:rsid w:val="23355CD1"/>
    <w:rsid w:val="2343416F"/>
    <w:rsid w:val="234CF0FF"/>
    <w:rsid w:val="234CF585"/>
    <w:rsid w:val="2364A6EE"/>
    <w:rsid w:val="236D1799"/>
    <w:rsid w:val="237BA32A"/>
    <w:rsid w:val="23805E80"/>
    <w:rsid w:val="238DB90F"/>
    <w:rsid w:val="23905042"/>
    <w:rsid w:val="23B5AE70"/>
    <w:rsid w:val="23C58A62"/>
    <w:rsid w:val="23ED3E1D"/>
    <w:rsid w:val="23F226DC"/>
    <w:rsid w:val="23F8F675"/>
    <w:rsid w:val="2407F441"/>
    <w:rsid w:val="240FF2D8"/>
    <w:rsid w:val="24111C34"/>
    <w:rsid w:val="241F6E0F"/>
    <w:rsid w:val="2433D136"/>
    <w:rsid w:val="243A403D"/>
    <w:rsid w:val="24460009"/>
    <w:rsid w:val="247E30B8"/>
    <w:rsid w:val="247FCAEF"/>
    <w:rsid w:val="24997CAE"/>
    <w:rsid w:val="249EC7D1"/>
    <w:rsid w:val="24D1AE0F"/>
    <w:rsid w:val="24F241DA"/>
    <w:rsid w:val="2525B4C6"/>
    <w:rsid w:val="252C3276"/>
    <w:rsid w:val="252EB21F"/>
    <w:rsid w:val="254978F4"/>
    <w:rsid w:val="254BD564"/>
    <w:rsid w:val="254D04A8"/>
    <w:rsid w:val="255606C5"/>
    <w:rsid w:val="25605D7D"/>
    <w:rsid w:val="25772804"/>
    <w:rsid w:val="257D3B89"/>
    <w:rsid w:val="258B0B03"/>
    <w:rsid w:val="25A303A9"/>
    <w:rsid w:val="25A91CFE"/>
    <w:rsid w:val="25AD4960"/>
    <w:rsid w:val="25D7CB21"/>
    <w:rsid w:val="25DDCF16"/>
    <w:rsid w:val="260056B4"/>
    <w:rsid w:val="2608F94C"/>
    <w:rsid w:val="262269E8"/>
    <w:rsid w:val="263C8BF9"/>
    <w:rsid w:val="26412920"/>
    <w:rsid w:val="265966CF"/>
    <w:rsid w:val="26DF8D31"/>
    <w:rsid w:val="270BACB6"/>
    <w:rsid w:val="270D6C82"/>
    <w:rsid w:val="270DF622"/>
    <w:rsid w:val="27168D93"/>
    <w:rsid w:val="27252238"/>
    <w:rsid w:val="27418C72"/>
    <w:rsid w:val="2741BC24"/>
    <w:rsid w:val="275A856E"/>
    <w:rsid w:val="27624ED8"/>
    <w:rsid w:val="2779282B"/>
    <w:rsid w:val="278F1124"/>
    <w:rsid w:val="27AC34B2"/>
    <w:rsid w:val="27C56F42"/>
    <w:rsid w:val="27F5C465"/>
    <w:rsid w:val="280AD86D"/>
    <w:rsid w:val="280BCDF9"/>
    <w:rsid w:val="28376B29"/>
    <w:rsid w:val="28558D89"/>
    <w:rsid w:val="285B280A"/>
    <w:rsid w:val="2862B2F9"/>
    <w:rsid w:val="28841A28"/>
    <w:rsid w:val="28B17780"/>
    <w:rsid w:val="28B31998"/>
    <w:rsid w:val="28CA10DE"/>
    <w:rsid w:val="28D2BB1C"/>
    <w:rsid w:val="28F66E6F"/>
    <w:rsid w:val="2902AFB5"/>
    <w:rsid w:val="29058B07"/>
    <w:rsid w:val="2921285B"/>
    <w:rsid w:val="2926A882"/>
    <w:rsid w:val="2936EB5F"/>
    <w:rsid w:val="293D672A"/>
    <w:rsid w:val="29411FA6"/>
    <w:rsid w:val="29522DBD"/>
    <w:rsid w:val="2958F185"/>
    <w:rsid w:val="29642880"/>
    <w:rsid w:val="2992675F"/>
    <w:rsid w:val="29961F74"/>
    <w:rsid w:val="299FE844"/>
    <w:rsid w:val="29A51F32"/>
    <w:rsid w:val="29B02F14"/>
    <w:rsid w:val="29EF6F4D"/>
    <w:rsid w:val="29FFE9F9"/>
    <w:rsid w:val="2A11C1D5"/>
    <w:rsid w:val="2A14E309"/>
    <w:rsid w:val="2A1A722F"/>
    <w:rsid w:val="2A28522F"/>
    <w:rsid w:val="2A330ADE"/>
    <w:rsid w:val="2A40DFDA"/>
    <w:rsid w:val="2A48337C"/>
    <w:rsid w:val="2A4CCA41"/>
    <w:rsid w:val="2A56756A"/>
    <w:rsid w:val="2A597B11"/>
    <w:rsid w:val="2A7A005F"/>
    <w:rsid w:val="2AB3194C"/>
    <w:rsid w:val="2ABC4729"/>
    <w:rsid w:val="2AC50544"/>
    <w:rsid w:val="2ACB0508"/>
    <w:rsid w:val="2ACC11EA"/>
    <w:rsid w:val="2AF694BD"/>
    <w:rsid w:val="2B2D6527"/>
    <w:rsid w:val="2B3E97BA"/>
    <w:rsid w:val="2B4E4CF7"/>
    <w:rsid w:val="2B5C1C45"/>
    <w:rsid w:val="2B73AA0A"/>
    <w:rsid w:val="2B78E9C6"/>
    <w:rsid w:val="2B8E8176"/>
    <w:rsid w:val="2BCDCFAB"/>
    <w:rsid w:val="2BCE2C0C"/>
    <w:rsid w:val="2BD4D8AE"/>
    <w:rsid w:val="2BE0DDA5"/>
    <w:rsid w:val="2C26049F"/>
    <w:rsid w:val="2C282012"/>
    <w:rsid w:val="2C4B0884"/>
    <w:rsid w:val="2C5D65A4"/>
    <w:rsid w:val="2C5DF162"/>
    <w:rsid w:val="2C734145"/>
    <w:rsid w:val="2C78A268"/>
    <w:rsid w:val="2C9FCCB4"/>
    <w:rsid w:val="2CB6D697"/>
    <w:rsid w:val="2CD6BF99"/>
    <w:rsid w:val="2CDE5D49"/>
    <w:rsid w:val="2CE50826"/>
    <w:rsid w:val="2D00F9DC"/>
    <w:rsid w:val="2D021F32"/>
    <w:rsid w:val="2D0A16A8"/>
    <w:rsid w:val="2D175FAF"/>
    <w:rsid w:val="2D270DE9"/>
    <w:rsid w:val="2D34F440"/>
    <w:rsid w:val="2D3A65FA"/>
    <w:rsid w:val="2D3AFA81"/>
    <w:rsid w:val="2D59D0D1"/>
    <w:rsid w:val="2D5B0C41"/>
    <w:rsid w:val="2D6FC2BF"/>
    <w:rsid w:val="2D8129C9"/>
    <w:rsid w:val="2D87C7E6"/>
    <w:rsid w:val="2D8D99AF"/>
    <w:rsid w:val="2DA85E6F"/>
    <w:rsid w:val="2DBC1C9D"/>
    <w:rsid w:val="2DC9290D"/>
    <w:rsid w:val="2DCAF355"/>
    <w:rsid w:val="2DEA9382"/>
    <w:rsid w:val="2DEF3808"/>
    <w:rsid w:val="2E0A3148"/>
    <w:rsid w:val="2E1123B8"/>
    <w:rsid w:val="2E3F76BB"/>
    <w:rsid w:val="2EA198E2"/>
    <w:rsid w:val="2EB104D0"/>
    <w:rsid w:val="2EB22BF5"/>
    <w:rsid w:val="2EBE1DB3"/>
    <w:rsid w:val="2EC0D11B"/>
    <w:rsid w:val="2EE3B82E"/>
    <w:rsid w:val="2EE5976C"/>
    <w:rsid w:val="2EE708C6"/>
    <w:rsid w:val="2EF548B4"/>
    <w:rsid w:val="2F467C23"/>
    <w:rsid w:val="2F577307"/>
    <w:rsid w:val="2F6E2CF5"/>
    <w:rsid w:val="2F80F231"/>
    <w:rsid w:val="2F843B3D"/>
    <w:rsid w:val="2FB97F09"/>
    <w:rsid w:val="2FC1F927"/>
    <w:rsid w:val="2FEC1512"/>
    <w:rsid w:val="2FF1CAA3"/>
    <w:rsid w:val="2FFAEAD6"/>
    <w:rsid w:val="300356AC"/>
    <w:rsid w:val="3010234F"/>
    <w:rsid w:val="3024162D"/>
    <w:rsid w:val="3052FE80"/>
    <w:rsid w:val="305DB7AB"/>
    <w:rsid w:val="3066E2A3"/>
    <w:rsid w:val="3067F3A1"/>
    <w:rsid w:val="307E4F77"/>
    <w:rsid w:val="30A74E62"/>
    <w:rsid w:val="30AF69C5"/>
    <w:rsid w:val="30BD61C6"/>
    <w:rsid w:val="30CD7725"/>
    <w:rsid w:val="30DABB03"/>
    <w:rsid w:val="30E303D2"/>
    <w:rsid w:val="30E4B71A"/>
    <w:rsid w:val="30E8C38B"/>
    <w:rsid w:val="31028B16"/>
    <w:rsid w:val="315E8548"/>
    <w:rsid w:val="317B9B0E"/>
    <w:rsid w:val="319DB81F"/>
    <w:rsid w:val="31CE3480"/>
    <w:rsid w:val="323A2251"/>
    <w:rsid w:val="324DDB8C"/>
    <w:rsid w:val="32694786"/>
    <w:rsid w:val="3272DB87"/>
    <w:rsid w:val="32783473"/>
    <w:rsid w:val="32A05AA2"/>
    <w:rsid w:val="32D3F365"/>
    <w:rsid w:val="32E5A70C"/>
    <w:rsid w:val="32E7CEB4"/>
    <w:rsid w:val="32F0C018"/>
    <w:rsid w:val="32F86DC5"/>
    <w:rsid w:val="3319FA78"/>
    <w:rsid w:val="334C51BD"/>
    <w:rsid w:val="335821D6"/>
    <w:rsid w:val="335BCAE6"/>
    <w:rsid w:val="339C60AD"/>
    <w:rsid w:val="33AECE4F"/>
    <w:rsid w:val="33BBDF54"/>
    <w:rsid w:val="33C8BE7D"/>
    <w:rsid w:val="33C91535"/>
    <w:rsid w:val="33CCA4D9"/>
    <w:rsid w:val="340C3B24"/>
    <w:rsid w:val="34183004"/>
    <w:rsid w:val="341F9A24"/>
    <w:rsid w:val="344987FF"/>
    <w:rsid w:val="344A670D"/>
    <w:rsid w:val="346B84E5"/>
    <w:rsid w:val="346D4A6C"/>
    <w:rsid w:val="347389A3"/>
    <w:rsid w:val="3473E5A3"/>
    <w:rsid w:val="348C21E2"/>
    <w:rsid w:val="349917A3"/>
    <w:rsid w:val="34DC1CC2"/>
    <w:rsid w:val="34F57492"/>
    <w:rsid w:val="34FC1CD4"/>
    <w:rsid w:val="351DED64"/>
    <w:rsid w:val="351EEB0A"/>
    <w:rsid w:val="352DB686"/>
    <w:rsid w:val="353218EA"/>
    <w:rsid w:val="354A0EF0"/>
    <w:rsid w:val="355470DD"/>
    <w:rsid w:val="355B5A57"/>
    <w:rsid w:val="35620A76"/>
    <w:rsid w:val="3562C2C8"/>
    <w:rsid w:val="3594C75B"/>
    <w:rsid w:val="3597EC32"/>
    <w:rsid w:val="35A16DAB"/>
    <w:rsid w:val="35F37F3C"/>
    <w:rsid w:val="3618C2CF"/>
    <w:rsid w:val="36200272"/>
    <w:rsid w:val="3627ADFD"/>
    <w:rsid w:val="363449C2"/>
    <w:rsid w:val="36495AA0"/>
    <w:rsid w:val="367BCF5B"/>
    <w:rsid w:val="3687C6C4"/>
    <w:rsid w:val="36A58FF4"/>
    <w:rsid w:val="36AD8021"/>
    <w:rsid w:val="36DEB8E8"/>
    <w:rsid w:val="37045412"/>
    <w:rsid w:val="371BD6BD"/>
    <w:rsid w:val="37255F4D"/>
    <w:rsid w:val="374D59B6"/>
    <w:rsid w:val="3785C490"/>
    <w:rsid w:val="3786AF64"/>
    <w:rsid w:val="37AA73C6"/>
    <w:rsid w:val="37B94263"/>
    <w:rsid w:val="37BA4010"/>
    <w:rsid w:val="37BC93EE"/>
    <w:rsid w:val="37F78531"/>
    <w:rsid w:val="380A3C0C"/>
    <w:rsid w:val="381E581D"/>
    <w:rsid w:val="383DEACC"/>
    <w:rsid w:val="384742A2"/>
    <w:rsid w:val="384B7757"/>
    <w:rsid w:val="384D8718"/>
    <w:rsid w:val="385B0C65"/>
    <w:rsid w:val="38777AF3"/>
    <w:rsid w:val="3883263D"/>
    <w:rsid w:val="3883F374"/>
    <w:rsid w:val="3889083D"/>
    <w:rsid w:val="38B7B4A6"/>
    <w:rsid w:val="38BAB72B"/>
    <w:rsid w:val="38DA73B6"/>
    <w:rsid w:val="38E80CC3"/>
    <w:rsid w:val="39232FF3"/>
    <w:rsid w:val="392380F6"/>
    <w:rsid w:val="392F0A09"/>
    <w:rsid w:val="393A15A3"/>
    <w:rsid w:val="393A466D"/>
    <w:rsid w:val="39433C8F"/>
    <w:rsid w:val="39E291BB"/>
    <w:rsid w:val="3A0C8E12"/>
    <w:rsid w:val="3A22CDD7"/>
    <w:rsid w:val="3A36371C"/>
    <w:rsid w:val="3A3D0029"/>
    <w:rsid w:val="3A4DAFE5"/>
    <w:rsid w:val="3A4EBF3D"/>
    <w:rsid w:val="3A5946D1"/>
    <w:rsid w:val="3A5FDB30"/>
    <w:rsid w:val="3A60FF2E"/>
    <w:rsid w:val="3A7D1F78"/>
    <w:rsid w:val="3A81C38D"/>
    <w:rsid w:val="3AA3507A"/>
    <w:rsid w:val="3AA51630"/>
    <w:rsid w:val="3AABCDAC"/>
    <w:rsid w:val="3ACC1946"/>
    <w:rsid w:val="3AFDB5E4"/>
    <w:rsid w:val="3B0175E6"/>
    <w:rsid w:val="3B35CBA4"/>
    <w:rsid w:val="3B4CCCE8"/>
    <w:rsid w:val="3B518BAE"/>
    <w:rsid w:val="3B70DA87"/>
    <w:rsid w:val="3B804DBF"/>
    <w:rsid w:val="3BAA1A32"/>
    <w:rsid w:val="3BDE5EBA"/>
    <w:rsid w:val="3BE83CF4"/>
    <w:rsid w:val="3BFF1910"/>
    <w:rsid w:val="3C070F4A"/>
    <w:rsid w:val="3C1C7102"/>
    <w:rsid w:val="3C5412EA"/>
    <w:rsid w:val="3C56492E"/>
    <w:rsid w:val="3C57FC63"/>
    <w:rsid w:val="3C5CDA39"/>
    <w:rsid w:val="3C617160"/>
    <w:rsid w:val="3C796928"/>
    <w:rsid w:val="3C7AF5FE"/>
    <w:rsid w:val="3C800229"/>
    <w:rsid w:val="3C9BC69C"/>
    <w:rsid w:val="3C9C311B"/>
    <w:rsid w:val="3CC1A875"/>
    <w:rsid w:val="3CC5B154"/>
    <w:rsid w:val="3CCC4E5A"/>
    <w:rsid w:val="3CE734CA"/>
    <w:rsid w:val="3D0F3E2B"/>
    <w:rsid w:val="3D153327"/>
    <w:rsid w:val="3D20762C"/>
    <w:rsid w:val="3D20B528"/>
    <w:rsid w:val="3D2FFC51"/>
    <w:rsid w:val="3D3242B4"/>
    <w:rsid w:val="3D3A9ED7"/>
    <w:rsid w:val="3D574DE6"/>
    <w:rsid w:val="3D65CCCA"/>
    <w:rsid w:val="3D8DB64F"/>
    <w:rsid w:val="3DA6D1C8"/>
    <w:rsid w:val="3DADE4D9"/>
    <w:rsid w:val="3DB1D650"/>
    <w:rsid w:val="3DF7E107"/>
    <w:rsid w:val="3E179C6E"/>
    <w:rsid w:val="3E2BEE95"/>
    <w:rsid w:val="3E3769DA"/>
    <w:rsid w:val="3E48E924"/>
    <w:rsid w:val="3E550134"/>
    <w:rsid w:val="3E831739"/>
    <w:rsid w:val="3E8BBCBE"/>
    <w:rsid w:val="3EBCF6D4"/>
    <w:rsid w:val="3EC386CE"/>
    <w:rsid w:val="3EE8F023"/>
    <w:rsid w:val="3EF23E16"/>
    <w:rsid w:val="3F0B61EA"/>
    <w:rsid w:val="3F1CF6B7"/>
    <w:rsid w:val="3F8F93AB"/>
    <w:rsid w:val="3FA48D88"/>
    <w:rsid w:val="3FBA95C0"/>
    <w:rsid w:val="3FCDAC11"/>
    <w:rsid w:val="3FCE3435"/>
    <w:rsid w:val="3FD27BC3"/>
    <w:rsid w:val="3FDFC21A"/>
    <w:rsid w:val="40455E24"/>
    <w:rsid w:val="4056882B"/>
    <w:rsid w:val="405CB74A"/>
    <w:rsid w:val="4067810C"/>
    <w:rsid w:val="408D8CFD"/>
    <w:rsid w:val="40A4DB3E"/>
    <w:rsid w:val="40C1B115"/>
    <w:rsid w:val="40C6BF83"/>
    <w:rsid w:val="40C8CFB5"/>
    <w:rsid w:val="40CA397B"/>
    <w:rsid w:val="40F5F428"/>
    <w:rsid w:val="40FC42C3"/>
    <w:rsid w:val="410F0B4D"/>
    <w:rsid w:val="4141D719"/>
    <w:rsid w:val="414CB4E5"/>
    <w:rsid w:val="4160C940"/>
    <w:rsid w:val="4163A8A5"/>
    <w:rsid w:val="41649126"/>
    <w:rsid w:val="416A0496"/>
    <w:rsid w:val="41758A4B"/>
    <w:rsid w:val="41B700AE"/>
    <w:rsid w:val="41BF98AC"/>
    <w:rsid w:val="41D589D2"/>
    <w:rsid w:val="41EFA35D"/>
    <w:rsid w:val="420160D8"/>
    <w:rsid w:val="4213CD0B"/>
    <w:rsid w:val="4222030C"/>
    <w:rsid w:val="4245FA9C"/>
    <w:rsid w:val="424AAA3B"/>
    <w:rsid w:val="42A7165B"/>
    <w:rsid w:val="42C1AA4A"/>
    <w:rsid w:val="42C24BD5"/>
    <w:rsid w:val="42C8919C"/>
    <w:rsid w:val="42DCABF8"/>
    <w:rsid w:val="42E0761F"/>
    <w:rsid w:val="42E5F1E0"/>
    <w:rsid w:val="42F42EFB"/>
    <w:rsid w:val="4325A2DB"/>
    <w:rsid w:val="43521B89"/>
    <w:rsid w:val="4360FCE5"/>
    <w:rsid w:val="4372B564"/>
    <w:rsid w:val="437E5465"/>
    <w:rsid w:val="4388F2EE"/>
    <w:rsid w:val="438B8506"/>
    <w:rsid w:val="439592A5"/>
    <w:rsid w:val="43A0DF48"/>
    <w:rsid w:val="43BDF0A8"/>
    <w:rsid w:val="43CA0907"/>
    <w:rsid w:val="43D42995"/>
    <w:rsid w:val="43DF771B"/>
    <w:rsid w:val="43E4E1E1"/>
    <w:rsid w:val="43EA727A"/>
    <w:rsid w:val="43F9E5F6"/>
    <w:rsid w:val="43FF8D98"/>
    <w:rsid w:val="4419F13B"/>
    <w:rsid w:val="4432E766"/>
    <w:rsid w:val="443CBFD8"/>
    <w:rsid w:val="4442F7D6"/>
    <w:rsid w:val="445D8313"/>
    <w:rsid w:val="4461ABF3"/>
    <w:rsid w:val="44648795"/>
    <w:rsid w:val="4468D52F"/>
    <w:rsid w:val="449A1277"/>
    <w:rsid w:val="44E72E5C"/>
    <w:rsid w:val="44E93235"/>
    <w:rsid w:val="44F6CFDB"/>
    <w:rsid w:val="44F9F412"/>
    <w:rsid w:val="44FEF742"/>
    <w:rsid w:val="45374995"/>
    <w:rsid w:val="4538A227"/>
    <w:rsid w:val="45436EFB"/>
    <w:rsid w:val="457C5A0C"/>
    <w:rsid w:val="4595B657"/>
    <w:rsid w:val="45C25F0C"/>
    <w:rsid w:val="45E3CF83"/>
    <w:rsid w:val="460A177D"/>
    <w:rsid w:val="462786CB"/>
    <w:rsid w:val="46787E4B"/>
    <w:rsid w:val="4691A6A8"/>
    <w:rsid w:val="46B2AED9"/>
    <w:rsid w:val="46B2CE2D"/>
    <w:rsid w:val="46DD2599"/>
    <w:rsid w:val="46E3DB5B"/>
    <w:rsid w:val="46E5E143"/>
    <w:rsid w:val="46FC8E14"/>
    <w:rsid w:val="4707A4EA"/>
    <w:rsid w:val="4722B400"/>
    <w:rsid w:val="47361342"/>
    <w:rsid w:val="47412148"/>
    <w:rsid w:val="474AC8EF"/>
    <w:rsid w:val="474CC3B6"/>
    <w:rsid w:val="474D9CE1"/>
    <w:rsid w:val="47698E82"/>
    <w:rsid w:val="4774609A"/>
    <w:rsid w:val="47797ACF"/>
    <w:rsid w:val="477D08BC"/>
    <w:rsid w:val="47888D49"/>
    <w:rsid w:val="478A232C"/>
    <w:rsid w:val="479883BD"/>
    <w:rsid w:val="47B3924A"/>
    <w:rsid w:val="47C86751"/>
    <w:rsid w:val="47C9DAC6"/>
    <w:rsid w:val="47D650B1"/>
    <w:rsid w:val="48144EAC"/>
    <w:rsid w:val="481AD49E"/>
    <w:rsid w:val="485630A0"/>
    <w:rsid w:val="485F39E8"/>
    <w:rsid w:val="4861E3BC"/>
    <w:rsid w:val="4872F2AF"/>
    <w:rsid w:val="487C9106"/>
    <w:rsid w:val="48BFB3AF"/>
    <w:rsid w:val="48C0557E"/>
    <w:rsid w:val="48C61627"/>
    <w:rsid w:val="48DB03A7"/>
    <w:rsid w:val="499A2DD4"/>
    <w:rsid w:val="499C2CEB"/>
    <w:rsid w:val="49A4F3F6"/>
    <w:rsid w:val="4A1B1ADB"/>
    <w:rsid w:val="4A236525"/>
    <w:rsid w:val="4A23F3BC"/>
    <w:rsid w:val="4A5E5264"/>
    <w:rsid w:val="4A684F9F"/>
    <w:rsid w:val="4A8F0DBF"/>
    <w:rsid w:val="4A91BDBA"/>
    <w:rsid w:val="4A92DB1F"/>
    <w:rsid w:val="4AA66873"/>
    <w:rsid w:val="4AC687B7"/>
    <w:rsid w:val="4AC9BE8B"/>
    <w:rsid w:val="4AECE250"/>
    <w:rsid w:val="4AFF9352"/>
    <w:rsid w:val="4B22B891"/>
    <w:rsid w:val="4B300A01"/>
    <w:rsid w:val="4B325A8C"/>
    <w:rsid w:val="4B45847D"/>
    <w:rsid w:val="4B4BEF6E"/>
    <w:rsid w:val="4B607EC2"/>
    <w:rsid w:val="4B643396"/>
    <w:rsid w:val="4B77DAE7"/>
    <w:rsid w:val="4B872AB9"/>
    <w:rsid w:val="4BA3C05E"/>
    <w:rsid w:val="4BA40B11"/>
    <w:rsid w:val="4BA5EFCD"/>
    <w:rsid w:val="4BB6CD73"/>
    <w:rsid w:val="4BD88A43"/>
    <w:rsid w:val="4BFC662D"/>
    <w:rsid w:val="4C1D3CB3"/>
    <w:rsid w:val="4C2BD11B"/>
    <w:rsid w:val="4C3F808B"/>
    <w:rsid w:val="4C71A21F"/>
    <w:rsid w:val="4C744F61"/>
    <w:rsid w:val="4C76EC4C"/>
    <w:rsid w:val="4C86CEDD"/>
    <w:rsid w:val="4CA0B194"/>
    <w:rsid w:val="4CB7E42F"/>
    <w:rsid w:val="4CBB6EBD"/>
    <w:rsid w:val="4CC01F7E"/>
    <w:rsid w:val="4CC44C9E"/>
    <w:rsid w:val="4CD29798"/>
    <w:rsid w:val="4CD923D8"/>
    <w:rsid w:val="4CDBB321"/>
    <w:rsid w:val="4CEA569F"/>
    <w:rsid w:val="4D1187E2"/>
    <w:rsid w:val="4D16588B"/>
    <w:rsid w:val="4D2160CE"/>
    <w:rsid w:val="4D2BEE69"/>
    <w:rsid w:val="4D2F27F8"/>
    <w:rsid w:val="4D323F0A"/>
    <w:rsid w:val="4D337241"/>
    <w:rsid w:val="4D3B7223"/>
    <w:rsid w:val="4D4DE217"/>
    <w:rsid w:val="4D502081"/>
    <w:rsid w:val="4D59BAFC"/>
    <w:rsid w:val="4D619B4E"/>
    <w:rsid w:val="4D8204B7"/>
    <w:rsid w:val="4D969A18"/>
    <w:rsid w:val="4DB54507"/>
    <w:rsid w:val="4DE3A21E"/>
    <w:rsid w:val="4DFCCA7B"/>
    <w:rsid w:val="4E0DA734"/>
    <w:rsid w:val="4E1F898F"/>
    <w:rsid w:val="4E205DF5"/>
    <w:rsid w:val="4E2CD780"/>
    <w:rsid w:val="4E36B57C"/>
    <w:rsid w:val="4E3F965B"/>
    <w:rsid w:val="4E55E30C"/>
    <w:rsid w:val="4EC17B06"/>
    <w:rsid w:val="4EC50A74"/>
    <w:rsid w:val="4ED6BFC1"/>
    <w:rsid w:val="4EDF483B"/>
    <w:rsid w:val="4EE98BD2"/>
    <w:rsid w:val="4EF18B4C"/>
    <w:rsid w:val="4F3EDF00"/>
    <w:rsid w:val="4F4225A2"/>
    <w:rsid w:val="4F5A068F"/>
    <w:rsid w:val="4FB0AEF0"/>
    <w:rsid w:val="4FC90AB7"/>
    <w:rsid w:val="4FCB59DA"/>
    <w:rsid w:val="4FDA2E62"/>
    <w:rsid w:val="4FF28040"/>
    <w:rsid w:val="50001C1C"/>
    <w:rsid w:val="5033B4C8"/>
    <w:rsid w:val="5066CE43"/>
    <w:rsid w:val="507DCB75"/>
    <w:rsid w:val="509EB7D0"/>
    <w:rsid w:val="50A3C037"/>
    <w:rsid w:val="50A65E9F"/>
    <w:rsid w:val="50BA169D"/>
    <w:rsid w:val="50C0BF8E"/>
    <w:rsid w:val="50C9E252"/>
    <w:rsid w:val="50D01248"/>
    <w:rsid w:val="50E13369"/>
    <w:rsid w:val="50E94767"/>
    <w:rsid w:val="5116FCDA"/>
    <w:rsid w:val="511E0E10"/>
    <w:rsid w:val="5141FBE8"/>
    <w:rsid w:val="514C7256"/>
    <w:rsid w:val="5157F8C9"/>
    <w:rsid w:val="515CDCBD"/>
    <w:rsid w:val="516AD712"/>
    <w:rsid w:val="517C2E69"/>
    <w:rsid w:val="51A28F04"/>
    <w:rsid w:val="51A52170"/>
    <w:rsid w:val="51E3A91E"/>
    <w:rsid w:val="51EF8748"/>
    <w:rsid w:val="51FAA1F2"/>
    <w:rsid w:val="521F79D0"/>
    <w:rsid w:val="522C7A03"/>
    <w:rsid w:val="523F331C"/>
    <w:rsid w:val="524B4836"/>
    <w:rsid w:val="5259E8DC"/>
    <w:rsid w:val="5262343F"/>
    <w:rsid w:val="52679B0C"/>
    <w:rsid w:val="5277A398"/>
    <w:rsid w:val="529131E5"/>
    <w:rsid w:val="52B18655"/>
    <w:rsid w:val="52BB686C"/>
    <w:rsid w:val="52C898A4"/>
    <w:rsid w:val="531293DA"/>
    <w:rsid w:val="53163A49"/>
    <w:rsid w:val="531F1663"/>
    <w:rsid w:val="5332F80E"/>
    <w:rsid w:val="535FB14D"/>
    <w:rsid w:val="5363075B"/>
    <w:rsid w:val="536F4980"/>
    <w:rsid w:val="536FACE4"/>
    <w:rsid w:val="5392A583"/>
    <w:rsid w:val="53A892D1"/>
    <w:rsid w:val="53BEF839"/>
    <w:rsid w:val="53C41949"/>
    <w:rsid w:val="53CFD993"/>
    <w:rsid w:val="53D53F2C"/>
    <w:rsid w:val="53D9999C"/>
    <w:rsid w:val="53F3B334"/>
    <w:rsid w:val="5402FFD1"/>
    <w:rsid w:val="540FA519"/>
    <w:rsid w:val="5415F9C2"/>
    <w:rsid w:val="54191A4A"/>
    <w:rsid w:val="541D87F4"/>
    <w:rsid w:val="542B1FAD"/>
    <w:rsid w:val="542FE528"/>
    <w:rsid w:val="543AB142"/>
    <w:rsid w:val="5472C3AE"/>
    <w:rsid w:val="5472E0BE"/>
    <w:rsid w:val="54775326"/>
    <w:rsid w:val="548FE986"/>
    <w:rsid w:val="54BF62DA"/>
    <w:rsid w:val="54DFE2B3"/>
    <w:rsid w:val="54E59A59"/>
    <w:rsid w:val="54E5C144"/>
    <w:rsid w:val="551DC81F"/>
    <w:rsid w:val="55239149"/>
    <w:rsid w:val="552D7E38"/>
    <w:rsid w:val="5534A39A"/>
    <w:rsid w:val="5537484F"/>
    <w:rsid w:val="5543A9D6"/>
    <w:rsid w:val="554AA625"/>
    <w:rsid w:val="554D00DB"/>
    <w:rsid w:val="55510B75"/>
    <w:rsid w:val="5586EFA6"/>
    <w:rsid w:val="55B1D5CE"/>
    <w:rsid w:val="55B71967"/>
    <w:rsid w:val="55C7DBF8"/>
    <w:rsid w:val="55E10239"/>
    <w:rsid w:val="55E3C74B"/>
    <w:rsid w:val="55E6EB4C"/>
    <w:rsid w:val="567D673E"/>
    <w:rsid w:val="568E69F4"/>
    <w:rsid w:val="569F1E51"/>
    <w:rsid w:val="56B73F27"/>
    <w:rsid w:val="56B945FA"/>
    <w:rsid w:val="56E4F37D"/>
    <w:rsid w:val="56E6D873"/>
    <w:rsid w:val="56F7B1AA"/>
    <w:rsid w:val="56FDB52E"/>
    <w:rsid w:val="57083731"/>
    <w:rsid w:val="5714F806"/>
    <w:rsid w:val="571D5461"/>
    <w:rsid w:val="57224DC4"/>
    <w:rsid w:val="57367DAD"/>
    <w:rsid w:val="5737F597"/>
    <w:rsid w:val="57472887"/>
    <w:rsid w:val="575DFDFE"/>
    <w:rsid w:val="57630E92"/>
    <w:rsid w:val="57667017"/>
    <w:rsid w:val="576989DD"/>
    <w:rsid w:val="578F3AB0"/>
    <w:rsid w:val="579A670E"/>
    <w:rsid w:val="579FC76B"/>
    <w:rsid w:val="57A856E3"/>
    <w:rsid w:val="57B3993F"/>
    <w:rsid w:val="57C5DC35"/>
    <w:rsid w:val="57C62114"/>
    <w:rsid w:val="57D500FE"/>
    <w:rsid w:val="57DA35F8"/>
    <w:rsid w:val="57DABFC5"/>
    <w:rsid w:val="57DD4401"/>
    <w:rsid w:val="57E678A1"/>
    <w:rsid w:val="58033084"/>
    <w:rsid w:val="5804D9AE"/>
    <w:rsid w:val="580D36E5"/>
    <w:rsid w:val="5819379F"/>
    <w:rsid w:val="58473F7B"/>
    <w:rsid w:val="584BAAC1"/>
    <w:rsid w:val="585092F4"/>
    <w:rsid w:val="5852A9FD"/>
    <w:rsid w:val="585A0268"/>
    <w:rsid w:val="5864A906"/>
    <w:rsid w:val="588E7DDD"/>
    <w:rsid w:val="589B9C63"/>
    <w:rsid w:val="58A8507C"/>
    <w:rsid w:val="58B5E05E"/>
    <w:rsid w:val="58BD7711"/>
    <w:rsid w:val="58D3831D"/>
    <w:rsid w:val="58DE856F"/>
    <w:rsid w:val="58E6901D"/>
    <w:rsid w:val="5925F534"/>
    <w:rsid w:val="592C654D"/>
    <w:rsid w:val="594DFAED"/>
    <w:rsid w:val="59528A43"/>
    <w:rsid w:val="5962081C"/>
    <w:rsid w:val="596BB0BB"/>
    <w:rsid w:val="5974442E"/>
    <w:rsid w:val="5974E864"/>
    <w:rsid w:val="597BC253"/>
    <w:rsid w:val="599EB1DD"/>
    <w:rsid w:val="59B54325"/>
    <w:rsid w:val="59BBFDDE"/>
    <w:rsid w:val="59BD6DD6"/>
    <w:rsid w:val="59CF26FA"/>
    <w:rsid w:val="59DBAD6A"/>
    <w:rsid w:val="59DF8266"/>
    <w:rsid w:val="59E9CC50"/>
    <w:rsid w:val="59F53B51"/>
    <w:rsid w:val="5A240814"/>
    <w:rsid w:val="5A32FB03"/>
    <w:rsid w:val="5A3FD685"/>
    <w:rsid w:val="5A45FFE7"/>
    <w:rsid w:val="5A8D57E4"/>
    <w:rsid w:val="5A98B58D"/>
    <w:rsid w:val="5AAB6420"/>
    <w:rsid w:val="5AAF1246"/>
    <w:rsid w:val="5ACA12AC"/>
    <w:rsid w:val="5B25156B"/>
    <w:rsid w:val="5B470269"/>
    <w:rsid w:val="5B97FE87"/>
    <w:rsid w:val="5BB72F21"/>
    <w:rsid w:val="5BBC0B33"/>
    <w:rsid w:val="5BE3D8D6"/>
    <w:rsid w:val="5BF0A323"/>
    <w:rsid w:val="5BF0E92A"/>
    <w:rsid w:val="5BF8E82B"/>
    <w:rsid w:val="5C064638"/>
    <w:rsid w:val="5C09EED0"/>
    <w:rsid w:val="5C0A4B2C"/>
    <w:rsid w:val="5C1DB3DB"/>
    <w:rsid w:val="5C5553A8"/>
    <w:rsid w:val="5C6170B9"/>
    <w:rsid w:val="5C657841"/>
    <w:rsid w:val="5C6EAF1D"/>
    <w:rsid w:val="5C83D06B"/>
    <w:rsid w:val="5C8FF29A"/>
    <w:rsid w:val="5CA6E8CF"/>
    <w:rsid w:val="5CA722A6"/>
    <w:rsid w:val="5CA895C8"/>
    <w:rsid w:val="5CCF5023"/>
    <w:rsid w:val="5CF0D77C"/>
    <w:rsid w:val="5D0835DC"/>
    <w:rsid w:val="5D0BEE0F"/>
    <w:rsid w:val="5D0E826D"/>
    <w:rsid w:val="5D0E8D8C"/>
    <w:rsid w:val="5D43FDC6"/>
    <w:rsid w:val="5D514B8A"/>
    <w:rsid w:val="5D5E234C"/>
    <w:rsid w:val="5D5E55F9"/>
    <w:rsid w:val="5D7C8448"/>
    <w:rsid w:val="5D8339EA"/>
    <w:rsid w:val="5D89E53B"/>
    <w:rsid w:val="5D9FF890"/>
    <w:rsid w:val="5DA2D8FF"/>
    <w:rsid w:val="5DAAF710"/>
    <w:rsid w:val="5DB6654A"/>
    <w:rsid w:val="5DCAC885"/>
    <w:rsid w:val="5DDAC3E5"/>
    <w:rsid w:val="5DE257AD"/>
    <w:rsid w:val="5DE26AC5"/>
    <w:rsid w:val="5DEDB1A0"/>
    <w:rsid w:val="5DF3E191"/>
    <w:rsid w:val="5DFBD694"/>
    <w:rsid w:val="5E0D339E"/>
    <w:rsid w:val="5E1FFE36"/>
    <w:rsid w:val="5E280BBA"/>
    <w:rsid w:val="5E2AF55E"/>
    <w:rsid w:val="5E69748D"/>
    <w:rsid w:val="5E6F861E"/>
    <w:rsid w:val="5E783ECF"/>
    <w:rsid w:val="5E852AD5"/>
    <w:rsid w:val="5E8DA7A3"/>
    <w:rsid w:val="5E90987F"/>
    <w:rsid w:val="5E9334C1"/>
    <w:rsid w:val="5EB04D09"/>
    <w:rsid w:val="5EB4BBA2"/>
    <w:rsid w:val="5EB6D950"/>
    <w:rsid w:val="5ED39EB2"/>
    <w:rsid w:val="5EE4EE5E"/>
    <w:rsid w:val="5EE6F568"/>
    <w:rsid w:val="5EEEE12E"/>
    <w:rsid w:val="5F0731BD"/>
    <w:rsid w:val="5F1DC43F"/>
    <w:rsid w:val="5F27164C"/>
    <w:rsid w:val="5F36DE92"/>
    <w:rsid w:val="5F4252A3"/>
    <w:rsid w:val="5F4F1A75"/>
    <w:rsid w:val="5F5A5967"/>
    <w:rsid w:val="5F636624"/>
    <w:rsid w:val="5F7CE7C5"/>
    <w:rsid w:val="5F80A60E"/>
    <w:rsid w:val="5F8CE28C"/>
    <w:rsid w:val="5FCAB5D6"/>
    <w:rsid w:val="5FEADE2E"/>
    <w:rsid w:val="5FF4A254"/>
    <w:rsid w:val="60101EB3"/>
    <w:rsid w:val="602C2A9D"/>
    <w:rsid w:val="6087444B"/>
    <w:rsid w:val="609781FA"/>
    <w:rsid w:val="609E16AC"/>
    <w:rsid w:val="60B45051"/>
    <w:rsid w:val="60E9B576"/>
    <w:rsid w:val="60FA6FEF"/>
    <w:rsid w:val="60FAD7F1"/>
    <w:rsid w:val="610AE583"/>
    <w:rsid w:val="610F65EE"/>
    <w:rsid w:val="6134D354"/>
    <w:rsid w:val="616578F4"/>
    <w:rsid w:val="61738A6F"/>
    <w:rsid w:val="61782BD7"/>
    <w:rsid w:val="61C41E07"/>
    <w:rsid w:val="61CBBFF2"/>
    <w:rsid w:val="61D24A53"/>
    <w:rsid w:val="61D94242"/>
    <w:rsid w:val="61E96C8D"/>
    <w:rsid w:val="61FD9CA4"/>
    <w:rsid w:val="6203B821"/>
    <w:rsid w:val="620F1235"/>
    <w:rsid w:val="6217B391"/>
    <w:rsid w:val="6239CA7B"/>
    <w:rsid w:val="6250E632"/>
    <w:rsid w:val="6251135F"/>
    <w:rsid w:val="6268799F"/>
    <w:rsid w:val="626E3C80"/>
    <w:rsid w:val="62754F4A"/>
    <w:rsid w:val="627F1692"/>
    <w:rsid w:val="62833A5C"/>
    <w:rsid w:val="62916A41"/>
    <w:rsid w:val="62C1FB0B"/>
    <w:rsid w:val="62D7DE7C"/>
    <w:rsid w:val="62E02AB8"/>
    <w:rsid w:val="62FD8C89"/>
    <w:rsid w:val="630BA6A6"/>
    <w:rsid w:val="633A1C30"/>
    <w:rsid w:val="634B3302"/>
    <w:rsid w:val="636F6816"/>
    <w:rsid w:val="637512A3"/>
    <w:rsid w:val="637B9D57"/>
    <w:rsid w:val="637D5C51"/>
    <w:rsid w:val="637E2F85"/>
    <w:rsid w:val="63B5D530"/>
    <w:rsid w:val="63B9546B"/>
    <w:rsid w:val="63C1BDDD"/>
    <w:rsid w:val="64387488"/>
    <w:rsid w:val="64478C78"/>
    <w:rsid w:val="64510FF3"/>
    <w:rsid w:val="645872D9"/>
    <w:rsid w:val="645B03B9"/>
    <w:rsid w:val="64692DB7"/>
    <w:rsid w:val="6469F04A"/>
    <w:rsid w:val="64891AA5"/>
    <w:rsid w:val="648EF7D7"/>
    <w:rsid w:val="6496112D"/>
    <w:rsid w:val="64A5983B"/>
    <w:rsid w:val="64D92429"/>
    <w:rsid w:val="64E516AB"/>
    <w:rsid w:val="64EE1005"/>
    <w:rsid w:val="64FF05AB"/>
    <w:rsid w:val="653AFC49"/>
    <w:rsid w:val="657532A4"/>
    <w:rsid w:val="6578BEAC"/>
    <w:rsid w:val="65AF2D09"/>
    <w:rsid w:val="65B2E8D5"/>
    <w:rsid w:val="65C7BAC0"/>
    <w:rsid w:val="65DFC39B"/>
    <w:rsid w:val="65EF1089"/>
    <w:rsid w:val="65FC604C"/>
    <w:rsid w:val="66038ABB"/>
    <w:rsid w:val="6622A9B1"/>
    <w:rsid w:val="662FC45D"/>
    <w:rsid w:val="66460F12"/>
    <w:rsid w:val="666CAC54"/>
    <w:rsid w:val="667ADAC0"/>
    <w:rsid w:val="667DB4B1"/>
    <w:rsid w:val="667ED593"/>
    <w:rsid w:val="6699C2CF"/>
    <w:rsid w:val="66BB1726"/>
    <w:rsid w:val="66EA2E01"/>
    <w:rsid w:val="66EA3994"/>
    <w:rsid w:val="66F79EA1"/>
    <w:rsid w:val="66FAA97F"/>
    <w:rsid w:val="6716F75C"/>
    <w:rsid w:val="6738525C"/>
    <w:rsid w:val="676360FB"/>
    <w:rsid w:val="67719858"/>
    <w:rsid w:val="67B28F47"/>
    <w:rsid w:val="67CE2194"/>
    <w:rsid w:val="67ED9834"/>
    <w:rsid w:val="67F6B44A"/>
    <w:rsid w:val="67FD409F"/>
    <w:rsid w:val="67FDD89D"/>
    <w:rsid w:val="6806A56C"/>
    <w:rsid w:val="681FD6E0"/>
    <w:rsid w:val="6841D3AD"/>
    <w:rsid w:val="68489DA4"/>
    <w:rsid w:val="6858FA65"/>
    <w:rsid w:val="686AC059"/>
    <w:rsid w:val="687B42C4"/>
    <w:rsid w:val="68A7684D"/>
    <w:rsid w:val="68E01683"/>
    <w:rsid w:val="68F2E561"/>
    <w:rsid w:val="6918F0CE"/>
    <w:rsid w:val="691D1B99"/>
    <w:rsid w:val="6920335F"/>
    <w:rsid w:val="6948A9D5"/>
    <w:rsid w:val="6954EDF8"/>
    <w:rsid w:val="695966A1"/>
    <w:rsid w:val="6970D478"/>
    <w:rsid w:val="697E7421"/>
    <w:rsid w:val="698E917C"/>
    <w:rsid w:val="69A4AB32"/>
    <w:rsid w:val="69C53083"/>
    <w:rsid w:val="69E9438F"/>
    <w:rsid w:val="69F102D4"/>
    <w:rsid w:val="69F2BE75"/>
    <w:rsid w:val="6A16C8C5"/>
    <w:rsid w:val="6A409565"/>
    <w:rsid w:val="6A45625B"/>
    <w:rsid w:val="6A478F75"/>
    <w:rsid w:val="6A4DC1DB"/>
    <w:rsid w:val="6A5810B3"/>
    <w:rsid w:val="6A642E2A"/>
    <w:rsid w:val="6AA6600E"/>
    <w:rsid w:val="6AAB1FB7"/>
    <w:rsid w:val="6AD04BF9"/>
    <w:rsid w:val="6AF78EDE"/>
    <w:rsid w:val="6B0E76EF"/>
    <w:rsid w:val="6B284CDA"/>
    <w:rsid w:val="6B3E5A4F"/>
    <w:rsid w:val="6B4D8DC9"/>
    <w:rsid w:val="6B661231"/>
    <w:rsid w:val="6B6C2FCC"/>
    <w:rsid w:val="6B996946"/>
    <w:rsid w:val="6BC21B9D"/>
    <w:rsid w:val="6BC75408"/>
    <w:rsid w:val="6BD87BDB"/>
    <w:rsid w:val="6BDE9D92"/>
    <w:rsid w:val="6BE2DBC3"/>
    <w:rsid w:val="6C3DC86C"/>
    <w:rsid w:val="6C5CDC2B"/>
    <w:rsid w:val="6C9A2852"/>
    <w:rsid w:val="6CAEC5D5"/>
    <w:rsid w:val="6CC7EE32"/>
    <w:rsid w:val="6CD64E85"/>
    <w:rsid w:val="6CDDAE18"/>
    <w:rsid w:val="6D21CFB8"/>
    <w:rsid w:val="6D324A49"/>
    <w:rsid w:val="6D3321E3"/>
    <w:rsid w:val="6D4EBD16"/>
    <w:rsid w:val="6D54640D"/>
    <w:rsid w:val="6D5C0740"/>
    <w:rsid w:val="6D84BEE2"/>
    <w:rsid w:val="6D95E64F"/>
    <w:rsid w:val="6D9BE51C"/>
    <w:rsid w:val="6DB49E5A"/>
    <w:rsid w:val="6DC26B19"/>
    <w:rsid w:val="6DCB5D33"/>
    <w:rsid w:val="6DF33D23"/>
    <w:rsid w:val="6E003D8A"/>
    <w:rsid w:val="6E1B2022"/>
    <w:rsid w:val="6E47AA37"/>
    <w:rsid w:val="6E91BC95"/>
    <w:rsid w:val="6EE19545"/>
    <w:rsid w:val="6EFA912A"/>
    <w:rsid w:val="6F06F41C"/>
    <w:rsid w:val="6F2A2CCD"/>
    <w:rsid w:val="6F3D0717"/>
    <w:rsid w:val="6F523D94"/>
    <w:rsid w:val="6F5F8A3F"/>
    <w:rsid w:val="6F8BE253"/>
    <w:rsid w:val="6F9184F4"/>
    <w:rsid w:val="6FB420AF"/>
    <w:rsid w:val="6FCADF56"/>
    <w:rsid w:val="6FCF3EBA"/>
    <w:rsid w:val="6FEC4417"/>
    <w:rsid w:val="7009C94C"/>
    <w:rsid w:val="70164C31"/>
    <w:rsid w:val="7025CB18"/>
    <w:rsid w:val="70327A7C"/>
    <w:rsid w:val="703E6C5F"/>
    <w:rsid w:val="70719A6E"/>
    <w:rsid w:val="7077B1B1"/>
    <w:rsid w:val="70873D17"/>
    <w:rsid w:val="708C1160"/>
    <w:rsid w:val="708D7D03"/>
    <w:rsid w:val="7099767A"/>
    <w:rsid w:val="70B4109D"/>
    <w:rsid w:val="70E847E2"/>
    <w:rsid w:val="70E9B161"/>
    <w:rsid w:val="7103ED2D"/>
    <w:rsid w:val="711D1414"/>
    <w:rsid w:val="7144AA67"/>
    <w:rsid w:val="7173CDE9"/>
    <w:rsid w:val="71CE1E53"/>
    <w:rsid w:val="71DBF80B"/>
    <w:rsid w:val="71DE12E5"/>
    <w:rsid w:val="71EA5C1F"/>
    <w:rsid w:val="71F44528"/>
    <w:rsid w:val="71F74CFE"/>
    <w:rsid w:val="71F93A77"/>
    <w:rsid w:val="722B32F2"/>
    <w:rsid w:val="72312204"/>
    <w:rsid w:val="7237F1A3"/>
    <w:rsid w:val="7242FC9C"/>
    <w:rsid w:val="726F8E57"/>
    <w:rsid w:val="728C54C6"/>
    <w:rsid w:val="7290D322"/>
    <w:rsid w:val="72A34BB9"/>
    <w:rsid w:val="72BECCA7"/>
    <w:rsid w:val="72C067D4"/>
    <w:rsid w:val="72ECEB51"/>
    <w:rsid w:val="732E98EF"/>
    <w:rsid w:val="73358898"/>
    <w:rsid w:val="736C6B20"/>
    <w:rsid w:val="73716832"/>
    <w:rsid w:val="737457E8"/>
    <w:rsid w:val="7381989D"/>
    <w:rsid w:val="739B8D73"/>
    <w:rsid w:val="73AB8436"/>
    <w:rsid w:val="73BF282F"/>
    <w:rsid w:val="73E02225"/>
    <w:rsid w:val="73EAA8EE"/>
    <w:rsid w:val="73FB6866"/>
    <w:rsid w:val="7401BDF0"/>
    <w:rsid w:val="7405012F"/>
    <w:rsid w:val="7419E9A8"/>
    <w:rsid w:val="74259B6F"/>
    <w:rsid w:val="7430E770"/>
    <w:rsid w:val="745F43A2"/>
    <w:rsid w:val="74671E49"/>
    <w:rsid w:val="7478EB25"/>
    <w:rsid w:val="749371EA"/>
    <w:rsid w:val="7495A9BB"/>
    <w:rsid w:val="74ADD9DA"/>
    <w:rsid w:val="74AEBDC9"/>
    <w:rsid w:val="74C055A7"/>
    <w:rsid w:val="74C1C540"/>
    <w:rsid w:val="74CFCEEE"/>
    <w:rsid w:val="74DC4E60"/>
    <w:rsid w:val="74FD200B"/>
    <w:rsid w:val="75025AFA"/>
    <w:rsid w:val="7503D745"/>
    <w:rsid w:val="752A7B0F"/>
    <w:rsid w:val="754DE9BE"/>
    <w:rsid w:val="756C92F1"/>
    <w:rsid w:val="756D0FC0"/>
    <w:rsid w:val="7575BF51"/>
    <w:rsid w:val="75A9DC4D"/>
    <w:rsid w:val="75DB435B"/>
    <w:rsid w:val="75FB6814"/>
    <w:rsid w:val="7614BB86"/>
    <w:rsid w:val="76161DDF"/>
    <w:rsid w:val="76210A8B"/>
    <w:rsid w:val="763929EB"/>
    <w:rsid w:val="7639EC8A"/>
    <w:rsid w:val="7654058D"/>
    <w:rsid w:val="765D95A1"/>
    <w:rsid w:val="76610FC1"/>
    <w:rsid w:val="767DC659"/>
    <w:rsid w:val="76844728"/>
    <w:rsid w:val="768CD737"/>
    <w:rsid w:val="7692EEB2"/>
    <w:rsid w:val="76BC2C58"/>
    <w:rsid w:val="76BE70F3"/>
    <w:rsid w:val="76DF6DB2"/>
    <w:rsid w:val="76FE825E"/>
    <w:rsid w:val="7709EC0C"/>
    <w:rsid w:val="771F7CBD"/>
    <w:rsid w:val="773185EB"/>
    <w:rsid w:val="773357EB"/>
    <w:rsid w:val="7746CB22"/>
    <w:rsid w:val="774A0E17"/>
    <w:rsid w:val="775DF83D"/>
    <w:rsid w:val="7796675C"/>
    <w:rsid w:val="77B7827D"/>
    <w:rsid w:val="77D038BC"/>
    <w:rsid w:val="77D4F199"/>
    <w:rsid w:val="77FFB11E"/>
    <w:rsid w:val="78009F24"/>
    <w:rsid w:val="781BBA6A"/>
    <w:rsid w:val="78390BE5"/>
    <w:rsid w:val="783FF76F"/>
    <w:rsid w:val="784D6ACB"/>
    <w:rsid w:val="78507351"/>
    <w:rsid w:val="78A9FCAF"/>
    <w:rsid w:val="78BB591F"/>
    <w:rsid w:val="78C48C0F"/>
    <w:rsid w:val="78FA2809"/>
    <w:rsid w:val="79133C60"/>
    <w:rsid w:val="7929F100"/>
    <w:rsid w:val="7939E0FF"/>
    <w:rsid w:val="7955CFF7"/>
    <w:rsid w:val="7986DC85"/>
    <w:rsid w:val="79A5C522"/>
    <w:rsid w:val="7A019D7F"/>
    <w:rsid w:val="7A04AC51"/>
    <w:rsid w:val="7A05B8F9"/>
    <w:rsid w:val="7A1C5F98"/>
    <w:rsid w:val="7A222BA7"/>
    <w:rsid w:val="7A2B67D1"/>
    <w:rsid w:val="7A590675"/>
    <w:rsid w:val="7A9DB4F2"/>
    <w:rsid w:val="7AB9471E"/>
    <w:rsid w:val="7AD194FD"/>
    <w:rsid w:val="7AD2CD1E"/>
    <w:rsid w:val="7AD4D0E8"/>
    <w:rsid w:val="7ADBFFEF"/>
    <w:rsid w:val="7B01649F"/>
    <w:rsid w:val="7B046A4F"/>
    <w:rsid w:val="7B1FDB2F"/>
    <w:rsid w:val="7B1FFDC3"/>
    <w:rsid w:val="7B22CF80"/>
    <w:rsid w:val="7B23E691"/>
    <w:rsid w:val="7B3106C4"/>
    <w:rsid w:val="7B476BDE"/>
    <w:rsid w:val="7B47B6D8"/>
    <w:rsid w:val="7B50418A"/>
    <w:rsid w:val="7B69D50D"/>
    <w:rsid w:val="7B8980B4"/>
    <w:rsid w:val="7B8E74B3"/>
    <w:rsid w:val="7B9AA5A5"/>
    <w:rsid w:val="7BA3202B"/>
    <w:rsid w:val="7BBA4431"/>
    <w:rsid w:val="7BBEE2F4"/>
    <w:rsid w:val="7BC28B81"/>
    <w:rsid w:val="7BE7BC47"/>
    <w:rsid w:val="7BECD881"/>
    <w:rsid w:val="7BEEC960"/>
    <w:rsid w:val="7BF055CC"/>
    <w:rsid w:val="7BF7F889"/>
    <w:rsid w:val="7C00C4B8"/>
    <w:rsid w:val="7C0C282F"/>
    <w:rsid w:val="7C0CF8BF"/>
    <w:rsid w:val="7C284418"/>
    <w:rsid w:val="7C58D0B2"/>
    <w:rsid w:val="7C6491D2"/>
    <w:rsid w:val="7C7581F5"/>
    <w:rsid w:val="7C7F83CB"/>
    <w:rsid w:val="7C85A905"/>
    <w:rsid w:val="7C978D95"/>
    <w:rsid w:val="7C980FA3"/>
    <w:rsid w:val="7CAB6B64"/>
    <w:rsid w:val="7CC69964"/>
    <w:rsid w:val="7CD4D639"/>
    <w:rsid w:val="7CE231C6"/>
    <w:rsid w:val="7CF0756C"/>
    <w:rsid w:val="7D0EF1FB"/>
    <w:rsid w:val="7D1329D9"/>
    <w:rsid w:val="7D174EA7"/>
    <w:rsid w:val="7D36F117"/>
    <w:rsid w:val="7D39D3EF"/>
    <w:rsid w:val="7D4C3CBD"/>
    <w:rsid w:val="7D523F8C"/>
    <w:rsid w:val="7D5C0CA9"/>
    <w:rsid w:val="7D6970DE"/>
    <w:rsid w:val="7D9283CF"/>
    <w:rsid w:val="7D9EC21C"/>
    <w:rsid w:val="7DAACDE8"/>
    <w:rsid w:val="7DC93B5E"/>
    <w:rsid w:val="7DD1F65D"/>
    <w:rsid w:val="7DD73414"/>
    <w:rsid w:val="7DF36840"/>
    <w:rsid w:val="7E0C3810"/>
    <w:rsid w:val="7E1B42BD"/>
    <w:rsid w:val="7E23A089"/>
    <w:rsid w:val="7E26C43A"/>
    <w:rsid w:val="7E45740A"/>
    <w:rsid w:val="7E48CFBD"/>
    <w:rsid w:val="7E4A4C33"/>
    <w:rsid w:val="7E4BCA8C"/>
    <w:rsid w:val="7E5CD85C"/>
    <w:rsid w:val="7E68A786"/>
    <w:rsid w:val="7E79986E"/>
    <w:rsid w:val="7E7E6D69"/>
    <w:rsid w:val="7E8B1CC9"/>
    <w:rsid w:val="7EB36D13"/>
    <w:rsid w:val="7EC7261F"/>
    <w:rsid w:val="7ED7905E"/>
    <w:rsid w:val="7EF29EAD"/>
    <w:rsid w:val="7F15E137"/>
    <w:rsid w:val="7F228AAE"/>
    <w:rsid w:val="7F2763C4"/>
    <w:rsid w:val="7F2ED737"/>
    <w:rsid w:val="7F3EE3DB"/>
    <w:rsid w:val="7F4E49AA"/>
    <w:rsid w:val="7F531CFA"/>
    <w:rsid w:val="7F575BE7"/>
    <w:rsid w:val="7F72D19C"/>
    <w:rsid w:val="7F9998DB"/>
    <w:rsid w:val="7F9FF7DF"/>
    <w:rsid w:val="7FA7ED35"/>
    <w:rsid w:val="7FDAE27D"/>
    <w:rsid w:val="7FDE7717"/>
    <w:rsid w:val="7FF29F62"/>
    <w:rsid w:val="7FF6EE58"/>
    <w:rsid w:val="7FF995FE"/>
    <w:rsid w:val="7FFBAD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A435"/>
  <w15:chartTrackingRefBased/>
  <w15:docId w15:val="{11A78633-EF98-48F3-994F-81DFEAF6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A014B"/>
    <w:pPr>
      <w:widowControl w:val="0"/>
      <w:tabs>
        <w:tab w:val="right" w:pos="4196"/>
        <w:tab w:val="right" w:pos="5046"/>
        <w:tab w:val="right" w:pos="5897"/>
        <w:tab w:val="right" w:pos="6747"/>
        <w:tab w:val="right" w:pos="7598"/>
      </w:tabs>
      <w:autoSpaceDE w:val="0"/>
      <w:autoSpaceDN w:val="0"/>
    </w:pPr>
    <w:rPr>
      <w:rFonts w:ascii="Arial" w:hAnsi="Arial" w:cs="Arial"/>
      <w:lang w:val="en-AU" w:eastAsia="en-AU"/>
    </w:rPr>
  </w:style>
  <w:style w:type="paragraph" w:styleId="Heading1">
    <w:name w:val="heading 1"/>
    <w:basedOn w:val="Normal"/>
    <w:next w:val="Normal"/>
    <w:link w:val="Heading1Char"/>
    <w:qFormat/>
    <w:rsid w:val="00520A5F"/>
    <w:pPr>
      <w:keepNext/>
      <w:keepLines/>
      <w:spacing w:before="480"/>
      <w:outlineLvl w:val="0"/>
    </w:pPr>
    <w:rPr>
      <w:rFonts w:cs="Times New Roman"/>
      <w:bCs/>
      <w:caps/>
      <w:color w:val="00426F"/>
      <w:sz w:val="40"/>
      <w:szCs w:val="28"/>
    </w:rPr>
  </w:style>
  <w:style w:type="paragraph" w:styleId="Heading2">
    <w:name w:val="heading 2"/>
    <w:basedOn w:val="Normal"/>
    <w:next w:val="BodyText"/>
    <w:link w:val="Heading2Char"/>
    <w:qFormat/>
    <w:rsid w:val="00510033"/>
    <w:pPr>
      <w:keepNext/>
      <w:pBdr>
        <w:bottom w:val="single" w:sz="4" w:space="4" w:color="008EBA"/>
      </w:pBdr>
      <w:tabs>
        <w:tab w:val="clear" w:pos="4196"/>
        <w:tab w:val="clear" w:pos="5046"/>
        <w:tab w:val="clear" w:pos="5897"/>
        <w:tab w:val="clear" w:pos="6747"/>
        <w:tab w:val="clear" w:pos="7598"/>
      </w:tabs>
      <w:autoSpaceDE/>
      <w:autoSpaceDN/>
      <w:spacing w:before="240" w:after="100"/>
      <w:outlineLvl w:val="1"/>
    </w:pPr>
    <w:rPr>
      <w:rFonts w:ascii="Arial Bold" w:hAnsi="Arial Bold" w:cs="Times New Roman"/>
      <w:b/>
      <w:color w:val="008EBA"/>
      <w:kern w:val="28"/>
      <w:sz w:val="28"/>
      <w:szCs w:val="36"/>
      <w:lang w:eastAsia="en-US"/>
    </w:rPr>
  </w:style>
  <w:style w:type="paragraph" w:styleId="Heading3">
    <w:name w:val="heading 3"/>
    <w:basedOn w:val="Heading2"/>
    <w:next w:val="BodyText"/>
    <w:link w:val="Heading3Char"/>
    <w:qFormat/>
    <w:rsid w:val="00623FC7"/>
    <w:pPr>
      <w:pBdr>
        <w:bottom w:val="none" w:sz="0" w:space="0" w:color="auto"/>
      </w:pBdr>
      <w:spacing w:after="120" w:line="240" w:lineRule="atLeast"/>
      <w:outlineLvl w:val="2"/>
    </w:pPr>
    <w:rPr>
      <w:color w:val="auto"/>
      <w:sz w:val="26"/>
    </w:rPr>
  </w:style>
  <w:style w:type="paragraph" w:styleId="Heading4">
    <w:name w:val="heading 4"/>
    <w:basedOn w:val="Heading3"/>
    <w:next w:val="Normal"/>
    <w:link w:val="Heading4Char"/>
    <w:qFormat/>
    <w:rsid w:val="00EC7FA4"/>
    <w:pPr>
      <w:keepNext w:val="0"/>
      <w:tabs>
        <w:tab w:val="left" w:pos="567"/>
      </w:tabs>
      <w:outlineLvl w:val="3"/>
    </w:pPr>
    <w:rPr>
      <w:rFonts w:eastAsia="Arial Unicode MS"/>
      <w:sz w:val="24"/>
    </w:rPr>
  </w:style>
  <w:style w:type="paragraph" w:styleId="Heading5">
    <w:name w:val="heading 5"/>
    <w:basedOn w:val="Normal"/>
    <w:next w:val="Normal"/>
    <w:link w:val="Heading5Char"/>
    <w:uiPriority w:val="9"/>
    <w:qFormat/>
    <w:rsid w:val="006A014B"/>
    <w:pPr>
      <w:keepNext/>
      <w:keepLines/>
      <w:spacing w:before="240"/>
      <w:outlineLvl w:val="4"/>
    </w:pPr>
    <w:rPr>
      <w:rFonts w:cs="Times New Roman"/>
      <w:b/>
      <w:sz w:val="22"/>
    </w:rPr>
  </w:style>
  <w:style w:type="paragraph" w:styleId="Heading6">
    <w:name w:val="heading 6"/>
    <w:basedOn w:val="Heading1"/>
    <w:next w:val="Normal"/>
    <w:link w:val="Heading6Char"/>
    <w:qFormat/>
    <w:rsid w:val="00A778F2"/>
    <w:pPr>
      <w:spacing w:before="320" w:after="120"/>
      <w:outlineLvl w:val="5"/>
    </w:pPr>
    <w:rPr>
      <w:sz w:val="20"/>
    </w:rPr>
  </w:style>
  <w:style w:type="paragraph" w:styleId="Heading7">
    <w:name w:val="heading 7"/>
    <w:basedOn w:val="Heading5"/>
    <w:next w:val="Normal"/>
    <w:link w:val="Heading7Char"/>
    <w:qFormat/>
    <w:rsid w:val="00A778F2"/>
    <w:pPr>
      <w:spacing w:before="120"/>
      <w:ind w:left="425"/>
      <w:jc w:val="both"/>
      <w:outlineLvl w:val="6"/>
    </w:pPr>
    <w:rPr>
      <w:i/>
      <w:sz w:val="23"/>
    </w:rPr>
  </w:style>
  <w:style w:type="paragraph" w:styleId="Heading8">
    <w:name w:val="heading 8"/>
    <w:basedOn w:val="Heading7"/>
    <w:next w:val="Normal"/>
    <w:link w:val="Heading8Char"/>
    <w:qFormat/>
    <w:rsid w:val="00A778F2"/>
    <w:pPr>
      <w:outlineLvl w:val="7"/>
    </w:pPr>
    <w:rPr>
      <w:i w:val="0"/>
    </w:rPr>
  </w:style>
  <w:style w:type="paragraph" w:styleId="Heading9">
    <w:name w:val="heading 9"/>
    <w:basedOn w:val="Heading8"/>
    <w:next w:val="Normal"/>
    <w:link w:val="Heading9Char"/>
    <w:qFormat/>
    <w:rsid w:val="00A778F2"/>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A5F"/>
    <w:rPr>
      <w:rFonts w:ascii="Arial" w:hAnsi="Arial"/>
      <w:bCs/>
      <w:caps/>
      <w:color w:val="00426F"/>
      <w:sz w:val="40"/>
      <w:szCs w:val="28"/>
    </w:rPr>
  </w:style>
  <w:style w:type="character" w:customStyle="1" w:styleId="Heading2Char">
    <w:name w:val="Heading 2 Char"/>
    <w:link w:val="Heading2"/>
    <w:rsid w:val="00520A5F"/>
    <w:rPr>
      <w:rFonts w:ascii="Arial Bold" w:hAnsi="Arial Bold"/>
      <w:b/>
      <w:color w:val="008EBA"/>
      <w:kern w:val="28"/>
      <w:sz w:val="28"/>
      <w:szCs w:val="36"/>
      <w:lang w:val="en-AU" w:eastAsia="en-US"/>
    </w:rPr>
  </w:style>
  <w:style w:type="paragraph" w:styleId="BalloonText">
    <w:name w:val="Balloon Text"/>
    <w:basedOn w:val="Normal"/>
    <w:link w:val="BalloonTextChar"/>
    <w:uiPriority w:val="99"/>
    <w:unhideWhenUsed/>
    <w:rsid w:val="006A014B"/>
    <w:rPr>
      <w:rFonts w:ascii="Tahoma" w:hAnsi="Tahoma" w:cs="Tahoma"/>
      <w:sz w:val="16"/>
      <w:szCs w:val="16"/>
    </w:rPr>
  </w:style>
  <w:style w:type="character" w:customStyle="1" w:styleId="BalloonTextChar">
    <w:name w:val="Balloon Text Char"/>
    <w:link w:val="BalloonText"/>
    <w:uiPriority w:val="99"/>
    <w:rsid w:val="006A014B"/>
    <w:rPr>
      <w:rFonts w:ascii="Tahoma" w:eastAsia="Times New Roman" w:hAnsi="Tahoma" w:cs="Tahoma"/>
      <w:sz w:val="16"/>
      <w:szCs w:val="16"/>
    </w:rPr>
  </w:style>
  <w:style w:type="paragraph" w:styleId="BodyText">
    <w:name w:val="Body Text"/>
    <w:link w:val="BodyTextChar"/>
    <w:autoRedefine/>
    <w:rsid w:val="003B5132"/>
    <w:pPr>
      <w:tabs>
        <w:tab w:val="left" w:pos="1276"/>
      </w:tabs>
      <w:spacing w:before="160" w:after="100" w:line="240" w:lineRule="atLeast"/>
    </w:pPr>
    <w:rPr>
      <w:rFonts w:ascii="Arial" w:eastAsiaTheme="minorHAnsi" w:hAnsi="Arial" w:cs="Arial"/>
      <w:iCs/>
      <w:sz w:val="23"/>
      <w:szCs w:val="22"/>
      <w:lang w:val="en-AU" w:eastAsia="en-US"/>
    </w:rPr>
  </w:style>
  <w:style w:type="character" w:customStyle="1" w:styleId="BodyTextChar">
    <w:name w:val="Body Text Char"/>
    <w:link w:val="BodyText"/>
    <w:rsid w:val="003B5132"/>
    <w:rPr>
      <w:rFonts w:ascii="Arial" w:eastAsiaTheme="minorHAnsi" w:hAnsi="Arial" w:cs="Arial"/>
      <w:iCs/>
      <w:sz w:val="23"/>
      <w:szCs w:val="22"/>
      <w:lang w:val="en-AU" w:eastAsia="en-US"/>
    </w:rPr>
  </w:style>
  <w:style w:type="paragraph" w:customStyle="1" w:styleId="BodyTextBox">
    <w:name w:val="Body Text Box"/>
    <w:basedOn w:val="Normal"/>
    <w:link w:val="BodyTextBoxChar"/>
    <w:autoRedefine/>
    <w:rsid w:val="00E73683"/>
    <w:pPr>
      <w:framePr w:hSpace="180" w:wrap="around" w:vAnchor="text" w:hAnchor="text" w:y="18"/>
      <w:widowControl/>
      <w:tabs>
        <w:tab w:val="clear" w:pos="4196"/>
        <w:tab w:val="clear" w:pos="5046"/>
        <w:tab w:val="clear" w:pos="5897"/>
        <w:tab w:val="clear" w:pos="6747"/>
        <w:tab w:val="clear" w:pos="7598"/>
      </w:tabs>
      <w:autoSpaceDE/>
      <w:autoSpaceDN/>
      <w:spacing w:before="120" w:after="80" w:line="240" w:lineRule="atLeast"/>
    </w:pPr>
    <w:rPr>
      <w:color w:val="008EBA"/>
      <w:sz w:val="23"/>
      <w:szCs w:val="18"/>
      <w:lang w:eastAsia="en-US"/>
    </w:rPr>
  </w:style>
  <w:style w:type="paragraph" w:customStyle="1" w:styleId="ObjectHeading">
    <w:name w:val="Object Heading"/>
    <w:basedOn w:val="Heading3"/>
    <w:next w:val="Normal"/>
    <w:rsid w:val="00A778F2"/>
    <w:pPr>
      <w:tabs>
        <w:tab w:val="left" w:pos="1418"/>
      </w:tabs>
      <w:ind w:left="1418" w:hanging="1418"/>
    </w:pPr>
    <w:rPr>
      <w:kern w:val="0"/>
    </w:rPr>
  </w:style>
  <w:style w:type="paragraph" w:customStyle="1" w:styleId="BoxHeading">
    <w:name w:val="Box Heading"/>
    <w:basedOn w:val="ObjectHeading"/>
    <w:link w:val="BoxHeadingChar"/>
    <w:autoRedefine/>
    <w:rsid w:val="00A778F2"/>
    <w:pPr>
      <w:keepNext w:val="0"/>
      <w:tabs>
        <w:tab w:val="clear" w:pos="1418"/>
        <w:tab w:val="left" w:pos="-3510"/>
        <w:tab w:val="left" w:pos="-1384"/>
      </w:tabs>
      <w:spacing w:before="120" w:after="60"/>
      <w:ind w:left="1026" w:hanging="1026"/>
    </w:pPr>
    <w:rPr>
      <w:bCs/>
      <w:sz w:val="23"/>
      <w:szCs w:val="23"/>
      <w:lang w:val="en-US"/>
    </w:rPr>
  </w:style>
  <w:style w:type="paragraph" w:customStyle="1" w:styleId="Bullet1">
    <w:name w:val="Bullet 1"/>
    <w:basedOn w:val="BodyText"/>
    <w:link w:val="Bullet1Char"/>
    <w:autoRedefine/>
    <w:qFormat/>
    <w:rsid w:val="00786EEC"/>
    <w:pPr>
      <w:numPr>
        <w:numId w:val="50"/>
      </w:numPr>
      <w:tabs>
        <w:tab w:val="left" w:pos="357"/>
      </w:tabs>
      <w:spacing w:before="120" w:after="80"/>
      <w:ind w:left="357" w:hanging="357"/>
    </w:pPr>
    <w:rPr>
      <w:lang w:eastAsia="en-AU"/>
    </w:rPr>
  </w:style>
  <w:style w:type="paragraph" w:customStyle="1" w:styleId="Bullet1inabox">
    <w:name w:val="Bullet 1 in a box"/>
    <w:basedOn w:val="Bullet1"/>
    <w:autoRedefine/>
    <w:rsid w:val="00A778F2"/>
    <w:pPr>
      <w:numPr>
        <w:numId w:val="5"/>
      </w:numPr>
      <w:tabs>
        <w:tab w:val="clear" w:pos="357"/>
      </w:tabs>
      <w:spacing w:before="80" w:after="40" w:line="260" w:lineRule="exact"/>
    </w:pPr>
    <w:rPr>
      <w:rFonts w:eastAsia="Times New Roman"/>
      <w:color w:val="0579B9"/>
      <w:lang w:eastAsia="en-US"/>
    </w:rPr>
  </w:style>
  <w:style w:type="paragraph" w:customStyle="1" w:styleId="Bullet1Paragraph">
    <w:name w:val="Bullet 1 Paragraph"/>
    <w:basedOn w:val="Normal"/>
    <w:rsid w:val="00A778F2"/>
    <w:pPr>
      <w:ind w:left="425"/>
    </w:pPr>
  </w:style>
  <w:style w:type="paragraph" w:customStyle="1" w:styleId="Bullet2">
    <w:name w:val="Bullet 2"/>
    <w:basedOn w:val="Bullet1"/>
    <w:rsid w:val="00520A5F"/>
    <w:pPr>
      <w:numPr>
        <w:numId w:val="41"/>
      </w:numPr>
      <w:tabs>
        <w:tab w:val="clear" w:pos="357"/>
        <w:tab w:val="left" w:pos="851"/>
      </w:tabs>
      <w:spacing w:before="80" w:after="40"/>
    </w:pPr>
  </w:style>
  <w:style w:type="paragraph" w:customStyle="1" w:styleId="Bullet2innumberedlist">
    <w:name w:val="Bullet 2 in numbered list"/>
    <w:basedOn w:val="Bullet2"/>
    <w:rsid w:val="00A778F2"/>
    <w:pPr>
      <w:tabs>
        <w:tab w:val="num" w:pos="851"/>
      </w:tabs>
      <w:ind w:left="851" w:hanging="426"/>
    </w:pPr>
  </w:style>
  <w:style w:type="paragraph" w:customStyle="1" w:styleId="Bullet2Paragraph">
    <w:name w:val="Bullet 2 Paragraph"/>
    <w:basedOn w:val="Bullet1Paragraph"/>
    <w:rsid w:val="00A778F2"/>
    <w:pPr>
      <w:ind w:left="851"/>
    </w:pPr>
  </w:style>
  <w:style w:type="paragraph" w:customStyle="1" w:styleId="Bullet3">
    <w:name w:val="Bullet 3"/>
    <w:basedOn w:val="Bullet1"/>
    <w:qFormat/>
    <w:rsid w:val="006A014B"/>
    <w:pPr>
      <w:numPr>
        <w:numId w:val="20"/>
      </w:numPr>
      <w:tabs>
        <w:tab w:val="clear" w:pos="357"/>
      </w:tabs>
    </w:pPr>
    <w:rPr>
      <w:rFonts w:eastAsia="Times New Roman"/>
      <w:lang w:eastAsia="en-US"/>
    </w:rPr>
  </w:style>
  <w:style w:type="paragraph" w:customStyle="1" w:styleId="Bullet3Paragraph">
    <w:name w:val="Bullet 3 Paragraph"/>
    <w:basedOn w:val="Bullet2Paragraph"/>
    <w:rsid w:val="00A778F2"/>
    <w:pPr>
      <w:ind w:left="1276"/>
    </w:pPr>
  </w:style>
  <w:style w:type="paragraph" w:customStyle="1" w:styleId="Bullet4">
    <w:name w:val="Bullet 4"/>
    <w:basedOn w:val="Bullet3"/>
    <w:rsid w:val="00A778F2"/>
    <w:pPr>
      <w:numPr>
        <w:numId w:val="6"/>
      </w:numPr>
    </w:pPr>
  </w:style>
  <w:style w:type="paragraph" w:customStyle="1" w:styleId="Bullet4Paragraph">
    <w:name w:val="Bullet 4 Paragraph"/>
    <w:basedOn w:val="Bullet3Paragraph"/>
    <w:rsid w:val="00A778F2"/>
    <w:pPr>
      <w:ind w:left="1701"/>
    </w:pPr>
  </w:style>
  <w:style w:type="paragraph" w:customStyle="1" w:styleId="TableHeading">
    <w:name w:val="Table Heading"/>
    <w:basedOn w:val="Normal"/>
    <w:link w:val="TableHeadingChar"/>
    <w:autoRedefine/>
    <w:rsid w:val="00A778F2"/>
    <w:pPr>
      <w:keepNext/>
      <w:keepLines/>
      <w:spacing w:before="120" w:after="120"/>
    </w:pPr>
    <w:rPr>
      <w:b/>
      <w:sz w:val="24"/>
    </w:rPr>
  </w:style>
  <w:style w:type="paragraph" w:customStyle="1" w:styleId="Table1X">
    <w:name w:val="Table 1.X"/>
    <w:basedOn w:val="Normal"/>
    <w:rsid w:val="006A014B"/>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paragraph" w:customStyle="1" w:styleId="Chart2X">
    <w:name w:val="Chart 2.X"/>
    <w:basedOn w:val="Normal"/>
    <w:rsid w:val="006A014B"/>
    <w:pPr>
      <w:numPr>
        <w:numId w:val="22"/>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Cs w:val="22"/>
      <w:lang w:val="en-US" w:eastAsia="en-US"/>
    </w:rPr>
  </w:style>
  <w:style w:type="paragraph" w:customStyle="1" w:styleId="ChartHeading">
    <w:name w:val="Chart Heading"/>
    <w:basedOn w:val="Normal"/>
    <w:autoRedefine/>
    <w:rsid w:val="00A778F2"/>
    <w:pPr>
      <w:keepNext/>
      <w:spacing w:before="240" w:after="120"/>
    </w:pPr>
    <w:rPr>
      <w:b/>
      <w:sz w:val="24"/>
    </w:rPr>
  </w:style>
  <w:style w:type="paragraph" w:customStyle="1" w:styleId="Chartx">
    <w:name w:val="Chart x"/>
    <w:basedOn w:val="Normal"/>
    <w:rsid w:val="004C0D4B"/>
    <w:pPr>
      <w:keepLines/>
      <w:numPr>
        <w:numId w:val="10"/>
      </w:numPr>
      <w:tabs>
        <w:tab w:val="left" w:pos="1134"/>
      </w:tabs>
      <w:spacing w:before="240" w:after="120"/>
    </w:pPr>
    <w:rPr>
      <w:i/>
      <w:color w:val="57514D"/>
      <w:sz w:val="23"/>
    </w:rPr>
  </w:style>
  <w:style w:type="character" w:styleId="CommentReference">
    <w:name w:val="annotation reference"/>
    <w:uiPriority w:val="99"/>
    <w:unhideWhenUsed/>
    <w:rsid w:val="006A014B"/>
    <w:rPr>
      <w:sz w:val="16"/>
      <w:szCs w:val="16"/>
    </w:rPr>
  </w:style>
  <w:style w:type="paragraph" w:styleId="CommentText">
    <w:name w:val="annotation text"/>
    <w:basedOn w:val="Normal"/>
    <w:link w:val="CommentTextChar"/>
    <w:uiPriority w:val="99"/>
    <w:unhideWhenUsed/>
    <w:rsid w:val="006A014B"/>
  </w:style>
  <w:style w:type="character" w:customStyle="1" w:styleId="CommentTextChar">
    <w:name w:val="Comment Text Char"/>
    <w:link w:val="CommentText"/>
    <w:uiPriority w:val="99"/>
    <w:rsid w:val="006A014B"/>
    <w:rPr>
      <w:rFonts w:ascii="Arial" w:eastAsia="Times New Roman" w:hAnsi="Arial" w:cs="Arial"/>
    </w:rPr>
  </w:style>
  <w:style w:type="paragraph" w:styleId="CommentSubject">
    <w:name w:val="annotation subject"/>
    <w:basedOn w:val="CommentText"/>
    <w:next w:val="CommentText"/>
    <w:link w:val="CommentSubjectChar"/>
    <w:uiPriority w:val="99"/>
    <w:unhideWhenUsed/>
    <w:rsid w:val="006A014B"/>
    <w:rPr>
      <w:b/>
      <w:bCs/>
    </w:rPr>
  </w:style>
  <w:style w:type="character" w:customStyle="1" w:styleId="CommentSubjectChar">
    <w:name w:val="Comment Subject Char"/>
    <w:link w:val="CommentSubject"/>
    <w:uiPriority w:val="99"/>
    <w:rsid w:val="006A014B"/>
    <w:rPr>
      <w:rFonts w:ascii="Arial" w:eastAsia="Times New Roman" w:hAnsi="Arial" w:cs="Arial"/>
      <w:b/>
      <w:bCs/>
    </w:rPr>
  </w:style>
  <w:style w:type="character" w:styleId="EndnoteReference">
    <w:name w:val="endnote reference"/>
    <w:rsid w:val="00A778F2"/>
    <w:rPr>
      <w:i/>
      <w:sz w:val="16"/>
      <w:vertAlign w:val="superscript"/>
    </w:rPr>
  </w:style>
  <w:style w:type="paragraph" w:styleId="Footer">
    <w:name w:val="footer"/>
    <w:basedOn w:val="Normal"/>
    <w:link w:val="FooterChar"/>
    <w:unhideWhenUsed/>
    <w:rsid w:val="006A014B"/>
    <w:pPr>
      <w:tabs>
        <w:tab w:val="clear" w:pos="4196"/>
        <w:tab w:val="clear" w:pos="5046"/>
        <w:tab w:val="clear" w:pos="5897"/>
        <w:tab w:val="clear" w:pos="6747"/>
        <w:tab w:val="clear" w:pos="7598"/>
        <w:tab w:val="center" w:pos="4513"/>
        <w:tab w:val="right" w:pos="9026"/>
      </w:tabs>
    </w:pPr>
  </w:style>
  <w:style w:type="character" w:customStyle="1" w:styleId="FooterChar">
    <w:name w:val="Footer Char"/>
    <w:link w:val="Footer"/>
    <w:rsid w:val="006A014B"/>
    <w:rPr>
      <w:rFonts w:ascii="Arial" w:eastAsia="Times New Roman" w:hAnsi="Arial" w:cs="Arial"/>
    </w:rPr>
  </w:style>
  <w:style w:type="character" w:styleId="FootnoteReference">
    <w:name w:val="footnote reference"/>
    <w:uiPriority w:val="99"/>
    <w:unhideWhenUsed/>
    <w:rsid w:val="006A014B"/>
    <w:rPr>
      <w:vertAlign w:val="superscript"/>
    </w:rPr>
  </w:style>
  <w:style w:type="paragraph" w:styleId="FootnoteText">
    <w:name w:val="footnote text"/>
    <w:basedOn w:val="Normal"/>
    <w:link w:val="FootnoteTextChar"/>
    <w:uiPriority w:val="99"/>
    <w:unhideWhenUsed/>
    <w:rsid w:val="00B95B40"/>
    <w:rPr>
      <w:sz w:val="17"/>
    </w:rPr>
  </w:style>
  <w:style w:type="character" w:customStyle="1" w:styleId="FootnoteTextChar">
    <w:name w:val="Footnote Text Char"/>
    <w:link w:val="FootnoteText"/>
    <w:uiPriority w:val="99"/>
    <w:rsid w:val="00B95B40"/>
    <w:rPr>
      <w:rFonts w:ascii="Arial" w:hAnsi="Arial" w:cs="Arial"/>
      <w:sz w:val="17"/>
      <w:lang w:val="en-AU" w:eastAsia="en-AU"/>
    </w:rPr>
  </w:style>
  <w:style w:type="paragraph" w:styleId="Header">
    <w:name w:val="header"/>
    <w:basedOn w:val="Normal"/>
    <w:link w:val="HeaderChar"/>
    <w:unhideWhenUsed/>
    <w:rsid w:val="006A014B"/>
    <w:pPr>
      <w:tabs>
        <w:tab w:val="clear" w:pos="4196"/>
        <w:tab w:val="clear" w:pos="5046"/>
        <w:tab w:val="clear" w:pos="5897"/>
        <w:tab w:val="clear" w:pos="6747"/>
        <w:tab w:val="clear" w:pos="7598"/>
        <w:tab w:val="center" w:pos="4513"/>
        <w:tab w:val="right" w:pos="9026"/>
      </w:tabs>
    </w:pPr>
  </w:style>
  <w:style w:type="character" w:customStyle="1" w:styleId="HeaderChar">
    <w:name w:val="Header Char"/>
    <w:link w:val="Header"/>
    <w:rsid w:val="006A014B"/>
    <w:rPr>
      <w:rFonts w:ascii="Arial" w:eastAsia="Times New Roman" w:hAnsi="Arial" w:cs="Arial"/>
    </w:rPr>
  </w:style>
  <w:style w:type="paragraph" w:customStyle="1" w:styleId="Heading1BP2">
    <w:name w:val="Heading 1 BP2"/>
    <w:rsid w:val="00A778F2"/>
    <w:pPr>
      <w:keepNext/>
      <w:tabs>
        <w:tab w:val="left" w:pos="284"/>
      </w:tabs>
      <w:spacing w:before="400" w:after="240"/>
    </w:pPr>
    <w:rPr>
      <w:rFonts w:ascii="Arial" w:hAnsi="Arial"/>
      <w:color w:val="0579B9"/>
      <w:kern w:val="28"/>
      <w:sz w:val="36"/>
      <w:szCs w:val="36"/>
      <w:lang w:val="en-AU" w:eastAsia="en-US"/>
    </w:rPr>
  </w:style>
  <w:style w:type="character" w:customStyle="1" w:styleId="Heading4Char">
    <w:name w:val="Heading 4 Char"/>
    <w:link w:val="Heading4"/>
    <w:rsid w:val="006A014B"/>
    <w:rPr>
      <w:rFonts w:ascii="Arial Bold" w:eastAsia="Arial Unicode MS" w:hAnsi="Arial Bold"/>
      <w:b/>
      <w:kern w:val="28"/>
      <w:sz w:val="24"/>
      <w:szCs w:val="36"/>
      <w:lang w:val="en-AU" w:eastAsia="en-US"/>
    </w:rPr>
  </w:style>
  <w:style w:type="paragraph" w:customStyle="1" w:styleId="Object">
    <w:name w:val="Object"/>
    <w:basedOn w:val="Normal"/>
    <w:next w:val="Normal"/>
    <w:rsid w:val="00A778F2"/>
    <w:pPr>
      <w:jc w:val="center"/>
    </w:pPr>
  </w:style>
  <w:style w:type="paragraph" w:customStyle="1" w:styleId="ObjectFootnote">
    <w:name w:val="Object Footnote"/>
    <w:basedOn w:val="Object"/>
    <w:next w:val="Normal"/>
    <w:rsid w:val="00A778F2"/>
    <w:pPr>
      <w:spacing w:after="60"/>
    </w:pPr>
    <w:rPr>
      <w:i/>
      <w:sz w:val="14"/>
    </w:rPr>
  </w:style>
  <w:style w:type="paragraph" w:customStyle="1" w:styleId="ObjectFootnotelettered">
    <w:name w:val="Object Footnote lettered"/>
    <w:basedOn w:val="ObjectFootnote"/>
    <w:rsid w:val="00A778F2"/>
    <w:pPr>
      <w:tabs>
        <w:tab w:val="left" w:pos="709"/>
      </w:tabs>
      <w:ind w:left="426"/>
      <w:jc w:val="left"/>
    </w:pPr>
  </w:style>
  <w:style w:type="paragraph" w:customStyle="1" w:styleId="ObjectFootnoteleft">
    <w:name w:val="Object Footnote left"/>
    <w:basedOn w:val="ObjectFootnotelettered"/>
    <w:rsid w:val="00A778F2"/>
    <w:pPr>
      <w:ind w:left="709" w:hanging="283"/>
    </w:pPr>
  </w:style>
  <w:style w:type="character" w:styleId="PageNumber">
    <w:name w:val="page number"/>
    <w:rsid w:val="00A778F2"/>
  </w:style>
  <w:style w:type="paragraph" w:customStyle="1" w:styleId="Style211HeadingBold">
    <w:name w:val="Style 2.1.1 Heading + Bold"/>
    <w:basedOn w:val="Normal"/>
    <w:rsid w:val="00A778F2"/>
    <w:rPr>
      <w:b/>
      <w:bCs/>
      <w:i/>
      <w:iCs/>
    </w:rPr>
  </w:style>
  <w:style w:type="paragraph" w:customStyle="1" w:styleId="TableFootnote">
    <w:name w:val="Table Footnote"/>
    <w:basedOn w:val="Normal"/>
    <w:link w:val="TableFootnoteChar"/>
    <w:rsid w:val="00A778F2"/>
    <w:pPr>
      <w:spacing w:before="60" w:after="60"/>
      <w:ind w:left="284"/>
    </w:pPr>
    <w:rPr>
      <w:i/>
      <w:sz w:val="14"/>
    </w:rPr>
  </w:style>
  <w:style w:type="paragraph" w:customStyle="1" w:styleId="TableHeadingCont">
    <w:name w:val="Table Heading Cont'"/>
    <w:basedOn w:val="TableHeading"/>
    <w:rsid w:val="00A778F2"/>
    <w:pPr>
      <w:tabs>
        <w:tab w:val="left" w:pos="1418"/>
      </w:tabs>
    </w:pPr>
  </w:style>
  <w:style w:type="character" w:customStyle="1" w:styleId="Heading3Char">
    <w:name w:val="Heading 3 Char"/>
    <w:link w:val="Heading3"/>
    <w:rsid w:val="006A014B"/>
    <w:rPr>
      <w:rFonts w:ascii="Arial Bold" w:hAnsi="Arial Bold"/>
      <w:b/>
      <w:kern w:val="28"/>
      <w:sz w:val="26"/>
      <w:szCs w:val="36"/>
      <w:lang w:val="en-AU" w:eastAsia="en-US"/>
    </w:rPr>
  </w:style>
  <w:style w:type="character" w:customStyle="1" w:styleId="Heading5Char">
    <w:name w:val="Heading 5 Char"/>
    <w:link w:val="Heading5"/>
    <w:uiPriority w:val="9"/>
    <w:rsid w:val="006A014B"/>
    <w:rPr>
      <w:rFonts w:ascii="Arial" w:hAnsi="Arial"/>
      <w:b/>
      <w:sz w:val="22"/>
    </w:rPr>
  </w:style>
  <w:style w:type="character" w:customStyle="1" w:styleId="Heading6Char">
    <w:name w:val="Heading 6 Char"/>
    <w:link w:val="Heading6"/>
    <w:rsid w:val="00A778F2"/>
    <w:rPr>
      <w:rFonts w:ascii="Arial" w:hAnsi="Arial"/>
      <w:bCs/>
      <w:caps/>
      <w:color w:val="1D3278"/>
      <w:szCs w:val="28"/>
    </w:rPr>
  </w:style>
  <w:style w:type="character" w:customStyle="1" w:styleId="Heading7Char">
    <w:name w:val="Heading 7 Char"/>
    <w:link w:val="Heading7"/>
    <w:rsid w:val="00A778F2"/>
    <w:rPr>
      <w:rFonts w:ascii="Arial" w:hAnsi="Arial"/>
      <w:b/>
      <w:i/>
      <w:sz w:val="23"/>
    </w:rPr>
  </w:style>
  <w:style w:type="character" w:customStyle="1" w:styleId="Heading8Char">
    <w:name w:val="Heading 8 Char"/>
    <w:link w:val="Heading8"/>
    <w:rsid w:val="00A778F2"/>
    <w:rPr>
      <w:rFonts w:ascii="Arial" w:hAnsi="Arial"/>
      <w:b/>
      <w:sz w:val="23"/>
    </w:rPr>
  </w:style>
  <w:style w:type="character" w:customStyle="1" w:styleId="Heading9Char">
    <w:name w:val="Heading 9 Char"/>
    <w:link w:val="Heading9"/>
    <w:rsid w:val="00A778F2"/>
    <w:rPr>
      <w:rFonts w:ascii="Arial" w:hAnsi="Arial"/>
      <w:b/>
      <w:i/>
      <w:sz w:val="23"/>
    </w:rPr>
  </w:style>
  <w:style w:type="paragraph" w:styleId="Caption">
    <w:name w:val="caption"/>
    <w:basedOn w:val="Normal"/>
    <w:next w:val="Normal"/>
    <w:qFormat/>
    <w:rsid w:val="00A778F2"/>
    <w:pPr>
      <w:spacing w:before="120" w:after="120"/>
    </w:pPr>
    <w:rPr>
      <w:b/>
    </w:rPr>
  </w:style>
  <w:style w:type="paragraph" w:styleId="Title">
    <w:name w:val="Title"/>
    <w:basedOn w:val="Normal"/>
    <w:link w:val="TitleChar"/>
    <w:qFormat/>
    <w:rsid w:val="00A778F2"/>
    <w:pPr>
      <w:spacing w:before="240" w:after="60"/>
      <w:jc w:val="center"/>
      <w:outlineLvl w:val="0"/>
    </w:pPr>
    <w:rPr>
      <w:b/>
      <w:kern w:val="28"/>
      <w:sz w:val="32"/>
    </w:rPr>
  </w:style>
  <w:style w:type="character" w:customStyle="1" w:styleId="TitleChar">
    <w:name w:val="Title Char"/>
    <w:link w:val="Title"/>
    <w:rsid w:val="00A778F2"/>
    <w:rPr>
      <w:rFonts w:ascii="Arial" w:hAnsi="Arial" w:cs="Arial"/>
      <w:b/>
      <w:kern w:val="28"/>
      <w:sz w:val="32"/>
    </w:rPr>
  </w:style>
  <w:style w:type="paragraph" w:styleId="Subtitle">
    <w:name w:val="Subtitle"/>
    <w:basedOn w:val="Normal"/>
    <w:link w:val="SubtitleChar"/>
    <w:qFormat/>
    <w:rsid w:val="00A778F2"/>
    <w:pPr>
      <w:spacing w:after="60"/>
      <w:jc w:val="center"/>
      <w:outlineLvl w:val="1"/>
    </w:pPr>
    <w:rPr>
      <w:sz w:val="24"/>
    </w:rPr>
  </w:style>
  <w:style w:type="character" w:customStyle="1" w:styleId="SubtitleChar">
    <w:name w:val="Subtitle Char"/>
    <w:link w:val="Subtitle"/>
    <w:rsid w:val="00A778F2"/>
    <w:rPr>
      <w:rFonts w:ascii="Arial" w:hAnsi="Arial" w:cs="Arial"/>
      <w:sz w:val="24"/>
    </w:rPr>
  </w:style>
  <w:style w:type="character" w:styleId="Strong">
    <w:name w:val="Strong"/>
    <w:qFormat/>
    <w:rsid w:val="00A778F2"/>
    <w:rPr>
      <w:b/>
      <w:bCs/>
    </w:rPr>
  </w:style>
  <w:style w:type="character" w:styleId="Emphasis">
    <w:name w:val="Emphasis"/>
    <w:qFormat/>
    <w:rsid w:val="00A778F2"/>
    <w:rPr>
      <w:i/>
      <w:iCs/>
    </w:rPr>
  </w:style>
  <w:style w:type="paragraph" w:customStyle="1" w:styleId="MediumGrid21">
    <w:name w:val="Medium Grid 21"/>
    <w:basedOn w:val="Normal"/>
    <w:link w:val="MediumGrid2Char"/>
    <w:qFormat/>
    <w:rsid w:val="00A778F2"/>
  </w:style>
  <w:style w:type="character" w:customStyle="1" w:styleId="MediumGrid2Char">
    <w:name w:val="Medium Grid 2 Char"/>
    <w:link w:val="MediumGrid21"/>
    <w:rsid w:val="00A778F2"/>
    <w:rPr>
      <w:rFonts w:ascii="Arial" w:hAnsi="Arial" w:cs="Arial"/>
    </w:rPr>
  </w:style>
  <w:style w:type="paragraph" w:customStyle="1" w:styleId="ColorfulList-Accent11">
    <w:name w:val="Colorful List - Accent 11"/>
    <w:basedOn w:val="Normal"/>
    <w:link w:val="ColorfulList-Accent1Char"/>
    <w:uiPriority w:val="34"/>
    <w:qFormat/>
    <w:rsid w:val="006A014B"/>
    <w:pPr>
      <w:ind w:left="720"/>
      <w:contextualSpacing/>
    </w:pPr>
  </w:style>
  <w:style w:type="paragraph" w:customStyle="1" w:styleId="ColorfulGrid-Accent11">
    <w:name w:val="Colorful Grid - Accent 11"/>
    <w:basedOn w:val="Normal"/>
    <w:next w:val="Normal"/>
    <w:link w:val="ColorfulGrid-Accent1Char"/>
    <w:uiPriority w:val="29"/>
    <w:qFormat/>
    <w:rsid w:val="00A778F2"/>
    <w:rPr>
      <w:i/>
      <w:iCs/>
      <w:color w:val="000000"/>
    </w:rPr>
  </w:style>
  <w:style w:type="character" w:customStyle="1" w:styleId="ColorfulGrid-Accent1Char">
    <w:name w:val="Colorful Grid - Accent 1 Char"/>
    <w:link w:val="ColorfulGrid-Accent11"/>
    <w:uiPriority w:val="29"/>
    <w:rsid w:val="00A778F2"/>
    <w:rPr>
      <w:rFonts w:ascii="Arial" w:hAnsi="Arial" w:cs="Arial"/>
      <w:i/>
      <w:iCs/>
      <w:color w:val="000000"/>
    </w:rPr>
  </w:style>
  <w:style w:type="paragraph" w:customStyle="1" w:styleId="LightShading-Accent21">
    <w:name w:val="Light Shading - Accent 21"/>
    <w:basedOn w:val="Normal"/>
    <w:next w:val="Normal"/>
    <w:link w:val="LightShading-Accent2Char"/>
    <w:uiPriority w:val="30"/>
    <w:qFormat/>
    <w:rsid w:val="00A778F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778F2"/>
    <w:rPr>
      <w:rFonts w:ascii="Arial" w:hAnsi="Arial" w:cs="Arial"/>
      <w:b/>
      <w:bCs/>
      <w:i/>
      <w:iCs/>
      <w:color w:val="4F81BD"/>
    </w:rPr>
  </w:style>
  <w:style w:type="character" w:customStyle="1" w:styleId="PlainTable31">
    <w:name w:val="Plain Table 31"/>
    <w:uiPriority w:val="19"/>
    <w:qFormat/>
    <w:rsid w:val="00A778F2"/>
    <w:rPr>
      <w:i/>
      <w:iCs/>
      <w:color w:val="808080"/>
    </w:rPr>
  </w:style>
  <w:style w:type="character" w:customStyle="1" w:styleId="PlainTable41">
    <w:name w:val="Plain Table 41"/>
    <w:uiPriority w:val="21"/>
    <w:qFormat/>
    <w:rsid w:val="00A778F2"/>
    <w:rPr>
      <w:b/>
      <w:bCs/>
      <w:i/>
      <w:iCs/>
      <w:color w:val="4F81BD"/>
    </w:rPr>
  </w:style>
  <w:style w:type="character" w:customStyle="1" w:styleId="PlainTable51">
    <w:name w:val="Plain Table 51"/>
    <w:uiPriority w:val="31"/>
    <w:qFormat/>
    <w:rsid w:val="00A778F2"/>
    <w:rPr>
      <w:smallCaps/>
      <w:color w:val="C0504D"/>
      <w:u w:val="single"/>
    </w:rPr>
  </w:style>
  <w:style w:type="character" w:customStyle="1" w:styleId="TableGridLight1">
    <w:name w:val="Table Grid Light1"/>
    <w:uiPriority w:val="32"/>
    <w:qFormat/>
    <w:rsid w:val="00A778F2"/>
    <w:rPr>
      <w:b/>
      <w:bCs/>
      <w:smallCaps/>
      <w:color w:val="C0504D"/>
      <w:spacing w:val="5"/>
      <w:u w:val="single"/>
    </w:rPr>
  </w:style>
  <w:style w:type="character" w:customStyle="1" w:styleId="GridTable1Light1">
    <w:name w:val="Grid Table 1 Light1"/>
    <w:uiPriority w:val="33"/>
    <w:qFormat/>
    <w:rsid w:val="00A778F2"/>
    <w:rPr>
      <w:b/>
      <w:bCs/>
      <w:smallCaps/>
      <w:spacing w:val="5"/>
    </w:rPr>
  </w:style>
  <w:style w:type="paragraph" w:customStyle="1" w:styleId="GridTable31">
    <w:name w:val="Grid Table 31"/>
    <w:basedOn w:val="Heading1"/>
    <w:next w:val="Normal"/>
    <w:uiPriority w:val="39"/>
    <w:semiHidden/>
    <w:unhideWhenUsed/>
    <w:qFormat/>
    <w:rsid w:val="00A778F2"/>
    <w:pPr>
      <w:outlineLvl w:val="9"/>
    </w:pPr>
    <w:rPr>
      <w:rFonts w:ascii="Cambria" w:hAnsi="Cambria"/>
      <w:b/>
      <w:bCs w:val="0"/>
      <w:color w:val="365F91"/>
      <w:lang w:val="en-US"/>
    </w:rPr>
  </w:style>
  <w:style w:type="paragraph" w:customStyle="1" w:styleId="StyleChapterHeadingLucidaSans19ptNotBoldNotAllcaps">
    <w:name w:val="Style Chapter Heading + Lucida Sans 19 pt Not Bold Not All caps..."/>
    <w:basedOn w:val="Normal"/>
    <w:rsid w:val="00A778F2"/>
    <w:pPr>
      <w:keepNext/>
      <w:keepLines/>
      <w:pageBreakBefore/>
      <w:pBdr>
        <w:bottom w:val="single" w:sz="6" w:space="1" w:color="808080"/>
      </w:pBdr>
      <w:tabs>
        <w:tab w:val="left" w:pos="2268"/>
      </w:tabs>
      <w:spacing w:after="480"/>
      <w:outlineLvl w:val="0"/>
    </w:pPr>
    <w:rPr>
      <w:rFonts w:ascii="Lucida Sans" w:hAnsi="Lucida Sans"/>
      <w:kern w:val="28"/>
      <w:sz w:val="38"/>
    </w:rPr>
  </w:style>
  <w:style w:type="paragraph" w:customStyle="1" w:styleId="TableA2X">
    <w:name w:val="Table A2.X"/>
    <w:basedOn w:val="TableHeading"/>
    <w:rsid w:val="00F13F38"/>
    <w:pPr>
      <w:keepNext w:val="0"/>
      <w:keepLines w:val="0"/>
      <w:numPr>
        <w:numId w:val="31"/>
      </w:numPr>
      <w:tabs>
        <w:tab w:val="clear" w:pos="4196"/>
        <w:tab w:val="clear" w:pos="5046"/>
        <w:tab w:val="clear" w:pos="5897"/>
        <w:tab w:val="clear" w:pos="6747"/>
        <w:tab w:val="clear" w:pos="7598"/>
        <w:tab w:val="left" w:pos="1304"/>
      </w:tabs>
      <w:spacing w:before="360"/>
    </w:pPr>
    <w:rPr>
      <w:b w:val="0"/>
      <w:bCs/>
      <w:i/>
      <w:color w:val="57514D"/>
      <w:kern w:val="28"/>
      <w:sz w:val="22"/>
      <w:szCs w:val="22"/>
    </w:rPr>
  </w:style>
  <w:style w:type="paragraph" w:customStyle="1" w:styleId="Table3x">
    <w:name w:val="Table 3.x"/>
    <w:basedOn w:val="Normal"/>
    <w:qFormat/>
    <w:rsid w:val="006A014B"/>
    <w:pPr>
      <w:numPr>
        <w:numId w:val="26"/>
      </w:num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6x">
    <w:name w:val="Table 6.x"/>
    <w:basedOn w:val="Normal"/>
    <w:qFormat/>
    <w:rsid w:val="006A014B"/>
    <w:p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Cs w:val="22"/>
      <w:lang w:val="en-US" w:eastAsia="en-US"/>
    </w:rPr>
  </w:style>
  <w:style w:type="paragraph" w:styleId="TOC2">
    <w:name w:val="toc 2"/>
    <w:basedOn w:val="Normal"/>
    <w:next w:val="Normal"/>
    <w:autoRedefine/>
    <w:uiPriority w:val="39"/>
    <w:rsid w:val="00C37D59"/>
    <w:pPr>
      <w:tabs>
        <w:tab w:val="clear" w:pos="4196"/>
        <w:tab w:val="clear" w:pos="5046"/>
        <w:tab w:val="clear" w:pos="5897"/>
        <w:tab w:val="clear" w:pos="6747"/>
        <w:tab w:val="clear" w:pos="7598"/>
        <w:tab w:val="right" w:leader="dot" w:pos="8647"/>
        <w:tab w:val="right" w:pos="9617"/>
      </w:tabs>
      <w:spacing w:after="120"/>
      <w:ind w:left="851" w:hanging="278"/>
    </w:pPr>
    <w:rPr>
      <w:rFonts w:ascii="Lucida Sans" w:hAnsi="Lucida Sans"/>
      <w:noProof/>
      <w:color w:val="000000"/>
    </w:rPr>
  </w:style>
  <w:style w:type="character" w:styleId="Hyperlink">
    <w:name w:val="Hyperlink"/>
    <w:uiPriority w:val="99"/>
    <w:unhideWhenUsed/>
    <w:rsid w:val="00A778F2"/>
    <w:rPr>
      <w:color w:val="0000FF"/>
      <w:u w:val="single"/>
    </w:rPr>
  </w:style>
  <w:style w:type="paragraph" w:styleId="TOC1">
    <w:name w:val="toc 1"/>
    <w:basedOn w:val="Normal"/>
    <w:next w:val="Normal"/>
    <w:autoRedefine/>
    <w:uiPriority w:val="39"/>
    <w:rsid w:val="00066650"/>
    <w:pPr>
      <w:tabs>
        <w:tab w:val="clear" w:pos="4196"/>
        <w:tab w:val="clear" w:pos="5046"/>
        <w:tab w:val="clear" w:pos="5897"/>
        <w:tab w:val="clear" w:pos="6747"/>
        <w:tab w:val="clear" w:pos="7598"/>
        <w:tab w:val="right" w:leader="dot" w:pos="8647"/>
        <w:tab w:val="right" w:pos="9617"/>
      </w:tabs>
      <w:spacing w:before="360" w:after="120"/>
      <w:ind w:left="561" w:hanging="561"/>
    </w:pPr>
    <w:rPr>
      <w:rFonts w:ascii="Lucida Sans" w:hAnsi="Lucida Sans"/>
      <w:b/>
      <w:noProof/>
      <w:color w:val="000000"/>
      <w:sz w:val="22"/>
      <w:szCs w:val="22"/>
    </w:rPr>
  </w:style>
  <w:style w:type="paragraph" w:customStyle="1" w:styleId="Graph1X">
    <w:name w:val="Graph 1.X"/>
    <w:basedOn w:val="Table1X"/>
    <w:qFormat/>
    <w:rsid w:val="00A778F2"/>
    <w:pPr>
      <w:numPr>
        <w:numId w:val="12"/>
      </w:numPr>
    </w:pPr>
  </w:style>
  <w:style w:type="table" w:styleId="TableGrid">
    <w:name w:val="Table Grid"/>
    <w:basedOn w:val="TableNormal"/>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Normal"/>
    <w:qFormat/>
    <w:rsid w:val="006A014B"/>
    <w:pPr>
      <w:numPr>
        <w:numId w:val="28"/>
      </w:numPr>
      <w:tabs>
        <w:tab w:val="clear" w:pos="4196"/>
        <w:tab w:val="clear" w:pos="5046"/>
        <w:tab w:val="clear" w:pos="5897"/>
        <w:tab w:val="clear" w:pos="6747"/>
        <w:tab w:val="clear" w:pos="7598"/>
        <w:tab w:val="left" w:pos="1134"/>
        <w:tab w:val="left" w:pos="1418"/>
      </w:tabs>
      <w:autoSpaceDE/>
      <w:autoSpaceDN/>
      <w:spacing w:before="240" w:after="120"/>
    </w:pPr>
    <w:rPr>
      <w:rFonts w:cs="Times New Roman"/>
      <w:bCs/>
      <w:i/>
      <w:color w:val="57514D"/>
      <w:kern w:val="28"/>
      <w:szCs w:val="22"/>
      <w:lang w:val="en-US" w:eastAsia="en-US"/>
    </w:rPr>
  </w:style>
  <w:style w:type="paragraph" w:customStyle="1" w:styleId="Default">
    <w:name w:val="Default"/>
    <w:rsid w:val="006A014B"/>
    <w:pPr>
      <w:autoSpaceDE w:val="0"/>
      <w:autoSpaceDN w:val="0"/>
      <w:adjustRightInd w:val="0"/>
    </w:pPr>
    <w:rPr>
      <w:rFonts w:ascii="Arial" w:eastAsia="Calibri" w:hAnsi="Arial" w:cs="Arial"/>
      <w:color w:val="000000"/>
      <w:sz w:val="24"/>
      <w:szCs w:val="24"/>
      <w:lang w:val="en-AU" w:eastAsia="en-US"/>
    </w:rPr>
  </w:style>
  <w:style w:type="paragraph" w:customStyle="1" w:styleId="BlankPage">
    <w:name w:val="Blank Page"/>
    <w:basedOn w:val="NoteHeading"/>
    <w:rsid w:val="00A778F2"/>
    <w:pPr>
      <w:keepNext/>
      <w:tabs>
        <w:tab w:val="clear" w:pos="5046"/>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rPr>
  </w:style>
  <w:style w:type="paragraph" w:styleId="NoteHeading">
    <w:name w:val="Note Heading"/>
    <w:basedOn w:val="Normal"/>
    <w:next w:val="Normal"/>
    <w:link w:val="NoteHeadingChar"/>
    <w:rsid w:val="00A778F2"/>
  </w:style>
  <w:style w:type="character" w:customStyle="1" w:styleId="NoteHeadingChar">
    <w:name w:val="Note Heading Char"/>
    <w:link w:val="NoteHeading"/>
    <w:rsid w:val="00A778F2"/>
    <w:rPr>
      <w:rFonts w:ascii="Arial" w:hAnsi="Arial" w:cs="Arial"/>
    </w:rPr>
  </w:style>
  <w:style w:type="paragraph" w:customStyle="1" w:styleId="ColorfulShading-Accent11">
    <w:name w:val="Colorful Shading - Accent 11"/>
    <w:hidden/>
    <w:uiPriority w:val="99"/>
    <w:semiHidden/>
    <w:rsid w:val="00E867DA"/>
    <w:rPr>
      <w:lang w:eastAsia="en-US"/>
    </w:rPr>
  </w:style>
  <w:style w:type="character" w:customStyle="1" w:styleId="BodyTextBoxChar">
    <w:name w:val="Body Text Box Char"/>
    <w:link w:val="BodyTextBox"/>
    <w:rsid w:val="00B7737D"/>
    <w:rPr>
      <w:rFonts w:ascii="Arial" w:hAnsi="Arial" w:cs="Arial"/>
      <w:color w:val="008EBA"/>
      <w:sz w:val="23"/>
      <w:szCs w:val="18"/>
      <w:lang w:val="en-AU" w:eastAsia="en-US"/>
    </w:rPr>
  </w:style>
  <w:style w:type="character" w:customStyle="1" w:styleId="Bullet1Char">
    <w:name w:val="Bullet 1 Char"/>
    <w:link w:val="Bullet1"/>
    <w:rsid w:val="00C91181"/>
    <w:rPr>
      <w:rFonts w:ascii="Arial" w:eastAsiaTheme="minorHAnsi" w:hAnsi="Arial" w:cs="Arial"/>
      <w:iCs/>
      <w:sz w:val="23"/>
      <w:szCs w:val="22"/>
      <w:lang w:val="en-AU" w:eastAsia="en-AU"/>
    </w:rPr>
  </w:style>
  <w:style w:type="paragraph" w:customStyle="1" w:styleId="Bullet-1stlevel">
    <w:name w:val="Bullet - 1st level"/>
    <w:basedOn w:val="Normal"/>
    <w:qFormat/>
    <w:rsid w:val="00C47C86"/>
    <w:pPr>
      <w:spacing w:before="60" w:after="60"/>
    </w:pPr>
    <w:rPr>
      <w:szCs w:val="18"/>
      <w:lang w:bidi="en-US"/>
    </w:rPr>
  </w:style>
  <w:style w:type="paragraph" w:customStyle="1" w:styleId="Bullet-2ndlevel">
    <w:name w:val="Bullet - 2nd level"/>
    <w:basedOn w:val="Normal"/>
    <w:qFormat/>
    <w:rsid w:val="00A778F2"/>
    <w:pPr>
      <w:numPr>
        <w:ilvl w:val="1"/>
        <w:numId w:val="2"/>
      </w:numPr>
      <w:tabs>
        <w:tab w:val="left" w:pos="1134"/>
      </w:tabs>
      <w:spacing w:before="60" w:after="60"/>
    </w:pPr>
    <w:rPr>
      <w:szCs w:val="18"/>
      <w:lang w:bidi="en-US"/>
    </w:rPr>
  </w:style>
  <w:style w:type="paragraph" w:customStyle="1" w:styleId="Heading-Centred">
    <w:name w:val="Heading - Centred"/>
    <w:qFormat/>
    <w:rsid w:val="00A778F2"/>
    <w:pPr>
      <w:contextualSpacing/>
      <w:jc w:val="center"/>
    </w:pPr>
    <w:rPr>
      <w:rFonts w:ascii="Arial" w:hAnsi="Arial"/>
      <w:b/>
      <w:bCs/>
      <w:sz w:val="24"/>
      <w:szCs w:val="28"/>
      <w:lang w:val="en-AU" w:eastAsia="en-US" w:bidi="en-US"/>
    </w:rPr>
  </w:style>
  <w:style w:type="paragraph" w:customStyle="1" w:styleId="Heading-Centredsmall">
    <w:name w:val="Heading - Centred (small)"/>
    <w:qFormat/>
    <w:rsid w:val="00A778F2"/>
    <w:pPr>
      <w:jc w:val="center"/>
    </w:pPr>
    <w:rPr>
      <w:rFonts w:ascii="Arial" w:hAnsi="Arial"/>
      <w:b/>
      <w:bCs/>
      <w:szCs w:val="28"/>
      <w:lang w:val="en-AU" w:eastAsia="en-US" w:bidi="en-US"/>
    </w:rPr>
  </w:style>
  <w:style w:type="paragraph" w:customStyle="1" w:styleId="Bullet1stlevel">
    <w:name w:val="Bullet – 1st level"/>
    <w:qFormat/>
    <w:rsid w:val="00A778F2"/>
    <w:pPr>
      <w:spacing w:before="60" w:after="60"/>
      <w:ind w:left="1080" w:hanging="360"/>
    </w:pPr>
    <w:rPr>
      <w:rFonts w:ascii="Arial" w:hAnsi="Arial"/>
      <w:szCs w:val="22"/>
      <w:lang w:val="en-AU" w:eastAsia="en-US" w:bidi="en-US"/>
    </w:rPr>
  </w:style>
  <w:style w:type="paragraph" w:customStyle="1" w:styleId="Bullet2ndlevel">
    <w:name w:val="Bullet – 2nd level"/>
    <w:basedOn w:val="Normal"/>
    <w:qFormat/>
    <w:rsid w:val="00A778F2"/>
    <w:pPr>
      <w:numPr>
        <w:ilvl w:val="1"/>
        <w:numId w:val="3"/>
      </w:numPr>
      <w:tabs>
        <w:tab w:val="left" w:pos="1134"/>
      </w:tabs>
      <w:spacing w:before="60" w:after="60"/>
    </w:pPr>
    <w:rPr>
      <w:szCs w:val="22"/>
      <w:lang w:bidi="en-US"/>
    </w:rPr>
  </w:style>
  <w:style w:type="character" w:styleId="FollowedHyperlink">
    <w:name w:val="FollowedHyperlink"/>
    <w:rsid w:val="00A778F2"/>
    <w:rPr>
      <w:color w:val="800080"/>
      <w:u w:val="single"/>
    </w:rPr>
  </w:style>
  <w:style w:type="paragraph" w:customStyle="1" w:styleId="TitleinGreyBox">
    <w:name w:val="Title in Grey Box"/>
    <w:basedOn w:val="Normal"/>
    <w:qFormat/>
    <w:rsid w:val="00A778F2"/>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rPr>
  </w:style>
  <w:style w:type="numbering" w:customStyle="1" w:styleId="Style1">
    <w:name w:val="Style1"/>
    <w:uiPriority w:val="99"/>
    <w:rsid w:val="00A778F2"/>
    <w:pPr>
      <w:numPr>
        <w:numId w:val="16"/>
      </w:numPr>
    </w:pPr>
  </w:style>
  <w:style w:type="paragraph" w:customStyle="1" w:styleId="Marginalnote">
    <w:name w:val="Marginal note"/>
    <w:basedOn w:val="BodyText"/>
    <w:link w:val="MarginalnoteChar"/>
    <w:semiHidden/>
    <w:rsid w:val="00A778F2"/>
    <w:pPr>
      <w:spacing w:after="240"/>
    </w:pPr>
    <w:rPr>
      <w:color w:val="000000"/>
      <w:sz w:val="19"/>
      <w:lang w:eastAsia="en-AU"/>
    </w:rPr>
  </w:style>
  <w:style w:type="character" w:customStyle="1" w:styleId="MarginalnoteChar">
    <w:name w:val="Marginal note Char"/>
    <w:link w:val="Marginalnote"/>
    <w:semiHidden/>
    <w:rsid w:val="00A778F2"/>
    <w:rPr>
      <w:rFonts w:ascii="Arial" w:eastAsiaTheme="minorHAnsi" w:hAnsi="Arial" w:cs="Arial"/>
      <w:iCs/>
      <w:color w:val="000000"/>
      <w:sz w:val="19"/>
      <w:szCs w:val="22"/>
      <w:lang w:val="en-AU" w:eastAsia="en-AU"/>
    </w:rPr>
  </w:style>
  <w:style w:type="paragraph" w:styleId="EndnoteText">
    <w:name w:val="endnote text"/>
    <w:basedOn w:val="Normal"/>
    <w:link w:val="EndnoteTextChar"/>
    <w:rsid w:val="00A778F2"/>
  </w:style>
  <w:style w:type="character" w:customStyle="1" w:styleId="EndnoteTextChar">
    <w:name w:val="Endnote Text Char"/>
    <w:link w:val="EndnoteText"/>
    <w:rsid w:val="00A778F2"/>
    <w:rPr>
      <w:rFonts w:ascii="Arial" w:hAnsi="Arial" w:cs="Arial"/>
    </w:rPr>
  </w:style>
  <w:style w:type="paragraph" w:customStyle="1" w:styleId="HeaderHeading">
    <w:name w:val="Header Heading"/>
    <w:basedOn w:val="Normal"/>
    <w:rsid w:val="006A014B"/>
    <w:pPr>
      <w:pageBreakBefore/>
      <w:pBdr>
        <w:bottom w:val="single" w:sz="8" w:space="6" w:color="auto"/>
      </w:pBdr>
    </w:pPr>
    <w:rPr>
      <w:rFonts w:ascii="Lucida Sans" w:hAnsi="Lucida Sans"/>
    </w:rPr>
  </w:style>
  <w:style w:type="paragraph" w:customStyle="1" w:styleId="Activitytexts">
    <w:name w:val="Activity texts"/>
    <w:basedOn w:val="AverageYears"/>
    <w:autoRedefine/>
    <w:uiPriority w:val="99"/>
    <w:rsid w:val="006A014B"/>
    <w:pPr>
      <w:tabs>
        <w:tab w:val="clear" w:pos="6747"/>
        <w:tab w:val="left" w:pos="567"/>
      </w:tabs>
      <w:spacing w:before="80"/>
      <w:ind w:left="340" w:hanging="340"/>
    </w:pPr>
    <w:rPr>
      <w:sz w:val="17"/>
    </w:rPr>
  </w:style>
  <w:style w:type="paragraph" w:customStyle="1" w:styleId="Active-Uline">
    <w:name w:val="Active-Uline"/>
    <w:basedOn w:val="Activitytexts"/>
    <w:uiPriority w:val="99"/>
    <w:rsid w:val="006A014B"/>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6A014B"/>
    <w:pPr>
      <w:tabs>
        <w:tab w:val="clear" w:pos="4196"/>
        <w:tab w:val="clear" w:pos="5046"/>
        <w:tab w:val="clear" w:pos="5897"/>
        <w:tab w:val="clear" w:pos="6747"/>
        <w:tab w:val="clear" w:pos="7598"/>
        <w:tab w:val="right" w:pos="3725"/>
        <w:tab w:val="right" w:pos="4961"/>
        <w:tab w:val="right" w:pos="6094"/>
        <w:tab w:val="right" w:pos="7228"/>
        <w:tab w:val="right" w:pos="8362"/>
        <w:tab w:val="right" w:pos="9638"/>
      </w:tabs>
    </w:pPr>
    <w:rPr>
      <w:sz w:val="18"/>
      <w:szCs w:val="18"/>
    </w:rPr>
  </w:style>
  <w:style w:type="paragraph" w:customStyle="1" w:styleId="Active-Year-TopLine">
    <w:name w:val="Active-Year-TopLine"/>
    <w:basedOn w:val="AverageStaffing"/>
    <w:uiPriority w:val="99"/>
    <w:rsid w:val="006A014B"/>
    <w:pPr>
      <w:widowControl/>
      <w:tabs>
        <w:tab w:val="left" w:pos="7371"/>
      </w:tabs>
    </w:pPr>
  </w:style>
  <w:style w:type="paragraph" w:customStyle="1" w:styleId="Activitytotallines">
    <w:name w:val="Activity total lines"/>
    <w:basedOn w:val="Activitytexts"/>
    <w:uiPriority w:val="99"/>
    <w:rsid w:val="006A014B"/>
    <w:pPr>
      <w:tabs>
        <w:tab w:val="right" w:pos="5472"/>
        <w:tab w:val="right" w:pos="6464"/>
        <w:tab w:val="right" w:pos="6747"/>
        <w:tab w:val="right" w:pos="7740"/>
      </w:tabs>
    </w:pPr>
  </w:style>
  <w:style w:type="paragraph" w:customStyle="1" w:styleId="Agency">
    <w:name w:val="Agency"/>
    <w:basedOn w:val="Normal"/>
    <w:autoRedefine/>
    <w:uiPriority w:val="99"/>
    <w:rsid w:val="006A014B"/>
    <w:rPr>
      <w:b/>
      <w:bCs/>
      <w:sz w:val="27"/>
      <w:szCs w:val="22"/>
    </w:rPr>
  </w:style>
  <w:style w:type="paragraph" w:customStyle="1" w:styleId="Agency2">
    <w:name w:val="Agency 2"/>
    <w:basedOn w:val="Normal"/>
    <w:autoRedefine/>
    <w:uiPriority w:val="99"/>
    <w:rsid w:val="006A014B"/>
    <w:pPr>
      <w:pageBreakBefore/>
      <w:pBdr>
        <w:bottom w:val="single" w:sz="4" w:space="6" w:color="999999"/>
      </w:pBdr>
    </w:pPr>
    <w:rPr>
      <w:b/>
      <w:bCs/>
      <w:color w:val="999999"/>
      <w:sz w:val="27"/>
      <w:szCs w:val="22"/>
    </w:rPr>
  </w:style>
  <w:style w:type="character" w:customStyle="1" w:styleId="apple-converted-space">
    <w:name w:val="apple-converted-space"/>
    <w:rsid w:val="00A778F2"/>
  </w:style>
  <w:style w:type="character" w:customStyle="1" w:styleId="apple-tab-span">
    <w:name w:val="apple-tab-span"/>
    <w:rsid w:val="00A778F2"/>
  </w:style>
  <w:style w:type="character" w:customStyle="1" w:styleId="Arial-6">
    <w:name w:val="Arial-6"/>
    <w:rsid w:val="00A778F2"/>
    <w:rPr>
      <w:rFonts w:ascii="Lucida Sans" w:hAnsi="Lucida Sans" w:cs="Arial"/>
      <w:b/>
      <w:bCs/>
      <w:sz w:val="18"/>
      <w:szCs w:val="14"/>
    </w:rPr>
  </w:style>
  <w:style w:type="paragraph" w:customStyle="1" w:styleId="Averageframe">
    <w:name w:val="Average frame"/>
    <w:basedOn w:val="Normal"/>
    <w:uiPriority w:val="99"/>
    <w:rsid w:val="006A014B"/>
    <w:pPr>
      <w:framePr w:w="1843" w:h="11" w:hRule="exact" w:hSpace="181" w:wrap="notBeside" w:vAnchor="text" w:hAnchor="page" w:x="6748" w:y="103"/>
      <w:pBdr>
        <w:top w:val="single" w:sz="6" w:space="1" w:color="auto"/>
        <w:left w:val="single" w:sz="6" w:space="1" w:color="auto"/>
        <w:bottom w:val="single" w:sz="6" w:space="1" w:color="auto"/>
        <w:right w:val="single" w:sz="6" w:space="1" w:color="auto"/>
      </w:pBdr>
    </w:pPr>
  </w:style>
  <w:style w:type="paragraph" w:customStyle="1" w:styleId="Averagestaffingdata">
    <w:name w:val="Average staffing data"/>
    <w:basedOn w:val="Normal"/>
    <w:uiPriority w:val="99"/>
    <w:rsid w:val="006A014B"/>
    <w:rPr>
      <w:sz w:val="18"/>
      <w:szCs w:val="18"/>
    </w:rPr>
  </w:style>
  <w:style w:type="paragraph" w:customStyle="1" w:styleId="AverageYears">
    <w:name w:val="Average Years"/>
    <w:basedOn w:val="AverageStaffing"/>
    <w:uiPriority w:val="99"/>
    <w:rsid w:val="006A014B"/>
    <w:pPr>
      <w:tabs>
        <w:tab w:val="left" w:pos="6747"/>
      </w:tabs>
    </w:pPr>
  </w:style>
  <w:style w:type="paragraph" w:customStyle="1" w:styleId="Body">
    <w:name w:val="Body"/>
    <w:basedOn w:val="Normal"/>
    <w:autoRedefine/>
    <w:uiPriority w:val="99"/>
    <w:rsid w:val="00D657B3"/>
    <w:pPr>
      <w:tabs>
        <w:tab w:val="left" w:pos="2897"/>
        <w:tab w:val="center" w:pos="4354"/>
        <w:tab w:val="center" w:pos="5182"/>
        <w:tab w:val="right" w:pos="6520"/>
        <w:tab w:val="right" w:pos="7699"/>
        <w:tab w:val="right" w:pos="9054"/>
      </w:tabs>
      <w:spacing w:before="160" w:after="100" w:line="240" w:lineRule="atLeast"/>
    </w:pPr>
    <w:rPr>
      <w:rFonts w:eastAsia="MS Mincho"/>
      <w:sz w:val="17"/>
      <w:szCs w:val="14"/>
    </w:rPr>
  </w:style>
  <w:style w:type="paragraph" w:styleId="BodyText2">
    <w:name w:val="Body Text 2"/>
    <w:basedOn w:val="Normal"/>
    <w:link w:val="BodyText2Char"/>
    <w:rsid w:val="00A778F2"/>
    <w:rPr>
      <w:sz w:val="21"/>
    </w:rPr>
  </w:style>
  <w:style w:type="character" w:customStyle="1" w:styleId="BodyText2Char">
    <w:name w:val="Body Text 2 Char"/>
    <w:link w:val="BodyText2"/>
    <w:rsid w:val="00A778F2"/>
    <w:rPr>
      <w:rFonts w:ascii="Arial" w:hAnsi="Arial" w:cs="Arial"/>
      <w:sz w:val="21"/>
    </w:rPr>
  </w:style>
  <w:style w:type="paragraph" w:styleId="BodyTextIndent2">
    <w:name w:val="Body Text Indent 2"/>
    <w:basedOn w:val="Normal"/>
    <w:link w:val="BodyTextIndent2Char"/>
    <w:autoRedefine/>
    <w:rsid w:val="00A778F2"/>
    <w:pPr>
      <w:spacing w:after="120"/>
      <w:ind w:left="284"/>
    </w:pPr>
    <w:rPr>
      <w:i/>
      <w:sz w:val="23"/>
    </w:rPr>
  </w:style>
  <w:style w:type="character" w:customStyle="1" w:styleId="BodyTextIndent2Char">
    <w:name w:val="Body Text Indent 2 Char"/>
    <w:link w:val="BodyTextIndent2"/>
    <w:rsid w:val="00A778F2"/>
    <w:rPr>
      <w:rFonts w:ascii="Arial" w:hAnsi="Arial" w:cs="Arial"/>
      <w:i/>
      <w:sz w:val="23"/>
    </w:rPr>
  </w:style>
  <w:style w:type="paragraph" w:customStyle="1" w:styleId="BodyTextlettereditaliclist">
    <w:name w:val="Body Text lettered italic list"/>
    <w:basedOn w:val="Normal"/>
    <w:rsid w:val="00A778F2"/>
    <w:pPr>
      <w:ind w:left="426" w:hanging="426"/>
    </w:pPr>
    <w:rPr>
      <w:i/>
    </w:rPr>
  </w:style>
  <w:style w:type="paragraph" w:customStyle="1" w:styleId="Bodytextnumbered">
    <w:name w:val="Body text numbered"/>
    <w:basedOn w:val="Heading1"/>
    <w:qFormat/>
    <w:rsid w:val="00A778F2"/>
    <w:pPr>
      <w:keepNext w:val="0"/>
      <w:tabs>
        <w:tab w:val="num" w:pos="454"/>
      </w:tabs>
      <w:spacing w:before="200" w:line="320" w:lineRule="atLeast"/>
      <w:ind w:left="454" w:hanging="454"/>
    </w:pPr>
    <w:rPr>
      <w:b/>
      <w:sz w:val="22"/>
      <w:szCs w:val="22"/>
    </w:rPr>
  </w:style>
  <w:style w:type="paragraph" w:customStyle="1" w:styleId="BodyText1">
    <w:name w:val="Body Text1"/>
    <w:basedOn w:val="BodyText"/>
    <w:link w:val="bodytextChar0"/>
    <w:autoRedefine/>
    <w:rsid w:val="00A778F2"/>
    <w:pPr>
      <w:spacing w:line="360" w:lineRule="auto"/>
      <w:ind w:right="-17"/>
    </w:pPr>
    <w:rPr>
      <w:szCs w:val="24"/>
    </w:rPr>
  </w:style>
  <w:style w:type="character" w:customStyle="1" w:styleId="bodytextChar0">
    <w:name w:val="body text Char"/>
    <w:link w:val="BodyText1"/>
    <w:rsid w:val="00A778F2"/>
    <w:rPr>
      <w:rFonts w:ascii="Arial" w:hAnsi="Arial" w:cs="Arial"/>
      <w:sz w:val="23"/>
      <w:szCs w:val="24"/>
      <w:lang w:eastAsia="en-US"/>
    </w:rPr>
  </w:style>
  <w:style w:type="character" w:customStyle="1" w:styleId="Bold">
    <w:name w:val="Bold"/>
    <w:uiPriority w:val="99"/>
    <w:rsid w:val="006A014B"/>
    <w:rPr>
      <w:b/>
      <w:bCs/>
    </w:rPr>
  </w:style>
  <w:style w:type="character" w:customStyle="1" w:styleId="BoxHeadingChar">
    <w:name w:val="Box Heading Char"/>
    <w:link w:val="BoxHeading"/>
    <w:rsid w:val="00A778F2"/>
    <w:rPr>
      <w:rFonts w:ascii="Arial" w:hAnsi="Arial"/>
      <w:b/>
      <w:bCs/>
      <w:sz w:val="23"/>
      <w:szCs w:val="23"/>
      <w:lang w:val="en-US" w:eastAsia="en-US"/>
    </w:rPr>
  </w:style>
  <w:style w:type="paragraph" w:customStyle="1" w:styleId="Bullet">
    <w:name w:val="Bullet"/>
    <w:basedOn w:val="BodyText"/>
    <w:rsid w:val="00A778F2"/>
    <w:pPr>
      <w:numPr>
        <w:numId w:val="1"/>
      </w:numPr>
      <w:spacing w:before="180" w:after="180" w:line="288" w:lineRule="auto"/>
      <w:outlineLvl w:val="0"/>
    </w:pPr>
  </w:style>
  <w:style w:type="paragraph" w:customStyle="1" w:styleId="Bullet1box">
    <w:name w:val="Bullet 1 box"/>
    <w:basedOn w:val="Bullet1"/>
    <w:autoRedefine/>
    <w:rsid w:val="00A778F2"/>
    <w:pPr>
      <w:numPr>
        <w:numId w:val="4"/>
      </w:numPr>
      <w:shd w:val="clear" w:color="auto" w:fill="FFFFFF"/>
      <w:tabs>
        <w:tab w:val="clear" w:pos="357"/>
      </w:tabs>
      <w:spacing w:after="60" w:line="260" w:lineRule="exact"/>
    </w:pPr>
    <w:rPr>
      <w:rFonts w:eastAsia="Times New Roman"/>
      <w:lang w:eastAsia="en-US"/>
    </w:rPr>
  </w:style>
  <w:style w:type="paragraph" w:customStyle="1" w:styleId="BulletPointStyle">
    <w:name w:val="Bullet Point Style"/>
    <w:basedOn w:val="BodyText"/>
    <w:link w:val="BulletPointStyleChar"/>
    <w:qFormat/>
    <w:rsid w:val="00A778F2"/>
    <w:pPr>
      <w:numPr>
        <w:numId w:val="7"/>
      </w:numPr>
      <w:spacing w:after="80"/>
    </w:pPr>
    <w:rPr>
      <w:rFonts w:ascii="Garamond" w:hAnsi="Garamond"/>
      <w:lang w:eastAsia="x-none"/>
    </w:rPr>
  </w:style>
  <w:style w:type="character" w:customStyle="1" w:styleId="BulletPointStyleChar">
    <w:name w:val="Bullet Point Style Char"/>
    <w:link w:val="BulletPointStyle"/>
    <w:locked/>
    <w:rsid w:val="00A778F2"/>
    <w:rPr>
      <w:rFonts w:ascii="Garamond" w:eastAsiaTheme="minorHAnsi" w:hAnsi="Garamond" w:cs="Arial"/>
      <w:iCs/>
      <w:sz w:val="23"/>
      <w:szCs w:val="22"/>
      <w:lang w:val="en-AU" w:eastAsia="x-none"/>
    </w:rPr>
  </w:style>
  <w:style w:type="numbering" w:customStyle="1" w:styleId="BulletPoints">
    <w:name w:val="Bullet Points"/>
    <w:uiPriority w:val="99"/>
    <w:rsid w:val="00A778F2"/>
    <w:pPr>
      <w:numPr>
        <w:numId w:val="6"/>
      </w:numPr>
    </w:pPr>
  </w:style>
  <w:style w:type="paragraph" w:customStyle="1" w:styleId="Bulletpoints0">
    <w:name w:val="Bullet points"/>
    <w:basedOn w:val="Normal"/>
    <w:link w:val="BulletpointsChar"/>
    <w:qFormat/>
    <w:rsid w:val="00A778F2"/>
    <w:pPr>
      <w:tabs>
        <w:tab w:val="num" w:pos="425"/>
      </w:tabs>
      <w:spacing w:before="180" w:after="180" w:line="288" w:lineRule="auto"/>
      <w:ind w:left="425" w:hanging="425"/>
      <w:outlineLvl w:val="0"/>
    </w:pPr>
    <w:rPr>
      <w:sz w:val="22"/>
      <w:szCs w:val="22"/>
    </w:rPr>
  </w:style>
  <w:style w:type="character" w:customStyle="1" w:styleId="BulletpointsChar">
    <w:name w:val="Bullet points Char"/>
    <w:link w:val="Bulletpoints0"/>
    <w:rsid w:val="00A778F2"/>
    <w:rPr>
      <w:rFonts w:ascii="Arial" w:hAnsi="Arial" w:cs="Arial"/>
      <w:sz w:val="22"/>
      <w:szCs w:val="22"/>
    </w:rPr>
  </w:style>
  <w:style w:type="paragraph" w:customStyle="1" w:styleId="OpStatementData">
    <w:name w:val="Op. Statement Data"/>
    <w:basedOn w:val="Normal"/>
    <w:autoRedefine/>
    <w:uiPriority w:val="99"/>
    <w:rsid w:val="006A014B"/>
    <w:pPr>
      <w:tabs>
        <w:tab w:val="clear" w:pos="4196"/>
        <w:tab w:val="clear" w:pos="5046"/>
        <w:tab w:val="clear" w:pos="5897"/>
        <w:tab w:val="clear" w:pos="6747"/>
        <w:tab w:val="clear" w:pos="7598"/>
        <w:tab w:val="right" w:pos="7228"/>
        <w:tab w:val="right" w:pos="8504"/>
        <w:tab w:val="right" w:pos="9638"/>
      </w:tabs>
      <w:spacing w:before="60"/>
    </w:pPr>
    <w:rPr>
      <w:sz w:val="18"/>
      <w:szCs w:val="18"/>
    </w:rPr>
  </w:style>
  <w:style w:type="paragraph" w:customStyle="1" w:styleId="CapitalProgTotal">
    <w:name w:val="Capital Prog Total"/>
    <w:basedOn w:val="OpStatementData"/>
    <w:uiPriority w:val="99"/>
    <w:rsid w:val="006A014B"/>
    <w:pPr>
      <w:pBdr>
        <w:top w:val="single" w:sz="6" w:space="1" w:color="auto"/>
      </w:pBdr>
    </w:pPr>
    <w:rPr>
      <w:b/>
      <w:bCs/>
    </w:rPr>
  </w:style>
  <w:style w:type="character" w:customStyle="1" w:styleId="CentreLine">
    <w:name w:val="Centre Line"/>
    <w:uiPriority w:val="99"/>
    <w:rsid w:val="006A014B"/>
    <w:rPr>
      <w:sz w:val="20"/>
      <w:szCs w:val="20"/>
      <w:u w:val="single"/>
      <w:vertAlign w:val="superscript"/>
    </w:rPr>
  </w:style>
  <w:style w:type="paragraph" w:customStyle="1" w:styleId="Chart1X">
    <w:name w:val="Chart 1.X"/>
    <w:basedOn w:val="Normal"/>
    <w:rsid w:val="006A014B"/>
    <w:pPr>
      <w:keepLines/>
      <w:numPr>
        <w:numId w:val="21"/>
      </w:numPr>
      <w:tabs>
        <w:tab w:val="clear" w:pos="4196"/>
        <w:tab w:val="clear" w:pos="5046"/>
        <w:tab w:val="clear" w:pos="5897"/>
        <w:tab w:val="clear" w:pos="6747"/>
        <w:tab w:val="clear" w:pos="7598"/>
        <w:tab w:val="left" w:pos="1134"/>
      </w:tabs>
      <w:spacing w:before="240" w:after="120"/>
    </w:pPr>
    <w:rPr>
      <w:rFonts w:cs="Times New Roman"/>
      <w:i/>
      <w:color w:val="57514D"/>
    </w:rPr>
  </w:style>
  <w:style w:type="character" w:customStyle="1" w:styleId="TableHeadingChar">
    <w:name w:val="Table Heading Char"/>
    <w:link w:val="TableHeading"/>
    <w:rsid w:val="00A778F2"/>
    <w:rPr>
      <w:rFonts w:ascii="Arial" w:hAnsi="Arial" w:cs="Arial"/>
      <w:b/>
      <w:sz w:val="24"/>
    </w:rPr>
  </w:style>
  <w:style w:type="paragraph" w:customStyle="1" w:styleId="Chart3X">
    <w:name w:val="Chart 3.X"/>
    <w:basedOn w:val="Normal"/>
    <w:rsid w:val="006A014B"/>
    <w:p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TableXX">
    <w:name w:val="Table X.X"/>
    <w:basedOn w:val="Normal"/>
    <w:rsid w:val="00A778F2"/>
    <w:pPr>
      <w:numPr>
        <w:numId w:val="19"/>
      </w:numPr>
      <w:tabs>
        <w:tab w:val="left" w:pos="1232"/>
      </w:tabs>
      <w:spacing w:before="360" w:after="120"/>
    </w:pPr>
    <w:rPr>
      <w:rFonts w:ascii="Lucida Sans" w:hAnsi="Lucida Sans"/>
      <w:bCs/>
      <w:kern w:val="28"/>
      <w:sz w:val="22"/>
      <w:szCs w:val="22"/>
    </w:rPr>
  </w:style>
  <w:style w:type="paragraph" w:customStyle="1" w:styleId="Chart5X">
    <w:name w:val="Chart 5.X"/>
    <w:basedOn w:val="Normal"/>
    <w:rsid w:val="006A014B"/>
    <w:pPr>
      <w:numPr>
        <w:numId w:val="23"/>
      </w:numPr>
      <w:tabs>
        <w:tab w:val="clear" w:pos="4196"/>
        <w:tab w:val="clear" w:pos="5046"/>
        <w:tab w:val="clear" w:pos="5897"/>
        <w:tab w:val="clear" w:pos="6747"/>
        <w:tab w:val="clear" w:pos="7598"/>
        <w:tab w:val="left" w:pos="851"/>
        <w:tab w:val="left" w:pos="1418"/>
      </w:tabs>
      <w:autoSpaceDE/>
      <w:autoSpaceDN/>
      <w:spacing w:before="360" w:after="120"/>
    </w:pPr>
    <w:rPr>
      <w:rFonts w:eastAsia="Arial Unicode MS" w:cs="Times New Roman"/>
      <w:bCs/>
      <w:i/>
      <w:color w:val="57514D"/>
      <w:kern w:val="28"/>
      <w:sz w:val="22"/>
      <w:szCs w:val="22"/>
      <w:lang w:val="en-US" w:eastAsia="en-US"/>
    </w:rPr>
  </w:style>
  <w:style w:type="paragraph" w:customStyle="1" w:styleId="Chart6X">
    <w:name w:val="Chart 6.X"/>
    <w:basedOn w:val="Normal"/>
    <w:rsid w:val="00A778F2"/>
    <w:pPr>
      <w:keepLines/>
      <w:spacing w:before="360" w:after="120"/>
    </w:pPr>
    <w:rPr>
      <w:rFonts w:ascii="Lucida Sans" w:hAnsi="Lucida Sans"/>
      <w:sz w:val="22"/>
    </w:rPr>
  </w:style>
  <w:style w:type="paragraph" w:customStyle="1" w:styleId="Table7X0">
    <w:name w:val="Table 7.X"/>
    <w:basedOn w:val="Normal"/>
    <w:rsid w:val="006A014B"/>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paragraph" w:customStyle="1" w:styleId="Chart7X">
    <w:name w:val="Chart 7.X"/>
    <w:basedOn w:val="Normal"/>
    <w:rsid w:val="00A778F2"/>
    <w:pPr>
      <w:numPr>
        <w:numId w:val="8"/>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9X">
    <w:name w:val="Chart 9.X"/>
    <w:basedOn w:val="Normal"/>
    <w:rsid w:val="006A014B"/>
    <w:pPr>
      <w:numPr>
        <w:numId w:val="24"/>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para">
    <w:name w:val="Chart para"/>
    <w:basedOn w:val="Normal"/>
    <w:semiHidden/>
    <w:rsid w:val="00A778F2"/>
    <w:rPr>
      <w:rFonts w:ascii="Garamond" w:hAnsi="Garamond"/>
      <w:sz w:val="22"/>
    </w:rPr>
  </w:style>
  <w:style w:type="paragraph" w:customStyle="1" w:styleId="Dept">
    <w:name w:val="Dept"/>
    <w:basedOn w:val="Normal"/>
    <w:autoRedefine/>
    <w:rsid w:val="00A778F2"/>
    <w:pPr>
      <w:keepNext/>
      <w:keepLines/>
      <w:pageBreakBefore/>
      <w:adjustRightInd w:val="0"/>
    </w:pPr>
    <w:rPr>
      <w:rFonts w:ascii="Lucida Sans" w:eastAsia="MS Mincho" w:hAnsi="Lucida Sans"/>
      <w:b/>
      <w:bCs/>
      <w:sz w:val="22"/>
    </w:rPr>
  </w:style>
  <w:style w:type="paragraph" w:styleId="DocumentMap">
    <w:name w:val="Document Map"/>
    <w:basedOn w:val="Normal"/>
    <w:link w:val="DocumentMapChar"/>
    <w:rsid w:val="00A778F2"/>
    <w:pPr>
      <w:shd w:val="clear" w:color="auto" w:fill="000080"/>
    </w:pPr>
    <w:rPr>
      <w:rFonts w:ascii="Tahoma" w:hAnsi="Tahoma" w:cs="Tahoma"/>
    </w:rPr>
  </w:style>
  <w:style w:type="character" w:customStyle="1" w:styleId="DocumentMapChar">
    <w:name w:val="Document Map Char"/>
    <w:link w:val="DocumentMap"/>
    <w:rsid w:val="00A778F2"/>
    <w:rPr>
      <w:rFonts w:ascii="Tahoma" w:hAnsi="Tahoma" w:cs="Tahoma"/>
      <w:shd w:val="clear" w:color="auto" w:fill="000080"/>
    </w:rPr>
  </w:style>
  <w:style w:type="paragraph" w:customStyle="1" w:styleId="DoubleBorder">
    <w:name w:val="Double Border"/>
    <w:basedOn w:val="Agency2"/>
    <w:uiPriority w:val="99"/>
    <w:rsid w:val="006A014B"/>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rsid w:val="006A014B"/>
    <w:pPr>
      <w:pBdr>
        <w:bottom w:val="single" w:sz="6" w:space="1" w:color="auto"/>
      </w:pBdr>
      <w:jc w:val="center"/>
    </w:pPr>
    <w:rPr>
      <w:sz w:val="22"/>
      <w:szCs w:val="22"/>
    </w:rPr>
  </w:style>
  <w:style w:type="paragraph" w:customStyle="1" w:styleId="Estimates-withNewPage">
    <w:name w:val="Estimates - with New Page"/>
    <w:basedOn w:val="Estimates-BudgetYear"/>
    <w:uiPriority w:val="99"/>
    <w:rsid w:val="006A014B"/>
    <w:pPr>
      <w:pageBreakBefore/>
      <w:pBdr>
        <w:bottom w:val="single" w:sz="6" w:space="6" w:color="auto"/>
      </w:pBdr>
    </w:pPr>
    <w:rPr>
      <w:sz w:val="20"/>
      <w:szCs w:val="20"/>
    </w:rPr>
  </w:style>
  <w:style w:type="paragraph" w:customStyle="1" w:styleId="Heading1BP3">
    <w:name w:val="Heading 1 BP3"/>
    <w:rsid w:val="00A778F2"/>
    <w:pPr>
      <w:keepNext/>
      <w:tabs>
        <w:tab w:val="left" w:pos="284"/>
      </w:tabs>
      <w:spacing w:before="400"/>
    </w:pPr>
    <w:rPr>
      <w:rFonts w:ascii="Lucida Sans" w:hAnsi="Lucida Sans"/>
      <w:kern w:val="28"/>
      <w:sz w:val="36"/>
      <w:szCs w:val="36"/>
      <w:lang w:val="en-AU" w:eastAsia="en-US"/>
    </w:rPr>
  </w:style>
  <w:style w:type="character" w:customStyle="1" w:styleId="Heading3Char1">
    <w:name w:val="Heading 3 Char1"/>
    <w:rsid w:val="00A778F2"/>
    <w:rPr>
      <w:rFonts w:ascii="Lucida Sans" w:eastAsia="Times New Roman" w:hAnsi="Lucida Sans" w:cs="Times New Roman"/>
      <w:b/>
      <w:kern w:val="28"/>
      <w:sz w:val="24"/>
      <w:szCs w:val="36"/>
    </w:rPr>
  </w:style>
  <w:style w:type="paragraph" w:customStyle="1" w:styleId="Keypointsheading">
    <w:name w:val="Key points heading"/>
    <w:basedOn w:val="Heading2"/>
    <w:next w:val="Bullet"/>
    <w:rsid w:val="00A778F2"/>
    <w:pPr>
      <w:keepNext w:val="0"/>
      <w:widowControl/>
      <w:spacing w:after="180"/>
    </w:pPr>
    <w:rPr>
      <w:rFonts w:cs="Arial"/>
      <w:b w:val="0"/>
      <w:color w:val="003366"/>
      <w:kern w:val="0"/>
      <w:szCs w:val="24"/>
    </w:rPr>
  </w:style>
  <w:style w:type="paragraph" w:styleId="ListBullet">
    <w:name w:val="List Bullet"/>
    <w:basedOn w:val="Normal"/>
    <w:uiPriority w:val="1"/>
    <w:qFormat/>
    <w:rsid w:val="00A778F2"/>
    <w:pPr>
      <w:spacing w:after="80" w:line="240" w:lineRule="atLeast"/>
    </w:pPr>
    <w:rPr>
      <w:rFonts w:ascii="Calibri" w:hAnsi="Calibri"/>
      <w:sz w:val="18"/>
      <w:szCs w:val="24"/>
    </w:rPr>
  </w:style>
  <w:style w:type="paragraph" w:customStyle="1" w:styleId="ListBullet1">
    <w:name w:val="List Bullet1"/>
    <w:basedOn w:val="Normal"/>
    <w:autoRedefine/>
    <w:rsid w:val="00A778F2"/>
    <w:pPr>
      <w:numPr>
        <w:numId w:val="14"/>
      </w:numPr>
      <w:spacing w:line="360" w:lineRule="auto"/>
    </w:pPr>
    <w:rPr>
      <w:sz w:val="28"/>
    </w:rPr>
  </w:style>
  <w:style w:type="paragraph" w:styleId="ListNumber">
    <w:name w:val="List Number"/>
    <w:basedOn w:val="Normal"/>
    <w:uiPriority w:val="1"/>
    <w:qFormat/>
    <w:rsid w:val="00A778F2"/>
    <w:pPr>
      <w:numPr>
        <w:numId w:val="15"/>
      </w:numPr>
      <w:spacing w:after="80" w:line="240" w:lineRule="atLeast"/>
    </w:pPr>
    <w:rPr>
      <w:rFonts w:ascii="Calibri" w:eastAsia="Calibri" w:hAnsi="Calibri"/>
      <w:sz w:val="18"/>
      <w:szCs w:val="22"/>
    </w:rPr>
  </w:style>
  <w:style w:type="character" w:customStyle="1" w:styleId="ColorfulList-Accent1Char">
    <w:name w:val="Colorful List - Accent 1 Char"/>
    <w:link w:val="ColorfulList-Accent11"/>
    <w:uiPriority w:val="34"/>
    <w:locked/>
    <w:rsid w:val="006A014B"/>
    <w:rPr>
      <w:rFonts w:ascii="Arial" w:eastAsia="Times New Roman" w:hAnsi="Arial" w:cs="Arial"/>
    </w:rPr>
  </w:style>
  <w:style w:type="paragraph" w:customStyle="1" w:styleId="Minister">
    <w:name w:val="Minister"/>
    <w:basedOn w:val="Normal"/>
    <w:uiPriority w:val="99"/>
    <w:rsid w:val="006A014B"/>
    <w:pPr>
      <w:jc w:val="center"/>
    </w:pPr>
    <w:rPr>
      <w:b/>
      <w:bCs/>
      <w:sz w:val="24"/>
      <w:szCs w:val="24"/>
    </w:rPr>
  </w:style>
  <w:style w:type="paragraph" w:customStyle="1" w:styleId="Minr">
    <w:name w:val="Minr"/>
    <w:basedOn w:val="Normal"/>
    <w:autoRedefine/>
    <w:uiPriority w:val="99"/>
    <w:rsid w:val="00A778F2"/>
    <w:pPr>
      <w:adjustRightInd w:val="0"/>
    </w:pPr>
    <w:rPr>
      <w:rFonts w:ascii="Lucida Sans" w:eastAsia="MS Mincho" w:hAnsi="Lucida Sans"/>
      <w:b/>
      <w:bCs/>
      <w:szCs w:val="24"/>
    </w:rPr>
  </w:style>
  <w:style w:type="paragraph" w:styleId="NormalWeb">
    <w:name w:val="Normal (Web)"/>
    <w:basedOn w:val="Normal"/>
    <w:uiPriority w:val="99"/>
    <w:rsid w:val="00A778F2"/>
    <w:pPr>
      <w:numPr>
        <w:numId w:val="16"/>
      </w:numPr>
    </w:pPr>
    <w:rPr>
      <w:rFonts w:ascii=".." w:hAnsi=".."/>
    </w:rPr>
  </w:style>
  <w:style w:type="paragraph" w:customStyle="1" w:styleId="ObjectivesandDescr">
    <w:name w:val="Objectives and Descr"/>
    <w:basedOn w:val="Normal"/>
    <w:autoRedefine/>
    <w:uiPriority w:val="99"/>
    <w:rsid w:val="006A014B"/>
    <w:pPr>
      <w:tabs>
        <w:tab w:val="left" w:pos="1985"/>
        <w:tab w:val="left" w:pos="4196"/>
        <w:tab w:val="left" w:pos="5046"/>
        <w:tab w:val="left" w:pos="5897"/>
        <w:tab w:val="left" w:pos="6747"/>
        <w:tab w:val="left" w:pos="7598"/>
      </w:tabs>
      <w:adjustRightInd w:val="0"/>
      <w:spacing w:before="120"/>
      <w:ind w:left="1985" w:hanging="1985"/>
    </w:pPr>
    <w:rPr>
      <w:sz w:val="18"/>
      <w:szCs w:val="18"/>
    </w:rPr>
  </w:style>
  <w:style w:type="paragraph" w:customStyle="1" w:styleId="OpStatementcol">
    <w:name w:val="Op.Statement col"/>
    <w:basedOn w:val="Normal"/>
    <w:autoRedefine/>
    <w:uiPriority w:val="99"/>
    <w:rsid w:val="006A014B"/>
    <w:pPr>
      <w:tabs>
        <w:tab w:val="clear" w:pos="4196"/>
        <w:tab w:val="clear" w:pos="5046"/>
        <w:tab w:val="clear" w:pos="5897"/>
        <w:tab w:val="clear" w:pos="6747"/>
        <w:tab w:val="clear" w:pos="7598"/>
        <w:tab w:val="center" w:pos="6888"/>
        <w:tab w:val="center" w:pos="7228"/>
        <w:tab w:val="center" w:pos="8158"/>
        <w:tab w:val="center" w:pos="9292"/>
      </w:tabs>
    </w:pPr>
    <w:rPr>
      <w:sz w:val="18"/>
      <w:szCs w:val="18"/>
    </w:rPr>
  </w:style>
  <w:style w:type="paragraph" w:customStyle="1" w:styleId="OpStatementcol2">
    <w:name w:val="Op.Statement col 2"/>
    <w:basedOn w:val="OpStatementcol"/>
    <w:autoRedefine/>
    <w:uiPriority w:val="99"/>
    <w:rsid w:val="006A014B"/>
    <w:pPr>
      <w:tabs>
        <w:tab w:val="clear" w:pos="6888"/>
        <w:tab w:val="clear" w:pos="7228"/>
        <w:tab w:val="clear" w:pos="8158"/>
        <w:tab w:val="clear" w:pos="9292"/>
        <w:tab w:val="center" w:pos="7489"/>
        <w:tab w:val="center" w:pos="9354"/>
      </w:tabs>
    </w:pPr>
  </w:style>
  <w:style w:type="paragraph" w:customStyle="1" w:styleId="OpStatementSub">
    <w:name w:val="Op.Statement Sub"/>
    <w:basedOn w:val="Normal"/>
    <w:autoRedefine/>
    <w:uiPriority w:val="99"/>
    <w:rsid w:val="006A014B"/>
    <w:pPr>
      <w:tabs>
        <w:tab w:val="clear" w:pos="4196"/>
        <w:tab w:val="clear" w:pos="5046"/>
        <w:tab w:val="clear" w:pos="5897"/>
        <w:tab w:val="clear" w:pos="6747"/>
        <w:tab w:val="clear" w:pos="7598"/>
        <w:tab w:val="right" w:pos="7811"/>
        <w:tab w:val="right" w:pos="8917"/>
        <w:tab w:val="right" w:pos="9967"/>
      </w:tabs>
      <w:spacing w:before="80" w:after="80"/>
      <w:ind w:right="113"/>
      <w:jc w:val="right"/>
    </w:pPr>
    <w:rPr>
      <w:b/>
      <w:bCs/>
      <w:color w:val="25A9E1"/>
      <w:sz w:val="18"/>
      <w:szCs w:val="18"/>
    </w:rPr>
  </w:style>
  <w:style w:type="paragraph" w:customStyle="1" w:styleId="OperatingStatement">
    <w:name w:val="Operating Statement"/>
    <w:basedOn w:val="Normal"/>
    <w:autoRedefine/>
    <w:uiPriority w:val="99"/>
    <w:rsid w:val="006A014B"/>
    <w:pPr>
      <w:spacing w:before="120" w:line="240" w:lineRule="exact"/>
    </w:pPr>
    <w:rPr>
      <w:b/>
      <w:bCs/>
      <w:iCs/>
      <w:sz w:val="24"/>
    </w:rPr>
  </w:style>
  <w:style w:type="paragraph" w:customStyle="1" w:styleId="OutputsColumns">
    <w:name w:val="Outputs Columns"/>
    <w:basedOn w:val="Normal"/>
    <w:autoRedefine/>
    <w:uiPriority w:val="99"/>
    <w:rsid w:val="006A014B"/>
    <w:pPr>
      <w:tabs>
        <w:tab w:val="clear" w:pos="4196"/>
        <w:tab w:val="clear" w:pos="5046"/>
        <w:tab w:val="clear" w:pos="5897"/>
        <w:tab w:val="clear" w:pos="6747"/>
        <w:tab w:val="clear" w:pos="7598"/>
        <w:tab w:val="right" w:pos="7228"/>
        <w:tab w:val="right" w:pos="8504"/>
        <w:tab w:val="right" w:pos="9638"/>
      </w:tabs>
      <w:spacing w:before="120"/>
    </w:pPr>
    <w:rPr>
      <w:b/>
      <w:szCs w:val="18"/>
    </w:rPr>
  </w:style>
  <w:style w:type="paragraph" w:customStyle="1" w:styleId="OutputsData">
    <w:name w:val="Outputs Data"/>
    <w:basedOn w:val="Normal"/>
    <w:autoRedefine/>
    <w:uiPriority w:val="99"/>
    <w:rsid w:val="006A014B"/>
    <w:pPr>
      <w:tabs>
        <w:tab w:val="clear" w:pos="4196"/>
        <w:tab w:val="clear" w:pos="5046"/>
        <w:tab w:val="clear" w:pos="5897"/>
        <w:tab w:val="clear" w:pos="6747"/>
        <w:tab w:val="clear" w:pos="7598"/>
        <w:tab w:val="right" w:pos="7755"/>
        <w:tab w:val="right" w:pos="8875"/>
        <w:tab w:val="right" w:pos="9967"/>
      </w:tabs>
    </w:pPr>
    <w:rPr>
      <w:sz w:val="18"/>
      <w:szCs w:val="18"/>
    </w:rPr>
  </w:style>
  <w:style w:type="paragraph" w:customStyle="1" w:styleId="OutputsName">
    <w:name w:val="Outputs Name"/>
    <w:basedOn w:val="Normal"/>
    <w:uiPriority w:val="99"/>
    <w:rsid w:val="006A014B"/>
    <w:pPr>
      <w:tabs>
        <w:tab w:val="left" w:pos="3828"/>
      </w:tabs>
    </w:pPr>
    <w:rPr>
      <w:sz w:val="18"/>
      <w:szCs w:val="18"/>
      <w:u w:val="single"/>
    </w:rPr>
  </w:style>
  <w:style w:type="paragraph" w:customStyle="1" w:styleId="Pa0">
    <w:name w:val="Pa0"/>
    <w:basedOn w:val="Default"/>
    <w:next w:val="Default"/>
    <w:uiPriority w:val="99"/>
    <w:rsid w:val="00A778F2"/>
    <w:pPr>
      <w:spacing w:line="201" w:lineRule="atLeast"/>
    </w:pPr>
    <w:rPr>
      <w:rFonts w:ascii="Gotham Narrow Light" w:hAnsi="Gotham Narrow Light" w:cs="Times New Roman"/>
      <w:color w:val="auto"/>
    </w:rPr>
  </w:style>
  <w:style w:type="paragraph" w:customStyle="1" w:styleId="Program">
    <w:name w:val="Program"/>
    <w:basedOn w:val="Normal"/>
    <w:uiPriority w:val="99"/>
    <w:rsid w:val="006A014B"/>
    <w:pPr>
      <w:ind w:left="567"/>
    </w:pPr>
    <w:rPr>
      <w:b/>
      <w:bCs/>
    </w:rPr>
  </w:style>
  <w:style w:type="paragraph" w:customStyle="1" w:styleId="ProgramArea">
    <w:name w:val="Program Area"/>
    <w:basedOn w:val="Normal"/>
    <w:autoRedefine/>
    <w:uiPriority w:val="99"/>
    <w:rsid w:val="006A014B"/>
    <w:pPr>
      <w:spacing w:before="120"/>
    </w:pPr>
    <w:rPr>
      <w:b/>
      <w:bCs/>
      <w:sz w:val="21"/>
    </w:rPr>
  </w:style>
  <w:style w:type="paragraph" w:customStyle="1" w:styleId="SmallGap">
    <w:name w:val="Small Gap"/>
    <w:basedOn w:val="Normal"/>
    <w:autoRedefine/>
    <w:uiPriority w:val="99"/>
    <w:rsid w:val="006A014B"/>
    <w:rPr>
      <w:sz w:val="4"/>
      <w:szCs w:val="14"/>
    </w:rPr>
  </w:style>
  <w:style w:type="paragraph" w:customStyle="1" w:styleId="SmallGapwithBorder">
    <w:name w:val="Small Gap with Border"/>
    <w:basedOn w:val="OpStatementData"/>
    <w:uiPriority w:val="99"/>
    <w:rsid w:val="006A014B"/>
    <w:pPr>
      <w:pBdr>
        <w:bottom w:val="single" w:sz="6" w:space="1" w:color="auto"/>
      </w:pBdr>
    </w:pPr>
    <w:rPr>
      <w:sz w:val="14"/>
      <w:szCs w:val="14"/>
    </w:rPr>
  </w:style>
  <w:style w:type="character" w:customStyle="1" w:styleId="st1">
    <w:name w:val="st1"/>
    <w:rsid w:val="00A778F2"/>
  </w:style>
  <w:style w:type="character" w:customStyle="1" w:styleId="Strikethrou">
    <w:name w:val="Strikethrou"/>
    <w:uiPriority w:val="99"/>
    <w:rsid w:val="006A014B"/>
    <w:rPr>
      <w:rFonts w:ascii="Arial" w:hAnsi="Arial" w:cs="Arial"/>
      <w:color w:val="auto"/>
      <w:sz w:val="18"/>
      <w:szCs w:val="16"/>
      <w:vertAlign w:val="superscript"/>
    </w:rPr>
  </w:style>
  <w:style w:type="character" w:customStyle="1" w:styleId="StrikeThrough">
    <w:name w:val="StrikeThrough"/>
    <w:rsid w:val="00A778F2"/>
    <w:rPr>
      <w:strike/>
      <w:dstrike w:val="0"/>
      <w:color w:val="00A1DE"/>
    </w:rPr>
  </w:style>
  <w:style w:type="paragraph" w:customStyle="1" w:styleId="StyleChapterHeadingAfter12pt">
    <w:name w:val="Style Chapter Heading + After:  12 pt"/>
    <w:basedOn w:val="Normal"/>
    <w:rsid w:val="00A778F2"/>
    <w:pPr>
      <w:keepNext/>
      <w:pageBreakBefore/>
      <w:pBdr>
        <w:bottom w:val="single" w:sz="6" w:space="31" w:color="auto"/>
      </w:pBdr>
      <w:tabs>
        <w:tab w:val="left" w:pos="284"/>
        <w:tab w:val="left" w:pos="2268"/>
      </w:tabs>
      <w:spacing w:after="240"/>
      <w:outlineLvl w:val="0"/>
    </w:pPr>
    <w:rPr>
      <w:rFonts w:ascii="Lucida Sans" w:hAnsi="Lucida Sans"/>
      <w:b/>
      <w:bCs/>
      <w:kern w:val="28"/>
      <w:sz w:val="36"/>
    </w:rPr>
  </w:style>
  <w:style w:type="paragraph" w:customStyle="1" w:styleId="Table5x">
    <w:name w:val="Table 5.x"/>
    <w:basedOn w:val="Normal"/>
    <w:qFormat/>
    <w:rsid w:val="006A014B"/>
    <w:pPr>
      <w:tabs>
        <w:tab w:val="clear" w:pos="4196"/>
        <w:tab w:val="clear" w:pos="5046"/>
        <w:tab w:val="clear" w:pos="5897"/>
        <w:tab w:val="clear" w:pos="6747"/>
        <w:tab w:val="clear" w:pos="7598"/>
      </w:tabs>
      <w:autoSpaceDE/>
      <w:autoSpaceDN/>
      <w:spacing w:before="320" w:after="120"/>
    </w:pPr>
    <w:rPr>
      <w:rFonts w:ascii="Arial Unicode MS" w:eastAsia="Arial Unicode MS" w:hAnsi="Arial Unicode MS" w:cs="Times New Roman"/>
      <w:bCs/>
      <w:color w:val="00A1DE"/>
      <w:kern w:val="28"/>
      <w:sz w:val="22"/>
      <w:szCs w:val="22"/>
      <w:lang w:val="en-US" w:eastAsia="en-US"/>
    </w:rPr>
  </w:style>
  <w:style w:type="paragraph" w:customStyle="1" w:styleId="Table6X0">
    <w:name w:val="Table 6.X"/>
    <w:basedOn w:val="Normal"/>
    <w:rsid w:val="006A014B"/>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character" w:customStyle="1" w:styleId="TableFootnoteChar">
    <w:name w:val="Table Footnote Char"/>
    <w:link w:val="TableFootnote"/>
    <w:rsid w:val="00A778F2"/>
    <w:rPr>
      <w:rFonts w:ascii="Arial" w:hAnsi="Arial" w:cs="Arial"/>
      <w:i/>
      <w:sz w:val="14"/>
    </w:rPr>
  </w:style>
  <w:style w:type="paragraph" w:customStyle="1" w:styleId="TableStubParagraph">
    <w:name w:val="Table Stub Paragraph"/>
    <w:basedOn w:val="Normal"/>
    <w:rsid w:val="00A778F2"/>
    <w:pPr>
      <w:spacing w:before="120" w:after="120"/>
    </w:pPr>
    <w:rPr>
      <w:sz w:val="18"/>
      <w:szCs w:val="18"/>
    </w:rPr>
  </w:style>
  <w:style w:type="paragraph" w:customStyle="1" w:styleId="TestRightAlign">
    <w:name w:val="Test Right Align"/>
    <w:basedOn w:val="Normal"/>
    <w:autoRedefine/>
    <w:uiPriority w:val="99"/>
    <w:rsid w:val="006A014B"/>
    <w:pPr>
      <w:tabs>
        <w:tab w:val="clear" w:pos="4196"/>
        <w:tab w:val="clear" w:pos="5046"/>
        <w:tab w:val="clear" w:pos="5897"/>
        <w:tab w:val="clear" w:pos="6747"/>
        <w:tab w:val="clear" w:pos="7598"/>
        <w:tab w:val="right" w:pos="3725"/>
        <w:tab w:val="right" w:pos="4961"/>
        <w:tab w:val="right" w:pos="6094"/>
        <w:tab w:val="right" w:pos="7228"/>
        <w:tab w:val="right" w:pos="8362"/>
        <w:tab w:val="right" w:pos="9638"/>
      </w:tabs>
      <w:spacing w:line="240" w:lineRule="exact"/>
      <w:ind w:left="142" w:hanging="142"/>
    </w:pPr>
    <w:rPr>
      <w:sz w:val="18"/>
    </w:rPr>
  </w:style>
  <w:style w:type="paragraph" w:customStyle="1" w:styleId="Titel-status">
    <w:name w:val="Titel-status"/>
    <w:basedOn w:val="Normal"/>
    <w:autoRedefine/>
    <w:rsid w:val="00A778F2"/>
    <w:pPr>
      <w:tabs>
        <w:tab w:val="right" w:pos="9639"/>
      </w:tabs>
      <w:spacing w:line="192" w:lineRule="auto"/>
      <w:jc w:val="both"/>
    </w:pPr>
    <w:rPr>
      <w:rFonts w:ascii="Arial Unicode MS" w:eastAsia="Arial Unicode MS" w:hAnsi="Arial Unicode MS" w:cs="Arial Unicode MS"/>
      <w:b/>
      <w:bCs/>
      <w:color w:val="00A1DE"/>
      <w:sz w:val="18"/>
      <w:szCs w:val="14"/>
    </w:rPr>
  </w:style>
  <w:style w:type="paragraph" w:customStyle="1" w:styleId="Title-Total">
    <w:name w:val="Title-Total"/>
    <w:basedOn w:val="Normal"/>
    <w:autoRedefine/>
    <w:rsid w:val="00A778F2"/>
    <w:pPr>
      <w:tabs>
        <w:tab w:val="left" w:pos="8101"/>
        <w:tab w:val="right" w:pos="9603"/>
      </w:tabs>
      <w:spacing w:before="60" w:after="60" w:line="180" w:lineRule="auto"/>
    </w:pPr>
    <w:rPr>
      <w:rFonts w:ascii="Arial Unicode MS" w:eastAsia="Arial Unicode MS" w:hAnsi="Arial Unicode MS"/>
      <w:b/>
      <w:bCs/>
      <w:sz w:val="18"/>
      <w:szCs w:val="16"/>
    </w:rPr>
  </w:style>
  <w:style w:type="paragraph" w:customStyle="1" w:styleId="TotalsLine">
    <w:name w:val="Totals Line"/>
    <w:basedOn w:val="Normal"/>
    <w:autoRedefine/>
    <w:uiPriority w:val="99"/>
    <w:rsid w:val="006A014B"/>
    <w:pPr>
      <w:widowControl/>
      <w:tabs>
        <w:tab w:val="clear" w:pos="4196"/>
        <w:tab w:val="clear" w:pos="5046"/>
        <w:tab w:val="clear" w:pos="5897"/>
        <w:tab w:val="clear" w:pos="6747"/>
        <w:tab w:val="clear" w:pos="7598"/>
        <w:tab w:val="right" w:pos="7230"/>
        <w:tab w:val="left" w:pos="8505"/>
        <w:tab w:val="right" w:pos="9953"/>
      </w:tabs>
    </w:pPr>
    <w:rPr>
      <w:b/>
      <w:strike/>
      <w:sz w:val="18"/>
    </w:rPr>
  </w:style>
  <w:style w:type="paragraph" w:customStyle="1" w:styleId="TotalsLine2">
    <w:name w:val="Totals Line 2"/>
    <w:basedOn w:val="Normal"/>
    <w:autoRedefine/>
    <w:uiPriority w:val="99"/>
    <w:rsid w:val="006A014B"/>
    <w:pPr>
      <w:framePr w:w="3175" w:h="11" w:hRule="exact" w:hSpace="181" w:wrap="around" w:vAnchor="text" w:hAnchor="page" w:x="7235" w:y="63"/>
      <w:pBdr>
        <w:top w:val="single" w:sz="6" w:space="1" w:color="auto"/>
        <w:left w:val="single" w:sz="6" w:space="1" w:color="auto"/>
        <w:bottom w:val="single" w:sz="6" w:space="1" w:color="auto"/>
        <w:right w:val="single" w:sz="6" w:space="1" w:color="auto"/>
      </w:pBdr>
    </w:pPr>
  </w:style>
  <w:style w:type="character" w:customStyle="1" w:styleId="Underline">
    <w:name w:val="Underline"/>
    <w:uiPriority w:val="99"/>
    <w:rsid w:val="006A014B"/>
    <w:rPr>
      <w:u w:val="single"/>
    </w:rPr>
  </w:style>
  <w:style w:type="paragraph" w:customStyle="1" w:styleId="million">
    <w:name w:val="$million"/>
    <w:basedOn w:val="Normal"/>
    <w:link w:val="millionChar"/>
    <w:qFormat/>
    <w:rsid w:val="00A778F2"/>
    <w:pPr>
      <w:jc w:val="center"/>
    </w:pPr>
    <w:rPr>
      <w:rFonts w:ascii="Calibri" w:hAnsi="Calibri"/>
      <w:i/>
      <w:sz w:val="18"/>
      <w:szCs w:val="18"/>
    </w:rPr>
  </w:style>
  <w:style w:type="character" w:customStyle="1" w:styleId="millionChar">
    <w:name w:val="$million Char"/>
    <w:link w:val="million"/>
    <w:rsid w:val="00A778F2"/>
    <w:rPr>
      <w:rFonts w:ascii="Calibri" w:hAnsi="Calibri" w:cs="Arial"/>
      <w:i/>
      <w:sz w:val="18"/>
      <w:szCs w:val="18"/>
    </w:rPr>
  </w:style>
  <w:style w:type="paragraph" w:customStyle="1" w:styleId="Chart6x0">
    <w:name w:val="Chart 6.x"/>
    <w:basedOn w:val="Chart5X"/>
    <w:qFormat/>
    <w:rsid w:val="006A014B"/>
    <w:pPr>
      <w:numPr>
        <w:numId w:val="0"/>
      </w:numPr>
    </w:pPr>
  </w:style>
  <w:style w:type="paragraph" w:customStyle="1" w:styleId="ChartB4X">
    <w:name w:val="Chart B4.X"/>
    <w:basedOn w:val="Normal"/>
    <w:rsid w:val="00A778F2"/>
    <w:pPr>
      <w:numPr>
        <w:numId w:val="9"/>
      </w:numPr>
      <w:spacing w:before="360" w:after="120"/>
    </w:pPr>
    <w:rPr>
      <w:b/>
      <w:bCs/>
      <w:kern w:val="28"/>
      <w:sz w:val="22"/>
      <w:szCs w:val="22"/>
    </w:rPr>
  </w:style>
  <w:style w:type="paragraph" w:styleId="Closing">
    <w:name w:val="Closing"/>
    <w:basedOn w:val="Normal"/>
    <w:link w:val="ClosingChar"/>
    <w:rsid w:val="00A778F2"/>
    <w:pPr>
      <w:ind w:left="4252"/>
    </w:pPr>
    <w:rPr>
      <w:rFonts w:ascii=".." w:hAnsi=".."/>
    </w:rPr>
  </w:style>
  <w:style w:type="character" w:customStyle="1" w:styleId="ClosingChar">
    <w:name w:val="Closing Char"/>
    <w:link w:val="Closing"/>
    <w:rsid w:val="00A778F2"/>
    <w:rPr>
      <w:rFonts w:ascii=".." w:hAnsi=".." w:cs="Arial"/>
    </w:rPr>
  </w:style>
  <w:style w:type="paragraph" w:styleId="E-mailSignature">
    <w:name w:val="E-mail Signature"/>
    <w:basedOn w:val="Normal"/>
    <w:link w:val="E-mailSignatureChar"/>
    <w:rsid w:val="00A778F2"/>
    <w:pPr>
      <w:numPr>
        <w:numId w:val="11"/>
      </w:numPr>
    </w:pPr>
    <w:rPr>
      <w:rFonts w:ascii=".." w:hAnsi=".."/>
    </w:rPr>
  </w:style>
  <w:style w:type="character" w:customStyle="1" w:styleId="E-mailSignatureChar">
    <w:name w:val="E-mail Signature Char"/>
    <w:link w:val="E-mailSignature"/>
    <w:rsid w:val="00A778F2"/>
    <w:rPr>
      <w:rFonts w:ascii=".." w:hAnsi=".." w:cs="Arial"/>
      <w:lang w:val="en-AU" w:eastAsia="en-AU"/>
    </w:rPr>
  </w:style>
  <w:style w:type="paragraph" w:customStyle="1" w:styleId="Instructionbullet">
    <w:name w:val="Instruction bullet"/>
    <w:basedOn w:val="Bullet1"/>
    <w:qFormat/>
    <w:rsid w:val="006A014B"/>
    <w:pPr>
      <w:numPr>
        <w:numId w:val="25"/>
      </w:numPr>
      <w:tabs>
        <w:tab w:val="clear" w:pos="357"/>
      </w:tabs>
      <w:jc w:val="both"/>
    </w:pPr>
    <w:rPr>
      <w:rFonts w:eastAsia="Times New Roman"/>
      <w:color w:val="7F7F7F"/>
      <w:lang w:eastAsia="en-US"/>
    </w:rPr>
  </w:style>
  <w:style w:type="paragraph" w:customStyle="1" w:styleId="Instructiontext">
    <w:name w:val="Instruction text"/>
    <w:basedOn w:val="BodyText"/>
    <w:qFormat/>
    <w:rsid w:val="006A014B"/>
    <w:pPr>
      <w:spacing w:line="340" w:lineRule="exact"/>
    </w:pPr>
    <w:rPr>
      <w:rFonts w:ascii="Garamond" w:hAnsi="Garamond"/>
      <w:color w:val="7F7F7F"/>
      <w:sz w:val="24"/>
    </w:rPr>
  </w:style>
  <w:style w:type="paragraph" w:styleId="ListBullet3">
    <w:name w:val="List Bullet 3"/>
    <w:basedOn w:val="Normal"/>
    <w:rsid w:val="00A778F2"/>
    <w:pPr>
      <w:numPr>
        <w:numId w:val="13"/>
      </w:numPr>
    </w:pPr>
  </w:style>
  <w:style w:type="paragraph" w:customStyle="1" w:styleId="Notes">
    <w:name w:val="Notes"/>
    <w:basedOn w:val="Normal"/>
    <w:link w:val="NotesChar"/>
    <w:qFormat/>
    <w:rsid w:val="00A778F2"/>
    <w:pPr>
      <w:tabs>
        <w:tab w:val="left" w:pos="454"/>
      </w:tabs>
      <w:ind w:left="461" w:hanging="461"/>
    </w:pPr>
    <w:rPr>
      <w:rFonts w:ascii="Calibri" w:hAnsi="Calibri"/>
      <w:i/>
      <w:sz w:val="15"/>
    </w:rPr>
  </w:style>
  <w:style w:type="character" w:customStyle="1" w:styleId="NotesChar">
    <w:name w:val="Notes Char"/>
    <w:link w:val="Notes"/>
    <w:locked/>
    <w:rsid w:val="00A778F2"/>
    <w:rPr>
      <w:rFonts w:ascii="Calibri" w:hAnsi="Calibri" w:cs="Arial"/>
      <w:i/>
      <w:sz w:val="15"/>
    </w:rPr>
  </w:style>
  <w:style w:type="paragraph" w:customStyle="1" w:styleId="Source">
    <w:name w:val="Source"/>
    <w:basedOn w:val="Normal"/>
    <w:next w:val="Normal"/>
    <w:link w:val="SourceChar"/>
    <w:qFormat/>
    <w:locked/>
    <w:rsid w:val="00A778F2"/>
    <w:pPr>
      <w:spacing w:after="120"/>
    </w:pPr>
    <w:rPr>
      <w:rFonts w:ascii="Calibri" w:hAnsi="Calibri"/>
      <w:i/>
      <w:sz w:val="15"/>
    </w:rPr>
  </w:style>
  <w:style w:type="character" w:customStyle="1" w:styleId="SourceChar">
    <w:name w:val="Source Char"/>
    <w:link w:val="Source"/>
    <w:locked/>
    <w:rsid w:val="00A778F2"/>
    <w:rPr>
      <w:rFonts w:ascii="Calibri" w:hAnsi="Calibri" w:cs="Arial"/>
      <w:i/>
      <w:sz w:val="15"/>
    </w:rPr>
  </w:style>
  <w:style w:type="paragraph" w:customStyle="1" w:styleId="Table2x">
    <w:name w:val="Table 2.x"/>
    <w:basedOn w:val="Table1X"/>
    <w:qFormat/>
    <w:rsid w:val="00A778F2"/>
    <w:pPr>
      <w:ind w:left="360" w:hanging="360"/>
    </w:pPr>
    <w:rPr>
      <w:b/>
    </w:rPr>
  </w:style>
  <w:style w:type="paragraph" w:customStyle="1" w:styleId="Table5X0">
    <w:name w:val="Table 5.X"/>
    <w:basedOn w:val="Normal"/>
    <w:rsid w:val="006A014B"/>
    <w:pPr>
      <w:tabs>
        <w:tab w:val="clear" w:pos="4196"/>
        <w:tab w:val="clear" w:pos="5046"/>
        <w:tab w:val="clear" w:pos="5897"/>
        <w:tab w:val="clear" w:pos="6747"/>
        <w:tab w:val="clear" w:pos="7598"/>
        <w:tab w:val="left" w:pos="1232"/>
      </w:tabs>
      <w:autoSpaceDE/>
      <w:autoSpaceDN/>
      <w:spacing w:before="360" w:after="120"/>
      <w:ind w:left="1627" w:hanging="360"/>
    </w:pPr>
    <w:rPr>
      <w:rFonts w:ascii="Lucida Sans" w:hAnsi="Lucida Sans" w:cs="Times New Roman"/>
      <w:bCs/>
      <w:kern w:val="28"/>
      <w:sz w:val="22"/>
      <w:szCs w:val="22"/>
      <w:lang w:val="en-US" w:eastAsia="en-US"/>
    </w:rPr>
  </w:style>
  <w:style w:type="paragraph" w:customStyle="1" w:styleId="Table7x">
    <w:name w:val="Table 7.x"/>
    <w:basedOn w:val="Table6X0"/>
    <w:qFormat/>
    <w:rsid w:val="006A014B"/>
    <w:pPr>
      <w:numPr>
        <w:numId w:val="29"/>
      </w:numPr>
      <w:tabs>
        <w:tab w:val="clear" w:pos="1232"/>
        <w:tab w:val="left" w:pos="1418"/>
      </w:tabs>
    </w:pPr>
    <w:rPr>
      <w:rFonts w:ascii="Arial" w:hAnsi="Arial"/>
      <w:i/>
      <w:color w:val="57514D"/>
      <w:sz w:val="20"/>
      <w:lang w:val="en-AU"/>
    </w:rPr>
  </w:style>
  <w:style w:type="paragraph" w:customStyle="1" w:styleId="Table9x">
    <w:name w:val="Table 9.x"/>
    <w:basedOn w:val="Normal"/>
    <w:qFormat/>
    <w:rsid w:val="006A014B"/>
    <w:p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B2X">
    <w:name w:val="Table B2.X"/>
    <w:basedOn w:val="TableHeading"/>
    <w:rsid w:val="00A778F2"/>
    <w:pPr>
      <w:keepNext w:val="0"/>
      <w:keepLines w:val="0"/>
      <w:numPr>
        <w:numId w:val="17"/>
      </w:numPr>
      <w:tabs>
        <w:tab w:val="left" w:pos="1232"/>
      </w:tabs>
      <w:spacing w:before="360"/>
    </w:pPr>
    <w:rPr>
      <w:b w:val="0"/>
      <w:bCs/>
      <w:i/>
      <w:color w:val="57514D"/>
      <w:kern w:val="28"/>
      <w:sz w:val="20"/>
      <w:szCs w:val="22"/>
    </w:rPr>
  </w:style>
  <w:style w:type="table" w:customStyle="1" w:styleId="TableGrid1">
    <w:name w:val="Table Grid1"/>
    <w:basedOn w:val="TableNormal"/>
    <w:next w:val="TableGrid"/>
    <w:uiPriority w:val="59"/>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qFormat/>
    <w:rsid w:val="00A778F2"/>
    <w:pPr>
      <w:keepNext/>
      <w:spacing w:before="240" w:after="120"/>
      <w:ind w:left="1152" w:hanging="1152"/>
    </w:pPr>
    <w:rPr>
      <w:rFonts w:ascii="Calibri" w:hAnsi="Calibri"/>
      <w:b/>
      <w:sz w:val="22"/>
    </w:rPr>
  </w:style>
  <w:style w:type="character" w:customStyle="1" w:styleId="TableheadingChar0">
    <w:name w:val="Table heading Char"/>
    <w:link w:val="Tableheading0"/>
    <w:rsid w:val="00A778F2"/>
    <w:rPr>
      <w:rFonts w:ascii="Calibri" w:hAnsi="Calibri" w:cs="Arial"/>
      <w:b/>
      <w:sz w:val="22"/>
    </w:rPr>
  </w:style>
  <w:style w:type="paragraph" w:styleId="TableofFigures">
    <w:name w:val="table of figures"/>
    <w:basedOn w:val="Normal"/>
    <w:next w:val="Normal"/>
    <w:link w:val="TableofFiguresChar"/>
    <w:qFormat/>
    <w:rsid w:val="00A778F2"/>
    <w:pPr>
      <w:jc w:val="right"/>
    </w:pPr>
    <w:rPr>
      <w:rFonts w:ascii="Calibri" w:hAnsi="Calibri"/>
      <w:szCs w:val="18"/>
    </w:rPr>
  </w:style>
  <w:style w:type="character" w:customStyle="1" w:styleId="TableofFiguresChar">
    <w:name w:val="Table of Figures Char"/>
    <w:link w:val="TableofFigures"/>
    <w:rsid w:val="00A778F2"/>
    <w:rPr>
      <w:rFonts w:ascii="Calibri" w:hAnsi="Calibri" w:cs="Arial"/>
      <w:szCs w:val="18"/>
    </w:rPr>
  </w:style>
  <w:style w:type="paragraph" w:customStyle="1" w:styleId="Tabletext">
    <w:name w:val="Table text"/>
    <w:basedOn w:val="TableofFigures"/>
    <w:link w:val="TabletextChar"/>
    <w:qFormat/>
    <w:rsid w:val="00A778F2"/>
    <w:pPr>
      <w:ind w:left="180" w:hanging="180"/>
      <w:jc w:val="left"/>
    </w:pPr>
  </w:style>
  <w:style w:type="character" w:customStyle="1" w:styleId="TabletextChar">
    <w:name w:val="Table text Char"/>
    <w:link w:val="Tabletext"/>
    <w:rsid w:val="00A778F2"/>
    <w:rPr>
      <w:rFonts w:ascii="Calibri" w:hAnsi="Calibri" w:cs="Arial"/>
      <w:szCs w:val="18"/>
    </w:rPr>
  </w:style>
  <w:style w:type="paragraph" w:customStyle="1" w:styleId="Tabletextheading">
    <w:name w:val="Table text heading"/>
    <w:basedOn w:val="TableofFigures"/>
    <w:link w:val="TabletextheadingChar"/>
    <w:qFormat/>
    <w:rsid w:val="00A778F2"/>
    <w:rPr>
      <w:i/>
    </w:rPr>
  </w:style>
  <w:style w:type="character" w:customStyle="1" w:styleId="TabletextheadingChar">
    <w:name w:val="Table text heading Char"/>
    <w:link w:val="Tabletextheading"/>
    <w:locked/>
    <w:rsid w:val="00A778F2"/>
    <w:rPr>
      <w:rFonts w:ascii="Calibri" w:hAnsi="Calibri" w:cs="Arial"/>
      <w:i/>
      <w:szCs w:val="18"/>
    </w:rPr>
  </w:style>
  <w:style w:type="paragraph" w:customStyle="1" w:styleId="TableTextNormal">
    <w:name w:val="Table Text Normal"/>
    <w:basedOn w:val="Normal"/>
    <w:link w:val="TableTextNormalChar"/>
    <w:rsid w:val="006A014B"/>
    <w:pPr>
      <w:widowControl/>
      <w:tabs>
        <w:tab w:val="clear" w:pos="4196"/>
        <w:tab w:val="clear" w:pos="5046"/>
        <w:tab w:val="clear" w:pos="5897"/>
        <w:tab w:val="clear" w:pos="6747"/>
        <w:tab w:val="clear" w:pos="7598"/>
      </w:tabs>
      <w:kinsoku w:val="0"/>
      <w:overflowPunct w:val="0"/>
      <w:adjustRightInd w:val="0"/>
      <w:snapToGrid w:val="0"/>
      <w:spacing w:before="60" w:after="60"/>
    </w:pPr>
    <w:rPr>
      <w:snapToGrid w:val="0"/>
      <w:sz w:val="18"/>
      <w:lang w:eastAsia="en-US"/>
    </w:rPr>
  </w:style>
  <w:style w:type="character" w:customStyle="1" w:styleId="TableTextNormalChar">
    <w:name w:val="Table Text Normal Char"/>
    <w:link w:val="TableTextNormal"/>
    <w:rsid w:val="006A014B"/>
    <w:rPr>
      <w:rFonts w:ascii="Arial" w:hAnsi="Arial" w:cs="Arial"/>
      <w:snapToGrid w:val="0"/>
      <w:sz w:val="18"/>
      <w:lang w:eastAsia="en-US"/>
    </w:rPr>
  </w:style>
  <w:style w:type="paragraph" w:customStyle="1" w:styleId="Tablex">
    <w:name w:val="Table x"/>
    <w:basedOn w:val="Normal"/>
    <w:qFormat/>
    <w:rsid w:val="00A778F2"/>
    <w:pPr>
      <w:keepNext/>
      <w:keepLines/>
      <w:numPr>
        <w:numId w:val="18"/>
      </w:numPr>
    </w:pPr>
  </w:style>
  <w:style w:type="paragraph" w:customStyle="1" w:styleId="TitlePage1">
    <w:name w:val="Title Page 1"/>
    <w:rsid w:val="00A778F2"/>
    <w:pPr>
      <w:keepLines/>
      <w:jc w:val="center"/>
    </w:pPr>
    <w:rPr>
      <w:rFonts w:ascii="Tahoma" w:hAnsi="Tahoma"/>
      <w:b/>
      <w:color w:val="000000"/>
      <w:kern w:val="32"/>
      <w:sz w:val="40"/>
      <w:lang w:val="en-AU" w:eastAsia="en-US"/>
    </w:rPr>
  </w:style>
  <w:style w:type="paragraph" w:customStyle="1" w:styleId="TOC1contents">
    <w:name w:val="TOC1contents"/>
    <w:basedOn w:val="Normal"/>
    <w:rsid w:val="00A778F2"/>
    <w:pPr>
      <w:keepNext/>
      <w:keepLines/>
      <w:tabs>
        <w:tab w:val="right" w:leader="dot" w:pos="6804"/>
        <w:tab w:val="decimal" w:pos="7088"/>
      </w:tabs>
      <w:spacing w:before="480"/>
    </w:pPr>
    <w:rPr>
      <w:b/>
      <w:smallCaps/>
      <w:kern w:val="32"/>
      <w:sz w:val="22"/>
    </w:rPr>
  </w:style>
  <w:style w:type="paragraph" w:customStyle="1" w:styleId="TOC2contents">
    <w:name w:val="TOC2contents"/>
    <w:basedOn w:val="Normal"/>
    <w:rsid w:val="00A778F2"/>
    <w:pPr>
      <w:keepNext/>
      <w:keepLines/>
      <w:tabs>
        <w:tab w:val="num" w:pos="1702"/>
        <w:tab w:val="right" w:leader="dot" w:pos="6804"/>
        <w:tab w:val="decimal" w:pos="7088"/>
      </w:tabs>
      <w:spacing w:before="120"/>
      <w:ind w:left="1702" w:hanging="425"/>
    </w:pPr>
    <w:rPr>
      <w:kern w:val="32"/>
      <w:sz w:val="18"/>
    </w:rPr>
  </w:style>
  <w:style w:type="paragraph" w:customStyle="1" w:styleId="Chart4X">
    <w:name w:val="Chart 4.X"/>
    <w:basedOn w:val="Normal"/>
    <w:rsid w:val="006A014B"/>
    <w:pPr>
      <w:tabs>
        <w:tab w:val="clear" w:pos="4196"/>
        <w:tab w:val="clear" w:pos="5046"/>
        <w:tab w:val="clear" w:pos="5897"/>
        <w:tab w:val="clear" w:pos="6747"/>
        <w:tab w:val="clear" w:pos="7598"/>
        <w:tab w:val="left" w:pos="1134"/>
      </w:tabs>
      <w:autoSpaceDE/>
      <w:autoSpaceDN/>
      <w:spacing w:before="160" w:after="120"/>
    </w:pPr>
    <w:rPr>
      <w:rFonts w:cs="Times New Roman"/>
      <w:bCs/>
      <w:i/>
      <w:color w:val="57514D"/>
      <w:kern w:val="28"/>
      <w:sz w:val="22"/>
      <w:szCs w:val="22"/>
      <w:lang w:val="en-US" w:eastAsia="en-US"/>
    </w:rPr>
  </w:style>
  <w:style w:type="paragraph" w:customStyle="1" w:styleId="Table4x">
    <w:name w:val="Table 4.x"/>
    <w:basedOn w:val="Normal"/>
    <w:qFormat/>
    <w:rsid w:val="006A014B"/>
    <w:pPr>
      <w:numPr>
        <w:numId w:val="27"/>
      </w:num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character" w:styleId="UnresolvedMention">
    <w:name w:val="Unresolved Mention"/>
    <w:uiPriority w:val="47"/>
    <w:rsid w:val="009A1A08"/>
    <w:rPr>
      <w:color w:val="605E5C"/>
      <w:shd w:val="clear" w:color="auto" w:fill="E1DFDD"/>
    </w:rPr>
  </w:style>
  <w:style w:type="paragraph" w:customStyle="1" w:styleId="Table1">
    <w:name w:val="Table 1"/>
    <w:basedOn w:val="TableHeading"/>
    <w:rsid w:val="00DF0013"/>
    <w:pPr>
      <w:keepNext w:val="0"/>
      <w:keepLines w:val="0"/>
      <w:tabs>
        <w:tab w:val="clear" w:pos="4196"/>
        <w:tab w:val="clear" w:pos="5046"/>
        <w:tab w:val="clear" w:pos="5897"/>
        <w:tab w:val="clear" w:pos="6747"/>
        <w:tab w:val="clear" w:pos="7598"/>
        <w:tab w:val="num" w:pos="785"/>
        <w:tab w:val="left" w:pos="1232"/>
        <w:tab w:val="num" w:pos="1298"/>
      </w:tabs>
      <w:spacing w:before="360"/>
      <w:ind w:left="1298" w:hanging="1418"/>
    </w:pPr>
    <w:rPr>
      <w:rFonts w:ascii="Lucida Sans" w:hAnsi="Lucida Sans" w:cs="Times New Roman"/>
      <w:b w:val="0"/>
      <w:bCs/>
      <w:kern w:val="28"/>
      <w:sz w:val="22"/>
      <w:szCs w:val="22"/>
    </w:rPr>
  </w:style>
  <w:style w:type="character" w:customStyle="1" w:styleId="normaltextrun">
    <w:name w:val="normaltextrun"/>
    <w:rsid w:val="005D62E6"/>
  </w:style>
  <w:style w:type="character" w:customStyle="1" w:styleId="eop">
    <w:name w:val="eop"/>
    <w:rsid w:val="005D62E6"/>
  </w:style>
  <w:style w:type="paragraph" w:customStyle="1" w:styleId="TOC31">
    <w:name w:val="TOC 31"/>
    <w:basedOn w:val="Normal"/>
    <w:rsid w:val="002158CD"/>
    <w:pPr>
      <w:keepNext/>
      <w:keepLines/>
      <w:tabs>
        <w:tab w:val="left" w:pos="142"/>
        <w:tab w:val="right" w:leader="dot" w:pos="6096"/>
        <w:tab w:val="decimal" w:pos="6379"/>
        <w:tab w:val="decimal" w:pos="7371"/>
      </w:tabs>
      <w:spacing w:before="600" w:after="120"/>
      <w:ind w:left="142" w:hanging="142"/>
    </w:pPr>
    <w:rPr>
      <w:b/>
      <w:smallCaps/>
      <w:kern w:val="32"/>
      <w:sz w:val="22"/>
    </w:rPr>
  </w:style>
  <w:style w:type="paragraph" w:customStyle="1" w:styleId="TableX0">
    <w:name w:val="Table X"/>
    <w:basedOn w:val="Normal"/>
    <w:qFormat/>
    <w:rsid w:val="00F255A2"/>
    <w:pPr>
      <w:numPr>
        <w:numId w:val="33"/>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3"/>
      <w:szCs w:val="22"/>
      <w:lang w:val="en-US" w:eastAsia="en-US"/>
    </w:rPr>
  </w:style>
  <w:style w:type="paragraph" w:styleId="ListParagraph">
    <w:name w:val="List Paragraph"/>
    <w:basedOn w:val="Normal"/>
    <w:link w:val="ListParagraphChar"/>
    <w:uiPriority w:val="34"/>
    <w:qFormat/>
    <w:rsid w:val="00F13F38"/>
    <w:pPr>
      <w:ind w:left="720"/>
      <w:contextualSpacing/>
    </w:pPr>
  </w:style>
  <w:style w:type="character" w:customStyle="1" w:styleId="ListParagraphChar">
    <w:name w:val="List Paragraph Char"/>
    <w:link w:val="ListParagraph"/>
    <w:uiPriority w:val="34"/>
    <w:locked/>
    <w:rsid w:val="00F13F38"/>
    <w:rPr>
      <w:rFonts w:ascii="Arial" w:hAnsi="Arial" w:cs="Arial"/>
      <w:lang w:val="en-AU" w:eastAsia="en-AU"/>
    </w:rPr>
  </w:style>
  <w:style w:type="paragraph" w:styleId="TOCHeading">
    <w:name w:val="TOC Heading"/>
    <w:basedOn w:val="Heading1"/>
    <w:next w:val="Normal"/>
    <w:uiPriority w:val="39"/>
    <w:unhideWhenUsed/>
    <w:qFormat/>
    <w:rsid w:val="00367E57"/>
    <w:pPr>
      <w:widowControl/>
      <w:tabs>
        <w:tab w:val="clear" w:pos="4196"/>
        <w:tab w:val="clear" w:pos="5046"/>
        <w:tab w:val="clear" w:pos="5897"/>
        <w:tab w:val="clear" w:pos="6747"/>
        <w:tab w:val="clear" w:pos="7598"/>
      </w:tabs>
      <w:autoSpaceDE/>
      <w:autoSpaceDN/>
      <w:spacing w:before="240" w:line="259" w:lineRule="auto"/>
      <w:outlineLvl w:val="9"/>
    </w:pPr>
    <w:rPr>
      <w:rFonts w:asciiTheme="majorHAnsi" w:eastAsiaTheme="majorEastAsia" w:hAnsiTheme="majorHAnsi" w:cstheme="majorBidi"/>
      <w:bCs w:val="0"/>
      <w:caps w:val="0"/>
      <w:color w:val="2F5496" w:themeColor="accent1" w:themeShade="BF"/>
      <w:sz w:val="32"/>
      <w:szCs w:val="32"/>
      <w:lang w:val="en-US" w:eastAsia="en-US"/>
    </w:rPr>
  </w:style>
  <w:style w:type="paragraph" w:styleId="TOC3">
    <w:name w:val="toc 3"/>
    <w:basedOn w:val="Normal"/>
    <w:next w:val="Normal"/>
    <w:autoRedefine/>
    <w:uiPriority w:val="39"/>
    <w:unhideWhenUsed/>
    <w:rsid w:val="00367E57"/>
    <w:pPr>
      <w:widowControl/>
      <w:tabs>
        <w:tab w:val="clear" w:pos="4196"/>
        <w:tab w:val="clear" w:pos="5046"/>
        <w:tab w:val="clear" w:pos="5897"/>
        <w:tab w:val="clear" w:pos="6747"/>
        <w:tab w:val="clear" w:pos="7598"/>
      </w:tabs>
      <w:autoSpaceDE/>
      <w:autoSpaceDN/>
      <w:spacing w:after="100" w:line="259" w:lineRule="auto"/>
      <w:ind w:left="440"/>
    </w:pPr>
    <w:rPr>
      <w:rFonts w:asciiTheme="minorHAnsi" w:eastAsiaTheme="minorEastAsia" w:hAnsiTheme="minorHAnsi" w:cs="Times New Roman"/>
      <w:sz w:val="22"/>
      <w:szCs w:val="22"/>
      <w:lang w:val="en-US" w:eastAsia="en-US"/>
    </w:rPr>
  </w:style>
  <w:style w:type="character" w:styleId="Mention">
    <w:name w:val="Mention"/>
    <w:basedOn w:val="DefaultParagraphFont"/>
    <w:uiPriority w:val="99"/>
    <w:unhideWhenUsed/>
    <w:rsid w:val="00793609"/>
    <w:rPr>
      <w:color w:val="2B579A"/>
      <w:shd w:val="clear" w:color="auto" w:fill="E1DFDD"/>
    </w:rPr>
  </w:style>
  <w:style w:type="paragraph" w:customStyle="1" w:styleId="Box21BoxHeading">
    <w:name w:val="Box 2.1: Box Heading"/>
    <w:basedOn w:val="Normal"/>
    <w:qFormat/>
    <w:rsid w:val="00B037C6"/>
    <w:pPr>
      <w:widowControl/>
      <w:tabs>
        <w:tab w:val="clear" w:pos="4196"/>
        <w:tab w:val="clear" w:pos="5046"/>
        <w:tab w:val="clear" w:pos="5897"/>
        <w:tab w:val="clear" w:pos="6747"/>
        <w:tab w:val="clear" w:pos="7598"/>
        <w:tab w:val="left" w:pos="1134"/>
      </w:tabs>
      <w:autoSpaceDE/>
      <w:autoSpaceDN/>
      <w:spacing w:before="80" w:after="60"/>
      <w:ind w:left="1134" w:hanging="1134"/>
    </w:pPr>
    <w:rPr>
      <w:rFonts w:ascii="Arial Bold" w:hAnsi="Arial Bold" w:cs="Times New Roman"/>
      <w:b/>
      <w:sz w:val="23"/>
      <w:lang w:eastAsia="en-US"/>
    </w:rPr>
  </w:style>
  <w:style w:type="paragraph" w:styleId="Revision">
    <w:name w:val="Revision"/>
    <w:hidden/>
    <w:uiPriority w:val="71"/>
    <w:rsid w:val="00866BDE"/>
    <w:rPr>
      <w:rFonts w:ascii="Arial" w:hAnsi="Arial" w:cs="Arial"/>
      <w:lang w:val="en-AU" w:eastAsia="en-AU"/>
    </w:rPr>
  </w:style>
  <w:style w:type="paragraph" w:customStyle="1" w:styleId="Bullet2inabox">
    <w:name w:val="Bullet 2 in a box"/>
    <w:basedOn w:val="Normal"/>
    <w:qFormat/>
    <w:rsid w:val="00C47E8E"/>
    <w:pPr>
      <w:widowControl/>
      <w:numPr>
        <w:numId w:val="42"/>
      </w:numPr>
      <w:tabs>
        <w:tab w:val="clear" w:pos="4196"/>
        <w:tab w:val="clear" w:pos="5046"/>
        <w:tab w:val="clear" w:pos="5897"/>
        <w:tab w:val="clear" w:pos="6747"/>
        <w:tab w:val="clear" w:pos="7598"/>
      </w:tabs>
      <w:autoSpaceDE/>
      <w:autoSpaceDN/>
      <w:spacing w:before="100" w:after="60" w:line="240" w:lineRule="atLeast"/>
    </w:pPr>
    <w:rPr>
      <w:rFonts w:cs="Times New Roman"/>
      <w:color w:val="008EBA"/>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80224869">
      <w:bodyDiv w:val="1"/>
      <w:marLeft w:val="0"/>
      <w:marRight w:val="0"/>
      <w:marTop w:val="0"/>
      <w:marBottom w:val="0"/>
      <w:divBdr>
        <w:top w:val="none" w:sz="0" w:space="0" w:color="auto"/>
        <w:left w:val="none" w:sz="0" w:space="0" w:color="auto"/>
        <w:bottom w:val="none" w:sz="0" w:space="0" w:color="auto"/>
        <w:right w:val="none" w:sz="0" w:space="0" w:color="auto"/>
      </w:divBdr>
    </w:div>
    <w:div w:id="109665756">
      <w:bodyDiv w:val="1"/>
      <w:marLeft w:val="0"/>
      <w:marRight w:val="0"/>
      <w:marTop w:val="0"/>
      <w:marBottom w:val="0"/>
      <w:divBdr>
        <w:top w:val="none" w:sz="0" w:space="0" w:color="auto"/>
        <w:left w:val="none" w:sz="0" w:space="0" w:color="auto"/>
        <w:bottom w:val="none" w:sz="0" w:space="0" w:color="auto"/>
        <w:right w:val="none" w:sz="0" w:space="0" w:color="auto"/>
      </w:divBdr>
    </w:div>
    <w:div w:id="128941403">
      <w:bodyDiv w:val="1"/>
      <w:marLeft w:val="0"/>
      <w:marRight w:val="0"/>
      <w:marTop w:val="0"/>
      <w:marBottom w:val="0"/>
      <w:divBdr>
        <w:top w:val="none" w:sz="0" w:space="0" w:color="auto"/>
        <w:left w:val="none" w:sz="0" w:space="0" w:color="auto"/>
        <w:bottom w:val="none" w:sz="0" w:space="0" w:color="auto"/>
        <w:right w:val="none" w:sz="0" w:space="0" w:color="auto"/>
      </w:divBdr>
      <w:divsChild>
        <w:div w:id="1607493213">
          <w:marLeft w:val="0"/>
          <w:marRight w:val="0"/>
          <w:marTop w:val="0"/>
          <w:marBottom w:val="0"/>
          <w:divBdr>
            <w:top w:val="none" w:sz="0" w:space="0" w:color="auto"/>
            <w:left w:val="none" w:sz="0" w:space="0" w:color="auto"/>
            <w:bottom w:val="none" w:sz="0" w:space="0" w:color="auto"/>
            <w:right w:val="none" w:sz="0" w:space="0" w:color="auto"/>
          </w:divBdr>
        </w:div>
      </w:divsChild>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0307712">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2777727">
      <w:bodyDiv w:val="1"/>
      <w:marLeft w:val="0"/>
      <w:marRight w:val="0"/>
      <w:marTop w:val="0"/>
      <w:marBottom w:val="0"/>
      <w:divBdr>
        <w:top w:val="none" w:sz="0" w:space="0" w:color="auto"/>
        <w:left w:val="none" w:sz="0" w:space="0" w:color="auto"/>
        <w:bottom w:val="none" w:sz="0" w:space="0" w:color="auto"/>
        <w:right w:val="none" w:sz="0" w:space="0" w:color="auto"/>
      </w:divBdr>
    </w:div>
    <w:div w:id="380053992">
      <w:bodyDiv w:val="1"/>
      <w:marLeft w:val="0"/>
      <w:marRight w:val="0"/>
      <w:marTop w:val="0"/>
      <w:marBottom w:val="0"/>
      <w:divBdr>
        <w:top w:val="none" w:sz="0" w:space="0" w:color="auto"/>
        <w:left w:val="none" w:sz="0" w:space="0" w:color="auto"/>
        <w:bottom w:val="none" w:sz="0" w:space="0" w:color="auto"/>
        <w:right w:val="none" w:sz="0" w:space="0" w:color="auto"/>
      </w:divBdr>
    </w:div>
    <w:div w:id="450631730">
      <w:bodyDiv w:val="1"/>
      <w:marLeft w:val="0"/>
      <w:marRight w:val="0"/>
      <w:marTop w:val="0"/>
      <w:marBottom w:val="0"/>
      <w:divBdr>
        <w:top w:val="none" w:sz="0" w:space="0" w:color="auto"/>
        <w:left w:val="none" w:sz="0" w:space="0" w:color="auto"/>
        <w:bottom w:val="none" w:sz="0" w:space="0" w:color="auto"/>
        <w:right w:val="none" w:sz="0" w:space="0" w:color="auto"/>
      </w:divBdr>
    </w:div>
    <w:div w:id="492643552">
      <w:bodyDiv w:val="1"/>
      <w:marLeft w:val="0"/>
      <w:marRight w:val="0"/>
      <w:marTop w:val="0"/>
      <w:marBottom w:val="0"/>
      <w:divBdr>
        <w:top w:val="none" w:sz="0" w:space="0" w:color="auto"/>
        <w:left w:val="none" w:sz="0" w:space="0" w:color="auto"/>
        <w:bottom w:val="none" w:sz="0" w:space="0" w:color="auto"/>
        <w:right w:val="none" w:sz="0" w:space="0" w:color="auto"/>
      </w:divBdr>
    </w:div>
    <w:div w:id="493451652">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30340896">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91401691">
      <w:bodyDiv w:val="1"/>
      <w:marLeft w:val="0"/>
      <w:marRight w:val="0"/>
      <w:marTop w:val="0"/>
      <w:marBottom w:val="0"/>
      <w:divBdr>
        <w:top w:val="none" w:sz="0" w:space="0" w:color="auto"/>
        <w:left w:val="none" w:sz="0" w:space="0" w:color="auto"/>
        <w:bottom w:val="none" w:sz="0" w:space="0" w:color="auto"/>
        <w:right w:val="none" w:sz="0" w:space="0" w:color="auto"/>
      </w:divBdr>
    </w:div>
    <w:div w:id="601256046">
      <w:bodyDiv w:val="1"/>
      <w:marLeft w:val="0"/>
      <w:marRight w:val="0"/>
      <w:marTop w:val="0"/>
      <w:marBottom w:val="0"/>
      <w:divBdr>
        <w:top w:val="none" w:sz="0" w:space="0" w:color="auto"/>
        <w:left w:val="none" w:sz="0" w:space="0" w:color="auto"/>
        <w:bottom w:val="none" w:sz="0" w:space="0" w:color="auto"/>
        <w:right w:val="none" w:sz="0" w:space="0" w:color="auto"/>
      </w:divBdr>
    </w:div>
    <w:div w:id="626200029">
      <w:bodyDiv w:val="1"/>
      <w:marLeft w:val="0"/>
      <w:marRight w:val="0"/>
      <w:marTop w:val="0"/>
      <w:marBottom w:val="0"/>
      <w:divBdr>
        <w:top w:val="none" w:sz="0" w:space="0" w:color="auto"/>
        <w:left w:val="none" w:sz="0" w:space="0" w:color="auto"/>
        <w:bottom w:val="none" w:sz="0" w:space="0" w:color="auto"/>
        <w:right w:val="none" w:sz="0" w:space="0" w:color="auto"/>
      </w:divBdr>
    </w:div>
    <w:div w:id="651912808">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05911394">
      <w:bodyDiv w:val="1"/>
      <w:marLeft w:val="0"/>
      <w:marRight w:val="0"/>
      <w:marTop w:val="0"/>
      <w:marBottom w:val="0"/>
      <w:divBdr>
        <w:top w:val="none" w:sz="0" w:space="0" w:color="auto"/>
        <w:left w:val="none" w:sz="0" w:space="0" w:color="auto"/>
        <w:bottom w:val="none" w:sz="0" w:space="0" w:color="auto"/>
        <w:right w:val="none" w:sz="0" w:space="0" w:color="auto"/>
      </w:divBdr>
    </w:div>
    <w:div w:id="738360340">
      <w:bodyDiv w:val="1"/>
      <w:marLeft w:val="0"/>
      <w:marRight w:val="0"/>
      <w:marTop w:val="0"/>
      <w:marBottom w:val="0"/>
      <w:divBdr>
        <w:top w:val="none" w:sz="0" w:space="0" w:color="auto"/>
        <w:left w:val="none" w:sz="0" w:space="0" w:color="auto"/>
        <w:bottom w:val="none" w:sz="0" w:space="0" w:color="auto"/>
        <w:right w:val="none" w:sz="0" w:space="0" w:color="auto"/>
      </w:divBdr>
    </w:div>
    <w:div w:id="751927035">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29373292">
      <w:bodyDiv w:val="1"/>
      <w:marLeft w:val="0"/>
      <w:marRight w:val="0"/>
      <w:marTop w:val="0"/>
      <w:marBottom w:val="0"/>
      <w:divBdr>
        <w:top w:val="none" w:sz="0" w:space="0" w:color="auto"/>
        <w:left w:val="none" w:sz="0" w:space="0" w:color="auto"/>
        <w:bottom w:val="none" w:sz="0" w:space="0" w:color="auto"/>
        <w:right w:val="none" w:sz="0" w:space="0" w:color="auto"/>
      </w:divBdr>
    </w:div>
    <w:div w:id="840780719">
      <w:bodyDiv w:val="1"/>
      <w:marLeft w:val="0"/>
      <w:marRight w:val="0"/>
      <w:marTop w:val="0"/>
      <w:marBottom w:val="0"/>
      <w:divBdr>
        <w:top w:val="none" w:sz="0" w:space="0" w:color="auto"/>
        <w:left w:val="none" w:sz="0" w:space="0" w:color="auto"/>
        <w:bottom w:val="none" w:sz="0" w:space="0" w:color="auto"/>
        <w:right w:val="none" w:sz="0" w:space="0" w:color="auto"/>
      </w:divBdr>
    </w:div>
    <w:div w:id="87781424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922450546">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75836858">
      <w:bodyDiv w:val="1"/>
      <w:marLeft w:val="0"/>
      <w:marRight w:val="0"/>
      <w:marTop w:val="0"/>
      <w:marBottom w:val="0"/>
      <w:divBdr>
        <w:top w:val="none" w:sz="0" w:space="0" w:color="auto"/>
        <w:left w:val="none" w:sz="0" w:space="0" w:color="auto"/>
        <w:bottom w:val="none" w:sz="0" w:space="0" w:color="auto"/>
        <w:right w:val="none" w:sz="0" w:space="0" w:color="auto"/>
      </w:divBdr>
    </w:div>
    <w:div w:id="1003554833">
      <w:bodyDiv w:val="1"/>
      <w:marLeft w:val="0"/>
      <w:marRight w:val="0"/>
      <w:marTop w:val="0"/>
      <w:marBottom w:val="0"/>
      <w:divBdr>
        <w:top w:val="none" w:sz="0" w:space="0" w:color="auto"/>
        <w:left w:val="none" w:sz="0" w:space="0" w:color="auto"/>
        <w:bottom w:val="none" w:sz="0" w:space="0" w:color="auto"/>
        <w:right w:val="none" w:sz="0" w:space="0" w:color="auto"/>
      </w:divBdr>
    </w:div>
    <w:div w:id="1012801234">
      <w:bodyDiv w:val="1"/>
      <w:marLeft w:val="0"/>
      <w:marRight w:val="0"/>
      <w:marTop w:val="0"/>
      <w:marBottom w:val="0"/>
      <w:divBdr>
        <w:top w:val="none" w:sz="0" w:space="0" w:color="auto"/>
        <w:left w:val="none" w:sz="0" w:space="0" w:color="auto"/>
        <w:bottom w:val="none" w:sz="0" w:space="0" w:color="auto"/>
        <w:right w:val="none" w:sz="0" w:space="0" w:color="auto"/>
      </w:divBdr>
    </w:div>
    <w:div w:id="1028526416">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80058766">
      <w:bodyDiv w:val="1"/>
      <w:marLeft w:val="0"/>
      <w:marRight w:val="0"/>
      <w:marTop w:val="0"/>
      <w:marBottom w:val="0"/>
      <w:divBdr>
        <w:top w:val="none" w:sz="0" w:space="0" w:color="auto"/>
        <w:left w:val="none" w:sz="0" w:space="0" w:color="auto"/>
        <w:bottom w:val="none" w:sz="0" w:space="0" w:color="auto"/>
        <w:right w:val="none" w:sz="0" w:space="0" w:color="auto"/>
      </w:divBdr>
    </w:div>
    <w:div w:id="1195191872">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9298320">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0601842">
      <w:bodyDiv w:val="1"/>
      <w:marLeft w:val="0"/>
      <w:marRight w:val="0"/>
      <w:marTop w:val="0"/>
      <w:marBottom w:val="0"/>
      <w:divBdr>
        <w:top w:val="none" w:sz="0" w:space="0" w:color="auto"/>
        <w:left w:val="none" w:sz="0" w:space="0" w:color="auto"/>
        <w:bottom w:val="none" w:sz="0" w:space="0" w:color="auto"/>
        <w:right w:val="none" w:sz="0" w:space="0" w:color="auto"/>
      </w:divBdr>
    </w:div>
    <w:div w:id="1294943700">
      <w:bodyDiv w:val="1"/>
      <w:marLeft w:val="0"/>
      <w:marRight w:val="0"/>
      <w:marTop w:val="0"/>
      <w:marBottom w:val="0"/>
      <w:divBdr>
        <w:top w:val="none" w:sz="0" w:space="0" w:color="auto"/>
        <w:left w:val="none" w:sz="0" w:space="0" w:color="auto"/>
        <w:bottom w:val="none" w:sz="0" w:space="0" w:color="auto"/>
        <w:right w:val="none" w:sz="0" w:space="0" w:color="auto"/>
      </w:divBdr>
    </w:div>
    <w:div w:id="1332374340">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42841515">
      <w:bodyDiv w:val="1"/>
      <w:marLeft w:val="0"/>
      <w:marRight w:val="0"/>
      <w:marTop w:val="0"/>
      <w:marBottom w:val="0"/>
      <w:divBdr>
        <w:top w:val="none" w:sz="0" w:space="0" w:color="auto"/>
        <w:left w:val="none" w:sz="0" w:space="0" w:color="auto"/>
        <w:bottom w:val="none" w:sz="0" w:space="0" w:color="auto"/>
        <w:right w:val="none" w:sz="0" w:space="0" w:color="auto"/>
      </w:divBdr>
    </w:div>
    <w:div w:id="1454640192">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21160945">
      <w:bodyDiv w:val="1"/>
      <w:marLeft w:val="0"/>
      <w:marRight w:val="0"/>
      <w:marTop w:val="0"/>
      <w:marBottom w:val="0"/>
      <w:divBdr>
        <w:top w:val="none" w:sz="0" w:space="0" w:color="auto"/>
        <w:left w:val="none" w:sz="0" w:space="0" w:color="auto"/>
        <w:bottom w:val="none" w:sz="0" w:space="0" w:color="auto"/>
        <w:right w:val="none" w:sz="0" w:space="0" w:color="auto"/>
      </w:divBdr>
    </w:div>
    <w:div w:id="1536843632">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6744076">
      <w:bodyDiv w:val="1"/>
      <w:marLeft w:val="0"/>
      <w:marRight w:val="0"/>
      <w:marTop w:val="0"/>
      <w:marBottom w:val="0"/>
      <w:divBdr>
        <w:top w:val="none" w:sz="0" w:space="0" w:color="auto"/>
        <w:left w:val="none" w:sz="0" w:space="0" w:color="auto"/>
        <w:bottom w:val="none" w:sz="0" w:space="0" w:color="auto"/>
        <w:right w:val="none" w:sz="0" w:space="0" w:color="auto"/>
      </w:divBdr>
      <w:divsChild>
        <w:div w:id="151416532">
          <w:marLeft w:val="547"/>
          <w:marRight w:val="0"/>
          <w:marTop w:val="0"/>
          <w:marBottom w:val="0"/>
          <w:divBdr>
            <w:top w:val="none" w:sz="0" w:space="0" w:color="auto"/>
            <w:left w:val="none" w:sz="0" w:space="0" w:color="auto"/>
            <w:bottom w:val="none" w:sz="0" w:space="0" w:color="auto"/>
            <w:right w:val="none" w:sz="0" w:space="0" w:color="auto"/>
          </w:divBdr>
        </w:div>
        <w:div w:id="2139911463">
          <w:marLeft w:val="547"/>
          <w:marRight w:val="0"/>
          <w:marTop w:val="0"/>
          <w:marBottom w:val="0"/>
          <w:divBdr>
            <w:top w:val="none" w:sz="0" w:space="0" w:color="auto"/>
            <w:left w:val="none" w:sz="0" w:space="0" w:color="auto"/>
            <w:bottom w:val="none" w:sz="0" w:space="0" w:color="auto"/>
            <w:right w:val="none" w:sz="0" w:space="0" w:color="auto"/>
          </w:divBdr>
        </w:div>
      </w:divsChild>
    </w:div>
    <w:div w:id="1564364392">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93854441">
      <w:bodyDiv w:val="1"/>
      <w:marLeft w:val="0"/>
      <w:marRight w:val="0"/>
      <w:marTop w:val="0"/>
      <w:marBottom w:val="0"/>
      <w:divBdr>
        <w:top w:val="none" w:sz="0" w:space="0" w:color="auto"/>
        <w:left w:val="none" w:sz="0" w:space="0" w:color="auto"/>
        <w:bottom w:val="none" w:sz="0" w:space="0" w:color="auto"/>
        <w:right w:val="none" w:sz="0" w:space="0" w:color="auto"/>
      </w:divBdr>
    </w:div>
    <w:div w:id="1651713750">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73751380">
      <w:bodyDiv w:val="1"/>
      <w:marLeft w:val="0"/>
      <w:marRight w:val="0"/>
      <w:marTop w:val="0"/>
      <w:marBottom w:val="0"/>
      <w:divBdr>
        <w:top w:val="none" w:sz="0" w:space="0" w:color="auto"/>
        <w:left w:val="none" w:sz="0" w:space="0" w:color="auto"/>
        <w:bottom w:val="none" w:sz="0" w:space="0" w:color="auto"/>
        <w:right w:val="none" w:sz="0" w:space="0" w:color="auto"/>
      </w:divBdr>
    </w:div>
    <w:div w:id="1685667538">
      <w:bodyDiv w:val="1"/>
      <w:marLeft w:val="0"/>
      <w:marRight w:val="0"/>
      <w:marTop w:val="0"/>
      <w:marBottom w:val="0"/>
      <w:divBdr>
        <w:top w:val="none" w:sz="0" w:space="0" w:color="auto"/>
        <w:left w:val="none" w:sz="0" w:space="0" w:color="auto"/>
        <w:bottom w:val="none" w:sz="0" w:space="0" w:color="auto"/>
        <w:right w:val="none" w:sz="0" w:space="0" w:color="auto"/>
      </w:divBdr>
    </w:div>
    <w:div w:id="1719822183">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78407329">
      <w:bodyDiv w:val="1"/>
      <w:marLeft w:val="0"/>
      <w:marRight w:val="0"/>
      <w:marTop w:val="0"/>
      <w:marBottom w:val="0"/>
      <w:divBdr>
        <w:top w:val="none" w:sz="0" w:space="0" w:color="auto"/>
        <w:left w:val="none" w:sz="0" w:space="0" w:color="auto"/>
        <w:bottom w:val="none" w:sz="0" w:space="0" w:color="auto"/>
        <w:right w:val="none" w:sz="0" w:space="0" w:color="auto"/>
      </w:divBdr>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8088051">
          <w:marLeft w:val="547"/>
          <w:marRight w:val="0"/>
          <w:marTop w:val="0"/>
          <w:marBottom w:val="0"/>
          <w:divBdr>
            <w:top w:val="none" w:sz="0" w:space="0" w:color="auto"/>
            <w:left w:val="none" w:sz="0" w:space="0" w:color="auto"/>
            <w:bottom w:val="none" w:sz="0" w:space="0" w:color="auto"/>
            <w:right w:val="none" w:sz="0" w:space="0" w:color="auto"/>
          </w:divBdr>
        </w:div>
        <w:div w:id="1971859335">
          <w:marLeft w:val="547"/>
          <w:marRight w:val="0"/>
          <w:marTop w:val="0"/>
          <w:marBottom w:val="0"/>
          <w:divBdr>
            <w:top w:val="none" w:sz="0" w:space="0" w:color="auto"/>
            <w:left w:val="none" w:sz="0" w:space="0" w:color="auto"/>
            <w:bottom w:val="none" w:sz="0" w:space="0" w:color="auto"/>
            <w:right w:val="none" w:sz="0" w:space="0" w:color="auto"/>
          </w:divBdr>
        </w:div>
      </w:divsChild>
    </w:div>
    <w:div w:id="1853687940">
      <w:bodyDiv w:val="1"/>
      <w:marLeft w:val="0"/>
      <w:marRight w:val="0"/>
      <w:marTop w:val="0"/>
      <w:marBottom w:val="0"/>
      <w:divBdr>
        <w:top w:val="none" w:sz="0" w:space="0" w:color="auto"/>
        <w:left w:val="none" w:sz="0" w:space="0" w:color="auto"/>
        <w:bottom w:val="none" w:sz="0" w:space="0" w:color="auto"/>
        <w:right w:val="none" w:sz="0" w:space="0" w:color="auto"/>
      </w:divBdr>
    </w:div>
    <w:div w:id="1893035813">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6588225">
      <w:bodyDiv w:val="1"/>
      <w:marLeft w:val="0"/>
      <w:marRight w:val="0"/>
      <w:marTop w:val="0"/>
      <w:marBottom w:val="0"/>
      <w:divBdr>
        <w:top w:val="none" w:sz="0" w:space="0" w:color="auto"/>
        <w:left w:val="none" w:sz="0" w:space="0" w:color="auto"/>
        <w:bottom w:val="none" w:sz="0" w:space="0" w:color="auto"/>
        <w:right w:val="none" w:sz="0" w:space="0" w:color="auto"/>
      </w:divBdr>
    </w:div>
    <w:div w:id="20911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budget.nsw.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2.png"/><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treasury.nsw.gov.au/sites/default/files/2022-01/report_on_state_finances_2020-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budget.nsw.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4.jpeg"/><Relationship Id="rId30" Type="http://schemas.openxmlformats.org/officeDocument/2006/relationships/hyperlink" Target="https://www.treasury.nsw.gov.au/sites/default/files/2022-01/report_on_state_finances_2020-2021.pdf"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CB40F5BC-A9B6-4923-B396-1B9D763079B6}">
    <t:Anchor>
      <t:Comment id="1574795257"/>
    </t:Anchor>
    <t:History>
      <t:Event id="{A5F7672D-40AB-4EC0-8815-373D6548F246}" time="2022-06-05T23:08:28.54Z">
        <t:Attribution userId="S::shweta.dey@treasury.nsw.gov.au::2bcdfae2-9d41-4e99-a2bf-bbb33db800d0" userProvider="AD" userName="Shweta Dey"/>
        <t:Anchor>
          <t:Comment id="1574795257"/>
        </t:Anchor>
        <t:Create/>
      </t:Event>
      <t:Event id="{85F52F63-117D-4427-9861-6A2DC60AEB47}" time="2022-06-05T23:08:28.54Z">
        <t:Attribution userId="S::shweta.dey@treasury.nsw.gov.au::2bcdfae2-9d41-4e99-a2bf-bbb33db800d0" userProvider="AD" userName="Shweta Dey"/>
        <t:Anchor>
          <t:Comment id="1574795257"/>
        </t:Anchor>
        <t:Assign userId="S::Angela.McIlwain2@treasury.nsw.gov.au::ae10aa57-31ce-4955-bbfb-ac2613e54183" userProvider="AD" userName="Angela McIlwain"/>
      </t:Event>
      <t:Event id="{07B078FC-BF12-4F87-8DD5-657C64724233}" time="2022-06-05T23:08:28.54Z">
        <t:Attribution userId="S::shweta.dey@treasury.nsw.gov.au::2bcdfae2-9d41-4e99-a2bf-bbb33db800d0" userProvider="AD" userName="Shweta Dey"/>
        <t:Anchor>
          <t:Comment id="1574795257"/>
        </t:Anchor>
        <t:SetTitle title="@Angela McIlwain - could you please review the reference to Programs here -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6" ma:contentTypeDescription="Create a new document." ma:contentTypeScope="" ma:versionID="d3f245046fd0eddc05bd962b340aad48">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d859cf01322593e4f94dc8ef4938e50b"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5055c7-c11f-4919-bbc3-dc91f9717eca}"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be10ce44-c66e-469b-8f9a-44f6cf8d73cc">
      <UserInfo>
        <DisplayName>Walter Watkin-Fairless</DisplayName>
        <AccountId>878</AccountId>
        <AccountType/>
      </UserInfo>
      <UserInfo>
        <DisplayName>Melissa Power</DisplayName>
        <AccountId>17</AccountId>
        <AccountType/>
      </UserInfo>
      <UserInfo>
        <DisplayName>Sean Osborn</DisplayName>
        <AccountId>72</AccountId>
        <AccountType/>
      </UserInfo>
      <UserInfo>
        <DisplayName>Rose Cleaver</DisplayName>
        <AccountId>860</AccountId>
        <AccountType/>
      </UserInfo>
      <UserInfo>
        <DisplayName>Anna Tong</DisplayName>
        <AccountId>201</AccountId>
        <AccountType/>
      </UserInfo>
      <UserInfo>
        <DisplayName>James Glenn</DisplayName>
        <AccountId>88</AccountId>
        <AccountType/>
      </UserInfo>
      <UserInfo>
        <DisplayName>Mohammad Iqbal</DisplayName>
        <AccountId>115</AccountId>
        <AccountType/>
      </UserInfo>
      <UserInfo>
        <DisplayName>Sam Walker (Treasury)</DisplayName>
        <AccountId>53</AccountId>
        <AccountType/>
      </UserInfo>
      <UserInfo>
        <DisplayName>Stewart Walters</DisplayName>
        <AccountId>73</AccountId>
        <AccountType/>
      </UserInfo>
      <UserInfo>
        <DisplayName>Victor Roldan de Haro</DisplayName>
        <AccountId>752</AccountId>
        <AccountType/>
      </UserInfo>
      <UserInfo>
        <DisplayName>Lucas O'Brien</DisplayName>
        <AccountId>1579</AccountId>
        <AccountType/>
      </UserInfo>
      <UserInfo>
        <DisplayName>Monica Das</DisplayName>
        <AccountId>907</AccountId>
        <AccountType/>
      </UserInfo>
      <UserInfo>
        <DisplayName>Adam Sinclair</DisplayName>
        <AccountId>843</AccountId>
        <AccountType/>
      </UserInfo>
      <UserInfo>
        <DisplayName>Nick Hordern</DisplayName>
        <AccountId>283</AccountId>
        <AccountType/>
      </UserInfo>
      <UserInfo>
        <DisplayName>Jun Wen</DisplayName>
        <AccountId>84</AccountId>
        <AccountType/>
      </UserInfo>
      <UserInfo>
        <DisplayName>Angela McIlwain</DisplayName>
        <AccountId>731</AccountId>
        <AccountType/>
      </UserInfo>
      <UserInfo>
        <DisplayName>Lewis South</DisplayName>
        <AccountId>714</AccountId>
        <AccountType/>
      </UserInfo>
      <UserInfo>
        <DisplayName>Sherrilyn Lal</DisplayName>
        <AccountId>2268</AccountId>
        <AccountType/>
      </UserInfo>
      <UserInfo>
        <DisplayName>Marsha Guthrie</DisplayName>
        <AccountId>46</AccountId>
        <AccountType/>
      </UserInfo>
      <UserInfo>
        <DisplayName>Renita Choi</DisplayName>
        <AccountId>226</AccountId>
        <AccountType/>
      </UserInfo>
      <UserInfo>
        <DisplayName>Rhett Gibson</DisplayName>
        <AccountId>45</AccountId>
        <AccountType/>
      </UserInfo>
      <UserInfo>
        <DisplayName>John Lynam</DisplayName>
        <AccountId>81</AccountId>
        <AccountType/>
      </UserInfo>
      <UserInfo>
        <DisplayName>James Atkinson</DisplayName>
        <AccountId>47</AccountId>
        <AccountType/>
      </UserInfo>
      <UserInfo>
        <DisplayName>Anna Blacheva</DisplayName>
        <AccountId>2808</AccountId>
        <AccountType/>
      </UserInfo>
      <UserInfo>
        <DisplayName>Anne Bible</DisplayName>
        <AccountId>194</AccountId>
        <AccountType/>
      </UserInfo>
      <UserInfo>
        <DisplayName>Kevin Pugh</DisplayName>
        <AccountId>21</AccountId>
        <AccountType/>
      </UserInfo>
      <UserInfo>
        <DisplayName>Katherine Palmer</DisplayName>
        <AccountId>787</AccountId>
        <AccountType/>
      </UserInfo>
    </SharedWithUsers>
    <lcf76f155ced4ddcb4097134ff3c332f xmlns="2987dd7b-ad3b-4fa3-93b7-f1b6a40c25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605D-EF50-4C0C-B7E8-D98564EA52E3}"/>
</file>

<file path=customXml/itemProps2.xml><?xml version="1.0" encoding="utf-8"?>
<ds:datastoreItem xmlns:ds="http://schemas.openxmlformats.org/officeDocument/2006/customXml" ds:itemID="{3774B749-09C4-454B-987E-1653B0195B9B}">
  <ds:schemaRefs>
    <ds:schemaRef ds:uri="http://purl.org/dc/elements/1.1/"/>
    <ds:schemaRef ds:uri="http://schemas.microsoft.com/office/2006/metadata/properties"/>
    <ds:schemaRef ds:uri="801a5968-9419-4033-b9de-7ffe8168468e"/>
    <ds:schemaRef ds:uri="http://schemas.microsoft.com/office/2006/documentManagement/types"/>
    <ds:schemaRef ds:uri="http://www.w3.org/XML/1998/namespace"/>
    <ds:schemaRef ds:uri="9f0ac7ce-5f57-4ea0-9af7-01d4f3f1ccae"/>
    <ds:schemaRef ds:uri="http://schemas.openxmlformats.org/package/2006/metadata/core-properties"/>
    <ds:schemaRef ds:uri="http://purl.org/dc/dcmitype/"/>
    <ds:schemaRef ds:uri="http://schemas.microsoft.com/office/infopath/2007/PartnerControls"/>
    <ds:schemaRef ds:uri="1c478e85-8130-4c67-8ee4-8bdf1c0e6049"/>
    <ds:schemaRef ds:uri="http://purl.org/dc/terms/"/>
  </ds:schemaRefs>
</ds:datastoreItem>
</file>

<file path=customXml/itemProps3.xml><?xml version="1.0" encoding="utf-8"?>
<ds:datastoreItem xmlns:ds="http://schemas.openxmlformats.org/officeDocument/2006/customXml" ds:itemID="{418DB2A5-6FD8-40E8-B871-61534F6E1286}">
  <ds:schemaRefs>
    <ds:schemaRef ds:uri="http://schemas.microsoft.com/sharepoint/v3/contenttype/forms"/>
  </ds:schemaRefs>
</ds:datastoreItem>
</file>

<file path=customXml/itemProps4.xml><?xml version="1.0" encoding="utf-8"?>
<ds:datastoreItem xmlns:ds="http://schemas.openxmlformats.org/officeDocument/2006/customXml" ds:itemID="{81A805AB-BC17-4FCF-9093-E61E3932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13285</Words>
  <Characters>75725</Characters>
  <Application>Microsoft Office Word</Application>
  <DocSecurity>0</DocSecurity>
  <Lines>631</Lines>
  <Paragraphs>177</Paragraphs>
  <ScaleCrop>false</ScaleCrop>
  <Company>NSW Treasury</Company>
  <LinksUpToDate>false</LinksUpToDate>
  <CharactersWithSpaces>88833</CharactersWithSpaces>
  <SharedDoc>false</SharedDoc>
  <HLinks>
    <vt:vector size="180" baseType="variant">
      <vt:variant>
        <vt:i4>7864357</vt:i4>
      </vt:variant>
      <vt:variant>
        <vt:i4>165</vt:i4>
      </vt:variant>
      <vt:variant>
        <vt:i4>0</vt:i4>
      </vt:variant>
      <vt:variant>
        <vt:i4>5</vt:i4>
      </vt:variant>
      <vt:variant>
        <vt:lpwstr>https://www.treasury.nsw.gov.au/sites/default/files/2022-01/report_on_state_finances_2020-2021.pdf</vt:lpwstr>
      </vt:variant>
      <vt:variant>
        <vt:lpwstr/>
      </vt:variant>
      <vt:variant>
        <vt:i4>7864357</vt:i4>
      </vt:variant>
      <vt:variant>
        <vt:i4>162</vt:i4>
      </vt:variant>
      <vt:variant>
        <vt:i4>0</vt:i4>
      </vt:variant>
      <vt:variant>
        <vt:i4>5</vt:i4>
      </vt:variant>
      <vt:variant>
        <vt:lpwstr>https://www.treasury.nsw.gov.au/sites/default/files/2022-01/report_on_state_finances_2020-2021.pdf</vt:lpwstr>
      </vt:variant>
      <vt:variant>
        <vt:lpwstr/>
      </vt:variant>
      <vt:variant>
        <vt:i4>983135</vt:i4>
      </vt:variant>
      <vt:variant>
        <vt:i4>159</vt:i4>
      </vt:variant>
      <vt:variant>
        <vt:i4>0</vt:i4>
      </vt:variant>
      <vt:variant>
        <vt:i4>5</vt:i4>
      </vt:variant>
      <vt:variant>
        <vt:lpwstr>http://www.budget.nsw.gov.au/</vt:lpwstr>
      </vt:variant>
      <vt:variant>
        <vt:lpwstr/>
      </vt:variant>
      <vt:variant>
        <vt:i4>1900601</vt:i4>
      </vt:variant>
      <vt:variant>
        <vt:i4>152</vt:i4>
      </vt:variant>
      <vt:variant>
        <vt:i4>0</vt:i4>
      </vt:variant>
      <vt:variant>
        <vt:i4>5</vt:i4>
      </vt:variant>
      <vt:variant>
        <vt:lpwstr/>
      </vt:variant>
      <vt:variant>
        <vt:lpwstr>_Toc106280682</vt:lpwstr>
      </vt:variant>
      <vt:variant>
        <vt:i4>1900601</vt:i4>
      </vt:variant>
      <vt:variant>
        <vt:i4>146</vt:i4>
      </vt:variant>
      <vt:variant>
        <vt:i4>0</vt:i4>
      </vt:variant>
      <vt:variant>
        <vt:i4>5</vt:i4>
      </vt:variant>
      <vt:variant>
        <vt:lpwstr/>
      </vt:variant>
      <vt:variant>
        <vt:lpwstr>_Toc106280681</vt:lpwstr>
      </vt:variant>
      <vt:variant>
        <vt:i4>1900601</vt:i4>
      </vt:variant>
      <vt:variant>
        <vt:i4>140</vt:i4>
      </vt:variant>
      <vt:variant>
        <vt:i4>0</vt:i4>
      </vt:variant>
      <vt:variant>
        <vt:i4>5</vt:i4>
      </vt:variant>
      <vt:variant>
        <vt:lpwstr/>
      </vt:variant>
      <vt:variant>
        <vt:lpwstr>_Toc106280680</vt:lpwstr>
      </vt:variant>
      <vt:variant>
        <vt:i4>1179705</vt:i4>
      </vt:variant>
      <vt:variant>
        <vt:i4>134</vt:i4>
      </vt:variant>
      <vt:variant>
        <vt:i4>0</vt:i4>
      </vt:variant>
      <vt:variant>
        <vt:i4>5</vt:i4>
      </vt:variant>
      <vt:variant>
        <vt:lpwstr/>
      </vt:variant>
      <vt:variant>
        <vt:lpwstr>_Toc106280679</vt:lpwstr>
      </vt:variant>
      <vt:variant>
        <vt:i4>1179705</vt:i4>
      </vt:variant>
      <vt:variant>
        <vt:i4>128</vt:i4>
      </vt:variant>
      <vt:variant>
        <vt:i4>0</vt:i4>
      </vt:variant>
      <vt:variant>
        <vt:i4>5</vt:i4>
      </vt:variant>
      <vt:variant>
        <vt:lpwstr/>
      </vt:variant>
      <vt:variant>
        <vt:lpwstr>_Toc106280678</vt:lpwstr>
      </vt:variant>
      <vt:variant>
        <vt:i4>1179705</vt:i4>
      </vt:variant>
      <vt:variant>
        <vt:i4>122</vt:i4>
      </vt:variant>
      <vt:variant>
        <vt:i4>0</vt:i4>
      </vt:variant>
      <vt:variant>
        <vt:i4>5</vt:i4>
      </vt:variant>
      <vt:variant>
        <vt:lpwstr/>
      </vt:variant>
      <vt:variant>
        <vt:lpwstr>_Toc106280677</vt:lpwstr>
      </vt:variant>
      <vt:variant>
        <vt:i4>1179705</vt:i4>
      </vt:variant>
      <vt:variant>
        <vt:i4>116</vt:i4>
      </vt:variant>
      <vt:variant>
        <vt:i4>0</vt:i4>
      </vt:variant>
      <vt:variant>
        <vt:i4>5</vt:i4>
      </vt:variant>
      <vt:variant>
        <vt:lpwstr/>
      </vt:variant>
      <vt:variant>
        <vt:lpwstr>_Toc106280676</vt:lpwstr>
      </vt:variant>
      <vt:variant>
        <vt:i4>1179705</vt:i4>
      </vt:variant>
      <vt:variant>
        <vt:i4>110</vt:i4>
      </vt:variant>
      <vt:variant>
        <vt:i4>0</vt:i4>
      </vt:variant>
      <vt:variant>
        <vt:i4>5</vt:i4>
      </vt:variant>
      <vt:variant>
        <vt:lpwstr/>
      </vt:variant>
      <vt:variant>
        <vt:lpwstr>_Toc106280675</vt:lpwstr>
      </vt:variant>
      <vt:variant>
        <vt:i4>1179705</vt:i4>
      </vt:variant>
      <vt:variant>
        <vt:i4>104</vt:i4>
      </vt:variant>
      <vt:variant>
        <vt:i4>0</vt:i4>
      </vt:variant>
      <vt:variant>
        <vt:i4>5</vt:i4>
      </vt:variant>
      <vt:variant>
        <vt:lpwstr/>
      </vt:variant>
      <vt:variant>
        <vt:lpwstr>_Toc106280674</vt:lpwstr>
      </vt:variant>
      <vt:variant>
        <vt:i4>1179705</vt:i4>
      </vt:variant>
      <vt:variant>
        <vt:i4>98</vt:i4>
      </vt:variant>
      <vt:variant>
        <vt:i4>0</vt:i4>
      </vt:variant>
      <vt:variant>
        <vt:i4>5</vt:i4>
      </vt:variant>
      <vt:variant>
        <vt:lpwstr/>
      </vt:variant>
      <vt:variant>
        <vt:lpwstr>_Toc106280673</vt:lpwstr>
      </vt:variant>
      <vt:variant>
        <vt:i4>1179705</vt:i4>
      </vt:variant>
      <vt:variant>
        <vt:i4>92</vt:i4>
      </vt:variant>
      <vt:variant>
        <vt:i4>0</vt:i4>
      </vt:variant>
      <vt:variant>
        <vt:i4>5</vt:i4>
      </vt:variant>
      <vt:variant>
        <vt:lpwstr/>
      </vt:variant>
      <vt:variant>
        <vt:lpwstr>_Toc106280672</vt:lpwstr>
      </vt:variant>
      <vt:variant>
        <vt:i4>1179705</vt:i4>
      </vt:variant>
      <vt:variant>
        <vt:i4>86</vt:i4>
      </vt:variant>
      <vt:variant>
        <vt:i4>0</vt:i4>
      </vt:variant>
      <vt:variant>
        <vt:i4>5</vt:i4>
      </vt:variant>
      <vt:variant>
        <vt:lpwstr/>
      </vt:variant>
      <vt:variant>
        <vt:lpwstr>_Toc106280671</vt:lpwstr>
      </vt:variant>
      <vt:variant>
        <vt:i4>1179705</vt:i4>
      </vt:variant>
      <vt:variant>
        <vt:i4>80</vt:i4>
      </vt:variant>
      <vt:variant>
        <vt:i4>0</vt:i4>
      </vt:variant>
      <vt:variant>
        <vt:i4>5</vt:i4>
      </vt:variant>
      <vt:variant>
        <vt:lpwstr/>
      </vt:variant>
      <vt:variant>
        <vt:lpwstr>_Toc106280670</vt:lpwstr>
      </vt:variant>
      <vt:variant>
        <vt:i4>1245241</vt:i4>
      </vt:variant>
      <vt:variant>
        <vt:i4>74</vt:i4>
      </vt:variant>
      <vt:variant>
        <vt:i4>0</vt:i4>
      </vt:variant>
      <vt:variant>
        <vt:i4>5</vt:i4>
      </vt:variant>
      <vt:variant>
        <vt:lpwstr/>
      </vt:variant>
      <vt:variant>
        <vt:lpwstr>_Toc106280669</vt:lpwstr>
      </vt:variant>
      <vt:variant>
        <vt:i4>1245241</vt:i4>
      </vt:variant>
      <vt:variant>
        <vt:i4>68</vt:i4>
      </vt:variant>
      <vt:variant>
        <vt:i4>0</vt:i4>
      </vt:variant>
      <vt:variant>
        <vt:i4>5</vt:i4>
      </vt:variant>
      <vt:variant>
        <vt:lpwstr/>
      </vt:variant>
      <vt:variant>
        <vt:lpwstr>_Toc106280668</vt:lpwstr>
      </vt:variant>
      <vt:variant>
        <vt:i4>1245241</vt:i4>
      </vt:variant>
      <vt:variant>
        <vt:i4>62</vt:i4>
      </vt:variant>
      <vt:variant>
        <vt:i4>0</vt:i4>
      </vt:variant>
      <vt:variant>
        <vt:i4>5</vt:i4>
      </vt:variant>
      <vt:variant>
        <vt:lpwstr/>
      </vt:variant>
      <vt:variant>
        <vt:lpwstr>_Toc106280667</vt:lpwstr>
      </vt:variant>
      <vt:variant>
        <vt:i4>1245241</vt:i4>
      </vt:variant>
      <vt:variant>
        <vt:i4>56</vt:i4>
      </vt:variant>
      <vt:variant>
        <vt:i4>0</vt:i4>
      </vt:variant>
      <vt:variant>
        <vt:i4>5</vt:i4>
      </vt:variant>
      <vt:variant>
        <vt:lpwstr/>
      </vt:variant>
      <vt:variant>
        <vt:lpwstr>_Toc106280666</vt:lpwstr>
      </vt:variant>
      <vt:variant>
        <vt:i4>1245241</vt:i4>
      </vt:variant>
      <vt:variant>
        <vt:i4>50</vt:i4>
      </vt:variant>
      <vt:variant>
        <vt:i4>0</vt:i4>
      </vt:variant>
      <vt:variant>
        <vt:i4>5</vt:i4>
      </vt:variant>
      <vt:variant>
        <vt:lpwstr/>
      </vt:variant>
      <vt:variant>
        <vt:lpwstr>_Toc106280665</vt:lpwstr>
      </vt:variant>
      <vt:variant>
        <vt:i4>1245241</vt:i4>
      </vt:variant>
      <vt:variant>
        <vt:i4>44</vt:i4>
      </vt:variant>
      <vt:variant>
        <vt:i4>0</vt:i4>
      </vt:variant>
      <vt:variant>
        <vt:i4>5</vt:i4>
      </vt:variant>
      <vt:variant>
        <vt:lpwstr/>
      </vt:variant>
      <vt:variant>
        <vt:lpwstr>_Toc106280664</vt:lpwstr>
      </vt:variant>
      <vt:variant>
        <vt:i4>1245241</vt:i4>
      </vt:variant>
      <vt:variant>
        <vt:i4>38</vt:i4>
      </vt:variant>
      <vt:variant>
        <vt:i4>0</vt:i4>
      </vt:variant>
      <vt:variant>
        <vt:i4>5</vt:i4>
      </vt:variant>
      <vt:variant>
        <vt:lpwstr/>
      </vt:variant>
      <vt:variant>
        <vt:lpwstr>_Toc106280663</vt:lpwstr>
      </vt:variant>
      <vt:variant>
        <vt:i4>1245241</vt:i4>
      </vt:variant>
      <vt:variant>
        <vt:i4>32</vt:i4>
      </vt:variant>
      <vt:variant>
        <vt:i4>0</vt:i4>
      </vt:variant>
      <vt:variant>
        <vt:i4>5</vt:i4>
      </vt:variant>
      <vt:variant>
        <vt:lpwstr/>
      </vt:variant>
      <vt:variant>
        <vt:lpwstr>_Toc106280662</vt:lpwstr>
      </vt:variant>
      <vt:variant>
        <vt:i4>1245241</vt:i4>
      </vt:variant>
      <vt:variant>
        <vt:i4>26</vt:i4>
      </vt:variant>
      <vt:variant>
        <vt:i4>0</vt:i4>
      </vt:variant>
      <vt:variant>
        <vt:i4>5</vt:i4>
      </vt:variant>
      <vt:variant>
        <vt:lpwstr/>
      </vt:variant>
      <vt:variant>
        <vt:lpwstr>_Toc106280661</vt:lpwstr>
      </vt:variant>
      <vt:variant>
        <vt:i4>1245241</vt:i4>
      </vt:variant>
      <vt:variant>
        <vt:i4>20</vt:i4>
      </vt:variant>
      <vt:variant>
        <vt:i4>0</vt:i4>
      </vt:variant>
      <vt:variant>
        <vt:i4>5</vt:i4>
      </vt:variant>
      <vt:variant>
        <vt:lpwstr/>
      </vt:variant>
      <vt:variant>
        <vt:lpwstr>_Toc106280660</vt:lpwstr>
      </vt:variant>
      <vt:variant>
        <vt:i4>1048633</vt:i4>
      </vt:variant>
      <vt:variant>
        <vt:i4>14</vt:i4>
      </vt:variant>
      <vt:variant>
        <vt:i4>0</vt:i4>
      </vt:variant>
      <vt:variant>
        <vt:i4>5</vt:i4>
      </vt:variant>
      <vt:variant>
        <vt:lpwstr/>
      </vt:variant>
      <vt:variant>
        <vt:lpwstr>_Toc106280659</vt:lpwstr>
      </vt:variant>
      <vt:variant>
        <vt:i4>1048633</vt:i4>
      </vt:variant>
      <vt:variant>
        <vt:i4>8</vt:i4>
      </vt:variant>
      <vt:variant>
        <vt:i4>0</vt:i4>
      </vt:variant>
      <vt:variant>
        <vt:i4>5</vt:i4>
      </vt:variant>
      <vt:variant>
        <vt:lpwstr/>
      </vt:variant>
      <vt:variant>
        <vt:lpwstr>_Toc106280658</vt:lpwstr>
      </vt:variant>
      <vt:variant>
        <vt:i4>1048633</vt:i4>
      </vt:variant>
      <vt:variant>
        <vt:i4>5</vt:i4>
      </vt:variant>
      <vt:variant>
        <vt:i4>0</vt:i4>
      </vt:variant>
      <vt:variant>
        <vt:i4>5</vt:i4>
      </vt:variant>
      <vt:variant>
        <vt:lpwstr/>
      </vt:variant>
      <vt:variant>
        <vt:lpwstr>_Toc106280656</vt:lpwstr>
      </vt:variant>
      <vt:variant>
        <vt:i4>983135</vt:i4>
      </vt:variant>
      <vt:variant>
        <vt:i4>0</vt:i4>
      </vt:variant>
      <vt:variant>
        <vt:i4>0</vt:i4>
      </vt:variant>
      <vt:variant>
        <vt:i4>5</vt:i4>
      </vt:variant>
      <vt:variant>
        <vt:lpwstr>http://www.budget.nsw.gov.au/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 How to Read the Budget Papers</dc:title>
  <dc:subject/>
  <dc:creator>The Treasury</dc:creator>
  <cp:keywords/>
  <dc:description/>
  <cp:lastModifiedBy>Frank Crino</cp:lastModifiedBy>
  <cp:revision>2</cp:revision>
  <cp:lastPrinted>2021-06-24T15:19:00Z</cp:lastPrinted>
  <dcterms:created xsi:type="dcterms:W3CDTF">2022-06-20T04:56:00Z</dcterms:created>
  <dcterms:modified xsi:type="dcterms:W3CDTF">2022-06-20T04:56:00Z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0x0101000A7DCB8243C0124689424FFB65F8BA1F</vt:lpwstr>
  </property>
  <property fmtid="{D5CDD505-2E9C-101B-9397-08002B2CF9AE}" pid="4" name="MediaServiceImageTags">
    <vt:lpwstr/>
  </property>
</Properties>
</file>