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AE262" w14:textId="56D1C25E" w:rsidR="00E522E6" w:rsidRPr="00785BE2" w:rsidRDefault="00450324" w:rsidP="00450324">
      <w:pPr>
        <w:pStyle w:val="Heading1"/>
        <w:keepLines w:val="0"/>
        <w:tabs>
          <w:tab w:val="left" w:pos="284"/>
        </w:tabs>
        <w:spacing w:before="480" w:after="480"/>
        <w:ind w:left="357" w:hanging="357"/>
        <w:rPr>
          <w:rFonts w:cs="Times New Roman"/>
          <w:caps w:val="0"/>
          <w:color w:val="1D3278"/>
          <w:kern w:val="28"/>
          <w:szCs w:val="36"/>
        </w:rPr>
      </w:pPr>
      <w:r w:rsidRPr="00DC222F">
        <w:rPr>
          <w:rFonts w:eastAsia="Times New Roman" w:cs="Times New Roman"/>
          <w:kern w:val="28"/>
          <w:szCs w:val="36"/>
        </w:rPr>
        <w:t>C.</w:t>
      </w:r>
      <w:r w:rsidRPr="00DC222F">
        <w:rPr>
          <w:rFonts w:eastAsia="Times New Roman" w:cs="Times New Roman"/>
          <w:kern w:val="28"/>
          <w:szCs w:val="36"/>
        </w:rPr>
        <w:tab/>
      </w:r>
      <w:r w:rsidR="0034556D" w:rsidRPr="00785BE2">
        <w:rPr>
          <w:rFonts w:eastAsia="Times New Roman" w:cs="Times New Roman"/>
          <w:color w:val="1D3278"/>
          <w:kern w:val="28"/>
          <w:szCs w:val="36"/>
        </w:rPr>
        <w:t>CONTINGENT ASSETS AND LIABILITIES</w:t>
      </w:r>
    </w:p>
    <w:p w14:paraId="0A98D4A6" w14:textId="54D3A378" w:rsidR="00613376" w:rsidRPr="00A75EE4" w:rsidRDefault="001562CC" w:rsidP="001322EF">
      <w:pPr>
        <w:pStyle w:val="BodyText"/>
        <w:rPr>
          <w:sz w:val="23"/>
          <w:szCs w:val="23"/>
        </w:rPr>
      </w:pPr>
      <w:bookmarkStart w:id="0" w:name="_Hlk512284738"/>
      <w:bookmarkStart w:id="1" w:name="_Hlk515461213"/>
      <w:r w:rsidRPr="00A75EE4">
        <w:rPr>
          <w:sz w:val="23"/>
          <w:szCs w:val="23"/>
        </w:rPr>
        <w:t xml:space="preserve">To support </w:t>
      </w:r>
      <w:r w:rsidR="00602C65" w:rsidRPr="00A75EE4">
        <w:rPr>
          <w:sz w:val="23"/>
          <w:szCs w:val="23"/>
        </w:rPr>
        <w:t xml:space="preserve">its underlying </w:t>
      </w:r>
      <w:r w:rsidR="00780AFC" w:rsidRPr="00A75EE4">
        <w:rPr>
          <w:sz w:val="23"/>
          <w:szCs w:val="23"/>
        </w:rPr>
        <w:t>practice</w:t>
      </w:r>
      <w:r w:rsidR="00602C65" w:rsidRPr="00A75EE4">
        <w:rPr>
          <w:sz w:val="23"/>
          <w:szCs w:val="23"/>
        </w:rPr>
        <w:t xml:space="preserve"> of </w:t>
      </w:r>
      <w:r w:rsidR="007F1F47" w:rsidRPr="00A75EE4">
        <w:rPr>
          <w:sz w:val="23"/>
          <w:szCs w:val="23"/>
        </w:rPr>
        <w:t>strong financial management</w:t>
      </w:r>
      <w:r w:rsidRPr="00A75EE4">
        <w:rPr>
          <w:sz w:val="23"/>
          <w:szCs w:val="23"/>
        </w:rPr>
        <w:t xml:space="preserve">, </w:t>
      </w:r>
      <w:r w:rsidR="003D5164" w:rsidRPr="00A75EE4">
        <w:rPr>
          <w:sz w:val="23"/>
          <w:szCs w:val="23"/>
        </w:rPr>
        <w:t xml:space="preserve">the </w:t>
      </w:r>
      <w:r w:rsidR="00322ED4" w:rsidRPr="00A75EE4">
        <w:rPr>
          <w:sz w:val="23"/>
          <w:szCs w:val="23"/>
        </w:rPr>
        <w:t>NSW</w:t>
      </w:r>
      <w:r w:rsidR="003D5164" w:rsidRPr="00A75EE4">
        <w:rPr>
          <w:sz w:val="23"/>
          <w:szCs w:val="23"/>
        </w:rPr>
        <w:t xml:space="preserve"> </w:t>
      </w:r>
      <w:r w:rsidRPr="00A75EE4">
        <w:rPr>
          <w:sz w:val="23"/>
          <w:szCs w:val="23"/>
        </w:rPr>
        <w:t xml:space="preserve">Government </w:t>
      </w:r>
      <w:r w:rsidR="007F1F47" w:rsidRPr="00A75EE4">
        <w:rPr>
          <w:sz w:val="23"/>
          <w:szCs w:val="23"/>
        </w:rPr>
        <w:t>monitors and report</w:t>
      </w:r>
      <w:r w:rsidR="005D09D7" w:rsidRPr="00A75EE4">
        <w:rPr>
          <w:sz w:val="23"/>
          <w:szCs w:val="23"/>
        </w:rPr>
        <w:t>s</w:t>
      </w:r>
      <w:r w:rsidRPr="00A75EE4">
        <w:rPr>
          <w:sz w:val="23"/>
          <w:szCs w:val="23"/>
        </w:rPr>
        <w:t xml:space="preserve"> on its contingent assets and liabilities. Unlike assets and liabilities</w:t>
      </w:r>
      <w:r w:rsidR="00F81FBB">
        <w:rPr>
          <w:sz w:val="23"/>
          <w:szCs w:val="23"/>
        </w:rPr>
        <w:t xml:space="preserve"> that are recognised on the </w:t>
      </w:r>
      <w:r w:rsidR="002E4377">
        <w:rPr>
          <w:sz w:val="23"/>
          <w:szCs w:val="23"/>
        </w:rPr>
        <w:t>g</w:t>
      </w:r>
      <w:r w:rsidR="00CD59BE">
        <w:rPr>
          <w:sz w:val="23"/>
          <w:szCs w:val="23"/>
        </w:rPr>
        <w:t xml:space="preserve">eneral </w:t>
      </w:r>
      <w:r w:rsidR="002E4377">
        <w:rPr>
          <w:sz w:val="23"/>
          <w:szCs w:val="23"/>
        </w:rPr>
        <w:t>g</w:t>
      </w:r>
      <w:r w:rsidR="00CD59BE">
        <w:rPr>
          <w:sz w:val="23"/>
          <w:szCs w:val="23"/>
        </w:rPr>
        <w:t>overnment</w:t>
      </w:r>
      <w:r w:rsidR="00B50E34">
        <w:rPr>
          <w:sz w:val="23"/>
          <w:szCs w:val="23"/>
        </w:rPr>
        <w:t xml:space="preserve"> balance sheet</w:t>
      </w:r>
      <w:r w:rsidRPr="00A75EE4">
        <w:rPr>
          <w:sz w:val="23"/>
          <w:szCs w:val="23"/>
        </w:rPr>
        <w:t xml:space="preserve">, contingent assets and liabilities are uncertain and depend on a particular event occurring before being realised (see Box C.1 for technical definitions of contingent assets and liabilities). </w:t>
      </w:r>
      <w:r w:rsidR="00613376" w:rsidRPr="00A75EE4">
        <w:rPr>
          <w:sz w:val="23"/>
          <w:szCs w:val="23"/>
        </w:rPr>
        <w:t xml:space="preserve">For a number of the </w:t>
      </w:r>
      <w:r w:rsidR="006D643D">
        <w:rPr>
          <w:sz w:val="23"/>
          <w:szCs w:val="23"/>
        </w:rPr>
        <w:t>g</w:t>
      </w:r>
      <w:r w:rsidR="00CD59BE">
        <w:rPr>
          <w:sz w:val="23"/>
          <w:szCs w:val="23"/>
        </w:rPr>
        <w:t xml:space="preserve">eneral </w:t>
      </w:r>
      <w:r w:rsidR="006D643D">
        <w:rPr>
          <w:sz w:val="23"/>
          <w:szCs w:val="23"/>
        </w:rPr>
        <w:t>g</w:t>
      </w:r>
      <w:r w:rsidR="00CD59BE">
        <w:rPr>
          <w:sz w:val="23"/>
          <w:szCs w:val="23"/>
        </w:rPr>
        <w:t>overnment’s</w:t>
      </w:r>
      <w:r w:rsidR="00613376" w:rsidRPr="00A75EE4">
        <w:rPr>
          <w:sz w:val="23"/>
          <w:szCs w:val="23"/>
        </w:rPr>
        <w:t xml:space="preserve"> contingent liabilities, an equal but offsetting contingent asset may </w:t>
      </w:r>
      <w:r w:rsidR="00EB74AA" w:rsidRPr="00A75EE4">
        <w:rPr>
          <w:sz w:val="23"/>
          <w:szCs w:val="23"/>
        </w:rPr>
        <w:t xml:space="preserve">also </w:t>
      </w:r>
      <w:r w:rsidR="00613376" w:rsidRPr="00A75EE4">
        <w:rPr>
          <w:sz w:val="23"/>
          <w:szCs w:val="23"/>
        </w:rPr>
        <w:t xml:space="preserve">exist. </w:t>
      </w:r>
    </w:p>
    <w:p w14:paraId="7D3644E6" w14:textId="64D5D578" w:rsidR="002F469E" w:rsidRDefault="3A966079" w:rsidP="00A75EE4">
      <w:pPr>
        <w:pStyle w:val="BodyText"/>
      </w:pPr>
      <w:r w:rsidRPr="005022A3">
        <w:rPr>
          <w:rStyle w:val="BodyTextChar"/>
          <w:sz w:val="23"/>
          <w:szCs w:val="23"/>
        </w:rPr>
        <w:t>If a contingent asset or liability becomes</w:t>
      </w:r>
      <w:r w:rsidR="00347EFD" w:rsidRPr="005022A3">
        <w:rPr>
          <w:rStyle w:val="BodyTextChar"/>
          <w:sz w:val="23"/>
          <w:szCs w:val="23"/>
        </w:rPr>
        <w:t xml:space="preserve"> </w:t>
      </w:r>
      <w:r w:rsidR="684375F3" w:rsidRPr="005022A3">
        <w:rPr>
          <w:rStyle w:val="BodyTextChar"/>
          <w:sz w:val="23"/>
          <w:szCs w:val="23"/>
        </w:rPr>
        <w:t>likely to materialise</w:t>
      </w:r>
      <w:r w:rsidR="22B34159" w:rsidRPr="005022A3">
        <w:rPr>
          <w:rStyle w:val="BodyTextChar"/>
          <w:sz w:val="23"/>
          <w:szCs w:val="23"/>
        </w:rPr>
        <w:t>,</w:t>
      </w:r>
      <w:r w:rsidR="684375F3" w:rsidRPr="005022A3">
        <w:rPr>
          <w:rStyle w:val="BodyTextChar"/>
          <w:sz w:val="23"/>
          <w:szCs w:val="23"/>
        </w:rPr>
        <w:t xml:space="preserve"> </w:t>
      </w:r>
      <w:r w:rsidRPr="005022A3">
        <w:rPr>
          <w:rStyle w:val="BodyTextChar"/>
          <w:sz w:val="23"/>
          <w:szCs w:val="23"/>
        </w:rPr>
        <w:t xml:space="preserve">then the asset or </w:t>
      </w:r>
      <w:r w:rsidR="7DF816CF" w:rsidRPr="005022A3">
        <w:rPr>
          <w:rStyle w:val="BodyTextChar"/>
          <w:sz w:val="23"/>
          <w:szCs w:val="23"/>
        </w:rPr>
        <w:t xml:space="preserve">liability </w:t>
      </w:r>
      <w:r w:rsidR="2CF1C8D8" w:rsidRPr="29024854">
        <w:rPr>
          <w:rStyle w:val="BodyTextChar"/>
          <w:sz w:val="23"/>
          <w:szCs w:val="23"/>
        </w:rPr>
        <w:t>w</w:t>
      </w:r>
      <w:r w:rsidR="493704F6" w:rsidRPr="29024854">
        <w:rPr>
          <w:rStyle w:val="BodyTextChar"/>
          <w:sz w:val="23"/>
          <w:szCs w:val="23"/>
        </w:rPr>
        <w:t>ill</w:t>
      </w:r>
      <w:r w:rsidR="7DF816CF" w:rsidRPr="005022A3">
        <w:rPr>
          <w:rStyle w:val="BodyTextChar"/>
          <w:sz w:val="23"/>
          <w:szCs w:val="23"/>
        </w:rPr>
        <w:t xml:space="preserve"> be rec</w:t>
      </w:r>
      <w:r w:rsidR="6B6B78BA" w:rsidRPr="005022A3">
        <w:rPr>
          <w:rStyle w:val="BodyTextChar"/>
          <w:sz w:val="23"/>
          <w:szCs w:val="23"/>
        </w:rPr>
        <w:t>ognised on the balance sheet and cease to be considered contingent.</w:t>
      </w:r>
      <w:r w:rsidR="7DF816CF" w:rsidRPr="005022A3">
        <w:rPr>
          <w:rStyle w:val="BodyTextChar"/>
          <w:sz w:val="23"/>
          <w:szCs w:val="23"/>
        </w:rPr>
        <w:t xml:space="preserve"> </w:t>
      </w:r>
      <w:r w:rsidR="74F13AB5" w:rsidRPr="005022A3">
        <w:rPr>
          <w:rStyle w:val="BodyTextChar"/>
          <w:sz w:val="23"/>
          <w:szCs w:val="23"/>
        </w:rPr>
        <w:t xml:space="preserve">The </w:t>
      </w:r>
      <w:r w:rsidR="17A1CC24" w:rsidRPr="005022A3">
        <w:rPr>
          <w:rStyle w:val="BodyTextChar"/>
          <w:sz w:val="23"/>
          <w:szCs w:val="23"/>
        </w:rPr>
        <w:t xml:space="preserve">recognition </w:t>
      </w:r>
      <w:r w:rsidR="74F13AB5" w:rsidRPr="005022A3">
        <w:rPr>
          <w:rStyle w:val="BodyTextChar"/>
          <w:sz w:val="23"/>
          <w:szCs w:val="23"/>
        </w:rPr>
        <w:t xml:space="preserve">of </w:t>
      </w:r>
      <w:r w:rsidR="554F340A" w:rsidRPr="005022A3">
        <w:rPr>
          <w:rStyle w:val="BodyTextChar"/>
          <w:sz w:val="23"/>
          <w:szCs w:val="23"/>
        </w:rPr>
        <w:t xml:space="preserve">a </w:t>
      </w:r>
      <w:r w:rsidR="74F13AB5" w:rsidRPr="005022A3">
        <w:rPr>
          <w:rStyle w:val="BodyTextChar"/>
          <w:sz w:val="23"/>
          <w:szCs w:val="23"/>
        </w:rPr>
        <w:t>contingent asset or liabilit</w:t>
      </w:r>
      <w:r w:rsidR="554F340A" w:rsidRPr="005022A3">
        <w:rPr>
          <w:rStyle w:val="BodyTextChar"/>
          <w:sz w:val="23"/>
          <w:szCs w:val="23"/>
        </w:rPr>
        <w:t>y</w:t>
      </w:r>
      <w:r w:rsidR="74F13AB5" w:rsidRPr="005022A3">
        <w:rPr>
          <w:rStyle w:val="BodyTextChar"/>
          <w:sz w:val="23"/>
          <w:szCs w:val="23"/>
        </w:rPr>
        <w:t xml:space="preserve"> </w:t>
      </w:r>
      <w:r w:rsidR="17A1CC24" w:rsidRPr="005022A3">
        <w:rPr>
          <w:rStyle w:val="BodyTextChar"/>
          <w:sz w:val="23"/>
          <w:szCs w:val="23"/>
        </w:rPr>
        <w:t xml:space="preserve">on the </w:t>
      </w:r>
      <w:r w:rsidR="539E1E91" w:rsidRPr="005022A3">
        <w:rPr>
          <w:rStyle w:val="BodyTextChar"/>
          <w:sz w:val="23"/>
          <w:szCs w:val="23"/>
        </w:rPr>
        <w:t xml:space="preserve">State’s balance sheet </w:t>
      </w:r>
      <w:r w:rsidR="74F13AB5" w:rsidRPr="005022A3">
        <w:rPr>
          <w:rStyle w:val="BodyTextChar"/>
          <w:sz w:val="23"/>
          <w:szCs w:val="23"/>
        </w:rPr>
        <w:t>c</w:t>
      </w:r>
      <w:r w:rsidR="33C8BA68" w:rsidRPr="005022A3">
        <w:rPr>
          <w:rStyle w:val="BodyTextChar"/>
          <w:sz w:val="23"/>
          <w:szCs w:val="23"/>
        </w:rPr>
        <w:t>ould have</w:t>
      </w:r>
      <w:r w:rsidR="74F13AB5" w:rsidRPr="005022A3">
        <w:rPr>
          <w:rStyle w:val="BodyTextChar"/>
          <w:sz w:val="23"/>
          <w:szCs w:val="23"/>
        </w:rPr>
        <w:t xml:space="preserve"> </w:t>
      </w:r>
      <w:r w:rsidR="052362A3" w:rsidRPr="005022A3">
        <w:rPr>
          <w:rStyle w:val="BodyTextChar"/>
          <w:sz w:val="23"/>
          <w:szCs w:val="23"/>
        </w:rPr>
        <w:t>a</w:t>
      </w:r>
      <w:r w:rsidR="74F13AB5" w:rsidRPr="005022A3">
        <w:rPr>
          <w:rStyle w:val="BodyTextChar"/>
          <w:sz w:val="23"/>
          <w:szCs w:val="23"/>
        </w:rPr>
        <w:t xml:space="preserve"> significant impact </w:t>
      </w:r>
      <w:r w:rsidR="179D51C1" w:rsidRPr="005022A3">
        <w:rPr>
          <w:rStyle w:val="BodyTextChar"/>
          <w:sz w:val="23"/>
          <w:szCs w:val="23"/>
        </w:rPr>
        <w:t>on the State’s finances</w:t>
      </w:r>
      <w:r w:rsidR="74F13AB5" w:rsidRPr="005022A3">
        <w:rPr>
          <w:rStyle w:val="BodyTextChar"/>
          <w:sz w:val="23"/>
          <w:szCs w:val="23"/>
        </w:rPr>
        <w:t xml:space="preserve">. </w:t>
      </w:r>
      <w:r w:rsidR="415AF7FC" w:rsidRPr="005022A3">
        <w:rPr>
          <w:rStyle w:val="BodyTextChar"/>
          <w:sz w:val="23"/>
          <w:szCs w:val="23"/>
        </w:rPr>
        <w:t xml:space="preserve">By identifying and, where possible, quantifying these contingent assets and liabilities, </w:t>
      </w:r>
      <w:r w:rsidR="10215B77" w:rsidRPr="005022A3">
        <w:rPr>
          <w:rStyle w:val="BodyTextChar"/>
          <w:sz w:val="23"/>
          <w:szCs w:val="23"/>
        </w:rPr>
        <w:t>the G</w:t>
      </w:r>
      <w:r w:rsidR="415AF7FC" w:rsidRPr="005022A3">
        <w:rPr>
          <w:rStyle w:val="BodyTextChar"/>
          <w:sz w:val="23"/>
          <w:szCs w:val="23"/>
        </w:rPr>
        <w:t xml:space="preserve">overnment </w:t>
      </w:r>
      <w:r w:rsidR="5AA3E42F" w:rsidRPr="005022A3">
        <w:rPr>
          <w:rStyle w:val="BodyTextChar"/>
          <w:sz w:val="23"/>
          <w:szCs w:val="23"/>
        </w:rPr>
        <w:t>can</w:t>
      </w:r>
      <w:r w:rsidR="415AF7FC" w:rsidRPr="005022A3">
        <w:rPr>
          <w:rStyle w:val="BodyTextChar"/>
          <w:sz w:val="23"/>
          <w:szCs w:val="23"/>
        </w:rPr>
        <w:t xml:space="preserve"> better </w:t>
      </w:r>
      <w:r w:rsidR="554F340A" w:rsidRPr="005022A3">
        <w:rPr>
          <w:rStyle w:val="BodyTextChar"/>
          <w:sz w:val="23"/>
          <w:szCs w:val="23"/>
        </w:rPr>
        <w:t xml:space="preserve">manage </w:t>
      </w:r>
      <w:r w:rsidR="00CE3AF9" w:rsidRPr="005022A3">
        <w:rPr>
          <w:rStyle w:val="BodyTextChar"/>
          <w:sz w:val="23"/>
          <w:szCs w:val="23"/>
        </w:rPr>
        <w:t xml:space="preserve">its </w:t>
      </w:r>
      <w:r w:rsidR="415AF7FC" w:rsidRPr="005022A3">
        <w:rPr>
          <w:rStyle w:val="BodyTextChar"/>
          <w:sz w:val="23"/>
          <w:szCs w:val="23"/>
        </w:rPr>
        <w:t xml:space="preserve">risks </w:t>
      </w:r>
      <w:r w:rsidR="00BB017F" w:rsidRPr="005022A3">
        <w:rPr>
          <w:rStyle w:val="BodyTextChar"/>
          <w:sz w:val="23"/>
          <w:szCs w:val="23"/>
        </w:rPr>
        <w:t>and opportunities</w:t>
      </w:r>
      <w:r w:rsidR="415AF7FC" w:rsidRPr="00A75EE4">
        <w:rPr>
          <w:sz w:val="23"/>
          <w:szCs w:val="23"/>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Box C.1: Accounting definition of contingent assets and liabilities "/>
        <w:tblDescription w:val="Box C.1: Accounting definition of contingent assets and liabilities "/>
      </w:tblPr>
      <w:tblGrid>
        <w:gridCol w:w="9628"/>
      </w:tblGrid>
      <w:tr w:rsidR="00C85C39" w:rsidRPr="001608A3" w14:paraId="200DD0A9" w14:textId="77777777" w:rsidTr="00896DF2">
        <w:trPr>
          <w:trHeight w:val="5638"/>
        </w:trPr>
        <w:tc>
          <w:tcPr>
            <w:tcW w:w="9628" w:type="dxa"/>
            <w:shd w:val="clear" w:color="auto" w:fill="F2F2F2" w:themeFill="background1" w:themeFillShade="F2"/>
          </w:tcPr>
          <w:p w14:paraId="1E2189D2" w14:textId="524EDA1B" w:rsidR="00C85C39" w:rsidRPr="0065011F" w:rsidRDefault="00C85C39" w:rsidP="00545AA4">
            <w:pPr>
              <w:pStyle w:val="BoxHeading"/>
              <w:framePr w:wrap="around"/>
            </w:pPr>
            <w:r w:rsidRPr="0065011F">
              <w:t xml:space="preserve">Accounting definition of contingent assets and liabilities </w:t>
            </w:r>
          </w:p>
          <w:p w14:paraId="6A129C03" w14:textId="77777777" w:rsidR="00A12F24" w:rsidRPr="0065011F" w:rsidRDefault="00A12F24" w:rsidP="00460113">
            <w:pPr>
              <w:pStyle w:val="BodyTextBox"/>
              <w:framePr w:wrap="around"/>
            </w:pPr>
            <w:r w:rsidRPr="0065011F">
              <w:t xml:space="preserve">Accounting standard AASB 137 </w:t>
            </w:r>
            <w:r w:rsidRPr="00F0200D">
              <w:rPr>
                <w:i/>
                <w:iCs/>
              </w:rPr>
              <w:t>Provisions, Contingent Liabilities and Contingent Assets</w:t>
            </w:r>
            <w:r w:rsidRPr="0065011F">
              <w:t xml:space="preserve"> defines: </w:t>
            </w:r>
          </w:p>
          <w:p w14:paraId="344F9F34" w14:textId="77777777" w:rsidR="00A12F24" w:rsidRPr="0065011F" w:rsidRDefault="00A12F24" w:rsidP="00460113">
            <w:pPr>
              <w:pStyle w:val="BodyTextBox"/>
              <w:framePr w:wrap="around"/>
            </w:pPr>
            <w:r w:rsidRPr="0065011F">
              <w:t xml:space="preserve">A contingent asset as: </w:t>
            </w:r>
          </w:p>
          <w:p w14:paraId="6BC32B56" w14:textId="5B43783C" w:rsidR="00A12F24" w:rsidRPr="00085CE5" w:rsidRDefault="00A12F24" w:rsidP="00332D9D">
            <w:pPr>
              <w:pStyle w:val="Bullet1inabox"/>
            </w:pPr>
            <w:r>
              <w:t xml:space="preserve">a </w:t>
            </w:r>
            <w:r w:rsidRPr="2E00E5B6">
              <w:rPr>
                <w:u w:val="single"/>
              </w:rPr>
              <w:t>possible asset</w:t>
            </w:r>
            <w:r>
              <w:t xml:space="preserve"> that arises from past events and whose existence will be confirmed only by the occurrence or non-occurrence of one or more </w:t>
            </w:r>
            <w:r w:rsidRPr="2E00E5B6">
              <w:rPr>
                <w:u w:val="single"/>
              </w:rPr>
              <w:t>uncertain future events not wholly within the control of the entity</w:t>
            </w:r>
            <w:r>
              <w:t>.</w:t>
            </w:r>
            <w:r w:rsidR="00756004">
              <w:t xml:space="preserve"> </w:t>
            </w:r>
            <w:r w:rsidR="00AC1885">
              <w:t>A contingent asset is only disclosed if an inflow of economic benefits is probable.</w:t>
            </w:r>
            <w:r>
              <w:t xml:space="preserve"> </w:t>
            </w:r>
          </w:p>
          <w:p w14:paraId="04D2D46E" w14:textId="77777777" w:rsidR="00A12F24" w:rsidRPr="0065011F" w:rsidRDefault="00A12F24" w:rsidP="00460113">
            <w:pPr>
              <w:pStyle w:val="BodyTextBox"/>
              <w:framePr w:wrap="around"/>
            </w:pPr>
            <w:r w:rsidRPr="0065011F">
              <w:t xml:space="preserve">A contingent liability as: </w:t>
            </w:r>
          </w:p>
          <w:p w14:paraId="44969CDC" w14:textId="787C549B" w:rsidR="00A12F24" w:rsidRPr="0065011F" w:rsidRDefault="00A12F24" w:rsidP="00332D9D">
            <w:pPr>
              <w:pStyle w:val="Bullet1inabox"/>
            </w:pPr>
            <w:r w:rsidRPr="0065011F">
              <w:t xml:space="preserve">a </w:t>
            </w:r>
            <w:r w:rsidRPr="002354CD">
              <w:rPr>
                <w:u w:val="single"/>
              </w:rPr>
              <w:t>possible obligation</w:t>
            </w:r>
            <w:r w:rsidRPr="0065011F">
              <w:t xml:space="preserve"> that arises from past events and whose existence will be confirmed only by the occurrence or non-occurrence of one or more </w:t>
            </w:r>
            <w:r w:rsidRPr="002354CD">
              <w:rPr>
                <w:u w:val="single"/>
              </w:rPr>
              <w:t>uncertain future events not wholly within the control of the entity;</w:t>
            </w:r>
            <w:r w:rsidRPr="0065011F">
              <w:t xml:space="preserve"> or </w:t>
            </w:r>
          </w:p>
          <w:p w14:paraId="7500766A" w14:textId="60414F93" w:rsidR="00A12F24" w:rsidRPr="0065011F" w:rsidRDefault="00A12F24" w:rsidP="00332D9D">
            <w:pPr>
              <w:pStyle w:val="Bullet1inabox"/>
            </w:pPr>
            <w:r w:rsidRPr="0065011F">
              <w:t xml:space="preserve">a </w:t>
            </w:r>
            <w:r w:rsidRPr="002354CD">
              <w:rPr>
                <w:u w:val="single"/>
              </w:rPr>
              <w:t>present obligation</w:t>
            </w:r>
            <w:r w:rsidRPr="0065011F">
              <w:t xml:space="preserve"> that arises from past events but is not recognised because: </w:t>
            </w:r>
          </w:p>
          <w:p w14:paraId="0D890E4B" w14:textId="74DBFB6F" w:rsidR="00A12F24" w:rsidRPr="0065011F" w:rsidRDefault="00A12F24" w:rsidP="00460113">
            <w:pPr>
              <w:pStyle w:val="Bullet2inabox"/>
            </w:pPr>
            <w:r w:rsidRPr="0065011F">
              <w:t xml:space="preserve">it is </w:t>
            </w:r>
            <w:r w:rsidRPr="002354CD">
              <w:rPr>
                <w:u w:val="single"/>
              </w:rPr>
              <w:t>not probable</w:t>
            </w:r>
            <w:r w:rsidRPr="0065011F">
              <w:t xml:space="preserve"> that an outflow of resources embodying economic benefits will be required to settle the obligation; or </w:t>
            </w:r>
          </w:p>
          <w:p w14:paraId="3B6EADC9" w14:textId="68F47A2B" w:rsidR="00A12F24" w:rsidRPr="00ED6D3E" w:rsidRDefault="00A12F24" w:rsidP="00460113">
            <w:pPr>
              <w:pStyle w:val="Bullet2inabox"/>
            </w:pPr>
            <w:r w:rsidRPr="0065011F">
              <w:t xml:space="preserve">the amount of the obligation </w:t>
            </w:r>
            <w:r w:rsidRPr="002354CD">
              <w:rPr>
                <w:u w:val="single"/>
              </w:rPr>
              <w:t>cannot be measured</w:t>
            </w:r>
            <w:r w:rsidRPr="0065011F">
              <w:t xml:space="preserve"> with sufficient reliability</w:t>
            </w:r>
            <w:r w:rsidR="007611ED" w:rsidRPr="00BF0E39">
              <w:t>.</w:t>
            </w:r>
          </w:p>
        </w:tc>
      </w:tr>
    </w:tbl>
    <w:p w14:paraId="16320BFC" w14:textId="77777777" w:rsidR="005044C7" w:rsidRDefault="005044C7" w:rsidP="005044C7">
      <w:pPr>
        <w:rPr>
          <w:lang w:eastAsia="en-AU"/>
        </w:rPr>
      </w:pPr>
    </w:p>
    <w:p w14:paraId="2D34F258" w14:textId="25F72ACF" w:rsidR="00B81681" w:rsidRPr="00A75EE4" w:rsidRDefault="00B81681" w:rsidP="001322EF">
      <w:pPr>
        <w:pStyle w:val="BodyText"/>
        <w:rPr>
          <w:sz w:val="23"/>
          <w:szCs w:val="23"/>
          <w:lang w:eastAsia="en-AU"/>
        </w:rPr>
      </w:pPr>
      <w:r w:rsidRPr="00A75EE4">
        <w:rPr>
          <w:sz w:val="23"/>
          <w:szCs w:val="23"/>
          <w:lang w:eastAsia="en-AU"/>
        </w:rPr>
        <w:t>Contingent assets and liabilities are classified as either:</w:t>
      </w:r>
    </w:p>
    <w:p w14:paraId="6341F0A9" w14:textId="7244DB5E" w:rsidR="00B81681" w:rsidRPr="00A75EE4" w:rsidRDefault="00B81681" w:rsidP="00332D9D">
      <w:pPr>
        <w:pStyle w:val="Bullet1"/>
      </w:pPr>
      <w:r w:rsidRPr="00A75EE4">
        <w:t xml:space="preserve">quantifiable, where their financial value is known or can be </w:t>
      </w:r>
      <w:r w:rsidR="4E9CD33E" w:rsidRPr="0F9225BE">
        <w:t>reliably</w:t>
      </w:r>
      <w:r w:rsidRPr="00A75EE4">
        <w:t xml:space="preserve"> estimated</w:t>
      </w:r>
      <w:r w:rsidR="00634E00">
        <w:t>,</w:t>
      </w:r>
      <w:r w:rsidR="00730E0E">
        <w:t xml:space="preserve"> </w:t>
      </w:r>
      <w:r w:rsidRPr="00A75EE4">
        <w:t>or</w:t>
      </w:r>
    </w:p>
    <w:p w14:paraId="73BA634D" w14:textId="6B266FE1" w:rsidR="00B81681" w:rsidRPr="00A75EE4" w:rsidRDefault="00B81681" w:rsidP="00332D9D">
      <w:pPr>
        <w:pStyle w:val="Bullet1"/>
      </w:pPr>
      <w:r w:rsidRPr="00A75EE4">
        <w:t xml:space="preserve">non-quantifiable, where their financial value cannot be </w:t>
      </w:r>
      <w:r w:rsidR="4E9CD33E" w:rsidRPr="0F9225BE">
        <w:t>reliably</w:t>
      </w:r>
      <w:r w:rsidRPr="00A75EE4">
        <w:t xml:space="preserve"> determined. </w:t>
      </w:r>
    </w:p>
    <w:p w14:paraId="43686DCA" w14:textId="54E6B9BC" w:rsidR="0005373A" w:rsidRPr="00A75EE4" w:rsidRDefault="00526BC5" w:rsidP="00332D9D">
      <w:pPr>
        <w:pStyle w:val="Bullet1"/>
        <w:numPr>
          <w:ilvl w:val="0"/>
          <w:numId w:val="0"/>
        </w:numPr>
      </w:pPr>
      <w:r>
        <w:t>T</w:t>
      </w:r>
      <w:r w:rsidR="0005373A" w:rsidRPr="00A75EE4">
        <w:t xml:space="preserve">his Appendix provides analysis on both categories. </w:t>
      </w:r>
    </w:p>
    <w:p w14:paraId="6462DAB2" w14:textId="77777777" w:rsidR="00B81681" w:rsidRPr="0005373A" w:rsidRDefault="00B81681" w:rsidP="00EC3CF2">
      <w:pPr>
        <w:rPr>
          <w:lang w:val="en-AU"/>
        </w:rPr>
      </w:pPr>
    </w:p>
    <w:p w14:paraId="637F74A7" w14:textId="69CC1791" w:rsidR="002C4414" w:rsidDel="003023C8" w:rsidRDefault="008268CC" w:rsidP="008268CC">
      <w:pPr>
        <w:rPr>
          <w:rFonts w:eastAsia="Arial Unicode MS"/>
          <w:lang w:val="en-AU"/>
        </w:rPr>
      </w:pPr>
      <w:r>
        <w:br w:type="page"/>
      </w:r>
    </w:p>
    <w:bookmarkEnd w:id="0"/>
    <w:p w14:paraId="28B5A273" w14:textId="0E52CF55" w:rsidR="006028C4" w:rsidRPr="00152F4C" w:rsidRDefault="006028C4" w:rsidP="0065011F">
      <w:pPr>
        <w:pStyle w:val="Heading2"/>
        <w:tabs>
          <w:tab w:val="clear" w:pos="567"/>
        </w:tabs>
        <w:ind w:left="397" w:hanging="397"/>
      </w:pPr>
      <w:r w:rsidRPr="002569F8">
        <w:lastRenderedPageBreak/>
        <w:t>Contingent</w:t>
      </w:r>
      <w:r w:rsidRPr="00E522E6">
        <w:t xml:space="preserve"> </w:t>
      </w:r>
      <w:r w:rsidRPr="00714259">
        <w:t>assets</w:t>
      </w:r>
    </w:p>
    <w:p w14:paraId="64998163" w14:textId="4E0D3F90" w:rsidR="00CA7591" w:rsidRPr="00A75EE4" w:rsidRDefault="00CF7B2B" w:rsidP="001322EF">
      <w:pPr>
        <w:pStyle w:val="BodyText"/>
        <w:rPr>
          <w:sz w:val="23"/>
          <w:szCs w:val="23"/>
          <w:lang w:eastAsia="en-AU"/>
        </w:rPr>
      </w:pPr>
      <w:r w:rsidRPr="00A75EE4">
        <w:rPr>
          <w:sz w:val="23"/>
          <w:szCs w:val="23"/>
          <w:lang w:eastAsia="en-AU"/>
        </w:rPr>
        <w:t xml:space="preserve">Table C.1 lists the </w:t>
      </w:r>
      <w:r w:rsidR="0096547A" w:rsidRPr="00A75EE4">
        <w:rPr>
          <w:sz w:val="23"/>
          <w:szCs w:val="23"/>
          <w:lang w:eastAsia="en-AU"/>
        </w:rPr>
        <w:t>g</w:t>
      </w:r>
      <w:r w:rsidR="002E5A01" w:rsidRPr="00A75EE4">
        <w:rPr>
          <w:sz w:val="23"/>
          <w:szCs w:val="23"/>
          <w:lang w:eastAsia="en-AU"/>
        </w:rPr>
        <w:t xml:space="preserve">eneral </w:t>
      </w:r>
      <w:r w:rsidR="0096547A" w:rsidRPr="00A75EE4">
        <w:rPr>
          <w:sz w:val="23"/>
          <w:szCs w:val="23"/>
          <w:lang w:eastAsia="en-AU"/>
        </w:rPr>
        <w:t>g</w:t>
      </w:r>
      <w:r w:rsidR="002E5A01" w:rsidRPr="00A75EE4">
        <w:rPr>
          <w:sz w:val="23"/>
          <w:szCs w:val="23"/>
          <w:lang w:eastAsia="en-AU"/>
        </w:rPr>
        <w:t>overnment</w:t>
      </w:r>
      <w:r w:rsidR="00CF2A54" w:rsidRPr="00A75EE4">
        <w:rPr>
          <w:sz w:val="23"/>
          <w:szCs w:val="23"/>
          <w:lang w:eastAsia="en-AU"/>
        </w:rPr>
        <w:t xml:space="preserve"> sector’s</w:t>
      </w:r>
      <w:r w:rsidR="002E5A01" w:rsidRPr="00A75EE4">
        <w:rPr>
          <w:sz w:val="23"/>
          <w:szCs w:val="23"/>
          <w:lang w:eastAsia="en-AU"/>
        </w:rPr>
        <w:t xml:space="preserve"> </w:t>
      </w:r>
      <w:r w:rsidRPr="00A75EE4">
        <w:rPr>
          <w:sz w:val="23"/>
          <w:szCs w:val="23"/>
          <w:lang w:eastAsia="en-AU"/>
        </w:rPr>
        <w:t>quantifiable contingent asset</w:t>
      </w:r>
      <w:r w:rsidR="002543F5" w:rsidRPr="00A75EE4">
        <w:rPr>
          <w:sz w:val="23"/>
          <w:szCs w:val="23"/>
          <w:lang w:eastAsia="en-AU"/>
        </w:rPr>
        <w:t>s</w:t>
      </w:r>
      <w:r w:rsidRPr="00A75EE4">
        <w:rPr>
          <w:sz w:val="23"/>
          <w:szCs w:val="23"/>
          <w:lang w:eastAsia="en-AU"/>
        </w:rPr>
        <w:t xml:space="preserve"> as at 30</w:t>
      </w:r>
      <w:r w:rsidR="0048464E" w:rsidRPr="00A75EE4">
        <w:rPr>
          <w:sz w:val="23"/>
          <w:szCs w:val="23"/>
          <w:lang w:eastAsia="en-AU"/>
        </w:rPr>
        <w:t> </w:t>
      </w:r>
      <w:r w:rsidR="0097284C" w:rsidRPr="00A75EE4">
        <w:rPr>
          <w:sz w:val="23"/>
          <w:szCs w:val="23"/>
          <w:lang w:eastAsia="en-AU"/>
        </w:rPr>
        <w:t xml:space="preserve">April </w:t>
      </w:r>
      <w:r w:rsidRPr="00A75EE4">
        <w:rPr>
          <w:sz w:val="23"/>
          <w:szCs w:val="23"/>
          <w:lang w:eastAsia="en-AU"/>
        </w:rPr>
        <w:t>202</w:t>
      </w:r>
      <w:r w:rsidR="005102F9">
        <w:rPr>
          <w:sz w:val="23"/>
          <w:szCs w:val="23"/>
          <w:lang w:eastAsia="en-AU"/>
        </w:rPr>
        <w:t>2</w:t>
      </w:r>
      <w:r w:rsidRPr="00A75EE4">
        <w:rPr>
          <w:sz w:val="23"/>
          <w:szCs w:val="23"/>
          <w:lang w:eastAsia="en-AU"/>
        </w:rPr>
        <w:t>.</w:t>
      </w:r>
    </w:p>
    <w:p w14:paraId="40011B8D" w14:textId="77777777" w:rsidR="00630C5E" w:rsidRPr="00545AA4" w:rsidRDefault="00DB6BC4" w:rsidP="00460113">
      <w:pPr>
        <w:pStyle w:val="TableCX"/>
        <w:ind w:left="1304" w:hanging="1304"/>
        <w:rPr>
          <w:sz w:val="23"/>
          <w:szCs w:val="23"/>
        </w:rPr>
      </w:pPr>
      <w:r w:rsidRPr="00545AA4">
        <w:rPr>
          <w:sz w:val="23"/>
          <w:szCs w:val="23"/>
        </w:rPr>
        <w:t xml:space="preserve">General </w:t>
      </w:r>
      <w:r w:rsidR="00992E54" w:rsidRPr="00545AA4">
        <w:rPr>
          <w:sz w:val="23"/>
          <w:szCs w:val="23"/>
        </w:rPr>
        <w:t>g</w:t>
      </w:r>
      <w:r w:rsidRPr="00545AA4">
        <w:rPr>
          <w:sz w:val="23"/>
          <w:szCs w:val="23"/>
        </w:rPr>
        <w:t>overnment quantifiable contingent assets</w:t>
      </w:r>
    </w:p>
    <w:tbl>
      <w:tblPr>
        <w:tblStyle w:val="TableGrid1"/>
        <w:tblW w:w="9622" w:type="dxa"/>
        <w:tblInd w:w="17" w:type="dxa"/>
        <w:tblCellMar>
          <w:right w:w="223" w:type="dxa"/>
        </w:tblCellMar>
        <w:tblLook w:val="04A0" w:firstRow="1" w:lastRow="0" w:firstColumn="1" w:lastColumn="0" w:noHBand="0" w:noVBand="1"/>
        <w:tblCaption w:val="Table C.1: General government quantifiable contingent assets"/>
        <w:tblDescription w:val="Table C.1: General government quantifiable contingent assets"/>
      </w:tblPr>
      <w:tblGrid>
        <w:gridCol w:w="6743"/>
        <w:gridCol w:w="1439"/>
        <w:gridCol w:w="1440"/>
      </w:tblGrid>
      <w:tr w:rsidR="00CC5E4C" w:rsidRPr="00E43148" w14:paraId="689AE085" w14:textId="77777777" w:rsidTr="4CF5AE2E">
        <w:trPr>
          <w:trHeight w:val="283"/>
        </w:trPr>
        <w:tc>
          <w:tcPr>
            <w:tcW w:w="6743" w:type="dxa"/>
            <w:tcBorders>
              <w:top w:val="nil"/>
              <w:left w:val="nil"/>
              <w:bottom w:val="nil"/>
              <w:right w:val="nil"/>
            </w:tcBorders>
            <w:shd w:val="clear" w:color="auto" w:fill="008EBA"/>
            <w:vAlign w:val="bottom"/>
          </w:tcPr>
          <w:p w14:paraId="2357DF03" w14:textId="77777777" w:rsidR="00CC5E4C" w:rsidRPr="00E43148" w:rsidRDefault="00CC5E4C" w:rsidP="00D41166">
            <w:pPr>
              <w:spacing w:before="80"/>
              <w:jc w:val="center"/>
              <w:rPr>
                <w:rFonts w:ascii="Arial" w:hAnsi="Arial" w:cs="Arial"/>
                <w:sz w:val="18"/>
                <w:szCs w:val="16"/>
              </w:rPr>
            </w:pPr>
          </w:p>
        </w:tc>
        <w:tc>
          <w:tcPr>
            <w:tcW w:w="2879" w:type="dxa"/>
            <w:gridSpan w:val="2"/>
            <w:tcBorders>
              <w:top w:val="nil"/>
              <w:left w:val="nil"/>
              <w:bottom w:val="nil"/>
              <w:right w:val="nil"/>
            </w:tcBorders>
            <w:shd w:val="clear" w:color="auto" w:fill="008EBA"/>
            <w:vAlign w:val="bottom"/>
          </w:tcPr>
          <w:p w14:paraId="7D134DC1" w14:textId="6E4964F5" w:rsidR="00CC5E4C" w:rsidRPr="005102F9" w:rsidRDefault="00CC5E4C" w:rsidP="00D41166">
            <w:pPr>
              <w:spacing w:before="80"/>
              <w:jc w:val="center"/>
              <w:rPr>
                <w:rFonts w:ascii="Arial" w:hAnsi="Arial" w:cs="Arial"/>
                <w:color w:val="FFFFFF" w:themeColor="background1"/>
                <w:sz w:val="18"/>
                <w:szCs w:val="18"/>
              </w:rPr>
            </w:pPr>
            <w:r w:rsidRPr="3631E84E">
              <w:rPr>
                <w:rFonts w:ascii="Arial" w:hAnsi="Arial" w:cs="Arial"/>
                <w:color w:val="FFFFFF" w:themeColor="background1"/>
                <w:sz w:val="18"/>
                <w:szCs w:val="18"/>
              </w:rPr>
              <w:t xml:space="preserve">General Government </w:t>
            </w:r>
            <w:r w:rsidR="3DD5E205" w:rsidRPr="072C5A1F">
              <w:rPr>
                <w:rFonts w:ascii="Arial" w:hAnsi="Arial" w:cs="Arial"/>
                <w:color w:val="FFFFFF" w:themeColor="background1"/>
                <w:sz w:val="18"/>
                <w:szCs w:val="18"/>
              </w:rPr>
              <w:t>Sector</w:t>
            </w:r>
          </w:p>
        </w:tc>
      </w:tr>
      <w:tr w:rsidR="00CC5E4C" w:rsidRPr="00E43148" w14:paraId="1EC3957E" w14:textId="77777777" w:rsidTr="4CF5AE2E">
        <w:trPr>
          <w:trHeight w:val="227"/>
        </w:trPr>
        <w:tc>
          <w:tcPr>
            <w:tcW w:w="6743" w:type="dxa"/>
            <w:tcBorders>
              <w:top w:val="nil"/>
              <w:left w:val="nil"/>
              <w:bottom w:val="nil"/>
              <w:right w:val="nil"/>
            </w:tcBorders>
            <w:shd w:val="clear" w:color="auto" w:fill="008EBA"/>
          </w:tcPr>
          <w:p w14:paraId="18A42E74" w14:textId="5CDA5113" w:rsidR="00CC5E4C" w:rsidRPr="00E43148" w:rsidRDefault="00CC5E4C" w:rsidP="429ED0F4">
            <w:pPr>
              <w:tabs>
                <w:tab w:val="left" w:pos="1640"/>
              </w:tabs>
              <w:spacing w:before="40" w:after="40"/>
              <w:jc w:val="both"/>
              <w:rPr>
                <w:rFonts w:ascii="Arial" w:hAnsi="Arial" w:cs="Arial"/>
                <w:color w:val="FFFFFF" w:themeColor="background1"/>
                <w:sz w:val="18"/>
                <w:szCs w:val="18"/>
              </w:rPr>
            </w:pPr>
          </w:p>
        </w:tc>
        <w:tc>
          <w:tcPr>
            <w:tcW w:w="1439" w:type="dxa"/>
            <w:tcBorders>
              <w:top w:val="nil"/>
              <w:left w:val="nil"/>
              <w:bottom w:val="nil"/>
              <w:right w:val="nil"/>
            </w:tcBorders>
            <w:shd w:val="clear" w:color="auto" w:fill="008EBA"/>
            <w:vAlign w:val="bottom"/>
          </w:tcPr>
          <w:p w14:paraId="6D96CD56" w14:textId="128B1879" w:rsidR="00CC5E4C" w:rsidRPr="00E43148" w:rsidRDefault="00CC5E4C" w:rsidP="00D41166">
            <w:pPr>
              <w:spacing w:before="40" w:after="40"/>
              <w:ind w:left="75"/>
              <w:jc w:val="center"/>
              <w:rPr>
                <w:rFonts w:ascii="Arial" w:hAnsi="Arial" w:cs="Arial"/>
                <w:sz w:val="18"/>
                <w:szCs w:val="16"/>
                <w:vertAlign w:val="superscript"/>
              </w:rPr>
            </w:pPr>
            <w:r w:rsidRPr="00E43148">
              <w:rPr>
                <w:rFonts w:ascii="Arial" w:hAnsi="Arial" w:cs="Arial"/>
                <w:color w:val="FFFFFF"/>
                <w:sz w:val="18"/>
                <w:szCs w:val="16"/>
              </w:rPr>
              <w:t>202</w:t>
            </w:r>
            <w:r>
              <w:rPr>
                <w:rFonts w:ascii="Arial" w:hAnsi="Arial" w:cs="Arial"/>
                <w:color w:val="FFFFFF"/>
                <w:sz w:val="18"/>
                <w:szCs w:val="16"/>
              </w:rPr>
              <w:t>1-22</w:t>
            </w:r>
            <w:r>
              <w:rPr>
                <w:rFonts w:ascii="Arial" w:hAnsi="Arial" w:cs="Arial"/>
                <w:color w:val="FFFFFF"/>
                <w:sz w:val="18"/>
                <w:szCs w:val="16"/>
                <w:vertAlign w:val="superscript"/>
              </w:rPr>
              <w:t>(</w:t>
            </w:r>
            <w:r w:rsidR="00182D7C">
              <w:rPr>
                <w:rFonts w:ascii="Arial" w:hAnsi="Arial" w:cs="Arial"/>
                <w:color w:val="FFFFFF"/>
                <w:sz w:val="18"/>
                <w:szCs w:val="16"/>
                <w:vertAlign w:val="superscript"/>
              </w:rPr>
              <w:t>c</w:t>
            </w:r>
            <w:r>
              <w:rPr>
                <w:rFonts w:ascii="Arial" w:hAnsi="Arial" w:cs="Arial"/>
                <w:color w:val="FFFFFF"/>
                <w:sz w:val="18"/>
                <w:szCs w:val="16"/>
                <w:vertAlign w:val="superscript"/>
              </w:rPr>
              <w:t>)</w:t>
            </w:r>
          </w:p>
        </w:tc>
        <w:tc>
          <w:tcPr>
            <w:tcW w:w="1440" w:type="dxa"/>
            <w:tcBorders>
              <w:top w:val="nil"/>
              <w:left w:val="nil"/>
              <w:bottom w:val="nil"/>
              <w:right w:val="nil"/>
            </w:tcBorders>
            <w:shd w:val="clear" w:color="auto" w:fill="008EBA"/>
            <w:vAlign w:val="bottom"/>
          </w:tcPr>
          <w:p w14:paraId="4D505B18" w14:textId="4694EDA5" w:rsidR="00CC5E4C" w:rsidRPr="00515194" w:rsidRDefault="00CC5E4C" w:rsidP="00D41166">
            <w:pPr>
              <w:spacing w:before="40" w:after="40"/>
              <w:jc w:val="center"/>
              <w:rPr>
                <w:rFonts w:ascii="Arial" w:hAnsi="Arial" w:cs="Arial"/>
                <w:sz w:val="18"/>
                <w:szCs w:val="16"/>
              </w:rPr>
            </w:pPr>
            <w:r w:rsidRPr="007E5B02">
              <w:rPr>
                <w:rFonts w:ascii="Arial" w:hAnsi="Arial" w:cs="Arial"/>
                <w:color w:val="FFFFFF"/>
                <w:sz w:val="18"/>
                <w:szCs w:val="16"/>
              </w:rPr>
              <w:t>2022-23</w:t>
            </w:r>
            <w:r w:rsidRPr="007E5B02">
              <w:rPr>
                <w:rFonts w:ascii="Arial" w:hAnsi="Arial" w:cs="Arial"/>
                <w:color w:val="FFFFFF"/>
                <w:sz w:val="18"/>
                <w:szCs w:val="16"/>
                <w:vertAlign w:val="superscript"/>
              </w:rPr>
              <w:t>(</w:t>
            </w:r>
            <w:r w:rsidR="00182D7C">
              <w:rPr>
                <w:rFonts w:ascii="Arial" w:hAnsi="Arial" w:cs="Arial"/>
                <w:color w:val="FFFFFF"/>
                <w:sz w:val="18"/>
                <w:szCs w:val="16"/>
                <w:vertAlign w:val="superscript"/>
              </w:rPr>
              <w:t>d</w:t>
            </w:r>
            <w:r w:rsidRPr="00515194">
              <w:rPr>
                <w:rFonts w:ascii="Arial" w:hAnsi="Arial" w:cs="Arial"/>
                <w:color w:val="FFFFFF"/>
                <w:sz w:val="18"/>
                <w:szCs w:val="16"/>
                <w:vertAlign w:val="superscript"/>
              </w:rPr>
              <w:t>)</w:t>
            </w:r>
          </w:p>
        </w:tc>
      </w:tr>
      <w:tr w:rsidR="00CC5E4C" w:rsidRPr="00E43148" w14:paraId="2B916599" w14:textId="77777777" w:rsidTr="4CF5AE2E">
        <w:trPr>
          <w:trHeight w:val="283"/>
        </w:trPr>
        <w:tc>
          <w:tcPr>
            <w:tcW w:w="6743" w:type="dxa"/>
            <w:tcBorders>
              <w:top w:val="nil"/>
              <w:left w:val="nil"/>
              <w:bottom w:val="nil"/>
              <w:right w:val="nil"/>
            </w:tcBorders>
            <w:shd w:val="clear" w:color="auto" w:fill="00426F"/>
          </w:tcPr>
          <w:p w14:paraId="504ABA38" w14:textId="77777777" w:rsidR="00CC5E4C" w:rsidRPr="00E43148" w:rsidRDefault="00CC5E4C" w:rsidP="00D41166">
            <w:pPr>
              <w:spacing w:after="80"/>
              <w:jc w:val="center"/>
              <w:rPr>
                <w:rFonts w:ascii="Arial" w:hAnsi="Arial" w:cs="Arial"/>
                <w:sz w:val="18"/>
                <w:szCs w:val="16"/>
              </w:rPr>
            </w:pPr>
          </w:p>
        </w:tc>
        <w:tc>
          <w:tcPr>
            <w:tcW w:w="1439" w:type="dxa"/>
            <w:tcBorders>
              <w:top w:val="nil"/>
              <w:left w:val="nil"/>
              <w:bottom w:val="nil"/>
              <w:right w:val="nil"/>
            </w:tcBorders>
            <w:shd w:val="clear" w:color="auto" w:fill="00426F"/>
          </w:tcPr>
          <w:p w14:paraId="5DD6E011" w14:textId="77777777" w:rsidR="00CC5E4C" w:rsidRPr="00E43148" w:rsidRDefault="00CC5E4C" w:rsidP="00D41166">
            <w:pPr>
              <w:spacing w:after="80"/>
              <w:jc w:val="center"/>
              <w:rPr>
                <w:rFonts w:ascii="Arial" w:hAnsi="Arial" w:cs="Arial"/>
                <w:sz w:val="18"/>
                <w:szCs w:val="16"/>
              </w:rPr>
            </w:pPr>
            <w:r w:rsidRPr="00E43148">
              <w:rPr>
                <w:rFonts w:ascii="Arial" w:hAnsi="Arial" w:cs="Arial"/>
                <w:color w:val="FFFFFF"/>
                <w:sz w:val="18"/>
                <w:szCs w:val="16"/>
              </w:rPr>
              <w:t>$m</w:t>
            </w:r>
          </w:p>
        </w:tc>
        <w:tc>
          <w:tcPr>
            <w:tcW w:w="1440" w:type="dxa"/>
            <w:tcBorders>
              <w:top w:val="nil"/>
              <w:left w:val="nil"/>
              <w:bottom w:val="nil"/>
              <w:right w:val="nil"/>
            </w:tcBorders>
            <w:shd w:val="clear" w:color="auto" w:fill="00426F"/>
          </w:tcPr>
          <w:p w14:paraId="175ED155" w14:textId="77777777" w:rsidR="00CC5E4C" w:rsidRPr="007E5B02" w:rsidRDefault="00CC5E4C" w:rsidP="00D41166">
            <w:pPr>
              <w:spacing w:after="80"/>
              <w:jc w:val="center"/>
              <w:rPr>
                <w:rFonts w:ascii="Arial" w:hAnsi="Arial" w:cs="Arial"/>
                <w:sz w:val="18"/>
                <w:szCs w:val="16"/>
              </w:rPr>
            </w:pPr>
            <w:r w:rsidRPr="007E5B02">
              <w:rPr>
                <w:rFonts w:ascii="Arial" w:hAnsi="Arial" w:cs="Arial"/>
                <w:color w:val="FFFFFF"/>
                <w:sz w:val="18"/>
                <w:szCs w:val="16"/>
              </w:rPr>
              <w:t>$m</w:t>
            </w:r>
          </w:p>
        </w:tc>
      </w:tr>
      <w:tr w:rsidR="00182D7C" w:rsidRPr="00E43148" w14:paraId="0DA1CCA4" w14:textId="77777777" w:rsidTr="4CF5AE2E">
        <w:trPr>
          <w:trHeight w:val="283"/>
        </w:trPr>
        <w:tc>
          <w:tcPr>
            <w:tcW w:w="6743" w:type="dxa"/>
            <w:tcBorders>
              <w:top w:val="nil"/>
              <w:left w:val="nil"/>
              <w:bottom w:val="nil"/>
              <w:right w:val="nil"/>
            </w:tcBorders>
            <w:vAlign w:val="bottom"/>
          </w:tcPr>
          <w:p w14:paraId="7E9ADF15" w14:textId="6EE99EB3" w:rsidR="00182D7C" w:rsidRPr="007E5B02" w:rsidRDefault="00182D7C" w:rsidP="00182D7C">
            <w:pPr>
              <w:ind w:left="28"/>
              <w:rPr>
                <w:rFonts w:ascii="Arial" w:hAnsi="Arial" w:cs="Arial"/>
                <w:sz w:val="18"/>
                <w:szCs w:val="16"/>
              </w:rPr>
            </w:pPr>
            <w:r w:rsidRPr="5DCA8DD9">
              <w:rPr>
                <w:rFonts w:ascii="Arial" w:hAnsi="Arial" w:cs="Arial"/>
                <w:sz w:val="18"/>
                <w:szCs w:val="18"/>
              </w:rPr>
              <w:t>Aboriginal Housing Office</w:t>
            </w:r>
            <w:r w:rsidRPr="7C6E42B9">
              <w:rPr>
                <w:rFonts w:ascii="Arial" w:hAnsi="Arial" w:cs="Arial"/>
                <w:color w:val="000000" w:themeColor="text1"/>
                <w:sz w:val="18"/>
                <w:szCs w:val="18"/>
                <w:vertAlign w:val="superscript"/>
              </w:rPr>
              <w:t>(a)</w:t>
            </w:r>
          </w:p>
        </w:tc>
        <w:tc>
          <w:tcPr>
            <w:tcW w:w="1439" w:type="dxa"/>
            <w:tcBorders>
              <w:top w:val="nil"/>
              <w:left w:val="nil"/>
              <w:bottom w:val="nil"/>
              <w:right w:val="nil"/>
            </w:tcBorders>
            <w:vAlign w:val="bottom"/>
          </w:tcPr>
          <w:p w14:paraId="166D11AE" w14:textId="7A2655AF" w:rsidR="00182D7C" w:rsidRDefault="00182D7C" w:rsidP="00182D7C">
            <w:pPr>
              <w:ind w:left="28" w:right="340"/>
              <w:jc w:val="right"/>
              <w:rPr>
                <w:rFonts w:ascii="Arial" w:hAnsi="Arial" w:cs="Arial"/>
                <w:sz w:val="18"/>
                <w:szCs w:val="16"/>
              </w:rPr>
            </w:pPr>
            <w:r w:rsidRPr="2DA99C0A">
              <w:rPr>
                <w:rFonts w:ascii="Arial" w:hAnsi="Arial" w:cs="Arial"/>
                <w:sz w:val="18"/>
                <w:szCs w:val="18"/>
              </w:rPr>
              <w:t>3</w:t>
            </w:r>
          </w:p>
        </w:tc>
        <w:tc>
          <w:tcPr>
            <w:tcW w:w="1440" w:type="dxa"/>
            <w:tcBorders>
              <w:top w:val="nil"/>
              <w:left w:val="nil"/>
              <w:bottom w:val="nil"/>
              <w:right w:val="nil"/>
            </w:tcBorders>
            <w:vAlign w:val="bottom"/>
          </w:tcPr>
          <w:p w14:paraId="714C0D29" w14:textId="51740F74" w:rsidR="00182D7C" w:rsidRPr="2E00E5B6" w:rsidRDefault="00182D7C" w:rsidP="00182D7C">
            <w:pPr>
              <w:ind w:left="28" w:right="340"/>
              <w:jc w:val="right"/>
              <w:rPr>
                <w:rFonts w:ascii="Arial" w:hAnsi="Arial" w:cs="Arial"/>
                <w:sz w:val="18"/>
                <w:szCs w:val="18"/>
              </w:rPr>
            </w:pPr>
            <w:r w:rsidRPr="6C2B216D">
              <w:rPr>
                <w:rFonts w:ascii="Arial" w:hAnsi="Arial" w:cs="Arial"/>
                <w:sz w:val="18"/>
                <w:szCs w:val="18"/>
              </w:rPr>
              <w:t>2</w:t>
            </w:r>
          </w:p>
        </w:tc>
      </w:tr>
      <w:tr w:rsidR="00182D7C" w:rsidRPr="00E43148" w14:paraId="46FFAB1A" w14:textId="77777777" w:rsidTr="4CF5AE2E">
        <w:trPr>
          <w:trHeight w:val="283"/>
        </w:trPr>
        <w:tc>
          <w:tcPr>
            <w:tcW w:w="6743" w:type="dxa"/>
            <w:tcBorders>
              <w:top w:val="nil"/>
              <w:left w:val="nil"/>
              <w:bottom w:val="nil"/>
              <w:right w:val="nil"/>
            </w:tcBorders>
            <w:vAlign w:val="bottom"/>
          </w:tcPr>
          <w:p w14:paraId="73B21083" w14:textId="6C81C77B" w:rsidR="00182D7C" w:rsidRPr="007E5B02" w:rsidRDefault="00182D7C" w:rsidP="00182D7C">
            <w:pPr>
              <w:ind w:left="28"/>
              <w:rPr>
                <w:rFonts w:ascii="Arial" w:hAnsi="Arial" w:cs="Arial"/>
                <w:sz w:val="18"/>
                <w:szCs w:val="16"/>
              </w:rPr>
            </w:pPr>
            <w:r w:rsidRPr="6F086284">
              <w:rPr>
                <w:rFonts w:ascii="Arial" w:hAnsi="Arial" w:cs="Arial"/>
                <w:sz w:val="18"/>
                <w:szCs w:val="18"/>
              </w:rPr>
              <w:t>Industry, Skills and Regional Development</w:t>
            </w:r>
          </w:p>
        </w:tc>
        <w:tc>
          <w:tcPr>
            <w:tcW w:w="1439" w:type="dxa"/>
            <w:tcBorders>
              <w:top w:val="nil"/>
              <w:left w:val="nil"/>
              <w:bottom w:val="nil"/>
              <w:right w:val="nil"/>
            </w:tcBorders>
            <w:vAlign w:val="bottom"/>
          </w:tcPr>
          <w:p w14:paraId="1130753E" w14:textId="49CE9A91" w:rsidR="00182D7C" w:rsidRDefault="00182D7C" w:rsidP="00182D7C">
            <w:pPr>
              <w:ind w:left="28" w:right="340"/>
              <w:jc w:val="right"/>
              <w:rPr>
                <w:rFonts w:ascii="Arial" w:hAnsi="Arial" w:cs="Arial"/>
                <w:sz w:val="18"/>
                <w:szCs w:val="16"/>
              </w:rPr>
            </w:pPr>
            <w:r w:rsidRPr="6000252E">
              <w:rPr>
                <w:rFonts w:ascii="Arial" w:hAnsi="Arial" w:cs="Arial"/>
                <w:sz w:val="18"/>
                <w:szCs w:val="18"/>
              </w:rPr>
              <w:t>0</w:t>
            </w:r>
          </w:p>
        </w:tc>
        <w:tc>
          <w:tcPr>
            <w:tcW w:w="1440" w:type="dxa"/>
            <w:tcBorders>
              <w:top w:val="nil"/>
              <w:left w:val="nil"/>
              <w:bottom w:val="nil"/>
              <w:right w:val="nil"/>
            </w:tcBorders>
            <w:vAlign w:val="bottom"/>
          </w:tcPr>
          <w:p w14:paraId="0B0E848C" w14:textId="160C8146" w:rsidR="00182D7C" w:rsidRPr="2E00E5B6" w:rsidRDefault="00182D7C" w:rsidP="00182D7C">
            <w:pPr>
              <w:ind w:left="28" w:right="340"/>
              <w:jc w:val="right"/>
              <w:rPr>
                <w:rFonts w:ascii="Arial" w:hAnsi="Arial" w:cs="Arial"/>
                <w:sz w:val="18"/>
                <w:szCs w:val="18"/>
              </w:rPr>
            </w:pPr>
            <w:r w:rsidRPr="65AC05D8">
              <w:rPr>
                <w:rFonts w:ascii="Arial" w:hAnsi="Arial" w:cs="Arial"/>
                <w:sz w:val="18"/>
                <w:szCs w:val="18"/>
              </w:rPr>
              <w:t>23</w:t>
            </w:r>
            <w:r>
              <w:rPr>
                <w:rFonts w:ascii="Arial" w:hAnsi="Arial" w:cs="Arial"/>
                <w:sz w:val="18"/>
                <w:szCs w:val="18"/>
              </w:rPr>
              <w:t>1</w:t>
            </w:r>
          </w:p>
        </w:tc>
      </w:tr>
      <w:tr w:rsidR="00182D7C" w:rsidRPr="00E43148" w14:paraId="72EC96EF" w14:textId="77777777" w:rsidTr="4CF5AE2E">
        <w:trPr>
          <w:trHeight w:val="283"/>
        </w:trPr>
        <w:tc>
          <w:tcPr>
            <w:tcW w:w="6743" w:type="dxa"/>
            <w:tcBorders>
              <w:top w:val="nil"/>
              <w:left w:val="nil"/>
              <w:bottom w:val="nil"/>
              <w:right w:val="nil"/>
            </w:tcBorders>
            <w:vAlign w:val="bottom"/>
          </w:tcPr>
          <w:p w14:paraId="00D6EFF4" w14:textId="2E34AA2B" w:rsidR="00182D7C" w:rsidRPr="005102F9" w:rsidRDefault="00182D7C" w:rsidP="00182D7C">
            <w:pPr>
              <w:ind w:left="28"/>
              <w:rPr>
                <w:rFonts w:ascii="Arial" w:hAnsi="Arial" w:cs="Arial"/>
                <w:sz w:val="18"/>
                <w:szCs w:val="16"/>
              </w:rPr>
            </w:pPr>
            <w:r w:rsidRPr="00E43148">
              <w:rPr>
                <w:rFonts w:ascii="Arial" w:hAnsi="Arial" w:cs="Arial"/>
                <w:sz w:val="18"/>
                <w:szCs w:val="16"/>
              </w:rPr>
              <w:t>Other Agencies</w:t>
            </w:r>
          </w:p>
        </w:tc>
        <w:tc>
          <w:tcPr>
            <w:tcW w:w="1439" w:type="dxa"/>
            <w:tcBorders>
              <w:top w:val="nil"/>
              <w:left w:val="nil"/>
              <w:bottom w:val="nil"/>
              <w:right w:val="nil"/>
            </w:tcBorders>
            <w:vAlign w:val="bottom"/>
          </w:tcPr>
          <w:p w14:paraId="50C01458" w14:textId="4D353881" w:rsidR="00182D7C" w:rsidRDefault="00182D7C" w:rsidP="00182D7C">
            <w:pPr>
              <w:ind w:left="28" w:right="340"/>
              <w:jc w:val="right"/>
              <w:rPr>
                <w:rFonts w:ascii="Arial" w:hAnsi="Arial" w:cs="Arial"/>
                <w:sz w:val="18"/>
                <w:szCs w:val="16"/>
              </w:rPr>
            </w:pPr>
            <w:r w:rsidRPr="00082EC6">
              <w:rPr>
                <w:rFonts w:ascii="Arial" w:hAnsi="Arial" w:cs="Arial"/>
                <w:sz w:val="18"/>
                <w:szCs w:val="18"/>
              </w:rPr>
              <w:t>16</w:t>
            </w:r>
          </w:p>
        </w:tc>
        <w:tc>
          <w:tcPr>
            <w:tcW w:w="1440" w:type="dxa"/>
            <w:tcBorders>
              <w:top w:val="nil"/>
              <w:left w:val="nil"/>
              <w:bottom w:val="nil"/>
              <w:right w:val="nil"/>
            </w:tcBorders>
            <w:vAlign w:val="bottom"/>
          </w:tcPr>
          <w:p w14:paraId="73D9505B" w14:textId="6E8B3086" w:rsidR="00182D7C" w:rsidRPr="007E5B02" w:rsidRDefault="00182D7C" w:rsidP="00182D7C">
            <w:pPr>
              <w:ind w:left="28" w:right="340"/>
              <w:jc w:val="right"/>
              <w:rPr>
                <w:rFonts w:ascii="Arial" w:hAnsi="Arial" w:cs="Arial"/>
                <w:sz w:val="18"/>
                <w:szCs w:val="18"/>
              </w:rPr>
            </w:pPr>
            <w:r w:rsidRPr="65AC05D8">
              <w:rPr>
                <w:rFonts w:ascii="Arial" w:hAnsi="Arial" w:cs="Arial"/>
                <w:sz w:val="18"/>
                <w:szCs w:val="18"/>
              </w:rPr>
              <w:t>0</w:t>
            </w:r>
          </w:p>
        </w:tc>
      </w:tr>
      <w:tr w:rsidR="00182D7C" w:rsidRPr="00BA7D8D" w14:paraId="29AA35E2" w14:textId="77777777" w:rsidTr="4CF5AE2E">
        <w:trPr>
          <w:trHeight w:val="340"/>
        </w:trPr>
        <w:tc>
          <w:tcPr>
            <w:tcW w:w="6743" w:type="dxa"/>
            <w:tcBorders>
              <w:top w:val="single" w:sz="4" w:space="0" w:color="auto"/>
              <w:left w:val="nil"/>
              <w:bottom w:val="single" w:sz="6" w:space="0" w:color="000000" w:themeColor="text1"/>
              <w:right w:val="nil"/>
            </w:tcBorders>
          </w:tcPr>
          <w:p w14:paraId="796753F8" w14:textId="77777777" w:rsidR="00182D7C" w:rsidRPr="005102F9" w:rsidRDefault="00182D7C" w:rsidP="00182D7C">
            <w:pPr>
              <w:jc w:val="center"/>
              <w:rPr>
                <w:rFonts w:ascii="Arial" w:hAnsi="Arial" w:cs="Arial"/>
                <w:color w:val="008EBA"/>
                <w:sz w:val="18"/>
                <w:szCs w:val="16"/>
              </w:rPr>
            </w:pPr>
          </w:p>
        </w:tc>
        <w:tc>
          <w:tcPr>
            <w:tcW w:w="1439" w:type="dxa"/>
            <w:tcBorders>
              <w:top w:val="single" w:sz="4" w:space="0" w:color="auto"/>
              <w:left w:val="nil"/>
              <w:bottom w:val="single" w:sz="6" w:space="0" w:color="000000" w:themeColor="text1"/>
              <w:right w:val="nil"/>
            </w:tcBorders>
            <w:vAlign w:val="center"/>
          </w:tcPr>
          <w:p w14:paraId="0C0D48C2" w14:textId="2BB209C6" w:rsidR="00182D7C" w:rsidRPr="00E453F8" w:rsidRDefault="00182D7C" w:rsidP="002D3768">
            <w:pPr>
              <w:ind w:left="-96" w:right="183"/>
              <w:jc w:val="right"/>
              <w:rPr>
                <w:rFonts w:ascii="Arial" w:eastAsia="Arial" w:hAnsi="Arial" w:cs="Arial"/>
                <w:b/>
                <w:bCs/>
                <w:color w:val="008EBA"/>
                <w:sz w:val="18"/>
                <w:szCs w:val="18"/>
              </w:rPr>
            </w:pPr>
            <w:r w:rsidRPr="002B4DB7">
              <w:rPr>
                <w:rFonts w:ascii="Arial" w:eastAsia="Arial" w:hAnsi="Arial" w:cs="Arial"/>
                <w:b/>
                <w:bCs/>
                <w:color w:val="008EBA"/>
                <w:sz w:val="18"/>
                <w:szCs w:val="18"/>
              </w:rPr>
              <w:t>19</w:t>
            </w:r>
            <w:r w:rsidRPr="002B4DB7">
              <w:rPr>
                <w:rFonts w:ascii="Arial" w:hAnsi="Arial" w:cs="Arial"/>
                <w:b/>
                <w:bCs/>
                <w:color w:val="008EBA"/>
                <w:sz w:val="18"/>
                <w:szCs w:val="18"/>
                <w:vertAlign w:val="superscript"/>
              </w:rPr>
              <w:t>(b)</w:t>
            </w:r>
          </w:p>
        </w:tc>
        <w:tc>
          <w:tcPr>
            <w:tcW w:w="1440" w:type="dxa"/>
            <w:tcBorders>
              <w:top w:val="single" w:sz="4" w:space="0" w:color="auto"/>
              <w:left w:val="nil"/>
              <w:bottom w:val="single" w:sz="6" w:space="0" w:color="000000" w:themeColor="text1"/>
              <w:right w:val="nil"/>
            </w:tcBorders>
            <w:vAlign w:val="center"/>
          </w:tcPr>
          <w:p w14:paraId="74ACF119" w14:textId="7BA481C8" w:rsidR="00182D7C" w:rsidRPr="007E5B02" w:rsidRDefault="00182D7C" w:rsidP="00182D7C">
            <w:pPr>
              <w:ind w:right="340"/>
              <w:jc w:val="right"/>
              <w:rPr>
                <w:rFonts w:ascii="Arial" w:hAnsi="Arial" w:cs="Arial"/>
                <w:b/>
                <w:color w:val="008EBA"/>
                <w:sz w:val="18"/>
                <w:szCs w:val="18"/>
              </w:rPr>
            </w:pPr>
            <w:r w:rsidRPr="002B4DB7">
              <w:rPr>
                <w:rFonts w:ascii="Arial" w:eastAsia="Arial" w:hAnsi="Arial" w:cs="Arial"/>
                <w:b/>
                <w:bCs/>
                <w:color w:val="008EBA"/>
                <w:sz w:val="18"/>
                <w:szCs w:val="18"/>
              </w:rPr>
              <w:t>23</w:t>
            </w:r>
            <w:r w:rsidR="00CB1A31">
              <w:rPr>
                <w:rFonts w:ascii="Arial" w:eastAsia="Arial" w:hAnsi="Arial" w:cs="Arial"/>
                <w:b/>
                <w:bCs/>
                <w:color w:val="008EBA"/>
                <w:sz w:val="18"/>
                <w:szCs w:val="18"/>
              </w:rPr>
              <w:t>2</w:t>
            </w:r>
          </w:p>
        </w:tc>
      </w:tr>
    </w:tbl>
    <w:p w14:paraId="4598E3D2" w14:textId="77777777" w:rsidR="004C2486" w:rsidRPr="00CD4263" w:rsidRDefault="004C2486" w:rsidP="004C2486">
      <w:pPr>
        <w:spacing w:before="240" w:after="100"/>
        <w:ind w:left="362"/>
        <w:contextualSpacing/>
        <w:rPr>
          <w:rFonts w:ascii="Arial" w:eastAsia="Calibri" w:hAnsi="Arial" w:cs="Arial"/>
          <w:sz w:val="6"/>
          <w:szCs w:val="6"/>
          <w:lang w:val="en-AU"/>
        </w:rPr>
      </w:pPr>
    </w:p>
    <w:p w14:paraId="2F83C2BF" w14:textId="72C9DFBA" w:rsidR="00831CA8" w:rsidRPr="00E92972" w:rsidRDefault="00602CB4" w:rsidP="00602CB4">
      <w:pPr>
        <w:numPr>
          <w:ilvl w:val="0"/>
          <w:numId w:val="2"/>
        </w:numPr>
        <w:spacing w:before="240" w:after="100"/>
        <w:ind w:hanging="357"/>
        <w:contextualSpacing/>
        <w:rPr>
          <w:rFonts w:ascii="Arial" w:eastAsia="Calibri" w:hAnsi="Arial" w:cs="Arial"/>
          <w:sz w:val="17"/>
          <w:szCs w:val="17"/>
          <w:lang w:val="en-AU"/>
        </w:rPr>
      </w:pPr>
      <w:r w:rsidRPr="006B22AA">
        <w:rPr>
          <w:rFonts w:ascii="Arial" w:eastAsia="Calibri" w:hAnsi="Arial" w:cs="Arial"/>
          <w:sz w:val="17"/>
          <w:szCs w:val="17"/>
          <w:lang w:val="en-AU"/>
        </w:rPr>
        <w:t xml:space="preserve">As part of the </w:t>
      </w:r>
      <w:r w:rsidRPr="00E92972">
        <w:rPr>
          <w:rFonts w:ascii="Arial" w:eastAsia="Calibri" w:hAnsi="Arial" w:cs="Arial"/>
          <w:sz w:val="17"/>
          <w:szCs w:val="17"/>
          <w:lang w:val="en-AU"/>
        </w:rPr>
        <w:t xml:space="preserve">Housing Aboriginal Communities Program, there </w:t>
      </w:r>
      <w:r w:rsidRPr="009C7FF2">
        <w:rPr>
          <w:rFonts w:ascii="Arial" w:eastAsia="Calibri" w:hAnsi="Arial" w:cs="Arial"/>
          <w:sz w:val="17"/>
          <w:szCs w:val="17"/>
          <w:lang w:val="en-AU"/>
        </w:rPr>
        <w:t>are</w:t>
      </w:r>
      <w:r w:rsidRPr="00E92972">
        <w:rPr>
          <w:rFonts w:ascii="Arial" w:eastAsia="Calibri" w:hAnsi="Arial" w:cs="Arial"/>
          <w:sz w:val="17"/>
          <w:szCs w:val="17"/>
          <w:lang w:val="en-AU"/>
        </w:rPr>
        <w:t xml:space="preserve"> properties that the Aboriginal Housing Office does not have definitive control over. As a result, they will not be recognised until such time as full control is established.</w:t>
      </w:r>
      <w:r w:rsidRPr="002D3768">
        <w:rPr>
          <w:rFonts w:ascii="Arial" w:eastAsia="Calibri" w:hAnsi="Arial" w:cs="Arial"/>
          <w:sz w:val="17"/>
          <w:szCs w:val="17"/>
          <w:lang w:val="en-AU"/>
        </w:rPr>
        <w:t xml:space="preserve"> This was also the case in </w:t>
      </w:r>
      <w:r w:rsidR="003E26BD" w:rsidRPr="002D3768">
        <w:rPr>
          <w:rFonts w:ascii="Arial" w:eastAsia="Calibri" w:hAnsi="Arial" w:cs="Arial"/>
          <w:sz w:val="17"/>
          <w:szCs w:val="17"/>
          <w:lang w:val="en-AU"/>
        </w:rPr>
        <w:t xml:space="preserve">the </w:t>
      </w:r>
      <w:r w:rsidRPr="002D3768">
        <w:rPr>
          <w:rFonts w:ascii="Arial" w:eastAsia="Calibri" w:hAnsi="Arial" w:cs="Arial"/>
          <w:sz w:val="17"/>
          <w:szCs w:val="17"/>
          <w:lang w:val="en-AU"/>
        </w:rPr>
        <w:t>2021</w:t>
      </w:r>
      <w:r w:rsidR="005A4BE7" w:rsidRPr="002D3768">
        <w:rPr>
          <w:rFonts w:ascii="Arial" w:eastAsia="Calibri" w:hAnsi="Arial" w:cs="Arial"/>
          <w:sz w:val="17"/>
          <w:szCs w:val="17"/>
          <w:lang w:val="en-AU"/>
        </w:rPr>
        <w:t>-</w:t>
      </w:r>
      <w:r w:rsidRPr="002D3768">
        <w:rPr>
          <w:rFonts w:ascii="Arial" w:eastAsia="Calibri" w:hAnsi="Arial" w:cs="Arial"/>
          <w:sz w:val="17"/>
          <w:szCs w:val="17"/>
          <w:lang w:val="en-AU"/>
        </w:rPr>
        <w:t>22</w:t>
      </w:r>
      <w:r w:rsidR="005813C8" w:rsidRPr="002D3768">
        <w:rPr>
          <w:rFonts w:ascii="Arial" w:eastAsia="Calibri" w:hAnsi="Arial" w:cs="Arial"/>
          <w:sz w:val="17"/>
          <w:szCs w:val="17"/>
          <w:lang w:val="en-AU"/>
        </w:rPr>
        <w:t xml:space="preserve"> </w:t>
      </w:r>
      <w:r w:rsidR="00AB76B3" w:rsidRPr="002D3768">
        <w:rPr>
          <w:rFonts w:ascii="Arial" w:eastAsia="Calibri" w:hAnsi="Arial" w:cs="Arial"/>
          <w:sz w:val="17"/>
          <w:szCs w:val="17"/>
          <w:lang w:val="en-AU"/>
        </w:rPr>
        <w:t>Budget;</w:t>
      </w:r>
      <w:r w:rsidR="003E26BD" w:rsidRPr="002D3768">
        <w:rPr>
          <w:rFonts w:ascii="Arial" w:eastAsia="Calibri" w:hAnsi="Arial" w:cs="Arial"/>
          <w:sz w:val="17"/>
          <w:szCs w:val="17"/>
          <w:lang w:val="en-AU"/>
        </w:rPr>
        <w:t xml:space="preserve"> </w:t>
      </w:r>
      <w:r w:rsidR="005813C8" w:rsidRPr="002D3768">
        <w:rPr>
          <w:rFonts w:ascii="Arial" w:eastAsia="Calibri" w:hAnsi="Arial" w:cs="Arial"/>
          <w:sz w:val="17"/>
          <w:szCs w:val="17"/>
          <w:lang w:val="en-AU"/>
        </w:rPr>
        <w:t xml:space="preserve">however, this </w:t>
      </w:r>
      <w:r w:rsidRPr="002D3768">
        <w:rPr>
          <w:rFonts w:ascii="Arial" w:eastAsia="Calibri" w:hAnsi="Arial" w:cs="Arial"/>
          <w:sz w:val="17"/>
          <w:szCs w:val="17"/>
          <w:lang w:val="en-AU"/>
        </w:rPr>
        <w:t xml:space="preserve">was not </w:t>
      </w:r>
      <w:r w:rsidR="00190C6E" w:rsidRPr="002D3768">
        <w:rPr>
          <w:rFonts w:ascii="Arial" w:eastAsia="Calibri" w:hAnsi="Arial" w:cs="Arial"/>
          <w:sz w:val="17"/>
          <w:szCs w:val="17"/>
          <w:lang w:val="en-AU"/>
        </w:rPr>
        <w:t>disclosed</w:t>
      </w:r>
      <w:r w:rsidR="005813C8" w:rsidRPr="002D3768">
        <w:rPr>
          <w:rFonts w:ascii="Arial" w:eastAsia="Calibri" w:hAnsi="Arial" w:cs="Arial"/>
          <w:sz w:val="17"/>
          <w:szCs w:val="17"/>
          <w:lang w:val="en-AU"/>
        </w:rPr>
        <w:t>.</w:t>
      </w:r>
    </w:p>
    <w:p w14:paraId="47D18E4C" w14:textId="422B75FD" w:rsidR="00FD2E09" w:rsidRDefault="685B3FF1" w:rsidP="003650B1">
      <w:pPr>
        <w:numPr>
          <w:ilvl w:val="0"/>
          <w:numId w:val="2"/>
        </w:numPr>
        <w:spacing w:before="240" w:after="100"/>
        <w:ind w:hanging="357"/>
        <w:contextualSpacing/>
        <w:rPr>
          <w:rFonts w:ascii="Arial" w:eastAsia="Calibri" w:hAnsi="Arial" w:cs="Arial"/>
          <w:sz w:val="17"/>
          <w:szCs w:val="17"/>
          <w:lang w:val="en-AU"/>
        </w:rPr>
      </w:pPr>
      <w:r w:rsidRPr="002D3768">
        <w:rPr>
          <w:rFonts w:ascii="Arial" w:eastAsia="Calibri" w:hAnsi="Arial" w:cs="Arial"/>
          <w:sz w:val="17"/>
          <w:szCs w:val="17"/>
          <w:lang w:val="en-AU"/>
        </w:rPr>
        <w:t xml:space="preserve">The </w:t>
      </w:r>
      <w:r w:rsidRPr="000C3C9B">
        <w:rPr>
          <w:rFonts w:ascii="Arial" w:eastAsia="Calibri" w:hAnsi="Arial" w:cs="Arial"/>
          <w:sz w:val="17"/>
          <w:szCs w:val="17"/>
          <w:lang w:val="en-AU"/>
        </w:rPr>
        <w:t>2021-22 Budget</w:t>
      </w:r>
      <w:r w:rsidRPr="003F0C92">
        <w:rPr>
          <w:rFonts w:ascii="Arial" w:eastAsia="Calibri" w:hAnsi="Arial" w:cs="Arial"/>
          <w:sz w:val="17"/>
          <w:szCs w:val="17"/>
          <w:lang w:val="en-AU"/>
        </w:rPr>
        <w:t xml:space="preserve"> included $5,063</w:t>
      </w:r>
      <w:r w:rsidR="585F7257" w:rsidRPr="009C7FF2">
        <w:rPr>
          <w:rFonts w:ascii="Arial" w:eastAsia="Calibri" w:hAnsi="Arial" w:cs="Arial"/>
          <w:sz w:val="17"/>
          <w:szCs w:val="17"/>
          <w:lang w:val="en-AU"/>
        </w:rPr>
        <w:t xml:space="preserve"> </w:t>
      </w:r>
      <w:r w:rsidRPr="009C7FF2">
        <w:rPr>
          <w:rFonts w:ascii="Arial" w:eastAsia="Calibri" w:hAnsi="Arial" w:cs="Arial"/>
          <w:sz w:val="17"/>
          <w:szCs w:val="17"/>
          <w:lang w:val="en-AU"/>
        </w:rPr>
        <w:t>m</w:t>
      </w:r>
      <w:r w:rsidR="585F7257" w:rsidRPr="009C7FF2">
        <w:rPr>
          <w:rFonts w:ascii="Arial" w:eastAsia="Calibri" w:hAnsi="Arial" w:cs="Arial"/>
          <w:sz w:val="17"/>
          <w:szCs w:val="17"/>
          <w:lang w:val="en-AU"/>
        </w:rPr>
        <w:t>illion</w:t>
      </w:r>
      <w:r w:rsidRPr="00774AAE">
        <w:rPr>
          <w:rFonts w:ascii="Arial" w:eastAsia="Calibri" w:hAnsi="Arial" w:cs="Arial"/>
          <w:sz w:val="17"/>
          <w:szCs w:val="17"/>
          <w:lang w:val="en-AU"/>
        </w:rPr>
        <w:t xml:space="preserve"> of the general government sector’s performance bonds and other instruments of assurance.</w:t>
      </w:r>
      <w:r w:rsidR="003650B1" w:rsidRPr="00774AAE">
        <w:rPr>
          <w:rFonts w:ascii="Arial" w:eastAsia="Calibri" w:hAnsi="Arial" w:cs="Arial"/>
          <w:sz w:val="17"/>
          <w:szCs w:val="17"/>
          <w:lang w:val="en-AU"/>
        </w:rPr>
        <w:t xml:space="preserve"> </w:t>
      </w:r>
      <w:r w:rsidR="003650B1" w:rsidRPr="007174C4">
        <w:rPr>
          <w:rFonts w:ascii="Arial" w:eastAsia="Calibri" w:hAnsi="Arial" w:cs="Arial"/>
          <w:sz w:val="17"/>
          <w:szCs w:val="17"/>
          <w:lang w:val="en-AU"/>
        </w:rPr>
        <w:t>This has been removed</w:t>
      </w:r>
      <w:r w:rsidR="003650B1" w:rsidRPr="002D3768">
        <w:rPr>
          <w:rFonts w:ascii="Arial" w:eastAsia="Calibri" w:hAnsi="Arial" w:cs="Arial"/>
          <w:sz w:val="17"/>
          <w:szCs w:val="17"/>
          <w:lang w:val="en-AU"/>
        </w:rPr>
        <w:t xml:space="preserve"> in the table above for the 2021-22 Budget and the total restated.</w:t>
      </w:r>
      <w:r w:rsidR="003650B1" w:rsidRPr="000C3C9B">
        <w:rPr>
          <w:rFonts w:ascii="Arial" w:eastAsia="Calibri" w:hAnsi="Arial" w:cs="Arial"/>
          <w:sz w:val="17"/>
          <w:szCs w:val="17"/>
          <w:lang w:val="en-AU"/>
        </w:rPr>
        <w:t xml:space="preserve"> </w:t>
      </w:r>
      <w:r w:rsidR="3E9AF0C6" w:rsidRPr="003650B1">
        <w:rPr>
          <w:rFonts w:ascii="Arial" w:eastAsia="Calibri" w:hAnsi="Arial" w:cs="Arial"/>
          <w:sz w:val="17"/>
          <w:szCs w:val="17"/>
          <w:lang w:val="en-AU"/>
        </w:rPr>
        <w:t>U</w:t>
      </w:r>
      <w:r w:rsidRPr="003650B1">
        <w:rPr>
          <w:rFonts w:ascii="Arial" w:eastAsia="Calibri" w:hAnsi="Arial" w:cs="Arial"/>
          <w:sz w:val="17"/>
          <w:szCs w:val="17"/>
          <w:lang w:val="en-AU"/>
        </w:rPr>
        <w:t xml:space="preserve">nless an inflow of benefits </w:t>
      </w:r>
      <w:r w:rsidR="27B8F6D4" w:rsidRPr="003650B1">
        <w:rPr>
          <w:rFonts w:ascii="Arial" w:eastAsia="Calibri" w:hAnsi="Arial" w:cs="Arial"/>
          <w:sz w:val="17"/>
          <w:szCs w:val="17"/>
          <w:lang w:val="en-AU"/>
        </w:rPr>
        <w:t>i</w:t>
      </w:r>
      <w:r w:rsidRPr="003650B1">
        <w:rPr>
          <w:rFonts w:ascii="Arial" w:eastAsia="Calibri" w:hAnsi="Arial" w:cs="Arial"/>
          <w:sz w:val="17"/>
          <w:szCs w:val="17"/>
          <w:lang w:val="en-AU"/>
        </w:rPr>
        <w:t xml:space="preserve">s </w:t>
      </w:r>
      <w:r w:rsidR="72C1D90A" w:rsidRPr="003650B1">
        <w:rPr>
          <w:rFonts w:ascii="Arial" w:eastAsia="Calibri" w:hAnsi="Arial" w:cs="Arial"/>
          <w:sz w:val="17"/>
          <w:szCs w:val="17"/>
          <w:lang w:val="en-AU"/>
        </w:rPr>
        <w:t>probable</w:t>
      </w:r>
      <w:r w:rsidR="3E9AF0C6" w:rsidRPr="003650B1">
        <w:rPr>
          <w:rFonts w:ascii="Arial" w:eastAsia="Calibri" w:hAnsi="Arial" w:cs="Arial"/>
          <w:sz w:val="17"/>
          <w:szCs w:val="17"/>
          <w:lang w:val="en-AU"/>
        </w:rPr>
        <w:t>, the Government will no longer disclose them as contingent assets</w:t>
      </w:r>
      <w:r w:rsidRPr="003650B1">
        <w:rPr>
          <w:rFonts w:ascii="Arial" w:eastAsia="Calibri" w:hAnsi="Arial" w:cs="Arial"/>
          <w:sz w:val="17"/>
          <w:szCs w:val="17"/>
          <w:lang w:val="en-AU"/>
        </w:rPr>
        <w:t xml:space="preserve">. </w:t>
      </w:r>
    </w:p>
    <w:p w14:paraId="090E7DCF" w14:textId="24760EB6" w:rsidR="00DB6BC4" w:rsidRPr="00515194" w:rsidRDefault="35EDD256" w:rsidP="00A75EE4">
      <w:pPr>
        <w:numPr>
          <w:ilvl w:val="0"/>
          <w:numId w:val="2"/>
        </w:numPr>
        <w:spacing w:before="240" w:after="100"/>
        <w:ind w:left="357" w:hanging="357"/>
        <w:contextualSpacing/>
        <w:rPr>
          <w:rFonts w:ascii="Arial" w:eastAsia="Calibri" w:hAnsi="Arial" w:cs="Arial"/>
          <w:sz w:val="17"/>
          <w:szCs w:val="17"/>
          <w:lang w:val="en-AU"/>
        </w:rPr>
      </w:pPr>
      <w:r w:rsidRPr="00515194">
        <w:rPr>
          <w:rFonts w:ascii="Arial" w:eastAsia="Calibri" w:hAnsi="Arial" w:cs="Arial"/>
          <w:sz w:val="17"/>
          <w:szCs w:val="17"/>
          <w:lang w:val="en-AU"/>
        </w:rPr>
        <w:t xml:space="preserve">As </w:t>
      </w:r>
      <w:r w:rsidR="235EE7D0" w:rsidRPr="00515194">
        <w:rPr>
          <w:rFonts w:ascii="Arial" w:eastAsia="Calibri" w:hAnsi="Arial" w:cs="Arial"/>
          <w:sz w:val="17"/>
          <w:szCs w:val="17"/>
          <w:lang w:val="en-AU"/>
        </w:rPr>
        <w:t>at</w:t>
      </w:r>
      <w:r w:rsidR="2CAD7CC3" w:rsidRPr="00515194">
        <w:rPr>
          <w:rFonts w:ascii="Arial" w:eastAsia="Calibri" w:hAnsi="Arial" w:cs="Arial"/>
          <w:sz w:val="17"/>
          <w:szCs w:val="17"/>
          <w:lang w:val="en-AU"/>
        </w:rPr>
        <w:t xml:space="preserve"> reporting date </w:t>
      </w:r>
      <w:r w:rsidR="575C3E67" w:rsidRPr="00515194">
        <w:rPr>
          <w:rFonts w:ascii="Arial" w:eastAsia="Calibri" w:hAnsi="Arial" w:cs="Arial"/>
          <w:sz w:val="17"/>
          <w:szCs w:val="17"/>
          <w:lang w:val="en-AU"/>
        </w:rPr>
        <w:t xml:space="preserve">of </w:t>
      </w:r>
      <w:r w:rsidRPr="00515194">
        <w:rPr>
          <w:rFonts w:ascii="Arial" w:eastAsia="Calibri" w:hAnsi="Arial" w:cs="Arial"/>
          <w:sz w:val="17"/>
          <w:szCs w:val="17"/>
          <w:lang w:val="en-AU"/>
        </w:rPr>
        <w:t xml:space="preserve">30 </w:t>
      </w:r>
      <w:r w:rsidR="6BA87052" w:rsidRPr="00515194">
        <w:rPr>
          <w:rFonts w:ascii="Arial" w:eastAsia="Calibri" w:hAnsi="Arial" w:cs="Arial"/>
          <w:sz w:val="17"/>
          <w:szCs w:val="17"/>
          <w:lang w:val="en-AU"/>
        </w:rPr>
        <w:t>April</w:t>
      </w:r>
      <w:r w:rsidRPr="00515194">
        <w:rPr>
          <w:rFonts w:ascii="Arial" w:eastAsia="Calibri" w:hAnsi="Arial" w:cs="Arial"/>
          <w:sz w:val="17"/>
          <w:szCs w:val="17"/>
          <w:lang w:val="en-AU"/>
        </w:rPr>
        <w:t xml:space="preserve"> 202</w:t>
      </w:r>
      <w:r w:rsidR="6BA87052" w:rsidRPr="00515194">
        <w:rPr>
          <w:rFonts w:ascii="Arial" w:eastAsia="Calibri" w:hAnsi="Arial" w:cs="Arial"/>
          <w:sz w:val="17"/>
          <w:szCs w:val="17"/>
          <w:lang w:val="en-AU"/>
        </w:rPr>
        <w:t>1</w:t>
      </w:r>
      <w:r w:rsidRPr="00515194">
        <w:rPr>
          <w:rFonts w:ascii="Arial" w:eastAsia="Calibri" w:hAnsi="Arial" w:cs="Arial"/>
          <w:sz w:val="17"/>
          <w:szCs w:val="17"/>
          <w:lang w:val="en-AU"/>
        </w:rPr>
        <w:t>.</w:t>
      </w:r>
    </w:p>
    <w:p w14:paraId="116D5270" w14:textId="5DD96052" w:rsidR="00550B72" w:rsidRPr="00E92972" w:rsidRDefault="2AC9882B" w:rsidP="00A75EE4">
      <w:pPr>
        <w:numPr>
          <w:ilvl w:val="0"/>
          <w:numId w:val="2"/>
        </w:numPr>
        <w:spacing w:before="240" w:after="100"/>
        <w:ind w:left="357" w:hanging="357"/>
        <w:contextualSpacing/>
        <w:rPr>
          <w:rFonts w:ascii="Arial" w:eastAsia="Calibri" w:hAnsi="Arial" w:cs="Arial"/>
          <w:sz w:val="17"/>
          <w:szCs w:val="17"/>
          <w:lang w:val="en-AU"/>
        </w:rPr>
      </w:pPr>
      <w:r w:rsidRPr="00E92972">
        <w:rPr>
          <w:rFonts w:ascii="Arial" w:eastAsia="Calibri" w:hAnsi="Arial" w:cs="Arial"/>
          <w:sz w:val="17"/>
          <w:szCs w:val="17"/>
          <w:lang w:val="en-AU"/>
        </w:rPr>
        <w:t>As at reporting date of 30 April 2022.</w:t>
      </w:r>
    </w:p>
    <w:p w14:paraId="096C731A" w14:textId="77777777" w:rsidR="00685014" w:rsidRDefault="00685014" w:rsidP="00685014">
      <w:pPr>
        <w:spacing w:before="240" w:after="100" w:line="259" w:lineRule="auto"/>
        <w:ind w:left="357"/>
        <w:contextualSpacing/>
        <w:rPr>
          <w:rFonts w:ascii="Arial" w:eastAsia="Calibri" w:hAnsi="Arial" w:cs="Arial"/>
          <w:sz w:val="17"/>
          <w:szCs w:val="17"/>
          <w:lang w:val="en-AU"/>
        </w:rPr>
      </w:pPr>
    </w:p>
    <w:p w14:paraId="29D966B1" w14:textId="2C285E99" w:rsidR="006028C4" w:rsidRPr="00A75EE4" w:rsidRDefault="009A2F7E" w:rsidP="001322EF">
      <w:pPr>
        <w:pStyle w:val="BodyText"/>
        <w:rPr>
          <w:sz w:val="23"/>
          <w:szCs w:val="23"/>
        </w:rPr>
      </w:pPr>
      <w:r w:rsidRPr="00A75EE4">
        <w:rPr>
          <w:sz w:val="23"/>
          <w:szCs w:val="23"/>
        </w:rPr>
        <w:t xml:space="preserve">Table </w:t>
      </w:r>
      <w:r w:rsidR="00D94F56" w:rsidRPr="00A75EE4">
        <w:rPr>
          <w:sz w:val="23"/>
          <w:szCs w:val="23"/>
        </w:rPr>
        <w:t>C</w:t>
      </w:r>
      <w:r w:rsidRPr="00A75EE4">
        <w:rPr>
          <w:sz w:val="23"/>
          <w:szCs w:val="23"/>
        </w:rPr>
        <w:t>.</w:t>
      </w:r>
      <w:r w:rsidR="00CF7B2B" w:rsidRPr="00A75EE4">
        <w:rPr>
          <w:sz w:val="23"/>
          <w:szCs w:val="23"/>
        </w:rPr>
        <w:t>2</w:t>
      </w:r>
      <w:r w:rsidR="00A0645B" w:rsidRPr="00A75EE4">
        <w:rPr>
          <w:sz w:val="23"/>
          <w:szCs w:val="23"/>
        </w:rPr>
        <w:t xml:space="preserve"> </w:t>
      </w:r>
      <w:r w:rsidR="4D54A693" w:rsidRPr="00A75EE4">
        <w:rPr>
          <w:sz w:val="23"/>
          <w:szCs w:val="23"/>
        </w:rPr>
        <w:t xml:space="preserve">lists </w:t>
      </w:r>
      <w:r w:rsidR="00A0645B" w:rsidRPr="00A75EE4">
        <w:rPr>
          <w:sz w:val="23"/>
          <w:szCs w:val="23"/>
        </w:rPr>
        <w:t xml:space="preserve">the </w:t>
      </w:r>
      <w:r w:rsidR="0096547A" w:rsidRPr="00A75EE4">
        <w:rPr>
          <w:sz w:val="23"/>
          <w:szCs w:val="23"/>
        </w:rPr>
        <w:t>g</w:t>
      </w:r>
      <w:r w:rsidR="002E5A01" w:rsidRPr="00A75EE4">
        <w:rPr>
          <w:sz w:val="23"/>
          <w:szCs w:val="23"/>
        </w:rPr>
        <w:t xml:space="preserve">eneral </w:t>
      </w:r>
      <w:r w:rsidR="0096547A" w:rsidRPr="00A75EE4">
        <w:rPr>
          <w:sz w:val="23"/>
          <w:szCs w:val="23"/>
        </w:rPr>
        <w:t>g</w:t>
      </w:r>
      <w:r w:rsidR="002E5A01" w:rsidRPr="00A75EE4">
        <w:rPr>
          <w:sz w:val="23"/>
          <w:szCs w:val="23"/>
        </w:rPr>
        <w:t>overnment</w:t>
      </w:r>
      <w:r w:rsidR="00BE2375" w:rsidRPr="00A75EE4">
        <w:rPr>
          <w:sz w:val="23"/>
          <w:szCs w:val="23"/>
        </w:rPr>
        <w:t xml:space="preserve"> sector</w:t>
      </w:r>
      <w:r w:rsidR="002E5A01" w:rsidRPr="00A75EE4">
        <w:rPr>
          <w:sz w:val="23"/>
          <w:szCs w:val="23"/>
        </w:rPr>
        <w:t xml:space="preserve">’s </w:t>
      </w:r>
      <w:r w:rsidR="006028C4" w:rsidRPr="00A75EE4">
        <w:rPr>
          <w:sz w:val="23"/>
          <w:szCs w:val="23"/>
        </w:rPr>
        <w:t>non-quantifiable contingent asset</w:t>
      </w:r>
      <w:r w:rsidR="00A0645B" w:rsidRPr="00A75EE4">
        <w:rPr>
          <w:sz w:val="23"/>
          <w:szCs w:val="23"/>
        </w:rPr>
        <w:t>s</w:t>
      </w:r>
      <w:r w:rsidR="003B288E" w:rsidRPr="00A75EE4">
        <w:rPr>
          <w:sz w:val="23"/>
          <w:szCs w:val="23"/>
        </w:rPr>
        <w:t>.</w:t>
      </w:r>
    </w:p>
    <w:p w14:paraId="1D8D991C" w14:textId="4E3B244F" w:rsidR="003B288E" w:rsidRPr="00545AA4" w:rsidRDefault="00BB017F" w:rsidP="00460113">
      <w:pPr>
        <w:pStyle w:val="TableCX"/>
        <w:ind w:left="1304" w:hanging="1304"/>
        <w:rPr>
          <w:sz w:val="23"/>
          <w:szCs w:val="23"/>
        </w:rPr>
      </w:pPr>
      <w:r w:rsidRPr="00545AA4">
        <w:rPr>
          <w:sz w:val="23"/>
          <w:szCs w:val="23"/>
        </w:rPr>
        <w:t>G</w:t>
      </w:r>
      <w:r w:rsidR="003B288E" w:rsidRPr="00545AA4">
        <w:rPr>
          <w:sz w:val="23"/>
          <w:szCs w:val="23"/>
        </w:rPr>
        <w:t xml:space="preserve">eneral </w:t>
      </w:r>
      <w:r w:rsidR="00E02558" w:rsidRPr="00545AA4">
        <w:rPr>
          <w:sz w:val="23"/>
          <w:szCs w:val="23"/>
        </w:rPr>
        <w:t>g</w:t>
      </w:r>
      <w:r w:rsidR="003B288E" w:rsidRPr="00545AA4">
        <w:rPr>
          <w:sz w:val="23"/>
          <w:szCs w:val="23"/>
        </w:rPr>
        <w:t>overnment non-quantifiable contingent assets</w:t>
      </w:r>
    </w:p>
    <w:tbl>
      <w:tblPr>
        <w:tblStyle w:val="TableGrid0"/>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C.2: General government non-quantifiable contingent assets"/>
        <w:tblDescription w:val="Table C.2: General government non-quantifiable contingent assets"/>
      </w:tblPr>
      <w:tblGrid>
        <w:gridCol w:w="4248"/>
        <w:gridCol w:w="5386"/>
      </w:tblGrid>
      <w:tr w:rsidR="006028C4" w:rsidRPr="00CD07DF" w14:paraId="4A4E91E2" w14:textId="77777777" w:rsidTr="2E00E5B6">
        <w:trPr>
          <w:tblHeader/>
        </w:trPr>
        <w:tc>
          <w:tcPr>
            <w:tcW w:w="4248" w:type="dxa"/>
            <w:shd w:val="clear" w:color="auto" w:fill="008EBA"/>
          </w:tcPr>
          <w:p w14:paraId="14455E8F" w14:textId="77777777" w:rsidR="006028C4" w:rsidRPr="00CD07DF" w:rsidRDefault="006028C4" w:rsidP="002C183F">
            <w:pPr>
              <w:spacing w:before="120" w:after="120"/>
              <w:rPr>
                <w:rFonts w:ascii="Arial" w:hAnsi="Arial" w:cs="Arial"/>
                <w:bCs/>
                <w:color w:val="FFFFFF" w:themeColor="background1"/>
                <w:sz w:val="18"/>
                <w:szCs w:val="16"/>
              </w:rPr>
            </w:pPr>
            <w:r w:rsidRPr="00CD07DF">
              <w:rPr>
                <w:rFonts w:ascii="Arial" w:hAnsi="Arial" w:cs="Arial"/>
                <w:bCs/>
                <w:color w:val="FFFFFF" w:themeColor="background1"/>
                <w:sz w:val="18"/>
                <w:szCs w:val="16"/>
              </w:rPr>
              <w:t>Contingent Asset</w:t>
            </w:r>
          </w:p>
        </w:tc>
        <w:tc>
          <w:tcPr>
            <w:tcW w:w="5386" w:type="dxa"/>
            <w:shd w:val="clear" w:color="auto" w:fill="008EBA"/>
          </w:tcPr>
          <w:p w14:paraId="444947A6" w14:textId="77777777" w:rsidR="006028C4" w:rsidRPr="00CD07DF" w:rsidRDefault="006028C4" w:rsidP="002C183F">
            <w:pPr>
              <w:spacing w:before="120" w:after="120"/>
              <w:rPr>
                <w:rFonts w:ascii="Arial" w:hAnsi="Arial" w:cs="Arial"/>
                <w:bCs/>
                <w:color w:val="FFFFFF" w:themeColor="background1"/>
                <w:sz w:val="18"/>
                <w:szCs w:val="16"/>
              </w:rPr>
            </w:pPr>
            <w:r w:rsidRPr="00CD07DF">
              <w:rPr>
                <w:rFonts w:ascii="Arial" w:hAnsi="Arial" w:cs="Arial"/>
                <w:bCs/>
                <w:color w:val="FFFFFF" w:themeColor="background1"/>
                <w:sz w:val="18"/>
                <w:szCs w:val="16"/>
              </w:rPr>
              <w:t>Nature of the contingent asset</w:t>
            </w:r>
          </w:p>
        </w:tc>
      </w:tr>
      <w:tr w:rsidR="00F96A0F" w:rsidRPr="00C36B99" w14:paraId="641ED44E" w14:textId="77777777" w:rsidTr="510F3E99">
        <w:trPr>
          <w:trHeight w:val="172"/>
        </w:trPr>
        <w:tc>
          <w:tcPr>
            <w:tcW w:w="4248" w:type="dxa"/>
            <w:tcBorders>
              <w:top w:val="single" w:sz="4" w:space="0" w:color="A6A6A6" w:themeColor="background1" w:themeShade="A6"/>
              <w:bottom w:val="single" w:sz="4" w:space="0" w:color="A6A6A6" w:themeColor="background1" w:themeShade="A6"/>
            </w:tcBorders>
          </w:tcPr>
          <w:p w14:paraId="5691C80A" w14:textId="33835758" w:rsidR="00F96A0F" w:rsidRPr="00F96A0F" w:rsidRDefault="00F96A0F" w:rsidP="00D770C1">
            <w:pPr>
              <w:spacing w:before="80" w:after="80"/>
              <w:rPr>
                <w:rFonts w:ascii="Arial" w:hAnsi="Arial" w:cs="Arial"/>
                <w:sz w:val="18"/>
                <w:szCs w:val="18"/>
              </w:rPr>
            </w:pPr>
            <w:r w:rsidRPr="00F96A0F">
              <w:rPr>
                <w:rFonts w:ascii="Arial" w:hAnsi="Arial" w:cs="Arial"/>
                <w:sz w:val="18"/>
                <w:szCs w:val="18"/>
              </w:rPr>
              <w:t xml:space="preserve">Eastern Creek Alternative Waste Treatment Plant </w:t>
            </w:r>
          </w:p>
        </w:tc>
        <w:tc>
          <w:tcPr>
            <w:tcW w:w="5386" w:type="dxa"/>
            <w:tcBorders>
              <w:top w:val="single" w:sz="4" w:space="0" w:color="A6A6A6" w:themeColor="background1" w:themeShade="A6"/>
              <w:bottom w:val="single" w:sz="4" w:space="0" w:color="A6A6A6" w:themeColor="background1" w:themeShade="A6"/>
            </w:tcBorders>
          </w:tcPr>
          <w:p w14:paraId="31B411E2" w14:textId="11069B5B" w:rsidR="00F96A0F" w:rsidRPr="00F96A0F" w:rsidRDefault="00F96A0F" w:rsidP="00D770C1">
            <w:pPr>
              <w:spacing w:before="80" w:after="80"/>
              <w:rPr>
                <w:rFonts w:ascii="Arial" w:hAnsi="Arial" w:cs="Arial"/>
                <w:sz w:val="18"/>
                <w:szCs w:val="18"/>
              </w:rPr>
            </w:pPr>
            <w:r w:rsidRPr="00F96A0F">
              <w:rPr>
                <w:rFonts w:ascii="Arial" w:hAnsi="Arial" w:cs="Arial"/>
                <w:sz w:val="18"/>
                <w:szCs w:val="18"/>
              </w:rPr>
              <w:t>The Crown in right of the State of New South Wales holds a guarantee</w:t>
            </w:r>
            <w:r w:rsidR="005F5425" w:rsidRPr="336AB880">
              <w:rPr>
                <w:rFonts w:ascii="Arial" w:hAnsi="Arial" w:cs="Arial"/>
                <w:sz w:val="18"/>
                <w:szCs w:val="18"/>
              </w:rPr>
              <w:t xml:space="preserve"> (</w:t>
            </w:r>
            <w:r w:rsidRPr="00F96A0F">
              <w:rPr>
                <w:rFonts w:ascii="Arial" w:hAnsi="Arial" w:cs="Arial"/>
                <w:sz w:val="18"/>
                <w:szCs w:val="18"/>
              </w:rPr>
              <w:t>a contingent asset</w:t>
            </w:r>
            <w:r w:rsidR="005F5425" w:rsidRPr="336AB880">
              <w:rPr>
                <w:rFonts w:ascii="Arial" w:hAnsi="Arial" w:cs="Arial"/>
                <w:sz w:val="18"/>
                <w:szCs w:val="18"/>
              </w:rPr>
              <w:t>)</w:t>
            </w:r>
            <w:r w:rsidRPr="336AB880">
              <w:rPr>
                <w:rFonts w:ascii="Arial" w:hAnsi="Arial" w:cs="Arial"/>
                <w:sz w:val="18"/>
                <w:szCs w:val="18"/>
              </w:rPr>
              <w:t>,</w:t>
            </w:r>
            <w:r w:rsidRPr="00F96A0F">
              <w:rPr>
                <w:rFonts w:ascii="Arial" w:hAnsi="Arial" w:cs="Arial"/>
                <w:sz w:val="18"/>
                <w:szCs w:val="18"/>
              </w:rPr>
              <w:t xml:space="preserve"> which fully offsets the </w:t>
            </w:r>
            <w:r w:rsidR="00D64E7E" w:rsidRPr="336AB880">
              <w:rPr>
                <w:rFonts w:ascii="Arial" w:hAnsi="Arial" w:cs="Arial"/>
                <w:sz w:val="18"/>
                <w:szCs w:val="18"/>
              </w:rPr>
              <w:t>corresponding</w:t>
            </w:r>
            <w:r w:rsidRPr="00F96A0F">
              <w:rPr>
                <w:rFonts w:ascii="Arial" w:hAnsi="Arial" w:cs="Arial"/>
                <w:sz w:val="18"/>
                <w:szCs w:val="18"/>
              </w:rPr>
              <w:t xml:space="preserve"> contingent liability. The contingent asset will be </w:t>
            </w:r>
            <w:proofErr w:type="spellStart"/>
            <w:r w:rsidR="00613F25">
              <w:rPr>
                <w:rFonts w:ascii="Arial" w:hAnsi="Arial" w:cs="Arial"/>
                <w:sz w:val="18"/>
                <w:szCs w:val="18"/>
              </w:rPr>
              <w:t>recogni</w:t>
            </w:r>
            <w:r w:rsidR="00365750">
              <w:rPr>
                <w:rFonts w:ascii="Arial" w:hAnsi="Arial" w:cs="Arial"/>
                <w:sz w:val="18"/>
                <w:szCs w:val="18"/>
              </w:rPr>
              <w:t>s</w:t>
            </w:r>
            <w:r w:rsidR="00613F25">
              <w:rPr>
                <w:rFonts w:ascii="Arial" w:hAnsi="Arial" w:cs="Arial"/>
                <w:sz w:val="18"/>
                <w:szCs w:val="18"/>
              </w:rPr>
              <w:t>ed</w:t>
            </w:r>
            <w:proofErr w:type="spellEnd"/>
            <w:r w:rsidR="00613F25">
              <w:rPr>
                <w:rFonts w:ascii="Arial" w:hAnsi="Arial" w:cs="Arial"/>
                <w:sz w:val="18"/>
                <w:szCs w:val="18"/>
              </w:rPr>
              <w:t xml:space="preserve"> if </w:t>
            </w:r>
            <w:r w:rsidRPr="00F96A0F">
              <w:rPr>
                <w:rFonts w:ascii="Arial" w:hAnsi="Arial" w:cs="Arial"/>
                <w:sz w:val="18"/>
                <w:szCs w:val="18"/>
              </w:rPr>
              <w:t>the guarantee has been executed.</w:t>
            </w:r>
          </w:p>
        </w:tc>
      </w:tr>
      <w:tr w:rsidR="00D770C1" w:rsidRPr="00C36B99" w14:paraId="30604A56" w14:textId="31AFDDDF" w:rsidTr="2E00E5B6">
        <w:trPr>
          <w:trHeight w:val="172"/>
        </w:trPr>
        <w:tc>
          <w:tcPr>
            <w:tcW w:w="4248" w:type="dxa"/>
            <w:tcBorders>
              <w:top w:val="single" w:sz="4" w:space="0" w:color="A6A6A6" w:themeColor="background1" w:themeShade="A6"/>
              <w:bottom w:val="single" w:sz="4" w:space="0" w:color="A6A6A6" w:themeColor="background1" w:themeShade="A6"/>
            </w:tcBorders>
          </w:tcPr>
          <w:p w14:paraId="735E0974" w14:textId="3A44B342" w:rsidR="00D770C1" w:rsidRPr="00785BE2" w:rsidRDefault="00D770C1" w:rsidP="00D770C1">
            <w:pPr>
              <w:spacing w:before="80" w:after="80"/>
              <w:rPr>
                <w:rFonts w:ascii="Arial" w:hAnsi="Arial" w:cs="Arial"/>
                <w:sz w:val="18"/>
                <w:szCs w:val="16"/>
              </w:rPr>
            </w:pPr>
            <w:r w:rsidRPr="00785BE2">
              <w:rPr>
                <w:rFonts w:ascii="Arial" w:hAnsi="Arial" w:cs="Arial"/>
                <w:sz w:val="18"/>
                <w:szCs w:val="16"/>
              </w:rPr>
              <w:t xml:space="preserve">HIH Insurance </w:t>
            </w:r>
          </w:p>
        </w:tc>
        <w:tc>
          <w:tcPr>
            <w:tcW w:w="5386" w:type="dxa"/>
            <w:tcBorders>
              <w:top w:val="single" w:sz="4" w:space="0" w:color="A6A6A6" w:themeColor="background1" w:themeShade="A6"/>
              <w:bottom w:val="single" w:sz="4" w:space="0" w:color="A6A6A6" w:themeColor="background1" w:themeShade="A6"/>
            </w:tcBorders>
          </w:tcPr>
          <w:p w14:paraId="799DA8C3" w14:textId="7E02535B" w:rsidR="00D770C1" w:rsidRPr="003D327C" w:rsidRDefault="52DA11FA" w:rsidP="00D770C1">
            <w:pPr>
              <w:spacing w:before="80" w:after="80"/>
              <w:rPr>
                <w:rFonts w:ascii="Arial" w:hAnsi="Arial" w:cs="Arial"/>
                <w:sz w:val="18"/>
                <w:szCs w:val="18"/>
              </w:rPr>
            </w:pPr>
            <w:r w:rsidRPr="2E00E5B6">
              <w:rPr>
                <w:rFonts w:ascii="Arial" w:hAnsi="Arial" w:cs="Arial"/>
                <w:sz w:val="18"/>
                <w:szCs w:val="18"/>
              </w:rPr>
              <w:t>Potential proceeds relating to the liquidation of HIH Insurance.</w:t>
            </w:r>
          </w:p>
        </w:tc>
      </w:tr>
      <w:tr w:rsidR="008A5D4A" w:rsidRPr="00C36B99" w14:paraId="57F315E4" w14:textId="77777777" w:rsidTr="2E00E5B6">
        <w:trPr>
          <w:trHeight w:val="172"/>
        </w:trPr>
        <w:tc>
          <w:tcPr>
            <w:tcW w:w="4248" w:type="dxa"/>
            <w:tcBorders>
              <w:top w:val="single" w:sz="4" w:space="0" w:color="A6A6A6" w:themeColor="background1" w:themeShade="A6"/>
              <w:bottom w:val="single" w:sz="4" w:space="0" w:color="A6A6A6" w:themeColor="background1" w:themeShade="A6"/>
            </w:tcBorders>
          </w:tcPr>
          <w:p w14:paraId="5B08CC67" w14:textId="0AC562F5" w:rsidR="008A5D4A" w:rsidRPr="0065011F" w:rsidRDefault="003348F8" w:rsidP="00D770C1">
            <w:pPr>
              <w:spacing w:before="80" w:after="80"/>
              <w:rPr>
                <w:rFonts w:ascii="Arial" w:hAnsi="Arial" w:cs="Arial"/>
                <w:sz w:val="18"/>
                <w:szCs w:val="16"/>
              </w:rPr>
            </w:pPr>
            <w:r>
              <w:rPr>
                <w:rFonts w:ascii="Arial" w:hAnsi="Arial" w:cs="Arial"/>
                <w:sz w:val="18"/>
                <w:szCs w:val="16"/>
              </w:rPr>
              <w:t>Land Acquisition</w:t>
            </w:r>
            <w:r w:rsidR="001E3321">
              <w:rPr>
                <w:rFonts w:ascii="Arial" w:hAnsi="Arial" w:cs="Arial"/>
                <w:sz w:val="18"/>
                <w:szCs w:val="16"/>
              </w:rPr>
              <w:t xml:space="preserve"> </w:t>
            </w:r>
            <w:r w:rsidR="004612F0">
              <w:rPr>
                <w:rFonts w:ascii="Arial" w:hAnsi="Arial" w:cs="Arial"/>
                <w:sz w:val="18"/>
                <w:szCs w:val="16"/>
              </w:rPr>
              <w:t>R</w:t>
            </w:r>
            <w:r w:rsidR="001E3321">
              <w:rPr>
                <w:rFonts w:ascii="Arial" w:hAnsi="Arial" w:cs="Arial"/>
                <w:sz w:val="18"/>
                <w:szCs w:val="16"/>
              </w:rPr>
              <w:t>eimbursement</w:t>
            </w:r>
            <w:r w:rsidR="004612F0">
              <w:rPr>
                <w:rFonts w:ascii="Arial" w:hAnsi="Arial" w:cs="Arial"/>
                <w:sz w:val="18"/>
                <w:szCs w:val="16"/>
              </w:rPr>
              <w:t>s</w:t>
            </w:r>
          </w:p>
        </w:tc>
        <w:tc>
          <w:tcPr>
            <w:tcW w:w="5386" w:type="dxa"/>
            <w:tcBorders>
              <w:top w:val="single" w:sz="4" w:space="0" w:color="A6A6A6" w:themeColor="background1" w:themeShade="A6"/>
              <w:bottom w:val="single" w:sz="4" w:space="0" w:color="A6A6A6" w:themeColor="background1" w:themeShade="A6"/>
            </w:tcBorders>
          </w:tcPr>
          <w:p w14:paraId="7B968180" w14:textId="42C9B869" w:rsidR="008A5D4A" w:rsidRPr="003D327C" w:rsidRDefault="00CA574F" w:rsidP="00D770C1">
            <w:pPr>
              <w:spacing w:before="80" w:after="80"/>
              <w:rPr>
                <w:rFonts w:ascii="Arial" w:hAnsi="Arial" w:cs="Arial"/>
                <w:sz w:val="18"/>
                <w:szCs w:val="18"/>
              </w:rPr>
            </w:pPr>
            <w:r w:rsidRPr="00CA574F">
              <w:rPr>
                <w:rFonts w:ascii="Arial" w:hAnsi="Arial" w:cs="Arial"/>
                <w:sz w:val="18"/>
                <w:szCs w:val="18"/>
              </w:rPr>
              <w:t xml:space="preserve">The </w:t>
            </w:r>
            <w:r w:rsidR="006216E8">
              <w:rPr>
                <w:rFonts w:ascii="Arial" w:hAnsi="Arial" w:cs="Arial"/>
                <w:sz w:val="18"/>
                <w:szCs w:val="18"/>
              </w:rPr>
              <w:t xml:space="preserve">State </w:t>
            </w:r>
            <w:r w:rsidRPr="00CA574F">
              <w:rPr>
                <w:rFonts w:ascii="Arial" w:hAnsi="Arial" w:cs="Arial"/>
                <w:sz w:val="18"/>
                <w:szCs w:val="18"/>
              </w:rPr>
              <w:t xml:space="preserve">will seek reimbursement of its acquisition costs </w:t>
            </w:r>
            <w:r w:rsidR="00067212">
              <w:rPr>
                <w:rFonts w:ascii="Arial" w:hAnsi="Arial" w:cs="Arial"/>
                <w:sz w:val="18"/>
                <w:szCs w:val="18"/>
              </w:rPr>
              <w:t>through</w:t>
            </w:r>
            <w:r w:rsidRPr="00CA574F">
              <w:rPr>
                <w:rFonts w:ascii="Arial" w:hAnsi="Arial" w:cs="Arial"/>
                <w:sz w:val="18"/>
                <w:szCs w:val="18"/>
              </w:rPr>
              <w:t xml:space="preserve"> the SIC levy and development contribution</w:t>
            </w:r>
            <w:r w:rsidR="00FE4720">
              <w:rPr>
                <w:rFonts w:ascii="Arial" w:hAnsi="Arial" w:cs="Arial"/>
                <w:sz w:val="18"/>
                <w:szCs w:val="18"/>
              </w:rPr>
              <w:t>s</w:t>
            </w:r>
            <w:r w:rsidR="00F50E99">
              <w:rPr>
                <w:rFonts w:ascii="Arial" w:hAnsi="Arial" w:cs="Arial"/>
                <w:sz w:val="18"/>
                <w:szCs w:val="18"/>
              </w:rPr>
              <w:t>.</w:t>
            </w:r>
            <w:r w:rsidRPr="00CA574F">
              <w:rPr>
                <w:rFonts w:ascii="Arial" w:hAnsi="Arial" w:cs="Arial"/>
                <w:sz w:val="18"/>
                <w:szCs w:val="18"/>
              </w:rPr>
              <w:t xml:space="preserve"> </w:t>
            </w:r>
            <w:r w:rsidR="00AE7D09">
              <w:rPr>
                <w:rFonts w:ascii="Arial" w:hAnsi="Arial" w:cs="Arial"/>
                <w:sz w:val="18"/>
                <w:szCs w:val="18"/>
              </w:rPr>
              <w:t xml:space="preserve">The funds will take several years to </w:t>
            </w:r>
            <w:r w:rsidR="00467A12">
              <w:rPr>
                <w:rFonts w:ascii="Arial" w:hAnsi="Arial" w:cs="Arial"/>
                <w:sz w:val="18"/>
                <w:szCs w:val="18"/>
              </w:rPr>
              <w:t>raise</w:t>
            </w:r>
            <w:r w:rsidR="004B7EA3">
              <w:rPr>
                <w:rFonts w:ascii="Arial" w:hAnsi="Arial" w:cs="Arial"/>
                <w:sz w:val="18"/>
                <w:szCs w:val="18"/>
              </w:rPr>
              <w:t>.</w:t>
            </w:r>
          </w:p>
        </w:tc>
      </w:tr>
      <w:tr w:rsidR="00DC41E5" w:rsidRPr="00C36B99" w14:paraId="42458D1F" w14:textId="77777777" w:rsidTr="2E00E5B6">
        <w:trPr>
          <w:trHeight w:val="172"/>
        </w:trPr>
        <w:tc>
          <w:tcPr>
            <w:tcW w:w="4248" w:type="dxa"/>
            <w:tcBorders>
              <w:top w:val="single" w:sz="4" w:space="0" w:color="A6A6A6" w:themeColor="background1" w:themeShade="A6"/>
              <w:bottom w:val="single" w:sz="4" w:space="0" w:color="A6A6A6" w:themeColor="background1" w:themeShade="A6"/>
            </w:tcBorders>
          </w:tcPr>
          <w:p w14:paraId="67502A7B" w14:textId="420C698A" w:rsidR="00DC41E5" w:rsidRPr="00817381" w:rsidRDefault="00D166B6" w:rsidP="00D770C1">
            <w:pPr>
              <w:spacing w:before="80" w:after="80"/>
              <w:rPr>
                <w:rFonts w:ascii="Arial" w:hAnsi="Arial" w:cs="Arial"/>
                <w:sz w:val="18"/>
                <w:szCs w:val="16"/>
              </w:rPr>
            </w:pPr>
            <w:r w:rsidRPr="00817381">
              <w:rPr>
                <w:rFonts w:ascii="Arial" w:hAnsi="Arial" w:cs="Arial"/>
                <w:sz w:val="18"/>
                <w:szCs w:val="16"/>
              </w:rPr>
              <w:t>Insurance claims</w:t>
            </w:r>
            <w:r w:rsidR="00DC41E5" w:rsidRPr="00817381">
              <w:rPr>
                <w:rFonts w:ascii="Arial" w:hAnsi="Arial" w:cs="Arial"/>
                <w:sz w:val="18"/>
                <w:szCs w:val="16"/>
              </w:rPr>
              <w:t xml:space="preserve"> </w:t>
            </w:r>
          </w:p>
        </w:tc>
        <w:tc>
          <w:tcPr>
            <w:tcW w:w="5386" w:type="dxa"/>
            <w:tcBorders>
              <w:top w:val="single" w:sz="4" w:space="0" w:color="A6A6A6" w:themeColor="background1" w:themeShade="A6"/>
              <w:bottom w:val="single" w:sz="4" w:space="0" w:color="A6A6A6" w:themeColor="background1" w:themeShade="A6"/>
            </w:tcBorders>
          </w:tcPr>
          <w:p w14:paraId="097AACD8" w14:textId="5D1D7893" w:rsidR="00DC41E5" w:rsidRPr="00817381" w:rsidRDefault="0AD7E31D" w:rsidP="00D770C1">
            <w:pPr>
              <w:spacing w:before="80" w:after="80"/>
              <w:rPr>
                <w:rFonts w:ascii="Arial" w:hAnsi="Arial" w:cs="Arial"/>
                <w:sz w:val="18"/>
                <w:szCs w:val="18"/>
              </w:rPr>
            </w:pPr>
            <w:r w:rsidRPr="2E00E5B6">
              <w:rPr>
                <w:rFonts w:ascii="Arial" w:hAnsi="Arial" w:cs="Arial"/>
                <w:sz w:val="18"/>
                <w:szCs w:val="18"/>
              </w:rPr>
              <w:t xml:space="preserve">The State has </w:t>
            </w:r>
            <w:r w:rsidR="0245F05D" w:rsidRPr="2E00E5B6">
              <w:rPr>
                <w:rFonts w:ascii="Arial" w:hAnsi="Arial" w:cs="Arial"/>
                <w:sz w:val="18"/>
                <w:szCs w:val="18"/>
              </w:rPr>
              <w:t xml:space="preserve">submitted </w:t>
            </w:r>
            <w:r w:rsidR="00B57605" w:rsidRPr="2E00E5B6">
              <w:rPr>
                <w:rFonts w:ascii="Arial" w:hAnsi="Arial" w:cs="Arial"/>
                <w:sz w:val="18"/>
                <w:szCs w:val="18"/>
              </w:rPr>
              <w:t>various insurance claims</w:t>
            </w:r>
            <w:r w:rsidR="576B23D7" w:rsidRPr="2E00E5B6">
              <w:rPr>
                <w:rFonts w:ascii="Arial" w:hAnsi="Arial" w:cs="Arial"/>
                <w:sz w:val="18"/>
                <w:szCs w:val="18"/>
              </w:rPr>
              <w:t xml:space="preserve">. This includes </w:t>
            </w:r>
            <w:r w:rsidR="17D50A88" w:rsidRPr="2E00E5B6">
              <w:rPr>
                <w:rFonts w:ascii="Arial" w:hAnsi="Arial" w:cs="Arial"/>
                <w:sz w:val="18"/>
                <w:szCs w:val="18"/>
              </w:rPr>
              <w:t xml:space="preserve">claims </w:t>
            </w:r>
            <w:r w:rsidR="047CB101" w:rsidRPr="2E00E5B6">
              <w:rPr>
                <w:rFonts w:ascii="Arial" w:hAnsi="Arial" w:cs="Arial"/>
                <w:sz w:val="18"/>
                <w:szCs w:val="18"/>
              </w:rPr>
              <w:t>related to COVID</w:t>
            </w:r>
            <w:r w:rsidR="04329D7A" w:rsidRPr="2E00E5B6">
              <w:rPr>
                <w:rFonts w:ascii="Arial" w:hAnsi="Arial" w:cs="Arial"/>
                <w:sz w:val="18"/>
                <w:szCs w:val="18"/>
              </w:rPr>
              <w:t>-19 pandemic</w:t>
            </w:r>
            <w:r w:rsidR="3ACFC413" w:rsidRPr="2E00E5B6">
              <w:rPr>
                <w:rFonts w:ascii="Arial" w:hAnsi="Arial" w:cs="Arial"/>
                <w:sz w:val="18"/>
                <w:szCs w:val="18"/>
              </w:rPr>
              <w:t>,</w:t>
            </w:r>
            <w:r w:rsidR="4C075388" w:rsidRPr="2E00E5B6">
              <w:rPr>
                <w:rFonts w:ascii="Arial" w:hAnsi="Arial" w:cs="Arial"/>
                <w:sz w:val="18"/>
                <w:szCs w:val="18"/>
              </w:rPr>
              <w:t xml:space="preserve"> and </w:t>
            </w:r>
            <w:r w:rsidR="64C8A839" w:rsidRPr="2E00E5B6">
              <w:rPr>
                <w:rFonts w:ascii="Arial" w:hAnsi="Arial" w:cs="Arial"/>
                <w:sz w:val="18"/>
                <w:szCs w:val="18"/>
              </w:rPr>
              <w:t>damages</w:t>
            </w:r>
            <w:r w:rsidR="4E0BBC3C" w:rsidRPr="2E00E5B6">
              <w:rPr>
                <w:rFonts w:ascii="Arial" w:hAnsi="Arial" w:cs="Arial"/>
                <w:sz w:val="18"/>
                <w:szCs w:val="18"/>
              </w:rPr>
              <w:t xml:space="preserve"> </w:t>
            </w:r>
            <w:r w:rsidR="49358055" w:rsidRPr="2E00E5B6">
              <w:rPr>
                <w:rFonts w:ascii="Arial" w:hAnsi="Arial" w:cs="Arial"/>
                <w:sz w:val="18"/>
                <w:szCs w:val="18"/>
              </w:rPr>
              <w:t xml:space="preserve">to physical assets </w:t>
            </w:r>
            <w:r w:rsidR="002C4E8A" w:rsidRPr="2E00E5B6">
              <w:rPr>
                <w:rFonts w:ascii="Arial" w:hAnsi="Arial" w:cs="Arial"/>
                <w:sz w:val="18"/>
                <w:szCs w:val="18"/>
              </w:rPr>
              <w:t xml:space="preserve">caused </w:t>
            </w:r>
            <w:r w:rsidR="7DB28BC5" w:rsidRPr="2E00E5B6">
              <w:rPr>
                <w:rFonts w:ascii="Arial" w:hAnsi="Arial" w:cs="Arial"/>
                <w:sz w:val="18"/>
                <w:szCs w:val="18"/>
              </w:rPr>
              <w:t>by bushfires and floods</w:t>
            </w:r>
            <w:r w:rsidR="48527E54" w:rsidRPr="2E00E5B6">
              <w:rPr>
                <w:rFonts w:ascii="Arial" w:hAnsi="Arial" w:cs="Arial"/>
                <w:sz w:val="18"/>
                <w:szCs w:val="18"/>
              </w:rPr>
              <w:t xml:space="preserve">. </w:t>
            </w:r>
            <w:r w:rsidR="07899A8C" w:rsidRPr="2E00E5B6">
              <w:rPr>
                <w:rFonts w:ascii="Arial" w:hAnsi="Arial" w:cs="Arial"/>
                <w:sz w:val="18"/>
                <w:szCs w:val="18"/>
              </w:rPr>
              <w:t xml:space="preserve">The State is entitled to </w:t>
            </w:r>
            <w:r w:rsidR="4E0BBC3C" w:rsidRPr="2E00E5B6">
              <w:rPr>
                <w:rFonts w:ascii="Arial" w:hAnsi="Arial" w:cs="Arial"/>
                <w:sz w:val="18"/>
                <w:szCs w:val="18"/>
              </w:rPr>
              <w:t xml:space="preserve">claims </w:t>
            </w:r>
            <w:r w:rsidR="3B3E57D5" w:rsidRPr="2E00E5B6">
              <w:rPr>
                <w:rFonts w:ascii="Arial" w:hAnsi="Arial" w:cs="Arial"/>
                <w:sz w:val="18"/>
                <w:szCs w:val="18"/>
              </w:rPr>
              <w:t>to undertake these works</w:t>
            </w:r>
            <w:r w:rsidR="5CD4CFF0" w:rsidRPr="2E00E5B6">
              <w:rPr>
                <w:rFonts w:ascii="Arial" w:hAnsi="Arial" w:cs="Arial"/>
                <w:sz w:val="18"/>
                <w:szCs w:val="18"/>
              </w:rPr>
              <w:t>.</w:t>
            </w:r>
          </w:p>
        </w:tc>
      </w:tr>
      <w:tr w:rsidR="002E099F" w:rsidRPr="00C36B99" w14:paraId="4D1B61B8" w14:textId="77777777" w:rsidTr="2E00E5B6">
        <w:trPr>
          <w:trHeight w:val="172"/>
        </w:trPr>
        <w:tc>
          <w:tcPr>
            <w:tcW w:w="4248" w:type="dxa"/>
            <w:tcBorders>
              <w:top w:val="single" w:sz="4" w:space="0" w:color="A6A6A6" w:themeColor="background1" w:themeShade="A6"/>
              <w:bottom w:val="single" w:sz="4" w:space="0" w:color="A6A6A6" w:themeColor="background1" w:themeShade="A6"/>
            </w:tcBorders>
          </w:tcPr>
          <w:p w14:paraId="65E7E580" w14:textId="11058F2C" w:rsidR="002E099F" w:rsidRPr="006128BE" w:rsidRDefault="00DD2C71" w:rsidP="00D770C1">
            <w:pPr>
              <w:spacing w:before="80" w:after="80"/>
              <w:rPr>
                <w:rFonts w:ascii="Arial" w:hAnsi="Arial" w:cs="Arial"/>
                <w:sz w:val="18"/>
                <w:szCs w:val="16"/>
              </w:rPr>
            </w:pPr>
            <w:r w:rsidRPr="006128BE">
              <w:rPr>
                <w:rFonts w:ascii="Arial" w:hAnsi="Arial" w:cs="Arial"/>
                <w:sz w:val="18"/>
                <w:szCs w:val="16"/>
              </w:rPr>
              <w:t xml:space="preserve">Litigation </w:t>
            </w:r>
            <w:r w:rsidR="00A36CF1" w:rsidRPr="006128BE">
              <w:rPr>
                <w:rFonts w:ascii="Arial" w:hAnsi="Arial" w:cs="Arial"/>
                <w:sz w:val="18"/>
                <w:szCs w:val="16"/>
              </w:rPr>
              <w:t>claims</w:t>
            </w:r>
          </w:p>
        </w:tc>
        <w:tc>
          <w:tcPr>
            <w:tcW w:w="5386" w:type="dxa"/>
            <w:tcBorders>
              <w:top w:val="single" w:sz="4" w:space="0" w:color="A6A6A6" w:themeColor="background1" w:themeShade="A6"/>
              <w:bottom w:val="single" w:sz="4" w:space="0" w:color="A6A6A6" w:themeColor="background1" w:themeShade="A6"/>
            </w:tcBorders>
          </w:tcPr>
          <w:p w14:paraId="0C5C5451" w14:textId="0BF0151B" w:rsidR="002E099F" w:rsidRPr="006128BE" w:rsidRDefault="00A36945" w:rsidP="001A25A6">
            <w:pPr>
              <w:spacing w:before="80" w:after="80"/>
              <w:rPr>
                <w:rFonts w:ascii="Arial" w:hAnsi="Arial" w:cs="Arial"/>
                <w:sz w:val="18"/>
                <w:szCs w:val="18"/>
              </w:rPr>
            </w:pPr>
            <w:r w:rsidRPr="006128BE">
              <w:rPr>
                <w:rFonts w:ascii="Arial" w:hAnsi="Arial" w:cs="Arial"/>
                <w:sz w:val="18"/>
                <w:szCs w:val="18"/>
              </w:rPr>
              <w:t>The State</w:t>
            </w:r>
            <w:r w:rsidR="00115BCF" w:rsidRPr="006128BE">
              <w:rPr>
                <w:rFonts w:ascii="Arial" w:hAnsi="Arial" w:cs="Arial"/>
                <w:sz w:val="18"/>
                <w:szCs w:val="18"/>
              </w:rPr>
              <w:t xml:space="preserve"> is </w:t>
            </w:r>
            <w:r w:rsidR="00B11924" w:rsidRPr="006128BE">
              <w:rPr>
                <w:rFonts w:ascii="Arial" w:hAnsi="Arial" w:cs="Arial"/>
                <w:sz w:val="18"/>
                <w:szCs w:val="18"/>
              </w:rPr>
              <w:t>undertaking</w:t>
            </w:r>
            <w:r w:rsidR="00F1373E" w:rsidRPr="006128BE">
              <w:rPr>
                <w:rFonts w:ascii="Arial" w:hAnsi="Arial" w:cs="Arial"/>
                <w:sz w:val="18"/>
                <w:szCs w:val="18"/>
              </w:rPr>
              <w:t xml:space="preserve"> various legal</w:t>
            </w:r>
            <w:r w:rsidR="00002B0D" w:rsidRPr="006128BE">
              <w:rPr>
                <w:rFonts w:ascii="Arial" w:hAnsi="Arial" w:cs="Arial"/>
                <w:sz w:val="18"/>
                <w:szCs w:val="18"/>
              </w:rPr>
              <w:t xml:space="preserve"> </w:t>
            </w:r>
            <w:r w:rsidR="00002B0D" w:rsidRPr="510F3E99">
              <w:rPr>
                <w:rFonts w:ascii="Arial" w:hAnsi="Arial" w:cs="Arial"/>
                <w:sz w:val="18"/>
                <w:szCs w:val="18"/>
              </w:rPr>
              <w:t>action</w:t>
            </w:r>
            <w:r w:rsidR="00FB4B46" w:rsidRPr="510F3E99">
              <w:rPr>
                <w:rFonts w:ascii="Arial" w:hAnsi="Arial" w:cs="Arial"/>
                <w:sz w:val="18"/>
                <w:szCs w:val="18"/>
              </w:rPr>
              <w:t>s</w:t>
            </w:r>
            <w:r w:rsidR="00002B0D" w:rsidRPr="510F3E99">
              <w:rPr>
                <w:rFonts w:ascii="Arial" w:hAnsi="Arial" w:cs="Arial"/>
                <w:sz w:val="18"/>
                <w:szCs w:val="18"/>
              </w:rPr>
              <w:t>.</w:t>
            </w:r>
            <w:r w:rsidR="00002B0D" w:rsidRPr="006128BE">
              <w:rPr>
                <w:rFonts w:ascii="Arial" w:hAnsi="Arial" w:cs="Arial"/>
                <w:sz w:val="18"/>
                <w:szCs w:val="18"/>
              </w:rPr>
              <w:t xml:space="preserve"> T</w:t>
            </w:r>
            <w:r w:rsidR="004850F3" w:rsidRPr="006128BE">
              <w:rPr>
                <w:rFonts w:ascii="Arial" w:hAnsi="Arial" w:cs="Arial"/>
                <w:sz w:val="18"/>
                <w:szCs w:val="18"/>
              </w:rPr>
              <w:t xml:space="preserve">he type and amount </w:t>
            </w:r>
            <w:r w:rsidR="00115BCF" w:rsidRPr="006128BE">
              <w:rPr>
                <w:rFonts w:ascii="Arial" w:hAnsi="Arial" w:cs="Arial"/>
                <w:sz w:val="18"/>
                <w:szCs w:val="18"/>
              </w:rPr>
              <w:t xml:space="preserve">of compensation </w:t>
            </w:r>
            <w:r w:rsidR="00F7654A">
              <w:rPr>
                <w:rFonts w:ascii="Arial" w:hAnsi="Arial" w:cs="Arial"/>
                <w:sz w:val="18"/>
                <w:szCs w:val="18"/>
              </w:rPr>
              <w:t>will be</w:t>
            </w:r>
            <w:r w:rsidR="00115BCF" w:rsidRPr="006128BE">
              <w:rPr>
                <w:rFonts w:ascii="Arial" w:hAnsi="Arial" w:cs="Arial"/>
                <w:sz w:val="18"/>
                <w:szCs w:val="18"/>
              </w:rPr>
              <w:t xml:space="preserve"> dependent on the outcome of the legal process</w:t>
            </w:r>
            <w:r w:rsidR="00002B0D" w:rsidRPr="006128BE">
              <w:rPr>
                <w:rFonts w:ascii="Arial" w:hAnsi="Arial" w:cs="Arial"/>
                <w:sz w:val="18"/>
                <w:szCs w:val="18"/>
              </w:rPr>
              <w:t xml:space="preserve">es. </w:t>
            </w:r>
          </w:p>
        </w:tc>
      </w:tr>
      <w:tr w:rsidR="002D3F9D" w:rsidRPr="00C36B99" w14:paraId="783918A4" w14:textId="77777777" w:rsidTr="2E00E5B6">
        <w:trPr>
          <w:trHeight w:val="172"/>
        </w:trPr>
        <w:tc>
          <w:tcPr>
            <w:tcW w:w="4248" w:type="dxa"/>
            <w:tcBorders>
              <w:top w:val="single" w:sz="4" w:space="0" w:color="A6A6A6" w:themeColor="background1" w:themeShade="A6"/>
              <w:bottom w:val="single" w:sz="4" w:space="0" w:color="A6A6A6" w:themeColor="background1" w:themeShade="A6"/>
            </w:tcBorders>
          </w:tcPr>
          <w:p w14:paraId="51FEB534" w14:textId="0E0DBB5E" w:rsidR="002D3F9D" w:rsidRPr="006128BE" w:rsidRDefault="009C4A84" w:rsidP="00D770C1">
            <w:pPr>
              <w:spacing w:before="80" w:after="80"/>
              <w:rPr>
                <w:rFonts w:ascii="Arial" w:hAnsi="Arial" w:cs="Arial"/>
                <w:sz w:val="18"/>
                <w:szCs w:val="16"/>
              </w:rPr>
            </w:pPr>
            <w:r w:rsidRPr="00A75EE4">
              <w:rPr>
                <w:rFonts w:ascii="Arial" w:hAnsi="Arial" w:cs="Arial"/>
                <w:sz w:val="18"/>
                <w:szCs w:val="16"/>
              </w:rPr>
              <w:t>Transaction related to Vales Point Power Station</w:t>
            </w:r>
          </w:p>
        </w:tc>
        <w:tc>
          <w:tcPr>
            <w:tcW w:w="5386" w:type="dxa"/>
            <w:tcBorders>
              <w:top w:val="single" w:sz="4" w:space="0" w:color="A6A6A6" w:themeColor="background1" w:themeShade="A6"/>
              <w:bottom w:val="single" w:sz="4" w:space="0" w:color="A6A6A6" w:themeColor="background1" w:themeShade="A6"/>
            </w:tcBorders>
          </w:tcPr>
          <w:p w14:paraId="337A5C71" w14:textId="6EDFBA96" w:rsidR="0083338C" w:rsidRPr="006128BE" w:rsidRDefault="0083338C" w:rsidP="00E46E0A">
            <w:pPr>
              <w:spacing w:before="80" w:after="80"/>
              <w:rPr>
                <w:rFonts w:ascii="Arial" w:hAnsi="Arial" w:cs="Arial"/>
                <w:sz w:val="18"/>
                <w:szCs w:val="18"/>
              </w:rPr>
            </w:pPr>
            <w:r w:rsidRPr="00A75EE4">
              <w:rPr>
                <w:rFonts w:ascii="Arial" w:hAnsi="Arial" w:cs="Arial"/>
                <w:sz w:val="18"/>
                <w:szCs w:val="18"/>
              </w:rPr>
              <w:t>Where land is returned to the State by the exercise of an option under the hand-back deed</w:t>
            </w:r>
            <w:r w:rsidR="0008626E" w:rsidRPr="00A75EE4">
              <w:rPr>
                <w:rFonts w:ascii="Arial" w:hAnsi="Arial" w:cs="Arial"/>
                <w:sz w:val="18"/>
                <w:szCs w:val="18"/>
              </w:rPr>
              <w:t xml:space="preserve"> by the </w:t>
            </w:r>
            <w:r w:rsidR="00E21F8C" w:rsidRPr="00A75EE4">
              <w:rPr>
                <w:rFonts w:ascii="Arial" w:hAnsi="Arial" w:cs="Arial"/>
                <w:sz w:val="18"/>
                <w:szCs w:val="18"/>
              </w:rPr>
              <w:t>counterparty.</w:t>
            </w:r>
          </w:p>
        </w:tc>
      </w:tr>
      <w:tr w:rsidR="009026E4" w:rsidRPr="00C36B99" w14:paraId="76B1F306" w14:textId="77777777" w:rsidTr="2E00E5B6">
        <w:trPr>
          <w:trHeight w:val="172"/>
        </w:trPr>
        <w:tc>
          <w:tcPr>
            <w:tcW w:w="4248" w:type="dxa"/>
            <w:tcBorders>
              <w:top w:val="single" w:sz="4" w:space="0" w:color="A6A6A6" w:themeColor="background1" w:themeShade="A6"/>
              <w:bottom w:val="single" w:sz="4" w:space="0" w:color="000000" w:themeColor="text1"/>
            </w:tcBorders>
          </w:tcPr>
          <w:p w14:paraId="4E8E053D" w14:textId="43F4CFD3" w:rsidR="009026E4" w:rsidRPr="00A75EE4" w:rsidRDefault="009026E4" w:rsidP="00D770C1">
            <w:pPr>
              <w:spacing w:before="80" w:after="80"/>
              <w:rPr>
                <w:rFonts w:ascii="Arial" w:hAnsi="Arial" w:cs="Arial"/>
                <w:sz w:val="18"/>
                <w:szCs w:val="16"/>
              </w:rPr>
            </w:pPr>
            <w:r>
              <w:rPr>
                <w:rFonts w:ascii="Arial" w:hAnsi="Arial" w:cs="Arial"/>
                <w:sz w:val="18"/>
                <w:szCs w:val="16"/>
              </w:rPr>
              <w:t xml:space="preserve">Unspent </w:t>
            </w:r>
            <w:r w:rsidR="00E853A4">
              <w:rPr>
                <w:rFonts w:ascii="Arial" w:hAnsi="Arial" w:cs="Arial"/>
                <w:sz w:val="18"/>
                <w:szCs w:val="16"/>
              </w:rPr>
              <w:t>Grant Monies</w:t>
            </w:r>
          </w:p>
        </w:tc>
        <w:tc>
          <w:tcPr>
            <w:tcW w:w="5386" w:type="dxa"/>
            <w:tcBorders>
              <w:top w:val="single" w:sz="4" w:space="0" w:color="A6A6A6" w:themeColor="background1" w:themeShade="A6"/>
              <w:bottom w:val="single" w:sz="4" w:space="0" w:color="000000" w:themeColor="text1"/>
            </w:tcBorders>
          </w:tcPr>
          <w:p w14:paraId="396BC6AF" w14:textId="13EAA8A6" w:rsidR="009026E4" w:rsidRPr="00A75EE4" w:rsidRDefault="22C628AD" w:rsidP="00E46E0A">
            <w:pPr>
              <w:spacing w:before="80" w:after="80"/>
              <w:rPr>
                <w:rFonts w:ascii="Arial" w:hAnsi="Arial" w:cs="Arial"/>
                <w:sz w:val="18"/>
                <w:szCs w:val="18"/>
              </w:rPr>
            </w:pPr>
            <w:r w:rsidRPr="2E00E5B6">
              <w:rPr>
                <w:rFonts w:ascii="Arial" w:hAnsi="Arial" w:cs="Arial"/>
                <w:sz w:val="18"/>
                <w:szCs w:val="18"/>
              </w:rPr>
              <w:t xml:space="preserve">The State may be entitled to receive refunds of unspent grant monies from grantees. These refunds may occur in circumstances such as withdrawals from grant programs by grantees or where grantees are unable to achieve milestones within acceptable timeframes. </w:t>
            </w:r>
          </w:p>
        </w:tc>
      </w:tr>
    </w:tbl>
    <w:p w14:paraId="136AF418" w14:textId="78433CFE" w:rsidR="00C75DE5" w:rsidRDefault="00C75DE5" w:rsidP="00C75DE5">
      <w:pPr>
        <w:rPr>
          <w:rFonts w:eastAsia="Arial Unicode MS"/>
          <w:lang w:val="en-AU"/>
        </w:rPr>
      </w:pPr>
    </w:p>
    <w:p w14:paraId="6861E8B6" w14:textId="77777777" w:rsidR="004F1A9C" w:rsidRDefault="004F1A9C" w:rsidP="008A1B6B">
      <w:pPr>
        <w:rPr>
          <w:rFonts w:eastAsia="Arial Unicode MS"/>
          <w:lang w:val="en-AU"/>
        </w:rPr>
      </w:pPr>
      <w:r>
        <w:br w:type="page"/>
      </w:r>
    </w:p>
    <w:p w14:paraId="7E2F4EE5" w14:textId="2A2BAB93" w:rsidR="00E522E6" w:rsidRPr="0065011F" w:rsidRDefault="00DD5E8F" w:rsidP="0065011F">
      <w:pPr>
        <w:pStyle w:val="Heading2"/>
        <w:tabs>
          <w:tab w:val="clear" w:pos="567"/>
        </w:tabs>
        <w:ind w:left="397" w:hanging="397"/>
      </w:pPr>
      <w:r w:rsidRPr="00C57F84">
        <w:lastRenderedPageBreak/>
        <w:t>Contingent liabilities</w:t>
      </w:r>
    </w:p>
    <w:p w14:paraId="77F294A9" w14:textId="6920FBD6" w:rsidR="00E522E6" w:rsidRPr="00E66B59" w:rsidRDefault="00E522E6" w:rsidP="001322EF">
      <w:pPr>
        <w:pStyle w:val="BodyText"/>
      </w:pPr>
      <w:r w:rsidRPr="00A75EE4">
        <w:rPr>
          <w:sz w:val="23"/>
          <w:szCs w:val="23"/>
        </w:rPr>
        <w:t xml:space="preserve">Table </w:t>
      </w:r>
      <w:r w:rsidR="00D94F56" w:rsidRPr="00A75EE4">
        <w:rPr>
          <w:sz w:val="23"/>
          <w:szCs w:val="23"/>
        </w:rPr>
        <w:t>C</w:t>
      </w:r>
      <w:r w:rsidRPr="00A75EE4">
        <w:rPr>
          <w:sz w:val="23"/>
          <w:szCs w:val="23"/>
        </w:rPr>
        <w:t>.</w:t>
      </w:r>
      <w:r w:rsidR="00CA7591" w:rsidRPr="00A75EE4">
        <w:rPr>
          <w:sz w:val="23"/>
          <w:szCs w:val="23"/>
        </w:rPr>
        <w:t>3</w:t>
      </w:r>
      <w:r w:rsidRPr="00A75EE4">
        <w:rPr>
          <w:sz w:val="23"/>
          <w:szCs w:val="23"/>
        </w:rPr>
        <w:t xml:space="preserve"> lists the </w:t>
      </w:r>
      <w:r w:rsidR="00974453" w:rsidRPr="00A75EE4">
        <w:rPr>
          <w:sz w:val="23"/>
          <w:szCs w:val="23"/>
        </w:rPr>
        <w:t>g</w:t>
      </w:r>
      <w:r w:rsidR="002E5A01" w:rsidRPr="00A75EE4">
        <w:rPr>
          <w:sz w:val="23"/>
          <w:szCs w:val="23"/>
        </w:rPr>
        <w:t xml:space="preserve">eneral </w:t>
      </w:r>
      <w:r w:rsidR="00974453" w:rsidRPr="00A75EE4">
        <w:rPr>
          <w:sz w:val="23"/>
          <w:szCs w:val="23"/>
        </w:rPr>
        <w:t>g</w:t>
      </w:r>
      <w:r w:rsidR="002E5A01" w:rsidRPr="00A75EE4">
        <w:rPr>
          <w:sz w:val="23"/>
          <w:szCs w:val="23"/>
        </w:rPr>
        <w:t xml:space="preserve">overnment’s </w:t>
      </w:r>
      <w:r w:rsidRPr="00A75EE4">
        <w:rPr>
          <w:sz w:val="23"/>
          <w:szCs w:val="23"/>
        </w:rPr>
        <w:t>quantifiable contingent liabilities</w:t>
      </w:r>
      <w:r w:rsidR="00E65D2D" w:rsidRPr="00A75EE4">
        <w:rPr>
          <w:sz w:val="23"/>
          <w:szCs w:val="23"/>
        </w:rPr>
        <w:t xml:space="preserve"> </w:t>
      </w:r>
      <w:r w:rsidR="0022054B" w:rsidRPr="00A75EE4">
        <w:rPr>
          <w:sz w:val="23"/>
          <w:szCs w:val="23"/>
        </w:rPr>
        <w:t xml:space="preserve">as </w:t>
      </w:r>
      <w:r w:rsidR="00E65D2D" w:rsidRPr="00A75EE4">
        <w:rPr>
          <w:sz w:val="23"/>
          <w:szCs w:val="23"/>
        </w:rPr>
        <w:t xml:space="preserve">at </w:t>
      </w:r>
      <w:r w:rsidR="00B001E5" w:rsidRPr="00A75EE4">
        <w:rPr>
          <w:sz w:val="23"/>
          <w:szCs w:val="23"/>
        </w:rPr>
        <w:t xml:space="preserve">30 </w:t>
      </w:r>
      <w:r w:rsidR="0097284C" w:rsidRPr="00A75EE4">
        <w:rPr>
          <w:sz w:val="23"/>
          <w:szCs w:val="23"/>
        </w:rPr>
        <w:t>April</w:t>
      </w:r>
      <w:r w:rsidR="00B001E5" w:rsidRPr="00A75EE4">
        <w:rPr>
          <w:sz w:val="23"/>
          <w:szCs w:val="23"/>
        </w:rPr>
        <w:t xml:space="preserve"> 202</w:t>
      </w:r>
      <w:r w:rsidR="005102F9">
        <w:rPr>
          <w:sz w:val="23"/>
          <w:szCs w:val="23"/>
        </w:rPr>
        <w:t>2</w:t>
      </w:r>
      <w:r w:rsidRPr="00E66B59">
        <w:t xml:space="preserve">. </w:t>
      </w:r>
    </w:p>
    <w:p w14:paraId="74082B87" w14:textId="37D7D532" w:rsidR="00FA3F54" w:rsidRPr="00E66B59" w:rsidRDefault="00BB017F" w:rsidP="00460113">
      <w:pPr>
        <w:pStyle w:val="TableCX"/>
        <w:ind w:left="1304" w:hanging="1304"/>
        <w:rPr>
          <w:sz w:val="23"/>
          <w:szCs w:val="23"/>
        </w:rPr>
      </w:pPr>
      <w:r w:rsidRPr="00E66B59">
        <w:rPr>
          <w:sz w:val="23"/>
          <w:szCs w:val="23"/>
        </w:rPr>
        <w:t>G</w:t>
      </w:r>
      <w:r w:rsidR="004819B0" w:rsidRPr="00E66B59">
        <w:rPr>
          <w:sz w:val="23"/>
          <w:szCs w:val="23"/>
        </w:rPr>
        <w:t xml:space="preserve">eneral </w:t>
      </w:r>
      <w:r w:rsidR="0094385A" w:rsidRPr="00E66B59">
        <w:rPr>
          <w:sz w:val="23"/>
          <w:szCs w:val="23"/>
        </w:rPr>
        <w:t>g</w:t>
      </w:r>
      <w:r w:rsidR="004819B0" w:rsidRPr="00E66B59">
        <w:rPr>
          <w:sz w:val="23"/>
          <w:szCs w:val="23"/>
        </w:rPr>
        <w:t>overnment quantifiable contingent liabilities</w:t>
      </w:r>
    </w:p>
    <w:tbl>
      <w:tblPr>
        <w:tblStyle w:val="TableGrid1"/>
        <w:tblW w:w="9622" w:type="dxa"/>
        <w:tblInd w:w="17" w:type="dxa"/>
        <w:tblCellMar>
          <w:right w:w="223" w:type="dxa"/>
        </w:tblCellMar>
        <w:tblLook w:val="04A0" w:firstRow="1" w:lastRow="0" w:firstColumn="1" w:lastColumn="0" w:noHBand="0" w:noVBand="1"/>
        <w:tblCaption w:val="Table C.3: General government quantifiable contingent liabilities"/>
        <w:tblDescription w:val="Table C.3: General government quantifiable contingent liabilities"/>
      </w:tblPr>
      <w:tblGrid>
        <w:gridCol w:w="6743"/>
        <w:gridCol w:w="1439"/>
        <w:gridCol w:w="1440"/>
      </w:tblGrid>
      <w:tr w:rsidR="00FA3F54" w:rsidRPr="00E43148" w14:paraId="5B50D256" w14:textId="77777777" w:rsidTr="2E00E5B6">
        <w:trPr>
          <w:trHeight w:val="283"/>
        </w:trPr>
        <w:tc>
          <w:tcPr>
            <w:tcW w:w="6743" w:type="dxa"/>
            <w:tcBorders>
              <w:top w:val="nil"/>
              <w:left w:val="nil"/>
              <w:bottom w:val="nil"/>
              <w:right w:val="nil"/>
            </w:tcBorders>
            <w:shd w:val="clear" w:color="auto" w:fill="008EBA"/>
            <w:vAlign w:val="bottom"/>
          </w:tcPr>
          <w:p w14:paraId="787AC4F6" w14:textId="77777777" w:rsidR="00FA3F54" w:rsidRPr="00E43148" w:rsidRDefault="00FA3F54" w:rsidP="00472BE0">
            <w:pPr>
              <w:spacing w:before="80"/>
              <w:jc w:val="center"/>
              <w:rPr>
                <w:rFonts w:ascii="Arial" w:hAnsi="Arial" w:cs="Arial"/>
                <w:sz w:val="18"/>
                <w:szCs w:val="16"/>
              </w:rPr>
            </w:pPr>
          </w:p>
        </w:tc>
        <w:tc>
          <w:tcPr>
            <w:tcW w:w="2879" w:type="dxa"/>
            <w:gridSpan w:val="2"/>
            <w:tcBorders>
              <w:top w:val="nil"/>
              <w:left w:val="nil"/>
              <w:bottom w:val="nil"/>
              <w:right w:val="nil"/>
            </w:tcBorders>
            <w:shd w:val="clear" w:color="auto" w:fill="008EBA"/>
            <w:vAlign w:val="bottom"/>
          </w:tcPr>
          <w:p w14:paraId="18E3195D" w14:textId="77777777" w:rsidR="00FA3F54" w:rsidRPr="005102F9" w:rsidRDefault="00FA3F54" w:rsidP="00472BE0">
            <w:pPr>
              <w:spacing w:before="80"/>
              <w:jc w:val="center"/>
              <w:rPr>
                <w:rFonts w:ascii="Arial" w:hAnsi="Arial" w:cs="Arial"/>
                <w:sz w:val="18"/>
                <w:szCs w:val="16"/>
              </w:rPr>
            </w:pPr>
            <w:r w:rsidRPr="005102F9">
              <w:rPr>
                <w:rFonts w:ascii="Arial" w:hAnsi="Arial" w:cs="Arial"/>
                <w:color w:val="FFFFFF"/>
                <w:sz w:val="18"/>
                <w:szCs w:val="16"/>
              </w:rPr>
              <w:t>General Government Sector</w:t>
            </w:r>
          </w:p>
        </w:tc>
      </w:tr>
      <w:tr w:rsidR="0058522E" w:rsidRPr="00E43148" w14:paraId="1BE276CF" w14:textId="77777777" w:rsidTr="2E00E5B6">
        <w:trPr>
          <w:trHeight w:val="227"/>
        </w:trPr>
        <w:tc>
          <w:tcPr>
            <w:tcW w:w="6743" w:type="dxa"/>
            <w:tcBorders>
              <w:top w:val="nil"/>
              <w:left w:val="nil"/>
              <w:bottom w:val="nil"/>
              <w:right w:val="nil"/>
            </w:tcBorders>
            <w:shd w:val="clear" w:color="auto" w:fill="008EBA"/>
          </w:tcPr>
          <w:p w14:paraId="46A20702" w14:textId="31EBA53E" w:rsidR="0058522E" w:rsidRPr="00E43148" w:rsidRDefault="0058522E" w:rsidP="0058522E">
            <w:pPr>
              <w:spacing w:before="40" w:after="40"/>
              <w:rPr>
                <w:rFonts w:ascii="Arial" w:hAnsi="Arial" w:cs="Arial"/>
                <w:color w:val="FFFFFF" w:themeColor="background1"/>
                <w:sz w:val="18"/>
                <w:szCs w:val="18"/>
              </w:rPr>
            </w:pPr>
          </w:p>
        </w:tc>
        <w:tc>
          <w:tcPr>
            <w:tcW w:w="1439" w:type="dxa"/>
            <w:tcBorders>
              <w:top w:val="nil"/>
              <w:left w:val="nil"/>
              <w:bottom w:val="nil"/>
              <w:right w:val="nil"/>
            </w:tcBorders>
            <w:shd w:val="clear" w:color="auto" w:fill="008EBA"/>
            <w:vAlign w:val="bottom"/>
          </w:tcPr>
          <w:p w14:paraId="50F3A26E" w14:textId="199EF6F5" w:rsidR="0058522E" w:rsidRPr="00E43148" w:rsidRDefault="0058522E" w:rsidP="0058522E">
            <w:pPr>
              <w:spacing w:before="40" w:after="40"/>
              <w:ind w:left="75"/>
              <w:jc w:val="center"/>
              <w:rPr>
                <w:rFonts w:ascii="Arial" w:hAnsi="Arial" w:cs="Arial"/>
                <w:sz w:val="18"/>
                <w:szCs w:val="16"/>
                <w:vertAlign w:val="superscript"/>
              </w:rPr>
            </w:pPr>
            <w:r w:rsidRPr="00E43148">
              <w:rPr>
                <w:rFonts w:ascii="Arial" w:hAnsi="Arial" w:cs="Arial"/>
                <w:color w:val="FFFFFF"/>
                <w:sz w:val="18"/>
                <w:szCs w:val="16"/>
              </w:rPr>
              <w:t>202</w:t>
            </w:r>
            <w:r>
              <w:rPr>
                <w:rFonts w:ascii="Arial" w:hAnsi="Arial" w:cs="Arial"/>
                <w:color w:val="FFFFFF"/>
                <w:sz w:val="18"/>
                <w:szCs w:val="16"/>
              </w:rPr>
              <w:t>1-22</w:t>
            </w:r>
            <w:r>
              <w:rPr>
                <w:rFonts w:ascii="Arial" w:hAnsi="Arial" w:cs="Arial"/>
                <w:color w:val="FFFFFF"/>
                <w:sz w:val="18"/>
                <w:szCs w:val="16"/>
                <w:vertAlign w:val="superscript"/>
              </w:rPr>
              <w:t>(</w:t>
            </w:r>
            <w:r w:rsidR="002C28A9">
              <w:rPr>
                <w:rFonts w:ascii="Arial" w:hAnsi="Arial" w:cs="Arial"/>
                <w:color w:val="FFFFFF"/>
                <w:sz w:val="18"/>
                <w:szCs w:val="16"/>
                <w:vertAlign w:val="superscript"/>
              </w:rPr>
              <w:t>f</w:t>
            </w:r>
            <w:r>
              <w:rPr>
                <w:rFonts w:ascii="Arial" w:hAnsi="Arial" w:cs="Arial"/>
                <w:color w:val="FFFFFF"/>
                <w:sz w:val="18"/>
                <w:szCs w:val="16"/>
                <w:vertAlign w:val="superscript"/>
              </w:rPr>
              <w:t>)</w:t>
            </w:r>
          </w:p>
        </w:tc>
        <w:tc>
          <w:tcPr>
            <w:tcW w:w="1440" w:type="dxa"/>
            <w:tcBorders>
              <w:top w:val="nil"/>
              <w:left w:val="nil"/>
              <w:bottom w:val="nil"/>
              <w:right w:val="nil"/>
            </w:tcBorders>
            <w:shd w:val="clear" w:color="auto" w:fill="008EBA"/>
            <w:vAlign w:val="bottom"/>
          </w:tcPr>
          <w:p w14:paraId="2DAB3379" w14:textId="57B16C08" w:rsidR="0058522E" w:rsidRPr="00515194" w:rsidRDefault="0058522E" w:rsidP="0058522E">
            <w:pPr>
              <w:spacing w:before="40" w:after="40"/>
              <w:jc w:val="center"/>
              <w:rPr>
                <w:rFonts w:ascii="Arial" w:hAnsi="Arial" w:cs="Arial"/>
                <w:sz w:val="18"/>
                <w:szCs w:val="16"/>
              </w:rPr>
            </w:pPr>
            <w:r w:rsidRPr="007E5B02">
              <w:rPr>
                <w:rFonts w:ascii="Arial" w:hAnsi="Arial" w:cs="Arial"/>
                <w:color w:val="FFFFFF"/>
                <w:sz w:val="18"/>
                <w:szCs w:val="16"/>
              </w:rPr>
              <w:t>2022-23</w:t>
            </w:r>
            <w:r w:rsidRPr="007E5B02">
              <w:rPr>
                <w:rFonts w:ascii="Arial" w:hAnsi="Arial" w:cs="Arial"/>
                <w:color w:val="FFFFFF"/>
                <w:sz w:val="18"/>
                <w:szCs w:val="16"/>
                <w:vertAlign w:val="superscript"/>
              </w:rPr>
              <w:t>(</w:t>
            </w:r>
            <w:r w:rsidR="002C28A9">
              <w:rPr>
                <w:rFonts w:ascii="Arial" w:hAnsi="Arial" w:cs="Arial"/>
                <w:color w:val="FFFFFF"/>
                <w:sz w:val="18"/>
                <w:szCs w:val="16"/>
                <w:vertAlign w:val="superscript"/>
              </w:rPr>
              <w:t>g</w:t>
            </w:r>
            <w:r w:rsidRPr="00515194">
              <w:rPr>
                <w:rFonts w:ascii="Arial" w:hAnsi="Arial" w:cs="Arial"/>
                <w:color w:val="FFFFFF"/>
                <w:sz w:val="18"/>
                <w:szCs w:val="16"/>
                <w:vertAlign w:val="superscript"/>
              </w:rPr>
              <w:t>)</w:t>
            </w:r>
          </w:p>
        </w:tc>
      </w:tr>
      <w:tr w:rsidR="0058522E" w:rsidRPr="00E43148" w14:paraId="41DA9035" w14:textId="77777777" w:rsidTr="2E00E5B6">
        <w:trPr>
          <w:trHeight w:val="283"/>
        </w:trPr>
        <w:tc>
          <w:tcPr>
            <w:tcW w:w="6743" w:type="dxa"/>
            <w:tcBorders>
              <w:top w:val="nil"/>
              <w:left w:val="nil"/>
              <w:bottom w:val="nil"/>
              <w:right w:val="nil"/>
            </w:tcBorders>
            <w:shd w:val="clear" w:color="auto" w:fill="00426F"/>
          </w:tcPr>
          <w:p w14:paraId="59F4B279" w14:textId="77777777" w:rsidR="0058522E" w:rsidRPr="00E43148" w:rsidRDefault="0058522E" w:rsidP="0058522E">
            <w:pPr>
              <w:spacing w:after="80"/>
              <w:jc w:val="center"/>
              <w:rPr>
                <w:rFonts w:ascii="Arial" w:hAnsi="Arial" w:cs="Arial"/>
                <w:sz w:val="18"/>
                <w:szCs w:val="16"/>
              </w:rPr>
            </w:pPr>
          </w:p>
        </w:tc>
        <w:tc>
          <w:tcPr>
            <w:tcW w:w="1439" w:type="dxa"/>
            <w:tcBorders>
              <w:top w:val="nil"/>
              <w:left w:val="nil"/>
              <w:bottom w:val="nil"/>
              <w:right w:val="nil"/>
            </w:tcBorders>
            <w:shd w:val="clear" w:color="auto" w:fill="00426F"/>
          </w:tcPr>
          <w:p w14:paraId="1B6FAC8B" w14:textId="4DA28404" w:rsidR="0058522E" w:rsidRPr="00E43148" w:rsidRDefault="0058522E" w:rsidP="0058522E">
            <w:pPr>
              <w:spacing w:after="80"/>
              <w:jc w:val="center"/>
              <w:rPr>
                <w:rFonts w:ascii="Arial" w:hAnsi="Arial" w:cs="Arial"/>
                <w:sz w:val="18"/>
                <w:szCs w:val="16"/>
              </w:rPr>
            </w:pPr>
            <w:r w:rsidRPr="00E43148">
              <w:rPr>
                <w:rFonts w:ascii="Arial" w:hAnsi="Arial" w:cs="Arial"/>
                <w:color w:val="FFFFFF"/>
                <w:sz w:val="18"/>
                <w:szCs w:val="16"/>
              </w:rPr>
              <w:t>$m</w:t>
            </w:r>
          </w:p>
        </w:tc>
        <w:tc>
          <w:tcPr>
            <w:tcW w:w="1440" w:type="dxa"/>
            <w:tcBorders>
              <w:top w:val="nil"/>
              <w:left w:val="nil"/>
              <w:bottom w:val="nil"/>
              <w:right w:val="nil"/>
            </w:tcBorders>
            <w:shd w:val="clear" w:color="auto" w:fill="00426F"/>
          </w:tcPr>
          <w:p w14:paraId="263B0925" w14:textId="023B8163" w:rsidR="0058522E" w:rsidRPr="007E5B02" w:rsidRDefault="0058522E" w:rsidP="0058522E">
            <w:pPr>
              <w:spacing w:after="80"/>
              <w:jc w:val="center"/>
              <w:rPr>
                <w:rFonts w:ascii="Arial" w:hAnsi="Arial" w:cs="Arial"/>
                <w:sz w:val="18"/>
                <w:szCs w:val="16"/>
              </w:rPr>
            </w:pPr>
            <w:r w:rsidRPr="007E5B02">
              <w:rPr>
                <w:rFonts w:ascii="Arial" w:hAnsi="Arial" w:cs="Arial"/>
                <w:color w:val="FFFFFF"/>
                <w:sz w:val="18"/>
                <w:szCs w:val="16"/>
              </w:rPr>
              <w:t>$m</w:t>
            </w:r>
          </w:p>
        </w:tc>
      </w:tr>
      <w:tr w:rsidR="0058522E" w:rsidRPr="00E43148" w14:paraId="64BE2397" w14:textId="77777777" w:rsidTr="2E00E5B6">
        <w:trPr>
          <w:trHeight w:val="475"/>
        </w:trPr>
        <w:tc>
          <w:tcPr>
            <w:tcW w:w="6743" w:type="dxa"/>
            <w:tcBorders>
              <w:top w:val="nil"/>
              <w:left w:val="nil"/>
              <w:bottom w:val="nil"/>
              <w:right w:val="nil"/>
            </w:tcBorders>
            <w:vAlign w:val="bottom"/>
          </w:tcPr>
          <w:p w14:paraId="063B7575" w14:textId="47D90562" w:rsidR="0058522E" w:rsidRPr="00E43148" w:rsidRDefault="0058522E" w:rsidP="0058522E">
            <w:pPr>
              <w:ind w:left="28"/>
              <w:rPr>
                <w:rFonts w:ascii="Arial" w:hAnsi="Arial" w:cs="Arial"/>
                <w:sz w:val="18"/>
                <w:szCs w:val="16"/>
              </w:rPr>
            </w:pPr>
            <w:r w:rsidRPr="00E43148">
              <w:rPr>
                <w:rFonts w:ascii="Arial" w:hAnsi="Arial" w:cs="Arial"/>
                <w:sz w:val="18"/>
                <w:szCs w:val="16"/>
              </w:rPr>
              <w:t>Department of Communities and Justice</w:t>
            </w:r>
            <w:r w:rsidRPr="00E43148">
              <w:rPr>
                <w:rFonts w:ascii="Arial" w:hAnsi="Arial" w:cs="Arial"/>
                <w:sz w:val="18"/>
                <w:szCs w:val="16"/>
                <w:vertAlign w:val="superscript"/>
              </w:rPr>
              <w:t>(a)</w:t>
            </w:r>
            <w:r>
              <w:rPr>
                <w:rFonts w:ascii="Arial" w:hAnsi="Arial" w:cs="Arial"/>
                <w:sz w:val="18"/>
                <w:szCs w:val="16"/>
                <w:vertAlign w:val="superscript"/>
              </w:rPr>
              <w:t xml:space="preserve"> </w:t>
            </w:r>
            <w:r>
              <w:rPr>
                <w:rFonts w:ascii="Arial" w:hAnsi="Arial" w:cs="Arial"/>
                <w:sz w:val="18"/>
                <w:szCs w:val="16"/>
                <w:vertAlign w:val="superscript"/>
              </w:rPr>
              <w:br/>
              <w:t xml:space="preserve">  </w:t>
            </w:r>
            <w:r w:rsidRPr="00E43148">
              <w:rPr>
                <w:rFonts w:ascii="Arial" w:hAnsi="Arial" w:cs="Arial"/>
                <w:sz w:val="18"/>
                <w:szCs w:val="16"/>
              </w:rPr>
              <w:t xml:space="preserve">(Claims in </w:t>
            </w:r>
            <w:r w:rsidR="00151E1B">
              <w:rPr>
                <w:rFonts w:ascii="Arial" w:hAnsi="Arial" w:cs="Arial"/>
                <w:sz w:val="18"/>
                <w:szCs w:val="16"/>
              </w:rPr>
              <w:t>r</w:t>
            </w:r>
            <w:r w:rsidRPr="00E43148">
              <w:rPr>
                <w:rFonts w:ascii="Arial" w:hAnsi="Arial" w:cs="Arial"/>
                <w:sz w:val="18"/>
                <w:szCs w:val="16"/>
              </w:rPr>
              <w:t xml:space="preserve">espect of </w:t>
            </w:r>
            <w:r w:rsidR="00FA2CAC">
              <w:rPr>
                <w:rFonts w:ascii="Arial" w:hAnsi="Arial" w:cs="Arial"/>
                <w:sz w:val="18"/>
                <w:szCs w:val="16"/>
              </w:rPr>
              <w:t>c</w:t>
            </w:r>
            <w:r w:rsidRPr="00E43148">
              <w:rPr>
                <w:rFonts w:ascii="Arial" w:hAnsi="Arial" w:cs="Arial"/>
                <w:sz w:val="18"/>
                <w:szCs w:val="16"/>
              </w:rPr>
              <w:t>ompensation</w:t>
            </w:r>
            <w:r>
              <w:rPr>
                <w:rFonts w:ascii="Arial" w:hAnsi="Arial" w:cs="Arial"/>
                <w:sz w:val="18"/>
                <w:szCs w:val="16"/>
              </w:rPr>
              <w:t xml:space="preserve"> and </w:t>
            </w:r>
            <w:r w:rsidR="00FA2CAC">
              <w:rPr>
                <w:rFonts w:ascii="Arial" w:hAnsi="Arial" w:cs="Arial"/>
                <w:sz w:val="18"/>
                <w:szCs w:val="16"/>
              </w:rPr>
              <w:t>o</w:t>
            </w:r>
            <w:r>
              <w:rPr>
                <w:rFonts w:ascii="Arial" w:hAnsi="Arial" w:cs="Arial"/>
                <w:sz w:val="18"/>
                <w:szCs w:val="16"/>
              </w:rPr>
              <w:t>thers</w:t>
            </w:r>
            <w:r w:rsidRPr="00934008">
              <w:rPr>
                <w:rFonts w:ascii="Arial" w:hAnsi="Arial" w:cs="Arial"/>
                <w:sz w:val="18"/>
                <w:szCs w:val="16"/>
              </w:rPr>
              <w:t>)</w:t>
            </w:r>
          </w:p>
        </w:tc>
        <w:tc>
          <w:tcPr>
            <w:tcW w:w="1439" w:type="dxa"/>
            <w:tcBorders>
              <w:top w:val="nil"/>
              <w:left w:val="nil"/>
              <w:bottom w:val="nil"/>
              <w:right w:val="nil"/>
            </w:tcBorders>
            <w:vAlign w:val="bottom"/>
          </w:tcPr>
          <w:p w14:paraId="08BA66F1" w14:textId="34255712" w:rsidR="0058522E" w:rsidRPr="00E43148" w:rsidRDefault="0058522E" w:rsidP="0058522E">
            <w:pPr>
              <w:ind w:left="28" w:right="340"/>
              <w:jc w:val="right"/>
              <w:rPr>
                <w:rFonts w:ascii="Arial" w:hAnsi="Arial" w:cs="Arial"/>
                <w:sz w:val="18"/>
                <w:szCs w:val="18"/>
              </w:rPr>
            </w:pPr>
            <w:r w:rsidRPr="0508A1B0">
              <w:rPr>
                <w:rFonts w:ascii="Arial" w:hAnsi="Arial" w:cs="Arial"/>
                <w:sz w:val="18"/>
                <w:szCs w:val="18"/>
              </w:rPr>
              <w:t>933</w:t>
            </w:r>
          </w:p>
        </w:tc>
        <w:tc>
          <w:tcPr>
            <w:tcW w:w="1440" w:type="dxa"/>
            <w:tcBorders>
              <w:top w:val="nil"/>
              <w:left w:val="nil"/>
              <w:bottom w:val="nil"/>
              <w:right w:val="nil"/>
            </w:tcBorders>
            <w:vAlign w:val="bottom"/>
          </w:tcPr>
          <w:p w14:paraId="4F0743BA" w14:textId="178A1ED7" w:rsidR="0058522E" w:rsidRPr="00B953C4" w:rsidRDefault="0058522E" w:rsidP="0058522E">
            <w:pPr>
              <w:ind w:left="28" w:right="340"/>
              <w:jc w:val="right"/>
              <w:rPr>
                <w:rFonts w:ascii="Arial" w:hAnsi="Arial" w:cs="Arial"/>
                <w:sz w:val="18"/>
                <w:szCs w:val="18"/>
              </w:rPr>
            </w:pPr>
            <w:r w:rsidRPr="005102F9">
              <w:rPr>
                <w:rFonts w:ascii="Arial" w:hAnsi="Arial" w:cs="Arial"/>
                <w:sz w:val="18"/>
                <w:szCs w:val="18"/>
              </w:rPr>
              <w:t>1,177</w:t>
            </w:r>
          </w:p>
        </w:tc>
      </w:tr>
      <w:tr w:rsidR="0058522E" w:rsidRPr="00E43148" w14:paraId="129431C2" w14:textId="77777777" w:rsidTr="2E00E5B6">
        <w:trPr>
          <w:trHeight w:val="283"/>
        </w:trPr>
        <w:tc>
          <w:tcPr>
            <w:tcW w:w="6743" w:type="dxa"/>
            <w:tcBorders>
              <w:top w:val="nil"/>
              <w:left w:val="nil"/>
              <w:bottom w:val="nil"/>
              <w:right w:val="nil"/>
            </w:tcBorders>
            <w:vAlign w:val="bottom"/>
          </w:tcPr>
          <w:p w14:paraId="6D683CB5" w14:textId="77777777" w:rsidR="0058522E" w:rsidRPr="005C75E5" w:rsidRDefault="0058522E" w:rsidP="0058522E">
            <w:pPr>
              <w:ind w:left="28"/>
              <w:rPr>
                <w:rFonts w:ascii="Arial" w:hAnsi="Arial" w:cs="Arial"/>
                <w:sz w:val="18"/>
                <w:szCs w:val="16"/>
              </w:rPr>
            </w:pPr>
            <w:r w:rsidRPr="005C75E5">
              <w:rPr>
                <w:rFonts w:ascii="Arial" w:hAnsi="Arial" w:cs="Arial"/>
                <w:sz w:val="18"/>
                <w:szCs w:val="16"/>
              </w:rPr>
              <w:t>Department of Customer Service</w:t>
            </w:r>
            <w:r w:rsidRPr="005C75E5">
              <w:rPr>
                <w:rFonts w:ascii="Arial" w:hAnsi="Arial" w:cs="Arial"/>
                <w:sz w:val="18"/>
                <w:szCs w:val="16"/>
                <w:vertAlign w:val="superscript"/>
              </w:rPr>
              <w:t>(b)</w:t>
            </w:r>
          </w:p>
        </w:tc>
        <w:tc>
          <w:tcPr>
            <w:tcW w:w="1439" w:type="dxa"/>
            <w:tcBorders>
              <w:top w:val="nil"/>
              <w:left w:val="nil"/>
              <w:bottom w:val="nil"/>
              <w:right w:val="nil"/>
            </w:tcBorders>
            <w:vAlign w:val="bottom"/>
          </w:tcPr>
          <w:p w14:paraId="52EDD853" w14:textId="2EF693FA" w:rsidR="0058522E" w:rsidRDefault="0058522E" w:rsidP="0058522E">
            <w:pPr>
              <w:ind w:left="28" w:right="340"/>
              <w:jc w:val="right"/>
              <w:rPr>
                <w:rFonts w:ascii="Arial" w:hAnsi="Arial" w:cs="Arial"/>
                <w:sz w:val="18"/>
                <w:szCs w:val="16"/>
              </w:rPr>
            </w:pPr>
            <w:r>
              <w:rPr>
                <w:rFonts w:ascii="Arial" w:hAnsi="Arial" w:cs="Arial"/>
                <w:sz w:val="18"/>
                <w:szCs w:val="16"/>
              </w:rPr>
              <w:t>13</w:t>
            </w:r>
          </w:p>
        </w:tc>
        <w:tc>
          <w:tcPr>
            <w:tcW w:w="1440" w:type="dxa"/>
            <w:tcBorders>
              <w:top w:val="nil"/>
              <w:left w:val="nil"/>
              <w:bottom w:val="nil"/>
              <w:right w:val="nil"/>
            </w:tcBorders>
            <w:vAlign w:val="bottom"/>
          </w:tcPr>
          <w:p w14:paraId="0990C9A3" w14:textId="423F9D84" w:rsidR="0058522E" w:rsidRPr="00B953C4" w:rsidRDefault="6DDC52AC" w:rsidP="2E00E5B6">
            <w:pPr>
              <w:ind w:left="28" w:right="340"/>
              <w:jc w:val="right"/>
            </w:pPr>
            <w:r w:rsidRPr="6DDC52AC">
              <w:rPr>
                <w:rFonts w:ascii="Arial" w:hAnsi="Arial" w:cs="Arial"/>
                <w:sz w:val="18"/>
                <w:szCs w:val="18"/>
              </w:rPr>
              <w:t>9</w:t>
            </w:r>
          </w:p>
        </w:tc>
      </w:tr>
      <w:tr w:rsidR="0058522E" w:rsidRPr="00E43148" w14:paraId="3838BD9C" w14:textId="77777777" w:rsidTr="2E00E5B6">
        <w:trPr>
          <w:trHeight w:val="283"/>
        </w:trPr>
        <w:tc>
          <w:tcPr>
            <w:tcW w:w="6743" w:type="dxa"/>
            <w:tcBorders>
              <w:top w:val="nil"/>
              <w:left w:val="nil"/>
              <w:bottom w:val="nil"/>
              <w:right w:val="nil"/>
            </w:tcBorders>
            <w:vAlign w:val="bottom"/>
          </w:tcPr>
          <w:p w14:paraId="5A459426" w14:textId="5010F9DF" w:rsidR="0058522E" w:rsidRPr="005C75E5" w:rsidRDefault="0058522E" w:rsidP="0058522E">
            <w:pPr>
              <w:ind w:left="28"/>
              <w:rPr>
                <w:rFonts w:ascii="Arial" w:hAnsi="Arial" w:cs="Arial"/>
                <w:sz w:val="18"/>
                <w:szCs w:val="16"/>
              </w:rPr>
            </w:pPr>
            <w:r w:rsidRPr="005C75E5">
              <w:rPr>
                <w:rFonts w:ascii="Arial" w:hAnsi="Arial" w:cs="Arial"/>
                <w:sz w:val="18"/>
                <w:szCs w:val="16"/>
              </w:rPr>
              <w:t>Department of Planning</w:t>
            </w:r>
            <w:r w:rsidR="00DB140E">
              <w:rPr>
                <w:rFonts w:ascii="Arial" w:hAnsi="Arial" w:cs="Arial"/>
                <w:sz w:val="18"/>
                <w:szCs w:val="16"/>
              </w:rPr>
              <w:t xml:space="preserve"> </w:t>
            </w:r>
            <w:r w:rsidRPr="005C75E5">
              <w:rPr>
                <w:rFonts w:ascii="Arial" w:hAnsi="Arial" w:cs="Arial"/>
                <w:sz w:val="18"/>
                <w:szCs w:val="16"/>
              </w:rPr>
              <w:t>and Environment</w:t>
            </w:r>
            <w:r w:rsidRPr="005C75E5">
              <w:rPr>
                <w:rFonts w:ascii="Arial" w:hAnsi="Arial" w:cs="Arial"/>
                <w:color w:val="000000" w:themeColor="text1"/>
                <w:sz w:val="18"/>
                <w:szCs w:val="16"/>
                <w:vertAlign w:val="superscript"/>
              </w:rPr>
              <w:t>(c)</w:t>
            </w:r>
            <w:r w:rsidRPr="005C75E5">
              <w:rPr>
                <w:rFonts w:ascii="Arial" w:hAnsi="Arial" w:cs="Arial"/>
                <w:sz w:val="18"/>
                <w:szCs w:val="16"/>
              </w:rPr>
              <w:t xml:space="preserve"> </w:t>
            </w:r>
          </w:p>
        </w:tc>
        <w:tc>
          <w:tcPr>
            <w:tcW w:w="1439" w:type="dxa"/>
            <w:tcBorders>
              <w:top w:val="nil"/>
              <w:left w:val="nil"/>
              <w:bottom w:val="nil"/>
              <w:right w:val="nil"/>
            </w:tcBorders>
            <w:vAlign w:val="bottom"/>
          </w:tcPr>
          <w:p w14:paraId="3A516A3E" w14:textId="70C3BA36" w:rsidR="0058522E" w:rsidRPr="006128BE" w:rsidRDefault="0058522E" w:rsidP="0058522E">
            <w:pPr>
              <w:ind w:right="340"/>
              <w:jc w:val="right"/>
              <w:rPr>
                <w:rFonts w:ascii="Arial" w:hAnsi="Arial" w:cs="Arial"/>
                <w:sz w:val="18"/>
                <w:szCs w:val="16"/>
              </w:rPr>
            </w:pPr>
            <w:r w:rsidRPr="006128BE">
              <w:rPr>
                <w:rFonts w:ascii="Arial" w:hAnsi="Arial" w:cs="Arial"/>
                <w:sz w:val="18"/>
                <w:szCs w:val="16"/>
              </w:rPr>
              <w:t>100</w:t>
            </w:r>
          </w:p>
        </w:tc>
        <w:tc>
          <w:tcPr>
            <w:tcW w:w="1440" w:type="dxa"/>
            <w:tcBorders>
              <w:top w:val="nil"/>
              <w:left w:val="nil"/>
              <w:bottom w:val="nil"/>
              <w:right w:val="nil"/>
            </w:tcBorders>
            <w:vAlign w:val="bottom"/>
          </w:tcPr>
          <w:p w14:paraId="6065B0B3" w14:textId="7CEF5DEA" w:rsidR="0058522E" w:rsidRPr="0020668B" w:rsidRDefault="0058522E" w:rsidP="0058522E">
            <w:pPr>
              <w:ind w:right="340"/>
              <w:jc w:val="right"/>
              <w:rPr>
                <w:rFonts w:ascii="Arial" w:hAnsi="Arial" w:cs="Arial"/>
                <w:sz w:val="18"/>
                <w:szCs w:val="16"/>
                <w:highlight w:val="yellow"/>
              </w:rPr>
            </w:pPr>
            <w:r w:rsidRPr="00ED2931">
              <w:rPr>
                <w:rFonts w:ascii="Arial" w:hAnsi="Arial" w:cs="Arial"/>
                <w:sz w:val="18"/>
                <w:szCs w:val="16"/>
              </w:rPr>
              <w:t>100</w:t>
            </w:r>
          </w:p>
        </w:tc>
      </w:tr>
      <w:tr w:rsidR="0058522E" w:rsidRPr="00E43148" w14:paraId="6CF94092" w14:textId="77777777" w:rsidTr="2E00E5B6">
        <w:trPr>
          <w:trHeight w:val="454"/>
        </w:trPr>
        <w:tc>
          <w:tcPr>
            <w:tcW w:w="6743" w:type="dxa"/>
            <w:tcBorders>
              <w:top w:val="nil"/>
              <w:left w:val="nil"/>
              <w:bottom w:val="nil"/>
              <w:right w:val="nil"/>
            </w:tcBorders>
            <w:vAlign w:val="bottom"/>
          </w:tcPr>
          <w:p w14:paraId="63EC5F65" w14:textId="55993737" w:rsidR="0058522E" w:rsidRPr="00B953C4" w:rsidRDefault="0058522E" w:rsidP="0058522E">
            <w:pPr>
              <w:ind w:left="28"/>
              <w:rPr>
                <w:rFonts w:ascii="Arial" w:hAnsi="Arial" w:cs="Arial"/>
                <w:sz w:val="18"/>
                <w:szCs w:val="16"/>
              </w:rPr>
            </w:pPr>
            <w:r w:rsidRPr="00B953C4">
              <w:rPr>
                <w:rFonts w:ascii="Arial" w:hAnsi="Arial" w:cs="Arial"/>
                <w:sz w:val="18"/>
                <w:szCs w:val="16"/>
              </w:rPr>
              <w:t>Planning Ministerial Corporation</w:t>
            </w:r>
            <w:r w:rsidRPr="00B953C4">
              <w:rPr>
                <w:rFonts w:ascii="Arial" w:hAnsi="Arial" w:cs="Arial"/>
                <w:color w:val="000000" w:themeColor="text1"/>
                <w:sz w:val="18"/>
                <w:szCs w:val="16"/>
                <w:vertAlign w:val="superscript"/>
              </w:rPr>
              <w:t>(d)</w:t>
            </w:r>
            <w:r w:rsidRPr="00B953C4">
              <w:rPr>
                <w:rFonts w:ascii="Arial" w:hAnsi="Arial" w:cs="Arial"/>
                <w:sz w:val="18"/>
                <w:szCs w:val="16"/>
              </w:rPr>
              <w:t xml:space="preserve"> </w:t>
            </w:r>
            <w:r w:rsidRPr="00B953C4">
              <w:rPr>
                <w:rFonts w:ascii="Arial" w:hAnsi="Arial" w:cs="Arial"/>
                <w:sz w:val="18"/>
                <w:szCs w:val="16"/>
              </w:rPr>
              <w:br/>
              <w:t xml:space="preserve">  (Land acquisitions)  </w:t>
            </w:r>
          </w:p>
        </w:tc>
        <w:tc>
          <w:tcPr>
            <w:tcW w:w="1439" w:type="dxa"/>
            <w:tcBorders>
              <w:top w:val="nil"/>
              <w:left w:val="nil"/>
              <w:bottom w:val="nil"/>
              <w:right w:val="nil"/>
            </w:tcBorders>
            <w:vAlign w:val="bottom"/>
          </w:tcPr>
          <w:p w14:paraId="7E14A4B1" w14:textId="087BBEAA" w:rsidR="0058522E" w:rsidRPr="006128BE" w:rsidRDefault="0058522E" w:rsidP="0058522E">
            <w:pPr>
              <w:ind w:left="28" w:right="340"/>
              <w:jc w:val="right"/>
              <w:rPr>
                <w:rFonts w:ascii="Arial" w:hAnsi="Arial" w:cs="Arial"/>
                <w:sz w:val="18"/>
                <w:szCs w:val="16"/>
              </w:rPr>
            </w:pPr>
            <w:r w:rsidRPr="006128BE">
              <w:rPr>
                <w:rFonts w:ascii="Arial" w:hAnsi="Arial" w:cs="Arial"/>
                <w:sz w:val="18"/>
                <w:szCs w:val="16"/>
              </w:rPr>
              <w:t>120</w:t>
            </w:r>
          </w:p>
        </w:tc>
        <w:tc>
          <w:tcPr>
            <w:tcW w:w="1440" w:type="dxa"/>
            <w:tcBorders>
              <w:top w:val="nil"/>
              <w:left w:val="nil"/>
              <w:bottom w:val="nil"/>
              <w:right w:val="nil"/>
            </w:tcBorders>
            <w:vAlign w:val="bottom"/>
          </w:tcPr>
          <w:p w14:paraId="78FF15EE" w14:textId="3E2C18BD" w:rsidR="0058522E" w:rsidRPr="00B953C4" w:rsidRDefault="0058522E" w:rsidP="0058522E">
            <w:pPr>
              <w:ind w:left="28" w:right="340"/>
              <w:jc w:val="right"/>
              <w:rPr>
                <w:rFonts w:ascii="Arial" w:hAnsi="Arial" w:cs="Arial"/>
                <w:sz w:val="18"/>
                <w:szCs w:val="16"/>
              </w:rPr>
            </w:pPr>
            <w:r w:rsidRPr="00B953C4">
              <w:rPr>
                <w:rFonts w:ascii="Arial" w:hAnsi="Arial" w:cs="Arial"/>
                <w:sz w:val="18"/>
                <w:szCs w:val="16"/>
              </w:rPr>
              <w:t>1</w:t>
            </w:r>
            <w:r w:rsidR="0000125A" w:rsidRPr="00B953C4">
              <w:rPr>
                <w:rFonts w:ascii="Arial" w:hAnsi="Arial" w:cs="Arial"/>
                <w:sz w:val="18"/>
                <w:szCs w:val="16"/>
              </w:rPr>
              <w:t>77</w:t>
            </w:r>
          </w:p>
        </w:tc>
      </w:tr>
      <w:tr w:rsidR="0058522E" w:rsidRPr="00E43148" w14:paraId="2D586F63" w14:textId="77777777" w:rsidTr="2E00E5B6">
        <w:trPr>
          <w:trHeight w:val="454"/>
        </w:trPr>
        <w:tc>
          <w:tcPr>
            <w:tcW w:w="6743" w:type="dxa"/>
            <w:tcBorders>
              <w:top w:val="nil"/>
              <w:left w:val="nil"/>
              <w:bottom w:val="nil"/>
              <w:right w:val="nil"/>
            </w:tcBorders>
            <w:vAlign w:val="bottom"/>
          </w:tcPr>
          <w:p w14:paraId="2CC08333" w14:textId="423BB200" w:rsidR="0058522E" w:rsidRPr="005102F9" w:rsidRDefault="0058522E" w:rsidP="0058522E">
            <w:pPr>
              <w:ind w:left="28"/>
              <w:rPr>
                <w:rFonts w:ascii="Arial" w:hAnsi="Arial" w:cs="Arial"/>
                <w:sz w:val="18"/>
                <w:szCs w:val="16"/>
              </w:rPr>
            </w:pPr>
            <w:r w:rsidRPr="005102F9">
              <w:rPr>
                <w:rFonts w:ascii="Arial" w:hAnsi="Arial" w:cs="Arial"/>
                <w:sz w:val="18"/>
                <w:szCs w:val="16"/>
              </w:rPr>
              <w:t>Transport for NSW</w:t>
            </w:r>
            <w:r w:rsidRPr="005102F9">
              <w:rPr>
                <w:rFonts w:ascii="Arial" w:hAnsi="Arial" w:cs="Arial"/>
                <w:sz w:val="18"/>
                <w:szCs w:val="16"/>
                <w:vertAlign w:val="superscript"/>
              </w:rPr>
              <w:t>(</w:t>
            </w:r>
            <w:r w:rsidR="000E3AD5" w:rsidRPr="005102F9">
              <w:rPr>
                <w:rFonts w:ascii="Arial" w:hAnsi="Arial" w:cs="Arial"/>
                <w:sz w:val="18"/>
                <w:szCs w:val="16"/>
                <w:vertAlign w:val="superscript"/>
              </w:rPr>
              <w:t>e</w:t>
            </w:r>
            <w:r w:rsidRPr="005102F9">
              <w:rPr>
                <w:rFonts w:ascii="Arial" w:hAnsi="Arial" w:cs="Arial"/>
                <w:sz w:val="18"/>
                <w:szCs w:val="16"/>
                <w:vertAlign w:val="superscript"/>
              </w:rPr>
              <w:t xml:space="preserve">) </w:t>
            </w:r>
            <w:r w:rsidRPr="005102F9">
              <w:rPr>
                <w:rFonts w:ascii="Arial" w:hAnsi="Arial" w:cs="Arial"/>
                <w:sz w:val="18"/>
                <w:szCs w:val="16"/>
                <w:vertAlign w:val="superscript"/>
              </w:rPr>
              <w:br/>
            </w:r>
            <w:r w:rsidRPr="005102F9">
              <w:rPr>
                <w:rFonts w:ascii="Arial" w:hAnsi="Arial" w:cs="Arial"/>
                <w:sz w:val="18"/>
                <w:szCs w:val="16"/>
              </w:rPr>
              <w:t xml:space="preserve">  (Land acquisitions, contractual disputes)</w:t>
            </w:r>
          </w:p>
        </w:tc>
        <w:tc>
          <w:tcPr>
            <w:tcW w:w="1439" w:type="dxa"/>
            <w:tcBorders>
              <w:top w:val="nil"/>
              <w:left w:val="nil"/>
              <w:bottom w:val="nil"/>
              <w:right w:val="nil"/>
            </w:tcBorders>
            <w:vAlign w:val="bottom"/>
          </w:tcPr>
          <w:p w14:paraId="70760C13" w14:textId="6ABD5C54" w:rsidR="0058522E" w:rsidRDefault="0058522E" w:rsidP="0058522E">
            <w:pPr>
              <w:ind w:left="28" w:right="340"/>
              <w:jc w:val="right"/>
              <w:rPr>
                <w:rFonts w:ascii="Arial" w:hAnsi="Arial" w:cs="Arial"/>
                <w:sz w:val="18"/>
                <w:szCs w:val="16"/>
              </w:rPr>
            </w:pPr>
            <w:r>
              <w:rPr>
                <w:rFonts w:ascii="Arial" w:hAnsi="Arial" w:cs="Arial"/>
                <w:sz w:val="18"/>
                <w:szCs w:val="16"/>
              </w:rPr>
              <w:t>828</w:t>
            </w:r>
          </w:p>
        </w:tc>
        <w:tc>
          <w:tcPr>
            <w:tcW w:w="1440" w:type="dxa"/>
            <w:tcBorders>
              <w:top w:val="nil"/>
              <w:left w:val="nil"/>
              <w:bottom w:val="nil"/>
              <w:right w:val="nil"/>
            </w:tcBorders>
            <w:vAlign w:val="bottom"/>
          </w:tcPr>
          <w:p w14:paraId="7BBA18DA" w14:textId="57AEE311" w:rsidR="0058522E" w:rsidRPr="0020668B" w:rsidRDefault="00A23944" w:rsidP="0058522E">
            <w:pPr>
              <w:ind w:left="28" w:right="340"/>
              <w:jc w:val="right"/>
              <w:rPr>
                <w:rFonts w:ascii="Arial" w:hAnsi="Arial" w:cs="Arial"/>
                <w:sz w:val="18"/>
                <w:szCs w:val="16"/>
                <w:highlight w:val="yellow"/>
              </w:rPr>
            </w:pPr>
            <w:r w:rsidRPr="0020668B">
              <w:rPr>
                <w:rFonts w:ascii="Arial" w:hAnsi="Arial" w:cs="Arial"/>
                <w:sz w:val="18"/>
                <w:szCs w:val="16"/>
              </w:rPr>
              <w:t>1,58</w:t>
            </w:r>
            <w:r w:rsidR="00DC776A">
              <w:rPr>
                <w:rFonts w:ascii="Arial" w:hAnsi="Arial" w:cs="Arial"/>
                <w:sz w:val="18"/>
                <w:szCs w:val="16"/>
              </w:rPr>
              <w:t>2</w:t>
            </w:r>
          </w:p>
        </w:tc>
      </w:tr>
      <w:tr w:rsidR="0058522E" w:rsidRPr="00E43148" w14:paraId="59E031A7" w14:textId="77777777" w:rsidTr="2E00E5B6">
        <w:trPr>
          <w:trHeight w:val="283"/>
        </w:trPr>
        <w:tc>
          <w:tcPr>
            <w:tcW w:w="6743" w:type="dxa"/>
            <w:tcBorders>
              <w:top w:val="nil"/>
              <w:left w:val="nil"/>
              <w:bottom w:val="nil"/>
              <w:right w:val="nil"/>
            </w:tcBorders>
            <w:vAlign w:val="bottom"/>
          </w:tcPr>
          <w:p w14:paraId="212D6820" w14:textId="726A6E92" w:rsidR="0058522E" w:rsidRPr="005102F9" w:rsidRDefault="0058522E" w:rsidP="0058522E">
            <w:pPr>
              <w:ind w:left="28"/>
              <w:rPr>
                <w:rFonts w:ascii="Arial" w:hAnsi="Arial" w:cs="Arial"/>
                <w:sz w:val="18"/>
                <w:szCs w:val="16"/>
              </w:rPr>
            </w:pPr>
            <w:r w:rsidRPr="007E5B02">
              <w:rPr>
                <w:rFonts w:ascii="Arial" w:hAnsi="Arial" w:cs="Arial"/>
                <w:sz w:val="18"/>
                <w:szCs w:val="16"/>
              </w:rPr>
              <w:t>Other Agencies</w:t>
            </w:r>
            <w:r w:rsidRPr="005102F9">
              <w:rPr>
                <w:rFonts w:ascii="Arial" w:hAnsi="Arial" w:cs="Arial"/>
                <w:sz w:val="18"/>
                <w:szCs w:val="16"/>
              </w:rPr>
              <w:t xml:space="preserve"> </w:t>
            </w:r>
          </w:p>
        </w:tc>
        <w:tc>
          <w:tcPr>
            <w:tcW w:w="1439" w:type="dxa"/>
            <w:tcBorders>
              <w:top w:val="nil"/>
              <w:left w:val="nil"/>
              <w:bottom w:val="nil"/>
              <w:right w:val="nil"/>
            </w:tcBorders>
            <w:vAlign w:val="bottom"/>
          </w:tcPr>
          <w:p w14:paraId="6600569C" w14:textId="22914D4E" w:rsidR="0058522E" w:rsidRDefault="0058522E" w:rsidP="0058522E">
            <w:pPr>
              <w:ind w:left="28" w:right="340"/>
              <w:jc w:val="right"/>
              <w:rPr>
                <w:rFonts w:ascii="Arial" w:hAnsi="Arial" w:cs="Arial"/>
                <w:sz w:val="18"/>
                <w:szCs w:val="16"/>
              </w:rPr>
            </w:pPr>
            <w:r>
              <w:rPr>
                <w:rFonts w:ascii="Arial" w:hAnsi="Arial" w:cs="Arial"/>
                <w:sz w:val="18"/>
                <w:szCs w:val="16"/>
              </w:rPr>
              <w:t>25</w:t>
            </w:r>
          </w:p>
        </w:tc>
        <w:tc>
          <w:tcPr>
            <w:tcW w:w="1440" w:type="dxa"/>
            <w:tcBorders>
              <w:top w:val="nil"/>
              <w:left w:val="nil"/>
              <w:bottom w:val="nil"/>
              <w:right w:val="nil"/>
            </w:tcBorders>
            <w:vAlign w:val="bottom"/>
          </w:tcPr>
          <w:p w14:paraId="36078759" w14:textId="74C54D40" w:rsidR="0058522E" w:rsidRPr="007E5B02" w:rsidRDefault="37C83487" w:rsidP="0058522E">
            <w:pPr>
              <w:ind w:left="28" w:right="340"/>
              <w:jc w:val="right"/>
              <w:rPr>
                <w:rFonts w:ascii="Arial" w:hAnsi="Arial" w:cs="Arial"/>
                <w:sz w:val="18"/>
                <w:szCs w:val="18"/>
              </w:rPr>
            </w:pPr>
            <w:r w:rsidRPr="2E00E5B6">
              <w:rPr>
                <w:rFonts w:ascii="Arial" w:hAnsi="Arial" w:cs="Arial"/>
                <w:sz w:val="18"/>
                <w:szCs w:val="18"/>
              </w:rPr>
              <w:t>0</w:t>
            </w:r>
            <w:r w:rsidR="044073A0" w:rsidRPr="2E00E5B6">
              <w:rPr>
                <w:rFonts w:ascii="Arial" w:hAnsi="Arial" w:cs="Arial"/>
                <w:sz w:val="18"/>
                <w:szCs w:val="18"/>
                <w:vertAlign w:val="superscript"/>
              </w:rPr>
              <w:t xml:space="preserve"> </w:t>
            </w:r>
          </w:p>
        </w:tc>
      </w:tr>
      <w:tr w:rsidR="0058522E" w:rsidRPr="00BA7D8D" w14:paraId="741A63E3" w14:textId="77777777" w:rsidTr="2E00E5B6">
        <w:trPr>
          <w:trHeight w:val="340"/>
        </w:trPr>
        <w:tc>
          <w:tcPr>
            <w:tcW w:w="6743" w:type="dxa"/>
            <w:tcBorders>
              <w:top w:val="single" w:sz="4" w:space="0" w:color="auto"/>
              <w:left w:val="nil"/>
              <w:bottom w:val="single" w:sz="6" w:space="0" w:color="000000" w:themeColor="text1"/>
              <w:right w:val="nil"/>
            </w:tcBorders>
          </w:tcPr>
          <w:p w14:paraId="7D0D8AD5" w14:textId="77777777" w:rsidR="0058522E" w:rsidRPr="005102F9" w:rsidRDefault="0058522E" w:rsidP="0058522E">
            <w:pPr>
              <w:jc w:val="center"/>
              <w:rPr>
                <w:rFonts w:ascii="Arial" w:hAnsi="Arial" w:cs="Arial"/>
                <w:color w:val="008EBA"/>
                <w:sz w:val="18"/>
                <w:szCs w:val="16"/>
              </w:rPr>
            </w:pPr>
          </w:p>
        </w:tc>
        <w:tc>
          <w:tcPr>
            <w:tcW w:w="1439" w:type="dxa"/>
            <w:tcBorders>
              <w:top w:val="single" w:sz="4" w:space="0" w:color="auto"/>
              <w:left w:val="nil"/>
              <w:bottom w:val="single" w:sz="6" w:space="0" w:color="000000" w:themeColor="text1"/>
              <w:right w:val="nil"/>
            </w:tcBorders>
            <w:vAlign w:val="center"/>
          </w:tcPr>
          <w:p w14:paraId="0B93F8D4" w14:textId="4005456C" w:rsidR="0058522E" w:rsidRPr="00E453F8" w:rsidRDefault="0058522E" w:rsidP="007E5B02">
            <w:pPr>
              <w:tabs>
                <w:tab w:val="left" w:pos="895"/>
              </w:tabs>
              <w:ind w:left="-96" w:right="325"/>
              <w:jc w:val="right"/>
              <w:rPr>
                <w:rFonts w:ascii="Arial" w:eastAsia="Arial" w:hAnsi="Arial" w:cs="Arial"/>
                <w:b/>
                <w:bCs/>
                <w:color w:val="008EBA"/>
                <w:sz w:val="18"/>
                <w:szCs w:val="18"/>
              </w:rPr>
            </w:pPr>
            <w:r w:rsidRPr="006D5621">
              <w:rPr>
                <w:rFonts w:ascii="Arial" w:eastAsia="Arial" w:hAnsi="Arial" w:cs="Arial"/>
                <w:b/>
                <w:bCs/>
                <w:color w:val="008EBA"/>
                <w:sz w:val="18"/>
                <w:szCs w:val="18"/>
              </w:rPr>
              <w:t>2,</w:t>
            </w:r>
            <w:r>
              <w:rPr>
                <w:rFonts w:ascii="Arial" w:eastAsia="Arial" w:hAnsi="Arial" w:cs="Arial"/>
                <w:b/>
                <w:bCs/>
                <w:color w:val="008EBA"/>
                <w:sz w:val="18"/>
                <w:szCs w:val="18"/>
              </w:rPr>
              <w:t>019</w:t>
            </w:r>
          </w:p>
        </w:tc>
        <w:tc>
          <w:tcPr>
            <w:tcW w:w="1440" w:type="dxa"/>
            <w:tcBorders>
              <w:top w:val="single" w:sz="4" w:space="0" w:color="auto"/>
              <w:left w:val="nil"/>
              <w:bottom w:val="single" w:sz="6" w:space="0" w:color="000000" w:themeColor="text1"/>
              <w:right w:val="nil"/>
            </w:tcBorders>
            <w:vAlign w:val="center"/>
          </w:tcPr>
          <w:p w14:paraId="46BDA2C6" w14:textId="2410FFE7" w:rsidR="0058522E" w:rsidRPr="007E5B02" w:rsidRDefault="006817B3" w:rsidP="0058522E">
            <w:pPr>
              <w:ind w:right="340"/>
              <w:jc w:val="right"/>
              <w:rPr>
                <w:rFonts w:ascii="Arial" w:hAnsi="Arial" w:cs="Arial"/>
                <w:b/>
                <w:color w:val="008EBA"/>
                <w:sz w:val="18"/>
                <w:szCs w:val="18"/>
              </w:rPr>
            </w:pPr>
            <w:r w:rsidRPr="007E5B02">
              <w:rPr>
                <w:rFonts w:ascii="Arial" w:eastAsia="Arial" w:hAnsi="Arial" w:cs="Arial"/>
                <w:b/>
                <w:color w:val="008EBA"/>
                <w:sz w:val="18"/>
                <w:szCs w:val="18"/>
              </w:rPr>
              <w:t>3,</w:t>
            </w:r>
            <w:r w:rsidR="006B3F98" w:rsidRPr="6DDC52AC">
              <w:rPr>
                <w:rFonts w:ascii="Arial" w:eastAsia="Arial" w:hAnsi="Arial" w:cs="Arial"/>
                <w:b/>
                <w:bCs/>
                <w:color w:val="008EBA"/>
                <w:sz w:val="18"/>
                <w:szCs w:val="18"/>
              </w:rPr>
              <w:t>045</w:t>
            </w:r>
          </w:p>
        </w:tc>
      </w:tr>
    </w:tbl>
    <w:p w14:paraId="51311590" w14:textId="4A924D14" w:rsidR="0093708F" w:rsidRPr="0093708F" w:rsidRDefault="0093708F" w:rsidP="0093708F">
      <w:pPr>
        <w:rPr>
          <w:rFonts w:ascii="Arial" w:eastAsia="Calibri" w:hAnsi="Arial" w:cs="Arial"/>
          <w:sz w:val="6"/>
          <w:szCs w:val="6"/>
          <w:lang w:val="en-AU"/>
        </w:rPr>
      </w:pPr>
    </w:p>
    <w:p w14:paraId="3F0346B6" w14:textId="77777777" w:rsidR="00CE1DC9" w:rsidRPr="005102F9" w:rsidRDefault="00E522E6" w:rsidP="00A75EE4">
      <w:pPr>
        <w:numPr>
          <w:ilvl w:val="0"/>
          <w:numId w:val="9"/>
        </w:numPr>
        <w:ind w:left="363" w:hanging="357"/>
        <w:contextualSpacing/>
        <w:rPr>
          <w:rFonts w:ascii="Arial" w:eastAsia="Calibri" w:hAnsi="Arial" w:cs="Arial"/>
          <w:sz w:val="17"/>
          <w:szCs w:val="17"/>
          <w:lang w:val="en-AU"/>
        </w:rPr>
      </w:pPr>
      <w:r w:rsidRPr="00643ACA">
        <w:rPr>
          <w:rFonts w:ascii="Arial" w:eastAsia="Calibri" w:hAnsi="Arial" w:cs="Arial"/>
          <w:sz w:val="17"/>
          <w:szCs w:val="17"/>
          <w:lang w:val="en-AU"/>
        </w:rPr>
        <w:t xml:space="preserve">The Victims’ </w:t>
      </w:r>
      <w:r w:rsidR="008D0CC1" w:rsidRPr="00643ACA">
        <w:rPr>
          <w:rFonts w:ascii="Arial" w:eastAsia="Calibri" w:hAnsi="Arial" w:cs="Arial"/>
          <w:sz w:val="17"/>
          <w:szCs w:val="17"/>
        </w:rPr>
        <w:t xml:space="preserve">Support Scheme </w:t>
      </w:r>
      <w:r w:rsidR="008D0CC1" w:rsidRPr="005102F9">
        <w:rPr>
          <w:rFonts w:ascii="Arial" w:eastAsia="Calibri" w:hAnsi="Arial" w:cs="Arial"/>
          <w:sz w:val="17"/>
          <w:szCs w:val="17"/>
        </w:rPr>
        <w:t xml:space="preserve">(VSS) was created on 3 June 2013 through </w:t>
      </w:r>
      <w:r w:rsidR="008D0CC1" w:rsidRPr="005102F9">
        <w:rPr>
          <w:rFonts w:ascii="Arial" w:hAnsi="Arial" w:cs="Arial"/>
          <w:sz w:val="17"/>
          <w:szCs w:val="17"/>
        </w:rPr>
        <w:t xml:space="preserve">legislation known as </w:t>
      </w:r>
      <w:r w:rsidR="008D0CC1" w:rsidRPr="005102F9">
        <w:rPr>
          <w:rFonts w:ascii="Arial" w:eastAsia="Calibri" w:hAnsi="Arial" w:cs="Arial"/>
          <w:sz w:val="17"/>
          <w:szCs w:val="17"/>
        </w:rPr>
        <w:t xml:space="preserve">the </w:t>
      </w:r>
      <w:r w:rsidR="008D0CC1" w:rsidRPr="005102F9">
        <w:rPr>
          <w:rFonts w:ascii="Arial" w:eastAsia="Arial" w:hAnsi="Arial" w:cs="Arial"/>
          <w:i/>
          <w:sz w:val="17"/>
          <w:szCs w:val="17"/>
        </w:rPr>
        <w:t>Victims’ Rights and Support Act 2013</w:t>
      </w:r>
      <w:r w:rsidR="008D0CC1" w:rsidRPr="005102F9">
        <w:rPr>
          <w:rFonts w:ascii="Arial" w:hAnsi="Arial" w:cs="Arial"/>
          <w:sz w:val="17"/>
          <w:szCs w:val="17"/>
        </w:rPr>
        <w:t xml:space="preserve">. </w:t>
      </w:r>
    </w:p>
    <w:p w14:paraId="739E2C82" w14:textId="327E865D" w:rsidR="00A80CF6" w:rsidRPr="005102F9" w:rsidRDefault="00FA660B" w:rsidP="00A75EE4">
      <w:pPr>
        <w:numPr>
          <w:ilvl w:val="0"/>
          <w:numId w:val="9"/>
        </w:numPr>
        <w:ind w:left="363" w:hanging="357"/>
        <w:contextualSpacing/>
        <w:rPr>
          <w:rFonts w:ascii="Arial" w:eastAsia="Calibri" w:hAnsi="Arial" w:cs="Arial"/>
          <w:sz w:val="17"/>
          <w:szCs w:val="17"/>
          <w:lang w:val="en-AU"/>
        </w:rPr>
      </w:pPr>
      <w:r w:rsidRPr="007E5B02">
        <w:rPr>
          <w:rFonts w:ascii="Arial" w:hAnsi="Arial" w:cs="Arial"/>
          <w:sz w:val="17"/>
          <w:szCs w:val="17"/>
        </w:rPr>
        <w:t>The Torrens Assurance Fund is a statutory compensation scheme designed to compensate</w:t>
      </w:r>
      <w:r w:rsidR="005D72F9" w:rsidRPr="007E5B02">
        <w:rPr>
          <w:rFonts w:ascii="Arial" w:hAnsi="Arial" w:cs="Arial"/>
          <w:sz w:val="17"/>
          <w:szCs w:val="17"/>
        </w:rPr>
        <w:t xml:space="preserve"> </w:t>
      </w:r>
      <w:r w:rsidRPr="007E5B02">
        <w:rPr>
          <w:rFonts w:ascii="Arial" w:hAnsi="Arial" w:cs="Arial"/>
          <w:sz w:val="17"/>
          <w:szCs w:val="17"/>
        </w:rPr>
        <w:t xml:space="preserve">people who, through no fault of their own, suffer loss or damage as a result of the operation of the </w:t>
      </w:r>
      <w:r w:rsidRPr="007E5B02">
        <w:rPr>
          <w:rFonts w:ascii="Arial" w:hAnsi="Arial" w:cs="Arial"/>
          <w:i/>
          <w:iCs/>
          <w:sz w:val="17"/>
          <w:szCs w:val="17"/>
        </w:rPr>
        <w:t>Real Property Act 1900 (RPA)</w:t>
      </w:r>
      <w:r w:rsidR="005D72F9" w:rsidRPr="007E5B02">
        <w:rPr>
          <w:rFonts w:ascii="Arial" w:hAnsi="Arial" w:cs="Arial"/>
          <w:sz w:val="17"/>
          <w:szCs w:val="17"/>
        </w:rPr>
        <w:t xml:space="preserve"> </w:t>
      </w:r>
      <w:r w:rsidR="001B7C92" w:rsidRPr="007E5B02">
        <w:rPr>
          <w:rFonts w:ascii="Arial" w:hAnsi="Arial" w:cs="Arial"/>
          <w:sz w:val="17"/>
          <w:szCs w:val="17"/>
        </w:rPr>
        <w:t>operated by the Department of Customer Service</w:t>
      </w:r>
      <w:r w:rsidR="005D72F9" w:rsidRPr="007E5B02">
        <w:rPr>
          <w:rFonts w:ascii="Arial" w:hAnsi="Arial" w:cs="Arial"/>
          <w:sz w:val="17"/>
          <w:szCs w:val="17"/>
        </w:rPr>
        <w:t>.</w:t>
      </w:r>
      <w:r w:rsidR="00B37AF3" w:rsidRPr="007E5B02">
        <w:rPr>
          <w:rFonts w:ascii="Arial" w:hAnsi="Arial" w:cs="Arial"/>
          <w:sz w:val="17"/>
          <w:szCs w:val="17"/>
        </w:rPr>
        <w:t xml:space="preserve"> </w:t>
      </w:r>
    </w:p>
    <w:p w14:paraId="44C22BF3" w14:textId="51841E55" w:rsidR="00CE1DC9" w:rsidRPr="005102F9" w:rsidRDefault="00AC6899" w:rsidP="00532079">
      <w:pPr>
        <w:pStyle w:val="ListParagraph"/>
        <w:numPr>
          <w:ilvl w:val="0"/>
          <w:numId w:val="9"/>
        </w:numPr>
        <w:ind w:left="363" w:hanging="357"/>
        <w:rPr>
          <w:rFonts w:ascii="Arial" w:hAnsi="Arial" w:cs="Arial"/>
          <w:sz w:val="17"/>
          <w:szCs w:val="17"/>
        </w:rPr>
      </w:pPr>
      <w:r w:rsidRPr="005102F9">
        <w:rPr>
          <w:rFonts w:ascii="Arial" w:hAnsi="Arial" w:cs="Arial"/>
          <w:sz w:val="17"/>
          <w:szCs w:val="17"/>
        </w:rPr>
        <w:t xml:space="preserve">The </w:t>
      </w:r>
      <w:r w:rsidR="00D946B2" w:rsidRPr="005102F9">
        <w:rPr>
          <w:rFonts w:ascii="Arial" w:hAnsi="Arial" w:cs="Arial"/>
          <w:sz w:val="17"/>
          <w:szCs w:val="17"/>
        </w:rPr>
        <w:t>Department of Planning and Environment</w:t>
      </w:r>
      <w:r w:rsidRPr="005102F9">
        <w:rPr>
          <w:rFonts w:ascii="Arial" w:hAnsi="Arial" w:cs="Arial"/>
          <w:sz w:val="17"/>
          <w:szCs w:val="17"/>
        </w:rPr>
        <w:t xml:space="preserve"> </w:t>
      </w:r>
      <w:r w:rsidR="004E6B8F" w:rsidRPr="005102F9">
        <w:rPr>
          <w:rFonts w:ascii="Arial" w:hAnsi="Arial" w:cs="Arial"/>
          <w:sz w:val="17"/>
          <w:szCs w:val="17"/>
        </w:rPr>
        <w:t>has provided support for the obligations of</w:t>
      </w:r>
      <w:r w:rsidR="001B5619" w:rsidRPr="005102F9">
        <w:rPr>
          <w:rFonts w:ascii="Arial" w:hAnsi="Arial" w:cs="Arial"/>
          <w:sz w:val="17"/>
          <w:szCs w:val="17"/>
        </w:rPr>
        <w:t xml:space="preserve"> a third party where</w:t>
      </w:r>
      <w:r w:rsidR="00F277C0" w:rsidRPr="005102F9">
        <w:rPr>
          <w:rFonts w:ascii="Arial" w:hAnsi="Arial" w:cs="Arial"/>
          <w:sz w:val="17"/>
          <w:szCs w:val="17"/>
        </w:rPr>
        <w:t xml:space="preserve"> </w:t>
      </w:r>
      <w:r w:rsidR="009B2956" w:rsidRPr="005102F9">
        <w:rPr>
          <w:rFonts w:ascii="Arial" w:hAnsi="Arial" w:cs="Arial"/>
          <w:sz w:val="17"/>
          <w:szCs w:val="17"/>
        </w:rPr>
        <w:t>it</w:t>
      </w:r>
      <w:r w:rsidR="004E6B8F" w:rsidRPr="005102F9">
        <w:rPr>
          <w:rFonts w:ascii="Arial" w:hAnsi="Arial" w:cs="Arial"/>
          <w:sz w:val="17"/>
          <w:szCs w:val="17"/>
        </w:rPr>
        <w:t xml:space="preserve"> </w:t>
      </w:r>
      <w:r w:rsidRPr="005102F9">
        <w:rPr>
          <w:rFonts w:ascii="Arial" w:hAnsi="Arial" w:cs="Arial"/>
          <w:sz w:val="17"/>
          <w:szCs w:val="17"/>
        </w:rPr>
        <w:t>may be called upon to settle a debt obligation in the future. This may occur if the borrower is not able to service its debt.</w:t>
      </w:r>
    </w:p>
    <w:p w14:paraId="16F65BC8" w14:textId="5F68D066" w:rsidR="00AE5FD7" w:rsidRPr="007E5B02" w:rsidRDefault="00AE5FD7" w:rsidP="00532079">
      <w:pPr>
        <w:pStyle w:val="ListParagraph"/>
        <w:numPr>
          <w:ilvl w:val="0"/>
          <w:numId w:val="9"/>
        </w:numPr>
        <w:ind w:left="363" w:hanging="357"/>
        <w:rPr>
          <w:rFonts w:ascii="Arial" w:eastAsia="Calibri" w:hAnsi="Arial" w:cs="Arial"/>
          <w:sz w:val="17"/>
          <w:szCs w:val="17"/>
        </w:rPr>
      </w:pPr>
      <w:r w:rsidRPr="007E5B02">
        <w:rPr>
          <w:rFonts w:ascii="Arial" w:eastAsia="Calibri" w:hAnsi="Arial" w:cs="Arial"/>
          <w:sz w:val="17"/>
          <w:szCs w:val="17"/>
          <w:lang w:val="en-AU"/>
        </w:rPr>
        <w:t>These</w:t>
      </w:r>
      <w:r w:rsidR="00671A94" w:rsidRPr="007E5B02">
        <w:rPr>
          <w:rFonts w:ascii="Arial" w:eastAsia="Calibri" w:hAnsi="Arial" w:cs="Arial"/>
          <w:sz w:val="17"/>
          <w:szCs w:val="17"/>
          <w:lang w:val="en-AU"/>
        </w:rPr>
        <w:t xml:space="preserve"> land acquisition</w:t>
      </w:r>
      <w:r w:rsidRPr="007E5B02">
        <w:rPr>
          <w:rFonts w:ascii="Arial" w:eastAsia="Calibri" w:hAnsi="Arial" w:cs="Arial"/>
          <w:sz w:val="17"/>
          <w:szCs w:val="17"/>
          <w:lang w:val="en-AU"/>
        </w:rPr>
        <w:t xml:space="preserve"> offers are dependent on the actions of the landowners to either accept or reject the Corporation's offer. Offers to purchase made by the Corporation lapse if the landowner does not accept the offer. </w:t>
      </w:r>
    </w:p>
    <w:p w14:paraId="4A567EE0" w14:textId="129F04D4" w:rsidR="00C904D8" w:rsidRPr="007E5B02" w:rsidRDefault="00E23D6E" w:rsidP="00532079">
      <w:pPr>
        <w:pStyle w:val="ListParagraph"/>
        <w:numPr>
          <w:ilvl w:val="0"/>
          <w:numId w:val="9"/>
        </w:numPr>
        <w:ind w:left="363" w:hanging="357"/>
        <w:rPr>
          <w:rFonts w:ascii="Arial" w:eastAsia="Calibri" w:hAnsi="Arial" w:cs="Arial"/>
          <w:sz w:val="17"/>
          <w:szCs w:val="17"/>
          <w:lang w:val="en-AU"/>
        </w:rPr>
      </w:pPr>
      <w:r w:rsidRPr="00643ACA">
        <w:rPr>
          <w:rFonts w:ascii="Arial" w:hAnsi="Arial" w:cs="Arial"/>
          <w:sz w:val="17"/>
          <w:szCs w:val="17"/>
        </w:rPr>
        <w:t>Transport for NSW has several contractual disputes with an estimated contingent liability of $</w:t>
      </w:r>
      <w:r w:rsidR="00F32247">
        <w:rPr>
          <w:rFonts w:ascii="Arial" w:hAnsi="Arial" w:cs="Arial"/>
          <w:sz w:val="17"/>
          <w:szCs w:val="17"/>
        </w:rPr>
        <w:t>1,418</w:t>
      </w:r>
      <w:r w:rsidRPr="00643ACA">
        <w:rPr>
          <w:rFonts w:ascii="Arial" w:hAnsi="Arial" w:cs="Arial"/>
          <w:sz w:val="17"/>
          <w:szCs w:val="17"/>
        </w:rPr>
        <w:t xml:space="preserve"> million and an estimated $</w:t>
      </w:r>
      <w:r w:rsidR="00C05C61">
        <w:rPr>
          <w:rFonts w:ascii="Arial" w:hAnsi="Arial" w:cs="Arial"/>
          <w:sz w:val="17"/>
          <w:szCs w:val="17"/>
        </w:rPr>
        <w:t>162</w:t>
      </w:r>
      <w:r w:rsidRPr="00643ACA">
        <w:rPr>
          <w:rFonts w:ascii="Arial" w:hAnsi="Arial" w:cs="Arial"/>
          <w:sz w:val="17"/>
          <w:szCs w:val="17"/>
        </w:rPr>
        <w:t xml:space="preserve"> million contingent liabilities due to a number of compulsory property acquisition matters currently under litigation where claims differ from the Valuer General’s determined amount. </w:t>
      </w:r>
    </w:p>
    <w:p w14:paraId="465A769F" w14:textId="4808F5C5" w:rsidR="00173F98" w:rsidRDefault="59B5F6F3" w:rsidP="00532079">
      <w:pPr>
        <w:pStyle w:val="ListParagraph"/>
        <w:numPr>
          <w:ilvl w:val="0"/>
          <w:numId w:val="9"/>
        </w:numPr>
        <w:ind w:left="363" w:hanging="357"/>
        <w:rPr>
          <w:rFonts w:ascii="Arial" w:eastAsia="Calibri" w:hAnsi="Arial" w:cs="Arial"/>
          <w:sz w:val="17"/>
          <w:szCs w:val="17"/>
          <w:lang w:val="en-AU"/>
        </w:rPr>
      </w:pPr>
      <w:r w:rsidRPr="25DF26C8">
        <w:rPr>
          <w:rFonts w:ascii="Arial" w:eastAsia="Calibri" w:hAnsi="Arial" w:cs="Arial"/>
          <w:sz w:val="17"/>
          <w:szCs w:val="17"/>
          <w:lang w:val="en-AU"/>
        </w:rPr>
        <w:t>As at reporting date of 30 April 2021.</w:t>
      </w:r>
    </w:p>
    <w:p w14:paraId="1ABF25E2" w14:textId="5AE3D435" w:rsidR="00ED2931" w:rsidRPr="0020668B" w:rsidRDefault="17113478" w:rsidP="00ED2931">
      <w:pPr>
        <w:pStyle w:val="ListParagraph"/>
        <w:numPr>
          <w:ilvl w:val="0"/>
          <w:numId w:val="9"/>
        </w:numPr>
        <w:ind w:left="363" w:hanging="357"/>
        <w:rPr>
          <w:rFonts w:ascii="Arial" w:eastAsia="Calibri" w:hAnsi="Arial" w:cs="Arial"/>
          <w:sz w:val="17"/>
          <w:szCs w:val="17"/>
          <w:lang w:val="en-AU"/>
        </w:rPr>
      </w:pPr>
      <w:r w:rsidRPr="25DF26C8">
        <w:rPr>
          <w:rFonts w:ascii="Arial" w:eastAsia="Calibri" w:hAnsi="Arial" w:cs="Arial"/>
          <w:sz w:val="17"/>
          <w:szCs w:val="17"/>
          <w:lang w:val="en-AU"/>
        </w:rPr>
        <w:t>As at reporting date of 30 April 2022.</w:t>
      </w:r>
    </w:p>
    <w:p w14:paraId="76FDFB84" w14:textId="77777777" w:rsidR="008268CC" w:rsidRDefault="008268CC" w:rsidP="008268CC">
      <w:pPr>
        <w:rPr>
          <w:rFonts w:eastAsia="Calibri"/>
        </w:rPr>
      </w:pPr>
    </w:p>
    <w:p w14:paraId="555DE6EF" w14:textId="08ACA00D" w:rsidR="006A5F51" w:rsidRPr="005022A3" w:rsidRDefault="008268CC" w:rsidP="00504B38">
      <w:pPr>
        <w:spacing w:line="276" w:lineRule="auto"/>
        <w:rPr>
          <w:sz w:val="23"/>
          <w:szCs w:val="23"/>
        </w:rPr>
      </w:pPr>
      <w:r>
        <w:rPr>
          <w:rFonts w:eastAsia="Calibri"/>
          <w:sz w:val="17"/>
          <w:szCs w:val="17"/>
        </w:rPr>
        <w:br w:type="page"/>
      </w:r>
      <w:r w:rsidR="00DE1A1F" w:rsidRPr="005022A3">
        <w:rPr>
          <w:rFonts w:ascii="Arial" w:hAnsi="Arial" w:cs="Arial"/>
          <w:sz w:val="23"/>
          <w:szCs w:val="23"/>
        </w:rPr>
        <w:lastRenderedPageBreak/>
        <w:t xml:space="preserve">The State faces a </w:t>
      </w:r>
      <w:r w:rsidR="006A5F51" w:rsidRPr="005022A3">
        <w:rPr>
          <w:rFonts w:ascii="Arial" w:hAnsi="Arial" w:cs="Arial"/>
          <w:sz w:val="23"/>
          <w:szCs w:val="23"/>
        </w:rPr>
        <w:t xml:space="preserve">range </w:t>
      </w:r>
      <w:r w:rsidR="00DE1A1F" w:rsidRPr="005022A3">
        <w:rPr>
          <w:rFonts w:ascii="Arial" w:hAnsi="Arial" w:cs="Arial"/>
          <w:sz w:val="23"/>
          <w:szCs w:val="23"/>
        </w:rPr>
        <w:t>of potential obligations that are n</w:t>
      </w:r>
      <w:r w:rsidR="00E522E6" w:rsidRPr="005022A3">
        <w:rPr>
          <w:rFonts w:ascii="Arial" w:hAnsi="Arial" w:cs="Arial"/>
          <w:sz w:val="23"/>
          <w:szCs w:val="23"/>
        </w:rPr>
        <w:t>on-quantifiable</w:t>
      </w:r>
      <w:r w:rsidR="00486E3A" w:rsidRPr="005022A3">
        <w:rPr>
          <w:rFonts w:ascii="Arial" w:hAnsi="Arial" w:cs="Arial"/>
          <w:sz w:val="23"/>
          <w:szCs w:val="23"/>
        </w:rPr>
        <w:t xml:space="preserve">, which </w:t>
      </w:r>
      <w:r w:rsidR="000257A2" w:rsidRPr="005022A3">
        <w:rPr>
          <w:rFonts w:ascii="Arial" w:hAnsi="Arial" w:cs="Arial"/>
          <w:sz w:val="23"/>
          <w:szCs w:val="23"/>
        </w:rPr>
        <w:t>have been</w:t>
      </w:r>
      <w:r w:rsidR="00312103" w:rsidRPr="005022A3">
        <w:rPr>
          <w:rFonts w:ascii="Arial" w:hAnsi="Arial" w:cs="Arial"/>
          <w:sz w:val="23"/>
          <w:szCs w:val="23"/>
        </w:rPr>
        <w:t xml:space="preserve"> broadly grouped </w:t>
      </w:r>
      <w:r w:rsidR="0061777B" w:rsidRPr="005022A3">
        <w:rPr>
          <w:rFonts w:ascii="Arial" w:hAnsi="Arial" w:cs="Arial"/>
          <w:sz w:val="23"/>
          <w:szCs w:val="23"/>
        </w:rPr>
        <w:t xml:space="preserve">into </w:t>
      </w:r>
      <w:r w:rsidR="00312103" w:rsidRPr="005022A3">
        <w:rPr>
          <w:rFonts w:ascii="Arial" w:hAnsi="Arial" w:cs="Arial"/>
          <w:sz w:val="23"/>
          <w:szCs w:val="23"/>
        </w:rPr>
        <w:t>the following categories</w:t>
      </w:r>
      <w:r w:rsidR="006A5F51" w:rsidRPr="005022A3">
        <w:rPr>
          <w:rFonts w:ascii="Arial" w:hAnsi="Arial" w:cs="Arial"/>
          <w:sz w:val="23"/>
          <w:szCs w:val="23"/>
        </w:rPr>
        <w:t>:</w:t>
      </w:r>
    </w:p>
    <w:p w14:paraId="434EA995" w14:textId="2553E861" w:rsidR="006A5F51" w:rsidRPr="00F8656F" w:rsidRDefault="00312103" w:rsidP="00332D9D">
      <w:pPr>
        <w:pStyle w:val="Bullet1"/>
      </w:pPr>
      <w:r w:rsidRPr="00DA0FB9">
        <w:t>commercial transaction</w:t>
      </w:r>
      <w:r w:rsidR="00D946B2" w:rsidRPr="00BD7C52">
        <w:t>s</w:t>
      </w:r>
      <w:r w:rsidR="00FC7D1C">
        <w:t xml:space="preserve"> </w:t>
      </w:r>
    </w:p>
    <w:p w14:paraId="46462973" w14:textId="774BD254" w:rsidR="00504B38" w:rsidRPr="005022A3" w:rsidRDefault="0061777B" w:rsidP="00332D9D">
      <w:pPr>
        <w:pStyle w:val="Bullet1"/>
        <w:rPr>
          <w:rStyle w:val="BodyTextChar"/>
          <w:iCs/>
          <w:sz w:val="23"/>
        </w:rPr>
      </w:pPr>
      <w:r w:rsidRPr="00A75EE4">
        <w:t>other</w:t>
      </w:r>
      <w:r w:rsidR="00312103" w:rsidRPr="00A75EE4">
        <w:t xml:space="preserve"> contingent liabilities</w:t>
      </w:r>
      <w:r w:rsidRPr="00A75EE4">
        <w:t>.</w:t>
      </w:r>
    </w:p>
    <w:p w14:paraId="622F90E4" w14:textId="7E118D65" w:rsidR="009C2AF5" w:rsidRPr="00426BD4" w:rsidRDefault="0061777B" w:rsidP="001322EF">
      <w:pPr>
        <w:pStyle w:val="BodyText"/>
        <w:rPr>
          <w:rFonts w:eastAsiaTheme="minorEastAsia"/>
          <w:sz w:val="23"/>
          <w:szCs w:val="23"/>
        </w:rPr>
      </w:pPr>
      <w:r w:rsidRPr="005022A3">
        <w:rPr>
          <w:rStyle w:val="BodyTextChar"/>
          <w:sz w:val="23"/>
          <w:szCs w:val="23"/>
        </w:rPr>
        <w:t>As s</w:t>
      </w:r>
      <w:r w:rsidR="009A2F7E" w:rsidRPr="00A75EE4">
        <w:rPr>
          <w:sz w:val="23"/>
          <w:szCs w:val="23"/>
        </w:rPr>
        <w:t xml:space="preserve">et out in Table </w:t>
      </w:r>
      <w:r w:rsidR="00D94F56" w:rsidRPr="00A75EE4">
        <w:rPr>
          <w:sz w:val="23"/>
          <w:szCs w:val="23"/>
        </w:rPr>
        <w:t>C</w:t>
      </w:r>
      <w:r w:rsidR="009A2F7E" w:rsidRPr="00A75EE4">
        <w:rPr>
          <w:sz w:val="23"/>
          <w:szCs w:val="23"/>
        </w:rPr>
        <w:t>.</w:t>
      </w:r>
      <w:r w:rsidR="0092758E" w:rsidRPr="00A75EE4">
        <w:rPr>
          <w:sz w:val="23"/>
          <w:szCs w:val="23"/>
        </w:rPr>
        <w:t>4</w:t>
      </w:r>
      <w:r w:rsidR="006C781D" w:rsidRPr="00A75EE4">
        <w:rPr>
          <w:sz w:val="23"/>
          <w:szCs w:val="23"/>
        </w:rPr>
        <w:t>, t</w:t>
      </w:r>
      <w:r w:rsidR="00DD5E8F" w:rsidRPr="00A75EE4">
        <w:rPr>
          <w:sz w:val="23"/>
          <w:szCs w:val="23"/>
        </w:rPr>
        <w:t xml:space="preserve">he </w:t>
      </w:r>
      <w:r w:rsidR="0094385A" w:rsidRPr="00A75EE4">
        <w:rPr>
          <w:sz w:val="23"/>
          <w:szCs w:val="23"/>
        </w:rPr>
        <w:t>g</w:t>
      </w:r>
      <w:r w:rsidR="0047191C" w:rsidRPr="00A75EE4">
        <w:rPr>
          <w:sz w:val="23"/>
          <w:szCs w:val="23"/>
        </w:rPr>
        <w:t xml:space="preserve">eneral </w:t>
      </w:r>
      <w:r w:rsidR="0094385A" w:rsidRPr="00A75EE4">
        <w:rPr>
          <w:sz w:val="23"/>
          <w:szCs w:val="23"/>
        </w:rPr>
        <w:t>g</w:t>
      </w:r>
      <w:r w:rsidR="0047191C" w:rsidRPr="00A75EE4">
        <w:rPr>
          <w:sz w:val="23"/>
          <w:szCs w:val="23"/>
        </w:rPr>
        <w:t>overnment</w:t>
      </w:r>
      <w:r w:rsidR="00DD5E8F" w:rsidRPr="00A75EE4">
        <w:rPr>
          <w:sz w:val="23"/>
          <w:szCs w:val="23"/>
        </w:rPr>
        <w:t xml:space="preserve"> </w:t>
      </w:r>
      <w:r w:rsidR="00D45A1D" w:rsidRPr="00A75EE4">
        <w:rPr>
          <w:sz w:val="23"/>
          <w:szCs w:val="23"/>
        </w:rPr>
        <w:t>sector</w:t>
      </w:r>
      <w:r w:rsidR="00DD5E8F" w:rsidRPr="00A75EE4">
        <w:rPr>
          <w:sz w:val="23"/>
          <w:szCs w:val="23"/>
        </w:rPr>
        <w:t xml:space="preserve"> </w:t>
      </w:r>
      <w:r w:rsidR="2B5C1DE9" w:rsidRPr="00A75EE4">
        <w:rPr>
          <w:sz w:val="23"/>
          <w:szCs w:val="23"/>
        </w:rPr>
        <w:t>has</w:t>
      </w:r>
      <w:r w:rsidR="00DD5E8F" w:rsidRPr="00A75EE4">
        <w:rPr>
          <w:sz w:val="23"/>
          <w:szCs w:val="23"/>
        </w:rPr>
        <w:t xml:space="preserve"> non-quantifiable contingent liabilities relating to</w:t>
      </w:r>
      <w:r w:rsidR="006C781D" w:rsidRPr="00A75EE4">
        <w:rPr>
          <w:sz w:val="23"/>
          <w:szCs w:val="23"/>
        </w:rPr>
        <w:t xml:space="preserve"> </w:t>
      </w:r>
      <w:r w:rsidR="00DD5E8F" w:rsidRPr="00A75EE4">
        <w:rPr>
          <w:sz w:val="23"/>
          <w:szCs w:val="23"/>
        </w:rPr>
        <w:t>commercial transactions</w:t>
      </w:r>
      <w:r w:rsidRPr="00A75EE4">
        <w:rPr>
          <w:sz w:val="23"/>
          <w:szCs w:val="23"/>
        </w:rPr>
        <w:t xml:space="preserve">. </w:t>
      </w:r>
      <w:r w:rsidR="00312103" w:rsidRPr="00A75EE4">
        <w:rPr>
          <w:sz w:val="23"/>
          <w:szCs w:val="23"/>
        </w:rPr>
        <w:t xml:space="preserve">As an example, under several </w:t>
      </w:r>
      <w:r w:rsidR="00D96C41" w:rsidRPr="00A75EE4">
        <w:rPr>
          <w:sz w:val="23"/>
          <w:szCs w:val="23"/>
        </w:rPr>
        <w:t>energy transactions</w:t>
      </w:r>
      <w:r w:rsidR="00D3761B">
        <w:rPr>
          <w:sz w:val="23"/>
          <w:szCs w:val="23"/>
        </w:rPr>
        <w:t>,</w:t>
      </w:r>
      <w:r w:rsidR="00D96C41" w:rsidRPr="00A75EE4">
        <w:rPr>
          <w:sz w:val="23"/>
          <w:szCs w:val="23"/>
        </w:rPr>
        <w:t xml:space="preserve"> </w:t>
      </w:r>
      <w:r w:rsidR="007975E1" w:rsidRPr="00A75EE4">
        <w:rPr>
          <w:sz w:val="23"/>
          <w:szCs w:val="23"/>
        </w:rPr>
        <w:t xml:space="preserve">the </w:t>
      </w:r>
      <w:r w:rsidR="00A53DCF" w:rsidRPr="00A75EE4">
        <w:rPr>
          <w:sz w:val="23"/>
          <w:szCs w:val="23"/>
        </w:rPr>
        <w:t>G</w:t>
      </w:r>
      <w:r w:rsidR="00436377" w:rsidRPr="00A75EE4">
        <w:rPr>
          <w:sz w:val="23"/>
          <w:szCs w:val="23"/>
        </w:rPr>
        <w:t xml:space="preserve">overnment provided </w:t>
      </w:r>
      <w:r w:rsidR="00BB017F" w:rsidRPr="00A75EE4">
        <w:rPr>
          <w:sz w:val="23"/>
          <w:szCs w:val="23"/>
        </w:rPr>
        <w:t xml:space="preserve">limited </w:t>
      </w:r>
      <w:r w:rsidR="00436377" w:rsidRPr="00A75EE4">
        <w:rPr>
          <w:sz w:val="23"/>
          <w:szCs w:val="23"/>
        </w:rPr>
        <w:t>general warranties to purchasers and lessees</w:t>
      </w:r>
      <w:r w:rsidR="003025DC" w:rsidRPr="00A75EE4">
        <w:rPr>
          <w:sz w:val="23"/>
          <w:szCs w:val="23"/>
        </w:rPr>
        <w:t>.</w:t>
      </w:r>
      <w:r w:rsidR="00436377" w:rsidRPr="00A75EE4">
        <w:rPr>
          <w:sz w:val="23"/>
          <w:szCs w:val="23"/>
        </w:rPr>
        <w:t xml:space="preserve"> </w:t>
      </w:r>
      <w:r w:rsidR="004F7DD5" w:rsidRPr="00A75EE4">
        <w:rPr>
          <w:sz w:val="23"/>
          <w:szCs w:val="23"/>
        </w:rPr>
        <w:t xml:space="preserve">The </w:t>
      </w:r>
      <w:r w:rsidR="00436377" w:rsidRPr="00A75EE4">
        <w:rPr>
          <w:sz w:val="23"/>
          <w:szCs w:val="23"/>
        </w:rPr>
        <w:t xml:space="preserve">Government </w:t>
      </w:r>
      <w:r w:rsidR="00312103" w:rsidRPr="00A75EE4">
        <w:rPr>
          <w:sz w:val="23"/>
          <w:szCs w:val="23"/>
        </w:rPr>
        <w:t xml:space="preserve">has </w:t>
      </w:r>
      <w:r w:rsidR="00D96C41" w:rsidRPr="00A75EE4">
        <w:rPr>
          <w:sz w:val="23"/>
          <w:szCs w:val="23"/>
        </w:rPr>
        <w:t xml:space="preserve">also </w:t>
      </w:r>
      <w:r w:rsidR="0007123C" w:rsidRPr="00A75EE4">
        <w:rPr>
          <w:sz w:val="23"/>
          <w:szCs w:val="23"/>
        </w:rPr>
        <w:t xml:space="preserve">provided </w:t>
      </w:r>
      <w:r w:rsidR="0087324F" w:rsidRPr="00A75EE4">
        <w:rPr>
          <w:sz w:val="23"/>
          <w:szCs w:val="23"/>
        </w:rPr>
        <w:t>indemnities</w:t>
      </w:r>
      <w:r w:rsidR="0007123C" w:rsidRPr="00A75EE4">
        <w:rPr>
          <w:sz w:val="23"/>
          <w:szCs w:val="23"/>
        </w:rPr>
        <w:t xml:space="preserve"> </w:t>
      </w:r>
      <w:r w:rsidR="00BB017F" w:rsidRPr="00A75EE4">
        <w:rPr>
          <w:rFonts w:eastAsiaTheme="minorEastAsia"/>
          <w:sz w:val="23"/>
          <w:szCs w:val="23"/>
        </w:rPr>
        <w:t xml:space="preserve">for </w:t>
      </w:r>
      <w:r w:rsidR="00D96C41" w:rsidRPr="00A75EE4">
        <w:rPr>
          <w:rFonts w:eastAsiaTheme="minorEastAsia"/>
          <w:sz w:val="23"/>
          <w:szCs w:val="23"/>
        </w:rPr>
        <w:t xml:space="preserve">the </w:t>
      </w:r>
      <w:r w:rsidR="006C781D" w:rsidRPr="00A75EE4">
        <w:rPr>
          <w:rFonts w:eastAsiaTheme="minorEastAsia"/>
          <w:sz w:val="23"/>
          <w:szCs w:val="23"/>
        </w:rPr>
        <w:t xml:space="preserve">costs </w:t>
      </w:r>
      <w:r w:rsidR="006C781D" w:rsidRPr="00A75EE4">
        <w:rPr>
          <w:sz w:val="23"/>
          <w:szCs w:val="23"/>
        </w:rPr>
        <w:t xml:space="preserve">associated with </w:t>
      </w:r>
      <w:r w:rsidR="006C781D" w:rsidRPr="00A75EE4">
        <w:rPr>
          <w:rFonts w:eastAsiaTheme="minorEastAsia"/>
          <w:sz w:val="23"/>
          <w:szCs w:val="23"/>
        </w:rPr>
        <w:t>remediating pre</w:t>
      </w:r>
      <w:r w:rsidR="00C11695">
        <w:rPr>
          <w:rFonts w:eastAsiaTheme="minorEastAsia"/>
          <w:sz w:val="23"/>
          <w:szCs w:val="23"/>
        </w:rPr>
        <w:noBreakHyphen/>
      </w:r>
      <w:r w:rsidR="006C781D" w:rsidRPr="00A75EE4">
        <w:rPr>
          <w:rFonts w:eastAsiaTheme="minorEastAsia"/>
          <w:sz w:val="23"/>
          <w:szCs w:val="23"/>
        </w:rPr>
        <w:t xml:space="preserve">existing contamination at </w:t>
      </w:r>
      <w:r w:rsidR="00312103" w:rsidRPr="00A75EE4">
        <w:rPr>
          <w:rFonts w:eastAsiaTheme="minorEastAsia"/>
          <w:sz w:val="23"/>
          <w:szCs w:val="23"/>
        </w:rPr>
        <w:t xml:space="preserve">several </w:t>
      </w:r>
      <w:r w:rsidR="006C781D" w:rsidRPr="00A75EE4">
        <w:rPr>
          <w:rFonts w:eastAsiaTheme="minorEastAsia"/>
          <w:sz w:val="23"/>
          <w:szCs w:val="23"/>
        </w:rPr>
        <w:t>power station sites</w:t>
      </w:r>
      <w:r w:rsidR="00BB4B60" w:rsidRPr="00A75EE4">
        <w:rPr>
          <w:rFonts w:eastAsiaTheme="minorEastAsia"/>
          <w:sz w:val="23"/>
          <w:szCs w:val="23"/>
        </w:rPr>
        <w:t xml:space="preserve"> </w:t>
      </w:r>
      <w:r w:rsidR="00BA5213" w:rsidRPr="00A75EE4">
        <w:rPr>
          <w:rFonts w:eastAsiaTheme="minorEastAsia"/>
          <w:sz w:val="23"/>
          <w:szCs w:val="23"/>
        </w:rPr>
        <w:t xml:space="preserve">where required by an Environmental </w:t>
      </w:r>
      <w:r w:rsidR="00BA5213" w:rsidRPr="00426BD4">
        <w:rPr>
          <w:rFonts w:eastAsiaTheme="minorEastAsia"/>
          <w:sz w:val="23"/>
          <w:szCs w:val="23"/>
        </w:rPr>
        <w:t>Authority</w:t>
      </w:r>
      <w:r w:rsidR="006C781D" w:rsidRPr="00426BD4">
        <w:rPr>
          <w:rFonts w:eastAsiaTheme="minorEastAsia"/>
          <w:sz w:val="23"/>
          <w:szCs w:val="23"/>
        </w:rPr>
        <w:t xml:space="preserve">. </w:t>
      </w:r>
      <w:r w:rsidR="000552BA" w:rsidRPr="00426BD4">
        <w:rPr>
          <w:rFonts w:eastAsiaTheme="minorEastAsia"/>
          <w:sz w:val="23"/>
          <w:szCs w:val="23"/>
        </w:rPr>
        <w:t xml:space="preserve">The </w:t>
      </w:r>
      <w:r w:rsidR="00D946B2" w:rsidRPr="00426BD4">
        <w:rPr>
          <w:rFonts w:eastAsiaTheme="minorEastAsia"/>
          <w:sz w:val="23"/>
          <w:szCs w:val="23"/>
        </w:rPr>
        <w:t xml:space="preserve">annual </w:t>
      </w:r>
      <w:r w:rsidR="000552BA" w:rsidRPr="00426BD4">
        <w:rPr>
          <w:rFonts w:eastAsiaTheme="minorEastAsia"/>
          <w:i/>
          <w:sz w:val="23"/>
          <w:szCs w:val="23"/>
        </w:rPr>
        <w:t>Report on State Finances</w:t>
      </w:r>
      <w:r w:rsidR="00731DBF" w:rsidRPr="00426BD4">
        <w:rPr>
          <w:rFonts w:eastAsiaTheme="minorEastAsia"/>
          <w:sz w:val="23"/>
          <w:szCs w:val="23"/>
        </w:rPr>
        <w:t xml:space="preserve"> </w:t>
      </w:r>
      <w:r w:rsidR="00966459" w:rsidRPr="00426BD4">
        <w:rPr>
          <w:rFonts w:eastAsiaTheme="minorEastAsia"/>
          <w:sz w:val="23"/>
          <w:szCs w:val="23"/>
        </w:rPr>
        <w:t>contain</w:t>
      </w:r>
      <w:r w:rsidR="006D4B71" w:rsidRPr="00426BD4">
        <w:rPr>
          <w:rFonts w:eastAsiaTheme="minorEastAsia"/>
          <w:sz w:val="23"/>
          <w:szCs w:val="23"/>
        </w:rPr>
        <w:t>s</w:t>
      </w:r>
      <w:r w:rsidR="00966459" w:rsidRPr="00426BD4">
        <w:rPr>
          <w:rFonts w:eastAsiaTheme="minorEastAsia"/>
          <w:sz w:val="23"/>
          <w:szCs w:val="23"/>
        </w:rPr>
        <w:t xml:space="preserve"> other </w:t>
      </w:r>
      <w:r w:rsidR="003F5419" w:rsidRPr="00426BD4">
        <w:rPr>
          <w:rFonts w:eastAsiaTheme="minorEastAsia"/>
          <w:sz w:val="23"/>
          <w:szCs w:val="23"/>
        </w:rPr>
        <w:t>non</w:t>
      </w:r>
      <w:r w:rsidR="005C0133" w:rsidRPr="00426BD4">
        <w:rPr>
          <w:rFonts w:eastAsiaTheme="minorEastAsia"/>
          <w:sz w:val="23"/>
          <w:szCs w:val="23"/>
        </w:rPr>
        <w:t>-</w:t>
      </w:r>
      <w:r w:rsidR="00151DF4" w:rsidRPr="00426BD4">
        <w:rPr>
          <w:rFonts w:eastAsiaTheme="minorEastAsia"/>
          <w:sz w:val="23"/>
          <w:szCs w:val="23"/>
        </w:rPr>
        <w:t xml:space="preserve">quantifiable contingent liabilities that may not be </w:t>
      </w:r>
      <w:r w:rsidR="009A7660">
        <w:rPr>
          <w:rFonts w:eastAsiaTheme="minorEastAsia"/>
          <w:sz w:val="23"/>
          <w:szCs w:val="23"/>
        </w:rPr>
        <w:t>disclosed</w:t>
      </w:r>
      <w:r w:rsidR="00151DF4" w:rsidRPr="00426BD4">
        <w:rPr>
          <w:rFonts w:eastAsiaTheme="minorEastAsia"/>
          <w:sz w:val="23"/>
          <w:szCs w:val="23"/>
        </w:rPr>
        <w:t xml:space="preserve"> in the Budget</w:t>
      </w:r>
      <w:r w:rsidR="003F5419" w:rsidRPr="00426BD4">
        <w:rPr>
          <w:rFonts w:eastAsiaTheme="minorEastAsia"/>
          <w:sz w:val="23"/>
          <w:szCs w:val="23"/>
        </w:rPr>
        <w:t xml:space="preserve">. </w:t>
      </w:r>
    </w:p>
    <w:p w14:paraId="5E384FDE" w14:textId="6DB3DEBD" w:rsidR="00DD5E8F" w:rsidRPr="00426BD4" w:rsidRDefault="00591D48" w:rsidP="00460113">
      <w:pPr>
        <w:pStyle w:val="TableCX"/>
        <w:ind w:left="1304" w:hanging="1304"/>
        <w:rPr>
          <w:sz w:val="23"/>
          <w:szCs w:val="23"/>
        </w:rPr>
      </w:pPr>
      <w:r w:rsidRPr="00426BD4">
        <w:rPr>
          <w:sz w:val="23"/>
          <w:szCs w:val="23"/>
        </w:rPr>
        <w:t>Commercial t</w:t>
      </w:r>
      <w:r w:rsidR="00DD5E8F" w:rsidRPr="00426BD4">
        <w:rPr>
          <w:sz w:val="23"/>
          <w:szCs w:val="23"/>
        </w:rPr>
        <w:t>ransaction</w:t>
      </w:r>
      <w:r w:rsidR="00F45A10" w:rsidRPr="00426BD4">
        <w:rPr>
          <w:sz w:val="23"/>
          <w:szCs w:val="23"/>
        </w:rPr>
        <w:t>-</w:t>
      </w:r>
      <w:r w:rsidR="00DD5E8F" w:rsidRPr="00426BD4">
        <w:rPr>
          <w:sz w:val="23"/>
          <w:szCs w:val="23"/>
        </w:rPr>
        <w:t>related non-quantifiable contingent liabilities</w:t>
      </w:r>
    </w:p>
    <w:tbl>
      <w:tblPr>
        <w:tblStyle w:val="TableGrid0"/>
        <w:tblW w:w="9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C.4: Commercial transaction-related non-quantifiable contingent liabilities"/>
        <w:tblDescription w:val="Table C.4: Commercial transaction-related non-quantifiable contingent liabilities"/>
      </w:tblPr>
      <w:tblGrid>
        <w:gridCol w:w="4484"/>
        <w:gridCol w:w="5386"/>
      </w:tblGrid>
      <w:tr w:rsidR="00E6709D" w:rsidRPr="001E79C7" w14:paraId="2DF6CA20" w14:textId="77777777" w:rsidTr="2E00E5B6">
        <w:tc>
          <w:tcPr>
            <w:tcW w:w="4484" w:type="dxa"/>
            <w:shd w:val="clear" w:color="auto" w:fill="008EBA"/>
          </w:tcPr>
          <w:p w14:paraId="66D10FF8" w14:textId="7F4E752A" w:rsidR="00E6709D" w:rsidRPr="001E79C7" w:rsidRDefault="00AE7BA5" w:rsidP="00714259">
            <w:pPr>
              <w:spacing w:before="120" w:after="120"/>
              <w:rPr>
                <w:rFonts w:ascii="Arial" w:hAnsi="Arial" w:cs="Arial"/>
                <w:bCs/>
                <w:color w:val="FFFFFF" w:themeColor="background1"/>
                <w:sz w:val="18"/>
                <w:szCs w:val="18"/>
              </w:rPr>
            </w:pPr>
            <w:r w:rsidRPr="001E79C7">
              <w:rPr>
                <w:rFonts w:ascii="Arial" w:hAnsi="Arial" w:cs="Arial"/>
                <w:bCs/>
                <w:color w:val="FFFFFF" w:themeColor="background1"/>
                <w:sz w:val="18"/>
                <w:szCs w:val="18"/>
              </w:rPr>
              <w:t>Transaction</w:t>
            </w:r>
            <w:r w:rsidR="00604A66" w:rsidRPr="001E79C7">
              <w:rPr>
                <w:rFonts w:ascii="Arial" w:hAnsi="Arial" w:cs="Arial"/>
                <w:bCs/>
                <w:color w:val="FFFFFF" w:themeColor="background1"/>
                <w:sz w:val="18"/>
                <w:szCs w:val="18"/>
              </w:rPr>
              <w:t>s</w:t>
            </w:r>
          </w:p>
        </w:tc>
        <w:tc>
          <w:tcPr>
            <w:tcW w:w="5386" w:type="dxa"/>
            <w:shd w:val="clear" w:color="auto" w:fill="008EBA"/>
          </w:tcPr>
          <w:p w14:paraId="7D5E83E4" w14:textId="03537959" w:rsidR="00E6709D" w:rsidRPr="001E79C7" w:rsidRDefault="00DD5E8F" w:rsidP="00714259">
            <w:pPr>
              <w:spacing w:before="120" w:after="120"/>
              <w:rPr>
                <w:rFonts w:ascii="Arial" w:hAnsi="Arial" w:cs="Arial"/>
                <w:bCs/>
                <w:color w:val="FFFFFF" w:themeColor="background1"/>
                <w:sz w:val="18"/>
                <w:szCs w:val="18"/>
              </w:rPr>
            </w:pPr>
            <w:r w:rsidRPr="001E79C7">
              <w:rPr>
                <w:rFonts w:ascii="Arial" w:hAnsi="Arial" w:cs="Arial"/>
                <w:bCs/>
                <w:color w:val="FFFFFF" w:themeColor="background1"/>
                <w:sz w:val="18"/>
                <w:szCs w:val="18"/>
              </w:rPr>
              <w:t>Nature of the c</w:t>
            </w:r>
            <w:r w:rsidR="00E6709D" w:rsidRPr="001E79C7">
              <w:rPr>
                <w:rFonts w:ascii="Arial" w:hAnsi="Arial" w:cs="Arial"/>
                <w:bCs/>
                <w:color w:val="FFFFFF" w:themeColor="background1"/>
                <w:sz w:val="18"/>
                <w:szCs w:val="18"/>
              </w:rPr>
              <w:t>ontingent liabilit</w:t>
            </w:r>
            <w:r w:rsidR="000B3F48" w:rsidRPr="001E79C7">
              <w:rPr>
                <w:rFonts w:ascii="Arial" w:hAnsi="Arial" w:cs="Arial"/>
                <w:bCs/>
                <w:color w:val="FFFFFF" w:themeColor="background1"/>
                <w:sz w:val="18"/>
                <w:szCs w:val="18"/>
              </w:rPr>
              <w:t>ie</w:t>
            </w:r>
            <w:r w:rsidR="00604A66" w:rsidRPr="001E79C7">
              <w:rPr>
                <w:rFonts w:ascii="Arial" w:hAnsi="Arial" w:cs="Arial"/>
                <w:bCs/>
                <w:color w:val="FFFFFF" w:themeColor="background1"/>
                <w:sz w:val="18"/>
                <w:szCs w:val="18"/>
              </w:rPr>
              <w:t>s</w:t>
            </w:r>
          </w:p>
        </w:tc>
      </w:tr>
      <w:tr w:rsidR="00E6709D" w:rsidRPr="001E79C7" w14:paraId="4306DB06" w14:textId="77777777" w:rsidTr="2E00E5B6">
        <w:trPr>
          <w:trHeight w:val="1813"/>
        </w:trPr>
        <w:tc>
          <w:tcPr>
            <w:tcW w:w="4484" w:type="dxa"/>
            <w:tcBorders>
              <w:bottom w:val="single" w:sz="4" w:space="0" w:color="A6A6A6" w:themeColor="background1" w:themeShade="A6"/>
            </w:tcBorders>
          </w:tcPr>
          <w:p w14:paraId="0B825939" w14:textId="7E06EF83" w:rsidR="00E6709D" w:rsidRPr="001E79C7" w:rsidRDefault="002F58E2" w:rsidP="008F3117">
            <w:pPr>
              <w:spacing w:before="80" w:after="80"/>
              <w:rPr>
                <w:rFonts w:ascii="Arial" w:hAnsi="Arial" w:cs="Arial"/>
                <w:sz w:val="18"/>
                <w:szCs w:val="18"/>
              </w:rPr>
            </w:pPr>
            <w:r w:rsidRPr="001E79C7">
              <w:rPr>
                <w:rFonts w:ascii="Arial" w:hAnsi="Arial" w:cs="Arial"/>
                <w:sz w:val="18"/>
                <w:szCs w:val="18"/>
              </w:rPr>
              <w:t>Transactions related to</w:t>
            </w:r>
            <w:r w:rsidR="005D5DF9" w:rsidRPr="001E79C7">
              <w:rPr>
                <w:rFonts w:ascii="Arial" w:hAnsi="Arial" w:cs="Arial"/>
                <w:sz w:val="18"/>
                <w:szCs w:val="18"/>
              </w:rPr>
              <w:t xml:space="preserve"> </w:t>
            </w:r>
            <w:r w:rsidR="00E6709D" w:rsidRPr="001E79C7">
              <w:rPr>
                <w:rFonts w:ascii="Arial" w:hAnsi="Arial" w:cs="Arial"/>
                <w:sz w:val="18"/>
                <w:szCs w:val="18"/>
              </w:rPr>
              <w:t>Delta Electricity’s Western Assets</w:t>
            </w:r>
            <w:r w:rsidRPr="001E79C7">
              <w:rPr>
                <w:rFonts w:ascii="Arial" w:hAnsi="Arial" w:cs="Arial"/>
                <w:sz w:val="18"/>
                <w:szCs w:val="18"/>
              </w:rPr>
              <w:t>,</w:t>
            </w:r>
            <w:r w:rsidR="00D27DAF" w:rsidRPr="001E79C7">
              <w:rPr>
                <w:rFonts w:ascii="Arial" w:hAnsi="Arial" w:cs="Arial"/>
                <w:sz w:val="18"/>
                <w:szCs w:val="18"/>
              </w:rPr>
              <w:t xml:space="preserve"> </w:t>
            </w:r>
            <w:proofErr w:type="spellStart"/>
            <w:r w:rsidR="00E6709D" w:rsidRPr="001E79C7">
              <w:rPr>
                <w:rFonts w:ascii="Arial" w:hAnsi="Arial" w:cs="Arial"/>
                <w:sz w:val="18"/>
                <w:szCs w:val="18"/>
              </w:rPr>
              <w:t>Eraring</w:t>
            </w:r>
            <w:proofErr w:type="spellEnd"/>
            <w:r w:rsidR="00E6709D" w:rsidRPr="001E79C7">
              <w:rPr>
                <w:rFonts w:ascii="Arial" w:hAnsi="Arial" w:cs="Arial"/>
                <w:sz w:val="18"/>
                <w:szCs w:val="18"/>
              </w:rPr>
              <w:t xml:space="preserve"> Energy</w:t>
            </w:r>
            <w:r w:rsidRPr="001E79C7">
              <w:rPr>
                <w:rFonts w:ascii="Arial" w:hAnsi="Arial" w:cs="Arial"/>
                <w:sz w:val="18"/>
                <w:szCs w:val="18"/>
              </w:rPr>
              <w:t xml:space="preserve">, </w:t>
            </w:r>
            <w:r w:rsidR="00E6709D" w:rsidRPr="001E79C7">
              <w:rPr>
                <w:rFonts w:ascii="Arial" w:hAnsi="Arial" w:cs="Arial"/>
                <w:sz w:val="18"/>
                <w:szCs w:val="18"/>
              </w:rPr>
              <w:t>Vales Point Power Station</w:t>
            </w:r>
            <w:r w:rsidRPr="001E79C7">
              <w:rPr>
                <w:rFonts w:ascii="Arial" w:hAnsi="Arial" w:cs="Arial"/>
                <w:sz w:val="18"/>
                <w:szCs w:val="18"/>
              </w:rPr>
              <w:t xml:space="preserve">, </w:t>
            </w:r>
            <w:proofErr w:type="spellStart"/>
            <w:r w:rsidRPr="001E79C7">
              <w:rPr>
                <w:rFonts w:ascii="Arial" w:hAnsi="Arial" w:cs="Arial"/>
                <w:sz w:val="18"/>
                <w:szCs w:val="18"/>
              </w:rPr>
              <w:t>Colongra</w:t>
            </w:r>
            <w:proofErr w:type="spellEnd"/>
            <w:r w:rsidRPr="001E79C7">
              <w:rPr>
                <w:rFonts w:ascii="Arial" w:hAnsi="Arial" w:cs="Arial"/>
                <w:sz w:val="18"/>
                <w:szCs w:val="18"/>
              </w:rPr>
              <w:t xml:space="preserve"> Power Station</w:t>
            </w:r>
            <w:r w:rsidR="00994A0E" w:rsidRPr="001E79C7">
              <w:rPr>
                <w:rFonts w:ascii="Arial" w:hAnsi="Arial" w:cs="Arial"/>
                <w:sz w:val="18"/>
                <w:szCs w:val="18"/>
              </w:rPr>
              <w:t xml:space="preserve"> </w:t>
            </w:r>
            <w:r w:rsidR="00DC52DD" w:rsidRPr="001E79C7">
              <w:rPr>
                <w:rFonts w:ascii="Arial" w:hAnsi="Arial" w:cs="Arial"/>
                <w:sz w:val="18"/>
                <w:szCs w:val="18"/>
              </w:rPr>
              <w:t>and</w:t>
            </w:r>
            <w:r w:rsidR="00BB017F" w:rsidRPr="001E79C7">
              <w:rPr>
                <w:rFonts w:ascii="Arial" w:hAnsi="Arial" w:cs="Arial"/>
                <w:sz w:val="18"/>
                <w:szCs w:val="18"/>
              </w:rPr>
              <w:t xml:space="preserve"> </w:t>
            </w:r>
            <w:r w:rsidR="00E6709D" w:rsidRPr="001E79C7">
              <w:rPr>
                <w:rFonts w:ascii="Arial" w:hAnsi="Arial" w:cs="Arial"/>
                <w:sz w:val="18"/>
                <w:szCs w:val="18"/>
              </w:rPr>
              <w:t>Macquarie Generation</w:t>
            </w:r>
            <w:r w:rsidR="00994A0E" w:rsidRPr="001E79C7">
              <w:rPr>
                <w:rFonts w:ascii="Arial" w:hAnsi="Arial" w:cs="Arial"/>
                <w:sz w:val="18"/>
                <w:szCs w:val="18"/>
              </w:rPr>
              <w:t xml:space="preserve"> </w:t>
            </w:r>
          </w:p>
        </w:tc>
        <w:tc>
          <w:tcPr>
            <w:tcW w:w="5386" w:type="dxa"/>
            <w:tcBorders>
              <w:bottom w:val="single" w:sz="4" w:space="0" w:color="A6A6A6" w:themeColor="background1" w:themeShade="A6"/>
            </w:tcBorders>
          </w:tcPr>
          <w:p w14:paraId="4D51D105" w14:textId="36513757" w:rsidR="009E1C5D" w:rsidRPr="001E051E" w:rsidRDefault="009E1C5D" w:rsidP="001E051E">
            <w:pPr>
              <w:spacing w:before="80" w:after="80"/>
              <w:rPr>
                <w:rFonts w:ascii="Arial" w:eastAsiaTheme="minorHAnsi" w:hAnsi="Arial" w:cs="Arial"/>
                <w:sz w:val="18"/>
                <w:szCs w:val="18"/>
              </w:rPr>
            </w:pPr>
            <w:r w:rsidRPr="001E051E">
              <w:rPr>
                <w:rFonts w:ascii="Arial" w:eastAsiaTheme="minorHAnsi" w:hAnsi="Arial" w:cs="Arial"/>
                <w:sz w:val="18"/>
                <w:szCs w:val="18"/>
              </w:rPr>
              <w:t>Various contingent liabilities, including:</w:t>
            </w:r>
          </w:p>
          <w:p w14:paraId="361F9F65" w14:textId="2C08B133" w:rsidR="00D27DAF" w:rsidRPr="001E79C7" w:rsidRDefault="00371E5E" w:rsidP="00AC06A9">
            <w:pPr>
              <w:pStyle w:val="ListParagraph"/>
              <w:numPr>
                <w:ilvl w:val="0"/>
                <w:numId w:val="3"/>
              </w:numPr>
              <w:spacing w:before="80" w:after="80"/>
              <w:ind w:left="228" w:hanging="228"/>
              <w:contextualSpacing w:val="0"/>
              <w:rPr>
                <w:rFonts w:ascii="Arial" w:hAnsi="Arial" w:cs="Arial"/>
                <w:sz w:val="18"/>
                <w:szCs w:val="18"/>
              </w:rPr>
            </w:pPr>
            <w:r w:rsidRPr="001E79C7">
              <w:rPr>
                <w:rFonts w:ascii="Arial" w:hAnsi="Arial" w:cs="Arial"/>
                <w:sz w:val="18"/>
                <w:szCs w:val="18"/>
              </w:rPr>
              <w:t>p</w:t>
            </w:r>
            <w:r w:rsidR="00E6709D" w:rsidRPr="001E79C7">
              <w:rPr>
                <w:rFonts w:ascii="Arial" w:hAnsi="Arial" w:cs="Arial"/>
                <w:sz w:val="18"/>
                <w:szCs w:val="18"/>
              </w:rPr>
              <w:t>re-completion contamination</w:t>
            </w:r>
            <w:r w:rsidR="00DC52DD" w:rsidRPr="001E79C7">
              <w:rPr>
                <w:rFonts w:ascii="Arial" w:hAnsi="Arial" w:cs="Arial"/>
                <w:sz w:val="18"/>
                <w:szCs w:val="18"/>
              </w:rPr>
              <w:t xml:space="preserve"> and land remediation </w:t>
            </w:r>
            <w:r w:rsidR="00E6709D" w:rsidRPr="001E79C7">
              <w:rPr>
                <w:rFonts w:ascii="Arial" w:hAnsi="Arial" w:cs="Arial"/>
                <w:sz w:val="18"/>
                <w:szCs w:val="18"/>
              </w:rPr>
              <w:t>liability</w:t>
            </w:r>
          </w:p>
          <w:p w14:paraId="29D4CB34" w14:textId="6184BD48" w:rsidR="00D27DAF" w:rsidRPr="001E79C7" w:rsidRDefault="00371E5E" w:rsidP="001E051E">
            <w:pPr>
              <w:pStyle w:val="ListParagraph"/>
              <w:numPr>
                <w:ilvl w:val="0"/>
                <w:numId w:val="3"/>
              </w:numPr>
              <w:spacing w:before="80" w:after="80"/>
              <w:ind w:left="228" w:hanging="228"/>
              <w:contextualSpacing w:val="0"/>
              <w:rPr>
                <w:rFonts w:ascii="Arial" w:hAnsi="Arial" w:cs="Arial"/>
                <w:sz w:val="18"/>
                <w:szCs w:val="18"/>
              </w:rPr>
            </w:pPr>
            <w:r w:rsidRPr="001E79C7">
              <w:rPr>
                <w:rFonts w:ascii="Arial" w:hAnsi="Arial" w:cs="Arial"/>
                <w:sz w:val="18"/>
                <w:szCs w:val="18"/>
              </w:rPr>
              <w:t>g</w:t>
            </w:r>
            <w:r w:rsidR="00E6709D" w:rsidRPr="001E79C7">
              <w:rPr>
                <w:rFonts w:ascii="Arial" w:hAnsi="Arial" w:cs="Arial"/>
                <w:sz w:val="18"/>
                <w:szCs w:val="18"/>
              </w:rPr>
              <w:t xml:space="preserve">eneral </w:t>
            </w:r>
            <w:r w:rsidR="00C00F37" w:rsidRPr="001E79C7">
              <w:rPr>
                <w:rFonts w:ascii="Arial" w:hAnsi="Arial" w:cs="Arial"/>
                <w:sz w:val="18"/>
                <w:szCs w:val="18"/>
              </w:rPr>
              <w:t>w</w:t>
            </w:r>
            <w:r w:rsidR="00E6709D" w:rsidRPr="001E79C7">
              <w:rPr>
                <w:rFonts w:ascii="Arial" w:hAnsi="Arial" w:cs="Arial"/>
                <w:sz w:val="18"/>
                <w:szCs w:val="18"/>
              </w:rPr>
              <w:t>arranties</w:t>
            </w:r>
          </w:p>
          <w:p w14:paraId="0064E0EC" w14:textId="08143A16" w:rsidR="00D27DAF" w:rsidRPr="001E79C7" w:rsidRDefault="00371E5E" w:rsidP="00AC06A9">
            <w:pPr>
              <w:pStyle w:val="ListParagraph"/>
              <w:numPr>
                <w:ilvl w:val="0"/>
                <w:numId w:val="3"/>
              </w:numPr>
              <w:spacing w:before="80" w:after="80"/>
              <w:ind w:left="228" w:hanging="228"/>
              <w:contextualSpacing w:val="0"/>
              <w:rPr>
                <w:rFonts w:ascii="Arial" w:hAnsi="Arial" w:cs="Arial"/>
                <w:sz w:val="18"/>
                <w:szCs w:val="18"/>
              </w:rPr>
            </w:pPr>
            <w:r w:rsidRPr="001E79C7">
              <w:rPr>
                <w:rFonts w:ascii="Arial" w:hAnsi="Arial" w:cs="Arial"/>
                <w:sz w:val="18"/>
                <w:szCs w:val="18"/>
              </w:rPr>
              <w:t>c</w:t>
            </w:r>
            <w:r w:rsidR="00E6709D" w:rsidRPr="001E79C7">
              <w:rPr>
                <w:rFonts w:ascii="Arial" w:hAnsi="Arial" w:cs="Arial"/>
                <w:sz w:val="18"/>
                <w:szCs w:val="18"/>
              </w:rPr>
              <w:t>oal haul road liability</w:t>
            </w:r>
          </w:p>
          <w:p w14:paraId="70AACBC1" w14:textId="3C5E5397" w:rsidR="00D27DAF" w:rsidRPr="001E79C7" w:rsidRDefault="00C00F37" w:rsidP="00AC06A9">
            <w:pPr>
              <w:pStyle w:val="ListParagraph"/>
              <w:numPr>
                <w:ilvl w:val="0"/>
                <w:numId w:val="3"/>
              </w:numPr>
              <w:spacing w:before="80" w:after="80"/>
              <w:ind w:left="228" w:hanging="228"/>
              <w:contextualSpacing w:val="0"/>
              <w:rPr>
                <w:rFonts w:ascii="Arial" w:hAnsi="Arial" w:cs="Arial"/>
                <w:sz w:val="18"/>
                <w:szCs w:val="18"/>
              </w:rPr>
            </w:pPr>
            <w:r w:rsidRPr="001E79C7">
              <w:rPr>
                <w:rFonts w:ascii="Arial" w:hAnsi="Arial" w:cs="Arial"/>
                <w:sz w:val="18"/>
                <w:szCs w:val="18"/>
              </w:rPr>
              <w:t>a</w:t>
            </w:r>
            <w:r w:rsidR="00E6709D" w:rsidRPr="001E79C7">
              <w:rPr>
                <w:rFonts w:ascii="Arial" w:hAnsi="Arial" w:cs="Arial"/>
                <w:sz w:val="18"/>
                <w:szCs w:val="18"/>
              </w:rPr>
              <w:t>sh dam liability</w:t>
            </w:r>
          </w:p>
          <w:p w14:paraId="7CB12930" w14:textId="769790D9" w:rsidR="00D27DAF" w:rsidRPr="001E79C7" w:rsidRDefault="00084117" w:rsidP="00AC06A9">
            <w:pPr>
              <w:pStyle w:val="ListParagraph"/>
              <w:numPr>
                <w:ilvl w:val="0"/>
                <w:numId w:val="3"/>
              </w:numPr>
              <w:spacing w:before="80" w:after="80"/>
              <w:ind w:left="228" w:hanging="228"/>
              <w:contextualSpacing w:val="0"/>
              <w:rPr>
                <w:rFonts w:ascii="Arial" w:hAnsi="Arial" w:cs="Arial"/>
                <w:sz w:val="18"/>
                <w:szCs w:val="18"/>
              </w:rPr>
            </w:pPr>
            <w:r w:rsidRPr="001E79C7">
              <w:rPr>
                <w:rFonts w:ascii="Arial" w:hAnsi="Arial" w:cs="Arial"/>
                <w:sz w:val="18"/>
                <w:szCs w:val="18"/>
              </w:rPr>
              <w:t>w</w:t>
            </w:r>
            <w:r w:rsidR="00DC52DD" w:rsidRPr="001E79C7">
              <w:rPr>
                <w:rFonts w:ascii="Arial" w:hAnsi="Arial" w:cs="Arial"/>
                <w:sz w:val="18"/>
                <w:szCs w:val="18"/>
              </w:rPr>
              <w:t xml:space="preserve">here </w:t>
            </w:r>
            <w:r w:rsidR="00D3384E" w:rsidRPr="001E79C7">
              <w:rPr>
                <w:rFonts w:ascii="Arial" w:hAnsi="Arial" w:cs="Arial"/>
                <w:sz w:val="18"/>
                <w:szCs w:val="18"/>
              </w:rPr>
              <w:t xml:space="preserve">the land is returned to the State </w:t>
            </w:r>
            <w:r w:rsidR="005A10F4" w:rsidRPr="001E79C7">
              <w:rPr>
                <w:rFonts w:ascii="Arial" w:hAnsi="Arial" w:cs="Arial"/>
                <w:sz w:val="18"/>
                <w:szCs w:val="18"/>
              </w:rPr>
              <w:t xml:space="preserve">by the exercise of </w:t>
            </w:r>
            <w:r w:rsidR="00DC52DD" w:rsidRPr="001E79C7">
              <w:rPr>
                <w:rFonts w:ascii="Arial" w:hAnsi="Arial" w:cs="Arial"/>
                <w:sz w:val="18"/>
                <w:szCs w:val="18"/>
              </w:rPr>
              <w:t xml:space="preserve">an option </w:t>
            </w:r>
            <w:r w:rsidR="000278EE" w:rsidRPr="001E79C7">
              <w:rPr>
                <w:rFonts w:ascii="Arial" w:hAnsi="Arial" w:cs="Arial"/>
                <w:sz w:val="18"/>
                <w:szCs w:val="18"/>
              </w:rPr>
              <w:t xml:space="preserve">under </w:t>
            </w:r>
            <w:r w:rsidR="00DC52DD" w:rsidRPr="001E79C7">
              <w:rPr>
                <w:rFonts w:ascii="Arial" w:hAnsi="Arial" w:cs="Arial"/>
                <w:sz w:val="18"/>
                <w:szCs w:val="18"/>
              </w:rPr>
              <w:t>the hand</w:t>
            </w:r>
            <w:r w:rsidR="00280CD3" w:rsidRPr="001E79C7">
              <w:rPr>
                <w:rFonts w:ascii="Arial" w:hAnsi="Arial" w:cs="Arial"/>
                <w:sz w:val="18"/>
                <w:szCs w:val="18"/>
              </w:rPr>
              <w:t>-</w:t>
            </w:r>
            <w:r w:rsidR="00DC52DD" w:rsidRPr="001E79C7">
              <w:rPr>
                <w:rFonts w:ascii="Arial" w:hAnsi="Arial" w:cs="Arial"/>
                <w:sz w:val="18"/>
                <w:szCs w:val="18"/>
              </w:rPr>
              <w:t>back deed, r</w:t>
            </w:r>
            <w:r w:rsidR="002F58E2" w:rsidRPr="001E79C7">
              <w:rPr>
                <w:rFonts w:ascii="Arial" w:hAnsi="Arial" w:cs="Arial"/>
                <w:sz w:val="18"/>
                <w:szCs w:val="18"/>
              </w:rPr>
              <w:t>emediation of Vales Point and Site Land</w:t>
            </w:r>
          </w:p>
          <w:p w14:paraId="3BF43520" w14:textId="3B50E835" w:rsidR="00D27DAF" w:rsidRPr="001E79C7" w:rsidRDefault="00E22358" w:rsidP="00AC06A9">
            <w:pPr>
              <w:pStyle w:val="ListParagraph"/>
              <w:numPr>
                <w:ilvl w:val="0"/>
                <w:numId w:val="3"/>
              </w:numPr>
              <w:spacing w:before="80" w:after="80"/>
              <w:ind w:left="228" w:hanging="228"/>
              <w:contextualSpacing w:val="0"/>
              <w:rPr>
                <w:rFonts w:ascii="Arial" w:hAnsi="Arial" w:cs="Arial"/>
                <w:sz w:val="18"/>
                <w:szCs w:val="18"/>
              </w:rPr>
            </w:pPr>
            <w:r w:rsidRPr="001E79C7">
              <w:rPr>
                <w:rFonts w:ascii="Arial" w:hAnsi="Arial" w:cs="Arial"/>
                <w:sz w:val="18"/>
                <w:szCs w:val="18"/>
              </w:rPr>
              <w:t>Barnard River Scheme native title indemnity</w:t>
            </w:r>
          </w:p>
          <w:p w14:paraId="22A585B3" w14:textId="7075FB26" w:rsidR="00262F32" w:rsidRPr="001E79C7" w:rsidRDefault="00E22358" w:rsidP="00AC06A9">
            <w:pPr>
              <w:pStyle w:val="ListParagraph"/>
              <w:numPr>
                <w:ilvl w:val="0"/>
                <w:numId w:val="3"/>
              </w:numPr>
              <w:spacing w:before="80" w:after="80"/>
              <w:ind w:left="228" w:hanging="228"/>
              <w:contextualSpacing w:val="0"/>
              <w:rPr>
                <w:rFonts w:ascii="Arial" w:hAnsi="Arial" w:cs="Arial"/>
                <w:sz w:val="18"/>
                <w:szCs w:val="18"/>
              </w:rPr>
            </w:pPr>
            <w:r w:rsidRPr="001E79C7">
              <w:rPr>
                <w:rFonts w:ascii="Arial" w:hAnsi="Arial" w:cs="Arial"/>
                <w:sz w:val="18"/>
                <w:szCs w:val="18"/>
              </w:rPr>
              <w:t xml:space="preserve">Deed of </w:t>
            </w:r>
            <w:r w:rsidR="00D929F3" w:rsidRPr="001E79C7">
              <w:rPr>
                <w:rFonts w:ascii="Arial" w:hAnsi="Arial" w:cs="Arial"/>
                <w:sz w:val="18"/>
                <w:szCs w:val="18"/>
              </w:rPr>
              <w:t>I</w:t>
            </w:r>
            <w:r w:rsidRPr="001E79C7">
              <w:rPr>
                <w:rFonts w:ascii="Arial" w:hAnsi="Arial" w:cs="Arial"/>
                <w:sz w:val="18"/>
                <w:szCs w:val="18"/>
              </w:rPr>
              <w:t xml:space="preserve">ndemnity for </w:t>
            </w:r>
            <w:r w:rsidR="004F7DD5" w:rsidRPr="001E79C7">
              <w:rPr>
                <w:rFonts w:ascii="Arial" w:hAnsi="Arial" w:cs="Arial"/>
                <w:sz w:val="18"/>
                <w:szCs w:val="18"/>
              </w:rPr>
              <w:t>d</w:t>
            </w:r>
            <w:r w:rsidRPr="001E79C7">
              <w:rPr>
                <w:rFonts w:ascii="Arial" w:hAnsi="Arial" w:cs="Arial"/>
                <w:sz w:val="18"/>
                <w:szCs w:val="18"/>
              </w:rPr>
              <w:t>irectors and senior managemen</w:t>
            </w:r>
            <w:r w:rsidR="00262F32" w:rsidRPr="001E79C7">
              <w:rPr>
                <w:rFonts w:ascii="Arial" w:hAnsi="Arial" w:cs="Arial"/>
                <w:sz w:val="18"/>
                <w:szCs w:val="18"/>
              </w:rPr>
              <w:t>t</w:t>
            </w:r>
            <w:r w:rsidR="009F7C17" w:rsidRPr="001E79C7">
              <w:rPr>
                <w:rFonts w:ascii="Arial" w:hAnsi="Arial" w:cs="Arial"/>
                <w:sz w:val="18"/>
                <w:szCs w:val="18"/>
              </w:rPr>
              <w:t>.</w:t>
            </w:r>
          </w:p>
        </w:tc>
      </w:tr>
      <w:tr w:rsidR="002F58E2" w:rsidRPr="001E79C7" w14:paraId="47C1063F" w14:textId="77777777" w:rsidTr="2E00E5B6">
        <w:trPr>
          <w:trHeight w:val="385"/>
        </w:trPr>
        <w:tc>
          <w:tcPr>
            <w:tcW w:w="4484" w:type="dxa"/>
            <w:tcBorders>
              <w:top w:val="single" w:sz="4" w:space="0" w:color="A6A6A6" w:themeColor="background1" w:themeShade="A6"/>
              <w:bottom w:val="single" w:sz="4" w:space="0" w:color="A6A6A6" w:themeColor="background1" w:themeShade="A6"/>
            </w:tcBorders>
          </w:tcPr>
          <w:p w14:paraId="42328635" w14:textId="69A0FAFA" w:rsidR="002F58E2" w:rsidRPr="001E79C7" w:rsidRDefault="00E22358" w:rsidP="00A9673C">
            <w:pPr>
              <w:spacing w:before="80" w:after="80"/>
              <w:rPr>
                <w:rFonts w:ascii="Arial" w:hAnsi="Arial" w:cs="Arial"/>
                <w:sz w:val="18"/>
                <w:szCs w:val="18"/>
              </w:rPr>
            </w:pPr>
            <w:bookmarkStart w:id="2" w:name="_Hlk515364338"/>
            <w:r w:rsidRPr="001E79C7">
              <w:rPr>
                <w:rFonts w:ascii="Arial" w:hAnsi="Arial" w:cs="Arial"/>
                <w:sz w:val="18"/>
                <w:szCs w:val="18"/>
              </w:rPr>
              <w:t xml:space="preserve">Transactions related to </w:t>
            </w:r>
            <w:r w:rsidR="00C932D1" w:rsidRPr="001E79C7">
              <w:rPr>
                <w:rFonts w:ascii="Arial" w:hAnsi="Arial" w:cs="Arial"/>
                <w:sz w:val="18"/>
                <w:szCs w:val="18"/>
              </w:rPr>
              <w:t xml:space="preserve">facilities at Port </w:t>
            </w:r>
            <w:r w:rsidRPr="001E79C7">
              <w:rPr>
                <w:rFonts w:ascii="Arial" w:hAnsi="Arial" w:cs="Arial"/>
                <w:sz w:val="18"/>
                <w:szCs w:val="18"/>
              </w:rPr>
              <w:t>Kembla, Port</w:t>
            </w:r>
            <w:r w:rsidR="009D6130" w:rsidRPr="001E79C7">
              <w:rPr>
                <w:rFonts w:ascii="Arial" w:hAnsi="Arial" w:cs="Arial"/>
                <w:sz w:val="18"/>
                <w:szCs w:val="18"/>
              </w:rPr>
              <w:t xml:space="preserve"> </w:t>
            </w:r>
            <w:r w:rsidRPr="001E79C7">
              <w:rPr>
                <w:rFonts w:ascii="Arial" w:hAnsi="Arial" w:cs="Arial"/>
                <w:sz w:val="18"/>
                <w:szCs w:val="18"/>
              </w:rPr>
              <w:t>Botany</w:t>
            </w:r>
            <w:r w:rsidR="00A51CCA" w:rsidRPr="001E79C7">
              <w:rPr>
                <w:rFonts w:ascii="Arial" w:hAnsi="Arial" w:cs="Arial"/>
                <w:sz w:val="18"/>
                <w:szCs w:val="18"/>
              </w:rPr>
              <w:t>,</w:t>
            </w:r>
            <w:r w:rsidRPr="001E79C7">
              <w:rPr>
                <w:rFonts w:ascii="Arial" w:hAnsi="Arial" w:cs="Arial"/>
                <w:sz w:val="18"/>
                <w:szCs w:val="18"/>
              </w:rPr>
              <w:t xml:space="preserve"> Enfield and the Port of Newcastle</w:t>
            </w:r>
          </w:p>
        </w:tc>
        <w:tc>
          <w:tcPr>
            <w:tcW w:w="5386" w:type="dxa"/>
            <w:tcBorders>
              <w:top w:val="single" w:sz="4" w:space="0" w:color="A6A6A6" w:themeColor="background1" w:themeShade="A6"/>
              <w:bottom w:val="single" w:sz="4" w:space="0" w:color="A6A6A6" w:themeColor="background1" w:themeShade="A6"/>
            </w:tcBorders>
          </w:tcPr>
          <w:p w14:paraId="27537520" w14:textId="6EB14DF6" w:rsidR="00E22358" w:rsidRPr="001E79C7" w:rsidRDefault="000C05EF" w:rsidP="008F3117">
            <w:pPr>
              <w:spacing w:before="80" w:after="80"/>
              <w:rPr>
                <w:rFonts w:ascii="Arial" w:hAnsi="Arial" w:cs="Arial"/>
                <w:sz w:val="18"/>
                <w:szCs w:val="18"/>
              </w:rPr>
            </w:pPr>
            <w:r w:rsidRPr="001E79C7">
              <w:rPr>
                <w:rFonts w:ascii="Arial" w:hAnsi="Arial" w:cs="Arial"/>
                <w:sz w:val="18"/>
                <w:szCs w:val="18"/>
              </w:rPr>
              <w:t xml:space="preserve">The State has indemnified the lessees in respect of pre-existing </w:t>
            </w:r>
            <w:r w:rsidR="00E22358" w:rsidRPr="001E79C7">
              <w:rPr>
                <w:rFonts w:ascii="Arial" w:hAnsi="Arial" w:cs="Arial"/>
                <w:sz w:val="18"/>
                <w:szCs w:val="18"/>
              </w:rPr>
              <w:t xml:space="preserve">environmental </w:t>
            </w:r>
            <w:r w:rsidR="00A81200" w:rsidRPr="001E79C7">
              <w:rPr>
                <w:rFonts w:ascii="Arial" w:hAnsi="Arial" w:cs="Arial"/>
                <w:sz w:val="18"/>
                <w:szCs w:val="18"/>
              </w:rPr>
              <w:t>contamination</w:t>
            </w:r>
            <w:r w:rsidRPr="001E79C7">
              <w:rPr>
                <w:rFonts w:ascii="Arial" w:hAnsi="Arial" w:cs="Arial"/>
                <w:sz w:val="18"/>
                <w:szCs w:val="18"/>
              </w:rPr>
              <w:t>.</w:t>
            </w:r>
          </w:p>
        </w:tc>
      </w:tr>
      <w:bookmarkEnd w:id="2"/>
      <w:tr w:rsidR="00B47D9D" w:rsidRPr="001E79C7" w14:paraId="1FE273E2" w14:textId="77777777" w:rsidTr="2E00E5B6">
        <w:tc>
          <w:tcPr>
            <w:tcW w:w="4484" w:type="dxa"/>
            <w:tcBorders>
              <w:top w:val="single" w:sz="4" w:space="0" w:color="A6A6A6" w:themeColor="background1" w:themeShade="A6"/>
              <w:bottom w:val="single" w:sz="4" w:space="0" w:color="A6A6A6" w:themeColor="background1" w:themeShade="A6"/>
            </w:tcBorders>
          </w:tcPr>
          <w:p w14:paraId="04041263" w14:textId="5328945C" w:rsidR="00B47D9D" w:rsidRPr="001E79C7" w:rsidRDefault="00B47D9D" w:rsidP="00A9673C">
            <w:pPr>
              <w:spacing w:before="80" w:after="80"/>
              <w:rPr>
                <w:rFonts w:ascii="Arial" w:hAnsi="Arial" w:cs="Arial"/>
                <w:sz w:val="18"/>
                <w:szCs w:val="18"/>
              </w:rPr>
            </w:pPr>
            <w:r w:rsidRPr="001E79C7">
              <w:rPr>
                <w:rFonts w:ascii="Arial" w:hAnsi="Arial" w:cs="Arial"/>
                <w:sz w:val="18"/>
                <w:szCs w:val="18"/>
              </w:rPr>
              <w:t>Sale of Pacific Power International</w:t>
            </w:r>
          </w:p>
        </w:tc>
        <w:tc>
          <w:tcPr>
            <w:tcW w:w="5386" w:type="dxa"/>
            <w:tcBorders>
              <w:top w:val="single" w:sz="4" w:space="0" w:color="A6A6A6" w:themeColor="background1" w:themeShade="A6"/>
              <w:bottom w:val="single" w:sz="4" w:space="0" w:color="A6A6A6" w:themeColor="background1" w:themeShade="A6"/>
            </w:tcBorders>
          </w:tcPr>
          <w:p w14:paraId="2B420C66" w14:textId="36DFE279" w:rsidR="00B47D9D" w:rsidRPr="001E79C7" w:rsidRDefault="0072208B" w:rsidP="00591D48">
            <w:pPr>
              <w:spacing w:before="80" w:after="80"/>
              <w:rPr>
                <w:rFonts w:ascii="Arial" w:hAnsi="Arial" w:cs="Arial"/>
                <w:sz w:val="18"/>
                <w:szCs w:val="18"/>
              </w:rPr>
            </w:pPr>
            <w:r w:rsidRPr="001E79C7">
              <w:rPr>
                <w:rFonts w:ascii="Arial" w:hAnsi="Arial" w:cs="Arial"/>
                <w:sz w:val="18"/>
                <w:szCs w:val="18"/>
              </w:rPr>
              <w:t>T</w:t>
            </w:r>
            <w:r w:rsidR="000D2516" w:rsidRPr="001E79C7">
              <w:rPr>
                <w:rFonts w:ascii="Arial" w:hAnsi="Arial" w:cs="Arial"/>
                <w:sz w:val="18"/>
                <w:szCs w:val="18"/>
              </w:rPr>
              <w:t>he State must compensate the trustee of the Energy Industry Superannuation Scheme funds for a shortfall of assets in the reserves of the fund related to the transfer of defined benefit scheme membership to Aurecon</w:t>
            </w:r>
            <w:r w:rsidR="0014338C" w:rsidRPr="001E79C7">
              <w:rPr>
                <w:rFonts w:ascii="Arial" w:hAnsi="Arial" w:cs="Arial"/>
                <w:sz w:val="18"/>
                <w:szCs w:val="18"/>
              </w:rPr>
              <w:t>.</w:t>
            </w:r>
          </w:p>
        </w:tc>
      </w:tr>
      <w:tr w:rsidR="00F104DF" w:rsidRPr="001E79C7" w14:paraId="4663CE34" w14:textId="77777777" w:rsidTr="2E00E5B6">
        <w:tc>
          <w:tcPr>
            <w:tcW w:w="4484" w:type="dxa"/>
            <w:tcBorders>
              <w:top w:val="single" w:sz="4" w:space="0" w:color="A6A6A6" w:themeColor="background1" w:themeShade="A6"/>
              <w:bottom w:val="single" w:sz="4" w:space="0" w:color="A6A6A6" w:themeColor="background1" w:themeShade="A6"/>
            </w:tcBorders>
          </w:tcPr>
          <w:p w14:paraId="14302140" w14:textId="50F2D06D" w:rsidR="00F104DF" w:rsidRPr="001E79C7" w:rsidRDefault="00F104DF" w:rsidP="00A9673C">
            <w:pPr>
              <w:spacing w:before="80" w:after="80"/>
              <w:rPr>
                <w:rFonts w:ascii="Arial" w:hAnsi="Arial" w:cs="Arial"/>
                <w:sz w:val="18"/>
                <w:szCs w:val="18"/>
              </w:rPr>
            </w:pPr>
            <w:r w:rsidRPr="001E79C7">
              <w:rPr>
                <w:rFonts w:ascii="Arial" w:hAnsi="Arial" w:cs="Arial"/>
                <w:sz w:val="18"/>
                <w:szCs w:val="18"/>
              </w:rPr>
              <w:t xml:space="preserve">Transactions related to Sydney Ferries, </w:t>
            </w:r>
            <w:proofErr w:type="spellStart"/>
            <w:r w:rsidRPr="001E79C7">
              <w:rPr>
                <w:rFonts w:ascii="Arial" w:hAnsi="Arial" w:cs="Arial"/>
                <w:sz w:val="18"/>
                <w:szCs w:val="18"/>
              </w:rPr>
              <w:t>Eraring</w:t>
            </w:r>
            <w:proofErr w:type="spellEnd"/>
            <w:r w:rsidRPr="001E79C7">
              <w:rPr>
                <w:rFonts w:ascii="Arial" w:hAnsi="Arial" w:cs="Arial"/>
                <w:sz w:val="18"/>
                <w:szCs w:val="18"/>
              </w:rPr>
              <w:t xml:space="preserve"> and Delta West</w:t>
            </w:r>
            <w:r w:rsidR="006028C4" w:rsidRPr="001E79C7">
              <w:rPr>
                <w:rFonts w:ascii="Arial" w:hAnsi="Arial" w:cs="Arial"/>
                <w:sz w:val="18"/>
                <w:szCs w:val="18"/>
              </w:rPr>
              <w:t xml:space="preserve"> Power Stations</w:t>
            </w:r>
          </w:p>
        </w:tc>
        <w:tc>
          <w:tcPr>
            <w:tcW w:w="5386" w:type="dxa"/>
            <w:tcBorders>
              <w:top w:val="single" w:sz="4" w:space="0" w:color="A6A6A6" w:themeColor="background1" w:themeShade="A6"/>
              <w:bottom w:val="single" w:sz="4" w:space="0" w:color="A6A6A6" w:themeColor="background1" w:themeShade="A6"/>
            </w:tcBorders>
          </w:tcPr>
          <w:p w14:paraId="15786267" w14:textId="0CC11476" w:rsidR="00F104DF" w:rsidRPr="001E79C7" w:rsidRDefault="000D2516" w:rsidP="00591D48">
            <w:pPr>
              <w:spacing w:before="80" w:after="80"/>
              <w:rPr>
                <w:rFonts w:ascii="Arial" w:hAnsi="Arial" w:cs="Arial"/>
                <w:sz w:val="18"/>
                <w:szCs w:val="18"/>
              </w:rPr>
            </w:pPr>
            <w:r w:rsidRPr="001E79C7">
              <w:rPr>
                <w:rFonts w:ascii="Arial" w:hAnsi="Arial" w:cs="Arial"/>
                <w:sz w:val="18"/>
                <w:szCs w:val="18"/>
              </w:rPr>
              <w:t xml:space="preserve">The State </w:t>
            </w:r>
            <w:r w:rsidR="000C05EF" w:rsidRPr="001E79C7">
              <w:rPr>
                <w:rFonts w:ascii="Arial" w:hAnsi="Arial" w:cs="Arial"/>
                <w:sz w:val="18"/>
                <w:szCs w:val="18"/>
              </w:rPr>
              <w:t>bears the risk of the employer’s superannuation guarantee contributions being insufficient to fund the defined employee benefits for certain ex-public</w:t>
            </w:r>
            <w:r w:rsidR="009D415A" w:rsidRPr="001E79C7">
              <w:rPr>
                <w:rFonts w:ascii="Arial" w:hAnsi="Arial" w:cs="Arial"/>
                <w:sz w:val="18"/>
                <w:szCs w:val="18"/>
              </w:rPr>
              <w:t xml:space="preserve"> </w:t>
            </w:r>
            <w:r w:rsidR="000C05EF" w:rsidRPr="001E79C7">
              <w:rPr>
                <w:rFonts w:ascii="Arial" w:hAnsi="Arial" w:cs="Arial"/>
                <w:sz w:val="18"/>
                <w:szCs w:val="18"/>
              </w:rPr>
              <w:t>sector employees. Indemnities have also been provided to the private sector employer in respect of certain losses suffered</w:t>
            </w:r>
            <w:r w:rsidR="0014338C" w:rsidRPr="001E79C7">
              <w:rPr>
                <w:rFonts w:ascii="Arial" w:hAnsi="Arial" w:cs="Arial"/>
                <w:sz w:val="18"/>
                <w:szCs w:val="18"/>
              </w:rPr>
              <w:t>.</w:t>
            </w:r>
          </w:p>
        </w:tc>
      </w:tr>
      <w:tr w:rsidR="00DC52DD" w:rsidRPr="001E79C7" w14:paraId="05881ADE" w14:textId="77777777" w:rsidTr="2E00E5B6">
        <w:tc>
          <w:tcPr>
            <w:tcW w:w="4484" w:type="dxa"/>
            <w:tcBorders>
              <w:top w:val="single" w:sz="4" w:space="0" w:color="A6A6A6" w:themeColor="background1" w:themeShade="A6"/>
              <w:bottom w:val="single" w:sz="4" w:space="0" w:color="A6A6A6" w:themeColor="background1" w:themeShade="A6"/>
            </w:tcBorders>
          </w:tcPr>
          <w:p w14:paraId="473CB7F0" w14:textId="34F0D521" w:rsidR="00DC52DD" w:rsidRPr="001E79C7" w:rsidRDefault="00A81200" w:rsidP="00A9673C">
            <w:pPr>
              <w:spacing w:before="80" w:after="80"/>
              <w:rPr>
                <w:rFonts w:ascii="Arial" w:hAnsi="Arial" w:cs="Arial"/>
                <w:sz w:val="18"/>
                <w:szCs w:val="18"/>
              </w:rPr>
            </w:pPr>
            <w:r w:rsidRPr="001E79C7">
              <w:rPr>
                <w:rFonts w:ascii="Arial" w:hAnsi="Arial" w:cs="Arial"/>
                <w:sz w:val="18"/>
                <w:szCs w:val="18"/>
              </w:rPr>
              <w:t xml:space="preserve">Transactions related to the lease of </w:t>
            </w:r>
            <w:proofErr w:type="spellStart"/>
            <w:r w:rsidR="00DC52DD" w:rsidRPr="001E79C7">
              <w:rPr>
                <w:rFonts w:ascii="Arial" w:hAnsi="Arial" w:cs="Arial"/>
                <w:sz w:val="18"/>
                <w:szCs w:val="18"/>
              </w:rPr>
              <w:t>TransGrid</w:t>
            </w:r>
            <w:proofErr w:type="spellEnd"/>
            <w:r w:rsidR="00DC52DD" w:rsidRPr="001E79C7">
              <w:rPr>
                <w:rFonts w:ascii="Arial" w:hAnsi="Arial" w:cs="Arial"/>
                <w:sz w:val="18"/>
                <w:szCs w:val="18"/>
              </w:rPr>
              <w:t>, Ausgrid and Endeavour Energy</w:t>
            </w:r>
          </w:p>
        </w:tc>
        <w:tc>
          <w:tcPr>
            <w:tcW w:w="5386" w:type="dxa"/>
            <w:tcBorders>
              <w:top w:val="single" w:sz="4" w:space="0" w:color="A6A6A6" w:themeColor="background1" w:themeShade="A6"/>
              <w:bottom w:val="single" w:sz="4" w:space="0" w:color="A6A6A6" w:themeColor="background1" w:themeShade="A6"/>
            </w:tcBorders>
          </w:tcPr>
          <w:p w14:paraId="7F694BA6" w14:textId="10C70EBB" w:rsidR="00A81200" w:rsidRPr="001E79C7" w:rsidRDefault="5D2EE401" w:rsidP="5D2EE401">
            <w:pPr>
              <w:spacing w:before="80" w:after="80"/>
              <w:rPr>
                <w:rFonts w:ascii="Arial" w:hAnsi="Arial" w:cs="Arial"/>
                <w:sz w:val="18"/>
                <w:szCs w:val="18"/>
              </w:rPr>
            </w:pPr>
            <w:r w:rsidRPr="001E79C7">
              <w:rPr>
                <w:rFonts w:ascii="Arial" w:hAnsi="Arial" w:cs="Arial"/>
                <w:sz w:val="18"/>
                <w:szCs w:val="18"/>
              </w:rPr>
              <w:t xml:space="preserve">General </w:t>
            </w:r>
            <w:r w:rsidR="009D415A" w:rsidRPr="001E79C7">
              <w:rPr>
                <w:rFonts w:ascii="Arial" w:hAnsi="Arial" w:cs="Arial"/>
                <w:sz w:val="18"/>
                <w:szCs w:val="18"/>
              </w:rPr>
              <w:t>w</w:t>
            </w:r>
            <w:r w:rsidRPr="001E79C7">
              <w:rPr>
                <w:rFonts w:ascii="Arial" w:hAnsi="Arial" w:cs="Arial"/>
                <w:sz w:val="18"/>
                <w:szCs w:val="18"/>
              </w:rPr>
              <w:t>arranties and Deed of Indemnity.</w:t>
            </w:r>
          </w:p>
        </w:tc>
      </w:tr>
      <w:tr w:rsidR="00A034B5" w:rsidRPr="001E79C7" w14:paraId="57AEF581" w14:textId="77777777" w:rsidTr="2E00E5B6">
        <w:tc>
          <w:tcPr>
            <w:tcW w:w="4484" w:type="dxa"/>
            <w:tcBorders>
              <w:top w:val="single" w:sz="4" w:space="0" w:color="A6A6A6" w:themeColor="background1" w:themeShade="A6"/>
              <w:bottom w:val="single" w:sz="4" w:space="0" w:color="000000" w:themeColor="text1"/>
            </w:tcBorders>
          </w:tcPr>
          <w:p w14:paraId="005F1580" w14:textId="70585740" w:rsidR="00A034B5" w:rsidRPr="001E79C7" w:rsidRDefault="00A034B5" w:rsidP="00A034B5">
            <w:pPr>
              <w:spacing w:before="80" w:after="80"/>
              <w:rPr>
                <w:rFonts w:ascii="Arial" w:hAnsi="Arial" w:cs="Arial"/>
                <w:sz w:val="18"/>
                <w:szCs w:val="18"/>
              </w:rPr>
            </w:pPr>
            <w:r>
              <w:rPr>
                <w:rFonts w:ascii="Arial" w:hAnsi="Arial" w:cs="Arial"/>
                <w:sz w:val="18"/>
                <w:szCs w:val="18"/>
              </w:rPr>
              <w:t xml:space="preserve">Sale of </w:t>
            </w:r>
            <w:proofErr w:type="spellStart"/>
            <w:r>
              <w:rPr>
                <w:rFonts w:ascii="Arial" w:hAnsi="Arial" w:cs="Arial"/>
                <w:sz w:val="18"/>
                <w:szCs w:val="18"/>
              </w:rPr>
              <w:t>West</w:t>
            </w:r>
            <w:r w:rsidR="00957AB5">
              <w:rPr>
                <w:rFonts w:ascii="Arial" w:hAnsi="Arial" w:cs="Arial"/>
                <w:sz w:val="18"/>
                <w:szCs w:val="18"/>
              </w:rPr>
              <w:t>C</w:t>
            </w:r>
            <w:r>
              <w:rPr>
                <w:rFonts w:ascii="Arial" w:hAnsi="Arial" w:cs="Arial"/>
                <w:sz w:val="18"/>
                <w:szCs w:val="18"/>
              </w:rPr>
              <w:t>onnex</w:t>
            </w:r>
            <w:proofErr w:type="spellEnd"/>
          </w:p>
        </w:tc>
        <w:tc>
          <w:tcPr>
            <w:tcW w:w="5386" w:type="dxa"/>
            <w:tcBorders>
              <w:top w:val="single" w:sz="4" w:space="0" w:color="A6A6A6" w:themeColor="background1" w:themeShade="A6"/>
              <w:bottom w:val="single" w:sz="4" w:space="0" w:color="000000" w:themeColor="text1"/>
            </w:tcBorders>
            <w:vAlign w:val="center"/>
          </w:tcPr>
          <w:p w14:paraId="5AC877F6" w14:textId="5CA82835" w:rsidR="00A034B5" w:rsidRPr="001E79C7" w:rsidRDefault="2F11892A" w:rsidP="00A034B5">
            <w:pPr>
              <w:spacing w:before="80" w:after="80"/>
              <w:rPr>
                <w:rFonts w:ascii="Arial" w:hAnsi="Arial" w:cs="Arial"/>
                <w:sz w:val="18"/>
                <w:szCs w:val="18"/>
              </w:rPr>
            </w:pPr>
            <w:r w:rsidRPr="2E00E5B6">
              <w:rPr>
                <w:rFonts w:ascii="Arial" w:hAnsi="Arial" w:cs="Arial"/>
                <w:sz w:val="18"/>
                <w:szCs w:val="18"/>
              </w:rPr>
              <w:t xml:space="preserve">The State has potential liabilities under warranties and indemnities provided to the purchasers in relation to </w:t>
            </w:r>
            <w:r w:rsidR="6638E2C3" w:rsidRPr="2E00E5B6">
              <w:rPr>
                <w:rFonts w:ascii="Arial" w:hAnsi="Arial" w:cs="Arial"/>
                <w:sz w:val="18"/>
                <w:szCs w:val="18"/>
              </w:rPr>
              <w:t xml:space="preserve">the </w:t>
            </w:r>
            <w:r w:rsidRPr="2E00E5B6">
              <w:rPr>
                <w:rFonts w:ascii="Arial" w:hAnsi="Arial" w:cs="Arial"/>
                <w:sz w:val="18"/>
                <w:szCs w:val="18"/>
              </w:rPr>
              <w:t>performance of certain obligations.</w:t>
            </w:r>
          </w:p>
        </w:tc>
      </w:tr>
    </w:tbl>
    <w:p w14:paraId="113BF00F" w14:textId="25B4C3CB" w:rsidR="004D1D69" w:rsidRDefault="004D1D69" w:rsidP="004A370C"/>
    <w:p w14:paraId="684D05B5" w14:textId="77777777" w:rsidR="0093708F" w:rsidRDefault="0093708F">
      <w:pPr>
        <w:spacing w:after="200" w:line="276" w:lineRule="auto"/>
        <w:rPr>
          <w:rFonts w:ascii="Arial" w:eastAsiaTheme="minorHAnsi" w:hAnsi="Arial" w:cs="Arial"/>
          <w:sz w:val="23"/>
          <w:szCs w:val="24"/>
          <w:lang w:val="en-AU"/>
        </w:rPr>
      </w:pPr>
      <w:r>
        <w:br w:type="page"/>
      </w:r>
    </w:p>
    <w:p w14:paraId="608D9F55" w14:textId="2C9F6284" w:rsidR="006037C1" w:rsidRPr="00A75EE4" w:rsidRDefault="00D85FEA" w:rsidP="001322EF">
      <w:pPr>
        <w:pStyle w:val="BodyText"/>
        <w:rPr>
          <w:color w:val="4F4F4F"/>
          <w:kern w:val="28"/>
          <w:sz w:val="23"/>
          <w:szCs w:val="23"/>
        </w:rPr>
      </w:pPr>
      <w:r w:rsidRPr="00A75EE4">
        <w:rPr>
          <w:sz w:val="23"/>
          <w:szCs w:val="23"/>
        </w:rPr>
        <w:lastRenderedPageBreak/>
        <w:t xml:space="preserve">The </w:t>
      </w:r>
      <w:r w:rsidR="0094385A" w:rsidRPr="00A75EE4">
        <w:rPr>
          <w:sz w:val="23"/>
          <w:szCs w:val="23"/>
        </w:rPr>
        <w:t>g</w:t>
      </w:r>
      <w:r w:rsidR="001E26BA" w:rsidRPr="00A75EE4">
        <w:rPr>
          <w:sz w:val="23"/>
          <w:szCs w:val="23"/>
        </w:rPr>
        <w:t xml:space="preserve">eneral </w:t>
      </w:r>
      <w:r w:rsidR="0094385A" w:rsidRPr="00A75EE4">
        <w:rPr>
          <w:sz w:val="23"/>
          <w:szCs w:val="23"/>
        </w:rPr>
        <w:t>g</w:t>
      </w:r>
      <w:r w:rsidR="001E26BA" w:rsidRPr="00A75EE4">
        <w:rPr>
          <w:sz w:val="23"/>
          <w:szCs w:val="23"/>
        </w:rPr>
        <w:t>overnment</w:t>
      </w:r>
      <w:r w:rsidRPr="00A75EE4">
        <w:rPr>
          <w:sz w:val="23"/>
          <w:szCs w:val="23"/>
        </w:rPr>
        <w:t xml:space="preserve"> </w:t>
      </w:r>
      <w:r w:rsidR="00B902CD" w:rsidRPr="00A75EE4">
        <w:rPr>
          <w:sz w:val="23"/>
          <w:szCs w:val="23"/>
        </w:rPr>
        <w:t xml:space="preserve">sector </w:t>
      </w:r>
      <w:r w:rsidRPr="00A75EE4">
        <w:rPr>
          <w:sz w:val="23"/>
          <w:szCs w:val="23"/>
        </w:rPr>
        <w:t xml:space="preserve">also </w:t>
      </w:r>
      <w:r w:rsidR="1133B9C8" w:rsidRPr="00A75EE4">
        <w:rPr>
          <w:sz w:val="23"/>
          <w:szCs w:val="23"/>
        </w:rPr>
        <w:t xml:space="preserve">has </w:t>
      </w:r>
      <w:r w:rsidR="00741C04" w:rsidRPr="00A75EE4">
        <w:rPr>
          <w:sz w:val="23"/>
          <w:szCs w:val="23"/>
        </w:rPr>
        <w:t xml:space="preserve">non-quantifiable </w:t>
      </w:r>
      <w:r w:rsidRPr="00A75EE4">
        <w:rPr>
          <w:sz w:val="23"/>
          <w:szCs w:val="23"/>
        </w:rPr>
        <w:t xml:space="preserve">contingent liabilities relating to various matters, as set out </w:t>
      </w:r>
      <w:r w:rsidR="009A2F7E" w:rsidRPr="00A75EE4">
        <w:rPr>
          <w:sz w:val="23"/>
          <w:szCs w:val="23"/>
        </w:rPr>
        <w:t xml:space="preserve">below in Table </w:t>
      </w:r>
      <w:r w:rsidR="00D94F56" w:rsidRPr="00A75EE4">
        <w:rPr>
          <w:sz w:val="23"/>
          <w:szCs w:val="23"/>
        </w:rPr>
        <w:t>C</w:t>
      </w:r>
      <w:r w:rsidR="009A2F7E" w:rsidRPr="00A75EE4">
        <w:rPr>
          <w:sz w:val="23"/>
          <w:szCs w:val="23"/>
        </w:rPr>
        <w:t>.</w:t>
      </w:r>
      <w:r w:rsidR="0092758E" w:rsidRPr="00A75EE4">
        <w:rPr>
          <w:sz w:val="23"/>
          <w:szCs w:val="23"/>
        </w:rPr>
        <w:t>5</w:t>
      </w:r>
      <w:r w:rsidRPr="00A75EE4">
        <w:rPr>
          <w:sz w:val="23"/>
          <w:szCs w:val="23"/>
        </w:rPr>
        <w:t>.</w:t>
      </w:r>
    </w:p>
    <w:p w14:paraId="0E410F42" w14:textId="1C14F376" w:rsidR="00FF42F7" w:rsidRDefault="00FF42F7" w:rsidP="00CD07DF">
      <w:pPr>
        <w:pStyle w:val="TableCX"/>
        <w:ind w:left="1304" w:hanging="1304"/>
        <w:rPr>
          <w:sz w:val="23"/>
          <w:szCs w:val="23"/>
        </w:rPr>
      </w:pPr>
      <w:r w:rsidRPr="00E66B59">
        <w:rPr>
          <w:sz w:val="23"/>
          <w:szCs w:val="23"/>
        </w:rPr>
        <w:t>Other non-quantifiable contingent liabilities</w:t>
      </w:r>
    </w:p>
    <w:tbl>
      <w:tblPr>
        <w:tblStyle w:val="TableGrid0"/>
        <w:tblW w:w="9634" w:type="dxa"/>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ook w:val="04A0" w:firstRow="1" w:lastRow="0" w:firstColumn="1" w:lastColumn="0" w:noHBand="0" w:noVBand="1"/>
        <w:tblCaption w:val="Table C.5: Other non-quantifiable contingent liabilities"/>
        <w:tblDescription w:val="Table C.5: Other non-quantifiable contingent liabilities"/>
      </w:tblPr>
      <w:tblGrid>
        <w:gridCol w:w="3823"/>
        <w:gridCol w:w="5811"/>
      </w:tblGrid>
      <w:tr w:rsidR="00FF42F7" w:rsidRPr="001E79C7" w14:paraId="706A0908" w14:textId="77777777" w:rsidTr="0065011F">
        <w:trPr>
          <w:tblHeader/>
        </w:trPr>
        <w:tc>
          <w:tcPr>
            <w:tcW w:w="3823" w:type="dxa"/>
            <w:tcBorders>
              <w:top w:val="nil"/>
              <w:bottom w:val="nil"/>
            </w:tcBorders>
            <w:shd w:val="clear" w:color="auto" w:fill="008EBA"/>
            <w:vAlign w:val="center"/>
          </w:tcPr>
          <w:p w14:paraId="70F302F5" w14:textId="77777777" w:rsidR="00FF42F7" w:rsidRPr="001E79C7" w:rsidRDefault="00FF42F7">
            <w:pPr>
              <w:spacing w:before="120" w:after="120"/>
              <w:rPr>
                <w:rFonts w:ascii="Arial" w:hAnsi="Arial" w:cs="Arial"/>
                <w:bCs/>
                <w:color w:val="FFFFFF" w:themeColor="background1"/>
                <w:sz w:val="18"/>
                <w:szCs w:val="18"/>
              </w:rPr>
            </w:pPr>
            <w:r w:rsidRPr="001E79C7">
              <w:rPr>
                <w:rFonts w:ascii="Arial" w:hAnsi="Arial" w:cs="Arial"/>
                <w:bCs/>
                <w:color w:val="FFFFFF" w:themeColor="background1"/>
                <w:sz w:val="18"/>
                <w:szCs w:val="18"/>
              </w:rPr>
              <w:t>Contingent liabilities</w:t>
            </w:r>
          </w:p>
        </w:tc>
        <w:tc>
          <w:tcPr>
            <w:tcW w:w="5811" w:type="dxa"/>
            <w:tcBorders>
              <w:top w:val="nil"/>
              <w:bottom w:val="nil"/>
            </w:tcBorders>
            <w:shd w:val="clear" w:color="auto" w:fill="008EBA"/>
            <w:vAlign w:val="center"/>
          </w:tcPr>
          <w:p w14:paraId="35C562BF" w14:textId="77777777" w:rsidR="00FF42F7" w:rsidRPr="001E79C7" w:rsidRDefault="00FF42F7">
            <w:pPr>
              <w:spacing w:before="120" w:after="120"/>
              <w:rPr>
                <w:rFonts w:ascii="Arial" w:hAnsi="Arial" w:cs="Arial"/>
                <w:bCs/>
                <w:color w:val="FFFFFF" w:themeColor="background1"/>
                <w:sz w:val="18"/>
                <w:szCs w:val="18"/>
              </w:rPr>
            </w:pPr>
            <w:r w:rsidRPr="001E79C7">
              <w:rPr>
                <w:rFonts w:ascii="Arial" w:hAnsi="Arial" w:cs="Arial"/>
                <w:bCs/>
                <w:color w:val="FFFFFF" w:themeColor="background1"/>
                <w:sz w:val="18"/>
                <w:szCs w:val="18"/>
              </w:rPr>
              <w:t>Nature of the contingent liabilities</w:t>
            </w:r>
          </w:p>
        </w:tc>
      </w:tr>
      <w:tr w:rsidR="00FF42F7" w:rsidRPr="001E79C7" w14:paraId="378E0FE6" w14:textId="77777777" w:rsidTr="5D2EE401">
        <w:tc>
          <w:tcPr>
            <w:tcW w:w="3823" w:type="dxa"/>
            <w:tcBorders>
              <w:top w:val="nil"/>
            </w:tcBorders>
          </w:tcPr>
          <w:p w14:paraId="2EE97B55" w14:textId="77777777" w:rsidR="00FF42F7" w:rsidRPr="001E79C7" w:rsidRDefault="00FF42F7">
            <w:pPr>
              <w:spacing w:before="60" w:after="60"/>
              <w:rPr>
                <w:rFonts w:ascii="Arial" w:hAnsi="Arial" w:cs="Arial"/>
                <w:sz w:val="18"/>
                <w:szCs w:val="18"/>
              </w:rPr>
            </w:pPr>
            <w:r w:rsidRPr="001E79C7">
              <w:rPr>
                <w:rFonts w:ascii="Arial" w:hAnsi="Arial" w:cs="Arial"/>
                <w:sz w:val="18"/>
                <w:szCs w:val="18"/>
              </w:rPr>
              <w:t>Native Title</w:t>
            </w:r>
          </w:p>
        </w:tc>
        <w:tc>
          <w:tcPr>
            <w:tcW w:w="5811" w:type="dxa"/>
            <w:tcBorders>
              <w:top w:val="nil"/>
            </w:tcBorders>
            <w:vAlign w:val="center"/>
          </w:tcPr>
          <w:p w14:paraId="4E2D366F" w14:textId="06C0FBC3" w:rsidR="00FF42F7" w:rsidRPr="001E79C7" w:rsidRDefault="0014338C">
            <w:pPr>
              <w:spacing w:before="60" w:after="60"/>
              <w:rPr>
                <w:rFonts w:ascii="Arial" w:hAnsi="Arial" w:cs="Arial"/>
                <w:sz w:val="18"/>
                <w:szCs w:val="18"/>
              </w:rPr>
            </w:pPr>
            <w:r w:rsidRPr="001E79C7">
              <w:rPr>
                <w:rFonts w:ascii="Arial" w:hAnsi="Arial" w:cs="Arial"/>
                <w:sz w:val="18"/>
                <w:szCs w:val="18"/>
              </w:rPr>
              <w:t>C</w:t>
            </w:r>
            <w:r w:rsidR="008E7DF7" w:rsidRPr="001E79C7">
              <w:rPr>
                <w:rFonts w:ascii="Arial" w:hAnsi="Arial" w:cs="Arial"/>
                <w:sz w:val="18"/>
                <w:szCs w:val="18"/>
              </w:rPr>
              <w:t>ontingent liabilit</w:t>
            </w:r>
            <w:r w:rsidRPr="001E79C7">
              <w:rPr>
                <w:rFonts w:ascii="Arial" w:hAnsi="Arial" w:cs="Arial"/>
                <w:sz w:val="18"/>
                <w:szCs w:val="18"/>
              </w:rPr>
              <w:t>ies</w:t>
            </w:r>
            <w:r w:rsidR="008E7DF7" w:rsidRPr="001E79C7">
              <w:rPr>
                <w:rFonts w:ascii="Arial" w:hAnsi="Arial" w:cs="Arial"/>
                <w:sz w:val="18"/>
                <w:szCs w:val="18"/>
              </w:rPr>
              <w:t xml:space="preserve"> in respect to Native Title, under both the </w:t>
            </w:r>
            <w:r w:rsidR="008E7DF7" w:rsidRPr="001E79C7">
              <w:rPr>
                <w:rFonts w:ascii="Arial" w:hAnsi="Arial" w:cs="Arial"/>
                <w:i/>
                <w:sz w:val="18"/>
                <w:szCs w:val="18"/>
              </w:rPr>
              <w:t>Native Title Act 1993 (Cth)</w:t>
            </w:r>
            <w:r w:rsidR="008E7DF7" w:rsidRPr="001E79C7">
              <w:rPr>
                <w:rFonts w:ascii="Arial" w:hAnsi="Arial" w:cs="Arial"/>
                <w:sz w:val="18"/>
                <w:szCs w:val="18"/>
              </w:rPr>
              <w:t xml:space="preserve"> and the </w:t>
            </w:r>
            <w:r w:rsidR="008E7DF7" w:rsidRPr="001E79C7">
              <w:rPr>
                <w:rFonts w:ascii="Arial" w:hAnsi="Arial" w:cs="Arial"/>
                <w:i/>
                <w:sz w:val="18"/>
                <w:szCs w:val="18"/>
              </w:rPr>
              <w:t>Native Title (New South Wales) Act 1994</w:t>
            </w:r>
            <w:r w:rsidR="008E7DF7" w:rsidRPr="001E79C7">
              <w:rPr>
                <w:rFonts w:ascii="Arial" w:hAnsi="Arial" w:cs="Arial"/>
                <w:sz w:val="18"/>
                <w:szCs w:val="18"/>
              </w:rPr>
              <w:t>.</w:t>
            </w:r>
            <w:r w:rsidR="00FF42F7" w:rsidRPr="001E79C7">
              <w:rPr>
                <w:rFonts w:ascii="Arial" w:hAnsi="Arial" w:cs="Arial"/>
                <w:sz w:val="18"/>
                <w:szCs w:val="18"/>
              </w:rPr>
              <w:t xml:space="preserve"> </w:t>
            </w:r>
          </w:p>
        </w:tc>
      </w:tr>
      <w:tr w:rsidR="00FF42F7" w:rsidRPr="001E79C7" w14:paraId="352BA2A4" w14:textId="77777777" w:rsidTr="5D2EE401">
        <w:tc>
          <w:tcPr>
            <w:tcW w:w="3823" w:type="dxa"/>
          </w:tcPr>
          <w:p w14:paraId="6004C0A5" w14:textId="2F9CC959" w:rsidR="00FF42F7" w:rsidRPr="001E79C7" w:rsidRDefault="00FF42F7">
            <w:pPr>
              <w:spacing w:before="60" w:after="60"/>
              <w:rPr>
                <w:rFonts w:ascii="Arial" w:hAnsi="Arial" w:cs="Arial"/>
                <w:sz w:val="18"/>
                <w:szCs w:val="18"/>
              </w:rPr>
            </w:pPr>
            <w:r w:rsidRPr="001E79C7">
              <w:rPr>
                <w:rFonts w:ascii="Arial" w:hAnsi="Arial" w:cs="Arial"/>
                <w:sz w:val="18"/>
                <w:szCs w:val="18"/>
              </w:rPr>
              <w:t xml:space="preserve">Aboriginal Land </w:t>
            </w:r>
            <w:r w:rsidR="002D3F9D">
              <w:rPr>
                <w:rFonts w:ascii="Arial" w:hAnsi="Arial" w:cs="Arial"/>
                <w:sz w:val="18"/>
                <w:szCs w:val="18"/>
              </w:rPr>
              <w:t>c</w:t>
            </w:r>
            <w:r w:rsidRPr="001E79C7">
              <w:rPr>
                <w:rFonts w:ascii="Arial" w:hAnsi="Arial" w:cs="Arial"/>
                <w:sz w:val="18"/>
                <w:szCs w:val="18"/>
              </w:rPr>
              <w:t>laims</w:t>
            </w:r>
          </w:p>
        </w:tc>
        <w:tc>
          <w:tcPr>
            <w:tcW w:w="5811" w:type="dxa"/>
            <w:vAlign w:val="center"/>
          </w:tcPr>
          <w:p w14:paraId="315F6ED5" w14:textId="2222BB05" w:rsidR="00FF42F7" w:rsidRPr="001E79C7" w:rsidRDefault="008E7DF7">
            <w:pPr>
              <w:spacing w:before="60" w:after="60"/>
              <w:rPr>
                <w:rFonts w:ascii="Arial" w:hAnsi="Arial" w:cs="Arial"/>
                <w:sz w:val="18"/>
                <w:szCs w:val="18"/>
              </w:rPr>
            </w:pPr>
            <w:r w:rsidRPr="001E79C7">
              <w:rPr>
                <w:rFonts w:ascii="Arial" w:hAnsi="Arial" w:cs="Arial"/>
                <w:sz w:val="18"/>
                <w:szCs w:val="18"/>
              </w:rPr>
              <w:t xml:space="preserve">Assets in the form of reserved Crown land may be reduced in value </w:t>
            </w:r>
            <w:r w:rsidR="0014338C" w:rsidRPr="001E79C7">
              <w:rPr>
                <w:rFonts w:ascii="Arial" w:hAnsi="Arial" w:cs="Arial"/>
                <w:sz w:val="18"/>
                <w:szCs w:val="18"/>
              </w:rPr>
              <w:t>from</w:t>
            </w:r>
            <w:r w:rsidRPr="001E79C7">
              <w:rPr>
                <w:rFonts w:ascii="Arial" w:hAnsi="Arial" w:cs="Arial"/>
                <w:sz w:val="18"/>
                <w:szCs w:val="18"/>
              </w:rPr>
              <w:t xml:space="preserve"> applications made </w:t>
            </w:r>
            <w:r w:rsidR="003F1594" w:rsidRPr="001E79C7">
              <w:rPr>
                <w:rFonts w:ascii="Arial" w:hAnsi="Arial" w:cs="Arial"/>
                <w:sz w:val="18"/>
                <w:szCs w:val="18"/>
              </w:rPr>
              <w:t>under</w:t>
            </w:r>
            <w:r w:rsidRPr="001E79C7">
              <w:rPr>
                <w:rFonts w:ascii="Arial" w:hAnsi="Arial" w:cs="Arial"/>
                <w:sz w:val="18"/>
                <w:szCs w:val="18"/>
              </w:rPr>
              <w:t xml:space="preserve"> the </w:t>
            </w:r>
            <w:r w:rsidRPr="001E79C7">
              <w:rPr>
                <w:rFonts w:ascii="Arial" w:hAnsi="Arial" w:cs="Arial"/>
                <w:i/>
                <w:sz w:val="18"/>
                <w:szCs w:val="18"/>
              </w:rPr>
              <w:t>Aboriginal Land Rights Act 1983 (NSW)</w:t>
            </w:r>
            <w:r w:rsidRPr="001E79C7">
              <w:rPr>
                <w:rFonts w:ascii="Arial" w:hAnsi="Arial" w:cs="Arial"/>
                <w:sz w:val="18"/>
                <w:szCs w:val="18"/>
              </w:rPr>
              <w:t>.</w:t>
            </w:r>
          </w:p>
        </w:tc>
      </w:tr>
      <w:tr w:rsidR="6DDC52AC" w14:paraId="21D39C50" w14:textId="77777777" w:rsidTr="6DDC52AC">
        <w:tc>
          <w:tcPr>
            <w:tcW w:w="3823" w:type="dxa"/>
          </w:tcPr>
          <w:p w14:paraId="2142EC9B" w14:textId="3AE1D910" w:rsidR="6DDC52AC" w:rsidRDefault="6DDC52AC" w:rsidP="6DDC52AC">
            <w:pPr>
              <w:rPr>
                <w:rFonts w:ascii="Arial" w:hAnsi="Arial" w:cs="Arial"/>
                <w:sz w:val="18"/>
                <w:szCs w:val="18"/>
              </w:rPr>
            </w:pPr>
            <w:r w:rsidRPr="6DDC52AC">
              <w:rPr>
                <w:rFonts w:ascii="Arial" w:hAnsi="Arial" w:cs="Arial"/>
                <w:sz w:val="18"/>
                <w:szCs w:val="18"/>
              </w:rPr>
              <w:t>Stolen Generation</w:t>
            </w:r>
            <w:r w:rsidR="002B180F">
              <w:rPr>
                <w:rFonts w:ascii="Arial" w:hAnsi="Arial" w:cs="Arial"/>
                <w:sz w:val="18"/>
                <w:szCs w:val="18"/>
              </w:rPr>
              <w:t>s</w:t>
            </w:r>
            <w:r w:rsidRPr="6DDC52AC">
              <w:rPr>
                <w:rFonts w:ascii="Arial" w:hAnsi="Arial" w:cs="Arial"/>
                <w:sz w:val="18"/>
                <w:szCs w:val="18"/>
              </w:rPr>
              <w:t xml:space="preserve"> Reparations Scheme</w:t>
            </w:r>
          </w:p>
        </w:tc>
        <w:tc>
          <w:tcPr>
            <w:tcW w:w="5811" w:type="dxa"/>
            <w:vAlign w:val="center"/>
          </w:tcPr>
          <w:p w14:paraId="340B18F1" w14:textId="579E9273" w:rsidR="6DDC52AC" w:rsidRDefault="6DDC52AC" w:rsidP="6DDC52AC">
            <w:pPr>
              <w:rPr>
                <w:rFonts w:ascii="Arial" w:eastAsia="Arial" w:hAnsi="Arial" w:cs="Arial"/>
                <w:b/>
                <w:bCs/>
                <w:sz w:val="18"/>
                <w:szCs w:val="18"/>
              </w:rPr>
            </w:pPr>
            <w:r w:rsidRPr="6DDC52AC">
              <w:rPr>
                <w:rFonts w:ascii="Arial" w:eastAsia="Arial" w:hAnsi="Arial" w:cs="Arial"/>
                <w:sz w:val="18"/>
                <w:szCs w:val="18"/>
              </w:rPr>
              <w:t>The Stolen Generation</w:t>
            </w:r>
            <w:r w:rsidR="002B180F">
              <w:rPr>
                <w:rFonts w:ascii="Arial" w:eastAsia="Arial" w:hAnsi="Arial" w:cs="Arial"/>
                <w:sz w:val="18"/>
                <w:szCs w:val="18"/>
              </w:rPr>
              <w:t>s</w:t>
            </w:r>
            <w:r w:rsidRPr="6DDC52AC">
              <w:rPr>
                <w:rFonts w:ascii="Arial" w:eastAsia="Arial" w:hAnsi="Arial" w:cs="Arial"/>
                <w:sz w:val="18"/>
                <w:szCs w:val="18"/>
              </w:rPr>
              <w:t xml:space="preserve"> Reparations Scheme provides ex-gratia payments to living Stolen Generations survivors who were removed by, committed to, or otherwise came into the care of the New South Wales Aborigines Protection or Welfare Boards (under the </w:t>
            </w:r>
            <w:r w:rsidRPr="6DDC52AC">
              <w:rPr>
                <w:rFonts w:ascii="Arial" w:eastAsia="Arial" w:hAnsi="Arial" w:cs="Arial"/>
                <w:i/>
                <w:iCs/>
                <w:sz w:val="18"/>
                <w:szCs w:val="18"/>
              </w:rPr>
              <w:t>Aborigines Protection Act 1909</w:t>
            </w:r>
            <w:r w:rsidR="00054E2C">
              <w:rPr>
                <w:rFonts w:ascii="Arial" w:eastAsia="Arial" w:hAnsi="Arial" w:cs="Arial"/>
                <w:i/>
                <w:iCs/>
                <w:sz w:val="18"/>
                <w:szCs w:val="18"/>
              </w:rPr>
              <w:t xml:space="preserve"> (NSW)</w:t>
            </w:r>
            <w:r w:rsidRPr="6DDC52AC">
              <w:rPr>
                <w:rFonts w:ascii="Arial" w:eastAsia="Arial" w:hAnsi="Arial" w:cs="Arial"/>
                <w:sz w:val="18"/>
                <w:szCs w:val="18"/>
              </w:rPr>
              <w:t>, up until the Act was repealed on 2 June 1969)</w:t>
            </w:r>
          </w:p>
        </w:tc>
      </w:tr>
      <w:tr w:rsidR="00FF42F7" w:rsidRPr="001E79C7" w14:paraId="16B79E0E" w14:textId="77777777" w:rsidTr="5D2EE401">
        <w:tc>
          <w:tcPr>
            <w:tcW w:w="3823" w:type="dxa"/>
          </w:tcPr>
          <w:p w14:paraId="6647BE62" w14:textId="2CE52031" w:rsidR="00FF42F7" w:rsidRPr="001E79C7" w:rsidRDefault="00FF42F7">
            <w:pPr>
              <w:spacing w:before="60" w:after="60"/>
              <w:rPr>
                <w:rFonts w:ascii="Arial" w:hAnsi="Arial" w:cs="Arial"/>
                <w:sz w:val="18"/>
                <w:szCs w:val="18"/>
              </w:rPr>
            </w:pPr>
            <w:r w:rsidRPr="001E79C7">
              <w:rPr>
                <w:rFonts w:ascii="Arial" w:hAnsi="Arial" w:cs="Arial"/>
                <w:sz w:val="18"/>
                <w:szCs w:val="18"/>
              </w:rPr>
              <w:t xml:space="preserve">Contaminated </w:t>
            </w:r>
            <w:r w:rsidR="002D3F9D">
              <w:rPr>
                <w:rFonts w:ascii="Arial" w:hAnsi="Arial" w:cs="Arial"/>
                <w:sz w:val="18"/>
                <w:szCs w:val="18"/>
              </w:rPr>
              <w:t>l</w:t>
            </w:r>
            <w:r w:rsidRPr="001E79C7">
              <w:rPr>
                <w:rFonts w:ascii="Arial" w:hAnsi="Arial" w:cs="Arial"/>
                <w:sz w:val="18"/>
                <w:szCs w:val="18"/>
              </w:rPr>
              <w:t>and</w:t>
            </w:r>
          </w:p>
        </w:tc>
        <w:tc>
          <w:tcPr>
            <w:tcW w:w="5811" w:type="dxa"/>
            <w:vAlign w:val="center"/>
          </w:tcPr>
          <w:p w14:paraId="695FAE89" w14:textId="0E2608FF" w:rsidR="00FF42F7" w:rsidRPr="001E79C7" w:rsidRDefault="00353319">
            <w:pPr>
              <w:spacing w:before="60" w:after="60"/>
              <w:rPr>
                <w:rFonts w:ascii="Arial" w:hAnsi="Arial" w:cs="Arial"/>
                <w:sz w:val="18"/>
                <w:szCs w:val="18"/>
              </w:rPr>
            </w:pPr>
            <w:r w:rsidRPr="001E79C7">
              <w:rPr>
                <w:rFonts w:ascii="Arial" w:hAnsi="Arial" w:cs="Arial"/>
                <w:sz w:val="18"/>
                <w:szCs w:val="18"/>
              </w:rPr>
              <w:t xml:space="preserve">A number of </w:t>
            </w:r>
            <w:r w:rsidR="00A81200" w:rsidRPr="001E79C7">
              <w:rPr>
                <w:rFonts w:ascii="Arial" w:hAnsi="Arial" w:cs="Arial"/>
                <w:sz w:val="18"/>
                <w:szCs w:val="18"/>
              </w:rPr>
              <w:t xml:space="preserve">Crown land </w:t>
            </w:r>
            <w:r w:rsidRPr="001E79C7">
              <w:rPr>
                <w:rFonts w:ascii="Arial" w:hAnsi="Arial" w:cs="Arial"/>
                <w:sz w:val="18"/>
                <w:szCs w:val="18"/>
              </w:rPr>
              <w:t xml:space="preserve">sites in the State have been assessed as </w:t>
            </w:r>
            <w:r w:rsidR="003605D5" w:rsidRPr="001E79C7">
              <w:rPr>
                <w:rFonts w:ascii="Arial" w:hAnsi="Arial" w:cs="Arial"/>
                <w:sz w:val="18"/>
                <w:szCs w:val="18"/>
              </w:rPr>
              <w:t>being potentially contaminated and needing remediation. Most are subject to preliminary site investigations or clean up works which might not incur a financial liability.</w:t>
            </w:r>
          </w:p>
        </w:tc>
      </w:tr>
      <w:tr w:rsidR="00B74827" w:rsidRPr="001E79C7" w14:paraId="428FF976" w14:textId="77777777" w:rsidTr="5D2EE401">
        <w:tc>
          <w:tcPr>
            <w:tcW w:w="3823" w:type="dxa"/>
          </w:tcPr>
          <w:p w14:paraId="30FA410A" w14:textId="38DCF709" w:rsidR="00B74827" w:rsidRPr="001E79C7" w:rsidRDefault="00B74827">
            <w:pPr>
              <w:spacing w:before="60" w:after="60"/>
              <w:rPr>
                <w:rFonts w:ascii="Arial" w:hAnsi="Arial" w:cs="Arial"/>
                <w:sz w:val="18"/>
                <w:szCs w:val="18"/>
              </w:rPr>
            </w:pPr>
            <w:r w:rsidRPr="001E79C7">
              <w:rPr>
                <w:rFonts w:ascii="Arial" w:hAnsi="Arial" w:cs="Arial"/>
                <w:sz w:val="18"/>
                <w:szCs w:val="18"/>
              </w:rPr>
              <w:t xml:space="preserve">Other </w:t>
            </w:r>
            <w:r w:rsidR="002D3F9D">
              <w:rPr>
                <w:rFonts w:ascii="Arial" w:hAnsi="Arial" w:cs="Arial"/>
                <w:sz w:val="18"/>
                <w:szCs w:val="18"/>
              </w:rPr>
              <w:t>c</w:t>
            </w:r>
            <w:r w:rsidRPr="001E79C7">
              <w:rPr>
                <w:rFonts w:ascii="Arial" w:hAnsi="Arial" w:cs="Arial"/>
                <w:sz w:val="18"/>
                <w:szCs w:val="18"/>
              </w:rPr>
              <w:t xml:space="preserve">ontaminated </w:t>
            </w:r>
            <w:r w:rsidR="002D3F9D">
              <w:rPr>
                <w:rFonts w:ascii="Arial" w:hAnsi="Arial" w:cs="Arial"/>
                <w:sz w:val="18"/>
                <w:szCs w:val="18"/>
              </w:rPr>
              <w:t>l</w:t>
            </w:r>
            <w:r w:rsidRPr="001E79C7">
              <w:rPr>
                <w:rFonts w:ascii="Arial" w:hAnsi="Arial" w:cs="Arial"/>
                <w:sz w:val="18"/>
                <w:szCs w:val="18"/>
              </w:rPr>
              <w:t xml:space="preserve">and </w:t>
            </w:r>
          </w:p>
        </w:tc>
        <w:tc>
          <w:tcPr>
            <w:tcW w:w="5811" w:type="dxa"/>
            <w:vAlign w:val="center"/>
          </w:tcPr>
          <w:p w14:paraId="0B9DDF66" w14:textId="25BAD51D" w:rsidR="00B74827" w:rsidRPr="001E79C7" w:rsidRDefault="00707FD6">
            <w:pPr>
              <w:spacing w:before="60" w:after="60"/>
              <w:rPr>
                <w:rFonts w:ascii="Arial" w:hAnsi="Arial" w:cs="Arial"/>
                <w:sz w:val="18"/>
                <w:szCs w:val="18"/>
              </w:rPr>
            </w:pPr>
            <w:r w:rsidRPr="001E79C7">
              <w:rPr>
                <w:rFonts w:ascii="Arial" w:hAnsi="Arial" w:cs="Arial"/>
                <w:sz w:val="18"/>
                <w:szCs w:val="18"/>
              </w:rPr>
              <w:t xml:space="preserve">The State has been made aware </w:t>
            </w:r>
            <w:r w:rsidR="00BD0E9C" w:rsidRPr="001E79C7">
              <w:rPr>
                <w:rFonts w:ascii="Arial" w:hAnsi="Arial" w:cs="Arial"/>
                <w:sz w:val="18"/>
                <w:szCs w:val="18"/>
              </w:rPr>
              <w:t xml:space="preserve">that </w:t>
            </w:r>
            <w:r w:rsidRPr="001E79C7">
              <w:rPr>
                <w:rFonts w:ascii="Arial" w:hAnsi="Arial" w:cs="Arial"/>
                <w:sz w:val="18"/>
                <w:szCs w:val="18"/>
              </w:rPr>
              <w:t xml:space="preserve">soil and water sample tests </w:t>
            </w:r>
            <w:r w:rsidR="00BD0E9C" w:rsidRPr="001E79C7">
              <w:rPr>
                <w:rFonts w:ascii="Arial" w:hAnsi="Arial" w:cs="Arial"/>
                <w:sz w:val="18"/>
                <w:szCs w:val="18"/>
              </w:rPr>
              <w:t xml:space="preserve">have </w:t>
            </w:r>
            <w:r w:rsidRPr="001E79C7">
              <w:rPr>
                <w:rFonts w:ascii="Arial" w:hAnsi="Arial" w:cs="Arial"/>
                <w:sz w:val="18"/>
                <w:szCs w:val="18"/>
              </w:rPr>
              <w:t xml:space="preserve">potentially elevated readings of </w:t>
            </w:r>
            <w:proofErr w:type="spellStart"/>
            <w:r w:rsidRPr="001E79C7">
              <w:rPr>
                <w:rFonts w:ascii="Arial" w:hAnsi="Arial" w:cs="Arial"/>
                <w:sz w:val="18"/>
                <w:szCs w:val="18"/>
              </w:rPr>
              <w:t>perfluorooctane</w:t>
            </w:r>
            <w:proofErr w:type="spellEnd"/>
            <w:r w:rsidRPr="001E79C7">
              <w:rPr>
                <w:rFonts w:ascii="Arial" w:hAnsi="Arial" w:cs="Arial"/>
                <w:sz w:val="18"/>
                <w:szCs w:val="18"/>
              </w:rPr>
              <w:t xml:space="preserve"> sulfonate (PFOS) and perfluorooctanoic acid (PFOA) at a number of </w:t>
            </w:r>
            <w:r w:rsidR="00CA7947" w:rsidRPr="001E79C7">
              <w:rPr>
                <w:rFonts w:ascii="Arial" w:hAnsi="Arial" w:cs="Arial"/>
                <w:sz w:val="18"/>
                <w:szCs w:val="18"/>
              </w:rPr>
              <w:t>State</w:t>
            </w:r>
            <w:r w:rsidR="00495386">
              <w:rPr>
                <w:rFonts w:ascii="Arial" w:hAnsi="Arial" w:cs="Arial"/>
                <w:sz w:val="18"/>
                <w:szCs w:val="18"/>
              </w:rPr>
              <w:noBreakHyphen/>
            </w:r>
            <w:r w:rsidR="00CA7947" w:rsidRPr="001E79C7">
              <w:rPr>
                <w:rFonts w:ascii="Arial" w:hAnsi="Arial" w:cs="Arial"/>
                <w:sz w:val="18"/>
                <w:szCs w:val="18"/>
              </w:rPr>
              <w:t xml:space="preserve">owned land </w:t>
            </w:r>
            <w:r w:rsidRPr="001E79C7">
              <w:rPr>
                <w:rFonts w:ascii="Arial" w:hAnsi="Arial" w:cs="Arial"/>
                <w:sz w:val="18"/>
                <w:szCs w:val="18"/>
              </w:rPr>
              <w:t>sites. The S</w:t>
            </w:r>
            <w:r w:rsidR="00CA7947" w:rsidRPr="001E79C7">
              <w:rPr>
                <w:rFonts w:ascii="Arial" w:hAnsi="Arial" w:cs="Arial"/>
                <w:sz w:val="18"/>
                <w:szCs w:val="18"/>
              </w:rPr>
              <w:t>tate</w:t>
            </w:r>
            <w:r w:rsidRPr="001E79C7">
              <w:rPr>
                <w:rFonts w:ascii="Arial" w:hAnsi="Arial" w:cs="Arial"/>
                <w:sz w:val="18"/>
                <w:szCs w:val="18"/>
              </w:rPr>
              <w:t xml:space="preserve"> is insured for any remediation work that may be required. </w:t>
            </w:r>
            <w:r w:rsidR="00282D12" w:rsidRPr="001E79C7">
              <w:rPr>
                <w:rFonts w:ascii="Arial" w:hAnsi="Arial" w:cs="Arial"/>
                <w:sz w:val="18"/>
                <w:szCs w:val="18"/>
              </w:rPr>
              <w:t>The final remediation costs of the impacted properties remain uncertain.</w:t>
            </w:r>
          </w:p>
        </w:tc>
      </w:tr>
      <w:tr w:rsidR="00FF42F7" w:rsidRPr="001E79C7" w14:paraId="5880F78B" w14:textId="77777777" w:rsidTr="5D2EE401">
        <w:tc>
          <w:tcPr>
            <w:tcW w:w="3823" w:type="dxa"/>
          </w:tcPr>
          <w:p w14:paraId="25BF32F1" w14:textId="0B508EA7" w:rsidR="00FF42F7" w:rsidRPr="001E79C7" w:rsidRDefault="39A7AB95">
            <w:pPr>
              <w:spacing w:before="60" w:after="60"/>
              <w:rPr>
                <w:rFonts w:ascii="Arial" w:hAnsi="Arial" w:cs="Arial"/>
                <w:sz w:val="18"/>
                <w:szCs w:val="18"/>
              </w:rPr>
            </w:pPr>
            <w:r w:rsidRPr="6DDC52AC">
              <w:rPr>
                <w:rFonts w:ascii="Arial" w:hAnsi="Arial" w:cs="Arial"/>
                <w:sz w:val="18"/>
                <w:szCs w:val="18"/>
              </w:rPr>
              <w:t xml:space="preserve">Claims and </w:t>
            </w:r>
            <w:r w:rsidR="00B74827" w:rsidRPr="001E79C7">
              <w:rPr>
                <w:rFonts w:ascii="Arial" w:hAnsi="Arial" w:cs="Arial"/>
                <w:sz w:val="18"/>
                <w:szCs w:val="18"/>
              </w:rPr>
              <w:t>L</w:t>
            </w:r>
            <w:r w:rsidR="00FF42F7" w:rsidRPr="001E79C7">
              <w:rPr>
                <w:rFonts w:ascii="Arial" w:hAnsi="Arial" w:cs="Arial"/>
                <w:sz w:val="18"/>
                <w:szCs w:val="18"/>
              </w:rPr>
              <w:t>itigation</w:t>
            </w:r>
          </w:p>
        </w:tc>
        <w:tc>
          <w:tcPr>
            <w:tcW w:w="5811" w:type="dxa"/>
            <w:vAlign w:val="center"/>
          </w:tcPr>
          <w:p w14:paraId="33121A1F" w14:textId="59E2311E" w:rsidR="00FF42F7" w:rsidRPr="001E79C7" w:rsidRDefault="003417DB">
            <w:pPr>
              <w:spacing w:before="60" w:after="60"/>
              <w:rPr>
                <w:rFonts w:ascii="Arial" w:hAnsi="Arial" w:cs="Arial"/>
                <w:sz w:val="18"/>
                <w:szCs w:val="18"/>
              </w:rPr>
            </w:pPr>
            <w:r w:rsidRPr="001E79C7">
              <w:rPr>
                <w:rFonts w:ascii="Arial" w:hAnsi="Arial" w:cs="Arial"/>
                <w:sz w:val="18"/>
                <w:szCs w:val="18"/>
              </w:rPr>
              <w:t>State agencies and corporations are subject to various claims and litigation in the normal course of operations. The quantum of these claims cannot accurately be determined.</w:t>
            </w:r>
            <w:r w:rsidR="00680856" w:rsidRPr="001E79C7">
              <w:rPr>
                <w:rFonts w:ascii="Arial" w:hAnsi="Arial" w:cs="Arial"/>
                <w:sz w:val="18"/>
                <w:szCs w:val="18"/>
              </w:rPr>
              <w:t xml:space="preserve"> </w:t>
            </w:r>
          </w:p>
        </w:tc>
      </w:tr>
      <w:tr w:rsidR="6DDC52AC" w14:paraId="2C68B232" w14:textId="77777777" w:rsidTr="6DDC52AC">
        <w:tc>
          <w:tcPr>
            <w:tcW w:w="3823" w:type="dxa"/>
          </w:tcPr>
          <w:p w14:paraId="5B48D496" w14:textId="1B0C7BDA" w:rsidR="6DDC52AC" w:rsidRDefault="6DDC52AC" w:rsidP="00221914">
            <w:pPr>
              <w:spacing w:before="60" w:after="60"/>
              <w:rPr>
                <w:rFonts w:ascii="Arial" w:hAnsi="Arial" w:cs="Arial"/>
                <w:sz w:val="18"/>
                <w:szCs w:val="18"/>
              </w:rPr>
            </w:pPr>
            <w:r w:rsidRPr="6DDC52AC">
              <w:rPr>
                <w:rFonts w:ascii="Arial" w:hAnsi="Arial" w:cs="Arial"/>
                <w:sz w:val="18"/>
                <w:szCs w:val="18"/>
              </w:rPr>
              <w:t xml:space="preserve">Natural Disasters </w:t>
            </w:r>
          </w:p>
        </w:tc>
        <w:tc>
          <w:tcPr>
            <w:tcW w:w="5811" w:type="dxa"/>
            <w:vAlign w:val="center"/>
          </w:tcPr>
          <w:p w14:paraId="3591E21B" w14:textId="7C2A96B7" w:rsidR="6DDC52AC" w:rsidRDefault="6DDC52AC" w:rsidP="00221914">
            <w:pPr>
              <w:spacing w:before="60" w:after="60"/>
              <w:rPr>
                <w:rFonts w:ascii="Arial" w:hAnsi="Arial" w:cs="Arial"/>
                <w:sz w:val="18"/>
                <w:szCs w:val="18"/>
              </w:rPr>
            </w:pPr>
            <w:r w:rsidRPr="6DDC52AC">
              <w:rPr>
                <w:rFonts w:ascii="Arial" w:hAnsi="Arial" w:cs="Arial"/>
                <w:sz w:val="18"/>
                <w:szCs w:val="18"/>
              </w:rPr>
              <w:t xml:space="preserve">The State is assessing damages to physical assets caused by bushfires and floods. The full extent of this cannot be estimated at this point of time. </w:t>
            </w:r>
          </w:p>
        </w:tc>
      </w:tr>
      <w:tr w:rsidR="00FF42F7" w:rsidRPr="001E79C7" w14:paraId="591F328B" w14:textId="77777777" w:rsidTr="5D2EE401">
        <w:tc>
          <w:tcPr>
            <w:tcW w:w="3823" w:type="dxa"/>
          </w:tcPr>
          <w:p w14:paraId="66A578FE" w14:textId="0FFDECC3" w:rsidR="00FF42F7" w:rsidRPr="001E79C7" w:rsidRDefault="00FF42F7">
            <w:pPr>
              <w:spacing w:before="60" w:after="60"/>
              <w:rPr>
                <w:rFonts w:ascii="Arial" w:hAnsi="Arial" w:cs="Arial"/>
                <w:sz w:val="18"/>
                <w:szCs w:val="18"/>
              </w:rPr>
            </w:pPr>
            <w:r w:rsidRPr="001E79C7">
              <w:rPr>
                <w:rFonts w:ascii="Arial" w:hAnsi="Arial" w:cs="Arial"/>
                <w:sz w:val="18"/>
                <w:szCs w:val="18"/>
              </w:rPr>
              <w:t xml:space="preserve">Unclaimed </w:t>
            </w:r>
            <w:r w:rsidR="002D3F9D">
              <w:rPr>
                <w:rFonts w:ascii="Arial" w:hAnsi="Arial" w:cs="Arial"/>
                <w:sz w:val="18"/>
                <w:szCs w:val="18"/>
              </w:rPr>
              <w:t>m</w:t>
            </w:r>
            <w:r w:rsidRPr="001E79C7">
              <w:rPr>
                <w:rFonts w:ascii="Arial" w:hAnsi="Arial" w:cs="Arial"/>
                <w:sz w:val="18"/>
                <w:szCs w:val="18"/>
              </w:rPr>
              <w:t xml:space="preserve">oney – Consolidated </w:t>
            </w:r>
            <w:r w:rsidR="0090653B" w:rsidRPr="001E79C7">
              <w:rPr>
                <w:rFonts w:ascii="Arial" w:hAnsi="Arial" w:cs="Arial"/>
                <w:sz w:val="18"/>
                <w:szCs w:val="18"/>
              </w:rPr>
              <w:t>F</w:t>
            </w:r>
            <w:r w:rsidRPr="001E79C7">
              <w:rPr>
                <w:rFonts w:ascii="Arial" w:hAnsi="Arial" w:cs="Arial"/>
                <w:sz w:val="18"/>
                <w:szCs w:val="18"/>
              </w:rPr>
              <w:t>und</w:t>
            </w:r>
          </w:p>
        </w:tc>
        <w:tc>
          <w:tcPr>
            <w:tcW w:w="5811" w:type="dxa"/>
            <w:vAlign w:val="center"/>
          </w:tcPr>
          <w:p w14:paraId="751F9EE2" w14:textId="6B4FFEF8" w:rsidR="00FF42F7" w:rsidRPr="001E79C7" w:rsidRDefault="003417DB">
            <w:pPr>
              <w:spacing w:before="60" w:after="60"/>
              <w:rPr>
                <w:rFonts w:ascii="Arial" w:hAnsi="Arial" w:cs="Arial"/>
                <w:sz w:val="18"/>
                <w:szCs w:val="18"/>
              </w:rPr>
            </w:pPr>
            <w:r w:rsidRPr="001E79C7">
              <w:rPr>
                <w:rFonts w:ascii="Arial" w:hAnsi="Arial" w:cs="Arial"/>
                <w:sz w:val="18"/>
                <w:szCs w:val="18"/>
              </w:rPr>
              <w:t xml:space="preserve">The State treats the receipt of unclaimed money to the Consolidated Fund as income. However, claims can be legally lodged </w:t>
            </w:r>
            <w:r w:rsidR="00685D8B" w:rsidRPr="001E79C7">
              <w:rPr>
                <w:rFonts w:ascii="Arial" w:hAnsi="Arial" w:cs="Arial"/>
                <w:sz w:val="18"/>
                <w:szCs w:val="18"/>
              </w:rPr>
              <w:t xml:space="preserve">to recoup owed moneys </w:t>
            </w:r>
            <w:r w:rsidRPr="001E79C7">
              <w:rPr>
                <w:rFonts w:ascii="Arial" w:hAnsi="Arial" w:cs="Arial"/>
                <w:sz w:val="18"/>
                <w:szCs w:val="18"/>
              </w:rPr>
              <w:t>for several years after the money is paid into the Fund.</w:t>
            </w:r>
          </w:p>
        </w:tc>
      </w:tr>
      <w:tr w:rsidR="006D60C3" w:rsidRPr="001E79C7" w14:paraId="25829F03" w14:textId="77777777" w:rsidTr="5D2EE401">
        <w:tc>
          <w:tcPr>
            <w:tcW w:w="3823" w:type="dxa"/>
          </w:tcPr>
          <w:p w14:paraId="41375CB6" w14:textId="53A1D2EA" w:rsidR="006D60C3" w:rsidRPr="003F401B" w:rsidRDefault="00913FA0">
            <w:pPr>
              <w:spacing w:before="60" w:after="60"/>
              <w:rPr>
                <w:rFonts w:ascii="Arial" w:hAnsi="Arial" w:cs="Arial"/>
                <w:sz w:val="18"/>
                <w:szCs w:val="18"/>
              </w:rPr>
            </w:pPr>
            <w:r w:rsidRPr="003F401B">
              <w:rPr>
                <w:rFonts w:ascii="Arial" w:hAnsi="Arial" w:cs="Arial"/>
                <w:sz w:val="18"/>
                <w:szCs w:val="18"/>
              </w:rPr>
              <w:t xml:space="preserve">Allianz Stadium </w:t>
            </w:r>
            <w:r w:rsidR="002D3F9D" w:rsidRPr="003F401B">
              <w:rPr>
                <w:rFonts w:ascii="Arial" w:hAnsi="Arial" w:cs="Arial"/>
                <w:sz w:val="18"/>
                <w:szCs w:val="18"/>
              </w:rPr>
              <w:t>d</w:t>
            </w:r>
            <w:r w:rsidRPr="003F401B">
              <w:rPr>
                <w:rFonts w:ascii="Arial" w:hAnsi="Arial" w:cs="Arial"/>
                <w:sz w:val="18"/>
                <w:szCs w:val="18"/>
              </w:rPr>
              <w:t xml:space="preserve">isclosures </w:t>
            </w:r>
          </w:p>
        </w:tc>
        <w:tc>
          <w:tcPr>
            <w:tcW w:w="5811" w:type="dxa"/>
            <w:vAlign w:val="center"/>
          </w:tcPr>
          <w:p w14:paraId="03EC90FB" w14:textId="2E50DB48" w:rsidR="006D60C3" w:rsidRPr="003F401B" w:rsidRDefault="00CA3544">
            <w:pPr>
              <w:spacing w:before="60" w:after="60"/>
              <w:rPr>
                <w:rFonts w:ascii="Arial" w:hAnsi="Arial" w:cs="Arial"/>
                <w:sz w:val="18"/>
                <w:szCs w:val="18"/>
              </w:rPr>
            </w:pPr>
            <w:r w:rsidRPr="003F401B">
              <w:rPr>
                <w:rFonts w:ascii="Arial" w:hAnsi="Arial" w:cs="Arial"/>
                <w:sz w:val="18"/>
                <w:szCs w:val="18"/>
              </w:rPr>
              <w:t xml:space="preserve">Allianz Stadium </w:t>
            </w:r>
            <w:r w:rsidR="00D40DE5" w:rsidRPr="003F401B">
              <w:rPr>
                <w:rFonts w:ascii="Arial" w:hAnsi="Arial" w:cs="Arial"/>
                <w:sz w:val="18"/>
                <w:szCs w:val="18"/>
              </w:rPr>
              <w:t>is being redeveloped</w:t>
            </w:r>
            <w:r w:rsidR="003A7B18" w:rsidRPr="003F401B">
              <w:rPr>
                <w:rFonts w:ascii="Arial" w:hAnsi="Arial" w:cs="Arial"/>
                <w:sz w:val="18"/>
                <w:szCs w:val="18"/>
              </w:rPr>
              <w:t xml:space="preserve"> by the State</w:t>
            </w:r>
            <w:r w:rsidRPr="003F401B">
              <w:rPr>
                <w:rFonts w:ascii="Arial" w:hAnsi="Arial" w:cs="Arial"/>
                <w:sz w:val="18"/>
                <w:szCs w:val="18"/>
              </w:rPr>
              <w:t xml:space="preserve">. As such, events </w:t>
            </w:r>
            <w:r w:rsidR="00E427EF" w:rsidRPr="003F401B">
              <w:rPr>
                <w:rFonts w:ascii="Arial" w:hAnsi="Arial" w:cs="Arial"/>
                <w:sz w:val="18"/>
                <w:szCs w:val="18"/>
              </w:rPr>
              <w:t xml:space="preserve">that were held at Allianz </w:t>
            </w:r>
            <w:r w:rsidR="00A410EF" w:rsidRPr="003F401B">
              <w:rPr>
                <w:rFonts w:ascii="Arial" w:hAnsi="Arial" w:cs="Arial"/>
                <w:sz w:val="18"/>
                <w:szCs w:val="18"/>
              </w:rPr>
              <w:t xml:space="preserve">have been relocated to other venues in NSW. The State entered into contractual commitments for costs related to the </w:t>
            </w:r>
            <w:r w:rsidR="00D108E6" w:rsidRPr="003F401B">
              <w:rPr>
                <w:rFonts w:ascii="Arial" w:hAnsi="Arial" w:cs="Arial"/>
                <w:sz w:val="18"/>
                <w:szCs w:val="18"/>
              </w:rPr>
              <w:t>re</w:t>
            </w:r>
            <w:r w:rsidR="00A410EF" w:rsidRPr="003F401B">
              <w:rPr>
                <w:rFonts w:ascii="Arial" w:hAnsi="Arial" w:cs="Arial"/>
                <w:sz w:val="18"/>
                <w:szCs w:val="18"/>
              </w:rPr>
              <w:t>development</w:t>
            </w:r>
            <w:r w:rsidR="009C711B" w:rsidRPr="003F401B">
              <w:rPr>
                <w:rFonts w:ascii="Arial" w:hAnsi="Arial" w:cs="Arial"/>
                <w:sz w:val="18"/>
                <w:szCs w:val="18"/>
              </w:rPr>
              <w:t xml:space="preserve">. The </w:t>
            </w:r>
            <w:r w:rsidR="008D2725" w:rsidRPr="003F401B">
              <w:rPr>
                <w:rFonts w:ascii="Arial" w:hAnsi="Arial" w:cs="Arial"/>
                <w:sz w:val="18"/>
                <w:szCs w:val="18"/>
              </w:rPr>
              <w:t>financial impacts</w:t>
            </w:r>
            <w:r w:rsidR="005A7634" w:rsidRPr="003F401B">
              <w:rPr>
                <w:rFonts w:ascii="Arial" w:hAnsi="Arial" w:cs="Arial"/>
                <w:sz w:val="18"/>
                <w:szCs w:val="18"/>
              </w:rPr>
              <w:t xml:space="preserve"> </w:t>
            </w:r>
            <w:r w:rsidR="009C711B" w:rsidRPr="003F401B">
              <w:rPr>
                <w:rFonts w:ascii="Arial" w:hAnsi="Arial" w:cs="Arial"/>
                <w:sz w:val="18"/>
                <w:szCs w:val="18"/>
              </w:rPr>
              <w:t xml:space="preserve">related to this </w:t>
            </w:r>
            <w:r w:rsidR="003C02C8" w:rsidRPr="003F401B">
              <w:rPr>
                <w:rFonts w:ascii="Arial" w:hAnsi="Arial" w:cs="Arial"/>
                <w:sz w:val="18"/>
                <w:szCs w:val="18"/>
              </w:rPr>
              <w:t>cannot</w:t>
            </w:r>
            <w:r w:rsidR="005A7634" w:rsidRPr="003F401B">
              <w:rPr>
                <w:rFonts w:ascii="Arial" w:hAnsi="Arial" w:cs="Arial"/>
                <w:sz w:val="18"/>
                <w:szCs w:val="18"/>
              </w:rPr>
              <w:t xml:space="preserve"> be estimated at this </w:t>
            </w:r>
            <w:r w:rsidR="009C711B" w:rsidRPr="003F401B">
              <w:rPr>
                <w:rFonts w:ascii="Arial" w:hAnsi="Arial" w:cs="Arial"/>
                <w:sz w:val="18"/>
                <w:szCs w:val="18"/>
              </w:rPr>
              <w:t xml:space="preserve">point of time. </w:t>
            </w:r>
          </w:p>
        </w:tc>
      </w:tr>
      <w:tr w:rsidR="00FF42F7" w:rsidRPr="001E79C7" w14:paraId="65CA8B52" w14:textId="77777777" w:rsidTr="5D2EE401">
        <w:tc>
          <w:tcPr>
            <w:tcW w:w="3823" w:type="dxa"/>
          </w:tcPr>
          <w:p w14:paraId="1593253E" w14:textId="0225409D" w:rsidR="00FF42F7" w:rsidRPr="001E79C7" w:rsidRDefault="00FF42F7">
            <w:pPr>
              <w:spacing w:before="60" w:after="60"/>
              <w:rPr>
                <w:rFonts w:ascii="Arial" w:hAnsi="Arial" w:cs="Arial"/>
                <w:sz w:val="18"/>
                <w:szCs w:val="18"/>
              </w:rPr>
            </w:pPr>
            <w:r w:rsidRPr="001E79C7">
              <w:rPr>
                <w:rFonts w:ascii="Arial" w:hAnsi="Arial" w:cs="Arial"/>
                <w:sz w:val="18"/>
                <w:szCs w:val="18"/>
              </w:rPr>
              <w:t>Land</w:t>
            </w:r>
            <w:r w:rsidR="002D3F9D">
              <w:rPr>
                <w:rFonts w:ascii="Arial" w:hAnsi="Arial" w:cs="Arial"/>
                <w:sz w:val="18"/>
                <w:szCs w:val="18"/>
              </w:rPr>
              <w:t xml:space="preserve"> A</w:t>
            </w:r>
            <w:r w:rsidRPr="001E79C7">
              <w:rPr>
                <w:rFonts w:ascii="Arial" w:hAnsi="Arial" w:cs="Arial"/>
                <w:sz w:val="18"/>
                <w:szCs w:val="18"/>
              </w:rPr>
              <w:t>cquisition</w:t>
            </w:r>
          </w:p>
        </w:tc>
        <w:tc>
          <w:tcPr>
            <w:tcW w:w="5811" w:type="dxa"/>
            <w:vAlign w:val="center"/>
          </w:tcPr>
          <w:p w14:paraId="49087DAF" w14:textId="749E0D66" w:rsidR="00FF42F7" w:rsidRPr="001E79C7" w:rsidRDefault="003417DB">
            <w:pPr>
              <w:spacing w:before="60" w:after="60"/>
              <w:rPr>
                <w:rFonts w:ascii="Arial" w:hAnsi="Arial" w:cs="Arial"/>
                <w:sz w:val="18"/>
                <w:szCs w:val="18"/>
              </w:rPr>
            </w:pPr>
            <w:r w:rsidRPr="001E79C7">
              <w:rPr>
                <w:rFonts w:ascii="Arial" w:hAnsi="Arial" w:cs="Arial"/>
                <w:sz w:val="18"/>
                <w:szCs w:val="18"/>
              </w:rPr>
              <w:t xml:space="preserve">Claims have been made against the State for compensation for land acquired under the </w:t>
            </w:r>
            <w:r w:rsidRPr="001E79C7">
              <w:rPr>
                <w:rFonts w:ascii="Arial" w:hAnsi="Arial" w:cs="Arial"/>
                <w:i/>
                <w:sz w:val="18"/>
                <w:szCs w:val="18"/>
              </w:rPr>
              <w:t>Land Acquisition (Just Terms Compensation) Act 1991</w:t>
            </w:r>
            <w:r w:rsidR="009D415A" w:rsidRPr="001E79C7">
              <w:rPr>
                <w:rFonts w:ascii="Arial" w:hAnsi="Arial" w:cs="Arial"/>
                <w:i/>
                <w:sz w:val="18"/>
                <w:szCs w:val="18"/>
              </w:rPr>
              <w:t>(NSW)</w:t>
            </w:r>
            <w:r w:rsidRPr="001E79C7">
              <w:rPr>
                <w:rFonts w:ascii="Arial" w:hAnsi="Arial" w:cs="Arial"/>
                <w:sz w:val="18"/>
                <w:szCs w:val="18"/>
              </w:rPr>
              <w:t xml:space="preserve">. </w:t>
            </w:r>
          </w:p>
        </w:tc>
      </w:tr>
      <w:tr w:rsidR="00FD6D2B" w:rsidRPr="001E79C7" w14:paraId="7835356D" w14:textId="77777777" w:rsidTr="001B3725">
        <w:tc>
          <w:tcPr>
            <w:tcW w:w="3823" w:type="dxa"/>
            <w:tcBorders>
              <w:bottom w:val="single" w:sz="4" w:space="0" w:color="A6A6A6" w:themeColor="background1" w:themeShade="A6"/>
            </w:tcBorders>
          </w:tcPr>
          <w:p w14:paraId="5B7E931D" w14:textId="66776F8D" w:rsidR="00FD6D2B" w:rsidRPr="001E79C7" w:rsidRDefault="009B338C">
            <w:pPr>
              <w:spacing w:before="60" w:after="60"/>
              <w:rPr>
                <w:rFonts w:ascii="Arial" w:hAnsi="Arial" w:cs="Arial"/>
                <w:sz w:val="18"/>
                <w:szCs w:val="18"/>
              </w:rPr>
            </w:pPr>
            <w:r w:rsidRPr="001E79C7">
              <w:rPr>
                <w:rFonts w:ascii="Arial" w:hAnsi="Arial" w:cs="Arial"/>
                <w:sz w:val="18"/>
                <w:szCs w:val="18"/>
              </w:rPr>
              <w:t>Underpayments related to Pre-In</w:t>
            </w:r>
            <w:r w:rsidR="00E00375" w:rsidRPr="001E79C7">
              <w:rPr>
                <w:rFonts w:ascii="Arial" w:hAnsi="Arial" w:cs="Arial"/>
                <w:sz w:val="18"/>
                <w:szCs w:val="18"/>
              </w:rPr>
              <w:t xml:space="preserve">jury Average Weekly Earnings (PIAWE) </w:t>
            </w:r>
            <w:r w:rsidR="001A2CC4" w:rsidRPr="001E79C7">
              <w:rPr>
                <w:rFonts w:ascii="Arial" w:hAnsi="Arial" w:cs="Arial"/>
                <w:sz w:val="18"/>
                <w:szCs w:val="18"/>
              </w:rPr>
              <w:t xml:space="preserve">for </w:t>
            </w:r>
            <w:r w:rsidR="006762BC" w:rsidRPr="001E79C7">
              <w:rPr>
                <w:rFonts w:ascii="Arial" w:hAnsi="Arial" w:cs="Arial"/>
                <w:sz w:val="18"/>
                <w:szCs w:val="18"/>
              </w:rPr>
              <w:t>injured</w:t>
            </w:r>
            <w:r w:rsidR="00B045C9" w:rsidRPr="001E79C7">
              <w:rPr>
                <w:rFonts w:ascii="Arial" w:hAnsi="Arial" w:cs="Arial"/>
                <w:sz w:val="18"/>
                <w:szCs w:val="18"/>
              </w:rPr>
              <w:t xml:space="preserve"> workers covered</w:t>
            </w:r>
            <w:r w:rsidR="00553129" w:rsidRPr="001E79C7">
              <w:rPr>
                <w:rFonts w:ascii="Arial" w:hAnsi="Arial" w:cs="Arial"/>
                <w:sz w:val="18"/>
                <w:szCs w:val="18"/>
              </w:rPr>
              <w:t xml:space="preserve"> </w:t>
            </w:r>
            <w:r w:rsidR="003E3064" w:rsidRPr="001E79C7">
              <w:rPr>
                <w:rFonts w:ascii="Arial" w:hAnsi="Arial" w:cs="Arial"/>
                <w:sz w:val="18"/>
                <w:szCs w:val="18"/>
              </w:rPr>
              <w:t xml:space="preserve">under the </w:t>
            </w:r>
            <w:r w:rsidR="00553129" w:rsidRPr="001E79C7">
              <w:rPr>
                <w:rFonts w:ascii="Arial" w:hAnsi="Arial" w:cs="Arial"/>
                <w:sz w:val="18"/>
                <w:szCs w:val="18"/>
              </w:rPr>
              <w:t>Treasury Managed Fund</w:t>
            </w:r>
          </w:p>
        </w:tc>
        <w:tc>
          <w:tcPr>
            <w:tcW w:w="5811" w:type="dxa"/>
            <w:tcBorders>
              <w:bottom w:val="single" w:sz="4" w:space="0" w:color="A6A6A6" w:themeColor="background1" w:themeShade="A6"/>
            </w:tcBorders>
            <w:vAlign w:val="center"/>
          </w:tcPr>
          <w:p w14:paraId="21DEB793" w14:textId="5AE6E79B" w:rsidR="00FD6D2B" w:rsidRPr="001E79C7" w:rsidRDefault="00AA0FAD">
            <w:pPr>
              <w:spacing w:before="60" w:after="60"/>
              <w:rPr>
                <w:rFonts w:ascii="Arial" w:hAnsi="Arial" w:cs="Arial"/>
                <w:sz w:val="18"/>
                <w:szCs w:val="18"/>
              </w:rPr>
            </w:pPr>
            <w:r w:rsidRPr="001E79C7">
              <w:rPr>
                <w:rFonts w:ascii="Arial" w:hAnsi="Arial" w:cs="Arial"/>
                <w:sz w:val="18"/>
                <w:szCs w:val="18"/>
              </w:rPr>
              <w:t xml:space="preserve">A targeted review designed to identify and remediate, if necessary, instances of under payment of weekly compensation benefits </w:t>
            </w:r>
            <w:r w:rsidR="00BC68E2" w:rsidRPr="001E79C7">
              <w:rPr>
                <w:rFonts w:ascii="Arial" w:hAnsi="Arial" w:cs="Arial"/>
                <w:sz w:val="18"/>
                <w:szCs w:val="18"/>
              </w:rPr>
              <w:t xml:space="preserve">to government workers </w:t>
            </w:r>
            <w:r w:rsidRPr="001E79C7">
              <w:rPr>
                <w:rFonts w:ascii="Arial" w:hAnsi="Arial" w:cs="Arial"/>
                <w:sz w:val="18"/>
                <w:szCs w:val="18"/>
              </w:rPr>
              <w:t>as a result of issues with the calculation of PIAWE benefits is</w:t>
            </w:r>
            <w:r w:rsidRPr="001E79C7" w:rsidDel="007B2D32">
              <w:rPr>
                <w:rFonts w:ascii="Arial" w:hAnsi="Arial" w:cs="Arial"/>
                <w:sz w:val="18"/>
                <w:szCs w:val="18"/>
              </w:rPr>
              <w:t xml:space="preserve"> </w:t>
            </w:r>
            <w:r w:rsidR="007B2D32" w:rsidRPr="001E79C7">
              <w:rPr>
                <w:rFonts w:ascii="Arial" w:hAnsi="Arial" w:cs="Arial"/>
                <w:sz w:val="18"/>
                <w:szCs w:val="18"/>
              </w:rPr>
              <w:t>underway</w:t>
            </w:r>
            <w:r w:rsidR="00E31324" w:rsidRPr="001E79C7">
              <w:rPr>
                <w:rFonts w:ascii="Arial" w:hAnsi="Arial" w:cs="Arial"/>
                <w:sz w:val="18"/>
                <w:szCs w:val="18"/>
              </w:rPr>
              <w:t>,</w:t>
            </w:r>
            <w:r w:rsidR="007B2D32" w:rsidRPr="001E79C7">
              <w:rPr>
                <w:rFonts w:ascii="Arial" w:hAnsi="Arial" w:cs="Arial"/>
                <w:sz w:val="18"/>
                <w:szCs w:val="18"/>
              </w:rPr>
              <w:t xml:space="preserve"> with some recipients already having their </w:t>
            </w:r>
            <w:r w:rsidR="00BF5307" w:rsidRPr="001E79C7">
              <w:rPr>
                <w:rFonts w:ascii="Arial" w:hAnsi="Arial" w:cs="Arial"/>
                <w:sz w:val="18"/>
                <w:szCs w:val="18"/>
              </w:rPr>
              <w:t xml:space="preserve">payments </w:t>
            </w:r>
            <w:r w:rsidR="00C9356A" w:rsidRPr="001E79C7">
              <w:rPr>
                <w:rFonts w:ascii="Arial" w:hAnsi="Arial" w:cs="Arial"/>
                <w:sz w:val="18"/>
                <w:szCs w:val="18"/>
              </w:rPr>
              <w:t>made</w:t>
            </w:r>
            <w:r w:rsidRPr="001E79C7">
              <w:rPr>
                <w:rFonts w:ascii="Arial" w:hAnsi="Arial" w:cs="Arial"/>
                <w:sz w:val="18"/>
                <w:szCs w:val="18"/>
              </w:rPr>
              <w:t xml:space="preserve">. </w:t>
            </w:r>
            <w:r w:rsidR="00353A5F" w:rsidRPr="001E79C7">
              <w:rPr>
                <w:rFonts w:ascii="Arial" w:hAnsi="Arial" w:cs="Arial"/>
                <w:sz w:val="18"/>
                <w:szCs w:val="18"/>
              </w:rPr>
              <w:t xml:space="preserve">It is currently not possible to put an estimate on </w:t>
            </w:r>
            <w:r w:rsidR="00C9356A" w:rsidRPr="001E79C7">
              <w:rPr>
                <w:rFonts w:ascii="Arial" w:hAnsi="Arial" w:cs="Arial"/>
                <w:sz w:val="18"/>
                <w:szCs w:val="18"/>
              </w:rPr>
              <w:t xml:space="preserve">the remaining </w:t>
            </w:r>
            <w:r w:rsidR="00353A5F" w:rsidRPr="001E79C7">
              <w:rPr>
                <w:rFonts w:ascii="Arial" w:hAnsi="Arial" w:cs="Arial"/>
                <w:sz w:val="18"/>
                <w:szCs w:val="18"/>
              </w:rPr>
              <w:t xml:space="preserve">claims. </w:t>
            </w:r>
          </w:p>
        </w:tc>
      </w:tr>
      <w:tr w:rsidR="008B583A" w:rsidRPr="001E79C7" w14:paraId="509D9D04" w14:textId="77777777" w:rsidTr="003E77C8">
        <w:tc>
          <w:tcPr>
            <w:tcW w:w="3823" w:type="dxa"/>
            <w:tcBorders>
              <w:top w:val="single" w:sz="4" w:space="0" w:color="A6A6A6" w:themeColor="background1" w:themeShade="A6"/>
              <w:bottom w:val="single" w:sz="4" w:space="0" w:color="A6A6A6" w:themeColor="background1" w:themeShade="A6"/>
              <w:right w:val="nil"/>
            </w:tcBorders>
          </w:tcPr>
          <w:p w14:paraId="7C75F93D" w14:textId="20B36A4D" w:rsidR="008B583A" w:rsidRPr="001E79C7" w:rsidRDefault="00836601">
            <w:pPr>
              <w:spacing w:before="60" w:after="60"/>
              <w:rPr>
                <w:rFonts w:ascii="Arial" w:hAnsi="Arial" w:cs="Arial"/>
                <w:sz w:val="18"/>
                <w:szCs w:val="18"/>
              </w:rPr>
            </w:pPr>
            <w:r w:rsidRPr="001E79C7">
              <w:rPr>
                <w:rFonts w:ascii="Arial" w:hAnsi="Arial" w:cs="Arial"/>
                <w:sz w:val="18"/>
                <w:szCs w:val="18"/>
              </w:rPr>
              <w:t>Contracts with private sector parties</w:t>
            </w:r>
          </w:p>
        </w:tc>
        <w:tc>
          <w:tcPr>
            <w:tcW w:w="5811" w:type="dxa"/>
            <w:tcBorders>
              <w:top w:val="single" w:sz="4" w:space="0" w:color="A6A6A6" w:themeColor="background1" w:themeShade="A6"/>
              <w:left w:val="nil"/>
              <w:bottom w:val="single" w:sz="4" w:space="0" w:color="A6A6A6" w:themeColor="background1" w:themeShade="A6"/>
            </w:tcBorders>
            <w:vAlign w:val="center"/>
          </w:tcPr>
          <w:p w14:paraId="54E7831C" w14:textId="3AC9EDED" w:rsidR="008B583A" w:rsidRPr="001E79C7" w:rsidRDefault="008B583A">
            <w:pPr>
              <w:spacing w:before="60" w:after="60"/>
              <w:rPr>
                <w:rFonts w:ascii="Arial" w:hAnsi="Arial" w:cs="Arial"/>
                <w:sz w:val="18"/>
                <w:szCs w:val="18"/>
              </w:rPr>
            </w:pPr>
            <w:r w:rsidRPr="001E79C7">
              <w:rPr>
                <w:rFonts w:ascii="Arial" w:hAnsi="Arial" w:cs="Arial"/>
                <w:sz w:val="18"/>
                <w:szCs w:val="18"/>
              </w:rPr>
              <w:t xml:space="preserve">The </w:t>
            </w:r>
            <w:r w:rsidR="00DF77F6" w:rsidRPr="001E79C7">
              <w:rPr>
                <w:rFonts w:ascii="Arial" w:hAnsi="Arial" w:cs="Arial"/>
                <w:sz w:val="18"/>
                <w:szCs w:val="18"/>
              </w:rPr>
              <w:t>State</w:t>
            </w:r>
            <w:r w:rsidRPr="001E79C7">
              <w:rPr>
                <w:rFonts w:ascii="Arial" w:hAnsi="Arial" w:cs="Arial"/>
                <w:sz w:val="18"/>
                <w:szCs w:val="18"/>
              </w:rPr>
              <w:t xml:space="preserve"> has guaranteed the obligations and performance of various statutory authorities with private sector contracts. </w:t>
            </w:r>
          </w:p>
        </w:tc>
      </w:tr>
      <w:tr w:rsidR="004A6E5E" w:rsidRPr="001E79C7" w14:paraId="3CD3EEA7" w14:textId="77777777" w:rsidTr="003F401B">
        <w:tc>
          <w:tcPr>
            <w:tcW w:w="3823" w:type="dxa"/>
            <w:tcBorders>
              <w:top w:val="single" w:sz="4" w:space="0" w:color="A6A6A6" w:themeColor="background1" w:themeShade="A6"/>
              <w:left w:val="nil"/>
              <w:bottom w:val="single" w:sz="4" w:space="0" w:color="A6A6A6" w:themeColor="background1" w:themeShade="A6"/>
              <w:right w:val="nil"/>
            </w:tcBorders>
          </w:tcPr>
          <w:p w14:paraId="2A8E5FC9" w14:textId="54CF3E89" w:rsidR="004A6E5E" w:rsidRPr="001E79C7" w:rsidRDefault="00A4395C">
            <w:pPr>
              <w:spacing w:before="60" w:after="60"/>
              <w:rPr>
                <w:rFonts w:ascii="Arial" w:hAnsi="Arial" w:cs="Arial"/>
                <w:sz w:val="18"/>
                <w:szCs w:val="18"/>
              </w:rPr>
            </w:pPr>
            <w:r w:rsidRPr="001E79C7">
              <w:rPr>
                <w:rFonts w:ascii="Arial" w:hAnsi="Arial" w:cs="Arial"/>
                <w:sz w:val="18"/>
                <w:szCs w:val="18"/>
              </w:rPr>
              <w:t>G</w:t>
            </w:r>
            <w:r w:rsidR="00385519" w:rsidRPr="001E79C7">
              <w:rPr>
                <w:rFonts w:ascii="Arial" w:hAnsi="Arial" w:cs="Arial"/>
                <w:sz w:val="18"/>
                <w:szCs w:val="18"/>
              </w:rPr>
              <w:t>uarantee</w:t>
            </w:r>
            <w:r w:rsidRPr="001E79C7">
              <w:rPr>
                <w:rFonts w:ascii="Arial" w:hAnsi="Arial" w:cs="Arial"/>
                <w:sz w:val="18"/>
                <w:szCs w:val="18"/>
              </w:rPr>
              <w:t xml:space="preserve"> on local </w:t>
            </w:r>
            <w:r w:rsidR="00E0641D" w:rsidRPr="001E79C7">
              <w:rPr>
                <w:rFonts w:ascii="Arial" w:hAnsi="Arial" w:cs="Arial"/>
                <w:sz w:val="18"/>
                <w:szCs w:val="18"/>
              </w:rPr>
              <w:t>government loans</w:t>
            </w:r>
          </w:p>
        </w:tc>
        <w:tc>
          <w:tcPr>
            <w:tcW w:w="5811" w:type="dxa"/>
            <w:tcBorders>
              <w:top w:val="single" w:sz="4" w:space="0" w:color="A6A6A6" w:themeColor="background1" w:themeShade="A6"/>
              <w:left w:val="nil"/>
              <w:bottom w:val="single" w:sz="4" w:space="0" w:color="A6A6A6" w:themeColor="background1" w:themeShade="A6"/>
              <w:right w:val="nil"/>
            </w:tcBorders>
            <w:vAlign w:val="center"/>
          </w:tcPr>
          <w:p w14:paraId="32FD5C8A" w14:textId="1056E8F4" w:rsidR="004A6E5E" w:rsidRPr="001E79C7" w:rsidRDefault="38D3E3FE">
            <w:pPr>
              <w:spacing w:before="60" w:after="60"/>
              <w:rPr>
                <w:rFonts w:ascii="Arial" w:hAnsi="Arial" w:cs="Arial"/>
                <w:sz w:val="18"/>
                <w:szCs w:val="18"/>
              </w:rPr>
            </w:pPr>
            <w:r w:rsidRPr="001E79C7">
              <w:rPr>
                <w:rFonts w:ascii="Arial" w:hAnsi="Arial" w:cs="Arial"/>
                <w:sz w:val="18"/>
                <w:szCs w:val="18"/>
              </w:rPr>
              <w:t>T</w:t>
            </w:r>
            <w:r w:rsidR="54AE9EC0" w:rsidRPr="001E79C7">
              <w:rPr>
                <w:rFonts w:ascii="Arial" w:hAnsi="Arial" w:cs="Arial"/>
                <w:sz w:val="18"/>
                <w:szCs w:val="18"/>
              </w:rPr>
              <w:t xml:space="preserve">he State provides </w:t>
            </w:r>
            <w:r w:rsidR="00385519" w:rsidRPr="001E79C7">
              <w:rPr>
                <w:rFonts w:ascii="Arial" w:hAnsi="Arial" w:cs="Arial"/>
                <w:sz w:val="18"/>
                <w:szCs w:val="18"/>
              </w:rPr>
              <w:t>TCo</w:t>
            </w:r>
            <w:r w:rsidR="00F93C7C" w:rsidRPr="001E79C7">
              <w:rPr>
                <w:rFonts w:ascii="Arial" w:hAnsi="Arial" w:cs="Arial"/>
                <w:sz w:val="18"/>
                <w:szCs w:val="18"/>
              </w:rPr>
              <w:t xml:space="preserve">rp </w:t>
            </w:r>
            <w:r w:rsidR="54AE9EC0" w:rsidRPr="001E79C7">
              <w:rPr>
                <w:rFonts w:ascii="Arial" w:hAnsi="Arial" w:cs="Arial"/>
                <w:sz w:val="18"/>
                <w:szCs w:val="18"/>
              </w:rPr>
              <w:t>with a</w:t>
            </w:r>
            <w:r w:rsidR="001A02A2">
              <w:rPr>
                <w:rFonts w:ascii="Arial" w:hAnsi="Arial" w:cs="Arial"/>
                <w:sz w:val="18"/>
                <w:szCs w:val="18"/>
              </w:rPr>
              <w:t>n indemnity</w:t>
            </w:r>
            <w:r w:rsidR="54AE9EC0" w:rsidRPr="001E79C7">
              <w:rPr>
                <w:rFonts w:ascii="Arial" w:hAnsi="Arial" w:cs="Arial"/>
                <w:sz w:val="18"/>
                <w:szCs w:val="18"/>
              </w:rPr>
              <w:t xml:space="preserve"> </w:t>
            </w:r>
            <w:r w:rsidR="008F1221" w:rsidRPr="001E79C7">
              <w:rPr>
                <w:rFonts w:ascii="Arial" w:hAnsi="Arial" w:cs="Arial"/>
                <w:sz w:val="18"/>
                <w:szCs w:val="18"/>
              </w:rPr>
              <w:t>for</w:t>
            </w:r>
            <w:r w:rsidR="54AE9EC0" w:rsidRPr="001E79C7">
              <w:rPr>
                <w:rFonts w:ascii="Arial" w:hAnsi="Arial" w:cs="Arial"/>
                <w:sz w:val="18"/>
                <w:szCs w:val="18"/>
              </w:rPr>
              <w:t xml:space="preserve"> </w:t>
            </w:r>
            <w:r w:rsidR="0018595E" w:rsidRPr="001E79C7">
              <w:rPr>
                <w:rFonts w:ascii="Arial" w:hAnsi="Arial" w:cs="Arial"/>
                <w:sz w:val="18"/>
                <w:szCs w:val="18"/>
              </w:rPr>
              <w:t>its</w:t>
            </w:r>
            <w:r w:rsidR="54AE9EC0" w:rsidRPr="001E79C7">
              <w:rPr>
                <w:rFonts w:ascii="Arial" w:hAnsi="Arial" w:cs="Arial"/>
                <w:sz w:val="18"/>
                <w:szCs w:val="18"/>
              </w:rPr>
              <w:t xml:space="preserve"> loans to local governments</w:t>
            </w:r>
            <w:r w:rsidR="598C06E9" w:rsidRPr="001E79C7">
              <w:rPr>
                <w:rFonts w:ascii="Arial" w:hAnsi="Arial" w:cs="Arial"/>
                <w:sz w:val="18"/>
                <w:szCs w:val="18"/>
              </w:rPr>
              <w:t>.</w:t>
            </w:r>
          </w:p>
        </w:tc>
      </w:tr>
      <w:tr w:rsidR="00124C6D" w:rsidRPr="001E79C7" w14:paraId="3D6C4E9E" w14:textId="77777777" w:rsidTr="003F401B">
        <w:tc>
          <w:tcPr>
            <w:tcW w:w="3823" w:type="dxa"/>
            <w:tcBorders>
              <w:top w:val="single" w:sz="4" w:space="0" w:color="A6A6A6" w:themeColor="background1" w:themeShade="A6"/>
              <w:left w:val="nil"/>
              <w:bottom w:val="single" w:sz="4" w:space="0" w:color="auto"/>
              <w:right w:val="nil"/>
            </w:tcBorders>
          </w:tcPr>
          <w:p w14:paraId="0461D4F1" w14:textId="08643C31" w:rsidR="0009152A" w:rsidRPr="001E79C7" w:rsidRDefault="0009152A">
            <w:pPr>
              <w:spacing w:before="60" w:after="60"/>
              <w:rPr>
                <w:rFonts w:ascii="Arial" w:hAnsi="Arial" w:cs="Arial"/>
                <w:sz w:val="18"/>
                <w:szCs w:val="18"/>
              </w:rPr>
            </w:pPr>
            <w:r w:rsidRPr="001E79C7">
              <w:rPr>
                <w:rFonts w:ascii="Arial" w:hAnsi="Arial" w:cs="Arial"/>
                <w:sz w:val="18"/>
                <w:szCs w:val="18"/>
              </w:rPr>
              <w:t xml:space="preserve">Other </w:t>
            </w:r>
            <w:r w:rsidR="0094385A" w:rsidRPr="001E79C7">
              <w:rPr>
                <w:rFonts w:ascii="Arial" w:hAnsi="Arial" w:cs="Arial"/>
                <w:sz w:val="18"/>
                <w:szCs w:val="18"/>
              </w:rPr>
              <w:t>g</w:t>
            </w:r>
            <w:r w:rsidRPr="001E79C7">
              <w:rPr>
                <w:rFonts w:ascii="Arial" w:hAnsi="Arial" w:cs="Arial"/>
                <w:sz w:val="18"/>
                <w:szCs w:val="18"/>
              </w:rPr>
              <w:t xml:space="preserve">overnment </w:t>
            </w:r>
            <w:r w:rsidR="0094385A" w:rsidRPr="001E79C7">
              <w:rPr>
                <w:rFonts w:ascii="Arial" w:hAnsi="Arial" w:cs="Arial"/>
                <w:sz w:val="18"/>
                <w:szCs w:val="18"/>
              </w:rPr>
              <w:t>g</w:t>
            </w:r>
            <w:r w:rsidRPr="001E79C7">
              <w:rPr>
                <w:rFonts w:ascii="Arial" w:hAnsi="Arial" w:cs="Arial"/>
                <w:sz w:val="18"/>
                <w:szCs w:val="18"/>
              </w:rPr>
              <w:t xml:space="preserve">uarantees </w:t>
            </w:r>
          </w:p>
          <w:p w14:paraId="6B863525" w14:textId="60316C76" w:rsidR="00124C6D" w:rsidRPr="001E79C7" w:rsidRDefault="00124C6D">
            <w:pPr>
              <w:spacing w:before="60" w:after="60"/>
              <w:rPr>
                <w:rFonts w:ascii="Arial" w:hAnsi="Arial" w:cs="Arial"/>
                <w:sz w:val="18"/>
                <w:szCs w:val="18"/>
              </w:rPr>
            </w:pPr>
          </w:p>
        </w:tc>
        <w:tc>
          <w:tcPr>
            <w:tcW w:w="5811" w:type="dxa"/>
            <w:tcBorders>
              <w:top w:val="single" w:sz="4" w:space="0" w:color="A6A6A6" w:themeColor="background1" w:themeShade="A6"/>
              <w:left w:val="nil"/>
              <w:bottom w:val="single" w:sz="4" w:space="0" w:color="auto"/>
              <w:right w:val="nil"/>
            </w:tcBorders>
            <w:vAlign w:val="center"/>
          </w:tcPr>
          <w:p w14:paraId="16B1C8AD" w14:textId="1172E68F" w:rsidR="00124C6D" w:rsidRPr="001E79C7" w:rsidRDefault="00CB60D6">
            <w:pPr>
              <w:spacing w:before="60" w:after="60"/>
              <w:rPr>
                <w:rFonts w:ascii="Arial" w:hAnsi="Arial" w:cs="Arial"/>
                <w:sz w:val="18"/>
                <w:szCs w:val="18"/>
              </w:rPr>
            </w:pPr>
            <w:r w:rsidRPr="001E79C7">
              <w:rPr>
                <w:rFonts w:ascii="Arial" w:hAnsi="Arial" w:cs="Arial"/>
                <w:sz w:val="18"/>
                <w:szCs w:val="18"/>
              </w:rPr>
              <w:t>The State</w:t>
            </w:r>
            <w:r w:rsidR="00590B3A" w:rsidRPr="001E79C7">
              <w:rPr>
                <w:rFonts w:ascii="Arial" w:hAnsi="Arial" w:cs="Arial"/>
                <w:sz w:val="18"/>
                <w:szCs w:val="18"/>
              </w:rPr>
              <w:t xml:space="preserve"> has</w:t>
            </w:r>
            <w:r w:rsidR="009F630C" w:rsidRPr="001E79C7">
              <w:rPr>
                <w:rFonts w:ascii="Arial" w:hAnsi="Arial" w:cs="Arial"/>
                <w:sz w:val="18"/>
                <w:szCs w:val="18"/>
              </w:rPr>
              <w:t xml:space="preserve"> provided </w:t>
            </w:r>
            <w:r w:rsidR="00C733F0" w:rsidRPr="001E79C7">
              <w:rPr>
                <w:rFonts w:ascii="Arial" w:hAnsi="Arial" w:cs="Arial"/>
                <w:sz w:val="18"/>
                <w:szCs w:val="18"/>
              </w:rPr>
              <w:t>g</w:t>
            </w:r>
            <w:r w:rsidR="009F630C" w:rsidRPr="001E79C7">
              <w:rPr>
                <w:rFonts w:ascii="Arial" w:hAnsi="Arial" w:cs="Arial"/>
                <w:sz w:val="18"/>
                <w:szCs w:val="18"/>
              </w:rPr>
              <w:t xml:space="preserve">overnment </w:t>
            </w:r>
            <w:r w:rsidR="00A603E7" w:rsidRPr="001E79C7">
              <w:rPr>
                <w:rFonts w:ascii="Arial" w:hAnsi="Arial" w:cs="Arial"/>
                <w:sz w:val="18"/>
                <w:szCs w:val="18"/>
              </w:rPr>
              <w:t>g</w:t>
            </w:r>
            <w:r w:rsidR="009F630C" w:rsidRPr="001E79C7">
              <w:rPr>
                <w:rFonts w:ascii="Arial" w:hAnsi="Arial" w:cs="Arial"/>
                <w:sz w:val="18"/>
                <w:szCs w:val="18"/>
              </w:rPr>
              <w:t>uarantees to</w:t>
            </w:r>
            <w:r w:rsidR="00992BE8" w:rsidRPr="001E79C7">
              <w:rPr>
                <w:rFonts w:ascii="Arial" w:hAnsi="Arial" w:cs="Arial"/>
                <w:sz w:val="18"/>
                <w:szCs w:val="18"/>
              </w:rPr>
              <w:t xml:space="preserve"> </w:t>
            </w:r>
            <w:r w:rsidR="00EF009F" w:rsidRPr="001E79C7">
              <w:rPr>
                <w:rFonts w:ascii="Arial" w:hAnsi="Arial" w:cs="Arial"/>
                <w:sz w:val="18"/>
                <w:szCs w:val="18"/>
              </w:rPr>
              <w:t xml:space="preserve">give financial support and </w:t>
            </w:r>
            <w:r w:rsidR="00766D64" w:rsidRPr="001E79C7">
              <w:rPr>
                <w:rFonts w:ascii="Arial" w:hAnsi="Arial" w:cs="Arial"/>
                <w:sz w:val="18"/>
                <w:szCs w:val="18"/>
              </w:rPr>
              <w:t>facilitate certain services</w:t>
            </w:r>
            <w:r w:rsidR="004E451F" w:rsidRPr="001E79C7">
              <w:rPr>
                <w:rFonts w:ascii="Arial" w:hAnsi="Arial" w:cs="Arial"/>
                <w:sz w:val="18"/>
                <w:szCs w:val="18"/>
              </w:rPr>
              <w:t>.</w:t>
            </w:r>
          </w:p>
        </w:tc>
      </w:tr>
      <w:bookmarkEnd w:id="1"/>
    </w:tbl>
    <w:p w14:paraId="6A42ACFC" w14:textId="0BDD7762" w:rsidR="008E7DF7" w:rsidRPr="00E522E6" w:rsidRDefault="008E7DF7">
      <w:pPr>
        <w:rPr>
          <w:rFonts w:eastAsia="Arial Unicode MS"/>
        </w:rPr>
      </w:pPr>
    </w:p>
    <w:sectPr w:rsidR="008E7DF7" w:rsidRPr="00E522E6" w:rsidSect="004D1D69">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4B495" w14:textId="77777777" w:rsidR="002E2F9B" w:rsidRDefault="002E2F9B">
      <w:r>
        <w:separator/>
      </w:r>
    </w:p>
  </w:endnote>
  <w:endnote w:type="continuationSeparator" w:id="0">
    <w:p w14:paraId="03534A90" w14:textId="77777777" w:rsidR="002E2F9B" w:rsidRDefault="002E2F9B">
      <w:r>
        <w:continuationSeparator/>
      </w:r>
    </w:p>
  </w:endnote>
  <w:endnote w:type="continuationNotice" w:id="1">
    <w:p w14:paraId="5F0486FA" w14:textId="77777777" w:rsidR="002E2F9B" w:rsidRDefault="002E2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DECF" w14:textId="304BE9E8" w:rsidR="00FF4C86" w:rsidRDefault="006E7D31" w:rsidP="00FF4C86">
    <w:pPr>
      <w:pBdr>
        <w:top w:val="single" w:sz="4" w:space="4" w:color="auto"/>
      </w:pBdr>
      <w:tabs>
        <w:tab w:val="right" w:pos="9639"/>
      </w:tabs>
      <w:rPr>
        <w:rFonts w:ascii="Arial" w:hAnsi="Arial" w:cs="Arial"/>
        <w:sz w:val="18"/>
        <w:szCs w:val="18"/>
      </w:rPr>
    </w:pPr>
    <w:r>
      <w:rPr>
        <w:rFonts w:ascii="Arial" w:hAnsi="Arial" w:cs="Arial"/>
        <w:sz w:val="18"/>
        <w:szCs w:val="18"/>
      </w:rPr>
      <w:t>C</w:t>
    </w:r>
    <w:r w:rsidRPr="00B610E9">
      <w:rPr>
        <w:rFonts w:ascii="Arial" w:hAnsi="Arial" w:cs="Arial"/>
        <w:sz w:val="18"/>
        <w:szCs w:val="18"/>
      </w:rPr>
      <w:t xml:space="preserve"> - </w:t>
    </w:r>
    <w:r w:rsidRPr="00B610E9">
      <w:rPr>
        <w:rFonts w:ascii="Arial" w:hAnsi="Arial" w:cs="Arial"/>
        <w:sz w:val="18"/>
        <w:szCs w:val="18"/>
      </w:rPr>
      <w:fldChar w:fldCharType="begin"/>
    </w:r>
    <w:r w:rsidRPr="00B610E9">
      <w:rPr>
        <w:rFonts w:ascii="Arial" w:hAnsi="Arial" w:cs="Arial"/>
        <w:sz w:val="18"/>
        <w:szCs w:val="18"/>
      </w:rPr>
      <w:instrText xml:space="preserve"> PAGE   \* MERGEFORMAT </w:instrText>
    </w:r>
    <w:r w:rsidRPr="00B610E9">
      <w:rPr>
        <w:rFonts w:ascii="Arial" w:hAnsi="Arial" w:cs="Arial"/>
        <w:sz w:val="18"/>
        <w:szCs w:val="18"/>
      </w:rPr>
      <w:fldChar w:fldCharType="separate"/>
    </w:r>
    <w:r w:rsidR="00145CF5">
      <w:rPr>
        <w:rFonts w:ascii="Arial" w:hAnsi="Arial" w:cs="Arial"/>
        <w:noProof/>
        <w:sz w:val="18"/>
        <w:szCs w:val="18"/>
      </w:rPr>
      <w:t>2</w:t>
    </w:r>
    <w:r w:rsidRPr="00B610E9">
      <w:rPr>
        <w:rFonts w:ascii="Arial" w:hAnsi="Arial" w:cs="Arial"/>
        <w:sz w:val="18"/>
        <w:szCs w:val="18"/>
      </w:rPr>
      <w:fldChar w:fldCharType="end"/>
    </w:r>
    <w:r>
      <w:rPr>
        <w:rFonts w:ascii="Arial" w:hAnsi="Arial" w:cs="Arial"/>
        <w:sz w:val="18"/>
        <w:szCs w:val="18"/>
      </w:rPr>
      <w:tab/>
    </w:r>
    <w:r w:rsidR="00BD3FF7" w:rsidRPr="00B610E9">
      <w:rPr>
        <w:rFonts w:ascii="Arial" w:hAnsi="Arial" w:cs="Arial"/>
        <w:sz w:val="18"/>
        <w:szCs w:val="18"/>
      </w:rPr>
      <w:t xml:space="preserve">Budget Statement </w:t>
    </w:r>
    <w:r w:rsidR="009E664F">
      <w:rPr>
        <w:rFonts w:ascii="Arial" w:hAnsi="Arial" w:cs="Arial"/>
        <w:sz w:val="18"/>
        <w:szCs w:val="18"/>
      </w:rPr>
      <w:t>202</w:t>
    </w:r>
    <w:r w:rsidR="00FF4C86">
      <w:rPr>
        <w:rFonts w:ascii="Arial" w:hAnsi="Arial" w:cs="Arial"/>
        <w:sz w:val="18"/>
        <w:szCs w:val="18"/>
      </w:rPr>
      <w:t>2</w:t>
    </w:r>
    <w:r w:rsidR="009E664F">
      <w:rPr>
        <w:rFonts w:ascii="Arial" w:hAnsi="Arial" w:cs="Arial"/>
        <w:sz w:val="18"/>
        <w:szCs w:val="18"/>
      </w:rPr>
      <w:t>-2</w:t>
    </w:r>
    <w:r w:rsidR="00FF4C86">
      <w:rPr>
        <w:rFonts w:ascii="Arial" w:hAnsi="Arial" w:cs="Arial"/>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20F6" w14:textId="4EE4A0A9" w:rsidR="00FF4C86" w:rsidRDefault="00BD3FF7" w:rsidP="00FF4C86">
    <w:pPr>
      <w:pBdr>
        <w:top w:val="single" w:sz="4" w:space="4" w:color="auto"/>
      </w:pBdr>
      <w:tabs>
        <w:tab w:val="right" w:pos="9639"/>
      </w:tabs>
      <w:rPr>
        <w:rFonts w:ascii="Arial" w:hAnsi="Arial" w:cs="Arial"/>
        <w:sz w:val="18"/>
        <w:szCs w:val="18"/>
      </w:rPr>
    </w:pPr>
    <w:r w:rsidRPr="00A14DAC">
      <w:rPr>
        <w:rFonts w:ascii="Arial" w:hAnsi="Arial" w:cs="Arial"/>
        <w:sz w:val="18"/>
        <w:szCs w:val="18"/>
      </w:rPr>
      <w:t xml:space="preserve">Budget Statement </w:t>
    </w:r>
    <w:r w:rsidR="009E664F">
      <w:rPr>
        <w:rFonts w:ascii="Arial" w:hAnsi="Arial" w:cs="Arial"/>
        <w:sz w:val="18"/>
        <w:szCs w:val="18"/>
      </w:rPr>
      <w:t>202</w:t>
    </w:r>
    <w:r w:rsidR="00FF4C86">
      <w:rPr>
        <w:rFonts w:ascii="Arial" w:hAnsi="Arial" w:cs="Arial"/>
        <w:sz w:val="18"/>
        <w:szCs w:val="18"/>
      </w:rPr>
      <w:t>2</w:t>
    </w:r>
    <w:r w:rsidR="009E664F">
      <w:rPr>
        <w:rFonts w:ascii="Arial" w:hAnsi="Arial" w:cs="Arial"/>
        <w:sz w:val="18"/>
        <w:szCs w:val="18"/>
      </w:rPr>
      <w:t>-2</w:t>
    </w:r>
    <w:r w:rsidR="00FF4C86">
      <w:rPr>
        <w:rFonts w:ascii="Arial" w:hAnsi="Arial" w:cs="Arial"/>
        <w:sz w:val="18"/>
        <w:szCs w:val="18"/>
      </w:rPr>
      <w:t>3</w:t>
    </w:r>
    <w:r w:rsidR="006E7D31">
      <w:rPr>
        <w:rFonts w:ascii="Arial" w:hAnsi="Arial" w:cs="Arial"/>
        <w:sz w:val="18"/>
        <w:szCs w:val="18"/>
      </w:rPr>
      <w:tab/>
      <w:t>C</w:t>
    </w:r>
    <w:r w:rsidR="006E7D31" w:rsidRPr="00A14DAC">
      <w:rPr>
        <w:rFonts w:ascii="Arial" w:hAnsi="Arial" w:cs="Arial"/>
        <w:sz w:val="18"/>
        <w:szCs w:val="18"/>
      </w:rPr>
      <w:t xml:space="preserve"> - </w:t>
    </w:r>
    <w:r w:rsidR="006E7D31" w:rsidRPr="00A14DAC">
      <w:rPr>
        <w:rFonts w:ascii="Arial" w:hAnsi="Arial" w:cs="Arial"/>
        <w:sz w:val="18"/>
        <w:szCs w:val="18"/>
      </w:rPr>
      <w:fldChar w:fldCharType="begin"/>
    </w:r>
    <w:r w:rsidR="006E7D31" w:rsidRPr="00A14DAC">
      <w:rPr>
        <w:rFonts w:ascii="Arial" w:hAnsi="Arial" w:cs="Arial"/>
        <w:sz w:val="18"/>
        <w:szCs w:val="18"/>
      </w:rPr>
      <w:instrText xml:space="preserve"> PAGE   \* MERGEFORMAT </w:instrText>
    </w:r>
    <w:r w:rsidR="006E7D31" w:rsidRPr="00A14DAC">
      <w:rPr>
        <w:rFonts w:ascii="Arial" w:hAnsi="Arial" w:cs="Arial"/>
        <w:sz w:val="18"/>
        <w:szCs w:val="18"/>
      </w:rPr>
      <w:fldChar w:fldCharType="separate"/>
    </w:r>
    <w:r w:rsidR="00145CF5">
      <w:rPr>
        <w:rFonts w:ascii="Arial" w:hAnsi="Arial" w:cs="Arial"/>
        <w:noProof/>
        <w:sz w:val="18"/>
        <w:szCs w:val="18"/>
      </w:rPr>
      <w:t>3</w:t>
    </w:r>
    <w:r w:rsidR="006E7D31" w:rsidRPr="00A14DAC">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9D17" w14:textId="3DB0FB39" w:rsidR="00FF4C86" w:rsidRDefault="00BD3FF7" w:rsidP="00FF4C86">
    <w:pPr>
      <w:pBdr>
        <w:top w:val="single" w:sz="4" w:space="4" w:color="auto"/>
      </w:pBdr>
      <w:tabs>
        <w:tab w:val="right" w:pos="9639"/>
      </w:tabs>
      <w:rPr>
        <w:rFonts w:ascii="Arial" w:hAnsi="Arial" w:cs="Arial"/>
        <w:sz w:val="18"/>
        <w:szCs w:val="18"/>
      </w:rPr>
    </w:pPr>
    <w:r w:rsidRPr="00B610E9">
      <w:rPr>
        <w:rFonts w:ascii="Arial" w:hAnsi="Arial" w:cs="Arial"/>
        <w:sz w:val="18"/>
        <w:szCs w:val="18"/>
      </w:rPr>
      <w:t xml:space="preserve">Budget Statement </w:t>
    </w:r>
    <w:r w:rsidR="009E664F">
      <w:rPr>
        <w:rFonts w:ascii="Arial" w:hAnsi="Arial" w:cs="Arial"/>
        <w:sz w:val="18"/>
        <w:szCs w:val="18"/>
      </w:rPr>
      <w:t>202</w:t>
    </w:r>
    <w:r w:rsidR="00FF4C86">
      <w:rPr>
        <w:rFonts w:ascii="Arial" w:hAnsi="Arial" w:cs="Arial"/>
        <w:sz w:val="18"/>
        <w:szCs w:val="18"/>
      </w:rPr>
      <w:t>2</w:t>
    </w:r>
    <w:r w:rsidR="009E664F">
      <w:rPr>
        <w:rFonts w:ascii="Arial" w:hAnsi="Arial" w:cs="Arial"/>
        <w:sz w:val="18"/>
        <w:szCs w:val="18"/>
      </w:rPr>
      <w:t>-2</w:t>
    </w:r>
    <w:r w:rsidR="00FF4C86">
      <w:rPr>
        <w:rFonts w:ascii="Arial" w:hAnsi="Arial" w:cs="Arial"/>
        <w:sz w:val="18"/>
        <w:szCs w:val="18"/>
      </w:rPr>
      <w:t>3</w:t>
    </w:r>
    <w:r w:rsidR="006E7D31">
      <w:rPr>
        <w:rFonts w:ascii="Arial" w:hAnsi="Arial" w:cs="Arial"/>
        <w:sz w:val="18"/>
        <w:szCs w:val="18"/>
      </w:rPr>
      <w:tab/>
      <w:t>C</w:t>
    </w:r>
    <w:r w:rsidR="006E7D31" w:rsidRPr="00B610E9">
      <w:rPr>
        <w:rFonts w:ascii="Arial" w:hAnsi="Arial" w:cs="Arial"/>
        <w:sz w:val="18"/>
        <w:szCs w:val="18"/>
      </w:rPr>
      <w:t xml:space="preserve"> - </w:t>
    </w:r>
    <w:r w:rsidR="006E7D31" w:rsidRPr="00B610E9">
      <w:rPr>
        <w:rFonts w:ascii="Arial" w:hAnsi="Arial" w:cs="Arial"/>
        <w:sz w:val="18"/>
        <w:szCs w:val="18"/>
      </w:rPr>
      <w:fldChar w:fldCharType="begin"/>
    </w:r>
    <w:r w:rsidR="006E7D31" w:rsidRPr="00B610E9">
      <w:rPr>
        <w:rFonts w:ascii="Arial" w:hAnsi="Arial" w:cs="Arial"/>
        <w:sz w:val="18"/>
        <w:szCs w:val="18"/>
      </w:rPr>
      <w:instrText xml:space="preserve"> PAGE   \* MERGEFORMAT </w:instrText>
    </w:r>
    <w:r w:rsidR="006E7D31" w:rsidRPr="00B610E9">
      <w:rPr>
        <w:rFonts w:ascii="Arial" w:hAnsi="Arial" w:cs="Arial"/>
        <w:sz w:val="18"/>
        <w:szCs w:val="18"/>
      </w:rPr>
      <w:fldChar w:fldCharType="separate"/>
    </w:r>
    <w:r w:rsidR="00145CF5">
      <w:rPr>
        <w:rFonts w:ascii="Arial" w:hAnsi="Arial" w:cs="Arial"/>
        <w:noProof/>
        <w:sz w:val="18"/>
        <w:szCs w:val="18"/>
      </w:rPr>
      <w:t>1</w:t>
    </w:r>
    <w:r w:rsidR="006E7D31" w:rsidRPr="00B610E9">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454E" w14:textId="77777777" w:rsidR="002E2F9B" w:rsidRDefault="002E2F9B">
      <w:r>
        <w:separator/>
      </w:r>
    </w:p>
  </w:footnote>
  <w:footnote w:type="continuationSeparator" w:id="0">
    <w:p w14:paraId="001A9557" w14:textId="77777777" w:rsidR="002E2F9B" w:rsidRDefault="002E2F9B">
      <w:r>
        <w:continuationSeparator/>
      </w:r>
    </w:p>
  </w:footnote>
  <w:footnote w:type="continuationNotice" w:id="1">
    <w:p w14:paraId="25F89610" w14:textId="77777777" w:rsidR="002E2F9B" w:rsidRDefault="002E2F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FA77" w14:textId="52C6874B" w:rsidR="00BD3FF7" w:rsidRPr="001228EB" w:rsidRDefault="0034556D" w:rsidP="006E7D31">
    <w:pPr>
      <w:pBdr>
        <w:bottom w:val="single" w:sz="4" w:space="4" w:color="auto"/>
      </w:pBdr>
      <w:tabs>
        <w:tab w:val="center" w:pos="4153"/>
        <w:tab w:val="right" w:pos="8306"/>
      </w:tabs>
      <w:spacing w:line="192" w:lineRule="auto"/>
      <w:contextualSpacing/>
      <w:rPr>
        <w:rFonts w:ascii="Arial" w:eastAsia="Calibri" w:hAnsi="Arial" w:cs="Arial"/>
        <w:sz w:val="18"/>
        <w:szCs w:val="18"/>
      </w:rPr>
    </w:pPr>
    <w:r>
      <w:rPr>
        <w:rFonts w:ascii="Arial" w:eastAsia="Calibri" w:hAnsi="Arial" w:cs="Arial"/>
        <w:sz w:val="18"/>
        <w:szCs w:val="18"/>
      </w:rPr>
      <w:t xml:space="preserve">Contingent </w:t>
    </w:r>
    <w:r w:rsidR="009C65F3">
      <w:rPr>
        <w:rFonts w:ascii="Arial" w:eastAsia="Calibri" w:hAnsi="Arial" w:cs="Arial"/>
        <w:sz w:val="18"/>
        <w:szCs w:val="18"/>
      </w:rPr>
      <w:t>A</w:t>
    </w:r>
    <w:r>
      <w:rPr>
        <w:rFonts w:ascii="Arial" w:eastAsia="Calibri" w:hAnsi="Arial" w:cs="Arial"/>
        <w:sz w:val="18"/>
        <w:szCs w:val="18"/>
      </w:rPr>
      <w:t xml:space="preserve">ssets and </w:t>
    </w:r>
    <w:r w:rsidR="009C65F3">
      <w:rPr>
        <w:rFonts w:ascii="Arial" w:eastAsia="Calibri" w:hAnsi="Arial" w:cs="Arial"/>
        <w:sz w:val="18"/>
        <w:szCs w:val="18"/>
      </w:rPr>
      <w:t>Li</w:t>
    </w:r>
    <w:r>
      <w:rPr>
        <w:rFonts w:ascii="Arial" w:eastAsia="Calibri" w:hAnsi="Arial" w:cs="Arial"/>
        <w:sz w:val="18"/>
        <w:szCs w:val="18"/>
      </w:rPr>
      <w:t>abilities</w:t>
    </w:r>
  </w:p>
  <w:p w14:paraId="05A18A11" w14:textId="77777777" w:rsidR="00BD3FF7" w:rsidRDefault="00BD3F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B0C2" w14:textId="674A343D" w:rsidR="00BD3FF7" w:rsidRPr="00A14DAC" w:rsidRDefault="00D776FC" w:rsidP="006E7D31">
    <w:pPr>
      <w:pBdr>
        <w:bottom w:val="single" w:sz="2" w:space="4" w:color="auto"/>
      </w:pBdr>
      <w:tabs>
        <w:tab w:val="center" w:pos="4153"/>
        <w:tab w:val="right" w:pos="8306"/>
      </w:tabs>
      <w:spacing w:line="192" w:lineRule="auto"/>
      <w:contextualSpacing/>
      <w:jc w:val="right"/>
      <w:rPr>
        <w:rFonts w:ascii="Arial" w:eastAsia="Calibri" w:hAnsi="Arial" w:cs="Arial"/>
        <w:sz w:val="18"/>
        <w:szCs w:val="18"/>
      </w:rPr>
    </w:pPr>
    <w:r>
      <w:rPr>
        <w:rFonts w:ascii="Arial" w:eastAsia="Calibri" w:hAnsi="Arial" w:cs="Arial"/>
        <w:sz w:val="18"/>
        <w:szCs w:val="18"/>
      </w:rPr>
      <w:t xml:space="preserve">Contingent </w:t>
    </w:r>
    <w:r w:rsidR="009C65F3">
      <w:rPr>
        <w:rFonts w:ascii="Arial" w:eastAsia="Calibri" w:hAnsi="Arial" w:cs="Arial"/>
        <w:sz w:val="18"/>
        <w:szCs w:val="18"/>
      </w:rPr>
      <w:t>Assets and L</w:t>
    </w:r>
    <w:r>
      <w:rPr>
        <w:rFonts w:ascii="Arial" w:eastAsia="Calibri" w:hAnsi="Arial" w:cs="Arial"/>
        <w:sz w:val="18"/>
        <w:szCs w:val="18"/>
      </w:rPr>
      <w:t>iabilities</w:t>
    </w:r>
  </w:p>
  <w:p w14:paraId="530CD32C" w14:textId="77777777" w:rsidR="00BD3FF7" w:rsidRDefault="00BD3FF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B049" w14:textId="77777777" w:rsidR="00FF4C86" w:rsidRDefault="00FF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0651"/>
    <w:multiLevelType w:val="hybridMultilevel"/>
    <w:tmpl w:val="053C4D44"/>
    <w:lvl w:ilvl="0" w:tplc="1884DF2A">
      <w:start w:val="1"/>
      <w:numFmt w:val="decimal"/>
      <w:pStyle w:val="Table4X"/>
      <w:lvlText w:val="Table B.%1:"/>
      <w:lvlJc w:val="left"/>
      <w:pPr>
        <w:ind w:left="360" w:hanging="360"/>
      </w:pPr>
      <w:rPr>
        <w:rFonts w:ascii="Arial" w:hAnsi="Arial" w:cs="Times New Roman" w:hint="default"/>
        <w:b w:val="0"/>
        <w:i/>
        <w:caps w:val="0"/>
        <w:color w:val="57514D"/>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B778CF"/>
    <w:multiLevelType w:val="hybridMultilevel"/>
    <w:tmpl w:val="BCFA6B76"/>
    <w:lvl w:ilvl="0" w:tplc="2EE2E826">
      <w:start w:val="1"/>
      <w:numFmt w:val="lowerLetter"/>
      <w:lvlText w:val="(%1)"/>
      <w:lvlJc w:val="left"/>
      <w:pPr>
        <w:ind w:left="36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9508F168">
      <w:start w:val="1"/>
      <w:numFmt w:val="lowerLetter"/>
      <w:lvlText w:val="%2"/>
      <w:lvlJc w:val="left"/>
      <w:pPr>
        <w:ind w:left="10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C2A00538">
      <w:start w:val="1"/>
      <w:numFmt w:val="lowerRoman"/>
      <w:lvlText w:val="%3"/>
      <w:lvlJc w:val="left"/>
      <w:pPr>
        <w:ind w:left="18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85E6663E">
      <w:start w:val="1"/>
      <w:numFmt w:val="decimal"/>
      <w:lvlText w:val="%4"/>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C35C39D4">
      <w:start w:val="1"/>
      <w:numFmt w:val="lowerLetter"/>
      <w:lvlText w:val="%5"/>
      <w:lvlJc w:val="left"/>
      <w:pPr>
        <w:ind w:left="324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F5F68A9E">
      <w:start w:val="1"/>
      <w:numFmt w:val="lowerRoman"/>
      <w:lvlText w:val="%6"/>
      <w:lvlJc w:val="left"/>
      <w:pPr>
        <w:ind w:left="39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69C29456">
      <w:start w:val="1"/>
      <w:numFmt w:val="decimal"/>
      <w:lvlText w:val="%7"/>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53B80F90">
      <w:start w:val="1"/>
      <w:numFmt w:val="lowerLetter"/>
      <w:lvlText w:val="%8"/>
      <w:lvlJc w:val="left"/>
      <w:pPr>
        <w:ind w:left="54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803277F6">
      <w:start w:val="1"/>
      <w:numFmt w:val="lowerRoman"/>
      <w:lvlText w:val="%9"/>
      <w:lvlJc w:val="left"/>
      <w:pPr>
        <w:ind w:left="61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2" w15:restartNumberingAfterBreak="0">
    <w:nsid w:val="1BD73A11"/>
    <w:multiLevelType w:val="hybridMultilevel"/>
    <w:tmpl w:val="61E85D8E"/>
    <w:lvl w:ilvl="0" w:tplc="999A11A4">
      <w:start w:val="1"/>
      <w:numFmt w:val="bullet"/>
      <w:pStyle w:val="Bullet"/>
      <w:lvlText w:val=""/>
      <w:lvlJc w:val="left"/>
      <w:pPr>
        <w:tabs>
          <w:tab w:val="num" w:pos="113"/>
        </w:tabs>
        <w:ind w:left="0" w:firstLine="113"/>
      </w:pPr>
      <w:rPr>
        <w:rFonts w:ascii="Wingdings" w:hAnsi="Wingdings"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 w15:restartNumberingAfterBreak="0">
    <w:nsid w:val="225006D5"/>
    <w:multiLevelType w:val="hybridMultilevel"/>
    <w:tmpl w:val="5D7CED7C"/>
    <w:lvl w:ilvl="0" w:tplc="2564E418">
      <w:start w:val="1"/>
      <w:numFmt w:val="lowerLetter"/>
      <w:pStyle w:val="Tablefootnote"/>
      <w:lvlText w:val="(%1)"/>
      <w:lvlJc w:val="left"/>
      <w:pPr>
        <w:ind w:left="720" w:hanging="360"/>
      </w:pPr>
      <w:rPr>
        <w:rFonts w:ascii="Arial" w:hAnsi="Arial" w:cs="Times New Roman" w:hint="default"/>
        <w:b w:val="0"/>
        <w:i w:val="0"/>
        <w:caps w:val="0"/>
        <w:color w:val="auto"/>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0B5989"/>
    <w:multiLevelType w:val="hybridMultilevel"/>
    <w:tmpl w:val="71BE1B06"/>
    <w:lvl w:ilvl="0" w:tplc="D53CD6DC">
      <w:start w:val="1"/>
      <w:numFmt w:val="decimal"/>
      <w:pStyle w:val="Chart31"/>
      <w:lvlText w:val="Chart 3.%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E6556A"/>
    <w:multiLevelType w:val="hybridMultilevel"/>
    <w:tmpl w:val="FF283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72295D"/>
    <w:multiLevelType w:val="hybridMultilevel"/>
    <w:tmpl w:val="1BAA8C78"/>
    <w:lvl w:ilvl="0" w:tplc="C3A6740A">
      <w:start w:val="1"/>
      <w:numFmt w:val="decimal"/>
      <w:pStyle w:val="Heading2"/>
      <w:lvlText w:val="C.%1"/>
      <w:lvlJc w:val="left"/>
      <w:pPr>
        <w:ind w:left="720" w:hanging="360"/>
      </w:pPr>
      <w:rPr>
        <w:rFonts w:ascii="Arial Bold" w:hAnsi="Arial Bold" w:hint="default"/>
        <w:b/>
        <w:i w:val="0"/>
        <w:color w:val="008EBA"/>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2D0B68"/>
    <w:multiLevelType w:val="hybridMultilevel"/>
    <w:tmpl w:val="9320CF90"/>
    <w:lvl w:ilvl="0" w:tplc="2EE2E826">
      <w:start w:val="1"/>
      <w:numFmt w:val="lowerLetter"/>
      <w:lvlText w:val="(%1)"/>
      <w:lvlJc w:val="left"/>
      <w:pPr>
        <w:ind w:left="36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9508F168">
      <w:start w:val="1"/>
      <w:numFmt w:val="lowerLetter"/>
      <w:lvlText w:val="%2"/>
      <w:lvlJc w:val="left"/>
      <w:pPr>
        <w:ind w:left="10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C2A00538">
      <w:start w:val="1"/>
      <w:numFmt w:val="lowerRoman"/>
      <w:lvlText w:val="%3"/>
      <w:lvlJc w:val="left"/>
      <w:pPr>
        <w:ind w:left="18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85E6663E">
      <w:start w:val="1"/>
      <w:numFmt w:val="decimal"/>
      <w:lvlText w:val="%4"/>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C35C39D4">
      <w:start w:val="1"/>
      <w:numFmt w:val="lowerLetter"/>
      <w:lvlText w:val="%5"/>
      <w:lvlJc w:val="left"/>
      <w:pPr>
        <w:ind w:left="324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F5F68A9E">
      <w:start w:val="1"/>
      <w:numFmt w:val="lowerRoman"/>
      <w:lvlText w:val="%6"/>
      <w:lvlJc w:val="left"/>
      <w:pPr>
        <w:ind w:left="39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69C29456">
      <w:start w:val="1"/>
      <w:numFmt w:val="decimal"/>
      <w:lvlText w:val="%7"/>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53B80F90">
      <w:start w:val="1"/>
      <w:numFmt w:val="lowerLetter"/>
      <w:lvlText w:val="%8"/>
      <w:lvlJc w:val="left"/>
      <w:pPr>
        <w:ind w:left="54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803277F6">
      <w:start w:val="1"/>
      <w:numFmt w:val="lowerRoman"/>
      <w:lvlText w:val="%9"/>
      <w:lvlJc w:val="left"/>
      <w:pPr>
        <w:ind w:left="61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8" w15:restartNumberingAfterBreak="0">
    <w:nsid w:val="4BED1631"/>
    <w:multiLevelType w:val="hybridMultilevel"/>
    <w:tmpl w:val="5D74C4BE"/>
    <w:lvl w:ilvl="0" w:tplc="36DAC866">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BD70C2"/>
    <w:multiLevelType w:val="hybridMultilevel"/>
    <w:tmpl w:val="577A4FCA"/>
    <w:lvl w:ilvl="0" w:tplc="8A46047C">
      <w:start w:val="1"/>
      <w:numFmt w:val="bullet"/>
      <w:pStyle w:val="Bullet2"/>
      <w:lvlText w:val="–"/>
      <w:lvlJc w:val="left"/>
      <w:pPr>
        <w:tabs>
          <w:tab w:val="num" w:pos="785"/>
        </w:tabs>
        <w:ind w:left="785" w:hanging="360"/>
      </w:pPr>
      <w:rPr>
        <w:rFonts w:ascii="Lucida Sans" w:hAnsi="Lucida Sans"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982B9E"/>
    <w:multiLevelType w:val="hybridMultilevel"/>
    <w:tmpl w:val="F6E69640"/>
    <w:lvl w:ilvl="0" w:tplc="902A1708">
      <w:start w:val="1"/>
      <w:numFmt w:val="decimal"/>
      <w:pStyle w:val="TableCX"/>
      <w:lvlText w:val="Table C.%1:"/>
      <w:lvlJc w:val="left"/>
      <w:pPr>
        <w:ind w:left="1080" w:hanging="360"/>
      </w:pPr>
      <w:rPr>
        <w:rFonts w:ascii="Arial" w:hAnsi="Arial" w:hint="default"/>
        <w:b w:val="0"/>
        <w:i/>
        <w:caps w:val="0"/>
        <w:color w:val="4F4F4F"/>
        <w:sz w:val="23"/>
        <w:szCs w:val="23"/>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60DA6701"/>
    <w:multiLevelType w:val="hybridMultilevel"/>
    <w:tmpl w:val="53402698"/>
    <w:lvl w:ilvl="0" w:tplc="12581786">
      <w:start w:val="1"/>
      <w:numFmt w:val="bullet"/>
      <w:pStyle w:val="Bullet1inabox"/>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47C3F69"/>
    <w:multiLevelType w:val="hybridMultilevel"/>
    <w:tmpl w:val="80B666F6"/>
    <w:lvl w:ilvl="0" w:tplc="9624729E">
      <w:start w:val="1"/>
      <w:numFmt w:val="decimal"/>
      <w:pStyle w:val="Table7X"/>
      <w:lvlText w:val="Table C.%1:"/>
      <w:lvlJc w:val="left"/>
      <w:pPr>
        <w:ind w:left="502" w:hanging="360"/>
      </w:pPr>
      <w:rPr>
        <w:rFonts w:ascii="Arial" w:hAnsi="Arial" w:hint="default"/>
        <w:b w:val="0"/>
        <w:i/>
        <w:color w:val="4F4F4F"/>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A6F7269"/>
    <w:multiLevelType w:val="hybridMultilevel"/>
    <w:tmpl w:val="20E8EE7C"/>
    <w:lvl w:ilvl="0" w:tplc="C644908A">
      <w:start w:val="1"/>
      <w:numFmt w:val="decimal"/>
      <w:pStyle w:val="BoxHeading"/>
      <w:lvlText w:val="Box C.%1:"/>
      <w:lvlJc w:val="left"/>
      <w:pPr>
        <w:ind w:left="360" w:hanging="360"/>
      </w:pPr>
      <w:rPr>
        <w:rFonts w:ascii="Arial Bold" w:hAnsi="Arial Bold" w:hint="default"/>
        <w:b/>
        <w:i w:val="0"/>
        <w:sz w:val="23"/>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8010E7F"/>
    <w:multiLevelType w:val="hybridMultilevel"/>
    <w:tmpl w:val="2D0EDDFC"/>
    <w:lvl w:ilvl="0" w:tplc="27ECF99A">
      <w:start w:val="1"/>
      <w:numFmt w:val="bullet"/>
      <w:pStyle w:val="Bullet2inabox"/>
      <w:lvlText w:val="–"/>
      <w:lvlJc w:val="left"/>
      <w:pPr>
        <w:ind w:left="720" w:hanging="360"/>
      </w:pPr>
      <w:rPr>
        <w:rFonts w:ascii="Lucida Sans" w:hAnsi="Lucida Sans" w:hint="default"/>
        <w:color w:val="008EBA"/>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5"/>
  </w:num>
  <w:num w:numId="4">
    <w:abstractNumId w:val="2"/>
  </w:num>
  <w:num w:numId="5">
    <w:abstractNumId w:val="4"/>
  </w:num>
  <w:num w:numId="6">
    <w:abstractNumId w:val="0"/>
  </w:num>
  <w:num w:numId="7">
    <w:abstractNumId w:val="3"/>
  </w:num>
  <w:num w:numId="8">
    <w:abstractNumId w:val="13"/>
  </w:num>
  <w:num w:numId="9">
    <w:abstractNumId w:val="7"/>
  </w:num>
  <w:num w:numId="10">
    <w:abstractNumId w:val="6"/>
  </w:num>
  <w:num w:numId="11">
    <w:abstractNumId w:val="8"/>
  </w:num>
  <w:num w:numId="12">
    <w:abstractNumId w:val="11"/>
  </w:num>
  <w:num w:numId="13">
    <w:abstractNumId w:val="9"/>
  </w:num>
  <w:num w:numId="14">
    <w:abstractNumId w:val="14"/>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5D3"/>
    <w:rsid w:val="00000D43"/>
    <w:rsid w:val="0000125A"/>
    <w:rsid w:val="0000179D"/>
    <w:rsid w:val="000021FB"/>
    <w:rsid w:val="00002446"/>
    <w:rsid w:val="00002B0D"/>
    <w:rsid w:val="00002D2A"/>
    <w:rsid w:val="000031FF"/>
    <w:rsid w:val="00004769"/>
    <w:rsid w:val="000055CC"/>
    <w:rsid w:val="00005698"/>
    <w:rsid w:val="00005B72"/>
    <w:rsid w:val="00005BAD"/>
    <w:rsid w:val="000106CF"/>
    <w:rsid w:val="00010734"/>
    <w:rsid w:val="00010DF6"/>
    <w:rsid w:val="00010FB2"/>
    <w:rsid w:val="000114D1"/>
    <w:rsid w:val="000115BD"/>
    <w:rsid w:val="00012E75"/>
    <w:rsid w:val="00013B53"/>
    <w:rsid w:val="00013ED2"/>
    <w:rsid w:val="0001481B"/>
    <w:rsid w:val="0001599E"/>
    <w:rsid w:val="00015E42"/>
    <w:rsid w:val="00016EBC"/>
    <w:rsid w:val="00020050"/>
    <w:rsid w:val="00020EAE"/>
    <w:rsid w:val="000210F0"/>
    <w:rsid w:val="00021400"/>
    <w:rsid w:val="00021BB7"/>
    <w:rsid w:val="00021F95"/>
    <w:rsid w:val="000226F6"/>
    <w:rsid w:val="00023522"/>
    <w:rsid w:val="000237FB"/>
    <w:rsid w:val="00023CA1"/>
    <w:rsid w:val="00023D3D"/>
    <w:rsid w:val="00023D67"/>
    <w:rsid w:val="000245C4"/>
    <w:rsid w:val="0002539C"/>
    <w:rsid w:val="000257A2"/>
    <w:rsid w:val="00025ED1"/>
    <w:rsid w:val="00026FFE"/>
    <w:rsid w:val="000270F4"/>
    <w:rsid w:val="000278EE"/>
    <w:rsid w:val="00027F12"/>
    <w:rsid w:val="00030475"/>
    <w:rsid w:val="00030C6A"/>
    <w:rsid w:val="00030E4E"/>
    <w:rsid w:val="000317F7"/>
    <w:rsid w:val="00031B19"/>
    <w:rsid w:val="00032301"/>
    <w:rsid w:val="00032EE4"/>
    <w:rsid w:val="00033F46"/>
    <w:rsid w:val="00034815"/>
    <w:rsid w:val="00034C99"/>
    <w:rsid w:val="00035326"/>
    <w:rsid w:val="00035DD1"/>
    <w:rsid w:val="0003629D"/>
    <w:rsid w:val="0003665F"/>
    <w:rsid w:val="00036DD0"/>
    <w:rsid w:val="00037423"/>
    <w:rsid w:val="000374EA"/>
    <w:rsid w:val="000378BA"/>
    <w:rsid w:val="00040641"/>
    <w:rsid w:val="00040CBF"/>
    <w:rsid w:val="00041AB6"/>
    <w:rsid w:val="00042542"/>
    <w:rsid w:val="000432AA"/>
    <w:rsid w:val="00043A9F"/>
    <w:rsid w:val="00043DCC"/>
    <w:rsid w:val="000448C5"/>
    <w:rsid w:val="00044AD1"/>
    <w:rsid w:val="00044CBD"/>
    <w:rsid w:val="00046529"/>
    <w:rsid w:val="00046B4F"/>
    <w:rsid w:val="00047AE1"/>
    <w:rsid w:val="00047C0D"/>
    <w:rsid w:val="00047D5F"/>
    <w:rsid w:val="000512DD"/>
    <w:rsid w:val="00051C28"/>
    <w:rsid w:val="000530D4"/>
    <w:rsid w:val="0005373A"/>
    <w:rsid w:val="000540FD"/>
    <w:rsid w:val="000541A7"/>
    <w:rsid w:val="000543F8"/>
    <w:rsid w:val="000545C6"/>
    <w:rsid w:val="00054E2C"/>
    <w:rsid w:val="00055121"/>
    <w:rsid w:val="000552BA"/>
    <w:rsid w:val="00055FA9"/>
    <w:rsid w:val="00056CF2"/>
    <w:rsid w:val="00056FF9"/>
    <w:rsid w:val="00057331"/>
    <w:rsid w:val="00057833"/>
    <w:rsid w:val="00060BEE"/>
    <w:rsid w:val="00062EBD"/>
    <w:rsid w:val="0006323F"/>
    <w:rsid w:val="000634EC"/>
    <w:rsid w:val="000635F6"/>
    <w:rsid w:val="00063C05"/>
    <w:rsid w:val="00064992"/>
    <w:rsid w:val="00064B4E"/>
    <w:rsid w:val="000656B6"/>
    <w:rsid w:val="00065A91"/>
    <w:rsid w:val="00066159"/>
    <w:rsid w:val="00066296"/>
    <w:rsid w:val="00066C2C"/>
    <w:rsid w:val="00067212"/>
    <w:rsid w:val="000672BB"/>
    <w:rsid w:val="000675C1"/>
    <w:rsid w:val="00070291"/>
    <w:rsid w:val="00070A6E"/>
    <w:rsid w:val="00070D60"/>
    <w:rsid w:val="00071087"/>
    <w:rsid w:val="0007123C"/>
    <w:rsid w:val="00072A46"/>
    <w:rsid w:val="00072EE8"/>
    <w:rsid w:val="00074CF7"/>
    <w:rsid w:val="0007547E"/>
    <w:rsid w:val="000754EA"/>
    <w:rsid w:val="0007575D"/>
    <w:rsid w:val="00075AF4"/>
    <w:rsid w:val="000766CF"/>
    <w:rsid w:val="00076DA2"/>
    <w:rsid w:val="00076E74"/>
    <w:rsid w:val="00077D47"/>
    <w:rsid w:val="00080100"/>
    <w:rsid w:val="00080713"/>
    <w:rsid w:val="00080E8C"/>
    <w:rsid w:val="00081333"/>
    <w:rsid w:val="00081342"/>
    <w:rsid w:val="00081BCD"/>
    <w:rsid w:val="00082EC6"/>
    <w:rsid w:val="00083398"/>
    <w:rsid w:val="000838F1"/>
    <w:rsid w:val="00084117"/>
    <w:rsid w:val="00084A0A"/>
    <w:rsid w:val="000851C4"/>
    <w:rsid w:val="00085CE5"/>
    <w:rsid w:val="0008626E"/>
    <w:rsid w:val="000869F9"/>
    <w:rsid w:val="0008776F"/>
    <w:rsid w:val="000877C7"/>
    <w:rsid w:val="00087C9C"/>
    <w:rsid w:val="00087F93"/>
    <w:rsid w:val="000907FB"/>
    <w:rsid w:val="0009152A"/>
    <w:rsid w:val="00091DED"/>
    <w:rsid w:val="0009202E"/>
    <w:rsid w:val="00093237"/>
    <w:rsid w:val="0009346F"/>
    <w:rsid w:val="000945E1"/>
    <w:rsid w:val="00095233"/>
    <w:rsid w:val="0009560C"/>
    <w:rsid w:val="000961F1"/>
    <w:rsid w:val="0009688D"/>
    <w:rsid w:val="00096ACC"/>
    <w:rsid w:val="00097A49"/>
    <w:rsid w:val="000A11E4"/>
    <w:rsid w:val="000A1C2A"/>
    <w:rsid w:val="000A1CF7"/>
    <w:rsid w:val="000A2101"/>
    <w:rsid w:val="000A2680"/>
    <w:rsid w:val="000A2854"/>
    <w:rsid w:val="000A340C"/>
    <w:rsid w:val="000A344D"/>
    <w:rsid w:val="000A36B4"/>
    <w:rsid w:val="000A3813"/>
    <w:rsid w:val="000A3A08"/>
    <w:rsid w:val="000A45D2"/>
    <w:rsid w:val="000A4EC7"/>
    <w:rsid w:val="000A551F"/>
    <w:rsid w:val="000A5E76"/>
    <w:rsid w:val="000A5F9C"/>
    <w:rsid w:val="000A7A40"/>
    <w:rsid w:val="000B1B4D"/>
    <w:rsid w:val="000B1B96"/>
    <w:rsid w:val="000B3F48"/>
    <w:rsid w:val="000B4F0A"/>
    <w:rsid w:val="000B6379"/>
    <w:rsid w:val="000B69FF"/>
    <w:rsid w:val="000B6C34"/>
    <w:rsid w:val="000B731E"/>
    <w:rsid w:val="000B7AA4"/>
    <w:rsid w:val="000B7BCB"/>
    <w:rsid w:val="000C05EF"/>
    <w:rsid w:val="000C0A8B"/>
    <w:rsid w:val="000C2147"/>
    <w:rsid w:val="000C221B"/>
    <w:rsid w:val="000C3384"/>
    <w:rsid w:val="000C3C9B"/>
    <w:rsid w:val="000C3DF2"/>
    <w:rsid w:val="000C5522"/>
    <w:rsid w:val="000C55BB"/>
    <w:rsid w:val="000C5EB9"/>
    <w:rsid w:val="000C677B"/>
    <w:rsid w:val="000C67C2"/>
    <w:rsid w:val="000C6F0F"/>
    <w:rsid w:val="000C78F0"/>
    <w:rsid w:val="000D0475"/>
    <w:rsid w:val="000D0715"/>
    <w:rsid w:val="000D0A26"/>
    <w:rsid w:val="000D1144"/>
    <w:rsid w:val="000D14FE"/>
    <w:rsid w:val="000D150F"/>
    <w:rsid w:val="000D2516"/>
    <w:rsid w:val="000D25A1"/>
    <w:rsid w:val="000D30CB"/>
    <w:rsid w:val="000D495E"/>
    <w:rsid w:val="000D5166"/>
    <w:rsid w:val="000D5592"/>
    <w:rsid w:val="000D58A1"/>
    <w:rsid w:val="000D5DEC"/>
    <w:rsid w:val="000D642E"/>
    <w:rsid w:val="000D6608"/>
    <w:rsid w:val="000D6968"/>
    <w:rsid w:val="000E015C"/>
    <w:rsid w:val="000E0638"/>
    <w:rsid w:val="000E09E9"/>
    <w:rsid w:val="000E14BB"/>
    <w:rsid w:val="000E2682"/>
    <w:rsid w:val="000E2E21"/>
    <w:rsid w:val="000E2F4A"/>
    <w:rsid w:val="000E3120"/>
    <w:rsid w:val="000E3AD5"/>
    <w:rsid w:val="000E3B79"/>
    <w:rsid w:val="000E3E85"/>
    <w:rsid w:val="000E4A91"/>
    <w:rsid w:val="000E4C4B"/>
    <w:rsid w:val="000E52EE"/>
    <w:rsid w:val="000E56F2"/>
    <w:rsid w:val="000E5759"/>
    <w:rsid w:val="000E66DC"/>
    <w:rsid w:val="000E6877"/>
    <w:rsid w:val="000E6997"/>
    <w:rsid w:val="000E6BE3"/>
    <w:rsid w:val="000E7003"/>
    <w:rsid w:val="000E7388"/>
    <w:rsid w:val="000F094D"/>
    <w:rsid w:val="000F1770"/>
    <w:rsid w:val="000F1DAA"/>
    <w:rsid w:val="000F2B7D"/>
    <w:rsid w:val="000F2CF7"/>
    <w:rsid w:val="000F42F4"/>
    <w:rsid w:val="000F4357"/>
    <w:rsid w:val="000F510C"/>
    <w:rsid w:val="000F6046"/>
    <w:rsid w:val="000F6129"/>
    <w:rsid w:val="000F6825"/>
    <w:rsid w:val="000F6DFF"/>
    <w:rsid w:val="001000E3"/>
    <w:rsid w:val="001005FA"/>
    <w:rsid w:val="00100E5F"/>
    <w:rsid w:val="0010139D"/>
    <w:rsid w:val="001015F4"/>
    <w:rsid w:val="00101D56"/>
    <w:rsid w:val="00101E3F"/>
    <w:rsid w:val="00101F69"/>
    <w:rsid w:val="0010302B"/>
    <w:rsid w:val="00103116"/>
    <w:rsid w:val="0010385A"/>
    <w:rsid w:val="00103F96"/>
    <w:rsid w:val="00104088"/>
    <w:rsid w:val="0010442C"/>
    <w:rsid w:val="00104558"/>
    <w:rsid w:val="001047BA"/>
    <w:rsid w:val="00105698"/>
    <w:rsid w:val="001060FF"/>
    <w:rsid w:val="001062EE"/>
    <w:rsid w:val="00107D68"/>
    <w:rsid w:val="00110AAD"/>
    <w:rsid w:val="00112FFC"/>
    <w:rsid w:val="001132C0"/>
    <w:rsid w:val="00113302"/>
    <w:rsid w:val="00114514"/>
    <w:rsid w:val="00115658"/>
    <w:rsid w:val="00115BCF"/>
    <w:rsid w:val="001164E2"/>
    <w:rsid w:val="00116CE7"/>
    <w:rsid w:val="001179AE"/>
    <w:rsid w:val="00117AEC"/>
    <w:rsid w:val="0012077C"/>
    <w:rsid w:val="00120CE5"/>
    <w:rsid w:val="00121224"/>
    <w:rsid w:val="001222D4"/>
    <w:rsid w:val="00123AE6"/>
    <w:rsid w:val="00123BA9"/>
    <w:rsid w:val="00123E50"/>
    <w:rsid w:val="00124C6D"/>
    <w:rsid w:val="00124EDD"/>
    <w:rsid w:val="00125D79"/>
    <w:rsid w:val="00125E4D"/>
    <w:rsid w:val="0012665B"/>
    <w:rsid w:val="00127056"/>
    <w:rsid w:val="0012778C"/>
    <w:rsid w:val="00127ACB"/>
    <w:rsid w:val="00127B01"/>
    <w:rsid w:val="001315F8"/>
    <w:rsid w:val="00132275"/>
    <w:rsid w:val="001322EF"/>
    <w:rsid w:val="00132939"/>
    <w:rsid w:val="00132D5C"/>
    <w:rsid w:val="00133289"/>
    <w:rsid w:val="00133743"/>
    <w:rsid w:val="00135C4A"/>
    <w:rsid w:val="001368D0"/>
    <w:rsid w:val="00137BFA"/>
    <w:rsid w:val="001412FC"/>
    <w:rsid w:val="001414B3"/>
    <w:rsid w:val="00141FC0"/>
    <w:rsid w:val="00142341"/>
    <w:rsid w:val="00142735"/>
    <w:rsid w:val="00142A46"/>
    <w:rsid w:val="00142C15"/>
    <w:rsid w:val="001430BE"/>
    <w:rsid w:val="00143146"/>
    <w:rsid w:val="0014338C"/>
    <w:rsid w:val="00143694"/>
    <w:rsid w:val="00144B2E"/>
    <w:rsid w:val="00144D6E"/>
    <w:rsid w:val="001451A1"/>
    <w:rsid w:val="0014559C"/>
    <w:rsid w:val="00145AA7"/>
    <w:rsid w:val="00145AEB"/>
    <w:rsid w:val="00145CF5"/>
    <w:rsid w:val="0014605A"/>
    <w:rsid w:val="00146B6A"/>
    <w:rsid w:val="00146F8C"/>
    <w:rsid w:val="001476DD"/>
    <w:rsid w:val="00150038"/>
    <w:rsid w:val="0015089E"/>
    <w:rsid w:val="00150B06"/>
    <w:rsid w:val="00150D38"/>
    <w:rsid w:val="00150ED7"/>
    <w:rsid w:val="00150F39"/>
    <w:rsid w:val="00151730"/>
    <w:rsid w:val="00151DF4"/>
    <w:rsid w:val="00151E1B"/>
    <w:rsid w:val="00151FDC"/>
    <w:rsid w:val="00152080"/>
    <w:rsid w:val="001525BF"/>
    <w:rsid w:val="00152F4C"/>
    <w:rsid w:val="001539F5"/>
    <w:rsid w:val="00154334"/>
    <w:rsid w:val="00154F5C"/>
    <w:rsid w:val="00155D2C"/>
    <w:rsid w:val="00155FB9"/>
    <w:rsid w:val="001562CC"/>
    <w:rsid w:val="001577BE"/>
    <w:rsid w:val="00157A25"/>
    <w:rsid w:val="0016062B"/>
    <w:rsid w:val="001608A3"/>
    <w:rsid w:val="0016169D"/>
    <w:rsid w:val="001619ED"/>
    <w:rsid w:val="00161C18"/>
    <w:rsid w:val="001624A1"/>
    <w:rsid w:val="00162A64"/>
    <w:rsid w:val="00162FD1"/>
    <w:rsid w:val="001636F1"/>
    <w:rsid w:val="00164187"/>
    <w:rsid w:val="001661D3"/>
    <w:rsid w:val="00166331"/>
    <w:rsid w:val="001663D2"/>
    <w:rsid w:val="00167200"/>
    <w:rsid w:val="00167BA9"/>
    <w:rsid w:val="00167DAB"/>
    <w:rsid w:val="00170044"/>
    <w:rsid w:val="001704CA"/>
    <w:rsid w:val="001705CD"/>
    <w:rsid w:val="00170956"/>
    <w:rsid w:val="001709DF"/>
    <w:rsid w:val="00170F1C"/>
    <w:rsid w:val="00171441"/>
    <w:rsid w:val="00171913"/>
    <w:rsid w:val="001719BB"/>
    <w:rsid w:val="001724F9"/>
    <w:rsid w:val="0017259D"/>
    <w:rsid w:val="00172C92"/>
    <w:rsid w:val="00173071"/>
    <w:rsid w:val="001735F0"/>
    <w:rsid w:val="00173F98"/>
    <w:rsid w:val="00174328"/>
    <w:rsid w:val="0017630F"/>
    <w:rsid w:val="00177976"/>
    <w:rsid w:val="00177C7A"/>
    <w:rsid w:val="00177CAD"/>
    <w:rsid w:val="0018042D"/>
    <w:rsid w:val="00180FB6"/>
    <w:rsid w:val="00181FA5"/>
    <w:rsid w:val="00182563"/>
    <w:rsid w:val="00182D7C"/>
    <w:rsid w:val="0018400B"/>
    <w:rsid w:val="001847CE"/>
    <w:rsid w:val="0018595E"/>
    <w:rsid w:val="0018697A"/>
    <w:rsid w:val="00187974"/>
    <w:rsid w:val="00190C6E"/>
    <w:rsid w:val="001913F0"/>
    <w:rsid w:val="001919CE"/>
    <w:rsid w:val="00192B8C"/>
    <w:rsid w:val="0019359C"/>
    <w:rsid w:val="00193F71"/>
    <w:rsid w:val="00194EE3"/>
    <w:rsid w:val="001954B1"/>
    <w:rsid w:val="00195BFB"/>
    <w:rsid w:val="00196053"/>
    <w:rsid w:val="00196508"/>
    <w:rsid w:val="001965DA"/>
    <w:rsid w:val="00196B66"/>
    <w:rsid w:val="001970D7"/>
    <w:rsid w:val="00197472"/>
    <w:rsid w:val="00197794"/>
    <w:rsid w:val="001A0260"/>
    <w:rsid w:val="001A02A2"/>
    <w:rsid w:val="001A0478"/>
    <w:rsid w:val="001A14D7"/>
    <w:rsid w:val="001A2554"/>
    <w:rsid w:val="001A25A6"/>
    <w:rsid w:val="001A2CC4"/>
    <w:rsid w:val="001A3249"/>
    <w:rsid w:val="001A35F4"/>
    <w:rsid w:val="001A3E30"/>
    <w:rsid w:val="001A4230"/>
    <w:rsid w:val="001A4F8D"/>
    <w:rsid w:val="001A7072"/>
    <w:rsid w:val="001A712C"/>
    <w:rsid w:val="001A722A"/>
    <w:rsid w:val="001A74C3"/>
    <w:rsid w:val="001A76CE"/>
    <w:rsid w:val="001B05AB"/>
    <w:rsid w:val="001B0782"/>
    <w:rsid w:val="001B0790"/>
    <w:rsid w:val="001B0C89"/>
    <w:rsid w:val="001B1162"/>
    <w:rsid w:val="001B187F"/>
    <w:rsid w:val="001B1AB8"/>
    <w:rsid w:val="001B1E6F"/>
    <w:rsid w:val="001B31B5"/>
    <w:rsid w:val="001B3318"/>
    <w:rsid w:val="001B3725"/>
    <w:rsid w:val="001B5619"/>
    <w:rsid w:val="001B63FE"/>
    <w:rsid w:val="001B6687"/>
    <w:rsid w:val="001B6C09"/>
    <w:rsid w:val="001B7A8F"/>
    <w:rsid w:val="001B7B61"/>
    <w:rsid w:val="001B7C92"/>
    <w:rsid w:val="001C0CEE"/>
    <w:rsid w:val="001C0EBF"/>
    <w:rsid w:val="001C124D"/>
    <w:rsid w:val="001C162E"/>
    <w:rsid w:val="001C1CE9"/>
    <w:rsid w:val="001C1D59"/>
    <w:rsid w:val="001C25BA"/>
    <w:rsid w:val="001C2737"/>
    <w:rsid w:val="001C2778"/>
    <w:rsid w:val="001C31AD"/>
    <w:rsid w:val="001C3DBB"/>
    <w:rsid w:val="001C4837"/>
    <w:rsid w:val="001C4B48"/>
    <w:rsid w:val="001C503A"/>
    <w:rsid w:val="001C55F4"/>
    <w:rsid w:val="001C5629"/>
    <w:rsid w:val="001C593D"/>
    <w:rsid w:val="001C597E"/>
    <w:rsid w:val="001C7020"/>
    <w:rsid w:val="001C70D4"/>
    <w:rsid w:val="001D068E"/>
    <w:rsid w:val="001D1ED5"/>
    <w:rsid w:val="001D1F46"/>
    <w:rsid w:val="001D1FE1"/>
    <w:rsid w:val="001D208D"/>
    <w:rsid w:val="001D223E"/>
    <w:rsid w:val="001D3337"/>
    <w:rsid w:val="001D3E1F"/>
    <w:rsid w:val="001D4A5A"/>
    <w:rsid w:val="001D52EB"/>
    <w:rsid w:val="001D5605"/>
    <w:rsid w:val="001D775B"/>
    <w:rsid w:val="001D786E"/>
    <w:rsid w:val="001D79C6"/>
    <w:rsid w:val="001D7D8D"/>
    <w:rsid w:val="001D7EDA"/>
    <w:rsid w:val="001E051E"/>
    <w:rsid w:val="001E0AFA"/>
    <w:rsid w:val="001E1825"/>
    <w:rsid w:val="001E1EB3"/>
    <w:rsid w:val="001E26BA"/>
    <w:rsid w:val="001E2A4A"/>
    <w:rsid w:val="001E2E80"/>
    <w:rsid w:val="001E31AE"/>
    <w:rsid w:val="001E3321"/>
    <w:rsid w:val="001E3658"/>
    <w:rsid w:val="001E383B"/>
    <w:rsid w:val="001E4196"/>
    <w:rsid w:val="001E4564"/>
    <w:rsid w:val="001E4B74"/>
    <w:rsid w:val="001E544A"/>
    <w:rsid w:val="001E6932"/>
    <w:rsid w:val="001E73EB"/>
    <w:rsid w:val="001E755A"/>
    <w:rsid w:val="001E79C7"/>
    <w:rsid w:val="001E7E12"/>
    <w:rsid w:val="001E7F80"/>
    <w:rsid w:val="001F03AE"/>
    <w:rsid w:val="001F206B"/>
    <w:rsid w:val="001F254B"/>
    <w:rsid w:val="001F2A64"/>
    <w:rsid w:val="001F330C"/>
    <w:rsid w:val="001F383A"/>
    <w:rsid w:val="001F409B"/>
    <w:rsid w:val="001F40D2"/>
    <w:rsid w:val="001F4480"/>
    <w:rsid w:val="001F456A"/>
    <w:rsid w:val="001F4712"/>
    <w:rsid w:val="001F47D3"/>
    <w:rsid w:val="001F488E"/>
    <w:rsid w:val="001F4ABA"/>
    <w:rsid w:val="001F4ED4"/>
    <w:rsid w:val="001F5516"/>
    <w:rsid w:val="001F6488"/>
    <w:rsid w:val="001F70C5"/>
    <w:rsid w:val="001F7380"/>
    <w:rsid w:val="001F79E0"/>
    <w:rsid w:val="00200933"/>
    <w:rsid w:val="00200B5C"/>
    <w:rsid w:val="0020105B"/>
    <w:rsid w:val="002010D8"/>
    <w:rsid w:val="002015CA"/>
    <w:rsid w:val="00201BE5"/>
    <w:rsid w:val="00201E2E"/>
    <w:rsid w:val="002031E6"/>
    <w:rsid w:val="0020367A"/>
    <w:rsid w:val="00203A8F"/>
    <w:rsid w:val="00203F22"/>
    <w:rsid w:val="002041DD"/>
    <w:rsid w:val="0020668B"/>
    <w:rsid w:val="0020679D"/>
    <w:rsid w:val="00207A6A"/>
    <w:rsid w:val="00210115"/>
    <w:rsid w:val="002108CC"/>
    <w:rsid w:val="00210B2A"/>
    <w:rsid w:val="0021146E"/>
    <w:rsid w:val="00211540"/>
    <w:rsid w:val="00212082"/>
    <w:rsid w:val="002120EC"/>
    <w:rsid w:val="002124F3"/>
    <w:rsid w:val="00212981"/>
    <w:rsid w:val="0021384E"/>
    <w:rsid w:val="00213A54"/>
    <w:rsid w:val="002141F0"/>
    <w:rsid w:val="00214990"/>
    <w:rsid w:val="00215179"/>
    <w:rsid w:val="00215FE9"/>
    <w:rsid w:val="00216010"/>
    <w:rsid w:val="0021732B"/>
    <w:rsid w:val="002202FD"/>
    <w:rsid w:val="0022054B"/>
    <w:rsid w:val="0022119D"/>
    <w:rsid w:val="00221519"/>
    <w:rsid w:val="002215CF"/>
    <w:rsid w:val="00221914"/>
    <w:rsid w:val="0022225F"/>
    <w:rsid w:val="00223A76"/>
    <w:rsid w:val="00223AF2"/>
    <w:rsid w:val="00223BAE"/>
    <w:rsid w:val="00223C44"/>
    <w:rsid w:val="002240E9"/>
    <w:rsid w:val="00224470"/>
    <w:rsid w:val="0022539C"/>
    <w:rsid w:val="002257FC"/>
    <w:rsid w:val="00225809"/>
    <w:rsid w:val="00226473"/>
    <w:rsid w:val="002265B7"/>
    <w:rsid w:val="00226758"/>
    <w:rsid w:val="00227432"/>
    <w:rsid w:val="00230674"/>
    <w:rsid w:val="002308BF"/>
    <w:rsid w:val="00230AC3"/>
    <w:rsid w:val="00231BDD"/>
    <w:rsid w:val="00231ED5"/>
    <w:rsid w:val="0023327C"/>
    <w:rsid w:val="002341F1"/>
    <w:rsid w:val="0023537C"/>
    <w:rsid w:val="002354CD"/>
    <w:rsid w:val="0023591F"/>
    <w:rsid w:val="00235A8D"/>
    <w:rsid w:val="002363D8"/>
    <w:rsid w:val="00241464"/>
    <w:rsid w:val="0024150E"/>
    <w:rsid w:val="00241D5D"/>
    <w:rsid w:val="0024288C"/>
    <w:rsid w:val="00242BF2"/>
    <w:rsid w:val="00242D5B"/>
    <w:rsid w:val="002447B6"/>
    <w:rsid w:val="00244BCB"/>
    <w:rsid w:val="0024570E"/>
    <w:rsid w:val="0024691F"/>
    <w:rsid w:val="00246B43"/>
    <w:rsid w:val="00247037"/>
    <w:rsid w:val="002473EB"/>
    <w:rsid w:val="00247A40"/>
    <w:rsid w:val="00250204"/>
    <w:rsid w:val="00250AB0"/>
    <w:rsid w:val="00250F6F"/>
    <w:rsid w:val="002512A2"/>
    <w:rsid w:val="00252234"/>
    <w:rsid w:val="00252246"/>
    <w:rsid w:val="002523ED"/>
    <w:rsid w:val="002539DB"/>
    <w:rsid w:val="002543F5"/>
    <w:rsid w:val="00254621"/>
    <w:rsid w:val="00254CE1"/>
    <w:rsid w:val="00254F7B"/>
    <w:rsid w:val="00255844"/>
    <w:rsid w:val="002569F8"/>
    <w:rsid w:val="00256F66"/>
    <w:rsid w:val="00257381"/>
    <w:rsid w:val="00260775"/>
    <w:rsid w:val="0026079C"/>
    <w:rsid w:val="00260BCF"/>
    <w:rsid w:val="00261A1A"/>
    <w:rsid w:val="00262F32"/>
    <w:rsid w:val="0026397A"/>
    <w:rsid w:val="00265302"/>
    <w:rsid w:val="00265E38"/>
    <w:rsid w:val="0026615F"/>
    <w:rsid w:val="00266C7E"/>
    <w:rsid w:val="00267015"/>
    <w:rsid w:val="00267DFC"/>
    <w:rsid w:val="0027014E"/>
    <w:rsid w:val="002713A5"/>
    <w:rsid w:val="0027197B"/>
    <w:rsid w:val="00272379"/>
    <w:rsid w:val="00272C13"/>
    <w:rsid w:val="002739D6"/>
    <w:rsid w:val="00273A52"/>
    <w:rsid w:val="00273B87"/>
    <w:rsid w:val="0027440F"/>
    <w:rsid w:val="00274CF7"/>
    <w:rsid w:val="00275033"/>
    <w:rsid w:val="00275170"/>
    <w:rsid w:val="002765F5"/>
    <w:rsid w:val="002769B7"/>
    <w:rsid w:val="00277E14"/>
    <w:rsid w:val="00280231"/>
    <w:rsid w:val="002808A2"/>
    <w:rsid w:val="00280CD3"/>
    <w:rsid w:val="00280F16"/>
    <w:rsid w:val="0028270C"/>
    <w:rsid w:val="002827ED"/>
    <w:rsid w:val="00282D12"/>
    <w:rsid w:val="0028355D"/>
    <w:rsid w:val="00284A71"/>
    <w:rsid w:val="00284A8A"/>
    <w:rsid w:val="00285721"/>
    <w:rsid w:val="00285E50"/>
    <w:rsid w:val="00285ECD"/>
    <w:rsid w:val="00286C3D"/>
    <w:rsid w:val="00287336"/>
    <w:rsid w:val="00290B98"/>
    <w:rsid w:val="00290F75"/>
    <w:rsid w:val="002927B9"/>
    <w:rsid w:val="00294316"/>
    <w:rsid w:val="00294AD4"/>
    <w:rsid w:val="0029522C"/>
    <w:rsid w:val="00295A8C"/>
    <w:rsid w:val="00296072"/>
    <w:rsid w:val="002968CC"/>
    <w:rsid w:val="00296A34"/>
    <w:rsid w:val="00296D6A"/>
    <w:rsid w:val="002974E6"/>
    <w:rsid w:val="0029797F"/>
    <w:rsid w:val="00297C62"/>
    <w:rsid w:val="00297C85"/>
    <w:rsid w:val="002A0229"/>
    <w:rsid w:val="002A10C5"/>
    <w:rsid w:val="002A1292"/>
    <w:rsid w:val="002A149F"/>
    <w:rsid w:val="002A254A"/>
    <w:rsid w:val="002A2C77"/>
    <w:rsid w:val="002A32BB"/>
    <w:rsid w:val="002A3392"/>
    <w:rsid w:val="002A3CD8"/>
    <w:rsid w:val="002A48F5"/>
    <w:rsid w:val="002A49A5"/>
    <w:rsid w:val="002A4BB1"/>
    <w:rsid w:val="002A529E"/>
    <w:rsid w:val="002A5535"/>
    <w:rsid w:val="002A5673"/>
    <w:rsid w:val="002A56CF"/>
    <w:rsid w:val="002A622D"/>
    <w:rsid w:val="002A7150"/>
    <w:rsid w:val="002A7FD1"/>
    <w:rsid w:val="002B0A42"/>
    <w:rsid w:val="002B1401"/>
    <w:rsid w:val="002B180F"/>
    <w:rsid w:val="002B1A24"/>
    <w:rsid w:val="002B1A63"/>
    <w:rsid w:val="002B2012"/>
    <w:rsid w:val="002B2293"/>
    <w:rsid w:val="002B28C9"/>
    <w:rsid w:val="002B30EC"/>
    <w:rsid w:val="002B3517"/>
    <w:rsid w:val="002B40D3"/>
    <w:rsid w:val="002B4810"/>
    <w:rsid w:val="002B4DB7"/>
    <w:rsid w:val="002B4EF0"/>
    <w:rsid w:val="002B5D99"/>
    <w:rsid w:val="002B6011"/>
    <w:rsid w:val="002B778A"/>
    <w:rsid w:val="002B78C0"/>
    <w:rsid w:val="002B7C39"/>
    <w:rsid w:val="002C028C"/>
    <w:rsid w:val="002C156E"/>
    <w:rsid w:val="002C183F"/>
    <w:rsid w:val="002C1EBB"/>
    <w:rsid w:val="002C28A9"/>
    <w:rsid w:val="002C2998"/>
    <w:rsid w:val="002C3E61"/>
    <w:rsid w:val="002C43E8"/>
    <w:rsid w:val="002C4414"/>
    <w:rsid w:val="002C4E8A"/>
    <w:rsid w:val="002C5546"/>
    <w:rsid w:val="002C572A"/>
    <w:rsid w:val="002C63D0"/>
    <w:rsid w:val="002C67F7"/>
    <w:rsid w:val="002C68C3"/>
    <w:rsid w:val="002C6929"/>
    <w:rsid w:val="002C6AF2"/>
    <w:rsid w:val="002C758E"/>
    <w:rsid w:val="002C7CBD"/>
    <w:rsid w:val="002D095F"/>
    <w:rsid w:val="002D1757"/>
    <w:rsid w:val="002D28EB"/>
    <w:rsid w:val="002D29F7"/>
    <w:rsid w:val="002D3768"/>
    <w:rsid w:val="002D3C53"/>
    <w:rsid w:val="002D3F9D"/>
    <w:rsid w:val="002D40F3"/>
    <w:rsid w:val="002D4AAE"/>
    <w:rsid w:val="002D4F2E"/>
    <w:rsid w:val="002D5462"/>
    <w:rsid w:val="002D5835"/>
    <w:rsid w:val="002D63E6"/>
    <w:rsid w:val="002D6F3D"/>
    <w:rsid w:val="002D7838"/>
    <w:rsid w:val="002D7DCF"/>
    <w:rsid w:val="002D7F1F"/>
    <w:rsid w:val="002E099F"/>
    <w:rsid w:val="002E0B1F"/>
    <w:rsid w:val="002E2153"/>
    <w:rsid w:val="002E217A"/>
    <w:rsid w:val="002E2F9B"/>
    <w:rsid w:val="002E339E"/>
    <w:rsid w:val="002E3C4C"/>
    <w:rsid w:val="002E4377"/>
    <w:rsid w:val="002E47BB"/>
    <w:rsid w:val="002E57BF"/>
    <w:rsid w:val="002E57C3"/>
    <w:rsid w:val="002E5A01"/>
    <w:rsid w:val="002E5F0C"/>
    <w:rsid w:val="002E66CD"/>
    <w:rsid w:val="002E6AA8"/>
    <w:rsid w:val="002E7094"/>
    <w:rsid w:val="002E76F2"/>
    <w:rsid w:val="002E7E3B"/>
    <w:rsid w:val="002EDBA4"/>
    <w:rsid w:val="002F069C"/>
    <w:rsid w:val="002F118F"/>
    <w:rsid w:val="002F1581"/>
    <w:rsid w:val="002F20D6"/>
    <w:rsid w:val="002F269B"/>
    <w:rsid w:val="002F37DA"/>
    <w:rsid w:val="002F3B8F"/>
    <w:rsid w:val="002F3BC7"/>
    <w:rsid w:val="002F469E"/>
    <w:rsid w:val="002F58E2"/>
    <w:rsid w:val="002F6172"/>
    <w:rsid w:val="002F6AF5"/>
    <w:rsid w:val="002F78FD"/>
    <w:rsid w:val="003003DE"/>
    <w:rsid w:val="00300462"/>
    <w:rsid w:val="00300DB7"/>
    <w:rsid w:val="003023C8"/>
    <w:rsid w:val="003025DC"/>
    <w:rsid w:val="00303108"/>
    <w:rsid w:val="00303E6E"/>
    <w:rsid w:val="00304974"/>
    <w:rsid w:val="00304D1A"/>
    <w:rsid w:val="00304EEE"/>
    <w:rsid w:val="00305391"/>
    <w:rsid w:val="00305B40"/>
    <w:rsid w:val="00306680"/>
    <w:rsid w:val="0030768C"/>
    <w:rsid w:val="00311259"/>
    <w:rsid w:val="00312103"/>
    <w:rsid w:val="00313529"/>
    <w:rsid w:val="00313599"/>
    <w:rsid w:val="003135F3"/>
    <w:rsid w:val="00317183"/>
    <w:rsid w:val="003175BB"/>
    <w:rsid w:val="00320206"/>
    <w:rsid w:val="003211C9"/>
    <w:rsid w:val="0032143A"/>
    <w:rsid w:val="003214C6"/>
    <w:rsid w:val="00321B8F"/>
    <w:rsid w:val="0032232D"/>
    <w:rsid w:val="00322B5E"/>
    <w:rsid w:val="00322ED4"/>
    <w:rsid w:val="00323F80"/>
    <w:rsid w:val="003244A3"/>
    <w:rsid w:val="00324B93"/>
    <w:rsid w:val="00324CB0"/>
    <w:rsid w:val="00325244"/>
    <w:rsid w:val="003253E2"/>
    <w:rsid w:val="00325C77"/>
    <w:rsid w:val="00326218"/>
    <w:rsid w:val="003264D1"/>
    <w:rsid w:val="003279B2"/>
    <w:rsid w:val="00330224"/>
    <w:rsid w:val="003302B5"/>
    <w:rsid w:val="0033141E"/>
    <w:rsid w:val="00331931"/>
    <w:rsid w:val="00332195"/>
    <w:rsid w:val="003328BB"/>
    <w:rsid w:val="00332D9D"/>
    <w:rsid w:val="00333D18"/>
    <w:rsid w:val="00333E36"/>
    <w:rsid w:val="003343C7"/>
    <w:rsid w:val="003348F8"/>
    <w:rsid w:val="003351AA"/>
    <w:rsid w:val="003351E4"/>
    <w:rsid w:val="0033529F"/>
    <w:rsid w:val="00335D00"/>
    <w:rsid w:val="00335E6C"/>
    <w:rsid w:val="0033676B"/>
    <w:rsid w:val="00336FC9"/>
    <w:rsid w:val="00337564"/>
    <w:rsid w:val="0033796E"/>
    <w:rsid w:val="003409A9"/>
    <w:rsid w:val="00340A0A"/>
    <w:rsid w:val="00340C48"/>
    <w:rsid w:val="00340EED"/>
    <w:rsid w:val="0034140A"/>
    <w:rsid w:val="003417DB"/>
    <w:rsid w:val="003418DB"/>
    <w:rsid w:val="00342231"/>
    <w:rsid w:val="003424D8"/>
    <w:rsid w:val="003429F0"/>
    <w:rsid w:val="00343536"/>
    <w:rsid w:val="0034556D"/>
    <w:rsid w:val="00345B21"/>
    <w:rsid w:val="00345BF4"/>
    <w:rsid w:val="00345D15"/>
    <w:rsid w:val="003467B9"/>
    <w:rsid w:val="00347737"/>
    <w:rsid w:val="00347EFD"/>
    <w:rsid w:val="00350DA5"/>
    <w:rsid w:val="003513EF"/>
    <w:rsid w:val="00353319"/>
    <w:rsid w:val="00353559"/>
    <w:rsid w:val="00353982"/>
    <w:rsid w:val="00353A5F"/>
    <w:rsid w:val="0035423D"/>
    <w:rsid w:val="00354AB5"/>
    <w:rsid w:val="0035552B"/>
    <w:rsid w:val="00355F5E"/>
    <w:rsid w:val="003560AB"/>
    <w:rsid w:val="003568EA"/>
    <w:rsid w:val="00356E54"/>
    <w:rsid w:val="00356EC7"/>
    <w:rsid w:val="00357376"/>
    <w:rsid w:val="003574B9"/>
    <w:rsid w:val="003600E0"/>
    <w:rsid w:val="003602F9"/>
    <w:rsid w:val="003605D5"/>
    <w:rsid w:val="003609AE"/>
    <w:rsid w:val="00361792"/>
    <w:rsid w:val="00361CC2"/>
    <w:rsid w:val="00361F66"/>
    <w:rsid w:val="00363EAC"/>
    <w:rsid w:val="003649DB"/>
    <w:rsid w:val="003650B1"/>
    <w:rsid w:val="00365692"/>
    <w:rsid w:val="00365750"/>
    <w:rsid w:val="00366739"/>
    <w:rsid w:val="00366AA3"/>
    <w:rsid w:val="00366B73"/>
    <w:rsid w:val="0036703C"/>
    <w:rsid w:val="003671D8"/>
    <w:rsid w:val="00367A8E"/>
    <w:rsid w:val="00367F33"/>
    <w:rsid w:val="00369B9F"/>
    <w:rsid w:val="00370445"/>
    <w:rsid w:val="003706D2"/>
    <w:rsid w:val="00370AB3"/>
    <w:rsid w:val="003715B6"/>
    <w:rsid w:val="00371CAD"/>
    <w:rsid w:val="00371DF7"/>
    <w:rsid w:val="00371E5E"/>
    <w:rsid w:val="00375794"/>
    <w:rsid w:val="00376634"/>
    <w:rsid w:val="00376815"/>
    <w:rsid w:val="0037693B"/>
    <w:rsid w:val="00377281"/>
    <w:rsid w:val="003805A0"/>
    <w:rsid w:val="003813BE"/>
    <w:rsid w:val="003843AF"/>
    <w:rsid w:val="00384A7D"/>
    <w:rsid w:val="00384E6A"/>
    <w:rsid w:val="003850E9"/>
    <w:rsid w:val="00385519"/>
    <w:rsid w:val="003856BB"/>
    <w:rsid w:val="0038599B"/>
    <w:rsid w:val="00387A19"/>
    <w:rsid w:val="00387A2F"/>
    <w:rsid w:val="00390183"/>
    <w:rsid w:val="003908D3"/>
    <w:rsid w:val="00390ECD"/>
    <w:rsid w:val="003917D2"/>
    <w:rsid w:val="00392CEF"/>
    <w:rsid w:val="00392EAA"/>
    <w:rsid w:val="003946FC"/>
    <w:rsid w:val="003950C8"/>
    <w:rsid w:val="0039554B"/>
    <w:rsid w:val="003969BF"/>
    <w:rsid w:val="00396A89"/>
    <w:rsid w:val="00396BCD"/>
    <w:rsid w:val="00397806"/>
    <w:rsid w:val="003A2294"/>
    <w:rsid w:val="003A2303"/>
    <w:rsid w:val="003A23FF"/>
    <w:rsid w:val="003A24CF"/>
    <w:rsid w:val="003A293B"/>
    <w:rsid w:val="003A35CA"/>
    <w:rsid w:val="003A4285"/>
    <w:rsid w:val="003A5F83"/>
    <w:rsid w:val="003A6689"/>
    <w:rsid w:val="003A691B"/>
    <w:rsid w:val="003A6F13"/>
    <w:rsid w:val="003A7862"/>
    <w:rsid w:val="003A7B18"/>
    <w:rsid w:val="003A7C1A"/>
    <w:rsid w:val="003B0104"/>
    <w:rsid w:val="003B017A"/>
    <w:rsid w:val="003B0F43"/>
    <w:rsid w:val="003B118D"/>
    <w:rsid w:val="003B11D0"/>
    <w:rsid w:val="003B12D6"/>
    <w:rsid w:val="003B1344"/>
    <w:rsid w:val="003B288E"/>
    <w:rsid w:val="003B2AC8"/>
    <w:rsid w:val="003B2F5E"/>
    <w:rsid w:val="003B3883"/>
    <w:rsid w:val="003B43FD"/>
    <w:rsid w:val="003B442C"/>
    <w:rsid w:val="003B458A"/>
    <w:rsid w:val="003B4A28"/>
    <w:rsid w:val="003B5FB7"/>
    <w:rsid w:val="003B6CFB"/>
    <w:rsid w:val="003B6EAD"/>
    <w:rsid w:val="003B6F38"/>
    <w:rsid w:val="003B7566"/>
    <w:rsid w:val="003B76FB"/>
    <w:rsid w:val="003B775F"/>
    <w:rsid w:val="003B7E5F"/>
    <w:rsid w:val="003C02C8"/>
    <w:rsid w:val="003C1039"/>
    <w:rsid w:val="003C2678"/>
    <w:rsid w:val="003C2804"/>
    <w:rsid w:val="003C37E0"/>
    <w:rsid w:val="003C3BE7"/>
    <w:rsid w:val="003C3E38"/>
    <w:rsid w:val="003C4CCB"/>
    <w:rsid w:val="003C4F41"/>
    <w:rsid w:val="003C5857"/>
    <w:rsid w:val="003C5B30"/>
    <w:rsid w:val="003C5D3B"/>
    <w:rsid w:val="003C6F0F"/>
    <w:rsid w:val="003C749C"/>
    <w:rsid w:val="003C7652"/>
    <w:rsid w:val="003C781D"/>
    <w:rsid w:val="003D04A9"/>
    <w:rsid w:val="003D08BA"/>
    <w:rsid w:val="003D145A"/>
    <w:rsid w:val="003D1A9A"/>
    <w:rsid w:val="003D1BB7"/>
    <w:rsid w:val="003D219C"/>
    <w:rsid w:val="003D2563"/>
    <w:rsid w:val="003D2D29"/>
    <w:rsid w:val="003D30F5"/>
    <w:rsid w:val="003D327C"/>
    <w:rsid w:val="003D34D9"/>
    <w:rsid w:val="003D4139"/>
    <w:rsid w:val="003D41E5"/>
    <w:rsid w:val="003D42C5"/>
    <w:rsid w:val="003D455A"/>
    <w:rsid w:val="003D4D2F"/>
    <w:rsid w:val="003D4DAB"/>
    <w:rsid w:val="003D4F04"/>
    <w:rsid w:val="003D5164"/>
    <w:rsid w:val="003D64AC"/>
    <w:rsid w:val="003D6A43"/>
    <w:rsid w:val="003D7022"/>
    <w:rsid w:val="003D7925"/>
    <w:rsid w:val="003D7A8B"/>
    <w:rsid w:val="003E04BD"/>
    <w:rsid w:val="003E0A34"/>
    <w:rsid w:val="003E1120"/>
    <w:rsid w:val="003E12DD"/>
    <w:rsid w:val="003E1C4A"/>
    <w:rsid w:val="003E1D49"/>
    <w:rsid w:val="003E26BD"/>
    <w:rsid w:val="003E27D0"/>
    <w:rsid w:val="003E3064"/>
    <w:rsid w:val="003E3295"/>
    <w:rsid w:val="003E3FF9"/>
    <w:rsid w:val="003E4817"/>
    <w:rsid w:val="003E506B"/>
    <w:rsid w:val="003E5385"/>
    <w:rsid w:val="003E5DDF"/>
    <w:rsid w:val="003E623E"/>
    <w:rsid w:val="003E62D7"/>
    <w:rsid w:val="003E672C"/>
    <w:rsid w:val="003E6C7D"/>
    <w:rsid w:val="003E6D6A"/>
    <w:rsid w:val="003E753B"/>
    <w:rsid w:val="003E774A"/>
    <w:rsid w:val="003E77C8"/>
    <w:rsid w:val="003F0491"/>
    <w:rsid w:val="003F0B09"/>
    <w:rsid w:val="003F0C92"/>
    <w:rsid w:val="003F0DB2"/>
    <w:rsid w:val="003F0E77"/>
    <w:rsid w:val="003F1594"/>
    <w:rsid w:val="003F1CA5"/>
    <w:rsid w:val="003F2518"/>
    <w:rsid w:val="003F3AE4"/>
    <w:rsid w:val="003F401B"/>
    <w:rsid w:val="003F4B95"/>
    <w:rsid w:val="003F4B96"/>
    <w:rsid w:val="003F5337"/>
    <w:rsid w:val="003F5419"/>
    <w:rsid w:val="003F6B4B"/>
    <w:rsid w:val="003F787C"/>
    <w:rsid w:val="003F7F41"/>
    <w:rsid w:val="00400604"/>
    <w:rsid w:val="00400DDE"/>
    <w:rsid w:val="004011C3"/>
    <w:rsid w:val="00401B32"/>
    <w:rsid w:val="00401D94"/>
    <w:rsid w:val="00402051"/>
    <w:rsid w:val="004024CD"/>
    <w:rsid w:val="00402CA7"/>
    <w:rsid w:val="004032F2"/>
    <w:rsid w:val="0040354E"/>
    <w:rsid w:val="00403B92"/>
    <w:rsid w:val="004041CB"/>
    <w:rsid w:val="00404B83"/>
    <w:rsid w:val="00404B8C"/>
    <w:rsid w:val="004071E7"/>
    <w:rsid w:val="00407562"/>
    <w:rsid w:val="004075BD"/>
    <w:rsid w:val="00407C10"/>
    <w:rsid w:val="00407E90"/>
    <w:rsid w:val="00410534"/>
    <w:rsid w:val="0041090E"/>
    <w:rsid w:val="00410DBA"/>
    <w:rsid w:val="00410FF0"/>
    <w:rsid w:val="0041106C"/>
    <w:rsid w:val="00411682"/>
    <w:rsid w:val="00412C4F"/>
    <w:rsid w:val="004143B7"/>
    <w:rsid w:val="00414989"/>
    <w:rsid w:val="00414EF1"/>
    <w:rsid w:val="004152CA"/>
    <w:rsid w:val="00415468"/>
    <w:rsid w:val="00415C36"/>
    <w:rsid w:val="00415E91"/>
    <w:rsid w:val="00415FB0"/>
    <w:rsid w:val="00416181"/>
    <w:rsid w:val="0041655B"/>
    <w:rsid w:val="00416C00"/>
    <w:rsid w:val="00417002"/>
    <w:rsid w:val="004172C1"/>
    <w:rsid w:val="004174B9"/>
    <w:rsid w:val="004179DC"/>
    <w:rsid w:val="00420277"/>
    <w:rsid w:val="00420C61"/>
    <w:rsid w:val="00420CD4"/>
    <w:rsid w:val="00420D53"/>
    <w:rsid w:val="004214D3"/>
    <w:rsid w:val="00421731"/>
    <w:rsid w:val="0042271C"/>
    <w:rsid w:val="00422A39"/>
    <w:rsid w:val="00423170"/>
    <w:rsid w:val="00423660"/>
    <w:rsid w:val="004239DB"/>
    <w:rsid w:val="00423FD5"/>
    <w:rsid w:val="00424821"/>
    <w:rsid w:val="0042486F"/>
    <w:rsid w:val="004250C2"/>
    <w:rsid w:val="004254BD"/>
    <w:rsid w:val="004264F4"/>
    <w:rsid w:val="00426BD4"/>
    <w:rsid w:val="00426D5F"/>
    <w:rsid w:val="0042721A"/>
    <w:rsid w:val="004302FA"/>
    <w:rsid w:val="004304E4"/>
    <w:rsid w:val="00430C02"/>
    <w:rsid w:val="00430D81"/>
    <w:rsid w:val="00431427"/>
    <w:rsid w:val="0043190E"/>
    <w:rsid w:val="00431C39"/>
    <w:rsid w:val="00431DA1"/>
    <w:rsid w:val="00431F9C"/>
    <w:rsid w:val="00432F54"/>
    <w:rsid w:val="00433E61"/>
    <w:rsid w:val="00434308"/>
    <w:rsid w:val="00434F63"/>
    <w:rsid w:val="004350AA"/>
    <w:rsid w:val="00435ECE"/>
    <w:rsid w:val="00436377"/>
    <w:rsid w:val="00437005"/>
    <w:rsid w:val="00437173"/>
    <w:rsid w:val="00437214"/>
    <w:rsid w:val="00440162"/>
    <w:rsid w:val="00440B07"/>
    <w:rsid w:val="00440BDC"/>
    <w:rsid w:val="00440F28"/>
    <w:rsid w:val="004419B3"/>
    <w:rsid w:val="004425D1"/>
    <w:rsid w:val="00442FF1"/>
    <w:rsid w:val="0044371C"/>
    <w:rsid w:val="00445579"/>
    <w:rsid w:val="004455B7"/>
    <w:rsid w:val="004459A1"/>
    <w:rsid w:val="00446443"/>
    <w:rsid w:val="0044667F"/>
    <w:rsid w:val="004475E1"/>
    <w:rsid w:val="004475F7"/>
    <w:rsid w:val="00447CF0"/>
    <w:rsid w:val="00447FC0"/>
    <w:rsid w:val="00450324"/>
    <w:rsid w:val="00450837"/>
    <w:rsid w:val="00450B3A"/>
    <w:rsid w:val="0045102F"/>
    <w:rsid w:val="00451586"/>
    <w:rsid w:val="004523D2"/>
    <w:rsid w:val="00452553"/>
    <w:rsid w:val="0045286C"/>
    <w:rsid w:val="00452C96"/>
    <w:rsid w:val="004533F2"/>
    <w:rsid w:val="004534B5"/>
    <w:rsid w:val="00453536"/>
    <w:rsid w:val="00453671"/>
    <w:rsid w:val="00453C4C"/>
    <w:rsid w:val="00453F12"/>
    <w:rsid w:val="004548CC"/>
    <w:rsid w:val="0045493F"/>
    <w:rsid w:val="00454FCF"/>
    <w:rsid w:val="00455029"/>
    <w:rsid w:val="00455E31"/>
    <w:rsid w:val="004563B2"/>
    <w:rsid w:val="00457785"/>
    <w:rsid w:val="00460113"/>
    <w:rsid w:val="00460127"/>
    <w:rsid w:val="00460248"/>
    <w:rsid w:val="004612F0"/>
    <w:rsid w:val="0046253B"/>
    <w:rsid w:val="00462CED"/>
    <w:rsid w:val="00462D6E"/>
    <w:rsid w:val="00463227"/>
    <w:rsid w:val="004637EB"/>
    <w:rsid w:val="00464595"/>
    <w:rsid w:val="00464956"/>
    <w:rsid w:val="004661A6"/>
    <w:rsid w:val="00466A9F"/>
    <w:rsid w:val="004675CC"/>
    <w:rsid w:val="00467668"/>
    <w:rsid w:val="00467A12"/>
    <w:rsid w:val="004700FD"/>
    <w:rsid w:val="00471018"/>
    <w:rsid w:val="0047142D"/>
    <w:rsid w:val="0047191C"/>
    <w:rsid w:val="00471C4B"/>
    <w:rsid w:val="00471E90"/>
    <w:rsid w:val="00472733"/>
    <w:rsid w:val="00472BE0"/>
    <w:rsid w:val="00473147"/>
    <w:rsid w:val="004734A3"/>
    <w:rsid w:val="00473774"/>
    <w:rsid w:val="004738A1"/>
    <w:rsid w:val="00473925"/>
    <w:rsid w:val="00473B78"/>
    <w:rsid w:val="00474997"/>
    <w:rsid w:val="00475060"/>
    <w:rsid w:val="004750B1"/>
    <w:rsid w:val="004755B1"/>
    <w:rsid w:val="00475629"/>
    <w:rsid w:val="0047581A"/>
    <w:rsid w:val="00476983"/>
    <w:rsid w:val="00476BA0"/>
    <w:rsid w:val="0047739A"/>
    <w:rsid w:val="00480022"/>
    <w:rsid w:val="00480136"/>
    <w:rsid w:val="00480A6E"/>
    <w:rsid w:val="00480CB3"/>
    <w:rsid w:val="0048148A"/>
    <w:rsid w:val="004819B0"/>
    <w:rsid w:val="004822C1"/>
    <w:rsid w:val="0048236F"/>
    <w:rsid w:val="004823ED"/>
    <w:rsid w:val="00482A08"/>
    <w:rsid w:val="00483B1B"/>
    <w:rsid w:val="00483C1A"/>
    <w:rsid w:val="00483DA6"/>
    <w:rsid w:val="0048464E"/>
    <w:rsid w:val="00484933"/>
    <w:rsid w:val="004850A8"/>
    <w:rsid w:val="004850F3"/>
    <w:rsid w:val="004852FA"/>
    <w:rsid w:val="00485375"/>
    <w:rsid w:val="00485EAD"/>
    <w:rsid w:val="004866A8"/>
    <w:rsid w:val="004868F8"/>
    <w:rsid w:val="00486E3A"/>
    <w:rsid w:val="004873C2"/>
    <w:rsid w:val="0048751E"/>
    <w:rsid w:val="00487BB1"/>
    <w:rsid w:val="00490718"/>
    <w:rsid w:val="00490B46"/>
    <w:rsid w:val="00490F2C"/>
    <w:rsid w:val="00491091"/>
    <w:rsid w:val="004931AC"/>
    <w:rsid w:val="004937CD"/>
    <w:rsid w:val="00493F1F"/>
    <w:rsid w:val="00494322"/>
    <w:rsid w:val="00494994"/>
    <w:rsid w:val="00495386"/>
    <w:rsid w:val="004955CC"/>
    <w:rsid w:val="0049582A"/>
    <w:rsid w:val="004959E0"/>
    <w:rsid w:val="00495AF2"/>
    <w:rsid w:val="00495E37"/>
    <w:rsid w:val="00496085"/>
    <w:rsid w:val="004967FB"/>
    <w:rsid w:val="004A00AC"/>
    <w:rsid w:val="004A0254"/>
    <w:rsid w:val="004A066A"/>
    <w:rsid w:val="004A098F"/>
    <w:rsid w:val="004A28C4"/>
    <w:rsid w:val="004A2E40"/>
    <w:rsid w:val="004A2E8A"/>
    <w:rsid w:val="004A326B"/>
    <w:rsid w:val="004A370C"/>
    <w:rsid w:val="004A38A7"/>
    <w:rsid w:val="004A3982"/>
    <w:rsid w:val="004A4DA6"/>
    <w:rsid w:val="004A57D1"/>
    <w:rsid w:val="004A5823"/>
    <w:rsid w:val="004A5F7D"/>
    <w:rsid w:val="004A60A4"/>
    <w:rsid w:val="004A6844"/>
    <w:rsid w:val="004A68FD"/>
    <w:rsid w:val="004A6E5E"/>
    <w:rsid w:val="004A747E"/>
    <w:rsid w:val="004A7F5F"/>
    <w:rsid w:val="004B0BE2"/>
    <w:rsid w:val="004B1904"/>
    <w:rsid w:val="004B2397"/>
    <w:rsid w:val="004B26B8"/>
    <w:rsid w:val="004B2EA0"/>
    <w:rsid w:val="004B3AE1"/>
    <w:rsid w:val="004B3D06"/>
    <w:rsid w:val="004B4EFA"/>
    <w:rsid w:val="004B55B0"/>
    <w:rsid w:val="004B57E5"/>
    <w:rsid w:val="004B5F13"/>
    <w:rsid w:val="004B5F55"/>
    <w:rsid w:val="004B6354"/>
    <w:rsid w:val="004B74F0"/>
    <w:rsid w:val="004B7D25"/>
    <w:rsid w:val="004B7EA3"/>
    <w:rsid w:val="004C0A9E"/>
    <w:rsid w:val="004C1302"/>
    <w:rsid w:val="004C2486"/>
    <w:rsid w:val="004C2A89"/>
    <w:rsid w:val="004C3CB1"/>
    <w:rsid w:val="004C43FC"/>
    <w:rsid w:val="004C484D"/>
    <w:rsid w:val="004C48F3"/>
    <w:rsid w:val="004C5919"/>
    <w:rsid w:val="004C66DF"/>
    <w:rsid w:val="004C673C"/>
    <w:rsid w:val="004C7BF2"/>
    <w:rsid w:val="004C7C58"/>
    <w:rsid w:val="004C7D24"/>
    <w:rsid w:val="004D04F1"/>
    <w:rsid w:val="004D0BF0"/>
    <w:rsid w:val="004D0EE6"/>
    <w:rsid w:val="004D11C0"/>
    <w:rsid w:val="004D17F1"/>
    <w:rsid w:val="004D1D69"/>
    <w:rsid w:val="004D284B"/>
    <w:rsid w:val="004D2894"/>
    <w:rsid w:val="004D3013"/>
    <w:rsid w:val="004D3B3D"/>
    <w:rsid w:val="004D3D9E"/>
    <w:rsid w:val="004D46A7"/>
    <w:rsid w:val="004D4730"/>
    <w:rsid w:val="004D5636"/>
    <w:rsid w:val="004D6D95"/>
    <w:rsid w:val="004D6E67"/>
    <w:rsid w:val="004D719F"/>
    <w:rsid w:val="004D7DF3"/>
    <w:rsid w:val="004D7E47"/>
    <w:rsid w:val="004E100B"/>
    <w:rsid w:val="004E11A2"/>
    <w:rsid w:val="004E1A37"/>
    <w:rsid w:val="004E1E20"/>
    <w:rsid w:val="004E1F3B"/>
    <w:rsid w:val="004E2585"/>
    <w:rsid w:val="004E26D7"/>
    <w:rsid w:val="004E2C69"/>
    <w:rsid w:val="004E3A91"/>
    <w:rsid w:val="004E451F"/>
    <w:rsid w:val="004E5383"/>
    <w:rsid w:val="004E5832"/>
    <w:rsid w:val="004E5AA1"/>
    <w:rsid w:val="004E6B8F"/>
    <w:rsid w:val="004E6D4B"/>
    <w:rsid w:val="004E6ED8"/>
    <w:rsid w:val="004E7182"/>
    <w:rsid w:val="004E7274"/>
    <w:rsid w:val="004E7B36"/>
    <w:rsid w:val="004E7D3C"/>
    <w:rsid w:val="004F0017"/>
    <w:rsid w:val="004F0579"/>
    <w:rsid w:val="004F05EA"/>
    <w:rsid w:val="004F1A9C"/>
    <w:rsid w:val="004F27EF"/>
    <w:rsid w:val="004F29DA"/>
    <w:rsid w:val="004F2D57"/>
    <w:rsid w:val="004F2E81"/>
    <w:rsid w:val="004F3634"/>
    <w:rsid w:val="004F489B"/>
    <w:rsid w:val="004F4D87"/>
    <w:rsid w:val="004F5302"/>
    <w:rsid w:val="004F5622"/>
    <w:rsid w:val="004F5909"/>
    <w:rsid w:val="004F5F2E"/>
    <w:rsid w:val="004F6704"/>
    <w:rsid w:val="004F68E1"/>
    <w:rsid w:val="004F750B"/>
    <w:rsid w:val="004F7DD5"/>
    <w:rsid w:val="00500042"/>
    <w:rsid w:val="0050022A"/>
    <w:rsid w:val="005017CD"/>
    <w:rsid w:val="005022A3"/>
    <w:rsid w:val="00502609"/>
    <w:rsid w:val="00503045"/>
    <w:rsid w:val="005035D4"/>
    <w:rsid w:val="00503FE5"/>
    <w:rsid w:val="005042A5"/>
    <w:rsid w:val="00504361"/>
    <w:rsid w:val="005044C7"/>
    <w:rsid w:val="005047BE"/>
    <w:rsid w:val="00504B38"/>
    <w:rsid w:val="005050A5"/>
    <w:rsid w:val="00506A2F"/>
    <w:rsid w:val="00506E6F"/>
    <w:rsid w:val="00506EE8"/>
    <w:rsid w:val="005102F9"/>
    <w:rsid w:val="00510477"/>
    <w:rsid w:val="00510D65"/>
    <w:rsid w:val="00510F7A"/>
    <w:rsid w:val="00511262"/>
    <w:rsid w:val="00511497"/>
    <w:rsid w:val="005119DE"/>
    <w:rsid w:val="00511A87"/>
    <w:rsid w:val="00512F3A"/>
    <w:rsid w:val="0051337F"/>
    <w:rsid w:val="00513520"/>
    <w:rsid w:val="00513629"/>
    <w:rsid w:val="00513941"/>
    <w:rsid w:val="00513E42"/>
    <w:rsid w:val="0051482D"/>
    <w:rsid w:val="00515194"/>
    <w:rsid w:val="00516771"/>
    <w:rsid w:val="00516DEE"/>
    <w:rsid w:val="005179F3"/>
    <w:rsid w:val="00517A59"/>
    <w:rsid w:val="0052169D"/>
    <w:rsid w:val="00521D01"/>
    <w:rsid w:val="00522289"/>
    <w:rsid w:val="00522B32"/>
    <w:rsid w:val="005230F8"/>
    <w:rsid w:val="00523328"/>
    <w:rsid w:val="00523CFF"/>
    <w:rsid w:val="00523F7D"/>
    <w:rsid w:val="005244F3"/>
    <w:rsid w:val="005246AB"/>
    <w:rsid w:val="00524E58"/>
    <w:rsid w:val="00525066"/>
    <w:rsid w:val="005250DB"/>
    <w:rsid w:val="00525BAD"/>
    <w:rsid w:val="00525EC5"/>
    <w:rsid w:val="005266DE"/>
    <w:rsid w:val="00526BC5"/>
    <w:rsid w:val="00526C01"/>
    <w:rsid w:val="005302B0"/>
    <w:rsid w:val="005310BC"/>
    <w:rsid w:val="00531971"/>
    <w:rsid w:val="00531EFA"/>
    <w:rsid w:val="00532079"/>
    <w:rsid w:val="005323D3"/>
    <w:rsid w:val="00532F91"/>
    <w:rsid w:val="005332B2"/>
    <w:rsid w:val="0053378D"/>
    <w:rsid w:val="005346D6"/>
    <w:rsid w:val="005353B0"/>
    <w:rsid w:val="00535506"/>
    <w:rsid w:val="00535595"/>
    <w:rsid w:val="00535597"/>
    <w:rsid w:val="00535857"/>
    <w:rsid w:val="00535A68"/>
    <w:rsid w:val="005361C9"/>
    <w:rsid w:val="0053634C"/>
    <w:rsid w:val="00536E37"/>
    <w:rsid w:val="00536F0A"/>
    <w:rsid w:val="00536F9D"/>
    <w:rsid w:val="00537A4B"/>
    <w:rsid w:val="0054016C"/>
    <w:rsid w:val="005404D3"/>
    <w:rsid w:val="00540C35"/>
    <w:rsid w:val="00540FC5"/>
    <w:rsid w:val="005412F9"/>
    <w:rsid w:val="0054282C"/>
    <w:rsid w:val="00542D75"/>
    <w:rsid w:val="00543625"/>
    <w:rsid w:val="00543714"/>
    <w:rsid w:val="00543AB9"/>
    <w:rsid w:val="005455C2"/>
    <w:rsid w:val="00545AA4"/>
    <w:rsid w:val="00546064"/>
    <w:rsid w:val="00546117"/>
    <w:rsid w:val="005465C7"/>
    <w:rsid w:val="005468CD"/>
    <w:rsid w:val="00546B98"/>
    <w:rsid w:val="00547EA1"/>
    <w:rsid w:val="0055083B"/>
    <w:rsid w:val="005509B0"/>
    <w:rsid w:val="00550A3B"/>
    <w:rsid w:val="00550B72"/>
    <w:rsid w:val="00550CB1"/>
    <w:rsid w:val="00550D0C"/>
    <w:rsid w:val="00550FDC"/>
    <w:rsid w:val="00552C64"/>
    <w:rsid w:val="00552E1F"/>
    <w:rsid w:val="00553129"/>
    <w:rsid w:val="00553C19"/>
    <w:rsid w:val="00553E4F"/>
    <w:rsid w:val="005547A1"/>
    <w:rsid w:val="00554B28"/>
    <w:rsid w:val="00555070"/>
    <w:rsid w:val="00555281"/>
    <w:rsid w:val="0055620D"/>
    <w:rsid w:val="00556D3A"/>
    <w:rsid w:val="00561033"/>
    <w:rsid w:val="0056103F"/>
    <w:rsid w:val="0056203A"/>
    <w:rsid w:val="00562B7D"/>
    <w:rsid w:val="00563458"/>
    <w:rsid w:val="00563D24"/>
    <w:rsid w:val="00564355"/>
    <w:rsid w:val="00564949"/>
    <w:rsid w:val="00565510"/>
    <w:rsid w:val="005656DC"/>
    <w:rsid w:val="00565CF2"/>
    <w:rsid w:val="005666FB"/>
    <w:rsid w:val="00566749"/>
    <w:rsid w:val="00566DED"/>
    <w:rsid w:val="005674B8"/>
    <w:rsid w:val="005712CE"/>
    <w:rsid w:val="00571A00"/>
    <w:rsid w:val="00571AB8"/>
    <w:rsid w:val="00572A41"/>
    <w:rsid w:val="00572A93"/>
    <w:rsid w:val="00574605"/>
    <w:rsid w:val="00574B22"/>
    <w:rsid w:val="00576071"/>
    <w:rsid w:val="00577798"/>
    <w:rsid w:val="00577848"/>
    <w:rsid w:val="00577A81"/>
    <w:rsid w:val="00577B10"/>
    <w:rsid w:val="00577E7C"/>
    <w:rsid w:val="00580F85"/>
    <w:rsid w:val="005813C8"/>
    <w:rsid w:val="005816CC"/>
    <w:rsid w:val="005818C3"/>
    <w:rsid w:val="00581C08"/>
    <w:rsid w:val="0058203B"/>
    <w:rsid w:val="00582148"/>
    <w:rsid w:val="00582964"/>
    <w:rsid w:val="00582B63"/>
    <w:rsid w:val="00583515"/>
    <w:rsid w:val="00583E66"/>
    <w:rsid w:val="0058522E"/>
    <w:rsid w:val="005852AF"/>
    <w:rsid w:val="00585688"/>
    <w:rsid w:val="00585DA7"/>
    <w:rsid w:val="005861D0"/>
    <w:rsid w:val="005863AE"/>
    <w:rsid w:val="005866EF"/>
    <w:rsid w:val="0058673E"/>
    <w:rsid w:val="00586880"/>
    <w:rsid w:val="00586FF4"/>
    <w:rsid w:val="00587565"/>
    <w:rsid w:val="005903C8"/>
    <w:rsid w:val="00590455"/>
    <w:rsid w:val="00590B3A"/>
    <w:rsid w:val="005915F0"/>
    <w:rsid w:val="00591D48"/>
    <w:rsid w:val="00592082"/>
    <w:rsid w:val="0059377A"/>
    <w:rsid w:val="005939CF"/>
    <w:rsid w:val="00594110"/>
    <w:rsid w:val="00596159"/>
    <w:rsid w:val="0059725D"/>
    <w:rsid w:val="00597317"/>
    <w:rsid w:val="00597BA2"/>
    <w:rsid w:val="00597E88"/>
    <w:rsid w:val="005A0567"/>
    <w:rsid w:val="005A06AB"/>
    <w:rsid w:val="005A0B38"/>
    <w:rsid w:val="005A10F4"/>
    <w:rsid w:val="005A12ED"/>
    <w:rsid w:val="005A3058"/>
    <w:rsid w:val="005A49ED"/>
    <w:rsid w:val="005A4BE7"/>
    <w:rsid w:val="005A4EA5"/>
    <w:rsid w:val="005A5E17"/>
    <w:rsid w:val="005A6D99"/>
    <w:rsid w:val="005A7634"/>
    <w:rsid w:val="005A77B1"/>
    <w:rsid w:val="005B0062"/>
    <w:rsid w:val="005B0111"/>
    <w:rsid w:val="005B0ED4"/>
    <w:rsid w:val="005B0EDA"/>
    <w:rsid w:val="005B1AED"/>
    <w:rsid w:val="005B1B0C"/>
    <w:rsid w:val="005B2298"/>
    <w:rsid w:val="005B3C30"/>
    <w:rsid w:val="005B504A"/>
    <w:rsid w:val="005B5742"/>
    <w:rsid w:val="005B59C6"/>
    <w:rsid w:val="005B5CC2"/>
    <w:rsid w:val="005B5E39"/>
    <w:rsid w:val="005B631C"/>
    <w:rsid w:val="005B715A"/>
    <w:rsid w:val="005B75CD"/>
    <w:rsid w:val="005C0133"/>
    <w:rsid w:val="005C03C8"/>
    <w:rsid w:val="005C0890"/>
    <w:rsid w:val="005C0EFC"/>
    <w:rsid w:val="005C0F89"/>
    <w:rsid w:val="005C1259"/>
    <w:rsid w:val="005C2182"/>
    <w:rsid w:val="005C3E7B"/>
    <w:rsid w:val="005C5F16"/>
    <w:rsid w:val="005C68E1"/>
    <w:rsid w:val="005C7298"/>
    <w:rsid w:val="005C72F1"/>
    <w:rsid w:val="005C7434"/>
    <w:rsid w:val="005C75E5"/>
    <w:rsid w:val="005C7E1A"/>
    <w:rsid w:val="005D0898"/>
    <w:rsid w:val="005D09D7"/>
    <w:rsid w:val="005D1175"/>
    <w:rsid w:val="005D1264"/>
    <w:rsid w:val="005D18F4"/>
    <w:rsid w:val="005D22AB"/>
    <w:rsid w:val="005D28EE"/>
    <w:rsid w:val="005D2DE1"/>
    <w:rsid w:val="005D45BD"/>
    <w:rsid w:val="005D4955"/>
    <w:rsid w:val="005D5011"/>
    <w:rsid w:val="005D5DF9"/>
    <w:rsid w:val="005D5F44"/>
    <w:rsid w:val="005D6A10"/>
    <w:rsid w:val="005D6F9F"/>
    <w:rsid w:val="005D72F9"/>
    <w:rsid w:val="005D763C"/>
    <w:rsid w:val="005E08A2"/>
    <w:rsid w:val="005E0A30"/>
    <w:rsid w:val="005E1736"/>
    <w:rsid w:val="005E20A4"/>
    <w:rsid w:val="005E2249"/>
    <w:rsid w:val="005E45E3"/>
    <w:rsid w:val="005E4929"/>
    <w:rsid w:val="005E52D8"/>
    <w:rsid w:val="005E5AA2"/>
    <w:rsid w:val="005E6120"/>
    <w:rsid w:val="005E6727"/>
    <w:rsid w:val="005E6F5C"/>
    <w:rsid w:val="005E7A22"/>
    <w:rsid w:val="005E7D22"/>
    <w:rsid w:val="005E7F07"/>
    <w:rsid w:val="005F0050"/>
    <w:rsid w:val="005F018C"/>
    <w:rsid w:val="005F1897"/>
    <w:rsid w:val="005F1FE4"/>
    <w:rsid w:val="005F22B9"/>
    <w:rsid w:val="005F2C1B"/>
    <w:rsid w:val="005F2FCE"/>
    <w:rsid w:val="005F3401"/>
    <w:rsid w:val="005F449A"/>
    <w:rsid w:val="005F4551"/>
    <w:rsid w:val="005F46EA"/>
    <w:rsid w:val="005F5425"/>
    <w:rsid w:val="005F5701"/>
    <w:rsid w:val="005F6CBA"/>
    <w:rsid w:val="005F730B"/>
    <w:rsid w:val="005F7531"/>
    <w:rsid w:val="00600FA3"/>
    <w:rsid w:val="006013D2"/>
    <w:rsid w:val="00601940"/>
    <w:rsid w:val="0060204D"/>
    <w:rsid w:val="006023B0"/>
    <w:rsid w:val="006028C4"/>
    <w:rsid w:val="00602C65"/>
    <w:rsid w:val="00602CB4"/>
    <w:rsid w:val="0060372A"/>
    <w:rsid w:val="006037C1"/>
    <w:rsid w:val="00603874"/>
    <w:rsid w:val="006039CA"/>
    <w:rsid w:val="00604220"/>
    <w:rsid w:val="00604958"/>
    <w:rsid w:val="00604A12"/>
    <w:rsid w:val="00604A66"/>
    <w:rsid w:val="00604CC4"/>
    <w:rsid w:val="00604FFE"/>
    <w:rsid w:val="00605177"/>
    <w:rsid w:val="00606BAE"/>
    <w:rsid w:val="00607114"/>
    <w:rsid w:val="006077DA"/>
    <w:rsid w:val="00607ABA"/>
    <w:rsid w:val="00612620"/>
    <w:rsid w:val="0061265F"/>
    <w:rsid w:val="006126E8"/>
    <w:rsid w:val="006128BE"/>
    <w:rsid w:val="00612A72"/>
    <w:rsid w:val="00613376"/>
    <w:rsid w:val="00613DBD"/>
    <w:rsid w:val="00613F25"/>
    <w:rsid w:val="00614E53"/>
    <w:rsid w:val="00615CFD"/>
    <w:rsid w:val="00615F37"/>
    <w:rsid w:val="00616628"/>
    <w:rsid w:val="006170A9"/>
    <w:rsid w:val="006171D4"/>
    <w:rsid w:val="0061777B"/>
    <w:rsid w:val="00617786"/>
    <w:rsid w:val="006200E0"/>
    <w:rsid w:val="0062015E"/>
    <w:rsid w:val="00620D39"/>
    <w:rsid w:val="006216E8"/>
    <w:rsid w:val="00621758"/>
    <w:rsid w:val="00621BE0"/>
    <w:rsid w:val="0062278B"/>
    <w:rsid w:val="006228C5"/>
    <w:rsid w:val="006230C0"/>
    <w:rsid w:val="00625245"/>
    <w:rsid w:val="006255FB"/>
    <w:rsid w:val="00626516"/>
    <w:rsid w:val="00626740"/>
    <w:rsid w:val="006268D9"/>
    <w:rsid w:val="00626B89"/>
    <w:rsid w:val="00627F70"/>
    <w:rsid w:val="00630273"/>
    <w:rsid w:val="00630C5E"/>
    <w:rsid w:val="00630CD0"/>
    <w:rsid w:val="00630E07"/>
    <w:rsid w:val="00630F05"/>
    <w:rsid w:val="006315B8"/>
    <w:rsid w:val="00631DB1"/>
    <w:rsid w:val="006323DB"/>
    <w:rsid w:val="0063286E"/>
    <w:rsid w:val="006331A6"/>
    <w:rsid w:val="006343B6"/>
    <w:rsid w:val="00634741"/>
    <w:rsid w:val="00634E00"/>
    <w:rsid w:val="0063530C"/>
    <w:rsid w:val="0063576B"/>
    <w:rsid w:val="00635861"/>
    <w:rsid w:val="006378B5"/>
    <w:rsid w:val="00637939"/>
    <w:rsid w:val="00637A06"/>
    <w:rsid w:val="00640C7E"/>
    <w:rsid w:val="0064123B"/>
    <w:rsid w:val="00641302"/>
    <w:rsid w:val="00641610"/>
    <w:rsid w:val="00641A7A"/>
    <w:rsid w:val="00641BBB"/>
    <w:rsid w:val="00641DC0"/>
    <w:rsid w:val="00642D5B"/>
    <w:rsid w:val="00643ACA"/>
    <w:rsid w:val="00643E13"/>
    <w:rsid w:val="00643F4D"/>
    <w:rsid w:val="00644019"/>
    <w:rsid w:val="00644EFA"/>
    <w:rsid w:val="006458DB"/>
    <w:rsid w:val="00647209"/>
    <w:rsid w:val="00647573"/>
    <w:rsid w:val="0065011F"/>
    <w:rsid w:val="00650198"/>
    <w:rsid w:val="006506AF"/>
    <w:rsid w:val="006508F5"/>
    <w:rsid w:val="00650FDA"/>
    <w:rsid w:val="00653823"/>
    <w:rsid w:val="006539AD"/>
    <w:rsid w:val="00653A61"/>
    <w:rsid w:val="006543C4"/>
    <w:rsid w:val="00654545"/>
    <w:rsid w:val="00654876"/>
    <w:rsid w:val="00654EA3"/>
    <w:rsid w:val="00655C3C"/>
    <w:rsid w:val="00656F3D"/>
    <w:rsid w:val="00657B3F"/>
    <w:rsid w:val="00660280"/>
    <w:rsid w:val="006613A9"/>
    <w:rsid w:val="00661D25"/>
    <w:rsid w:val="006633E0"/>
    <w:rsid w:val="0066340F"/>
    <w:rsid w:val="00663E50"/>
    <w:rsid w:val="00664D42"/>
    <w:rsid w:val="00665081"/>
    <w:rsid w:val="00666405"/>
    <w:rsid w:val="00666F03"/>
    <w:rsid w:val="00667342"/>
    <w:rsid w:val="00667C34"/>
    <w:rsid w:val="00667E02"/>
    <w:rsid w:val="00670589"/>
    <w:rsid w:val="006705C2"/>
    <w:rsid w:val="00671232"/>
    <w:rsid w:val="00671265"/>
    <w:rsid w:val="00671A94"/>
    <w:rsid w:val="00672084"/>
    <w:rsid w:val="00672A2F"/>
    <w:rsid w:val="00672AEB"/>
    <w:rsid w:val="006731B8"/>
    <w:rsid w:val="006739E2"/>
    <w:rsid w:val="00673C84"/>
    <w:rsid w:val="00673DA5"/>
    <w:rsid w:val="0067495F"/>
    <w:rsid w:val="00674B9C"/>
    <w:rsid w:val="00674C7E"/>
    <w:rsid w:val="00674CE5"/>
    <w:rsid w:val="00675012"/>
    <w:rsid w:val="006755BB"/>
    <w:rsid w:val="00675B53"/>
    <w:rsid w:val="00675C66"/>
    <w:rsid w:val="006762BC"/>
    <w:rsid w:val="006769DB"/>
    <w:rsid w:val="00677DFA"/>
    <w:rsid w:val="00680856"/>
    <w:rsid w:val="00680A3C"/>
    <w:rsid w:val="00680A54"/>
    <w:rsid w:val="00681720"/>
    <w:rsid w:val="006817B3"/>
    <w:rsid w:val="0068271B"/>
    <w:rsid w:val="00683D2A"/>
    <w:rsid w:val="00683D80"/>
    <w:rsid w:val="00685014"/>
    <w:rsid w:val="00685652"/>
    <w:rsid w:val="00685957"/>
    <w:rsid w:val="00685D8B"/>
    <w:rsid w:val="00685DD5"/>
    <w:rsid w:val="00690109"/>
    <w:rsid w:val="00690368"/>
    <w:rsid w:val="006907B9"/>
    <w:rsid w:val="00690DC9"/>
    <w:rsid w:val="006931B8"/>
    <w:rsid w:val="0069379E"/>
    <w:rsid w:val="006938D8"/>
    <w:rsid w:val="00693924"/>
    <w:rsid w:val="00693BF9"/>
    <w:rsid w:val="00695659"/>
    <w:rsid w:val="0069583B"/>
    <w:rsid w:val="00695EC5"/>
    <w:rsid w:val="006963F7"/>
    <w:rsid w:val="006965F4"/>
    <w:rsid w:val="00697627"/>
    <w:rsid w:val="00697AC1"/>
    <w:rsid w:val="00697F0F"/>
    <w:rsid w:val="006A0387"/>
    <w:rsid w:val="006A048D"/>
    <w:rsid w:val="006A0D75"/>
    <w:rsid w:val="006A1167"/>
    <w:rsid w:val="006A167F"/>
    <w:rsid w:val="006A1C70"/>
    <w:rsid w:val="006A2DA9"/>
    <w:rsid w:val="006A3124"/>
    <w:rsid w:val="006A3178"/>
    <w:rsid w:val="006A3ADC"/>
    <w:rsid w:val="006A44FF"/>
    <w:rsid w:val="006A455F"/>
    <w:rsid w:val="006A4631"/>
    <w:rsid w:val="006A4C09"/>
    <w:rsid w:val="006A4D4C"/>
    <w:rsid w:val="006A53E4"/>
    <w:rsid w:val="006A5ECC"/>
    <w:rsid w:val="006A5F51"/>
    <w:rsid w:val="006A65A7"/>
    <w:rsid w:val="006A66E1"/>
    <w:rsid w:val="006A6C87"/>
    <w:rsid w:val="006A7F40"/>
    <w:rsid w:val="006B03C6"/>
    <w:rsid w:val="006B0692"/>
    <w:rsid w:val="006B0DCB"/>
    <w:rsid w:val="006B0E2F"/>
    <w:rsid w:val="006B1244"/>
    <w:rsid w:val="006B171C"/>
    <w:rsid w:val="006B215D"/>
    <w:rsid w:val="006B22AA"/>
    <w:rsid w:val="006B3192"/>
    <w:rsid w:val="006B3F98"/>
    <w:rsid w:val="006B4613"/>
    <w:rsid w:val="006B5333"/>
    <w:rsid w:val="006B543B"/>
    <w:rsid w:val="006B6A68"/>
    <w:rsid w:val="006B70DA"/>
    <w:rsid w:val="006B7BE7"/>
    <w:rsid w:val="006C038E"/>
    <w:rsid w:val="006C0485"/>
    <w:rsid w:val="006C0CE4"/>
    <w:rsid w:val="006C0E42"/>
    <w:rsid w:val="006C28CB"/>
    <w:rsid w:val="006C3F99"/>
    <w:rsid w:val="006C4293"/>
    <w:rsid w:val="006C4340"/>
    <w:rsid w:val="006C4385"/>
    <w:rsid w:val="006C50AA"/>
    <w:rsid w:val="006C54AE"/>
    <w:rsid w:val="006C6D77"/>
    <w:rsid w:val="006C712B"/>
    <w:rsid w:val="006C781D"/>
    <w:rsid w:val="006C793A"/>
    <w:rsid w:val="006C7B02"/>
    <w:rsid w:val="006D0736"/>
    <w:rsid w:val="006D0A9B"/>
    <w:rsid w:val="006D0C80"/>
    <w:rsid w:val="006D0EAA"/>
    <w:rsid w:val="006D1297"/>
    <w:rsid w:val="006D14D8"/>
    <w:rsid w:val="006D1B37"/>
    <w:rsid w:val="006D1C42"/>
    <w:rsid w:val="006D22E0"/>
    <w:rsid w:val="006D33BB"/>
    <w:rsid w:val="006D3A58"/>
    <w:rsid w:val="006D4742"/>
    <w:rsid w:val="006D491A"/>
    <w:rsid w:val="006D4920"/>
    <w:rsid w:val="006D4B71"/>
    <w:rsid w:val="006D51C4"/>
    <w:rsid w:val="006D5621"/>
    <w:rsid w:val="006D579B"/>
    <w:rsid w:val="006D60C3"/>
    <w:rsid w:val="006D643D"/>
    <w:rsid w:val="006D6CDC"/>
    <w:rsid w:val="006D752D"/>
    <w:rsid w:val="006D79AD"/>
    <w:rsid w:val="006D7B6B"/>
    <w:rsid w:val="006E02B9"/>
    <w:rsid w:val="006E30CC"/>
    <w:rsid w:val="006E325A"/>
    <w:rsid w:val="006E3A1A"/>
    <w:rsid w:val="006E3E23"/>
    <w:rsid w:val="006E472C"/>
    <w:rsid w:val="006E4F3B"/>
    <w:rsid w:val="006E559F"/>
    <w:rsid w:val="006E578A"/>
    <w:rsid w:val="006E59E1"/>
    <w:rsid w:val="006E5C69"/>
    <w:rsid w:val="006E63A0"/>
    <w:rsid w:val="006E643F"/>
    <w:rsid w:val="006E7003"/>
    <w:rsid w:val="006E71C2"/>
    <w:rsid w:val="006E7D31"/>
    <w:rsid w:val="006E7F75"/>
    <w:rsid w:val="006F058D"/>
    <w:rsid w:val="006F06BF"/>
    <w:rsid w:val="006F10DC"/>
    <w:rsid w:val="006F1AF7"/>
    <w:rsid w:val="006F1C54"/>
    <w:rsid w:val="006F29A1"/>
    <w:rsid w:val="006F2D7A"/>
    <w:rsid w:val="006F44BC"/>
    <w:rsid w:val="006F5FB0"/>
    <w:rsid w:val="006F6480"/>
    <w:rsid w:val="006F6503"/>
    <w:rsid w:val="006F6B57"/>
    <w:rsid w:val="006F75D3"/>
    <w:rsid w:val="006F7F9F"/>
    <w:rsid w:val="00700450"/>
    <w:rsid w:val="0070219F"/>
    <w:rsid w:val="0070241D"/>
    <w:rsid w:val="007025D2"/>
    <w:rsid w:val="0070276C"/>
    <w:rsid w:val="00703107"/>
    <w:rsid w:val="007046C5"/>
    <w:rsid w:val="0070496E"/>
    <w:rsid w:val="00705D60"/>
    <w:rsid w:val="0070613C"/>
    <w:rsid w:val="0070689B"/>
    <w:rsid w:val="00707647"/>
    <w:rsid w:val="00707759"/>
    <w:rsid w:val="00707ABF"/>
    <w:rsid w:val="00707CCB"/>
    <w:rsid w:val="00707CD3"/>
    <w:rsid w:val="00707FD6"/>
    <w:rsid w:val="00710CF4"/>
    <w:rsid w:val="00710E9C"/>
    <w:rsid w:val="00711DB5"/>
    <w:rsid w:val="00712EBD"/>
    <w:rsid w:val="00713D81"/>
    <w:rsid w:val="00714259"/>
    <w:rsid w:val="00714BE4"/>
    <w:rsid w:val="00714D02"/>
    <w:rsid w:val="00716024"/>
    <w:rsid w:val="00716448"/>
    <w:rsid w:val="007174C4"/>
    <w:rsid w:val="007176F3"/>
    <w:rsid w:val="007177FC"/>
    <w:rsid w:val="00717A4B"/>
    <w:rsid w:val="00717EBF"/>
    <w:rsid w:val="00720567"/>
    <w:rsid w:val="00720CD2"/>
    <w:rsid w:val="0072157C"/>
    <w:rsid w:val="007215C0"/>
    <w:rsid w:val="0072162A"/>
    <w:rsid w:val="00721C31"/>
    <w:rsid w:val="0072208B"/>
    <w:rsid w:val="007235A6"/>
    <w:rsid w:val="00723A60"/>
    <w:rsid w:val="00723C73"/>
    <w:rsid w:val="00723EAE"/>
    <w:rsid w:val="00724A21"/>
    <w:rsid w:val="00725535"/>
    <w:rsid w:val="00726247"/>
    <w:rsid w:val="00730AA0"/>
    <w:rsid w:val="00730E0E"/>
    <w:rsid w:val="00731DBF"/>
    <w:rsid w:val="007332ED"/>
    <w:rsid w:val="0073342A"/>
    <w:rsid w:val="007336C1"/>
    <w:rsid w:val="00734379"/>
    <w:rsid w:val="00734709"/>
    <w:rsid w:val="00735B5B"/>
    <w:rsid w:val="007369BC"/>
    <w:rsid w:val="00736C3D"/>
    <w:rsid w:val="00740041"/>
    <w:rsid w:val="0074062F"/>
    <w:rsid w:val="00741C04"/>
    <w:rsid w:val="007436D7"/>
    <w:rsid w:val="00743A48"/>
    <w:rsid w:val="00743B60"/>
    <w:rsid w:val="00745090"/>
    <w:rsid w:val="00747440"/>
    <w:rsid w:val="0075034D"/>
    <w:rsid w:val="00750467"/>
    <w:rsid w:val="007504D8"/>
    <w:rsid w:val="00751AF7"/>
    <w:rsid w:val="00751C8B"/>
    <w:rsid w:val="00751D1E"/>
    <w:rsid w:val="0075231C"/>
    <w:rsid w:val="00752B2E"/>
    <w:rsid w:val="00753383"/>
    <w:rsid w:val="00753E67"/>
    <w:rsid w:val="007547F5"/>
    <w:rsid w:val="00754ED6"/>
    <w:rsid w:val="0075524C"/>
    <w:rsid w:val="00756004"/>
    <w:rsid w:val="00757BCA"/>
    <w:rsid w:val="007606E3"/>
    <w:rsid w:val="00760D7E"/>
    <w:rsid w:val="007611ED"/>
    <w:rsid w:val="007614A3"/>
    <w:rsid w:val="00761AB1"/>
    <w:rsid w:val="00762403"/>
    <w:rsid w:val="007629E1"/>
    <w:rsid w:val="00762BAB"/>
    <w:rsid w:val="0076332B"/>
    <w:rsid w:val="007635AF"/>
    <w:rsid w:val="0076527B"/>
    <w:rsid w:val="00765903"/>
    <w:rsid w:val="00766281"/>
    <w:rsid w:val="0076687B"/>
    <w:rsid w:val="0076699D"/>
    <w:rsid w:val="00766D64"/>
    <w:rsid w:val="007671E7"/>
    <w:rsid w:val="00767236"/>
    <w:rsid w:val="0077144B"/>
    <w:rsid w:val="00771697"/>
    <w:rsid w:val="007725B5"/>
    <w:rsid w:val="00772D0C"/>
    <w:rsid w:val="0077378B"/>
    <w:rsid w:val="0077406B"/>
    <w:rsid w:val="00774406"/>
    <w:rsid w:val="007744CC"/>
    <w:rsid w:val="007747B0"/>
    <w:rsid w:val="00774A1C"/>
    <w:rsid w:val="00774AAE"/>
    <w:rsid w:val="00774E16"/>
    <w:rsid w:val="00774FD5"/>
    <w:rsid w:val="00775798"/>
    <w:rsid w:val="007765EB"/>
    <w:rsid w:val="00776F55"/>
    <w:rsid w:val="0077745D"/>
    <w:rsid w:val="00777F70"/>
    <w:rsid w:val="007805BD"/>
    <w:rsid w:val="00780AFC"/>
    <w:rsid w:val="00780F7D"/>
    <w:rsid w:val="007815F1"/>
    <w:rsid w:val="00781C4A"/>
    <w:rsid w:val="007824DA"/>
    <w:rsid w:val="00782A77"/>
    <w:rsid w:val="00783009"/>
    <w:rsid w:val="00783119"/>
    <w:rsid w:val="00785367"/>
    <w:rsid w:val="00785BE2"/>
    <w:rsid w:val="00785BE8"/>
    <w:rsid w:val="007863E5"/>
    <w:rsid w:val="0078648B"/>
    <w:rsid w:val="0078699D"/>
    <w:rsid w:val="00786D87"/>
    <w:rsid w:val="00786F0B"/>
    <w:rsid w:val="00791AC3"/>
    <w:rsid w:val="007924FC"/>
    <w:rsid w:val="00792930"/>
    <w:rsid w:val="00793198"/>
    <w:rsid w:val="00793E73"/>
    <w:rsid w:val="00794823"/>
    <w:rsid w:val="00795528"/>
    <w:rsid w:val="007959C8"/>
    <w:rsid w:val="00795E54"/>
    <w:rsid w:val="00796253"/>
    <w:rsid w:val="007968AE"/>
    <w:rsid w:val="00796B89"/>
    <w:rsid w:val="00796FE6"/>
    <w:rsid w:val="00797213"/>
    <w:rsid w:val="007972C4"/>
    <w:rsid w:val="007975E1"/>
    <w:rsid w:val="007A00DD"/>
    <w:rsid w:val="007A08AE"/>
    <w:rsid w:val="007A0AEE"/>
    <w:rsid w:val="007A13A9"/>
    <w:rsid w:val="007A1C7A"/>
    <w:rsid w:val="007A1EBD"/>
    <w:rsid w:val="007A2084"/>
    <w:rsid w:val="007A21A7"/>
    <w:rsid w:val="007A2943"/>
    <w:rsid w:val="007A3518"/>
    <w:rsid w:val="007A391E"/>
    <w:rsid w:val="007A3C27"/>
    <w:rsid w:val="007A4189"/>
    <w:rsid w:val="007A43C8"/>
    <w:rsid w:val="007A4D92"/>
    <w:rsid w:val="007A5303"/>
    <w:rsid w:val="007A5AE7"/>
    <w:rsid w:val="007A5D34"/>
    <w:rsid w:val="007A6152"/>
    <w:rsid w:val="007A7062"/>
    <w:rsid w:val="007A71F4"/>
    <w:rsid w:val="007A73E3"/>
    <w:rsid w:val="007A75D6"/>
    <w:rsid w:val="007B0578"/>
    <w:rsid w:val="007B0CF5"/>
    <w:rsid w:val="007B163B"/>
    <w:rsid w:val="007B2520"/>
    <w:rsid w:val="007B2D32"/>
    <w:rsid w:val="007B3163"/>
    <w:rsid w:val="007B3370"/>
    <w:rsid w:val="007B3414"/>
    <w:rsid w:val="007B3A8F"/>
    <w:rsid w:val="007B3D38"/>
    <w:rsid w:val="007B47FA"/>
    <w:rsid w:val="007B61B5"/>
    <w:rsid w:val="007B6A55"/>
    <w:rsid w:val="007B7245"/>
    <w:rsid w:val="007B7D47"/>
    <w:rsid w:val="007C09BF"/>
    <w:rsid w:val="007C0D13"/>
    <w:rsid w:val="007C1F95"/>
    <w:rsid w:val="007C26B7"/>
    <w:rsid w:val="007C2773"/>
    <w:rsid w:val="007C3947"/>
    <w:rsid w:val="007C3C8C"/>
    <w:rsid w:val="007C3EAE"/>
    <w:rsid w:val="007C4112"/>
    <w:rsid w:val="007C4787"/>
    <w:rsid w:val="007C48BA"/>
    <w:rsid w:val="007C5644"/>
    <w:rsid w:val="007C5EEF"/>
    <w:rsid w:val="007C6646"/>
    <w:rsid w:val="007C7006"/>
    <w:rsid w:val="007C77BB"/>
    <w:rsid w:val="007D035F"/>
    <w:rsid w:val="007D07D8"/>
    <w:rsid w:val="007D0936"/>
    <w:rsid w:val="007D206C"/>
    <w:rsid w:val="007D27C7"/>
    <w:rsid w:val="007D29FA"/>
    <w:rsid w:val="007D3F14"/>
    <w:rsid w:val="007D417A"/>
    <w:rsid w:val="007D4F7C"/>
    <w:rsid w:val="007D6605"/>
    <w:rsid w:val="007D7745"/>
    <w:rsid w:val="007E01E3"/>
    <w:rsid w:val="007E039A"/>
    <w:rsid w:val="007E1377"/>
    <w:rsid w:val="007E1445"/>
    <w:rsid w:val="007E1F64"/>
    <w:rsid w:val="007E2DDD"/>
    <w:rsid w:val="007E37BA"/>
    <w:rsid w:val="007E3F72"/>
    <w:rsid w:val="007E4040"/>
    <w:rsid w:val="007E4493"/>
    <w:rsid w:val="007E50CC"/>
    <w:rsid w:val="007E58B4"/>
    <w:rsid w:val="007E5B02"/>
    <w:rsid w:val="007E654A"/>
    <w:rsid w:val="007E6AB9"/>
    <w:rsid w:val="007E6D08"/>
    <w:rsid w:val="007E6F12"/>
    <w:rsid w:val="007E73EA"/>
    <w:rsid w:val="007E7C2E"/>
    <w:rsid w:val="007F0399"/>
    <w:rsid w:val="007F08CC"/>
    <w:rsid w:val="007F0C38"/>
    <w:rsid w:val="007F0DDD"/>
    <w:rsid w:val="007F186D"/>
    <w:rsid w:val="007F18E2"/>
    <w:rsid w:val="007F1CBD"/>
    <w:rsid w:val="007F1F47"/>
    <w:rsid w:val="007F2A72"/>
    <w:rsid w:val="007F4CBE"/>
    <w:rsid w:val="007F4D3A"/>
    <w:rsid w:val="007F59FE"/>
    <w:rsid w:val="007F65E9"/>
    <w:rsid w:val="007F67AB"/>
    <w:rsid w:val="007F71B9"/>
    <w:rsid w:val="007F7257"/>
    <w:rsid w:val="007F7E25"/>
    <w:rsid w:val="0080057B"/>
    <w:rsid w:val="00800FEE"/>
    <w:rsid w:val="0080163E"/>
    <w:rsid w:val="00801909"/>
    <w:rsid w:val="00801AD7"/>
    <w:rsid w:val="00801B9B"/>
    <w:rsid w:val="008024FC"/>
    <w:rsid w:val="00802576"/>
    <w:rsid w:val="00802BBE"/>
    <w:rsid w:val="00802C28"/>
    <w:rsid w:val="00803152"/>
    <w:rsid w:val="00804026"/>
    <w:rsid w:val="0080529E"/>
    <w:rsid w:val="00805309"/>
    <w:rsid w:val="00805565"/>
    <w:rsid w:val="00806078"/>
    <w:rsid w:val="008070A7"/>
    <w:rsid w:val="00807A71"/>
    <w:rsid w:val="00810B82"/>
    <w:rsid w:val="00811D67"/>
    <w:rsid w:val="00811DDB"/>
    <w:rsid w:val="00811E7F"/>
    <w:rsid w:val="00812D15"/>
    <w:rsid w:val="0081354D"/>
    <w:rsid w:val="008139A7"/>
    <w:rsid w:val="00814FE7"/>
    <w:rsid w:val="0081542D"/>
    <w:rsid w:val="00815B41"/>
    <w:rsid w:val="00816315"/>
    <w:rsid w:val="008170EB"/>
    <w:rsid w:val="00817381"/>
    <w:rsid w:val="00817A27"/>
    <w:rsid w:val="0082174D"/>
    <w:rsid w:val="00821E48"/>
    <w:rsid w:val="008226C4"/>
    <w:rsid w:val="00822702"/>
    <w:rsid w:val="008230C0"/>
    <w:rsid w:val="0082389F"/>
    <w:rsid w:val="008243A4"/>
    <w:rsid w:val="00825C87"/>
    <w:rsid w:val="00825D5E"/>
    <w:rsid w:val="0082609F"/>
    <w:rsid w:val="0082683B"/>
    <w:rsid w:val="008268CC"/>
    <w:rsid w:val="00827295"/>
    <w:rsid w:val="0082735D"/>
    <w:rsid w:val="00827855"/>
    <w:rsid w:val="008278B2"/>
    <w:rsid w:val="00827C7F"/>
    <w:rsid w:val="00827DE1"/>
    <w:rsid w:val="00827E9F"/>
    <w:rsid w:val="008303F0"/>
    <w:rsid w:val="0083065F"/>
    <w:rsid w:val="0083090B"/>
    <w:rsid w:val="00831648"/>
    <w:rsid w:val="00831C60"/>
    <w:rsid w:val="00831CA8"/>
    <w:rsid w:val="0083286F"/>
    <w:rsid w:val="0083338C"/>
    <w:rsid w:val="00833E84"/>
    <w:rsid w:val="0083456F"/>
    <w:rsid w:val="00836601"/>
    <w:rsid w:val="00837764"/>
    <w:rsid w:val="008378C2"/>
    <w:rsid w:val="00837FDB"/>
    <w:rsid w:val="00840383"/>
    <w:rsid w:val="00840541"/>
    <w:rsid w:val="00842646"/>
    <w:rsid w:val="00843CD8"/>
    <w:rsid w:val="00844273"/>
    <w:rsid w:val="00844E55"/>
    <w:rsid w:val="008450CA"/>
    <w:rsid w:val="00845207"/>
    <w:rsid w:val="0084526D"/>
    <w:rsid w:val="00845481"/>
    <w:rsid w:val="008455E1"/>
    <w:rsid w:val="00845DA2"/>
    <w:rsid w:val="008464AD"/>
    <w:rsid w:val="008469CE"/>
    <w:rsid w:val="00846A6C"/>
    <w:rsid w:val="00846B3D"/>
    <w:rsid w:val="0084776D"/>
    <w:rsid w:val="00850607"/>
    <w:rsid w:val="008506B4"/>
    <w:rsid w:val="00850749"/>
    <w:rsid w:val="008512BF"/>
    <w:rsid w:val="00851708"/>
    <w:rsid w:val="00851D53"/>
    <w:rsid w:val="00851D8D"/>
    <w:rsid w:val="008528F5"/>
    <w:rsid w:val="00852EF8"/>
    <w:rsid w:val="00853411"/>
    <w:rsid w:val="0085409A"/>
    <w:rsid w:val="00854357"/>
    <w:rsid w:val="0085490C"/>
    <w:rsid w:val="0085591B"/>
    <w:rsid w:val="00856CC4"/>
    <w:rsid w:val="008576A9"/>
    <w:rsid w:val="00857F3B"/>
    <w:rsid w:val="00861A34"/>
    <w:rsid w:val="008624B5"/>
    <w:rsid w:val="008625A5"/>
    <w:rsid w:val="00863083"/>
    <w:rsid w:val="00863131"/>
    <w:rsid w:val="0086375A"/>
    <w:rsid w:val="00863E62"/>
    <w:rsid w:val="0086419C"/>
    <w:rsid w:val="00864389"/>
    <w:rsid w:val="00864678"/>
    <w:rsid w:val="0086557A"/>
    <w:rsid w:val="008656E9"/>
    <w:rsid w:val="00865D27"/>
    <w:rsid w:val="00866790"/>
    <w:rsid w:val="00866AF5"/>
    <w:rsid w:val="00867CE9"/>
    <w:rsid w:val="00867F49"/>
    <w:rsid w:val="00870C9B"/>
    <w:rsid w:val="00871E84"/>
    <w:rsid w:val="008724D2"/>
    <w:rsid w:val="0087324F"/>
    <w:rsid w:val="008735D9"/>
    <w:rsid w:val="00873D36"/>
    <w:rsid w:val="0087449F"/>
    <w:rsid w:val="00874976"/>
    <w:rsid w:val="00874C72"/>
    <w:rsid w:val="00876F3D"/>
    <w:rsid w:val="00877DA7"/>
    <w:rsid w:val="008817A1"/>
    <w:rsid w:val="00881810"/>
    <w:rsid w:val="008822E4"/>
    <w:rsid w:val="0088280D"/>
    <w:rsid w:val="00883286"/>
    <w:rsid w:val="008834B6"/>
    <w:rsid w:val="00883B7E"/>
    <w:rsid w:val="00883D6A"/>
    <w:rsid w:val="0088497D"/>
    <w:rsid w:val="00885C73"/>
    <w:rsid w:val="008861E5"/>
    <w:rsid w:val="008864CA"/>
    <w:rsid w:val="0088652F"/>
    <w:rsid w:val="00886AFB"/>
    <w:rsid w:val="00887EE0"/>
    <w:rsid w:val="008906B2"/>
    <w:rsid w:val="00890833"/>
    <w:rsid w:val="0089093E"/>
    <w:rsid w:val="0089133D"/>
    <w:rsid w:val="00891AE0"/>
    <w:rsid w:val="00892A51"/>
    <w:rsid w:val="00892AB0"/>
    <w:rsid w:val="00892BFC"/>
    <w:rsid w:val="00892E8C"/>
    <w:rsid w:val="008932D8"/>
    <w:rsid w:val="00893352"/>
    <w:rsid w:val="00894446"/>
    <w:rsid w:val="008949A9"/>
    <w:rsid w:val="00896132"/>
    <w:rsid w:val="0089665D"/>
    <w:rsid w:val="00896DF2"/>
    <w:rsid w:val="008975BF"/>
    <w:rsid w:val="0089776C"/>
    <w:rsid w:val="00897B25"/>
    <w:rsid w:val="00897B92"/>
    <w:rsid w:val="008A060E"/>
    <w:rsid w:val="008A10A5"/>
    <w:rsid w:val="008A1B6B"/>
    <w:rsid w:val="008A1FFD"/>
    <w:rsid w:val="008A2390"/>
    <w:rsid w:val="008A2E72"/>
    <w:rsid w:val="008A31A0"/>
    <w:rsid w:val="008A439F"/>
    <w:rsid w:val="008A467C"/>
    <w:rsid w:val="008A5710"/>
    <w:rsid w:val="008A5D4A"/>
    <w:rsid w:val="008A6DF9"/>
    <w:rsid w:val="008A77E3"/>
    <w:rsid w:val="008A7E0D"/>
    <w:rsid w:val="008B0675"/>
    <w:rsid w:val="008B0BD1"/>
    <w:rsid w:val="008B10CE"/>
    <w:rsid w:val="008B22A9"/>
    <w:rsid w:val="008B26AF"/>
    <w:rsid w:val="008B2718"/>
    <w:rsid w:val="008B2B2B"/>
    <w:rsid w:val="008B2F5C"/>
    <w:rsid w:val="008B30DF"/>
    <w:rsid w:val="008B37EC"/>
    <w:rsid w:val="008B3E96"/>
    <w:rsid w:val="008B3FB5"/>
    <w:rsid w:val="008B4BFF"/>
    <w:rsid w:val="008B4D21"/>
    <w:rsid w:val="008B50A4"/>
    <w:rsid w:val="008B583A"/>
    <w:rsid w:val="008B587F"/>
    <w:rsid w:val="008B5A62"/>
    <w:rsid w:val="008B5E7F"/>
    <w:rsid w:val="008B6865"/>
    <w:rsid w:val="008B6871"/>
    <w:rsid w:val="008B7B3C"/>
    <w:rsid w:val="008B7CB4"/>
    <w:rsid w:val="008C0184"/>
    <w:rsid w:val="008C0847"/>
    <w:rsid w:val="008C0CCF"/>
    <w:rsid w:val="008C0DFF"/>
    <w:rsid w:val="008C3204"/>
    <w:rsid w:val="008C38F9"/>
    <w:rsid w:val="008C425A"/>
    <w:rsid w:val="008C461D"/>
    <w:rsid w:val="008C47DF"/>
    <w:rsid w:val="008C53D1"/>
    <w:rsid w:val="008C5ADC"/>
    <w:rsid w:val="008C6084"/>
    <w:rsid w:val="008C6A15"/>
    <w:rsid w:val="008C6CF0"/>
    <w:rsid w:val="008C79E8"/>
    <w:rsid w:val="008C7E60"/>
    <w:rsid w:val="008D01BA"/>
    <w:rsid w:val="008D0CC1"/>
    <w:rsid w:val="008D15A4"/>
    <w:rsid w:val="008D19D6"/>
    <w:rsid w:val="008D1C85"/>
    <w:rsid w:val="008D238C"/>
    <w:rsid w:val="008D2725"/>
    <w:rsid w:val="008D500B"/>
    <w:rsid w:val="008D620A"/>
    <w:rsid w:val="008D6984"/>
    <w:rsid w:val="008D6EC9"/>
    <w:rsid w:val="008D70B3"/>
    <w:rsid w:val="008D752D"/>
    <w:rsid w:val="008DD407"/>
    <w:rsid w:val="008E0DF4"/>
    <w:rsid w:val="008E11B9"/>
    <w:rsid w:val="008E129E"/>
    <w:rsid w:val="008E16B0"/>
    <w:rsid w:val="008E18D0"/>
    <w:rsid w:val="008E1E73"/>
    <w:rsid w:val="008E1FC2"/>
    <w:rsid w:val="008E20FC"/>
    <w:rsid w:val="008E23E1"/>
    <w:rsid w:val="008E269E"/>
    <w:rsid w:val="008E2E8E"/>
    <w:rsid w:val="008E3062"/>
    <w:rsid w:val="008E34EA"/>
    <w:rsid w:val="008E4C14"/>
    <w:rsid w:val="008E4DEC"/>
    <w:rsid w:val="008E4E6C"/>
    <w:rsid w:val="008E5D93"/>
    <w:rsid w:val="008E7DF7"/>
    <w:rsid w:val="008F0E4F"/>
    <w:rsid w:val="008F1221"/>
    <w:rsid w:val="008F1F66"/>
    <w:rsid w:val="008F2EC7"/>
    <w:rsid w:val="008F30BC"/>
    <w:rsid w:val="008F3117"/>
    <w:rsid w:val="008F3603"/>
    <w:rsid w:val="008F422B"/>
    <w:rsid w:val="008F4B62"/>
    <w:rsid w:val="008F6635"/>
    <w:rsid w:val="008F66F9"/>
    <w:rsid w:val="008F6B4E"/>
    <w:rsid w:val="008F6CD4"/>
    <w:rsid w:val="008F729D"/>
    <w:rsid w:val="009009FE"/>
    <w:rsid w:val="00900B08"/>
    <w:rsid w:val="00901866"/>
    <w:rsid w:val="009026E4"/>
    <w:rsid w:val="00902BEC"/>
    <w:rsid w:val="00902E14"/>
    <w:rsid w:val="00903920"/>
    <w:rsid w:val="00905F22"/>
    <w:rsid w:val="00906261"/>
    <w:rsid w:val="0090653B"/>
    <w:rsid w:val="009071BF"/>
    <w:rsid w:val="0090784E"/>
    <w:rsid w:val="00910235"/>
    <w:rsid w:val="009106E0"/>
    <w:rsid w:val="00910B06"/>
    <w:rsid w:val="00910C4E"/>
    <w:rsid w:val="0091227F"/>
    <w:rsid w:val="009122C0"/>
    <w:rsid w:val="00912491"/>
    <w:rsid w:val="00912DB2"/>
    <w:rsid w:val="00912F0B"/>
    <w:rsid w:val="009131D0"/>
    <w:rsid w:val="0091397B"/>
    <w:rsid w:val="00913BFE"/>
    <w:rsid w:val="00913FA0"/>
    <w:rsid w:val="00915850"/>
    <w:rsid w:val="00916076"/>
    <w:rsid w:val="00916251"/>
    <w:rsid w:val="009164E5"/>
    <w:rsid w:val="00916C08"/>
    <w:rsid w:val="00917FB9"/>
    <w:rsid w:val="0092048A"/>
    <w:rsid w:val="00920562"/>
    <w:rsid w:val="00920D6E"/>
    <w:rsid w:val="009212F8"/>
    <w:rsid w:val="00921774"/>
    <w:rsid w:val="00921D2E"/>
    <w:rsid w:val="0092224A"/>
    <w:rsid w:val="0092321B"/>
    <w:rsid w:val="00923CC2"/>
    <w:rsid w:val="00924698"/>
    <w:rsid w:val="00924E7D"/>
    <w:rsid w:val="0092514C"/>
    <w:rsid w:val="0092530A"/>
    <w:rsid w:val="0092559A"/>
    <w:rsid w:val="00925CD0"/>
    <w:rsid w:val="00927238"/>
    <w:rsid w:val="0092758E"/>
    <w:rsid w:val="00927A00"/>
    <w:rsid w:val="009304DD"/>
    <w:rsid w:val="0093072C"/>
    <w:rsid w:val="00931136"/>
    <w:rsid w:val="00931396"/>
    <w:rsid w:val="00931B6F"/>
    <w:rsid w:val="00932104"/>
    <w:rsid w:val="00932468"/>
    <w:rsid w:val="00932AD1"/>
    <w:rsid w:val="00934008"/>
    <w:rsid w:val="00934941"/>
    <w:rsid w:val="00934E43"/>
    <w:rsid w:val="0093642D"/>
    <w:rsid w:val="00936C8F"/>
    <w:rsid w:val="00936F1C"/>
    <w:rsid w:val="0093708F"/>
    <w:rsid w:val="009377D5"/>
    <w:rsid w:val="00937B7D"/>
    <w:rsid w:val="00940627"/>
    <w:rsid w:val="0094181D"/>
    <w:rsid w:val="00942429"/>
    <w:rsid w:val="009429FB"/>
    <w:rsid w:val="009431B2"/>
    <w:rsid w:val="009435B2"/>
    <w:rsid w:val="009437B8"/>
    <w:rsid w:val="0094385A"/>
    <w:rsid w:val="00944463"/>
    <w:rsid w:val="00944F77"/>
    <w:rsid w:val="009457A7"/>
    <w:rsid w:val="0094633F"/>
    <w:rsid w:val="0094694D"/>
    <w:rsid w:val="00947B8B"/>
    <w:rsid w:val="00950E87"/>
    <w:rsid w:val="009516C2"/>
    <w:rsid w:val="009516C3"/>
    <w:rsid w:val="00951705"/>
    <w:rsid w:val="00952914"/>
    <w:rsid w:val="00952E99"/>
    <w:rsid w:val="009537E0"/>
    <w:rsid w:val="009547DE"/>
    <w:rsid w:val="00954B55"/>
    <w:rsid w:val="00954B75"/>
    <w:rsid w:val="00955166"/>
    <w:rsid w:val="00955D2A"/>
    <w:rsid w:val="009560D9"/>
    <w:rsid w:val="00956216"/>
    <w:rsid w:val="00956694"/>
    <w:rsid w:val="00957AB5"/>
    <w:rsid w:val="00957B26"/>
    <w:rsid w:val="0096037E"/>
    <w:rsid w:val="009605D7"/>
    <w:rsid w:val="0096081D"/>
    <w:rsid w:val="00960893"/>
    <w:rsid w:val="00960FD8"/>
    <w:rsid w:val="00961683"/>
    <w:rsid w:val="009616D0"/>
    <w:rsid w:val="00961C7C"/>
    <w:rsid w:val="0096337D"/>
    <w:rsid w:val="009636FA"/>
    <w:rsid w:val="00963778"/>
    <w:rsid w:val="00963E03"/>
    <w:rsid w:val="009651E0"/>
    <w:rsid w:val="0096547A"/>
    <w:rsid w:val="00966459"/>
    <w:rsid w:val="00967692"/>
    <w:rsid w:val="00967693"/>
    <w:rsid w:val="0096796B"/>
    <w:rsid w:val="00967D8C"/>
    <w:rsid w:val="0097026D"/>
    <w:rsid w:val="00970608"/>
    <w:rsid w:val="0097062E"/>
    <w:rsid w:val="009706A4"/>
    <w:rsid w:val="009715E5"/>
    <w:rsid w:val="00971ED7"/>
    <w:rsid w:val="009724B2"/>
    <w:rsid w:val="0097284C"/>
    <w:rsid w:val="00972A87"/>
    <w:rsid w:val="00972E24"/>
    <w:rsid w:val="009732E0"/>
    <w:rsid w:val="00973489"/>
    <w:rsid w:val="009734FF"/>
    <w:rsid w:val="00973AB1"/>
    <w:rsid w:val="00973BA0"/>
    <w:rsid w:val="00973E1A"/>
    <w:rsid w:val="00974453"/>
    <w:rsid w:val="009747DB"/>
    <w:rsid w:val="00974D68"/>
    <w:rsid w:val="00974E53"/>
    <w:rsid w:val="00975CA2"/>
    <w:rsid w:val="00975F08"/>
    <w:rsid w:val="00976E5F"/>
    <w:rsid w:val="00977CD8"/>
    <w:rsid w:val="00981477"/>
    <w:rsid w:val="00981BAE"/>
    <w:rsid w:val="00982522"/>
    <w:rsid w:val="00982C9D"/>
    <w:rsid w:val="009832E6"/>
    <w:rsid w:val="00983775"/>
    <w:rsid w:val="00983DF8"/>
    <w:rsid w:val="00983F6B"/>
    <w:rsid w:val="009849A4"/>
    <w:rsid w:val="00984C0D"/>
    <w:rsid w:val="00984D8B"/>
    <w:rsid w:val="00985DE3"/>
    <w:rsid w:val="00990295"/>
    <w:rsid w:val="0099170C"/>
    <w:rsid w:val="00991B30"/>
    <w:rsid w:val="009924DA"/>
    <w:rsid w:val="00992B1B"/>
    <w:rsid w:val="00992BE8"/>
    <w:rsid w:val="00992E54"/>
    <w:rsid w:val="00993122"/>
    <w:rsid w:val="00993466"/>
    <w:rsid w:val="00993495"/>
    <w:rsid w:val="0099363B"/>
    <w:rsid w:val="00993718"/>
    <w:rsid w:val="00993F75"/>
    <w:rsid w:val="00993FDC"/>
    <w:rsid w:val="009940E2"/>
    <w:rsid w:val="009944F3"/>
    <w:rsid w:val="00994A0E"/>
    <w:rsid w:val="00994A5F"/>
    <w:rsid w:val="00994FD3"/>
    <w:rsid w:val="00995620"/>
    <w:rsid w:val="00995F9B"/>
    <w:rsid w:val="00997504"/>
    <w:rsid w:val="009A10F7"/>
    <w:rsid w:val="009A1504"/>
    <w:rsid w:val="009A1B90"/>
    <w:rsid w:val="009A2107"/>
    <w:rsid w:val="009A21BD"/>
    <w:rsid w:val="009A2F7E"/>
    <w:rsid w:val="009A36E3"/>
    <w:rsid w:val="009A3CA5"/>
    <w:rsid w:val="009A43B6"/>
    <w:rsid w:val="009A477A"/>
    <w:rsid w:val="009A4C73"/>
    <w:rsid w:val="009A4C88"/>
    <w:rsid w:val="009A52DD"/>
    <w:rsid w:val="009A55B1"/>
    <w:rsid w:val="009A5859"/>
    <w:rsid w:val="009A597A"/>
    <w:rsid w:val="009A6646"/>
    <w:rsid w:val="009A6DE3"/>
    <w:rsid w:val="009A7269"/>
    <w:rsid w:val="009A7660"/>
    <w:rsid w:val="009A7EEF"/>
    <w:rsid w:val="009B0983"/>
    <w:rsid w:val="009B1E8E"/>
    <w:rsid w:val="009B1ED3"/>
    <w:rsid w:val="009B1FC7"/>
    <w:rsid w:val="009B237B"/>
    <w:rsid w:val="009B2956"/>
    <w:rsid w:val="009B338C"/>
    <w:rsid w:val="009B352A"/>
    <w:rsid w:val="009B36C5"/>
    <w:rsid w:val="009B3820"/>
    <w:rsid w:val="009B3D5F"/>
    <w:rsid w:val="009B4810"/>
    <w:rsid w:val="009B4D97"/>
    <w:rsid w:val="009B4FE3"/>
    <w:rsid w:val="009B59AA"/>
    <w:rsid w:val="009B6945"/>
    <w:rsid w:val="009B7B8F"/>
    <w:rsid w:val="009B7EB3"/>
    <w:rsid w:val="009C1739"/>
    <w:rsid w:val="009C174E"/>
    <w:rsid w:val="009C1E2B"/>
    <w:rsid w:val="009C2AF5"/>
    <w:rsid w:val="009C2D80"/>
    <w:rsid w:val="009C3199"/>
    <w:rsid w:val="009C3EE6"/>
    <w:rsid w:val="009C4622"/>
    <w:rsid w:val="009C47D5"/>
    <w:rsid w:val="009C4A84"/>
    <w:rsid w:val="009C55AD"/>
    <w:rsid w:val="009C58C0"/>
    <w:rsid w:val="009C5C82"/>
    <w:rsid w:val="009C5E7D"/>
    <w:rsid w:val="009C60E8"/>
    <w:rsid w:val="009C62C0"/>
    <w:rsid w:val="009C65F3"/>
    <w:rsid w:val="009C711B"/>
    <w:rsid w:val="009C73E3"/>
    <w:rsid w:val="009C767F"/>
    <w:rsid w:val="009C77E9"/>
    <w:rsid w:val="009C7FF2"/>
    <w:rsid w:val="009D0C13"/>
    <w:rsid w:val="009D0E37"/>
    <w:rsid w:val="009D1F2D"/>
    <w:rsid w:val="009D262E"/>
    <w:rsid w:val="009D2765"/>
    <w:rsid w:val="009D28FD"/>
    <w:rsid w:val="009D369F"/>
    <w:rsid w:val="009D415A"/>
    <w:rsid w:val="009D544A"/>
    <w:rsid w:val="009D6130"/>
    <w:rsid w:val="009D6BE5"/>
    <w:rsid w:val="009E019F"/>
    <w:rsid w:val="009E0E1A"/>
    <w:rsid w:val="009E10C0"/>
    <w:rsid w:val="009E177C"/>
    <w:rsid w:val="009E1C5D"/>
    <w:rsid w:val="009E2184"/>
    <w:rsid w:val="009E23AB"/>
    <w:rsid w:val="009E2F4C"/>
    <w:rsid w:val="009E3349"/>
    <w:rsid w:val="009E33CD"/>
    <w:rsid w:val="009E38FB"/>
    <w:rsid w:val="009E3DEE"/>
    <w:rsid w:val="009E5368"/>
    <w:rsid w:val="009E664F"/>
    <w:rsid w:val="009E6930"/>
    <w:rsid w:val="009E6F80"/>
    <w:rsid w:val="009E741F"/>
    <w:rsid w:val="009E7EAD"/>
    <w:rsid w:val="009E9369"/>
    <w:rsid w:val="009F0702"/>
    <w:rsid w:val="009F117C"/>
    <w:rsid w:val="009F1896"/>
    <w:rsid w:val="009F1C77"/>
    <w:rsid w:val="009F25FD"/>
    <w:rsid w:val="009F2794"/>
    <w:rsid w:val="009F2DE5"/>
    <w:rsid w:val="009F33B8"/>
    <w:rsid w:val="009F3566"/>
    <w:rsid w:val="009F39C4"/>
    <w:rsid w:val="009F3C18"/>
    <w:rsid w:val="009F3C1E"/>
    <w:rsid w:val="009F4FA8"/>
    <w:rsid w:val="009F56C5"/>
    <w:rsid w:val="009F56D7"/>
    <w:rsid w:val="009F630C"/>
    <w:rsid w:val="009F6840"/>
    <w:rsid w:val="009F6F55"/>
    <w:rsid w:val="009F7654"/>
    <w:rsid w:val="009F7C17"/>
    <w:rsid w:val="00A008C8"/>
    <w:rsid w:val="00A00ED2"/>
    <w:rsid w:val="00A0266F"/>
    <w:rsid w:val="00A034B5"/>
    <w:rsid w:val="00A043AF"/>
    <w:rsid w:val="00A0451F"/>
    <w:rsid w:val="00A05204"/>
    <w:rsid w:val="00A05B21"/>
    <w:rsid w:val="00A05C5B"/>
    <w:rsid w:val="00A05DCE"/>
    <w:rsid w:val="00A0645B"/>
    <w:rsid w:val="00A06887"/>
    <w:rsid w:val="00A06ACB"/>
    <w:rsid w:val="00A06EBC"/>
    <w:rsid w:val="00A07654"/>
    <w:rsid w:val="00A11A9F"/>
    <w:rsid w:val="00A121E5"/>
    <w:rsid w:val="00A12F24"/>
    <w:rsid w:val="00A12F43"/>
    <w:rsid w:val="00A14307"/>
    <w:rsid w:val="00A15830"/>
    <w:rsid w:val="00A16244"/>
    <w:rsid w:val="00A168A5"/>
    <w:rsid w:val="00A169C0"/>
    <w:rsid w:val="00A16F3F"/>
    <w:rsid w:val="00A16F72"/>
    <w:rsid w:val="00A17072"/>
    <w:rsid w:val="00A17115"/>
    <w:rsid w:val="00A17C6C"/>
    <w:rsid w:val="00A2058C"/>
    <w:rsid w:val="00A21901"/>
    <w:rsid w:val="00A22877"/>
    <w:rsid w:val="00A2331E"/>
    <w:rsid w:val="00A237F6"/>
    <w:rsid w:val="00A23944"/>
    <w:rsid w:val="00A23B81"/>
    <w:rsid w:val="00A2486B"/>
    <w:rsid w:val="00A248A9"/>
    <w:rsid w:val="00A248B2"/>
    <w:rsid w:val="00A24998"/>
    <w:rsid w:val="00A258BB"/>
    <w:rsid w:val="00A260F1"/>
    <w:rsid w:val="00A27021"/>
    <w:rsid w:val="00A278DC"/>
    <w:rsid w:val="00A27982"/>
    <w:rsid w:val="00A27CB8"/>
    <w:rsid w:val="00A30276"/>
    <w:rsid w:val="00A30BD2"/>
    <w:rsid w:val="00A30CE4"/>
    <w:rsid w:val="00A31E96"/>
    <w:rsid w:val="00A322E5"/>
    <w:rsid w:val="00A323C4"/>
    <w:rsid w:val="00A332A4"/>
    <w:rsid w:val="00A332F3"/>
    <w:rsid w:val="00A34B7F"/>
    <w:rsid w:val="00A34CA1"/>
    <w:rsid w:val="00A34CE8"/>
    <w:rsid w:val="00A357AA"/>
    <w:rsid w:val="00A357EF"/>
    <w:rsid w:val="00A35837"/>
    <w:rsid w:val="00A35EFE"/>
    <w:rsid w:val="00A36945"/>
    <w:rsid w:val="00A369B7"/>
    <w:rsid w:val="00A36CF1"/>
    <w:rsid w:val="00A37C37"/>
    <w:rsid w:val="00A37CB6"/>
    <w:rsid w:val="00A37E54"/>
    <w:rsid w:val="00A40333"/>
    <w:rsid w:val="00A40612"/>
    <w:rsid w:val="00A40690"/>
    <w:rsid w:val="00A40E3D"/>
    <w:rsid w:val="00A410EF"/>
    <w:rsid w:val="00A413AF"/>
    <w:rsid w:val="00A416E5"/>
    <w:rsid w:val="00A4283E"/>
    <w:rsid w:val="00A428B2"/>
    <w:rsid w:val="00A42F02"/>
    <w:rsid w:val="00A4395C"/>
    <w:rsid w:val="00A43BC8"/>
    <w:rsid w:val="00A44A04"/>
    <w:rsid w:val="00A45832"/>
    <w:rsid w:val="00A46952"/>
    <w:rsid w:val="00A46EBE"/>
    <w:rsid w:val="00A46F25"/>
    <w:rsid w:val="00A51336"/>
    <w:rsid w:val="00A51B1D"/>
    <w:rsid w:val="00A51B24"/>
    <w:rsid w:val="00A51CCA"/>
    <w:rsid w:val="00A5208F"/>
    <w:rsid w:val="00A52753"/>
    <w:rsid w:val="00A52D28"/>
    <w:rsid w:val="00A53190"/>
    <w:rsid w:val="00A53438"/>
    <w:rsid w:val="00A53732"/>
    <w:rsid w:val="00A53DCF"/>
    <w:rsid w:val="00A5409E"/>
    <w:rsid w:val="00A566AB"/>
    <w:rsid w:val="00A56755"/>
    <w:rsid w:val="00A5741C"/>
    <w:rsid w:val="00A57C88"/>
    <w:rsid w:val="00A57F05"/>
    <w:rsid w:val="00A603E7"/>
    <w:rsid w:val="00A60548"/>
    <w:rsid w:val="00A60A43"/>
    <w:rsid w:val="00A61CAF"/>
    <w:rsid w:val="00A61D33"/>
    <w:rsid w:val="00A61E5D"/>
    <w:rsid w:val="00A626A5"/>
    <w:rsid w:val="00A62B88"/>
    <w:rsid w:val="00A62C22"/>
    <w:rsid w:val="00A63484"/>
    <w:rsid w:val="00A63535"/>
    <w:rsid w:val="00A636A4"/>
    <w:rsid w:val="00A63D78"/>
    <w:rsid w:val="00A63E7E"/>
    <w:rsid w:val="00A641F3"/>
    <w:rsid w:val="00A6466F"/>
    <w:rsid w:val="00A65177"/>
    <w:rsid w:val="00A65A59"/>
    <w:rsid w:val="00A65F22"/>
    <w:rsid w:val="00A66CF9"/>
    <w:rsid w:val="00A674C0"/>
    <w:rsid w:val="00A67687"/>
    <w:rsid w:val="00A67742"/>
    <w:rsid w:val="00A70412"/>
    <w:rsid w:val="00A714C6"/>
    <w:rsid w:val="00A71653"/>
    <w:rsid w:val="00A71679"/>
    <w:rsid w:val="00A71949"/>
    <w:rsid w:val="00A7194F"/>
    <w:rsid w:val="00A71C71"/>
    <w:rsid w:val="00A71DF3"/>
    <w:rsid w:val="00A721E9"/>
    <w:rsid w:val="00A732D3"/>
    <w:rsid w:val="00A74708"/>
    <w:rsid w:val="00A74AF0"/>
    <w:rsid w:val="00A75EE4"/>
    <w:rsid w:val="00A765D4"/>
    <w:rsid w:val="00A80A81"/>
    <w:rsid w:val="00A80CF6"/>
    <w:rsid w:val="00A80FFB"/>
    <w:rsid w:val="00A81200"/>
    <w:rsid w:val="00A817A1"/>
    <w:rsid w:val="00A825D3"/>
    <w:rsid w:val="00A827CF"/>
    <w:rsid w:val="00A8324F"/>
    <w:rsid w:val="00A83F0A"/>
    <w:rsid w:val="00A84855"/>
    <w:rsid w:val="00A84B30"/>
    <w:rsid w:val="00A85610"/>
    <w:rsid w:val="00A864DC"/>
    <w:rsid w:val="00A86D35"/>
    <w:rsid w:val="00A87312"/>
    <w:rsid w:val="00A87FAA"/>
    <w:rsid w:val="00A90958"/>
    <w:rsid w:val="00A90C06"/>
    <w:rsid w:val="00A91134"/>
    <w:rsid w:val="00A92110"/>
    <w:rsid w:val="00A92B9D"/>
    <w:rsid w:val="00A9319E"/>
    <w:rsid w:val="00A935D5"/>
    <w:rsid w:val="00A93826"/>
    <w:rsid w:val="00A93CF9"/>
    <w:rsid w:val="00A93E86"/>
    <w:rsid w:val="00A94F4E"/>
    <w:rsid w:val="00A958B9"/>
    <w:rsid w:val="00A962E8"/>
    <w:rsid w:val="00A9643D"/>
    <w:rsid w:val="00A96690"/>
    <w:rsid w:val="00A9673C"/>
    <w:rsid w:val="00A9688B"/>
    <w:rsid w:val="00A97119"/>
    <w:rsid w:val="00A97647"/>
    <w:rsid w:val="00A97FF3"/>
    <w:rsid w:val="00AA0FAD"/>
    <w:rsid w:val="00AA1E59"/>
    <w:rsid w:val="00AA22BA"/>
    <w:rsid w:val="00AA2872"/>
    <w:rsid w:val="00AA2A1B"/>
    <w:rsid w:val="00AA2BF1"/>
    <w:rsid w:val="00AA32DC"/>
    <w:rsid w:val="00AA3365"/>
    <w:rsid w:val="00AA33E5"/>
    <w:rsid w:val="00AA447E"/>
    <w:rsid w:val="00AA4718"/>
    <w:rsid w:val="00AA5FFB"/>
    <w:rsid w:val="00AA6272"/>
    <w:rsid w:val="00AA69E0"/>
    <w:rsid w:val="00AA6F9B"/>
    <w:rsid w:val="00AA7626"/>
    <w:rsid w:val="00AA76A2"/>
    <w:rsid w:val="00AB02D8"/>
    <w:rsid w:val="00AB03E1"/>
    <w:rsid w:val="00AB0A7F"/>
    <w:rsid w:val="00AB0C73"/>
    <w:rsid w:val="00AB0EDB"/>
    <w:rsid w:val="00AB1E57"/>
    <w:rsid w:val="00AB31BF"/>
    <w:rsid w:val="00AB4475"/>
    <w:rsid w:val="00AB6874"/>
    <w:rsid w:val="00AB76B3"/>
    <w:rsid w:val="00AB7C80"/>
    <w:rsid w:val="00AB7CD1"/>
    <w:rsid w:val="00AB7D56"/>
    <w:rsid w:val="00AB7FD7"/>
    <w:rsid w:val="00AC06A9"/>
    <w:rsid w:val="00AC075C"/>
    <w:rsid w:val="00AC10A7"/>
    <w:rsid w:val="00AC1885"/>
    <w:rsid w:val="00AC2B42"/>
    <w:rsid w:val="00AC314A"/>
    <w:rsid w:val="00AC3498"/>
    <w:rsid w:val="00AC361F"/>
    <w:rsid w:val="00AC3EEA"/>
    <w:rsid w:val="00AC4B4B"/>
    <w:rsid w:val="00AC4D28"/>
    <w:rsid w:val="00AC51BB"/>
    <w:rsid w:val="00AC52C1"/>
    <w:rsid w:val="00AC6230"/>
    <w:rsid w:val="00AC646C"/>
    <w:rsid w:val="00AC6899"/>
    <w:rsid w:val="00AC69D5"/>
    <w:rsid w:val="00AC7327"/>
    <w:rsid w:val="00AC7FA0"/>
    <w:rsid w:val="00AD077C"/>
    <w:rsid w:val="00AD1241"/>
    <w:rsid w:val="00AD17CD"/>
    <w:rsid w:val="00AD2131"/>
    <w:rsid w:val="00AD2AD1"/>
    <w:rsid w:val="00AD3294"/>
    <w:rsid w:val="00AD464B"/>
    <w:rsid w:val="00AD48F0"/>
    <w:rsid w:val="00AD5D71"/>
    <w:rsid w:val="00AD5E44"/>
    <w:rsid w:val="00AD5F68"/>
    <w:rsid w:val="00AD7529"/>
    <w:rsid w:val="00AE1460"/>
    <w:rsid w:val="00AE1A76"/>
    <w:rsid w:val="00AE245C"/>
    <w:rsid w:val="00AE2EEB"/>
    <w:rsid w:val="00AE3ABB"/>
    <w:rsid w:val="00AE493F"/>
    <w:rsid w:val="00AE49A0"/>
    <w:rsid w:val="00AE4F21"/>
    <w:rsid w:val="00AE5119"/>
    <w:rsid w:val="00AE5195"/>
    <w:rsid w:val="00AE5535"/>
    <w:rsid w:val="00AE5595"/>
    <w:rsid w:val="00AE57B9"/>
    <w:rsid w:val="00AE5E2F"/>
    <w:rsid w:val="00AE5F0E"/>
    <w:rsid w:val="00AE5FD7"/>
    <w:rsid w:val="00AE7296"/>
    <w:rsid w:val="00AE7802"/>
    <w:rsid w:val="00AE7BA5"/>
    <w:rsid w:val="00AE7D09"/>
    <w:rsid w:val="00AF02B0"/>
    <w:rsid w:val="00AF0457"/>
    <w:rsid w:val="00AF047D"/>
    <w:rsid w:val="00AF06AE"/>
    <w:rsid w:val="00AF1459"/>
    <w:rsid w:val="00AF2091"/>
    <w:rsid w:val="00AF23B6"/>
    <w:rsid w:val="00AF2432"/>
    <w:rsid w:val="00AF2776"/>
    <w:rsid w:val="00AF2CB6"/>
    <w:rsid w:val="00AF2E7B"/>
    <w:rsid w:val="00AF3541"/>
    <w:rsid w:val="00AF3EE9"/>
    <w:rsid w:val="00AF3F51"/>
    <w:rsid w:val="00AF40D7"/>
    <w:rsid w:val="00AF5BF3"/>
    <w:rsid w:val="00AF5E9C"/>
    <w:rsid w:val="00AF66A3"/>
    <w:rsid w:val="00AF69EF"/>
    <w:rsid w:val="00AF718E"/>
    <w:rsid w:val="00AF72B0"/>
    <w:rsid w:val="00AF7CD3"/>
    <w:rsid w:val="00AF7E2F"/>
    <w:rsid w:val="00B001E5"/>
    <w:rsid w:val="00B00ADC"/>
    <w:rsid w:val="00B02743"/>
    <w:rsid w:val="00B02E64"/>
    <w:rsid w:val="00B0351C"/>
    <w:rsid w:val="00B03580"/>
    <w:rsid w:val="00B03935"/>
    <w:rsid w:val="00B03F87"/>
    <w:rsid w:val="00B045C9"/>
    <w:rsid w:val="00B0643F"/>
    <w:rsid w:val="00B06EFF"/>
    <w:rsid w:val="00B0752B"/>
    <w:rsid w:val="00B10486"/>
    <w:rsid w:val="00B10C64"/>
    <w:rsid w:val="00B10C7D"/>
    <w:rsid w:val="00B11924"/>
    <w:rsid w:val="00B12F10"/>
    <w:rsid w:val="00B13041"/>
    <w:rsid w:val="00B13ADE"/>
    <w:rsid w:val="00B14068"/>
    <w:rsid w:val="00B1437A"/>
    <w:rsid w:val="00B14625"/>
    <w:rsid w:val="00B1490C"/>
    <w:rsid w:val="00B14E3E"/>
    <w:rsid w:val="00B15E84"/>
    <w:rsid w:val="00B16B9C"/>
    <w:rsid w:val="00B16E72"/>
    <w:rsid w:val="00B16F2A"/>
    <w:rsid w:val="00B17E69"/>
    <w:rsid w:val="00B200DC"/>
    <w:rsid w:val="00B205CC"/>
    <w:rsid w:val="00B20F31"/>
    <w:rsid w:val="00B212B8"/>
    <w:rsid w:val="00B21CC5"/>
    <w:rsid w:val="00B22015"/>
    <w:rsid w:val="00B221C0"/>
    <w:rsid w:val="00B22D38"/>
    <w:rsid w:val="00B250A7"/>
    <w:rsid w:val="00B25290"/>
    <w:rsid w:val="00B25698"/>
    <w:rsid w:val="00B2585B"/>
    <w:rsid w:val="00B25F40"/>
    <w:rsid w:val="00B269A6"/>
    <w:rsid w:val="00B2700E"/>
    <w:rsid w:val="00B27084"/>
    <w:rsid w:val="00B2733C"/>
    <w:rsid w:val="00B275D6"/>
    <w:rsid w:val="00B27A74"/>
    <w:rsid w:val="00B30433"/>
    <w:rsid w:val="00B306D4"/>
    <w:rsid w:val="00B30996"/>
    <w:rsid w:val="00B30F72"/>
    <w:rsid w:val="00B31693"/>
    <w:rsid w:val="00B3232D"/>
    <w:rsid w:val="00B329CB"/>
    <w:rsid w:val="00B33A08"/>
    <w:rsid w:val="00B33C23"/>
    <w:rsid w:val="00B3407A"/>
    <w:rsid w:val="00B340A6"/>
    <w:rsid w:val="00B3452C"/>
    <w:rsid w:val="00B3469A"/>
    <w:rsid w:val="00B34A39"/>
    <w:rsid w:val="00B35C69"/>
    <w:rsid w:val="00B360F2"/>
    <w:rsid w:val="00B36673"/>
    <w:rsid w:val="00B37AF3"/>
    <w:rsid w:val="00B37D66"/>
    <w:rsid w:val="00B402E5"/>
    <w:rsid w:val="00B403C9"/>
    <w:rsid w:val="00B408F4"/>
    <w:rsid w:val="00B40E49"/>
    <w:rsid w:val="00B42B36"/>
    <w:rsid w:val="00B42C68"/>
    <w:rsid w:val="00B42FCE"/>
    <w:rsid w:val="00B434F5"/>
    <w:rsid w:val="00B43A11"/>
    <w:rsid w:val="00B44B95"/>
    <w:rsid w:val="00B44D4E"/>
    <w:rsid w:val="00B465AA"/>
    <w:rsid w:val="00B468E5"/>
    <w:rsid w:val="00B46BBD"/>
    <w:rsid w:val="00B471D9"/>
    <w:rsid w:val="00B473ED"/>
    <w:rsid w:val="00B47D9D"/>
    <w:rsid w:val="00B50A71"/>
    <w:rsid w:val="00B50E34"/>
    <w:rsid w:val="00B50FB2"/>
    <w:rsid w:val="00B513E2"/>
    <w:rsid w:val="00B5320F"/>
    <w:rsid w:val="00B536FC"/>
    <w:rsid w:val="00B5467F"/>
    <w:rsid w:val="00B5546C"/>
    <w:rsid w:val="00B56808"/>
    <w:rsid w:val="00B57605"/>
    <w:rsid w:val="00B5769B"/>
    <w:rsid w:val="00B57AA3"/>
    <w:rsid w:val="00B604A4"/>
    <w:rsid w:val="00B612C7"/>
    <w:rsid w:val="00B61980"/>
    <w:rsid w:val="00B61CE9"/>
    <w:rsid w:val="00B6212C"/>
    <w:rsid w:val="00B62DD4"/>
    <w:rsid w:val="00B63419"/>
    <w:rsid w:val="00B63924"/>
    <w:rsid w:val="00B63A68"/>
    <w:rsid w:val="00B63FD5"/>
    <w:rsid w:val="00B64172"/>
    <w:rsid w:val="00B64A38"/>
    <w:rsid w:val="00B64C51"/>
    <w:rsid w:val="00B64D58"/>
    <w:rsid w:val="00B658FE"/>
    <w:rsid w:val="00B65BEC"/>
    <w:rsid w:val="00B65C52"/>
    <w:rsid w:val="00B66F11"/>
    <w:rsid w:val="00B66F4B"/>
    <w:rsid w:val="00B67133"/>
    <w:rsid w:val="00B672AB"/>
    <w:rsid w:val="00B67920"/>
    <w:rsid w:val="00B67CAC"/>
    <w:rsid w:val="00B70642"/>
    <w:rsid w:val="00B7077C"/>
    <w:rsid w:val="00B71509"/>
    <w:rsid w:val="00B71766"/>
    <w:rsid w:val="00B73FCE"/>
    <w:rsid w:val="00B74827"/>
    <w:rsid w:val="00B748DD"/>
    <w:rsid w:val="00B753D7"/>
    <w:rsid w:val="00B75D7A"/>
    <w:rsid w:val="00B75ED0"/>
    <w:rsid w:val="00B76973"/>
    <w:rsid w:val="00B76E4A"/>
    <w:rsid w:val="00B77397"/>
    <w:rsid w:val="00B8086B"/>
    <w:rsid w:val="00B81681"/>
    <w:rsid w:val="00B81D94"/>
    <w:rsid w:val="00B81F21"/>
    <w:rsid w:val="00B8266E"/>
    <w:rsid w:val="00B82D95"/>
    <w:rsid w:val="00B82F6C"/>
    <w:rsid w:val="00B83290"/>
    <w:rsid w:val="00B8348E"/>
    <w:rsid w:val="00B83D5D"/>
    <w:rsid w:val="00B83DC0"/>
    <w:rsid w:val="00B8418C"/>
    <w:rsid w:val="00B842C7"/>
    <w:rsid w:val="00B8460D"/>
    <w:rsid w:val="00B853A4"/>
    <w:rsid w:val="00B861B1"/>
    <w:rsid w:val="00B865BE"/>
    <w:rsid w:val="00B86885"/>
    <w:rsid w:val="00B86D61"/>
    <w:rsid w:val="00B902CD"/>
    <w:rsid w:val="00B90812"/>
    <w:rsid w:val="00B9084C"/>
    <w:rsid w:val="00B909C0"/>
    <w:rsid w:val="00B9147C"/>
    <w:rsid w:val="00B91790"/>
    <w:rsid w:val="00B91D54"/>
    <w:rsid w:val="00B9216F"/>
    <w:rsid w:val="00B94EB1"/>
    <w:rsid w:val="00B953C4"/>
    <w:rsid w:val="00B965CE"/>
    <w:rsid w:val="00B96660"/>
    <w:rsid w:val="00B972DC"/>
    <w:rsid w:val="00B9735B"/>
    <w:rsid w:val="00B97790"/>
    <w:rsid w:val="00B97F1C"/>
    <w:rsid w:val="00BA0245"/>
    <w:rsid w:val="00BA0397"/>
    <w:rsid w:val="00BA196F"/>
    <w:rsid w:val="00BA1B23"/>
    <w:rsid w:val="00BA3286"/>
    <w:rsid w:val="00BA3BA4"/>
    <w:rsid w:val="00BA3E70"/>
    <w:rsid w:val="00BA45F3"/>
    <w:rsid w:val="00BA509D"/>
    <w:rsid w:val="00BA5213"/>
    <w:rsid w:val="00BA52A5"/>
    <w:rsid w:val="00BA5485"/>
    <w:rsid w:val="00BA5908"/>
    <w:rsid w:val="00BA5D61"/>
    <w:rsid w:val="00BA5FB2"/>
    <w:rsid w:val="00BA66EF"/>
    <w:rsid w:val="00BA6CC5"/>
    <w:rsid w:val="00BA7D8D"/>
    <w:rsid w:val="00BB017F"/>
    <w:rsid w:val="00BB03D2"/>
    <w:rsid w:val="00BB055E"/>
    <w:rsid w:val="00BB0EDD"/>
    <w:rsid w:val="00BB0FC5"/>
    <w:rsid w:val="00BB115C"/>
    <w:rsid w:val="00BB1BA5"/>
    <w:rsid w:val="00BB2180"/>
    <w:rsid w:val="00BB23BF"/>
    <w:rsid w:val="00BB26DD"/>
    <w:rsid w:val="00BB2AAD"/>
    <w:rsid w:val="00BB304B"/>
    <w:rsid w:val="00BB43E1"/>
    <w:rsid w:val="00BB4AB8"/>
    <w:rsid w:val="00BB4B60"/>
    <w:rsid w:val="00BB51F5"/>
    <w:rsid w:val="00BB52DE"/>
    <w:rsid w:val="00BB59EE"/>
    <w:rsid w:val="00BB7CA9"/>
    <w:rsid w:val="00BB7D7B"/>
    <w:rsid w:val="00BC045E"/>
    <w:rsid w:val="00BC0598"/>
    <w:rsid w:val="00BC181B"/>
    <w:rsid w:val="00BC1856"/>
    <w:rsid w:val="00BC1C46"/>
    <w:rsid w:val="00BC21EE"/>
    <w:rsid w:val="00BC3A6B"/>
    <w:rsid w:val="00BC3B4A"/>
    <w:rsid w:val="00BC3CA5"/>
    <w:rsid w:val="00BC42AE"/>
    <w:rsid w:val="00BC48D1"/>
    <w:rsid w:val="00BC505C"/>
    <w:rsid w:val="00BC51A4"/>
    <w:rsid w:val="00BC5719"/>
    <w:rsid w:val="00BC58B2"/>
    <w:rsid w:val="00BC68E2"/>
    <w:rsid w:val="00BC691B"/>
    <w:rsid w:val="00BC73DC"/>
    <w:rsid w:val="00BD0541"/>
    <w:rsid w:val="00BD074E"/>
    <w:rsid w:val="00BD0802"/>
    <w:rsid w:val="00BD0E9C"/>
    <w:rsid w:val="00BD12AE"/>
    <w:rsid w:val="00BD17B0"/>
    <w:rsid w:val="00BD2511"/>
    <w:rsid w:val="00BD2EDD"/>
    <w:rsid w:val="00BD3405"/>
    <w:rsid w:val="00BD3E15"/>
    <w:rsid w:val="00BD3E41"/>
    <w:rsid w:val="00BD3FF7"/>
    <w:rsid w:val="00BD4D13"/>
    <w:rsid w:val="00BD5A2B"/>
    <w:rsid w:val="00BD635C"/>
    <w:rsid w:val="00BD65C5"/>
    <w:rsid w:val="00BD6B51"/>
    <w:rsid w:val="00BD77D9"/>
    <w:rsid w:val="00BD7C52"/>
    <w:rsid w:val="00BE0052"/>
    <w:rsid w:val="00BE1408"/>
    <w:rsid w:val="00BE1A8D"/>
    <w:rsid w:val="00BE1DF3"/>
    <w:rsid w:val="00BE2375"/>
    <w:rsid w:val="00BE260F"/>
    <w:rsid w:val="00BE2F2F"/>
    <w:rsid w:val="00BE40D7"/>
    <w:rsid w:val="00BE452F"/>
    <w:rsid w:val="00BE55D1"/>
    <w:rsid w:val="00BE5D87"/>
    <w:rsid w:val="00BE5F87"/>
    <w:rsid w:val="00BE6A4F"/>
    <w:rsid w:val="00BE72F7"/>
    <w:rsid w:val="00BE7EB2"/>
    <w:rsid w:val="00BF0D79"/>
    <w:rsid w:val="00BF0E39"/>
    <w:rsid w:val="00BF1597"/>
    <w:rsid w:val="00BF16AA"/>
    <w:rsid w:val="00BF2049"/>
    <w:rsid w:val="00BF2B55"/>
    <w:rsid w:val="00BF437F"/>
    <w:rsid w:val="00BF45CF"/>
    <w:rsid w:val="00BF5307"/>
    <w:rsid w:val="00BF58DF"/>
    <w:rsid w:val="00BF6C61"/>
    <w:rsid w:val="00BF74D0"/>
    <w:rsid w:val="00C0008B"/>
    <w:rsid w:val="00C00383"/>
    <w:rsid w:val="00C004FE"/>
    <w:rsid w:val="00C00DA2"/>
    <w:rsid w:val="00C00F37"/>
    <w:rsid w:val="00C01F77"/>
    <w:rsid w:val="00C02079"/>
    <w:rsid w:val="00C02C1B"/>
    <w:rsid w:val="00C03A2A"/>
    <w:rsid w:val="00C04D8B"/>
    <w:rsid w:val="00C059DF"/>
    <w:rsid w:val="00C05C43"/>
    <w:rsid w:val="00C05C61"/>
    <w:rsid w:val="00C05F64"/>
    <w:rsid w:val="00C062A1"/>
    <w:rsid w:val="00C0666C"/>
    <w:rsid w:val="00C06C5C"/>
    <w:rsid w:val="00C0729C"/>
    <w:rsid w:val="00C076CA"/>
    <w:rsid w:val="00C07A01"/>
    <w:rsid w:val="00C07EFD"/>
    <w:rsid w:val="00C10C91"/>
    <w:rsid w:val="00C1107A"/>
    <w:rsid w:val="00C11670"/>
    <w:rsid w:val="00C11695"/>
    <w:rsid w:val="00C11DFB"/>
    <w:rsid w:val="00C14252"/>
    <w:rsid w:val="00C14A0C"/>
    <w:rsid w:val="00C14AAE"/>
    <w:rsid w:val="00C150F0"/>
    <w:rsid w:val="00C160AF"/>
    <w:rsid w:val="00C16693"/>
    <w:rsid w:val="00C1731E"/>
    <w:rsid w:val="00C174C5"/>
    <w:rsid w:val="00C20BF7"/>
    <w:rsid w:val="00C21007"/>
    <w:rsid w:val="00C2103F"/>
    <w:rsid w:val="00C22347"/>
    <w:rsid w:val="00C227FC"/>
    <w:rsid w:val="00C2341E"/>
    <w:rsid w:val="00C2353D"/>
    <w:rsid w:val="00C235A2"/>
    <w:rsid w:val="00C23793"/>
    <w:rsid w:val="00C23A92"/>
    <w:rsid w:val="00C23C04"/>
    <w:rsid w:val="00C23F38"/>
    <w:rsid w:val="00C244AB"/>
    <w:rsid w:val="00C245CD"/>
    <w:rsid w:val="00C24989"/>
    <w:rsid w:val="00C26745"/>
    <w:rsid w:val="00C26BEF"/>
    <w:rsid w:val="00C26EF3"/>
    <w:rsid w:val="00C27898"/>
    <w:rsid w:val="00C27F1D"/>
    <w:rsid w:val="00C3153F"/>
    <w:rsid w:val="00C31551"/>
    <w:rsid w:val="00C31783"/>
    <w:rsid w:val="00C33315"/>
    <w:rsid w:val="00C3377B"/>
    <w:rsid w:val="00C33AAB"/>
    <w:rsid w:val="00C34719"/>
    <w:rsid w:val="00C349A2"/>
    <w:rsid w:val="00C34F65"/>
    <w:rsid w:val="00C3512F"/>
    <w:rsid w:val="00C352A7"/>
    <w:rsid w:val="00C35559"/>
    <w:rsid w:val="00C35909"/>
    <w:rsid w:val="00C35A8A"/>
    <w:rsid w:val="00C36B99"/>
    <w:rsid w:val="00C36F0B"/>
    <w:rsid w:val="00C37D62"/>
    <w:rsid w:val="00C37E9C"/>
    <w:rsid w:val="00C4032F"/>
    <w:rsid w:val="00C41E44"/>
    <w:rsid w:val="00C42A7F"/>
    <w:rsid w:val="00C42E7A"/>
    <w:rsid w:val="00C43265"/>
    <w:rsid w:val="00C436D0"/>
    <w:rsid w:val="00C43FBF"/>
    <w:rsid w:val="00C50221"/>
    <w:rsid w:val="00C52D40"/>
    <w:rsid w:val="00C52E12"/>
    <w:rsid w:val="00C531B0"/>
    <w:rsid w:val="00C53C24"/>
    <w:rsid w:val="00C5442C"/>
    <w:rsid w:val="00C54486"/>
    <w:rsid w:val="00C54856"/>
    <w:rsid w:val="00C54862"/>
    <w:rsid w:val="00C553DB"/>
    <w:rsid w:val="00C55A0A"/>
    <w:rsid w:val="00C55B1D"/>
    <w:rsid w:val="00C55D2D"/>
    <w:rsid w:val="00C565C0"/>
    <w:rsid w:val="00C5722F"/>
    <w:rsid w:val="00C5759F"/>
    <w:rsid w:val="00C57EDC"/>
    <w:rsid w:val="00C57F84"/>
    <w:rsid w:val="00C600B5"/>
    <w:rsid w:val="00C60434"/>
    <w:rsid w:val="00C60B2B"/>
    <w:rsid w:val="00C60D0D"/>
    <w:rsid w:val="00C611CF"/>
    <w:rsid w:val="00C61E09"/>
    <w:rsid w:val="00C625FC"/>
    <w:rsid w:val="00C64745"/>
    <w:rsid w:val="00C647DF"/>
    <w:rsid w:val="00C64D94"/>
    <w:rsid w:val="00C64E95"/>
    <w:rsid w:val="00C65300"/>
    <w:rsid w:val="00C65A76"/>
    <w:rsid w:val="00C65BBB"/>
    <w:rsid w:val="00C65BC6"/>
    <w:rsid w:val="00C66D58"/>
    <w:rsid w:val="00C66DBB"/>
    <w:rsid w:val="00C672E8"/>
    <w:rsid w:val="00C6730A"/>
    <w:rsid w:val="00C702B9"/>
    <w:rsid w:val="00C704FA"/>
    <w:rsid w:val="00C70A82"/>
    <w:rsid w:val="00C71CC9"/>
    <w:rsid w:val="00C71E10"/>
    <w:rsid w:val="00C72959"/>
    <w:rsid w:val="00C7333E"/>
    <w:rsid w:val="00C733F0"/>
    <w:rsid w:val="00C7343B"/>
    <w:rsid w:val="00C73B5F"/>
    <w:rsid w:val="00C73BC9"/>
    <w:rsid w:val="00C75DE5"/>
    <w:rsid w:val="00C76280"/>
    <w:rsid w:val="00C76623"/>
    <w:rsid w:val="00C7735C"/>
    <w:rsid w:val="00C77EE8"/>
    <w:rsid w:val="00C80150"/>
    <w:rsid w:val="00C801B6"/>
    <w:rsid w:val="00C80A4D"/>
    <w:rsid w:val="00C80D1A"/>
    <w:rsid w:val="00C80DD2"/>
    <w:rsid w:val="00C8171D"/>
    <w:rsid w:val="00C82EA2"/>
    <w:rsid w:val="00C83832"/>
    <w:rsid w:val="00C839EA"/>
    <w:rsid w:val="00C8462D"/>
    <w:rsid w:val="00C84760"/>
    <w:rsid w:val="00C84AC7"/>
    <w:rsid w:val="00C85046"/>
    <w:rsid w:val="00C85C39"/>
    <w:rsid w:val="00C861D2"/>
    <w:rsid w:val="00C868C3"/>
    <w:rsid w:val="00C86D29"/>
    <w:rsid w:val="00C86F4A"/>
    <w:rsid w:val="00C86F4B"/>
    <w:rsid w:val="00C87563"/>
    <w:rsid w:val="00C87C2F"/>
    <w:rsid w:val="00C90271"/>
    <w:rsid w:val="00C902CC"/>
    <w:rsid w:val="00C903CC"/>
    <w:rsid w:val="00C904D8"/>
    <w:rsid w:val="00C905C8"/>
    <w:rsid w:val="00C9108B"/>
    <w:rsid w:val="00C9133B"/>
    <w:rsid w:val="00C916FD"/>
    <w:rsid w:val="00C9192B"/>
    <w:rsid w:val="00C92CFC"/>
    <w:rsid w:val="00C932D1"/>
    <w:rsid w:val="00C9356A"/>
    <w:rsid w:val="00C93E42"/>
    <w:rsid w:val="00C94464"/>
    <w:rsid w:val="00C94876"/>
    <w:rsid w:val="00C94FDD"/>
    <w:rsid w:val="00C9520F"/>
    <w:rsid w:val="00C95537"/>
    <w:rsid w:val="00C96164"/>
    <w:rsid w:val="00C96A1D"/>
    <w:rsid w:val="00C9776D"/>
    <w:rsid w:val="00C97AE9"/>
    <w:rsid w:val="00C97E28"/>
    <w:rsid w:val="00CA0AB2"/>
    <w:rsid w:val="00CA1185"/>
    <w:rsid w:val="00CA1190"/>
    <w:rsid w:val="00CA1D41"/>
    <w:rsid w:val="00CA1DDF"/>
    <w:rsid w:val="00CA3544"/>
    <w:rsid w:val="00CA3CAD"/>
    <w:rsid w:val="00CA3CC9"/>
    <w:rsid w:val="00CA574F"/>
    <w:rsid w:val="00CA6E04"/>
    <w:rsid w:val="00CA73F6"/>
    <w:rsid w:val="00CA7591"/>
    <w:rsid w:val="00CA789B"/>
    <w:rsid w:val="00CA7947"/>
    <w:rsid w:val="00CA7BFA"/>
    <w:rsid w:val="00CA7D0D"/>
    <w:rsid w:val="00CB0403"/>
    <w:rsid w:val="00CB16EA"/>
    <w:rsid w:val="00CB1A1C"/>
    <w:rsid w:val="00CB1A31"/>
    <w:rsid w:val="00CB20FD"/>
    <w:rsid w:val="00CB234F"/>
    <w:rsid w:val="00CB29A7"/>
    <w:rsid w:val="00CB3064"/>
    <w:rsid w:val="00CB3769"/>
    <w:rsid w:val="00CB43DB"/>
    <w:rsid w:val="00CB5FDD"/>
    <w:rsid w:val="00CB60D6"/>
    <w:rsid w:val="00CB7493"/>
    <w:rsid w:val="00CB7764"/>
    <w:rsid w:val="00CB7972"/>
    <w:rsid w:val="00CB7B12"/>
    <w:rsid w:val="00CC01A2"/>
    <w:rsid w:val="00CC04D8"/>
    <w:rsid w:val="00CC0BD0"/>
    <w:rsid w:val="00CC0DD9"/>
    <w:rsid w:val="00CC1236"/>
    <w:rsid w:val="00CC134E"/>
    <w:rsid w:val="00CC19A3"/>
    <w:rsid w:val="00CC2F38"/>
    <w:rsid w:val="00CC2F9A"/>
    <w:rsid w:val="00CC342D"/>
    <w:rsid w:val="00CC3A2B"/>
    <w:rsid w:val="00CC3ED5"/>
    <w:rsid w:val="00CC4547"/>
    <w:rsid w:val="00CC4AD7"/>
    <w:rsid w:val="00CC4FF4"/>
    <w:rsid w:val="00CC53B5"/>
    <w:rsid w:val="00CC5560"/>
    <w:rsid w:val="00CC5E4C"/>
    <w:rsid w:val="00CC7675"/>
    <w:rsid w:val="00CC7985"/>
    <w:rsid w:val="00CC7AF0"/>
    <w:rsid w:val="00CC7D66"/>
    <w:rsid w:val="00CD0231"/>
    <w:rsid w:val="00CD065F"/>
    <w:rsid w:val="00CD07DF"/>
    <w:rsid w:val="00CD14A0"/>
    <w:rsid w:val="00CD18B4"/>
    <w:rsid w:val="00CD19F6"/>
    <w:rsid w:val="00CD1DDB"/>
    <w:rsid w:val="00CD2032"/>
    <w:rsid w:val="00CD2C06"/>
    <w:rsid w:val="00CD2E08"/>
    <w:rsid w:val="00CD3107"/>
    <w:rsid w:val="00CD3289"/>
    <w:rsid w:val="00CD3C48"/>
    <w:rsid w:val="00CD4233"/>
    <w:rsid w:val="00CD4263"/>
    <w:rsid w:val="00CD59BE"/>
    <w:rsid w:val="00CD5BD3"/>
    <w:rsid w:val="00CD64F3"/>
    <w:rsid w:val="00CD6690"/>
    <w:rsid w:val="00CD669B"/>
    <w:rsid w:val="00CD701A"/>
    <w:rsid w:val="00CD703E"/>
    <w:rsid w:val="00CE07F3"/>
    <w:rsid w:val="00CE0C07"/>
    <w:rsid w:val="00CE1069"/>
    <w:rsid w:val="00CE155C"/>
    <w:rsid w:val="00CE1DC9"/>
    <w:rsid w:val="00CE205E"/>
    <w:rsid w:val="00CE3123"/>
    <w:rsid w:val="00CE3136"/>
    <w:rsid w:val="00CE39A3"/>
    <w:rsid w:val="00CE3AF9"/>
    <w:rsid w:val="00CE3FF4"/>
    <w:rsid w:val="00CE4E72"/>
    <w:rsid w:val="00CE54C5"/>
    <w:rsid w:val="00CE6218"/>
    <w:rsid w:val="00CE6BBC"/>
    <w:rsid w:val="00CF05C8"/>
    <w:rsid w:val="00CF0C39"/>
    <w:rsid w:val="00CF0C5E"/>
    <w:rsid w:val="00CF28CF"/>
    <w:rsid w:val="00CF2A54"/>
    <w:rsid w:val="00CF39A5"/>
    <w:rsid w:val="00CF3C85"/>
    <w:rsid w:val="00CF4462"/>
    <w:rsid w:val="00CF49BB"/>
    <w:rsid w:val="00CF509B"/>
    <w:rsid w:val="00CF579F"/>
    <w:rsid w:val="00CF5A1C"/>
    <w:rsid w:val="00CF5D4A"/>
    <w:rsid w:val="00CF5D76"/>
    <w:rsid w:val="00CF601B"/>
    <w:rsid w:val="00CF6073"/>
    <w:rsid w:val="00CF61A0"/>
    <w:rsid w:val="00CF62B6"/>
    <w:rsid w:val="00CF6F0C"/>
    <w:rsid w:val="00CF6FB6"/>
    <w:rsid w:val="00CF75A5"/>
    <w:rsid w:val="00CF7927"/>
    <w:rsid w:val="00CF7A27"/>
    <w:rsid w:val="00CF7B2B"/>
    <w:rsid w:val="00D007BF"/>
    <w:rsid w:val="00D00845"/>
    <w:rsid w:val="00D00CB4"/>
    <w:rsid w:val="00D015C2"/>
    <w:rsid w:val="00D0267E"/>
    <w:rsid w:val="00D02D61"/>
    <w:rsid w:val="00D0378A"/>
    <w:rsid w:val="00D04343"/>
    <w:rsid w:val="00D051C5"/>
    <w:rsid w:val="00D068D7"/>
    <w:rsid w:val="00D06D9E"/>
    <w:rsid w:val="00D074CF"/>
    <w:rsid w:val="00D07B2D"/>
    <w:rsid w:val="00D07D58"/>
    <w:rsid w:val="00D108E6"/>
    <w:rsid w:val="00D10AAD"/>
    <w:rsid w:val="00D10F18"/>
    <w:rsid w:val="00D124C0"/>
    <w:rsid w:val="00D126DA"/>
    <w:rsid w:val="00D127EC"/>
    <w:rsid w:val="00D13DAF"/>
    <w:rsid w:val="00D14101"/>
    <w:rsid w:val="00D14F5A"/>
    <w:rsid w:val="00D14F98"/>
    <w:rsid w:val="00D15D57"/>
    <w:rsid w:val="00D166B6"/>
    <w:rsid w:val="00D16F47"/>
    <w:rsid w:val="00D202C8"/>
    <w:rsid w:val="00D20841"/>
    <w:rsid w:val="00D20C4B"/>
    <w:rsid w:val="00D221A0"/>
    <w:rsid w:val="00D225C0"/>
    <w:rsid w:val="00D229D3"/>
    <w:rsid w:val="00D22A50"/>
    <w:rsid w:val="00D2349D"/>
    <w:rsid w:val="00D23780"/>
    <w:rsid w:val="00D24579"/>
    <w:rsid w:val="00D24C77"/>
    <w:rsid w:val="00D24F8A"/>
    <w:rsid w:val="00D250A1"/>
    <w:rsid w:val="00D25154"/>
    <w:rsid w:val="00D25299"/>
    <w:rsid w:val="00D25888"/>
    <w:rsid w:val="00D25EA7"/>
    <w:rsid w:val="00D25FE5"/>
    <w:rsid w:val="00D274D8"/>
    <w:rsid w:val="00D27645"/>
    <w:rsid w:val="00D27705"/>
    <w:rsid w:val="00D27DAF"/>
    <w:rsid w:val="00D30213"/>
    <w:rsid w:val="00D3042C"/>
    <w:rsid w:val="00D30FFA"/>
    <w:rsid w:val="00D32298"/>
    <w:rsid w:val="00D328F8"/>
    <w:rsid w:val="00D3384E"/>
    <w:rsid w:val="00D33BAB"/>
    <w:rsid w:val="00D341E1"/>
    <w:rsid w:val="00D34369"/>
    <w:rsid w:val="00D3480B"/>
    <w:rsid w:val="00D34889"/>
    <w:rsid w:val="00D34F41"/>
    <w:rsid w:val="00D351A4"/>
    <w:rsid w:val="00D3678B"/>
    <w:rsid w:val="00D36F12"/>
    <w:rsid w:val="00D3761B"/>
    <w:rsid w:val="00D4022A"/>
    <w:rsid w:val="00D404C1"/>
    <w:rsid w:val="00D40DE5"/>
    <w:rsid w:val="00D41166"/>
    <w:rsid w:val="00D41301"/>
    <w:rsid w:val="00D41A30"/>
    <w:rsid w:val="00D43592"/>
    <w:rsid w:val="00D43786"/>
    <w:rsid w:val="00D4535D"/>
    <w:rsid w:val="00D45A1D"/>
    <w:rsid w:val="00D46617"/>
    <w:rsid w:val="00D4734F"/>
    <w:rsid w:val="00D509C6"/>
    <w:rsid w:val="00D51100"/>
    <w:rsid w:val="00D522DC"/>
    <w:rsid w:val="00D527F8"/>
    <w:rsid w:val="00D52F4B"/>
    <w:rsid w:val="00D53F8C"/>
    <w:rsid w:val="00D5577F"/>
    <w:rsid w:val="00D55B31"/>
    <w:rsid w:val="00D55BD9"/>
    <w:rsid w:val="00D568F6"/>
    <w:rsid w:val="00D569AF"/>
    <w:rsid w:val="00D56A3D"/>
    <w:rsid w:val="00D56E7A"/>
    <w:rsid w:val="00D56FC5"/>
    <w:rsid w:val="00D57BA4"/>
    <w:rsid w:val="00D57C3F"/>
    <w:rsid w:val="00D6011B"/>
    <w:rsid w:val="00D60193"/>
    <w:rsid w:val="00D602BC"/>
    <w:rsid w:val="00D60699"/>
    <w:rsid w:val="00D60BA3"/>
    <w:rsid w:val="00D622AA"/>
    <w:rsid w:val="00D623FE"/>
    <w:rsid w:val="00D628B8"/>
    <w:rsid w:val="00D62C05"/>
    <w:rsid w:val="00D62F17"/>
    <w:rsid w:val="00D63A2E"/>
    <w:rsid w:val="00D63B67"/>
    <w:rsid w:val="00D63B8E"/>
    <w:rsid w:val="00D63CA9"/>
    <w:rsid w:val="00D64025"/>
    <w:rsid w:val="00D6482C"/>
    <w:rsid w:val="00D64905"/>
    <w:rsid w:val="00D64E4C"/>
    <w:rsid w:val="00D64E7E"/>
    <w:rsid w:val="00D65347"/>
    <w:rsid w:val="00D66831"/>
    <w:rsid w:val="00D66894"/>
    <w:rsid w:val="00D67F22"/>
    <w:rsid w:val="00D7014A"/>
    <w:rsid w:val="00D70D7D"/>
    <w:rsid w:val="00D7198D"/>
    <w:rsid w:val="00D71FE2"/>
    <w:rsid w:val="00D72A82"/>
    <w:rsid w:val="00D730C4"/>
    <w:rsid w:val="00D74431"/>
    <w:rsid w:val="00D76671"/>
    <w:rsid w:val="00D767C1"/>
    <w:rsid w:val="00D76C30"/>
    <w:rsid w:val="00D770C1"/>
    <w:rsid w:val="00D776FC"/>
    <w:rsid w:val="00D803E0"/>
    <w:rsid w:val="00D80416"/>
    <w:rsid w:val="00D80E41"/>
    <w:rsid w:val="00D812F1"/>
    <w:rsid w:val="00D817D1"/>
    <w:rsid w:val="00D817EF"/>
    <w:rsid w:val="00D81862"/>
    <w:rsid w:val="00D81AB8"/>
    <w:rsid w:val="00D81C69"/>
    <w:rsid w:val="00D81F9E"/>
    <w:rsid w:val="00D8213F"/>
    <w:rsid w:val="00D836A2"/>
    <w:rsid w:val="00D841FB"/>
    <w:rsid w:val="00D8420B"/>
    <w:rsid w:val="00D84307"/>
    <w:rsid w:val="00D84938"/>
    <w:rsid w:val="00D85B67"/>
    <w:rsid w:val="00D85FEA"/>
    <w:rsid w:val="00D863FC"/>
    <w:rsid w:val="00D87139"/>
    <w:rsid w:val="00D87856"/>
    <w:rsid w:val="00D9019C"/>
    <w:rsid w:val="00D92443"/>
    <w:rsid w:val="00D929F3"/>
    <w:rsid w:val="00D92D73"/>
    <w:rsid w:val="00D92E5C"/>
    <w:rsid w:val="00D93876"/>
    <w:rsid w:val="00D93DD6"/>
    <w:rsid w:val="00D946B2"/>
    <w:rsid w:val="00D94D27"/>
    <w:rsid w:val="00D94F56"/>
    <w:rsid w:val="00D951AC"/>
    <w:rsid w:val="00D95B83"/>
    <w:rsid w:val="00D96C41"/>
    <w:rsid w:val="00D97092"/>
    <w:rsid w:val="00D973F7"/>
    <w:rsid w:val="00D97613"/>
    <w:rsid w:val="00D97932"/>
    <w:rsid w:val="00D979BF"/>
    <w:rsid w:val="00DA0FB9"/>
    <w:rsid w:val="00DA1231"/>
    <w:rsid w:val="00DA12C5"/>
    <w:rsid w:val="00DA20C1"/>
    <w:rsid w:val="00DA2C28"/>
    <w:rsid w:val="00DA2EF0"/>
    <w:rsid w:val="00DA2F4C"/>
    <w:rsid w:val="00DA2FB7"/>
    <w:rsid w:val="00DA3A03"/>
    <w:rsid w:val="00DA3BFC"/>
    <w:rsid w:val="00DA3F3E"/>
    <w:rsid w:val="00DA3FE9"/>
    <w:rsid w:val="00DA5057"/>
    <w:rsid w:val="00DA581E"/>
    <w:rsid w:val="00DA6B67"/>
    <w:rsid w:val="00DA70AA"/>
    <w:rsid w:val="00DA772D"/>
    <w:rsid w:val="00DA7868"/>
    <w:rsid w:val="00DA7B85"/>
    <w:rsid w:val="00DB0A7A"/>
    <w:rsid w:val="00DB140E"/>
    <w:rsid w:val="00DB18BD"/>
    <w:rsid w:val="00DB25A9"/>
    <w:rsid w:val="00DB5370"/>
    <w:rsid w:val="00DB53D1"/>
    <w:rsid w:val="00DB56BB"/>
    <w:rsid w:val="00DB5C64"/>
    <w:rsid w:val="00DB6BC4"/>
    <w:rsid w:val="00DB710E"/>
    <w:rsid w:val="00DB7AA3"/>
    <w:rsid w:val="00DB7EF9"/>
    <w:rsid w:val="00DC059C"/>
    <w:rsid w:val="00DC0AA6"/>
    <w:rsid w:val="00DC0F84"/>
    <w:rsid w:val="00DC1656"/>
    <w:rsid w:val="00DC18F1"/>
    <w:rsid w:val="00DC222F"/>
    <w:rsid w:val="00DC3F36"/>
    <w:rsid w:val="00DC41E5"/>
    <w:rsid w:val="00DC4695"/>
    <w:rsid w:val="00DC46D6"/>
    <w:rsid w:val="00DC4DF2"/>
    <w:rsid w:val="00DC52DD"/>
    <w:rsid w:val="00DC53BB"/>
    <w:rsid w:val="00DC5837"/>
    <w:rsid w:val="00DC5838"/>
    <w:rsid w:val="00DC6B57"/>
    <w:rsid w:val="00DC776A"/>
    <w:rsid w:val="00DC7C20"/>
    <w:rsid w:val="00DD0372"/>
    <w:rsid w:val="00DD0C3D"/>
    <w:rsid w:val="00DD1079"/>
    <w:rsid w:val="00DD161B"/>
    <w:rsid w:val="00DD1B56"/>
    <w:rsid w:val="00DD1D75"/>
    <w:rsid w:val="00DD226F"/>
    <w:rsid w:val="00DD2BDE"/>
    <w:rsid w:val="00DD2C71"/>
    <w:rsid w:val="00DD339B"/>
    <w:rsid w:val="00DD4096"/>
    <w:rsid w:val="00DD5E8F"/>
    <w:rsid w:val="00DD6B77"/>
    <w:rsid w:val="00DD6F6E"/>
    <w:rsid w:val="00DD7FF8"/>
    <w:rsid w:val="00DE057D"/>
    <w:rsid w:val="00DE064F"/>
    <w:rsid w:val="00DE0B59"/>
    <w:rsid w:val="00DE0B8C"/>
    <w:rsid w:val="00DE0C28"/>
    <w:rsid w:val="00DE102E"/>
    <w:rsid w:val="00DE1899"/>
    <w:rsid w:val="00DE1A1F"/>
    <w:rsid w:val="00DE1EB2"/>
    <w:rsid w:val="00DE2181"/>
    <w:rsid w:val="00DE3C1A"/>
    <w:rsid w:val="00DE4375"/>
    <w:rsid w:val="00DE4C34"/>
    <w:rsid w:val="00DE4DFF"/>
    <w:rsid w:val="00DE4F64"/>
    <w:rsid w:val="00DE56DE"/>
    <w:rsid w:val="00DE5A38"/>
    <w:rsid w:val="00DE6410"/>
    <w:rsid w:val="00DE643D"/>
    <w:rsid w:val="00DE711D"/>
    <w:rsid w:val="00DE7271"/>
    <w:rsid w:val="00DE7EC4"/>
    <w:rsid w:val="00DF0590"/>
    <w:rsid w:val="00DF0E1A"/>
    <w:rsid w:val="00DF2367"/>
    <w:rsid w:val="00DF3F75"/>
    <w:rsid w:val="00DF54FB"/>
    <w:rsid w:val="00DF584A"/>
    <w:rsid w:val="00DF5A70"/>
    <w:rsid w:val="00DF6898"/>
    <w:rsid w:val="00DF6A7B"/>
    <w:rsid w:val="00DF6B46"/>
    <w:rsid w:val="00DF7255"/>
    <w:rsid w:val="00DF739E"/>
    <w:rsid w:val="00DF7532"/>
    <w:rsid w:val="00DF77B6"/>
    <w:rsid w:val="00DF77F6"/>
    <w:rsid w:val="00DF79C9"/>
    <w:rsid w:val="00DF79D5"/>
    <w:rsid w:val="00E00375"/>
    <w:rsid w:val="00E006F4"/>
    <w:rsid w:val="00E0145F"/>
    <w:rsid w:val="00E01879"/>
    <w:rsid w:val="00E02558"/>
    <w:rsid w:val="00E028E8"/>
    <w:rsid w:val="00E0451F"/>
    <w:rsid w:val="00E05665"/>
    <w:rsid w:val="00E0598C"/>
    <w:rsid w:val="00E0608A"/>
    <w:rsid w:val="00E0641D"/>
    <w:rsid w:val="00E068FD"/>
    <w:rsid w:val="00E07244"/>
    <w:rsid w:val="00E079EC"/>
    <w:rsid w:val="00E10C3E"/>
    <w:rsid w:val="00E10FEF"/>
    <w:rsid w:val="00E1106D"/>
    <w:rsid w:val="00E11211"/>
    <w:rsid w:val="00E11528"/>
    <w:rsid w:val="00E12CD1"/>
    <w:rsid w:val="00E1304C"/>
    <w:rsid w:val="00E132A4"/>
    <w:rsid w:val="00E14D3A"/>
    <w:rsid w:val="00E1570D"/>
    <w:rsid w:val="00E1577C"/>
    <w:rsid w:val="00E15A1D"/>
    <w:rsid w:val="00E15CDE"/>
    <w:rsid w:val="00E1664C"/>
    <w:rsid w:val="00E16EE0"/>
    <w:rsid w:val="00E17296"/>
    <w:rsid w:val="00E17859"/>
    <w:rsid w:val="00E17A2D"/>
    <w:rsid w:val="00E17B53"/>
    <w:rsid w:val="00E17DE8"/>
    <w:rsid w:val="00E215F4"/>
    <w:rsid w:val="00E21F8C"/>
    <w:rsid w:val="00E22079"/>
    <w:rsid w:val="00E22358"/>
    <w:rsid w:val="00E22D3D"/>
    <w:rsid w:val="00E23D6E"/>
    <w:rsid w:val="00E25115"/>
    <w:rsid w:val="00E251C9"/>
    <w:rsid w:val="00E25D27"/>
    <w:rsid w:val="00E2695C"/>
    <w:rsid w:val="00E26E05"/>
    <w:rsid w:val="00E27B78"/>
    <w:rsid w:val="00E27D0A"/>
    <w:rsid w:val="00E3004F"/>
    <w:rsid w:val="00E306C2"/>
    <w:rsid w:val="00E30891"/>
    <w:rsid w:val="00E31324"/>
    <w:rsid w:val="00E31E67"/>
    <w:rsid w:val="00E32566"/>
    <w:rsid w:val="00E3315B"/>
    <w:rsid w:val="00E332C0"/>
    <w:rsid w:val="00E333E5"/>
    <w:rsid w:val="00E35819"/>
    <w:rsid w:val="00E37873"/>
    <w:rsid w:val="00E37DEA"/>
    <w:rsid w:val="00E40E44"/>
    <w:rsid w:val="00E42120"/>
    <w:rsid w:val="00E421EB"/>
    <w:rsid w:val="00E427EF"/>
    <w:rsid w:val="00E43148"/>
    <w:rsid w:val="00E433AB"/>
    <w:rsid w:val="00E43E29"/>
    <w:rsid w:val="00E44959"/>
    <w:rsid w:val="00E44C6B"/>
    <w:rsid w:val="00E453F8"/>
    <w:rsid w:val="00E45994"/>
    <w:rsid w:val="00E45A1C"/>
    <w:rsid w:val="00E45A8A"/>
    <w:rsid w:val="00E46D90"/>
    <w:rsid w:val="00E46E0A"/>
    <w:rsid w:val="00E474A4"/>
    <w:rsid w:val="00E50057"/>
    <w:rsid w:val="00E5016C"/>
    <w:rsid w:val="00E5033F"/>
    <w:rsid w:val="00E50380"/>
    <w:rsid w:val="00E50F01"/>
    <w:rsid w:val="00E51497"/>
    <w:rsid w:val="00E522E6"/>
    <w:rsid w:val="00E52334"/>
    <w:rsid w:val="00E5237B"/>
    <w:rsid w:val="00E526A7"/>
    <w:rsid w:val="00E52FFD"/>
    <w:rsid w:val="00E53F14"/>
    <w:rsid w:val="00E5419A"/>
    <w:rsid w:val="00E5438D"/>
    <w:rsid w:val="00E557BE"/>
    <w:rsid w:val="00E559B6"/>
    <w:rsid w:val="00E559CB"/>
    <w:rsid w:val="00E56EBA"/>
    <w:rsid w:val="00E57EF1"/>
    <w:rsid w:val="00E60844"/>
    <w:rsid w:val="00E62155"/>
    <w:rsid w:val="00E62FDE"/>
    <w:rsid w:val="00E62FE7"/>
    <w:rsid w:val="00E63218"/>
    <w:rsid w:val="00E633AB"/>
    <w:rsid w:val="00E636E4"/>
    <w:rsid w:val="00E63AE3"/>
    <w:rsid w:val="00E63D72"/>
    <w:rsid w:val="00E6433B"/>
    <w:rsid w:val="00E64602"/>
    <w:rsid w:val="00E648B1"/>
    <w:rsid w:val="00E65BB8"/>
    <w:rsid w:val="00E65D2D"/>
    <w:rsid w:val="00E65F27"/>
    <w:rsid w:val="00E6693D"/>
    <w:rsid w:val="00E66B59"/>
    <w:rsid w:val="00E6709D"/>
    <w:rsid w:val="00E67845"/>
    <w:rsid w:val="00E67FC2"/>
    <w:rsid w:val="00E701AA"/>
    <w:rsid w:val="00E71614"/>
    <w:rsid w:val="00E71AF2"/>
    <w:rsid w:val="00E72948"/>
    <w:rsid w:val="00E74129"/>
    <w:rsid w:val="00E74E55"/>
    <w:rsid w:val="00E75C4C"/>
    <w:rsid w:val="00E766A1"/>
    <w:rsid w:val="00E76C3A"/>
    <w:rsid w:val="00E7714E"/>
    <w:rsid w:val="00E77B73"/>
    <w:rsid w:val="00E81468"/>
    <w:rsid w:val="00E817D6"/>
    <w:rsid w:val="00E821A3"/>
    <w:rsid w:val="00E82582"/>
    <w:rsid w:val="00E82CD3"/>
    <w:rsid w:val="00E8322B"/>
    <w:rsid w:val="00E83324"/>
    <w:rsid w:val="00E83F0F"/>
    <w:rsid w:val="00E84E7C"/>
    <w:rsid w:val="00E853A4"/>
    <w:rsid w:val="00E8549B"/>
    <w:rsid w:val="00E8581F"/>
    <w:rsid w:val="00E86938"/>
    <w:rsid w:val="00E86D54"/>
    <w:rsid w:val="00E86F9B"/>
    <w:rsid w:val="00E87EB9"/>
    <w:rsid w:val="00E906BD"/>
    <w:rsid w:val="00E9086D"/>
    <w:rsid w:val="00E9088A"/>
    <w:rsid w:val="00E91217"/>
    <w:rsid w:val="00E91728"/>
    <w:rsid w:val="00E919CA"/>
    <w:rsid w:val="00E91CF0"/>
    <w:rsid w:val="00E924BB"/>
    <w:rsid w:val="00E927C0"/>
    <w:rsid w:val="00E92972"/>
    <w:rsid w:val="00E92E5D"/>
    <w:rsid w:val="00E9393D"/>
    <w:rsid w:val="00E93DE3"/>
    <w:rsid w:val="00E9453E"/>
    <w:rsid w:val="00E94986"/>
    <w:rsid w:val="00E95359"/>
    <w:rsid w:val="00E95905"/>
    <w:rsid w:val="00E964E3"/>
    <w:rsid w:val="00E966B3"/>
    <w:rsid w:val="00E972CE"/>
    <w:rsid w:val="00E975B7"/>
    <w:rsid w:val="00E97D3C"/>
    <w:rsid w:val="00E97F81"/>
    <w:rsid w:val="00EA0890"/>
    <w:rsid w:val="00EA0BA7"/>
    <w:rsid w:val="00EA1141"/>
    <w:rsid w:val="00EA1A53"/>
    <w:rsid w:val="00EA2363"/>
    <w:rsid w:val="00EA2D95"/>
    <w:rsid w:val="00EA32A9"/>
    <w:rsid w:val="00EA36DF"/>
    <w:rsid w:val="00EA36E0"/>
    <w:rsid w:val="00EA3785"/>
    <w:rsid w:val="00EA3841"/>
    <w:rsid w:val="00EA3A81"/>
    <w:rsid w:val="00EA3F63"/>
    <w:rsid w:val="00EA4A36"/>
    <w:rsid w:val="00EA4B0C"/>
    <w:rsid w:val="00EA4CEB"/>
    <w:rsid w:val="00EA56CF"/>
    <w:rsid w:val="00EA5C3E"/>
    <w:rsid w:val="00EA6B0A"/>
    <w:rsid w:val="00EA7B66"/>
    <w:rsid w:val="00EA7EE0"/>
    <w:rsid w:val="00EB03E5"/>
    <w:rsid w:val="00EB1042"/>
    <w:rsid w:val="00EB1450"/>
    <w:rsid w:val="00EB171B"/>
    <w:rsid w:val="00EB1FB3"/>
    <w:rsid w:val="00EB2153"/>
    <w:rsid w:val="00EB27A9"/>
    <w:rsid w:val="00EB2E31"/>
    <w:rsid w:val="00EB3DEF"/>
    <w:rsid w:val="00EB45A6"/>
    <w:rsid w:val="00EB48D4"/>
    <w:rsid w:val="00EB7431"/>
    <w:rsid w:val="00EB74AA"/>
    <w:rsid w:val="00EC0321"/>
    <w:rsid w:val="00EC0A12"/>
    <w:rsid w:val="00EC0A1A"/>
    <w:rsid w:val="00EC1019"/>
    <w:rsid w:val="00EC12E3"/>
    <w:rsid w:val="00EC142C"/>
    <w:rsid w:val="00EC18CA"/>
    <w:rsid w:val="00EC2402"/>
    <w:rsid w:val="00EC3259"/>
    <w:rsid w:val="00EC3CF2"/>
    <w:rsid w:val="00EC43D7"/>
    <w:rsid w:val="00EC53BF"/>
    <w:rsid w:val="00EC5A82"/>
    <w:rsid w:val="00EC5C5D"/>
    <w:rsid w:val="00EC5DF8"/>
    <w:rsid w:val="00EC6DA2"/>
    <w:rsid w:val="00EC6E8C"/>
    <w:rsid w:val="00EC7649"/>
    <w:rsid w:val="00ED073F"/>
    <w:rsid w:val="00ED0E59"/>
    <w:rsid w:val="00ED1331"/>
    <w:rsid w:val="00ED19D0"/>
    <w:rsid w:val="00ED2931"/>
    <w:rsid w:val="00ED394F"/>
    <w:rsid w:val="00ED3A8C"/>
    <w:rsid w:val="00ED51C6"/>
    <w:rsid w:val="00ED529E"/>
    <w:rsid w:val="00ED5AC4"/>
    <w:rsid w:val="00ED63F5"/>
    <w:rsid w:val="00ED6667"/>
    <w:rsid w:val="00ED6D3E"/>
    <w:rsid w:val="00ED7822"/>
    <w:rsid w:val="00ED7A8A"/>
    <w:rsid w:val="00EE0854"/>
    <w:rsid w:val="00EE109C"/>
    <w:rsid w:val="00EE221B"/>
    <w:rsid w:val="00EE2DD2"/>
    <w:rsid w:val="00EE3A8C"/>
    <w:rsid w:val="00EE54C8"/>
    <w:rsid w:val="00EE5CFA"/>
    <w:rsid w:val="00EE5FF9"/>
    <w:rsid w:val="00EE69CB"/>
    <w:rsid w:val="00EE6E8F"/>
    <w:rsid w:val="00EE70BB"/>
    <w:rsid w:val="00EE7E1B"/>
    <w:rsid w:val="00EF009F"/>
    <w:rsid w:val="00EF0828"/>
    <w:rsid w:val="00EF1E60"/>
    <w:rsid w:val="00EF2A1A"/>
    <w:rsid w:val="00EF2D63"/>
    <w:rsid w:val="00EF2F4C"/>
    <w:rsid w:val="00EF3BC8"/>
    <w:rsid w:val="00EF449C"/>
    <w:rsid w:val="00EF52F6"/>
    <w:rsid w:val="00EF5556"/>
    <w:rsid w:val="00EF75A2"/>
    <w:rsid w:val="00EF780A"/>
    <w:rsid w:val="00EF79A2"/>
    <w:rsid w:val="00EF7C13"/>
    <w:rsid w:val="00EF7DAA"/>
    <w:rsid w:val="00F0096D"/>
    <w:rsid w:val="00F00B17"/>
    <w:rsid w:val="00F01556"/>
    <w:rsid w:val="00F01DE4"/>
    <w:rsid w:val="00F0200D"/>
    <w:rsid w:val="00F0253B"/>
    <w:rsid w:val="00F026ED"/>
    <w:rsid w:val="00F027D4"/>
    <w:rsid w:val="00F02977"/>
    <w:rsid w:val="00F030A3"/>
    <w:rsid w:val="00F034FC"/>
    <w:rsid w:val="00F048A0"/>
    <w:rsid w:val="00F052BA"/>
    <w:rsid w:val="00F05A2C"/>
    <w:rsid w:val="00F05CA6"/>
    <w:rsid w:val="00F0618E"/>
    <w:rsid w:val="00F06343"/>
    <w:rsid w:val="00F06F18"/>
    <w:rsid w:val="00F07FBB"/>
    <w:rsid w:val="00F104DF"/>
    <w:rsid w:val="00F10FB9"/>
    <w:rsid w:val="00F110D6"/>
    <w:rsid w:val="00F1116C"/>
    <w:rsid w:val="00F12054"/>
    <w:rsid w:val="00F130EA"/>
    <w:rsid w:val="00F1373E"/>
    <w:rsid w:val="00F137B6"/>
    <w:rsid w:val="00F13EBD"/>
    <w:rsid w:val="00F14457"/>
    <w:rsid w:val="00F1453F"/>
    <w:rsid w:val="00F158D4"/>
    <w:rsid w:val="00F15DEC"/>
    <w:rsid w:val="00F15F81"/>
    <w:rsid w:val="00F160DF"/>
    <w:rsid w:val="00F1751E"/>
    <w:rsid w:val="00F176CA"/>
    <w:rsid w:val="00F179C3"/>
    <w:rsid w:val="00F17AB3"/>
    <w:rsid w:val="00F204FE"/>
    <w:rsid w:val="00F21638"/>
    <w:rsid w:val="00F21ABD"/>
    <w:rsid w:val="00F22C4E"/>
    <w:rsid w:val="00F235D5"/>
    <w:rsid w:val="00F238D0"/>
    <w:rsid w:val="00F2396C"/>
    <w:rsid w:val="00F24602"/>
    <w:rsid w:val="00F24742"/>
    <w:rsid w:val="00F249F5"/>
    <w:rsid w:val="00F2521D"/>
    <w:rsid w:val="00F2599A"/>
    <w:rsid w:val="00F2635C"/>
    <w:rsid w:val="00F265D6"/>
    <w:rsid w:val="00F270F3"/>
    <w:rsid w:val="00F277C0"/>
    <w:rsid w:val="00F27B34"/>
    <w:rsid w:val="00F305A2"/>
    <w:rsid w:val="00F31D20"/>
    <w:rsid w:val="00F31DF0"/>
    <w:rsid w:val="00F32247"/>
    <w:rsid w:val="00F33ABC"/>
    <w:rsid w:val="00F33B32"/>
    <w:rsid w:val="00F33BC8"/>
    <w:rsid w:val="00F35474"/>
    <w:rsid w:val="00F35AB7"/>
    <w:rsid w:val="00F376C1"/>
    <w:rsid w:val="00F376F5"/>
    <w:rsid w:val="00F37955"/>
    <w:rsid w:val="00F37A3D"/>
    <w:rsid w:val="00F400EB"/>
    <w:rsid w:val="00F403A7"/>
    <w:rsid w:val="00F407C1"/>
    <w:rsid w:val="00F40AF3"/>
    <w:rsid w:val="00F40E17"/>
    <w:rsid w:val="00F41B5C"/>
    <w:rsid w:val="00F422A5"/>
    <w:rsid w:val="00F42309"/>
    <w:rsid w:val="00F4258C"/>
    <w:rsid w:val="00F441EB"/>
    <w:rsid w:val="00F4447B"/>
    <w:rsid w:val="00F45133"/>
    <w:rsid w:val="00F4564D"/>
    <w:rsid w:val="00F45A10"/>
    <w:rsid w:val="00F462E3"/>
    <w:rsid w:val="00F467B5"/>
    <w:rsid w:val="00F4738B"/>
    <w:rsid w:val="00F47C8A"/>
    <w:rsid w:val="00F47CDF"/>
    <w:rsid w:val="00F47E13"/>
    <w:rsid w:val="00F50E99"/>
    <w:rsid w:val="00F5128B"/>
    <w:rsid w:val="00F5220A"/>
    <w:rsid w:val="00F5236C"/>
    <w:rsid w:val="00F52D8C"/>
    <w:rsid w:val="00F54358"/>
    <w:rsid w:val="00F54363"/>
    <w:rsid w:val="00F54E70"/>
    <w:rsid w:val="00F56524"/>
    <w:rsid w:val="00F576C7"/>
    <w:rsid w:val="00F57DAE"/>
    <w:rsid w:val="00F6039B"/>
    <w:rsid w:val="00F6158B"/>
    <w:rsid w:val="00F6187F"/>
    <w:rsid w:val="00F61AD8"/>
    <w:rsid w:val="00F623DC"/>
    <w:rsid w:val="00F6253A"/>
    <w:rsid w:val="00F625B8"/>
    <w:rsid w:val="00F62CF3"/>
    <w:rsid w:val="00F64965"/>
    <w:rsid w:val="00F64D90"/>
    <w:rsid w:val="00F64E30"/>
    <w:rsid w:val="00F651DB"/>
    <w:rsid w:val="00F657B0"/>
    <w:rsid w:val="00F66DF9"/>
    <w:rsid w:val="00F67090"/>
    <w:rsid w:val="00F67BE0"/>
    <w:rsid w:val="00F71618"/>
    <w:rsid w:val="00F71BAD"/>
    <w:rsid w:val="00F72B3F"/>
    <w:rsid w:val="00F72C45"/>
    <w:rsid w:val="00F731CA"/>
    <w:rsid w:val="00F73343"/>
    <w:rsid w:val="00F73366"/>
    <w:rsid w:val="00F734D6"/>
    <w:rsid w:val="00F73765"/>
    <w:rsid w:val="00F73BB2"/>
    <w:rsid w:val="00F73D0D"/>
    <w:rsid w:val="00F74F6B"/>
    <w:rsid w:val="00F75865"/>
    <w:rsid w:val="00F7612F"/>
    <w:rsid w:val="00F761EA"/>
    <w:rsid w:val="00F7654A"/>
    <w:rsid w:val="00F767FD"/>
    <w:rsid w:val="00F76F4C"/>
    <w:rsid w:val="00F77B0B"/>
    <w:rsid w:val="00F77B41"/>
    <w:rsid w:val="00F80415"/>
    <w:rsid w:val="00F805BB"/>
    <w:rsid w:val="00F80F7B"/>
    <w:rsid w:val="00F813A3"/>
    <w:rsid w:val="00F815C7"/>
    <w:rsid w:val="00F816C1"/>
    <w:rsid w:val="00F81949"/>
    <w:rsid w:val="00F81FBB"/>
    <w:rsid w:val="00F8249F"/>
    <w:rsid w:val="00F826CA"/>
    <w:rsid w:val="00F82C59"/>
    <w:rsid w:val="00F8330A"/>
    <w:rsid w:val="00F83446"/>
    <w:rsid w:val="00F84A93"/>
    <w:rsid w:val="00F84D7F"/>
    <w:rsid w:val="00F84E0F"/>
    <w:rsid w:val="00F853C4"/>
    <w:rsid w:val="00F85559"/>
    <w:rsid w:val="00F85E48"/>
    <w:rsid w:val="00F85E9A"/>
    <w:rsid w:val="00F8645E"/>
    <w:rsid w:val="00F8656F"/>
    <w:rsid w:val="00F86BCA"/>
    <w:rsid w:val="00F86FE2"/>
    <w:rsid w:val="00F8714D"/>
    <w:rsid w:val="00F87759"/>
    <w:rsid w:val="00F87910"/>
    <w:rsid w:val="00F87920"/>
    <w:rsid w:val="00F879F7"/>
    <w:rsid w:val="00F87C9E"/>
    <w:rsid w:val="00F90D6D"/>
    <w:rsid w:val="00F90E89"/>
    <w:rsid w:val="00F920A6"/>
    <w:rsid w:val="00F92A26"/>
    <w:rsid w:val="00F93300"/>
    <w:rsid w:val="00F933E5"/>
    <w:rsid w:val="00F93717"/>
    <w:rsid w:val="00F93B4F"/>
    <w:rsid w:val="00F93C7C"/>
    <w:rsid w:val="00F9476E"/>
    <w:rsid w:val="00F94ED2"/>
    <w:rsid w:val="00F9551C"/>
    <w:rsid w:val="00F95667"/>
    <w:rsid w:val="00F95F2A"/>
    <w:rsid w:val="00F9674E"/>
    <w:rsid w:val="00F96A0F"/>
    <w:rsid w:val="00F974CB"/>
    <w:rsid w:val="00F97624"/>
    <w:rsid w:val="00F979CA"/>
    <w:rsid w:val="00F97BEA"/>
    <w:rsid w:val="00FA053B"/>
    <w:rsid w:val="00FA0A6C"/>
    <w:rsid w:val="00FA0C6F"/>
    <w:rsid w:val="00FA0F65"/>
    <w:rsid w:val="00FA1CD4"/>
    <w:rsid w:val="00FA202B"/>
    <w:rsid w:val="00FA2AF7"/>
    <w:rsid w:val="00FA2CAC"/>
    <w:rsid w:val="00FA2D75"/>
    <w:rsid w:val="00FA34F5"/>
    <w:rsid w:val="00FA3F54"/>
    <w:rsid w:val="00FA42B8"/>
    <w:rsid w:val="00FA4456"/>
    <w:rsid w:val="00FA4BC8"/>
    <w:rsid w:val="00FA4F91"/>
    <w:rsid w:val="00FA4FFD"/>
    <w:rsid w:val="00FA52A7"/>
    <w:rsid w:val="00FA5914"/>
    <w:rsid w:val="00FA660B"/>
    <w:rsid w:val="00FA7A3B"/>
    <w:rsid w:val="00FA7AE7"/>
    <w:rsid w:val="00FA7F5E"/>
    <w:rsid w:val="00FA931C"/>
    <w:rsid w:val="00FB12CF"/>
    <w:rsid w:val="00FB1A7F"/>
    <w:rsid w:val="00FB36A3"/>
    <w:rsid w:val="00FB39F1"/>
    <w:rsid w:val="00FB3ABA"/>
    <w:rsid w:val="00FB3EA6"/>
    <w:rsid w:val="00FB407F"/>
    <w:rsid w:val="00FB446F"/>
    <w:rsid w:val="00FB44BC"/>
    <w:rsid w:val="00FB4B46"/>
    <w:rsid w:val="00FB65E6"/>
    <w:rsid w:val="00FB6DB5"/>
    <w:rsid w:val="00FC07D5"/>
    <w:rsid w:val="00FC0BA2"/>
    <w:rsid w:val="00FC14F5"/>
    <w:rsid w:val="00FC1622"/>
    <w:rsid w:val="00FC20B5"/>
    <w:rsid w:val="00FC27D7"/>
    <w:rsid w:val="00FC2A11"/>
    <w:rsid w:val="00FC3590"/>
    <w:rsid w:val="00FC4092"/>
    <w:rsid w:val="00FC43F6"/>
    <w:rsid w:val="00FC56B5"/>
    <w:rsid w:val="00FC5908"/>
    <w:rsid w:val="00FC59E9"/>
    <w:rsid w:val="00FC5E3A"/>
    <w:rsid w:val="00FC62D7"/>
    <w:rsid w:val="00FC6AB9"/>
    <w:rsid w:val="00FC6DA4"/>
    <w:rsid w:val="00FC7C91"/>
    <w:rsid w:val="00FC7D1C"/>
    <w:rsid w:val="00FD0C9A"/>
    <w:rsid w:val="00FD0CCB"/>
    <w:rsid w:val="00FD1CEB"/>
    <w:rsid w:val="00FD1E69"/>
    <w:rsid w:val="00FD1EFA"/>
    <w:rsid w:val="00FD2338"/>
    <w:rsid w:val="00FD2E09"/>
    <w:rsid w:val="00FD2F05"/>
    <w:rsid w:val="00FD3846"/>
    <w:rsid w:val="00FD4049"/>
    <w:rsid w:val="00FD4A32"/>
    <w:rsid w:val="00FD4C24"/>
    <w:rsid w:val="00FD4FD5"/>
    <w:rsid w:val="00FD54B4"/>
    <w:rsid w:val="00FD5E29"/>
    <w:rsid w:val="00FD6D2B"/>
    <w:rsid w:val="00FD7341"/>
    <w:rsid w:val="00FD7443"/>
    <w:rsid w:val="00FE0EBF"/>
    <w:rsid w:val="00FE2434"/>
    <w:rsid w:val="00FE2F31"/>
    <w:rsid w:val="00FE3A65"/>
    <w:rsid w:val="00FE4720"/>
    <w:rsid w:val="00FE5686"/>
    <w:rsid w:val="00FE686A"/>
    <w:rsid w:val="00FE6BC8"/>
    <w:rsid w:val="00FE6DD3"/>
    <w:rsid w:val="00FE79A6"/>
    <w:rsid w:val="00FE7DFD"/>
    <w:rsid w:val="00FF0D52"/>
    <w:rsid w:val="00FF0D72"/>
    <w:rsid w:val="00FF191D"/>
    <w:rsid w:val="00FF2FA9"/>
    <w:rsid w:val="00FF3105"/>
    <w:rsid w:val="00FF384A"/>
    <w:rsid w:val="00FF3BC8"/>
    <w:rsid w:val="00FF3F61"/>
    <w:rsid w:val="00FF42F7"/>
    <w:rsid w:val="00FF4AA8"/>
    <w:rsid w:val="00FF4C86"/>
    <w:rsid w:val="00FF4E40"/>
    <w:rsid w:val="00FF4F68"/>
    <w:rsid w:val="00FF56C9"/>
    <w:rsid w:val="00FF5D06"/>
    <w:rsid w:val="00FF6054"/>
    <w:rsid w:val="00FF6225"/>
    <w:rsid w:val="00FF64F5"/>
    <w:rsid w:val="00FF7FBD"/>
    <w:rsid w:val="0112BE32"/>
    <w:rsid w:val="01592B5C"/>
    <w:rsid w:val="016061A3"/>
    <w:rsid w:val="01ECEE2F"/>
    <w:rsid w:val="0245F05D"/>
    <w:rsid w:val="0281B665"/>
    <w:rsid w:val="029FF6C1"/>
    <w:rsid w:val="02C58AED"/>
    <w:rsid w:val="02E61235"/>
    <w:rsid w:val="02EFA5AF"/>
    <w:rsid w:val="0335CB04"/>
    <w:rsid w:val="0336DD91"/>
    <w:rsid w:val="037585C5"/>
    <w:rsid w:val="03DCF301"/>
    <w:rsid w:val="04329D7A"/>
    <w:rsid w:val="044073A0"/>
    <w:rsid w:val="047CB101"/>
    <w:rsid w:val="04CBABB2"/>
    <w:rsid w:val="04CD2980"/>
    <w:rsid w:val="05065E77"/>
    <w:rsid w:val="0508A1B0"/>
    <w:rsid w:val="051DB1CF"/>
    <w:rsid w:val="052362A3"/>
    <w:rsid w:val="0559BE8D"/>
    <w:rsid w:val="0599F3C4"/>
    <w:rsid w:val="05C03615"/>
    <w:rsid w:val="065686E6"/>
    <w:rsid w:val="0682B551"/>
    <w:rsid w:val="06D55DEB"/>
    <w:rsid w:val="070846ED"/>
    <w:rsid w:val="07097F6B"/>
    <w:rsid w:val="072C5A1F"/>
    <w:rsid w:val="07323708"/>
    <w:rsid w:val="076E1F7D"/>
    <w:rsid w:val="07899A8C"/>
    <w:rsid w:val="084B7EE8"/>
    <w:rsid w:val="08BB6AD8"/>
    <w:rsid w:val="08DC86D6"/>
    <w:rsid w:val="09104E49"/>
    <w:rsid w:val="094C9ACC"/>
    <w:rsid w:val="095AA954"/>
    <w:rsid w:val="09A996F3"/>
    <w:rsid w:val="09BCC5A5"/>
    <w:rsid w:val="09C8B888"/>
    <w:rsid w:val="09CA8D01"/>
    <w:rsid w:val="0A578603"/>
    <w:rsid w:val="0AD7E31D"/>
    <w:rsid w:val="0B382F83"/>
    <w:rsid w:val="0B406A9D"/>
    <w:rsid w:val="0BB3DB4E"/>
    <w:rsid w:val="0BD568AA"/>
    <w:rsid w:val="0C1B1396"/>
    <w:rsid w:val="0DF4C1C6"/>
    <w:rsid w:val="0E3338F0"/>
    <w:rsid w:val="0E44D406"/>
    <w:rsid w:val="0EA133F4"/>
    <w:rsid w:val="0EB69365"/>
    <w:rsid w:val="0EC0BC6F"/>
    <w:rsid w:val="0F85EE49"/>
    <w:rsid w:val="0F9225BE"/>
    <w:rsid w:val="0FACA029"/>
    <w:rsid w:val="10215B77"/>
    <w:rsid w:val="103BAAB9"/>
    <w:rsid w:val="104814FF"/>
    <w:rsid w:val="107F35AE"/>
    <w:rsid w:val="109406F2"/>
    <w:rsid w:val="10E6D421"/>
    <w:rsid w:val="1133B9C8"/>
    <w:rsid w:val="1190F931"/>
    <w:rsid w:val="11977125"/>
    <w:rsid w:val="119C0548"/>
    <w:rsid w:val="11E777F0"/>
    <w:rsid w:val="11EFF5C0"/>
    <w:rsid w:val="123D03C7"/>
    <w:rsid w:val="127800A4"/>
    <w:rsid w:val="129ADB58"/>
    <w:rsid w:val="1336C535"/>
    <w:rsid w:val="13CC4128"/>
    <w:rsid w:val="1448C906"/>
    <w:rsid w:val="14CB86AE"/>
    <w:rsid w:val="14EFACB2"/>
    <w:rsid w:val="150C421F"/>
    <w:rsid w:val="16415B7A"/>
    <w:rsid w:val="1678A0DE"/>
    <w:rsid w:val="16BF9E82"/>
    <w:rsid w:val="16D1EE8C"/>
    <w:rsid w:val="16E41659"/>
    <w:rsid w:val="16F11F6E"/>
    <w:rsid w:val="17113478"/>
    <w:rsid w:val="17533DC9"/>
    <w:rsid w:val="179D51C1"/>
    <w:rsid w:val="17A1CC24"/>
    <w:rsid w:val="17D50A88"/>
    <w:rsid w:val="1804A090"/>
    <w:rsid w:val="181E0DE0"/>
    <w:rsid w:val="184B0788"/>
    <w:rsid w:val="186D7B94"/>
    <w:rsid w:val="186FAB3F"/>
    <w:rsid w:val="18935BCB"/>
    <w:rsid w:val="19299835"/>
    <w:rsid w:val="195733BD"/>
    <w:rsid w:val="1B008214"/>
    <w:rsid w:val="1B21198E"/>
    <w:rsid w:val="1B51A05A"/>
    <w:rsid w:val="1B8FDE8B"/>
    <w:rsid w:val="1B9D0DB3"/>
    <w:rsid w:val="1B9D4BBE"/>
    <w:rsid w:val="1BCBF8A8"/>
    <w:rsid w:val="1BEDB6E7"/>
    <w:rsid w:val="1C5BE185"/>
    <w:rsid w:val="1C7076F0"/>
    <w:rsid w:val="1C91613F"/>
    <w:rsid w:val="1D426373"/>
    <w:rsid w:val="1E0667C6"/>
    <w:rsid w:val="1E6A258A"/>
    <w:rsid w:val="1F6E9B90"/>
    <w:rsid w:val="1FEA7EE6"/>
    <w:rsid w:val="2074AB92"/>
    <w:rsid w:val="2086C647"/>
    <w:rsid w:val="20FE9715"/>
    <w:rsid w:val="2140F2BB"/>
    <w:rsid w:val="21D867FE"/>
    <w:rsid w:val="22896B04"/>
    <w:rsid w:val="22A6ED49"/>
    <w:rsid w:val="22B34159"/>
    <w:rsid w:val="22C628AD"/>
    <w:rsid w:val="22E04EC8"/>
    <w:rsid w:val="230B5435"/>
    <w:rsid w:val="233F4A3B"/>
    <w:rsid w:val="235EE7D0"/>
    <w:rsid w:val="23B49C26"/>
    <w:rsid w:val="23BB8EED"/>
    <w:rsid w:val="23F735D1"/>
    <w:rsid w:val="24413448"/>
    <w:rsid w:val="245F0568"/>
    <w:rsid w:val="24CA7A59"/>
    <w:rsid w:val="2550309E"/>
    <w:rsid w:val="25BA5417"/>
    <w:rsid w:val="25C6AA3B"/>
    <w:rsid w:val="25DF26C8"/>
    <w:rsid w:val="2627F8A2"/>
    <w:rsid w:val="263CD4C7"/>
    <w:rsid w:val="2651D2E9"/>
    <w:rsid w:val="26973179"/>
    <w:rsid w:val="26C96E08"/>
    <w:rsid w:val="26CDEA87"/>
    <w:rsid w:val="26E2BBCB"/>
    <w:rsid w:val="27110364"/>
    <w:rsid w:val="2770B31F"/>
    <w:rsid w:val="27B8F6D4"/>
    <w:rsid w:val="28200085"/>
    <w:rsid w:val="29024854"/>
    <w:rsid w:val="2948FDF9"/>
    <w:rsid w:val="29EB8A5E"/>
    <w:rsid w:val="2A0B604E"/>
    <w:rsid w:val="2A1C2FE8"/>
    <w:rsid w:val="2A63F42F"/>
    <w:rsid w:val="2A6D374E"/>
    <w:rsid w:val="2A78216B"/>
    <w:rsid w:val="2A886923"/>
    <w:rsid w:val="2AC9882B"/>
    <w:rsid w:val="2AD10A84"/>
    <w:rsid w:val="2B1DBC28"/>
    <w:rsid w:val="2B5C1DE9"/>
    <w:rsid w:val="2B65A1BF"/>
    <w:rsid w:val="2CAD7CC3"/>
    <w:rsid w:val="2CE523AB"/>
    <w:rsid w:val="2CF1C8D8"/>
    <w:rsid w:val="2DA99C0A"/>
    <w:rsid w:val="2E00E5B6"/>
    <w:rsid w:val="2E2DC771"/>
    <w:rsid w:val="2EA2B1ED"/>
    <w:rsid w:val="2EC4C5A5"/>
    <w:rsid w:val="2ECB6F5A"/>
    <w:rsid w:val="2F07F1D5"/>
    <w:rsid w:val="2F0EF1FB"/>
    <w:rsid w:val="2F11892A"/>
    <w:rsid w:val="2F1F79BE"/>
    <w:rsid w:val="2F277EB1"/>
    <w:rsid w:val="2F41E10D"/>
    <w:rsid w:val="2F79605D"/>
    <w:rsid w:val="2FD801C4"/>
    <w:rsid w:val="2FE5F1F5"/>
    <w:rsid w:val="30DD5AB3"/>
    <w:rsid w:val="3127B385"/>
    <w:rsid w:val="3158C01F"/>
    <w:rsid w:val="31B060A7"/>
    <w:rsid w:val="322B115F"/>
    <w:rsid w:val="325EBADF"/>
    <w:rsid w:val="32A150B7"/>
    <w:rsid w:val="32C70E75"/>
    <w:rsid w:val="32F73DFB"/>
    <w:rsid w:val="33142E5D"/>
    <w:rsid w:val="33215B16"/>
    <w:rsid w:val="336AB880"/>
    <w:rsid w:val="338A7DE2"/>
    <w:rsid w:val="3396EB16"/>
    <w:rsid w:val="33AC41B4"/>
    <w:rsid w:val="33C8BA68"/>
    <w:rsid w:val="33DF21F5"/>
    <w:rsid w:val="341D2126"/>
    <w:rsid w:val="34AD6780"/>
    <w:rsid w:val="35CBE550"/>
    <w:rsid w:val="35EDD256"/>
    <w:rsid w:val="3627937C"/>
    <w:rsid w:val="3631E84E"/>
    <w:rsid w:val="36C35E10"/>
    <w:rsid w:val="36D856D4"/>
    <w:rsid w:val="378A54CC"/>
    <w:rsid w:val="37C83487"/>
    <w:rsid w:val="37E02DAA"/>
    <w:rsid w:val="3821D1F8"/>
    <w:rsid w:val="382B46E5"/>
    <w:rsid w:val="382EC082"/>
    <w:rsid w:val="38675CE7"/>
    <w:rsid w:val="38D3E3FE"/>
    <w:rsid w:val="39A7AB95"/>
    <w:rsid w:val="39EB5DF8"/>
    <w:rsid w:val="3A966079"/>
    <w:rsid w:val="3A9EE76A"/>
    <w:rsid w:val="3ACFC413"/>
    <w:rsid w:val="3B0C5A89"/>
    <w:rsid w:val="3B3E57D5"/>
    <w:rsid w:val="3B3F7229"/>
    <w:rsid w:val="3B4A2550"/>
    <w:rsid w:val="3B7BE906"/>
    <w:rsid w:val="3BAB2695"/>
    <w:rsid w:val="3C2054A1"/>
    <w:rsid w:val="3C9FFAE2"/>
    <w:rsid w:val="3CA2C81B"/>
    <w:rsid w:val="3D23DE88"/>
    <w:rsid w:val="3D6DE5EB"/>
    <w:rsid w:val="3D721688"/>
    <w:rsid w:val="3D881245"/>
    <w:rsid w:val="3DC46F65"/>
    <w:rsid w:val="3DD5E205"/>
    <w:rsid w:val="3DE48B43"/>
    <w:rsid w:val="3E468589"/>
    <w:rsid w:val="3E4ABF87"/>
    <w:rsid w:val="3E623268"/>
    <w:rsid w:val="3E9AF0C6"/>
    <w:rsid w:val="3EF4A6B7"/>
    <w:rsid w:val="3F2DDCC7"/>
    <w:rsid w:val="3F4130CC"/>
    <w:rsid w:val="3FD7B028"/>
    <w:rsid w:val="3FF70F36"/>
    <w:rsid w:val="401ECA1D"/>
    <w:rsid w:val="401FC18E"/>
    <w:rsid w:val="4057236B"/>
    <w:rsid w:val="40A982BC"/>
    <w:rsid w:val="40F60E29"/>
    <w:rsid w:val="4100780C"/>
    <w:rsid w:val="415AF7FC"/>
    <w:rsid w:val="415E4F4A"/>
    <w:rsid w:val="415E9AC1"/>
    <w:rsid w:val="4180B6FC"/>
    <w:rsid w:val="41B1351F"/>
    <w:rsid w:val="41D491BC"/>
    <w:rsid w:val="41EABACD"/>
    <w:rsid w:val="420DA1CC"/>
    <w:rsid w:val="420E257B"/>
    <w:rsid w:val="425798E0"/>
    <w:rsid w:val="425C944D"/>
    <w:rsid w:val="4284AC78"/>
    <w:rsid w:val="429ED0F4"/>
    <w:rsid w:val="437A406B"/>
    <w:rsid w:val="43F75617"/>
    <w:rsid w:val="44AF075A"/>
    <w:rsid w:val="45CEA306"/>
    <w:rsid w:val="46439BEC"/>
    <w:rsid w:val="4742E6B5"/>
    <w:rsid w:val="47565601"/>
    <w:rsid w:val="47B150E4"/>
    <w:rsid w:val="47B9E2A8"/>
    <w:rsid w:val="47EB947B"/>
    <w:rsid w:val="47FAE1BE"/>
    <w:rsid w:val="48527E54"/>
    <w:rsid w:val="48614780"/>
    <w:rsid w:val="48D79F6C"/>
    <w:rsid w:val="492C905B"/>
    <w:rsid w:val="49358055"/>
    <w:rsid w:val="493704F6"/>
    <w:rsid w:val="49E52C6D"/>
    <w:rsid w:val="4A3C16D7"/>
    <w:rsid w:val="4A84A3FC"/>
    <w:rsid w:val="4B6C8C90"/>
    <w:rsid w:val="4B84B784"/>
    <w:rsid w:val="4BF3E7AD"/>
    <w:rsid w:val="4C075388"/>
    <w:rsid w:val="4C80D17C"/>
    <w:rsid w:val="4C913EFA"/>
    <w:rsid w:val="4C95FB4B"/>
    <w:rsid w:val="4CAEC0E7"/>
    <w:rsid w:val="4CF5AE2E"/>
    <w:rsid w:val="4D54A693"/>
    <w:rsid w:val="4D698087"/>
    <w:rsid w:val="4DC2E41E"/>
    <w:rsid w:val="4E0BBC3C"/>
    <w:rsid w:val="4E7140E3"/>
    <w:rsid w:val="4E9002CA"/>
    <w:rsid w:val="4E9CD33E"/>
    <w:rsid w:val="4F1B9DBC"/>
    <w:rsid w:val="4F361F3D"/>
    <w:rsid w:val="4F6E923D"/>
    <w:rsid w:val="4F7A3766"/>
    <w:rsid w:val="4F880DA6"/>
    <w:rsid w:val="4F8ADC19"/>
    <w:rsid w:val="4FA8E68A"/>
    <w:rsid w:val="4FB35809"/>
    <w:rsid w:val="5061DF47"/>
    <w:rsid w:val="5098349F"/>
    <w:rsid w:val="50A595C3"/>
    <w:rsid w:val="50E0A28E"/>
    <w:rsid w:val="510F3E99"/>
    <w:rsid w:val="51ABA459"/>
    <w:rsid w:val="523F7A7F"/>
    <w:rsid w:val="5280B166"/>
    <w:rsid w:val="529620B1"/>
    <w:rsid w:val="52DA11FA"/>
    <w:rsid w:val="52E93D45"/>
    <w:rsid w:val="52F97478"/>
    <w:rsid w:val="53919F53"/>
    <w:rsid w:val="539E1E91"/>
    <w:rsid w:val="53AD7D0E"/>
    <w:rsid w:val="53F17986"/>
    <w:rsid w:val="542DE977"/>
    <w:rsid w:val="5498EDD4"/>
    <w:rsid w:val="54AE9EC0"/>
    <w:rsid w:val="54B4EE84"/>
    <w:rsid w:val="54BCBC5A"/>
    <w:rsid w:val="55126A29"/>
    <w:rsid w:val="551AD5D2"/>
    <w:rsid w:val="554F340A"/>
    <w:rsid w:val="555D4AD1"/>
    <w:rsid w:val="55A8708E"/>
    <w:rsid w:val="55D6CE22"/>
    <w:rsid w:val="55F91592"/>
    <w:rsid w:val="56108EE5"/>
    <w:rsid w:val="562300D9"/>
    <w:rsid w:val="562A1A57"/>
    <w:rsid w:val="56478A3A"/>
    <w:rsid w:val="56E2CA9F"/>
    <w:rsid w:val="574B83B6"/>
    <w:rsid w:val="575C3E67"/>
    <w:rsid w:val="576B23D7"/>
    <w:rsid w:val="58403156"/>
    <w:rsid w:val="5845F438"/>
    <w:rsid w:val="58475DFD"/>
    <w:rsid w:val="585F7257"/>
    <w:rsid w:val="58D9559E"/>
    <w:rsid w:val="590C154E"/>
    <w:rsid w:val="59417521"/>
    <w:rsid w:val="598C06E9"/>
    <w:rsid w:val="59B5F6F3"/>
    <w:rsid w:val="59DE5368"/>
    <w:rsid w:val="59EA3AC9"/>
    <w:rsid w:val="5A2AA264"/>
    <w:rsid w:val="5AA372F3"/>
    <w:rsid w:val="5AA3E42F"/>
    <w:rsid w:val="5B63002D"/>
    <w:rsid w:val="5B7FDE91"/>
    <w:rsid w:val="5BAA7A9E"/>
    <w:rsid w:val="5BBD5E7F"/>
    <w:rsid w:val="5CD4CFF0"/>
    <w:rsid w:val="5CDC671B"/>
    <w:rsid w:val="5D26B84F"/>
    <w:rsid w:val="5D2EE401"/>
    <w:rsid w:val="5DC210C1"/>
    <w:rsid w:val="5DCA8DD9"/>
    <w:rsid w:val="5E159E7E"/>
    <w:rsid w:val="5EDBD70F"/>
    <w:rsid w:val="5F25180A"/>
    <w:rsid w:val="5F84F7D7"/>
    <w:rsid w:val="5FAC8017"/>
    <w:rsid w:val="6000252E"/>
    <w:rsid w:val="60236FBD"/>
    <w:rsid w:val="60529455"/>
    <w:rsid w:val="607330D2"/>
    <w:rsid w:val="60A060A6"/>
    <w:rsid w:val="60BC08BC"/>
    <w:rsid w:val="613ACC1A"/>
    <w:rsid w:val="61596368"/>
    <w:rsid w:val="616796CB"/>
    <w:rsid w:val="617B1378"/>
    <w:rsid w:val="61A444CA"/>
    <w:rsid w:val="61A6A500"/>
    <w:rsid w:val="61BB89C7"/>
    <w:rsid w:val="62047FC6"/>
    <w:rsid w:val="624DF6A3"/>
    <w:rsid w:val="6254DDF7"/>
    <w:rsid w:val="6276BCD5"/>
    <w:rsid w:val="62B22C8E"/>
    <w:rsid w:val="63158218"/>
    <w:rsid w:val="63309C9B"/>
    <w:rsid w:val="63D31642"/>
    <w:rsid w:val="63EDEE67"/>
    <w:rsid w:val="63F9E8F3"/>
    <w:rsid w:val="63FE4B52"/>
    <w:rsid w:val="64274BBB"/>
    <w:rsid w:val="643BB43B"/>
    <w:rsid w:val="643CE78F"/>
    <w:rsid w:val="647720E3"/>
    <w:rsid w:val="64C8A839"/>
    <w:rsid w:val="64E35001"/>
    <w:rsid w:val="657BF257"/>
    <w:rsid w:val="65AC05D8"/>
    <w:rsid w:val="65E1E27F"/>
    <w:rsid w:val="6638E2C3"/>
    <w:rsid w:val="667DC4AB"/>
    <w:rsid w:val="66B91A37"/>
    <w:rsid w:val="6706EFC5"/>
    <w:rsid w:val="67071204"/>
    <w:rsid w:val="67BE20C8"/>
    <w:rsid w:val="680263B5"/>
    <w:rsid w:val="682AD792"/>
    <w:rsid w:val="68411001"/>
    <w:rsid w:val="684375F3"/>
    <w:rsid w:val="685B3FF1"/>
    <w:rsid w:val="68A3B37C"/>
    <w:rsid w:val="68B08BF9"/>
    <w:rsid w:val="69011DBB"/>
    <w:rsid w:val="69793B22"/>
    <w:rsid w:val="6A76C8A7"/>
    <w:rsid w:val="6B6B78BA"/>
    <w:rsid w:val="6B8B1F8E"/>
    <w:rsid w:val="6BA87052"/>
    <w:rsid w:val="6C2B216D"/>
    <w:rsid w:val="6C59CCCE"/>
    <w:rsid w:val="6CB238F7"/>
    <w:rsid w:val="6CB43509"/>
    <w:rsid w:val="6DDC52AC"/>
    <w:rsid w:val="6F086284"/>
    <w:rsid w:val="6F0A1CBD"/>
    <w:rsid w:val="6F1435F9"/>
    <w:rsid w:val="6F642A36"/>
    <w:rsid w:val="6F674B1E"/>
    <w:rsid w:val="6FE81152"/>
    <w:rsid w:val="70D0456C"/>
    <w:rsid w:val="714D2767"/>
    <w:rsid w:val="7177FA1D"/>
    <w:rsid w:val="724C9BE2"/>
    <w:rsid w:val="72595D79"/>
    <w:rsid w:val="726BDA8E"/>
    <w:rsid w:val="72C1D90A"/>
    <w:rsid w:val="730EBE2F"/>
    <w:rsid w:val="731CE09F"/>
    <w:rsid w:val="73B07C35"/>
    <w:rsid w:val="73D67C27"/>
    <w:rsid w:val="7414AE8F"/>
    <w:rsid w:val="744A113B"/>
    <w:rsid w:val="745D5AD8"/>
    <w:rsid w:val="74730AE5"/>
    <w:rsid w:val="74E266C7"/>
    <w:rsid w:val="74F13AB5"/>
    <w:rsid w:val="75BD030A"/>
    <w:rsid w:val="75E20A80"/>
    <w:rsid w:val="75E836B8"/>
    <w:rsid w:val="76563E8C"/>
    <w:rsid w:val="76638E51"/>
    <w:rsid w:val="7731410A"/>
    <w:rsid w:val="77BE6CC2"/>
    <w:rsid w:val="787761FB"/>
    <w:rsid w:val="789FBB93"/>
    <w:rsid w:val="78B88029"/>
    <w:rsid w:val="79AD26BE"/>
    <w:rsid w:val="79EC01DB"/>
    <w:rsid w:val="7A12C60C"/>
    <w:rsid w:val="7A924707"/>
    <w:rsid w:val="7AB018B4"/>
    <w:rsid w:val="7B0B6B4B"/>
    <w:rsid w:val="7BA06CCE"/>
    <w:rsid w:val="7C457EEA"/>
    <w:rsid w:val="7C62ACD4"/>
    <w:rsid w:val="7C6E42B9"/>
    <w:rsid w:val="7C92D698"/>
    <w:rsid w:val="7CCFB557"/>
    <w:rsid w:val="7CE99715"/>
    <w:rsid w:val="7D45A924"/>
    <w:rsid w:val="7D91610E"/>
    <w:rsid w:val="7DB28BC5"/>
    <w:rsid w:val="7DF816CF"/>
    <w:rsid w:val="7E04AF2E"/>
    <w:rsid w:val="7E5C0BC7"/>
    <w:rsid w:val="7EDBBF04"/>
    <w:rsid w:val="7F11B62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22E6B"/>
  <w15:chartTrackingRefBased/>
  <w15:docId w15:val="{AA65FF9C-9478-46D9-BEFE-44148F06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259"/>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4F5909"/>
    <w:pPr>
      <w:keepNext/>
      <w:keepLines/>
      <w:spacing w:before="600" w:after="360"/>
      <w:outlineLvl w:val="0"/>
    </w:pPr>
    <w:rPr>
      <w:rFonts w:ascii="Arial" w:eastAsiaTheme="majorEastAsia" w:hAnsi="Arial" w:cstheme="majorBidi"/>
      <w:caps/>
      <w:color w:val="00426F"/>
      <w:sz w:val="40"/>
      <w:szCs w:val="32"/>
    </w:rPr>
  </w:style>
  <w:style w:type="paragraph" w:styleId="Heading2">
    <w:name w:val="heading 2"/>
    <w:basedOn w:val="Normal"/>
    <w:next w:val="BodyText"/>
    <w:link w:val="Heading2Char"/>
    <w:qFormat/>
    <w:rsid w:val="00B3407A"/>
    <w:pPr>
      <w:keepNext/>
      <w:widowControl w:val="0"/>
      <w:numPr>
        <w:numId w:val="10"/>
      </w:numPr>
      <w:pBdr>
        <w:bottom w:val="single" w:sz="4" w:space="2" w:color="008EBA"/>
      </w:pBdr>
      <w:tabs>
        <w:tab w:val="left" w:pos="567"/>
      </w:tabs>
      <w:spacing w:before="360" w:after="100"/>
      <w:outlineLvl w:val="1"/>
    </w:pPr>
    <w:rPr>
      <w:rFonts w:ascii="Arial Bold" w:eastAsia="Arial Unicode MS" w:hAnsi="Arial Bold"/>
      <w:b/>
      <w:color w:val="008EBA"/>
      <w:kern w:val="28"/>
      <w:sz w:val="28"/>
      <w:szCs w:val="36"/>
      <w:lang w:val="en-AU"/>
    </w:rPr>
  </w:style>
  <w:style w:type="paragraph" w:styleId="Heading3">
    <w:name w:val="heading 3"/>
    <w:basedOn w:val="Heading2"/>
    <w:next w:val="BodyText"/>
    <w:link w:val="Heading3Char"/>
    <w:qFormat/>
    <w:rsid w:val="00714259"/>
    <w:pPr>
      <w:pBdr>
        <w:bottom w:val="none" w:sz="0" w:space="0" w:color="auto"/>
      </w:pBdr>
      <w:tabs>
        <w:tab w:val="clear" w:pos="567"/>
      </w:tabs>
      <w:spacing w:before="320" w:after="120" w:line="240" w:lineRule="atLeast"/>
      <w:ind w:left="0" w:firstLine="0"/>
      <w:outlineLvl w:val="2"/>
    </w:pPr>
    <w:rPr>
      <w:rFonts w:eastAsia="Times New Roman"/>
      <w:color w:val="auto"/>
      <w:sz w:val="26"/>
    </w:rPr>
  </w:style>
  <w:style w:type="paragraph" w:styleId="Heading4">
    <w:name w:val="heading 4"/>
    <w:basedOn w:val="Heading3"/>
    <w:next w:val="Normal"/>
    <w:link w:val="Heading4Char"/>
    <w:qFormat/>
    <w:rsid w:val="00714259"/>
    <w:pPr>
      <w:keepNext w:val="0"/>
      <w:tabs>
        <w:tab w:val="left" w:pos="567"/>
      </w:tabs>
      <w:spacing w:line="320" w:lineRule="exact"/>
      <w:outlineLvl w:val="3"/>
    </w:pPr>
    <w:rPr>
      <w:rFonts w:eastAsia="Arial Unicode MS"/>
      <w:sz w:val="25"/>
    </w:rPr>
  </w:style>
  <w:style w:type="paragraph" w:styleId="Heading5">
    <w:name w:val="heading 5"/>
    <w:basedOn w:val="Heading4"/>
    <w:next w:val="BodyText"/>
    <w:link w:val="Heading5Char"/>
    <w:qFormat/>
    <w:rsid w:val="00714259"/>
    <w:pPr>
      <w:keepNext/>
      <w:tabs>
        <w:tab w:val="clear" w:pos="567"/>
      </w:tabs>
      <w:spacing w:before="240" w:after="60" w:line="240" w:lineRule="atLeast"/>
      <w:outlineLvl w:val="4"/>
    </w:pPr>
    <w:rPr>
      <w:rFonts w:ascii="Arial" w:eastAsia="Times New Roman" w:hAnsi="Arial"/>
      <w:i/>
    </w:rPr>
  </w:style>
  <w:style w:type="paragraph" w:styleId="Heading6">
    <w:name w:val="heading 6"/>
    <w:basedOn w:val="Heading1"/>
    <w:next w:val="Normal"/>
    <w:link w:val="Heading6Char"/>
    <w:qFormat/>
    <w:rsid w:val="00714259"/>
    <w:pPr>
      <w:spacing w:before="320" w:after="120"/>
      <w:outlineLvl w:val="5"/>
    </w:pPr>
    <w:rPr>
      <w:sz w:val="20"/>
    </w:rPr>
  </w:style>
  <w:style w:type="paragraph" w:styleId="Heading7">
    <w:name w:val="heading 7"/>
    <w:basedOn w:val="Heading5"/>
    <w:next w:val="Normal"/>
    <w:link w:val="Heading7Char"/>
    <w:qFormat/>
    <w:rsid w:val="00714259"/>
    <w:pPr>
      <w:spacing w:before="120"/>
      <w:ind w:left="425"/>
      <w:jc w:val="both"/>
      <w:outlineLvl w:val="6"/>
    </w:pPr>
    <w:rPr>
      <w:i w:val="0"/>
      <w:sz w:val="23"/>
    </w:rPr>
  </w:style>
  <w:style w:type="paragraph" w:styleId="Heading8">
    <w:name w:val="heading 8"/>
    <w:basedOn w:val="Heading7"/>
    <w:next w:val="Normal"/>
    <w:link w:val="Heading8Char"/>
    <w:qFormat/>
    <w:rsid w:val="00714259"/>
    <w:pPr>
      <w:outlineLvl w:val="7"/>
    </w:pPr>
    <w:rPr>
      <w:i/>
    </w:rPr>
  </w:style>
  <w:style w:type="paragraph" w:styleId="Heading9">
    <w:name w:val="heading 9"/>
    <w:basedOn w:val="Heading8"/>
    <w:next w:val="Normal"/>
    <w:link w:val="Heading9Char"/>
    <w:qFormat/>
    <w:rsid w:val="00714259"/>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4259"/>
    <w:rPr>
      <w:rFonts w:ascii="Arial Bold" w:eastAsia="Arial Unicode MS" w:hAnsi="Arial Bold" w:cs="Times New Roman"/>
      <w:b/>
      <w:color w:val="008EBA"/>
      <w:kern w:val="28"/>
      <w:sz w:val="28"/>
      <w:szCs w:val="36"/>
    </w:rPr>
  </w:style>
  <w:style w:type="character" w:customStyle="1" w:styleId="Heading3Char">
    <w:name w:val="Heading 3 Char"/>
    <w:basedOn w:val="DefaultParagraphFont"/>
    <w:link w:val="Heading3"/>
    <w:rsid w:val="00714259"/>
    <w:rPr>
      <w:rFonts w:ascii="Arial Bold" w:eastAsia="Times New Roman" w:hAnsi="Arial Bold" w:cs="Times New Roman"/>
      <w:b/>
      <w:kern w:val="28"/>
      <w:sz w:val="26"/>
      <w:szCs w:val="36"/>
    </w:rPr>
  </w:style>
  <w:style w:type="paragraph" w:styleId="BodyText">
    <w:name w:val="Body Text"/>
    <w:link w:val="BodyTextChar"/>
    <w:autoRedefine/>
    <w:rsid w:val="001322EF"/>
    <w:pPr>
      <w:tabs>
        <w:tab w:val="left" w:pos="1276"/>
      </w:tabs>
      <w:spacing w:before="160" w:after="100" w:line="240" w:lineRule="atLeast"/>
    </w:pPr>
    <w:rPr>
      <w:rFonts w:ascii="Arial" w:hAnsi="Arial" w:cs="Arial"/>
      <w:iCs/>
    </w:rPr>
  </w:style>
  <w:style w:type="character" w:customStyle="1" w:styleId="BodyTextChar">
    <w:name w:val="Body Text Char"/>
    <w:basedOn w:val="DefaultParagraphFont"/>
    <w:link w:val="BodyText"/>
    <w:rsid w:val="001322EF"/>
    <w:rPr>
      <w:rFonts w:ascii="Arial" w:hAnsi="Arial" w:cs="Arial"/>
      <w:iCs/>
    </w:rPr>
  </w:style>
  <w:style w:type="paragraph" w:customStyle="1" w:styleId="Table7X">
    <w:name w:val="Table 7.X"/>
    <w:basedOn w:val="Normal"/>
    <w:rsid w:val="00A825D3"/>
    <w:pPr>
      <w:widowControl w:val="0"/>
      <w:numPr>
        <w:numId w:val="1"/>
      </w:numPr>
      <w:tabs>
        <w:tab w:val="left" w:pos="1304"/>
      </w:tabs>
      <w:spacing w:before="360" w:after="120"/>
    </w:pPr>
    <w:rPr>
      <w:rFonts w:ascii="Arial" w:hAnsi="Arial"/>
      <w:bCs/>
      <w:i/>
      <w:color w:val="4F4F4F"/>
      <w:kern w:val="28"/>
      <w:sz w:val="22"/>
      <w:szCs w:val="22"/>
    </w:rPr>
  </w:style>
  <w:style w:type="character" w:customStyle="1" w:styleId="Heading4Char">
    <w:name w:val="Heading 4 Char"/>
    <w:link w:val="Heading4"/>
    <w:rsid w:val="00714259"/>
    <w:rPr>
      <w:rFonts w:ascii="Arial Bold" w:eastAsia="Arial Unicode MS" w:hAnsi="Arial Bold" w:cs="Times New Roman"/>
      <w:b/>
      <w:kern w:val="28"/>
      <w:sz w:val="25"/>
      <w:szCs w:val="36"/>
    </w:rPr>
  </w:style>
  <w:style w:type="character" w:customStyle="1" w:styleId="Heading5Char">
    <w:name w:val="Heading 5 Char"/>
    <w:link w:val="Heading5"/>
    <w:rsid w:val="00714259"/>
    <w:rPr>
      <w:rFonts w:ascii="Arial" w:eastAsia="Times New Roman" w:hAnsi="Arial" w:cs="Times New Roman"/>
      <w:b/>
      <w:i/>
      <w:kern w:val="28"/>
      <w:sz w:val="25"/>
      <w:szCs w:val="36"/>
    </w:rPr>
  </w:style>
  <w:style w:type="character" w:customStyle="1" w:styleId="Heading1Char">
    <w:name w:val="Heading 1 Char"/>
    <w:basedOn w:val="DefaultParagraphFont"/>
    <w:link w:val="Heading1"/>
    <w:uiPriority w:val="9"/>
    <w:rsid w:val="004F5909"/>
    <w:rPr>
      <w:rFonts w:ascii="Arial" w:eastAsiaTheme="majorEastAsia" w:hAnsi="Arial" w:cstheme="majorBidi"/>
      <w:caps/>
      <w:color w:val="00426F"/>
      <w:sz w:val="40"/>
      <w:szCs w:val="32"/>
      <w:lang w:val="en-US"/>
    </w:rPr>
  </w:style>
  <w:style w:type="character" w:styleId="CommentReference">
    <w:name w:val="annotation reference"/>
    <w:uiPriority w:val="99"/>
    <w:rsid w:val="00714259"/>
    <w:rPr>
      <w:sz w:val="16"/>
      <w:szCs w:val="16"/>
    </w:rPr>
  </w:style>
  <w:style w:type="paragraph" w:styleId="CommentText">
    <w:name w:val="annotation text"/>
    <w:basedOn w:val="Normal"/>
    <w:link w:val="CommentTextChar"/>
    <w:uiPriority w:val="99"/>
    <w:rsid w:val="00714259"/>
  </w:style>
  <w:style w:type="character" w:customStyle="1" w:styleId="CommentTextChar">
    <w:name w:val="Comment Text Char"/>
    <w:basedOn w:val="DefaultParagraphFont"/>
    <w:link w:val="CommentText"/>
    <w:uiPriority w:val="99"/>
    <w:rsid w:val="00714259"/>
    <w:rPr>
      <w:rFonts w:ascii="Times New Roman" w:eastAsia="Times New Roman" w:hAnsi="Times New Roman" w:cs="Times New Roman"/>
      <w:sz w:val="20"/>
      <w:szCs w:val="20"/>
      <w:lang w:val="en-US"/>
    </w:rPr>
  </w:style>
  <w:style w:type="paragraph" w:styleId="ListParagraph">
    <w:name w:val="List Paragraph"/>
    <w:basedOn w:val="Normal"/>
    <w:link w:val="ListParagraphChar"/>
    <w:uiPriority w:val="34"/>
    <w:qFormat/>
    <w:rsid w:val="00714259"/>
    <w:pPr>
      <w:ind w:left="720"/>
      <w:contextualSpacing/>
    </w:pPr>
  </w:style>
  <w:style w:type="paragraph" w:styleId="BalloonText">
    <w:name w:val="Balloon Text"/>
    <w:basedOn w:val="Normal"/>
    <w:link w:val="BalloonTextChar"/>
    <w:uiPriority w:val="99"/>
    <w:semiHidden/>
    <w:unhideWhenUsed/>
    <w:rsid w:val="007142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259"/>
    <w:rPr>
      <w:rFonts w:ascii="Segoe UI" w:eastAsia="Times New Roman" w:hAnsi="Segoe UI" w:cs="Segoe UI"/>
      <w:sz w:val="18"/>
      <w:szCs w:val="18"/>
      <w:lang w:val="en-US"/>
    </w:rPr>
  </w:style>
  <w:style w:type="paragraph" w:styleId="Header">
    <w:name w:val="header"/>
    <w:basedOn w:val="Normal"/>
    <w:link w:val="HeaderChar"/>
    <w:uiPriority w:val="99"/>
    <w:unhideWhenUsed/>
    <w:rsid w:val="00714259"/>
    <w:pPr>
      <w:tabs>
        <w:tab w:val="center" w:pos="4513"/>
        <w:tab w:val="right" w:pos="9026"/>
      </w:tabs>
    </w:pPr>
  </w:style>
  <w:style w:type="character" w:customStyle="1" w:styleId="HeaderChar">
    <w:name w:val="Header Char"/>
    <w:basedOn w:val="DefaultParagraphFont"/>
    <w:link w:val="Header"/>
    <w:uiPriority w:val="99"/>
    <w:rsid w:val="00714259"/>
    <w:rPr>
      <w:rFonts w:ascii="Times New Roman" w:eastAsia="Times New Roman" w:hAnsi="Times New Roman" w:cs="Times New Roman"/>
      <w:sz w:val="20"/>
      <w:szCs w:val="20"/>
      <w:lang w:val="en-US"/>
    </w:rPr>
  </w:style>
  <w:style w:type="table" w:customStyle="1" w:styleId="TableGrid1">
    <w:name w:val="TableGrid1"/>
    <w:rsid w:val="00E522E6"/>
    <w:pPr>
      <w:spacing w:after="0" w:line="240" w:lineRule="auto"/>
    </w:pPr>
    <w:rPr>
      <w:rFonts w:eastAsia="Times New Roman"/>
      <w:lang w:eastAsia="en-AU"/>
    </w:rPr>
    <w:tblPr>
      <w:tblCellMar>
        <w:top w:w="0" w:type="dxa"/>
        <w:left w:w="0" w:type="dxa"/>
        <w:bottom w:w="0" w:type="dxa"/>
        <w:right w:w="0" w:type="dxa"/>
      </w:tblCellMar>
    </w:tblPr>
  </w:style>
  <w:style w:type="paragraph" w:styleId="CommentSubject">
    <w:name w:val="annotation subject"/>
    <w:basedOn w:val="CommentText"/>
    <w:next w:val="CommentText"/>
    <w:link w:val="CommentSubjectChar"/>
    <w:uiPriority w:val="99"/>
    <w:semiHidden/>
    <w:unhideWhenUsed/>
    <w:rsid w:val="00714259"/>
    <w:rPr>
      <w:b/>
      <w:bCs/>
    </w:rPr>
  </w:style>
  <w:style w:type="character" w:customStyle="1" w:styleId="CommentSubjectChar">
    <w:name w:val="Comment Subject Char"/>
    <w:basedOn w:val="CommentTextChar"/>
    <w:link w:val="CommentSubject"/>
    <w:uiPriority w:val="99"/>
    <w:semiHidden/>
    <w:rsid w:val="00714259"/>
    <w:rPr>
      <w:rFonts w:ascii="Times New Roman" w:eastAsia="Times New Roman" w:hAnsi="Times New Roman" w:cs="Times New Roman"/>
      <w:b/>
      <w:bCs/>
      <w:sz w:val="20"/>
      <w:szCs w:val="20"/>
      <w:lang w:val="en-US"/>
    </w:rPr>
  </w:style>
  <w:style w:type="paragraph" w:styleId="FootnoteText">
    <w:name w:val="footnote text"/>
    <w:basedOn w:val="Normal"/>
    <w:link w:val="FootnoteTextChar"/>
    <w:rsid w:val="00714259"/>
    <w:pPr>
      <w:spacing w:before="80" w:after="80"/>
      <w:ind w:left="709" w:hanging="142"/>
    </w:pPr>
    <w:rPr>
      <w:i/>
      <w:sz w:val="16"/>
      <w:lang w:val="en-AU"/>
    </w:rPr>
  </w:style>
  <w:style w:type="character" w:customStyle="1" w:styleId="FootnoteTextChar">
    <w:name w:val="Footnote Text Char"/>
    <w:basedOn w:val="DefaultParagraphFont"/>
    <w:link w:val="FootnoteText"/>
    <w:rsid w:val="00714259"/>
    <w:rPr>
      <w:rFonts w:ascii="Times New Roman" w:eastAsia="Times New Roman" w:hAnsi="Times New Roman" w:cs="Times New Roman"/>
      <w:i/>
      <w:sz w:val="16"/>
      <w:szCs w:val="20"/>
    </w:rPr>
  </w:style>
  <w:style w:type="character" w:styleId="FootnoteReference">
    <w:name w:val="footnote reference"/>
    <w:rsid w:val="00714259"/>
    <w:rPr>
      <w:vertAlign w:val="superscript"/>
    </w:rPr>
  </w:style>
  <w:style w:type="paragraph" w:styleId="Revision">
    <w:name w:val="Revision"/>
    <w:hidden/>
    <w:uiPriority w:val="99"/>
    <w:semiHidden/>
    <w:rsid w:val="00A81200"/>
    <w:pPr>
      <w:spacing w:after="0" w:line="240" w:lineRule="auto"/>
    </w:pPr>
    <w:rPr>
      <w:rFonts w:ascii="Times New Roman" w:eastAsia="Times New Roman" w:hAnsi="Times New Roman" w:cs="Times New Roman"/>
      <w:sz w:val="20"/>
      <w:szCs w:val="20"/>
      <w:lang w:val="en-US"/>
    </w:rPr>
  </w:style>
  <w:style w:type="paragraph" w:styleId="Footer">
    <w:name w:val="footer"/>
    <w:basedOn w:val="Normal"/>
    <w:link w:val="FooterChar"/>
    <w:unhideWhenUsed/>
    <w:rsid w:val="00714259"/>
    <w:pPr>
      <w:tabs>
        <w:tab w:val="center" w:pos="4513"/>
        <w:tab w:val="right" w:pos="9026"/>
      </w:tabs>
    </w:pPr>
  </w:style>
  <w:style w:type="character" w:customStyle="1" w:styleId="FooterChar">
    <w:name w:val="Footer Char"/>
    <w:basedOn w:val="DefaultParagraphFont"/>
    <w:link w:val="Footer"/>
    <w:rsid w:val="00714259"/>
    <w:rPr>
      <w:rFonts w:ascii="Times New Roman" w:eastAsia="Times New Roman" w:hAnsi="Times New Roman" w:cs="Times New Roman"/>
      <w:sz w:val="20"/>
      <w:szCs w:val="20"/>
      <w:lang w:val="en-US"/>
    </w:rPr>
  </w:style>
  <w:style w:type="table" w:customStyle="1" w:styleId="TableGrid10">
    <w:name w:val="Table Grid1"/>
    <w:rsid w:val="00604FFE"/>
    <w:pPr>
      <w:spacing w:after="0" w:line="240" w:lineRule="auto"/>
    </w:pPr>
    <w:rPr>
      <w:rFonts w:eastAsiaTheme="minorEastAsia"/>
      <w:lang w:eastAsia="en-AU"/>
    </w:rPr>
    <w:tblPr>
      <w:tblCellMar>
        <w:top w:w="0" w:type="dxa"/>
        <w:left w:w="0" w:type="dxa"/>
        <w:bottom w:w="0" w:type="dxa"/>
        <w:right w:w="0" w:type="dxa"/>
      </w:tblCellMar>
    </w:tblPr>
  </w:style>
  <w:style w:type="table" w:customStyle="1" w:styleId="TableGrid0">
    <w:name w:val="Table Grid0"/>
    <w:basedOn w:val="TableNormal"/>
    <w:uiPriority w:val="39"/>
    <w:rsid w:val="00604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vancedproofingissue">
    <w:name w:val="advancedproofingissue"/>
    <w:basedOn w:val="DefaultParagraphFont"/>
    <w:rsid w:val="00714259"/>
  </w:style>
  <w:style w:type="paragraph" w:customStyle="1" w:styleId="BodyTextBox">
    <w:name w:val="Body Text Box"/>
    <w:basedOn w:val="Normal"/>
    <w:link w:val="BodyTextBoxChar"/>
    <w:autoRedefine/>
    <w:rsid w:val="00460113"/>
    <w:pPr>
      <w:framePr w:hSpace="180" w:wrap="around" w:vAnchor="text" w:hAnchor="text" w:y="18"/>
      <w:spacing w:before="120" w:after="80" w:line="240" w:lineRule="atLeast"/>
    </w:pPr>
    <w:rPr>
      <w:rFonts w:ascii="Arial" w:hAnsi="Arial" w:cs="Arial"/>
      <w:color w:val="008EBA"/>
      <w:sz w:val="23"/>
      <w:szCs w:val="18"/>
      <w:lang w:val="en-AU"/>
    </w:rPr>
  </w:style>
  <w:style w:type="character" w:customStyle="1" w:styleId="BodyTextBoxChar">
    <w:name w:val="Body Text Box Char"/>
    <w:link w:val="BodyTextBox"/>
    <w:rsid w:val="00714259"/>
    <w:rPr>
      <w:rFonts w:ascii="Arial" w:eastAsia="Times New Roman" w:hAnsi="Arial" w:cs="Arial"/>
      <w:color w:val="008EBA"/>
      <w:sz w:val="23"/>
      <w:szCs w:val="18"/>
    </w:rPr>
  </w:style>
  <w:style w:type="paragraph" w:customStyle="1" w:styleId="BoxHeading">
    <w:name w:val="Box Heading"/>
    <w:basedOn w:val="Normal"/>
    <w:link w:val="BoxHeadingChar"/>
    <w:autoRedefine/>
    <w:rsid w:val="00545AA4"/>
    <w:pPr>
      <w:keepNext/>
      <w:framePr w:hSpace="180" w:wrap="around" w:vAnchor="text" w:hAnchor="margin" w:y="264"/>
      <w:widowControl w:val="0"/>
      <w:numPr>
        <w:numId w:val="8"/>
      </w:numPr>
      <w:tabs>
        <w:tab w:val="left" w:pos="567"/>
        <w:tab w:val="left" w:pos="1168"/>
      </w:tabs>
      <w:spacing w:before="120" w:after="60" w:line="240" w:lineRule="atLeast"/>
    </w:pPr>
    <w:rPr>
      <w:rFonts w:ascii="Arial" w:eastAsia="Arial Unicode MS" w:hAnsi="Arial"/>
      <w:b/>
      <w:bCs/>
      <w:sz w:val="23"/>
      <w:szCs w:val="23"/>
    </w:rPr>
  </w:style>
  <w:style w:type="character" w:customStyle="1" w:styleId="BoxHeadingChar">
    <w:name w:val="Box Heading Char"/>
    <w:link w:val="BoxHeading"/>
    <w:rsid w:val="00545AA4"/>
    <w:rPr>
      <w:rFonts w:ascii="Arial" w:eastAsia="Arial Unicode MS" w:hAnsi="Arial" w:cs="Times New Roman"/>
      <w:b/>
      <w:bCs/>
      <w:sz w:val="23"/>
      <w:szCs w:val="23"/>
      <w:lang w:val="en-US"/>
    </w:rPr>
  </w:style>
  <w:style w:type="paragraph" w:customStyle="1" w:styleId="Bullet">
    <w:name w:val="Bullet"/>
    <w:basedOn w:val="BodyText"/>
    <w:rsid w:val="00714259"/>
    <w:pPr>
      <w:numPr>
        <w:numId w:val="4"/>
      </w:numPr>
      <w:spacing w:before="180" w:after="180" w:line="288" w:lineRule="auto"/>
      <w:outlineLvl w:val="0"/>
    </w:pPr>
    <w:rPr>
      <w:i/>
      <w:color w:val="595959" w:themeColor="text1" w:themeTint="A6"/>
    </w:rPr>
  </w:style>
  <w:style w:type="paragraph" w:customStyle="1" w:styleId="Bullet1">
    <w:name w:val="Bullet 1"/>
    <w:basedOn w:val="BodyText"/>
    <w:link w:val="Bullet1Char"/>
    <w:autoRedefine/>
    <w:rsid w:val="00332D9D"/>
    <w:pPr>
      <w:numPr>
        <w:numId w:val="11"/>
      </w:numPr>
      <w:spacing w:before="120" w:after="80"/>
      <w:ind w:left="357" w:hanging="357"/>
    </w:pPr>
    <w:rPr>
      <w:rFonts w:eastAsia="Times New Roman"/>
      <w:szCs w:val="23"/>
      <w:lang w:eastAsia="en-AU"/>
    </w:rPr>
  </w:style>
  <w:style w:type="character" w:customStyle="1" w:styleId="Bullet1Char">
    <w:name w:val="Bullet 1 Char"/>
    <w:link w:val="Bullet1"/>
    <w:rsid w:val="00332D9D"/>
    <w:rPr>
      <w:rFonts w:ascii="Arial" w:eastAsia="Times New Roman" w:hAnsi="Arial" w:cs="Arial"/>
      <w:iCs/>
      <w:szCs w:val="23"/>
      <w:lang w:eastAsia="en-AU"/>
    </w:rPr>
  </w:style>
  <w:style w:type="paragraph" w:customStyle="1" w:styleId="Bullet1inabox">
    <w:name w:val="Bullet 1 in a box"/>
    <w:basedOn w:val="Bullet1"/>
    <w:autoRedefine/>
    <w:rsid w:val="00460113"/>
    <w:pPr>
      <w:numPr>
        <w:numId w:val="12"/>
      </w:numPr>
      <w:spacing w:before="100" w:after="60"/>
    </w:pPr>
    <w:rPr>
      <w:rFonts w:cs="Times New Roman"/>
      <w:color w:val="008EBA"/>
      <w:sz w:val="23"/>
    </w:rPr>
  </w:style>
  <w:style w:type="paragraph" w:customStyle="1" w:styleId="BulletPointStyle">
    <w:name w:val="Bullet Point Style"/>
    <w:basedOn w:val="Normal"/>
    <w:link w:val="BulletPointStyleChar"/>
    <w:rsid w:val="00714259"/>
    <w:pPr>
      <w:spacing w:after="80" w:line="280" w:lineRule="exact"/>
    </w:pPr>
    <w:rPr>
      <w:rFonts w:ascii="Garamond" w:eastAsiaTheme="minorHAnsi" w:hAnsi="Garamond" w:cstheme="minorBidi"/>
      <w:sz w:val="22"/>
      <w:szCs w:val="22"/>
      <w:lang w:val="en-AU" w:eastAsia="x-none"/>
    </w:rPr>
  </w:style>
  <w:style w:type="character" w:customStyle="1" w:styleId="BulletPointStyleChar">
    <w:name w:val="Bullet Point Style Char"/>
    <w:basedOn w:val="DefaultParagraphFont"/>
    <w:link w:val="BulletPointStyle"/>
    <w:locked/>
    <w:rsid w:val="00714259"/>
    <w:rPr>
      <w:rFonts w:ascii="Garamond" w:hAnsi="Garamond"/>
      <w:lang w:eastAsia="x-none"/>
    </w:rPr>
  </w:style>
  <w:style w:type="paragraph" w:customStyle="1" w:styleId="Chart31">
    <w:name w:val="Chart 3.1"/>
    <w:basedOn w:val="Normal"/>
    <w:qFormat/>
    <w:rsid w:val="00714259"/>
    <w:pPr>
      <w:numPr>
        <w:numId w:val="5"/>
      </w:numPr>
      <w:spacing w:before="360" w:after="120"/>
    </w:pPr>
    <w:rPr>
      <w:rFonts w:ascii="Arial" w:hAnsi="Arial"/>
      <w:i/>
      <w:color w:val="4F4F4F"/>
      <w:sz w:val="22"/>
    </w:rPr>
  </w:style>
  <w:style w:type="character" w:customStyle="1" w:styleId="contextualspellingandgrammarerror">
    <w:name w:val="contextualspellingandgrammarerror"/>
    <w:basedOn w:val="DefaultParagraphFont"/>
    <w:rsid w:val="00714259"/>
  </w:style>
  <w:style w:type="paragraph" w:customStyle="1" w:styleId="Default">
    <w:name w:val="Default"/>
    <w:rsid w:val="00714259"/>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Emphasis">
    <w:name w:val="Emphasis"/>
    <w:basedOn w:val="DefaultParagraphFont"/>
    <w:qFormat/>
    <w:rsid w:val="00714259"/>
    <w:rPr>
      <w:i/>
      <w:iCs/>
    </w:rPr>
  </w:style>
  <w:style w:type="character" w:customStyle="1" w:styleId="eop">
    <w:name w:val="eop"/>
    <w:basedOn w:val="DefaultParagraphFont"/>
    <w:rsid w:val="00714259"/>
  </w:style>
  <w:style w:type="character" w:customStyle="1" w:styleId="Heading6Char">
    <w:name w:val="Heading 6 Char"/>
    <w:link w:val="Heading6"/>
    <w:rsid w:val="00714259"/>
    <w:rPr>
      <w:rFonts w:ascii="Arial" w:eastAsiaTheme="majorEastAsia" w:hAnsi="Arial" w:cstheme="majorBidi"/>
      <w:caps/>
      <w:color w:val="00426F"/>
      <w:sz w:val="20"/>
      <w:szCs w:val="32"/>
      <w:lang w:val="en-US"/>
    </w:rPr>
  </w:style>
  <w:style w:type="character" w:customStyle="1" w:styleId="Heading7Char">
    <w:name w:val="Heading 7 Char"/>
    <w:link w:val="Heading7"/>
    <w:rsid w:val="00714259"/>
    <w:rPr>
      <w:rFonts w:ascii="Arial" w:eastAsia="Times New Roman" w:hAnsi="Arial" w:cs="Times New Roman"/>
      <w:b/>
      <w:kern w:val="28"/>
      <w:sz w:val="23"/>
      <w:szCs w:val="36"/>
    </w:rPr>
  </w:style>
  <w:style w:type="character" w:customStyle="1" w:styleId="Heading8Char">
    <w:name w:val="Heading 8 Char"/>
    <w:link w:val="Heading8"/>
    <w:rsid w:val="00714259"/>
    <w:rPr>
      <w:rFonts w:ascii="Arial" w:eastAsia="Times New Roman" w:hAnsi="Arial" w:cs="Times New Roman"/>
      <w:b/>
      <w:i/>
      <w:kern w:val="28"/>
      <w:sz w:val="23"/>
      <w:szCs w:val="36"/>
    </w:rPr>
  </w:style>
  <w:style w:type="character" w:customStyle="1" w:styleId="Heading9Char">
    <w:name w:val="Heading 9 Char"/>
    <w:link w:val="Heading9"/>
    <w:rsid w:val="00714259"/>
    <w:rPr>
      <w:rFonts w:ascii="Arial" w:eastAsia="Times New Roman" w:hAnsi="Arial" w:cs="Times New Roman"/>
      <w:b/>
      <w:kern w:val="28"/>
      <w:sz w:val="23"/>
      <w:szCs w:val="36"/>
    </w:rPr>
  </w:style>
  <w:style w:type="character" w:customStyle="1" w:styleId="ListParagraphChar">
    <w:name w:val="List Paragraph Char"/>
    <w:link w:val="ListParagraph"/>
    <w:uiPriority w:val="34"/>
    <w:locked/>
    <w:rsid w:val="00714259"/>
    <w:rPr>
      <w:rFonts w:ascii="Times New Roman" w:eastAsia="Times New Roman" w:hAnsi="Times New Roman" w:cs="Times New Roman"/>
      <w:sz w:val="20"/>
      <w:szCs w:val="20"/>
      <w:lang w:val="en-US"/>
    </w:rPr>
  </w:style>
  <w:style w:type="character" w:styleId="Mention">
    <w:name w:val="Mention"/>
    <w:basedOn w:val="DefaultParagraphFont"/>
    <w:uiPriority w:val="99"/>
    <w:unhideWhenUsed/>
    <w:rsid w:val="00714259"/>
    <w:rPr>
      <w:color w:val="2B579A"/>
      <w:shd w:val="clear" w:color="auto" w:fill="E1DFDD"/>
    </w:rPr>
  </w:style>
  <w:style w:type="paragraph" w:styleId="NormalWeb">
    <w:name w:val="Normal (Web)"/>
    <w:basedOn w:val="Normal"/>
    <w:uiPriority w:val="99"/>
    <w:semiHidden/>
    <w:unhideWhenUsed/>
    <w:rsid w:val="00714259"/>
    <w:pPr>
      <w:spacing w:before="100" w:beforeAutospacing="1" w:after="100" w:afterAutospacing="1"/>
    </w:pPr>
    <w:rPr>
      <w:rFonts w:ascii="Calibri" w:eastAsiaTheme="minorHAnsi" w:hAnsi="Calibri" w:cs="Calibri"/>
      <w:sz w:val="22"/>
      <w:szCs w:val="22"/>
      <w:lang w:val="en-AU" w:eastAsia="en-AU"/>
    </w:rPr>
  </w:style>
  <w:style w:type="character" w:customStyle="1" w:styleId="normaltextrun">
    <w:name w:val="normaltextrun"/>
    <w:basedOn w:val="DefaultParagraphFont"/>
    <w:rsid w:val="00714259"/>
  </w:style>
  <w:style w:type="paragraph" w:customStyle="1" w:styleId="paragraph">
    <w:name w:val="paragraph"/>
    <w:basedOn w:val="Normal"/>
    <w:rsid w:val="00714259"/>
    <w:pPr>
      <w:spacing w:before="100" w:beforeAutospacing="1" w:after="100" w:afterAutospacing="1"/>
    </w:pPr>
    <w:rPr>
      <w:sz w:val="24"/>
      <w:szCs w:val="24"/>
      <w:lang w:val="en-AU" w:eastAsia="en-AU"/>
    </w:rPr>
  </w:style>
  <w:style w:type="paragraph" w:customStyle="1" w:styleId="Table4X">
    <w:name w:val="Table 4.X"/>
    <w:basedOn w:val="Normal"/>
    <w:qFormat/>
    <w:rsid w:val="00714259"/>
    <w:pPr>
      <w:widowControl w:val="0"/>
      <w:numPr>
        <w:numId w:val="6"/>
      </w:numPr>
      <w:tabs>
        <w:tab w:val="left" w:pos="1304"/>
      </w:tabs>
      <w:spacing w:before="360" w:after="120"/>
    </w:pPr>
    <w:rPr>
      <w:rFonts w:ascii="Arial" w:hAnsi="Arial"/>
      <w:bCs/>
      <w:i/>
      <w:color w:val="4F4F4F"/>
      <w:kern w:val="28"/>
      <w:sz w:val="22"/>
      <w:szCs w:val="22"/>
    </w:rPr>
  </w:style>
  <w:style w:type="paragraph" w:customStyle="1" w:styleId="TableCX">
    <w:name w:val="Table C.X"/>
    <w:basedOn w:val="Normal"/>
    <w:qFormat/>
    <w:rsid w:val="00460113"/>
    <w:pPr>
      <w:widowControl w:val="0"/>
      <w:numPr>
        <w:numId w:val="15"/>
      </w:numPr>
      <w:spacing w:before="360" w:after="120"/>
    </w:pPr>
    <w:rPr>
      <w:rFonts w:ascii="Arial" w:hAnsi="Arial"/>
      <w:bCs/>
      <w:i/>
      <w:color w:val="4F4F4F"/>
      <w:kern w:val="28"/>
      <w:sz w:val="22"/>
      <w:szCs w:val="22"/>
      <w:lang w:val="en-AU"/>
    </w:rPr>
  </w:style>
  <w:style w:type="paragraph" w:customStyle="1" w:styleId="Tablefootnote">
    <w:name w:val="Table footnote"/>
    <w:basedOn w:val="Normal"/>
    <w:qFormat/>
    <w:rsid w:val="00714259"/>
    <w:pPr>
      <w:numPr>
        <w:numId w:val="7"/>
      </w:numPr>
    </w:pPr>
    <w:rPr>
      <w:rFonts w:ascii="Arial" w:hAnsi="Arial"/>
      <w:sz w:val="17"/>
    </w:rPr>
  </w:style>
  <w:style w:type="table" w:styleId="TableGrid">
    <w:name w:val="Table Grid"/>
    <w:basedOn w:val="TableNormal"/>
    <w:uiPriority w:val="59"/>
    <w:rsid w:val="007142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714259"/>
    <w:rPr>
      <w:lang w:val="en-AU"/>
    </w:rPr>
  </w:style>
  <w:style w:type="character" w:styleId="UnresolvedMention">
    <w:name w:val="Unresolved Mention"/>
    <w:basedOn w:val="DefaultParagraphFont"/>
    <w:uiPriority w:val="99"/>
    <w:rsid w:val="00714259"/>
    <w:rPr>
      <w:color w:val="605E5C"/>
      <w:shd w:val="clear" w:color="auto" w:fill="E1DFDD"/>
    </w:rPr>
  </w:style>
  <w:style w:type="paragraph" w:customStyle="1" w:styleId="Activitytexts">
    <w:name w:val="Activity texts"/>
    <w:basedOn w:val="Normal"/>
    <w:link w:val="ActivitytextsChar"/>
    <w:autoRedefine/>
    <w:rsid w:val="00597317"/>
    <w:pPr>
      <w:widowControl w:val="0"/>
      <w:tabs>
        <w:tab w:val="right" w:pos="3725"/>
        <w:tab w:val="right" w:pos="4689"/>
        <w:tab w:val="right" w:pos="6831"/>
        <w:tab w:val="right" w:pos="7937"/>
        <w:tab w:val="right" w:pos="9071"/>
      </w:tabs>
      <w:autoSpaceDE w:val="0"/>
      <w:autoSpaceDN w:val="0"/>
      <w:ind w:left="357" w:hanging="357"/>
    </w:pPr>
    <w:rPr>
      <w:rFonts w:ascii="Arial" w:hAnsi="Arial" w:cs="Arial"/>
      <w:noProof/>
      <w:sz w:val="15"/>
      <w:szCs w:val="18"/>
      <w:lang w:val="en-AU" w:eastAsia="en-AU"/>
    </w:rPr>
  </w:style>
  <w:style w:type="character" w:customStyle="1" w:styleId="ActivitytextsChar">
    <w:name w:val="Activity texts Char"/>
    <w:link w:val="Activitytexts"/>
    <w:rsid w:val="00597317"/>
    <w:rPr>
      <w:rFonts w:ascii="Arial" w:eastAsia="Times New Roman" w:hAnsi="Arial" w:cs="Arial"/>
      <w:noProof/>
      <w:sz w:val="15"/>
      <w:szCs w:val="18"/>
      <w:lang w:eastAsia="en-AU"/>
    </w:rPr>
  </w:style>
  <w:style w:type="character" w:styleId="Hyperlink">
    <w:name w:val="Hyperlink"/>
    <w:basedOn w:val="DefaultParagraphFont"/>
    <w:uiPriority w:val="99"/>
    <w:semiHidden/>
    <w:unhideWhenUsed/>
    <w:rsid w:val="001E3658"/>
    <w:rPr>
      <w:color w:val="0000FF"/>
      <w:u w:val="single"/>
    </w:rPr>
  </w:style>
  <w:style w:type="paragraph" w:customStyle="1" w:styleId="Bullet2">
    <w:name w:val="Bullet 2"/>
    <w:basedOn w:val="Bullet1"/>
    <w:rsid w:val="00460113"/>
    <w:pPr>
      <w:numPr>
        <w:numId w:val="13"/>
      </w:numPr>
      <w:tabs>
        <w:tab w:val="left" w:pos="851"/>
      </w:tabs>
      <w:spacing w:before="80" w:after="40"/>
    </w:pPr>
  </w:style>
  <w:style w:type="paragraph" w:customStyle="1" w:styleId="Bullet2inabox">
    <w:name w:val="Bullet 2 in a box"/>
    <w:basedOn w:val="Normal"/>
    <w:qFormat/>
    <w:rsid w:val="00460113"/>
    <w:pPr>
      <w:numPr>
        <w:numId w:val="14"/>
      </w:numPr>
      <w:spacing w:before="100" w:after="60" w:line="240" w:lineRule="atLeast"/>
    </w:pPr>
    <w:rPr>
      <w:rFonts w:ascii="Arial" w:hAnsi="Arial"/>
      <w:color w:val="008EBA"/>
      <w:sz w:val="23"/>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352089">
      <w:bodyDiv w:val="1"/>
      <w:marLeft w:val="0"/>
      <w:marRight w:val="0"/>
      <w:marTop w:val="0"/>
      <w:marBottom w:val="0"/>
      <w:divBdr>
        <w:top w:val="none" w:sz="0" w:space="0" w:color="auto"/>
        <w:left w:val="none" w:sz="0" w:space="0" w:color="auto"/>
        <w:bottom w:val="none" w:sz="0" w:space="0" w:color="auto"/>
        <w:right w:val="none" w:sz="0" w:space="0" w:color="auto"/>
      </w:divBdr>
    </w:div>
    <w:div w:id="1130125112">
      <w:bodyDiv w:val="1"/>
      <w:marLeft w:val="0"/>
      <w:marRight w:val="0"/>
      <w:marTop w:val="0"/>
      <w:marBottom w:val="0"/>
      <w:divBdr>
        <w:top w:val="none" w:sz="0" w:space="0" w:color="auto"/>
        <w:left w:val="none" w:sz="0" w:space="0" w:color="auto"/>
        <w:bottom w:val="none" w:sz="0" w:space="0" w:color="auto"/>
        <w:right w:val="none" w:sz="0" w:space="0" w:color="auto"/>
      </w:divBdr>
    </w:div>
    <w:div w:id="1221399723">
      <w:bodyDiv w:val="1"/>
      <w:marLeft w:val="0"/>
      <w:marRight w:val="0"/>
      <w:marTop w:val="0"/>
      <w:marBottom w:val="0"/>
      <w:divBdr>
        <w:top w:val="none" w:sz="0" w:space="0" w:color="auto"/>
        <w:left w:val="none" w:sz="0" w:space="0" w:color="auto"/>
        <w:bottom w:val="none" w:sz="0" w:space="0" w:color="auto"/>
        <w:right w:val="none" w:sz="0" w:space="0" w:color="auto"/>
      </w:divBdr>
    </w:div>
    <w:div w:id="160395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7" ma:contentTypeDescription="Create a new document." ma:contentTypeScope="" ma:versionID="5bdb7c5492d467c7d4ade4a81ae45d06">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51a87bb1aff1727bd16e3b1c51dcb72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c478e85-8130-4c67-8ee4-8bdf1c0e6049" xsi:nil="true"/>
    <SharedWithUsers xmlns="801a5968-9419-4033-b9de-7ffe8168468e">
      <UserInfo>
        <DisplayName>Jenny Merkley</DisplayName>
        <AccountId>56</AccountId>
        <AccountType/>
      </UserInfo>
      <UserInfo>
        <DisplayName>Richard Furmage</DisplayName>
        <AccountId>263</AccountId>
        <AccountType/>
      </UserInfo>
      <UserInfo>
        <DisplayName>Matt Greiss</DisplayName>
        <AccountId>143</AccountId>
        <AccountType/>
      </UserInfo>
      <UserInfo>
        <DisplayName>Scott Ellis</DisplayName>
        <AccountId>137</AccountId>
        <AccountType/>
      </UserInfo>
      <UserInfo>
        <DisplayName>Cassandra Wilkinson</DisplayName>
        <AccountId>159</AccountId>
        <AccountType/>
      </UserInfo>
      <UserInfo>
        <DisplayName>Kenna Ackley</DisplayName>
        <AccountId>483</AccountId>
        <AccountType/>
      </UserInfo>
      <UserInfo>
        <DisplayName>Hugh Wilson</DisplayName>
        <AccountId>1092</AccountId>
        <AccountType/>
      </UserInfo>
      <UserInfo>
        <DisplayName>Angela Kelly</DisplayName>
        <AccountId>273</AccountId>
        <AccountType/>
      </UserInfo>
      <UserInfo>
        <DisplayName>Stewart Walters</DisplayName>
        <AccountId>73</AccountId>
        <AccountType/>
      </UserInfo>
      <UserInfo>
        <DisplayName>Andy Hobbs</DisplayName>
        <AccountId>49</AccountId>
        <AccountType/>
      </UserInfo>
      <UserInfo>
        <DisplayName>Leanne Huynh</DisplayName>
        <AccountId>1595</AccountId>
        <AccountType/>
      </UserInfo>
      <UserInfo>
        <DisplayName>Mohammad Iqbal</DisplayName>
        <AccountId>115</AccountId>
        <AccountType/>
      </UserInfo>
      <UserInfo>
        <DisplayName>John Lynam</DisplayName>
        <AccountId>81</AccountId>
        <AccountType/>
      </UserInfo>
      <UserInfo>
        <DisplayName>Katherine Palmer</DisplayName>
        <AccountId>787</AccountId>
        <AccountType/>
      </UserInfo>
      <UserInfo>
        <DisplayName>Charlotte Alexander</DisplayName>
        <AccountId>757</AccountId>
        <AccountType/>
      </UserInfo>
      <UserInfo>
        <DisplayName>Peter Wade</DisplayName>
        <AccountId>1604</AccountId>
        <AccountType/>
      </UserInfo>
      <UserInfo>
        <DisplayName>Su-Lin Macdonald</DisplayName>
        <AccountId>533</AccountId>
        <AccountType/>
      </UserInfo>
      <UserInfo>
        <DisplayName>Cat Cywinski</DisplayName>
        <AccountId>2548</AccountId>
        <AccountType/>
      </UserInfo>
      <UserInfo>
        <DisplayName>Nic Tan</DisplayName>
        <AccountId>1843</AccountId>
        <AccountType/>
      </UserInfo>
      <UserInfo>
        <DisplayName>Miranda Lee</DisplayName>
        <AccountId>2822</AccountId>
        <AccountType/>
      </UserInfo>
      <UserInfo>
        <DisplayName>Hanh Tran</DisplayName>
        <AccountId>721</AccountId>
        <AccountType/>
      </UserInfo>
      <UserInfo>
        <DisplayName>Leo Mburu</DisplayName>
        <AccountId>2214</AccountId>
        <AccountType/>
      </UserInfo>
    </SharedWithUsers>
    <lcf76f155ced4ddcb4097134ff3c332f xmlns="1c478e85-8130-4c67-8ee4-8bdf1c0e6049">
      <Terms xmlns="http://schemas.microsoft.com/office/infopath/2007/PartnerControls"/>
    </lcf76f155ced4ddcb4097134ff3c332f>
    <TaxCatchAll xmlns="9f0ac7ce-5f57-4ea0-9af7-01d4f3f1cc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5E970-6ADA-4410-875A-2955EDDAD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4D48D9-A93B-4780-8A97-2D5AF0B63DA5}">
  <ds:schemaRefs>
    <ds:schemaRef ds:uri="http://schemas.microsoft.com/office/2006/metadata/properties"/>
    <ds:schemaRef ds:uri="http://schemas.microsoft.com/office/infopath/2007/PartnerControls"/>
    <ds:schemaRef ds:uri="1c478e85-8130-4c67-8ee4-8bdf1c0e6049"/>
    <ds:schemaRef ds:uri="801a5968-9419-4033-b9de-7ffe8168468e"/>
    <ds:schemaRef ds:uri="9f0ac7ce-5f57-4ea0-9af7-01d4f3f1ccae"/>
  </ds:schemaRefs>
</ds:datastoreItem>
</file>

<file path=customXml/itemProps3.xml><?xml version="1.0" encoding="utf-8"?>
<ds:datastoreItem xmlns:ds="http://schemas.openxmlformats.org/officeDocument/2006/customXml" ds:itemID="{41728060-B211-4B88-8644-61E04A5BCF06}">
  <ds:schemaRefs>
    <ds:schemaRef ds:uri="http://schemas.microsoft.com/sharepoint/v3/contenttype/forms"/>
  </ds:schemaRefs>
</ds:datastoreItem>
</file>

<file path=customXml/itemProps4.xml><?xml version="1.0" encoding="utf-8"?>
<ds:datastoreItem xmlns:ds="http://schemas.openxmlformats.org/officeDocument/2006/customXml" ds:itemID="{EDA5EB7C-4740-4320-BA13-5A23AA04D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1937</Words>
  <Characters>11041</Characters>
  <Application>Microsoft Office Word</Application>
  <DocSecurity>0</DocSecurity>
  <Lines>92</Lines>
  <Paragraphs>25</Paragraphs>
  <ScaleCrop>false</ScaleCrop>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Budget Paper No. 1 - Budget Statement - Appendix C - Contingent Assets and Liabilities</dc:title>
  <dc:subject/>
  <dc:creator>The Treasury</dc:creator>
  <cp:keywords/>
  <dc:description/>
  <cp:lastModifiedBy>Gordon Xu</cp:lastModifiedBy>
  <cp:revision>17</cp:revision>
  <cp:lastPrinted>2022-06-07T01:39:00Z</cp:lastPrinted>
  <dcterms:created xsi:type="dcterms:W3CDTF">2022-06-14T02:54:00Z</dcterms:created>
  <dcterms:modified xsi:type="dcterms:W3CDTF">2022-06-19T08:49:00Z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0x010100F02F16F1AFBDE54EBD2685E90FE1922F</vt:lpwstr>
  </property>
  <property fmtid="{D5CDD505-2E9C-101B-9397-08002B2CF9AE}" pid="3" name="MediaServiceImageTags">
    <vt:lpwstr/>
  </property>
</Properties>
</file>