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B431C" w14:textId="6F1FD171" w:rsidR="00C626D7" w:rsidRPr="00A903EA" w:rsidRDefault="0080467E" w:rsidP="00697B15">
      <w:pPr>
        <w:pStyle w:val="Heading1"/>
      </w:pPr>
      <w:r>
        <w:t>b.</w:t>
      </w:r>
      <w:r w:rsidR="00262768" w:rsidRPr="00CA7632">
        <w:tab/>
      </w:r>
      <w:r w:rsidR="00E26BF5" w:rsidRPr="00D47919">
        <w:t>Fiscal Risks and Budget Sensitivities</w:t>
      </w:r>
    </w:p>
    <w:p w14:paraId="3854BEC6" w14:textId="4B3ECF58" w:rsidR="00B37C56" w:rsidRDefault="007E307E" w:rsidP="00014449">
      <w:pPr>
        <w:pStyle w:val="BodyText"/>
      </w:pPr>
      <w:r>
        <w:t xml:space="preserve">The preparation of the 2023-24 Budget </w:t>
      </w:r>
      <w:r w:rsidR="00DF77B5">
        <w:t xml:space="preserve">is informed by </w:t>
      </w:r>
      <w:r>
        <w:t>a range of forecasts and assumptions that are inherently uncertain</w:t>
      </w:r>
      <w:r w:rsidR="00823AE4">
        <w:t xml:space="preserve">. </w:t>
      </w:r>
      <w:r w:rsidR="00B37C56">
        <w:t>This Appendix provide</w:t>
      </w:r>
      <w:r w:rsidR="00BC78C0">
        <w:t>s</w:t>
      </w:r>
      <w:r w:rsidR="00B37C56">
        <w:t xml:space="preserve"> </w:t>
      </w:r>
      <w:r w:rsidR="00DB138D">
        <w:t>insight</w:t>
      </w:r>
      <w:r w:rsidR="00C86320">
        <w:t xml:space="preserve"> into</w:t>
      </w:r>
      <w:r w:rsidR="00B37C56" w:rsidDel="00C86320">
        <w:t xml:space="preserve"> </w:t>
      </w:r>
      <w:r w:rsidR="00B37C56">
        <w:t xml:space="preserve">potential fiscal risks </w:t>
      </w:r>
      <w:r w:rsidR="001C2D6E">
        <w:t>and budget sensitivities</w:t>
      </w:r>
      <w:r w:rsidR="00B37C56">
        <w:t xml:space="preserve"> </w:t>
      </w:r>
      <w:r w:rsidR="00745B87">
        <w:t xml:space="preserve">that cannot be determined with sufficient certainty to be incorporated into the Budget. </w:t>
      </w:r>
    </w:p>
    <w:p w14:paraId="7C0CC9D1" w14:textId="301FEE69" w:rsidR="004A5182" w:rsidRDefault="004A5182" w:rsidP="00014449">
      <w:pPr>
        <w:pStyle w:val="BodyText"/>
      </w:pPr>
      <w:r>
        <w:t xml:space="preserve">The </w:t>
      </w:r>
      <w:r w:rsidR="00167757">
        <w:t>Appendix does not</w:t>
      </w:r>
      <w:r w:rsidR="00B3585E">
        <w:t xml:space="preserve"> consider </w:t>
      </w:r>
      <w:r>
        <w:t xml:space="preserve">the </w:t>
      </w:r>
      <w:r w:rsidR="00B3585E">
        <w:t>policy</w:t>
      </w:r>
      <w:r>
        <w:t xml:space="preserve"> </w:t>
      </w:r>
      <w:r w:rsidR="00167757">
        <w:t>risks</w:t>
      </w:r>
      <w:r>
        <w:t xml:space="preserve"> associated with future extensions or changes to </w:t>
      </w:r>
      <w:r w:rsidR="006A1868">
        <w:t xml:space="preserve">financial </w:t>
      </w:r>
      <w:r>
        <w:t xml:space="preserve">decisions </w:t>
      </w:r>
      <w:r w:rsidR="0097044B">
        <w:t xml:space="preserve">made </w:t>
      </w:r>
      <w:r w:rsidR="00B3585E">
        <w:t xml:space="preserve">by the New South Wales Government </w:t>
      </w:r>
      <w:r>
        <w:t>or the Australian Government.</w:t>
      </w:r>
    </w:p>
    <w:p w14:paraId="650D5A88" w14:textId="07E72F49" w:rsidR="00650CF8" w:rsidRPr="004D2D27" w:rsidRDefault="00650CF8" w:rsidP="006B6116">
      <w:pPr>
        <w:pStyle w:val="B1Heading2"/>
      </w:pPr>
      <w:bookmarkStart w:id="0" w:name="_Hlk516140952"/>
      <w:r>
        <w:t>Operating statement</w:t>
      </w:r>
      <w:r w:rsidRPr="004D2D27">
        <w:t xml:space="preserve"> risks</w:t>
      </w:r>
      <w:r>
        <w:t xml:space="preserve"> and </w:t>
      </w:r>
      <w:proofErr w:type="gramStart"/>
      <w:r w:rsidRPr="00334198">
        <w:t>sensitivities</w:t>
      </w:r>
      <w:proofErr w:type="gramEnd"/>
    </w:p>
    <w:bookmarkEnd w:id="0"/>
    <w:p w14:paraId="4C56EE12" w14:textId="77777777" w:rsidR="00650CF8" w:rsidRPr="00A21502" w:rsidRDefault="00650CF8" w:rsidP="00A033B6">
      <w:pPr>
        <w:pStyle w:val="Heading3"/>
      </w:pPr>
      <w:r>
        <w:t>State taxation revenue</w:t>
      </w:r>
    </w:p>
    <w:p w14:paraId="4BE06CF7" w14:textId="7D2915A7" w:rsidR="00D712F3" w:rsidRDefault="00D712F3" w:rsidP="00014449">
      <w:pPr>
        <w:pStyle w:val="BodyText"/>
      </w:pPr>
      <w:r>
        <w:t>The state of the economy affects the level of tax collected. Changes in a range of macroeconomic drivers – from property sale</w:t>
      </w:r>
      <w:r w:rsidR="003221C4">
        <w:t>s</w:t>
      </w:r>
      <w:r>
        <w:t xml:space="preserve"> volumes and prices to employment levels and wage growth – can lead to major changes in the level of tax collected, </w:t>
      </w:r>
      <w:proofErr w:type="gramStart"/>
      <w:r>
        <w:t>increasing</w:t>
      </w:r>
      <w:proofErr w:type="gramEnd"/>
      <w:r>
        <w:t xml:space="preserve"> or decreasing government revenues accordingly. </w:t>
      </w:r>
    </w:p>
    <w:p w14:paraId="7BC113A6" w14:textId="60BAC494" w:rsidR="00D712F3" w:rsidRDefault="00AF473F" w:rsidP="00014449">
      <w:pPr>
        <w:pStyle w:val="BodyText"/>
      </w:pPr>
      <w:r>
        <w:t xml:space="preserve">NSW Treasury’s </w:t>
      </w:r>
      <w:r w:rsidR="00D712F3">
        <w:t xml:space="preserve">own forecast assumptions for key macroeconomic variables across the </w:t>
      </w:r>
      <w:r w:rsidR="00BD59EB">
        <w:t>b</w:t>
      </w:r>
      <w:r w:rsidR="00D712F3">
        <w:t>udget and forward estimates (as set out in Table B.1 below) are used to inform the revenue forecasts.</w:t>
      </w:r>
    </w:p>
    <w:p w14:paraId="65099943" w14:textId="1D452249" w:rsidR="00650CF8" w:rsidRPr="00B81463" w:rsidRDefault="00D712F3" w:rsidP="00014449">
      <w:pPr>
        <w:pStyle w:val="BodyText"/>
        <w:rPr>
          <w:rFonts w:eastAsia="Arial"/>
        </w:rPr>
      </w:pPr>
      <w:r>
        <w:t>The forecasts prepared for the Budget are based on the latest available information. These forecasts are predictions about the future and the actual results may change as unknown events unfold. The extent of the variation will depend on the weighting accorded to each macroeconomic variable when forecasting the tax in question. Table B.1 summarises these weightings.</w:t>
      </w:r>
    </w:p>
    <w:p w14:paraId="3C499C2C" w14:textId="77777777" w:rsidR="00650CF8" w:rsidRDefault="00650CF8" w:rsidP="0024246B">
      <w:pPr>
        <w:pStyle w:val="TableBX"/>
      </w:pPr>
      <w:r w:rsidRPr="5BBA932E">
        <w:t>Forecasting revenue –</w:t>
      </w:r>
      <w:r>
        <w:t xml:space="preserve"> W</w:t>
      </w:r>
      <w:r w:rsidRPr="5BBA932E">
        <w:t>hat</w:t>
      </w:r>
      <w:r>
        <w:t xml:space="preserve"> weighting </w:t>
      </w:r>
      <w:r w:rsidRPr="5BBA932E">
        <w:t xml:space="preserve">is </w:t>
      </w:r>
      <w:r>
        <w:t xml:space="preserve">given to </w:t>
      </w:r>
      <w:r w:rsidRPr="5BBA932E">
        <w:t>different</w:t>
      </w:r>
      <w:r>
        <w:t xml:space="preserve"> </w:t>
      </w:r>
      <w:proofErr w:type="gramStart"/>
      <w:r>
        <w:t>variables</w:t>
      </w:r>
      <w:proofErr w:type="gramEnd"/>
    </w:p>
    <w:tbl>
      <w:tblPr>
        <w:tblW w:w="9923" w:type="dxa"/>
        <w:tblLayout w:type="fixed"/>
        <w:tblLook w:val="06A0" w:firstRow="1" w:lastRow="0" w:firstColumn="1" w:lastColumn="0" w:noHBand="1" w:noVBand="1"/>
        <w:tblCaption w:val="Table B.1: Forecasting revenue – What weighting is given to different variables"/>
        <w:tblDescription w:val="Table B.1: Forecasting revenue – What weighting is given to different variables"/>
      </w:tblPr>
      <w:tblGrid>
        <w:gridCol w:w="1701"/>
        <w:gridCol w:w="1013"/>
        <w:gridCol w:w="1154"/>
        <w:gridCol w:w="1154"/>
        <w:gridCol w:w="1155"/>
        <w:gridCol w:w="1154"/>
        <w:gridCol w:w="1154"/>
        <w:gridCol w:w="1438"/>
      </w:tblGrid>
      <w:tr w:rsidR="00E711EC" w:rsidRPr="00E711EC" w14:paraId="7768D830" w14:textId="77777777" w:rsidTr="00146A09">
        <w:trPr>
          <w:trHeight w:val="283"/>
        </w:trPr>
        <w:tc>
          <w:tcPr>
            <w:tcW w:w="1701" w:type="dxa"/>
            <w:shd w:val="clear" w:color="auto" w:fill="EBEBEB"/>
          </w:tcPr>
          <w:p w14:paraId="6EF90EFC" w14:textId="77777777" w:rsidR="00650CF8" w:rsidRPr="00E711EC" w:rsidRDefault="00650CF8" w:rsidP="00703770">
            <w:pPr>
              <w:rPr>
                <w:rFonts w:ascii="Public Sans" w:eastAsia="Arial" w:hAnsi="Public Sans" w:cs="Arial"/>
                <w:sz w:val="18"/>
                <w:szCs w:val="18"/>
              </w:rPr>
            </w:pPr>
          </w:p>
        </w:tc>
        <w:tc>
          <w:tcPr>
            <w:tcW w:w="8222" w:type="dxa"/>
            <w:gridSpan w:val="7"/>
            <w:shd w:val="clear" w:color="auto" w:fill="EBEBEB"/>
            <w:vAlign w:val="bottom"/>
          </w:tcPr>
          <w:p w14:paraId="63C0D2EE" w14:textId="77777777" w:rsidR="00650CF8" w:rsidRPr="00E711EC" w:rsidRDefault="00650CF8" w:rsidP="00146A09">
            <w:pPr>
              <w:jc w:val="center"/>
              <w:rPr>
                <w:rFonts w:ascii="Public Sans" w:eastAsia="Arial" w:hAnsi="Public Sans" w:cs="Arial"/>
                <w:sz w:val="18"/>
                <w:szCs w:val="18"/>
              </w:rPr>
            </w:pPr>
            <w:r w:rsidRPr="00E711EC">
              <w:rPr>
                <w:rFonts w:ascii="Public Sans" w:eastAsia="Arial" w:hAnsi="Public Sans" w:cs="Arial"/>
                <w:sz w:val="18"/>
                <w:szCs w:val="18"/>
              </w:rPr>
              <w:t>Forecast weightings</w:t>
            </w:r>
          </w:p>
        </w:tc>
      </w:tr>
      <w:tr w:rsidR="00E711EC" w:rsidRPr="00E711EC" w14:paraId="0805CD10" w14:textId="77777777" w:rsidTr="00E97692">
        <w:trPr>
          <w:trHeight w:val="454"/>
        </w:trPr>
        <w:tc>
          <w:tcPr>
            <w:tcW w:w="1701" w:type="dxa"/>
            <w:shd w:val="clear" w:color="auto" w:fill="EBEBEB"/>
            <w:vAlign w:val="bottom"/>
          </w:tcPr>
          <w:p w14:paraId="0C3AA094" w14:textId="2F1AB96E" w:rsidR="00650CF8" w:rsidRPr="00E711EC" w:rsidRDefault="00650CF8" w:rsidP="0062255E">
            <w:pPr>
              <w:jc w:val="center"/>
              <w:rPr>
                <w:rFonts w:ascii="Public Sans" w:hAnsi="Public Sans"/>
                <w:sz w:val="18"/>
                <w:szCs w:val="18"/>
              </w:rPr>
            </w:pPr>
          </w:p>
        </w:tc>
        <w:tc>
          <w:tcPr>
            <w:tcW w:w="1013" w:type="dxa"/>
            <w:shd w:val="clear" w:color="auto" w:fill="EBEBEB"/>
            <w:vAlign w:val="center"/>
          </w:tcPr>
          <w:p w14:paraId="402EFA0C" w14:textId="77777777" w:rsidR="00650CF8" w:rsidRPr="00E711EC" w:rsidRDefault="00650CF8" w:rsidP="00E97692">
            <w:pPr>
              <w:jc w:val="center"/>
              <w:rPr>
                <w:rFonts w:ascii="Public Sans" w:eastAsia="Arial" w:hAnsi="Public Sans" w:cs="Arial"/>
                <w:sz w:val="18"/>
                <w:szCs w:val="18"/>
              </w:rPr>
            </w:pPr>
            <w:r w:rsidRPr="00E711EC">
              <w:rPr>
                <w:rFonts w:ascii="Public Sans" w:eastAsia="Arial" w:hAnsi="Public Sans" w:cs="Arial"/>
                <w:sz w:val="18"/>
                <w:szCs w:val="18"/>
              </w:rPr>
              <w:t>GST</w:t>
            </w:r>
          </w:p>
        </w:tc>
        <w:tc>
          <w:tcPr>
            <w:tcW w:w="1154" w:type="dxa"/>
            <w:shd w:val="clear" w:color="auto" w:fill="EBEBEB"/>
            <w:vAlign w:val="center"/>
          </w:tcPr>
          <w:p w14:paraId="653B859C" w14:textId="77777777" w:rsidR="00650CF8" w:rsidRPr="00E711EC" w:rsidRDefault="00650CF8" w:rsidP="00E97692">
            <w:pPr>
              <w:jc w:val="center"/>
              <w:rPr>
                <w:rFonts w:ascii="Public Sans" w:eastAsia="Arial" w:hAnsi="Public Sans" w:cs="Arial"/>
                <w:sz w:val="18"/>
                <w:szCs w:val="18"/>
              </w:rPr>
            </w:pPr>
            <w:r w:rsidRPr="00E711EC">
              <w:rPr>
                <w:rFonts w:ascii="Public Sans" w:eastAsia="Arial" w:hAnsi="Public Sans" w:cs="Arial"/>
                <w:sz w:val="18"/>
                <w:szCs w:val="18"/>
              </w:rPr>
              <w:t>Payroll tax</w:t>
            </w:r>
          </w:p>
        </w:tc>
        <w:tc>
          <w:tcPr>
            <w:tcW w:w="1154" w:type="dxa"/>
            <w:shd w:val="clear" w:color="auto" w:fill="EBEBEB"/>
            <w:vAlign w:val="center"/>
          </w:tcPr>
          <w:p w14:paraId="3781970D" w14:textId="77777777" w:rsidR="00650CF8" w:rsidRPr="00E711EC" w:rsidRDefault="00650CF8" w:rsidP="00E97692">
            <w:pPr>
              <w:jc w:val="center"/>
              <w:rPr>
                <w:rFonts w:ascii="Public Sans" w:eastAsia="Arial" w:hAnsi="Public Sans" w:cs="Arial"/>
                <w:sz w:val="18"/>
                <w:szCs w:val="18"/>
              </w:rPr>
            </w:pPr>
            <w:r w:rsidRPr="00E711EC">
              <w:rPr>
                <w:rFonts w:ascii="Public Sans" w:eastAsia="Arial" w:hAnsi="Public Sans" w:cs="Arial"/>
                <w:sz w:val="18"/>
                <w:szCs w:val="18"/>
              </w:rPr>
              <w:t>Transfer duty</w:t>
            </w:r>
          </w:p>
        </w:tc>
        <w:tc>
          <w:tcPr>
            <w:tcW w:w="1155" w:type="dxa"/>
            <w:shd w:val="clear" w:color="auto" w:fill="EBEBEB"/>
            <w:vAlign w:val="center"/>
          </w:tcPr>
          <w:p w14:paraId="018C9E5A" w14:textId="77777777" w:rsidR="00650CF8" w:rsidRPr="00E711EC" w:rsidRDefault="00650CF8" w:rsidP="00E97692">
            <w:pPr>
              <w:jc w:val="center"/>
              <w:rPr>
                <w:rFonts w:ascii="Public Sans" w:eastAsia="Arial" w:hAnsi="Public Sans" w:cs="Arial"/>
                <w:sz w:val="18"/>
                <w:szCs w:val="18"/>
              </w:rPr>
            </w:pPr>
            <w:r w:rsidRPr="00E711EC">
              <w:rPr>
                <w:rFonts w:ascii="Public Sans" w:eastAsia="Arial" w:hAnsi="Public Sans" w:cs="Arial"/>
                <w:sz w:val="18"/>
                <w:szCs w:val="18"/>
              </w:rPr>
              <w:t>Mineral royalties</w:t>
            </w:r>
          </w:p>
        </w:tc>
        <w:tc>
          <w:tcPr>
            <w:tcW w:w="1154" w:type="dxa"/>
            <w:shd w:val="clear" w:color="auto" w:fill="EBEBEB"/>
            <w:vAlign w:val="center"/>
          </w:tcPr>
          <w:p w14:paraId="0AA380E5" w14:textId="77777777" w:rsidR="00650CF8" w:rsidRPr="00E711EC" w:rsidRDefault="00650CF8" w:rsidP="00E97692">
            <w:pPr>
              <w:jc w:val="center"/>
              <w:rPr>
                <w:rFonts w:ascii="Public Sans" w:eastAsia="Arial" w:hAnsi="Public Sans" w:cs="Arial"/>
                <w:sz w:val="18"/>
                <w:szCs w:val="18"/>
              </w:rPr>
            </w:pPr>
            <w:r w:rsidRPr="00E711EC">
              <w:rPr>
                <w:rFonts w:ascii="Public Sans" w:eastAsia="Arial" w:hAnsi="Public Sans" w:cs="Arial"/>
                <w:sz w:val="18"/>
                <w:szCs w:val="18"/>
              </w:rPr>
              <w:t>Land tax</w:t>
            </w:r>
          </w:p>
        </w:tc>
        <w:tc>
          <w:tcPr>
            <w:tcW w:w="1154" w:type="dxa"/>
            <w:shd w:val="clear" w:color="auto" w:fill="EBEBEB"/>
            <w:vAlign w:val="center"/>
          </w:tcPr>
          <w:p w14:paraId="3D948C63" w14:textId="77777777" w:rsidR="00650CF8" w:rsidRPr="00E711EC" w:rsidRDefault="00650CF8" w:rsidP="00E97692">
            <w:pPr>
              <w:jc w:val="center"/>
              <w:rPr>
                <w:rFonts w:ascii="Public Sans" w:eastAsia="Arial" w:hAnsi="Public Sans" w:cs="Arial"/>
                <w:sz w:val="18"/>
                <w:szCs w:val="18"/>
              </w:rPr>
            </w:pPr>
            <w:r w:rsidRPr="00E711EC">
              <w:rPr>
                <w:rFonts w:ascii="Public Sans" w:eastAsia="Arial" w:hAnsi="Public Sans" w:cs="Arial"/>
                <w:sz w:val="18"/>
                <w:szCs w:val="18"/>
              </w:rPr>
              <w:t>Gambling taxes</w:t>
            </w:r>
          </w:p>
        </w:tc>
        <w:tc>
          <w:tcPr>
            <w:tcW w:w="1438" w:type="dxa"/>
            <w:shd w:val="clear" w:color="auto" w:fill="EBEBEB"/>
            <w:vAlign w:val="center"/>
          </w:tcPr>
          <w:p w14:paraId="06DA83FA" w14:textId="77777777" w:rsidR="00650CF8" w:rsidRPr="00E711EC" w:rsidRDefault="00650CF8" w:rsidP="00E97692">
            <w:pPr>
              <w:jc w:val="center"/>
              <w:rPr>
                <w:rFonts w:ascii="Public Sans" w:eastAsia="Arial" w:hAnsi="Public Sans" w:cs="Arial"/>
                <w:sz w:val="18"/>
                <w:szCs w:val="18"/>
              </w:rPr>
            </w:pPr>
            <w:r w:rsidRPr="00E711EC">
              <w:rPr>
                <w:rFonts w:ascii="Public Sans" w:eastAsia="Arial" w:hAnsi="Public Sans" w:cs="Arial"/>
                <w:sz w:val="18"/>
                <w:szCs w:val="18"/>
              </w:rPr>
              <w:t>Motor vehicle taxes</w:t>
            </w:r>
          </w:p>
        </w:tc>
      </w:tr>
      <w:tr w:rsidR="00650CF8" w:rsidRPr="00D0081E" w14:paraId="380F8DA1" w14:textId="77777777" w:rsidTr="00D0081E">
        <w:trPr>
          <w:trHeight w:val="283"/>
        </w:trPr>
        <w:tc>
          <w:tcPr>
            <w:tcW w:w="1701" w:type="dxa"/>
            <w:vAlign w:val="center"/>
          </w:tcPr>
          <w:p w14:paraId="61989DFA" w14:textId="77777777" w:rsidR="00650CF8" w:rsidRPr="00D0081E" w:rsidRDefault="00650CF8" w:rsidP="00D0081E">
            <w:pPr>
              <w:ind w:right="-113"/>
              <w:rPr>
                <w:rFonts w:ascii="Public Sans" w:hAnsi="Public Sans" w:cs="Arial"/>
                <w:sz w:val="16"/>
                <w:szCs w:val="16"/>
              </w:rPr>
            </w:pPr>
            <w:r w:rsidRPr="00D0081E">
              <w:rPr>
                <w:rFonts w:ascii="Public Sans" w:eastAsia="Arial" w:hAnsi="Public Sans" w:cs="Arial"/>
                <w:sz w:val="16"/>
                <w:szCs w:val="16"/>
              </w:rPr>
              <w:t>Employment</w:t>
            </w:r>
          </w:p>
        </w:tc>
        <w:tc>
          <w:tcPr>
            <w:tcW w:w="1013" w:type="dxa"/>
            <w:vAlign w:val="center"/>
          </w:tcPr>
          <w:p w14:paraId="36F15E61" w14:textId="77777777" w:rsidR="00650CF8" w:rsidRPr="00D0081E" w:rsidRDefault="00650CF8" w:rsidP="00703770">
            <w:pPr>
              <w:jc w:val="center"/>
              <w:rPr>
                <w:rFonts w:ascii="Public Sans" w:eastAsia="Arial" w:hAnsi="Public Sans" w:cs="Arial"/>
                <w:sz w:val="16"/>
                <w:szCs w:val="16"/>
              </w:rPr>
            </w:pPr>
            <w:r w:rsidRPr="00D0081E">
              <w:rPr>
                <w:rFonts w:ascii="Public Sans" w:eastAsia="Arial" w:hAnsi="Public Sans" w:cs="Arial"/>
                <w:sz w:val="16"/>
                <w:szCs w:val="16"/>
              </w:rPr>
              <w:t>Medium</w:t>
            </w:r>
          </w:p>
        </w:tc>
        <w:tc>
          <w:tcPr>
            <w:tcW w:w="1154" w:type="dxa"/>
            <w:vAlign w:val="center"/>
          </w:tcPr>
          <w:p w14:paraId="64BE91EB" w14:textId="77777777" w:rsidR="00650CF8" w:rsidRPr="00D0081E" w:rsidRDefault="00650CF8" w:rsidP="00703770">
            <w:pPr>
              <w:jc w:val="center"/>
              <w:rPr>
                <w:rFonts w:ascii="Public Sans" w:eastAsia="Arial" w:hAnsi="Public Sans" w:cs="Arial"/>
                <w:sz w:val="16"/>
                <w:szCs w:val="16"/>
              </w:rPr>
            </w:pPr>
            <w:r w:rsidRPr="00D0081E">
              <w:rPr>
                <w:rFonts w:ascii="Public Sans" w:eastAsia="Arial" w:hAnsi="Public Sans" w:cs="Arial"/>
                <w:sz w:val="16"/>
                <w:szCs w:val="16"/>
              </w:rPr>
              <w:t>High</w:t>
            </w:r>
          </w:p>
        </w:tc>
        <w:tc>
          <w:tcPr>
            <w:tcW w:w="1154" w:type="dxa"/>
            <w:vAlign w:val="center"/>
          </w:tcPr>
          <w:p w14:paraId="7DF0C6AC" w14:textId="77777777" w:rsidR="00650CF8" w:rsidRPr="00D0081E" w:rsidRDefault="00650CF8" w:rsidP="00703770">
            <w:pPr>
              <w:jc w:val="center"/>
              <w:rPr>
                <w:rFonts w:ascii="Public Sans" w:eastAsia="Arial" w:hAnsi="Public Sans" w:cs="Arial"/>
                <w:sz w:val="16"/>
                <w:szCs w:val="16"/>
              </w:rPr>
            </w:pPr>
            <w:r w:rsidRPr="00D0081E">
              <w:rPr>
                <w:rFonts w:ascii="Public Sans" w:eastAsia="Arial" w:hAnsi="Public Sans" w:cs="Arial"/>
                <w:sz w:val="16"/>
                <w:szCs w:val="16"/>
              </w:rPr>
              <w:t>N/A</w:t>
            </w:r>
          </w:p>
        </w:tc>
        <w:tc>
          <w:tcPr>
            <w:tcW w:w="1155" w:type="dxa"/>
            <w:vAlign w:val="center"/>
          </w:tcPr>
          <w:p w14:paraId="1902C0AE" w14:textId="77777777" w:rsidR="00650CF8" w:rsidRPr="00D0081E" w:rsidRDefault="00650CF8" w:rsidP="00703770">
            <w:pPr>
              <w:jc w:val="center"/>
              <w:rPr>
                <w:rFonts w:ascii="Public Sans" w:eastAsia="Calibri" w:hAnsi="Public Sans" w:cs="Arial"/>
                <w:sz w:val="16"/>
                <w:szCs w:val="16"/>
              </w:rPr>
            </w:pPr>
            <w:r w:rsidRPr="00D0081E">
              <w:rPr>
                <w:rFonts w:ascii="Public Sans" w:eastAsia="Arial" w:hAnsi="Public Sans" w:cs="Arial"/>
                <w:sz w:val="16"/>
                <w:szCs w:val="16"/>
              </w:rPr>
              <w:t>N</w:t>
            </w:r>
            <w:r w:rsidRPr="00D0081E">
              <w:rPr>
                <w:rFonts w:ascii="Public Sans" w:eastAsia="Calibri" w:hAnsi="Public Sans" w:cs="Arial"/>
                <w:sz w:val="16"/>
                <w:szCs w:val="16"/>
              </w:rPr>
              <w:t>/A</w:t>
            </w:r>
          </w:p>
        </w:tc>
        <w:tc>
          <w:tcPr>
            <w:tcW w:w="1154" w:type="dxa"/>
            <w:vAlign w:val="center"/>
          </w:tcPr>
          <w:p w14:paraId="19A680FF" w14:textId="77777777" w:rsidR="00650CF8" w:rsidRPr="00D0081E" w:rsidRDefault="00650CF8" w:rsidP="00703770">
            <w:pPr>
              <w:jc w:val="center"/>
              <w:rPr>
                <w:rFonts w:ascii="Public Sans" w:eastAsia="Arial" w:hAnsi="Public Sans" w:cs="Arial"/>
                <w:sz w:val="16"/>
                <w:szCs w:val="16"/>
              </w:rPr>
            </w:pPr>
            <w:r w:rsidRPr="00D0081E">
              <w:rPr>
                <w:rFonts w:ascii="Public Sans" w:eastAsia="Arial" w:hAnsi="Public Sans" w:cs="Arial"/>
                <w:sz w:val="16"/>
                <w:szCs w:val="16"/>
              </w:rPr>
              <w:t>N/A</w:t>
            </w:r>
          </w:p>
        </w:tc>
        <w:tc>
          <w:tcPr>
            <w:tcW w:w="1154" w:type="dxa"/>
            <w:vAlign w:val="center"/>
          </w:tcPr>
          <w:p w14:paraId="23AF6971" w14:textId="77777777" w:rsidR="00650CF8" w:rsidRPr="00D0081E" w:rsidRDefault="00650CF8" w:rsidP="00703770">
            <w:pPr>
              <w:jc w:val="center"/>
              <w:rPr>
                <w:rFonts w:ascii="Public Sans" w:eastAsia="Arial" w:hAnsi="Public Sans" w:cs="Arial"/>
                <w:sz w:val="16"/>
                <w:szCs w:val="16"/>
              </w:rPr>
            </w:pPr>
            <w:r w:rsidRPr="00D0081E">
              <w:rPr>
                <w:rFonts w:ascii="Public Sans" w:eastAsia="Arial" w:hAnsi="Public Sans" w:cs="Arial"/>
                <w:sz w:val="16"/>
                <w:szCs w:val="16"/>
              </w:rPr>
              <w:t>Medium</w:t>
            </w:r>
          </w:p>
        </w:tc>
        <w:tc>
          <w:tcPr>
            <w:tcW w:w="1438" w:type="dxa"/>
            <w:vAlign w:val="center"/>
          </w:tcPr>
          <w:p w14:paraId="1B6CCD60" w14:textId="77777777" w:rsidR="00650CF8" w:rsidRPr="00D0081E" w:rsidRDefault="00650CF8" w:rsidP="00703770">
            <w:pPr>
              <w:jc w:val="center"/>
              <w:rPr>
                <w:rFonts w:ascii="Public Sans" w:eastAsia="Arial" w:hAnsi="Public Sans" w:cs="Arial"/>
                <w:sz w:val="16"/>
                <w:szCs w:val="16"/>
              </w:rPr>
            </w:pPr>
            <w:r w:rsidRPr="00D0081E">
              <w:rPr>
                <w:rFonts w:ascii="Public Sans" w:eastAsia="Arial" w:hAnsi="Public Sans" w:cs="Arial"/>
                <w:sz w:val="16"/>
                <w:szCs w:val="16"/>
              </w:rPr>
              <w:t>High</w:t>
            </w:r>
          </w:p>
        </w:tc>
      </w:tr>
      <w:tr w:rsidR="00650CF8" w:rsidRPr="00D0081E" w14:paraId="25031857" w14:textId="77777777" w:rsidTr="00D0081E">
        <w:trPr>
          <w:trHeight w:val="283"/>
        </w:trPr>
        <w:tc>
          <w:tcPr>
            <w:tcW w:w="1701" w:type="dxa"/>
            <w:vAlign w:val="center"/>
          </w:tcPr>
          <w:p w14:paraId="47B92457" w14:textId="77777777" w:rsidR="00650CF8" w:rsidRPr="00D0081E" w:rsidRDefault="00650CF8" w:rsidP="00D0081E">
            <w:pPr>
              <w:ind w:right="-113"/>
              <w:rPr>
                <w:rFonts w:ascii="Public Sans" w:hAnsi="Public Sans" w:cs="Arial"/>
                <w:sz w:val="16"/>
                <w:szCs w:val="16"/>
              </w:rPr>
            </w:pPr>
            <w:r w:rsidRPr="00D0081E">
              <w:rPr>
                <w:rFonts w:ascii="Public Sans" w:eastAsia="Arial" w:hAnsi="Public Sans" w:cs="Arial"/>
                <w:sz w:val="16"/>
                <w:szCs w:val="16"/>
              </w:rPr>
              <w:t>Wages</w:t>
            </w:r>
          </w:p>
        </w:tc>
        <w:tc>
          <w:tcPr>
            <w:tcW w:w="1013" w:type="dxa"/>
            <w:vAlign w:val="center"/>
          </w:tcPr>
          <w:p w14:paraId="24B4090E" w14:textId="77777777" w:rsidR="00650CF8" w:rsidRPr="00D0081E" w:rsidRDefault="00650CF8" w:rsidP="00703770">
            <w:pPr>
              <w:jc w:val="center"/>
              <w:rPr>
                <w:rFonts w:ascii="Public Sans" w:eastAsia="Arial" w:hAnsi="Public Sans" w:cs="Arial"/>
                <w:sz w:val="16"/>
                <w:szCs w:val="16"/>
              </w:rPr>
            </w:pPr>
            <w:r w:rsidRPr="00D0081E">
              <w:rPr>
                <w:rFonts w:ascii="Public Sans" w:eastAsia="Arial" w:hAnsi="Public Sans" w:cs="Arial"/>
                <w:sz w:val="16"/>
                <w:szCs w:val="16"/>
              </w:rPr>
              <w:t>Medium</w:t>
            </w:r>
          </w:p>
        </w:tc>
        <w:tc>
          <w:tcPr>
            <w:tcW w:w="1154" w:type="dxa"/>
            <w:vAlign w:val="center"/>
          </w:tcPr>
          <w:p w14:paraId="29CC23B2" w14:textId="77777777" w:rsidR="00650CF8" w:rsidRPr="00D0081E" w:rsidRDefault="00650CF8" w:rsidP="00703770">
            <w:pPr>
              <w:jc w:val="center"/>
              <w:rPr>
                <w:rFonts w:ascii="Public Sans" w:eastAsia="Arial" w:hAnsi="Public Sans" w:cs="Arial"/>
                <w:sz w:val="16"/>
                <w:szCs w:val="16"/>
              </w:rPr>
            </w:pPr>
            <w:r w:rsidRPr="00D0081E">
              <w:rPr>
                <w:rFonts w:ascii="Public Sans" w:eastAsia="Arial" w:hAnsi="Public Sans" w:cs="Arial"/>
                <w:sz w:val="16"/>
                <w:szCs w:val="16"/>
              </w:rPr>
              <w:t>High</w:t>
            </w:r>
          </w:p>
        </w:tc>
        <w:tc>
          <w:tcPr>
            <w:tcW w:w="1154" w:type="dxa"/>
            <w:vAlign w:val="center"/>
          </w:tcPr>
          <w:p w14:paraId="178233B1" w14:textId="77777777" w:rsidR="00650CF8" w:rsidRPr="00D0081E" w:rsidRDefault="00650CF8" w:rsidP="00703770">
            <w:pPr>
              <w:jc w:val="center"/>
              <w:rPr>
                <w:rFonts w:ascii="Public Sans" w:eastAsia="Arial" w:hAnsi="Public Sans" w:cs="Arial"/>
                <w:sz w:val="16"/>
                <w:szCs w:val="16"/>
              </w:rPr>
            </w:pPr>
            <w:r w:rsidRPr="00D0081E">
              <w:rPr>
                <w:rFonts w:ascii="Public Sans" w:eastAsia="Arial" w:hAnsi="Public Sans" w:cs="Arial"/>
                <w:sz w:val="16"/>
                <w:szCs w:val="16"/>
              </w:rPr>
              <w:t>N/A</w:t>
            </w:r>
          </w:p>
        </w:tc>
        <w:tc>
          <w:tcPr>
            <w:tcW w:w="1155" w:type="dxa"/>
            <w:vAlign w:val="center"/>
          </w:tcPr>
          <w:p w14:paraId="7905C079" w14:textId="77777777" w:rsidR="00650CF8" w:rsidRPr="00D0081E" w:rsidRDefault="00650CF8" w:rsidP="00703770">
            <w:pPr>
              <w:jc w:val="center"/>
              <w:rPr>
                <w:rFonts w:ascii="Public Sans" w:eastAsia="Calibri" w:hAnsi="Public Sans" w:cs="Arial"/>
                <w:sz w:val="16"/>
                <w:szCs w:val="16"/>
              </w:rPr>
            </w:pPr>
            <w:r w:rsidRPr="00D0081E">
              <w:rPr>
                <w:rFonts w:ascii="Public Sans" w:eastAsia="Arial" w:hAnsi="Public Sans" w:cs="Arial"/>
                <w:sz w:val="16"/>
                <w:szCs w:val="16"/>
              </w:rPr>
              <w:t>N</w:t>
            </w:r>
            <w:r w:rsidRPr="00D0081E">
              <w:rPr>
                <w:rFonts w:ascii="Public Sans" w:eastAsia="Calibri" w:hAnsi="Public Sans" w:cs="Arial"/>
                <w:sz w:val="16"/>
                <w:szCs w:val="16"/>
              </w:rPr>
              <w:t>/A</w:t>
            </w:r>
          </w:p>
        </w:tc>
        <w:tc>
          <w:tcPr>
            <w:tcW w:w="1154" w:type="dxa"/>
            <w:vAlign w:val="center"/>
          </w:tcPr>
          <w:p w14:paraId="6CB5E47B" w14:textId="77777777" w:rsidR="00650CF8" w:rsidRPr="00D0081E" w:rsidRDefault="00650CF8" w:rsidP="00703770">
            <w:pPr>
              <w:jc w:val="center"/>
              <w:rPr>
                <w:rFonts w:ascii="Public Sans" w:eastAsia="Arial" w:hAnsi="Public Sans" w:cs="Arial"/>
                <w:sz w:val="16"/>
                <w:szCs w:val="16"/>
              </w:rPr>
            </w:pPr>
            <w:r w:rsidRPr="00D0081E">
              <w:rPr>
                <w:rFonts w:ascii="Public Sans" w:eastAsia="Arial" w:hAnsi="Public Sans" w:cs="Arial"/>
                <w:sz w:val="16"/>
                <w:szCs w:val="16"/>
              </w:rPr>
              <w:t>N/A</w:t>
            </w:r>
          </w:p>
        </w:tc>
        <w:tc>
          <w:tcPr>
            <w:tcW w:w="1154" w:type="dxa"/>
            <w:vAlign w:val="center"/>
          </w:tcPr>
          <w:p w14:paraId="190B2CB6" w14:textId="77777777" w:rsidR="00650CF8" w:rsidRPr="00D0081E" w:rsidRDefault="00650CF8" w:rsidP="00703770">
            <w:pPr>
              <w:jc w:val="center"/>
              <w:rPr>
                <w:rFonts w:ascii="Public Sans" w:eastAsia="Arial" w:hAnsi="Public Sans" w:cs="Arial"/>
                <w:sz w:val="16"/>
                <w:szCs w:val="16"/>
              </w:rPr>
            </w:pPr>
            <w:r w:rsidRPr="00D0081E">
              <w:rPr>
                <w:rFonts w:ascii="Public Sans" w:eastAsia="Arial" w:hAnsi="Public Sans" w:cs="Arial"/>
                <w:sz w:val="16"/>
                <w:szCs w:val="16"/>
              </w:rPr>
              <w:t>Medium</w:t>
            </w:r>
          </w:p>
        </w:tc>
        <w:tc>
          <w:tcPr>
            <w:tcW w:w="1438" w:type="dxa"/>
            <w:vAlign w:val="center"/>
          </w:tcPr>
          <w:p w14:paraId="5CBEF67E" w14:textId="77777777" w:rsidR="00650CF8" w:rsidRPr="00D0081E" w:rsidRDefault="00650CF8" w:rsidP="00703770">
            <w:pPr>
              <w:jc w:val="center"/>
              <w:rPr>
                <w:rFonts w:ascii="Public Sans" w:eastAsia="Arial" w:hAnsi="Public Sans" w:cs="Arial"/>
                <w:sz w:val="16"/>
                <w:szCs w:val="16"/>
              </w:rPr>
            </w:pPr>
            <w:r w:rsidRPr="00D0081E">
              <w:rPr>
                <w:rFonts w:ascii="Public Sans" w:eastAsia="Arial" w:hAnsi="Public Sans" w:cs="Arial"/>
                <w:sz w:val="16"/>
                <w:szCs w:val="16"/>
              </w:rPr>
              <w:t>Medium</w:t>
            </w:r>
          </w:p>
        </w:tc>
      </w:tr>
      <w:tr w:rsidR="00650CF8" w:rsidRPr="00D0081E" w14:paraId="01D69D69" w14:textId="77777777" w:rsidTr="00D0081E">
        <w:trPr>
          <w:trHeight w:val="283"/>
        </w:trPr>
        <w:tc>
          <w:tcPr>
            <w:tcW w:w="1701" w:type="dxa"/>
            <w:vAlign w:val="center"/>
          </w:tcPr>
          <w:p w14:paraId="02C98FE9" w14:textId="77777777" w:rsidR="00650CF8" w:rsidRPr="00D0081E" w:rsidRDefault="00650CF8" w:rsidP="00D0081E">
            <w:pPr>
              <w:ind w:right="-113"/>
              <w:rPr>
                <w:rFonts w:ascii="Public Sans" w:hAnsi="Public Sans" w:cs="Arial"/>
                <w:sz w:val="16"/>
                <w:szCs w:val="16"/>
              </w:rPr>
            </w:pPr>
            <w:r w:rsidRPr="00D0081E">
              <w:rPr>
                <w:rFonts w:ascii="Public Sans" w:eastAsia="Arial" w:hAnsi="Public Sans" w:cs="Arial"/>
                <w:sz w:val="16"/>
                <w:szCs w:val="16"/>
              </w:rPr>
              <w:t>Consumption</w:t>
            </w:r>
          </w:p>
        </w:tc>
        <w:tc>
          <w:tcPr>
            <w:tcW w:w="1013" w:type="dxa"/>
            <w:vAlign w:val="center"/>
          </w:tcPr>
          <w:p w14:paraId="09A28A01" w14:textId="77777777" w:rsidR="00650CF8" w:rsidRPr="00D0081E" w:rsidRDefault="00650CF8" w:rsidP="00703770">
            <w:pPr>
              <w:jc w:val="center"/>
              <w:rPr>
                <w:rFonts w:ascii="Public Sans" w:eastAsia="Arial" w:hAnsi="Public Sans" w:cs="Arial"/>
                <w:sz w:val="16"/>
                <w:szCs w:val="16"/>
              </w:rPr>
            </w:pPr>
            <w:r w:rsidRPr="00D0081E">
              <w:rPr>
                <w:rFonts w:ascii="Public Sans" w:eastAsia="Arial" w:hAnsi="Public Sans" w:cs="Arial"/>
                <w:sz w:val="16"/>
                <w:szCs w:val="16"/>
              </w:rPr>
              <w:t>High</w:t>
            </w:r>
          </w:p>
        </w:tc>
        <w:tc>
          <w:tcPr>
            <w:tcW w:w="1154" w:type="dxa"/>
            <w:vAlign w:val="center"/>
          </w:tcPr>
          <w:p w14:paraId="3B951039" w14:textId="77777777" w:rsidR="00650CF8" w:rsidRPr="00D0081E" w:rsidRDefault="00650CF8" w:rsidP="00703770">
            <w:pPr>
              <w:jc w:val="center"/>
              <w:rPr>
                <w:rFonts w:ascii="Public Sans" w:eastAsia="Calibri" w:hAnsi="Public Sans" w:cs="Arial"/>
                <w:sz w:val="16"/>
                <w:szCs w:val="16"/>
              </w:rPr>
            </w:pPr>
            <w:r w:rsidRPr="00D0081E">
              <w:rPr>
                <w:rFonts w:ascii="Public Sans" w:eastAsia="Arial" w:hAnsi="Public Sans" w:cs="Arial"/>
                <w:sz w:val="16"/>
                <w:szCs w:val="16"/>
              </w:rPr>
              <w:t>N</w:t>
            </w:r>
            <w:r w:rsidRPr="00D0081E">
              <w:rPr>
                <w:rFonts w:ascii="Public Sans" w:eastAsia="Calibri" w:hAnsi="Public Sans" w:cs="Arial"/>
                <w:sz w:val="16"/>
                <w:szCs w:val="16"/>
              </w:rPr>
              <w:t>/A</w:t>
            </w:r>
          </w:p>
        </w:tc>
        <w:tc>
          <w:tcPr>
            <w:tcW w:w="1154" w:type="dxa"/>
            <w:vAlign w:val="center"/>
          </w:tcPr>
          <w:p w14:paraId="609C2C98" w14:textId="77777777" w:rsidR="00650CF8" w:rsidRPr="00D0081E" w:rsidRDefault="00650CF8" w:rsidP="00703770">
            <w:pPr>
              <w:jc w:val="center"/>
              <w:rPr>
                <w:rFonts w:ascii="Public Sans" w:eastAsia="Arial" w:hAnsi="Public Sans" w:cs="Arial"/>
                <w:sz w:val="16"/>
                <w:szCs w:val="16"/>
              </w:rPr>
            </w:pPr>
            <w:r w:rsidRPr="00D0081E">
              <w:rPr>
                <w:rFonts w:ascii="Public Sans" w:eastAsia="Arial" w:hAnsi="Public Sans" w:cs="Arial"/>
                <w:sz w:val="16"/>
                <w:szCs w:val="16"/>
              </w:rPr>
              <w:t>N/A</w:t>
            </w:r>
          </w:p>
        </w:tc>
        <w:tc>
          <w:tcPr>
            <w:tcW w:w="1155" w:type="dxa"/>
            <w:vAlign w:val="center"/>
          </w:tcPr>
          <w:p w14:paraId="6267A23A" w14:textId="77777777" w:rsidR="00650CF8" w:rsidRPr="00D0081E" w:rsidRDefault="00650CF8" w:rsidP="00703770">
            <w:pPr>
              <w:jc w:val="center"/>
              <w:rPr>
                <w:rFonts w:ascii="Public Sans" w:eastAsia="Calibri" w:hAnsi="Public Sans" w:cs="Arial"/>
                <w:sz w:val="16"/>
                <w:szCs w:val="16"/>
              </w:rPr>
            </w:pPr>
            <w:r w:rsidRPr="00D0081E">
              <w:rPr>
                <w:rFonts w:ascii="Public Sans" w:eastAsia="Arial" w:hAnsi="Public Sans" w:cs="Arial"/>
                <w:sz w:val="16"/>
                <w:szCs w:val="16"/>
              </w:rPr>
              <w:t>N</w:t>
            </w:r>
            <w:r w:rsidRPr="00D0081E">
              <w:rPr>
                <w:rFonts w:ascii="Public Sans" w:eastAsia="Calibri" w:hAnsi="Public Sans" w:cs="Arial"/>
                <w:sz w:val="16"/>
                <w:szCs w:val="16"/>
              </w:rPr>
              <w:t>/A</w:t>
            </w:r>
          </w:p>
        </w:tc>
        <w:tc>
          <w:tcPr>
            <w:tcW w:w="1154" w:type="dxa"/>
            <w:vAlign w:val="center"/>
          </w:tcPr>
          <w:p w14:paraId="3CC77133" w14:textId="77777777" w:rsidR="00650CF8" w:rsidRPr="00D0081E" w:rsidRDefault="00650CF8" w:rsidP="00703770">
            <w:pPr>
              <w:jc w:val="center"/>
              <w:rPr>
                <w:rFonts w:ascii="Public Sans" w:eastAsia="Arial" w:hAnsi="Public Sans" w:cs="Arial"/>
                <w:sz w:val="16"/>
                <w:szCs w:val="16"/>
              </w:rPr>
            </w:pPr>
            <w:r w:rsidRPr="00D0081E">
              <w:rPr>
                <w:rFonts w:ascii="Public Sans" w:eastAsia="Arial" w:hAnsi="Public Sans" w:cs="Arial"/>
                <w:sz w:val="16"/>
                <w:szCs w:val="16"/>
              </w:rPr>
              <w:t>N/A</w:t>
            </w:r>
          </w:p>
        </w:tc>
        <w:tc>
          <w:tcPr>
            <w:tcW w:w="1154" w:type="dxa"/>
            <w:vAlign w:val="center"/>
          </w:tcPr>
          <w:p w14:paraId="4A4E7B1B" w14:textId="77777777" w:rsidR="00650CF8" w:rsidRPr="00D0081E" w:rsidRDefault="00650CF8" w:rsidP="00703770">
            <w:pPr>
              <w:jc w:val="center"/>
              <w:rPr>
                <w:rFonts w:ascii="Public Sans" w:eastAsia="Arial" w:hAnsi="Public Sans" w:cs="Arial"/>
                <w:sz w:val="16"/>
                <w:szCs w:val="16"/>
              </w:rPr>
            </w:pPr>
            <w:r w:rsidRPr="00D0081E">
              <w:rPr>
                <w:rFonts w:ascii="Public Sans" w:eastAsia="Arial" w:hAnsi="Public Sans" w:cs="Arial"/>
                <w:sz w:val="16"/>
                <w:szCs w:val="16"/>
              </w:rPr>
              <w:t>High</w:t>
            </w:r>
          </w:p>
        </w:tc>
        <w:tc>
          <w:tcPr>
            <w:tcW w:w="1438" w:type="dxa"/>
            <w:vAlign w:val="center"/>
          </w:tcPr>
          <w:p w14:paraId="3FD5A2E2" w14:textId="77777777" w:rsidR="00650CF8" w:rsidRPr="00D0081E" w:rsidRDefault="00650CF8" w:rsidP="00703770">
            <w:pPr>
              <w:jc w:val="center"/>
              <w:rPr>
                <w:rFonts w:ascii="Public Sans" w:eastAsia="Arial" w:hAnsi="Public Sans" w:cs="Arial"/>
                <w:sz w:val="16"/>
                <w:szCs w:val="16"/>
              </w:rPr>
            </w:pPr>
            <w:r w:rsidRPr="00D0081E">
              <w:rPr>
                <w:rFonts w:ascii="Public Sans" w:eastAsia="Arial" w:hAnsi="Public Sans" w:cs="Arial"/>
                <w:sz w:val="16"/>
                <w:szCs w:val="16"/>
              </w:rPr>
              <w:t>Medium</w:t>
            </w:r>
          </w:p>
        </w:tc>
      </w:tr>
      <w:tr w:rsidR="00650CF8" w:rsidRPr="00D0081E" w14:paraId="65E55381" w14:textId="77777777" w:rsidTr="00D0081E">
        <w:trPr>
          <w:trHeight w:val="283"/>
        </w:trPr>
        <w:tc>
          <w:tcPr>
            <w:tcW w:w="1701" w:type="dxa"/>
            <w:vAlign w:val="center"/>
          </w:tcPr>
          <w:p w14:paraId="21616870" w14:textId="77777777" w:rsidR="00650CF8" w:rsidRPr="00D0081E" w:rsidRDefault="00650CF8" w:rsidP="00D0081E">
            <w:pPr>
              <w:ind w:right="-113"/>
              <w:rPr>
                <w:rFonts w:ascii="Public Sans" w:hAnsi="Public Sans" w:cs="Arial"/>
                <w:sz w:val="16"/>
                <w:szCs w:val="16"/>
              </w:rPr>
            </w:pPr>
            <w:r w:rsidRPr="00D0081E">
              <w:rPr>
                <w:rFonts w:ascii="Public Sans" w:eastAsia="Arial" w:hAnsi="Public Sans" w:cs="Arial"/>
                <w:sz w:val="16"/>
                <w:szCs w:val="16"/>
              </w:rPr>
              <w:t>Dwelling investment</w:t>
            </w:r>
          </w:p>
        </w:tc>
        <w:tc>
          <w:tcPr>
            <w:tcW w:w="1013" w:type="dxa"/>
            <w:vAlign w:val="center"/>
          </w:tcPr>
          <w:p w14:paraId="30F0595F" w14:textId="77777777" w:rsidR="00650CF8" w:rsidRPr="00D0081E" w:rsidRDefault="00650CF8" w:rsidP="00703770">
            <w:pPr>
              <w:jc w:val="center"/>
              <w:rPr>
                <w:rFonts w:ascii="Public Sans" w:eastAsia="Arial" w:hAnsi="Public Sans" w:cs="Arial"/>
                <w:sz w:val="16"/>
                <w:szCs w:val="16"/>
              </w:rPr>
            </w:pPr>
            <w:r w:rsidRPr="00D0081E">
              <w:rPr>
                <w:rFonts w:ascii="Public Sans" w:eastAsia="Arial" w:hAnsi="Public Sans" w:cs="Arial"/>
                <w:sz w:val="16"/>
                <w:szCs w:val="16"/>
              </w:rPr>
              <w:t>High</w:t>
            </w:r>
          </w:p>
        </w:tc>
        <w:tc>
          <w:tcPr>
            <w:tcW w:w="1154" w:type="dxa"/>
            <w:vAlign w:val="center"/>
          </w:tcPr>
          <w:p w14:paraId="0FA16356" w14:textId="77777777" w:rsidR="00650CF8" w:rsidRPr="00D0081E" w:rsidRDefault="00650CF8" w:rsidP="00703770">
            <w:pPr>
              <w:jc w:val="center"/>
              <w:rPr>
                <w:rFonts w:ascii="Public Sans" w:eastAsia="Calibri" w:hAnsi="Public Sans" w:cs="Arial"/>
                <w:sz w:val="16"/>
                <w:szCs w:val="16"/>
              </w:rPr>
            </w:pPr>
            <w:r w:rsidRPr="00D0081E">
              <w:rPr>
                <w:rFonts w:ascii="Public Sans" w:eastAsia="Arial" w:hAnsi="Public Sans" w:cs="Arial"/>
                <w:sz w:val="16"/>
                <w:szCs w:val="16"/>
              </w:rPr>
              <w:t>N</w:t>
            </w:r>
            <w:r w:rsidRPr="00D0081E">
              <w:rPr>
                <w:rFonts w:ascii="Public Sans" w:eastAsia="Calibri" w:hAnsi="Public Sans" w:cs="Arial"/>
                <w:sz w:val="16"/>
                <w:szCs w:val="16"/>
              </w:rPr>
              <w:t>/A</w:t>
            </w:r>
          </w:p>
        </w:tc>
        <w:tc>
          <w:tcPr>
            <w:tcW w:w="1154" w:type="dxa"/>
            <w:vAlign w:val="center"/>
          </w:tcPr>
          <w:p w14:paraId="3D6C9B35" w14:textId="77777777" w:rsidR="00650CF8" w:rsidRPr="00D0081E" w:rsidRDefault="00650CF8" w:rsidP="00703770">
            <w:pPr>
              <w:jc w:val="center"/>
              <w:rPr>
                <w:rFonts w:ascii="Public Sans" w:eastAsia="Arial" w:hAnsi="Public Sans" w:cs="Arial"/>
                <w:sz w:val="16"/>
                <w:szCs w:val="16"/>
              </w:rPr>
            </w:pPr>
            <w:r w:rsidRPr="00D0081E">
              <w:rPr>
                <w:rFonts w:ascii="Public Sans" w:eastAsia="Arial" w:hAnsi="Public Sans" w:cs="Arial"/>
                <w:sz w:val="16"/>
                <w:szCs w:val="16"/>
              </w:rPr>
              <w:t>Medium</w:t>
            </w:r>
          </w:p>
        </w:tc>
        <w:tc>
          <w:tcPr>
            <w:tcW w:w="1155" w:type="dxa"/>
            <w:vAlign w:val="center"/>
          </w:tcPr>
          <w:p w14:paraId="0A8B063E" w14:textId="77777777" w:rsidR="00650CF8" w:rsidRPr="00D0081E" w:rsidRDefault="00650CF8" w:rsidP="00703770">
            <w:pPr>
              <w:jc w:val="center"/>
              <w:rPr>
                <w:rFonts w:ascii="Public Sans" w:eastAsia="Calibri" w:hAnsi="Public Sans" w:cs="Arial"/>
                <w:sz w:val="16"/>
                <w:szCs w:val="16"/>
              </w:rPr>
            </w:pPr>
            <w:r w:rsidRPr="00D0081E">
              <w:rPr>
                <w:rFonts w:ascii="Public Sans" w:eastAsia="Arial" w:hAnsi="Public Sans" w:cs="Arial"/>
                <w:sz w:val="16"/>
                <w:szCs w:val="16"/>
              </w:rPr>
              <w:t>N</w:t>
            </w:r>
            <w:r w:rsidRPr="00D0081E">
              <w:rPr>
                <w:rFonts w:ascii="Public Sans" w:eastAsia="Calibri" w:hAnsi="Public Sans" w:cs="Arial"/>
                <w:sz w:val="16"/>
                <w:szCs w:val="16"/>
              </w:rPr>
              <w:t>/A</w:t>
            </w:r>
          </w:p>
        </w:tc>
        <w:tc>
          <w:tcPr>
            <w:tcW w:w="1154" w:type="dxa"/>
            <w:vAlign w:val="center"/>
          </w:tcPr>
          <w:p w14:paraId="127B1EAA" w14:textId="77777777" w:rsidR="00650CF8" w:rsidRPr="00D0081E" w:rsidRDefault="00650CF8" w:rsidP="00703770">
            <w:pPr>
              <w:jc w:val="center"/>
              <w:rPr>
                <w:rFonts w:ascii="Public Sans" w:eastAsia="Arial" w:hAnsi="Public Sans" w:cs="Arial"/>
                <w:sz w:val="16"/>
                <w:szCs w:val="16"/>
              </w:rPr>
            </w:pPr>
            <w:r w:rsidRPr="00D0081E">
              <w:rPr>
                <w:rFonts w:ascii="Public Sans" w:eastAsia="Arial" w:hAnsi="Public Sans" w:cs="Arial"/>
                <w:sz w:val="16"/>
                <w:szCs w:val="16"/>
              </w:rPr>
              <w:t>N/A</w:t>
            </w:r>
          </w:p>
        </w:tc>
        <w:tc>
          <w:tcPr>
            <w:tcW w:w="1154" w:type="dxa"/>
            <w:vAlign w:val="center"/>
          </w:tcPr>
          <w:p w14:paraId="185424B2" w14:textId="77777777" w:rsidR="00650CF8" w:rsidRPr="00D0081E" w:rsidRDefault="00650CF8" w:rsidP="00703770">
            <w:pPr>
              <w:jc w:val="center"/>
              <w:rPr>
                <w:rFonts w:ascii="Public Sans" w:eastAsia="Arial" w:hAnsi="Public Sans" w:cs="Arial"/>
                <w:sz w:val="16"/>
                <w:szCs w:val="16"/>
              </w:rPr>
            </w:pPr>
            <w:r w:rsidRPr="00D0081E">
              <w:rPr>
                <w:rFonts w:ascii="Public Sans" w:eastAsia="Arial" w:hAnsi="Public Sans" w:cs="Arial"/>
                <w:sz w:val="16"/>
                <w:szCs w:val="16"/>
              </w:rPr>
              <w:t>N/A</w:t>
            </w:r>
          </w:p>
        </w:tc>
        <w:tc>
          <w:tcPr>
            <w:tcW w:w="1438" w:type="dxa"/>
            <w:vAlign w:val="center"/>
          </w:tcPr>
          <w:p w14:paraId="6F107855" w14:textId="77777777" w:rsidR="00650CF8" w:rsidRPr="00D0081E" w:rsidRDefault="00650CF8" w:rsidP="00703770">
            <w:pPr>
              <w:jc w:val="center"/>
              <w:rPr>
                <w:rFonts w:ascii="Public Sans" w:eastAsia="Arial" w:hAnsi="Public Sans" w:cs="Arial"/>
                <w:sz w:val="16"/>
                <w:szCs w:val="16"/>
              </w:rPr>
            </w:pPr>
            <w:r w:rsidRPr="00D0081E">
              <w:rPr>
                <w:rFonts w:ascii="Public Sans" w:eastAsia="Arial" w:hAnsi="Public Sans" w:cs="Arial"/>
                <w:sz w:val="16"/>
                <w:szCs w:val="16"/>
              </w:rPr>
              <w:t>N/A</w:t>
            </w:r>
          </w:p>
        </w:tc>
      </w:tr>
      <w:tr w:rsidR="00650CF8" w:rsidRPr="00D0081E" w14:paraId="465CA073" w14:textId="77777777" w:rsidTr="00D0081E">
        <w:trPr>
          <w:trHeight w:val="283"/>
        </w:trPr>
        <w:tc>
          <w:tcPr>
            <w:tcW w:w="1701" w:type="dxa"/>
            <w:vAlign w:val="center"/>
          </w:tcPr>
          <w:p w14:paraId="29C17B2B" w14:textId="77777777" w:rsidR="00650CF8" w:rsidRPr="00D0081E" w:rsidRDefault="00650CF8" w:rsidP="00D0081E">
            <w:pPr>
              <w:ind w:right="-113"/>
              <w:rPr>
                <w:rFonts w:ascii="Public Sans" w:hAnsi="Public Sans" w:cs="Arial"/>
                <w:sz w:val="16"/>
                <w:szCs w:val="16"/>
              </w:rPr>
            </w:pPr>
            <w:r w:rsidRPr="00D0081E">
              <w:rPr>
                <w:rFonts w:ascii="Public Sans" w:eastAsia="Arial" w:hAnsi="Public Sans" w:cs="Arial"/>
                <w:sz w:val="16"/>
                <w:szCs w:val="16"/>
              </w:rPr>
              <w:t>Dwelling prices</w:t>
            </w:r>
          </w:p>
        </w:tc>
        <w:tc>
          <w:tcPr>
            <w:tcW w:w="1013" w:type="dxa"/>
            <w:vAlign w:val="center"/>
          </w:tcPr>
          <w:p w14:paraId="7E9EEB65" w14:textId="77777777" w:rsidR="00650CF8" w:rsidRPr="00D0081E" w:rsidRDefault="00650CF8" w:rsidP="00703770">
            <w:pPr>
              <w:jc w:val="center"/>
              <w:rPr>
                <w:rFonts w:ascii="Public Sans" w:eastAsia="Arial" w:hAnsi="Public Sans" w:cs="Arial"/>
                <w:sz w:val="16"/>
                <w:szCs w:val="16"/>
              </w:rPr>
            </w:pPr>
            <w:r w:rsidRPr="00D0081E">
              <w:rPr>
                <w:rFonts w:ascii="Public Sans" w:eastAsia="Arial" w:hAnsi="Public Sans" w:cs="Arial"/>
                <w:sz w:val="16"/>
                <w:szCs w:val="16"/>
              </w:rPr>
              <w:t>Low</w:t>
            </w:r>
          </w:p>
        </w:tc>
        <w:tc>
          <w:tcPr>
            <w:tcW w:w="1154" w:type="dxa"/>
            <w:vAlign w:val="center"/>
          </w:tcPr>
          <w:p w14:paraId="31B98C89" w14:textId="77777777" w:rsidR="00650CF8" w:rsidRPr="00D0081E" w:rsidRDefault="00650CF8" w:rsidP="00703770">
            <w:pPr>
              <w:jc w:val="center"/>
              <w:rPr>
                <w:rFonts w:ascii="Public Sans" w:eastAsia="Calibri" w:hAnsi="Public Sans" w:cs="Arial"/>
                <w:sz w:val="16"/>
                <w:szCs w:val="16"/>
              </w:rPr>
            </w:pPr>
            <w:r w:rsidRPr="00D0081E">
              <w:rPr>
                <w:rFonts w:ascii="Public Sans" w:eastAsia="Arial" w:hAnsi="Public Sans" w:cs="Arial"/>
                <w:sz w:val="16"/>
                <w:szCs w:val="16"/>
              </w:rPr>
              <w:t>N</w:t>
            </w:r>
            <w:r w:rsidRPr="00D0081E">
              <w:rPr>
                <w:rFonts w:ascii="Public Sans" w:eastAsia="Calibri" w:hAnsi="Public Sans" w:cs="Arial"/>
                <w:sz w:val="16"/>
                <w:szCs w:val="16"/>
              </w:rPr>
              <w:t>/A</w:t>
            </w:r>
          </w:p>
        </w:tc>
        <w:tc>
          <w:tcPr>
            <w:tcW w:w="1154" w:type="dxa"/>
            <w:vAlign w:val="center"/>
          </w:tcPr>
          <w:p w14:paraId="36512D93" w14:textId="77777777" w:rsidR="00650CF8" w:rsidRPr="00D0081E" w:rsidRDefault="00650CF8" w:rsidP="00703770">
            <w:pPr>
              <w:jc w:val="center"/>
              <w:rPr>
                <w:rFonts w:ascii="Public Sans" w:eastAsia="Arial" w:hAnsi="Public Sans" w:cs="Arial"/>
                <w:sz w:val="16"/>
                <w:szCs w:val="16"/>
              </w:rPr>
            </w:pPr>
            <w:r w:rsidRPr="00D0081E">
              <w:rPr>
                <w:rFonts w:ascii="Public Sans" w:eastAsia="Arial" w:hAnsi="Public Sans" w:cs="Arial"/>
                <w:sz w:val="16"/>
                <w:szCs w:val="16"/>
              </w:rPr>
              <w:t>High</w:t>
            </w:r>
          </w:p>
        </w:tc>
        <w:tc>
          <w:tcPr>
            <w:tcW w:w="1155" w:type="dxa"/>
            <w:vAlign w:val="center"/>
          </w:tcPr>
          <w:p w14:paraId="634E3705" w14:textId="77777777" w:rsidR="00650CF8" w:rsidRPr="00D0081E" w:rsidRDefault="00650CF8" w:rsidP="00703770">
            <w:pPr>
              <w:jc w:val="center"/>
              <w:rPr>
                <w:rFonts w:ascii="Public Sans" w:eastAsia="Calibri" w:hAnsi="Public Sans" w:cs="Arial"/>
                <w:sz w:val="16"/>
                <w:szCs w:val="16"/>
              </w:rPr>
            </w:pPr>
            <w:r w:rsidRPr="00D0081E">
              <w:rPr>
                <w:rFonts w:ascii="Public Sans" w:eastAsia="Arial" w:hAnsi="Public Sans" w:cs="Arial"/>
                <w:sz w:val="16"/>
                <w:szCs w:val="16"/>
              </w:rPr>
              <w:t>N</w:t>
            </w:r>
            <w:r w:rsidRPr="00D0081E">
              <w:rPr>
                <w:rFonts w:ascii="Public Sans" w:eastAsia="Calibri" w:hAnsi="Public Sans" w:cs="Arial"/>
                <w:sz w:val="16"/>
                <w:szCs w:val="16"/>
              </w:rPr>
              <w:t>/A</w:t>
            </w:r>
          </w:p>
        </w:tc>
        <w:tc>
          <w:tcPr>
            <w:tcW w:w="1154" w:type="dxa"/>
            <w:vAlign w:val="center"/>
          </w:tcPr>
          <w:p w14:paraId="4AA193C2" w14:textId="77777777" w:rsidR="00650CF8" w:rsidRPr="00D0081E" w:rsidRDefault="00650CF8" w:rsidP="00703770">
            <w:pPr>
              <w:jc w:val="center"/>
              <w:rPr>
                <w:rFonts w:ascii="Public Sans" w:eastAsia="Arial" w:hAnsi="Public Sans" w:cs="Arial"/>
                <w:sz w:val="16"/>
                <w:szCs w:val="16"/>
              </w:rPr>
            </w:pPr>
            <w:r w:rsidRPr="00D0081E">
              <w:rPr>
                <w:rFonts w:ascii="Public Sans" w:eastAsia="Arial" w:hAnsi="Public Sans" w:cs="Arial"/>
                <w:sz w:val="16"/>
                <w:szCs w:val="16"/>
              </w:rPr>
              <w:t>High</w:t>
            </w:r>
          </w:p>
        </w:tc>
        <w:tc>
          <w:tcPr>
            <w:tcW w:w="1154" w:type="dxa"/>
            <w:vAlign w:val="center"/>
          </w:tcPr>
          <w:p w14:paraId="33AE4442" w14:textId="77777777" w:rsidR="00650CF8" w:rsidRPr="00D0081E" w:rsidRDefault="00650CF8" w:rsidP="00703770">
            <w:pPr>
              <w:jc w:val="center"/>
              <w:rPr>
                <w:rFonts w:ascii="Public Sans" w:eastAsia="Arial" w:hAnsi="Public Sans" w:cs="Arial"/>
                <w:sz w:val="16"/>
                <w:szCs w:val="16"/>
              </w:rPr>
            </w:pPr>
            <w:r w:rsidRPr="00D0081E">
              <w:rPr>
                <w:rFonts w:ascii="Public Sans" w:eastAsia="Arial" w:hAnsi="Public Sans" w:cs="Arial"/>
                <w:sz w:val="16"/>
                <w:szCs w:val="16"/>
              </w:rPr>
              <w:t>N/A</w:t>
            </w:r>
          </w:p>
        </w:tc>
        <w:tc>
          <w:tcPr>
            <w:tcW w:w="1438" w:type="dxa"/>
            <w:vAlign w:val="center"/>
          </w:tcPr>
          <w:p w14:paraId="3F7D5618" w14:textId="77777777" w:rsidR="00650CF8" w:rsidRPr="00D0081E" w:rsidRDefault="00650CF8" w:rsidP="00703770">
            <w:pPr>
              <w:jc w:val="center"/>
              <w:rPr>
                <w:rFonts w:ascii="Public Sans" w:eastAsia="Arial" w:hAnsi="Public Sans" w:cs="Arial"/>
                <w:sz w:val="16"/>
                <w:szCs w:val="16"/>
              </w:rPr>
            </w:pPr>
            <w:r w:rsidRPr="00D0081E">
              <w:rPr>
                <w:rFonts w:ascii="Public Sans" w:eastAsia="Arial" w:hAnsi="Public Sans" w:cs="Arial"/>
                <w:sz w:val="16"/>
                <w:szCs w:val="16"/>
              </w:rPr>
              <w:t>Medium</w:t>
            </w:r>
          </w:p>
        </w:tc>
      </w:tr>
      <w:tr w:rsidR="00650CF8" w:rsidRPr="00D0081E" w14:paraId="1567FB32" w14:textId="77777777" w:rsidTr="00D0081E">
        <w:trPr>
          <w:trHeight w:val="283"/>
        </w:trPr>
        <w:tc>
          <w:tcPr>
            <w:tcW w:w="1701" w:type="dxa"/>
            <w:vAlign w:val="center"/>
          </w:tcPr>
          <w:p w14:paraId="6A842B6D" w14:textId="77777777" w:rsidR="00650CF8" w:rsidRPr="00D0081E" w:rsidRDefault="00650CF8" w:rsidP="00D0081E">
            <w:pPr>
              <w:ind w:right="-113"/>
              <w:rPr>
                <w:rFonts w:ascii="Public Sans" w:hAnsi="Public Sans" w:cs="Arial"/>
                <w:sz w:val="16"/>
                <w:szCs w:val="16"/>
              </w:rPr>
            </w:pPr>
            <w:r w:rsidRPr="00D0081E">
              <w:rPr>
                <w:rFonts w:ascii="Public Sans" w:eastAsia="Arial" w:hAnsi="Public Sans" w:cs="Arial"/>
                <w:sz w:val="16"/>
                <w:szCs w:val="16"/>
              </w:rPr>
              <w:t>Population growth</w:t>
            </w:r>
          </w:p>
        </w:tc>
        <w:tc>
          <w:tcPr>
            <w:tcW w:w="1013" w:type="dxa"/>
            <w:vAlign w:val="center"/>
          </w:tcPr>
          <w:p w14:paraId="6B82D1A8" w14:textId="77777777" w:rsidR="00650CF8" w:rsidRPr="00D0081E" w:rsidRDefault="00650CF8" w:rsidP="00703770">
            <w:pPr>
              <w:jc w:val="center"/>
              <w:rPr>
                <w:rFonts w:ascii="Public Sans" w:eastAsia="Arial" w:hAnsi="Public Sans" w:cs="Arial"/>
                <w:sz w:val="16"/>
                <w:szCs w:val="16"/>
              </w:rPr>
            </w:pPr>
            <w:r w:rsidRPr="00D0081E">
              <w:rPr>
                <w:rFonts w:ascii="Public Sans" w:eastAsia="Arial" w:hAnsi="Public Sans" w:cs="Arial"/>
                <w:sz w:val="16"/>
                <w:szCs w:val="16"/>
              </w:rPr>
              <w:t>High</w:t>
            </w:r>
          </w:p>
        </w:tc>
        <w:tc>
          <w:tcPr>
            <w:tcW w:w="1154" w:type="dxa"/>
            <w:vAlign w:val="center"/>
          </w:tcPr>
          <w:p w14:paraId="14B20ACD" w14:textId="77777777" w:rsidR="00650CF8" w:rsidRPr="00D0081E" w:rsidRDefault="00650CF8" w:rsidP="00703770">
            <w:pPr>
              <w:jc w:val="center"/>
              <w:rPr>
                <w:rFonts w:ascii="Public Sans" w:eastAsia="Calibri" w:hAnsi="Public Sans" w:cs="Arial"/>
                <w:sz w:val="16"/>
                <w:szCs w:val="16"/>
              </w:rPr>
            </w:pPr>
            <w:r w:rsidRPr="00D0081E">
              <w:rPr>
                <w:rFonts w:ascii="Public Sans" w:eastAsia="Arial" w:hAnsi="Public Sans" w:cs="Arial"/>
                <w:sz w:val="16"/>
                <w:szCs w:val="16"/>
              </w:rPr>
              <w:t>Low</w:t>
            </w:r>
          </w:p>
        </w:tc>
        <w:tc>
          <w:tcPr>
            <w:tcW w:w="1154" w:type="dxa"/>
            <w:vAlign w:val="center"/>
          </w:tcPr>
          <w:p w14:paraId="0D551C30" w14:textId="77777777" w:rsidR="00650CF8" w:rsidRPr="00D0081E" w:rsidRDefault="00650CF8" w:rsidP="00703770">
            <w:pPr>
              <w:jc w:val="center"/>
              <w:rPr>
                <w:rFonts w:ascii="Public Sans" w:eastAsia="Arial" w:hAnsi="Public Sans" w:cs="Arial"/>
                <w:sz w:val="16"/>
                <w:szCs w:val="16"/>
              </w:rPr>
            </w:pPr>
            <w:r w:rsidRPr="00D0081E">
              <w:rPr>
                <w:rFonts w:ascii="Public Sans" w:eastAsia="Arial" w:hAnsi="Public Sans" w:cs="Arial"/>
                <w:sz w:val="16"/>
                <w:szCs w:val="16"/>
              </w:rPr>
              <w:t>Medium</w:t>
            </w:r>
          </w:p>
        </w:tc>
        <w:tc>
          <w:tcPr>
            <w:tcW w:w="1155" w:type="dxa"/>
            <w:vAlign w:val="center"/>
          </w:tcPr>
          <w:p w14:paraId="15271C61" w14:textId="77777777" w:rsidR="00650CF8" w:rsidRPr="00D0081E" w:rsidRDefault="00650CF8" w:rsidP="00703770">
            <w:pPr>
              <w:jc w:val="center"/>
              <w:rPr>
                <w:rFonts w:ascii="Public Sans" w:eastAsia="Calibri" w:hAnsi="Public Sans" w:cs="Arial"/>
                <w:sz w:val="16"/>
                <w:szCs w:val="16"/>
              </w:rPr>
            </w:pPr>
            <w:r w:rsidRPr="00D0081E">
              <w:rPr>
                <w:rFonts w:ascii="Public Sans" w:eastAsia="Arial" w:hAnsi="Public Sans" w:cs="Arial"/>
                <w:sz w:val="16"/>
                <w:szCs w:val="16"/>
              </w:rPr>
              <w:t>N</w:t>
            </w:r>
            <w:r w:rsidRPr="00D0081E">
              <w:rPr>
                <w:rFonts w:ascii="Public Sans" w:eastAsia="Calibri" w:hAnsi="Public Sans" w:cs="Arial"/>
                <w:sz w:val="16"/>
                <w:szCs w:val="16"/>
              </w:rPr>
              <w:t>/A</w:t>
            </w:r>
          </w:p>
        </w:tc>
        <w:tc>
          <w:tcPr>
            <w:tcW w:w="1154" w:type="dxa"/>
            <w:vAlign w:val="center"/>
          </w:tcPr>
          <w:p w14:paraId="18787EE5" w14:textId="77777777" w:rsidR="00650CF8" w:rsidRPr="00D0081E" w:rsidRDefault="00650CF8" w:rsidP="00703770">
            <w:pPr>
              <w:jc w:val="center"/>
              <w:rPr>
                <w:rFonts w:ascii="Public Sans" w:eastAsia="Arial" w:hAnsi="Public Sans"/>
                <w:sz w:val="16"/>
                <w:szCs w:val="16"/>
              </w:rPr>
            </w:pPr>
            <w:r w:rsidRPr="00D0081E">
              <w:rPr>
                <w:rFonts w:ascii="Public Sans" w:eastAsia="Arial" w:hAnsi="Public Sans" w:cs="Arial"/>
                <w:sz w:val="16"/>
                <w:szCs w:val="16"/>
              </w:rPr>
              <w:t>Low</w:t>
            </w:r>
          </w:p>
        </w:tc>
        <w:tc>
          <w:tcPr>
            <w:tcW w:w="1154" w:type="dxa"/>
            <w:vAlign w:val="center"/>
          </w:tcPr>
          <w:p w14:paraId="61A8DFDF" w14:textId="77777777" w:rsidR="00650CF8" w:rsidRPr="00D0081E" w:rsidRDefault="00650CF8" w:rsidP="00703770">
            <w:pPr>
              <w:jc w:val="center"/>
              <w:rPr>
                <w:rFonts w:ascii="Public Sans" w:eastAsia="Arial" w:hAnsi="Public Sans" w:cs="Arial"/>
                <w:sz w:val="16"/>
                <w:szCs w:val="16"/>
              </w:rPr>
            </w:pPr>
            <w:r w:rsidRPr="00D0081E">
              <w:rPr>
                <w:rFonts w:ascii="Public Sans" w:eastAsia="Arial" w:hAnsi="Public Sans" w:cs="Arial"/>
                <w:sz w:val="16"/>
                <w:szCs w:val="16"/>
              </w:rPr>
              <w:t>Low</w:t>
            </w:r>
          </w:p>
        </w:tc>
        <w:tc>
          <w:tcPr>
            <w:tcW w:w="1438" w:type="dxa"/>
            <w:vAlign w:val="center"/>
          </w:tcPr>
          <w:p w14:paraId="26A14F32" w14:textId="77777777" w:rsidR="00650CF8" w:rsidRPr="00D0081E" w:rsidRDefault="00650CF8" w:rsidP="00703770">
            <w:pPr>
              <w:jc w:val="center"/>
              <w:rPr>
                <w:rFonts w:ascii="Public Sans" w:eastAsia="Arial" w:hAnsi="Public Sans" w:cs="Arial"/>
                <w:sz w:val="16"/>
                <w:szCs w:val="16"/>
              </w:rPr>
            </w:pPr>
            <w:r w:rsidRPr="00D0081E">
              <w:rPr>
                <w:rFonts w:ascii="Public Sans" w:eastAsia="Arial" w:hAnsi="Public Sans" w:cs="Arial"/>
                <w:sz w:val="16"/>
                <w:szCs w:val="16"/>
              </w:rPr>
              <w:t>Low</w:t>
            </w:r>
          </w:p>
        </w:tc>
      </w:tr>
      <w:tr w:rsidR="00650CF8" w:rsidRPr="00D0081E" w14:paraId="5062140F" w14:textId="77777777" w:rsidTr="00D0081E">
        <w:trPr>
          <w:trHeight w:val="283"/>
        </w:trPr>
        <w:tc>
          <w:tcPr>
            <w:tcW w:w="1701" w:type="dxa"/>
            <w:vAlign w:val="center"/>
          </w:tcPr>
          <w:p w14:paraId="511C7252" w14:textId="77777777" w:rsidR="00650CF8" w:rsidRPr="00D0081E" w:rsidRDefault="00650CF8" w:rsidP="00D0081E">
            <w:pPr>
              <w:ind w:right="-113"/>
              <w:rPr>
                <w:rFonts w:ascii="Public Sans" w:hAnsi="Public Sans" w:cs="Arial"/>
                <w:sz w:val="16"/>
                <w:szCs w:val="16"/>
              </w:rPr>
            </w:pPr>
            <w:r w:rsidRPr="00D0081E">
              <w:rPr>
                <w:rFonts w:ascii="Public Sans" w:eastAsia="Arial" w:hAnsi="Public Sans" w:cs="Arial"/>
                <w:sz w:val="16"/>
                <w:szCs w:val="16"/>
              </w:rPr>
              <w:t>AUD exchange rate</w:t>
            </w:r>
          </w:p>
        </w:tc>
        <w:tc>
          <w:tcPr>
            <w:tcW w:w="1013" w:type="dxa"/>
            <w:vAlign w:val="center"/>
          </w:tcPr>
          <w:p w14:paraId="4B5AA6BB" w14:textId="77777777" w:rsidR="00650CF8" w:rsidRPr="00D0081E" w:rsidRDefault="00650CF8" w:rsidP="00703770">
            <w:pPr>
              <w:jc w:val="center"/>
              <w:rPr>
                <w:rFonts w:ascii="Public Sans" w:eastAsia="Calibri" w:hAnsi="Public Sans" w:cs="Arial"/>
                <w:sz w:val="16"/>
                <w:szCs w:val="16"/>
              </w:rPr>
            </w:pPr>
            <w:r w:rsidRPr="00D0081E">
              <w:rPr>
                <w:rFonts w:ascii="Public Sans" w:eastAsia="Arial" w:hAnsi="Public Sans" w:cs="Arial"/>
                <w:sz w:val="16"/>
                <w:szCs w:val="16"/>
              </w:rPr>
              <w:t>N</w:t>
            </w:r>
            <w:r w:rsidRPr="00D0081E">
              <w:rPr>
                <w:rFonts w:ascii="Public Sans" w:eastAsia="Calibri" w:hAnsi="Public Sans" w:cs="Arial"/>
                <w:sz w:val="16"/>
                <w:szCs w:val="16"/>
              </w:rPr>
              <w:t>/A</w:t>
            </w:r>
          </w:p>
        </w:tc>
        <w:tc>
          <w:tcPr>
            <w:tcW w:w="1154" w:type="dxa"/>
            <w:vAlign w:val="center"/>
          </w:tcPr>
          <w:p w14:paraId="6FBB1FD5" w14:textId="77777777" w:rsidR="00650CF8" w:rsidRPr="00D0081E" w:rsidRDefault="00650CF8" w:rsidP="00703770">
            <w:pPr>
              <w:jc w:val="center"/>
              <w:rPr>
                <w:rFonts w:ascii="Public Sans" w:eastAsia="Calibri" w:hAnsi="Public Sans" w:cs="Arial"/>
                <w:sz w:val="16"/>
                <w:szCs w:val="16"/>
              </w:rPr>
            </w:pPr>
            <w:r w:rsidRPr="00D0081E">
              <w:rPr>
                <w:rFonts w:ascii="Public Sans" w:eastAsia="Arial" w:hAnsi="Public Sans" w:cs="Arial"/>
                <w:sz w:val="16"/>
                <w:szCs w:val="16"/>
              </w:rPr>
              <w:t>N</w:t>
            </w:r>
            <w:r w:rsidRPr="00D0081E">
              <w:rPr>
                <w:rFonts w:ascii="Public Sans" w:eastAsia="Calibri" w:hAnsi="Public Sans" w:cs="Arial"/>
                <w:sz w:val="16"/>
                <w:szCs w:val="16"/>
              </w:rPr>
              <w:t>/A</w:t>
            </w:r>
          </w:p>
        </w:tc>
        <w:tc>
          <w:tcPr>
            <w:tcW w:w="1154" w:type="dxa"/>
            <w:vAlign w:val="center"/>
          </w:tcPr>
          <w:p w14:paraId="78C12EA7" w14:textId="77777777" w:rsidR="00650CF8" w:rsidRPr="00D0081E" w:rsidRDefault="00650CF8" w:rsidP="00703770">
            <w:pPr>
              <w:jc w:val="center"/>
              <w:rPr>
                <w:rFonts w:ascii="Public Sans" w:eastAsia="Calibri" w:hAnsi="Public Sans" w:cs="Arial"/>
                <w:sz w:val="16"/>
                <w:szCs w:val="16"/>
              </w:rPr>
            </w:pPr>
            <w:r w:rsidRPr="00D0081E">
              <w:rPr>
                <w:rFonts w:ascii="Public Sans" w:eastAsia="Arial" w:hAnsi="Public Sans" w:cs="Arial"/>
                <w:sz w:val="16"/>
                <w:szCs w:val="16"/>
              </w:rPr>
              <w:t>N</w:t>
            </w:r>
            <w:r w:rsidRPr="00D0081E">
              <w:rPr>
                <w:rFonts w:ascii="Public Sans" w:eastAsia="Calibri" w:hAnsi="Public Sans" w:cs="Arial"/>
                <w:sz w:val="16"/>
                <w:szCs w:val="16"/>
              </w:rPr>
              <w:t>/A</w:t>
            </w:r>
          </w:p>
        </w:tc>
        <w:tc>
          <w:tcPr>
            <w:tcW w:w="1155" w:type="dxa"/>
            <w:vAlign w:val="center"/>
          </w:tcPr>
          <w:p w14:paraId="2627BBAC" w14:textId="77777777" w:rsidR="00650CF8" w:rsidRPr="00D0081E" w:rsidRDefault="00650CF8" w:rsidP="00703770">
            <w:pPr>
              <w:jc w:val="center"/>
              <w:rPr>
                <w:rFonts w:ascii="Public Sans" w:eastAsia="Calibri" w:hAnsi="Public Sans" w:cs="Arial"/>
                <w:sz w:val="16"/>
                <w:szCs w:val="16"/>
              </w:rPr>
            </w:pPr>
            <w:r w:rsidRPr="00D0081E">
              <w:rPr>
                <w:rFonts w:ascii="Public Sans" w:eastAsia="Arial" w:hAnsi="Public Sans" w:cs="Arial"/>
                <w:sz w:val="16"/>
                <w:szCs w:val="16"/>
              </w:rPr>
              <w:t>High</w:t>
            </w:r>
          </w:p>
        </w:tc>
        <w:tc>
          <w:tcPr>
            <w:tcW w:w="1154" w:type="dxa"/>
            <w:vAlign w:val="center"/>
          </w:tcPr>
          <w:p w14:paraId="5D578AD4" w14:textId="77777777" w:rsidR="00650CF8" w:rsidRPr="00D0081E" w:rsidRDefault="00650CF8" w:rsidP="00703770">
            <w:pPr>
              <w:jc w:val="center"/>
              <w:rPr>
                <w:rFonts w:ascii="Public Sans" w:eastAsia="Arial" w:hAnsi="Public Sans" w:cs="Arial"/>
                <w:sz w:val="16"/>
                <w:szCs w:val="16"/>
              </w:rPr>
            </w:pPr>
            <w:r w:rsidRPr="00D0081E">
              <w:rPr>
                <w:rFonts w:ascii="Public Sans" w:eastAsia="Arial" w:hAnsi="Public Sans" w:cs="Arial"/>
                <w:sz w:val="16"/>
                <w:szCs w:val="16"/>
              </w:rPr>
              <w:t>N/A</w:t>
            </w:r>
          </w:p>
        </w:tc>
        <w:tc>
          <w:tcPr>
            <w:tcW w:w="1154" w:type="dxa"/>
            <w:vAlign w:val="center"/>
          </w:tcPr>
          <w:p w14:paraId="0275BC96" w14:textId="77777777" w:rsidR="00650CF8" w:rsidRPr="00D0081E" w:rsidRDefault="00650CF8" w:rsidP="00703770">
            <w:pPr>
              <w:jc w:val="center"/>
              <w:rPr>
                <w:rFonts w:ascii="Public Sans" w:eastAsia="Arial" w:hAnsi="Public Sans" w:cs="Arial"/>
                <w:sz w:val="16"/>
                <w:szCs w:val="16"/>
              </w:rPr>
            </w:pPr>
            <w:r w:rsidRPr="00D0081E">
              <w:rPr>
                <w:rFonts w:ascii="Public Sans" w:eastAsia="Arial" w:hAnsi="Public Sans" w:cs="Arial"/>
                <w:sz w:val="16"/>
                <w:szCs w:val="16"/>
              </w:rPr>
              <w:t>N/A</w:t>
            </w:r>
          </w:p>
        </w:tc>
        <w:tc>
          <w:tcPr>
            <w:tcW w:w="1438" w:type="dxa"/>
            <w:vAlign w:val="center"/>
          </w:tcPr>
          <w:p w14:paraId="79D08A99" w14:textId="77777777" w:rsidR="00650CF8" w:rsidRPr="00D0081E" w:rsidRDefault="00650CF8" w:rsidP="00703770">
            <w:pPr>
              <w:jc w:val="center"/>
              <w:rPr>
                <w:rFonts w:ascii="Public Sans" w:eastAsia="Arial" w:hAnsi="Public Sans" w:cs="Arial"/>
                <w:sz w:val="16"/>
                <w:szCs w:val="16"/>
              </w:rPr>
            </w:pPr>
            <w:r w:rsidRPr="00D0081E">
              <w:rPr>
                <w:rFonts w:ascii="Public Sans" w:eastAsia="Arial" w:hAnsi="Public Sans" w:cs="Arial"/>
                <w:sz w:val="16"/>
                <w:szCs w:val="16"/>
              </w:rPr>
              <w:t>N/A</w:t>
            </w:r>
          </w:p>
        </w:tc>
      </w:tr>
      <w:tr w:rsidR="00650CF8" w:rsidRPr="00D0081E" w14:paraId="387762A7" w14:textId="77777777" w:rsidTr="00D0081E">
        <w:trPr>
          <w:trHeight w:val="283"/>
        </w:trPr>
        <w:tc>
          <w:tcPr>
            <w:tcW w:w="1701" w:type="dxa"/>
            <w:tcBorders>
              <w:bottom w:val="single" w:sz="4" w:space="0" w:color="auto"/>
            </w:tcBorders>
            <w:vAlign w:val="center"/>
          </w:tcPr>
          <w:p w14:paraId="5DA85365" w14:textId="77777777" w:rsidR="00650CF8" w:rsidRPr="00D0081E" w:rsidRDefault="00650CF8" w:rsidP="00D0081E">
            <w:pPr>
              <w:ind w:right="-113"/>
              <w:rPr>
                <w:rFonts w:ascii="Public Sans" w:hAnsi="Public Sans" w:cs="Arial"/>
                <w:sz w:val="16"/>
                <w:szCs w:val="16"/>
              </w:rPr>
            </w:pPr>
            <w:r w:rsidRPr="00D0081E">
              <w:rPr>
                <w:rFonts w:ascii="Public Sans" w:eastAsia="Arial" w:hAnsi="Public Sans" w:cs="Arial"/>
                <w:sz w:val="16"/>
                <w:szCs w:val="16"/>
              </w:rPr>
              <w:t>Energy demand</w:t>
            </w:r>
          </w:p>
        </w:tc>
        <w:tc>
          <w:tcPr>
            <w:tcW w:w="1013" w:type="dxa"/>
            <w:tcBorders>
              <w:bottom w:val="single" w:sz="4" w:space="0" w:color="auto"/>
            </w:tcBorders>
            <w:vAlign w:val="center"/>
          </w:tcPr>
          <w:p w14:paraId="1D9442A1" w14:textId="77777777" w:rsidR="00650CF8" w:rsidRPr="00D0081E" w:rsidRDefault="00650CF8" w:rsidP="00703770">
            <w:pPr>
              <w:jc w:val="center"/>
              <w:rPr>
                <w:rFonts w:ascii="Public Sans" w:eastAsia="Calibri" w:hAnsi="Public Sans" w:cs="Arial"/>
                <w:sz w:val="16"/>
                <w:szCs w:val="16"/>
              </w:rPr>
            </w:pPr>
            <w:r w:rsidRPr="00D0081E">
              <w:rPr>
                <w:rFonts w:ascii="Public Sans" w:eastAsia="Arial" w:hAnsi="Public Sans" w:cs="Arial"/>
                <w:sz w:val="16"/>
                <w:szCs w:val="16"/>
              </w:rPr>
              <w:t>N</w:t>
            </w:r>
            <w:r w:rsidRPr="00D0081E">
              <w:rPr>
                <w:rFonts w:ascii="Public Sans" w:eastAsia="Calibri" w:hAnsi="Public Sans" w:cs="Arial"/>
                <w:sz w:val="16"/>
                <w:szCs w:val="16"/>
              </w:rPr>
              <w:t>/A</w:t>
            </w:r>
          </w:p>
        </w:tc>
        <w:tc>
          <w:tcPr>
            <w:tcW w:w="1154" w:type="dxa"/>
            <w:tcBorders>
              <w:bottom w:val="single" w:sz="4" w:space="0" w:color="auto"/>
            </w:tcBorders>
            <w:vAlign w:val="center"/>
          </w:tcPr>
          <w:p w14:paraId="5BCCD468" w14:textId="77777777" w:rsidR="00650CF8" w:rsidRPr="00D0081E" w:rsidRDefault="00650CF8" w:rsidP="00703770">
            <w:pPr>
              <w:jc w:val="center"/>
              <w:rPr>
                <w:rFonts w:ascii="Public Sans" w:eastAsia="Calibri" w:hAnsi="Public Sans" w:cs="Arial"/>
                <w:sz w:val="16"/>
                <w:szCs w:val="16"/>
              </w:rPr>
            </w:pPr>
            <w:r w:rsidRPr="00D0081E">
              <w:rPr>
                <w:rFonts w:ascii="Public Sans" w:eastAsia="Arial" w:hAnsi="Public Sans" w:cs="Arial"/>
                <w:sz w:val="16"/>
                <w:szCs w:val="16"/>
              </w:rPr>
              <w:t>N</w:t>
            </w:r>
            <w:r w:rsidRPr="00D0081E">
              <w:rPr>
                <w:rFonts w:ascii="Public Sans" w:eastAsia="Calibri" w:hAnsi="Public Sans" w:cs="Arial"/>
                <w:sz w:val="16"/>
                <w:szCs w:val="16"/>
              </w:rPr>
              <w:t>/A</w:t>
            </w:r>
          </w:p>
        </w:tc>
        <w:tc>
          <w:tcPr>
            <w:tcW w:w="1154" w:type="dxa"/>
            <w:tcBorders>
              <w:bottom w:val="single" w:sz="4" w:space="0" w:color="auto"/>
            </w:tcBorders>
            <w:vAlign w:val="center"/>
          </w:tcPr>
          <w:p w14:paraId="5BFD8347" w14:textId="77777777" w:rsidR="00650CF8" w:rsidRPr="00D0081E" w:rsidRDefault="00650CF8" w:rsidP="00703770">
            <w:pPr>
              <w:jc w:val="center"/>
              <w:rPr>
                <w:rFonts w:ascii="Public Sans" w:eastAsia="Calibri" w:hAnsi="Public Sans" w:cs="Arial"/>
                <w:sz w:val="16"/>
                <w:szCs w:val="16"/>
              </w:rPr>
            </w:pPr>
            <w:r w:rsidRPr="00D0081E">
              <w:rPr>
                <w:rFonts w:ascii="Public Sans" w:eastAsia="Arial" w:hAnsi="Public Sans" w:cs="Arial"/>
                <w:sz w:val="16"/>
                <w:szCs w:val="16"/>
              </w:rPr>
              <w:t>N</w:t>
            </w:r>
            <w:r w:rsidRPr="00D0081E">
              <w:rPr>
                <w:rFonts w:ascii="Public Sans" w:eastAsia="Calibri" w:hAnsi="Public Sans" w:cs="Arial"/>
                <w:sz w:val="16"/>
                <w:szCs w:val="16"/>
              </w:rPr>
              <w:t>/A</w:t>
            </w:r>
          </w:p>
        </w:tc>
        <w:tc>
          <w:tcPr>
            <w:tcW w:w="1155" w:type="dxa"/>
            <w:tcBorders>
              <w:bottom w:val="single" w:sz="4" w:space="0" w:color="auto"/>
            </w:tcBorders>
            <w:vAlign w:val="center"/>
          </w:tcPr>
          <w:p w14:paraId="27A23168" w14:textId="77777777" w:rsidR="00650CF8" w:rsidRPr="00D0081E" w:rsidRDefault="00650CF8" w:rsidP="00703770">
            <w:pPr>
              <w:jc w:val="center"/>
              <w:rPr>
                <w:rFonts w:ascii="Public Sans" w:eastAsia="Calibri" w:hAnsi="Public Sans" w:cs="Arial"/>
                <w:sz w:val="16"/>
                <w:szCs w:val="16"/>
              </w:rPr>
            </w:pPr>
            <w:r w:rsidRPr="00D0081E">
              <w:rPr>
                <w:rFonts w:ascii="Public Sans" w:eastAsia="Arial" w:hAnsi="Public Sans" w:cs="Arial"/>
                <w:sz w:val="16"/>
                <w:szCs w:val="16"/>
              </w:rPr>
              <w:t>Low</w:t>
            </w:r>
          </w:p>
        </w:tc>
        <w:tc>
          <w:tcPr>
            <w:tcW w:w="1154" w:type="dxa"/>
            <w:tcBorders>
              <w:bottom w:val="single" w:sz="4" w:space="0" w:color="auto"/>
            </w:tcBorders>
            <w:vAlign w:val="center"/>
          </w:tcPr>
          <w:p w14:paraId="144E2ADE" w14:textId="77777777" w:rsidR="00650CF8" w:rsidRPr="00D0081E" w:rsidRDefault="00650CF8" w:rsidP="00703770">
            <w:pPr>
              <w:jc w:val="center"/>
              <w:rPr>
                <w:rFonts w:ascii="Public Sans" w:eastAsia="Arial" w:hAnsi="Public Sans" w:cs="Arial"/>
                <w:sz w:val="16"/>
                <w:szCs w:val="16"/>
              </w:rPr>
            </w:pPr>
            <w:r w:rsidRPr="00D0081E">
              <w:rPr>
                <w:rFonts w:ascii="Public Sans" w:eastAsia="Arial" w:hAnsi="Public Sans" w:cs="Arial"/>
                <w:sz w:val="16"/>
                <w:szCs w:val="16"/>
              </w:rPr>
              <w:t>N/A</w:t>
            </w:r>
          </w:p>
        </w:tc>
        <w:tc>
          <w:tcPr>
            <w:tcW w:w="1154" w:type="dxa"/>
            <w:tcBorders>
              <w:bottom w:val="single" w:sz="4" w:space="0" w:color="auto"/>
            </w:tcBorders>
            <w:vAlign w:val="center"/>
          </w:tcPr>
          <w:p w14:paraId="15CF3016" w14:textId="77777777" w:rsidR="00650CF8" w:rsidRPr="00D0081E" w:rsidRDefault="00650CF8" w:rsidP="00703770">
            <w:pPr>
              <w:jc w:val="center"/>
              <w:rPr>
                <w:rFonts w:ascii="Public Sans" w:eastAsia="Arial" w:hAnsi="Public Sans" w:cs="Arial"/>
                <w:sz w:val="16"/>
                <w:szCs w:val="16"/>
              </w:rPr>
            </w:pPr>
            <w:r w:rsidRPr="00D0081E">
              <w:rPr>
                <w:rFonts w:ascii="Public Sans" w:eastAsia="Arial" w:hAnsi="Public Sans" w:cs="Arial"/>
                <w:sz w:val="16"/>
                <w:szCs w:val="16"/>
              </w:rPr>
              <w:t>N/A</w:t>
            </w:r>
          </w:p>
        </w:tc>
        <w:tc>
          <w:tcPr>
            <w:tcW w:w="1438" w:type="dxa"/>
            <w:tcBorders>
              <w:bottom w:val="single" w:sz="4" w:space="0" w:color="auto"/>
            </w:tcBorders>
            <w:vAlign w:val="center"/>
          </w:tcPr>
          <w:p w14:paraId="487480A0" w14:textId="77777777" w:rsidR="00650CF8" w:rsidRPr="00D0081E" w:rsidRDefault="00650CF8" w:rsidP="00703770">
            <w:pPr>
              <w:jc w:val="center"/>
              <w:rPr>
                <w:rFonts w:ascii="Public Sans" w:eastAsia="Arial" w:hAnsi="Public Sans" w:cs="Arial"/>
                <w:sz w:val="16"/>
                <w:szCs w:val="16"/>
              </w:rPr>
            </w:pPr>
            <w:r w:rsidRPr="00D0081E">
              <w:rPr>
                <w:rFonts w:ascii="Public Sans" w:eastAsia="Arial" w:hAnsi="Public Sans" w:cs="Arial"/>
                <w:sz w:val="16"/>
                <w:szCs w:val="16"/>
              </w:rPr>
              <w:t>N/A</w:t>
            </w:r>
          </w:p>
        </w:tc>
      </w:tr>
    </w:tbl>
    <w:p w14:paraId="5710630E" w14:textId="77777777" w:rsidR="00650CF8" w:rsidRPr="00FA7740" w:rsidRDefault="00650CF8" w:rsidP="00650CF8">
      <w:pPr>
        <w:rPr>
          <w:rFonts w:ascii="Arial" w:hAnsi="Arial" w:cs="Arial"/>
          <w:sz w:val="6"/>
          <w:szCs w:val="6"/>
        </w:rPr>
      </w:pPr>
    </w:p>
    <w:p w14:paraId="791D3F2A" w14:textId="77777777" w:rsidR="00650CF8" w:rsidRPr="00E711EC" w:rsidRDefault="00650CF8" w:rsidP="00674B22">
      <w:pPr>
        <w:pStyle w:val="ListParagraph"/>
        <w:numPr>
          <w:ilvl w:val="0"/>
          <w:numId w:val="6"/>
        </w:numPr>
        <w:rPr>
          <w:rFonts w:ascii="Public Sans" w:eastAsiaTheme="minorEastAsia" w:hAnsi="Public Sans" w:cstheme="minorBidi"/>
          <w:sz w:val="17"/>
          <w:szCs w:val="17"/>
        </w:rPr>
      </w:pPr>
      <w:r w:rsidRPr="00E711EC">
        <w:rPr>
          <w:rFonts w:ascii="Public Sans" w:eastAsia="Arial" w:hAnsi="Public Sans" w:cs="Arial"/>
          <w:sz w:val="17"/>
          <w:szCs w:val="17"/>
        </w:rPr>
        <w:t xml:space="preserve">High, </w:t>
      </w:r>
      <w:proofErr w:type="gramStart"/>
      <w:r w:rsidRPr="00E711EC">
        <w:rPr>
          <w:rFonts w:ascii="Public Sans" w:eastAsia="Arial" w:hAnsi="Public Sans" w:cs="Arial"/>
          <w:sz w:val="17"/>
          <w:szCs w:val="17"/>
        </w:rPr>
        <w:t>medium</w:t>
      </w:r>
      <w:proofErr w:type="gramEnd"/>
      <w:r w:rsidRPr="00E711EC">
        <w:rPr>
          <w:rFonts w:ascii="Public Sans" w:eastAsia="Arial" w:hAnsi="Public Sans" w:cs="Arial"/>
          <w:sz w:val="17"/>
          <w:szCs w:val="17"/>
        </w:rPr>
        <w:t xml:space="preserve"> and low provide only a broad indication of the model weighting for illustration.  </w:t>
      </w:r>
    </w:p>
    <w:p w14:paraId="720D20AC" w14:textId="746744E9" w:rsidR="00650CF8" w:rsidRPr="00E711EC" w:rsidRDefault="00650CF8" w:rsidP="00674B22">
      <w:pPr>
        <w:pStyle w:val="ListParagraph"/>
        <w:numPr>
          <w:ilvl w:val="0"/>
          <w:numId w:val="6"/>
        </w:numPr>
        <w:rPr>
          <w:rFonts w:ascii="Public Sans" w:eastAsia="Arial" w:hAnsi="Public Sans" w:cs="Arial"/>
          <w:sz w:val="17"/>
          <w:szCs w:val="17"/>
        </w:rPr>
      </w:pPr>
      <w:r w:rsidRPr="00E711EC">
        <w:rPr>
          <w:rFonts w:ascii="Public Sans" w:eastAsia="Arial" w:hAnsi="Public Sans" w:cs="Arial"/>
          <w:sz w:val="17"/>
          <w:szCs w:val="17"/>
        </w:rPr>
        <w:t xml:space="preserve">N/A here indicates only that the factor is not directly included as a variable in the relevant forecasting </w:t>
      </w:r>
      <w:r w:rsidR="00A5029A" w:rsidRPr="00E711EC">
        <w:rPr>
          <w:rFonts w:ascii="Public Sans" w:eastAsia="Arial" w:hAnsi="Public Sans" w:cs="Arial"/>
          <w:sz w:val="17"/>
          <w:szCs w:val="17"/>
        </w:rPr>
        <w:t>model and</w:t>
      </w:r>
      <w:r w:rsidRPr="00E711EC">
        <w:rPr>
          <w:rFonts w:ascii="Public Sans" w:eastAsia="Arial" w:hAnsi="Public Sans" w:cs="Arial"/>
          <w:sz w:val="17"/>
          <w:szCs w:val="17"/>
        </w:rPr>
        <w:t xml:space="preserve"> does not signify that there is no relationship between the respective variable and </w:t>
      </w:r>
      <w:r w:rsidR="28592EA3" w:rsidRPr="00E711EC">
        <w:rPr>
          <w:rFonts w:ascii="Public Sans" w:eastAsia="Arial" w:hAnsi="Public Sans" w:cs="Arial"/>
          <w:sz w:val="17"/>
          <w:szCs w:val="17"/>
        </w:rPr>
        <w:t xml:space="preserve">the </w:t>
      </w:r>
      <w:r w:rsidRPr="00E711EC">
        <w:rPr>
          <w:rFonts w:ascii="Public Sans" w:eastAsia="Arial" w:hAnsi="Public Sans" w:cs="Arial"/>
          <w:sz w:val="17"/>
          <w:szCs w:val="17"/>
        </w:rPr>
        <w:t>tax.</w:t>
      </w:r>
    </w:p>
    <w:p w14:paraId="7CAB4E68" w14:textId="77777777" w:rsidR="00650CF8" w:rsidRDefault="00650CF8" w:rsidP="00650CF8">
      <w:pPr>
        <w:rPr>
          <w:rFonts w:eastAsia="Arial"/>
        </w:rPr>
      </w:pPr>
    </w:p>
    <w:p w14:paraId="4807758D" w14:textId="72ADCD40" w:rsidR="00B81463" w:rsidRPr="00F23C37" w:rsidRDefault="00F23C37" w:rsidP="00014449">
      <w:pPr>
        <w:pStyle w:val="BodyText"/>
      </w:pPr>
      <w:r w:rsidRPr="4C36E8A8">
        <w:rPr>
          <w:lang w:val="en-US"/>
        </w:rPr>
        <w:t xml:space="preserve">The main driver of payroll tax is total employee compensation, which in turn is a function of both wage and employment levels. </w:t>
      </w:r>
      <w:r>
        <w:t>Strong demand in the labour market and rising wages have boosted payroll tax receipts compared to the forecast at the 2023 Pre-election Budget Update.</w:t>
      </w:r>
    </w:p>
    <w:p w14:paraId="6634C6C7" w14:textId="77777777" w:rsidR="008446E1" w:rsidRDefault="008446E1" w:rsidP="00014449">
      <w:pPr>
        <w:pStyle w:val="BodyText"/>
      </w:pPr>
    </w:p>
    <w:p w14:paraId="7CD809FD" w14:textId="62B21DF9" w:rsidR="00F23C37" w:rsidRPr="00F23C37" w:rsidRDefault="5891D46D" w:rsidP="00014449">
      <w:pPr>
        <w:pStyle w:val="BodyText"/>
      </w:pPr>
      <w:r>
        <w:lastRenderedPageBreak/>
        <w:t>A strong labour market has been central to the economic recovery following the COVID pandemic and has contributed significantly to recent upgrades to payroll tax revenue. However, a</w:t>
      </w:r>
      <w:r w:rsidR="045C3B2B">
        <w:t xml:space="preserve"> slowdown in economic activity will </w:t>
      </w:r>
      <w:r w:rsidR="004F01BA">
        <w:t>likely weigh</w:t>
      </w:r>
      <w:r w:rsidR="045C3B2B">
        <w:t xml:space="preserve"> on the demand for labour and employment growth is expected to slow materially and remain</w:t>
      </w:r>
      <w:r w:rsidR="5B84DC8E">
        <w:t xml:space="preserve"> </w:t>
      </w:r>
      <w:r w:rsidR="045C3B2B">
        <w:t>subdued over the forward estimates.</w:t>
      </w:r>
      <w:r w:rsidR="04C1086F">
        <w:t xml:space="preserve"> </w:t>
      </w:r>
      <w:r w:rsidR="7C1AC729">
        <w:t xml:space="preserve"> </w:t>
      </w:r>
    </w:p>
    <w:p w14:paraId="5500A6F7" w14:textId="538BF76B" w:rsidR="0024246B" w:rsidRPr="00F32C6C" w:rsidRDefault="0055405E" w:rsidP="00014449">
      <w:pPr>
        <w:pStyle w:val="BodyText"/>
        <w:rPr>
          <w:iCs/>
        </w:rPr>
      </w:pPr>
      <w:r>
        <w:t xml:space="preserve">Payroll tax revenues are therefore forecast by applying growth rates, anticipated in Treasury’s forecasts for NSW Average Compensation of Employees and NSW </w:t>
      </w:r>
      <w:r w:rsidR="00D21478">
        <w:t>e</w:t>
      </w:r>
      <w:r>
        <w:t>mployment, to underlying payroll tax levels. Table B.2 denotes the sensitivity of forecast payroll tax to a one percentage point increase in each of these variables respectively.</w:t>
      </w:r>
    </w:p>
    <w:p w14:paraId="5283851A" w14:textId="77777777" w:rsidR="00650CF8" w:rsidRDefault="00650CF8" w:rsidP="0024246B">
      <w:pPr>
        <w:pStyle w:val="TableBX"/>
      </w:pPr>
      <w:r>
        <w:t xml:space="preserve">Revenue </w:t>
      </w:r>
      <w:r w:rsidRPr="3FF2B713">
        <w:t>sensitivities – Payroll tax</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B.2: Revenue sensitivities – Payroll tax"/>
        <w:tblDescription w:val="Table B.2: Revenue sensitivities – Payroll tax"/>
      </w:tblPr>
      <w:tblGrid>
        <w:gridCol w:w="3261"/>
        <w:gridCol w:w="1098"/>
        <w:gridCol w:w="1099"/>
        <w:gridCol w:w="1098"/>
        <w:gridCol w:w="1099"/>
        <w:gridCol w:w="1984"/>
      </w:tblGrid>
      <w:tr w:rsidR="008432E4" w:rsidRPr="008432E4" w14:paraId="1925854F" w14:textId="77777777" w:rsidTr="008432E4">
        <w:trPr>
          <w:trHeight w:val="283"/>
        </w:trPr>
        <w:tc>
          <w:tcPr>
            <w:tcW w:w="3261" w:type="dxa"/>
            <w:vMerge w:val="restart"/>
            <w:shd w:val="clear" w:color="auto" w:fill="EBEBEB"/>
            <w:vAlign w:val="center"/>
          </w:tcPr>
          <w:p w14:paraId="1A961AED" w14:textId="77777777" w:rsidR="00650CF8" w:rsidRPr="008432E4" w:rsidRDefault="00650CF8" w:rsidP="00703770">
            <w:pPr>
              <w:rPr>
                <w:rFonts w:ascii="Public Sans" w:eastAsia="Arial" w:hAnsi="Public Sans" w:cs="Arial"/>
                <w:sz w:val="18"/>
                <w:szCs w:val="18"/>
              </w:rPr>
            </w:pPr>
            <w:r w:rsidRPr="008432E4">
              <w:rPr>
                <w:rFonts w:ascii="Public Sans" w:eastAsia="Arial" w:hAnsi="Public Sans" w:cs="Arial"/>
                <w:sz w:val="18"/>
                <w:szCs w:val="18"/>
              </w:rPr>
              <w:t>Factors affecting payroll tax</w:t>
            </w:r>
          </w:p>
        </w:tc>
        <w:tc>
          <w:tcPr>
            <w:tcW w:w="1098" w:type="dxa"/>
            <w:shd w:val="clear" w:color="auto" w:fill="EBEBEB"/>
            <w:vAlign w:val="bottom"/>
          </w:tcPr>
          <w:p w14:paraId="0B93BFD5" w14:textId="7DB1696C" w:rsidR="00650CF8" w:rsidRPr="008432E4" w:rsidRDefault="0093483A" w:rsidP="00703770">
            <w:pPr>
              <w:jc w:val="center"/>
              <w:rPr>
                <w:rFonts w:ascii="Public Sans" w:eastAsia="Arial" w:hAnsi="Public Sans" w:cs="Arial"/>
                <w:sz w:val="18"/>
                <w:szCs w:val="18"/>
              </w:rPr>
            </w:pPr>
            <w:r w:rsidRPr="008432E4">
              <w:rPr>
                <w:rFonts w:ascii="Public Sans" w:eastAsia="Arial" w:hAnsi="Public Sans" w:cs="Arial"/>
                <w:sz w:val="18"/>
                <w:szCs w:val="18"/>
              </w:rPr>
              <w:t>2023-24</w:t>
            </w:r>
          </w:p>
        </w:tc>
        <w:tc>
          <w:tcPr>
            <w:tcW w:w="1099" w:type="dxa"/>
            <w:shd w:val="clear" w:color="auto" w:fill="EBEBEB"/>
            <w:vAlign w:val="bottom"/>
          </w:tcPr>
          <w:p w14:paraId="3E32F7AA" w14:textId="4578C73E" w:rsidR="00650CF8" w:rsidRPr="008432E4" w:rsidRDefault="0093483A" w:rsidP="00703770">
            <w:pPr>
              <w:jc w:val="center"/>
              <w:rPr>
                <w:rFonts w:ascii="Public Sans" w:eastAsia="Arial" w:hAnsi="Public Sans" w:cs="Arial"/>
                <w:sz w:val="18"/>
                <w:szCs w:val="18"/>
              </w:rPr>
            </w:pPr>
            <w:r w:rsidRPr="008432E4">
              <w:rPr>
                <w:rFonts w:ascii="Public Sans" w:eastAsia="Arial" w:hAnsi="Public Sans" w:cs="Arial"/>
                <w:sz w:val="18"/>
                <w:szCs w:val="18"/>
              </w:rPr>
              <w:t>2024-25</w:t>
            </w:r>
          </w:p>
        </w:tc>
        <w:tc>
          <w:tcPr>
            <w:tcW w:w="1098" w:type="dxa"/>
            <w:shd w:val="clear" w:color="auto" w:fill="EBEBEB"/>
            <w:vAlign w:val="bottom"/>
          </w:tcPr>
          <w:p w14:paraId="445411D2" w14:textId="6D597C24" w:rsidR="00650CF8" w:rsidRPr="008432E4" w:rsidRDefault="0093483A" w:rsidP="00703770">
            <w:pPr>
              <w:jc w:val="center"/>
              <w:rPr>
                <w:rFonts w:ascii="Public Sans" w:eastAsia="Arial" w:hAnsi="Public Sans" w:cs="Arial"/>
                <w:sz w:val="18"/>
                <w:szCs w:val="18"/>
              </w:rPr>
            </w:pPr>
            <w:r w:rsidRPr="008432E4">
              <w:rPr>
                <w:rFonts w:ascii="Public Sans" w:eastAsia="Arial" w:hAnsi="Public Sans" w:cs="Arial"/>
                <w:sz w:val="18"/>
                <w:szCs w:val="18"/>
              </w:rPr>
              <w:t>2025-26</w:t>
            </w:r>
          </w:p>
        </w:tc>
        <w:tc>
          <w:tcPr>
            <w:tcW w:w="1099" w:type="dxa"/>
            <w:shd w:val="clear" w:color="auto" w:fill="EBEBEB"/>
            <w:vAlign w:val="bottom"/>
          </w:tcPr>
          <w:p w14:paraId="683C6FB1" w14:textId="3A0699D0" w:rsidR="00650CF8" w:rsidRPr="008432E4" w:rsidRDefault="0093483A" w:rsidP="00703770">
            <w:pPr>
              <w:jc w:val="center"/>
              <w:rPr>
                <w:rFonts w:ascii="Public Sans" w:eastAsia="Arial" w:hAnsi="Public Sans" w:cs="Arial"/>
                <w:sz w:val="18"/>
                <w:szCs w:val="18"/>
              </w:rPr>
            </w:pPr>
            <w:r w:rsidRPr="008432E4">
              <w:rPr>
                <w:rFonts w:ascii="Public Sans" w:eastAsia="Arial" w:hAnsi="Public Sans" w:cs="Arial"/>
                <w:sz w:val="18"/>
                <w:szCs w:val="18"/>
              </w:rPr>
              <w:t>2026-27</w:t>
            </w:r>
          </w:p>
        </w:tc>
        <w:tc>
          <w:tcPr>
            <w:tcW w:w="1984" w:type="dxa"/>
            <w:vMerge w:val="restart"/>
            <w:tcBorders>
              <w:bottom w:val="single" w:sz="4" w:space="0" w:color="auto"/>
            </w:tcBorders>
            <w:shd w:val="clear" w:color="auto" w:fill="4B5051"/>
            <w:vAlign w:val="center"/>
          </w:tcPr>
          <w:p w14:paraId="7195C14C" w14:textId="77777777" w:rsidR="00650CF8" w:rsidRPr="008432E4" w:rsidRDefault="00650CF8" w:rsidP="00703770">
            <w:pPr>
              <w:jc w:val="center"/>
              <w:rPr>
                <w:rFonts w:ascii="Public Sans" w:eastAsia="Arial" w:hAnsi="Public Sans" w:cs="Arial"/>
                <w:sz w:val="18"/>
                <w:szCs w:val="18"/>
              </w:rPr>
            </w:pPr>
            <w:r w:rsidRPr="008432E4">
              <w:rPr>
                <w:rFonts w:ascii="Public Sans" w:eastAsia="Arial" w:hAnsi="Public Sans" w:cs="Arial"/>
                <w:color w:val="FFFFFF" w:themeColor="background1"/>
                <w:sz w:val="18"/>
                <w:szCs w:val="18"/>
              </w:rPr>
              <w:t>Sensitivity</w:t>
            </w:r>
          </w:p>
        </w:tc>
      </w:tr>
      <w:tr w:rsidR="008432E4" w:rsidRPr="008432E4" w14:paraId="0BA57B53" w14:textId="77777777" w:rsidTr="763E0C43">
        <w:trPr>
          <w:trHeight w:val="227"/>
        </w:trPr>
        <w:tc>
          <w:tcPr>
            <w:tcW w:w="3261" w:type="dxa"/>
            <w:vMerge/>
          </w:tcPr>
          <w:p w14:paraId="4F77F58D" w14:textId="77777777" w:rsidR="00650CF8" w:rsidRPr="008432E4" w:rsidRDefault="00650CF8" w:rsidP="00703770">
            <w:pPr>
              <w:rPr>
                <w:rFonts w:ascii="Public Sans" w:hAnsi="Public Sans"/>
                <w:sz w:val="18"/>
                <w:szCs w:val="18"/>
              </w:rPr>
            </w:pPr>
          </w:p>
        </w:tc>
        <w:tc>
          <w:tcPr>
            <w:tcW w:w="1098" w:type="dxa"/>
            <w:shd w:val="clear" w:color="auto" w:fill="EBEBEB"/>
          </w:tcPr>
          <w:p w14:paraId="4813F17F" w14:textId="77777777" w:rsidR="00650CF8" w:rsidRPr="008432E4" w:rsidRDefault="00650CF8" w:rsidP="00703770">
            <w:pPr>
              <w:jc w:val="center"/>
              <w:rPr>
                <w:rFonts w:ascii="Public Sans" w:eastAsia="Arial" w:hAnsi="Public Sans" w:cs="Arial"/>
                <w:sz w:val="18"/>
                <w:szCs w:val="18"/>
              </w:rPr>
            </w:pPr>
            <w:r w:rsidRPr="008432E4">
              <w:rPr>
                <w:rFonts w:ascii="Public Sans" w:eastAsia="Arial" w:hAnsi="Public Sans" w:cs="Arial"/>
                <w:sz w:val="18"/>
                <w:szCs w:val="18"/>
              </w:rPr>
              <w:t>Budget</w:t>
            </w:r>
          </w:p>
        </w:tc>
        <w:tc>
          <w:tcPr>
            <w:tcW w:w="3296" w:type="dxa"/>
            <w:gridSpan w:val="3"/>
            <w:shd w:val="clear" w:color="auto" w:fill="EBEBEB"/>
          </w:tcPr>
          <w:p w14:paraId="402475B8" w14:textId="77777777" w:rsidR="00650CF8" w:rsidRPr="008432E4" w:rsidRDefault="00650CF8" w:rsidP="00703770">
            <w:pPr>
              <w:jc w:val="center"/>
              <w:rPr>
                <w:rFonts w:ascii="Public Sans" w:eastAsia="Arial" w:hAnsi="Public Sans" w:cs="Arial"/>
                <w:sz w:val="18"/>
                <w:szCs w:val="18"/>
              </w:rPr>
            </w:pPr>
            <w:r w:rsidRPr="008432E4">
              <w:rPr>
                <w:rFonts w:ascii="Public Sans" w:eastAsia="Arial" w:hAnsi="Public Sans" w:cs="Arial"/>
                <w:sz w:val="18"/>
                <w:szCs w:val="18"/>
              </w:rPr>
              <w:t>Forward estimates</w:t>
            </w:r>
          </w:p>
        </w:tc>
        <w:tc>
          <w:tcPr>
            <w:tcW w:w="1984" w:type="dxa"/>
            <w:vMerge/>
          </w:tcPr>
          <w:p w14:paraId="51C4F2DA" w14:textId="77777777" w:rsidR="00650CF8" w:rsidRPr="008432E4" w:rsidRDefault="00650CF8" w:rsidP="00703770">
            <w:pPr>
              <w:jc w:val="center"/>
              <w:rPr>
                <w:rFonts w:ascii="Public Sans" w:eastAsia="Arial" w:hAnsi="Public Sans" w:cs="Arial"/>
                <w:sz w:val="18"/>
                <w:szCs w:val="18"/>
              </w:rPr>
            </w:pPr>
          </w:p>
        </w:tc>
      </w:tr>
      <w:tr w:rsidR="008432E4" w:rsidRPr="008432E4" w14:paraId="6750D788" w14:textId="77777777" w:rsidTr="00706319">
        <w:trPr>
          <w:trHeight w:val="283"/>
        </w:trPr>
        <w:tc>
          <w:tcPr>
            <w:tcW w:w="3261" w:type="dxa"/>
            <w:shd w:val="clear" w:color="auto" w:fill="EBEBEB"/>
          </w:tcPr>
          <w:p w14:paraId="6678E8BB" w14:textId="77777777" w:rsidR="00650CF8" w:rsidRPr="008432E4" w:rsidRDefault="00650CF8" w:rsidP="00703770">
            <w:pPr>
              <w:rPr>
                <w:rFonts w:ascii="Public Sans" w:hAnsi="Public Sans"/>
                <w:sz w:val="18"/>
                <w:szCs w:val="18"/>
              </w:rPr>
            </w:pPr>
          </w:p>
        </w:tc>
        <w:tc>
          <w:tcPr>
            <w:tcW w:w="1098" w:type="dxa"/>
            <w:shd w:val="clear" w:color="auto" w:fill="EBEBEB"/>
          </w:tcPr>
          <w:p w14:paraId="47853602" w14:textId="77777777" w:rsidR="00650CF8" w:rsidRPr="008432E4" w:rsidRDefault="00650CF8" w:rsidP="00703770">
            <w:pPr>
              <w:jc w:val="center"/>
              <w:rPr>
                <w:rFonts w:ascii="Public Sans" w:eastAsia="Arial" w:hAnsi="Public Sans" w:cs="Arial"/>
                <w:sz w:val="18"/>
                <w:szCs w:val="18"/>
              </w:rPr>
            </w:pPr>
            <w:r w:rsidRPr="008432E4">
              <w:rPr>
                <w:rFonts w:ascii="Public Sans" w:eastAsia="Arial" w:hAnsi="Public Sans" w:cs="Arial"/>
                <w:sz w:val="18"/>
                <w:szCs w:val="18"/>
              </w:rPr>
              <w:t>$m</w:t>
            </w:r>
          </w:p>
        </w:tc>
        <w:tc>
          <w:tcPr>
            <w:tcW w:w="1099" w:type="dxa"/>
            <w:shd w:val="clear" w:color="auto" w:fill="EBEBEB"/>
          </w:tcPr>
          <w:p w14:paraId="5C75D007" w14:textId="77777777" w:rsidR="00650CF8" w:rsidRPr="008432E4" w:rsidRDefault="00650CF8" w:rsidP="00703770">
            <w:pPr>
              <w:jc w:val="center"/>
              <w:rPr>
                <w:rFonts w:ascii="Public Sans" w:eastAsia="Arial" w:hAnsi="Public Sans" w:cs="Arial"/>
                <w:sz w:val="18"/>
                <w:szCs w:val="18"/>
              </w:rPr>
            </w:pPr>
            <w:r w:rsidRPr="008432E4">
              <w:rPr>
                <w:rFonts w:ascii="Public Sans" w:eastAsia="Arial" w:hAnsi="Public Sans" w:cs="Arial"/>
                <w:sz w:val="18"/>
                <w:szCs w:val="18"/>
              </w:rPr>
              <w:t>$m</w:t>
            </w:r>
          </w:p>
        </w:tc>
        <w:tc>
          <w:tcPr>
            <w:tcW w:w="1098" w:type="dxa"/>
            <w:shd w:val="clear" w:color="auto" w:fill="EBEBEB"/>
          </w:tcPr>
          <w:p w14:paraId="2EBA8C90" w14:textId="77777777" w:rsidR="00650CF8" w:rsidRPr="008432E4" w:rsidRDefault="00650CF8" w:rsidP="00703770">
            <w:pPr>
              <w:jc w:val="center"/>
              <w:rPr>
                <w:rFonts w:ascii="Public Sans" w:eastAsia="Arial" w:hAnsi="Public Sans" w:cs="Arial"/>
                <w:sz w:val="18"/>
                <w:szCs w:val="18"/>
              </w:rPr>
            </w:pPr>
            <w:r w:rsidRPr="008432E4">
              <w:rPr>
                <w:rFonts w:ascii="Public Sans" w:eastAsia="Arial" w:hAnsi="Public Sans" w:cs="Arial"/>
                <w:sz w:val="18"/>
                <w:szCs w:val="18"/>
              </w:rPr>
              <w:t>$m</w:t>
            </w:r>
          </w:p>
        </w:tc>
        <w:tc>
          <w:tcPr>
            <w:tcW w:w="1099" w:type="dxa"/>
            <w:shd w:val="clear" w:color="auto" w:fill="EBEBEB"/>
          </w:tcPr>
          <w:p w14:paraId="45AF38FE" w14:textId="77777777" w:rsidR="00650CF8" w:rsidRPr="008432E4" w:rsidRDefault="00650CF8" w:rsidP="00703770">
            <w:pPr>
              <w:jc w:val="center"/>
              <w:rPr>
                <w:rFonts w:ascii="Public Sans" w:eastAsia="Arial" w:hAnsi="Public Sans" w:cs="Arial"/>
                <w:sz w:val="18"/>
                <w:szCs w:val="18"/>
              </w:rPr>
            </w:pPr>
            <w:r w:rsidRPr="008432E4">
              <w:rPr>
                <w:rFonts w:ascii="Public Sans" w:eastAsia="Arial" w:hAnsi="Public Sans" w:cs="Arial"/>
                <w:sz w:val="18"/>
                <w:szCs w:val="18"/>
              </w:rPr>
              <w:t>$m</w:t>
            </w:r>
          </w:p>
        </w:tc>
        <w:tc>
          <w:tcPr>
            <w:tcW w:w="1984" w:type="dxa"/>
            <w:vMerge/>
          </w:tcPr>
          <w:p w14:paraId="6E2A4974" w14:textId="77777777" w:rsidR="00650CF8" w:rsidRPr="008432E4" w:rsidRDefault="00650CF8" w:rsidP="00703770">
            <w:pPr>
              <w:jc w:val="center"/>
              <w:rPr>
                <w:rFonts w:ascii="Public Sans" w:eastAsia="Arial" w:hAnsi="Public Sans" w:cs="Arial"/>
                <w:sz w:val="18"/>
                <w:szCs w:val="18"/>
              </w:rPr>
            </w:pPr>
          </w:p>
        </w:tc>
      </w:tr>
      <w:tr w:rsidR="00650CF8" w:rsidRPr="008432E4" w14:paraId="310BC8DA" w14:textId="77777777" w:rsidTr="00706319">
        <w:trPr>
          <w:trHeight w:val="283"/>
        </w:trPr>
        <w:tc>
          <w:tcPr>
            <w:tcW w:w="3261" w:type="dxa"/>
          </w:tcPr>
          <w:p w14:paraId="236967EE" w14:textId="77777777" w:rsidR="00650CF8" w:rsidRPr="008432E4" w:rsidRDefault="00650CF8" w:rsidP="00703770">
            <w:pPr>
              <w:spacing w:before="60"/>
              <w:rPr>
                <w:rFonts w:ascii="Public Sans" w:eastAsia="Arial" w:hAnsi="Public Sans" w:cs="Arial"/>
                <w:sz w:val="18"/>
                <w:szCs w:val="18"/>
              </w:rPr>
            </w:pPr>
            <w:r w:rsidRPr="008432E4">
              <w:rPr>
                <w:rFonts w:ascii="Public Sans" w:eastAsia="Arial" w:hAnsi="Public Sans" w:cs="Arial"/>
                <w:sz w:val="18"/>
                <w:szCs w:val="18"/>
              </w:rPr>
              <w:t>Average compensation of employees</w:t>
            </w:r>
          </w:p>
        </w:tc>
        <w:tc>
          <w:tcPr>
            <w:tcW w:w="1098" w:type="dxa"/>
          </w:tcPr>
          <w:p w14:paraId="1DC4E20A" w14:textId="05C4550F" w:rsidR="00650CF8" w:rsidRPr="009400C6" w:rsidRDefault="00E319F6" w:rsidP="00703770">
            <w:pPr>
              <w:spacing w:before="60"/>
              <w:jc w:val="right"/>
              <w:rPr>
                <w:rFonts w:ascii="Public Sans" w:eastAsia="Arial" w:hAnsi="Public Sans" w:cs="Arial"/>
                <w:sz w:val="18"/>
                <w:szCs w:val="18"/>
              </w:rPr>
            </w:pPr>
            <w:r w:rsidRPr="009400C6">
              <w:rPr>
                <w:rFonts w:ascii="Public Sans" w:eastAsia="Arial" w:hAnsi="Public Sans" w:cs="Arial"/>
                <w:sz w:val="18"/>
                <w:szCs w:val="18"/>
              </w:rPr>
              <w:t>133</w:t>
            </w:r>
          </w:p>
        </w:tc>
        <w:tc>
          <w:tcPr>
            <w:tcW w:w="1099" w:type="dxa"/>
            <w:shd w:val="clear" w:color="auto" w:fill="auto"/>
          </w:tcPr>
          <w:p w14:paraId="2520658A" w14:textId="0F015F49" w:rsidR="00650CF8" w:rsidRPr="009400C6" w:rsidRDefault="00E04B06" w:rsidP="00703770">
            <w:pPr>
              <w:spacing w:before="60"/>
              <w:jc w:val="right"/>
              <w:rPr>
                <w:rFonts w:ascii="Public Sans" w:eastAsia="Arial" w:hAnsi="Public Sans" w:cs="Arial"/>
                <w:sz w:val="18"/>
                <w:szCs w:val="18"/>
              </w:rPr>
            </w:pPr>
            <w:r w:rsidRPr="009400C6">
              <w:rPr>
                <w:rFonts w:ascii="Public Sans" w:eastAsia="Arial" w:hAnsi="Public Sans" w:cs="Arial"/>
                <w:sz w:val="18"/>
                <w:szCs w:val="18"/>
              </w:rPr>
              <w:t>137</w:t>
            </w:r>
          </w:p>
        </w:tc>
        <w:tc>
          <w:tcPr>
            <w:tcW w:w="1098" w:type="dxa"/>
            <w:shd w:val="clear" w:color="auto" w:fill="auto"/>
          </w:tcPr>
          <w:p w14:paraId="66E412AE" w14:textId="240BF576" w:rsidR="00650CF8" w:rsidRPr="009400C6" w:rsidRDefault="008B201F" w:rsidP="00703770">
            <w:pPr>
              <w:spacing w:before="60"/>
              <w:jc w:val="right"/>
              <w:rPr>
                <w:rFonts w:ascii="Public Sans" w:eastAsia="Arial" w:hAnsi="Public Sans" w:cs="Arial"/>
                <w:sz w:val="18"/>
                <w:szCs w:val="18"/>
              </w:rPr>
            </w:pPr>
            <w:r w:rsidRPr="009400C6">
              <w:rPr>
                <w:rFonts w:ascii="Public Sans" w:eastAsia="Arial" w:hAnsi="Public Sans" w:cs="Arial"/>
                <w:sz w:val="18"/>
                <w:szCs w:val="18"/>
              </w:rPr>
              <w:t>145</w:t>
            </w:r>
          </w:p>
        </w:tc>
        <w:tc>
          <w:tcPr>
            <w:tcW w:w="1099" w:type="dxa"/>
            <w:shd w:val="clear" w:color="auto" w:fill="auto"/>
          </w:tcPr>
          <w:p w14:paraId="56AD9C37" w14:textId="67FECA15" w:rsidR="00650CF8" w:rsidRPr="009400C6" w:rsidRDefault="008B201F" w:rsidP="00703770">
            <w:pPr>
              <w:spacing w:before="60"/>
              <w:jc w:val="right"/>
              <w:rPr>
                <w:rFonts w:ascii="Public Sans" w:eastAsia="Arial" w:hAnsi="Public Sans" w:cs="Arial"/>
                <w:sz w:val="18"/>
                <w:szCs w:val="18"/>
              </w:rPr>
            </w:pPr>
            <w:r w:rsidRPr="009400C6">
              <w:rPr>
                <w:rFonts w:ascii="Public Sans" w:eastAsia="Arial" w:hAnsi="Public Sans" w:cs="Arial"/>
                <w:sz w:val="18"/>
                <w:szCs w:val="18"/>
              </w:rPr>
              <w:t>15</w:t>
            </w:r>
            <w:r w:rsidR="00786678" w:rsidRPr="009400C6">
              <w:rPr>
                <w:rFonts w:ascii="Public Sans" w:eastAsia="Arial" w:hAnsi="Public Sans" w:cs="Arial"/>
                <w:sz w:val="18"/>
                <w:szCs w:val="18"/>
              </w:rPr>
              <w:t>2</w:t>
            </w:r>
          </w:p>
        </w:tc>
        <w:tc>
          <w:tcPr>
            <w:tcW w:w="1984" w:type="dxa"/>
            <w:vMerge w:val="restart"/>
            <w:tcBorders>
              <w:bottom w:val="single" w:sz="4" w:space="0" w:color="auto"/>
            </w:tcBorders>
          </w:tcPr>
          <w:p w14:paraId="5D4EBF3F" w14:textId="77777777" w:rsidR="00650CF8" w:rsidRPr="008432E4" w:rsidRDefault="00650CF8" w:rsidP="00703770">
            <w:pPr>
              <w:spacing w:before="60"/>
              <w:jc w:val="center"/>
              <w:rPr>
                <w:rFonts w:ascii="Public Sans" w:eastAsia="Arial" w:hAnsi="Public Sans" w:cs="Arial"/>
                <w:sz w:val="18"/>
                <w:szCs w:val="18"/>
              </w:rPr>
            </w:pPr>
            <w:r w:rsidRPr="008432E4">
              <w:rPr>
                <w:rFonts w:ascii="Public Sans" w:eastAsia="Arial" w:hAnsi="Public Sans" w:cs="Arial"/>
                <w:sz w:val="18"/>
                <w:szCs w:val="18"/>
              </w:rPr>
              <w:t>Single percentage point increase in factor</w:t>
            </w:r>
          </w:p>
        </w:tc>
      </w:tr>
      <w:tr w:rsidR="00650CF8" w:rsidRPr="008432E4" w14:paraId="33F2C3B8" w14:textId="77777777" w:rsidTr="00706319">
        <w:trPr>
          <w:trHeight w:val="283"/>
        </w:trPr>
        <w:tc>
          <w:tcPr>
            <w:tcW w:w="3261" w:type="dxa"/>
            <w:tcBorders>
              <w:bottom w:val="single" w:sz="4" w:space="0" w:color="auto"/>
            </w:tcBorders>
          </w:tcPr>
          <w:p w14:paraId="2C251B6D" w14:textId="77777777" w:rsidR="00650CF8" w:rsidRPr="008432E4" w:rsidRDefault="00650CF8" w:rsidP="00703770">
            <w:pPr>
              <w:spacing w:before="60"/>
              <w:rPr>
                <w:rFonts w:ascii="Public Sans" w:hAnsi="Public Sans"/>
                <w:sz w:val="18"/>
                <w:szCs w:val="18"/>
              </w:rPr>
            </w:pPr>
            <w:r w:rsidRPr="008432E4">
              <w:rPr>
                <w:rFonts w:ascii="Public Sans" w:eastAsia="Arial" w:hAnsi="Public Sans" w:cs="Arial"/>
                <w:sz w:val="18"/>
                <w:szCs w:val="18"/>
              </w:rPr>
              <w:t>Employment</w:t>
            </w:r>
          </w:p>
        </w:tc>
        <w:tc>
          <w:tcPr>
            <w:tcW w:w="1098" w:type="dxa"/>
            <w:tcBorders>
              <w:bottom w:val="single" w:sz="4" w:space="0" w:color="auto"/>
            </w:tcBorders>
          </w:tcPr>
          <w:p w14:paraId="269A0256" w14:textId="49CE750E" w:rsidR="00650CF8" w:rsidRPr="009400C6" w:rsidRDefault="00786678" w:rsidP="00703770">
            <w:pPr>
              <w:spacing w:before="60"/>
              <w:jc w:val="right"/>
              <w:rPr>
                <w:rFonts w:ascii="Public Sans" w:eastAsia="Arial" w:hAnsi="Public Sans" w:cs="Arial"/>
                <w:sz w:val="18"/>
                <w:szCs w:val="18"/>
              </w:rPr>
            </w:pPr>
            <w:r w:rsidRPr="009400C6">
              <w:rPr>
                <w:rFonts w:ascii="Public Sans" w:eastAsia="Arial" w:hAnsi="Public Sans" w:cs="Arial"/>
                <w:sz w:val="18"/>
                <w:szCs w:val="18"/>
              </w:rPr>
              <w:t>136</w:t>
            </w:r>
          </w:p>
        </w:tc>
        <w:tc>
          <w:tcPr>
            <w:tcW w:w="1099" w:type="dxa"/>
            <w:tcBorders>
              <w:bottom w:val="single" w:sz="4" w:space="0" w:color="auto"/>
            </w:tcBorders>
            <w:shd w:val="clear" w:color="auto" w:fill="FFFFFF" w:themeFill="background1"/>
          </w:tcPr>
          <w:p w14:paraId="7D5859A2" w14:textId="54274432" w:rsidR="00650CF8" w:rsidRPr="009400C6" w:rsidRDefault="00786678" w:rsidP="00703770">
            <w:pPr>
              <w:spacing w:before="60"/>
              <w:jc w:val="right"/>
              <w:rPr>
                <w:rFonts w:ascii="Public Sans" w:eastAsia="Arial" w:hAnsi="Public Sans" w:cs="Arial"/>
                <w:sz w:val="18"/>
                <w:szCs w:val="18"/>
              </w:rPr>
            </w:pPr>
            <w:r w:rsidRPr="009400C6">
              <w:rPr>
                <w:rFonts w:ascii="Public Sans" w:eastAsia="Arial" w:hAnsi="Public Sans" w:cs="Arial"/>
                <w:sz w:val="18"/>
                <w:szCs w:val="18"/>
              </w:rPr>
              <w:t>141</w:t>
            </w:r>
          </w:p>
        </w:tc>
        <w:tc>
          <w:tcPr>
            <w:tcW w:w="1098" w:type="dxa"/>
            <w:tcBorders>
              <w:bottom w:val="single" w:sz="4" w:space="0" w:color="auto"/>
            </w:tcBorders>
            <w:shd w:val="clear" w:color="auto" w:fill="FFFFFF" w:themeFill="background1"/>
          </w:tcPr>
          <w:p w14:paraId="41738520" w14:textId="45DC2DC1" w:rsidR="00650CF8" w:rsidRPr="009400C6" w:rsidRDefault="00786678" w:rsidP="00703770">
            <w:pPr>
              <w:spacing w:before="60"/>
              <w:jc w:val="right"/>
              <w:rPr>
                <w:rFonts w:ascii="Public Sans" w:eastAsia="Arial" w:hAnsi="Public Sans" w:cs="Arial"/>
                <w:sz w:val="18"/>
                <w:szCs w:val="18"/>
              </w:rPr>
            </w:pPr>
            <w:r w:rsidRPr="009400C6">
              <w:rPr>
                <w:rFonts w:ascii="Public Sans" w:eastAsia="Arial" w:hAnsi="Public Sans" w:cs="Arial"/>
                <w:sz w:val="18"/>
                <w:szCs w:val="18"/>
              </w:rPr>
              <w:t>149</w:t>
            </w:r>
          </w:p>
        </w:tc>
        <w:tc>
          <w:tcPr>
            <w:tcW w:w="1099" w:type="dxa"/>
            <w:tcBorders>
              <w:bottom w:val="single" w:sz="4" w:space="0" w:color="auto"/>
            </w:tcBorders>
            <w:shd w:val="clear" w:color="auto" w:fill="FFFFFF" w:themeFill="background1"/>
          </w:tcPr>
          <w:p w14:paraId="07C6FE69" w14:textId="27CE071B" w:rsidR="00650CF8" w:rsidRPr="009400C6" w:rsidRDefault="00786678" w:rsidP="00703770">
            <w:pPr>
              <w:spacing w:before="60"/>
              <w:jc w:val="right"/>
              <w:rPr>
                <w:rFonts w:ascii="Public Sans" w:eastAsia="Arial" w:hAnsi="Public Sans" w:cs="Arial"/>
                <w:sz w:val="18"/>
                <w:szCs w:val="18"/>
              </w:rPr>
            </w:pPr>
            <w:r w:rsidRPr="009400C6">
              <w:rPr>
                <w:rFonts w:ascii="Public Sans" w:eastAsia="Arial" w:hAnsi="Public Sans" w:cs="Arial"/>
                <w:sz w:val="18"/>
                <w:szCs w:val="18"/>
              </w:rPr>
              <w:t>156</w:t>
            </w:r>
          </w:p>
        </w:tc>
        <w:tc>
          <w:tcPr>
            <w:tcW w:w="1984" w:type="dxa"/>
            <w:vMerge/>
            <w:tcBorders>
              <w:bottom w:val="single" w:sz="4" w:space="0" w:color="auto"/>
            </w:tcBorders>
          </w:tcPr>
          <w:p w14:paraId="781AB731" w14:textId="77777777" w:rsidR="00650CF8" w:rsidRPr="008432E4" w:rsidRDefault="00650CF8" w:rsidP="00703770">
            <w:pPr>
              <w:jc w:val="center"/>
              <w:rPr>
                <w:rFonts w:ascii="Public Sans" w:eastAsia="Arial" w:hAnsi="Public Sans" w:cs="Arial"/>
                <w:sz w:val="18"/>
                <w:szCs w:val="18"/>
              </w:rPr>
            </w:pPr>
          </w:p>
        </w:tc>
      </w:tr>
    </w:tbl>
    <w:p w14:paraId="3C1F986C" w14:textId="77777777" w:rsidR="00650CF8" w:rsidRDefault="00650CF8" w:rsidP="00706319"/>
    <w:p w14:paraId="2E49ADC4" w14:textId="487CA9A2" w:rsidR="00CA1813" w:rsidRPr="00CA1813" w:rsidRDefault="00CA1813" w:rsidP="00014449">
      <w:pPr>
        <w:pStyle w:val="BodyText"/>
      </w:pPr>
      <w:r w:rsidRPr="00CA1813">
        <w:t xml:space="preserve">Transfer duty </w:t>
      </w:r>
      <w:r w:rsidR="5AF97AD3">
        <w:t>revenue forecasts</w:t>
      </w:r>
      <w:r w:rsidRPr="00CA1813">
        <w:t xml:space="preserve"> rely on the performance of the housing market, including both the volume of residential property sales and the average transacted price. Transfer duty revenues are expected to increase in 2023-24 as property owners who had delayed the decision to transact re-enter the market. If the residential property market performs better than is currently expected, this would add to the State’s budget result.</w:t>
      </w:r>
    </w:p>
    <w:p w14:paraId="3FFE9981" w14:textId="79B4937C" w:rsidR="000F7DA2" w:rsidRPr="00B81463" w:rsidRDefault="00CA1813" w:rsidP="00014449">
      <w:pPr>
        <w:pStyle w:val="BodyText"/>
      </w:pPr>
      <w:r w:rsidRPr="00CA1813">
        <w:t>Table B.3 denotes the sensitivity of forecast transfer duty to a one percentage point increase in residential transacted prices and volumes respectively.</w:t>
      </w:r>
    </w:p>
    <w:p w14:paraId="67CD9352" w14:textId="77777777" w:rsidR="00650CF8" w:rsidRDefault="00650CF8" w:rsidP="00A844F2">
      <w:pPr>
        <w:pStyle w:val="TableBX"/>
      </w:pPr>
      <w:r w:rsidRPr="3FF2B713">
        <w:t>Revenue sensitivities – Transfer duty</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B.3: Revenue sensitivities – Transfer duty"/>
        <w:tblDescription w:val="Table B.3: Revenue sensitivities – Transfer duty"/>
      </w:tblPr>
      <w:tblGrid>
        <w:gridCol w:w="3990"/>
        <w:gridCol w:w="972"/>
        <w:gridCol w:w="992"/>
        <w:gridCol w:w="992"/>
        <w:gridCol w:w="993"/>
        <w:gridCol w:w="1984"/>
      </w:tblGrid>
      <w:tr w:rsidR="00BE7FE6" w:rsidRPr="008432E4" w14:paraId="1BA0E97C" w14:textId="77777777" w:rsidTr="008432E4">
        <w:trPr>
          <w:trHeight w:val="283"/>
        </w:trPr>
        <w:tc>
          <w:tcPr>
            <w:tcW w:w="3990" w:type="dxa"/>
            <w:vMerge w:val="restart"/>
            <w:shd w:val="clear" w:color="auto" w:fill="EBEBEB"/>
            <w:vAlign w:val="center"/>
          </w:tcPr>
          <w:p w14:paraId="5499AD52" w14:textId="77777777" w:rsidR="00650CF8" w:rsidRPr="008432E4" w:rsidRDefault="00650CF8" w:rsidP="00703770">
            <w:pPr>
              <w:rPr>
                <w:rFonts w:ascii="Public Sans" w:eastAsia="Arial" w:hAnsi="Public Sans" w:cs="Arial"/>
                <w:sz w:val="18"/>
                <w:szCs w:val="18"/>
              </w:rPr>
            </w:pPr>
            <w:r w:rsidRPr="008432E4">
              <w:rPr>
                <w:rFonts w:ascii="Public Sans" w:eastAsia="Arial" w:hAnsi="Public Sans" w:cs="Arial"/>
                <w:sz w:val="18"/>
                <w:szCs w:val="18"/>
              </w:rPr>
              <w:t>Factors affecting transfer duty</w:t>
            </w:r>
          </w:p>
        </w:tc>
        <w:tc>
          <w:tcPr>
            <w:tcW w:w="972" w:type="dxa"/>
            <w:shd w:val="clear" w:color="auto" w:fill="EBEBEB"/>
            <w:vAlign w:val="bottom"/>
          </w:tcPr>
          <w:p w14:paraId="269AF849" w14:textId="6B9DB3B6" w:rsidR="00650CF8" w:rsidRPr="008432E4" w:rsidRDefault="0018605A" w:rsidP="00703770">
            <w:pPr>
              <w:jc w:val="center"/>
              <w:rPr>
                <w:rFonts w:ascii="Public Sans" w:eastAsia="Arial" w:hAnsi="Public Sans" w:cs="Arial"/>
                <w:sz w:val="18"/>
                <w:szCs w:val="18"/>
              </w:rPr>
            </w:pPr>
            <w:r w:rsidRPr="008432E4">
              <w:rPr>
                <w:rFonts w:ascii="Public Sans" w:eastAsia="Arial" w:hAnsi="Public Sans" w:cs="Arial"/>
                <w:sz w:val="18"/>
                <w:szCs w:val="18"/>
              </w:rPr>
              <w:t>2023-24</w:t>
            </w:r>
          </w:p>
        </w:tc>
        <w:tc>
          <w:tcPr>
            <w:tcW w:w="992" w:type="dxa"/>
            <w:shd w:val="clear" w:color="auto" w:fill="EBEBEB"/>
            <w:vAlign w:val="bottom"/>
          </w:tcPr>
          <w:p w14:paraId="2233C5AA" w14:textId="6706AEC9" w:rsidR="00650CF8" w:rsidRPr="008432E4" w:rsidRDefault="0018605A" w:rsidP="00703770">
            <w:pPr>
              <w:jc w:val="center"/>
              <w:rPr>
                <w:rFonts w:ascii="Public Sans" w:eastAsia="Arial" w:hAnsi="Public Sans" w:cs="Arial"/>
                <w:sz w:val="18"/>
                <w:szCs w:val="18"/>
              </w:rPr>
            </w:pPr>
            <w:r w:rsidRPr="008432E4">
              <w:rPr>
                <w:rFonts w:ascii="Public Sans" w:eastAsia="Arial" w:hAnsi="Public Sans" w:cs="Arial"/>
                <w:sz w:val="18"/>
                <w:szCs w:val="18"/>
              </w:rPr>
              <w:t>2024-25</w:t>
            </w:r>
          </w:p>
        </w:tc>
        <w:tc>
          <w:tcPr>
            <w:tcW w:w="992" w:type="dxa"/>
            <w:shd w:val="clear" w:color="auto" w:fill="EBEBEB"/>
            <w:vAlign w:val="bottom"/>
          </w:tcPr>
          <w:p w14:paraId="3732C6A0" w14:textId="01CF82C2" w:rsidR="00650CF8" w:rsidRPr="008432E4" w:rsidRDefault="0018605A" w:rsidP="00703770">
            <w:pPr>
              <w:jc w:val="center"/>
              <w:rPr>
                <w:rFonts w:ascii="Public Sans" w:eastAsia="Arial" w:hAnsi="Public Sans" w:cs="Arial"/>
                <w:sz w:val="18"/>
                <w:szCs w:val="18"/>
              </w:rPr>
            </w:pPr>
            <w:r w:rsidRPr="008432E4">
              <w:rPr>
                <w:rFonts w:ascii="Public Sans" w:eastAsia="Arial" w:hAnsi="Public Sans" w:cs="Arial"/>
                <w:sz w:val="18"/>
                <w:szCs w:val="18"/>
              </w:rPr>
              <w:t>2025-26</w:t>
            </w:r>
          </w:p>
        </w:tc>
        <w:tc>
          <w:tcPr>
            <w:tcW w:w="993" w:type="dxa"/>
            <w:shd w:val="clear" w:color="auto" w:fill="EBEBEB"/>
            <w:vAlign w:val="bottom"/>
          </w:tcPr>
          <w:p w14:paraId="31FAC6FC" w14:textId="49B3E31E" w:rsidR="00650CF8" w:rsidRPr="008432E4" w:rsidRDefault="0018605A" w:rsidP="00703770">
            <w:pPr>
              <w:jc w:val="center"/>
              <w:rPr>
                <w:rFonts w:ascii="Public Sans" w:eastAsia="Arial" w:hAnsi="Public Sans" w:cs="Arial"/>
                <w:sz w:val="18"/>
                <w:szCs w:val="18"/>
              </w:rPr>
            </w:pPr>
            <w:r w:rsidRPr="008432E4">
              <w:rPr>
                <w:rFonts w:ascii="Public Sans" w:eastAsia="Arial" w:hAnsi="Public Sans" w:cs="Arial"/>
                <w:sz w:val="18"/>
                <w:szCs w:val="18"/>
              </w:rPr>
              <w:t>2026-27</w:t>
            </w:r>
          </w:p>
        </w:tc>
        <w:tc>
          <w:tcPr>
            <w:tcW w:w="1984" w:type="dxa"/>
            <w:vMerge w:val="restart"/>
            <w:shd w:val="clear" w:color="auto" w:fill="4F4F4F"/>
            <w:vAlign w:val="center"/>
          </w:tcPr>
          <w:p w14:paraId="7CB089BC" w14:textId="77777777" w:rsidR="00650CF8" w:rsidRPr="008432E4" w:rsidRDefault="00650CF8" w:rsidP="00703770">
            <w:pPr>
              <w:jc w:val="center"/>
              <w:rPr>
                <w:rFonts w:ascii="Public Sans" w:eastAsia="Arial" w:hAnsi="Public Sans" w:cs="Arial"/>
                <w:color w:val="FFFFFF" w:themeColor="background1"/>
                <w:sz w:val="18"/>
                <w:szCs w:val="18"/>
              </w:rPr>
            </w:pPr>
            <w:r w:rsidRPr="008432E4">
              <w:rPr>
                <w:rFonts w:ascii="Public Sans" w:eastAsia="Arial" w:hAnsi="Public Sans" w:cs="Arial"/>
                <w:color w:val="FFFFFF" w:themeColor="background1"/>
                <w:sz w:val="18"/>
                <w:szCs w:val="18"/>
              </w:rPr>
              <w:t>Sensitivity</w:t>
            </w:r>
          </w:p>
        </w:tc>
      </w:tr>
      <w:tr w:rsidR="00BE7FE6" w:rsidRPr="008432E4" w14:paraId="04FA7164" w14:textId="77777777" w:rsidTr="4604EE36">
        <w:trPr>
          <w:trHeight w:val="227"/>
        </w:trPr>
        <w:tc>
          <w:tcPr>
            <w:tcW w:w="3990" w:type="dxa"/>
            <w:vMerge/>
          </w:tcPr>
          <w:p w14:paraId="0729FB03" w14:textId="77777777" w:rsidR="00650CF8" w:rsidRPr="008432E4" w:rsidRDefault="00650CF8" w:rsidP="00703770">
            <w:pPr>
              <w:rPr>
                <w:rFonts w:ascii="Public Sans" w:hAnsi="Public Sans"/>
                <w:sz w:val="18"/>
                <w:szCs w:val="18"/>
              </w:rPr>
            </w:pPr>
          </w:p>
        </w:tc>
        <w:tc>
          <w:tcPr>
            <w:tcW w:w="972" w:type="dxa"/>
            <w:shd w:val="clear" w:color="auto" w:fill="EBEBEB"/>
          </w:tcPr>
          <w:p w14:paraId="708F6812" w14:textId="0BFBA71D" w:rsidR="00650CF8" w:rsidRPr="008432E4" w:rsidRDefault="00650CF8" w:rsidP="00703770">
            <w:pPr>
              <w:jc w:val="center"/>
              <w:rPr>
                <w:rFonts w:ascii="Public Sans" w:eastAsia="Arial" w:hAnsi="Public Sans" w:cs="Arial"/>
                <w:sz w:val="18"/>
                <w:szCs w:val="18"/>
              </w:rPr>
            </w:pPr>
            <w:r w:rsidRPr="008432E4">
              <w:rPr>
                <w:rFonts w:ascii="Public Sans" w:eastAsia="Arial" w:hAnsi="Public Sans" w:cs="Arial"/>
                <w:sz w:val="18"/>
                <w:szCs w:val="18"/>
              </w:rPr>
              <w:t>Budget</w:t>
            </w:r>
          </w:p>
        </w:tc>
        <w:tc>
          <w:tcPr>
            <w:tcW w:w="2977" w:type="dxa"/>
            <w:gridSpan w:val="3"/>
            <w:shd w:val="clear" w:color="auto" w:fill="EBEBEB"/>
          </w:tcPr>
          <w:p w14:paraId="48986D67" w14:textId="4471B98E" w:rsidR="00650CF8" w:rsidRPr="008432E4" w:rsidRDefault="00650CF8" w:rsidP="00703770">
            <w:pPr>
              <w:jc w:val="center"/>
              <w:rPr>
                <w:rFonts w:ascii="Public Sans" w:eastAsia="Arial" w:hAnsi="Public Sans" w:cs="Arial"/>
                <w:sz w:val="18"/>
                <w:szCs w:val="18"/>
              </w:rPr>
            </w:pPr>
            <w:r w:rsidRPr="008432E4">
              <w:rPr>
                <w:rFonts w:ascii="Public Sans" w:eastAsia="Arial" w:hAnsi="Public Sans" w:cs="Arial"/>
                <w:sz w:val="18"/>
                <w:szCs w:val="18"/>
              </w:rPr>
              <w:t>Forward estimates</w:t>
            </w:r>
          </w:p>
        </w:tc>
        <w:tc>
          <w:tcPr>
            <w:tcW w:w="1984" w:type="dxa"/>
            <w:vMerge/>
          </w:tcPr>
          <w:p w14:paraId="1AA9F3CB" w14:textId="77777777" w:rsidR="00650CF8" w:rsidRPr="008432E4" w:rsidRDefault="00650CF8" w:rsidP="00703770">
            <w:pPr>
              <w:jc w:val="center"/>
              <w:rPr>
                <w:rFonts w:ascii="Public Sans" w:eastAsia="Arial" w:hAnsi="Public Sans" w:cs="Arial"/>
                <w:color w:val="FFFFFF" w:themeColor="background1"/>
                <w:sz w:val="18"/>
                <w:szCs w:val="18"/>
              </w:rPr>
            </w:pPr>
          </w:p>
        </w:tc>
      </w:tr>
      <w:tr w:rsidR="00A844F2" w:rsidRPr="008432E4" w14:paraId="75A5CCC5" w14:textId="77777777" w:rsidTr="00840C53">
        <w:trPr>
          <w:trHeight w:val="283"/>
        </w:trPr>
        <w:tc>
          <w:tcPr>
            <w:tcW w:w="3990" w:type="dxa"/>
            <w:shd w:val="clear" w:color="auto" w:fill="EBEBEB"/>
          </w:tcPr>
          <w:p w14:paraId="16DCB71D" w14:textId="77777777" w:rsidR="00650CF8" w:rsidRPr="008432E4" w:rsidRDefault="00650CF8" w:rsidP="00703770">
            <w:pPr>
              <w:rPr>
                <w:rFonts w:ascii="Public Sans" w:hAnsi="Public Sans"/>
                <w:sz w:val="18"/>
                <w:szCs w:val="18"/>
              </w:rPr>
            </w:pPr>
          </w:p>
        </w:tc>
        <w:tc>
          <w:tcPr>
            <w:tcW w:w="972" w:type="dxa"/>
            <w:shd w:val="clear" w:color="auto" w:fill="EBEBEB"/>
          </w:tcPr>
          <w:p w14:paraId="2C698657" w14:textId="77777777" w:rsidR="00650CF8" w:rsidRPr="008432E4" w:rsidRDefault="00650CF8" w:rsidP="00703770">
            <w:pPr>
              <w:jc w:val="center"/>
              <w:rPr>
                <w:rFonts w:ascii="Public Sans" w:eastAsia="Arial" w:hAnsi="Public Sans" w:cs="Arial"/>
                <w:sz w:val="18"/>
                <w:szCs w:val="18"/>
              </w:rPr>
            </w:pPr>
            <w:r w:rsidRPr="008432E4">
              <w:rPr>
                <w:rFonts w:ascii="Public Sans" w:eastAsia="Arial" w:hAnsi="Public Sans" w:cs="Arial"/>
                <w:sz w:val="18"/>
                <w:szCs w:val="18"/>
              </w:rPr>
              <w:t>$m</w:t>
            </w:r>
          </w:p>
        </w:tc>
        <w:tc>
          <w:tcPr>
            <w:tcW w:w="992" w:type="dxa"/>
            <w:shd w:val="clear" w:color="auto" w:fill="EBEBEB"/>
          </w:tcPr>
          <w:p w14:paraId="675370EC" w14:textId="77777777" w:rsidR="00650CF8" w:rsidRPr="008432E4" w:rsidRDefault="00650CF8" w:rsidP="00703770">
            <w:pPr>
              <w:jc w:val="center"/>
              <w:rPr>
                <w:rFonts w:ascii="Public Sans" w:eastAsia="Arial" w:hAnsi="Public Sans" w:cs="Arial"/>
                <w:sz w:val="18"/>
                <w:szCs w:val="18"/>
              </w:rPr>
            </w:pPr>
            <w:r w:rsidRPr="008432E4">
              <w:rPr>
                <w:rFonts w:ascii="Public Sans" w:eastAsia="Arial" w:hAnsi="Public Sans" w:cs="Arial"/>
                <w:sz w:val="18"/>
                <w:szCs w:val="18"/>
              </w:rPr>
              <w:t>$m</w:t>
            </w:r>
          </w:p>
        </w:tc>
        <w:tc>
          <w:tcPr>
            <w:tcW w:w="992" w:type="dxa"/>
            <w:shd w:val="clear" w:color="auto" w:fill="EBEBEB"/>
          </w:tcPr>
          <w:p w14:paraId="07200C38" w14:textId="77777777" w:rsidR="00650CF8" w:rsidRPr="008432E4" w:rsidRDefault="00650CF8" w:rsidP="00703770">
            <w:pPr>
              <w:jc w:val="center"/>
              <w:rPr>
                <w:rFonts w:ascii="Public Sans" w:eastAsia="Arial" w:hAnsi="Public Sans" w:cs="Arial"/>
                <w:sz w:val="18"/>
                <w:szCs w:val="18"/>
              </w:rPr>
            </w:pPr>
            <w:r w:rsidRPr="008432E4">
              <w:rPr>
                <w:rFonts w:ascii="Public Sans" w:eastAsia="Arial" w:hAnsi="Public Sans" w:cs="Arial"/>
                <w:sz w:val="18"/>
                <w:szCs w:val="18"/>
              </w:rPr>
              <w:t>$m</w:t>
            </w:r>
          </w:p>
        </w:tc>
        <w:tc>
          <w:tcPr>
            <w:tcW w:w="993" w:type="dxa"/>
            <w:shd w:val="clear" w:color="auto" w:fill="EBEBEB"/>
          </w:tcPr>
          <w:p w14:paraId="738164D5" w14:textId="77777777" w:rsidR="00650CF8" w:rsidRPr="008432E4" w:rsidRDefault="00650CF8" w:rsidP="00703770">
            <w:pPr>
              <w:jc w:val="center"/>
              <w:rPr>
                <w:rFonts w:ascii="Public Sans" w:eastAsia="Arial" w:hAnsi="Public Sans" w:cs="Arial"/>
                <w:sz w:val="18"/>
                <w:szCs w:val="18"/>
              </w:rPr>
            </w:pPr>
            <w:r w:rsidRPr="008432E4">
              <w:rPr>
                <w:rFonts w:ascii="Public Sans" w:eastAsia="Arial" w:hAnsi="Public Sans" w:cs="Arial"/>
                <w:sz w:val="18"/>
                <w:szCs w:val="18"/>
              </w:rPr>
              <w:t>$m</w:t>
            </w:r>
          </w:p>
        </w:tc>
        <w:tc>
          <w:tcPr>
            <w:tcW w:w="1984" w:type="dxa"/>
            <w:vMerge/>
          </w:tcPr>
          <w:p w14:paraId="46062AD3" w14:textId="77777777" w:rsidR="00650CF8" w:rsidRPr="008432E4" w:rsidRDefault="00650CF8" w:rsidP="00703770">
            <w:pPr>
              <w:jc w:val="center"/>
              <w:rPr>
                <w:rFonts w:ascii="Public Sans" w:eastAsia="Arial" w:hAnsi="Public Sans" w:cs="Arial"/>
                <w:color w:val="FFFFFF" w:themeColor="background1"/>
                <w:sz w:val="18"/>
                <w:szCs w:val="18"/>
              </w:rPr>
            </w:pPr>
          </w:p>
        </w:tc>
      </w:tr>
      <w:tr w:rsidR="00650CF8" w:rsidRPr="008432E4" w14:paraId="34738A29" w14:textId="77777777" w:rsidTr="00840C53">
        <w:trPr>
          <w:trHeight w:val="480"/>
        </w:trPr>
        <w:tc>
          <w:tcPr>
            <w:tcW w:w="3990" w:type="dxa"/>
            <w:shd w:val="clear" w:color="auto" w:fill="auto"/>
          </w:tcPr>
          <w:p w14:paraId="74ADA5E3" w14:textId="77777777" w:rsidR="00650CF8" w:rsidRPr="008432E4" w:rsidRDefault="00650CF8" w:rsidP="00703770">
            <w:pPr>
              <w:spacing w:before="60"/>
              <w:rPr>
                <w:rFonts w:ascii="Public Sans" w:hAnsi="Public Sans"/>
                <w:sz w:val="18"/>
                <w:szCs w:val="18"/>
              </w:rPr>
            </w:pPr>
            <w:r w:rsidRPr="008432E4">
              <w:rPr>
                <w:rFonts w:ascii="Public Sans" w:eastAsia="Arial" w:hAnsi="Public Sans" w:cs="Arial"/>
                <w:sz w:val="18"/>
                <w:szCs w:val="18"/>
              </w:rPr>
              <w:t>Residential prices (average transacted price)</w:t>
            </w:r>
          </w:p>
        </w:tc>
        <w:tc>
          <w:tcPr>
            <w:tcW w:w="972" w:type="dxa"/>
            <w:shd w:val="clear" w:color="auto" w:fill="auto"/>
          </w:tcPr>
          <w:p w14:paraId="44C1ED46" w14:textId="25F353F4" w:rsidR="00650CF8" w:rsidRPr="009400C6" w:rsidRDefault="002C3292" w:rsidP="00703770">
            <w:pPr>
              <w:spacing w:before="60"/>
              <w:jc w:val="center"/>
              <w:rPr>
                <w:rFonts w:ascii="Public Sans" w:eastAsia="Arial" w:hAnsi="Public Sans" w:cs="Arial"/>
                <w:sz w:val="18"/>
                <w:szCs w:val="18"/>
              </w:rPr>
            </w:pPr>
            <w:r w:rsidRPr="009400C6">
              <w:rPr>
                <w:rFonts w:ascii="Public Sans" w:eastAsia="Arial" w:hAnsi="Public Sans" w:cs="Arial"/>
                <w:sz w:val="18"/>
                <w:szCs w:val="18"/>
              </w:rPr>
              <w:t>1</w:t>
            </w:r>
            <w:r w:rsidR="00236A49" w:rsidRPr="009400C6">
              <w:rPr>
                <w:rFonts w:ascii="Public Sans" w:eastAsia="Arial" w:hAnsi="Public Sans" w:cs="Arial"/>
                <w:sz w:val="18"/>
                <w:szCs w:val="18"/>
              </w:rPr>
              <w:t>12</w:t>
            </w:r>
          </w:p>
        </w:tc>
        <w:tc>
          <w:tcPr>
            <w:tcW w:w="992" w:type="dxa"/>
            <w:shd w:val="clear" w:color="auto" w:fill="auto"/>
          </w:tcPr>
          <w:p w14:paraId="5EB8815A" w14:textId="02E87383" w:rsidR="00650CF8" w:rsidRPr="009400C6" w:rsidRDefault="00236A49" w:rsidP="00703770">
            <w:pPr>
              <w:spacing w:before="60"/>
              <w:jc w:val="center"/>
              <w:rPr>
                <w:rFonts w:ascii="Public Sans" w:eastAsia="Arial" w:hAnsi="Public Sans" w:cs="Arial"/>
                <w:sz w:val="18"/>
                <w:szCs w:val="18"/>
              </w:rPr>
            </w:pPr>
            <w:r w:rsidRPr="009400C6">
              <w:rPr>
                <w:rFonts w:ascii="Public Sans" w:eastAsia="Arial" w:hAnsi="Public Sans" w:cs="Arial"/>
                <w:sz w:val="18"/>
                <w:szCs w:val="18"/>
              </w:rPr>
              <w:t>113</w:t>
            </w:r>
          </w:p>
        </w:tc>
        <w:tc>
          <w:tcPr>
            <w:tcW w:w="992" w:type="dxa"/>
            <w:shd w:val="clear" w:color="auto" w:fill="auto"/>
          </w:tcPr>
          <w:p w14:paraId="67473B40" w14:textId="2AA42116" w:rsidR="00650CF8" w:rsidRPr="009400C6" w:rsidRDefault="00236A49" w:rsidP="00703770">
            <w:pPr>
              <w:spacing w:before="60"/>
              <w:jc w:val="center"/>
              <w:rPr>
                <w:rFonts w:ascii="Public Sans" w:eastAsia="Arial" w:hAnsi="Public Sans" w:cs="Arial"/>
                <w:sz w:val="18"/>
                <w:szCs w:val="18"/>
              </w:rPr>
            </w:pPr>
            <w:r w:rsidRPr="009400C6">
              <w:rPr>
                <w:rFonts w:ascii="Public Sans" w:eastAsia="Arial" w:hAnsi="Public Sans" w:cs="Arial"/>
                <w:sz w:val="18"/>
                <w:szCs w:val="18"/>
              </w:rPr>
              <w:t>113</w:t>
            </w:r>
          </w:p>
        </w:tc>
        <w:tc>
          <w:tcPr>
            <w:tcW w:w="993" w:type="dxa"/>
            <w:shd w:val="clear" w:color="auto" w:fill="auto"/>
          </w:tcPr>
          <w:p w14:paraId="32B8F31F" w14:textId="7596212F" w:rsidR="00650CF8" w:rsidRPr="009400C6" w:rsidRDefault="00236A49" w:rsidP="00703770">
            <w:pPr>
              <w:spacing w:before="60"/>
              <w:jc w:val="center"/>
              <w:rPr>
                <w:rFonts w:ascii="Public Sans" w:eastAsia="Arial" w:hAnsi="Public Sans" w:cs="Arial"/>
                <w:sz w:val="18"/>
                <w:szCs w:val="18"/>
              </w:rPr>
            </w:pPr>
            <w:r w:rsidRPr="009400C6">
              <w:rPr>
                <w:rFonts w:ascii="Public Sans" w:eastAsia="Arial" w:hAnsi="Public Sans" w:cs="Arial"/>
                <w:sz w:val="18"/>
                <w:szCs w:val="18"/>
              </w:rPr>
              <w:t>116</w:t>
            </w:r>
          </w:p>
        </w:tc>
        <w:tc>
          <w:tcPr>
            <w:tcW w:w="1984" w:type="dxa"/>
            <w:vMerge w:val="restart"/>
            <w:tcBorders>
              <w:bottom w:val="single" w:sz="4" w:space="0" w:color="auto"/>
            </w:tcBorders>
            <w:shd w:val="clear" w:color="auto" w:fill="auto"/>
          </w:tcPr>
          <w:p w14:paraId="7C53C32D" w14:textId="77777777" w:rsidR="00650CF8" w:rsidRPr="008432E4" w:rsidRDefault="00650CF8" w:rsidP="00703770">
            <w:pPr>
              <w:spacing w:before="60"/>
              <w:jc w:val="center"/>
              <w:rPr>
                <w:rFonts w:ascii="Public Sans" w:eastAsia="Arial" w:hAnsi="Public Sans" w:cs="Arial"/>
                <w:sz w:val="18"/>
                <w:szCs w:val="18"/>
              </w:rPr>
            </w:pPr>
            <w:r w:rsidRPr="008432E4">
              <w:rPr>
                <w:rFonts w:ascii="Public Sans" w:eastAsia="Arial" w:hAnsi="Public Sans" w:cs="Arial"/>
                <w:sz w:val="18"/>
                <w:szCs w:val="18"/>
              </w:rPr>
              <w:t>Single percentage point increase in factor</w:t>
            </w:r>
          </w:p>
        </w:tc>
      </w:tr>
      <w:tr w:rsidR="00650CF8" w:rsidRPr="008432E4" w14:paraId="198FD508" w14:textId="77777777" w:rsidTr="00B56FB4">
        <w:trPr>
          <w:trHeight w:val="383"/>
        </w:trPr>
        <w:tc>
          <w:tcPr>
            <w:tcW w:w="3990" w:type="dxa"/>
            <w:tcBorders>
              <w:bottom w:val="single" w:sz="4" w:space="0" w:color="auto"/>
            </w:tcBorders>
          </w:tcPr>
          <w:p w14:paraId="4F8827A0" w14:textId="77777777" w:rsidR="00650CF8" w:rsidRPr="008432E4" w:rsidRDefault="00650CF8" w:rsidP="00703770">
            <w:pPr>
              <w:spacing w:before="60"/>
              <w:rPr>
                <w:rFonts w:ascii="Public Sans" w:hAnsi="Public Sans"/>
                <w:sz w:val="18"/>
                <w:szCs w:val="18"/>
              </w:rPr>
            </w:pPr>
            <w:r w:rsidRPr="008432E4">
              <w:rPr>
                <w:rFonts w:ascii="Public Sans" w:eastAsia="Arial" w:hAnsi="Public Sans" w:cs="Arial"/>
                <w:sz w:val="18"/>
                <w:szCs w:val="18"/>
              </w:rPr>
              <w:t>Residential transaction volumes</w:t>
            </w:r>
          </w:p>
        </w:tc>
        <w:tc>
          <w:tcPr>
            <w:tcW w:w="972" w:type="dxa"/>
            <w:tcBorders>
              <w:bottom w:val="single" w:sz="4" w:space="0" w:color="auto"/>
            </w:tcBorders>
          </w:tcPr>
          <w:p w14:paraId="35651212" w14:textId="1B83F0E7" w:rsidR="00650CF8" w:rsidRPr="009400C6" w:rsidRDefault="00236A49" w:rsidP="00703770">
            <w:pPr>
              <w:spacing w:before="60"/>
              <w:jc w:val="center"/>
              <w:rPr>
                <w:rFonts w:ascii="Public Sans" w:eastAsia="Arial" w:hAnsi="Public Sans" w:cs="Arial"/>
                <w:sz w:val="18"/>
                <w:szCs w:val="18"/>
              </w:rPr>
            </w:pPr>
            <w:r w:rsidRPr="009400C6">
              <w:rPr>
                <w:rFonts w:ascii="Public Sans" w:eastAsia="Arial" w:hAnsi="Public Sans" w:cs="Arial"/>
                <w:sz w:val="18"/>
                <w:szCs w:val="18"/>
              </w:rPr>
              <w:t>97</w:t>
            </w:r>
          </w:p>
        </w:tc>
        <w:tc>
          <w:tcPr>
            <w:tcW w:w="992" w:type="dxa"/>
            <w:tcBorders>
              <w:bottom w:val="single" w:sz="4" w:space="0" w:color="auto"/>
            </w:tcBorders>
            <w:shd w:val="clear" w:color="auto" w:fill="FFFFFF" w:themeFill="background1"/>
          </w:tcPr>
          <w:p w14:paraId="01731A6E" w14:textId="2FBD85E4" w:rsidR="00650CF8" w:rsidRPr="009400C6" w:rsidRDefault="00236A49" w:rsidP="00703770">
            <w:pPr>
              <w:spacing w:before="60"/>
              <w:jc w:val="center"/>
              <w:rPr>
                <w:rFonts w:ascii="Public Sans" w:eastAsia="Arial" w:hAnsi="Public Sans" w:cs="Arial"/>
                <w:sz w:val="18"/>
                <w:szCs w:val="18"/>
              </w:rPr>
            </w:pPr>
            <w:r w:rsidRPr="009400C6">
              <w:rPr>
                <w:rFonts w:ascii="Public Sans" w:eastAsia="Arial" w:hAnsi="Public Sans" w:cs="Arial"/>
                <w:sz w:val="18"/>
                <w:szCs w:val="18"/>
              </w:rPr>
              <w:t>97</w:t>
            </w:r>
          </w:p>
        </w:tc>
        <w:tc>
          <w:tcPr>
            <w:tcW w:w="992" w:type="dxa"/>
            <w:tcBorders>
              <w:bottom w:val="single" w:sz="4" w:space="0" w:color="auto"/>
            </w:tcBorders>
            <w:shd w:val="clear" w:color="auto" w:fill="FFFFFF" w:themeFill="background1"/>
          </w:tcPr>
          <w:p w14:paraId="37C991ED" w14:textId="14C6499B" w:rsidR="00650CF8" w:rsidRPr="009400C6" w:rsidRDefault="00236A49" w:rsidP="00703770">
            <w:pPr>
              <w:spacing w:before="60"/>
              <w:jc w:val="center"/>
              <w:rPr>
                <w:rFonts w:ascii="Public Sans" w:eastAsia="Arial" w:hAnsi="Public Sans" w:cs="Arial"/>
                <w:sz w:val="18"/>
                <w:szCs w:val="18"/>
              </w:rPr>
            </w:pPr>
            <w:r w:rsidRPr="009400C6">
              <w:rPr>
                <w:rFonts w:ascii="Public Sans" w:eastAsia="Arial" w:hAnsi="Public Sans" w:cs="Arial"/>
                <w:sz w:val="18"/>
                <w:szCs w:val="18"/>
              </w:rPr>
              <w:t>97</w:t>
            </w:r>
          </w:p>
        </w:tc>
        <w:tc>
          <w:tcPr>
            <w:tcW w:w="993" w:type="dxa"/>
            <w:tcBorders>
              <w:bottom w:val="single" w:sz="4" w:space="0" w:color="auto"/>
            </w:tcBorders>
            <w:shd w:val="clear" w:color="auto" w:fill="FFFFFF" w:themeFill="background1"/>
          </w:tcPr>
          <w:p w14:paraId="4AF01221" w14:textId="1602879E" w:rsidR="00650CF8" w:rsidRPr="009400C6" w:rsidRDefault="00236A49" w:rsidP="00703770">
            <w:pPr>
              <w:spacing w:before="60"/>
              <w:jc w:val="center"/>
              <w:rPr>
                <w:rFonts w:ascii="Public Sans" w:eastAsia="Arial" w:hAnsi="Public Sans" w:cs="Arial"/>
                <w:sz w:val="18"/>
                <w:szCs w:val="18"/>
              </w:rPr>
            </w:pPr>
            <w:r w:rsidRPr="009400C6">
              <w:rPr>
                <w:rFonts w:ascii="Public Sans" w:eastAsia="Arial" w:hAnsi="Public Sans" w:cs="Arial"/>
                <w:sz w:val="18"/>
                <w:szCs w:val="18"/>
              </w:rPr>
              <w:t>99</w:t>
            </w:r>
          </w:p>
        </w:tc>
        <w:tc>
          <w:tcPr>
            <w:tcW w:w="1984" w:type="dxa"/>
            <w:vMerge/>
            <w:tcBorders>
              <w:bottom w:val="single" w:sz="4" w:space="0" w:color="auto"/>
            </w:tcBorders>
          </w:tcPr>
          <w:p w14:paraId="76F469E8" w14:textId="77777777" w:rsidR="00650CF8" w:rsidRPr="008432E4" w:rsidRDefault="00650CF8" w:rsidP="00703770">
            <w:pPr>
              <w:rPr>
                <w:rFonts w:ascii="Public Sans" w:hAnsi="Public Sans"/>
                <w:sz w:val="18"/>
                <w:szCs w:val="18"/>
              </w:rPr>
            </w:pPr>
          </w:p>
        </w:tc>
      </w:tr>
    </w:tbl>
    <w:p w14:paraId="3DEC4F2D" w14:textId="77777777" w:rsidR="00650CF8" w:rsidRDefault="00650CF8" w:rsidP="00650CF8">
      <w:pPr>
        <w:rPr>
          <w:rFonts w:eastAsiaTheme="minorEastAsia"/>
        </w:rPr>
      </w:pPr>
    </w:p>
    <w:p w14:paraId="5F62EB10" w14:textId="362EDAF2" w:rsidR="001D6290" w:rsidRDefault="004B7F2D" w:rsidP="00014449">
      <w:pPr>
        <w:pStyle w:val="BodyText"/>
      </w:pPr>
      <w:bookmarkStart w:id="1" w:name="_Hlk516140863"/>
      <w:r>
        <w:t xml:space="preserve">Other state taxes are typically less volatile than those mentioned above, and they generally correlate to changes in the broader NSW economy. For example, revenue from motor vehicle taxes, gambling taxes and other stamp duties typically rise and fall with consumption patterns across the State. </w:t>
      </w:r>
    </w:p>
    <w:p w14:paraId="7267B845" w14:textId="6D75DB89" w:rsidR="38954A94" w:rsidRDefault="38954A94" w:rsidP="31109F9F">
      <w:pPr>
        <w:pStyle w:val="Heading3"/>
        <w:rPr>
          <w:rFonts w:ascii="Public Sans" w:eastAsia="Arial Bold" w:hAnsi="Public Sans"/>
          <w:b w:val="0"/>
          <w:sz w:val="22"/>
          <w:szCs w:val="22"/>
        </w:rPr>
      </w:pPr>
      <w:r w:rsidRPr="31109F9F">
        <w:rPr>
          <w:rFonts w:ascii="Public Sans" w:eastAsia="Arial Bold" w:hAnsi="Public Sans"/>
          <w:b w:val="0"/>
          <w:sz w:val="22"/>
          <w:szCs w:val="22"/>
        </w:rPr>
        <w:t xml:space="preserve">The High Court will soon decide the constitutional validity of the Victorian electric vehicle road user charge (EV RUC) in the case of </w:t>
      </w:r>
      <w:proofErr w:type="spellStart"/>
      <w:r w:rsidRPr="31109F9F">
        <w:rPr>
          <w:rFonts w:ascii="Public Sans" w:eastAsia="Arial Bold" w:hAnsi="Public Sans"/>
          <w:b w:val="0"/>
          <w:i/>
          <w:iCs/>
          <w:sz w:val="22"/>
          <w:szCs w:val="22"/>
        </w:rPr>
        <w:t>Vanderstock</w:t>
      </w:r>
      <w:proofErr w:type="spellEnd"/>
      <w:r w:rsidRPr="31109F9F">
        <w:rPr>
          <w:rFonts w:ascii="Public Sans" w:eastAsia="Arial Bold" w:hAnsi="Public Sans"/>
          <w:b w:val="0"/>
          <w:i/>
          <w:iCs/>
          <w:sz w:val="22"/>
          <w:szCs w:val="22"/>
        </w:rPr>
        <w:t xml:space="preserve"> and Anor v the State of Victoria</w:t>
      </w:r>
      <w:r w:rsidRPr="31109F9F">
        <w:rPr>
          <w:rFonts w:ascii="Public Sans" w:eastAsia="Arial Bold" w:hAnsi="Public Sans"/>
          <w:b w:val="0"/>
          <w:sz w:val="22"/>
          <w:szCs w:val="22"/>
        </w:rPr>
        <w:t xml:space="preserve">. The outcome is uncertain and could have broad-ranging implications for the </w:t>
      </w:r>
      <w:r w:rsidR="005E0295">
        <w:rPr>
          <w:rFonts w:ascii="Public Sans" w:eastAsia="Arial Bold" w:hAnsi="Public Sans"/>
          <w:b w:val="0"/>
          <w:sz w:val="22"/>
          <w:szCs w:val="22"/>
        </w:rPr>
        <w:t>Australian</w:t>
      </w:r>
      <w:r w:rsidRPr="31109F9F">
        <w:rPr>
          <w:rFonts w:ascii="Public Sans" w:eastAsia="Arial Bold" w:hAnsi="Public Sans"/>
          <w:b w:val="0"/>
          <w:sz w:val="22"/>
          <w:szCs w:val="22"/>
        </w:rPr>
        <w:t xml:space="preserve"> and state tax base. The plaintiffs argue that the Victorian EV RUC is unconstitutional on the grounds that it is an excise and therefore invalid under section 90 of the Constitution, which reserves this power for the </w:t>
      </w:r>
      <w:r w:rsidR="001C7825">
        <w:rPr>
          <w:rFonts w:ascii="Public Sans" w:eastAsia="Arial Bold" w:hAnsi="Public Sans"/>
          <w:b w:val="0"/>
          <w:sz w:val="22"/>
          <w:szCs w:val="22"/>
        </w:rPr>
        <w:t>Australian Government</w:t>
      </w:r>
      <w:r w:rsidRPr="31109F9F">
        <w:rPr>
          <w:rFonts w:ascii="Public Sans" w:eastAsia="Arial Bold" w:hAnsi="Public Sans"/>
          <w:b w:val="0"/>
          <w:sz w:val="22"/>
          <w:szCs w:val="22"/>
        </w:rPr>
        <w:t xml:space="preserve">. If the plaintiffs succeed, it is </w:t>
      </w:r>
      <w:r w:rsidR="00D4599F">
        <w:rPr>
          <w:rFonts w:ascii="Public Sans" w:eastAsia="Arial Bold" w:hAnsi="Public Sans"/>
          <w:b w:val="0"/>
          <w:sz w:val="22"/>
          <w:szCs w:val="22"/>
        </w:rPr>
        <w:t>possible</w:t>
      </w:r>
      <w:r w:rsidRPr="31109F9F">
        <w:rPr>
          <w:rFonts w:ascii="Public Sans" w:eastAsia="Arial Bold" w:hAnsi="Public Sans"/>
          <w:b w:val="0"/>
          <w:sz w:val="22"/>
          <w:szCs w:val="22"/>
        </w:rPr>
        <w:t xml:space="preserve"> that the equivalent NSW EV RUC could also be deemed unconstitutional. While the NSW EV RUC is not expected to commence until 1 July 2027, the revenue at risk is expected to be $180 million in 2027-28 and $1.7 billion annually in the long term.</w:t>
      </w:r>
    </w:p>
    <w:p w14:paraId="5A6610B0" w14:textId="055FF9EB" w:rsidR="38954A94" w:rsidRDefault="38954A94" w:rsidP="31109F9F">
      <w:pPr>
        <w:pStyle w:val="Heading3"/>
        <w:rPr>
          <w:rFonts w:ascii="Public Sans" w:eastAsia="Arial Bold" w:hAnsi="Public Sans"/>
          <w:b w:val="0"/>
          <w:sz w:val="22"/>
          <w:szCs w:val="22"/>
        </w:rPr>
      </w:pPr>
      <w:r w:rsidRPr="31109F9F">
        <w:rPr>
          <w:rFonts w:ascii="Public Sans" w:eastAsia="Arial Bold" w:hAnsi="Public Sans"/>
          <w:b w:val="0"/>
          <w:sz w:val="22"/>
          <w:szCs w:val="22"/>
        </w:rPr>
        <w:t>The decision could also have broader impacts to the NSW tax base if the High Court extends the kinds of taxes prohibited by section 90 of the Constitution to include consumption taxes. Such a decision might impact the constitutionality of other state-imposed taxes that could be categorised as a consumption tax.</w:t>
      </w:r>
    </w:p>
    <w:p w14:paraId="5DC4F772" w14:textId="29308683" w:rsidR="00650CF8" w:rsidRPr="00A21502" w:rsidRDefault="00650CF8" w:rsidP="00650CF8">
      <w:pPr>
        <w:pStyle w:val="Heading3"/>
      </w:pPr>
      <w:r>
        <w:lastRenderedPageBreak/>
        <w:t xml:space="preserve">GST and other </w:t>
      </w:r>
      <w:r w:rsidR="002A3A79">
        <w:t>Australian Government</w:t>
      </w:r>
      <w:r>
        <w:t xml:space="preserve"> payments</w:t>
      </w:r>
    </w:p>
    <w:p w14:paraId="3E8279B8" w14:textId="49A386EF" w:rsidR="00103BB8" w:rsidRDefault="00103BB8" w:rsidP="00014449">
      <w:pPr>
        <w:pStyle w:val="BodyText"/>
      </w:pPr>
      <w:r w:rsidRPr="4E12497B">
        <w:t xml:space="preserve">GST is collected by the </w:t>
      </w:r>
      <w:r w:rsidR="00FA41AD">
        <w:t>Au</w:t>
      </w:r>
      <w:r w:rsidR="002836A8">
        <w:t>st</w:t>
      </w:r>
      <w:r w:rsidR="00FA41AD">
        <w:t>ralian</w:t>
      </w:r>
      <w:r w:rsidRPr="4E12497B">
        <w:t xml:space="preserve"> Government and then apportioned to the </w:t>
      </w:r>
      <w:r>
        <w:t>s</w:t>
      </w:r>
      <w:r w:rsidRPr="4E12497B">
        <w:t>tates. Three main factors determine how much GST New South Wales receives over coming years:</w:t>
      </w:r>
    </w:p>
    <w:p w14:paraId="2E84553F" w14:textId="77777777" w:rsidR="00103BB8" w:rsidRDefault="00103BB8" w:rsidP="00014449">
      <w:pPr>
        <w:pStyle w:val="BodyText"/>
        <w:numPr>
          <w:ilvl w:val="0"/>
          <w:numId w:val="3"/>
        </w:numPr>
        <w:rPr>
          <w:rFonts w:asciiTheme="minorHAnsi" w:eastAsiaTheme="minorEastAsia" w:hAnsiTheme="minorHAnsi" w:cstheme="minorBidi"/>
        </w:rPr>
      </w:pPr>
      <w:r w:rsidRPr="4E12497B">
        <w:t>how much is collected in total across the nation (called the pool size)</w:t>
      </w:r>
    </w:p>
    <w:p w14:paraId="25C71DB7" w14:textId="77777777" w:rsidR="00103BB8" w:rsidRDefault="00103BB8" w:rsidP="00014449">
      <w:pPr>
        <w:pStyle w:val="BodyText"/>
        <w:numPr>
          <w:ilvl w:val="0"/>
          <w:numId w:val="3"/>
        </w:numPr>
        <w:rPr>
          <w:rFonts w:asciiTheme="minorHAnsi" w:eastAsiaTheme="minorEastAsia" w:hAnsiTheme="minorHAnsi" w:cstheme="minorBidi"/>
        </w:rPr>
      </w:pPr>
      <w:r w:rsidRPr="4E12497B">
        <w:t xml:space="preserve">New South </w:t>
      </w:r>
      <w:proofErr w:type="spellStart"/>
      <w:r w:rsidRPr="4E12497B">
        <w:t>Wales’</w:t>
      </w:r>
      <w:proofErr w:type="spellEnd"/>
      <w:r w:rsidRPr="4E12497B">
        <w:t xml:space="preserve"> population as a proportion of the national population (called the population share)</w:t>
      </w:r>
    </w:p>
    <w:p w14:paraId="62CBC86D" w14:textId="77777777" w:rsidR="00103BB8" w:rsidRDefault="00103BB8" w:rsidP="00014449">
      <w:pPr>
        <w:pStyle w:val="BodyText"/>
        <w:numPr>
          <w:ilvl w:val="0"/>
          <w:numId w:val="3"/>
        </w:numPr>
        <w:rPr>
          <w:rFonts w:asciiTheme="minorHAnsi" w:eastAsiaTheme="minorEastAsia" w:hAnsiTheme="minorHAnsi" w:cstheme="minorBidi"/>
        </w:rPr>
      </w:pPr>
      <w:r w:rsidRPr="4E12497B">
        <w:t>what portion of the pool is allocated to New South Wales (called the</w:t>
      </w:r>
      <w:r w:rsidRPr="4E12497B" w:rsidDel="005B50C7">
        <w:t xml:space="preserve"> </w:t>
      </w:r>
      <w:r w:rsidRPr="4E12497B">
        <w:t>relativity).</w:t>
      </w:r>
    </w:p>
    <w:p w14:paraId="3ED4DA5C" w14:textId="77777777" w:rsidR="00103BB8" w:rsidRDefault="00103BB8" w:rsidP="00014449">
      <w:pPr>
        <w:pStyle w:val="BodyText"/>
      </w:pPr>
      <w:r w:rsidRPr="4E12497B">
        <w:t>None of these components are fixed</w:t>
      </w:r>
      <w:r>
        <w:t>.</w:t>
      </w:r>
    </w:p>
    <w:p w14:paraId="06C9D052" w14:textId="5DF059F0" w:rsidR="00103BB8" w:rsidRDefault="00103BB8" w:rsidP="00014449">
      <w:pPr>
        <w:pStyle w:val="BodyText"/>
      </w:pPr>
      <w:r w:rsidRPr="008B0B23">
        <w:t xml:space="preserve">Table </w:t>
      </w:r>
      <w:r w:rsidRPr="00951842">
        <w:t>B.</w:t>
      </w:r>
      <w:r w:rsidR="00B413B4">
        <w:t>4</w:t>
      </w:r>
      <w:r>
        <w:t xml:space="preserve"> illustrates the sensitivity of forecast GST distribution to New South Wales to a one percentage point increase in taxable consumption and dwelling investment (the main drivers of the GST pool size), and NSW </w:t>
      </w:r>
      <w:r w:rsidRPr="001724F7">
        <w:t>population share (in absolute terms).</w:t>
      </w:r>
    </w:p>
    <w:p w14:paraId="32E070F9" w14:textId="77777777" w:rsidR="00650CF8" w:rsidRDefault="00650CF8" w:rsidP="001D6290">
      <w:pPr>
        <w:pStyle w:val="TableBX"/>
      </w:pPr>
      <w:r>
        <w:t>Revenue sensitivities – GST</w:t>
      </w:r>
    </w:p>
    <w:tbl>
      <w:tblPr>
        <w:tblStyle w:val="TableGrid"/>
        <w:tblpPr w:leftFromText="180" w:rightFromText="180" w:vertAnchor="text" w:horzAnchor="margin" w:tblpY="-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B.4: Revenue sensitivities – GST"/>
        <w:tblDescription w:val="Table B.4: Revenue sensitivities – GST"/>
      </w:tblPr>
      <w:tblGrid>
        <w:gridCol w:w="3683"/>
        <w:gridCol w:w="996"/>
        <w:gridCol w:w="992"/>
        <w:gridCol w:w="993"/>
        <w:gridCol w:w="992"/>
        <w:gridCol w:w="1983"/>
      </w:tblGrid>
      <w:tr w:rsidR="00650CF8" w:rsidRPr="008432E4" w14:paraId="20D364D8" w14:textId="77777777" w:rsidTr="008432E4">
        <w:trPr>
          <w:trHeight w:val="283"/>
        </w:trPr>
        <w:tc>
          <w:tcPr>
            <w:tcW w:w="3683" w:type="dxa"/>
            <w:vMerge w:val="restart"/>
            <w:shd w:val="clear" w:color="auto" w:fill="EBEBEB"/>
            <w:vAlign w:val="center"/>
          </w:tcPr>
          <w:p w14:paraId="675AC0AB" w14:textId="77777777" w:rsidR="00650CF8" w:rsidRPr="008432E4" w:rsidRDefault="00650CF8" w:rsidP="00703770">
            <w:pPr>
              <w:rPr>
                <w:rStyle w:val="eop"/>
                <w:rFonts w:ascii="Public Sans" w:hAnsi="Public Sans" w:cs="Arial"/>
                <w:sz w:val="18"/>
                <w:szCs w:val="18"/>
                <w:lang w:eastAsia="en-AU"/>
              </w:rPr>
            </w:pPr>
            <w:r w:rsidRPr="008432E4">
              <w:rPr>
                <w:rFonts w:ascii="Public Sans" w:hAnsi="Public Sans" w:cs="Arial"/>
                <w:sz w:val="18"/>
                <w:szCs w:val="18"/>
                <w:lang w:eastAsia="en-AU"/>
              </w:rPr>
              <w:t>Factors affecting GST</w:t>
            </w:r>
          </w:p>
        </w:tc>
        <w:tc>
          <w:tcPr>
            <w:tcW w:w="996" w:type="dxa"/>
            <w:shd w:val="clear" w:color="auto" w:fill="EBEBEB"/>
            <w:vAlign w:val="bottom"/>
          </w:tcPr>
          <w:p w14:paraId="1F9E5383" w14:textId="1DAA39E3" w:rsidR="00650CF8" w:rsidRPr="008432E4" w:rsidRDefault="0018605A" w:rsidP="00703770">
            <w:pPr>
              <w:jc w:val="center"/>
              <w:rPr>
                <w:rStyle w:val="eop"/>
                <w:rFonts w:ascii="Public Sans" w:hAnsi="Public Sans" w:cs="Arial"/>
                <w:sz w:val="18"/>
                <w:szCs w:val="18"/>
                <w:lang w:eastAsia="en-AU"/>
              </w:rPr>
            </w:pPr>
            <w:r w:rsidRPr="008432E4">
              <w:rPr>
                <w:rFonts w:ascii="Public Sans" w:eastAsia="Arial" w:hAnsi="Public Sans" w:cs="Arial"/>
                <w:sz w:val="18"/>
                <w:szCs w:val="18"/>
              </w:rPr>
              <w:t>2023-24</w:t>
            </w:r>
          </w:p>
        </w:tc>
        <w:tc>
          <w:tcPr>
            <w:tcW w:w="992" w:type="dxa"/>
            <w:shd w:val="clear" w:color="auto" w:fill="EBEBEB"/>
            <w:vAlign w:val="bottom"/>
          </w:tcPr>
          <w:p w14:paraId="17F697F1" w14:textId="6D11318A" w:rsidR="00650CF8" w:rsidRPr="008432E4" w:rsidRDefault="0018605A" w:rsidP="00703770">
            <w:pPr>
              <w:jc w:val="center"/>
              <w:rPr>
                <w:rStyle w:val="eop"/>
                <w:rFonts w:ascii="Public Sans" w:hAnsi="Public Sans" w:cs="Arial"/>
                <w:sz w:val="18"/>
                <w:szCs w:val="18"/>
                <w:lang w:eastAsia="en-AU"/>
              </w:rPr>
            </w:pPr>
            <w:r w:rsidRPr="008432E4">
              <w:rPr>
                <w:rFonts w:ascii="Public Sans" w:eastAsia="Arial" w:hAnsi="Public Sans" w:cs="Arial"/>
                <w:sz w:val="18"/>
                <w:szCs w:val="18"/>
              </w:rPr>
              <w:t>2024-25</w:t>
            </w:r>
          </w:p>
        </w:tc>
        <w:tc>
          <w:tcPr>
            <w:tcW w:w="993" w:type="dxa"/>
            <w:shd w:val="clear" w:color="auto" w:fill="EBEBEB"/>
            <w:vAlign w:val="bottom"/>
          </w:tcPr>
          <w:p w14:paraId="6A2FB9BC" w14:textId="59495ED1" w:rsidR="00650CF8" w:rsidRPr="008432E4" w:rsidRDefault="0018605A" w:rsidP="00703770">
            <w:pPr>
              <w:jc w:val="center"/>
              <w:rPr>
                <w:rStyle w:val="eop"/>
                <w:rFonts w:ascii="Public Sans" w:hAnsi="Public Sans" w:cs="Arial"/>
                <w:sz w:val="18"/>
                <w:szCs w:val="18"/>
                <w:lang w:eastAsia="en-AU"/>
              </w:rPr>
            </w:pPr>
            <w:r w:rsidRPr="008432E4">
              <w:rPr>
                <w:rFonts w:ascii="Public Sans" w:eastAsia="Arial" w:hAnsi="Public Sans" w:cs="Arial"/>
                <w:sz w:val="18"/>
                <w:szCs w:val="18"/>
              </w:rPr>
              <w:t>2025-26</w:t>
            </w:r>
          </w:p>
        </w:tc>
        <w:tc>
          <w:tcPr>
            <w:tcW w:w="992" w:type="dxa"/>
            <w:shd w:val="clear" w:color="auto" w:fill="EBEBEB"/>
            <w:vAlign w:val="bottom"/>
          </w:tcPr>
          <w:p w14:paraId="43F5628C" w14:textId="6EDDC647" w:rsidR="00650CF8" w:rsidRPr="008432E4" w:rsidRDefault="0018605A" w:rsidP="00703770">
            <w:pPr>
              <w:jc w:val="center"/>
              <w:rPr>
                <w:rStyle w:val="eop"/>
                <w:rFonts w:ascii="Public Sans" w:hAnsi="Public Sans" w:cs="Arial"/>
                <w:sz w:val="18"/>
                <w:szCs w:val="18"/>
                <w:lang w:eastAsia="en-AU"/>
              </w:rPr>
            </w:pPr>
            <w:r w:rsidRPr="008432E4">
              <w:rPr>
                <w:rFonts w:ascii="Public Sans" w:eastAsia="Arial" w:hAnsi="Public Sans" w:cs="Arial"/>
                <w:sz w:val="18"/>
                <w:szCs w:val="18"/>
              </w:rPr>
              <w:t>2026-27</w:t>
            </w:r>
          </w:p>
        </w:tc>
        <w:tc>
          <w:tcPr>
            <w:tcW w:w="1983" w:type="dxa"/>
            <w:vMerge w:val="restart"/>
            <w:shd w:val="clear" w:color="auto" w:fill="4B5051"/>
            <w:vAlign w:val="center"/>
          </w:tcPr>
          <w:p w14:paraId="37D27B5D" w14:textId="77777777" w:rsidR="00650CF8" w:rsidRPr="008432E4" w:rsidRDefault="00650CF8" w:rsidP="00703770">
            <w:pPr>
              <w:jc w:val="center"/>
              <w:rPr>
                <w:rStyle w:val="eop"/>
                <w:rFonts w:ascii="Public Sans" w:hAnsi="Public Sans" w:cs="Arial"/>
                <w:color w:val="FFFFFF" w:themeColor="background1"/>
                <w:sz w:val="18"/>
                <w:szCs w:val="18"/>
                <w:lang w:eastAsia="en-AU"/>
              </w:rPr>
            </w:pPr>
            <w:r w:rsidRPr="008432E4">
              <w:rPr>
                <w:rFonts w:ascii="Public Sans" w:hAnsi="Public Sans" w:cs="Arial"/>
                <w:color w:val="FFFFFF" w:themeColor="background1"/>
                <w:sz w:val="18"/>
                <w:szCs w:val="18"/>
                <w:lang w:eastAsia="en-AU"/>
              </w:rPr>
              <w:t>Sensitivity</w:t>
            </w:r>
          </w:p>
        </w:tc>
      </w:tr>
      <w:tr w:rsidR="00650CF8" w:rsidRPr="008432E4" w14:paraId="010321D5" w14:textId="77777777" w:rsidTr="1D495EBE">
        <w:trPr>
          <w:trHeight w:val="227"/>
        </w:trPr>
        <w:tc>
          <w:tcPr>
            <w:tcW w:w="3683" w:type="dxa"/>
            <w:vMerge/>
          </w:tcPr>
          <w:p w14:paraId="68D085F0" w14:textId="77777777" w:rsidR="00650CF8" w:rsidRPr="008432E4" w:rsidRDefault="00650CF8" w:rsidP="00703770">
            <w:pPr>
              <w:jc w:val="center"/>
              <w:rPr>
                <w:rStyle w:val="eop"/>
                <w:rFonts w:ascii="Public Sans" w:hAnsi="Public Sans" w:cs="Arial"/>
                <w:sz w:val="18"/>
                <w:szCs w:val="18"/>
                <w:lang w:eastAsia="en-AU"/>
              </w:rPr>
            </w:pPr>
          </w:p>
        </w:tc>
        <w:tc>
          <w:tcPr>
            <w:tcW w:w="996" w:type="dxa"/>
            <w:shd w:val="clear" w:color="auto" w:fill="EBEBEB"/>
          </w:tcPr>
          <w:p w14:paraId="22AF2F5E" w14:textId="76217731" w:rsidR="00650CF8" w:rsidRPr="008432E4" w:rsidRDefault="00650CF8" w:rsidP="00703770">
            <w:pPr>
              <w:jc w:val="center"/>
              <w:rPr>
                <w:rStyle w:val="eop"/>
                <w:rFonts w:ascii="Public Sans" w:hAnsi="Public Sans" w:cs="Arial"/>
                <w:sz w:val="18"/>
                <w:szCs w:val="18"/>
                <w:lang w:eastAsia="en-AU"/>
              </w:rPr>
            </w:pPr>
            <w:r w:rsidRPr="008432E4">
              <w:rPr>
                <w:rFonts w:ascii="Public Sans" w:eastAsia="Arial" w:hAnsi="Public Sans" w:cs="Arial"/>
                <w:sz w:val="18"/>
                <w:szCs w:val="18"/>
              </w:rPr>
              <w:t>Budget</w:t>
            </w:r>
          </w:p>
        </w:tc>
        <w:tc>
          <w:tcPr>
            <w:tcW w:w="2977" w:type="dxa"/>
            <w:gridSpan w:val="3"/>
            <w:shd w:val="clear" w:color="auto" w:fill="EBEBEB"/>
          </w:tcPr>
          <w:p w14:paraId="35B8E132" w14:textId="32C254A2" w:rsidR="00650CF8" w:rsidRPr="008432E4" w:rsidRDefault="00650CF8" w:rsidP="00703770">
            <w:pPr>
              <w:jc w:val="center"/>
              <w:rPr>
                <w:rStyle w:val="eop"/>
                <w:rFonts w:ascii="Public Sans" w:hAnsi="Public Sans" w:cs="Arial"/>
                <w:sz w:val="18"/>
                <w:szCs w:val="18"/>
                <w:lang w:eastAsia="en-AU"/>
              </w:rPr>
            </w:pPr>
            <w:r w:rsidRPr="008432E4">
              <w:rPr>
                <w:rFonts w:ascii="Public Sans" w:eastAsia="Arial" w:hAnsi="Public Sans" w:cs="Arial"/>
                <w:sz w:val="18"/>
                <w:szCs w:val="18"/>
              </w:rPr>
              <w:t>Forward estimates</w:t>
            </w:r>
          </w:p>
        </w:tc>
        <w:tc>
          <w:tcPr>
            <w:tcW w:w="1983" w:type="dxa"/>
            <w:vMerge/>
            <w:vAlign w:val="center"/>
          </w:tcPr>
          <w:p w14:paraId="10A40FE9" w14:textId="77777777" w:rsidR="00650CF8" w:rsidRPr="008432E4" w:rsidRDefault="00650CF8" w:rsidP="00703770">
            <w:pPr>
              <w:jc w:val="center"/>
              <w:rPr>
                <w:rStyle w:val="eop"/>
                <w:rFonts w:ascii="Public Sans" w:hAnsi="Public Sans" w:cs="Arial"/>
                <w:color w:val="FFFFFF" w:themeColor="background1"/>
                <w:sz w:val="18"/>
                <w:szCs w:val="18"/>
                <w:lang w:eastAsia="en-AU"/>
              </w:rPr>
            </w:pPr>
          </w:p>
        </w:tc>
      </w:tr>
      <w:tr w:rsidR="00EB1C95" w:rsidRPr="008432E4" w14:paraId="476256C7" w14:textId="77777777" w:rsidTr="003437AB">
        <w:trPr>
          <w:trHeight w:val="283"/>
        </w:trPr>
        <w:tc>
          <w:tcPr>
            <w:tcW w:w="3683" w:type="dxa"/>
            <w:shd w:val="clear" w:color="auto" w:fill="EBEBEB"/>
          </w:tcPr>
          <w:p w14:paraId="7035A717" w14:textId="77777777" w:rsidR="00650CF8" w:rsidRPr="008432E4" w:rsidRDefault="00650CF8" w:rsidP="00703770">
            <w:pPr>
              <w:jc w:val="center"/>
              <w:rPr>
                <w:rStyle w:val="eop"/>
                <w:rFonts w:ascii="Public Sans" w:hAnsi="Public Sans" w:cs="Arial"/>
                <w:sz w:val="18"/>
                <w:szCs w:val="18"/>
                <w:lang w:eastAsia="en-AU"/>
              </w:rPr>
            </w:pPr>
          </w:p>
        </w:tc>
        <w:tc>
          <w:tcPr>
            <w:tcW w:w="996" w:type="dxa"/>
            <w:shd w:val="clear" w:color="auto" w:fill="EBEBEB"/>
          </w:tcPr>
          <w:p w14:paraId="55581ED5" w14:textId="77777777" w:rsidR="00650CF8" w:rsidRPr="008432E4" w:rsidRDefault="00650CF8" w:rsidP="00703770">
            <w:pPr>
              <w:jc w:val="center"/>
              <w:rPr>
                <w:rStyle w:val="eop"/>
                <w:rFonts w:ascii="Public Sans" w:hAnsi="Public Sans" w:cs="Arial"/>
                <w:sz w:val="18"/>
                <w:szCs w:val="18"/>
                <w:lang w:eastAsia="en-AU"/>
              </w:rPr>
            </w:pPr>
            <w:r w:rsidRPr="008432E4">
              <w:rPr>
                <w:rFonts w:ascii="Public Sans" w:hAnsi="Public Sans" w:cs="Arial"/>
                <w:sz w:val="18"/>
                <w:szCs w:val="18"/>
                <w:lang w:eastAsia="en-AU"/>
              </w:rPr>
              <w:t>$m</w:t>
            </w:r>
          </w:p>
        </w:tc>
        <w:tc>
          <w:tcPr>
            <w:tcW w:w="992" w:type="dxa"/>
            <w:shd w:val="clear" w:color="auto" w:fill="EBEBEB"/>
          </w:tcPr>
          <w:p w14:paraId="30A3B1F6" w14:textId="77777777" w:rsidR="00650CF8" w:rsidRPr="008432E4" w:rsidRDefault="00650CF8" w:rsidP="00703770">
            <w:pPr>
              <w:jc w:val="center"/>
              <w:rPr>
                <w:rStyle w:val="eop"/>
                <w:rFonts w:ascii="Public Sans" w:hAnsi="Public Sans" w:cs="Arial"/>
                <w:sz w:val="18"/>
                <w:szCs w:val="18"/>
                <w:lang w:eastAsia="en-AU"/>
              </w:rPr>
            </w:pPr>
            <w:r w:rsidRPr="008432E4">
              <w:rPr>
                <w:rFonts w:ascii="Public Sans" w:hAnsi="Public Sans" w:cs="Arial"/>
                <w:sz w:val="18"/>
                <w:szCs w:val="18"/>
                <w:lang w:eastAsia="en-AU"/>
              </w:rPr>
              <w:t>$m</w:t>
            </w:r>
          </w:p>
        </w:tc>
        <w:tc>
          <w:tcPr>
            <w:tcW w:w="993" w:type="dxa"/>
            <w:shd w:val="clear" w:color="auto" w:fill="EBEBEB"/>
          </w:tcPr>
          <w:p w14:paraId="12EF0961" w14:textId="77777777" w:rsidR="00650CF8" w:rsidRPr="008432E4" w:rsidRDefault="00650CF8" w:rsidP="00703770">
            <w:pPr>
              <w:jc w:val="center"/>
              <w:rPr>
                <w:rStyle w:val="eop"/>
                <w:rFonts w:ascii="Public Sans" w:hAnsi="Public Sans" w:cs="Arial"/>
                <w:sz w:val="18"/>
                <w:szCs w:val="18"/>
                <w:lang w:eastAsia="en-AU"/>
              </w:rPr>
            </w:pPr>
            <w:r w:rsidRPr="008432E4">
              <w:rPr>
                <w:rFonts w:ascii="Public Sans" w:hAnsi="Public Sans" w:cs="Arial"/>
                <w:sz w:val="18"/>
                <w:szCs w:val="18"/>
                <w:lang w:eastAsia="en-AU"/>
              </w:rPr>
              <w:t>$m</w:t>
            </w:r>
          </w:p>
        </w:tc>
        <w:tc>
          <w:tcPr>
            <w:tcW w:w="992" w:type="dxa"/>
            <w:shd w:val="clear" w:color="auto" w:fill="EBEBEB"/>
          </w:tcPr>
          <w:p w14:paraId="77478E00" w14:textId="77777777" w:rsidR="00650CF8" w:rsidRPr="008432E4" w:rsidRDefault="00650CF8" w:rsidP="00703770">
            <w:pPr>
              <w:jc w:val="center"/>
              <w:rPr>
                <w:rStyle w:val="eop"/>
                <w:rFonts w:ascii="Public Sans" w:hAnsi="Public Sans" w:cs="Arial"/>
                <w:sz w:val="18"/>
                <w:szCs w:val="18"/>
                <w:lang w:eastAsia="en-AU"/>
              </w:rPr>
            </w:pPr>
            <w:r w:rsidRPr="008432E4">
              <w:rPr>
                <w:rFonts w:ascii="Public Sans" w:hAnsi="Public Sans" w:cs="Arial"/>
                <w:sz w:val="18"/>
                <w:szCs w:val="18"/>
                <w:lang w:eastAsia="en-AU"/>
              </w:rPr>
              <w:t>$m</w:t>
            </w:r>
          </w:p>
        </w:tc>
        <w:tc>
          <w:tcPr>
            <w:tcW w:w="1983" w:type="dxa"/>
            <w:vMerge/>
            <w:vAlign w:val="center"/>
          </w:tcPr>
          <w:p w14:paraId="0F1F85F2" w14:textId="77777777" w:rsidR="00650CF8" w:rsidRPr="008432E4" w:rsidRDefault="00650CF8" w:rsidP="00703770">
            <w:pPr>
              <w:jc w:val="center"/>
              <w:rPr>
                <w:rStyle w:val="eop"/>
                <w:rFonts w:ascii="Public Sans" w:hAnsi="Public Sans" w:cs="Arial"/>
                <w:color w:val="FFFFFF" w:themeColor="background1"/>
                <w:sz w:val="18"/>
                <w:szCs w:val="18"/>
                <w:lang w:eastAsia="en-AU"/>
              </w:rPr>
            </w:pPr>
          </w:p>
        </w:tc>
      </w:tr>
      <w:tr w:rsidR="00650CF8" w:rsidRPr="008432E4" w14:paraId="0B18AAD9" w14:textId="77777777">
        <w:trPr>
          <w:trHeight w:val="283"/>
        </w:trPr>
        <w:tc>
          <w:tcPr>
            <w:tcW w:w="3683" w:type="dxa"/>
            <w:shd w:val="clear" w:color="auto" w:fill="auto"/>
            <w:vAlign w:val="center"/>
          </w:tcPr>
          <w:p w14:paraId="22A7DD2C" w14:textId="77777777" w:rsidR="00650CF8" w:rsidRPr="008432E4" w:rsidRDefault="00650CF8" w:rsidP="00703770">
            <w:pPr>
              <w:rPr>
                <w:rFonts w:ascii="Public Sans" w:hAnsi="Public Sans" w:cs="Arial"/>
                <w:sz w:val="18"/>
                <w:szCs w:val="18"/>
              </w:rPr>
            </w:pPr>
            <w:r w:rsidRPr="008432E4">
              <w:rPr>
                <w:rFonts w:ascii="Public Sans" w:hAnsi="Public Sans" w:cs="Arial"/>
                <w:sz w:val="18"/>
                <w:szCs w:val="18"/>
              </w:rPr>
              <w:t>Taxable consumption</w:t>
            </w:r>
          </w:p>
        </w:tc>
        <w:tc>
          <w:tcPr>
            <w:tcW w:w="996" w:type="dxa"/>
          </w:tcPr>
          <w:p w14:paraId="1CDCA266" w14:textId="52975B89" w:rsidR="00650CF8" w:rsidRPr="008432E4" w:rsidRDefault="00291C25" w:rsidP="00703770">
            <w:pPr>
              <w:ind w:right="170"/>
              <w:jc w:val="right"/>
              <w:rPr>
                <w:rFonts w:ascii="Public Sans" w:hAnsi="Public Sans" w:cs="Arial"/>
                <w:sz w:val="18"/>
                <w:szCs w:val="18"/>
              </w:rPr>
            </w:pPr>
            <w:r w:rsidRPr="6CDD1D0B">
              <w:rPr>
                <w:rFonts w:ascii="Public Sans" w:eastAsia="Arial" w:hAnsi="Public Sans" w:cs="Arial"/>
                <w:sz w:val="18"/>
                <w:szCs w:val="18"/>
              </w:rPr>
              <w:t>119</w:t>
            </w:r>
          </w:p>
        </w:tc>
        <w:tc>
          <w:tcPr>
            <w:tcW w:w="992" w:type="dxa"/>
            <w:shd w:val="clear" w:color="auto" w:fill="auto"/>
          </w:tcPr>
          <w:p w14:paraId="574EEC7C" w14:textId="139F8524" w:rsidR="00650CF8" w:rsidRPr="008432E4" w:rsidRDefault="005B70A5" w:rsidP="00703770">
            <w:pPr>
              <w:ind w:right="170"/>
              <w:jc w:val="right"/>
              <w:rPr>
                <w:rFonts w:ascii="Public Sans" w:eastAsia="Arial" w:hAnsi="Public Sans" w:cs="Arial"/>
                <w:sz w:val="18"/>
                <w:szCs w:val="18"/>
              </w:rPr>
            </w:pPr>
            <w:r>
              <w:rPr>
                <w:rFonts w:ascii="Public Sans" w:eastAsia="Arial" w:hAnsi="Public Sans" w:cs="Arial"/>
                <w:sz w:val="18"/>
                <w:szCs w:val="18"/>
              </w:rPr>
              <w:t>124</w:t>
            </w:r>
          </w:p>
        </w:tc>
        <w:tc>
          <w:tcPr>
            <w:tcW w:w="993" w:type="dxa"/>
            <w:shd w:val="clear" w:color="auto" w:fill="auto"/>
          </w:tcPr>
          <w:p w14:paraId="09D32B30" w14:textId="69C37EE8" w:rsidR="00650CF8" w:rsidRPr="008432E4" w:rsidRDefault="005B70A5" w:rsidP="00703770">
            <w:pPr>
              <w:ind w:right="170"/>
              <w:jc w:val="right"/>
              <w:rPr>
                <w:rFonts w:ascii="Public Sans" w:hAnsi="Public Sans" w:cs="Arial"/>
                <w:sz w:val="18"/>
                <w:szCs w:val="18"/>
              </w:rPr>
            </w:pPr>
            <w:r>
              <w:rPr>
                <w:rFonts w:ascii="Public Sans" w:eastAsia="Arial" w:hAnsi="Public Sans" w:cs="Arial"/>
                <w:sz w:val="18"/>
                <w:szCs w:val="18"/>
              </w:rPr>
              <w:t>128</w:t>
            </w:r>
          </w:p>
        </w:tc>
        <w:tc>
          <w:tcPr>
            <w:tcW w:w="992" w:type="dxa"/>
            <w:shd w:val="clear" w:color="auto" w:fill="auto"/>
          </w:tcPr>
          <w:p w14:paraId="052C97A0" w14:textId="0BE87967" w:rsidR="00650CF8" w:rsidRPr="008432E4" w:rsidRDefault="005B70A5" w:rsidP="00703770">
            <w:pPr>
              <w:ind w:right="170"/>
              <w:jc w:val="right"/>
              <w:rPr>
                <w:rFonts w:ascii="Public Sans" w:hAnsi="Public Sans" w:cs="Arial"/>
                <w:sz w:val="18"/>
                <w:szCs w:val="18"/>
              </w:rPr>
            </w:pPr>
            <w:r>
              <w:rPr>
                <w:rFonts w:ascii="Public Sans" w:eastAsia="Arial" w:hAnsi="Public Sans" w:cs="Arial"/>
                <w:sz w:val="18"/>
                <w:szCs w:val="18"/>
              </w:rPr>
              <w:t>135</w:t>
            </w:r>
          </w:p>
        </w:tc>
        <w:tc>
          <w:tcPr>
            <w:tcW w:w="1983" w:type="dxa"/>
            <w:vMerge w:val="restart"/>
            <w:tcBorders>
              <w:bottom w:val="single" w:sz="4" w:space="0" w:color="auto"/>
            </w:tcBorders>
            <w:vAlign w:val="center"/>
          </w:tcPr>
          <w:p w14:paraId="1AC177AB" w14:textId="77777777" w:rsidR="00650CF8" w:rsidRPr="008432E4" w:rsidRDefault="00650CF8" w:rsidP="00703770">
            <w:pPr>
              <w:jc w:val="center"/>
              <w:rPr>
                <w:rFonts w:ascii="Public Sans" w:hAnsi="Public Sans" w:cs="Arial"/>
                <w:sz w:val="18"/>
                <w:szCs w:val="18"/>
              </w:rPr>
            </w:pPr>
            <w:r w:rsidRPr="008432E4">
              <w:rPr>
                <w:rFonts w:ascii="Public Sans" w:hAnsi="Public Sans" w:cs="Arial"/>
                <w:sz w:val="18"/>
                <w:szCs w:val="18"/>
              </w:rPr>
              <w:t>Single percentage point increase in factor</w:t>
            </w:r>
          </w:p>
        </w:tc>
      </w:tr>
      <w:tr w:rsidR="00650CF8" w:rsidRPr="008432E4" w14:paraId="31D70F2C" w14:textId="77777777" w:rsidTr="003437AB">
        <w:trPr>
          <w:trHeight w:val="283"/>
        </w:trPr>
        <w:tc>
          <w:tcPr>
            <w:tcW w:w="3683" w:type="dxa"/>
            <w:shd w:val="clear" w:color="auto" w:fill="auto"/>
            <w:vAlign w:val="center"/>
          </w:tcPr>
          <w:p w14:paraId="4C5F047F" w14:textId="77777777" w:rsidR="00650CF8" w:rsidRPr="008432E4" w:rsidRDefault="00650CF8" w:rsidP="00703770">
            <w:pPr>
              <w:rPr>
                <w:rFonts w:ascii="Public Sans" w:hAnsi="Public Sans" w:cs="Arial"/>
                <w:sz w:val="18"/>
                <w:szCs w:val="18"/>
              </w:rPr>
            </w:pPr>
            <w:r w:rsidRPr="008432E4">
              <w:rPr>
                <w:rFonts w:ascii="Public Sans" w:hAnsi="Public Sans" w:cs="Arial"/>
                <w:sz w:val="18"/>
                <w:szCs w:val="18"/>
              </w:rPr>
              <w:t>Dwelling investment</w:t>
            </w:r>
          </w:p>
        </w:tc>
        <w:tc>
          <w:tcPr>
            <w:tcW w:w="996" w:type="dxa"/>
          </w:tcPr>
          <w:p w14:paraId="743C68C8" w14:textId="70862634" w:rsidR="00650CF8" w:rsidRPr="008432E4" w:rsidRDefault="005B70A5" w:rsidP="00703770">
            <w:pPr>
              <w:ind w:right="170"/>
              <w:jc w:val="right"/>
              <w:rPr>
                <w:rFonts w:ascii="Public Sans" w:hAnsi="Public Sans" w:cs="Arial"/>
                <w:sz w:val="18"/>
                <w:szCs w:val="18"/>
              </w:rPr>
            </w:pPr>
            <w:r>
              <w:rPr>
                <w:rFonts w:ascii="Public Sans" w:eastAsia="Arial" w:hAnsi="Public Sans" w:cs="Arial"/>
                <w:sz w:val="18"/>
                <w:szCs w:val="18"/>
              </w:rPr>
              <w:t>35</w:t>
            </w:r>
          </w:p>
        </w:tc>
        <w:tc>
          <w:tcPr>
            <w:tcW w:w="992" w:type="dxa"/>
            <w:shd w:val="clear" w:color="auto" w:fill="auto"/>
          </w:tcPr>
          <w:p w14:paraId="4C8CA908" w14:textId="65748529" w:rsidR="00650CF8" w:rsidRPr="008432E4" w:rsidRDefault="005B70A5" w:rsidP="00703770">
            <w:pPr>
              <w:ind w:right="170"/>
              <w:jc w:val="right"/>
              <w:rPr>
                <w:rFonts w:ascii="Public Sans" w:eastAsia="Arial" w:hAnsi="Public Sans" w:cs="Arial"/>
                <w:sz w:val="18"/>
                <w:szCs w:val="18"/>
              </w:rPr>
            </w:pPr>
            <w:r>
              <w:rPr>
                <w:rFonts w:ascii="Public Sans" w:eastAsia="Arial" w:hAnsi="Public Sans" w:cs="Arial"/>
                <w:sz w:val="18"/>
                <w:szCs w:val="18"/>
              </w:rPr>
              <w:t>36</w:t>
            </w:r>
          </w:p>
        </w:tc>
        <w:tc>
          <w:tcPr>
            <w:tcW w:w="993" w:type="dxa"/>
            <w:shd w:val="clear" w:color="auto" w:fill="auto"/>
          </w:tcPr>
          <w:p w14:paraId="4B3D72CB" w14:textId="422561DE" w:rsidR="00650CF8" w:rsidRPr="008432E4" w:rsidRDefault="005B70A5" w:rsidP="00703770">
            <w:pPr>
              <w:ind w:right="170"/>
              <w:jc w:val="right"/>
              <w:rPr>
                <w:rFonts w:ascii="Public Sans" w:hAnsi="Public Sans" w:cs="Arial"/>
                <w:sz w:val="18"/>
                <w:szCs w:val="18"/>
              </w:rPr>
            </w:pPr>
            <w:r>
              <w:rPr>
                <w:rFonts w:ascii="Public Sans" w:eastAsia="Arial" w:hAnsi="Public Sans" w:cs="Arial"/>
                <w:sz w:val="18"/>
                <w:szCs w:val="18"/>
              </w:rPr>
              <w:t>37</w:t>
            </w:r>
          </w:p>
        </w:tc>
        <w:tc>
          <w:tcPr>
            <w:tcW w:w="992" w:type="dxa"/>
            <w:shd w:val="clear" w:color="auto" w:fill="auto"/>
          </w:tcPr>
          <w:p w14:paraId="0F69BC40" w14:textId="2F2851AC" w:rsidR="00650CF8" w:rsidRPr="008432E4" w:rsidRDefault="007C46C4" w:rsidP="00703770">
            <w:pPr>
              <w:ind w:right="170"/>
              <w:jc w:val="right"/>
              <w:rPr>
                <w:rFonts w:ascii="Public Sans" w:hAnsi="Public Sans" w:cs="Arial"/>
                <w:sz w:val="18"/>
                <w:szCs w:val="18"/>
              </w:rPr>
            </w:pPr>
            <w:r>
              <w:rPr>
                <w:rFonts w:ascii="Public Sans" w:eastAsia="Arial" w:hAnsi="Public Sans" w:cs="Arial"/>
                <w:sz w:val="18"/>
                <w:szCs w:val="18"/>
              </w:rPr>
              <w:t>39</w:t>
            </w:r>
          </w:p>
        </w:tc>
        <w:tc>
          <w:tcPr>
            <w:tcW w:w="1983" w:type="dxa"/>
            <w:vMerge/>
            <w:tcBorders>
              <w:bottom w:val="single" w:sz="4" w:space="0" w:color="auto"/>
            </w:tcBorders>
          </w:tcPr>
          <w:p w14:paraId="6667A94E" w14:textId="77777777" w:rsidR="00650CF8" w:rsidRPr="008432E4" w:rsidRDefault="00650CF8" w:rsidP="00703770">
            <w:pPr>
              <w:jc w:val="center"/>
              <w:rPr>
                <w:rFonts w:ascii="Public Sans" w:hAnsi="Public Sans" w:cs="Arial"/>
                <w:sz w:val="18"/>
                <w:szCs w:val="18"/>
              </w:rPr>
            </w:pPr>
          </w:p>
        </w:tc>
      </w:tr>
      <w:tr w:rsidR="00650CF8" w:rsidRPr="008432E4" w14:paraId="1F92F10C" w14:textId="77777777" w:rsidTr="003437AB">
        <w:trPr>
          <w:trHeight w:val="283"/>
        </w:trPr>
        <w:tc>
          <w:tcPr>
            <w:tcW w:w="3683" w:type="dxa"/>
            <w:tcBorders>
              <w:bottom w:val="single" w:sz="4" w:space="0" w:color="auto"/>
            </w:tcBorders>
            <w:shd w:val="clear" w:color="auto" w:fill="auto"/>
            <w:vAlign w:val="center"/>
          </w:tcPr>
          <w:p w14:paraId="226DCBCD" w14:textId="77777777" w:rsidR="00650CF8" w:rsidRPr="008432E4" w:rsidRDefault="00650CF8" w:rsidP="00703770">
            <w:pPr>
              <w:rPr>
                <w:rFonts w:ascii="Public Sans" w:hAnsi="Public Sans" w:cs="Arial"/>
                <w:sz w:val="18"/>
                <w:szCs w:val="18"/>
              </w:rPr>
            </w:pPr>
            <w:r w:rsidRPr="008432E4">
              <w:rPr>
                <w:rFonts w:ascii="Public Sans" w:hAnsi="Public Sans" w:cs="Arial"/>
                <w:sz w:val="18"/>
                <w:szCs w:val="18"/>
              </w:rPr>
              <w:t>Population share</w:t>
            </w:r>
          </w:p>
        </w:tc>
        <w:tc>
          <w:tcPr>
            <w:tcW w:w="996" w:type="dxa"/>
            <w:tcBorders>
              <w:top w:val="nil"/>
              <w:left w:val="nil"/>
              <w:bottom w:val="single" w:sz="4" w:space="0" w:color="auto"/>
              <w:right w:val="nil"/>
            </w:tcBorders>
          </w:tcPr>
          <w:p w14:paraId="69302F84" w14:textId="38D20D06" w:rsidR="00650CF8" w:rsidRPr="008432E4" w:rsidRDefault="007C46C4" w:rsidP="00703770">
            <w:pPr>
              <w:ind w:right="170"/>
              <w:jc w:val="right"/>
              <w:rPr>
                <w:rFonts w:ascii="Public Sans" w:hAnsi="Public Sans" w:cs="Arial"/>
                <w:sz w:val="18"/>
                <w:szCs w:val="18"/>
              </w:rPr>
            </w:pPr>
            <w:r>
              <w:rPr>
                <w:rFonts w:ascii="Public Sans" w:eastAsia="Arial" w:hAnsi="Public Sans" w:cs="Arial"/>
                <w:sz w:val="18"/>
                <w:szCs w:val="18"/>
              </w:rPr>
              <w:t>841</w:t>
            </w:r>
          </w:p>
        </w:tc>
        <w:tc>
          <w:tcPr>
            <w:tcW w:w="992" w:type="dxa"/>
            <w:tcBorders>
              <w:top w:val="nil"/>
              <w:left w:val="nil"/>
              <w:bottom w:val="single" w:sz="4" w:space="0" w:color="auto"/>
              <w:right w:val="nil"/>
            </w:tcBorders>
            <w:shd w:val="clear" w:color="auto" w:fill="auto"/>
          </w:tcPr>
          <w:p w14:paraId="789BD60F" w14:textId="6D4A7B57" w:rsidR="00650CF8" w:rsidRPr="008432E4" w:rsidRDefault="007C46C4" w:rsidP="00703770">
            <w:pPr>
              <w:ind w:right="170"/>
              <w:jc w:val="right"/>
              <w:rPr>
                <w:rFonts w:ascii="Public Sans" w:hAnsi="Public Sans" w:cs="Arial"/>
                <w:sz w:val="18"/>
                <w:szCs w:val="18"/>
              </w:rPr>
            </w:pPr>
            <w:r>
              <w:rPr>
                <w:rFonts w:ascii="Public Sans" w:eastAsia="Arial" w:hAnsi="Public Sans" w:cs="Arial"/>
                <w:sz w:val="18"/>
                <w:szCs w:val="18"/>
              </w:rPr>
              <w:t>871</w:t>
            </w:r>
          </w:p>
        </w:tc>
        <w:tc>
          <w:tcPr>
            <w:tcW w:w="993" w:type="dxa"/>
            <w:tcBorders>
              <w:top w:val="nil"/>
              <w:left w:val="nil"/>
              <w:bottom w:val="single" w:sz="4" w:space="0" w:color="auto"/>
              <w:right w:val="nil"/>
            </w:tcBorders>
            <w:shd w:val="clear" w:color="auto" w:fill="auto"/>
          </w:tcPr>
          <w:p w14:paraId="0D6FE800" w14:textId="5D6AA27A" w:rsidR="00650CF8" w:rsidRPr="008432E4" w:rsidRDefault="007C46C4" w:rsidP="00703770">
            <w:pPr>
              <w:ind w:right="170"/>
              <w:jc w:val="right"/>
              <w:rPr>
                <w:rFonts w:ascii="Public Sans" w:eastAsia="Arial" w:hAnsi="Public Sans" w:cs="Arial"/>
                <w:sz w:val="18"/>
                <w:szCs w:val="18"/>
              </w:rPr>
            </w:pPr>
            <w:r>
              <w:rPr>
                <w:rFonts w:ascii="Public Sans" w:eastAsia="Arial" w:hAnsi="Public Sans" w:cs="Arial"/>
                <w:sz w:val="18"/>
                <w:szCs w:val="18"/>
              </w:rPr>
              <w:t>898</w:t>
            </w:r>
          </w:p>
        </w:tc>
        <w:tc>
          <w:tcPr>
            <w:tcW w:w="992" w:type="dxa"/>
            <w:tcBorders>
              <w:top w:val="nil"/>
              <w:left w:val="nil"/>
              <w:bottom w:val="single" w:sz="4" w:space="0" w:color="auto"/>
              <w:right w:val="nil"/>
            </w:tcBorders>
            <w:shd w:val="clear" w:color="auto" w:fill="auto"/>
          </w:tcPr>
          <w:p w14:paraId="192406DE" w14:textId="5EE8157C" w:rsidR="00650CF8" w:rsidRPr="008432E4" w:rsidRDefault="007C46C4" w:rsidP="00703770">
            <w:pPr>
              <w:ind w:right="170"/>
              <w:jc w:val="right"/>
              <w:rPr>
                <w:rFonts w:ascii="Public Sans" w:hAnsi="Public Sans" w:cs="Arial"/>
                <w:sz w:val="18"/>
                <w:szCs w:val="18"/>
              </w:rPr>
            </w:pPr>
            <w:r>
              <w:rPr>
                <w:rFonts w:ascii="Public Sans" w:eastAsia="Arial" w:hAnsi="Public Sans" w:cs="Arial"/>
                <w:sz w:val="18"/>
                <w:szCs w:val="18"/>
              </w:rPr>
              <w:t>941</w:t>
            </w:r>
          </w:p>
        </w:tc>
        <w:tc>
          <w:tcPr>
            <w:tcW w:w="1983" w:type="dxa"/>
            <w:vMerge/>
            <w:tcBorders>
              <w:bottom w:val="single" w:sz="4" w:space="0" w:color="auto"/>
            </w:tcBorders>
          </w:tcPr>
          <w:p w14:paraId="16283556" w14:textId="77777777" w:rsidR="00650CF8" w:rsidRPr="008432E4" w:rsidRDefault="00650CF8" w:rsidP="00703770">
            <w:pPr>
              <w:jc w:val="center"/>
              <w:rPr>
                <w:rFonts w:ascii="Public Sans" w:hAnsi="Public Sans" w:cs="Arial"/>
                <w:sz w:val="18"/>
                <w:szCs w:val="18"/>
              </w:rPr>
            </w:pPr>
          </w:p>
        </w:tc>
      </w:tr>
    </w:tbl>
    <w:p w14:paraId="633613CD" w14:textId="77777777" w:rsidR="00650CF8" w:rsidRDefault="00650CF8" w:rsidP="00650CF8"/>
    <w:p w14:paraId="1932DE23" w14:textId="75954166" w:rsidR="00291C25" w:rsidRPr="00291C25" w:rsidRDefault="00291C25" w:rsidP="00014449">
      <w:pPr>
        <w:pStyle w:val="BodyText"/>
      </w:pPr>
      <w:r w:rsidRPr="00291C25">
        <w:t xml:space="preserve">The Commonwealth Grants Commission (CGC) uses a formula to determine each state’s relativity (measure of relative fiscal capacity), which then drives how much GST each state receives. Under this formula, the following events can lead to a changed share to New South Wales: </w:t>
      </w:r>
    </w:p>
    <w:p w14:paraId="4F80A933" w14:textId="77777777" w:rsidR="00291C25" w:rsidRPr="00291C25" w:rsidRDefault="00291C25" w:rsidP="00CA0B0A">
      <w:pPr>
        <w:pStyle w:val="Bullet2"/>
        <w:numPr>
          <w:ilvl w:val="0"/>
          <w:numId w:val="89"/>
        </w:numPr>
        <w:ind w:left="284" w:hanging="284"/>
        <w:rPr>
          <w:rFonts w:eastAsia="Times New Roman"/>
        </w:rPr>
      </w:pPr>
      <w:r w:rsidRPr="00291C25">
        <w:t xml:space="preserve">changes to New South </w:t>
      </w:r>
      <w:proofErr w:type="spellStart"/>
      <w:r w:rsidRPr="00291C25">
        <w:t>Wales’</w:t>
      </w:r>
      <w:proofErr w:type="spellEnd"/>
      <w:r w:rsidRPr="00291C25">
        <w:t xml:space="preserve"> own-source revenue, relative to other </w:t>
      </w:r>
      <w:proofErr w:type="gramStart"/>
      <w:r w:rsidRPr="00291C25">
        <w:t>states</w:t>
      </w:r>
      <w:proofErr w:type="gramEnd"/>
    </w:p>
    <w:p w14:paraId="15E7E41E" w14:textId="3D42B1A8" w:rsidR="00291C25" w:rsidRPr="00291C25" w:rsidRDefault="00291C25" w:rsidP="00CA0B0A">
      <w:pPr>
        <w:pStyle w:val="Bullet2"/>
        <w:numPr>
          <w:ilvl w:val="0"/>
          <w:numId w:val="89"/>
        </w:numPr>
        <w:ind w:left="284" w:hanging="284"/>
        <w:rPr>
          <w:rFonts w:eastAsia="Times New Roman"/>
        </w:rPr>
      </w:pPr>
      <w:r w:rsidRPr="00291C25">
        <w:t>a</w:t>
      </w:r>
      <w:r w:rsidRPr="00291C25" w:rsidDel="0088636D">
        <w:t xml:space="preserve"> </w:t>
      </w:r>
      <w:r w:rsidRPr="00291C25">
        <w:t xml:space="preserve">change in the CGC’s assessment of how much expenditure New South Wales needs, compared to other states, to deliver an average standard of service and associated </w:t>
      </w:r>
      <w:proofErr w:type="gramStart"/>
      <w:r w:rsidRPr="00291C25">
        <w:t>infrastructure</w:t>
      </w:r>
      <w:proofErr w:type="gramEnd"/>
    </w:p>
    <w:p w14:paraId="7C271D86" w14:textId="77777777" w:rsidR="00291C25" w:rsidRPr="00291C25" w:rsidRDefault="00291C25" w:rsidP="00CA0B0A">
      <w:pPr>
        <w:pStyle w:val="Bullet2"/>
        <w:numPr>
          <w:ilvl w:val="0"/>
          <w:numId w:val="89"/>
        </w:numPr>
        <w:ind w:left="284" w:hanging="284"/>
        <w:rPr>
          <w:rFonts w:eastAsia="Times New Roman"/>
        </w:rPr>
      </w:pPr>
      <w:r w:rsidRPr="00291C25">
        <w:t>a change to National Agreement and National Partnership payments relative to other states.</w:t>
      </w:r>
    </w:p>
    <w:p w14:paraId="2E8CAEFC" w14:textId="41EDF3A5" w:rsidR="00053E47" w:rsidRPr="003221C4" w:rsidRDefault="00053E47" w:rsidP="00A22C7A">
      <w:pPr>
        <w:rPr>
          <w:szCs w:val="22"/>
        </w:rPr>
      </w:pPr>
      <w:r w:rsidRPr="00A22C7A">
        <w:rPr>
          <w:rFonts w:ascii="Public Sans" w:hAnsi="Public Sans"/>
          <w:sz w:val="22"/>
          <w:szCs w:val="22"/>
        </w:rPr>
        <w:t xml:space="preserve">The CGC assesses states’ GST needs based on the average spending and revenue policies of all states. The averages vary over time due to underlying changes in state policies as well as updated or new data. As such, projections of NSW’s relativities are subject to a high degree of uncertainty. The forecasts in this Budget </w:t>
      </w:r>
      <w:proofErr w:type="gramStart"/>
      <w:r w:rsidRPr="00A22C7A">
        <w:rPr>
          <w:rFonts w:ascii="Public Sans" w:hAnsi="Public Sans"/>
          <w:sz w:val="22"/>
          <w:szCs w:val="22"/>
        </w:rPr>
        <w:t>take into account</w:t>
      </w:r>
      <w:proofErr w:type="gramEnd"/>
      <w:r w:rsidRPr="00A22C7A">
        <w:rPr>
          <w:rFonts w:ascii="Public Sans" w:hAnsi="Public Sans"/>
          <w:sz w:val="22"/>
          <w:szCs w:val="22"/>
        </w:rPr>
        <w:t xml:space="preserve"> expected National Agreement and National Partnership Payments and anticipated infrastructure project delivery. Actual results can vary from forecasts if there are new, renegotiated or ceased programs and infrastructure projects over the forward estimates period.  </w:t>
      </w:r>
    </w:p>
    <w:p w14:paraId="24536704" w14:textId="77777777" w:rsidR="00650CF8" w:rsidRDefault="00650CF8" w:rsidP="00650CF8">
      <w:pPr>
        <w:pStyle w:val="Heading3"/>
        <w:rPr>
          <w:rFonts w:asciiTheme="minorHAnsi" w:eastAsiaTheme="minorEastAsia" w:hAnsiTheme="minorHAnsi" w:cstheme="minorBidi"/>
        </w:rPr>
      </w:pPr>
      <w:r w:rsidRPr="61B12E0D">
        <w:rPr>
          <w:rFonts w:eastAsia="Arial Bold"/>
        </w:rPr>
        <w:t>Royalties</w:t>
      </w:r>
    </w:p>
    <w:bookmarkEnd w:id="1"/>
    <w:p w14:paraId="2764FDE4" w14:textId="1F1A2F6D" w:rsidR="00830990" w:rsidRPr="00D06399" w:rsidRDefault="00830990" w:rsidP="00014449">
      <w:pPr>
        <w:pStyle w:val="BodyText"/>
      </w:pPr>
      <w:r w:rsidRPr="004A54CC">
        <w:t xml:space="preserve">A large share of </w:t>
      </w:r>
      <w:proofErr w:type="gramStart"/>
      <w:r w:rsidRPr="004A54CC">
        <w:t>royalties</w:t>
      </w:r>
      <w:proofErr w:type="gramEnd"/>
      <w:r w:rsidRPr="004A54CC">
        <w:t xml:space="preserve"> revenue is generated from thermal and coking coal exports, which means that the amount of royalties</w:t>
      </w:r>
      <w:r w:rsidRPr="004A54CC" w:rsidDel="00C626C4">
        <w:t xml:space="preserve"> </w:t>
      </w:r>
      <w:r w:rsidRPr="004A54CC">
        <w:t>collected are sensitive to changes in:</w:t>
      </w:r>
    </w:p>
    <w:p w14:paraId="686CD696" w14:textId="77777777" w:rsidR="00830990" w:rsidRPr="00595D93" w:rsidRDefault="00830990" w:rsidP="0030746D">
      <w:pPr>
        <w:pStyle w:val="Bullet2"/>
        <w:numPr>
          <w:ilvl w:val="0"/>
          <w:numId w:val="89"/>
        </w:numPr>
        <w:ind w:left="284" w:hanging="284"/>
      </w:pPr>
      <w:r w:rsidRPr="4E12497B">
        <w:t xml:space="preserve">coal production volumes – an increase in coal volumes increases the quantity of coal that royalties are charged on, hence increasing royalties </w:t>
      </w:r>
      <w:proofErr w:type="gramStart"/>
      <w:r w:rsidRPr="4E12497B">
        <w:t>revenue</w:t>
      </w:r>
      <w:proofErr w:type="gramEnd"/>
    </w:p>
    <w:p w14:paraId="327132A0" w14:textId="29394B11" w:rsidR="00830990" w:rsidRPr="00595D93" w:rsidRDefault="00830990" w:rsidP="0030746D">
      <w:pPr>
        <w:pStyle w:val="Bullet2"/>
        <w:numPr>
          <w:ilvl w:val="0"/>
          <w:numId w:val="89"/>
        </w:numPr>
        <w:ind w:left="284" w:hanging="284"/>
      </w:pPr>
      <w:r w:rsidRPr="4E12497B">
        <w:t xml:space="preserve">coal prices – an increase in </w:t>
      </w:r>
      <w:r>
        <w:t xml:space="preserve">US dollar </w:t>
      </w:r>
      <w:r w:rsidRPr="4E12497B">
        <w:t xml:space="preserve">coal </w:t>
      </w:r>
      <w:r>
        <w:t>price</w:t>
      </w:r>
      <w:r w:rsidR="16840DCE">
        <w:t>s</w:t>
      </w:r>
      <w:r w:rsidRPr="4E12497B">
        <w:t xml:space="preserve"> increases the value of coal sold to domestic and international customers, also increasing royalties </w:t>
      </w:r>
      <w:proofErr w:type="gramStart"/>
      <w:r w:rsidRPr="4E12497B">
        <w:t>revenue</w:t>
      </w:r>
      <w:proofErr w:type="gramEnd"/>
    </w:p>
    <w:p w14:paraId="3BB000D0" w14:textId="77777777" w:rsidR="00830990" w:rsidRPr="000F4B68" w:rsidRDefault="00830990" w:rsidP="0030746D">
      <w:pPr>
        <w:pStyle w:val="Bullet2"/>
        <w:numPr>
          <w:ilvl w:val="0"/>
          <w:numId w:val="89"/>
        </w:numPr>
        <w:ind w:left="284" w:hanging="284"/>
        <w:rPr>
          <w:rFonts w:asciiTheme="minorHAnsi" w:hAnsiTheme="minorHAnsi" w:cstheme="minorBidi"/>
        </w:rPr>
      </w:pPr>
      <w:r w:rsidRPr="4E12497B">
        <w:t>exchange rates – an appreciation of the Australian-US exchange rate reduces the Australian dollar value of coal exports because coal exports are typically transacted in US dollars.</w:t>
      </w:r>
    </w:p>
    <w:p w14:paraId="29C77C4D" w14:textId="16B8A404" w:rsidR="00B81463" w:rsidRDefault="00830990" w:rsidP="00014449">
      <w:pPr>
        <w:pStyle w:val="BodyText"/>
      </w:pPr>
      <w:r>
        <w:lastRenderedPageBreak/>
        <w:t xml:space="preserve">Table B.5 denotes the sensitivity of forecast </w:t>
      </w:r>
      <w:proofErr w:type="gramStart"/>
      <w:r>
        <w:t>royalties</w:t>
      </w:r>
      <w:proofErr w:type="gramEnd"/>
      <w:r>
        <w:t xml:space="preserve"> revenue to a one percentage point increase in coal prices, coal production volumes and the </w:t>
      </w:r>
      <w:r w:rsidRPr="00BD5959">
        <w:t xml:space="preserve">Australian-US </w:t>
      </w:r>
      <w:r>
        <w:t>exchange rate.</w:t>
      </w:r>
    </w:p>
    <w:p w14:paraId="708DC448" w14:textId="77777777" w:rsidR="00650CF8" w:rsidRDefault="00650CF8" w:rsidP="006E1625">
      <w:pPr>
        <w:pStyle w:val="TableBX"/>
      </w:pPr>
      <w:r>
        <w:t>Revenue sensitivities – Coal royalties</w:t>
      </w:r>
    </w:p>
    <w:tbl>
      <w:tblPr>
        <w:tblStyle w:val="TableGrid"/>
        <w:tblpPr w:leftFromText="180" w:rightFromText="180" w:vertAnchor="text" w:horzAnchor="margin" w:tblpXSpec="center" w:tblpY="-9"/>
        <w:tblW w:w="9639"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B.5: Revenue sensitivities – Coal royalties"/>
        <w:tblDescription w:val="Table B.5: Revenue sensitivities – Coal royalties"/>
      </w:tblPr>
      <w:tblGrid>
        <w:gridCol w:w="3683"/>
        <w:gridCol w:w="996"/>
        <w:gridCol w:w="992"/>
        <w:gridCol w:w="993"/>
        <w:gridCol w:w="992"/>
        <w:gridCol w:w="1983"/>
      </w:tblGrid>
      <w:tr w:rsidR="00650CF8" w:rsidRPr="00CC290E" w14:paraId="2812A772" w14:textId="77777777" w:rsidTr="003437AB">
        <w:trPr>
          <w:trHeight w:val="283"/>
          <w:jc w:val="center"/>
        </w:trPr>
        <w:tc>
          <w:tcPr>
            <w:tcW w:w="3683" w:type="dxa"/>
            <w:vMerge w:val="restart"/>
            <w:shd w:val="clear" w:color="auto" w:fill="EBEBEB"/>
            <w:vAlign w:val="center"/>
          </w:tcPr>
          <w:p w14:paraId="09AFE1E4" w14:textId="77777777" w:rsidR="00650CF8" w:rsidRPr="00CC290E" w:rsidRDefault="00650CF8" w:rsidP="00703770">
            <w:pPr>
              <w:rPr>
                <w:rStyle w:val="eop"/>
                <w:rFonts w:ascii="Public Sans" w:hAnsi="Public Sans" w:cs="Arial"/>
                <w:sz w:val="18"/>
                <w:szCs w:val="18"/>
                <w:lang w:eastAsia="en-AU"/>
              </w:rPr>
            </w:pPr>
            <w:r w:rsidRPr="00CC290E">
              <w:rPr>
                <w:rFonts w:ascii="Public Sans" w:hAnsi="Public Sans" w:cs="Arial"/>
                <w:sz w:val="18"/>
                <w:szCs w:val="18"/>
                <w:lang w:eastAsia="en-AU"/>
              </w:rPr>
              <w:t xml:space="preserve">Factors affecting </w:t>
            </w:r>
            <w:proofErr w:type="gramStart"/>
            <w:r w:rsidRPr="00CC290E">
              <w:rPr>
                <w:rFonts w:ascii="Public Sans" w:hAnsi="Public Sans" w:cs="Arial"/>
                <w:sz w:val="18"/>
                <w:szCs w:val="18"/>
                <w:lang w:eastAsia="en-AU"/>
              </w:rPr>
              <w:t>royalties</w:t>
            </w:r>
            <w:proofErr w:type="gramEnd"/>
            <w:r w:rsidRPr="00CC290E">
              <w:rPr>
                <w:rFonts w:ascii="Public Sans" w:hAnsi="Public Sans" w:cs="Arial"/>
                <w:sz w:val="18"/>
                <w:szCs w:val="18"/>
                <w:lang w:eastAsia="en-AU"/>
              </w:rPr>
              <w:t xml:space="preserve"> revenue</w:t>
            </w:r>
          </w:p>
        </w:tc>
        <w:tc>
          <w:tcPr>
            <w:tcW w:w="996" w:type="dxa"/>
            <w:shd w:val="clear" w:color="auto" w:fill="EBEBEB"/>
            <w:vAlign w:val="bottom"/>
          </w:tcPr>
          <w:p w14:paraId="3B799250" w14:textId="11F4C0DF" w:rsidR="00650CF8" w:rsidRPr="00CC290E" w:rsidRDefault="0018605A" w:rsidP="00703770">
            <w:pPr>
              <w:jc w:val="center"/>
              <w:rPr>
                <w:rStyle w:val="eop"/>
                <w:rFonts w:ascii="Public Sans" w:hAnsi="Public Sans" w:cs="Arial"/>
                <w:sz w:val="18"/>
                <w:szCs w:val="18"/>
                <w:lang w:eastAsia="en-AU"/>
              </w:rPr>
            </w:pPr>
            <w:r w:rsidRPr="00CC290E">
              <w:rPr>
                <w:rFonts w:ascii="Public Sans" w:eastAsia="Arial" w:hAnsi="Public Sans" w:cs="Arial"/>
                <w:sz w:val="18"/>
                <w:szCs w:val="18"/>
              </w:rPr>
              <w:t>2023-24</w:t>
            </w:r>
          </w:p>
        </w:tc>
        <w:tc>
          <w:tcPr>
            <w:tcW w:w="992" w:type="dxa"/>
            <w:shd w:val="clear" w:color="auto" w:fill="EBEBEB"/>
            <w:vAlign w:val="bottom"/>
          </w:tcPr>
          <w:p w14:paraId="41EEE087" w14:textId="61081302" w:rsidR="00650CF8" w:rsidRPr="00CC290E" w:rsidRDefault="0018605A" w:rsidP="00703770">
            <w:pPr>
              <w:jc w:val="center"/>
              <w:rPr>
                <w:rStyle w:val="eop"/>
                <w:rFonts w:ascii="Public Sans" w:hAnsi="Public Sans" w:cs="Arial"/>
                <w:sz w:val="18"/>
                <w:szCs w:val="18"/>
                <w:lang w:eastAsia="en-AU"/>
              </w:rPr>
            </w:pPr>
            <w:r w:rsidRPr="00CC290E">
              <w:rPr>
                <w:rFonts w:ascii="Public Sans" w:eastAsia="Arial" w:hAnsi="Public Sans" w:cs="Arial"/>
                <w:sz w:val="18"/>
                <w:szCs w:val="18"/>
              </w:rPr>
              <w:t>2024-25</w:t>
            </w:r>
          </w:p>
        </w:tc>
        <w:tc>
          <w:tcPr>
            <w:tcW w:w="993" w:type="dxa"/>
            <w:shd w:val="clear" w:color="auto" w:fill="EBEBEB"/>
            <w:vAlign w:val="bottom"/>
          </w:tcPr>
          <w:p w14:paraId="0428703E" w14:textId="36F0AE12" w:rsidR="00650CF8" w:rsidRPr="00CC290E" w:rsidRDefault="0018605A" w:rsidP="00703770">
            <w:pPr>
              <w:jc w:val="center"/>
              <w:rPr>
                <w:rStyle w:val="eop"/>
                <w:rFonts w:ascii="Public Sans" w:hAnsi="Public Sans" w:cs="Arial"/>
                <w:sz w:val="18"/>
                <w:szCs w:val="18"/>
                <w:lang w:eastAsia="en-AU"/>
              </w:rPr>
            </w:pPr>
            <w:r w:rsidRPr="00CC290E">
              <w:rPr>
                <w:rFonts w:ascii="Public Sans" w:eastAsia="Arial" w:hAnsi="Public Sans" w:cs="Arial"/>
                <w:sz w:val="18"/>
                <w:szCs w:val="18"/>
              </w:rPr>
              <w:t>2025-26</w:t>
            </w:r>
          </w:p>
        </w:tc>
        <w:tc>
          <w:tcPr>
            <w:tcW w:w="992" w:type="dxa"/>
            <w:shd w:val="clear" w:color="auto" w:fill="EBEBEB"/>
            <w:vAlign w:val="bottom"/>
          </w:tcPr>
          <w:p w14:paraId="1E669BCB" w14:textId="61F82BEE" w:rsidR="00650CF8" w:rsidRPr="00CC290E" w:rsidRDefault="0018605A" w:rsidP="00703770">
            <w:pPr>
              <w:jc w:val="center"/>
              <w:rPr>
                <w:rStyle w:val="eop"/>
                <w:rFonts w:ascii="Public Sans" w:hAnsi="Public Sans" w:cs="Arial"/>
                <w:sz w:val="18"/>
                <w:szCs w:val="18"/>
                <w:lang w:eastAsia="en-AU"/>
              </w:rPr>
            </w:pPr>
            <w:r w:rsidRPr="00CC290E">
              <w:rPr>
                <w:rFonts w:ascii="Public Sans" w:eastAsia="Arial" w:hAnsi="Public Sans" w:cs="Arial"/>
                <w:sz w:val="18"/>
                <w:szCs w:val="18"/>
              </w:rPr>
              <w:t>2026-27</w:t>
            </w:r>
          </w:p>
        </w:tc>
        <w:tc>
          <w:tcPr>
            <w:tcW w:w="1983" w:type="dxa"/>
            <w:vMerge w:val="restart"/>
            <w:shd w:val="clear" w:color="auto" w:fill="4B5051"/>
            <w:vAlign w:val="center"/>
          </w:tcPr>
          <w:p w14:paraId="61738719" w14:textId="77777777" w:rsidR="00650CF8" w:rsidRPr="00CC290E" w:rsidRDefault="00650CF8" w:rsidP="00703770">
            <w:pPr>
              <w:jc w:val="center"/>
              <w:rPr>
                <w:rStyle w:val="eop"/>
                <w:rFonts w:ascii="Public Sans" w:hAnsi="Public Sans" w:cs="Arial"/>
                <w:color w:val="FFFFFF" w:themeColor="background1"/>
                <w:sz w:val="18"/>
                <w:szCs w:val="18"/>
                <w:lang w:eastAsia="en-AU"/>
              </w:rPr>
            </w:pPr>
            <w:r w:rsidRPr="00CC290E">
              <w:rPr>
                <w:rFonts w:ascii="Public Sans" w:hAnsi="Public Sans" w:cs="Arial"/>
                <w:color w:val="FFFFFF" w:themeColor="background1"/>
                <w:sz w:val="18"/>
                <w:szCs w:val="18"/>
                <w:lang w:eastAsia="en-AU"/>
              </w:rPr>
              <w:t>Sensitivity</w:t>
            </w:r>
          </w:p>
        </w:tc>
      </w:tr>
      <w:tr w:rsidR="00650CF8" w:rsidRPr="00CC290E" w14:paraId="482D4F3E" w14:textId="77777777" w:rsidTr="003437AB">
        <w:trPr>
          <w:trHeight w:val="227"/>
          <w:jc w:val="center"/>
        </w:trPr>
        <w:tc>
          <w:tcPr>
            <w:tcW w:w="3683" w:type="dxa"/>
            <w:vMerge/>
          </w:tcPr>
          <w:p w14:paraId="6EAE8053" w14:textId="77777777" w:rsidR="00650CF8" w:rsidRPr="00CC290E" w:rsidRDefault="00650CF8" w:rsidP="00703770">
            <w:pPr>
              <w:jc w:val="center"/>
              <w:rPr>
                <w:rStyle w:val="eop"/>
                <w:rFonts w:ascii="Public Sans" w:hAnsi="Public Sans" w:cs="Arial"/>
                <w:sz w:val="18"/>
                <w:szCs w:val="18"/>
                <w:lang w:eastAsia="en-AU"/>
              </w:rPr>
            </w:pPr>
          </w:p>
        </w:tc>
        <w:tc>
          <w:tcPr>
            <w:tcW w:w="996" w:type="dxa"/>
            <w:shd w:val="clear" w:color="auto" w:fill="EBEBEB"/>
          </w:tcPr>
          <w:p w14:paraId="377DEE08" w14:textId="688A0B66" w:rsidR="00650CF8" w:rsidRPr="00CC290E" w:rsidRDefault="00650CF8" w:rsidP="00703770">
            <w:pPr>
              <w:jc w:val="center"/>
              <w:rPr>
                <w:rStyle w:val="eop"/>
                <w:rFonts w:ascii="Public Sans" w:hAnsi="Public Sans" w:cs="Arial"/>
                <w:sz w:val="18"/>
                <w:szCs w:val="18"/>
                <w:lang w:eastAsia="en-AU"/>
              </w:rPr>
            </w:pPr>
            <w:r w:rsidRPr="00CC290E">
              <w:rPr>
                <w:rFonts w:ascii="Public Sans" w:eastAsia="Arial" w:hAnsi="Public Sans" w:cs="Arial"/>
                <w:sz w:val="18"/>
                <w:szCs w:val="18"/>
              </w:rPr>
              <w:t>Budget</w:t>
            </w:r>
          </w:p>
        </w:tc>
        <w:tc>
          <w:tcPr>
            <w:tcW w:w="2977" w:type="dxa"/>
            <w:gridSpan w:val="3"/>
            <w:shd w:val="clear" w:color="auto" w:fill="EBEBEB"/>
          </w:tcPr>
          <w:p w14:paraId="752188BD" w14:textId="5A8C9F75" w:rsidR="00650CF8" w:rsidRPr="00CC290E" w:rsidRDefault="00650CF8" w:rsidP="00703770">
            <w:pPr>
              <w:jc w:val="center"/>
              <w:rPr>
                <w:rStyle w:val="eop"/>
                <w:rFonts w:ascii="Public Sans" w:hAnsi="Public Sans" w:cs="Arial"/>
                <w:sz w:val="18"/>
                <w:szCs w:val="18"/>
                <w:lang w:eastAsia="en-AU"/>
              </w:rPr>
            </w:pPr>
            <w:r w:rsidRPr="00CC290E">
              <w:rPr>
                <w:rFonts w:ascii="Public Sans" w:eastAsia="Arial" w:hAnsi="Public Sans" w:cs="Arial"/>
                <w:sz w:val="18"/>
                <w:szCs w:val="18"/>
              </w:rPr>
              <w:t>Forward estimates</w:t>
            </w:r>
          </w:p>
        </w:tc>
        <w:tc>
          <w:tcPr>
            <w:tcW w:w="1983" w:type="dxa"/>
            <w:vMerge/>
            <w:vAlign w:val="center"/>
          </w:tcPr>
          <w:p w14:paraId="2287A0B7" w14:textId="77777777" w:rsidR="00650CF8" w:rsidRPr="00CC290E" w:rsidRDefault="00650CF8" w:rsidP="00703770">
            <w:pPr>
              <w:jc w:val="center"/>
              <w:rPr>
                <w:rStyle w:val="eop"/>
                <w:rFonts w:ascii="Public Sans" w:hAnsi="Public Sans" w:cs="Arial"/>
                <w:color w:val="FFFFFF" w:themeColor="background1"/>
                <w:sz w:val="18"/>
                <w:szCs w:val="18"/>
                <w:lang w:eastAsia="en-AU"/>
              </w:rPr>
            </w:pPr>
          </w:p>
        </w:tc>
      </w:tr>
      <w:tr w:rsidR="00DD3A49" w:rsidRPr="00CC290E" w14:paraId="32AA1D94" w14:textId="77777777" w:rsidTr="003437AB">
        <w:trPr>
          <w:trHeight w:val="283"/>
          <w:jc w:val="center"/>
        </w:trPr>
        <w:tc>
          <w:tcPr>
            <w:tcW w:w="3683" w:type="dxa"/>
            <w:shd w:val="clear" w:color="auto" w:fill="EBEBEB"/>
          </w:tcPr>
          <w:p w14:paraId="0D45D14C" w14:textId="77777777" w:rsidR="00650CF8" w:rsidRPr="00CC290E" w:rsidRDefault="00650CF8" w:rsidP="00703770">
            <w:pPr>
              <w:jc w:val="center"/>
              <w:rPr>
                <w:rStyle w:val="eop"/>
                <w:rFonts w:ascii="Public Sans" w:hAnsi="Public Sans" w:cs="Arial"/>
                <w:sz w:val="18"/>
                <w:szCs w:val="18"/>
                <w:lang w:eastAsia="en-AU"/>
              </w:rPr>
            </w:pPr>
          </w:p>
        </w:tc>
        <w:tc>
          <w:tcPr>
            <w:tcW w:w="996" w:type="dxa"/>
            <w:shd w:val="clear" w:color="auto" w:fill="EBEBEB"/>
          </w:tcPr>
          <w:p w14:paraId="4A7B06EF" w14:textId="77777777" w:rsidR="00650CF8" w:rsidRPr="00CC290E" w:rsidRDefault="00650CF8" w:rsidP="00703770">
            <w:pPr>
              <w:jc w:val="center"/>
              <w:rPr>
                <w:rStyle w:val="eop"/>
                <w:rFonts w:ascii="Public Sans" w:hAnsi="Public Sans" w:cs="Arial"/>
                <w:sz w:val="18"/>
                <w:szCs w:val="18"/>
                <w:lang w:eastAsia="en-AU"/>
              </w:rPr>
            </w:pPr>
            <w:r w:rsidRPr="00CC290E">
              <w:rPr>
                <w:rFonts w:ascii="Public Sans" w:hAnsi="Public Sans" w:cs="Arial"/>
                <w:sz w:val="18"/>
                <w:szCs w:val="18"/>
                <w:lang w:eastAsia="en-AU"/>
              </w:rPr>
              <w:t>$m</w:t>
            </w:r>
          </w:p>
        </w:tc>
        <w:tc>
          <w:tcPr>
            <w:tcW w:w="992" w:type="dxa"/>
            <w:shd w:val="clear" w:color="auto" w:fill="EBEBEB"/>
          </w:tcPr>
          <w:p w14:paraId="6CC5CCBF" w14:textId="77777777" w:rsidR="00650CF8" w:rsidRPr="00CC290E" w:rsidRDefault="00650CF8" w:rsidP="00703770">
            <w:pPr>
              <w:jc w:val="center"/>
              <w:rPr>
                <w:rStyle w:val="eop"/>
                <w:rFonts w:ascii="Public Sans" w:hAnsi="Public Sans" w:cs="Arial"/>
                <w:sz w:val="18"/>
                <w:szCs w:val="18"/>
                <w:lang w:eastAsia="en-AU"/>
              </w:rPr>
            </w:pPr>
            <w:r w:rsidRPr="00CC290E">
              <w:rPr>
                <w:rFonts w:ascii="Public Sans" w:hAnsi="Public Sans" w:cs="Arial"/>
                <w:sz w:val="18"/>
                <w:szCs w:val="18"/>
                <w:lang w:eastAsia="en-AU"/>
              </w:rPr>
              <w:t>$m</w:t>
            </w:r>
          </w:p>
        </w:tc>
        <w:tc>
          <w:tcPr>
            <w:tcW w:w="993" w:type="dxa"/>
            <w:shd w:val="clear" w:color="auto" w:fill="EBEBEB"/>
          </w:tcPr>
          <w:p w14:paraId="7B4CB7FD" w14:textId="77777777" w:rsidR="00650CF8" w:rsidRPr="00CC290E" w:rsidRDefault="00650CF8" w:rsidP="00703770">
            <w:pPr>
              <w:jc w:val="center"/>
              <w:rPr>
                <w:rStyle w:val="eop"/>
                <w:rFonts w:ascii="Public Sans" w:hAnsi="Public Sans" w:cs="Arial"/>
                <w:sz w:val="18"/>
                <w:szCs w:val="18"/>
                <w:lang w:eastAsia="en-AU"/>
              </w:rPr>
            </w:pPr>
            <w:r w:rsidRPr="00CC290E">
              <w:rPr>
                <w:rFonts w:ascii="Public Sans" w:hAnsi="Public Sans" w:cs="Arial"/>
                <w:sz w:val="18"/>
                <w:szCs w:val="18"/>
                <w:lang w:eastAsia="en-AU"/>
              </w:rPr>
              <w:t>$m</w:t>
            </w:r>
          </w:p>
        </w:tc>
        <w:tc>
          <w:tcPr>
            <w:tcW w:w="992" w:type="dxa"/>
            <w:shd w:val="clear" w:color="auto" w:fill="EBEBEB"/>
          </w:tcPr>
          <w:p w14:paraId="493B67CF" w14:textId="77777777" w:rsidR="00650CF8" w:rsidRPr="00CC290E" w:rsidRDefault="00650CF8" w:rsidP="00703770">
            <w:pPr>
              <w:jc w:val="center"/>
              <w:rPr>
                <w:rStyle w:val="eop"/>
                <w:rFonts w:ascii="Public Sans" w:hAnsi="Public Sans" w:cs="Arial"/>
                <w:sz w:val="18"/>
                <w:szCs w:val="18"/>
                <w:lang w:eastAsia="en-AU"/>
              </w:rPr>
            </w:pPr>
            <w:r w:rsidRPr="00CC290E">
              <w:rPr>
                <w:rFonts w:ascii="Public Sans" w:hAnsi="Public Sans" w:cs="Arial"/>
                <w:sz w:val="18"/>
                <w:szCs w:val="18"/>
                <w:lang w:eastAsia="en-AU"/>
              </w:rPr>
              <w:t>$m</w:t>
            </w:r>
          </w:p>
        </w:tc>
        <w:tc>
          <w:tcPr>
            <w:tcW w:w="1983" w:type="dxa"/>
            <w:vMerge/>
            <w:vAlign w:val="center"/>
          </w:tcPr>
          <w:p w14:paraId="070A56A1" w14:textId="77777777" w:rsidR="00650CF8" w:rsidRPr="00CC290E" w:rsidRDefault="00650CF8" w:rsidP="00703770">
            <w:pPr>
              <w:jc w:val="center"/>
              <w:rPr>
                <w:rStyle w:val="eop"/>
                <w:rFonts w:ascii="Public Sans" w:hAnsi="Public Sans" w:cs="Arial"/>
                <w:color w:val="FFFFFF" w:themeColor="background1"/>
                <w:sz w:val="18"/>
                <w:szCs w:val="18"/>
                <w:lang w:eastAsia="en-AU"/>
              </w:rPr>
            </w:pPr>
          </w:p>
        </w:tc>
      </w:tr>
      <w:tr w:rsidR="00650CF8" w:rsidRPr="00CC290E" w14:paraId="7A6C92BF" w14:textId="77777777" w:rsidTr="003437AB">
        <w:trPr>
          <w:trHeight w:val="283"/>
          <w:jc w:val="center"/>
        </w:trPr>
        <w:tc>
          <w:tcPr>
            <w:tcW w:w="3683" w:type="dxa"/>
            <w:shd w:val="clear" w:color="auto" w:fill="auto"/>
            <w:vAlign w:val="center"/>
          </w:tcPr>
          <w:p w14:paraId="433D8E5B" w14:textId="77777777" w:rsidR="00650CF8" w:rsidRPr="00CC290E" w:rsidRDefault="00650CF8" w:rsidP="00703770">
            <w:pPr>
              <w:rPr>
                <w:rFonts w:ascii="Public Sans" w:eastAsia="Arial" w:hAnsi="Public Sans" w:cs="Arial"/>
                <w:sz w:val="18"/>
                <w:szCs w:val="18"/>
              </w:rPr>
            </w:pPr>
            <w:r w:rsidRPr="00CC290E">
              <w:rPr>
                <w:rFonts w:ascii="Public Sans" w:eastAsia="Arial" w:hAnsi="Public Sans" w:cs="Arial"/>
                <w:sz w:val="18"/>
                <w:szCs w:val="18"/>
              </w:rPr>
              <w:t>Coal prices</w:t>
            </w:r>
          </w:p>
        </w:tc>
        <w:tc>
          <w:tcPr>
            <w:tcW w:w="996" w:type="dxa"/>
          </w:tcPr>
          <w:p w14:paraId="2B8B1FDD" w14:textId="4A9A36AC" w:rsidR="00650CF8" w:rsidRPr="00CC290E" w:rsidRDefault="00E5024E" w:rsidP="00703770">
            <w:pPr>
              <w:ind w:right="170"/>
              <w:jc w:val="right"/>
              <w:rPr>
                <w:rFonts w:ascii="Public Sans" w:eastAsia="Arial" w:hAnsi="Public Sans" w:cs="Arial"/>
                <w:sz w:val="18"/>
                <w:szCs w:val="18"/>
              </w:rPr>
            </w:pPr>
            <w:r w:rsidRPr="00E5024E">
              <w:rPr>
                <w:rFonts w:ascii="Public Sans" w:hAnsi="Public Sans"/>
                <w:sz w:val="18"/>
                <w:szCs w:val="18"/>
              </w:rPr>
              <w:t>25</w:t>
            </w:r>
          </w:p>
        </w:tc>
        <w:tc>
          <w:tcPr>
            <w:tcW w:w="992" w:type="dxa"/>
            <w:shd w:val="clear" w:color="auto" w:fill="auto"/>
          </w:tcPr>
          <w:p w14:paraId="13521CDB" w14:textId="193048AB" w:rsidR="00650CF8" w:rsidRPr="00CC290E" w:rsidRDefault="00E5024E" w:rsidP="00703770">
            <w:pPr>
              <w:ind w:right="170"/>
              <w:jc w:val="right"/>
              <w:rPr>
                <w:rFonts w:ascii="Public Sans" w:eastAsia="Arial" w:hAnsi="Public Sans" w:cs="Arial"/>
                <w:sz w:val="18"/>
                <w:szCs w:val="18"/>
              </w:rPr>
            </w:pPr>
            <w:r w:rsidRPr="00E5024E">
              <w:rPr>
                <w:rFonts w:ascii="Public Sans" w:hAnsi="Public Sans"/>
                <w:sz w:val="18"/>
                <w:szCs w:val="18"/>
              </w:rPr>
              <w:t>25</w:t>
            </w:r>
          </w:p>
        </w:tc>
        <w:tc>
          <w:tcPr>
            <w:tcW w:w="993" w:type="dxa"/>
            <w:shd w:val="clear" w:color="auto" w:fill="auto"/>
          </w:tcPr>
          <w:p w14:paraId="5029C08B" w14:textId="6C6075FA" w:rsidR="00650CF8" w:rsidRPr="00CC290E" w:rsidRDefault="00E5024E" w:rsidP="00703770">
            <w:pPr>
              <w:ind w:right="170"/>
              <w:jc w:val="right"/>
              <w:rPr>
                <w:rFonts w:ascii="Public Sans" w:eastAsia="Arial" w:hAnsi="Public Sans" w:cs="Arial"/>
                <w:sz w:val="18"/>
                <w:szCs w:val="18"/>
              </w:rPr>
            </w:pPr>
            <w:r w:rsidRPr="00E5024E">
              <w:rPr>
                <w:rFonts w:ascii="Public Sans" w:hAnsi="Public Sans"/>
                <w:sz w:val="18"/>
                <w:szCs w:val="18"/>
              </w:rPr>
              <w:t>22</w:t>
            </w:r>
          </w:p>
        </w:tc>
        <w:tc>
          <w:tcPr>
            <w:tcW w:w="992" w:type="dxa"/>
            <w:shd w:val="clear" w:color="auto" w:fill="auto"/>
          </w:tcPr>
          <w:p w14:paraId="6CCC7D2B" w14:textId="4B9AD7F4" w:rsidR="00650CF8" w:rsidRPr="00CC290E" w:rsidRDefault="00E5024E" w:rsidP="00703770">
            <w:pPr>
              <w:ind w:right="170"/>
              <w:jc w:val="right"/>
              <w:rPr>
                <w:rFonts w:ascii="Public Sans" w:eastAsia="Arial" w:hAnsi="Public Sans" w:cs="Arial"/>
                <w:sz w:val="18"/>
                <w:szCs w:val="18"/>
              </w:rPr>
            </w:pPr>
            <w:r w:rsidRPr="00E5024E">
              <w:rPr>
                <w:rFonts w:ascii="Public Sans" w:hAnsi="Public Sans"/>
                <w:sz w:val="18"/>
                <w:szCs w:val="18"/>
              </w:rPr>
              <w:t>20</w:t>
            </w:r>
          </w:p>
        </w:tc>
        <w:tc>
          <w:tcPr>
            <w:tcW w:w="1983" w:type="dxa"/>
            <w:vMerge w:val="restart"/>
            <w:vAlign w:val="center"/>
          </w:tcPr>
          <w:p w14:paraId="7BEAD14E" w14:textId="77777777" w:rsidR="00650CF8" w:rsidRPr="00CC290E" w:rsidRDefault="00650CF8" w:rsidP="00703770">
            <w:pPr>
              <w:jc w:val="center"/>
              <w:rPr>
                <w:rFonts w:ascii="Public Sans" w:hAnsi="Public Sans" w:cs="Arial"/>
                <w:sz w:val="18"/>
                <w:szCs w:val="18"/>
              </w:rPr>
            </w:pPr>
            <w:r w:rsidRPr="00CC290E">
              <w:rPr>
                <w:rFonts w:ascii="Public Sans" w:hAnsi="Public Sans" w:cs="Arial"/>
                <w:sz w:val="18"/>
                <w:szCs w:val="18"/>
              </w:rPr>
              <w:t>Single percentage point increase in factor</w:t>
            </w:r>
          </w:p>
        </w:tc>
      </w:tr>
      <w:tr w:rsidR="00650CF8" w:rsidRPr="00CC290E" w14:paraId="4166D7C0" w14:textId="77777777" w:rsidTr="003437AB">
        <w:trPr>
          <w:trHeight w:val="283"/>
          <w:jc w:val="center"/>
        </w:trPr>
        <w:tc>
          <w:tcPr>
            <w:tcW w:w="3683" w:type="dxa"/>
            <w:shd w:val="clear" w:color="auto" w:fill="auto"/>
            <w:vAlign w:val="center"/>
          </w:tcPr>
          <w:p w14:paraId="32469B81" w14:textId="77777777" w:rsidR="00650CF8" w:rsidRPr="00CC290E" w:rsidRDefault="00650CF8" w:rsidP="00703770">
            <w:pPr>
              <w:rPr>
                <w:rFonts w:ascii="Public Sans" w:eastAsia="Arial" w:hAnsi="Public Sans" w:cs="Arial"/>
                <w:sz w:val="18"/>
                <w:szCs w:val="18"/>
              </w:rPr>
            </w:pPr>
            <w:r w:rsidRPr="00CC290E">
              <w:rPr>
                <w:rFonts w:ascii="Public Sans" w:eastAsia="Arial" w:hAnsi="Public Sans" w:cs="Arial"/>
                <w:sz w:val="18"/>
                <w:szCs w:val="18"/>
              </w:rPr>
              <w:t>Coal volumes</w:t>
            </w:r>
          </w:p>
        </w:tc>
        <w:tc>
          <w:tcPr>
            <w:tcW w:w="996" w:type="dxa"/>
          </w:tcPr>
          <w:p w14:paraId="59C86FEA" w14:textId="0E5B8748" w:rsidR="00650CF8" w:rsidRPr="00CC290E" w:rsidRDefault="00E5024E" w:rsidP="00703770">
            <w:pPr>
              <w:ind w:right="170"/>
              <w:jc w:val="right"/>
              <w:rPr>
                <w:rFonts w:ascii="Public Sans" w:eastAsia="Arial" w:hAnsi="Public Sans" w:cs="Arial"/>
                <w:sz w:val="18"/>
                <w:szCs w:val="18"/>
              </w:rPr>
            </w:pPr>
            <w:r w:rsidRPr="00E5024E">
              <w:rPr>
                <w:rFonts w:ascii="Public Sans" w:hAnsi="Public Sans"/>
                <w:sz w:val="18"/>
                <w:szCs w:val="18"/>
              </w:rPr>
              <w:t>30</w:t>
            </w:r>
          </w:p>
        </w:tc>
        <w:tc>
          <w:tcPr>
            <w:tcW w:w="992" w:type="dxa"/>
            <w:shd w:val="clear" w:color="auto" w:fill="auto"/>
          </w:tcPr>
          <w:p w14:paraId="797A4BDB" w14:textId="68618E40" w:rsidR="00650CF8" w:rsidRPr="00CC290E" w:rsidRDefault="00E5024E" w:rsidP="00703770">
            <w:pPr>
              <w:ind w:right="170"/>
              <w:jc w:val="right"/>
              <w:rPr>
                <w:rFonts w:ascii="Public Sans" w:eastAsia="Arial" w:hAnsi="Public Sans" w:cs="Arial"/>
                <w:sz w:val="18"/>
                <w:szCs w:val="18"/>
              </w:rPr>
            </w:pPr>
            <w:r w:rsidRPr="00E5024E">
              <w:rPr>
                <w:rFonts w:ascii="Public Sans" w:hAnsi="Public Sans"/>
                <w:sz w:val="18"/>
                <w:szCs w:val="18"/>
              </w:rPr>
              <w:t>26</w:t>
            </w:r>
          </w:p>
        </w:tc>
        <w:tc>
          <w:tcPr>
            <w:tcW w:w="993" w:type="dxa"/>
            <w:shd w:val="clear" w:color="auto" w:fill="auto"/>
          </w:tcPr>
          <w:p w14:paraId="63BD0751" w14:textId="019B16D4" w:rsidR="00650CF8" w:rsidRPr="00CC290E" w:rsidRDefault="00E5024E" w:rsidP="00703770">
            <w:pPr>
              <w:ind w:right="170"/>
              <w:jc w:val="right"/>
              <w:rPr>
                <w:rFonts w:ascii="Public Sans" w:eastAsia="Arial" w:hAnsi="Public Sans" w:cs="Arial"/>
                <w:sz w:val="18"/>
                <w:szCs w:val="18"/>
              </w:rPr>
            </w:pPr>
            <w:r w:rsidRPr="00E5024E">
              <w:rPr>
                <w:rFonts w:ascii="Public Sans" w:hAnsi="Public Sans"/>
                <w:sz w:val="18"/>
                <w:szCs w:val="18"/>
              </w:rPr>
              <w:t>23</w:t>
            </w:r>
          </w:p>
        </w:tc>
        <w:tc>
          <w:tcPr>
            <w:tcW w:w="992" w:type="dxa"/>
            <w:shd w:val="clear" w:color="auto" w:fill="auto"/>
          </w:tcPr>
          <w:p w14:paraId="65CEAAE1" w14:textId="35C773DF" w:rsidR="00650CF8" w:rsidRPr="00CC290E" w:rsidRDefault="00E5024E" w:rsidP="00703770">
            <w:pPr>
              <w:ind w:right="170"/>
              <w:jc w:val="right"/>
              <w:rPr>
                <w:rFonts w:ascii="Public Sans" w:eastAsia="Arial" w:hAnsi="Public Sans" w:cs="Arial"/>
                <w:sz w:val="18"/>
                <w:szCs w:val="18"/>
              </w:rPr>
            </w:pPr>
            <w:r w:rsidRPr="00E5024E">
              <w:rPr>
                <w:rFonts w:ascii="Public Sans" w:hAnsi="Public Sans"/>
                <w:sz w:val="18"/>
                <w:szCs w:val="18"/>
              </w:rPr>
              <w:t>21</w:t>
            </w:r>
          </w:p>
        </w:tc>
        <w:tc>
          <w:tcPr>
            <w:tcW w:w="1983" w:type="dxa"/>
            <w:vMerge/>
            <w:vAlign w:val="center"/>
          </w:tcPr>
          <w:p w14:paraId="447E6EA0" w14:textId="77777777" w:rsidR="00650CF8" w:rsidRPr="00CC290E" w:rsidRDefault="00650CF8" w:rsidP="00703770">
            <w:pPr>
              <w:rPr>
                <w:rFonts w:ascii="Public Sans" w:hAnsi="Public Sans"/>
              </w:rPr>
            </w:pPr>
          </w:p>
        </w:tc>
      </w:tr>
      <w:tr w:rsidR="00650CF8" w:rsidRPr="00CC290E" w14:paraId="6D764197" w14:textId="77777777" w:rsidTr="003437AB">
        <w:trPr>
          <w:trHeight w:val="283"/>
          <w:jc w:val="center"/>
        </w:trPr>
        <w:tc>
          <w:tcPr>
            <w:tcW w:w="3683" w:type="dxa"/>
            <w:shd w:val="clear" w:color="auto" w:fill="auto"/>
            <w:vAlign w:val="center"/>
          </w:tcPr>
          <w:p w14:paraId="216FC29C" w14:textId="77777777" w:rsidR="00650CF8" w:rsidRPr="00CC290E" w:rsidRDefault="00650CF8" w:rsidP="00703770">
            <w:pPr>
              <w:rPr>
                <w:rFonts w:ascii="Public Sans" w:eastAsia="Arial" w:hAnsi="Public Sans" w:cs="Arial"/>
                <w:sz w:val="18"/>
                <w:szCs w:val="18"/>
              </w:rPr>
            </w:pPr>
            <w:r w:rsidRPr="00CC290E">
              <w:rPr>
                <w:rFonts w:ascii="Public Sans" w:eastAsia="Arial" w:hAnsi="Public Sans" w:cs="Arial"/>
                <w:sz w:val="18"/>
                <w:szCs w:val="18"/>
              </w:rPr>
              <w:t>Exchange rate ($A vs $US)</w:t>
            </w:r>
          </w:p>
        </w:tc>
        <w:tc>
          <w:tcPr>
            <w:tcW w:w="996" w:type="dxa"/>
          </w:tcPr>
          <w:p w14:paraId="578996B0" w14:textId="3FB4F5F9" w:rsidR="00650CF8" w:rsidRPr="00CC290E" w:rsidRDefault="00E5024E" w:rsidP="00703770">
            <w:pPr>
              <w:ind w:right="170"/>
              <w:jc w:val="right"/>
              <w:rPr>
                <w:rFonts w:ascii="Public Sans" w:eastAsia="Arial" w:hAnsi="Public Sans" w:cs="Arial"/>
                <w:sz w:val="18"/>
                <w:szCs w:val="18"/>
              </w:rPr>
            </w:pPr>
            <w:r w:rsidRPr="00E5024E">
              <w:rPr>
                <w:rFonts w:ascii="Public Sans" w:hAnsi="Public Sans"/>
                <w:sz w:val="18"/>
                <w:szCs w:val="18"/>
              </w:rPr>
              <w:t>(</w:t>
            </w:r>
            <w:r w:rsidR="4ABB97F8" w:rsidRPr="23FD9731">
              <w:rPr>
                <w:rFonts w:ascii="Public Sans" w:hAnsi="Public Sans"/>
                <w:sz w:val="18"/>
                <w:szCs w:val="18"/>
              </w:rPr>
              <w:t>30</w:t>
            </w:r>
            <w:r w:rsidRPr="00E5024E">
              <w:rPr>
                <w:rFonts w:ascii="Public Sans" w:hAnsi="Public Sans"/>
                <w:sz w:val="18"/>
                <w:szCs w:val="18"/>
              </w:rPr>
              <w:t>)</w:t>
            </w:r>
          </w:p>
        </w:tc>
        <w:tc>
          <w:tcPr>
            <w:tcW w:w="992" w:type="dxa"/>
            <w:shd w:val="clear" w:color="auto" w:fill="FFFFFF" w:themeFill="background1"/>
          </w:tcPr>
          <w:p w14:paraId="5466CABC" w14:textId="57C7D12D" w:rsidR="00650CF8" w:rsidRPr="00CC290E" w:rsidRDefault="00E5024E" w:rsidP="00703770">
            <w:pPr>
              <w:ind w:right="170"/>
              <w:jc w:val="right"/>
              <w:rPr>
                <w:rFonts w:ascii="Public Sans" w:eastAsia="Arial" w:hAnsi="Public Sans" w:cs="Arial"/>
                <w:sz w:val="18"/>
                <w:szCs w:val="18"/>
              </w:rPr>
            </w:pPr>
            <w:r w:rsidRPr="00E5024E">
              <w:rPr>
                <w:rFonts w:ascii="Public Sans" w:hAnsi="Public Sans"/>
                <w:sz w:val="18"/>
                <w:szCs w:val="18"/>
              </w:rPr>
              <w:t>(</w:t>
            </w:r>
            <w:r w:rsidR="3815AC3D" w:rsidRPr="040735C9">
              <w:rPr>
                <w:rFonts w:ascii="Public Sans" w:hAnsi="Public Sans"/>
                <w:sz w:val="18"/>
                <w:szCs w:val="18"/>
              </w:rPr>
              <w:t>2</w:t>
            </w:r>
            <w:r w:rsidR="022D8136" w:rsidRPr="040735C9">
              <w:rPr>
                <w:rFonts w:ascii="Public Sans" w:hAnsi="Public Sans"/>
                <w:sz w:val="18"/>
                <w:szCs w:val="18"/>
              </w:rPr>
              <w:t>6</w:t>
            </w:r>
            <w:r w:rsidRPr="00E5024E">
              <w:rPr>
                <w:rFonts w:ascii="Public Sans" w:hAnsi="Public Sans"/>
                <w:sz w:val="18"/>
                <w:szCs w:val="18"/>
              </w:rPr>
              <w:t>)</w:t>
            </w:r>
          </w:p>
        </w:tc>
        <w:tc>
          <w:tcPr>
            <w:tcW w:w="993" w:type="dxa"/>
            <w:shd w:val="clear" w:color="auto" w:fill="FFFFFF" w:themeFill="background1"/>
          </w:tcPr>
          <w:p w14:paraId="067C5E40" w14:textId="27B094EC" w:rsidR="00650CF8" w:rsidRPr="00CC290E" w:rsidRDefault="00E5024E" w:rsidP="00703770">
            <w:pPr>
              <w:ind w:right="170"/>
              <w:jc w:val="right"/>
              <w:rPr>
                <w:rFonts w:ascii="Public Sans" w:eastAsia="Arial" w:hAnsi="Public Sans" w:cs="Arial"/>
                <w:sz w:val="18"/>
                <w:szCs w:val="18"/>
              </w:rPr>
            </w:pPr>
            <w:r w:rsidRPr="00E5024E">
              <w:rPr>
                <w:rFonts w:ascii="Public Sans" w:hAnsi="Public Sans"/>
                <w:sz w:val="18"/>
                <w:szCs w:val="18"/>
              </w:rPr>
              <w:t>(23)</w:t>
            </w:r>
          </w:p>
        </w:tc>
        <w:tc>
          <w:tcPr>
            <w:tcW w:w="992" w:type="dxa"/>
            <w:shd w:val="clear" w:color="auto" w:fill="FFFFFF" w:themeFill="background1"/>
          </w:tcPr>
          <w:p w14:paraId="6C386975" w14:textId="3C4DF8F4" w:rsidR="00650CF8" w:rsidRPr="00CC290E" w:rsidRDefault="00E5024E" w:rsidP="00703770">
            <w:pPr>
              <w:ind w:right="170"/>
              <w:jc w:val="right"/>
              <w:rPr>
                <w:rFonts w:ascii="Public Sans" w:eastAsia="Arial" w:hAnsi="Public Sans" w:cs="Arial"/>
                <w:sz w:val="18"/>
                <w:szCs w:val="18"/>
              </w:rPr>
            </w:pPr>
            <w:r w:rsidRPr="00E5024E">
              <w:rPr>
                <w:rFonts w:ascii="Public Sans" w:hAnsi="Public Sans"/>
                <w:sz w:val="18"/>
                <w:szCs w:val="18"/>
              </w:rPr>
              <w:t>(21)</w:t>
            </w:r>
          </w:p>
        </w:tc>
        <w:tc>
          <w:tcPr>
            <w:tcW w:w="1983" w:type="dxa"/>
            <w:vMerge/>
          </w:tcPr>
          <w:p w14:paraId="4B328DC9" w14:textId="77777777" w:rsidR="00650CF8" w:rsidRPr="00CC290E" w:rsidRDefault="00650CF8" w:rsidP="00703770">
            <w:pPr>
              <w:jc w:val="center"/>
              <w:rPr>
                <w:rFonts w:ascii="Public Sans" w:hAnsi="Public Sans" w:cs="Arial"/>
                <w:sz w:val="18"/>
                <w:szCs w:val="18"/>
              </w:rPr>
            </w:pPr>
          </w:p>
        </w:tc>
      </w:tr>
    </w:tbl>
    <w:p w14:paraId="6CBF3B6F" w14:textId="77777777" w:rsidR="00650CF8" w:rsidRDefault="00650CF8" w:rsidP="00650CF8"/>
    <w:p w14:paraId="6D5DDF8D" w14:textId="77777777" w:rsidR="00650CF8" w:rsidRPr="00D47394" w:rsidRDefault="00650CF8" w:rsidP="00650CF8">
      <w:pPr>
        <w:pStyle w:val="Heading3"/>
        <w:rPr>
          <w:rFonts w:asciiTheme="minorHAnsi" w:eastAsiaTheme="minorEastAsia" w:hAnsiTheme="minorHAnsi" w:cstheme="minorBidi"/>
        </w:rPr>
      </w:pPr>
      <w:r>
        <w:t>General expense risks</w:t>
      </w:r>
      <w:r>
        <w:rPr>
          <w:rStyle w:val="FootnoteReference"/>
        </w:rPr>
        <w:footnoteReference w:id="2"/>
      </w:r>
    </w:p>
    <w:p w14:paraId="35D9BCE8" w14:textId="66FE0AFC" w:rsidR="005B4B9E" w:rsidRPr="005B4B9E" w:rsidRDefault="005B4B9E" w:rsidP="00014449">
      <w:pPr>
        <w:pStyle w:val="BodyText"/>
      </w:pPr>
      <w:r w:rsidRPr="005B4B9E">
        <w:t xml:space="preserve">Some </w:t>
      </w:r>
      <w:r w:rsidR="00704E15">
        <w:t>expense</w:t>
      </w:r>
      <w:r w:rsidR="00704E15" w:rsidRPr="005B4B9E">
        <w:t xml:space="preserve"> </w:t>
      </w:r>
      <w:r w:rsidRPr="005B4B9E">
        <w:t xml:space="preserve">risks are largely within the Government’s control and can be actively managed, whereas other risks are primarily outside of its control. For example, impacts associated with existing government policy, employee expenses or the reprofiling of </w:t>
      </w:r>
      <w:r w:rsidR="00540F93">
        <w:t>expenses</w:t>
      </w:r>
      <w:r w:rsidR="00540F93" w:rsidRPr="005B4B9E">
        <w:t xml:space="preserve"> </w:t>
      </w:r>
      <w:r w:rsidRPr="005B4B9E">
        <w:t>can be more actively managed</w:t>
      </w:r>
      <w:r w:rsidR="00A639A6">
        <w:t xml:space="preserve">. </w:t>
      </w:r>
      <w:r w:rsidR="002342CC">
        <w:t>Expenses</w:t>
      </w:r>
      <w:r w:rsidR="002342CC" w:rsidRPr="005B4B9E">
        <w:t xml:space="preserve"> </w:t>
      </w:r>
      <w:r w:rsidRPr="005B4B9E">
        <w:t xml:space="preserve">linked to </w:t>
      </w:r>
      <w:r w:rsidR="00FA6691">
        <w:t>Australian Government</w:t>
      </w:r>
      <w:r w:rsidRPr="005B4B9E">
        <w:t xml:space="preserve"> payments, inflation, interest rate changes or natural disasters are largely exogenous risks. </w:t>
      </w:r>
    </w:p>
    <w:p w14:paraId="7D30D104" w14:textId="58FBD83F" w:rsidR="005B4B9E" w:rsidRPr="005B4B9E" w:rsidRDefault="005B4B9E" w:rsidP="00014449">
      <w:pPr>
        <w:pStyle w:val="BodyText"/>
      </w:pPr>
      <w:r w:rsidRPr="005B4B9E">
        <w:t xml:space="preserve">The State’s largest operating expense is employee related expenses, which includes salaries, wages, superannuation expenses and employment on-costs. Employee related expenses are impacted by factors including new enterprise bargaining agreements, public sector wages policy and the workforce size. Changes in these parameters can impact the </w:t>
      </w:r>
      <w:r w:rsidR="00FA6691">
        <w:t>b</w:t>
      </w:r>
      <w:r w:rsidRPr="005B4B9E">
        <w:t xml:space="preserve">udget </w:t>
      </w:r>
      <w:r w:rsidR="00FA6691">
        <w:t>r</w:t>
      </w:r>
      <w:r w:rsidRPr="005B4B9E">
        <w:t xml:space="preserve">esult. </w:t>
      </w:r>
    </w:p>
    <w:p w14:paraId="54CF8442" w14:textId="62F63AA4" w:rsidR="005B4B9E" w:rsidRPr="000850C9" w:rsidRDefault="005B4B9E" w:rsidP="00014449">
      <w:pPr>
        <w:pStyle w:val="BodyText"/>
      </w:pPr>
      <w:r w:rsidRPr="000850C9">
        <w:t>As the Government shifts to</w:t>
      </w:r>
      <w:r w:rsidR="00983CE6" w:rsidRPr="000850C9">
        <w:t xml:space="preserve"> a more consultative</w:t>
      </w:r>
      <w:r w:rsidRPr="000850C9">
        <w:t xml:space="preserve"> interest-based bargaining</w:t>
      </w:r>
      <w:r w:rsidR="005D2591" w:rsidRPr="000850C9">
        <w:t xml:space="preserve"> arrangement</w:t>
      </w:r>
      <w:r w:rsidRPr="000850C9">
        <w:t xml:space="preserve">, it is possible that the final budget outcome for 2023-24 deviates from current projections. The published </w:t>
      </w:r>
      <w:r w:rsidR="00DA5D78">
        <w:t>b</w:t>
      </w:r>
      <w:r w:rsidRPr="000850C9">
        <w:t>udget contains the impact of the Government’s current offer to employees. Under the Government’s interest</w:t>
      </w:r>
      <w:r w:rsidR="00820419" w:rsidRPr="000850C9">
        <w:t>-</w:t>
      </w:r>
      <w:r w:rsidRPr="000850C9">
        <w:t xml:space="preserve">based bargaining approach, the final profile of this measure may change to reflect </w:t>
      </w:r>
      <w:r w:rsidR="006D6007">
        <w:t>an</w:t>
      </w:r>
      <w:r w:rsidRPr="000850C9">
        <w:t xml:space="preserve"> agreed outcome. It is also possible that the projection beyond 2023-24 varies in future releases. </w:t>
      </w:r>
      <w:r w:rsidR="00445B1E">
        <w:t xml:space="preserve">The </w:t>
      </w:r>
      <w:r w:rsidR="00027F6E">
        <w:t xml:space="preserve">Essential Services Fund </w:t>
      </w:r>
      <w:r w:rsidR="00AF6173">
        <w:t xml:space="preserve">has been created </w:t>
      </w:r>
      <w:r w:rsidR="00026DBD">
        <w:t xml:space="preserve">to support </w:t>
      </w:r>
      <w:r w:rsidR="008F2FEB">
        <w:t xml:space="preserve">higher </w:t>
      </w:r>
      <w:r w:rsidR="00026DBD">
        <w:t>wage</w:t>
      </w:r>
      <w:r w:rsidR="008F2FEB">
        <w:t>s</w:t>
      </w:r>
      <w:r w:rsidR="00026DBD">
        <w:t xml:space="preserve"> that </w:t>
      </w:r>
      <w:r w:rsidR="008F6F52">
        <w:t xml:space="preserve">may </w:t>
      </w:r>
      <w:r w:rsidR="00026DBD">
        <w:t xml:space="preserve">arise </w:t>
      </w:r>
      <w:proofErr w:type="gramStart"/>
      <w:r w:rsidR="00260330">
        <w:t>as a result of</w:t>
      </w:r>
      <w:proofErr w:type="gramEnd"/>
      <w:r w:rsidR="00026DBD">
        <w:t xml:space="preserve"> service improvements </w:t>
      </w:r>
      <w:r w:rsidR="00EC3370">
        <w:t xml:space="preserve">as part of </w:t>
      </w:r>
      <w:r w:rsidR="00B73FF3">
        <w:t>a</w:t>
      </w:r>
      <w:r w:rsidR="00EC3370">
        <w:t xml:space="preserve"> new interest-based bargaining system.</w:t>
      </w:r>
    </w:p>
    <w:p w14:paraId="19BCF227" w14:textId="487C067D" w:rsidR="005B4B9E" w:rsidRPr="005B4B9E" w:rsidRDefault="005B4B9E" w:rsidP="00014449">
      <w:pPr>
        <w:pStyle w:val="BodyText"/>
      </w:pPr>
      <w:r w:rsidRPr="005B4B9E">
        <w:t xml:space="preserve">Health and education services represent a significant proportion of public sector </w:t>
      </w:r>
      <w:r w:rsidR="004C68ED">
        <w:t>expenses</w:t>
      </w:r>
      <w:r w:rsidR="004C68ED" w:rsidRPr="005B4B9E">
        <w:t xml:space="preserve"> </w:t>
      </w:r>
      <w:r w:rsidRPr="005B4B9E">
        <w:t xml:space="preserve">in New South Wales. The State receives </w:t>
      </w:r>
      <w:r w:rsidR="00D30999">
        <w:t>Australian</w:t>
      </w:r>
      <w:r w:rsidRPr="005B4B9E">
        <w:t xml:space="preserve"> Government payments for these services. Any decrease in these payments or heightened demand for these services can worsen the budget result.</w:t>
      </w:r>
    </w:p>
    <w:p w14:paraId="75203A3F" w14:textId="6A24D6D0" w:rsidR="005B4B9E" w:rsidRPr="005B4B9E" w:rsidRDefault="005B4B9E" w:rsidP="00014449">
      <w:pPr>
        <w:pStyle w:val="BodyText"/>
      </w:pPr>
      <w:r w:rsidRPr="005B4B9E">
        <w:t xml:space="preserve">Agency budgets are prepared with consideration to the Government’s forecast of inflation at the time of Budget. Once agency budgets are </w:t>
      </w:r>
      <w:r w:rsidR="00570A93">
        <w:t>finalised</w:t>
      </w:r>
      <w:r w:rsidRPr="005B4B9E">
        <w:t xml:space="preserve"> for the 2023-24 year (Budget Paper No. </w:t>
      </w:r>
      <w:r w:rsidRPr="00677591">
        <w:t>2</w:t>
      </w:r>
      <w:r w:rsidR="00F5678F" w:rsidRPr="00677591">
        <w:t xml:space="preserve"> </w:t>
      </w:r>
      <w:r w:rsidR="00677591" w:rsidRPr="00677591">
        <w:rPr>
          <w:i/>
        </w:rPr>
        <w:t>Agency</w:t>
      </w:r>
      <w:r w:rsidR="00F5678F" w:rsidRPr="00677591">
        <w:rPr>
          <w:i/>
        </w:rPr>
        <w:t xml:space="preserve"> Financial Statements</w:t>
      </w:r>
      <w:r w:rsidRPr="005B4B9E">
        <w:t xml:space="preserve">), the Government does not subsequently adjust them if inflation comes in higher than forecast. This is consistent with the principle that once Parliament passes the Appropriation Bill, that forms a legal upper limit on how much the Consolidated Fund can be drawn down in that financial year. There are very limited circumstances in which exigencies of Government can be approved by the Treasurer and Governor for urgent and unforeseen </w:t>
      </w:r>
      <w:r w:rsidR="0072164F">
        <w:t>expenses</w:t>
      </w:r>
      <w:r w:rsidRPr="005B4B9E">
        <w:t xml:space="preserve"> in 2023-24. </w:t>
      </w:r>
    </w:p>
    <w:p w14:paraId="706778E6" w14:textId="795C5FA9" w:rsidR="005B4B9E" w:rsidRPr="005B4B9E" w:rsidRDefault="005B4B9E" w:rsidP="00014449">
      <w:pPr>
        <w:pStyle w:val="BodyText"/>
      </w:pPr>
      <w:r w:rsidRPr="005B4B9E">
        <w:t xml:space="preserve">Should events unfold in the coming months which lead to a further upward revision of inflation at the next </w:t>
      </w:r>
      <w:r w:rsidR="00F34F8E">
        <w:t>b</w:t>
      </w:r>
      <w:r w:rsidRPr="005B4B9E">
        <w:t>udget, that would flow through to a higher projection for expenses in years after 2023-24. At the same time, should events unfold over the next twelve months and the Government believes it would be appropriate to revise down its inflation forecasts relative to what is in this Budget, that would lead to a reduction in projected expenses.</w:t>
      </w:r>
      <w:r w:rsidR="001F3E96">
        <w:br w:type="page"/>
      </w:r>
    </w:p>
    <w:p w14:paraId="3FD08F4E" w14:textId="77777777" w:rsidR="005B4B9E" w:rsidRPr="00C15663" w:rsidRDefault="005B4B9E" w:rsidP="005B4B9E">
      <w:pPr>
        <w:pStyle w:val="TableBX"/>
        <w:rPr>
          <w:rFonts w:asciiTheme="minorHAnsi" w:eastAsiaTheme="minorEastAsia" w:hAnsiTheme="minorHAnsi" w:cstheme="minorBidi"/>
          <w:color w:val="auto"/>
          <w:kern w:val="0"/>
          <w:sz w:val="23"/>
          <w:szCs w:val="24"/>
        </w:rPr>
      </w:pPr>
      <w:r w:rsidRPr="00C15663">
        <w:lastRenderedPageBreak/>
        <w:t>Expense sensitivities</w:t>
      </w:r>
      <w:r>
        <w:t xml:space="preserve"> </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B.6: Expense sensitivities "/>
        <w:tblDescription w:val="Table B.6: Expense sensitivities "/>
      </w:tblPr>
      <w:tblGrid>
        <w:gridCol w:w="3555"/>
        <w:gridCol w:w="981"/>
        <w:gridCol w:w="1134"/>
        <w:gridCol w:w="993"/>
        <w:gridCol w:w="992"/>
        <w:gridCol w:w="1984"/>
      </w:tblGrid>
      <w:tr w:rsidR="005B4B9E" w:rsidRPr="00097D37" w14:paraId="3F96A3B6" w14:textId="77777777" w:rsidTr="00097D37">
        <w:trPr>
          <w:trHeight w:val="283"/>
        </w:trPr>
        <w:tc>
          <w:tcPr>
            <w:tcW w:w="3555" w:type="dxa"/>
            <w:vMerge w:val="restart"/>
            <w:shd w:val="clear" w:color="auto" w:fill="EBEBEB"/>
            <w:vAlign w:val="center"/>
          </w:tcPr>
          <w:p w14:paraId="3F1685F1" w14:textId="77777777" w:rsidR="005B4B9E" w:rsidRPr="00097D37" w:rsidRDefault="005B4B9E" w:rsidP="00B3448F">
            <w:pPr>
              <w:rPr>
                <w:rStyle w:val="eop"/>
                <w:rFonts w:ascii="Public Sans" w:hAnsi="Public Sans" w:cs="Arial"/>
                <w:sz w:val="18"/>
                <w:szCs w:val="18"/>
                <w:lang w:eastAsia="en-AU"/>
              </w:rPr>
            </w:pPr>
            <w:r w:rsidRPr="00097D37">
              <w:rPr>
                <w:rFonts w:ascii="Public Sans" w:hAnsi="Public Sans" w:cs="Arial"/>
                <w:sz w:val="18"/>
                <w:szCs w:val="18"/>
                <w:lang w:eastAsia="en-AU"/>
              </w:rPr>
              <w:t>Factors affecting expenses</w:t>
            </w:r>
          </w:p>
        </w:tc>
        <w:tc>
          <w:tcPr>
            <w:tcW w:w="981" w:type="dxa"/>
            <w:shd w:val="clear" w:color="auto" w:fill="EBEBEB"/>
            <w:vAlign w:val="bottom"/>
          </w:tcPr>
          <w:p w14:paraId="5E1D49E3" w14:textId="77777777" w:rsidR="005B4B9E" w:rsidRPr="00097D37" w:rsidRDefault="005B4B9E" w:rsidP="00B3448F">
            <w:pPr>
              <w:jc w:val="center"/>
              <w:rPr>
                <w:rStyle w:val="eop"/>
                <w:rFonts w:ascii="Public Sans" w:hAnsi="Public Sans" w:cs="Arial"/>
                <w:sz w:val="18"/>
                <w:szCs w:val="18"/>
                <w:lang w:eastAsia="en-AU"/>
              </w:rPr>
            </w:pPr>
            <w:r w:rsidRPr="00097D37">
              <w:rPr>
                <w:rFonts w:ascii="Public Sans" w:eastAsia="Arial" w:hAnsi="Public Sans" w:cs="Arial"/>
                <w:sz w:val="18"/>
                <w:szCs w:val="18"/>
              </w:rPr>
              <w:t>2023-24</w:t>
            </w:r>
          </w:p>
        </w:tc>
        <w:tc>
          <w:tcPr>
            <w:tcW w:w="1134" w:type="dxa"/>
            <w:shd w:val="clear" w:color="auto" w:fill="EBEBEB"/>
            <w:vAlign w:val="bottom"/>
          </w:tcPr>
          <w:p w14:paraId="24A8736A" w14:textId="77777777" w:rsidR="005B4B9E" w:rsidRPr="00097D37" w:rsidRDefault="005B4B9E" w:rsidP="00B3448F">
            <w:pPr>
              <w:jc w:val="center"/>
              <w:rPr>
                <w:rStyle w:val="eop"/>
                <w:rFonts w:ascii="Public Sans" w:hAnsi="Public Sans" w:cs="Arial"/>
                <w:sz w:val="18"/>
                <w:szCs w:val="18"/>
                <w:lang w:eastAsia="en-AU"/>
              </w:rPr>
            </w:pPr>
            <w:r w:rsidRPr="00097D37">
              <w:rPr>
                <w:rFonts w:ascii="Public Sans" w:eastAsia="Arial" w:hAnsi="Public Sans" w:cs="Arial"/>
                <w:sz w:val="18"/>
                <w:szCs w:val="18"/>
              </w:rPr>
              <w:t>2024-25</w:t>
            </w:r>
          </w:p>
        </w:tc>
        <w:tc>
          <w:tcPr>
            <w:tcW w:w="993" w:type="dxa"/>
            <w:shd w:val="clear" w:color="auto" w:fill="EBEBEB"/>
            <w:vAlign w:val="bottom"/>
          </w:tcPr>
          <w:p w14:paraId="6D607D33" w14:textId="77777777" w:rsidR="005B4B9E" w:rsidRPr="00097D37" w:rsidRDefault="005B4B9E" w:rsidP="00B3448F">
            <w:pPr>
              <w:jc w:val="center"/>
              <w:rPr>
                <w:rStyle w:val="eop"/>
                <w:rFonts w:ascii="Public Sans" w:hAnsi="Public Sans" w:cs="Arial"/>
                <w:sz w:val="18"/>
                <w:szCs w:val="18"/>
                <w:lang w:eastAsia="en-AU"/>
              </w:rPr>
            </w:pPr>
            <w:r w:rsidRPr="00097D37">
              <w:rPr>
                <w:rFonts w:ascii="Public Sans" w:eastAsia="Arial" w:hAnsi="Public Sans" w:cs="Arial"/>
                <w:sz w:val="18"/>
                <w:szCs w:val="18"/>
              </w:rPr>
              <w:t>2025-26</w:t>
            </w:r>
          </w:p>
        </w:tc>
        <w:tc>
          <w:tcPr>
            <w:tcW w:w="992" w:type="dxa"/>
            <w:shd w:val="clear" w:color="auto" w:fill="EBEBEB"/>
            <w:vAlign w:val="bottom"/>
          </w:tcPr>
          <w:p w14:paraId="29B0099C" w14:textId="77777777" w:rsidR="005B4B9E" w:rsidRPr="00097D37" w:rsidRDefault="005B4B9E" w:rsidP="00B3448F">
            <w:pPr>
              <w:jc w:val="center"/>
              <w:rPr>
                <w:rStyle w:val="eop"/>
                <w:rFonts w:ascii="Public Sans" w:hAnsi="Public Sans" w:cs="Arial"/>
                <w:sz w:val="18"/>
                <w:szCs w:val="18"/>
                <w:lang w:eastAsia="en-AU"/>
              </w:rPr>
            </w:pPr>
            <w:r w:rsidRPr="00097D37">
              <w:rPr>
                <w:rFonts w:ascii="Public Sans" w:eastAsia="Arial" w:hAnsi="Public Sans" w:cs="Arial"/>
                <w:sz w:val="18"/>
                <w:szCs w:val="18"/>
              </w:rPr>
              <w:t>2026-27</w:t>
            </w:r>
          </w:p>
        </w:tc>
        <w:tc>
          <w:tcPr>
            <w:tcW w:w="1984" w:type="dxa"/>
            <w:vMerge w:val="restart"/>
            <w:shd w:val="clear" w:color="auto" w:fill="4B5051"/>
            <w:vAlign w:val="center"/>
          </w:tcPr>
          <w:p w14:paraId="616D77B7" w14:textId="77777777" w:rsidR="005B4B9E" w:rsidRPr="00097D37" w:rsidRDefault="005B4B9E" w:rsidP="00B3448F">
            <w:pPr>
              <w:jc w:val="center"/>
              <w:rPr>
                <w:rStyle w:val="eop"/>
                <w:rFonts w:ascii="Public Sans" w:hAnsi="Public Sans" w:cs="Arial"/>
                <w:color w:val="FFFFFF" w:themeColor="background1"/>
                <w:sz w:val="18"/>
                <w:szCs w:val="18"/>
                <w:lang w:eastAsia="en-AU"/>
              </w:rPr>
            </w:pPr>
            <w:r w:rsidRPr="00097D37">
              <w:rPr>
                <w:rFonts w:ascii="Public Sans" w:hAnsi="Public Sans" w:cs="Arial"/>
                <w:color w:val="FFFFFF" w:themeColor="background1"/>
                <w:sz w:val="18"/>
                <w:szCs w:val="18"/>
                <w:lang w:eastAsia="en-AU"/>
              </w:rPr>
              <w:t>Sensitivity</w:t>
            </w:r>
          </w:p>
        </w:tc>
      </w:tr>
      <w:tr w:rsidR="005B4B9E" w:rsidRPr="00097D37" w14:paraId="49BFDBFA" w14:textId="77777777" w:rsidTr="00097D37">
        <w:trPr>
          <w:trHeight w:val="227"/>
        </w:trPr>
        <w:tc>
          <w:tcPr>
            <w:tcW w:w="3555" w:type="dxa"/>
            <w:vMerge/>
            <w:shd w:val="clear" w:color="auto" w:fill="EBEBEB"/>
          </w:tcPr>
          <w:p w14:paraId="11135D1B" w14:textId="77777777" w:rsidR="005B4B9E" w:rsidRPr="00097D37" w:rsidRDefault="005B4B9E" w:rsidP="00B3448F">
            <w:pPr>
              <w:rPr>
                <w:rFonts w:ascii="Public Sans" w:hAnsi="Public Sans"/>
                <w:sz w:val="18"/>
                <w:szCs w:val="18"/>
              </w:rPr>
            </w:pPr>
          </w:p>
        </w:tc>
        <w:tc>
          <w:tcPr>
            <w:tcW w:w="981" w:type="dxa"/>
            <w:shd w:val="clear" w:color="auto" w:fill="EBEBEB"/>
          </w:tcPr>
          <w:p w14:paraId="2EE77C13" w14:textId="77777777" w:rsidR="005B4B9E" w:rsidRPr="00097D37" w:rsidRDefault="005B4B9E" w:rsidP="00B3448F">
            <w:pPr>
              <w:jc w:val="center"/>
              <w:rPr>
                <w:rStyle w:val="eop"/>
                <w:rFonts w:ascii="Public Sans" w:hAnsi="Public Sans" w:cs="Arial"/>
                <w:sz w:val="18"/>
                <w:szCs w:val="18"/>
                <w:lang w:eastAsia="en-AU"/>
              </w:rPr>
            </w:pPr>
            <w:r w:rsidRPr="00097D37">
              <w:rPr>
                <w:rFonts w:ascii="Public Sans" w:eastAsia="Arial" w:hAnsi="Public Sans" w:cs="Arial"/>
                <w:sz w:val="18"/>
                <w:szCs w:val="18"/>
              </w:rPr>
              <w:t>Budget</w:t>
            </w:r>
          </w:p>
        </w:tc>
        <w:tc>
          <w:tcPr>
            <w:tcW w:w="3119" w:type="dxa"/>
            <w:gridSpan w:val="3"/>
            <w:shd w:val="clear" w:color="auto" w:fill="EBEBEB"/>
          </w:tcPr>
          <w:p w14:paraId="018F9F47" w14:textId="77777777" w:rsidR="005B4B9E" w:rsidRPr="00097D37" w:rsidRDefault="005B4B9E" w:rsidP="00B3448F">
            <w:pPr>
              <w:jc w:val="center"/>
              <w:rPr>
                <w:rStyle w:val="eop"/>
                <w:rFonts w:ascii="Public Sans" w:hAnsi="Public Sans" w:cs="Arial"/>
                <w:sz w:val="18"/>
                <w:szCs w:val="18"/>
                <w:lang w:eastAsia="en-AU"/>
              </w:rPr>
            </w:pPr>
            <w:r w:rsidRPr="00097D37">
              <w:rPr>
                <w:rFonts w:ascii="Public Sans" w:eastAsia="Arial" w:hAnsi="Public Sans" w:cs="Arial"/>
                <w:sz w:val="18"/>
                <w:szCs w:val="18"/>
              </w:rPr>
              <w:t>Forward estimates</w:t>
            </w:r>
          </w:p>
        </w:tc>
        <w:tc>
          <w:tcPr>
            <w:tcW w:w="1984" w:type="dxa"/>
            <w:vMerge/>
          </w:tcPr>
          <w:p w14:paraId="7DDE0702" w14:textId="77777777" w:rsidR="005B4B9E" w:rsidRPr="00097D37" w:rsidRDefault="005B4B9E" w:rsidP="00B3448F">
            <w:pPr>
              <w:rPr>
                <w:rFonts w:ascii="Public Sans" w:hAnsi="Public Sans"/>
                <w:sz w:val="18"/>
                <w:szCs w:val="18"/>
              </w:rPr>
            </w:pPr>
          </w:p>
        </w:tc>
      </w:tr>
      <w:tr w:rsidR="005B4B9E" w:rsidRPr="00097D37" w14:paraId="0A2E27B9" w14:textId="77777777" w:rsidTr="00097D37">
        <w:trPr>
          <w:trHeight w:val="283"/>
        </w:trPr>
        <w:tc>
          <w:tcPr>
            <w:tcW w:w="3555" w:type="dxa"/>
            <w:shd w:val="clear" w:color="auto" w:fill="EBEBEB"/>
          </w:tcPr>
          <w:p w14:paraId="6066DBC3" w14:textId="77777777" w:rsidR="005B4B9E" w:rsidRPr="00097D37" w:rsidRDefault="005B4B9E" w:rsidP="00B3448F">
            <w:pPr>
              <w:jc w:val="center"/>
              <w:rPr>
                <w:rStyle w:val="eop"/>
                <w:rFonts w:ascii="Public Sans" w:hAnsi="Public Sans" w:cs="Arial"/>
                <w:sz w:val="18"/>
                <w:szCs w:val="18"/>
                <w:lang w:eastAsia="en-AU"/>
              </w:rPr>
            </w:pPr>
          </w:p>
        </w:tc>
        <w:tc>
          <w:tcPr>
            <w:tcW w:w="981" w:type="dxa"/>
            <w:shd w:val="clear" w:color="auto" w:fill="EBEBEB"/>
          </w:tcPr>
          <w:p w14:paraId="6509AECA" w14:textId="77777777" w:rsidR="005B4B9E" w:rsidRPr="00097D37" w:rsidRDefault="005B4B9E" w:rsidP="00B3448F">
            <w:pPr>
              <w:jc w:val="center"/>
              <w:rPr>
                <w:rStyle w:val="eop"/>
                <w:rFonts w:ascii="Public Sans" w:hAnsi="Public Sans" w:cs="Arial"/>
                <w:sz w:val="18"/>
                <w:szCs w:val="18"/>
                <w:lang w:eastAsia="en-AU"/>
              </w:rPr>
            </w:pPr>
            <w:r w:rsidRPr="00097D37">
              <w:rPr>
                <w:rFonts w:ascii="Public Sans" w:hAnsi="Public Sans" w:cs="Arial"/>
                <w:sz w:val="18"/>
                <w:szCs w:val="18"/>
                <w:lang w:eastAsia="en-AU"/>
              </w:rPr>
              <w:t>$m</w:t>
            </w:r>
          </w:p>
        </w:tc>
        <w:tc>
          <w:tcPr>
            <w:tcW w:w="1134" w:type="dxa"/>
            <w:shd w:val="clear" w:color="auto" w:fill="EBEBEB"/>
          </w:tcPr>
          <w:p w14:paraId="3F836B40" w14:textId="77777777" w:rsidR="005B4B9E" w:rsidRPr="00097D37" w:rsidRDefault="005B4B9E" w:rsidP="00B3448F">
            <w:pPr>
              <w:jc w:val="center"/>
              <w:rPr>
                <w:rStyle w:val="eop"/>
                <w:rFonts w:ascii="Public Sans" w:hAnsi="Public Sans" w:cs="Arial"/>
                <w:sz w:val="18"/>
                <w:szCs w:val="18"/>
                <w:lang w:eastAsia="en-AU"/>
              </w:rPr>
            </w:pPr>
            <w:r w:rsidRPr="00097D37">
              <w:rPr>
                <w:rFonts w:ascii="Public Sans" w:hAnsi="Public Sans" w:cs="Arial"/>
                <w:sz w:val="18"/>
                <w:szCs w:val="18"/>
                <w:lang w:eastAsia="en-AU"/>
              </w:rPr>
              <w:t>$m</w:t>
            </w:r>
          </w:p>
        </w:tc>
        <w:tc>
          <w:tcPr>
            <w:tcW w:w="993" w:type="dxa"/>
            <w:shd w:val="clear" w:color="auto" w:fill="EBEBEB"/>
          </w:tcPr>
          <w:p w14:paraId="2FB6575C" w14:textId="77777777" w:rsidR="005B4B9E" w:rsidRPr="00097D37" w:rsidRDefault="005B4B9E" w:rsidP="00B3448F">
            <w:pPr>
              <w:jc w:val="center"/>
              <w:rPr>
                <w:rStyle w:val="eop"/>
                <w:rFonts w:ascii="Public Sans" w:hAnsi="Public Sans" w:cs="Arial"/>
                <w:sz w:val="18"/>
                <w:szCs w:val="18"/>
                <w:lang w:eastAsia="en-AU"/>
              </w:rPr>
            </w:pPr>
            <w:r w:rsidRPr="00097D37">
              <w:rPr>
                <w:rFonts w:ascii="Public Sans" w:hAnsi="Public Sans" w:cs="Arial"/>
                <w:sz w:val="18"/>
                <w:szCs w:val="18"/>
                <w:lang w:eastAsia="en-AU"/>
              </w:rPr>
              <w:t>$m</w:t>
            </w:r>
          </w:p>
        </w:tc>
        <w:tc>
          <w:tcPr>
            <w:tcW w:w="992" w:type="dxa"/>
            <w:shd w:val="clear" w:color="auto" w:fill="EBEBEB"/>
          </w:tcPr>
          <w:p w14:paraId="0142277D" w14:textId="77777777" w:rsidR="005B4B9E" w:rsidRPr="00097D37" w:rsidRDefault="005B4B9E" w:rsidP="00B3448F">
            <w:pPr>
              <w:jc w:val="center"/>
              <w:rPr>
                <w:rStyle w:val="eop"/>
                <w:rFonts w:ascii="Public Sans" w:hAnsi="Public Sans" w:cs="Arial"/>
                <w:sz w:val="18"/>
                <w:szCs w:val="18"/>
                <w:lang w:eastAsia="en-AU"/>
              </w:rPr>
            </w:pPr>
            <w:r w:rsidRPr="00097D37">
              <w:rPr>
                <w:rFonts w:ascii="Public Sans" w:hAnsi="Public Sans" w:cs="Arial"/>
                <w:sz w:val="18"/>
                <w:szCs w:val="18"/>
                <w:lang w:eastAsia="en-AU"/>
              </w:rPr>
              <w:t>$m</w:t>
            </w:r>
          </w:p>
        </w:tc>
        <w:tc>
          <w:tcPr>
            <w:tcW w:w="1984" w:type="dxa"/>
            <w:vMerge/>
          </w:tcPr>
          <w:p w14:paraId="61F18953" w14:textId="77777777" w:rsidR="005B4B9E" w:rsidRPr="00097D37" w:rsidRDefault="005B4B9E" w:rsidP="00B3448F">
            <w:pPr>
              <w:rPr>
                <w:rFonts w:ascii="Public Sans" w:hAnsi="Public Sans"/>
                <w:sz w:val="18"/>
                <w:szCs w:val="18"/>
              </w:rPr>
            </w:pPr>
          </w:p>
        </w:tc>
      </w:tr>
      <w:tr w:rsidR="005B4B9E" w:rsidRPr="00097D37" w14:paraId="41805E48" w14:textId="77777777" w:rsidTr="00B3448F">
        <w:trPr>
          <w:trHeight w:val="283"/>
        </w:trPr>
        <w:tc>
          <w:tcPr>
            <w:tcW w:w="3555" w:type="dxa"/>
            <w:shd w:val="clear" w:color="auto" w:fill="auto"/>
            <w:vAlign w:val="center"/>
          </w:tcPr>
          <w:p w14:paraId="27B698BC" w14:textId="77777777" w:rsidR="005B4B9E" w:rsidRPr="00097D37" w:rsidRDefault="005B4B9E" w:rsidP="00B3448F">
            <w:pPr>
              <w:rPr>
                <w:rFonts w:ascii="Public Sans" w:hAnsi="Public Sans" w:cs="Arial"/>
                <w:b/>
                <w:bCs/>
                <w:sz w:val="18"/>
                <w:szCs w:val="18"/>
              </w:rPr>
            </w:pPr>
            <w:r w:rsidRPr="00097D37">
              <w:rPr>
                <w:rFonts w:ascii="Public Sans" w:hAnsi="Public Sans" w:cs="Arial"/>
                <w:b/>
                <w:bCs/>
                <w:color w:val="000000"/>
                <w:sz w:val="18"/>
                <w:szCs w:val="18"/>
              </w:rPr>
              <w:t>Expenses</w:t>
            </w:r>
          </w:p>
        </w:tc>
        <w:tc>
          <w:tcPr>
            <w:tcW w:w="981" w:type="dxa"/>
            <w:vAlign w:val="center"/>
          </w:tcPr>
          <w:p w14:paraId="230E2470" w14:textId="77777777" w:rsidR="005B4B9E" w:rsidRPr="00097D37" w:rsidRDefault="005B4B9E" w:rsidP="00B3448F">
            <w:pPr>
              <w:ind w:right="170"/>
              <w:jc w:val="right"/>
              <w:rPr>
                <w:rFonts w:ascii="Public Sans" w:hAnsi="Public Sans" w:cs="Arial"/>
                <w:sz w:val="18"/>
                <w:szCs w:val="18"/>
              </w:rPr>
            </w:pPr>
          </w:p>
        </w:tc>
        <w:tc>
          <w:tcPr>
            <w:tcW w:w="1134" w:type="dxa"/>
            <w:shd w:val="clear" w:color="auto" w:fill="auto"/>
            <w:vAlign w:val="center"/>
          </w:tcPr>
          <w:p w14:paraId="7098A2BE" w14:textId="77777777" w:rsidR="005B4B9E" w:rsidRPr="00097D37" w:rsidRDefault="005B4B9E" w:rsidP="00B3448F">
            <w:pPr>
              <w:ind w:right="170"/>
              <w:jc w:val="right"/>
              <w:rPr>
                <w:rFonts w:ascii="Public Sans" w:hAnsi="Public Sans" w:cs="Arial"/>
                <w:sz w:val="18"/>
                <w:szCs w:val="18"/>
              </w:rPr>
            </w:pPr>
          </w:p>
        </w:tc>
        <w:tc>
          <w:tcPr>
            <w:tcW w:w="993" w:type="dxa"/>
            <w:shd w:val="clear" w:color="auto" w:fill="auto"/>
            <w:vAlign w:val="center"/>
          </w:tcPr>
          <w:p w14:paraId="2AA84CDC" w14:textId="77777777" w:rsidR="005B4B9E" w:rsidRPr="00097D37" w:rsidRDefault="005B4B9E" w:rsidP="00B3448F">
            <w:pPr>
              <w:ind w:right="170"/>
              <w:jc w:val="right"/>
              <w:rPr>
                <w:rFonts w:ascii="Public Sans" w:hAnsi="Public Sans" w:cs="Arial"/>
                <w:sz w:val="18"/>
                <w:szCs w:val="18"/>
              </w:rPr>
            </w:pPr>
          </w:p>
        </w:tc>
        <w:tc>
          <w:tcPr>
            <w:tcW w:w="992" w:type="dxa"/>
            <w:shd w:val="clear" w:color="auto" w:fill="auto"/>
            <w:vAlign w:val="center"/>
          </w:tcPr>
          <w:p w14:paraId="159954E3" w14:textId="77777777" w:rsidR="005B4B9E" w:rsidRPr="00097D37" w:rsidRDefault="005B4B9E" w:rsidP="006353CB">
            <w:pPr>
              <w:ind w:left="-113" w:right="170"/>
              <w:jc w:val="right"/>
              <w:rPr>
                <w:rFonts w:ascii="Public Sans" w:hAnsi="Public Sans" w:cs="Arial"/>
                <w:sz w:val="18"/>
                <w:szCs w:val="18"/>
              </w:rPr>
            </w:pPr>
          </w:p>
        </w:tc>
        <w:tc>
          <w:tcPr>
            <w:tcW w:w="1984" w:type="dxa"/>
            <w:vMerge w:val="restart"/>
            <w:vAlign w:val="center"/>
          </w:tcPr>
          <w:p w14:paraId="365A4E73" w14:textId="77777777" w:rsidR="005B4B9E" w:rsidRPr="00097D37" w:rsidRDefault="005B4B9E" w:rsidP="00B3448F">
            <w:pPr>
              <w:jc w:val="center"/>
              <w:rPr>
                <w:rFonts w:ascii="Public Sans" w:hAnsi="Public Sans" w:cs="Arial"/>
                <w:sz w:val="18"/>
                <w:szCs w:val="18"/>
              </w:rPr>
            </w:pPr>
            <w:r w:rsidRPr="00097D37">
              <w:rPr>
                <w:rFonts w:ascii="Public Sans" w:hAnsi="Public Sans" w:cs="Arial"/>
                <w:sz w:val="18"/>
                <w:szCs w:val="18"/>
              </w:rPr>
              <w:t>Single percentage point increase in factor</w:t>
            </w:r>
          </w:p>
        </w:tc>
      </w:tr>
      <w:tr w:rsidR="005B4B9E" w:rsidRPr="00097D37" w14:paraId="4D695E6C" w14:textId="77777777" w:rsidTr="00B3448F">
        <w:trPr>
          <w:trHeight w:val="283"/>
        </w:trPr>
        <w:tc>
          <w:tcPr>
            <w:tcW w:w="3555" w:type="dxa"/>
            <w:shd w:val="clear" w:color="auto" w:fill="auto"/>
            <w:vAlign w:val="center"/>
          </w:tcPr>
          <w:p w14:paraId="74ADB516" w14:textId="77777777" w:rsidR="005B4B9E" w:rsidRPr="00097D37" w:rsidRDefault="005B4B9E" w:rsidP="00B3448F">
            <w:pPr>
              <w:rPr>
                <w:rFonts w:ascii="Public Sans" w:hAnsi="Public Sans" w:cs="Arial"/>
                <w:sz w:val="18"/>
                <w:szCs w:val="18"/>
              </w:rPr>
            </w:pPr>
            <w:r w:rsidRPr="00097D37">
              <w:rPr>
                <w:rFonts w:ascii="Public Sans" w:hAnsi="Public Sans" w:cs="Arial"/>
                <w:color w:val="000000"/>
                <w:sz w:val="18"/>
                <w:szCs w:val="18"/>
              </w:rPr>
              <w:t>Employee Expenses (excl super)</w:t>
            </w:r>
          </w:p>
        </w:tc>
        <w:tc>
          <w:tcPr>
            <w:tcW w:w="981" w:type="dxa"/>
            <w:tcBorders>
              <w:top w:val="nil"/>
              <w:left w:val="nil"/>
              <w:bottom w:val="nil"/>
              <w:right w:val="nil"/>
            </w:tcBorders>
            <w:shd w:val="clear" w:color="auto" w:fill="FFFFFF" w:themeFill="background1"/>
          </w:tcPr>
          <w:p w14:paraId="47091164" w14:textId="74D2CFE2" w:rsidR="005B4B9E" w:rsidRPr="00797417" w:rsidRDefault="0089732B" w:rsidP="009854E0">
            <w:pPr>
              <w:ind w:left="-113" w:right="170"/>
              <w:jc w:val="right"/>
              <w:rPr>
                <w:rFonts w:ascii="Public Sans" w:hAnsi="Public Sans" w:cs="Arial"/>
                <w:sz w:val="18"/>
                <w:szCs w:val="18"/>
              </w:rPr>
            </w:pPr>
            <w:r w:rsidRPr="00797417">
              <w:rPr>
                <w:rFonts w:ascii="Public Sans" w:eastAsia="Arial" w:hAnsi="Public Sans" w:cs="Arial"/>
                <w:sz w:val="18"/>
                <w:szCs w:val="18"/>
              </w:rPr>
              <w:t>(</w:t>
            </w:r>
            <w:r w:rsidR="00481E2C" w:rsidRPr="00797417">
              <w:rPr>
                <w:rFonts w:ascii="Public Sans" w:eastAsia="Arial" w:hAnsi="Public Sans" w:cs="Arial"/>
                <w:sz w:val="18"/>
                <w:szCs w:val="18"/>
              </w:rPr>
              <w:t>43</w:t>
            </w:r>
            <w:r w:rsidR="00BC6EE1" w:rsidRPr="00797417">
              <w:rPr>
                <w:rFonts w:ascii="Public Sans" w:eastAsia="Arial" w:hAnsi="Public Sans" w:cs="Arial"/>
                <w:sz w:val="18"/>
                <w:szCs w:val="18"/>
              </w:rPr>
              <w:t>5</w:t>
            </w:r>
            <w:r w:rsidR="00481E2C" w:rsidRPr="00797417">
              <w:rPr>
                <w:rFonts w:ascii="Public Sans" w:eastAsia="Arial" w:hAnsi="Public Sans" w:cs="Arial"/>
                <w:sz w:val="18"/>
                <w:szCs w:val="18"/>
              </w:rPr>
              <w:t>.3</w:t>
            </w:r>
            <w:r w:rsidRPr="00797417">
              <w:rPr>
                <w:rFonts w:ascii="Public Sans" w:eastAsia="Arial" w:hAnsi="Public Sans" w:cs="Arial"/>
                <w:sz w:val="18"/>
                <w:szCs w:val="18"/>
              </w:rPr>
              <w:t>)</w:t>
            </w:r>
          </w:p>
        </w:tc>
        <w:tc>
          <w:tcPr>
            <w:tcW w:w="1134" w:type="dxa"/>
            <w:tcBorders>
              <w:top w:val="nil"/>
              <w:left w:val="nil"/>
              <w:bottom w:val="nil"/>
              <w:right w:val="nil"/>
            </w:tcBorders>
            <w:shd w:val="clear" w:color="auto" w:fill="auto"/>
          </w:tcPr>
          <w:p w14:paraId="41ED01AB" w14:textId="0F8B0CAB" w:rsidR="005B4B9E" w:rsidRPr="00797417" w:rsidRDefault="009854E0" w:rsidP="00B3448F">
            <w:pPr>
              <w:ind w:right="170"/>
              <w:jc w:val="right"/>
              <w:rPr>
                <w:rFonts w:ascii="Public Sans" w:hAnsi="Public Sans" w:cs="Arial"/>
                <w:sz w:val="18"/>
                <w:szCs w:val="18"/>
              </w:rPr>
            </w:pPr>
            <w:r w:rsidRPr="00797417">
              <w:rPr>
                <w:rFonts w:ascii="Public Sans" w:eastAsia="Arial" w:hAnsi="Public Sans" w:cs="Arial"/>
                <w:sz w:val="18"/>
                <w:szCs w:val="18"/>
              </w:rPr>
              <w:t>(</w:t>
            </w:r>
            <w:r w:rsidR="00481E2C" w:rsidRPr="00797417">
              <w:rPr>
                <w:rFonts w:ascii="Public Sans" w:eastAsia="Arial" w:hAnsi="Public Sans" w:cs="Arial"/>
                <w:sz w:val="18"/>
                <w:szCs w:val="18"/>
              </w:rPr>
              <w:t>4</w:t>
            </w:r>
            <w:r w:rsidR="00B1609C" w:rsidRPr="00797417">
              <w:rPr>
                <w:rFonts w:ascii="Public Sans" w:eastAsia="Arial" w:hAnsi="Public Sans" w:cs="Arial"/>
                <w:sz w:val="18"/>
                <w:szCs w:val="18"/>
              </w:rPr>
              <w:t>60.2</w:t>
            </w:r>
            <w:r w:rsidRPr="00797417">
              <w:rPr>
                <w:rFonts w:ascii="Public Sans" w:eastAsia="Arial" w:hAnsi="Public Sans" w:cs="Arial"/>
                <w:sz w:val="18"/>
                <w:szCs w:val="18"/>
              </w:rPr>
              <w:t>)</w:t>
            </w:r>
          </w:p>
        </w:tc>
        <w:tc>
          <w:tcPr>
            <w:tcW w:w="993" w:type="dxa"/>
            <w:tcBorders>
              <w:top w:val="nil"/>
              <w:left w:val="nil"/>
              <w:bottom w:val="nil"/>
              <w:right w:val="nil"/>
            </w:tcBorders>
            <w:shd w:val="clear" w:color="auto" w:fill="auto"/>
          </w:tcPr>
          <w:p w14:paraId="3C65DCE1" w14:textId="04B4682D" w:rsidR="005B4B9E" w:rsidRPr="00797417" w:rsidRDefault="009854E0" w:rsidP="00B3448F">
            <w:pPr>
              <w:ind w:right="170"/>
              <w:jc w:val="right"/>
              <w:rPr>
                <w:rFonts w:ascii="Public Sans" w:hAnsi="Public Sans" w:cs="Arial"/>
                <w:sz w:val="18"/>
                <w:szCs w:val="18"/>
              </w:rPr>
            </w:pPr>
            <w:r w:rsidRPr="00797417">
              <w:rPr>
                <w:rFonts w:ascii="Public Sans" w:eastAsia="Arial" w:hAnsi="Public Sans" w:cs="Arial"/>
                <w:sz w:val="18"/>
                <w:szCs w:val="18"/>
              </w:rPr>
              <w:t>(</w:t>
            </w:r>
            <w:r w:rsidR="00481E2C" w:rsidRPr="00797417">
              <w:rPr>
                <w:rFonts w:ascii="Public Sans" w:eastAsia="Arial" w:hAnsi="Public Sans" w:cs="Arial"/>
                <w:sz w:val="18"/>
                <w:szCs w:val="18"/>
              </w:rPr>
              <w:t>47</w:t>
            </w:r>
            <w:r w:rsidR="00B1609C" w:rsidRPr="00797417">
              <w:rPr>
                <w:rFonts w:ascii="Public Sans" w:eastAsia="Arial" w:hAnsi="Public Sans" w:cs="Arial"/>
                <w:sz w:val="18"/>
                <w:szCs w:val="18"/>
              </w:rPr>
              <w:t>5.3</w:t>
            </w:r>
            <w:r w:rsidRPr="00797417">
              <w:rPr>
                <w:rFonts w:ascii="Public Sans" w:eastAsia="Arial" w:hAnsi="Public Sans" w:cs="Arial"/>
                <w:sz w:val="18"/>
                <w:szCs w:val="18"/>
              </w:rPr>
              <w:t>)</w:t>
            </w:r>
          </w:p>
        </w:tc>
        <w:tc>
          <w:tcPr>
            <w:tcW w:w="992" w:type="dxa"/>
            <w:tcBorders>
              <w:top w:val="nil"/>
              <w:left w:val="nil"/>
              <w:bottom w:val="nil"/>
              <w:right w:val="nil"/>
            </w:tcBorders>
            <w:shd w:val="clear" w:color="auto" w:fill="auto"/>
          </w:tcPr>
          <w:p w14:paraId="2AD782D3" w14:textId="68949E96" w:rsidR="005B4B9E" w:rsidRPr="00797417" w:rsidRDefault="009854E0" w:rsidP="006353CB">
            <w:pPr>
              <w:ind w:left="-113" w:right="170"/>
              <w:jc w:val="right"/>
              <w:rPr>
                <w:rFonts w:ascii="Public Sans" w:hAnsi="Public Sans" w:cs="Arial"/>
                <w:sz w:val="18"/>
                <w:szCs w:val="18"/>
              </w:rPr>
            </w:pPr>
            <w:r w:rsidRPr="00797417">
              <w:rPr>
                <w:rFonts w:ascii="Public Sans" w:eastAsia="Arial" w:hAnsi="Public Sans" w:cs="Arial"/>
                <w:sz w:val="18"/>
                <w:szCs w:val="18"/>
              </w:rPr>
              <w:t>(</w:t>
            </w:r>
            <w:r w:rsidR="00481E2C" w:rsidRPr="00797417">
              <w:rPr>
                <w:rFonts w:ascii="Public Sans" w:eastAsia="Arial" w:hAnsi="Public Sans" w:cs="Arial"/>
                <w:sz w:val="18"/>
                <w:szCs w:val="18"/>
              </w:rPr>
              <w:t>49</w:t>
            </w:r>
            <w:r w:rsidR="00B1609C" w:rsidRPr="00797417">
              <w:rPr>
                <w:rFonts w:ascii="Public Sans" w:eastAsia="Arial" w:hAnsi="Public Sans" w:cs="Arial"/>
                <w:sz w:val="18"/>
                <w:szCs w:val="18"/>
              </w:rPr>
              <w:t>5</w:t>
            </w:r>
            <w:r w:rsidR="00481E2C" w:rsidRPr="00797417">
              <w:rPr>
                <w:rFonts w:ascii="Public Sans" w:eastAsia="Arial" w:hAnsi="Public Sans" w:cs="Arial"/>
                <w:sz w:val="18"/>
                <w:szCs w:val="18"/>
              </w:rPr>
              <w:t>.</w:t>
            </w:r>
            <w:r w:rsidR="00B1609C" w:rsidRPr="00797417">
              <w:rPr>
                <w:rFonts w:ascii="Public Sans" w:eastAsia="Arial" w:hAnsi="Public Sans" w:cs="Arial"/>
                <w:sz w:val="18"/>
                <w:szCs w:val="18"/>
              </w:rPr>
              <w:t>5</w:t>
            </w:r>
            <w:r w:rsidRPr="00797417">
              <w:rPr>
                <w:rFonts w:ascii="Public Sans" w:eastAsia="Arial" w:hAnsi="Public Sans" w:cs="Arial"/>
                <w:sz w:val="18"/>
                <w:szCs w:val="18"/>
              </w:rPr>
              <w:t>)</w:t>
            </w:r>
          </w:p>
        </w:tc>
        <w:tc>
          <w:tcPr>
            <w:tcW w:w="1984" w:type="dxa"/>
            <w:vMerge/>
          </w:tcPr>
          <w:p w14:paraId="28C29F63" w14:textId="77777777" w:rsidR="005B4B9E" w:rsidRPr="00097D37" w:rsidRDefault="005B4B9E" w:rsidP="00B3448F">
            <w:pPr>
              <w:rPr>
                <w:rFonts w:ascii="Public Sans" w:hAnsi="Public Sans"/>
                <w:sz w:val="18"/>
                <w:szCs w:val="18"/>
              </w:rPr>
            </w:pPr>
          </w:p>
        </w:tc>
      </w:tr>
      <w:tr w:rsidR="005B4B9E" w:rsidRPr="00097D37" w14:paraId="6F347959" w14:textId="77777777" w:rsidTr="00B3448F">
        <w:trPr>
          <w:trHeight w:val="283"/>
        </w:trPr>
        <w:tc>
          <w:tcPr>
            <w:tcW w:w="3555" w:type="dxa"/>
            <w:shd w:val="clear" w:color="auto" w:fill="auto"/>
            <w:vAlign w:val="center"/>
          </w:tcPr>
          <w:p w14:paraId="7738E850" w14:textId="77777777" w:rsidR="005B4B9E" w:rsidRPr="00097D37" w:rsidRDefault="005B4B9E" w:rsidP="00B3448F">
            <w:pPr>
              <w:rPr>
                <w:rFonts w:ascii="Public Sans" w:hAnsi="Public Sans" w:cs="Arial"/>
                <w:b/>
                <w:bCs/>
                <w:sz w:val="18"/>
                <w:szCs w:val="18"/>
              </w:rPr>
            </w:pPr>
            <w:r w:rsidRPr="00097D37">
              <w:rPr>
                <w:rFonts w:ascii="Public Sans" w:hAnsi="Public Sans" w:cs="Arial"/>
                <w:b/>
                <w:bCs/>
                <w:sz w:val="18"/>
                <w:szCs w:val="18"/>
              </w:rPr>
              <w:t>Government services demand growth</w:t>
            </w:r>
          </w:p>
        </w:tc>
        <w:tc>
          <w:tcPr>
            <w:tcW w:w="981" w:type="dxa"/>
          </w:tcPr>
          <w:p w14:paraId="5D3540D8" w14:textId="77777777" w:rsidR="005B4B9E" w:rsidRPr="00797417" w:rsidRDefault="005B4B9E" w:rsidP="009854E0">
            <w:pPr>
              <w:ind w:left="-113" w:right="170"/>
              <w:jc w:val="right"/>
              <w:rPr>
                <w:rFonts w:ascii="Public Sans" w:hAnsi="Public Sans" w:cs="Arial"/>
                <w:sz w:val="18"/>
                <w:szCs w:val="18"/>
              </w:rPr>
            </w:pPr>
          </w:p>
        </w:tc>
        <w:tc>
          <w:tcPr>
            <w:tcW w:w="1134" w:type="dxa"/>
            <w:shd w:val="clear" w:color="auto" w:fill="FFFFFF" w:themeFill="background1"/>
          </w:tcPr>
          <w:p w14:paraId="5F057B01" w14:textId="77777777" w:rsidR="005B4B9E" w:rsidRPr="00797417" w:rsidRDefault="005B4B9E" w:rsidP="00B3448F">
            <w:pPr>
              <w:ind w:right="170"/>
              <w:jc w:val="right"/>
              <w:rPr>
                <w:rFonts w:ascii="Public Sans" w:hAnsi="Public Sans" w:cs="Arial"/>
                <w:sz w:val="18"/>
                <w:szCs w:val="18"/>
              </w:rPr>
            </w:pPr>
          </w:p>
        </w:tc>
        <w:tc>
          <w:tcPr>
            <w:tcW w:w="993" w:type="dxa"/>
            <w:shd w:val="clear" w:color="auto" w:fill="FFFFFF" w:themeFill="background1"/>
          </w:tcPr>
          <w:p w14:paraId="704CBBB6" w14:textId="77777777" w:rsidR="005B4B9E" w:rsidRPr="00797417" w:rsidRDefault="005B4B9E" w:rsidP="00B3448F">
            <w:pPr>
              <w:ind w:right="170"/>
              <w:jc w:val="right"/>
              <w:rPr>
                <w:rFonts w:ascii="Public Sans" w:hAnsi="Public Sans" w:cs="Arial"/>
                <w:sz w:val="18"/>
                <w:szCs w:val="18"/>
              </w:rPr>
            </w:pPr>
          </w:p>
        </w:tc>
        <w:tc>
          <w:tcPr>
            <w:tcW w:w="992" w:type="dxa"/>
            <w:shd w:val="clear" w:color="auto" w:fill="FFFFFF" w:themeFill="background1"/>
          </w:tcPr>
          <w:p w14:paraId="4ACA39F7" w14:textId="77777777" w:rsidR="005B4B9E" w:rsidRPr="00797417" w:rsidRDefault="005B4B9E" w:rsidP="006353CB">
            <w:pPr>
              <w:ind w:left="-113" w:right="170"/>
              <w:jc w:val="right"/>
              <w:rPr>
                <w:rFonts w:ascii="Public Sans" w:hAnsi="Public Sans" w:cs="Arial"/>
                <w:sz w:val="18"/>
                <w:szCs w:val="18"/>
              </w:rPr>
            </w:pPr>
          </w:p>
        </w:tc>
        <w:tc>
          <w:tcPr>
            <w:tcW w:w="1984" w:type="dxa"/>
            <w:vMerge/>
          </w:tcPr>
          <w:p w14:paraId="4B1E9484" w14:textId="77777777" w:rsidR="005B4B9E" w:rsidRPr="00097D37" w:rsidRDefault="005B4B9E" w:rsidP="00B3448F">
            <w:pPr>
              <w:rPr>
                <w:rFonts w:ascii="Public Sans" w:hAnsi="Public Sans"/>
                <w:sz w:val="18"/>
                <w:szCs w:val="18"/>
              </w:rPr>
            </w:pPr>
          </w:p>
        </w:tc>
      </w:tr>
      <w:tr w:rsidR="005B4B9E" w:rsidRPr="00097D37" w14:paraId="5C87BBE5" w14:textId="77777777" w:rsidTr="00B3448F">
        <w:trPr>
          <w:trHeight w:val="283"/>
        </w:trPr>
        <w:tc>
          <w:tcPr>
            <w:tcW w:w="3555" w:type="dxa"/>
            <w:tcBorders>
              <w:bottom w:val="single" w:sz="4" w:space="0" w:color="auto"/>
            </w:tcBorders>
            <w:shd w:val="clear" w:color="auto" w:fill="auto"/>
            <w:vAlign w:val="center"/>
          </w:tcPr>
          <w:p w14:paraId="4B202CAA" w14:textId="77777777" w:rsidR="005B4B9E" w:rsidRPr="00097D37" w:rsidRDefault="005B4B9E" w:rsidP="00B3448F">
            <w:pPr>
              <w:rPr>
                <w:rFonts w:ascii="Public Sans" w:hAnsi="Public Sans" w:cs="Arial"/>
                <w:color w:val="000000"/>
                <w:sz w:val="18"/>
                <w:szCs w:val="18"/>
              </w:rPr>
            </w:pPr>
            <w:r w:rsidRPr="00097D37">
              <w:rPr>
                <w:rFonts w:ascii="Public Sans" w:hAnsi="Public Sans" w:cs="Arial"/>
                <w:color w:val="000000"/>
                <w:sz w:val="18"/>
                <w:szCs w:val="18"/>
              </w:rPr>
              <w:t>Health and education expenses</w:t>
            </w:r>
          </w:p>
        </w:tc>
        <w:tc>
          <w:tcPr>
            <w:tcW w:w="981" w:type="dxa"/>
            <w:tcBorders>
              <w:bottom w:val="single" w:sz="4" w:space="0" w:color="auto"/>
            </w:tcBorders>
          </w:tcPr>
          <w:p w14:paraId="2C5E4DCD" w14:textId="05B32C71" w:rsidR="005B4B9E" w:rsidRPr="00797417" w:rsidRDefault="009854E0" w:rsidP="009854E0">
            <w:pPr>
              <w:ind w:left="-113" w:right="170"/>
              <w:jc w:val="right"/>
              <w:rPr>
                <w:rFonts w:ascii="Public Sans" w:hAnsi="Public Sans" w:cs="Arial"/>
                <w:color w:val="000000"/>
                <w:sz w:val="18"/>
                <w:szCs w:val="18"/>
              </w:rPr>
            </w:pPr>
            <w:r w:rsidRPr="00797417">
              <w:rPr>
                <w:rFonts w:ascii="Public Sans" w:eastAsia="Arial" w:hAnsi="Public Sans" w:cs="Arial"/>
                <w:sz w:val="18"/>
                <w:szCs w:val="18"/>
              </w:rPr>
              <w:t>(</w:t>
            </w:r>
            <w:r w:rsidR="003E6E8C" w:rsidRPr="00797417">
              <w:rPr>
                <w:rFonts w:ascii="Public Sans" w:eastAsia="Arial" w:hAnsi="Public Sans" w:cs="Arial"/>
                <w:sz w:val="18"/>
                <w:szCs w:val="18"/>
              </w:rPr>
              <w:t>509.1</w:t>
            </w:r>
            <w:r w:rsidRPr="00797417">
              <w:rPr>
                <w:rFonts w:ascii="Public Sans" w:eastAsia="Arial" w:hAnsi="Public Sans" w:cs="Arial"/>
                <w:sz w:val="18"/>
                <w:szCs w:val="18"/>
              </w:rPr>
              <w:t>)</w:t>
            </w:r>
          </w:p>
        </w:tc>
        <w:tc>
          <w:tcPr>
            <w:tcW w:w="1134" w:type="dxa"/>
            <w:tcBorders>
              <w:bottom w:val="single" w:sz="4" w:space="0" w:color="auto"/>
            </w:tcBorders>
            <w:shd w:val="clear" w:color="auto" w:fill="FFFFFF" w:themeFill="background1"/>
          </w:tcPr>
          <w:p w14:paraId="38DB755C" w14:textId="352583DB" w:rsidR="005B4B9E" w:rsidRPr="00797417" w:rsidRDefault="009854E0" w:rsidP="00B3448F">
            <w:pPr>
              <w:ind w:right="170"/>
              <w:jc w:val="right"/>
              <w:rPr>
                <w:rFonts w:ascii="Public Sans" w:hAnsi="Public Sans" w:cs="Arial"/>
                <w:color w:val="000000"/>
                <w:sz w:val="18"/>
                <w:szCs w:val="18"/>
              </w:rPr>
            </w:pPr>
            <w:r w:rsidRPr="00797417">
              <w:rPr>
                <w:rFonts w:ascii="Public Sans" w:eastAsia="Arial" w:hAnsi="Public Sans" w:cs="Arial"/>
                <w:sz w:val="18"/>
                <w:szCs w:val="18"/>
              </w:rPr>
              <w:t>(</w:t>
            </w:r>
            <w:r w:rsidR="003E6E8C" w:rsidRPr="00797417">
              <w:rPr>
                <w:rFonts w:ascii="Public Sans" w:eastAsia="Arial" w:hAnsi="Public Sans" w:cs="Arial"/>
                <w:sz w:val="18"/>
                <w:szCs w:val="18"/>
              </w:rPr>
              <w:t>513.4</w:t>
            </w:r>
            <w:r w:rsidRPr="00797417">
              <w:rPr>
                <w:rFonts w:ascii="Public Sans" w:eastAsia="Arial" w:hAnsi="Public Sans" w:cs="Arial"/>
                <w:sz w:val="18"/>
                <w:szCs w:val="18"/>
              </w:rPr>
              <w:t>)</w:t>
            </w:r>
          </w:p>
        </w:tc>
        <w:tc>
          <w:tcPr>
            <w:tcW w:w="993" w:type="dxa"/>
            <w:tcBorders>
              <w:bottom w:val="single" w:sz="4" w:space="0" w:color="auto"/>
            </w:tcBorders>
            <w:shd w:val="clear" w:color="auto" w:fill="FFFFFF" w:themeFill="background1"/>
          </w:tcPr>
          <w:p w14:paraId="563213A0" w14:textId="71C11504" w:rsidR="005B4B9E" w:rsidRPr="00797417" w:rsidRDefault="009854E0" w:rsidP="00B3448F">
            <w:pPr>
              <w:ind w:right="170"/>
              <w:jc w:val="right"/>
              <w:rPr>
                <w:rFonts w:ascii="Public Sans" w:hAnsi="Public Sans" w:cs="Arial"/>
                <w:color w:val="000000"/>
                <w:sz w:val="18"/>
                <w:szCs w:val="18"/>
              </w:rPr>
            </w:pPr>
            <w:r w:rsidRPr="00797417">
              <w:rPr>
                <w:rFonts w:ascii="Public Sans" w:eastAsia="Arial" w:hAnsi="Public Sans" w:cs="Arial"/>
                <w:sz w:val="18"/>
                <w:szCs w:val="18"/>
              </w:rPr>
              <w:t>(</w:t>
            </w:r>
            <w:r w:rsidR="003E6E8C" w:rsidRPr="00797417">
              <w:rPr>
                <w:rFonts w:ascii="Public Sans" w:eastAsia="Arial" w:hAnsi="Public Sans" w:cs="Arial"/>
                <w:sz w:val="18"/>
                <w:szCs w:val="18"/>
              </w:rPr>
              <w:t>529.4</w:t>
            </w:r>
            <w:r w:rsidRPr="00797417">
              <w:rPr>
                <w:rFonts w:ascii="Public Sans" w:eastAsia="Arial" w:hAnsi="Public Sans" w:cs="Arial"/>
                <w:sz w:val="18"/>
                <w:szCs w:val="18"/>
              </w:rPr>
              <w:t>)</w:t>
            </w:r>
          </w:p>
        </w:tc>
        <w:tc>
          <w:tcPr>
            <w:tcW w:w="992" w:type="dxa"/>
            <w:tcBorders>
              <w:bottom w:val="single" w:sz="4" w:space="0" w:color="auto"/>
            </w:tcBorders>
            <w:shd w:val="clear" w:color="auto" w:fill="FFFFFF" w:themeFill="background1"/>
          </w:tcPr>
          <w:p w14:paraId="5A27CCB9" w14:textId="18B1E50F" w:rsidR="005B4B9E" w:rsidRPr="00797417" w:rsidRDefault="009854E0" w:rsidP="006353CB">
            <w:pPr>
              <w:ind w:left="-113" w:right="170"/>
              <w:jc w:val="right"/>
              <w:rPr>
                <w:rFonts w:ascii="Public Sans" w:hAnsi="Public Sans" w:cs="Arial"/>
                <w:color w:val="000000"/>
                <w:sz w:val="18"/>
                <w:szCs w:val="18"/>
              </w:rPr>
            </w:pPr>
            <w:r w:rsidRPr="00797417">
              <w:rPr>
                <w:rFonts w:ascii="Public Sans" w:eastAsia="Arial" w:hAnsi="Public Sans" w:cs="Arial"/>
                <w:sz w:val="18"/>
                <w:szCs w:val="18"/>
              </w:rPr>
              <w:t>(</w:t>
            </w:r>
            <w:r w:rsidR="003E6E8C" w:rsidRPr="00797417">
              <w:rPr>
                <w:rFonts w:ascii="Public Sans" w:eastAsia="Arial" w:hAnsi="Public Sans" w:cs="Arial"/>
                <w:sz w:val="18"/>
                <w:szCs w:val="18"/>
              </w:rPr>
              <w:t>539.2</w:t>
            </w:r>
            <w:r w:rsidRPr="00797417">
              <w:rPr>
                <w:rFonts w:ascii="Public Sans" w:eastAsia="Arial" w:hAnsi="Public Sans" w:cs="Arial"/>
                <w:sz w:val="18"/>
                <w:szCs w:val="18"/>
              </w:rPr>
              <w:t>)</w:t>
            </w:r>
          </w:p>
        </w:tc>
        <w:tc>
          <w:tcPr>
            <w:tcW w:w="1984" w:type="dxa"/>
            <w:tcBorders>
              <w:bottom w:val="single" w:sz="4" w:space="0" w:color="auto"/>
            </w:tcBorders>
          </w:tcPr>
          <w:p w14:paraId="43E5A8C1" w14:textId="77777777" w:rsidR="005B4B9E" w:rsidRPr="00097D37" w:rsidRDefault="005B4B9E" w:rsidP="00B3448F">
            <w:pPr>
              <w:rPr>
                <w:rFonts w:ascii="Public Sans" w:hAnsi="Public Sans"/>
                <w:sz w:val="18"/>
                <w:szCs w:val="18"/>
              </w:rPr>
            </w:pPr>
          </w:p>
        </w:tc>
      </w:tr>
    </w:tbl>
    <w:p w14:paraId="5E401A7A" w14:textId="77777777" w:rsidR="005B4B9E" w:rsidRPr="00D974F0" w:rsidRDefault="005B4B9E" w:rsidP="00883734"/>
    <w:p w14:paraId="518FA7A0" w14:textId="0458901C" w:rsidR="00A23E90" w:rsidRDefault="009F2EDF" w:rsidP="00014449">
      <w:pPr>
        <w:pStyle w:val="BodyText"/>
      </w:pPr>
      <w:r>
        <w:t>Other expense</w:t>
      </w:r>
      <w:r w:rsidRPr="001C30E4">
        <w:t xml:space="preserve"> </w:t>
      </w:r>
      <w:r w:rsidR="001C30E4" w:rsidRPr="001C30E4">
        <w:t>risks that could impact the budget result include:</w:t>
      </w:r>
    </w:p>
    <w:p w14:paraId="6FEA6CED" w14:textId="78E00E99" w:rsidR="00AF48CF" w:rsidRDefault="00AF48CF" w:rsidP="0030746D">
      <w:pPr>
        <w:pStyle w:val="Bullet2"/>
        <w:numPr>
          <w:ilvl w:val="0"/>
          <w:numId w:val="89"/>
        </w:numPr>
        <w:ind w:left="284" w:hanging="284"/>
      </w:pPr>
      <w:r>
        <w:t>higher than budgeted maintenance, depreciation and operating costs associated with the</w:t>
      </w:r>
      <w:r w:rsidR="008208D8">
        <w:t xml:space="preserve"> </w:t>
      </w:r>
      <w:r>
        <w:t>Government’s infrastructure program (see below for infrastructure related risks)</w:t>
      </w:r>
    </w:p>
    <w:p w14:paraId="0F61B524" w14:textId="2A70952D" w:rsidR="00AF48CF" w:rsidRDefault="00AF48CF" w:rsidP="0030746D">
      <w:pPr>
        <w:pStyle w:val="Bullet2"/>
        <w:numPr>
          <w:ilvl w:val="0"/>
          <w:numId w:val="89"/>
        </w:numPr>
        <w:ind w:left="284" w:hanging="284"/>
      </w:pPr>
      <w:r>
        <w:t xml:space="preserve">unforeseen legal expenses or costs associated with litigation, including native title </w:t>
      </w:r>
      <w:proofErr w:type="gramStart"/>
      <w:r>
        <w:t>claims</w:t>
      </w:r>
      <w:proofErr w:type="gramEnd"/>
    </w:p>
    <w:p w14:paraId="561140C3" w14:textId="307A522D" w:rsidR="00AF48CF" w:rsidRDefault="00AF48CF" w:rsidP="0030746D">
      <w:pPr>
        <w:pStyle w:val="Bullet2"/>
        <w:numPr>
          <w:ilvl w:val="0"/>
          <w:numId w:val="89"/>
        </w:numPr>
        <w:ind w:left="284" w:hanging="284"/>
      </w:pPr>
      <w:r>
        <w:t>expenses relating to continuation of programs where funding may cease across the</w:t>
      </w:r>
      <w:r w:rsidR="002C1445">
        <w:t xml:space="preserve"> </w:t>
      </w:r>
      <w:r>
        <w:t xml:space="preserve">forward estimates and require further government </w:t>
      </w:r>
      <w:proofErr w:type="gramStart"/>
      <w:r>
        <w:t>consideration</w:t>
      </w:r>
      <w:proofErr w:type="gramEnd"/>
    </w:p>
    <w:p w14:paraId="6EFD3167" w14:textId="50DF4216" w:rsidR="00AF48CF" w:rsidRDefault="00AF48CF" w:rsidP="0030746D">
      <w:pPr>
        <w:pStyle w:val="Bullet2"/>
        <w:numPr>
          <w:ilvl w:val="0"/>
          <w:numId w:val="89"/>
        </w:numPr>
        <w:ind w:left="284" w:hanging="284"/>
      </w:pPr>
      <w:r>
        <w:t xml:space="preserve">changes to parameters that influence the liabilities and associated </w:t>
      </w:r>
      <w:r w:rsidR="000A5AF1">
        <w:t>expenses</w:t>
      </w:r>
      <w:r>
        <w:t xml:space="preserve"> for</w:t>
      </w:r>
      <w:r w:rsidR="002C1445">
        <w:t xml:space="preserve"> </w:t>
      </w:r>
      <w:r>
        <w:t>superannuation, long service leave, other employee provisions and insurance provisions</w:t>
      </w:r>
      <w:r w:rsidR="002C1445">
        <w:t xml:space="preserve"> </w:t>
      </w:r>
      <w:r>
        <w:t>(see below for further balance sheet risks and sensitivities)</w:t>
      </w:r>
    </w:p>
    <w:p w14:paraId="6428F8F3" w14:textId="3E110DD5" w:rsidR="00113B87" w:rsidRDefault="00AF48CF" w:rsidP="0030746D">
      <w:pPr>
        <w:pStyle w:val="Bullet2"/>
        <w:numPr>
          <w:ilvl w:val="0"/>
          <w:numId w:val="89"/>
        </w:numPr>
        <w:ind w:left="284" w:hanging="284"/>
      </w:pPr>
      <w:r>
        <w:t>possible additional risks and pressures present within agency budgets, for example</w:t>
      </w:r>
      <w:r w:rsidR="002C1445">
        <w:t xml:space="preserve"> </w:t>
      </w:r>
      <w:r>
        <w:t xml:space="preserve">increased energy </w:t>
      </w:r>
      <w:proofErr w:type="gramStart"/>
      <w:r>
        <w:t>costs</w:t>
      </w:r>
      <w:proofErr w:type="gramEnd"/>
    </w:p>
    <w:p w14:paraId="03C58ADB" w14:textId="2F4C820A" w:rsidR="0059231D" w:rsidRPr="004B13EF" w:rsidRDefault="0059231D" w:rsidP="0030746D">
      <w:pPr>
        <w:pStyle w:val="Bullet2"/>
        <w:numPr>
          <w:ilvl w:val="0"/>
          <w:numId w:val="89"/>
        </w:numPr>
        <w:ind w:left="284" w:hanging="284"/>
      </w:pPr>
      <w:r w:rsidRPr="004B13EF">
        <w:t xml:space="preserve">reimbursement or compensation may be required for Forestry Corporation NSW should any </w:t>
      </w:r>
      <w:r>
        <w:t>improvements to protection measures be required to ensure that koala hubs in the Great Koala National Park (GKNP) are protected from forestry operations until the GKNP is established</w:t>
      </w:r>
      <w:r w:rsidR="00FD166A">
        <w:t xml:space="preserve">. </w:t>
      </w:r>
    </w:p>
    <w:p w14:paraId="2A17BBCD" w14:textId="3A74C3AC" w:rsidR="00650CF8" w:rsidRPr="007202BF" w:rsidRDefault="00650CF8" w:rsidP="00650CF8">
      <w:pPr>
        <w:pStyle w:val="Heading3"/>
        <w:rPr>
          <w:rFonts w:asciiTheme="minorHAnsi" w:eastAsiaTheme="minorEastAsia" w:hAnsiTheme="minorHAnsi" w:cstheme="minorBidi"/>
          <w:color w:val="000000" w:themeColor="text1"/>
        </w:rPr>
      </w:pPr>
      <w:r>
        <w:t xml:space="preserve">Investment revenue and borrowing </w:t>
      </w:r>
      <w:proofErr w:type="gramStart"/>
      <w:r>
        <w:t>costs</w:t>
      </w:r>
      <w:proofErr w:type="gramEnd"/>
    </w:p>
    <w:p w14:paraId="161A49DE" w14:textId="3CA9C6B7" w:rsidR="00094EC8" w:rsidRDefault="007B53E9" w:rsidP="000850C9">
      <w:pPr>
        <w:pStyle w:val="Heading4"/>
      </w:pPr>
      <w:r>
        <w:t>Investment Revenue</w:t>
      </w:r>
    </w:p>
    <w:p w14:paraId="44CB02DC" w14:textId="77777777" w:rsidR="005F0AC5" w:rsidRDefault="009E29A6" w:rsidP="00014449">
      <w:pPr>
        <w:pStyle w:val="BodyText"/>
      </w:pPr>
      <w:r w:rsidRPr="006372DB">
        <w:t xml:space="preserve">Financial markets generally performed well during 2022-23, despite persisting uncertainty around inflation globally and monetary policy tightening. This positive performance in turn drove solid investment return </w:t>
      </w:r>
      <w:r w:rsidRPr="00E45B58">
        <w:t xml:space="preserve">outcomes for State funds. Although it is early in the current financial year, investment returns have </w:t>
      </w:r>
      <w:r w:rsidRPr="00BB582C">
        <w:t>been somewhat mixed during 2023-24 so far</w:t>
      </w:r>
      <w:r w:rsidRPr="00E45B58">
        <w:t>.</w:t>
      </w:r>
    </w:p>
    <w:p w14:paraId="1DA9D1D2" w14:textId="2572EBC1" w:rsidR="0009646E" w:rsidRDefault="0009646E" w:rsidP="00014449">
      <w:pPr>
        <w:pStyle w:val="BodyText"/>
      </w:pPr>
      <w:r>
        <w:t xml:space="preserve">Financial markets remain volatile however, as </w:t>
      </w:r>
      <w:r w:rsidR="00F12B47">
        <w:t xml:space="preserve">the ongoing </w:t>
      </w:r>
      <w:r>
        <w:t xml:space="preserve">uncertainty about the global economic outlook, </w:t>
      </w:r>
      <w:r w:rsidR="00F12B47">
        <w:t xml:space="preserve">including inflation, </w:t>
      </w:r>
      <w:r w:rsidR="00F12B47" w:rsidRPr="006372DB">
        <w:t>impacts asset values.</w:t>
      </w:r>
      <w:r>
        <w:t xml:space="preserve"> NSW Treasury works closely with TCorp to manage risk and navigate through the current volatile interest rate environment.</w:t>
      </w:r>
    </w:p>
    <w:p w14:paraId="74D1FAE7" w14:textId="6E2754CE" w:rsidR="007933B9" w:rsidRDefault="0009646E" w:rsidP="00014449">
      <w:pPr>
        <w:pStyle w:val="BodyText"/>
      </w:pPr>
      <w:r>
        <w:t xml:space="preserve">Investment returns may be above or below estimates which would impact revenue. </w:t>
      </w:r>
      <w:r w:rsidR="00B17CB2" w:rsidRPr="006372DB">
        <w:t xml:space="preserve">Adopting the Attribution Managed Investment Trust regime for </w:t>
      </w:r>
      <w:r w:rsidR="00B17CB2">
        <w:t xml:space="preserve">most </w:t>
      </w:r>
      <w:r w:rsidR="00B17CB2" w:rsidRPr="006372DB">
        <w:t>government investment funds can help reduce investment revenue volatility impacts on the budget result by smoothing fund distributions over time.</w:t>
      </w:r>
    </w:p>
    <w:p w14:paraId="31269338" w14:textId="7B9F5610" w:rsidR="00B17CB2" w:rsidRDefault="0009646E" w:rsidP="00014449">
      <w:pPr>
        <w:pStyle w:val="BodyText"/>
      </w:pPr>
      <w:r>
        <w:t xml:space="preserve">The large size of the State’s investments means that a one percentage point movement in assumed investment return rates has a material impact on the Government’s budget result. </w:t>
      </w:r>
    </w:p>
    <w:p w14:paraId="4F5A1B3F" w14:textId="2C78D2EB" w:rsidR="008C6F65" w:rsidRPr="003D2010" w:rsidRDefault="008C6F65" w:rsidP="000850C9">
      <w:pPr>
        <w:pStyle w:val="Heading4"/>
      </w:pPr>
      <w:r>
        <w:t>Borrowing Costs</w:t>
      </w:r>
    </w:p>
    <w:p w14:paraId="4ED41D06" w14:textId="026B09EF" w:rsidR="008C6F65" w:rsidRPr="006372DB" w:rsidRDefault="008C6F65" w:rsidP="00014449">
      <w:pPr>
        <w:pStyle w:val="BodyText"/>
      </w:pPr>
      <w:r w:rsidRPr="006372DB">
        <w:t>The Government’s interest expense</w:t>
      </w:r>
      <w:r w:rsidR="006E031B">
        <w:t>s</w:t>
      </w:r>
      <w:r w:rsidRPr="006372DB">
        <w:t xml:space="preserve"> </w:t>
      </w:r>
      <w:r w:rsidR="006E031B">
        <w:t>are</w:t>
      </w:r>
      <w:r w:rsidRPr="006372DB">
        <w:t xml:space="preserve"> partially a function of the interest rates it must pay on its new and refinanced borrowings. While the vast majority of the Government’s existing debt portfolio is fixed-rate debt (and hence, not affected by movements in interest rates), it will be adversely affected by rising interest rates.</w:t>
      </w:r>
    </w:p>
    <w:p w14:paraId="3D48185A" w14:textId="3A6A408D" w:rsidR="00AE6583" w:rsidRPr="00F32C6C" w:rsidRDefault="008C6F65" w:rsidP="00014449">
      <w:pPr>
        <w:pStyle w:val="BodyText"/>
        <w:rPr>
          <w:iCs/>
        </w:rPr>
      </w:pPr>
      <w:r w:rsidRPr="006372DB">
        <w:lastRenderedPageBreak/>
        <w:t>A one percentage point movement in interest rates would change interest expenses on borrowings and interest revenue on any invested cash, with offsetting impacts on the budget result.</w:t>
      </w:r>
    </w:p>
    <w:p w14:paraId="1F7AC8D7" w14:textId="77777777" w:rsidR="00650CF8" w:rsidRDefault="00650CF8" w:rsidP="00AE6583">
      <w:pPr>
        <w:pStyle w:val="TableBX"/>
      </w:pPr>
      <w:r w:rsidRPr="008A3C87">
        <w:t>Financial markets and interest rates sensitivities</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B.7: Financial markets and interest rates sensitivities"/>
        <w:tblDescription w:val="Table B.7: Financial markets and interest rates sensitivities"/>
      </w:tblPr>
      <w:tblGrid>
        <w:gridCol w:w="3683"/>
        <w:gridCol w:w="996"/>
        <w:gridCol w:w="992"/>
        <w:gridCol w:w="993"/>
        <w:gridCol w:w="992"/>
        <w:gridCol w:w="1983"/>
      </w:tblGrid>
      <w:tr w:rsidR="0003277E" w:rsidRPr="00484B46" w14:paraId="7D9A81E2" w14:textId="77777777">
        <w:trPr>
          <w:trHeight w:val="283"/>
        </w:trPr>
        <w:tc>
          <w:tcPr>
            <w:tcW w:w="3683" w:type="dxa"/>
            <w:vMerge w:val="restart"/>
            <w:shd w:val="clear" w:color="auto" w:fill="EBEBEB"/>
            <w:vAlign w:val="center"/>
          </w:tcPr>
          <w:p w14:paraId="46F8E576" w14:textId="77777777" w:rsidR="0003277E" w:rsidRPr="00484B46" w:rsidRDefault="0003277E">
            <w:pPr>
              <w:rPr>
                <w:rFonts w:ascii="Public Sans" w:hAnsi="Public Sans"/>
                <w:sz w:val="18"/>
                <w:szCs w:val="18"/>
              </w:rPr>
            </w:pPr>
            <w:r w:rsidRPr="00484B46">
              <w:rPr>
                <w:rFonts w:ascii="Public Sans" w:hAnsi="Public Sans" w:cs="Arial"/>
                <w:sz w:val="18"/>
                <w:szCs w:val="18"/>
                <w:lang w:eastAsia="en-AU"/>
              </w:rPr>
              <w:t>Financial markets and interest rate sensitivities</w:t>
            </w:r>
          </w:p>
        </w:tc>
        <w:tc>
          <w:tcPr>
            <w:tcW w:w="996" w:type="dxa"/>
            <w:shd w:val="clear" w:color="auto" w:fill="EBEBEB"/>
            <w:vAlign w:val="bottom"/>
          </w:tcPr>
          <w:p w14:paraId="5587BB0E" w14:textId="77777777" w:rsidR="0003277E" w:rsidRPr="00484B46" w:rsidRDefault="0003277E">
            <w:pPr>
              <w:jc w:val="center"/>
              <w:rPr>
                <w:rFonts w:ascii="Public Sans" w:hAnsi="Public Sans" w:cs="Arial"/>
                <w:sz w:val="18"/>
                <w:szCs w:val="18"/>
                <w:lang w:eastAsia="en-AU"/>
              </w:rPr>
            </w:pPr>
            <w:r w:rsidRPr="00484B46">
              <w:rPr>
                <w:rFonts w:ascii="Public Sans" w:eastAsia="Arial" w:hAnsi="Public Sans" w:cs="Arial"/>
                <w:sz w:val="18"/>
                <w:szCs w:val="18"/>
              </w:rPr>
              <w:t>2023-24</w:t>
            </w:r>
          </w:p>
        </w:tc>
        <w:tc>
          <w:tcPr>
            <w:tcW w:w="992" w:type="dxa"/>
            <w:shd w:val="clear" w:color="auto" w:fill="EBEBEB"/>
            <w:vAlign w:val="bottom"/>
          </w:tcPr>
          <w:p w14:paraId="531FE419" w14:textId="77777777" w:rsidR="0003277E" w:rsidRPr="00484B46" w:rsidRDefault="0003277E">
            <w:pPr>
              <w:jc w:val="center"/>
              <w:rPr>
                <w:rFonts w:ascii="Public Sans" w:hAnsi="Public Sans" w:cs="Arial"/>
                <w:sz w:val="18"/>
                <w:szCs w:val="18"/>
                <w:lang w:eastAsia="en-AU"/>
              </w:rPr>
            </w:pPr>
            <w:r w:rsidRPr="00484B46">
              <w:rPr>
                <w:rFonts w:ascii="Public Sans" w:eastAsia="Arial" w:hAnsi="Public Sans" w:cs="Arial"/>
                <w:sz w:val="18"/>
                <w:szCs w:val="18"/>
              </w:rPr>
              <w:t>2024-25</w:t>
            </w:r>
          </w:p>
        </w:tc>
        <w:tc>
          <w:tcPr>
            <w:tcW w:w="993" w:type="dxa"/>
            <w:shd w:val="clear" w:color="auto" w:fill="EBEBEB"/>
            <w:vAlign w:val="bottom"/>
          </w:tcPr>
          <w:p w14:paraId="097E6F06" w14:textId="77777777" w:rsidR="0003277E" w:rsidRPr="00484B46" w:rsidRDefault="0003277E">
            <w:pPr>
              <w:jc w:val="center"/>
              <w:rPr>
                <w:rFonts w:ascii="Public Sans" w:hAnsi="Public Sans" w:cs="Arial"/>
                <w:sz w:val="18"/>
                <w:szCs w:val="18"/>
                <w:lang w:eastAsia="en-AU"/>
              </w:rPr>
            </w:pPr>
            <w:r w:rsidRPr="00484B46">
              <w:rPr>
                <w:rFonts w:ascii="Public Sans" w:eastAsia="Arial" w:hAnsi="Public Sans" w:cs="Arial"/>
                <w:sz w:val="18"/>
                <w:szCs w:val="18"/>
              </w:rPr>
              <w:t>2025-26</w:t>
            </w:r>
          </w:p>
        </w:tc>
        <w:tc>
          <w:tcPr>
            <w:tcW w:w="992" w:type="dxa"/>
            <w:shd w:val="clear" w:color="auto" w:fill="EBEBEB"/>
            <w:vAlign w:val="bottom"/>
          </w:tcPr>
          <w:p w14:paraId="5275E7C9" w14:textId="77777777" w:rsidR="0003277E" w:rsidRPr="00484B46" w:rsidRDefault="0003277E">
            <w:pPr>
              <w:jc w:val="center"/>
              <w:rPr>
                <w:rFonts w:ascii="Public Sans" w:hAnsi="Public Sans" w:cs="Arial"/>
                <w:sz w:val="18"/>
                <w:szCs w:val="18"/>
                <w:lang w:eastAsia="en-AU"/>
              </w:rPr>
            </w:pPr>
            <w:r w:rsidRPr="00484B46">
              <w:rPr>
                <w:rFonts w:ascii="Public Sans" w:eastAsia="Arial" w:hAnsi="Public Sans" w:cs="Arial"/>
                <w:sz w:val="18"/>
                <w:szCs w:val="18"/>
              </w:rPr>
              <w:t>2026-27</w:t>
            </w:r>
          </w:p>
        </w:tc>
        <w:tc>
          <w:tcPr>
            <w:tcW w:w="1983" w:type="dxa"/>
            <w:vMerge w:val="restart"/>
            <w:shd w:val="clear" w:color="auto" w:fill="4B5051"/>
            <w:vAlign w:val="center"/>
          </w:tcPr>
          <w:p w14:paraId="1049E31D" w14:textId="77777777" w:rsidR="0003277E" w:rsidRPr="00484B46" w:rsidRDefault="0003277E">
            <w:pPr>
              <w:jc w:val="center"/>
              <w:rPr>
                <w:rFonts w:ascii="Public Sans" w:hAnsi="Public Sans" w:cs="Arial"/>
                <w:color w:val="FFFFFF" w:themeColor="background1"/>
                <w:sz w:val="18"/>
                <w:szCs w:val="18"/>
                <w:lang w:eastAsia="en-AU"/>
              </w:rPr>
            </w:pPr>
            <w:r w:rsidRPr="00484B46">
              <w:rPr>
                <w:rFonts w:ascii="Public Sans" w:hAnsi="Public Sans" w:cs="Arial"/>
                <w:color w:val="FFFFFF" w:themeColor="background1"/>
                <w:sz w:val="18"/>
                <w:szCs w:val="18"/>
                <w:lang w:eastAsia="en-AU"/>
              </w:rPr>
              <w:t>Sensitivity</w:t>
            </w:r>
          </w:p>
        </w:tc>
      </w:tr>
      <w:tr w:rsidR="0003277E" w:rsidRPr="00484B46" w14:paraId="31F5D777" w14:textId="77777777">
        <w:trPr>
          <w:trHeight w:val="227"/>
        </w:trPr>
        <w:tc>
          <w:tcPr>
            <w:tcW w:w="3683" w:type="dxa"/>
            <w:vMerge/>
            <w:shd w:val="clear" w:color="auto" w:fill="EBEBEB"/>
          </w:tcPr>
          <w:p w14:paraId="2B75BDB4" w14:textId="77777777" w:rsidR="0003277E" w:rsidRPr="00484B46" w:rsidRDefault="0003277E">
            <w:pPr>
              <w:rPr>
                <w:rFonts w:ascii="Public Sans" w:hAnsi="Public Sans"/>
                <w:sz w:val="18"/>
                <w:szCs w:val="18"/>
              </w:rPr>
            </w:pPr>
          </w:p>
        </w:tc>
        <w:tc>
          <w:tcPr>
            <w:tcW w:w="996" w:type="dxa"/>
            <w:shd w:val="clear" w:color="auto" w:fill="EBEBEB"/>
          </w:tcPr>
          <w:p w14:paraId="5EFB6CF1" w14:textId="77777777" w:rsidR="0003277E" w:rsidRPr="00484B46" w:rsidRDefault="0003277E">
            <w:pPr>
              <w:jc w:val="center"/>
              <w:rPr>
                <w:rFonts w:ascii="Public Sans" w:hAnsi="Public Sans" w:cs="Arial"/>
                <w:sz w:val="18"/>
                <w:szCs w:val="18"/>
                <w:lang w:eastAsia="en-AU"/>
              </w:rPr>
            </w:pPr>
            <w:r w:rsidRPr="00484B46">
              <w:rPr>
                <w:rFonts w:ascii="Public Sans" w:eastAsia="Arial" w:hAnsi="Public Sans" w:cs="Arial"/>
                <w:sz w:val="18"/>
                <w:szCs w:val="18"/>
              </w:rPr>
              <w:t>Budget</w:t>
            </w:r>
          </w:p>
        </w:tc>
        <w:tc>
          <w:tcPr>
            <w:tcW w:w="2977" w:type="dxa"/>
            <w:gridSpan w:val="3"/>
            <w:shd w:val="clear" w:color="auto" w:fill="EBEBEB"/>
          </w:tcPr>
          <w:p w14:paraId="6E8F4F7C" w14:textId="77777777" w:rsidR="0003277E" w:rsidRPr="00484B46" w:rsidRDefault="0003277E">
            <w:pPr>
              <w:jc w:val="center"/>
              <w:rPr>
                <w:rFonts w:ascii="Public Sans" w:hAnsi="Public Sans" w:cs="Arial"/>
                <w:sz w:val="18"/>
                <w:szCs w:val="18"/>
                <w:lang w:eastAsia="en-AU"/>
              </w:rPr>
            </w:pPr>
            <w:r w:rsidRPr="00484B46">
              <w:rPr>
                <w:rFonts w:ascii="Public Sans" w:eastAsia="Arial" w:hAnsi="Public Sans" w:cs="Arial"/>
                <w:sz w:val="18"/>
                <w:szCs w:val="18"/>
              </w:rPr>
              <w:t>Forward estimates</w:t>
            </w:r>
          </w:p>
        </w:tc>
        <w:tc>
          <w:tcPr>
            <w:tcW w:w="1983" w:type="dxa"/>
            <w:vMerge/>
          </w:tcPr>
          <w:p w14:paraId="0AE94482" w14:textId="77777777" w:rsidR="0003277E" w:rsidRPr="00484B46" w:rsidRDefault="0003277E">
            <w:pPr>
              <w:rPr>
                <w:rFonts w:ascii="Public Sans" w:hAnsi="Public Sans"/>
                <w:sz w:val="18"/>
                <w:szCs w:val="18"/>
              </w:rPr>
            </w:pPr>
          </w:p>
        </w:tc>
      </w:tr>
      <w:tr w:rsidR="0003277E" w:rsidRPr="00484B46" w14:paraId="06E1FFB6" w14:textId="77777777">
        <w:trPr>
          <w:trHeight w:val="283"/>
        </w:trPr>
        <w:tc>
          <w:tcPr>
            <w:tcW w:w="3683" w:type="dxa"/>
            <w:shd w:val="clear" w:color="auto" w:fill="EBEBEB"/>
          </w:tcPr>
          <w:p w14:paraId="3F57B876" w14:textId="77777777" w:rsidR="0003277E" w:rsidRPr="00484B46" w:rsidRDefault="0003277E">
            <w:pPr>
              <w:jc w:val="center"/>
              <w:rPr>
                <w:rFonts w:ascii="Public Sans" w:hAnsi="Public Sans" w:cs="Arial"/>
                <w:sz w:val="18"/>
                <w:szCs w:val="18"/>
                <w:lang w:eastAsia="en-AU"/>
              </w:rPr>
            </w:pPr>
          </w:p>
        </w:tc>
        <w:tc>
          <w:tcPr>
            <w:tcW w:w="996" w:type="dxa"/>
            <w:shd w:val="clear" w:color="auto" w:fill="EBEBEB"/>
          </w:tcPr>
          <w:p w14:paraId="234C649B" w14:textId="77777777" w:rsidR="0003277E" w:rsidRPr="00484B46" w:rsidRDefault="0003277E">
            <w:pPr>
              <w:jc w:val="center"/>
              <w:rPr>
                <w:rFonts w:ascii="Public Sans" w:hAnsi="Public Sans" w:cs="Arial"/>
                <w:sz w:val="18"/>
                <w:szCs w:val="18"/>
                <w:lang w:eastAsia="en-AU"/>
              </w:rPr>
            </w:pPr>
            <w:r w:rsidRPr="00484B46">
              <w:rPr>
                <w:rFonts w:ascii="Public Sans" w:hAnsi="Public Sans" w:cs="Arial"/>
                <w:sz w:val="18"/>
                <w:szCs w:val="18"/>
                <w:lang w:eastAsia="en-AU"/>
              </w:rPr>
              <w:t>$m</w:t>
            </w:r>
          </w:p>
        </w:tc>
        <w:tc>
          <w:tcPr>
            <w:tcW w:w="992" w:type="dxa"/>
            <w:shd w:val="clear" w:color="auto" w:fill="EBEBEB"/>
          </w:tcPr>
          <w:p w14:paraId="44BC4AB3" w14:textId="77777777" w:rsidR="0003277E" w:rsidRPr="00484B46" w:rsidRDefault="0003277E">
            <w:pPr>
              <w:jc w:val="center"/>
              <w:rPr>
                <w:rFonts w:ascii="Public Sans" w:hAnsi="Public Sans" w:cs="Arial"/>
                <w:sz w:val="18"/>
                <w:szCs w:val="18"/>
                <w:lang w:eastAsia="en-AU"/>
              </w:rPr>
            </w:pPr>
            <w:r w:rsidRPr="00484B46">
              <w:rPr>
                <w:rFonts w:ascii="Public Sans" w:hAnsi="Public Sans" w:cs="Arial"/>
                <w:sz w:val="18"/>
                <w:szCs w:val="18"/>
                <w:lang w:eastAsia="en-AU"/>
              </w:rPr>
              <w:t>$m</w:t>
            </w:r>
          </w:p>
        </w:tc>
        <w:tc>
          <w:tcPr>
            <w:tcW w:w="993" w:type="dxa"/>
            <w:shd w:val="clear" w:color="auto" w:fill="EBEBEB"/>
          </w:tcPr>
          <w:p w14:paraId="068A9E4E" w14:textId="77777777" w:rsidR="0003277E" w:rsidRPr="00484B46" w:rsidRDefault="0003277E">
            <w:pPr>
              <w:jc w:val="center"/>
              <w:rPr>
                <w:rFonts w:ascii="Public Sans" w:hAnsi="Public Sans" w:cs="Arial"/>
                <w:sz w:val="18"/>
                <w:szCs w:val="18"/>
                <w:lang w:eastAsia="en-AU"/>
              </w:rPr>
            </w:pPr>
            <w:r w:rsidRPr="00484B46">
              <w:rPr>
                <w:rFonts w:ascii="Public Sans" w:hAnsi="Public Sans" w:cs="Arial"/>
                <w:sz w:val="18"/>
                <w:szCs w:val="18"/>
                <w:lang w:eastAsia="en-AU"/>
              </w:rPr>
              <w:t>$m</w:t>
            </w:r>
          </w:p>
        </w:tc>
        <w:tc>
          <w:tcPr>
            <w:tcW w:w="992" w:type="dxa"/>
            <w:shd w:val="clear" w:color="auto" w:fill="EBEBEB"/>
          </w:tcPr>
          <w:p w14:paraId="0EE7D1AF" w14:textId="77777777" w:rsidR="0003277E" w:rsidRPr="00484B46" w:rsidRDefault="0003277E">
            <w:pPr>
              <w:jc w:val="center"/>
              <w:rPr>
                <w:rFonts w:ascii="Public Sans" w:hAnsi="Public Sans" w:cs="Arial"/>
                <w:sz w:val="18"/>
                <w:szCs w:val="18"/>
                <w:lang w:eastAsia="en-AU"/>
              </w:rPr>
            </w:pPr>
            <w:r w:rsidRPr="00484B46">
              <w:rPr>
                <w:rFonts w:ascii="Public Sans" w:hAnsi="Public Sans" w:cs="Arial"/>
                <w:sz w:val="18"/>
                <w:szCs w:val="18"/>
                <w:lang w:eastAsia="en-AU"/>
              </w:rPr>
              <w:t>$m</w:t>
            </w:r>
          </w:p>
        </w:tc>
        <w:tc>
          <w:tcPr>
            <w:tcW w:w="1983" w:type="dxa"/>
            <w:vMerge/>
          </w:tcPr>
          <w:p w14:paraId="6E63D4A7" w14:textId="77777777" w:rsidR="0003277E" w:rsidRPr="00484B46" w:rsidRDefault="0003277E">
            <w:pPr>
              <w:rPr>
                <w:rFonts w:ascii="Public Sans" w:hAnsi="Public Sans"/>
                <w:sz w:val="18"/>
                <w:szCs w:val="18"/>
              </w:rPr>
            </w:pPr>
          </w:p>
        </w:tc>
      </w:tr>
      <w:tr w:rsidR="0003277E" w:rsidRPr="00484B46" w14:paraId="185FBD78" w14:textId="77777777">
        <w:trPr>
          <w:trHeight w:val="283"/>
        </w:trPr>
        <w:tc>
          <w:tcPr>
            <w:tcW w:w="3683" w:type="dxa"/>
            <w:shd w:val="clear" w:color="auto" w:fill="auto"/>
            <w:vAlign w:val="center"/>
          </w:tcPr>
          <w:p w14:paraId="271B921B" w14:textId="77777777" w:rsidR="0003277E" w:rsidRPr="00484B46" w:rsidRDefault="0003277E">
            <w:pPr>
              <w:rPr>
                <w:rFonts w:ascii="Public Sans" w:hAnsi="Public Sans"/>
                <w:sz w:val="18"/>
                <w:szCs w:val="18"/>
                <w:vertAlign w:val="superscript"/>
              </w:rPr>
            </w:pPr>
            <w:r w:rsidRPr="00484B46">
              <w:rPr>
                <w:rFonts w:ascii="Public Sans" w:hAnsi="Public Sans" w:cs="Arial"/>
                <w:sz w:val="18"/>
                <w:szCs w:val="18"/>
              </w:rPr>
              <w:t>Investment revenue</w:t>
            </w:r>
            <w:r w:rsidRPr="00484B46">
              <w:rPr>
                <w:rFonts w:ascii="Public Sans" w:hAnsi="Public Sans" w:cs="Arial"/>
                <w:sz w:val="18"/>
                <w:szCs w:val="18"/>
                <w:vertAlign w:val="superscript"/>
              </w:rPr>
              <w:t>(a)</w:t>
            </w:r>
          </w:p>
        </w:tc>
        <w:tc>
          <w:tcPr>
            <w:tcW w:w="996" w:type="dxa"/>
            <w:vAlign w:val="center"/>
          </w:tcPr>
          <w:p w14:paraId="67C0D6FE" w14:textId="30A12E3D" w:rsidR="0003277E" w:rsidRPr="00484B46" w:rsidRDefault="0003277E">
            <w:pPr>
              <w:ind w:left="-246" w:right="175"/>
              <w:jc w:val="right"/>
              <w:rPr>
                <w:rFonts w:ascii="Public Sans" w:hAnsi="Public Sans" w:cs="Arial"/>
                <w:sz w:val="18"/>
                <w:szCs w:val="18"/>
              </w:rPr>
            </w:pPr>
            <w:r w:rsidRPr="00F77564">
              <w:rPr>
                <w:rFonts w:ascii="Public Sans" w:eastAsia="Arial" w:hAnsi="Public Sans" w:cs="Arial"/>
                <w:sz w:val="18"/>
                <w:szCs w:val="18"/>
              </w:rPr>
              <w:t>199.0</w:t>
            </w:r>
          </w:p>
        </w:tc>
        <w:tc>
          <w:tcPr>
            <w:tcW w:w="992" w:type="dxa"/>
            <w:shd w:val="clear" w:color="auto" w:fill="auto"/>
            <w:vAlign w:val="center"/>
          </w:tcPr>
          <w:p w14:paraId="6C04CF86" w14:textId="28E4F65A" w:rsidR="0003277E" w:rsidRPr="00484B46" w:rsidRDefault="0003277E">
            <w:pPr>
              <w:ind w:left="-246" w:right="175"/>
              <w:jc w:val="right"/>
              <w:rPr>
                <w:rFonts w:ascii="Public Sans" w:hAnsi="Public Sans" w:cs="Arial"/>
                <w:sz w:val="18"/>
                <w:szCs w:val="18"/>
              </w:rPr>
            </w:pPr>
            <w:r w:rsidRPr="00F77564">
              <w:rPr>
                <w:rFonts w:ascii="Public Sans" w:eastAsia="Arial" w:hAnsi="Public Sans" w:cs="Arial"/>
                <w:sz w:val="18"/>
                <w:szCs w:val="18"/>
              </w:rPr>
              <w:t>274.4</w:t>
            </w:r>
          </w:p>
        </w:tc>
        <w:tc>
          <w:tcPr>
            <w:tcW w:w="993" w:type="dxa"/>
            <w:shd w:val="clear" w:color="auto" w:fill="auto"/>
            <w:vAlign w:val="center"/>
          </w:tcPr>
          <w:p w14:paraId="0F9A2E2F" w14:textId="0DABFCEC" w:rsidR="0003277E" w:rsidRPr="00484B46" w:rsidRDefault="0003277E">
            <w:pPr>
              <w:ind w:left="-246" w:right="175"/>
              <w:jc w:val="right"/>
              <w:rPr>
                <w:rFonts w:ascii="Public Sans" w:hAnsi="Public Sans" w:cs="Arial"/>
                <w:sz w:val="18"/>
                <w:szCs w:val="18"/>
              </w:rPr>
            </w:pPr>
            <w:r w:rsidRPr="00F77564">
              <w:rPr>
                <w:rFonts w:ascii="Public Sans" w:eastAsia="Arial" w:hAnsi="Public Sans" w:cs="Arial"/>
                <w:sz w:val="18"/>
                <w:szCs w:val="18"/>
              </w:rPr>
              <w:t>345.2</w:t>
            </w:r>
          </w:p>
        </w:tc>
        <w:tc>
          <w:tcPr>
            <w:tcW w:w="992" w:type="dxa"/>
            <w:shd w:val="clear" w:color="auto" w:fill="auto"/>
            <w:vAlign w:val="center"/>
          </w:tcPr>
          <w:p w14:paraId="28EA8722" w14:textId="0CA51001" w:rsidR="0003277E" w:rsidRPr="00484B46" w:rsidRDefault="0003277E">
            <w:pPr>
              <w:ind w:left="-246" w:right="175"/>
              <w:jc w:val="right"/>
              <w:rPr>
                <w:rFonts w:ascii="Public Sans" w:hAnsi="Public Sans" w:cs="Arial"/>
                <w:sz w:val="18"/>
                <w:szCs w:val="18"/>
              </w:rPr>
            </w:pPr>
            <w:r w:rsidRPr="00F77564">
              <w:rPr>
                <w:rFonts w:ascii="Public Sans" w:eastAsia="Arial" w:hAnsi="Public Sans" w:cs="Arial"/>
                <w:sz w:val="18"/>
                <w:szCs w:val="18"/>
              </w:rPr>
              <w:t>433.3</w:t>
            </w:r>
          </w:p>
        </w:tc>
        <w:tc>
          <w:tcPr>
            <w:tcW w:w="1983" w:type="dxa"/>
            <w:vMerge w:val="restart"/>
            <w:tcBorders>
              <w:bottom w:val="single" w:sz="4" w:space="0" w:color="auto"/>
            </w:tcBorders>
            <w:vAlign w:val="center"/>
          </w:tcPr>
          <w:p w14:paraId="484EF6D2" w14:textId="77777777" w:rsidR="0003277E" w:rsidRPr="00484B46" w:rsidRDefault="0003277E">
            <w:pPr>
              <w:jc w:val="center"/>
              <w:rPr>
                <w:rFonts w:ascii="Public Sans" w:hAnsi="Public Sans" w:cs="Arial"/>
                <w:sz w:val="18"/>
                <w:szCs w:val="18"/>
              </w:rPr>
            </w:pPr>
            <w:r w:rsidRPr="00484B46">
              <w:rPr>
                <w:rFonts w:ascii="Public Sans" w:hAnsi="Public Sans" w:cs="Arial"/>
                <w:sz w:val="18"/>
                <w:szCs w:val="18"/>
              </w:rPr>
              <w:t>Single percentage point increase in factor</w:t>
            </w:r>
          </w:p>
        </w:tc>
      </w:tr>
      <w:tr w:rsidR="0003277E" w:rsidRPr="00484B46" w14:paraId="6B8A0B6C" w14:textId="77777777">
        <w:trPr>
          <w:trHeight w:val="283"/>
        </w:trPr>
        <w:tc>
          <w:tcPr>
            <w:tcW w:w="3683" w:type="dxa"/>
            <w:shd w:val="clear" w:color="auto" w:fill="auto"/>
            <w:vAlign w:val="center"/>
          </w:tcPr>
          <w:p w14:paraId="2BF45CA4" w14:textId="77777777" w:rsidR="0003277E" w:rsidRPr="00484B46" w:rsidRDefault="0003277E">
            <w:pPr>
              <w:rPr>
                <w:rFonts w:ascii="Public Sans" w:hAnsi="Public Sans"/>
                <w:sz w:val="18"/>
                <w:szCs w:val="18"/>
                <w:vertAlign w:val="superscript"/>
              </w:rPr>
            </w:pPr>
            <w:r w:rsidRPr="00484B46">
              <w:rPr>
                <w:rFonts w:ascii="Public Sans" w:hAnsi="Public Sans" w:cs="Arial"/>
                <w:sz w:val="18"/>
                <w:szCs w:val="18"/>
              </w:rPr>
              <w:t>Interest revenue</w:t>
            </w:r>
            <w:r w:rsidRPr="00484B46">
              <w:rPr>
                <w:rFonts w:ascii="Public Sans" w:hAnsi="Public Sans" w:cs="Arial"/>
                <w:sz w:val="18"/>
                <w:szCs w:val="18"/>
                <w:vertAlign w:val="superscript"/>
              </w:rPr>
              <w:t>(b)</w:t>
            </w:r>
          </w:p>
        </w:tc>
        <w:tc>
          <w:tcPr>
            <w:tcW w:w="996" w:type="dxa"/>
            <w:vAlign w:val="center"/>
          </w:tcPr>
          <w:p w14:paraId="5892D452" w14:textId="136D365C" w:rsidR="0003277E" w:rsidRPr="008C0D9D" w:rsidRDefault="00242AC6">
            <w:pPr>
              <w:ind w:left="-246" w:right="175"/>
              <w:jc w:val="right"/>
              <w:rPr>
                <w:rFonts w:ascii="Public Sans" w:hAnsi="Public Sans" w:cs="Arial"/>
                <w:sz w:val="18"/>
                <w:szCs w:val="18"/>
              </w:rPr>
            </w:pPr>
            <w:r w:rsidRPr="008C0D9D">
              <w:rPr>
                <w:rFonts w:ascii="Public Sans" w:eastAsia="Arial" w:hAnsi="Public Sans" w:cs="Arial"/>
                <w:sz w:val="18"/>
                <w:szCs w:val="18"/>
              </w:rPr>
              <w:t>2.</w:t>
            </w:r>
            <w:r w:rsidR="005011C5" w:rsidRPr="008C0D9D">
              <w:rPr>
                <w:rFonts w:ascii="Public Sans" w:eastAsia="Arial" w:hAnsi="Public Sans" w:cs="Arial"/>
                <w:sz w:val="18"/>
                <w:szCs w:val="18"/>
              </w:rPr>
              <w:t>4</w:t>
            </w:r>
          </w:p>
        </w:tc>
        <w:tc>
          <w:tcPr>
            <w:tcW w:w="992" w:type="dxa"/>
            <w:shd w:val="clear" w:color="auto" w:fill="auto"/>
            <w:vAlign w:val="center"/>
          </w:tcPr>
          <w:p w14:paraId="13E83857" w14:textId="44CD0770" w:rsidR="0003277E" w:rsidRPr="008C0D9D" w:rsidRDefault="00242AC6">
            <w:pPr>
              <w:ind w:left="-246" w:right="175"/>
              <w:jc w:val="right"/>
              <w:rPr>
                <w:rFonts w:ascii="Public Sans" w:hAnsi="Public Sans" w:cs="Arial"/>
                <w:sz w:val="18"/>
                <w:szCs w:val="18"/>
              </w:rPr>
            </w:pPr>
            <w:r w:rsidRPr="008C0D9D">
              <w:rPr>
                <w:rFonts w:ascii="Public Sans" w:eastAsia="Arial" w:hAnsi="Public Sans" w:cs="Arial"/>
                <w:sz w:val="18"/>
                <w:szCs w:val="18"/>
              </w:rPr>
              <w:t>2.6</w:t>
            </w:r>
          </w:p>
        </w:tc>
        <w:tc>
          <w:tcPr>
            <w:tcW w:w="993" w:type="dxa"/>
            <w:shd w:val="clear" w:color="auto" w:fill="auto"/>
            <w:vAlign w:val="center"/>
          </w:tcPr>
          <w:p w14:paraId="4EC62052" w14:textId="10DBD850" w:rsidR="0003277E" w:rsidRPr="008C0D9D" w:rsidRDefault="00242AC6">
            <w:pPr>
              <w:ind w:left="-246" w:right="175"/>
              <w:jc w:val="right"/>
              <w:rPr>
                <w:rFonts w:ascii="Public Sans" w:hAnsi="Public Sans" w:cs="Arial"/>
                <w:sz w:val="18"/>
                <w:szCs w:val="18"/>
              </w:rPr>
            </w:pPr>
            <w:r w:rsidRPr="008C0D9D">
              <w:rPr>
                <w:rFonts w:ascii="Public Sans" w:eastAsia="Arial" w:hAnsi="Public Sans" w:cs="Arial"/>
                <w:sz w:val="18"/>
                <w:szCs w:val="18"/>
              </w:rPr>
              <w:t>2.</w:t>
            </w:r>
            <w:r w:rsidR="005011C5" w:rsidRPr="008C0D9D">
              <w:rPr>
                <w:rFonts w:ascii="Public Sans" w:eastAsia="Arial" w:hAnsi="Public Sans" w:cs="Arial"/>
                <w:sz w:val="18"/>
                <w:szCs w:val="18"/>
              </w:rPr>
              <w:t>7</w:t>
            </w:r>
          </w:p>
        </w:tc>
        <w:tc>
          <w:tcPr>
            <w:tcW w:w="992" w:type="dxa"/>
            <w:shd w:val="clear" w:color="auto" w:fill="auto"/>
            <w:vAlign w:val="center"/>
          </w:tcPr>
          <w:p w14:paraId="21D2C4E7" w14:textId="503708D7" w:rsidR="0003277E" w:rsidRPr="008C0D9D" w:rsidRDefault="00242AC6">
            <w:pPr>
              <w:ind w:left="-246" w:right="175"/>
              <w:jc w:val="right"/>
              <w:rPr>
                <w:rFonts w:ascii="Public Sans" w:hAnsi="Public Sans" w:cs="Arial"/>
                <w:sz w:val="18"/>
                <w:szCs w:val="18"/>
              </w:rPr>
            </w:pPr>
            <w:r w:rsidRPr="008C0D9D">
              <w:rPr>
                <w:rFonts w:ascii="Public Sans" w:eastAsia="Arial" w:hAnsi="Public Sans" w:cs="Arial"/>
                <w:sz w:val="18"/>
                <w:szCs w:val="18"/>
              </w:rPr>
              <w:t>2.</w:t>
            </w:r>
            <w:r w:rsidR="005011C5" w:rsidRPr="008C0D9D">
              <w:rPr>
                <w:rFonts w:ascii="Public Sans" w:eastAsia="Arial" w:hAnsi="Public Sans" w:cs="Arial"/>
                <w:sz w:val="18"/>
                <w:szCs w:val="18"/>
              </w:rPr>
              <w:t>6</w:t>
            </w:r>
          </w:p>
        </w:tc>
        <w:tc>
          <w:tcPr>
            <w:tcW w:w="1983" w:type="dxa"/>
            <w:vMerge/>
            <w:tcBorders>
              <w:bottom w:val="single" w:sz="4" w:space="0" w:color="auto"/>
            </w:tcBorders>
          </w:tcPr>
          <w:p w14:paraId="2DD8A6F7" w14:textId="77777777" w:rsidR="0003277E" w:rsidRPr="00484B46" w:rsidRDefault="0003277E">
            <w:pPr>
              <w:rPr>
                <w:rFonts w:ascii="Public Sans" w:hAnsi="Public Sans"/>
                <w:sz w:val="18"/>
                <w:szCs w:val="18"/>
              </w:rPr>
            </w:pPr>
          </w:p>
        </w:tc>
      </w:tr>
      <w:tr w:rsidR="0003277E" w:rsidRPr="00484B46" w14:paraId="79D94946" w14:textId="77777777">
        <w:trPr>
          <w:trHeight w:val="283"/>
        </w:trPr>
        <w:tc>
          <w:tcPr>
            <w:tcW w:w="3683" w:type="dxa"/>
            <w:tcBorders>
              <w:bottom w:val="single" w:sz="4" w:space="0" w:color="auto"/>
            </w:tcBorders>
            <w:shd w:val="clear" w:color="auto" w:fill="auto"/>
            <w:vAlign w:val="center"/>
          </w:tcPr>
          <w:p w14:paraId="29E52932" w14:textId="77777777" w:rsidR="0003277E" w:rsidRPr="00484B46" w:rsidRDefault="0003277E">
            <w:pPr>
              <w:rPr>
                <w:rFonts w:ascii="Public Sans" w:hAnsi="Public Sans"/>
                <w:strike/>
                <w:sz w:val="18"/>
                <w:szCs w:val="18"/>
                <w:vertAlign w:val="superscript"/>
              </w:rPr>
            </w:pPr>
            <w:r w:rsidRPr="00484B46">
              <w:rPr>
                <w:rFonts w:ascii="Public Sans" w:hAnsi="Public Sans" w:cs="Arial"/>
                <w:sz w:val="18"/>
                <w:szCs w:val="18"/>
              </w:rPr>
              <w:t>Interest expenses</w:t>
            </w:r>
            <w:r w:rsidRPr="00484B46">
              <w:rPr>
                <w:rFonts w:ascii="Public Sans" w:hAnsi="Public Sans" w:cs="Arial"/>
                <w:sz w:val="18"/>
                <w:szCs w:val="18"/>
                <w:vertAlign w:val="superscript"/>
              </w:rPr>
              <w:t>(b)</w:t>
            </w:r>
          </w:p>
        </w:tc>
        <w:tc>
          <w:tcPr>
            <w:tcW w:w="996" w:type="dxa"/>
            <w:tcBorders>
              <w:bottom w:val="single" w:sz="4" w:space="0" w:color="auto"/>
            </w:tcBorders>
            <w:vAlign w:val="center"/>
          </w:tcPr>
          <w:p w14:paraId="576A197C" w14:textId="64D6DA1A" w:rsidR="0003277E" w:rsidRPr="008E0FD0" w:rsidRDefault="0003277E">
            <w:pPr>
              <w:ind w:left="-246" w:right="175"/>
              <w:jc w:val="right"/>
              <w:rPr>
                <w:rFonts w:ascii="Public Sans" w:eastAsia="Arial" w:hAnsi="Public Sans" w:cs="Arial"/>
                <w:sz w:val="18"/>
                <w:szCs w:val="18"/>
              </w:rPr>
            </w:pPr>
            <w:r w:rsidRPr="008E0FD0">
              <w:rPr>
                <w:rFonts w:ascii="Public Sans" w:eastAsia="Arial" w:hAnsi="Public Sans" w:cs="Arial"/>
                <w:sz w:val="18"/>
                <w:szCs w:val="18"/>
              </w:rPr>
              <w:t>(2</w:t>
            </w:r>
            <w:r w:rsidR="00342F54">
              <w:rPr>
                <w:rFonts w:ascii="Public Sans" w:eastAsia="Arial" w:hAnsi="Public Sans" w:cs="Arial"/>
                <w:sz w:val="18"/>
                <w:szCs w:val="18"/>
              </w:rPr>
              <w:t>27.2</w:t>
            </w:r>
            <w:r w:rsidRPr="008E0FD0">
              <w:rPr>
                <w:rFonts w:ascii="Public Sans" w:eastAsia="Arial" w:hAnsi="Public Sans" w:cs="Arial"/>
                <w:sz w:val="18"/>
                <w:szCs w:val="18"/>
              </w:rPr>
              <w:t>)</w:t>
            </w:r>
          </w:p>
        </w:tc>
        <w:tc>
          <w:tcPr>
            <w:tcW w:w="992" w:type="dxa"/>
            <w:tcBorders>
              <w:bottom w:val="single" w:sz="4" w:space="0" w:color="auto"/>
            </w:tcBorders>
            <w:shd w:val="clear" w:color="auto" w:fill="FFFFFF" w:themeFill="background1"/>
            <w:vAlign w:val="center"/>
          </w:tcPr>
          <w:p w14:paraId="1C609E57" w14:textId="40A396CB" w:rsidR="0003277E" w:rsidRPr="008E0FD0" w:rsidRDefault="0003277E">
            <w:pPr>
              <w:ind w:left="-246" w:right="175"/>
              <w:jc w:val="right"/>
              <w:rPr>
                <w:rFonts w:ascii="Public Sans" w:eastAsia="Arial" w:hAnsi="Public Sans" w:cs="Arial"/>
                <w:sz w:val="18"/>
                <w:szCs w:val="18"/>
              </w:rPr>
            </w:pPr>
            <w:r w:rsidRPr="008E0FD0">
              <w:rPr>
                <w:rFonts w:ascii="Public Sans" w:eastAsia="Arial" w:hAnsi="Public Sans" w:cs="Arial"/>
                <w:sz w:val="18"/>
                <w:szCs w:val="18"/>
              </w:rPr>
              <w:t>(3</w:t>
            </w:r>
            <w:r w:rsidR="00342F54">
              <w:rPr>
                <w:rFonts w:ascii="Public Sans" w:eastAsia="Arial" w:hAnsi="Public Sans" w:cs="Arial"/>
                <w:sz w:val="18"/>
                <w:szCs w:val="18"/>
              </w:rPr>
              <w:t>66.7</w:t>
            </w:r>
            <w:r w:rsidRPr="008E0FD0">
              <w:rPr>
                <w:rFonts w:ascii="Public Sans" w:eastAsia="Arial" w:hAnsi="Public Sans" w:cs="Arial"/>
                <w:sz w:val="18"/>
                <w:szCs w:val="18"/>
              </w:rPr>
              <w:t>)</w:t>
            </w:r>
          </w:p>
        </w:tc>
        <w:tc>
          <w:tcPr>
            <w:tcW w:w="993" w:type="dxa"/>
            <w:tcBorders>
              <w:bottom w:val="single" w:sz="4" w:space="0" w:color="auto"/>
            </w:tcBorders>
            <w:shd w:val="clear" w:color="auto" w:fill="FFFFFF" w:themeFill="background1"/>
            <w:vAlign w:val="center"/>
          </w:tcPr>
          <w:p w14:paraId="41A71F7C" w14:textId="1BDCFB4E" w:rsidR="0003277E" w:rsidRPr="008E0FD0" w:rsidRDefault="0003277E">
            <w:pPr>
              <w:ind w:left="-246" w:right="175"/>
              <w:jc w:val="right"/>
              <w:rPr>
                <w:rFonts w:ascii="Public Sans" w:eastAsia="Arial" w:hAnsi="Public Sans" w:cs="Arial"/>
                <w:sz w:val="18"/>
                <w:szCs w:val="18"/>
              </w:rPr>
            </w:pPr>
            <w:r w:rsidRPr="008E0FD0">
              <w:rPr>
                <w:rFonts w:ascii="Public Sans" w:eastAsia="Arial" w:hAnsi="Public Sans" w:cs="Arial"/>
                <w:sz w:val="18"/>
                <w:szCs w:val="18"/>
              </w:rPr>
              <w:t>(5</w:t>
            </w:r>
            <w:r w:rsidR="002D3B6C">
              <w:rPr>
                <w:rFonts w:ascii="Public Sans" w:eastAsia="Arial" w:hAnsi="Public Sans" w:cs="Arial"/>
                <w:sz w:val="18"/>
                <w:szCs w:val="18"/>
              </w:rPr>
              <w:t>40</w:t>
            </w:r>
            <w:r w:rsidRPr="008E0FD0">
              <w:rPr>
                <w:rFonts w:ascii="Public Sans" w:eastAsia="Arial" w:hAnsi="Public Sans" w:cs="Arial"/>
                <w:sz w:val="18"/>
                <w:szCs w:val="18"/>
              </w:rPr>
              <w:t>.3)</w:t>
            </w:r>
          </w:p>
        </w:tc>
        <w:tc>
          <w:tcPr>
            <w:tcW w:w="992" w:type="dxa"/>
            <w:tcBorders>
              <w:bottom w:val="single" w:sz="4" w:space="0" w:color="auto"/>
            </w:tcBorders>
            <w:shd w:val="clear" w:color="auto" w:fill="FFFFFF" w:themeFill="background1"/>
            <w:vAlign w:val="center"/>
          </w:tcPr>
          <w:p w14:paraId="436FB482" w14:textId="170198C5" w:rsidR="0003277E" w:rsidRPr="008E0FD0" w:rsidRDefault="0003277E">
            <w:pPr>
              <w:ind w:left="-246" w:right="175"/>
              <w:jc w:val="right"/>
              <w:rPr>
                <w:rFonts w:ascii="Public Sans" w:eastAsia="Arial" w:hAnsi="Public Sans" w:cs="Arial"/>
                <w:sz w:val="18"/>
                <w:szCs w:val="18"/>
              </w:rPr>
            </w:pPr>
            <w:r w:rsidRPr="008E0FD0">
              <w:rPr>
                <w:rFonts w:ascii="Public Sans" w:eastAsia="Arial" w:hAnsi="Public Sans" w:cs="Arial"/>
                <w:sz w:val="18"/>
                <w:szCs w:val="18"/>
              </w:rPr>
              <w:t>(7</w:t>
            </w:r>
            <w:r w:rsidR="002D3B6C">
              <w:rPr>
                <w:rFonts w:ascii="Public Sans" w:eastAsia="Arial" w:hAnsi="Public Sans" w:cs="Arial"/>
                <w:sz w:val="18"/>
                <w:szCs w:val="18"/>
              </w:rPr>
              <w:t>38</w:t>
            </w:r>
            <w:r w:rsidRPr="008E0FD0">
              <w:rPr>
                <w:rFonts w:ascii="Public Sans" w:eastAsia="Arial" w:hAnsi="Public Sans" w:cs="Arial"/>
                <w:sz w:val="18"/>
                <w:szCs w:val="18"/>
              </w:rPr>
              <w:t>.6)</w:t>
            </w:r>
          </w:p>
        </w:tc>
        <w:tc>
          <w:tcPr>
            <w:tcW w:w="1983" w:type="dxa"/>
            <w:vMerge/>
            <w:tcBorders>
              <w:bottom w:val="single" w:sz="4" w:space="0" w:color="auto"/>
            </w:tcBorders>
          </w:tcPr>
          <w:p w14:paraId="2F6CBE9D" w14:textId="77777777" w:rsidR="0003277E" w:rsidRPr="00484B46" w:rsidRDefault="0003277E">
            <w:pPr>
              <w:rPr>
                <w:rFonts w:ascii="Public Sans" w:hAnsi="Public Sans"/>
                <w:sz w:val="18"/>
                <w:szCs w:val="18"/>
              </w:rPr>
            </w:pPr>
          </w:p>
        </w:tc>
      </w:tr>
    </w:tbl>
    <w:p w14:paraId="55F849B1" w14:textId="77777777" w:rsidR="00650CF8" w:rsidRPr="006E5A91" w:rsidRDefault="00650CF8" w:rsidP="0003277E">
      <w:pPr>
        <w:rPr>
          <w:rFonts w:eastAsia="Calibri"/>
          <w:sz w:val="4"/>
          <w:szCs w:val="4"/>
          <w:lang w:val="en-AU"/>
        </w:rPr>
      </w:pPr>
    </w:p>
    <w:p w14:paraId="2545F324" w14:textId="5F0C5662" w:rsidR="00650CF8" w:rsidRPr="00774C01" w:rsidRDefault="00650CF8" w:rsidP="00674B22">
      <w:pPr>
        <w:pStyle w:val="ListParagraph"/>
        <w:numPr>
          <w:ilvl w:val="0"/>
          <w:numId w:val="1"/>
        </w:numPr>
        <w:ind w:left="357" w:hanging="357"/>
        <w:contextualSpacing w:val="0"/>
        <w:rPr>
          <w:rFonts w:ascii="Public Sans" w:hAnsi="Public Sans" w:cs="Arial"/>
          <w:sz w:val="17"/>
          <w:szCs w:val="17"/>
        </w:rPr>
      </w:pPr>
      <w:r w:rsidRPr="00774C01">
        <w:rPr>
          <w:rFonts w:ascii="Public Sans" w:hAnsi="Public Sans" w:cs="Arial"/>
          <w:sz w:val="17"/>
          <w:szCs w:val="17"/>
        </w:rPr>
        <w:t>A single percentage point increase in the expected investment rate of return (NIFF, SAHF, NGF and SHLF only).</w:t>
      </w:r>
    </w:p>
    <w:p w14:paraId="078D62EE" w14:textId="77777777" w:rsidR="00650CF8" w:rsidRPr="00774C01" w:rsidRDefault="00650CF8" w:rsidP="00674B22">
      <w:pPr>
        <w:numPr>
          <w:ilvl w:val="0"/>
          <w:numId w:val="1"/>
        </w:numPr>
        <w:ind w:left="357" w:hanging="357"/>
        <w:rPr>
          <w:rFonts w:ascii="Public Sans" w:hAnsi="Public Sans" w:cs="Arial"/>
          <w:sz w:val="17"/>
          <w:szCs w:val="17"/>
        </w:rPr>
      </w:pPr>
      <w:r w:rsidRPr="00774C01">
        <w:rPr>
          <w:rFonts w:ascii="Public Sans" w:hAnsi="Public Sans" w:cs="Arial"/>
          <w:sz w:val="17"/>
          <w:szCs w:val="17"/>
        </w:rPr>
        <w:t>A single percentage point increase in interest rates.</w:t>
      </w:r>
    </w:p>
    <w:p w14:paraId="16B30673" w14:textId="33324766" w:rsidR="00650CF8" w:rsidRPr="00AC5EA0" w:rsidRDefault="00650CF8" w:rsidP="00570DA4">
      <w:pPr>
        <w:pStyle w:val="B1Heading2"/>
      </w:pPr>
      <w:r w:rsidRPr="61B12E0D">
        <w:t>Balance sheet risks and sensitivities</w:t>
      </w:r>
    </w:p>
    <w:p w14:paraId="1D96509B" w14:textId="77777777" w:rsidR="00D74315" w:rsidRPr="00026BBD" w:rsidRDefault="00D74315" w:rsidP="00014449">
      <w:pPr>
        <w:pStyle w:val="BodyText"/>
      </w:pPr>
      <w:r w:rsidRPr="00026BBD">
        <w:t xml:space="preserve">Risks to the </w:t>
      </w:r>
      <w:r w:rsidRPr="00026BBD" w:rsidDel="00936045">
        <w:t>S</w:t>
      </w:r>
      <w:r w:rsidRPr="00026BBD">
        <w:t>tate’s balance sheet include unanticipated changes:</w:t>
      </w:r>
    </w:p>
    <w:p w14:paraId="2A9F17A3" w14:textId="77777777" w:rsidR="00D74315" w:rsidRPr="00026BBD" w:rsidRDefault="00D74315" w:rsidP="0030746D">
      <w:pPr>
        <w:pStyle w:val="Bullet2"/>
        <w:numPr>
          <w:ilvl w:val="0"/>
          <w:numId w:val="89"/>
        </w:numPr>
        <w:ind w:left="284" w:hanging="284"/>
      </w:pPr>
      <w:r>
        <w:t xml:space="preserve">to the value of existing assets and liabilities (those already on the balance sheet) </w:t>
      </w:r>
    </w:p>
    <w:p w14:paraId="345A8D13" w14:textId="77777777" w:rsidR="00D74315" w:rsidRPr="00026BBD" w:rsidRDefault="00D74315" w:rsidP="0030746D">
      <w:pPr>
        <w:pStyle w:val="Bullet2"/>
        <w:numPr>
          <w:ilvl w:val="0"/>
          <w:numId w:val="89"/>
        </w:numPr>
        <w:ind w:left="284" w:hanging="284"/>
      </w:pPr>
      <w:r>
        <w:t>from the potential recognition of contingent assets and liabilities (those not shown on the balance sheet as the accounting recognition criteria are not yet met).</w:t>
      </w:r>
    </w:p>
    <w:p w14:paraId="10E2E8F9" w14:textId="406E7D48" w:rsidR="00D74315" w:rsidRPr="00B84DDF" w:rsidRDefault="00D74315" w:rsidP="00014449">
      <w:pPr>
        <w:pStyle w:val="BodyText"/>
        <w:rPr>
          <w:lang w:eastAsia="en-AU"/>
        </w:rPr>
      </w:pPr>
      <w:r w:rsidRPr="00B84DDF">
        <w:rPr>
          <w:lang w:eastAsia="en-AU"/>
        </w:rPr>
        <w:t xml:space="preserve">The risks and performance of funds are monitored closely, with risk appetites and </w:t>
      </w:r>
      <w:r w:rsidR="002E6B9C" w:rsidRPr="002E6B9C">
        <w:rPr>
          <w:lang w:eastAsia="en-AU"/>
        </w:rPr>
        <w:t>investment</w:t>
      </w:r>
      <w:r w:rsidRPr="00B84DDF">
        <w:rPr>
          <w:lang w:eastAsia="en-AU"/>
        </w:rPr>
        <w:t xml:space="preserve"> strategies reviewed annually to ensure they remain appropriate.</w:t>
      </w:r>
    </w:p>
    <w:p w14:paraId="6C104E7A" w14:textId="77777777" w:rsidR="00D74315" w:rsidRPr="00B84DDF" w:rsidRDefault="00D74315" w:rsidP="00014449">
      <w:pPr>
        <w:pStyle w:val="BodyText"/>
      </w:pPr>
      <w:r w:rsidRPr="00B84DDF">
        <w:t xml:space="preserve">Liabilities for defined benefit superannuation and long service leave are estimated with reference to a range of factors, including but not limited to assumed rates of investment returns, salary growth, </w:t>
      </w:r>
      <w:proofErr w:type="gramStart"/>
      <w:r w:rsidRPr="00B84DDF">
        <w:t>inflation</w:t>
      </w:r>
      <w:proofErr w:type="gramEnd"/>
      <w:r w:rsidRPr="00B84DDF">
        <w:t xml:space="preserve"> and discount rates. </w:t>
      </w:r>
    </w:p>
    <w:p w14:paraId="3B40B8FA" w14:textId="67F37EF4" w:rsidR="00570DA4" w:rsidRPr="00F32C6C" w:rsidRDefault="00D74315" w:rsidP="00014449">
      <w:pPr>
        <w:pStyle w:val="BodyText"/>
        <w:rPr>
          <w:iCs/>
        </w:rPr>
      </w:pPr>
      <w:r w:rsidRPr="00B84DDF">
        <w:t xml:space="preserve">The </w:t>
      </w:r>
      <w:r w:rsidRPr="00B84DDF" w:rsidDel="00936045">
        <w:t>S</w:t>
      </w:r>
      <w:r w:rsidRPr="00B84DDF">
        <w:t xml:space="preserve">tate </w:t>
      </w:r>
      <w:r>
        <w:t xml:space="preserve">also </w:t>
      </w:r>
      <w:r w:rsidRPr="00B84DDF">
        <w:t>faces potential obligations that are non-quantifiable, but which can be broadly grouped into commercial transactions</w:t>
      </w:r>
      <w:r w:rsidRPr="00B84DDF">
        <w:rPr>
          <w:rFonts w:eastAsia="SymbolMT"/>
        </w:rPr>
        <w:t xml:space="preserve"> </w:t>
      </w:r>
      <w:r w:rsidRPr="00B84DDF">
        <w:t xml:space="preserve">and other contingent liabilities. </w:t>
      </w:r>
      <w:r>
        <w:t xml:space="preserve">For </w:t>
      </w:r>
      <w:r w:rsidRPr="00B84DDF">
        <w:t xml:space="preserve">example, the Government provided limited general warranties to purchasers and lessees under several energy transactions and retained responsibility for </w:t>
      </w:r>
      <w:r>
        <w:t xml:space="preserve">remediation </w:t>
      </w:r>
      <w:r w:rsidRPr="00B84DDF">
        <w:t xml:space="preserve">costs associated </w:t>
      </w:r>
      <w:r>
        <w:t xml:space="preserve">with </w:t>
      </w:r>
      <w:r>
        <w:br/>
      </w:r>
      <w:r w:rsidRPr="00B84DDF">
        <w:t>pre-existing contamination at several power station sites.</w:t>
      </w:r>
    </w:p>
    <w:p w14:paraId="001F3E69" w14:textId="77777777" w:rsidR="00650CF8" w:rsidRDefault="00650CF8" w:rsidP="00650CF8">
      <w:pPr>
        <w:pStyle w:val="Heading3"/>
      </w:pPr>
      <w:r>
        <w:t>Investments</w:t>
      </w:r>
    </w:p>
    <w:p w14:paraId="165A4304" w14:textId="492D6D45" w:rsidR="00B64F00" w:rsidRDefault="00B64F00" w:rsidP="00014449">
      <w:pPr>
        <w:pStyle w:val="BodyText"/>
      </w:pPr>
      <w:r>
        <w:t xml:space="preserve">The State has several investment funds managed by TCorp, including the NSW Generations Fund (NGF), the NSW Infrastructure Future Fund (NIFF), the Social and Affordable Housing Fund (SAHF), the Snowy Hydro Legacy Fund (SHLF), and the Treasury Managed Fund (TMF). </w:t>
      </w:r>
      <w:r w:rsidR="00D63344" w:rsidRPr="00D63344">
        <w:t>Under current</w:t>
      </w:r>
      <w:r>
        <w:t xml:space="preserve"> governance arrangements, NSW Treasury recommends the risk appetite and/or investment strategy to Treasury’s Asset and Liability Committee (ALCO) for endorsement. ALCO then recommends the risk appetite and investment strategy to the Treasury Secretary (as the Treasurer’s delegate), or the Treasurer, as required.</w:t>
      </w:r>
    </w:p>
    <w:p w14:paraId="1FC9B431" w14:textId="10EFD627" w:rsidR="000F7DA2" w:rsidRDefault="00FB62F9" w:rsidP="00014449">
      <w:pPr>
        <w:pStyle w:val="BodyText"/>
      </w:pPr>
      <w:r w:rsidRPr="007D0E35">
        <w:t xml:space="preserve">These funds have varying levels of exposure to growth assets (assets with higher levels of risk). The NIFF, for instance, has a relatively small allocation to equities (at around 15 per cent) and keeps </w:t>
      </w:r>
      <w:r>
        <w:t>most</w:t>
      </w:r>
      <w:r w:rsidRPr="007D0E35">
        <w:t xml:space="preserve"> of its portfolio in liquid </w:t>
      </w:r>
      <w:r>
        <w:t xml:space="preserve">investments such as </w:t>
      </w:r>
      <w:r w:rsidRPr="007D0E35">
        <w:t>cash and bonds, which are defensive assets, so it can meet the State’s short to medium-term infrastructure expenditure. On the other hand, the NGF has a high allocation of growth assets because of its long-term investment horizon, with about 40 per cent of its portfolio invested in Australian and internationally listed shares. This is in line with its strategic policy objective of helping ease the debt burden on the State’s future generations.</w:t>
      </w:r>
    </w:p>
    <w:p w14:paraId="18127712" w14:textId="77777777" w:rsidR="00D63344" w:rsidRDefault="00D63344" w:rsidP="00014449">
      <w:pPr>
        <w:pStyle w:val="BodyText"/>
      </w:pPr>
      <w:r w:rsidRPr="00D63344">
        <w:t>The Government recently announced it is reviewing the way in which its investment funds are managed, with a view to doing so more efficiently.</w:t>
      </w:r>
    </w:p>
    <w:p w14:paraId="5AAB7BB4" w14:textId="77777777" w:rsidR="00883734" w:rsidRPr="00D63344" w:rsidRDefault="00883734" w:rsidP="00014449">
      <w:pPr>
        <w:pStyle w:val="BodyText"/>
      </w:pPr>
    </w:p>
    <w:p w14:paraId="176EBB05" w14:textId="17AA6589" w:rsidR="00D63344" w:rsidRPr="00D63344" w:rsidRDefault="00D63344" w:rsidP="00014449">
      <w:pPr>
        <w:pStyle w:val="BodyText"/>
      </w:pPr>
      <w:r w:rsidRPr="00D63344">
        <w:lastRenderedPageBreak/>
        <w:t xml:space="preserve">Under the </w:t>
      </w:r>
      <w:r w:rsidRPr="00D63344">
        <w:rPr>
          <w:i/>
          <w:iCs/>
        </w:rPr>
        <w:t>NSW Generations Funds Act 2018</w:t>
      </w:r>
      <w:r w:rsidRPr="00D63344">
        <w:t>, funds in the NGF can only be directed towards the repayment of State debt. Fitch and Moody’s recognise the balance of the NGF Debt Retirement Fund as an offset to the State’s debt metrics, while S&amp;P Global reduce the offset amount in line with 50 per cent of the NGF equity holdings. Accordingly, market volatility that impacts the balance of the NGF carries additional risks to the State’s debt metrics. NSW Treasury manages this risk through the NGF</w:t>
      </w:r>
      <w:r w:rsidR="00F20F05">
        <w:t>’s</w:t>
      </w:r>
      <w:r w:rsidRPr="00D63344">
        <w:t xml:space="preserve"> investment strategy (the mix of assets it is invested in) which remains aligned to a long-term investment horizon. The NGF is invested in a diverse range of assets including domestic and international equities, bonds, </w:t>
      </w:r>
      <w:proofErr w:type="gramStart"/>
      <w:r w:rsidRPr="00D63344">
        <w:t>property</w:t>
      </w:r>
      <w:proofErr w:type="gramEnd"/>
      <w:r w:rsidRPr="00D63344">
        <w:t xml:space="preserve"> and infrastructure. </w:t>
      </w:r>
    </w:p>
    <w:p w14:paraId="3A3D8874" w14:textId="2EA32A41" w:rsidR="00113B87" w:rsidRPr="00B81463" w:rsidRDefault="00B64F00" w:rsidP="00014449">
      <w:pPr>
        <w:pStyle w:val="BodyText"/>
        <w:rPr>
          <w:rFonts w:eastAsia="Arial Bold"/>
        </w:rPr>
      </w:pPr>
      <w:r>
        <w:t>During this period of ongoing increased uncertainty, NSW Treasury continues to work alongside TCorp to closely monitor and manage the risk exposures of the State’s investment funds.</w:t>
      </w:r>
    </w:p>
    <w:p w14:paraId="4D65505A" w14:textId="10DAF033" w:rsidR="00650CF8" w:rsidRPr="006B43FD" w:rsidRDefault="00650CF8" w:rsidP="00650CF8">
      <w:pPr>
        <w:pStyle w:val="Heading3"/>
        <w:rPr>
          <w:rFonts w:asciiTheme="minorHAnsi" w:eastAsiaTheme="minorEastAsia" w:hAnsiTheme="minorHAnsi" w:cstheme="minorBidi"/>
          <w:sz w:val="23"/>
          <w:szCs w:val="23"/>
        </w:rPr>
      </w:pPr>
      <w:r w:rsidRPr="61B12E0D">
        <w:rPr>
          <w:rFonts w:eastAsia="Arial Bold"/>
        </w:rPr>
        <w:t>Superannuation</w:t>
      </w:r>
      <w:r w:rsidRPr="61B12E0D">
        <w:rPr>
          <w:rFonts w:eastAsia="Arial Bold" w:cs="Arial Bold"/>
        </w:rPr>
        <w:t xml:space="preserve"> and long service leave liabilities</w:t>
      </w:r>
    </w:p>
    <w:p w14:paraId="7C918750" w14:textId="256A4C2E" w:rsidR="00570DA4" w:rsidRDefault="00E055A6" w:rsidP="00014449">
      <w:pPr>
        <w:pStyle w:val="BodyText"/>
      </w:pPr>
      <w:r w:rsidRPr="00E055A6">
        <w:t>Forecast liabilities for superannuation and long service leave are based on a wide range of parameters. These include assumptions around salary growth, inflation, investment returns and discount rates. A change in any of these parameters may affect the valuation of the liabilities for superannuation and long service leave. The long service leave liability is also subject to variations in the rate of employee retention.</w:t>
      </w:r>
    </w:p>
    <w:p w14:paraId="1AF04004" w14:textId="1468091C" w:rsidR="00650CF8" w:rsidRPr="008446E1" w:rsidRDefault="00650CF8" w:rsidP="008446E1">
      <w:pPr>
        <w:pStyle w:val="TableBX"/>
      </w:pPr>
      <w:r>
        <w:t>Superannuation liabilities sensitivities</w:t>
      </w:r>
      <w:r w:rsidRPr="008446E1">
        <w:rPr>
          <w:vertAlign w:val="superscript"/>
        </w:rPr>
        <w:t>(a)</w:t>
      </w: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B.8: Superannuation liabilities sensitivities"/>
        <w:tblDescription w:val="Table B.8: Superannuation liabilities sensitivities"/>
      </w:tblPr>
      <w:tblGrid>
        <w:gridCol w:w="3914"/>
        <w:gridCol w:w="1018"/>
        <w:gridCol w:w="1014"/>
        <w:gridCol w:w="1015"/>
        <w:gridCol w:w="1015"/>
        <w:gridCol w:w="1879"/>
      </w:tblGrid>
      <w:tr w:rsidR="00C31C4B" w:rsidRPr="000D5B9F" w14:paraId="273BFEA4" w14:textId="77777777">
        <w:trPr>
          <w:trHeight w:val="300"/>
        </w:trPr>
        <w:tc>
          <w:tcPr>
            <w:tcW w:w="3914" w:type="dxa"/>
            <w:vMerge w:val="restart"/>
            <w:shd w:val="clear" w:color="auto" w:fill="EBEBEB"/>
            <w:vAlign w:val="center"/>
          </w:tcPr>
          <w:p w14:paraId="0CF58535" w14:textId="77777777" w:rsidR="00C31C4B" w:rsidRPr="000D5B9F" w:rsidRDefault="00C31C4B">
            <w:pPr>
              <w:rPr>
                <w:rFonts w:ascii="Public Sans" w:hAnsi="Public Sans" w:cs="Arial"/>
                <w:sz w:val="18"/>
                <w:szCs w:val="18"/>
                <w:vertAlign w:val="superscript"/>
                <w:lang w:eastAsia="en-AU"/>
              </w:rPr>
            </w:pPr>
            <w:r w:rsidRPr="000D5B9F">
              <w:rPr>
                <w:rFonts w:ascii="Public Sans" w:hAnsi="Public Sans" w:cs="Arial"/>
                <w:sz w:val="18"/>
                <w:szCs w:val="18"/>
                <w:lang w:eastAsia="en-AU"/>
              </w:rPr>
              <w:t>Factors affecting superannuation liabilities</w:t>
            </w:r>
            <w:r w:rsidRPr="000D5B9F">
              <w:rPr>
                <w:rFonts w:ascii="Public Sans" w:hAnsi="Public Sans" w:cs="Arial"/>
                <w:sz w:val="18"/>
                <w:szCs w:val="18"/>
                <w:vertAlign w:val="superscript"/>
                <w:lang w:eastAsia="en-AU"/>
              </w:rPr>
              <w:t>(b)</w:t>
            </w:r>
          </w:p>
        </w:tc>
        <w:tc>
          <w:tcPr>
            <w:tcW w:w="1018" w:type="dxa"/>
            <w:shd w:val="clear" w:color="auto" w:fill="EBEBEB"/>
            <w:vAlign w:val="bottom"/>
          </w:tcPr>
          <w:p w14:paraId="4203EEE9" w14:textId="77777777" w:rsidR="00C31C4B" w:rsidRPr="000D5B9F" w:rsidRDefault="00C31C4B">
            <w:pPr>
              <w:jc w:val="center"/>
              <w:rPr>
                <w:rFonts w:ascii="Public Sans" w:hAnsi="Public Sans" w:cs="Arial"/>
                <w:sz w:val="18"/>
                <w:szCs w:val="18"/>
                <w:lang w:eastAsia="en-AU"/>
              </w:rPr>
            </w:pPr>
            <w:r w:rsidRPr="000D5B9F">
              <w:rPr>
                <w:rFonts w:ascii="Public Sans" w:eastAsia="Arial" w:hAnsi="Public Sans" w:cs="Arial"/>
                <w:sz w:val="18"/>
                <w:szCs w:val="18"/>
              </w:rPr>
              <w:t>2023-24</w:t>
            </w:r>
          </w:p>
        </w:tc>
        <w:tc>
          <w:tcPr>
            <w:tcW w:w="1014" w:type="dxa"/>
            <w:shd w:val="clear" w:color="auto" w:fill="EBEBEB"/>
            <w:vAlign w:val="bottom"/>
          </w:tcPr>
          <w:p w14:paraId="2BF14460" w14:textId="77777777" w:rsidR="00C31C4B" w:rsidRPr="000D5B9F" w:rsidRDefault="00C31C4B">
            <w:pPr>
              <w:jc w:val="center"/>
              <w:rPr>
                <w:rFonts w:ascii="Public Sans" w:hAnsi="Public Sans" w:cs="Arial"/>
                <w:sz w:val="18"/>
                <w:szCs w:val="18"/>
                <w:lang w:eastAsia="en-AU"/>
              </w:rPr>
            </w:pPr>
            <w:r w:rsidRPr="000D5B9F">
              <w:rPr>
                <w:rFonts w:ascii="Public Sans" w:eastAsia="Arial" w:hAnsi="Public Sans" w:cs="Arial"/>
                <w:sz w:val="18"/>
                <w:szCs w:val="18"/>
              </w:rPr>
              <w:t>2024-25</w:t>
            </w:r>
          </w:p>
        </w:tc>
        <w:tc>
          <w:tcPr>
            <w:tcW w:w="1015" w:type="dxa"/>
            <w:shd w:val="clear" w:color="auto" w:fill="EBEBEB"/>
            <w:vAlign w:val="bottom"/>
          </w:tcPr>
          <w:p w14:paraId="61D8E7A5" w14:textId="77777777" w:rsidR="00C31C4B" w:rsidRPr="000D5B9F" w:rsidRDefault="00C31C4B">
            <w:pPr>
              <w:jc w:val="center"/>
              <w:rPr>
                <w:rFonts w:ascii="Public Sans" w:hAnsi="Public Sans" w:cs="Arial"/>
                <w:sz w:val="18"/>
                <w:szCs w:val="18"/>
                <w:lang w:eastAsia="en-AU"/>
              </w:rPr>
            </w:pPr>
            <w:r w:rsidRPr="000D5B9F">
              <w:rPr>
                <w:rFonts w:ascii="Public Sans" w:eastAsia="Arial" w:hAnsi="Public Sans" w:cs="Arial"/>
                <w:sz w:val="18"/>
                <w:szCs w:val="18"/>
              </w:rPr>
              <w:t>2025-26</w:t>
            </w:r>
          </w:p>
        </w:tc>
        <w:tc>
          <w:tcPr>
            <w:tcW w:w="1015" w:type="dxa"/>
            <w:shd w:val="clear" w:color="auto" w:fill="EBEBEB"/>
            <w:vAlign w:val="bottom"/>
          </w:tcPr>
          <w:p w14:paraId="593B9DCD" w14:textId="77777777" w:rsidR="00C31C4B" w:rsidRPr="000D5B9F" w:rsidRDefault="00C31C4B">
            <w:pPr>
              <w:jc w:val="center"/>
              <w:rPr>
                <w:rFonts w:ascii="Public Sans" w:hAnsi="Public Sans" w:cs="Arial"/>
                <w:sz w:val="18"/>
                <w:szCs w:val="18"/>
                <w:lang w:eastAsia="en-AU"/>
              </w:rPr>
            </w:pPr>
            <w:r w:rsidRPr="000D5B9F">
              <w:rPr>
                <w:rFonts w:ascii="Public Sans" w:eastAsia="Arial" w:hAnsi="Public Sans" w:cs="Arial"/>
                <w:sz w:val="18"/>
                <w:szCs w:val="18"/>
              </w:rPr>
              <w:t>2026-27</w:t>
            </w:r>
          </w:p>
        </w:tc>
        <w:tc>
          <w:tcPr>
            <w:tcW w:w="1879" w:type="dxa"/>
            <w:vMerge w:val="restart"/>
            <w:shd w:val="clear" w:color="auto" w:fill="4F4F4F"/>
            <w:vAlign w:val="center"/>
          </w:tcPr>
          <w:p w14:paraId="5F219AC9" w14:textId="77777777" w:rsidR="00C31C4B" w:rsidRPr="000D5B9F" w:rsidRDefault="00C31C4B">
            <w:pPr>
              <w:jc w:val="center"/>
              <w:rPr>
                <w:rFonts w:ascii="Public Sans" w:hAnsi="Public Sans" w:cs="Arial"/>
                <w:color w:val="FFFFFF" w:themeColor="background1"/>
                <w:sz w:val="18"/>
                <w:szCs w:val="18"/>
                <w:lang w:eastAsia="en-AU"/>
              </w:rPr>
            </w:pPr>
            <w:r w:rsidRPr="000D5B9F">
              <w:rPr>
                <w:rFonts w:ascii="Public Sans" w:hAnsi="Public Sans" w:cs="Arial"/>
                <w:color w:val="FFFFFF" w:themeColor="background1"/>
                <w:sz w:val="18"/>
                <w:szCs w:val="18"/>
                <w:lang w:eastAsia="en-AU"/>
              </w:rPr>
              <w:t>Sensitivity</w:t>
            </w:r>
          </w:p>
        </w:tc>
      </w:tr>
      <w:tr w:rsidR="00C31C4B" w:rsidRPr="000D5B9F" w14:paraId="574AF1FA" w14:textId="77777777">
        <w:trPr>
          <w:trHeight w:val="241"/>
        </w:trPr>
        <w:tc>
          <w:tcPr>
            <w:tcW w:w="3914" w:type="dxa"/>
            <w:vMerge/>
            <w:shd w:val="clear" w:color="auto" w:fill="EBEBEB"/>
          </w:tcPr>
          <w:p w14:paraId="43A4A974" w14:textId="77777777" w:rsidR="00C31C4B" w:rsidRPr="000D5B9F" w:rsidRDefault="00C31C4B">
            <w:pPr>
              <w:rPr>
                <w:rFonts w:ascii="Public Sans" w:hAnsi="Public Sans"/>
                <w:sz w:val="18"/>
                <w:szCs w:val="18"/>
              </w:rPr>
            </w:pPr>
          </w:p>
        </w:tc>
        <w:tc>
          <w:tcPr>
            <w:tcW w:w="1018" w:type="dxa"/>
            <w:shd w:val="clear" w:color="auto" w:fill="EBEBEB"/>
          </w:tcPr>
          <w:p w14:paraId="1F0592BF" w14:textId="77777777" w:rsidR="00C31C4B" w:rsidRPr="000D5B9F" w:rsidRDefault="00C31C4B">
            <w:pPr>
              <w:jc w:val="center"/>
              <w:rPr>
                <w:rFonts w:ascii="Public Sans" w:hAnsi="Public Sans" w:cs="Arial"/>
                <w:sz w:val="18"/>
                <w:szCs w:val="18"/>
                <w:lang w:eastAsia="en-AU"/>
              </w:rPr>
            </w:pPr>
            <w:r w:rsidRPr="000D5B9F">
              <w:rPr>
                <w:rFonts w:ascii="Public Sans" w:eastAsia="Arial" w:hAnsi="Public Sans" w:cs="Arial"/>
                <w:sz w:val="18"/>
                <w:szCs w:val="18"/>
              </w:rPr>
              <w:t>Budget</w:t>
            </w:r>
          </w:p>
        </w:tc>
        <w:tc>
          <w:tcPr>
            <w:tcW w:w="3044" w:type="dxa"/>
            <w:gridSpan w:val="3"/>
            <w:shd w:val="clear" w:color="auto" w:fill="EBEBEB"/>
          </w:tcPr>
          <w:p w14:paraId="33DB676E" w14:textId="77777777" w:rsidR="00C31C4B" w:rsidRPr="000D5B9F" w:rsidRDefault="00C31C4B">
            <w:pPr>
              <w:jc w:val="center"/>
              <w:rPr>
                <w:rFonts w:ascii="Public Sans" w:hAnsi="Public Sans" w:cs="Arial"/>
                <w:sz w:val="18"/>
                <w:szCs w:val="18"/>
                <w:lang w:eastAsia="en-AU"/>
              </w:rPr>
            </w:pPr>
            <w:r w:rsidRPr="000D5B9F">
              <w:rPr>
                <w:rFonts w:ascii="Public Sans" w:eastAsia="Arial" w:hAnsi="Public Sans" w:cs="Arial"/>
                <w:sz w:val="18"/>
                <w:szCs w:val="18"/>
              </w:rPr>
              <w:t>Forward estimates</w:t>
            </w:r>
          </w:p>
        </w:tc>
        <w:tc>
          <w:tcPr>
            <w:tcW w:w="1879" w:type="dxa"/>
            <w:vMerge/>
            <w:shd w:val="clear" w:color="auto" w:fill="4F4F4F"/>
          </w:tcPr>
          <w:p w14:paraId="031BA9BA" w14:textId="77777777" w:rsidR="00C31C4B" w:rsidRPr="000D5B9F" w:rsidRDefault="00C31C4B">
            <w:pPr>
              <w:rPr>
                <w:rFonts w:ascii="Public Sans" w:hAnsi="Public Sans"/>
                <w:sz w:val="18"/>
                <w:szCs w:val="18"/>
              </w:rPr>
            </w:pPr>
          </w:p>
        </w:tc>
      </w:tr>
      <w:tr w:rsidR="00C31C4B" w:rsidRPr="000D5B9F" w14:paraId="30EF9744" w14:textId="77777777">
        <w:trPr>
          <w:trHeight w:val="300"/>
        </w:trPr>
        <w:tc>
          <w:tcPr>
            <w:tcW w:w="3914" w:type="dxa"/>
            <w:shd w:val="clear" w:color="auto" w:fill="EBEBEB"/>
          </w:tcPr>
          <w:p w14:paraId="7131E082" w14:textId="77777777" w:rsidR="00C31C4B" w:rsidRPr="000D5B9F" w:rsidRDefault="00C31C4B">
            <w:pPr>
              <w:jc w:val="center"/>
              <w:rPr>
                <w:rFonts w:ascii="Public Sans" w:hAnsi="Public Sans" w:cs="Arial"/>
                <w:sz w:val="18"/>
                <w:szCs w:val="18"/>
                <w:lang w:eastAsia="en-AU"/>
              </w:rPr>
            </w:pPr>
          </w:p>
        </w:tc>
        <w:tc>
          <w:tcPr>
            <w:tcW w:w="1018" w:type="dxa"/>
            <w:shd w:val="clear" w:color="auto" w:fill="EBEBEB"/>
          </w:tcPr>
          <w:p w14:paraId="217EC028" w14:textId="77777777" w:rsidR="00C31C4B" w:rsidRPr="000D5B9F" w:rsidRDefault="00C31C4B">
            <w:pPr>
              <w:jc w:val="center"/>
              <w:rPr>
                <w:rFonts w:ascii="Public Sans" w:hAnsi="Public Sans" w:cs="Arial"/>
                <w:sz w:val="18"/>
                <w:szCs w:val="18"/>
                <w:lang w:eastAsia="en-AU"/>
              </w:rPr>
            </w:pPr>
            <w:r w:rsidRPr="000D5B9F">
              <w:rPr>
                <w:rFonts w:ascii="Public Sans" w:hAnsi="Public Sans" w:cs="Arial"/>
                <w:sz w:val="18"/>
                <w:szCs w:val="18"/>
                <w:lang w:eastAsia="en-AU"/>
              </w:rPr>
              <w:t>$m</w:t>
            </w:r>
          </w:p>
        </w:tc>
        <w:tc>
          <w:tcPr>
            <w:tcW w:w="1014" w:type="dxa"/>
            <w:shd w:val="clear" w:color="auto" w:fill="EBEBEB"/>
          </w:tcPr>
          <w:p w14:paraId="169E8BC9" w14:textId="77777777" w:rsidR="00C31C4B" w:rsidRPr="000D5B9F" w:rsidRDefault="00C31C4B">
            <w:pPr>
              <w:jc w:val="center"/>
              <w:rPr>
                <w:rFonts w:ascii="Public Sans" w:hAnsi="Public Sans" w:cs="Arial"/>
                <w:sz w:val="18"/>
                <w:szCs w:val="18"/>
                <w:lang w:eastAsia="en-AU"/>
              </w:rPr>
            </w:pPr>
            <w:r w:rsidRPr="000D5B9F">
              <w:rPr>
                <w:rFonts w:ascii="Public Sans" w:hAnsi="Public Sans" w:cs="Arial"/>
                <w:sz w:val="18"/>
                <w:szCs w:val="18"/>
                <w:lang w:eastAsia="en-AU"/>
              </w:rPr>
              <w:t>$m</w:t>
            </w:r>
          </w:p>
        </w:tc>
        <w:tc>
          <w:tcPr>
            <w:tcW w:w="1015" w:type="dxa"/>
            <w:shd w:val="clear" w:color="auto" w:fill="EBEBEB"/>
          </w:tcPr>
          <w:p w14:paraId="5B655BE9" w14:textId="77777777" w:rsidR="00C31C4B" w:rsidRPr="000D5B9F" w:rsidRDefault="00C31C4B">
            <w:pPr>
              <w:jc w:val="center"/>
              <w:rPr>
                <w:rFonts w:ascii="Public Sans" w:hAnsi="Public Sans" w:cs="Arial"/>
                <w:sz w:val="18"/>
                <w:szCs w:val="18"/>
                <w:lang w:eastAsia="en-AU"/>
              </w:rPr>
            </w:pPr>
            <w:r w:rsidRPr="000D5B9F">
              <w:rPr>
                <w:rFonts w:ascii="Public Sans" w:hAnsi="Public Sans" w:cs="Arial"/>
                <w:sz w:val="18"/>
                <w:szCs w:val="18"/>
                <w:lang w:eastAsia="en-AU"/>
              </w:rPr>
              <w:t>$m</w:t>
            </w:r>
          </w:p>
        </w:tc>
        <w:tc>
          <w:tcPr>
            <w:tcW w:w="1015" w:type="dxa"/>
            <w:shd w:val="clear" w:color="auto" w:fill="EBEBEB"/>
          </w:tcPr>
          <w:p w14:paraId="5A83D4D5" w14:textId="77777777" w:rsidR="00C31C4B" w:rsidRPr="000D5B9F" w:rsidRDefault="00C31C4B">
            <w:pPr>
              <w:jc w:val="center"/>
              <w:rPr>
                <w:rFonts w:ascii="Public Sans" w:hAnsi="Public Sans" w:cs="Arial"/>
                <w:sz w:val="18"/>
                <w:szCs w:val="18"/>
                <w:lang w:eastAsia="en-AU"/>
              </w:rPr>
            </w:pPr>
            <w:r w:rsidRPr="000D5B9F">
              <w:rPr>
                <w:rFonts w:ascii="Public Sans" w:hAnsi="Public Sans" w:cs="Arial"/>
                <w:sz w:val="18"/>
                <w:szCs w:val="18"/>
                <w:lang w:eastAsia="en-AU"/>
              </w:rPr>
              <w:t>$m</w:t>
            </w:r>
          </w:p>
        </w:tc>
        <w:tc>
          <w:tcPr>
            <w:tcW w:w="1879" w:type="dxa"/>
            <w:vMerge/>
            <w:shd w:val="clear" w:color="auto" w:fill="4F4F4F"/>
          </w:tcPr>
          <w:p w14:paraId="0E88CB65" w14:textId="77777777" w:rsidR="00C31C4B" w:rsidRPr="000D5B9F" w:rsidRDefault="00C31C4B">
            <w:pPr>
              <w:rPr>
                <w:rFonts w:ascii="Public Sans" w:hAnsi="Public Sans"/>
                <w:sz w:val="18"/>
                <w:szCs w:val="18"/>
              </w:rPr>
            </w:pPr>
          </w:p>
        </w:tc>
      </w:tr>
      <w:tr w:rsidR="00C31C4B" w:rsidRPr="000D5B9F" w14:paraId="017A5006" w14:textId="77777777" w:rsidTr="000D6017">
        <w:trPr>
          <w:trHeight w:val="304"/>
        </w:trPr>
        <w:tc>
          <w:tcPr>
            <w:tcW w:w="3914" w:type="dxa"/>
            <w:shd w:val="clear" w:color="auto" w:fill="auto"/>
            <w:vAlign w:val="center"/>
          </w:tcPr>
          <w:p w14:paraId="728AE0AB" w14:textId="77777777" w:rsidR="00C31C4B" w:rsidRPr="000D5B9F" w:rsidRDefault="00C31C4B">
            <w:pPr>
              <w:rPr>
                <w:rFonts w:ascii="Public Sans" w:hAnsi="Public Sans" w:cs="Arial"/>
                <w:b/>
                <w:bCs/>
                <w:sz w:val="18"/>
                <w:szCs w:val="18"/>
              </w:rPr>
            </w:pPr>
            <w:r w:rsidRPr="000D5B9F">
              <w:rPr>
                <w:rFonts w:ascii="Public Sans" w:hAnsi="Public Sans" w:cs="Arial"/>
                <w:sz w:val="18"/>
                <w:szCs w:val="18"/>
              </w:rPr>
              <w:t>Change in public sector wages and salaries</w:t>
            </w:r>
          </w:p>
        </w:tc>
        <w:tc>
          <w:tcPr>
            <w:tcW w:w="1018" w:type="dxa"/>
            <w:vAlign w:val="center"/>
          </w:tcPr>
          <w:p w14:paraId="54D9FF93" w14:textId="77777777" w:rsidR="00C31C4B" w:rsidRPr="000D5B9F" w:rsidRDefault="00C31C4B" w:rsidP="000D6017">
            <w:pPr>
              <w:ind w:right="170"/>
              <w:jc w:val="right"/>
              <w:rPr>
                <w:rFonts w:ascii="Public Sans" w:eastAsia="Arial" w:hAnsi="Public Sans" w:cs="Arial"/>
                <w:sz w:val="18"/>
                <w:szCs w:val="18"/>
              </w:rPr>
            </w:pPr>
            <w:r w:rsidRPr="00A84B8B">
              <w:rPr>
                <w:rFonts w:ascii="Arial" w:hAnsi="Arial" w:cs="Arial"/>
                <w:sz w:val="18"/>
                <w:szCs w:val="18"/>
              </w:rPr>
              <w:t>60</w:t>
            </w:r>
          </w:p>
        </w:tc>
        <w:tc>
          <w:tcPr>
            <w:tcW w:w="1014" w:type="dxa"/>
            <w:shd w:val="clear" w:color="auto" w:fill="auto"/>
            <w:vAlign w:val="center"/>
          </w:tcPr>
          <w:p w14:paraId="4A2E8331" w14:textId="77777777" w:rsidR="00C31C4B" w:rsidRPr="000D5B9F" w:rsidRDefault="00C31C4B" w:rsidP="000D6017">
            <w:pPr>
              <w:ind w:right="170"/>
              <w:jc w:val="right"/>
              <w:rPr>
                <w:rFonts w:ascii="Public Sans" w:eastAsia="Arial" w:hAnsi="Public Sans" w:cs="Arial"/>
                <w:sz w:val="18"/>
                <w:szCs w:val="18"/>
              </w:rPr>
            </w:pPr>
            <w:r w:rsidRPr="00A84B8B">
              <w:rPr>
                <w:rFonts w:ascii="Arial" w:hAnsi="Arial" w:cs="Arial"/>
                <w:sz w:val="18"/>
                <w:szCs w:val="18"/>
              </w:rPr>
              <w:t>100</w:t>
            </w:r>
          </w:p>
        </w:tc>
        <w:tc>
          <w:tcPr>
            <w:tcW w:w="1015" w:type="dxa"/>
            <w:shd w:val="clear" w:color="auto" w:fill="auto"/>
            <w:vAlign w:val="center"/>
          </w:tcPr>
          <w:p w14:paraId="756BD201" w14:textId="77777777" w:rsidR="00C31C4B" w:rsidRPr="000D5B9F" w:rsidRDefault="00C31C4B" w:rsidP="000D6017">
            <w:pPr>
              <w:ind w:right="170"/>
              <w:jc w:val="right"/>
              <w:rPr>
                <w:rFonts w:ascii="Public Sans" w:eastAsia="Arial" w:hAnsi="Public Sans" w:cs="Arial"/>
                <w:sz w:val="18"/>
                <w:szCs w:val="18"/>
              </w:rPr>
            </w:pPr>
            <w:r w:rsidRPr="00A84B8B">
              <w:rPr>
                <w:rFonts w:ascii="Arial" w:hAnsi="Arial" w:cs="Arial"/>
                <w:sz w:val="18"/>
                <w:szCs w:val="18"/>
              </w:rPr>
              <w:t>150</w:t>
            </w:r>
          </w:p>
        </w:tc>
        <w:tc>
          <w:tcPr>
            <w:tcW w:w="1015" w:type="dxa"/>
            <w:shd w:val="clear" w:color="auto" w:fill="auto"/>
            <w:vAlign w:val="center"/>
          </w:tcPr>
          <w:p w14:paraId="44645D16" w14:textId="77777777" w:rsidR="00C31C4B" w:rsidRPr="000D5B9F" w:rsidRDefault="00C31C4B" w:rsidP="000D6017">
            <w:pPr>
              <w:ind w:right="170"/>
              <w:jc w:val="right"/>
              <w:rPr>
                <w:rFonts w:ascii="Public Sans" w:eastAsia="Arial" w:hAnsi="Public Sans" w:cs="Arial"/>
                <w:sz w:val="18"/>
                <w:szCs w:val="18"/>
              </w:rPr>
            </w:pPr>
            <w:r w:rsidRPr="00A84B8B">
              <w:rPr>
                <w:rFonts w:ascii="Arial" w:hAnsi="Arial" w:cs="Arial"/>
                <w:sz w:val="18"/>
                <w:szCs w:val="18"/>
              </w:rPr>
              <w:t>200</w:t>
            </w:r>
          </w:p>
        </w:tc>
        <w:tc>
          <w:tcPr>
            <w:tcW w:w="1879" w:type="dxa"/>
            <w:vMerge w:val="restart"/>
            <w:shd w:val="clear" w:color="auto" w:fill="auto"/>
            <w:vAlign w:val="center"/>
          </w:tcPr>
          <w:p w14:paraId="5953DE0C" w14:textId="77777777" w:rsidR="00C31C4B" w:rsidRPr="000D5B9F" w:rsidRDefault="00C31C4B">
            <w:pPr>
              <w:jc w:val="center"/>
              <w:rPr>
                <w:rFonts w:ascii="Public Sans" w:hAnsi="Public Sans" w:cs="Arial"/>
                <w:sz w:val="18"/>
                <w:szCs w:val="18"/>
              </w:rPr>
            </w:pPr>
            <w:r w:rsidRPr="000D5B9F">
              <w:rPr>
                <w:rFonts w:ascii="Public Sans" w:hAnsi="Public Sans" w:cs="Arial"/>
                <w:sz w:val="18"/>
                <w:szCs w:val="18"/>
              </w:rPr>
              <w:t>Single percentage point increase in factor</w:t>
            </w:r>
          </w:p>
        </w:tc>
      </w:tr>
      <w:tr w:rsidR="00C31C4B" w:rsidRPr="000D5B9F" w14:paraId="653C551F" w14:textId="77777777" w:rsidTr="000D6017">
        <w:trPr>
          <w:trHeight w:val="304"/>
        </w:trPr>
        <w:tc>
          <w:tcPr>
            <w:tcW w:w="3914" w:type="dxa"/>
            <w:shd w:val="clear" w:color="auto" w:fill="auto"/>
            <w:vAlign w:val="center"/>
          </w:tcPr>
          <w:p w14:paraId="4C5CAB9A" w14:textId="77777777" w:rsidR="00C31C4B" w:rsidRPr="000D5B9F" w:rsidRDefault="00C31C4B">
            <w:pPr>
              <w:rPr>
                <w:rFonts w:ascii="Public Sans" w:hAnsi="Public Sans"/>
                <w:sz w:val="18"/>
                <w:szCs w:val="18"/>
              </w:rPr>
            </w:pPr>
            <w:r w:rsidRPr="000D5B9F">
              <w:rPr>
                <w:rFonts w:ascii="Public Sans" w:hAnsi="Public Sans" w:cs="Arial"/>
                <w:sz w:val="18"/>
                <w:szCs w:val="18"/>
              </w:rPr>
              <w:t>Change in Sydney CPI</w:t>
            </w:r>
          </w:p>
        </w:tc>
        <w:tc>
          <w:tcPr>
            <w:tcW w:w="1018" w:type="dxa"/>
            <w:vAlign w:val="center"/>
          </w:tcPr>
          <w:p w14:paraId="1A302058" w14:textId="77777777" w:rsidR="00C31C4B" w:rsidRPr="000D5B9F" w:rsidRDefault="00C31C4B" w:rsidP="000D6017">
            <w:pPr>
              <w:ind w:right="170"/>
              <w:jc w:val="right"/>
              <w:rPr>
                <w:rFonts w:ascii="Public Sans" w:eastAsia="Arial" w:hAnsi="Public Sans" w:cs="Arial"/>
                <w:sz w:val="18"/>
                <w:szCs w:val="18"/>
              </w:rPr>
            </w:pPr>
            <w:r w:rsidRPr="00A84B8B">
              <w:rPr>
                <w:rFonts w:ascii="Arial" w:hAnsi="Arial" w:cs="Arial"/>
                <w:sz w:val="18"/>
                <w:szCs w:val="18"/>
              </w:rPr>
              <w:t>620</w:t>
            </w:r>
          </w:p>
        </w:tc>
        <w:tc>
          <w:tcPr>
            <w:tcW w:w="1014" w:type="dxa"/>
            <w:shd w:val="clear" w:color="auto" w:fill="auto"/>
            <w:vAlign w:val="center"/>
          </w:tcPr>
          <w:p w14:paraId="43559667" w14:textId="77777777" w:rsidR="00C31C4B" w:rsidRPr="000D5B9F" w:rsidRDefault="00C31C4B" w:rsidP="000D6017">
            <w:pPr>
              <w:ind w:right="170"/>
              <w:jc w:val="right"/>
              <w:rPr>
                <w:rFonts w:ascii="Public Sans" w:eastAsia="Arial" w:hAnsi="Public Sans" w:cs="Arial"/>
                <w:sz w:val="18"/>
                <w:szCs w:val="18"/>
              </w:rPr>
            </w:pPr>
            <w:r w:rsidRPr="00A84B8B">
              <w:rPr>
                <w:rFonts w:ascii="Arial" w:hAnsi="Arial" w:cs="Arial"/>
                <w:sz w:val="18"/>
                <w:szCs w:val="18"/>
              </w:rPr>
              <w:t>1,230</w:t>
            </w:r>
          </w:p>
        </w:tc>
        <w:tc>
          <w:tcPr>
            <w:tcW w:w="1015" w:type="dxa"/>
            <w:shd w:val="clear" w:color="auto" w:fill="auto"/>
            <w:vAlign w:val="center"/>
          </w:tcPr>
          <w:p w14:paraId="4577BD5E" w14:textId="77777777" w:rsidR="00C31C4B" w:rsidRPr="000D5B9F" w:rsidRDefault="00C31C4B" w:rsidP="000D6017">
            <w:pPr>
              <w:ind w:right="170"/>
              <w:jc w:val="right"/>
              <w:rPr>
                <w:rFonts w:ascii="Public Sans" w:eastAsia="Arial" w:hAnsi="Public Sans" w:cs="Arial"/>
                <w:sz w:val="18"/>
                <w:szCs w:val="18"/>
              </w:rPr>
            </w:pPr>
            <w:r w:rsidRPr="00A84B8B">
              <w:rPr>
                <w:rFonts w:ascii="Arial" w:hAnsi="Arial" w:cs="Arial"/>
                <w:sz w:val="18"/>
                <w:szCs w:val="18"/>
              </w:rPr>
              <w:t>1,800</w:t>
            </w:r>
          </w:p>
        </w:tc>
        <w:tc>
          <w:tcPr>
            <w:tcW w:w="1015" w:type="dxa"/>
            <w:shd w:val="clear" w:color="auto" w:fill="auto"/>
            <w:vAlign w:val="center"/>
          </w:tcPr>
          <w:p w14:paraId="1DA891B9" w14:textId="77777777" w:rsidR="00C31C4B" w:rsidRPr="000D5B9F" w:rsidRDefault="00C31C4B" w:rsidP="000D6017">
            <w:pPr>
              <w:ind w:right="170"/>
              <w:jc w:val="right"/>
              <w:rPr>
                <w:rFonts w:ascii="Public Sans" w:eastAsia="Arial" w:hAnsi="Public Sans" w:cs="Arial"/>
                <w:sz w:val="18"/>
                <w:szCs w:val="18"/>
              </w:rPr>
            </w:pPr>
            <w:r w:rsidRPr="00A84B8B">
              <w:rPr>
                <w:rFonts w:ascii="Arial" w:hAnsi="Arial" w:cs="Arial"/>
                <w:sz w:val="18"/>
                <w:szCs w:val="18"/>
              </w:rPr>
              <w:t>2,530</w:t>
            </w:r>
          </w:p>
        </w:tc>
        <w:tc>
          <w:tcPr>
            <w:tcW w:w="1879" w:type="dxa"/>
            <w:vMerge/>
            <w:shd w:val="clear" w:color="auto" w:fill="auto"/>
            <w:vAlign w:val="center"/>
          </w:tcPr>
          <w:p w14:paraId="66EB2020" w14:textId="77777777" w:rsidR="00C31C4B" w:rsidRPr="000D5B9F" w:rsidRDefault="00C31C4B">
            <w:pPr>
              <w:jc w:val="right"/>
              <w:rPr>
                <w:rFonts w:ascii="Public Sans" w:hAnsi="Public Sans"/>
                <w:sz w:val="18"/>
                <w:szCs w:val="18"/>
              </w:rPr>
            </w:pPr>
          </w:p>
        </w:tc>
      </w:tr>
      <w:tr w:rsidR="00C31C4B" w:rsidRPr="000D5B9F" w14:paraId="45309731" w14:textId="77777777" w:rsidTr="000D6017">
        <w:trPr>
          <w:trHeight w:val="304"/>
        </w:trPr>
        <w:tc>
          <w:tcPr>
            <w:tcW w:w="3914" w:type="dxa"/>
            <w:shd w:val="clear" w:color="auto" w:fill="auto"/>
            <w:vAlign w:val="center"/>
          </w:tcPr>
          <w:p w14:paraId="569A7CDF" w14:textId="77777777" w:rsidR="00C31C4B" w:rsidRPr="000D5B9F" w:rsidRDefault="00C31C4B">
            <w:pPr>
              <w:rPr>
                <w:rFonts w:ascii="Public Sans" w:hAnsi="Public Sans" w:cs="Arial"/>
                <w:sz w:val="18"/>
                <w:szCs w:val="18"/>
                <w:vertAlign w:val="superscript"/>
              </w:rPr>
            </w:pPr>
            <w:r w:rsidRPr="000D5B9F">
              <w:rPr>
                <w:rFonts w:ascii="Public Sans" w:hAnsi="Public Sans" w:cs="Arial"/>
                <w:sz w:val="18"/>
                <w:szCs w:val="18"/>
              </w:rPr>
              <w:t>Change in investment return</w:t>
            </w:r>
          </w:p>
        </w:tc>
        <w:tc>
          <w:tcPr>
            <w:tcW w:w="1018" w:type="dxa"/>
            <w:vAlign w:val="center"/>
          </w:tcPr>
          <w:p w14:paraId="7FB56574" w14:textId="3F961EA6" w:rsidR="00C31C4B" w:rsidRPr="000D5B9F" w:rsidRDefault="00B85FBF" w:rsidP="000D6017">
            <w:pPr>
              <w:ind w:right="170"/>
              <w:jc w:val="right"/>
              <w:rPr>
                <w:rFonts w:ascii="Public Sans" w:eastAsia="Arial" w:hAnsi="Public Sans" w:cs="Arial"/>
                <w:sz w:val="18"/>
                <w:szCs w:val="18"/>
              </w:rPr>
            </w:pPr>
            <w:r>
              <w:rPr>
                <w:rFonts w:ascii="Arial" w:hAnsi="Arial" w:cs="Arial"/>
                <w:sz w:val="18"/>
                <w:szCs w:val="18"/>
              </w:rPr>
              <w:t>(</w:t>
            </w:r>
            <w:r w:rsidR="00C31C4B" w:rsidRPr="00A84B8B">
              <w:rPr>
                <w:rFonts w:ascii="Arial" w:hAnsi="Arial" w:cs="Arial"/>
                <w:sz w:val="18"/>
                <w:szCs w:val="18"/>
              </w:rPr>
              <w:t>300</w:t>
            </w:r>
            <w:r>
              <w:rPr>
                <w:rFonts w:ascii="Arial" w:hAnsi="Arial" w:cs="Arial"/>
                <w:sz w:val="18"/>
                <w:szCs w:val="18"/>
              </w:rPr>
              <w:t>)</w:t>
            </w:r>
          </w:p>
        </w:tc>
        <w:tc>
          <w:tcPr>
            <w:tcW w:w="1014" w:type="dxa"/>
            <w:shd w:val="clear" w:color="auto" w:fill="auto"/>
            <w:vAlign w:val="center"/>
          </w:tcPr>
          <w:p w14:paraId="6D02094D" w14:textId="486833B7" w:rsidR="00C31C4B" w:rsidRPr="000D5B9F" w:rsidRDefault="00A6052B" w:rsidP="000D6017">
            <w:pPr>
              <w:ind w:right="170"/>
              <w:jc w:val="right"/>
              <w:rPr>
                <w:rFonts w:ascii="Public Sans" w:eastAsia="Arial" w:hAnsi="Public Sans" w:cs="Arial"/>
                <w:sz w:val="18"/>
                <w:szCs w:val="18"/>
              </w:rPr>
            </w:pPr>
            <w:r>
              <w:rPr>
                <w:rFonts w:ascii="Arial" w:hAnsi="Arial" w:cs="Arial"/>
                <w:sz w:val="18"/>
                <w:szCs w:val="18"/>
              </w:rPr>
              <w:t>(</w:t>
            </w:r>
            <w:r w:rsidR="00C31C4B" w:rsidRPr="00A84B8B">
              <w:rPr>
                <w:rFonts w:ascii="Arial" w:hAnsi="Arial" w:cs="Arial"/>
                <w:sz w:val="18"/>
                <w:szCs w:val="18"/>
              </w:rPr>
              <w:t>640</w:t>
            </w:r>
            <w:r>
              <w:rPr>
                <w:rFonts w:ascii="Arial" w:hAnsi="Arial" w:cs="Arial"/>
                <w:sz w:val="18"/>
                <w:szCs w:val="18"/>
              </w:rPr>
              <w:t>)</w:t>
            </w:r>
          </w:p>
        </w:tc>
        <w:tc>
          <w:tcPr>
            <w:tcW w:w="1015" w:type="dxa"/>
            <w:shd w:val="clear" w:color="auto" w:fill="auto"/>
            <w:vAlign w:val="center"/>
          </w:tcPr>
          <w:p w14:paraId="022BBA0D" w14:textId="3B24283C" w:rsidR="00C31C4B" w:rsidRPr="000D5B9F" w:rsidRDefault="00A6052B" w:rsidP="000D6017">
            <w:pPr>
              <w:ind w:right="170"/>
              <w:jc w:val="right"/>
              <w:rPr>
                <w:rFonts w:ascii="Public Sans" w:eastAsia="Arial" w:hAnsi="Public Sans" w:cs="Arial"/>
                <w:sz w:val="18"/>
                <w:szCs w:val="18"/>
              </w:rPr>
            </w:pPr>
            <w:r>
              <w:rPr>
                <w:rFonts w:ascii="Arial" w:hAnsi="Arial" w:cs="Arial"/>
                <w:sz w:val="18"/>
                <w:szCs w:val="18"/>
              </w:rPr>
              <w:t>(</w:t>
            </w:r>
            <w:r w:rsidR="00C31C4B" w:rsidRPr="00A84B8B">
              <w:rPr>
                <w:rFonts w:ascii="Arial" w:hAnsi="Arial" w:cs="Arial"/>
                <w:sz w:val="18"/>
                <w:szCs w:val="18"/>
              </w:rPr>
              <w:t>1,010</w:t>
            </w:r>
            <w:r>
              <w:rPr>
                <w:rFonts w:ascii="Arial" w:hAnsi="Arial" w:cs="Arial"/>
                <w:sz w:val="18"/>
                <w:szCs w:val="18"/>
              </w:rPr>
              <w:t>)</w:t>
            </w:r>
          </w:p>
        </w:tc>
        <w:tc>
          <w:tcPr>
            <w:tcW w:w="1015" w:type="dxa"/>
            <w:shd w:val="clear" w:color="auto" w:fill="auto"/>
            <w:vAlign w:val="center"/>
          </w:tcPr>
          <w:p w14:paraId="628D2790" w14:textId="1557B9E0" w:rsidR="00C31C4B" w:rsidRPr="000D5B9F" w:rsidRDefault="00A6052B" w:rsidP="000D6017">
            <w:pPr>
              <w:ind w:right="170"/>
              <w:jc w:val="right"/>
              <w:rPr>
                <w:rFonts w:ascii="Public Sans" w:eastAsia="Arial" w:hAnsi="Public Sans" w:cs="Arial"/>
                <w:sz w:val="18"/>
                <w:szCs w:val="18"/>
              </w:rPr>
            </w:pPr>
            <w:r>
              <w:rPr>
                <w:rFonts w:ascii="Arial" w:hAnsi="Arial" w:cs="Arial"/>
                <w:sz w:val="18"/>
                <w:szCs w:val="18"/>
              </w:rPr>
              <w:t>(</w:t>
            </w:r>
            <w:r w:rsidR="00C31C4B" w:rsidRPr="00A84B8B">
              <w:rPr>
                <w:rFonts w:ascii="Arial" w:hAnsi="Arial" w:cs="Arial"/>
                <w:sz w:val="18"/>
                <w:szCs w:val="18"/>
              </w:rPr>
              <w:t>1,400</w:t>
            </w:r>
            <w:r>
              <w:rPr>
                <w:rFonts w:ascii="Arial" w:hAnsi="Arial" w:cs="Arial"/>
                <w:sz w:val="18"/>
                <w:szCs w:val="18"/>
              </w:rPr>
              <w:t>)</w:t>
            </w:r>
          </w:p>
        </w:tc>
        <w:tc>
          <w:tcPr>
            <w:tcW w:w="1879" w:type="dxa"/>
            <w:vMerge/>
            <w:shd w:val="clear" w:color="auto" w:fill="auto"/>
            <w:vAlign w:val="center"/>
          </w:tcPr>
          <w:p w14:paraId="5C33AAE9" w14:textId="77777777" w:rsidR="00C31C4B" w:rsidRPr="000D5B9F" w:rsidRDefault="00C31C4B">
            <w:pPr>
              <w:jc w:val="right"/>
              <w:rPr>
                <w:rFonts w:ascii="Public Sans" w:hAnsi="Public Sans"/>
                <w:sz w:val="18"/>
                <w:szCs w:val="18"/>
              </w:rPr>
            </w:pPr>
          </w:p>
        </w:tc>
      </w:tr>
      <w:tr w:rsidR="00C31C4B" w:rsidRPr="000D5B9F" w14:paraId="7D131B6D" w14:textId="77777777" w:rsidTr="000D6017">
        <w:trPr>
          <w:trHeight w:val="304"/>
        </w:trPr>
        <w:tc>
          <w:tcPr>
            <w:tcW w:w="3914" w:type="dxa"/>
            <w:tcBorders>
              <w:bottom w:val="single" w:sz="4" w:space="0" w:color="auto"/>
            </w:tcBorders>
            <w:shd w:val="clear" w:color="auto" w:fill="auto"/>
            <w:vAlign w:val="center"/>
          </w:tcPr>
          <w:p w14:paraId="742517E0" w14:textId="77777777" w:rsidR="00C31C4B" w:rsidRPr="000D5B9F" w:rsidRDefault="00C31C4B">
            <w:pPr>
              <w:rPr>
                <w:rFonts w:ascii="Public Sans" w:hAnsi="Public Sans"/>
                <w:sz w:val="18"/>
                <w:szCs w:val="18"/>
              </w:rPr>
            </w:pPr>
            <w:r w:rsidRPr="000D5B9F">
              <w:rPr>
                <w:rFonts w:ascii="Public Sans" w:hAnsi="Public Sans" w:cs="Arial"/>
                <w:sz w:val="18"/>
                <w:szCs w:val="18"/>
              </w:rPr>
              <w:t>Change in discount rate</w:t>
            </w:r>
          </w:p>
        </w:tc>
        <w:tc>
          <w:tcPr>
            <w:tcW w:w="1018" w:type="dxa"/>
            <w:tcBorders>
              <w:bottom w:val="single" w:sz="4" w:space="0" w:color="auto"/>
            </w:tcBorders>
            <w:vAlign w:val="center"/>
          </w:tcPr>
          <w:p w14:paraId="4E11EDDA" w14:textId="257437BA" w:rsidR="00C31C4B" w:rsidRPr="000D5B9F" w:rsidRDefault="00A6052B" w:rsidP="000D6017">
            <w:pPr>
              <w:ind w:right="170"/>
              <w:jc w:val="right"/>
              <w:rPr>
                <w:rFonts w:ascii="Public Sans" w:eastAsia="Arial" w:hAnsi="Public Sans" w:cs="Arial"/>
                <w:sz w:val="18"/>
                <w:szCs w:val="18"/>
              </w:rPr>
            </w:pPr>
            <w:r>
              <w:rPr>
                <w:rFonts w:ascii="Arial" w:hAnsi="Arial" w:cs="Arial"/>
                <w:sz w:val="18"/>
                <w:szCs w:val="18"/>
              </w:rPr>
              <w:t>(</w:t>
            </w:r>
            <w:r w:rsidR="00C31C4B" w:rsidRPr="00A84B8B">
              <w:rPr>
                <w:rFonts w:ascii="Arial" w:hAnsi="Arial" w:cs="Arial"/>
                <w:sz w:val="18"/>
                <w:szCs w:val="18"/>
              </w:rPr>
              <w:t>7,100</w:t>
            </w:r>
            <w:r w:rsidR="00B85FBF">
              <w:rPr>
                <w:rFonts w:ascii="Arial" w:hAnsi="Arial" w:cs="Arial"/>
                <w:sz w:val="18"/>
                <w:szCs w:val="18"/>
              </w:rPr>
              <w:t>)</w:t>
            </w:r>
          </w:p>
        </w:tc>
        <w:tc>
          <w:tcPr>
            <w:tcW w:w="1014" w:type="dxa"/>
            <w:tcBorders>
              <w:bottom w:val="single" w:sz="4" w:space="0" w:color="auto"/>
            </w:tcBorders>
            <w:shd w:val="clear" w:color="auto" w:fill="auto"/>
            <w:vAlign w:val="center"/>
          </w:tcPr>
          <w:p w14:paraId="20DE993E" w14:textId="77777777" w:rsidR="00C31C4B" w:rsidRPr="000D5B9F" w:rsidRDefault="00C31C4B" w:rsidP="000D6017">
            <w:pPr>
              <w:ind w:right="170"/>
              <w:jc w:val="right"/>
              <w:rPr>
                <w:rFonts w:ascii="Public Sans" w:eastAsia="Arial" w:hAnsi="Public Sans" w:cs="Arial"/>
                <w:sz w:val="18"/>
                <w:szCs w:val="18"/>
              </w:rPr>
            </w:pPr>
          </w:p>
        </w:tc>
        <w:tc>
          <w:tcPr>
            <w:tcW w:w="1015" w:type="dxa"/>
            <w:tcBorders>
              <w:bottom w:val="single" w:sz="4" w:space="0" w:color="auto"/>
            </w:tcBorders>
            <w:shd w:val="clear" w:color="auto" w:fill="auto"/>
            <w:vAlign w:val="center"/>
          </w:tcPr>
          <w:p w14:paraId="16A99939" w14:textId="77777777" w:rsidR="00C31C4B" w:rsidRPr="000D5B9F" w:rsidRDefault="00C31C4B" w:rsidP="000D6017">
            <w:pPr>
              <w:ind w:right="170"/>
              <w:jc w:val="right"/>
              <w:rPr>
                <w:rFonts w:ascii="Public Sans" w:eastAsia="Arial" w:hAnsi="Public Sans" w:cs="Arial"/>
                <w:sz w:val="18"/>
                <w:szCs w:val="18"/>
              </w:rPr>
            </w:pPr>
          </w:p>
        </w:tc>
        <w:tc>
          <w:tcPr>
            <w:tcW w:w="1015" w:type="dxa"/>
            <w:tcBorders>
              <w:bottom w:val="single" w:sz="4" w:space="0" w:color="auto"/>
            </w:tcBorders>
            <w:shd w:val="clear" w:color="auto" w:fill="auto"/>
            <w:vAlign w:val="center"/>
          </w:tcPr>
          <w:p w14:paraId="0367CDF1" w14:textId="77777777" w:rsidR="00C31C4B" w:rsidRPr="000D5B9F" w:rsidRDefault="00C31C4B" w:rsidP="000D6017">
            <w:pPr>
              <w:ind w:right="170"/>
              <w:jc w:val="right"/>
              <w:rPr>
                <w:rFonts w:ascii="Public Sans" w:eastAsia="Arial" w:hAnsi="Public Sans" w:cs="Arial"/>
                <w:sz w:val="18"/>
                <w:szCs w:val="18"/>
              </w:rPr>
            </w:pPr>
          </w:p>
        </w:tc>
        <w:tc>
          <w:tcPr>
            <w:tcW w:w="1879" w:type="dxa"/>
            <w:shd w:val="clear" w:color="auto" w:fill="auto"/>
            <w:vAlign w:val="center"/>
          </w:tcPr>
          <w:p w14:paraId="40544CCD" w14:textId="77777777" w:rsidR="00C31C4B" w:rsidRPr="000D5B9F" w:rsidRDefault="00C31C4B">
            <w:pPr>
              <w:jc w:val="right"/>
              <w:rPr>
                <w:rFonts w:ascii="Public Sans" w:hAnsi="Public Sans"/>
                <w:sz w:val="18"/>
                <w:szCs w:val="18"/>
              </w:rPr>
            </w:pPr>
          </w:p>
        </w:tc>
      </w:tr>
      <w:tr w:rsidR="00C31C4B" w:rsidRPr="000D5B9F" w14:paraId="1B72610D" w14:textId="77777777" w:rsidTr="000D6017">
        <w:trPr>
          <w:trHeight w:val="300"/>
        </w:trPr>
        <w:tc>
          <w:tcPr>
            <w:tcW w:w="3914" w:type="dxa"/>
            <w:tcBorders>
              <w:top w:val="single" w:sz="4" w:space="0" w:color="auto"/>
            </w:tcBorders>
            <w:shd w:val="clear" w:color="auto" w:fill="auto"/>
            <w:vAlign w:val="center"/>
          </w:tcPr>
          <w:p w14:paraId="61102553" w14:textId="77777777" w:rsidR="00C31C4B" w:rsidRPr="000D5B9F" w:rsidRDefault="00C31C4B">
            <w:pPr>
              <w:rPr>
                <w:rFonts w:ascii="Public Sans" w:hAnsi="Public Sans" w:cs="Arial"/>
                <w:b/>
                <w:bCs/>
                <w:sz w:val="18"/>
                <w:szCs w:val="18"/>
              </w:rPr>
            </w:pPr>
            <w:r w:rsidRPr="000D5B9F">
              <w:rPr>
                <w:rFonts w:ascii="Public Sans" w:hAnsi="Public Sans" w:cs="Arial"/>
                <w:sz w:val="18"/>
                <w:szCs w:val="18"/>
              </w:rPr>
              <w:t>Change in public sector wages and salaries</w:t>
            </w:r>
          </w:p>
        </w:tc>
        <w:tc>
          <w:tcPr>
            <w:tcW w:w="1018" w:type="dxa"/>
            <w:tcBorders>
              <w:top w:val="nil"/>
              <w:left w:val="nil"/>
              <w:bottom w:val="nil"/>
              <w:right w:val="nil"/>
            </w:tcBorders>
            <w:shd w:val="clear" w:color="auto" w:fill="auto"/>
            <w:vAlign w:val="center"/>
          </w:tcPr>
          <w:p w14:paraId="4374BD64" w14:textId="747FF258" w:rsidR="00C31C4B" w:rsidRPr="000D5B9F" w:rsidRDefault="00A6052B" w:rsidP="000D6017">
            <w:pPr>
              <w:ind w:right="170"/>
              <w:jc w:val="right"/>
              <w:rPr>
                <w:rFonts w:ascii="Public Sans" w:eastAsia="Arial" w:hAnsi="Public Sans" w:cs="Arial"/>
                <w:sz w:val="18"/>
                <w:szCs w:val="18"/>
              </w:rPr>
            </w:pPr>
            <w:r>
              <w:rPr>
                <w:rFonts w:ascii="Arial" w:hAnsi="Arial" w:cs="Arial"/>
                <w:sz w:val="18"/>
                <w:szCs w:val="18"/>
              </w:rPr>
              <w:t>(</w:t>
            </w:r>
            <w:r w:rsidR="00C31C4B" w:rsidRPr="00A84B8B">
              <w:rPr>
                <w:rFonts w:ascii="Arial" w:hAnsi="Arial" w:cs="Arial"/>
                <w:sz w:val="18"/>
                <w:szCs w:val="18"/>
              </w:rPr>
              <w:t>60</w:t>
            </w:r>
            <w:r>
              <w:rPr>
                <w:rFonts w:ascii="Arial" w:hAnsi="Arial" w:cs="Arial"/>
                <w:sz w:val="18"/>
                <w:szCs w:val="18"/>
              </w:rPr>
              <w:t>)</w:t>
            </w:r>
          </w:p>
        </w:tc>
        <w:tc>
          <w:tcPr>
            <w:tcW w:w="1014" w:type="dxa"/>
            <w:tcBorders>
              <w:top w:val="nil"/>
              <w:left w:val="nil"/>
              <w:bottom w:val="nil"/>
              <w:right w:val="nil"/>
            </w:tcBorders>
            <w:shd w:val="clear" w:color="auto" w:fill="auto"/>
            <w:vAlign w:val="center"/>
          </w:tcPr>
          <w:p w14:paraId="70926FCE" w14:textId="4B903494" w:rsidR="00C31C4B" w:rsidRPr="000D5B9F" w:rsidRDefault="00A6052B" w:rsidP="000D6017">
            <w:pPr>
              <w:ind w:right="170"/>
              <w:jc w:val="right"/>
              <w:rPr>
                <w:rFonts w:ascii="Public Sans" w:eastAsia="Arial" w:hAnsi="Public Sans" w:cs="Arial"/>
                <w:sz w:val="18"/>
                <w:szCs w:val="18"/>
              </w:rPr>
            </w:pPr>
            <w:r>
              <w:rPr>
                <w:rFonts w:ascii="Arial" w:hAnsi="Arial" w:cs="Arial"/>
                <w:sz w:val="18"/>
                <w:szCs w:val="18"/>
              </w:rPr>
              <w:t>(</w:t>
            </w:r>
            <w:r w:rsidR="00C31C4B" w:rsidRPr="00A84B8B">
              <w:rPr>
                <w:rFonts w:ascii="Arial" w:hAnsi="Arial" w:cs="Arial"/>
                <w:sz w:val="18"/>
                <w:szCs w:val="18"/>
              </w:rPr>
              <w:t>100</w:t>
            </w:r>
            <w:r>
              <w:rPr>
                <w:rFonts w:ascii="Arial" w:hAnsi="Arial" w:cs="Arial"/>
                <w:sz w:val="18"/>
                <w:szCs w:val="18"/>
              </w:rPr>
              <w:t>)</w:t>
            </w:r>
          </w:p>
        </w:tc>
        <w:tc>
          <w:tcPr>
            <w:tcW w:w="1015" w:type="dxa"/>
            <w:tcBorders>
              <w:top w:val="nil"/>
              <w:left w:val="nil"/>
              <w:bottom w:val="nil"/>
              <w:right w:val="nil"/>
            </w:tcBorders>
            <w:shd w:val="clear" w:color="auto" w:fill="auto"/>
            <w:vAlign w:val="center"/>
          </w:tcPr>
          <w:p w14:paraId="3CD820CE" w14:textId="58FAD4E4" w:rsidR="00C31C4B" w:rsidRPr="000D5B9F" w:rsidRDefault="00A6052B" w:rsidP="000D6017">
            <w:pPr>
              <w:ind w:right="170"/>
              <w:jc w:val="right"/>
              <w:rPr>
                <w:rFonts w:ascii="Public Sans" w:eastAsia="Arial" w:hAnsi="Public Sans" w:cs="Arial"/>
                <w:sz w:val="18"/>
                <w:szCs w:val="18"/>
              </w:rPr>
            </w:pPr>
            <w:r>
              <w:rPr>
                <w:rFonts w:ascii="Arial" w:hAnsi="Arial" w:cs="Arial"/>
                <w:sz w:val="18"/>
                <w:szCs w:val="18"/>
              </w:rPr>
              <w:t>(</w:t>
            </w:r>
            <w:r w:rsidR="00C31C4B" w:rsidRPr="00A84B8B">
              <w:rPr>
                <w:rFonts w:ascii="Arial" w:hAnsi="Arial" w:cs="Arial"/>
                <w:sz w:val="18"/>
                <w:szCs w:val="18"/>
              </w:rPr>
              <w:t>140</w:t>
            </w:r>
            <w:r>
              <w:rPr>
                <w:rFonts w:ascii="Arial" w:hAnsi="Arial" w:cs="Arial"/>
                <w:sz w:val="18"/>
                <w:szCs w:val="18"/>
              </w:rPr>
              <w:t>)</w:t>
            </w:r>
          </w:p>
        </w:tc>
        <w:tc>
          <w:tcPr>
            <w:tcW w:w="1015" w:type="dxa"/>
            <w:tcBorders>
              <w:top w:val="nil"/>
              <w:left w:val="nil"/>
              <w:bottom w:val="nil"/>
              <w:right w:val="nil"/>
            </w:tcBorders>
            <w:shd w:val="clear" w:color="auto" w:fill="auto"/>
            <w:vAlign w:val="center"/>
          </w:tcPr>
          <w:p w14:paraId="4A6F5920" w14:textId="63A661FA" w:rsidR="00C31C4B" w:rsidRPr="000D5B9F" w:rsidRDefault="00A6052B" w:rsidP="000D6017">
            <w:pPr>
              <w:ind w:right="170"/>
              <w:jc w:val="right"/>
              <w:rPr>
                <w:rFonts w:ascii="Public Sans" w:eastAsia="Arial" w:hAnsi="Public Sans" w:cs="Arial"/>
                <w:sz w:val="18"/>
                <w:szCs w:val="18"/>
              </w:rPr>
            </w:pPr>
            <w:r>
              <w:rPr>
                <w:rFonts w:ascii="Arial" w:hAnsi="Arial" w:cs="Arial"/>
                <w:sz w:val="18"/>
                <w:szCs w:val="18"/>
              </w:rPr>
              <w:t>(</w:t>
            </w:r>
            <w:r w:rsidR="00C31C4B" w:rsidRPr="00A84B8B">
              <w:rPr>
                <w:rFonts w:ascii="Arial" w:hAnsi="Arial" w:cs="Arial"/>
                <w:sz w:val="18"/>
                <w:szCs w:val="18"/>
              </w:rPr>
              <w:t>190</w:t>
            </w:r>
            <w:r w:rsidR="00FE4778">
              <w:rPr>
                <w:rFonts w:ascii="Arial" w:hAnsi="Arial" w:cs="Arial"/>
                <w:sz w:val="18"/>
                <w:szCs w:val="18"/>
              </w:rPr>
              <w:t>)</w:t>
            </w:r>
          </w:p>
        </w:tc>
        <w:tc>
          <w:tcPr>
            <w:tcW w:w="1879" w:type="dxa"/>
            <w:vMerge w:val="restart"/>
            <w:tcBorders>
              <w:top w:val="single" w:sz="4" w:space="0" w:color="auto"/>
            </w:tcBorders>
            <w:shd w:val="clear" w:color="auto" w:fill="auto"/>
            <w:vAlign w:val="center"/>
          </w:tcPr>
          <w:p w14:paraId="2CBAF5BF" w14:textId="77777777" w:rsidR="00C31C4B" w:rsidRPr="000D5B9F" w:rsidRDefault="00C31C4B">
            <w:pPr>
              <w:jc w:val="center"/>
              <w:rPr>
                <w:rFonts w:ascii="Public Sans" w:hAnsi="Public Sans"/>
                <w:sz w:val="18"/>
                <w:szCs w:val="18"/>
              </w:rPr>
            </w:pPr>
            <w:r w:rsidRPr="000D5B9F">
              <w:rPr>
                <w:rFonts w:ascii="Public Sans" w:hAnsi="Public Sans" w:cs="Arial"/>
                <w:sz w:val="18"/>
                <w:szCs w:val="18"/>
              </w:rPr>
              <w:t>Single percentage point decrease in factor</w:t>
            </w:r>
          </w:p>
        </w:tc>
      </w:tr>
      <w:tr w:rsidR="00C31C4B" w:rsidRPr="000D5B9F" w14:paraId="3EBF8DE4" w14:textId="77777777" w:rsidTr="000D6017">
        <w:trPr>
          <w:trHeight w:val="300"/>
        </w:trPr>
        <w:tc>
          <w:tcPr>
            <w:tcW w:w="3914" w:type="dxa"/>
            <w:shd w:val="clear" w:color="auto" w:fill="auto"/>
            <w:vAlign w:val="center"/>
          </w:tcPr>
          <w:p w14:paraId="0E020033" w14:textId="77777777" w:rsidR="00C31C4B" w:rsidRPr="000D5B9F" w:rsidRDefault="00C31C4B">
            <w:pPr>
              <w:rPr>
                <w:rFonts w:ascii="Public Sans" w:hAnsi="Public Sans"/>
                <w:sz w:val="18"/>
                <w:szCs w:val="18"/>
              </w:rPr>
            </w:pPr>
            <w:r w:rsidRPr="000D5B9F">
              <w:rPr>
                <w:rFonts w:ascii="Public Sans" w:hAnsi="Public Sans" w:cs="Arial"/>
                <w:sz w:val="18"/>
                <w:szCs w:val="18"/>
              </w:rPr>
              <w:t>Change in Sydney CPI</w:t>
            </w:r>
          </w:p>
        </w:tc>
        <w:tc>
          <w:tcPr>
            <w:tcW w:w="1018" w:type="dxa"/>
            <w:tcBorders>
              <w:top w:val="nil"/>
              <w:left w:val="nil"/>
              <w:bottom w:val="nil"/>
              <w:right w:val="nil"/>
            </w:tcBorders>
            <w:shd w:val="clear" w:color="auto" w:fill="auto"/>
            <w:vAlign w:val="center"/>
          </w:tcPr>
          <w:p w14:paraId="7DCE5B26" w14:textId="6B8110A7" w:rsidR="00C31C4B" w:rsidRPr="000D5B9F" w:rsidRDefault="00A6052B" w:rsidP="000D6017">
            <w:pPr>
              <w:ind w:right="170"/>
              <w:jc w:val="right"/>
              <w:rPr>
                <w:rFonts w:ascii="Public Sans" w:eastAsia="Arial" w:hAnsi="Public Sans" w:cs="Arial"/>
                <w:sz w:val="18"/>
                <w:szCs w:val="18"/>
              </w:rPr>
            </w:pPr>
            <w:r>
              <w:rPr>
                <w:rFonts w:ascii="Arial" w:hAnsi="Arial" w:cs="Arial"/>
                <w:sz w:val="18"/>
                <w:szCs w:val="18"/>
              </w:rPr>
              <w:t>(</w:t>
            </w:r>
            <w:r w:rsidR="00C31C4B" w:rsidRPr="00A84B8B">
              <w:rPr>
                <w:rFonts w:ascii="Arial" w:hAnsi="Arial" w:cs="Arial"/>
                <w:sz w:val="18"/>
                <w:szCs w:val="18"/>
              </w:rPr>
              <w:t>620</w:t>
            </w:r>
            <w:r>
              <w:rPr>
                <w:rFonts w:ascii="Arial" w:hAnsi="Arial" w:cs="Arial"/>
                <w:sz w:val="18"/>
                <w:szCs w:val="18"/>
              </w:rPr>
              <w:t>)</w:t>
            </w:r>
          </w:p>
        </w:tc>
        <w:tc>
          <w:tcPr>
            <w:tcW w:w="1014" w:type="dxa"/>
            <w:tcBorders>
              <w:top w:val="nil"/>
              <w:left w:val="nil"/>
              <w:bottom w:val="nil"/>
              <w:right w:val="nil"/>
            </w:tcBorders>
            <w:shd w:val="clear" w:color="auto" w:fill="auto"/>
            <w:vAlign w:val="center"/>
          </w:tcPr>
          <w:p w14:paraId="708BAA9A" w14:textId="30E3DA4C" w:rsidR="00C31C4B" w:rsidRPr="000D5B9F" w:rsidRDefault="00A6052B" w:rsidP="000D6017">
            <w:pPr>
              <w:ind w:right="170"/>
              <w:jc w:val="right"/>
              <w:rPr>
                <w:rFonts w:ascii="Public Sans" w:eastAsia="Arial" w:hAnsi="Public Sans" w:cs="Arial"/>
                <w:sz w:val="18"/>
                <w:szCs w:val="18"/>
              </w:rPr>
            </w:pPr>
            <w:r>
              <w:rPr>
                <w:rFonts w:ascii="Arial" w:hAnsi="Arial" w:cs="Arial"/>
                <w:sz w:val="18"/>
                <w:szCs w:val="18"/>
              </w:rPr>
              <w:t>(</w:t>
            </w:r>
            <w:r w:rsidR="00C31C4B" w:rsidRPr="00A84B8B">
              <w:rPr>
                <w:rFonts w:ascii="Arial" w:hAnsi="Arial" w:cs="Arial"/>
                <w:sz w:val="18"/>
                <w:szCs w:val="18"/>
              </w:rPr>
              <w:t>1,220</w:t>
            </w:r>
            <w:r>
              <w:rPr>
                <w:rFonts w:ascii="Arial" w:hAnsi="Arial" w:cs="Arial"/>
                <w:sz w:val="18"/>
                <w:szCs w:val="18"/>
              </w:rPr>
              <w:t>)</w:t>
            </w:r>
          </w:p>
        </w:tc>
        <w:tc>
          <w:tcPr>
            <w:tcW w:w="1015" w:type="dxa"/>
            <w:tcBorders>
              <w:top w:val="nil"/>
              <w:left w:val="nil"/>
              <w:bottom w:val="nil"/>
              <w:right w:val="nil"/>
            </w:tcBorders>
            <w:shd w:val="clear" w:color="auto" w:fill="auto"/>
            <w:vAlign w:val="center"/>
          </w:tcPr>
          <w:p w14:paraId="391CC211" w14:textId="29C619E7" w:rsidR="00C31C4B" w:rsidRPr="000D5B9F" w:rsidRDefault="00A6052B" w:rsidP="000D6017">
            <w:pPr>
              <w:ind w:right="170"/>
              <w:jc w:val="right"/>
              <w:rPr>
                <w:rFonts w:ascii="Public Sans" w:eastAsia="Arial" w:hAnsi="Public Sans" w:cs="Arial"/>
                <w:sz w:val="18"/>
                <w:szCs w:val="18"/>
              </w:rPr>
            </w:pPr>
            <w:r>
              <w:rPr>
                <w:rFonts w:ascii="Arial" w:hAnsi="Arial" w:cs="Arial"/>
                <w:sz w:val="18"/>
                <w:szCs w:val="18"/>
              </w:rPr>
              <w:t>(</w:t>
            </w:r>
            <w:r w:rsidR="00C31C4B" w:rsidRPr="00A84B8B">
              <w:rPr>
                <w:rFonts w:ascii="Arial" w:hAnsi="Arial" w:cs="Arial"/>
                <w:sz w:val="18"/>
                <w:szCs w:val="18"/>
              </w:rPr>
              <w:t>1,770</w:t>
            </w:r>
            <w:r>
              <w:rPr>
                <w:rFonts w:ascii="Arial" w:hAnsi="Arial" w:cs="Arial"/>
                <w:sz w:val="18"/>
                <w:szCs w:val="18"/>
              </w:rPr>
              <w:t>)</w:t>
            </w:r>
          </w:p>
        </w:tc>
        <w:tc>
          <w:tcPr>
            <w:tcW w:w="1015" w:type="dxa"/>
            <w:tcBorders>
              <w:top w:val="nil"/>
              <w:left w:val="nil"/>
              <w:bottom w:val="nil"/>
              <w:right w:val="nil"/>
            </w:tcBorders>
            <w:shd w:val="clear" w:color="auto" w:fill="auto"/>
            <w:vAlign w:val="center"/>
          </w:tcPr>
          <w:p w14:paraId="1F4DE437" w14:textId="0109A019" w:rsidR="00C31C4B" w:rsidRPr="000D5B9F" w:rsidRDefault="00FE4778" w:rsidP="000D6017">
            <w:pPr>
              <w:ind w:right="170"/>
              <w:jc w:val="right"/>
              <w:rPr>
                <w:rFonts w:ascii="Public Sans" w:eastAsia="Arial" w:hAnsi="Public Sans" w:cs="Arial"/>
                <w:sz w:val="18"/>
                <w:szCs w:val="18"/>
              </w:rPr>
            </w:pPr>
            <w:r>
              <w:rPr>
                <w:rFonts w:ascii="Arial" w:hAnsi="Arial" w:cs="Arial"/>
                <w:sz w:val="18"/>
                <w:szCs w:val="18"/>
              </w:rPr>
              <w:t>(</w:t>
            </w:r>
            <w:r w:rsidR="00C31C4B" w:rsidRPr="00A84B8B">
              <w:rPr>
                <w:rFonts w:ascii="Arial" w:hAnsi="Arial" w:cs="Arial"/>
                <w:sz w:val="18"/>
                <w:szCs w:val="18"/>
              </w:rPr>
              <w:t>2,490</w:t>
            </w:r>
            <w:r>
              <w:rPr>
                <w:rFonts w:ascii="Arial" w:hAnsi="Arial" w:cs="Arial"/>
                <w:sz w:val="18"/>
                <w:szCs w:val="18"/>
              </w:rPr>
              <w:t>)</w:t>
            </w:r>
          </w:p>
        </w:tc>
        <w:tc>
          <w:tcPr>
            <w:tcW w:w="1879" w:type="dxa"/>
            <w:vMerge/>
            <w:shd w:val="clear" w:color="auto" w:fill="auto"/>
          </w:tcPr>
          <w:p w14:paraId="0A38C3E3" w14:textId="77777777" w:rsidR="00C31C4B" w:rsidRPr="000D5B9F" w:rsidRDefault="00C31C4B">
            <w:pPr>
              <w:rPr>
                <w:rFonts w:ascii="Public Sans" w:hAnsi="Public Sans"/>
                <w:sz w:val="18"/>
                <w:szCs w:val="18"/>
              </w:rPr>
            </w:pPr>
          </w:p>
        </w:tc>
      </w:tr>
      <w:tr w:rsidR="00C31C4B" w:rsidRPr="000D5B9F" w14:paraId="1367D141" w14:textId="77777777" w:rsidTr="000D6017">
        <w:trPr>
          <w:trHeight w:val="300"/>
        </w:trPr>
        <w:tc>
          <w:tcPr>
            <w:tcW w:w="3914" w:type="dxa"/>
            <w:shd w:val="clear" w:color="auto" w:fill="auto"/>
            <w:vAlign w:val="center"/>
          </w:tcPr>
          <w:p w14:paraId="55B34708" w14:textId="77777777" w:rsidR="00C31C4B" w:rsidRPr="000D5B9F" w:rsidRDefault="00C31C4B">
            <w:pPr>
              <w:rPr>
                <w:rFonts w:ascii="Public Sans" w:hAnsi="Public Sans" w:cs="Arial"/>
                <w:sz w:val="18"/>
                <w:szCs w:val="18"/>
                <w:vertAlign w:val="superscript"/>
              </w:rPr>
            </w:pPr>
            <w:r w:rsidRPr="000D5B9F">
              <w:rPr>
                <w:rFonts w:ascii="Public Sans" w:hAnsi="Public Sans" w:cs="Arial"/>
                <w:sz w:val="18"/>
                <w:szCs w:val="18"/>
              </w:rPr>
              <w:t>Change in investment return</w:t>
            </w:r>
          </w:p>
        </w:tc>
        <w:tc>
          <w:tcPr>
            <w:tcW w:w="1018" w:type="dxa"/>
            <w:tcBorders>
              <w:top w:val="nil"/>
              <w:left w:val="nil"/>
              <w:bottom w:val="nil"/>
              <w:right w:val="nil"/>
            </w:tcBorders>
            <w:shd w:val="clear" w:color="auto" w:fill="auto"/>
            <w:vAlign w:val="center"/>
          </w:tcPr>
          <w:p w14:paraId="59B8EAA0" w14:textId="77777777" w:rsidR="00C31C4B" w:rsidRPr="000D5B9F" w:rsidRDefault="00C31C4B" w:rsidP="000D6017">
            <w:pPr>
              <w:ind w:right="170"/>
              <w:jc w:val="right"/>
              <w:rPr>
                <w:rFonts w:ascii="Public Sans" w:eastAsia="Arial" w:hAnsi="Public Sans" w:cs="Arial"/>
                <w:sz w:val="18"/>
                <w:szCs w:val="18"/>
              </w:rPr>
            </w:pPr>
            <w:r w:rsidRPr="00A84B8B">
              <w:rPr>
                <w:rFonts w:ascii="Arial" w:hAnsi="Arial" w:cs="Arial"/>
                <w:sz w:val="18"/>
                <w:szCs w:val="18"/>
              </w:rPr>
              <w:t>300</w:t>
            </w:r>
          </w:p>
        </w:tc>
        <w:tc>
          <w:tcPr>
            <w:tcW w:w="1014" w:type="dxa"/>
            <w:tcBorders>
              <w:top w:val="nil"/>
              <w:left w:val="nil"/>
              <w:bottom w:val="nil"/>
              <w:right w:val="nil"/>
            </w:tcBorders>
            <w:shd w:val="clear" w:color="auto" w:fill="auto"/>
            <w:vAlign w:val="center"/>
          </w:tcPr>
          <w:p w14:paraId="260DEB78" w14:textId="77777777" w:rsidR="00C31C4B" w:rsidRPr="000D5B9F" w:rsidRDefault="00C31C4B" w:rsidP="000D6017">
            <w:pPr>
              <w:ind w:right="170"/>
              <w:jc w:val="right"/>
              <w:rPr>
                <w:rFonts w:ascii="Public Sans" w:eastAsia="Arial" w:hAnsi="Public Sans" w:cs="Arial"/>
                <w:sz w:val="18"/>
                <w:szCs w:val="18"/>
              </w:rPr>
            </w:pPr>
            <w:r w:rsidRPr="00A84B8B">
              <w:rPr>
                <w:rFonts w:ascii="Arial" w:hAnsi="Arial" w:cs="Arial"/>
                <w:sz w:val="18"/>
                <w:szCs w:val="18"/>
              </w:rPr>
              <w:t>630</w:t>
            </w:r>
          </w:p>
        </w:tc>
        <w:tc>
          <w:tcPr>
            <w:tcW w:w="1015" w:type="dxa"/>
            <w:tcBorders>
              <w:top w:val="nil"/>
              <w:left w:val="nil"/>
              <w:bottom w:val="nil"/>
              <w:right w:val="nil"/>
            </w:tcBorders>
            <w:shd w:val="clear" w:color="auto" w:fill="auto"/>
            <w:vAlign w:val="center"/>
          </w:tcPr>
          <w:p w14:paraId="7F0F3148" w14:textId="77777777" w:rsidR="00C31C4B" w:rsidRPr="000D5B9F" w:rsidRDefault="00C31C4B" w:rsidP="000D6017">
            <w:pPr>
              <w:ind w:right="170"/>
              <w:jc w:val="right"/>
              <w:rPr>
                <w:rFonts w:ascii="Public Sans" w:eastAsia="Arial" w:hAnsi="Public Sans" w:cs="Arial"/>
                <w:sz w:val="18"/>
                <w:szCs w:val="18"/>
              </w:rPr>
            </w:pPr>
            <w:r w:rsidRPr="00A84B8B">
              <w:rPr>
                <w:rFonts w:ascii="Arial" w:hAnsi="Arial" w:cs="Arial"/>
                <w:sz w:val="18"/>
                <w:szCs w:val="18"/>
              </w:rPr>
              <w:t>990</w:t>
            </w:r>
          </w:p>
        </w:tc>
        <w:tc>
          <w:tcPr>
            <w:tcW w:w="1015" w:type="dxa"/>
            <w:tcBorders>
              <w:top w:val="nil"/>
              <w:left w:val="nil"/>
              <w:bottom w:val="nil"/>
              <w:right w:val="nil"/>
            </w:tcBorders>
            <w:shd w:val="clear" w:color="auto" w:fill="auto"/>
            <w:vAlign w:val="center"/>
          </w:tcPr>
          <w:p w14:paraId="04E29D6F" w14:textId="77777777" w:rsidR="00C31C4B" w:rsidRPr="000D5B9F" w:rsidRDefault="00C31C4B" w:rsidP="000D6017">
            <w:pPr>
              <w:ind w:right="170"/>
              <w:jc w:val="right"/>
              <w:rPr>
                <w:rFonts w:ascii="Public Sans" w:eastAsia="Arial" w:hAnsi="Public Sans" w:cs="Arial"/>
                <w:sz w:val="18"/>
                <w:szCs w:val="18"/>
              </w:rPr>
            </w:pPr>
            <w:r w:rsidRPr="00A84B8B">
              <w:rPr>
                <w:rFonts w:ascii="Arial" w:hAnsi="Arial" w:cs="Arial"/>
                <w:sz w:val="18"/>
                <w:szCs w:val="18"/>
              </w:rPr>
              <w:t>1,350</w:t>
            </w:r>
          </w:p>
        </w:tc>
        <w:tc>
          <w:tcPr>
            <w:tcW w:w="1879" w:type="dxa"/>
            <w:vMerge/>
            <w:shd w:val="clear" w:color="auto" w:fill="auto"/>
          </w:tcPr>
          <w:p w14:paraId="04BE4B9F" w14:textId="77777777" w:rsidR="00C31C4B" w:rsidRPr="000D5B9F" w:rsidRDefault="00C31C4B">
            <w:pPr>
              <w:rPr>
                <w:rFonts w:ascii="Public Sans" w:hAnsi="Public Sans"/>
                <w:sz w:val="18"/>
                <w:szCs w:val="18"/>
              </w:rPr>
            </w:pPr>
          </w:p>
        </w:tc>
      </w:tr>
      <w:tr w:rsidR="00C31C4B" w:rsidRPr="000D5B9F" w14:paraId="51AD62E3" w14:textId="77777777" w:rsidTr="000D6017">
        <w:trPr>
          <w:trHeight w:val="300"/>
        </w:trPr>
        <w:tc>
          <w:tcPr>
            <w:tcW w:w="3914" w:type="dxa"/>
            <w:tcBorders>
              <w:bottom w:val="single" w:sz="4" w:space="0" w:color="auto"/>
            </w:tcBorders>
            <w:shd w:val="clear" w:color="auto" w:fill="auto"/>
            <w:vAlign w:val="center"/>
          </w:tcPr>
          <w:p w14:paraId="10D370D3" w14:textId="77777777" w:rsidR="00C31C4B" w:rsidRPr="000D5B9F" w:rsidRDefault="00C31C4B">
            <w:pPr>
              <w:rPr>
                <w:rFonts w:ascii="Public Sans" w:hAnsi="Public Sans"/>
                <w:sz w:val="18"/>
                <w:szCs w:val="18"/>
              </w:rPr>
            </w:pPr>
            <w:r w:rsidRPr="000D5B9F">
              <w:rPr>
                <w:rFonts w:ascii="Public Sans" w:hAnsi="Public Sans" w:cs="Arial"/>
                <w:sz w:val="18"/>
                <w:szCs w:val="18"/>
              </w:rPr>
              <w:t>Change in discount rate</w:t>
            </w:r>
          </w:p>
        </w:tc>
        <w:tc>
          <w:tcPr>
            <w:tcW w:w="1018" w:type="dxa"/>
            <w:tcBorders>
              <w:top w:val="nil"/>
              <w:left w:val="nil"/>
              <w:bottom w:val="single" w:sz="4" w:space="0" w:color="auto"/>
              <w:right w:val="nil"/>
            </w:tcBorders>
            <w:shd w:val="clear" w:color="auto" w:fill="auto"/>
            <w:vAlign w:val="center"/>
          </w:tcPr>
          <w:p w14:paraId="1A9C09B3" w14:textId="77777777" w:rsidR="00C31C4B" w:rsidRPr="000D5B9F" w:rsidRDefault="00C31C4B" w:rsidP="000D6017">
            <w:pPr>
              <w:ind w:right="170"/>
              <w:jc w:val="right"/>
              <w:rPr>
                <w:rFonts w:ascii="Public Sans" w:eastAsia="Arial" w:hAnsi="Public Sans" w:cs="Arial"/>
                <w:sz w:val="18"/>
                <w:szCs w:val="18"/>
              </w:rPr>
            </w:pPr>
            <w:r w:rsidRPr="00A84B8B">
              <w:rPr>
                <w:rFonts w:ascii="Arial" w:hAnsi="Arial" w:cs="Arial"/>
                <w:sz w:val="18"/>
                <w:szCs w:val="18"/>
              </w:rPr>
              <w:t>7,900</w:t>
            </w:r>
          </w:p>
        </w:tc>
        <w:tc>
          <w:tcPr>
            <w:tcW w:w="1014" w:type="dxa"/>
            <w:tcBorders>
              <w:top w:val="nil"/>
              <w:left w:val="nil"/>
              <w:bottom w:val="single" w:sz="4" w:space="0" w:color="auto"/>
              <w:right w:val="nil"/>
            </w:tcBorders>
            <w:shd w:val="clear" w:color="auto" w:fill="auto"/>
            <w:vAlign w:val="center"/>
          </w:tcPr>
          <w:p w14:paraId="6F2CD098" w14:textId="77777777" w:rsidR="00C31C4B" w:rsidRPr="000D5B9F" w:rsidRDefault="00C31C4B" w:rsidP="000D6017">
            <w:pPr>
              <w:ind w:right="170"/>
              <w:jc w:val="right"/>
              <w:rPr>
                <w:rFonts w:ascii="Public Sans" w:eastAsia="Arial" w:hAnsi="Public Sans" w:cs="Arial"/>
                <w:sz w:val="18"/>
                <w:szCs w:val="18"/>
              </w:rPr>
            </w:pPr>
          </w:p>
        </w:tc>
        <w:tc>
          <w:tcPr>
            <w:tcW w:w="1015" w:type="dxa"/>
            <w:tcBorders>
              <w:top w:val="nil"/>
              <w:left w:val="nil"/>
              <w:bottom w:val="single" w:sz="4" w:space="0" w:color="auto"/>
              <w:right w:val="nil"/>
            </w:tcBorders>
            <w:shd w:val="clear" w:color="auto" w:fill="auto"/>
            <w:vAlign w:val="center"/>
          </w:tcPr>
          <w:p w14:paraId="254B5CBE" w14:textId="77777777" w:rsidR="00C31C4B" w:rsidRPr="000D5B9F" w:rsidRDefault="00C31C4B" w:rsidP="000D6017">
            <w:pPr>
              <w:ind w:right="170"/>
              <w:jc w:val="right"/>
              <w:rPr>
                <w:rFonts w:ascii="Public Sans" w:eastAsia="Arial" w:hAnsi="Public Sans" w:cs="Arial"/>
                <w:sz w:val="18"/>
                <w:szCs w:val="18"/>
              </w:rPr>
            </w:pPr>
          </w:p>
        </w:tc>
        <w:tc>
          <w:tcPr>
            <w:tcW w:w="1015" w:type="dxa"/>
            <w:tcBorders>
              <w:top w:val="nil"/>
              <w:left w:val="nil"/>
              <w:bottom w:val="single" w:sz="4" w:space="0" w:color="auto"/>
              <w:right w:val="nil"/>
            </w:tcBorders>
            <w:shd w:val="clear" w:color="auto" w:fill="auto"/>
            <w:vAlign w:val="center"/>
          </w:tcPr>
          <w:p w14:paraId="5731B2DF" w14:textId="77777777" w:rsidR="00C31C4B" w:rsidRPr="000D5B9F" w:rsidRDefault="00C31C4B" w:rsidP="000D6017">
            <w:pPr>
              <w:ind w:right="170"/>
              <w:jc w:val="right"/>
              <w:rPr>
                <w:rFonts w:ascii="Public Sans" w:eastAsia="Arial" w:hAnsi="Public Sans" w:cs="Arial"/>
                <w:sz w:val="18"/>
                <w:szCs w:val="18"/>
              </w:rPr>
            </w:pPr>
          </w:p>
        </w:tc>
        <w:tc>
          <w:tcPr>
            <w:tcW w:w="1879" w:type="dxa"/>
            <w:tcBorders>
              <w:bottom w:val="single" w:sz="4" w:space="0" w:color="auto"/>
            </w:tcBorders>
          </w:tcPr>
          <w:p w14:paraId="28A80AA7" w14:textId="77777777" w:rsidR="00C31C4B" w:rsidRPr="000D5B9F" w:rsidRDefault="00C31C4B">
            <w:pPr>
              <w:rPr>
                <w:rFonts w:ascii="Public Sans" w:hAnsi="Public Sans"/>
                <w:sz w:val="18"/>
                <w:szCs w:val="18"/>
              </w:rPr>
            </w:pPr>
          </w:p>
        </w:tc>
      </w:tr>
    </w:tbl>
    <w:p w14:paraId="09789B63" w14:textId="77777777" w:rsidR="00650CF8" w:rsidRPr="00573227" w:rsidRDefault="00650CF8" w:rsidP="00650CF8">
      <w:pPr>
        <w:rPr>
          <w:rFonts w:ascii="Arial" w:hAnsi="Arial" w:cs="Arial"/>
          <w:sz w:val="6"/>
          <w:szCs w:val="6"/>
        </w:rPr>
      </w:pPr>
    </w:p>
    <w:p w14:paraId="72EDD272" w14:textId="291C6FAF" w:rsidR="00650CF8" w:rsidRPr="00674B22" w:rsidRDefault="00650CF8" w:rsidP="00674B22">
      <w:pPr>
        <w:numPr>
          <w:ilvl w:val="0"/>
          <w:numId w:val="7"/>
        </w:numPr>
        <w:ind w:left="357" w:hanging="357"/>
        <w:rPr>
          <w:rFonts w:ascii="Public Sans" w:hAnsi="Public Sans"/>
          <w:sz w:val="17"/>
          <w:szCs w:val="17"/>
        </w:rPr>
      </w:pPr>
      <w:r w:rsidRPr="00674B22">
        <w:rPr>
          <w:rFonts w:ascii="Public Sans" w:eastAsia="Arial" w:hAnsi="Public Sans" w:cs="Arial"/>
          <w:sz w:val="17"/>
          <w:szCs w:val="17"/>
        </w:rPr>
        <w:t>A positive number in the table indicates an increase in the size of the liabilities, and vice versa. For example, a single percentage increase in public sector wages increases net liabilities, which weakens the financial position.</w:t>
      </w:r>
    </w:p>
    <w:p w14:paraId="28AF4312" w14:textId="77777777" w:rsidR="00650CF8" w:rsidRPr="00674B22" w:rsidRDefault="00650CF8" w:rsidP="00674B22">
      <w:pPr>
        <w:numPr>
          <w:ilvl w:val="0"/>
          <w:numId w:val="7"/>
        </w:numPr>
        <w:ind w:left="357" w:hanging="357"/>
        <w:rPr>
          <w:rFonts w:ascii="Public Sans" w:eastAsiaTheme="minorEastAsia" w:hAnsi="Public Sans" w:cstheme="minorBidi"/>
          <w:sz w:val="17"/>
          <w:szCs w:val="17"/>
        </w:rPr>
      </w:pPr>
      <w:r w:rsidRPr="00674B22">
        <w:rPr>
          <w:rFonts w:ascii="Public Sans" w:eastAsia="Arial" w:hAnsi="Public Sans" w:cs="Arial"/>
          <w:sz w:val="17"/>
          <w:szCs w:val="17"/>
        </w:rPr>
        <w:t xml:space="preserve">For producing superannuation liabilities sensitivities, </w:t>
      </w:r>
      <w:r w:rsidRPr="00674B22">
        <w:rPr>
          <w:rFonts w:ascii="Public Sans" w:eastAsia="Arial" w:hAnsi="Public Sans" w:cs="Arial"/>
          <w:i/>
          <w:iCs/>
          <w:sz w:val="17"/>
          <w:szCs w:val="17"/>
        </w:rPr>
        <w:t>AASB 119 Employee Benefits</w:t>
      </w:r>
      <w:r w:rsidRPr="00674B22">
        <w:rPr>
          <w:rFonts w:ascii="Public Sans" w:eastAsia="Arial" w:hAnsi="Public Sans" w:cs="Arial"/>
          <w:sz w:val="17"/>
          <w:szCs w:val="17"/>
        </w:rPr>
        <w:t xml:space="preserve"> is used. </w:t>
      </w:r>
    </w:p>
    <w:p w14:paraId="4D9317DD" w14:textId="77777777" w:rsidR="00246D46" w:rsidRDefault="00246D46" w:rsidP="00246D46">
      <w:pPr>
        <w:rPr>
          <w:rFonts w:eastAsiaTheme="minorEastAsia"/>
        </w:rPr>
      </w:pPr>
    </w:p>
    <w:p w14:paraId="40691A4C" w14:textId="43E0FB68" w:rsidR="00B81463" w:rsidRDefault="00636A2B" w:rsidP="00014449">
      <w:pPr>
        <w:pStyle w:val="BodyText"/>
      </w:pPr>
      <w:bookmarkStart w:id="2" w:name="_Hlk516140928"/>
      <w:r w:rsidRPr="00636A2B">
        <w:t>Any change in the growth of public sector salaries will affect the superannuation entitlements of those employees in a defined benefit scheme that are still in the workforce</w:t>
      </w:r>
      <w:r w:rsidR="008C3570">
        <w:t>.</w:t>
      </w:r>
      <w:r w:rsidR="00D34686">
        <w:t xml:space="preserve"> A decre</w:t>
      </w:r>
      <w:r w:rsidRPr="00636A2B">
        <w:t>ase in C</w:t>
      </w:r>
      <w:r w:rsidR="000D2427">
        <w:t xml:space="preserve">onsumer </w:t>
      </w:r>
      <w:r w:rsidRPr="00636A2B">
        <w:t>P</w:t>
      </w:r>
      <w:r w:rsidR="000D2427">
        <w:t xml:space="preserve">rice </w:t>
      </w:r>
      <w:r w:rsidRPr="00636A2B">
        <w:t>I</w:t>
      </w:r>
      <w:r w:rsidR="000D2427">
        <w:t>ndex (CPI)</w:t>
      </w:r>
      <w:r w:rsidRPr="00636A2B">
        <w:t xml:space="preserve"> will lower the benefit payments to all members as their pension is indexed by the Sydney CPI. An increase in the investment return on superannuation assets will increase the funding level of the superannuation liability and improve the budget result. For further information on the unfunded superannuation liability, refer to Chapter 6</w:t>
      </w:r>
      <w:r w:rsidR="003A3143">
        <w:t xml:space="preserve"> Managing the State’s Assets and Liabilities</w:t>
      </w:r>
      <w:r w:rsidRPr="00636A2B">
        <w:t>.</w:t>
      </w:r>
    </w:p>
    <w:p w14:paraId="20EB34EC" w14:textId="77777777" w:rsidR="005619A2" w:rsidRDefault="005619A2" w:rsidP="005619A2">
      <w:pPr>
        <w:pStyle w:val="Heading3"/>
        <w:rPr>
          <w:rFonts w:eastAsia="Arial Bold"/>
        </w:rPr>
      </w:pPr>
      <w:r w:rsidRPr="61B12E0D">
        <w:rPr>
          <w:rFonts w:eastAsia="Arial Bold"/>
        </w:rPr>
        <w:t>In</w:t>
      </w:r>
      <w:r>
        <w:rPr>
          <w:rFonts w:eastAsia="Arial Bold"/>
        </w:rPr>
        <w:t>surance risks</w:t>
      </w:r>
    </w:p>
    <w:p w14:paraId="7A5A0DA2" w14:textId="77777777" w:rsidR="005619A2" w:rsidRDefault="005619A2" w:rsidP="00014449">
      <w:pPr>
        <w:pStyle w:val="BodyText"/>
        <w:rPr>
          <w:rFonts w:eastAsia="Arial Bold"/>
        </w:rPr>
      </w:pPr>
      <w:r w:rsidRPr="00522456">
        <w:rPr>
          <w:rFonts w:eastAsia="Arial Bold"/>
        </w:rPr>
        <w:t>Insurance risks are managed through the State’s self-insurance schemes (and commercial</w:t>
      </w:r>
      <w:r>
        <w:rPr>
          <w:rFonts w:eastAsia="Arial Bold"/>
        </w:rPr>
        <w:t xml:space="preserve"> </w:t>
      </w:r>
      <w:r w:rsidRPr="00522456">
        <w:rPr>
          <w:rFonts w:eastAsia="Arial Bold"/>
        </w:rPr>
        <w:t>reinsurance), the largest being the TMF. There are increasing</w:t>
      </w:r>
      <w:r>
        <w:rPr>
          <w:rFonts w:eastAsia="Arial Bold"/>
        </w:rPr>
        <w:t xml:space="preserve"> </w:t>
      </w:r>
      <w:r w:rsidRPr="00522456">
        <w:rPr>
          <w:rFonts w:eastAsia="Arial Bold"/>
        </w:rPr>
        <w:t>pressures on the State’s insurance liabilities, driven by rising costs and claims relating to</w:t>
      </w:r>
      <w:r>
        <w:rPr>
          <w:rFonts w:eastAsia="Arial Bold"/>
        </w:rPr>
        <w:t xml:space="preserve"> </w:t>
      </w:r>
      <w:r w:rsidRPr="00522456">
        <w:rPr>
          <w:rFonts w:eastAsia="Arial Bold"/>
        </w:rPr>
        <w:t>psychological injury, medical discharge, medical malpractice, historic sexual abuse, cyber,</w:t>
      </w:r>
      <w:r>
        <w:rPr>
          <w:rFonts w:eastAsia="Arial Bold"/>
        </w:rPr>
        <w:t xml:space="preserve"> </w:t>
      </w:r>
      <w:r w:rsidRPr="00522456">
        <w:rPr>
          <w:rFonts w:eastAsia="Arial Bold"/>
        </w:rPr>
        <w:t>flood damage and other emerging risks. There is a significant risk that these pressures will</w:t>
      </w:r>
      <w:r>
        <w:rPr>
          <w:rFonts w:eastAsia="Arial Bold"/>
        </w:rPr>
        <w:t xml:space="preserve"> </w:t>
      </w:r>
      <w:r w:rsidRPr="00522456">
        <w:rPr>
          <w:rFonts w:eastAsia="Arial Bold"/>
        </w:rPr>
        <w:t>result in higher than currently estimated costs.</w:t>
      </w:r>
    </w:p>
    <w:p w14:paraId="70DF23DC" w14:textId="77777777" w:rsidR="008446E1" w:rsidRDefault="008446E1" w:rsidP="00014449">
      <w:pPr>
        <w:pStyle w:val="BodyText"/>
        <w:rPr>
          <w:rFonts w:eastAsia="Arial Bold"/>
        </w:rPr>
      </w:pPr>
    </w:p>
    <w:p w14:paraId="04127733" w14:textId="77777777" w:rsidR="002E4FD4" w:rsidRPr="00455108" w:rsidRDefault="002E4FD4" w:rsidP="002E4FD4">
      <w:pPr>
        <w:pStyle w:val="Heading3"/>
        <w:rPr>
          <w:rFonts w:eastAsia="Arial Bold"/>
        </w:rPr>
      </w:pPr>
      <w:r w:rsidRPr="61B12E0D">
        <w:rPr>
          <w:rFonts w:eastAsia="Arial Bold"/>
        </w:rPr>
        <w:lastRenderedPageBreak/>
        <w:t>Infrastructure related risks</w:t>
      </w:r>
    </w:p>
    <w:p w14:paraId="7E4F4E61" w14:textId="6F00DEC7" w:rsidR="00C35E99" w:rsidRDefault="002E4FD4" w:rsidP="00014449">
      <w:pPr>
        <w:pStyle w:val="BodyText"/>
        <w:rPr>
          <w:rFonts w:ascii="Arial" w:hAnsi="Arial"/>
        </w:rPr>
      </w:pPr>
      <w:r w:rsidRPr="001E5D06">
        <w:t xml:space="preserve">The State’s infrastructure </w:t>
      </w:r>
      <w:r>
        <w:t>plan</w:t>
      </w:r>
      <w:r w:rsidRPr="001E5D06">
        <w:t xml:space="preserve"> is estimated to be </w:t>
      </w:r>
      <w:r w:rsidRPr="00D06F46">
        <w:t>$</w:t>
      </w:r>
      <w:r w:rsidR="00BD3EB5" w:rsidRPr="00D06F46">
        <w:t>11</w:t>
      </w:r>
      <w:r w:rsidR="0005453C" w:rsidRPr="00D06F46">
        <w:t>6</w:t>
      </w:r>
      <w:r w:rsidRPr="00D06F46">
        <w:t>.</w:t>
      </w:r>
      <w:r w:rsidR="0005453C" w:rsidRPr="00D06F46">
        <w:t>5</w:t>
      </w:r>
      <w:r w:rsidRPr="001E5D06">
        <w:t xml:space="preserve"> billion over the four years to </w:t>
      </w:r>
      <w:r>
        <w:br w:type="textWrapping" w:clear="all"/>
      </w:r>
      <w:r w:rsidRPr="001E5D06">
        <w:t>2026-27</w:t>
      </w:r>
      <w:r w:rsidR="00081362">
        <w:t>, after including</w:t>
      </w:r>
      <w:r w:rsidRPr="001E5D06" w:rsidDel="00D23D18">
        <w:t xml:space="preserve"> a</w:t>
      </w:r>
      <w:r w:rsidRPr="001E5D06">
        <w:t xml:space="preserve">n </w:t>
      </w:r>
      <w:r w:rsidRPr="005239F7">
        <w:t xml:space="preserve">allowance </w:t>
      </w:r>
      <w:r w:rsidR="00A22E0C">
        <w:t>for the observed tendency</w:t>
      </w:r>
      <w:r w:rsidRPr="001E5D06">
        <w:t xml:space="preserve"> for capital </w:t>
      </w:r>
      <w:r w:rsidR="00A22E0C">
        <w:t>expenditure to slip each year</w:t>
      </w:r>
      <w:r w:rsidRPr="001E5D06">
        <w:t xml:space="preserve">. Total capital expenditure varies as individual projects progress through their delivery lifecycle and encounter unanticipated delays. Uncertainty around international supply chains, geopolitical instability, the availability of expert labour and specialised capital equipment, </w:t>
      </w:r>
      <w:r>
        <w:t xml:space="preserve">as well as </w:t>
      </w:r>
      <w:r w:rsidRPr="001E5D06">
        <w:t xml:space="preserve">the increasing complexity of the projects can all impact </w:t>
      </w:r>
      <w:r>
        <w:t>t</w:t>
      </w:r>
      <w:r w:rsidRPr="00BC7E60">
        <w:t>he cost and delivery timeframes for infrastructure projects.</w:t>
      </w:r>
      <w:r w:rsidRPr="008F755F">
        <w:rPr>
          <w:rFonts w:ascii="Arial" w:hAnsi="Arial"/>
        </w:rPr>
        <w:t xml:space="preserve"> </w:t>
      </w:r>
    </w:p>
    <w:p w14:paraId="6B3706D5" w14:textId="702CB602" w:rsidR="002E4FD4" w:rsidRPr="002148A5" w:rsidRDefault="002E4FD4" w:rsidP="00014449">
      <w:pPr>
        <w:pStyle w:val="BodyText"/>
      </w:pPr>
      <w:r w:rsidRPr="008F755F">
        <w:t xml:space="preserve">The Government actively manages the cost and delivery timeframe of projects to minimise any potential disruptions (see Budget Paper No. 3 </w:t>
      </w:r>
      <w:r w:rsidRPr="006E207B">
        <w:rPr>
          <w:i/>
          <w:iCs/>
        </w:rPr>
        <w:t>Infrastructure Statement</w:t>
      </w:r>
      <w:r w:rsidRPr="008F755F">
        <w:t xml:space="preserve"> for more information). </w:t>
      </w:r>
    </w:p>
    <w:p w14:paraId="0F3A6D55" w14:textId="6FF6F169" w:rsidR="00650CF8" w:rsidRPr="00667998" w:rsidRDefault="00650CF8" w:rsidP="00570DA4">
      <w:pPr>
        <w:pStyle w:val="B1Heading2"/>
      </w:pPr>
      <w:r>
        <w:t xml:space="preserve">Specific fiscal risks </w:t>
      </w:r>
    </w:p>
    <w:bookmarkEnd w:id="2"/>
    <w:p w14:paraId="7CDBD4FD" w14:textId="77777777" w:rsidR="00236763" w:rsidRDefault="00236763" w:rsidP="00236763">
      <w:pPr>
        <w:pStyle w:val="Heading3"/>
      </w:pPr>
      <w:r>
        <w:t>Lagged impacts of high interest rates</w:t>
      </w:r>
    </w:p>
    <w:p w14:paraId="1886DBFC" w14:textId="6CA72F08" w:rsidR="00236763" w:rsidRDefault="00236763" w:rsidP="00014449">
      <w:pPr>
        <w:pStyle w:val="BodyText"/>
      </w:pPr>
      <w:r w:rsidRPr="007D6E08">
        <w:t>The R</w:t>
      </w:r>
      <w:r w:rsidR="00677591">
        <w:t xml:space="preserve">eserve </w:t>
      </w:r>
      <w:r w:rsidRPr="007D6E08">
        <w:t>B</w:t>
      </w:r>
      <w:r w:rsidR="00677591">
        <w:t xml:space="preserve">ank of </w:t>
      </w:r>
      <w:r w:rsidRPr="007D6E08">
        <w:t>A</w:t>
      </w:r>
      <w:r w:rsidR="00677591">
        <w:t>ustralia</w:t>
      </w:r>
      <w:r w:rsidRPr="007D6E08">
        <w:t xml:space="preserve"> </w:t>
      </w:r>
      <w:r w:rsidR="00C72927">
        <w:t>(</w:t>
      </w:r>
      <w:r w:rsidRPr="007D6E08">
        <w:t>RBA</w:t>
      </w:r>
      <w:r w:rsidR="00C72927">
        <w:t>)</w:t>
      </w:r>
      <w:r w:rsidRPr="007D6E08">
        <w:t xml:space="preserve"> has tightened monetary policy aggressively in response to the </w:t>
      </w:r>
      <w:r>
        <w:t>rapid build-up of inflationary pressures both domestically and abroad. T</w:t>
      </w:r>
      <w:r w:rsidRPr="00F5126C">
        <w:t>he economy may prove to be more susceptible to the</w:t>
      </w:r>
      <w:r>
        <w:t>se higher</w:t>
      </w:r>
      <w:r w:rsidRPr="00F5126C">
        <w:t xml:space="preserve"> interest rates than is currently assumed. This is especially the case given the large number of fixed rate mortgages that are set to revert to higher variable rates over the remainder of 202</w:t>
      </w:r>
      <w:r w:rsidR="005B0752">
        <w:t>3</w:t>
      </w:r>
      <w:r w:rsidRPr="00F5126C">
        <w:t xml:space="preserve">. This could see a sharper decline in both household consumption and business activity, and with it a larger rise in unemployment, than is currently expected. This risk would be amplified if housing affordability </w:t>
      </w:r>
      <w:r w:rsidR="00C71AA8" w:rsidRPr="00BE528B">
        <w:t xml:space="preserve">pressures </w:t>
      </w:r>
      <w:r w:rsidRPr="00F5126C">
        <w:t xml:space="preserve">saw </w:t>
      </w:r>
      <w:r w:rsidR="00C71AA8" w:rsidRPr="00BE528B">
        <w:t xml:space="preserve">a renewed decline in </w:t>
      </w:r>
      <w:r w:rsidRPr="00F5126C">
        <w:t>the housing market.</w:t>
      </w:r>
    </w:p>
    <w:p w14:paraId="1C71EC8C" w14:textId="64C434B9" w:rsidR="00453A6F" w:rsidRPr="00B81463" w:rsidRDefault="00236763" w:rsidP="00014449">
      <w:pPr>
        <w:pStyle w:val="BodyText"/>
      </w:pPr>
      <w:r>
        <w:t xml:space="preserve">High interest rates are a significant constraint on the global economy, although economic activity remained somewhat resilient in the </w:t>
      </w:r>
      <w:r w:rsidR="005D50F5">
        <w:t>June</w:t>
      </w:r>
      <w:r w:rsidR="005D50F5" w:rsidRPr="00B81463">
        <w:t xml:space="preserve"> </w:t>
      </w:r>
      <w:r>
        <w:t>quarter of 2023. A post-COVID recovery in the services sector has been a major factor supporting the global economy, while non-service sector economies have shown clear signs of slowing. With central banks likely to continue the fight against inflation and the recovery in services activity largely run its course, the outlook for global growth is relatively subdued.</w:t>
      </w:r>
    </w:p>
    <w:p w14:paraId="2FA6B0FA" w14:textId="76CB74FE" w:rsidR="00236763" w:rsidRPr="00387357" w:rsidRDefault="00236763" w:rsidP="00674B22">
      <w:pPr>
        <w:pStyle w:val="Heading3"/>
      </w:pPr>
      <w:r w:rsidRPr="00387357">
        <w:t>Uncertainty over the path of inflation back to central bank targets</w:t>
      </w:r>
    </w:p>
    <w:p w14:paraId="28E022FD" w14:textId="6112E786" w:rsidR="00236763" w:rsidRDefault="00236763" w:rsidP="00014449">
      <w:pPr>
        <w:pStyle w:val="BodyText"/>
        <w:rPr>
          <w:b/>
        </w:rPr>
      </w:pPr>
      <w:r w:rsidRPr="005F1C3A">
        <w:t>Global inflation has been easing recently but remains high</w:t>
      </w:r>
      <w:r>
        <w:t xml:space="preserve">. Lower food and energy prices, along with significant improvements in global supply chains, have contributed to this recent trend. However, measures of core inflation have been slow to respond and remain uncomfortably above central bank targets in many countries. </w:t>
      </w:r>
      <w:r w:rsidR="00C72927">
        <w:t>In July, t</w:t>
      </w:r>
      <w:r>
        <w:t xml:space="preserve">he International Monetary Fund revised up their forecasts for underlying inflation. </w:t>
      </w:r>
      <w:r w:rsidR="00581667">
        <w:t>High levels of</w:t>
      </w:r>
      <w:r>
        <w:t xml:space="preserve"> inflation could prompt global central banks to raise rates further, which would threaten global growth and with it demand for NSW exports, such as coal. </w:t>
      </w:r>
    </w:p>
    <w:p w14:paraId="2EF55552" w14:textId="122F3720" w:rsidR="002034BE" w:rsidRDefault="00236763" w:rsidP="005E6524">
      <w:pPr>
        <w:pStyle w:val="BodyText"/>
      </w:pPr>
      <w:r>
        <w:t>Domestically, increased wages growth combined with weak productivity could mean inflation is higher for longer than expected. This is especially the case should high inflation become entrenched in the wage and price setting behaviours of households and businesses, convincing the RBA to raise rates further. Higher interest rates would not only potentially impact revenue but will also directly impact the government interest expenses.</w:t>
      </w:r>
    </w:p>
    <w:p w14:paraId="73CF49DC" w14:textId="28325BB7" w:rsidR="00236763" w:rsidRDefault="00236763" w:rsidP="00674B22">
      <w:pPr>
        <w:pStyle w:val="Heading3"/>
      </w:pPr>
      <w:r>
        <w:t>Other g</w:t>
      </w:r>
      <w:r w:rsidRPr="00414AE9">
        <w:t>lobal risks</w:t>
      </w:r>
    </w:p>
    <w:p w14:paraId="7251769A" w14:textId="27CD63D9" w:rsidR="00236763" w:rsidRDefault="00236763" w:rsidP="00014449">
      <w:pPr>
        <w:pStyle w:val="BodyText"/>
      </w:pPr>
      <w:r>
        <w:t xml:space="preserve">The outlook for China is particularly important to the NSW economy. The Chinese post-COVID recovery appears to be </w:t>
      </w:r>
      <w:r w:rsidR="0070754F">
        <w:t>weakening</w:t>
      </w:r>
      <w:r>
        <w:t>. This reflects ongoing weakness in the real estate sector, weighing on investment and subdued foreign demand. U</w:t>
      </w:r>
      <w:r w:rsidRPr="007622AB">
        <w:t xml:space="preserve">ncertainty over the outlook for Chinese growth could unsettle commodity markets and impact prices or demand for key NSW exports. </w:t>
      </w:r>
    </w:p>
    <w:p w14:paraId="27E64A98" w14:textId="77777777" w:rsidR="00880FEA" w:rsidRDefault="00880FEA">
      <w:pPr>
        <w:rPr>
          <w:rFonts w:ascii="Public Sans" w:hAnsi="Public Sans" w:cs="Arial"/>
          <w:sz w:val="22"/>
          <w:lang w:val="en-AU"/>
        </w:rPr>
      </w:pPr>
      <w:r>
        <w:br w:type="page"/>
      </w:r>
    </w:p>
    <w:p w14:paraId="394D165C" w14:textId="298D2C39" w:rsidR="00082E21" w:rsidRDefault="00236763" w:rsidP="00014449">
      <w:pPr>
        <w:pStyle w:val="BodyText"/>
      </w:pPr>
      <w:r>
        <w:lastRenderedPageBreak/>
        <w:t>G</w:t>
      </w:r>
      <w:r w:rsidRPr="007622AB">
        <w:t>eopolitical risks remain elevated, especially given Russia’s continued invasion of Ukraine. A further escalation of activities could again disrupt commodity markets and supply chains, negatively impacting global</w:t>
      </w:r>
      <w:r>
        <w:t xml:space="preserve"> and domestic</w:t>
      </w:r>
      <w:r w:rsidRPr="007622AB">
        <w:t xml:space="preserve"> economic activity</w:t>
      </w:r>
      <w:r>
        <w:t>. That said, it could support coal prices at elevated levels</w:t>
      </w:r>
      <w:r w:rsidRPr="007622AB">
        <w:t>.</w:t>
      </w:r>
    </w:p>
    <w:p w14:paraId="28AB439F" w14:textId="6049E416" w:rsidR="00650CF8" w:rsidRDefault="009B3B92" w:rsidP="00650CF8">
      <w:pPr>
        <w:pStyle w:val="Heading3"/>
      </w:pPr>
      <w:r>
        <w:t xml:space="preserve">Extreme </w:t>
      </w:r>
      <w:r w:rsidR="00993B74">
        <w:t xml:space="preserve">weather events and impacts of climate </w:t>
      </w:r>
      <w:proofErr w:type="gramStart"/>
      <w:r w:rsidR="00993B74">
        <w:t>change</w:t>
      </w:r>
      <w:proofErr w:type="gramEnd"/>
    </w:p>
    <w:p w14:paraId="19A97B82" w14:textId="4F1A4094" w:rsidR="004F7315" w:rsidRDefault="00047419" w:rsidP="00005D1E">
      <w:pPr>
        <w:pStyle w:val="NormalWeb"/>
        <w:rPr>
          <w:rFonts w:ascii="Public Sans" w:eastAsia="Times New Roman" w:hAnsi="Public Sans"/>
          <w:lang w:eastAsia="en-US"/>
        </w:rPr>
      </w:pPr>
      <w:r w:rsidRPr="0304CEFD">
        <w:rPr>
          <w:rFonts w:ascii="Public Sans" w:eastAsia="Times New Roman" w:hAnsi="Public Sans" w:cs="Arial"/>
          <w:lang w:eastAsia="en-US"/>
        </w:rPr>
        <w:t xml:space="preserve">Over the last few years, New South Wales has faced a significant number of natural disasters ranging from drought, </w:t>
      </w:r>
      <w:r w:rsidR="006C0848" w:rsidRPr="0304CEFD">
        <w:rPr>
          <w:rFonts w:ascii="Public Sans" w:eastAsia="Times New Roman" w:hAnsi="Public Sans" w:cs="Arial"/>
          <w:lang w:eastAsia="en-US"/>
        </w:rPr>
        <w:t>bushfires,</w:t>
      </w:r>
      <w:r w:rsidRPr="0304CEFD">
        <w:rPr>
          <w:rFonts w:ascii="Public Sans" w:eastAsia="Times New Roman" w:hAnsi="Public Sans" w:cs="Arial"/>
          <w:lang w:eastAsia="en-US"/>
        </w:rPr>
        <w:t xml:space="preserve"> and floods. Climate-driven natural</w:t>
      </w:r>
      <w:r w:rsidR="00C83501" w:rsidRPr="0304CEFD">
        <w:rPr>
          <w:rFonts w:ascii="Public Sans" w:eastAsia="Times New Roman" w:hAnsi="Public Sans" w:cs="Arial"/>
          <w:lang w:eastAsia="en-US"/>
        </w:rPr>
        <w:t xml:space="preserve"> </w:t>
      </w:r>
      <w:r w:rsidRPr="0304CEFD">
        <w:rPr>
          <w:rFonts w:ascii="Public Sans" w:eastAsia="Times New Roman" w:hAnsi="Public Sans" w:cs="Arial"/>
          <w:lang w:eastAsia="en-US"/>
        </w:rPr>
        <w:t xml:space="preserve">hazards are expected to become more frequent and intense. </w:t>
      </w:r>
      <w:r w:rsidR="0022068A" w:rsidRPr="0304CEFD">
        <w:rPr>
          <w:rFonts w:ascii="Public Sans" w:eastAsia="Times New Roman" w:hAnsi="Public Sans" w:cs="Arial"/>
          <w:lang w:eastAsia="en-US"/>
        </w:rPr>
        <w:t xml:space="preserve">New South </w:t>
      </w:r>
      <w:proofErr w:type="spellStart"/>
      <w:r w:rsidR="0022068A" w:rsidRPr="0304CEFD">
        <w:rPr>
          <w:rFonts w:ascii="Public Sans" w:eastAsia="Times New Roman" w:hAnsi="Public Sans" w:cs="Arial"/>
          <w:lang w:eastAsia="en-US"/>
        </w:rPr>
        <w:t>Wales</w:t>
      </w:r>
      <w:r w:rsidR="00A90BEF" w:rsidRPr="0304CEFD">
        <w:rPr>
          <w:rFonts w:ascii="Public Sans" w:eastAsia="Times New Roman" w:hAnsi="Public Sans" w:cs="Arial"/>
          <w:lang w:eastAsia="en-US"/>
        </w:rPr>
        <w:t>’</w:t>
      </w:r>
      <w:proofErr w:type="spellEnd"/>
      <w:r w:rsidR="0022068A" w:rsidRPr="0304CEFD">
        <w:rPr>
          <w:rFonts w:ascii="Public Sans" w:eastAsia="Times New Roman" w:hAnsi="Public Sans" w:cs="Arial"/>
          <w:lang w:eastAsia="en-US"/>
        </w:rPr>
        <w:t xml:space="preserve"> </w:t>
      </w:r>
      <w:r w:rsidR="000D3D8A" w:rsidRPr="0304CEFD">
        <w:rPr>
          <w:rFonts w:ascii="Public Sans" w:eastAsia="Times New Roman" w:hAnsi="Public Sans" w:cs="Arial"/>
          <w:lang w:eastAsia="en-US"/>
        </w:rPr>
        <w:t>2021</w:t>
      </w:r>
      <w:r w:rsidR="000D3D8A">
        <w:rPr>
          <w:rFonts w:ascii="Public Sans" w:eastAsia="Times New Roman" w:hAnsi="Public Sans" w:cs="Arial"/>
          <w:lang w:eastAsia="en-US"/>
        </w:rPr>
        <w:t xml:space="preserve">-22 </w:t>
      </w:r>
      <w:r w:rsidR="0022068A" w:rsidRPr="0304CEFD">
        <w:rPr>
          <w:rFonts w:ascii="Public Sans" w:eastAsia="Times New Roman" w:hAnsi="Public Sans" w:cs="Arial"/>
          <w:lang w:eastAsia="en-US"/>
        </w:rPr>
        <w:t xml:space="preserve">Intergenerational Report </w:t>
      </w:r>
      <w:r w:rsidR="00FE1A43" w:rsidRPr="0304CEFD">
        <w:rPr>
          <w:rFonts w:ascii="Public Sans" w:eastAsia="Times New Roman" w:hAnsi="Public Sans"/>
          <w:lang w:eastAsia="en-US"/>
        </w:rPr>
        <w:t>has estimated that the total expected economic costs associated with natural disasters are projected to increase to between $15.8 billion and $17.2 billion (real 2019-20 dollars) per year by 2061, up from $5.</w:t>
      </w:r>
      <w:r w:rsidR="081E81F9" w:rsidRPr="0304CEFD">
        <w:rPr>
          <w:rFonts w:ascii="Public Sans" w:eastAsia="Times New Roman" w:hAnsi="Public Sans"/>
          <w:lang w:eastAsia="en-US"/>
        </w:rPr>
        <w:t>1</w:t>
      </w:r>
      <w:r w:rsidR="081E81F9" w:rsidRPr="0304CEFD">
        <w:rPr>
          <w:rFonts w:ascii="Times New Roman" w:eastAsia="Times New Roman" w:hAnsi="Times New Roman" w:cs="Times New Roman"/>
          <w:lang w:eastAsia="en-US"/>
        </w:rPr>
        <w:t> </w:t>
      </w:r>
      <w:r w:rsidR="081E81F9" w:rsidRPr="0304CEFD">
        <w:rPr>
          <w:rFonts w:ascii="Public Sans" w:eastAsia="Times New Roman" w:hAnsi="Public Sans"/>
          <w:lang w:eastAsia="en-US"/>
        </w:rPr>
        <w:t>billion</w:t>
      </w:r>
      <w:r w:rsidR="00FE1A43" w:rsidRPr="0304CEFD">
        <w:rPr>
          <w:rFonts w:ascii="Public Sans" w:eastAsia="Times New Roman" w:hAnsi="Public Sans"/>
          <w:lang w:eastAsia="en-US"/>
        </w:rPr>
        <w:t xml:space="preserve"> in 2020-21. </w:t>
      </w:r>
      <w:r w:rsidR="00FE1A43" w:rsidRPr="0304CEFD" w:rsidDel="003F0590">
        <w:rPr>
          <w:rFonts w:ascii="Public Sans" w:eastAsia="Times New Roman" w:hAnsi="Public Sans"/>
          <w:lang w:eastAsia="en-US"/>
        </w:rPr>
        <w:t xml:space="preserve"> </w:t>
      </w:r>
    </w:p>
    <w:p w14:paraId="4C49CAF4" w14:textId="1EF0FE31" w:rsidR="003056A9" w:rsidRPr="00005D1E" w:rsidRDefault="00F90963" w:rsidP="00005D1E">
      <w:pPr>
        <w:pStyle w:val="NormalWeb"/>
        <w:rPr>
          <w:rFonts w:ascii="Segoe UI" w:hAnsi="Segoe UI" w:cs="Segoe UI"/>
          <w:color w:val="000000"/>
          <w:lang w:eastAsia="zh-CN"/>
        </w:rPr>
      </w:pPr>
      <w:r w:rsidRPr="0304CEFD">
        <w:rPr>
          <w:rFonts w:ascii="Public Sans" w:eastAsia="Times New Roman" w:hAnsi="Public Sans"/>
          <w:lang w:eastAsia="en-US"/>
        </w:rPr>
        <w:t xml:space="preserve">More broadly, </w:t>
      </w:r>
      <w:r w:rsidR="00D87D3A" w:rsidRPr="0304CEFD">
        <w:rPr>
          <w:rFonts w:ascii="Public Sans" w:eastAsia="Times New Roman" w:hAnsi="Public Sans"/>
          <w:lang w:eastAsia="en-US"/>
        </w:rPr>
        <w:t>the</w:t>
      </w:r>
      <w:r w:rsidR="00D87D3A" w:rsidRPr="0304CEFD">
        <w:rPr>
          <w:rFonts w:ascii="Public Sans" w:eastAsia="Times New Roman" w:hAnsi="Public Sans" w:cs="Arial"/>
          <w:lang w:eastAsia="en-US"/>
        </w:rPr>
        <w:t xml:space="preserve"> RBA has</w:t>
      </w:r>
      <w:r w:rsidR="008C0FF8" w:rsidRPr="0304CEFD">
        <w:rPr>
          <w:rFonts w:ascii="Public Sans" w:eastAsia="Times New Roman" w:hAnsi="Public Sans" w:cs="Arial"/>
          <w:lang w:eastAsia="en-US"/>
        </w:rPr>
        <w:t xml:space="preserve"> noted</w:t>
      </w:r>
      <w:r w:rsidR="00D87D3A" w:rsidRPr="0304CEFD">
        <w:rPr>
          <w:rFonts w:ascii="Public Sans" w:eastAsia="Times New Roman" w:hAnsi="Public Sans" w:cs="Arial"/>
          <w:lang w:eastAsia="en-US"/>
        </w:rPr>
        <w:t xml:space="preserve"> </w:t>
      </w:r>
      <w:r w:rsidR="008C0FF8" w:rsidRPr="0304CEFD">
        <w:rPr>
          <w:rFonts w:ascii="Public Sans" w:eastAsia="Times New Roman" w:hAnsi="Public Sans" w:cs="Arial"/>
          <w:lang w:eastAsia="en-US"/>
        </w:rPr>
        <w:t xml:space="preserve">the heightened uncertainty around how the climate will change and how this will impact the economy and financial system. </w:t>
      </w:r>
      <w:r w:rsidR="00AE137F" w:rsidRPr="0304CEFD">
        <w:rPr>
          <w:rFonts w:ascii="Public Sans" w:eastAsia="Times New Roman" w:hAnsi="Public Sans" w:cs="Arial"/>
          <w:lang w:eastAsia="en-US"/>
        </w:rPr>
        <w:t>Governments are also exposed to</w:t>
      </w:r>
      <w:r w:rsidR="0021401F" w:rsidRPr="0304CEFD">
        <w:rPr>
          <w:rFonts w:ascii="Public Sans" w:eastAsia="Times New Roman" w:hAnsi="Public Sans" w:cs="Arial"/>
          <w:lang w:eastAsia="en-US"/>
        </w:rPr>
        <w:t xml:space="preserve"> the increasing </w:t>
      </w:r>
      <w:r w:rsidR="6AA78C96" w:rsidRPr="0304CEFD">
        <w:rPr>
          <w:rFonts w:ascii="Public Sans" w:eastAsia="Times New Roman" w:hAnsi="Public Sans" w:cs="Arial"/>
          <w:lang w:eastAsia="en-US"/>
        </w:rPr>
        <w:t xml:space="preserve">risk of </w:t>
      </w:r>
      <w:r w:rsidR="0021401F" w:rsidRPr="0304CEFD">
        <w:rPr>
          <w:rFonts w:ascii="Public Sans" w:eastAsia="Times New Roman" w:hAnsi="Public Sans" w:cs="Arial"/>
          <w:lang w:eastAsia="en-US"/>
        </w:rPr>
        <w:t xml:space="preserve">climate change litigation in </w:t>
      </w:r>
      <w:r w:rsidR="0022068A" w:rsidRPr="0304CEFD">
        <w:rPr>
          <w:rFonts w:ascii="Public Sans" w:eastAsia="Times New Roman" w:hAnsi="Public Sans" w:cs="Arial"/>
          <w:lang w:eastAsia="en-US"/>
        </w:rPr>
        <w:t>Australia and globally</w:t>
      </w:r>
      <w:r w:rsidR="0021401F" w:rsidRPr="0304CEFD">
        <w:rPr>
          <w:rFonts w:ascii="Public Sans" w:eastAsia="Times New Roman" w:hAnsi="Public Sans" w:cs="Arial"/>
          <w:lang w:eastAsia="en-US"/>
        </w:rPr>
        <w:t xml:space="preserve">. </w:t>
      </w:r>
      <w:r w:rsidR="007D0C39" w:rsidRPr="0304CEFD">
        <w:rPr>
          <w:rFonts w:ascii="Public Sans" w:eastAsia="Times New Roman" w:hAnsi="Public Sans" w:cs="Arial"/>
          <w:lang w:eastAsia="en-US"/>
        </w:rPr>
        <w:t>In August 2023</w:t>
      </w:r>
      <w:r w:rsidR="1E8066E2" w:rsidRPr="0304CEFD">
        <w:rPr>
          <w:rFonts w:ascii="Public Sans" w:eastAsia="Times New Roman" w:hAnsi="Public Sans" w:cs="Arial"/>
          <w:lang w:eastAsia="en-US"/>
        </w:rPr>
        <w:t>,</w:t>
      </w:r>
      <w:r w:rsidR="649E0FA1" w:rsidRPr="0304CEFD">
        <w:rPr>
          <w:rFonts w:ascii="Public Sans" w:eastAsia="Times New Roman" w:hAnsi="Public Sans" w:cs="Arial"/>
          <w:lang w:eastAsia="en-US"/>
        </w:rPr>
        <w:t xml:space="preserve"> </w:t>
      </w:r>
      <w:r w:rsidR="70042F18" w:rsidRPr="0304CEFD">
        <w:rPr>
          <w:rFonts w:ascii="Public Sans" w:eastAsia="Times New Roman" w:hAnsi="Public Sans" w:cs="Arial"/>
          <w:lang w:eastAsia="en-US"/>
        </w:rPr>
        <w:t xml:space="preserve">proposed settlement terms in the court case of </w:t>
      </w:r>
      <w:r w:rsidR="70042F18" w:rsidRPr="00711E32">
        <w:rPr>
          <w:rFonts w:ascii="Public Sans" w:hAnsi="Public Sans" w:cs="Segoe UI"/>
          <w:i/>
          <w:iCs/>
          <w:color w:val="000000" w:themeColor="text1"/>
          <w:lang w:eastAsia="zh-CN"/>
        </w:rPr>
        <w:t>Kathleen O’Donnell v</w:t>
      </w:r>
      <w:r w:rsidR="00AA5318">
        <w:rPr>
          <w:rFonts w:ascii="Public Sans" w:hAnsi="Public Sans" w:cs="Segoe UI"/>
          <w:i/>
          <w:iCs/>
          <w:color w:val="000000" w:themeColor="text1"/>
          <w:lang w:eastAsia="zh-CN"/>
        </w:rPr>
        <w:t>.</w:t>
      </w:r>
      <w:r w:rsidR="00711E32">
        <w:rPr>
          <w:rFonts w:ascii="Public Sans" w:hAnsi="Public Sans" w:cs="Segoe UI"/>
          <w:i/>
          <w:iCs/>
          <w:color w:val="000000" w:themeColor="text1"/>
          <w:lang w:eastAsia="zh-CN"/>
        </w:rPr>
        <w:t xml:space="preserve"> </w:t>
      </w:r>
      <w:r w:rsidR="70042F18" w:rsidRPr="00711E32">
        <w:rPr>
          <w:rFonts w:ascii="Public Sans" w:hAnsi="Public Sans" w:cs="Segoe UI"/>
          <w:i/>
          <w:iCs/>
          <w:color w:val="000000" w:themeColor="text1"/>
          <w:lang w:eastAsia="zh-CN"/>
        </w:rPr>
        <w:t>Commonwealth of Australia</w:t>
      </w:r>
      <w:r w:rsidR="70042F18" w:rsidRPr="0304CEFD">
        <w:rPr>
          <w:rFonts w:ascii="Public Sans" w:hAnsi="Public Sans" w:cs="Segoe UI"/>
          <w:color w:val="000000" w:themeColor="text1"/>
          <w:lang w:eastAsia="zh-CN"/>
        </w:rPr>
        <w:t xml:space="preserve"> (filed </w:t>
      </w:r>
      <w:r w:rsidR="00AA5318">
        <w:rPr>
          <w:rFonts w:ascii="Public Sans" w:hAnsi="Public Sans" w:cs="Segoe UI"/>
          <w:color w:val="000000" w:themeColor="text1"/>
          <w:lang w:eastAsia="zh-CN"/>
        </w:rPr>
        <w:t xml:space="preserve">in </w:t>
      </w:r>
      <w:r w:rsidR="70042F18" w:rsidRPr="0304CEFD">
        <w:rPr>
          <w:rFonts w:ascii="Public Sans" w:hAnsi="Public Sans" w:cs="Segoe UI"/>
          <w:color w:val="000000" w:themeColor="text1"/>
          <w:lang w:eastAsia="zh-CN"/>
        </w:rPr>
        <w:t>July 2020), revealed that</w:t>
      </w:r>
      <w:r w:rsidR="007D0C39" w:rsidRPr="0304CEFD">
        <w:rPr>
          <w:rFonts w:ascii="Public Sans" w:hAnsi="Public Sans" w:cs="Segoe UI"/>
          <w:color w:val="000000" w:themeColor="text1"/>
          <w:lang w:eastAsia="zh-CN"/>
        </w:rPr>
        <w:t xml:space="preserve"> </w:t>
      </w:r>
      <w:r w:rsidR="007D0C39" w:rsidRPr="0304CEFD">
        <w:rPr>
          <w:rFonts w:ascii="Public Sans" w:eastAsia="Times New Roman" w:hAnsi="Public Sans" w:cs="Arial"/>
          <w:lang w:eastAsia="en-US"/>
        </w:rPr>
        <w:t xml:space="preserve">the </w:t>
      </w:r>
      <w:r w:rsidR="00467F1C">
        <w:rPr>
          <w:rFonts w:ascii="Public Sans" w:eastAsia="Times New Roman" w:hAnsi="Public Sans" w:cs="Arial"/>
          <w:lang w:eastAsia="en-US"/>
        </w:rPr>
        <w:t>Australian</w:t>
      </w:r>
      <w:r w:rsidR="007D0C39" w:rsidRPr="0304CEFD">
        <w:rPr>
          <w:rFonts w:ascii="Public Sans" w:eastAsia="Times New Roman" w:hAnsi="Public Sans" w:cs="Arial"/>
          <w:lang w:eastAsia="en-US"/>
        </w:rPr>
        <w:t xml:space="preserve"> Government </w:t>
      </w:r>
      <w:r w:rsidR="00344E44">
        <w:rPr>
          <w:rFonts w:ascii="Public Sans" w:eastAsia="Times New Roman" w:hAnsi="Public Sans" w:cs="Arial"/>
          <w:lang w:eastAsia="en-US"/>
        </w:rPr>
        <w:t xml:space="preserve">is expected </w:t>
      </w:r>
      <w:r w:rsidR="003F2BD4" w:rsidRPr="0304CEFD">
        <w:rPr>
          <w:rFonts w:ascii="Public Sans" w:eastAsia="Times New Roman" w:hAnsi="Public Sans" w:cs="Arial"/>
          <w:lang w:eastAsia="en-US"/>
        </w:rPr>
        <w:t xml:space="preserve">to publish a statement acknowledging </w:t>
      </w:r>
      <w:r w:rsidR="004D5696" w:rsidRPr="0304CEFD">
        <w:rPr>
          <w:rFonts w:ascii="Public Sans" w:eastAsia="Times New Roman" w:hAnsi="Public Sans" w:cs="Arial"/>
          <w:lang w:eastAsia="en-US"/>
        </w:rPr>
        <w:t xml:space="preserve">the uncertainty </w:t>
      </w:r>
      <w:r w:rsidR="00B931D1" w:rsidRPr="0304CEFD">
        <w:rPr>
          <w:rFonts w:ascii="Public Sans" w:eastAsia="Times New Roman" w:hAnsi="Public Sans" w:cs="Arial"/>
          <w:lang w:eastAsia="en-US"/>
        </w:rPr>
        <w:t>about whether the fiscal impacts of climate change may affect</w:t>
      </w:r>
      <w:r w:rsidR="4477D14C" w:rsidRPr="0304CEFD">
        <w:rPr>
          <w:rFonts w:ascii="Public Sans" w:eastAsia="Times New Roman" w:hAnsi="Public Sans" w:cs="Arial"/>
          <w:lang w:eastAsia="en-US"/>
        </w:rPr>
        <w:t xml:space="preserve"> the value of </w:t>
      </w:r>
      <w:r w:rsidR="00B931D1" w:rsidRPr="0304CEFD">
        <w:rPr>
          <w:rFonts w:ascii="Public Sans" w:eastAsia="Times New Roman" w:hAnsi="Public Sans" w:cs="Arial"/>
          <w:lang w:eastAsia="en-US"/>
        </w:rPr>
        <w:t xml:space="preserve">government </w:t>
      </w:r>
      <w:r w:rsidR="4477D14C" w:rsidRPr="0304CEFD">
        <w:rPr>
          <w:rFonts w:ascii="Public Sans" w:eastAsia="Times New Roman" w:hAnsi="Public Sans" w:cs="Arial"/>
          <w:lang w:eastAsia="en-US"/>
        </w:rPr>
        <w:t>securities</w:t>
      </w:r>
      <w:r w:rsidR="00D50556" w:rsidRPr="0304CEFD">
        <w:rPr>
          <w:rFonts w:ascii="Public Sans" w:hAnsi="Public Sans" w:cs="Segoe UI"/>
          <w:color w:val="000000" w:themeColor="text1"/>
          <w:lang w:eastAsia="zh-CN"/>
        </w:rPr>
        <w:t>.</w:t>
      </w:r>
      <w:r w:rsidR="00D50556" w:rsidRPr="0304CEFD">
        <w:rPr>
          <w:rFonts w:ascii="Segoe UI" w:hAnsi="Segoe UI" w:cs="Segoe UI"/>
          <w:color w:val="000000" w:themeColor="text1"/>
          <w:lang w:eastAsia="zh-CN"/>
        </w:rPr>
        <w:t xml:space="preserve"> </w:t>
      </w:r>
    </w:p>
    <w:p w14:paraId="1FCE66F7" w14:textId="75DCBEE3" w:rsidR="00B1247F" w:rsidRDefault="00B1247F" w:rsidP="00014449">
      <w:pPr>
        <w:pStyle w:val="BodyText"/>
        <w:rPr>
          <w:rFonts w:eastAsia="Arial Bold"/>
        </w:rPr>
      </w:pPr>
    </w:p>
    <w:p w14:paraId="3A305AA4" w14:textId="77777777" w:rsidR="009E5213" w:rsidRPr="002817A9" w:rsidRDefault="009E5213" w:rsidP="00014449">
      <w:pPr>
        <w:pStyle w:val="BodyText"/>
      </w:pPr>
    </w:p>
    <w:sectPr w:rsidR="009E5213" w:rsidRPr="002817A9" w:rsidSect="00020DE7">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851"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FD7D5" w14:textId="77777777" w:rsidR="00C909BC" w:rsidRDefault="00C909BC">
      <w:r>
        <w:separator/>
      </w:r>
    </w:p>
  </w:endnote>
  <w:endnote w:type="continuationSeparator" w:id="0">
    <w:p w14:paraId="171258DD" w14:textId="77777777" w:rsidR="00C909BC" w:rsidRDefault="00C909BC">
      <w:r>
        <w:continuationSeparator/>
      </w:r>
    </w:p>
  </w:endnote>
  <w:endnote w:type="continuationNotice" w:id="1">
    <w:p w14:paraId="1A39783C" w14:textId="77777777" w:rsidR="00C909BC" w:rsidRDefault="00C90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Public Sans SemiBold">
    <w:altName w:val="Calibri"/>
    <w:panose1 w:val="00000000000000000000"/>
    <w:charset w:val="00"/>
    <w:family w:val="auto"/>
    <w:pitch w:val="variable"/>
    <w:sig w:usb0="A00000FF" w:usb1="4000205B" w:usb2="000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MT">
    <w:altName w:val="Microsoft JhengHe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4B9D7" w14:textId="1667C6C5" w:rsidR="005E703A" w:rsidRPr="005E6524" w:rsidRDefault="00650CF8" w:rsidP="005E6524">
    <w:pPr>
      <w:pBdr>
        <w:top w:val="single" w:sz="4" w:space="4" w:color="auto"/>
      </w:pBdr>
      <w:tabs>
        <w:tab w:val="right" w:pos="9639"/>
      </w:tabs>
      <w:rPr>
        <w:rFonts w:ascii="Public Sans" w:hAnsi="Public Sans" w:cs="Arial"/>
        <w:noProof/>
        <w:sz w:val="18"/>
        <w:szCs w:val="18"/>
      </w:rPr>
    </w:pPr>
    <w:r w:rsidRPr="005E703A">
      <w:rPr>
        <w:rFonts w:ascii="Public Sans" w:hAnsi="Public Sans" w:cs="Arial"/>
        <w:sz w:val="18"/>
        <w:szCs w:val="18"/>
      </w:rPr>
      <w:t>B</w:t>
    </w:r>
    <w:r w:rsidR="009E5213" w:rsidRPr="005E703A">
      <w:rPr>
        <w:rFonts w:ascii="Public Sans" w:hAnsi="Public Sans" w:cs="Arial"/>
        <w:sz w:val="18"/>
        <w:szCs w:val="18"/>
      </w:rPr>
      <w:t xml:space="preserve"> - </w:t>
    </w:r>
    <w:r w:rsidR="009E5213" w:rsidRPr="005E703A">
      <w:rPr>
        <w:rFonts w:ascii="Public Sans" w:hAnsi="Public Sans" w:cs="Arial"/>
        <w:sz w:val="18"/>
        <w:szCs w:val="18"/>
      </w:rPr>
      <w:fldChar w:fldCharType="begin"/>
    </w:r>
    <w:r w:rsidR="009E5213" w:rsidRPr="005E703A">
      <w:rPr>
        <w:rFonts w:ascii="Public Sans" w:hAnsi="Public Sans" w:cs="Arial"/>
        <w:sz w:val="18"/>
        <w:szCs w:val="18"/>
      </w:rPr>
      <w:instrText xml:space="preserve"> PAGE   \* MERGEFORMAT </w:instrText>
    </w:r>
    <w:r w:rsidR="009E5213" w:rsidRPr="005E703A">
      <w:rPr>
        <w:rFonts w:ascii="Public Sans" w:hAnsi="Public Sans" w:cs="Arial"/>
        <w:sz w:val="18"/>
        <w:szCs w:val="18"/>
      </w:rPr>
      <w:fldChar w:fldCharType="separate"/>
    </w:r>
    <w:r w:rsidR="009E5213" w:rsidRPr="005E703A">
      <w:rPr>
        <w:rFonts w:ascii="Public Sans" w:hAnsi="Public Sans" w:cs="Arial"/>
        <w:sz w:val="18"/>
        <w:szCs w:val="18"/>
      </w:rPr>
      <w:t>2</w:t>
    </w:r>
    <w:r w:rsidR="009E5213" w:rsidRPr="005E703A">
      <w:rPr>
        <w:rFonts w:ascii="Public Sans" w:hAnsi="Public Sans" w:cs="Arial"/>
        <w:noProof/>
        <w:sz w:val="18"/>
        <w:szCs w:val="18"/>
      </w:rPr>
      <w:fldChar w:fldCharType="end"/>
    </w:r>
    <w:r w:rsidR="009E5213" w:rsidRPr="005E703A">
      <w:rPr>
        <w:rFonts w:ascii="Public Sans" w:hAnsi="Public Sans" w:cs="Arial"/>
        <w:noProof/>
        <w:sz w:val="18"/>
        <w:szCs w:val="18"/>
      </w:rPr>
      <w:tab/>
    </w:r>
    <w:r w:rsidR="009E5213" w:rsidRPr="005E703A">
      <w:rPr>
        <w:rFonts w:ascii="Public Sans" w:hAnsi="Public Sans" w:cs="Arial"/>
        <w:sz w:val="18"/>
        <w:szCs w:val="18"/>
      </w:rPr>
      <w:t>Budget Statement 2023-24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3415F" w14:textId="15578442" w:rsidR="005E703A" w:rsidRPr="005E6524" w:rsidRDefault="009E5213" w:rsidP="005E6524">
    <w:pPr>
      <w:pBdr>
        <w:top w:val="single" w:sz="4" w:space="4" w:color="auto"/>
      </w:pBdr>
      <w:tabs>
        <w:tab w:val="right" w:pos="9639"/>
      </w:tabs>
      <w:rPr>
        <w:rFonts w:ascii="Public Sans" w:hAnsi="Public Sans" w:cs="Arial"/>
        <w:noProof/>
        <w:sz w:val="18"/>
        <w:szCs w:val="18"/>
      </w:rPr>
    </w:pPr>
    <w:r w:rsidRPr="005E703A">
      <w:rPr>
        <w:rFonts w:ascii="Public Sans" w:hAnsi="Public Sans" w:cs="Arial"/>
        <w:sz w:val="18"/>
        <w:szCs w:val="18"/>
      </w:rPr>
      <w:t>Budget Statement 2023-24</w:t>
    </w:r>
    <w:r w:rsidRPr="005E703A">
      <w:rPr>
        <w:rFonts w:ascii="Public Sans" w:hAnsi="Public Sans" w:cs="Arial"/>
        <w:sz w:val="18"/>
        <w:szCs w:val="18"/>
      </w:rPr>
      <w:tab/>
    </w:r>
    <w:r w:rsidR="00650CF8" w:rsidRPr="005E703A">
      <w:rPr>
        <w:rFonts w:ascii="Public Sans" w:hAnsi="Public Sans" w:cs="Arial"/>
        <w:sz w:val="18"/>
        <w:szCs w:val="18"/>
      </w:rPr>
      <w:t>B</w:t>
    </w:r>
    <w:r w:rsidRPr="005E703A">
      <w:rPr>
        <w:rFonts w:ascii="Public Sans" w:hAnsi="Public Sans" w:cs="Arial"/>
        <w:sz w:val="18"/>
        <w:szCs w:val="18"/>
      </w:rPr>
      <w:t xml:space="preserve"> - </w:t>
    </w:r>
    <w:r w:rsidRPr="005E703A">
      <w:rPr>
        <w:rFonts w:ascii="Public Sans" w:hAnsi="Public Sans" w:cs="Arial"/>
        <w:sz w:val="18"/>
        <w:szCs w:val="18"/>
      </w:rPr>
      <w:fldChar w:fldCharType="begin"/>
    </w:r>
    <w:r w:rsidRPr="005E703A">
      <w:rPr>
        <w:rFonts w:ascii="Public Sans" w:hAnsi="Public Sans" w:cs="Arial"/>
        <w:sz w:val="18"/>
        <w:szCs w:val="18"/>
      </w:rPr>
      <w:instrText xml:space="preserve"> PAGE   \* MERGEFORMAT </w:instrText>
    </w:r>
    <w:r w:rsidRPr="005E703A">
      <w:rPr>
        <w:rFonts w:ascii="Public Sans" w:hAnsi="Public Sans" w:cs="Arial"/>
        <w:sz w:val="18"/>
        <w:szCs w:val="18"/>
      </w:rPr>
      <w:fldChar w:fldCharType="separate"/>
    </w:r>
    <w:r w:rsidRPr="005E703A">
      <w:rPr>
        <w:rFonts w:ascii="Public Sans" w:hAnsi="Public Sans" w:cs="Arial"/>
        <w:sz w:val="18"/>
        <w:szCs w:val="18"/>
      </w:rPr>
      <w:t>1</w:t>
    </w:r>
    <w:r w:rsidRPr="005E703A">
      <w:rPr>
        <w:rFonts w:ascii="Public Sans" w:hAnsi="Public Sans"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93F9C" w14:textId="6DB794B4" w:rsidR="00AB2DCE" w:rsidRPr="005E6524" w:rsidRDefault="009E5213" w:rsidP="005E6524">
    <w:pPr>
      <w:pBdr>
        <w:top w:val="single" w:sz="4" w:space="4" w:color="auto"/>
      </w:pBdr>
      <w:tabs>
        <w:tab w:val="right" w:pos="9639"/>
      </w:tabs>
      <w:rPr>
        <w:rFonts w:ascii="Public Sans" w:hAnsi="Public Sans" w:cs="Arial"/>
        <w:noProof/>
        <w:sz w:val="18"/>
        <w:szCs w:val="18"/>
      </w:rPr>
    </w:pPr>
    <w:r w:rsidRPr="005E703A">
      <w:rPr>
        <w:rFonts w:ascii="Public Sans" w:hAnsi="Public Sans" w:cs="Arial"/>
        <w:sz w:val="18"/>
        <w:szCs w:val="18"/>
      </w:rPr>
      <w:t>Budget Statement 2023-24</w:t>
    </w:r>
    <w:r w:rsidRPr="005E703A">
      <w:rPr>
        <w:rFonts w:ascii="Public Sans" w:hAnsi="Public Sans" w:cs="Arial"/>
        <w:sz w:val="18"/>
        <w:szCs w:val="18"/>
      </w:rPr>
      <w:tab/>
    </w:r>
    <w:r w:rsidR="006B6116" w:rsidRPr="005E703A">
      <w:rPr>
        <w:rFonts w:ascii="Public Sans" w:hAnsi="Public Sans" w:cs="Arial"/>
        <w:sz w:val="18"/>
        <w:szCs w:val="18"/>
      </w:rPr>
      <w:t>B</w:t>
    </w:r>
    <w:r w:rsidRPr="005E703A">
      <w:rPr>
        <w:rFonts w:ascii="Public Sans" w:hAnsi="Public Sans" w:cs="Arial"/>
        <w:sz w:val="18"/>
        <w:szCs w:val="18"/>
      </w:rPr>
      <w:t xml:space="preserve"> - </w:t>
    </w:r>
    <w:r w:rsidRPr="005E703A">
      <w:rPr>
        <w:rFonts w:ascii="Public Sans" w:hAnsi="Public Sans" w:cs="Arial"/>
        <w:sz w:val="18"/>
        <w:szCs w:val="18"/>
      </w:rPr>
      <w:fldChar w:fldCharType="begin"/>
    </w:r>
    <w:r w:rsidRPr="005E703A">
      <w:rPr>
        <w:rFonts w:ascii="Public Sans" w:hAnsi="Public Sans" w:cs="Arial"/>
        <w:sz w:val="18"/>
        <w:szCs w:val="18"/>
      </w:rPr>
      <w:instrText xml:space="preserve"> PAGE   \* MERGEFORMAT </w:instrText>
    </w:r>
    <w:r w:rsidRPr="005E703A">
      <w:rPr>
        <w:rFonts w:ascii="Public Sans" w:hAnsi="Public Sans" w:cs="Arial"/>
        <w:sz w:val="18"/>
        <w:szCs w:val="18"/>
      </w:rPr>
      <w:fldChar w:fldCharType="separate"/>
    </w:r>
    <w:r w:rsidRPr="005E703A">
      <w:rPr>
        <w:rFonts w:ascii="Public Sans" w:hAnsi="Public Sans" w:cs="Arial"/>
        <w:sz w:val="18"/>
        <w:szCs w:val="18"/>
      </w:rPr>
      <w:t>5</w:t>
    </w:r>
    <w:r w:rsidRPr="005E703A">
      <w:rPr>
        <w:rFonts w:ascii="Public Sans" w:hAnsi="Public Sans"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07266" w14:textId="77777777" w:rsidR="00C909BC" w:rsidRDefault="00C909BC">
      <w:pPr>
        <w:spacing w:before="120"/>
      </w:pPr>
      <w:r>
        <w:separator/>
      </w:r>
    </w:p>
  </w:footnote>
  <w:footnote w:type="continuationSeparator" w:id="0">
    <w:p w14:paraId="70BD2C54" w14:textId="77777777" w:rsidR="00C909BC" w:rsidRDefault="00C909BC">
      <w:pPr>
        <w:spacing w:before="120"/>
      </w:pPr>
      <w:r>
        <w:continuationSeparator/>
      </w:r>
    </w:p>
  </w:footnote>
  <w:footnote w:type="continuationNotice" w:id="1">
    <w:p w14:paraId="3DE73AC4" w14:textId="77777777" w:rsidR="00C909BC" w:rsidRDefault="00C909BC">
      <w:pPr>
        <w:rPr>
          <w:sz w:val="16"/>
        </w:rPr>
      </w:pPr>
    </w:p>
  </w:footnote>
  <w:footnote w:id="2">
    <w:p w14:paraId="5BAF39D9" w14:textId="3E1F68AE" w:rsidR="00650CF8" w:rsidRPr="006B2CB2" w:rsidRDefault="00650CF8" w:rsidP="00B41B2D">
      <w:pPr>
        <w:pStyle w:val="Footnotestyle"/>
        <w:ind w:hanging="283"/>
      </w:pPr>
      <w:r w:rsidRPr="00E4159B">
        <w:rPr>
          <w:rStyle w:val="FootnoteReference"/>
          <w:rFonts w:cs="Arial"/>
          <w:iCs/>
          <w:sz w:val="17"/>
          <w:szCs w:val="17"/>
        </w:rPr>
        <w:footnoteRef/>
      </w:r>
      <w:r w:rsidRPr="006B2CB2">
        <w:tab/>
        <w:t>The Budget includes allowances for Parameter and Technical Adjustment and anticipated timing changes. See Chapter 5 Expenditure for more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6D40" w14:textId="77777777" w:rsidR="006B6116" w:rsidRPr="005E703A" w:rsidRDefault="006B6116" w:rsidP="006B6116">
    <w:pPr>
      <w:pBdr>
        <w:bottom w:val="single" w:sz="4" w:space="4" w:color="auto"/>
      </w:pBdr>
      <w:rPr>
        <w:rFonts w:ascii="Public Sans" w:eastAsia="Calibri" w:hAnsi="Public Sans" w:cs="Arial"/>
        <w:sz w:val="18"/>
        <w:szCs w:val="18"/>
      </w:rPr>
    </w:pPr>
    <w:r w:rsidRPr="005E703A">
      <w:rPr>
        <w:rFonts w:ascii="Public Sans" w:eastAsia="Calibri" w:hAnsi="Public Sans" w:cs="Arial"/>
        <w:sz w:val="18"/>
        <w:szCs w:val="18"/>
      </w:rPr>
      <w:t>Fiscal Risks and Budget Sensitivities</w:t>
    </w:r>
  </w:p>
  <w:p w14:paraId="439DB458" w14:textId="77777777" w:rsidR="009E5213" w:rsidRDefault="009E5213" w:rsidP="009E5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5854" w14:textId="77777777" w:rsidR="006B6116" w:rsidRPr="005E703A" w:rsidRDefault="006B6116" w:rsidP="006B6116">
    <w:pPr>
      <w:pBdr>
        <w:bottom w:val="single" w:sz="4" w:space="4" w:color="auto"/>
      </w:pBdr>
      <w:jc w:val="right"/>
      <w:rPr>
        <w:rFonts w:ascii="Public Sans" w:eastAsia="Calibri" w:hAnsi="Public Sans" w:cs="Arial"/>
        <w:sz w:val="18"/>
        <w:szCs w:val="18"/>
      </w:rPr>
    </w:pPr>
    <w:r w:rsidRPr="005E703A">
      <w:rPr>
        <w:rFonts w:ascii="Public Sans" w:eastAsia="Calibri" w:hAnsi="Public Sans" w:cs="Arial"/>
        <w:sz w:val="18"/>
        <w:szCs w:val="18"/>
      </w:rPr>
      <w:t>Fiscal Risks and Budget Sensitivities</w:t>
    </w:r>
  </w:p>
  <w:p w14:paraId="08E06F2E" w14:textId="4AF50764" w:rsidR="009E5213" w:rsidRPr="006B6116" w:rsidRDefault="009E5213" w:rsidP="006B6116">
    <w:pPr>
      <w:pStyle w:val="Header"/>
      <w:rPr>
        <w:rFonts w:eastAsia="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D17F3" w14:textId="68288F1C" w:rsidR="00454D52" w:rsidRPr="0045160F" w:rsidRDefault="00454D52" w:rsidP="00703770">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E6A3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E2770"/>
    <w:multiLevelType w:val="hybridMultilevel"/>
    <w:tmpl w:val="05ECAC46"/>
    <w:lvl w:ilvl="0" w:tplc="6CB4AA2A">
      <w:start w:val="1"/>
      <w:numFmt w:val="decimal"/>
      <w:pStyle w:val="Box71BoxHeading"/>
      <w:lvlText w:val="Box 7.%1:"/>
      <w:lvlJc w:val="left"/>
      <w:pPr>
        <w:ind w:left="720" w:hanging="360"/>
      </w:pPr>
      <w:rPr>
        <w:rFonts w:ascii="Arial Bold" w:hAnsi="Arial Bold"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B13CE9"/>
    <w:multiLevelType w:val="hybridMultilevel"/>
    <w:tmpl w:val="E98635CE"/>
    <w:lvl w:ilvl="0" w:tplc="EA321640">
      <w:start w:val="1"/>
      <w:numFmt w:val="decimal"/>
      <w:pStyle w:val="ChartA1X"/>
      <w:lvlText w:val="Chart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69716A"/>
    <w:multiLevelType w:val="hybridMultilevel"/>
    <w:tmpl w:val="C082C432"/>
    <w:lvl w:ilvl="0" w:tplc="2A182B60">
      <w:start w:val="1"/>
      <w:numFmt w:val="decimal"/>
      <w:pStyle w:val="A22Heading2"/>
      <w:lvlText w:val="A2.%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C22B50"/>
    <w:multiLevelType w:val="hybridMultilevel"/>
    <w:tmpl w:val="733A01DE"/>
    <w:lvl w:ilvl="0" w:tplc="DF30B790">
      <w:start w:val="1"/>
      <w:numFmt w:val="decimal"/>
      <w:pStyle w:val="A11Heading2"/>
      <w:lvlText w:val="A1.%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860651"/>
    <w:multiLevelType w:val="hybridMultilevel"/>
    <w:tmpl w:val="F820858C"/>
    <w:lvl w:ilvl="0" w:tplc="07A6AD08">
      <w:start w:val="1"/>
      <w:numFmt w:val="decimal"/>
      <w:pStyle w:val="TableA3X"/>
      <w:lvlText w:val="Table A3.%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9E3DB3"/>
    <w:multiLevelType w:val="hybridMultilevel"/>
    <w:tmpl w:val="80D86404"/>
    <w:lvl w:ilvl="0" w:tplc="2118EFB4">
      <w:start w:val="1"/>
      <w:numFmt w:val="decimal"/>
      <w:pStyle w:val="FigureBX"/>
      <w:lvlText w:val="Figur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EF3ACE"/>
    <w:multiLevelType w:val="hybridMultilevel"/>
    <w:tmpl w:val="B47CB10E"/>
    <w:lvl w:ilvl="0" w:tplc="763444AC">
      <w:start w:val="1"/>
      <w:numFmt w:val="decimal"/>
      <w:pStyle w:val="Table7X"/>
      <w:lvlText w:val="Table 7.%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 w15:restartNumberingAfterBreak="0">
    <w:nsid w:val="0A161376"/>
    <w:multiLevelType w:val="hybridMultilevel"/>
    <w:tmpl w:val="16D6829E"/>
    <w:lvl w:ilvl="0" w:tplc="D0B2D066">
      <w:start w:val="1"/>
      <w:numFmt w:val="decimal"/>
      <w:pStyle w:val="TableBX"/>
      <w:lvlText w:val="Tabl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EBE3C9A"/>
    <w:multiLevelType w:val="hybridMultilevel"/>
    <w:tmpl w:val="3ED26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D475E7"/>
    <w:multiLevelType w:val="hybridMultilevel"/>
    <w:tmpl w:val="4664EE9E"/>
    <w:lvl w:ilvl="0" w:tplc="0FF8E9CE">
      <w:start w:val="1"/>
      <w:numFmt w:val="decimal"/>
      <w:pStyle w:val="ChartBX"/>
      <w:lvlText w:val="Chart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68548E"/>
    <w:multiLevelType w:val="hybridMultilevel"/>
    <w:tmpl w:val="07A6E582"/>
    <w:lvl w:ilvl="0" w:tplc="D0A00826">
      <w:start w:val="1"/>
      <w:numFmt w:val="decimal"/>
      <w:pStyle w:val="Figure7X"/>
      <w:lvlText w:val="Figure 7.%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27833DA"/>
    <w:multiLevelType w:val="hybridMultilevel"/>
    <w:tmpl w:val="78DAD1E4"/>
    <w:lvl w:ilvl="0" w:tplc="45FE75FC">
      <w:start w:val="1"/>
      <w:numFmt w:val="decimal"/>
      <w:pStyle w:val="Table5X"/>
      <w:lvlText w:val="Table 5.%1:"/>
      <w:lvlJc w:val="left"/>
      <w:pPr>
        <w:ind w:left="360" w:hanging="360"/>
      </w:pPr>
      <w:rPr>
        <w:rFonts w:ascii="Public Sans" w:hAnsi="Public Sans" w:hint="default"/>
        <w:b w:val="0"/>
        <w:i/>
        <w:sz w:val="22"/>
        <w:u w:val="none"/>
      </w:rPr>
    </w:lvl>
    <w:lvl w:ilvl="1" w:tplc="0C090019" w:tentative="1">
      <w:start w:val="1"/>
      <w:numFmt w:val="lowerLetter"/>
      <w:lvlText w:val="%2."/>
      <w:lvlJc w:val="left"/>
      <w:pPr>
        <w:ind w:left="-520" w:hanging="360"/>
      </w:pPr>
    </w:lvl>
    <w:lvl w:ilvl="2" w:tplc="0C09001B" w:tentative="1">
      <w:start w:val="1"/>
      <w:numFmt w:val="lowerRoman"/>
      <w:lvlText w:val="%3."/>
      <w:lvlJc w:val="right"/>
      <w:pPr>
        <w:ind w:left="200" w:hanging="180"/>
      </w:pPr>
    </w:lvl>
    <w:lvl w:ilvl="3" w:tplc="0C09000F" w:tentative="1">
      <w:start w:val="1"/>
      <w:numFmt w:val="decimal"/>
      <w:lvlText w:val="%4."/>
      <w:lvlJc w:val="left"/>
      <w:pPr>
        <w:ind w:left="920" w:hanging="360"/>
      </w:pPr>
    </w:lvl>
    <w:lvl w:ilvl="4" w:tplc="0C090019" w:tentative="1">
      <w:start w:val="1"/>
      <w:numFmt w:val="lowerLetter"/>
      <w:lvlText w:val="%5."/>
      <w:lvlJc w:val="left"/>
      <w:pPr>
        <w:ind w:left="1640" w:hanging="360"/>
      </w:pPr>
    </w:lvl>
    <w:lvl w:ilvl="5" w:tplc="0C09001B" w:tentative="1">
      <w:start w:val="1"/>
      <w:numFmt w:val="lowerRoman"/>
      <w:lvlText w:val="%6."/>
      <w:lvlJc w:val="right"/>
      <w:pPr>
        <w:ind w:left="2360" w:hanging="180"/>
      </w:pPr>
    </w:lvl>
    <w:lvl w:ilvl="6" w:tplc="0C09000F" w:tentative="1">
      <w:start w:val="1"/>
      <w:numFmt w:val="decimal"/>
      <w:lvlText w:val="%7."/>
      <w:lvlJc w:val="left"/>
      <w:pPr>
        <w:ind w:left="3080" w:hanging="360"/>
      </w:pPr>
    </w:lvl>
    <w:lvl w:ilvl="7" w:tplc="0C090019" w:tentative="1">
      <w:start w:val="1"/>
      <w:numFmt w:val="lowerLetter"/>
      <w:lvlText w:val="%8."/>
      <w:lvlJc w:val="left"/>
      <w:pPr>
        <w:ind w:left="3800" w:hanging="360"/>
      </w:pPr>
    </w:lvl>
    <w:lvl w:ilvl="8" w:tplc="0C09001B" w:tentative="1">
      <w:start w:val="1"/>
      <w:numFmt w:val="lowerRoman"/>
      <w:lvlText w:val="%9."/>
      <w:lvlJc w:val="right"/>
      <w:pPr>
        <w:ind w:left="4520" w:hanging="180"/>
      </w:pPr>
    </w:lvl>
  </w:abstractNum>
  <w:abstractNum w:abstractNumId="13" w15:restartNumberingAfterBreak="0">
    <w:nsid w:val="1466487C"/>
    <w:multiLevelType w:val="hybridMultilevel"/>
    <w:tmpl w:val="D116BA2E"/>
    <w:lvl w:ilvl="0" w:tplc="82A2E370">
      <w:start w:val="1"/>
      <w:numFmt w:val="decimal"/>
      <w:pStyle w:val="Figure3X"/>
      <w:lvlText w:val="Figure 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307FD1"/>
    <w:multiLevelType w:val="hybridMultilevel"/>
    <w:tmpl w:val="5F0A8388"/>
    <w:lvl w:ilvl="0" w:tplc="6B1CACF0">
      <w:start w:val="1"/>
      <w:numFmt w:val="decimal"/>
      <w:pStyle w:val="E1Heading2"/>
      <w:lvlText w:val="E.%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6A331C"/>
    <w:multiLevelType w:val="hybridMultilevel"/>
    <w:tmpl w:val="34306B3E"/>
    <w:lvl w:ilvl="0" w:tplc="3B2C88EE">
      <w:start w:val="1"/>
      <w:numFmt w:val="decimal"/>
      <w:pStyle w:val="TableDX"/>
      <w:lvlText w:val="Table D.%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D73A11"/>
    <w:multiLevelType w:val="hybridMultilevel"/>
    <w:tmpl w:val="61E85D8E"/>
    <w:lvl w:ilvl="0" w:tplc="999A11A4">
      <w:start w:val="1"/>
      <w:numFmt w:val="bullet"/>
      <w:pStyle w:val="Bullet"/>
      <w:lvlText w:val=""/>
      <w:lvlJc w:val="left"/>
      <w:pPr>
        <w:tabs>
          <w:tab w:val="num" w:pos="113"/>
        </w:tabs>
        <w:ind w:left="0" w:firstLine="113"/>
      </w:pPr>
      <w:rPr>
        <w:rFonts w:ascii="Wingdings" w:hAnsi="Wingdings"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7" w15:restartNumberingAfterBreak="0">
    <w:nsid w:val="225006D5"/>
    <w:multiLevelType w:val="hybridMultilevel"/>
    <w:tmpl w:val="5D7CED7C"/>
    <w:lvl w:ilvl="0" w:tplc="2564E418">
      <w:start w:val="1"/>
      <w:numFmt w:val="lowerLetter"/>
      <w:pStyle w:val="Tablefootnote"/>
      <w:lvlText w:val="(%1)"/>
      <w:lvlJc w:val="left"/>
      <w:pPr>
        <w:ind w:left="720" w:hanging="360"/>
      </w:pPr>
      <w:rPr>
        <w:rFonts w:ascii="Arial" w:hAnsi="Arial" w:cs="Times New Roman" w:hint="default"/>
        <w:b w:val="0"/>
        <w:i w:val="0"/>
        <w:caps w:val="0"/>
        <w:color w:val="auto"/>
        <w:sz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2597091"/>
    <w:multiLevelType w:val="hybridMultilevel"/>
    <w:tmpl w:val="4F3C3368"/>
    <w:lvl w:ilvl="0" w:tplc="CCFEA172">
      <w:start w:val="1"/>
      <w:numFmt w:val="decimal"/>
      <w:pStyle w:val="ChartA5X"/>
      <w:lvlText w:val="Chart A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4BA3451"/>
    <w:multiLevelType w:val="hybridMultilevel"/>
    <w:tmpl w:val="D3CCD44C"/>
    <w:lvl w:ilvl="0" w:tplc="0658A8F8">
      <w:start w:val="1"/>
      <w:numFmt w:val="decimal"/>
      <w:pStyle w:val="FigureA4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5DE7142"/>
    <w:multiLevelType w:val="hybridMultilevel"/>
    <w:tmpl w:val="077EAFD8"/>
    <w:lvl w:ilvl="0" w:tplc="A75607BC">
      <w:start w:val="1"/>
      <w:numFmt w:val="decimal"/>
      <w:pStyle w:val="TableA1X"/>
      <w:lvlText w:val="Table A1.%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7856019"/>
    <w:multiLevelType w:val="hybridMultilevel"/>
    <w:tmpl w:val="7AB29830"/>
    <w:lvl w:ilvl="0" w:tplc="3A8EDC52">
      <w:start w:val="1"/>
      <w:numFmt w:val="bullet"/>
      <w:lvlText w:val=""/>
      <w:lvlJc w:val="left"/>
      <w:pPr>
        <w:ind w:left="360" w:hanging="360"/>
      </w:pPr>
      <w:rPr>
        <w:rFonts w:ascii="Wingdings" w:hAnsi="Wingdings" w:hint="default"/>
        <w:color w:val="790013"/>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9846FD5"/>
    <w:multiLevelType w:val="hybridMultilevel"/>
    <w:tmpl w:val="D076FF48"/>
    <w:lvl w:ilvl="0" w:tplc="572E11E0">
      <w:start w:val="1"/>
      <w:numFmt w:val="decimal"/>
      <w:pStyle w:val="B1Heading2"/>
      <w:lvlText w:val="B.%1"/>
      <w:lvlJc w:val="left"/>
      <w:pPr>
        <w:ind w:left="360" w:hanging="360"/>
      </w:pPr>
      <w:rPr>
        <w:rFonts w:ascii="Public Sans SemiBold" w:hAnsi="Public Sans SemiBold" w:hint="default"/>
        <w:b/>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B3672BE"/>
    <w:multiLevelType w:val="hybridMultilevel"/>
    <w:tmpl w:val="15943232"/>
    <w:lvl w:ilvl="0" w:tplc="0AF0FFD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C16028F"/>
    <w:multiLevelType w:val="hybridMultilevel"/>
    <w:tmpl w:val="F8707472"/>
    <w:lvl w:ilvl="0" w:tplc="42F65876">
      <w:start w:val="1"/>
      <w:numFmt w:val="decimal"/>
      <w:pStyle w:val="ChartA4X"/>
      <w:lvlText w:val="Chart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DA67470"/>
    <w:multiLevelType w:val="hybridMultilevel"/>
    <w:tmpl w:val="6F860A44"/>
    <w:lvl w:ilvl="0" w:tplc="CE3EB444">
      <w:start w:val="1"/>
      <w:numFmt w:val="decimal"/>
      <w:pStyle w:val="FigureA3X"/>
      <w:lvlText w:val="Figure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EB35209"/>
    <w:multiLevelType w:val="hybridMultilevel"/>
    <w:tmpl w:val="E870988E"/>
    <w:lvl w:ilvl="0" w:tplc="5DEA5146">
      <w:start w:val="1"/>
      <w:numFmt w:val="decimal"/>
      <w:pStyle w:val="Table6X"/>
      <w:lvlText w:val="Table 6.%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EC46124"/>
    <w:multiLevelType w:val="hybridMultilevel"/>
    <w:tmpl w:val="9982A7A8"/>
    <w:lvl w:ilvl="0" w:tplc="B35C7842">
      <w:start w:val="1"/>
      <w:numFmt w:val="decimal"/>
      <w:pStyle w:val="Figure4X"/>
      <w:lvlText w:val="Figure 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0E73AFC"/>
    <w:multiLevelType w:val="hybridMultilevel"/>
    <w:tmpl w:val="10B683E6"/>
    <w:lvl w:ilvl="0" w:tplc="23B43618">
      <w:start w:val="1"/>
      <w:numFmt w:val="decimal"/>
      <w:pStyle w:val="41Heading2"/>
      <w:lvlText w:val="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1100178"/>
    <w:multiLevelType w:val="hybridMultilevel"/>
    <w:tmpl w:val="EF8A198C"/>
    <w:lvl w:ilvl="0" w:tplc="DE9229E2">
      <w:start w:val="1"/>
      <w:numFmt w:val="decimal"/>
      <w:pStyle w:val="Table1X"/>
      <w:lvlText w:val="Table 1.%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1D329E6"/>
    <w:multiLevelType w:val="hybridMultilevel"/>
    <w:tmpl w:val="1936A206"/>
    <w:lvl w:ilvl="0" w:tplc="5F189EF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20F238E"/>
    <w:multiLevelType w:val="hybridMultilevel"/>
    <w:tmpl w:val="E5440970"/>
    <w:lvl w:ilvl="0" w:tplc="13E48AEA">
      <w:start w:val="1"/>
      <w:numFmt w:val="decimal"/>
      <w:pStyle w:val="FigureA2X"/>
      <w:lvlText w:val="Figure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2B327C4"/>
    <w:multiLevelType w:val="hybridMultilevel"/>
    <w:tmpl w:val="869A3C52"/>
    <w:lvl w:ilvl="0" w:tplc="792A9F28">
      <w:start w:val="1"/>
      <w:numFmt w:val="decimal"/>
      <w:pStyle w:val="81Heading2"/>
      <w:lvlText w:val="8.%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2D55888"/>
    <w:multiLevelType w:val="hybridMultilevel"/>
    <w:tmpl w:val="A20C5126"/>
    <w:lvl w:ilvl="0" w:tplc="4FCC9BE2">
      <w:start w:val="1"/>
      <w:numFmt w:val="decimal"/>
      <w:pStyle w:val="Table4X"/>
      <w:lvlText w:val="Table 4.%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40B5989"/>
    <w:multiLevelType w:val="hybridMultilevel"/>
    <w:tmpl w:val="71BE1B06"/>
    <w:lvl w:ilvl="0" w:tplc="D53CD6DC">
      <w:start w:val="1"/>
      <w:numFmt w:val="decimal"/>
      <w:pStyle w:val="Chart31"/>
      <w:lvlText w:val="Chart 3.%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5A2397A"/>
    <w:multiLevelType w:val="hybridMultilevel"/>
    <w:tmpl w:val="81367C96"/>
    <w:lvl w:ilvl="0" w:tplc="E8FE0DA8">
      <w:start w:val="1"/>
      <w:numFmt w:val="lowerLetter"/>
      <w:lvlText w:val="(%1)"/>
      <w:lvlJc w:val="left"/>
      <w:pPr>
        <w:ind w:left="360" w:hanging="360"/>
      </w:pPr>
      <w:rPr>
        <w:rFonts w:ascii="Public Sans" w:hAnsi="Public Sans" w:cs="Arial" w:hint="default"/>
        <w:i w:val="0"/>
        <w:iCs w:val="0"/>
        <w:sz w:val="17"/>
        <w:szCs w:val="17"/>
      </w:rPr>
    </w:lvl>
    <w:lvl w:ilvl="1" w:tplc="336E6DC4">
      <w:start w:val="1"/>
      <w:numFmt w:val="bullet"/>
      <w:lvlText w:val="o"/>
      <w:lvlJc w:val="left"/>
      <w:pPr>
        <w:ind w:left="1080" w:hanging="360"/>
      </w:pPr>
      <w:rPr>
        <w:rFonts w:ascii="Courier New" w:hAnsi="Courier New" w:hint="default"/>
      </w:rPr>
    </w:lvl>
    <w:lvl w:ilvl="2" w:tplc="54A6D89A">
      <w:start w:val="1"/>
      <w:numFmt w:val="bullet"/>
      <w:lvlText w:val=""/>
      <w:lvlJc w:val="left"/>
      <w:pPr>
        <w:ind w:left="1800" w:hanging="360"/>
      </w:pPr>
      <w:rPr>
        <w:rFonts w:ascii="Wingdings" w:hAnsi="Wingdings" w:hint="default"/>
      </w:rPr>
    </w:lvl>
    <w:lvl w:ilvl="3" w:tplc="4A7E5B48">
      <w:start w:val="1"/>
      <w:numFmt w:val="bullet"/>
      <w:lvlText w:val=""/>
      <w:lvlJc w:val="left"/>
      <w:pPr>
        <w:ind w:left="2520" w:hanging="360"/>
      </w:pPr>
      <w:rPr>
        <w:rFonts w:ascii="Symbol" w:hAnsi="Symbol" w:hint="default"/>
      </w:rPr>
    </w:lvl>
    <w:lvl w:ilvl="4" w:tplc="2F00579C">
      <w:start w:val="1"/>
      <w:numFmt w:val="bullet"/>
      <w:lvlText w:val="o"/>
      <w:lvlJc w:val="left"/>
      <w:pPr>
        <w:ind w:left="3240" w:hanging="360"/>
      </w:pPr>
      <w:rPr>
        <w:rFonts w:ascii="Courier New" w:hAnsi="Courier New" w:hint="default"/>
      </w:rPr>
    </w:lvl>
    <w:lvl w:ilvl="5" w:tplc="8D405D2A">
      <w:start w:val="1"/>
      <w:numFmt w:val="bullet"/>
      <w:lvlText w:val=""/>
      <w:lvlJc w:val="left"/>
      <w:pPr>
        <w:ind w:left="3960" w:hanging="360"/>
      </w:pPr>
      <w:rPr>
        <w:rFonts w:ascii="Wingdings" w:hAnsi="Wingdings" w:hint="default"/>
      </w:rPr>
    </w:lvl>
    <w:lvl w:ilvl="6" w:tplc="B25C1D9E">
      <w:start w:val="1"/>
      <w:numFmt w:val="bullet"/>
      <w:lvlText w:val=""/>
      <w:lvlJc w:val="left"/>
      <w:pPr>
        <w:ind w:left="4680" w:hanging="360"/>
      </w:pPr>
      <w:rPr>
        <w:rFonts w:ascii="Symbol" w:hAnsi="Symbol" w:hint="default"/>
      </w:rPr>
    </w:lvl>
    <w:lvl w:ilvl="7" w:tplc="A0660AF0">
      <w:start w:val="1"/>
      <w:numFmt w:val="bullet"/>
      <w:lvlText w:val="o"/>
      <w:lvlJc w:val="left"/>
      <w:pPr>
        <w:ind w:left="5400" w:hanging="360"/>
      </w:pPr>
      <w:rPr>
        <w:rFonts w:ascii="Courier New" w:hAnsi="Courier New" w:hint="default"/>
      </w:rPr>
    </w:lvl>
    <w:lvl w:ilvl="8" w:tplc="E47C033C">
      <w:start w:val="1"/>
      <w:numFmt w:val="bullet"/>
      <w:lvlText w:val=""/>
      <w:lvlJc w:val="left"/>
      <w:pPr>
        <w:ind w:left="6120" w:hanging="360"/>
      </w:pPr>
      <w:rPr>
        <w:rFonts w:ascii="Wingdings" w:hAnsi="Wingdings" w:hint="default"/>
      </w:rPr>
    </w:lvl>
  </w:abstractNum>
  <w:abstractNum w:abstractNumId="36" w15:restartNumberingAfterBreak="0">
    <w:nsid w:val="37A618EB"/>
    <w:multiLevelType w:val="hybridMultilevel"/>
    <w:tmpl w:val="F7B20F48"/>
    <w:lvl w:ilvl="0" w:tplc="3EF2249E">
      <w:start w:val="1"/>
      <w:numFmt w:val="decimal"/>
      <w:pStyle w:val="Chart2X"/>
      <w:lvlText w:val="Chart 2.%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7B425B1"/>
    <w:multiLevelType w:val="hybridMultilevel"/>
    <w:tmpl w:val="4F76EC8C"/>
    <w:lvl w:ilvl="0" w:tplc="2F0AE4E8">
      <w:start w:val="1"/>
      <w:numFmt w:val="decimal"/>
      <w:pStyle w:val="TableA2X"/>
      <w:lvlText w:val="Table A2.%1:"/>
      <w:lvlJc w:val="left"/>
      <w:pPr>
        <w:ind w:left="360" w:hanging="360"/>
      </w:pPr>
      <w:rPr>
        <w:rFonts w:ascii="Public Sans" w:hAnsi="Public Sans" w:hint="default"/>
        <w:b w:val="0"/>
        <w:i/>
        <w:caps w:val="0"/>
        <w:color w:val="57514D"/>
        <w:sz w:val="22"/>
        <w:u w:val="none"/>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3AC54CD5"/>
    <w:multiLevelType w:val="hybridMultilevel"/>
    <w:tmpl w:val="0DB073A8"/>
    <w:lvl w:ilvl="0" w:tplc="EF7AE16E">
      <w:start w:val="1"/>
      <w:numFmt w:val="decimal"/>
      <w:pStyle w:val="ChartA2X"/>
      <w:lvlText w:val="Chart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C4A2445"/>
    <w:multiLevelType w:val="hybridMultilevel"/>
    <w:tmpl w:val="2ACAE8D2"/>
    <w:lvl w:ilvl="0" w:tplc="0C090001">
      <w:start w:val="1"/>
      <w:numFmt w:val="bullet"/>
      <w:lvlText w:val=""/>
      <w:lvlJc w:val="left"/>
      <w:pPr>
        <w:tabs>
          <w:tab w:val="num" w:pos="360"/>
        </w:tabs>
        <w:ind w:left="360" w:hanging="360"/>
      </w:pPr>
      <w:rPr>
        <w:rFonts w:ascii="Symbol" w:hAnsi="Symbol" w:hint="default"/>
        <w:sz w:val="24"/>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40" w15:restartNumberingAfterBreak="0">
    <w:nsid w:val="3F765FA8"/>
    <w:multiLevelType w:val="hybridMultilevel"/>
    <w:tmpl w:val="AE5EE838"/>
    <w:lvl w:ilvl="0" w:tplc="39DAC87A">
      <w:start w:val="1"/>
      <w:numFmt w:val="decimal"/>
      <w:pStyle w:val="Box8XBoxHeading"/>
      <w:lvlText w:val="Box 8.%1:"/>
      <w:lvlJc w:val="left"/>
      <w:pPr>
        <w:ind w:left="360" w:hanging="360"/>
      </w:pPr>
      <w:rPr>
        <w:rFonts w:ascii="Public Sans SemiBold" w:hAnsi="Public Sans SemiBold" w:hint="default"/>
        <w:b/>
        <w:bCs w:val="0"/>
        <w:i w:val="0"/>
        <w:iCs w:val="0"/>
        <w:caps w:val="0"/>
        <w:strike w:val="0"/>
        <w:dstrike w:val="0"/>
        <w:vanish w:val="0"/>
        <w:color w:val="002664"/>
        <w:spacing w:val="0"/>
        <w:kern w:val="0"/>
        <w:position w:val="0"/>
        <w:sz w:val="22"/>
        <w:u w:val="none"/>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402373E"/>
    <w:multiLevelType w:val="hybridMultilevel"/>
    <w:tmpl w:val="FEB64748"/>
    <w:lvl w:ilvl="0" w:tplc="605AD154">
      <w:start w:val="1"/>
      <w:numFmt w:val="decimal"/>
      <w:pStyle w:val="C1Heading2"/>
      <w:lvlText w:val="C.%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55F00C6"/>
    <w:multiLevelType w:val="hybridMultilevel"/>
    <w:tmpl w:val="F8FEDA90"/>
    <w:lvl w:ilvl="0" w:tplc="AB2E823A">
      <w:start w:val="1"/>
      <w:numFmt w:val="decimal"/>
      <w:pStyle w:val="61Heading2"/>
      <w:lvlText w:val="6.%1"/>
      <w:lvlJc w:val="left"/>
      <w:pPr>
        <w:ind w:left="360" w:hanging="360"/>
      </w:pPr>
      <w:rPr>
        <w:rFonts w:ascii="Public Sans SemiBold" w:hAnsi="Public Sans SemiBold" w:hint="default"/>
        <w:b w:val="0"/>
        <w:i w:val="0"/>
        <w:caps w:val="0"/>
        <w:color w:val="22272B"/>
        <w:sz w:val="28"/>
        <w:u w:val="none" w:color="0A7CB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57303A6"/>
    <w:multiLevelType w:val="hybridMultilevel"/>
    <w:tmpl w:val="C836502E"/>
    <w:lvl w:ilvl="0" w:tplc="31947774">
      <w:start w:val="1"/>
      <w:numFmt w:val="decimal"/>
      <w:pStyle w:val="51Heading2"/>
      <w:lvlText w:val="5.%1"/>
      <w:lvlJc w:val="left"/>
      <w:pPr>
        <w:ind w:left="360" w:hanging="360"/>
      </w:pPr>
      <w:rPr>
        <w:rFonts w:ascii="Public Sans SemiBold" w:hAnsi="Public Sans SemiBold" w:hint="default"/>
        <w:b w:val="0"/>
        <w:i w:val="0"/>
        <w:caps w:val="0"/>
        <w:color w:val="22272B"/>
        <w:sz w:val="28"/>
        <w:u w:val="none" w:color="00ABE6"/>
      </w:rPr>
    </w:lvl>
    <w:lvl w:ilvl="1" w:tplc="0C090019" w:tentative="1">
      <w:start w:val="1"/>
      <w:numFmt w:val="lowerLetter"/>
      <w:lvlText w:val="%2."/>
      <w:lvlJc w:val="left"/>
      <w:pPr>
        <w:ind w:left="-1821" w:hanging="360"/>
      </w:pPr>
    </w:lvl>
    <w:lvl w:ilvl="2" w:tplc="0C09001B" w:tentative="1">
      <w:start w:val="1"/>
      <w:numFmt w:val="lowerRoman"/>
      <w:lvlText w:val="%3."/>
      <w:lvlJc w:val="right"/>
      <w:pPr>
        <w:ind w:left="-1101" w:hanging="180"/>
      </w:pPr>
    </w:lvl>
    <w:lvl w:ilvl="3" w:tplc="0C09000F" w:tentative="1">
      <w:start w:val="1"/>
      <w:numFmt w:val="decimal"/>
      <w:lvlText w:val="%4."/>
      <w:lvlJc w:val="left"/>
      <w:pPr>
        <w:ind w:left="-381" w:hanging="360"/>
      </w:pPr>
    </w:lvl>
    <w:lvl w:ilvl="4" w:tplc="0C090019" w:tentative="1">
      <w:start w:val="1"/>
      <w:numFmt w:val="lowerLetter"/>
      <w:lvlText w:val="%5."/>
      <w:lvlJc w:val="left"/>
      <w:pPr>
        <w:ind w:left="339" w:hanging="360"/>
      </w:pPr>
    </w:lvl>
    <w:lvl w:ilvl="5" w:tplc="0C09001B" w:tentative="1">
      <w:start w:val="1"/>
      <w:numFmt w:val="lowerRoman"/>
      <w:lvlText w:val="%6."/>
      <w:lvlJc w:val="right"/>
      <w:pPr>
        <w:ind w:left="1059" w:hanging="180"/>
      </w:pPr>
    </w:lvl>
    <w:lvl w:ilvl="6" w:tplc="0C09000F" w:tentative="1">
      <w:start w:val="1"/>
      <w:numFmt w:val="decimal"/>
      <w:lvlText w:val="%7."/>
      <w:lvlJc w:val="left"/>
      <w:pPr>
        <w:ind w:left="1779" w:hanging="360"/>
      </w:pPr>
    </w:lvl>
    <w:lvl w:ilvl="7" w:tplc="0C090019" w:tentative="1">
      <w:start w:val="1"/>
      <w:numFmt w:val="lowerLetter"/>
      <w:lvlText w:val="%8."/>
      <w:lvlJc w:val="left"/>
      <w:pPr>
        <w:ind w:left="2499" w:hanging="360"/>
      </w:pPr>
    </w:lvl>
    <w:lvl w:ilvl="8" w:tplc="0C09001B" w:tentative="1">
      <w:start w:val="1"/>
      <w:numFmt w:val="lowerRoman"/>
      <w:lvlText w:val="%9."/>
      <w:lvlJc w:val="right"/>
      <w:pPr>
        <w:ind w:left="3219" w:hanging="180"/>
      </w:pPr>
    </w:lvl>
  </w:abstractNum>
  <w:abstractNum w:abstractNumId="44" w15:restartNumberingAfterBreak="0">
    <w:nsid w:val="45CD10BF"/>
    <w:multiLevelType w:val="hybridMultilevel"/>
    <w:tmpl w:val="F9747B80"/>
    <w:lvl w:ilvl="0" w:tplc="979CEB2E">
      <w:start w:val="1"/>
      <w:numFmt w:val="decimal"/>
      <w:pStyle w:val="Figure5X"/>
      <w:lvlText w:val="Figure 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6432C24"/>
    <w:multiLevelType w:val="hybridMultilevel"/>
    <w:tmpl w:val="231688CC"/>
    <w:lvl w:ilvl="0" w:tplc="1BBC7E6A">
      <w:start w:val="1"/>
      <w:numFmt w:val="decimal"/>
      <w:pStyle w:val="FigureEX"/>
      <w:lvlText w:val="Figure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71C3199"/>
    <w:multiLevelType w:val="hybridMultilevel"/>
    <w:tmpl w:val="2570A662"/>
    <w:lvl w:ilvl="0" w:tplc="6A0CC274">
      <w:start w:val="1"/>
      <w:numFmt w:val="decimal"/>
      <w:pStyle w:val="A31Heading2"/>
      <w:lvlText w:val="A3.%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90D3232"/>
    <w:multiLevelType w:val="hybridMultilevel"/>
    <w:tmpl w:val="1BDACA9A"/>
    <w:lvl w:ilvl="0" w:tplc="F00A5FDA">
      <w:start w:val="1"/>
      <w:numFmt w:val="decimal"/>
      <w:pStyle w:val="Chart4X"/>
      <w:lvlText w:val="Chart 4.%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9352F38"/>
    <w:multiLevelType w:val="hybridMultilevel"/>
    <w:tmpl w:val="DCA68D00"/>
    <w:lvl w:ilvl="0" w:tplc="77B4A580">
      <w:start w:val="1"/>
      <w:numFmt w:val="decimal"/>
      <w:pStyle w:val="31Heading2"/>
      <w:lvlText w:val="3.%1"/>
      <w:lvlJc w:val="left"/>
      <w:pPr>
        <w:ind w:left="360" w:hanging="360"/>
      </w:pPr>
      <w:rPr>
        <w:rFonts w:ascii="Public Sans SemiBold" w:hAnsi="Public Sans SemiBold" w:hint="default"/>
        <w:b w:val="0"/>
        <w:i w:val="0"/>
        <w:color w:val="22272B"/>
        <w:sz w:val="28"/>
        <w:u w:val="none" w:color="008EB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9795CAD"/>
    <w:multiLevelType w:val="hybridMultilevel"/>
    <w:tmpl w:val="2EA82D62"/>
    <w:lvl w:ilvl="0" w:tplc="06D8EE14">
      <w:start w:val="1"/>
      <w:numFmt w:val="decimal"/>
      <w:pStyle w:val="Box7XBoxHeading"/>
      <w:lvlText w:val="Box 7.%1:"/>
      <w:lvlJc w:val="left"/>
      <w:pPr>
        <w:ind w:left="360" w:hanging="360"/>
      </w:pPr>
      <w:rPr>
        <w:rFonts w:ascii="Public Sans SemiBold" w:hAnsi="Public Sans SemiBold" w:hint="default"/>
        <w:b/>
        <w:bCs w:val="0"/>
        <w:i w:val="0"/>
        <w:iCs w:val="0"/>
        <w:caps w:val="0"/>
        <w:smallCaps w:val="0"/>
        <w:strike w:val="0"/>
        <w:dstrike w:val="0"/>
        <w:noProof w:val="0"/>
        <w:vanish w:val="0"/>
        <w:color w:val="002664"/>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AB83096"/>
    <w:multiLevelType w:val="hybridMultilevel"/>
    <w:tmpl w:val="3670BADE"/>
    <w:lvl w:ilvl="0" w:tplc="E83AB53E">
      <w:start w:val="1"/>
      <w:numFmt w:val="decimal"/>
      <w:pStyle w:val="ChartA3X"/>
      <w:lvlText w:val="Chart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BFB1DA3"/>
    <w:multiLevelType w:val="hybridMultilevel"/>
    <w:tmpl w:val="AD504A2E"/>
    <w:lvl w:ilvl="0" w:tplc="A92A2660">
      <w:start w:val="1"/>
      <w:numFmt w:val="decimal"/>
      <w:pStyle w:val="Box3XBoxHeading"/>
      <w:lvlText w:val="Box 3.%1:"/>
      <w:lvlJc w:val="left"/>
      <w:pPr>
        <w:ind w:left="360" w:hanging="360"/>
      </w:pPr>
      <w:rPr>
        <w:rFonts w:ascii="Public Sans SemiBold" w:hAnsi="Public Sans SemiBold" w:cs="Times New Roman" w:hint="default"/>
        <w:b/>
        <w:i w:val="0"/>
        <w:caps w:val="0"/>
        <w:color w:val="002664"/>
        <w:sz w:val="22"/>
        <w:u w:val="none" w:color="00ABE6"/>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52" w15:restartNumberingAfterBreak="0">
    <w:nsid w:val="4D8E799A"/>
    <w:multiLevelType w:val="hybridMultilevel"/>
    <w:tmpl w:val="AB1AA7B2"/>
    <w:lvl w:ilvl="0" w:tplc="3C283CAA">
      <w:start w:val="1"/>
      <w:numFmt w:val="decimal"/>
      <w:pStyle w:val="Box2XBoxHeading"/>
      <w:lvlText w:val="Box 2.%1:"/>
      <w:lvlJc w:val="left"/>
      <w:pPr>
        <w:ind w:left="360" w:hanging="360"/>
      </w:pPr>
      <w:rPr>
        <w:rFonts w:ascii="Public Sans SemiBold" w:hAnsi="Public Sans SemiBold" w:hint="default"/>
        <w:b/>
        <w:i w:val="0"/>
        <w:color w:val="002664"/>
        <w:sz w:val="23"/>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DCA7ED8"/>
    <w:multiLevelType w:val="hybridMultilevel"/>
    <w:tmpl w:val="C07CD982"/>
    <w:lvl w:ilvl="0" w:tplc="C68C75B4">
      <w:start w:val="1"/>
      <w:numFmt w:val="decimal"/>
      <w:pStyle w:val="Table2X"/>
      <w:lvlText w:val="Table 2.%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50D536D6"/>
    <w:multiLevelType w:val="hybridMultilevel"/>
    <w:tmpl w:val="DECCF974"/>
    <w:lvl w:ilvl="0" w:tplc="DB24AB6E">
      <w:start w:val="1"/>
      <w:numFmt w:val="decimal"/>
      <w:pStyle w:val="Box5XBoxHeading"/>
      <w:lvlText w:val="Box 5.%1:"/>
      <w:lvlJc w:val="left"/>
      <w:pPr>
        <w:ind w:left="360" w:hanging="360"/>
      </w:pPr>
      <w:rPr>
        <w:rFonts w:ascii="Public Sans SemiBold" w:hAnsi="Public Sans SemiBold" w:cs="Times New Roman" w:hint="default"/>
        <w:b/>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2A25C40"/>
    <w:multiLevelType w:val="hybridMultilevel"/>
    <w:tmpl w:val="B820474C"/>
    <w:lvl w:ilvl="0" w:tplc="838E5E4E">
      <w:start w:val="1"/>
      <w:numFmt w:val="lowerLetter"/>
      <w:lvlText w:val="(%1)"/>
      <w:lvlJc w:val="left"/>
      <w:pPr>
        <w:ind w:left="360" w:hanging="360"/>
      </w:pPr>
      <w:rPr>
        <w:rFonts w:ascii="Public Sans" w:hAnsi="Public Sans" w:hint="default"/>
        <w:sz w:val="17"/>
        <w:szCs w:val="17"/>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52BD70C2"/>
    <w:multiLevelType w:val="hybridMultilevel"/>
    <w:tmpl w:val="89DAD348"/>
    <w:lvl w:ilvl="0" w:tplc="98C650BE">
      <w:start w:val="1"/>
      <w:numFmt w:val="bullet"/>
      <w:pStyle w:val="Bullet2"/>
      <w:lvlText w:val="–"/>
      <w:lvlJc w:val="left"/>
      <w:pPr>
        <w:tabs>
          <w:tab w:val="num" w:pos="360"/>
        </w:tabs>
        <w:ind w:left="360" w:hanging="360"/>
      </w:pPr>
      <w:rPr>
        <w:rFonts w:ascii="Arial" w:hAnsi="Arial" w:cs="Arial" w:hint="default"/>
        <w:sz w:val="24"/>
      </w:rPr>
    </w:lvl>
    <w:lvl w:ilvl="1" w:tplc="0C090003" w:tentative="1">
      <w:start w:val="1"/>
      <w:numFmt w:val="bullet"/>
      <w:lvlText w:val="o"/>
      <w:lvlJc w:val="left"/>
      <w:pPr>
        <w:tabs>
          <w:tab w:val="num" w:pos="1015"/>
        </w:tabs>
        <w:ind w:left="1015" w:hanging="360"/>
      </w:pPr>
      <w:rPr>
        <w:rFonts w:ascii="Courier New" w:hAnsi="Courier New" w:cs="Courier New" w:hint="default"/>
      </w:rPr>
    </w:lvl>
    <w:lvl w:ilvl="2" w:tplc="0C090005" w:tentative="1">
      <w:start w:val="1"/>
      <w:numFmt w:val="bullet"/>
      <w:lvlText w:val=""/>
      <w:lvlJc w:val="left"/>
      <w:pPr>
        <w:tabs>
          <w:tab w:val="num" w:pos="1735"/>
        </w:tabs>
        <w:ind w:left="1735" w:hanging="360"/>
      </w:pPr>
      <w:rPr>
        <w:rFonts w:ascii="Wingdings" w:hAnsi="Wingdings" w:hint="default"/>
      </w:rPr>
    </w:lvl>
    <w:lvl w:ilvl="3" w:tplc="0C090001" w:tentative="1">
      <w:start w:val="1"/>
      <w:numFmt w:val="bullet"/>
      <w:lvlText w:val=""/>
      <w:lvlJc w:val="left"/>
      <w:pPr>
        <w:tabs>
          <w:tab w:val="num" w:pos="2455"/>
        </w:tabs>
        <w:ind w:left="2455" w:hanging="360"/>
      </w:pPr>
      <w:rPr>
        <w:rFonts w:ascii="Symbol" w:hAnsi="Symbol" w:hint="default"/>
      </w:rPr>
    </w:lvl>
    <w:lvl w:ilvl="4" w:tplc="0C090003" w:tentative="1">
      <w:start w:val="1"/>
      <w:numFmt w:val="bullet"/>
      <w:lvlText w:val="o"/>
      <w:lvlJc w:val="left"/>
      <w:pPr>
        <w:tabs>
          <w:tab w:val="num" w:pos="3175"/>
        </w:tabs>
        <w:ind w:left="3175" w:hanging="360"/>
      </w:pPr>
      <w:rPr>
        <w:rFonts w:ascii="Courier New" w:hAnsi="Courier New" w:cs="Courier New" w:hint="default"/>
      </w:rPr>
    </w:lvl>
    <w:lvl w:ilvl="5" w:tplc="0C090005" w:tentative="1">
      <w:start w:val="1"/>
      <w:numFmt w:val="bullet"/>
      <w:lvlText w:val=""/>
      <w:lvlJc w:val="left"/>
      <w:pPr>
        <w:tabs>
          <w:tab w:val="num" w:pos="3895"/>
        </w:tabs>
        <w:ind w:left="3895" w:hanging="360"/>
      </w:pPr>
      <w:rPr>
        <w:rFonts w:ascii="Wingdings" w:hAnsi="Wingdings" w:hint="default"/>
      </w:rPr>
    </w:lvl>
    <w:lvl w:ilvl="6" w:tplc="0C090001" w:tentative="1">
      <w:start w:val="1"/>
      <w:numFmt w:val="bullet"/>
      <w:lvlText w:val=""/>
      <w:lvlJc w:val="left"/>
      <w:pPr>
        <w:tabs>
          <w:tab w:val="num" w:pos="4615"/>
        </w:tabs>
        <w:ind w:left="4615" w:hanging="360"/>
      </w:pPr>
      <w:rPr>
        <w:rFonts w:ascii="Symbol" w:hAnsi="Symbol" w:hint="default"/>
      </w:rPr>
    </w:lvl>
    <w:lvl w:ilvl="7" w:tplc="0C090003" w:tentative="1">
      <w:start w:val="1"/>
      <w:numFmt w:val="bullet"/>
      <w:lvlText w:val="o"/>
      <w:lvlJc w:val="left"/>
      <w:pPr>
        <w:tabs>
          <w:tab w:val="num" w:pos="5335"/>
        </w:tabs>
        <w:ind w:left="5335" w:hanging="360"/>
      </w:pPr>
      <w:rPr>
        <w:rFonts w:ascii="Courier New" w:hAnsi="Courier New" w:cs="Courier New" w:hint="default"/>
      </w:rPr>
    </w:lvl>
    <w:lvl w:ilvl="8" w:tplc="0C090005" w:tentative="1">
      <w:start w:val="1"/>
      <w:numFmt w:val="bullet"/>
      <w:lvlText w:val=""/>
      <w:lvlJc w:val="left"/>
      <w:pPr>
        <w:tabs>
          <w:tab w:val="num" w:pos="6055"/>
        </w:tabs>
        <w:ind w:left="6055" w:hanging="360"/>
      </w:pPr>
      <w:rPr>
        <w:rFonts w:ascii="Wingdings" w:hAnsi="Wingdings" w:hint="default"/>
      </w:rPr>
    </w:lvl>
  </w:abstractNum>
  <w:abstractNum w:abstractNumId="57" w15:restartNumberingAfterBreak="0">
    <w:nsid w:val="54836140"/>
    <w:multiLevelType w:val="hybridMultilevel"/>
    <w:tmpl w:val="607E4E48"/>
    <w:lvl w:ilvl="0" w:tplc="7D34DACA">
      <w:start w:val="1"/>
      <w:numFmt w:val="decimal"/>
      <w:pStyle w:val="Chart3X"/>
      <w:lvlText w:val="Chart 3.%1:"/>
      <w:lvlJc w:val="left"/>
      <w:pPr>
        <w:ind w:left="360" w:hanging="360"/>
      </w:pPr>
      <w:rPr>
        <w:rFonts w:ascii="Public Sans" w:hAnsi="Public Sans" w:hint="default"/>
        <w:b w:val="0"/>
        <w:i/>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4F164B4"/>
    <w:multiLevelType w:val="hybridMultilevel"/>
    <w:tmpl w:val="33640FCA"/>
    <w:lvl w:ilvl="0" w:tplc="F36C4050">
      <w:start w:val="1"/>
      <w:numFmt w:val="decimal"/>
      <w:pStyle w:val="ChartCX"/>
      <w:lvlText w:val="Chart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5D6282E"/>
    <w:multiLevelType w:val="hybridMultilevel"/>
    <w:tmpl w:val="08FACEE0"/>
    <w:lvl w:ilvl="0" w:tplc="C344A7BE">
      <w:start w:val="1"/>
      <w:numFmt w:val="decimal"/>
      <w:pStyle w:val="Chart7X"/>
      <w:lvlText w:val="Chart 7.%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56041D7B"/>
    <w:multiLevelType w:val="hybridMultilevel"/>
    <w:tmpl w:val="64326218"/>
    <w:lvl w:ilvl="0" w:tplc="7032966E">
      <w:start w:val="1"/>
      <w:numFmt w:val="decimal"/>
      <w:pStyle w:val="ChartFX"/>
      <w:lvlText w:val="Chart F.%1:"/>
      <w:lvlJc w:val="left"/>
      <w:pPr>
        <w:ind w:left="360" w:hanging="360"/>
      </w:pPr>
      <w:rPr>
        <w:rFonts w:ascii="Public Sans" w:hAnsi="Public Sans" w:hint="default"/>
        <w:b w:val="0"/>
        <w:i/>
        <w:caps w:val="0"/>
        <w:color w:val="4F4F4F"/>
        <w:sz w:val="22"/>
        <w:u w:val="none"/>
      </w:rPr>
    </w:lvl>
    <w:lvl w:ilvl="1" w:tplc="16F03A40">
      <w:numFmt w:val="decimal"/>
      <w:lvlText w:val=""/>
      <w:lvlJc w:val="left"/>
    </w:lvl>
    <w:lvl w:ilvl="2" w:tplc="233C1574">
      <w:numFmt w:val="decimal"/>
      <w:lvlText w:val=""/>
      <w:lvlJc w:val="left"/>
    </w:lvl>
    <w:lvl w:ilvl="3" w:tplc="7B003C54">
      <w:numFmt w:val="decimal"/>
      <w:lvlText w:val=""/>
      <w:lvlJc w:val="left"/>
    </w:lvl>
    <w:lvl w:ilvl="4" w:tplc="EAEE4440">
      <w:numFmt w:val="decimal"/>
      <w:lvlText w:val=""/>
      <w:lvlJc w:val="left"/>
    </w:lvl>
    <w:lvl w:ilvl="5" w:tplc="DDAE1404">
      <w:numFmt w:val="decimal"/>
      <w:lvlText w:val=""/>
      <w:lvlJc w:val="left"/>
    </w:lvl>
    <w:lvl w:ilvl="6" w:tplc="30E425A4">
      <w:numFmt w:val="decimal"/>
      <w:lvlText w:val=""/>
      <w:lvlJc w:val="left"/>
    </w:lvl>
    <w:lvl w:ilvl="7" w:tplc="684E0DE4">
      <w:numFmt w:val="decimal"/>
      <w:lvlText w:val=""/>
      <w:lvlJc w:val="left"/>
    </w:lvl>
    <w:lvl w:ilvl="8" w:tplc="38D6F2D4">
      <w:numFmt w:val="decimal"/>
      <w:lvlText w:val=""/>
      <w:lvlJc w:val="left"/>
    </w:lvl>
  </w:abstractNum>
  <w:abstractNum w:abstractNumId="61" w15:restartNumberingAfterBreak="0">
    <w:nsid w:val="599E5E30"/>
    <w:multiLevelType w:val="hybridMultilevel"/>
    <w:tmpl w:val="6EAE9232"/>
    <w:lvl w:ilvl="0" w:tplc="AA1685D2">
      <w:start w:val="1"/>
      <w:numFmt w:val="decimal"/>
      <w:pStyle w:val="71Heading2"/>
      <w:lvlText w:val="7.%1"/>
      <w:lvlJc w:val="left"/>
      <w:pPr>
        <w:ind w:left="360" w:hanging="360"/>
      </w:pPr>
      <w:rPr>
        <w:rFonts w:ascii="Public Sans SemiBold" w:hAnsi="Public Sans SemiBold" w:hint="default"/>
        <w:b w:val="0"/>
        <w:i w:val="0"/>
        <w:caps w:val="0"/>
        <w:color w:val="22272B"/>
        <w:sz w:val="28"/>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5A414304"/>
    <w:multiLevelType w:val="hybridMultilevel"/>
    <w:tmpl w:val="0B8C58F8"/>
    <w:lvl w:ilvl="0" w:tplc="EBD27E46">
      <w:start w:val="1"/>
      <w:numFmt w:val="decimal"/>
      <w:pStyle w:val="D1Heading2"/>
      <w:lvlText w:val="D.%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D4039FA"/>
    <w:multiLevelType w:val="hybridMultilevel"/>
    <w:tmpl w:val="AC0E05BA"/>
    <w:lvl w:ilvl="0" w:tplc="019400A6">
      <w:start w:val="1"/>
      <w:numFmt w:val="decimal"/>
      <w:pStyle w:val="11Heading2"/>
      <w:lvlText w:val="1.%1"/>
      <w:lvlJc w:val="left"/>
      <w:pPr>
        <w:ind w:left="720" w:hanging="360"/>
      </w:pPr>
      <w:rPr>
        <w:rFonts w:ascii="Public Sans SemiBold" w:hAnsi="Public Sans SemiBold" w:hint="default"/>
        <w:b w:val="0"/>
        <w:bCs w:val="0"/>
        <w:i w:val="0"/>
        <w:iCs w:val="0"/>
        <w:caps w:val="0"/>
        <w:strike w:val="0"/>
        <w:dstrike w:val="0"/>
        <w:vanish w:val="0"/>
        <w:color w:val="22272B"/>
        <w:spacing w:val="0"/>
        <w:kern w:val="0"/>
        <w:position w:val="0"/>
        <w:sz w:val="28"/>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DBD6814"/>
    <w:multiLevelType w:val="hybridMultilevel"/>
    <w:tmpl w:val="00FC3AB4"/>
    <w:lvl w:ilvl="0" w:tplc="5BBC99D6">
      <w:start w:val="1"/>
      <w:numFmt w:val="decimal"/>
      <w:pStyle w:val="Chart6X"/>
      <w:lvlText w:val="Chart 6.%1:"/>
      <w:lvlJc w:val="left"/>
      <w:pPr>
        <w:ind w:left="360" w:hanging="360"/>
      </w:pPr>
      <w:rPr>
        <w:rFonts w:ascii="Public Sans" w:hAnsi="Public Sans" w:cs="Arial" w:hint="default"/>
        <w:b w:val="0"/>
        <w:i/>
        <w:caps w:val="0"/>
        <w:strike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F4225C0"/>
    <w:multiLevelType w:val="hybridMultilevel"/>
    <w:tmpl w:val="A23C4474"/>
    <w:lvl w:ilvl="0" w:tplc="72A23DCC">
      <w:start w:val="1"/>
      <w:numFmt w:val="decimal"/>
      <w:pStyle w:val="Figure2X"/>
      <w:lvlText w:val="Figure 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FDA03CA"/>
    <w:multiLevelType w:val="hybridMultilevel"/>
    <w:tmpl w:val="76841D38"/>
    <w:lvl w:ilvl="0" w:tplc="98B616F2">
      <w:start w:val="1"/>
      <w:numFmt w:val="decimal"/>
      <w:pStyle w:val="FigureFX"/>
      <w:lvlText w:val="Figur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0B26314"/>
    <w:multiLevelType w:val="hybridMultilevel"/>
    <w:tmpl w:val="80C225BA"/>
    <w:lvl w:ilvl="0" w:tplc="D0F0FC8C">
      <w:start w:val="1"/>
      <w:numFmt w:val="decimal"/>
      <w:pStyle w:val="TableFX"/>
      <w:lvlText w:val="Tabl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1541C4A"/>
    <w:multiLevelType w:val="hybridMultilevel"/>
    <w:tmpl w:val="B8DC8144"/>
    <w:lvl w:ilvl="0" w:tplc="F516F9AA">
      <w:start w:val="1"/>
      <w:numFmt w:val="decimal"/>
      <w:pStyle w:val="Figure6X"/>
      <w:lvlText w:val="Figure 6.%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403159E"/>
    <w:multiLevelType w:val="hybridMultilevel"/>
    <w:tmpl w:val="E7D4563E"/>
    <w:lvl w:ilvl="0" w:tplc="76E2174C">
      <w:start w:val="1"/>
      <w:numFmt w:val="bullet"/>
      <w:pStyle w:val="Bullet3"/>
      <w:lvlText w:val="o"/>
      <w:lvlJc w:val="left"/>
      <w:pPr>
        <w:ind w:left="927" w:hanging="360"/>
      </w:pPr>
      <w:rPr>
        <w:rFonts w:ascii="Courier New" w:hAnsi="Courier New" w:cs="Courier New"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4E75030"/>
    <w:multiLevelType w:val="hybridMultilevel"/>
    <w:tmpl w:val="FCF62A94"/>
    <w:lvl w:ilvl="0" w:tplc="AC301ED0">
      <w:start w:val="1"/>
      <w:numFmt w:val="decimal"/>
      <w:pStyle w:val="Heading2"/>
      <w:lvlText w:val="F.%1"/>
      <w:lvlJc w:val="left"/>
      <w:pPr>
        <w:ind w:left="360" w:hanging="360"/>
      </w:pPr>
      <w:rPr>
        <w:rFonts w:ascii="Arial Bold" w:hAnsi="Arial Bold" w:hint="default"/>
        <w:b/>
        <w:i w:val="0"/>
        <w:color w:val="008EBA"/>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5D44CAF"/>
    <w:multiLevelType w:val="hybridMultilevel"/>
    <w:tmpl w:val="BBF40818"/>
    <w:lvl w:ilvl="0" w:tplc="F8965DD8">
      <w:start w:val="1"/>
      <w:numFmt w:val="decimal"/>
      <w:pStyle w:val="Figure8X"/>
      <w:lvlText w:val="Figure 8.%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608000C"/>
    <w:multiLevelType w:val="hybridMultilevel"/>
    <w:tmpl w:val="C4B83B92"/>
    <w:lvl w:ilvl="0" w:tplc="DA42CA0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68095C94"/>
    <w:multiLevelType w:val="hybridMultilevel"/>
    <w:tmpl w:val="1EB6971A"/>
    <w:lvl w:ilvl="0" w:tplc="A52E78A0">
      <w:start w:val="1"/>
      <w:numFmt w:val="decimal"/>
      <w:pStyle w:val="21Heading2"/>
      <w:lvlText w:val="2.%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686F44BC"/>
    <w:multiLevelType w:val="hybridMultilevel"/>
    <w:tmpl w:val="3760A860"/>
    <w:lvl w:ilvl="0" w:tplc="E2A69734">
      <w:start w:val="1"/>
      <w:numFmt w:val="decimal"/>
      <w:pStyle w:val="FigureDX"/>
      <w:lvlText w:val="Figure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BAD0A08"/>
    <w:multiLevelType w:val="hybridMultilevel"/>
    <w:tmpl w:val="0DF489D0"/>
    <w:lvl w:ilvl="0" w:tplc="FAF2E3B4">
      <w:start w:val="1"/>
      <w:numFmt w:val="decimal"/>
      <w:pStyle w:val="A41Heading2"/>
      <w:lvlText w:val="A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6D633B70"/>
    <w:multiLevelType w:val="hybridMultilevel"/>
    <w:tmpl w:val="B1F0C88E"/>
    <w:lvl w:ilvl="0" w:tplc="6F6E4644">
      <w:start w:val="1"/>
      <w:numFmt w:val="decimal"/>
      <w:pStyle w:val="Box1XBoxHeading"/>
      <w:lvlText w:val="Box 1.%1:"/>
      <w:lvlJc w:val="left"/>
      <w:pPr>
        <w:ind w:left="360" w:hanging="360"/>
      </w:pPr>
      <w:rPr>
        <w:rFonts w:ascii="Public Sans SemiBold" w:hAnsi="Public Sans SemiBold" w:hint="default"/>
        <w:b/>
        <w:bCs w:val="0"/>
        <w:i w:val="0"/>
        <w:iCs w:val="0"/>
        <w:caps w:val="0"/>
        <w:strike w:val="0"/>
        <w:dstrike w:val="0"/>
        <w:vanish w:val="0"/>
        <w:color w:val="002664"/>
        <w:spacing w:val="0"/>
        <w:kern w:val="0"/>
        <w:position w:val="0"/>
        <w:sz w:val="22"/>
        <w:u w:val="none" w:color="00ABE6"/>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6DFA6ECC"/>
    <w:multiLevelType w:val="hybridMultilevel"/>
    <w:tmpl w:val="D01658F6"/>
    <w:lvl w:ilvl="0" w:tplc="A5EE317A">
      <w:start w:val="1"/>
      <w:numFmt w:val="decimal"/>
      <w:pStyle w:val="Box6XBoxHeading"/>
      <w:lvlText w:val="Box 6.%1:"/>
      <w:lvlJc w:val="left"/>
      <w:pPr>
        <w:ind w:left="360" w:hanging="360"/>
      </w:pPr>
      <w:rPr>
        <w:rFonts w:ascii="Public Sans SemiBold" w:hAnsi="Public Sans SemiBold" w:cs="Arial" w:hint="default"/>
        <w:b/>
        <w:i w:val="0"/>
        <w:color w:val="002664"/>
        <w:sz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6F881604"/>
    <w:multiLevelType w:val="hybridMultilevel"/>
    <w:tmpl w:val="757216A8"/>
    <w:lvl w:ilvl="0" w:tplc="89C25A8C">
      <w:start w:val="1"/>
      <w:numFmt w:val="lowerLetter"/>
      <w:lvlText w:val="(%1)"/>
      <w:lvlJc w:val="left"/>
      <w:pPr>
        <w:ind w:left="720" w:hanging="360"/>
      </w:pPr>
      <w:rPr>
        <w:rFonts w:ascii="Public Sans" w:hAnsi="Public Sans" w:cs="Arial" w:hint="default"/>
      </w:rPr>
    </w:lvl>
    <w:lvl w:ilvl="1" w:tplc="4100FEF6">
      <w:start w:val="1"/>
      <w:numFmt w:val="lowerLetter"/>
      <w:lvlText w:val="%2."/>
      <w:lvlJc w:val="left"/>
      <w:pPr>
        <w:ind w:left="1440" w:hanging="360"/>
      </w:pPr>
    </w:lvl>
    <w:lvl w:ilvl="2" w:tplc="EBC0C138">
      <w:start w:val="1"/>
      <w:numFmt w:val="lowerRoman"/>
      <w:lvlText w:val="%3."/>
      <w:lvlJc w:val="right"/>
      <w:pPr>
        <w:ind w:left="2160" w:hanging="180"/>
      </w:pPr>
    </w:lvl>
    <w:lvl w:ilvl="3" w:tplc="0F92A9E8">
      <w:start w:val="1"/>
      <w:numFmt w:val="decimal"/>
      <w:lvlText w:val="%4."/>
      <w:lvlJc w:val="left"/>
      <w:pPr>
        <w:ind w:left="2880" w:hanging="360"/>
      </w:pPr>
    </w:lvl>
    <w:lvl w:ilvl="4" w:tplc="92DC92C4">
      <w:start w:val="1"/>
      <w:numFmt w:val="lowerLetter"/>
      <w:lvlText w:val="%5."/>
      <w:lvlJc w:val="left"/>
      <w:pPr>
        <w:ind w:left="3600" w:hanging="360"/>
      </w:pPr>
    </w:lvl>
    <w:lvl w:ilvl="5" w:tplc="D7F2F70E">
      <w:start w:val="1"/>
      <w:numFmt w:val="lowerRoman"/>
      <w:lvlText w:val="%6."/>
      <w:lvlJc w:val="right"/>
      <w:pPr>
        <w:ind w:left="4320" w:hanging="180"/>
      </w:pPr>
    </w:lvl>
    <w:lvl w:ilvl="6" w:tplc="78C21908">
      <w:start w:val="1"/>
      <w:numFmt w:val="decimal"/>
      <w:lvlText w:val="%7."/>
      <w:lvlJc w:val="left"/>
      <w:pPr>
        <w:ind w:left="5040" w:hanging="360"/>
      </w:pPr>
    </w:lvl>
    <w:lvl w:ilvl="7" w:tplc="976E000A">
      <w:start w:val="1"/>
      <w:numFmt w:val="lowerLetter"/>
      <w:lvlText w:val="%8."/>
      <w:lvlJc w:val="left"/>
      <w:pPr>
        <w:ind w:left="5760" w:hanging="360"/>
      </w:pPr>
    </w:lvl>
    <w:lvl w:ilvl="8" w:tplc="F03CB644">
      <w:start w:val="1"/>
      <w:numFmt w:val="lowerRoman"/>
      <w:lvlText w:val="%9."/>
      <w:lvlJc w:val="right"/>
      <w:pPr>
        <w:ind w:left="6480" w:hanging="180"/>
      </w:pPr>
    </w:lvl>
  </w:abstractNum>
  <w:abstractNum w:abstractNumId="79" w15:restartNumberingAfterBreak="0">
    <w:nsid w:val="6FFC7609"/>
    <w:multiLevelType w:val="hybridMultilevel"/>
    <w:tmpl w:val="F03008C0"/>
    <w:lvl w:ilvl="0" w:tplc="6CA42CD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0B8201D"/>
    <w:multiLevelType w:val="hybridMultilevel"/>
    <w:tmpl w:val="00F05DDE"/>
    <w:lvl w:ilvl="0" w:tplc="233C1998">
      <w:start w:val="1"/>
      <w:numFmt w:val="decimal"/>
      <w:pStyle w:val="TableEX"/>
      <w:lvlText w:val="Table E.%1:"/>
      <w:lvlJc w:val="left"/>
      <w:pPr>
        <w:ind w:left="72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3112603"/>
    <w:multiLevelType w:val="hybridMultilevel"/>
    <w:tmpl w:val="5D1A2168"/>
    <w:lvl w:ilvl="0" w:tplc="19B6A9D2">
      <w:start w:val="1"/>
      <w:numFmt w:val="decimal"/>
      <w:pStyle w:val="Chart1X"/>
      <w:lvlText w:val="Chart 1.%1:"/>
      <w:lvlJc w:val="left"/>
      <w:pPr>
        <w:ind w:left="360" w:hanging="360"/>
      </w:pPr>
      <w:rPr>
        <w:rFonts w:ascii="Public Sans" w:hAnsi="Public Sans" w:cs="Arial" w:hint="default"/>
        <w:b w:val="0"/>
        <w:i/>
        <w:caps w:val="0"/>
        <w:color w:val="57514D"/>
        <w:sz w:val="22"/>
        <w:szCs w:val="22"/>
        <w:u w:val="none"/>
        <w:vertAlign w:val="baseline"/>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2" w15:restartNumberingAfterBreak="0">
    <w:nsid w:val="73BB309D"/>
    <w:multiLevelType w:val="hybridMultilevel"/>
    <w:tmpl w:val="1A8A6AB6"/>
    <w:lvl w:ilvl="0" w:tplc="8BCEF202">
      <w:start w:val="1"/>
      <w:numFmt w:val="decimal"/>
      <w:pStyle w:val="FigureA5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4AC412F"/>
    <w:multiLevelType w:val="hybridMultilevel"/>
    <w:tmpl w:val="5F2EE886"/>
    <w:lvl w:ilvl="0" w:tplc="5D3AE340">
      <w:start w:val="1"/>
      <w:numFmt w:val="decimal"/>
      <w:pStyle w:val="Table8X"/>
      <w:lvlText w:val="Table 8.%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6543C04"/>
    <w:multiLevelType w:val="hybridMultilevel"/>
    <w:tmpl w:val="05108FD2"/>
    <w:lvl w:ilvl="0" w:tplc="05EC7EE6">
      <w:start w:val="1"/>
      <w:numFmt w:val="decimal"/>
      <w:pStyle w:val="ChartDX"/>
      <w:lvlText w:val="Chart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6B3043F"/>
    <w:multiLevelType w:val="hybridMultilevel"/>
    <w:tmpl w:val="445AC18A"/>
    <w:lvl w:ilvl="0" w:tplc="CF465CF8">
      <w:start w:val="1"/>
      <w:numFmt w:val="decimal"/>
      <w:pStyle w:val="Table3X"/>
      <w:lvlText w:val="Table 3.%1:"/>
      <w:lvlJc w:val="left"/>
      <w:pPr>
        <w:ind w:left="360" w:hanging="360"/>
      </w:pPr>
      <w:rPr>
        <w:rFonts w:ascii="Public Sans" w:hAnsi="Public Sans" w:hint="default"/>
        <w:b w:val="0"/>
        <w:i/>
        <w:caps w:val="0"/>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782868C0"/>
    <w:multiLevelType w:val="hybridMultilevel"/>
    <w:tmpl w:val="F0E2B930"/>
    <w:lvl w:ilvl="0" w:tplc="7FCEA4D2">
      <w:start w:val="1"/>
      <w:numFmt w:val="decimal"/>
      <w:pStyle w:val="Figure1X"/>
      <w:lvlText w:val="Figure 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9C00E47"/>
    <w:multiLevelType w:val="hybridMultilevel"/>
    <w:tmpl w:val="8BEA0916"/>
    <w:lvl w:ilvl="0" w:tplc="C3C84DF0">
      <w:start w:val="1"/>
      <w:numFmt w:val="decimal"/>
      <w:pStyle w:val="FigureA1X"/>
      <w:lvlText w:val="Figure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7A1A1949"/>
    <w:multiLevelType w:val="hybridMultilevel"/>
    <w:tmpl w:val="EA5A111E"/>
    <w:lvl w:ilvl="0" w:tplc="53264B4E">
      <w:start w:val="1"/>
      <w:numFmt w:val="decimal"/>
      <w:pStyle w:val="Chart5X"/>
      <w:lvlText w:val="Chart 5.%1:"/>
      <w:lvlJc w:val="left"/>
      <w:pPr>
        <w:ind w:left="360" w:hanging="360"/>
      </w:pPr>
      <w:rPr>
        <w:rFonts w:ascii="Public Sans" w:hAnsi="Public Sans" w:cs="Arial" w:hint="default"/>
        <w:b w:val="0"/>
        <w:i/>
        <w:caps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7A876093"/>
    <w:multiLevelType w:val="hybridMultilevel"/>
    <w:tmpl w:val="8698F396"/>
    <w:lvl w:ilvl="0" w:tplc="818A2532">
      <w:start w:val="1"/>
      <w:numFmt w:val="decimal"/>
      <w:pStyle w:val="Box4XBoxHeading"/>
      <w:lvlText w:val="Box 4.%1:"/>
      <w:lvlJc w:val="left"/>
      <w:pPr>
        <w:ind w:left="360" w:hanging="360"/>
      </w:pPr>
      <w:rPr>
        <w:rFonts w:ascii="Public Sans SemiBold" w:hAnsi="Public Sans SemiBold" w:cs="Times New Roman" w:hint="default"/>
        <w:b/>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7C6919CF"/>
    <w:multiLevelType w:val="hybridMultilevel"/>
    <w:tmpl w:val="6EF4E840"/>
    <w:lvl w:ilvl="0" w:tplc="BAC2257E">
      <w:start w:val="1"/>
      <w:numFmt w:val="decimal"/>
      <w:pStyle w:val="F1Heading2"/>
      <w:lvlText w:val="F.%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7E2945C9"/>
    <w:multiLevelType w:val="hybridMultilevel"/>
    <w:tmpl w:val="E24C0D4E"/>
    <w:lvl w:ilvl="0" w:tplc="EADED0DE">
      <w:start w:val="1"/>
      <w:numFmt w:val="decimal"/>
      <w:pStyle w:val="FigureCX"/>
      <w:lvlText w:val="Figur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7E58502F"/>
    <w:multiLevelType w:val="hybridMultilevel"/>
    <w:tmpl w:val="D8B2E5D8"/>
    <w:lvl w:ilvl="0" w:tplc="5E58E244">
      <w:start w:val="1"/>
      <w:numFmt w:val="decimal"/>
      <w:pStyle w:val="TableCX"/>
      <w:lvlText w:val="Tabl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7E7E6F1F"/>
    <w:multiLevelType w:val="hybridMultilevel"/>
    <w:tmpl w:val="25D24E66"/>
    <w:lvl w:ilvl="0" w:tplc="AFB4FA42">
      <w:start w:val="1"/>
      <w:numFmt w:val="decimal"/>
      <w:pStyle w:val="ChartEX"/>
      <w:lvlText w:val="Chart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29432643">
    <w:abstractNumId w:val="55"/>
  </w:num>
  <w:num w:numId="2" w16cid:durableId="831330472">
    <w:abstractNumId w:val="16"/>
  </w:num>
  <w:num w:numId="3" w16cid:durableId="661543400">
    <w:abstractNumId w:val="23"/>
  </w:num>
  <w:num w:numId="4" w16cid:durableId="447358826">
    <w:abstractNumId w:val="34"/>
  </w:num>
  <w:num w:numId="5" w16cid:durableId="1468477211">
    <w:abstractNumId w:val="17"/>
  </w:num>
  <w:num w:numId="6" w16cid:durableId="64380280">
    <w:abstractNumId w:val="35"/>
  </w:num>
  <w:num w:numId="7" w16cid:durableId="388581113">
    <w:abstractNumId w:val="78"/>
  </w:num>
  <w:num w:numId="8" w16cid:durableId="1241715133">
    <w:abstractNumId w:val="0"/>
  </w:num>
  <w:num w:numId="9" w16cid:durableId="1111168075">
    <w:abstractNumId w:val="63"/>
  </w:num>
  <w:num w:numId="10" w16cid:durableId="592518629">
    <w:abstractNumId w:val="73"/>
  </w:num>
  <w:num w:numId="11" w16cid:durableId="818111310">
    <w:abstractNumId w:val="48"/>
  </w:num>
  <w:num w:numId="12" w16cid:durableId="1736203089">
    <w:abstractNumId w:val="28"/>
  </w:num>
  <w:num w:numId="13" w16cid:durableId="1015349536">
    <w:abstractNumId w:val="43"/>
  </w:num>
  <w:num w:numId="14" w16cid:durableId="1076512088">
    <w:abstractNumId w:val="42"/>
  </w:num>
  <w:num w:numId="15" w16cid:durableId="625740251">
    <w:abstractNumId w:val="61"/>
  </w:num>
  <w:num w:numId="16" w16cid:durableId="1974557800">
    <w:abstractNumId w:val="32"/>
  </w:num>
  <w:num w:numId="17" w16cid:durableId="1103259599">
    <w:abstractNumId w:val="4"/>
  </w:num>
  <w:num w:numId="18" w16cid:durableId="75322799">
    <w:abstractNumId w:val="3"/>
  </w:num>
  <w:num w:numId="19" w16cid:durableId="666249799">
    <w:abstractNumId w:val="46"/>
  </w:num>
  <w:num w:numId="20" w16cid:durableId="1225333324">
    <w:abstractNumId w:val="75"/>
  </w:num>
  <w:num w:numId="21" w16cid:durableId="1144852274">
    <w:abstractNumId w:val="22"/>
  </w:num>
  <w:num w:numId="22" w16cid:durableId="187717806">
    <w:abstractNumId w:val="76"/>
  </w:num>
  <w:num w:numId="23" w16cid:durableId="1092892016">
    <w:abstractNumId w:val="52"/>
  </w:num>
  <w:num w:numId="24" w16cid:durableId="1909921484">
    <w:abstractNumId w:val="51"/>
  </w:num>
  <w:num w:numId="25" w16cid:durableId="462308321">
    <w:abstractNumId w:val="89"/>
  </w:num>
  <w:num w:numId="26" w16cid:durableId="726028345">
    <w:abstractNumId w:val="54"/>
  </w:num>
  <w:num w:numId="27" w16cid:durableId="1120496969">
    <w:abstractNumId w:val="77"/>
  </w:num>
  <w:num w:numId="28" w16cid:durableId="435444615">
    <w:abstractNumId w:val="1"/>
  </w:num>
  <w:num w:numId="29" w16cid:durableId="991173984">
    <w:abstractNumId w:val="49"/>
  </w:num>
  <w:num w:numId="30" w16cid:durableId="656612371">
    <w:abstractNumId w:val="40"/>
  </w:num>
  <w:num w:numId="31" w16cid:durableId="1787848375">
    <w:abstractNumId w:val="56"/>
  </w:num>
  <w:num w:numId="32" w16cid:durableId="57171216">
    <w:abstractNumId w:val="69"/>
  </w:num>
  <w:num w:numId="33" w16cid:durableId="1841192395">
    <w:abstractNumId w:val="41"/>
  </w:num>
  <w:num w:numId="34" w16cid:durableId="2108259838">
    <w:abstractNumId w:val="29"/>
  </w:num>
  <w:num w:numId="35" w16cid:durableId="1020159076">
    <w:abstractNumId w:val="81"/>
  </w:num>
  <w:num w:numId="36" w16cid:durableId="1783763157">
    <w:abstractNumId w:val="36"/>
  </w:num>
  <w:num w:numId="37" w16cid:durableId="1208222467">
    <w:abstractNumId w:val="57"/>
  </w:num>
  <w:num w:numId="38" w16cid:durableId="1151168485">
    <w:abstractNumId w:val="47"/>
  </w:num>
  <w:num w:numId="39" w16cid:durableId="1983339762">
    <w:abstractNumId w:val="88"/>
  </w:num>
  <w:num w:numId="40" w16cid:durableId="347222996">
    <w:abstractNumId w:val="64"/>
  </w:num>
  <w:num w:numId="41" w16cid:durableId="804158625">
    <w:abstractNumId w:val="59"/>
  </w:num>
  <w:num w:numId="42" w16cid:durableId="1911191119">
    <w:abstractNumId w:val="2"/>
  </w:num>
  <w:num w:numId="43" w16cid:durableId="409543141">
    <w:abstractNumId w:val="38"/>
  </w:num>
  <w:num w:numId="44" w16cid:durableId="122043714">
    <w:abstractNumId w:val="50"/>
  </w:num>
  <w:num w:numId="45" w16cid:durableId="1557081749">
    <w:abstractNumId w:val="24"/>
  </w:num>
  <w:num w:numId="46" w16cid:durableId="974143229">
    <w:abstractNumId w:val="18"/>
  </w:num>
  <w:num w:numId="47" w16cid:durableId="1040790214">
    <w:abstractNumId w:val="10"/>
  </w:num>
  <w:num w:numId="48" w16cid:durableId="1754088446">
    <w:abstractNumId w:val="58"/>
  </w:num>
  <w:num w:numId="49" w16cid:durableId="281116653">
    <w:abstractNumId w:val="84"/>
  </w:num>
  <w:num w:numId="50" w16cid:durableId="2060660972">
    <w:abstractNumId w:val="93"/>
  </w:num>
  <w:num w:numId="51" w16cid:durableId="121309779">
    <w:abstractNumId w:val="60"/>
  </w:num>
  <w:num w:numId="52" w16cid:durableId="1632202228">
    <w:abstractNumId w:val="62"/>
  </w:num>
  <w:num w:numId="53" w16cid:durableId="1146971654">
    <w:abstractNumId w:val="14"/>
  </w:num>
  <w:num w:numId="54" w16cid:durableId="1341200146">
    <w:abstractNumId w:val="90"/>
  </w:num>
  <w:num w:numId="55" w16cid:durableId="816803388">
    <w:abstractNumId w:val="86"/>
  </w:num>
  <w:num w:numId="56" w16cid:durableId="1331062617">
    <w:abstractNumId w:val="65"/>
  </w:num>
  <w:num w:numId="57" w16cid:durableId="271088444">
    <w:abstractNumId w:val="13"/>
  </w:num>
  <w:num w:numId="58" w16cid:durableId="88697105">
    <w:abstractNumId w:val="27"/>
  </w:num>
  <w:num w:numId="59" w16cid:durableId="78215686">
    <w:abstractNumId w:val="44"/>
  </w:num>
  <w:num w:numId="60" w16cid:durableId="357506451">
    <w:abstractNumId w:val="68"/>
  </w:num>
  <w:num w:numId="61" w16cid:durableId="1091975678">
    <w:abstractNumId w:val="11"/>
  </w:num>
  <w:num w:numId="62" w16cid:durableId="2097708521">
    <w:abstractNumId w:val="71"/>
  </w:num>
  <w:num w:numId="63" w16cid:durableId="968364846">
    <w:abstractNumId w:val="87"/>
  </w:num>
  <w:num w:numId="64" w16cid:durableId="2029484674">
    <w:abstractNumId w:val="31"/>
  </w:num>
  <w:num w:numId="65" w16cid:durableId="279411434">
    <w:abstractNumId w:val="25"/>
  </w:num>
  <w:num w:numId="66" w16cid:durableId="972516776">
    <w:abstractNumId w:val="19"/>
  </w:num>
  <w:num w:numId="67" w16cid:durableId="98763344">
    <w:abstractNumId w:val="82"/>
  </w:num>
  <w:num w:numId="68" w16cid:durableId="1770076268">
    <w:abstractNumId w:val="6"/>
  </w:num>
  <w:num w:numId="69" w16cid:durableId="1463495460">
    <w:abstractNumId w:val="91"/>
  </w:num>
  <w:num w:numId="70" w16cid:durableId="1254558094">
    <w:abstractNumId w:val="74"/>
  </w:num>
  <w:num w:numId="71" w16cid:durableId="968828105">
    <w:abstractNumId w:val="45"/>
  </w:num>
  <w:num w:numId="72" w16cid:durableId="1952274665">
    <w:abstractNumId w:val="66"/>
  </w:num>
  <w:num w:numId="73" w16cid:durableId="629170422">
    <w:abstractNumId w:val="70"/>
  </w:num>
  <w:num w:numId="74" w16cid:durableId="2121803697">
    <w:abstractNumId w:val="53"/>
  </w:num>
  <w:num w:numId="75" w16cid:durableId="1823041860">
    <w:abstractNumId w:val="85"/>
  </w:num>
  <w:num w:numId="76" w16cid:durableId="672415773">
    <w:abstractNumId w:val="33"/>
  </w:num>
  <w:num w:numId="77" w16cid:durableId="1444033593">
    <w:abstractNumId w:val="12"/>
  </w:num>
  <w:num w:numId="78" w16cid:durableId="1609048372">
    <w:abstractNumId w:val="26"/>
  </w:num>
  <w:num w:numId="79" w16cid:durableId="2132939602">
    <w:abstractNumId w:val="7"/>
  </w:num>
  <w:num w:numId="80" w16cid:durableId="93133910">
    <w:abstractNumId w:val="83"/>
  </w:num>
  <w:num w:numId="81" w16cid:durableId="857350289">
    <w:abstractNumId w:val="20"/>
  </w:num>
  <w:num w:numId="82" w16cid:durableId="1280379915">
    <w:abstractNumId w:val="37"/>
  </w:num>
  <w:num w:numId="83" w16cid:durableId="717433207">
    <w:abstractNumId w:val="5"/>
  </w:num>
  <w:num w:numId="84" w16cid:durableId="1496146116">
    <w:abstractNumId w:val="8"/>
  </w:num>
  <w:num w:numId="85" w16cid:durableId="1128203229">
    <w:abstractNumId w:val="92"/>
  </w:num>
  <w:num w:numId="86" w16cid:durableId="392626282">
    <w:abstractNumId w:val="15"/>
  </w:num>
  <w:num w:numId="87" w16cid:durableId="1528565965">
    <w:abstractNumId w:val="80"/>
  </w:num>
  <w:num w:numId="88" w16cid:durableId="1241137530">
    <w:abstractNumId w:val="67"/>
  </w:num>
  <w:num w:numId="89" w16cid:durableId="1534030945">
    <w:abstractNumId w:val="39"/>
  </w:num>
  <w:num w:numId="90" w16cid:durableId="1452238875">
    <w:abstractNumId w:val="72"/>
  </w:num>
  <w:num w:numId="91" w16cid:durableId="620310318">
    <w:abstractNumId w:val="21"/>
  </w:num>
  <w:num w:numId="92" w16cid:durableId="1122307475">
    <w:abstractNumId w:val="30"/>
  </w:num>
  <w:num w:numId="93" w16cid:durableId="2099906033">
    <w:abstractNumId w:val="9"/>
  </w:num>
  <w:num w:numId="94" w16cid:durableId="364017912">
    <w:abstractNumId w:val="79"/>
  </w:num>
  <w:num w:numId="95" w16cid:durableId="2089228616">
    <w:abstractNumId w:val="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BB"/>
    <w:rsid w:val="00000443"/>
    <w:rsid w:val="00003099"/>
    <w:rsid w:val="00004FF3"/>
    <w:rsid w:val="00005D1E"/>
    <w:rsid w:val="00005ED0"/>
    <w:rsid w:val="00006EFB"/>
    <w:rsid w:val="00010F3A"/>
    <w:rsid w:val="000117D4"/>
    <w:rsid w:val="00014449"/>
    <w:rsid w:val="00014C1B"/>
    <w:rsid w:val="00014ED1"/>
    <w:rsid w:val="00020DE7"/>
    <w:rsid w:val="000217CC"/>
    <w:rsid w:val="000239DC"/>
    <w:rsid w:val="00026DBD"/>
    <w:rsid w:val="00026F56"/>
    <w:rsid w:val="00027D6F"/>
    <w:rsid w:val="00027F6E"/>
    <w:rsid w:val="00031261"/>
    <w:rsid w:val="000312CE"/>
    <w:rsid w:val="0003277E"/>
    <w:rsid w:val="000338F2"/>
    <w:rsid w:val="00035674"/>
    <w:rsid w:val="00035938"/>
    <w:rsid w:val="000372DF"/>
    <w:rsid w:val="00040618"/>
    <w:rsid w:val="000416F3"/>
    <w:rsid w:val="00042E6E"/>
    <w:rsid w:val="00045FD2"/>
    <w:rsid w:val="00047419"/>
    <w:rsid w:val="00050509"/>
    <w:rsid w:val="00050E57"/>
    <w:rsid w:val="000523D2"/>
    <w:rsid w:val="00053E47"/>
    <w:rsid w:val="00054265"/>
    <w:rsid w:val="0005453C"/>
    <w:rsid w:val="00055144"/>
    <w:rsid w:val="00056389"/>
    <w:rsid w:val="000566C7"/>
    <w:rsid w:val="000577B2"/>
    <w:rsid w:val="000607D6"/>
    <w:rsid w:val="00061558"/>
    <w:rsid w:val="000628C9"/>
    <w:rsid w:val="00063477"/>
    <w:rsid w:val="0006645D"/>
    <w:rsid w:val="00070F42"/>
    <w:rsid w:val="00073306"/>
    <w:rsid w:val="00076572"/>
    <w:rsid w:val="00081362"/>
    <w:rsid w:val="00082704"/>
    <w:rsid w:val="00082E21"/>
    <w:rsid w:val="000850C9"/>
    <w:rsid w:val="00085B26"/>
    <w:rsid w:val="00093720"/>
    <w:rsid w:val="00094EC8"/>
    <w:rsid w:val="00095DCC"/>
    <w:rsid w:val="0009646E"/>
    <w:rsid w:val="00097D37"/>
    <w:rsid w:val="000A0C41"/>
    <w:rsid w:val="000A2CA4"/>
    <w:rsid w:val="000A3D10"/>
    <w:rsid w:val="000A5AF1"/>
    <w:rsid w:val="000A65EB"/>
    <w:rsid w:val="000B085F"/>
    <w:rsid w:val="000B2111"/>
    <w:rsid w:val="000B34B8"/>
    <w:rsid w:val="000B3B34"/>
    <w:rsid w:val="000B3EB5"/>
    <w:rsid w:val="000B7896"/>
    <w:rsid w:val="000C2E6A"/>
    <w:rsid w:val="000C3675"/>
    <w:rsid w:val="000C41C8"/>
    <w:rsid w:val="000D1BEF"/>
    <w:rsid w:val="000D2427"/>
    <w:rsid w:val="000D3421"/>
    <w:rsid w:val="000D3D8A"/>
    <w:rsid w:val="000D6017"/>
    <w:rsid w:val="000E3608"/>
    <w:rsid w:val="000E7617"/>
    <w:rsid w:val="000F2F12"/>
    <w:rsid w:val="000F53BC"/>
    <w:rsid w:val="000F6CB0"/>
    <w:rsid w:val="000F6DE0"/>
    <w:rsid w:val="000F7DA2"/>
    <w:rsid w:val="000F7EF7"/>
    <w:rsid w:val="001032C6"/>
    <w:rsid w:val="00103BB8"/>
    <w:rsid w:val="001054BB"/>
    <w:rsid w:val="00110484"/>
    <w:rsid w:val="00113B87"/>
    <w:rsid w:val="001179FB"/>
    <w:rsid w:val="00121BBA"/>
    <w:rsid w:val="00124E4D"/>
    <w:rsid w:val="001263FB"/>
    <w:rsid w:val="0012698D"/>
    <w:rsid w:val="001305E7"/>
    <w:rsid w:val="00131E20"/>
    <w:rsid w:val="00140AAA"/>
    <w:rsid w:val="001411B8"/>
    <w:rsid w:val="00143FE5"/>
    <w:rsid w:val="0014407B"/>
    <w:rsid w:val="00146A09"/>
    <w:rsid w:val="00146C6F"/>
    <w:rsid w:val="00152133"/>
    <w:rsid w:val="001525BE"/>
    <w:rsid w:val="001539F1"/>
    <w:rsid w:val="00154A09"/>
    <w:rsid w:val="0015577E"/>
    <w:rsid w:val="00156B1B"/>
    <w:rsid w:val="00157319"/>
    <w:rsid w:val="00160C33"/>
    <w:rsid w:val="0016354E"/>
    <w:rsid w:val="00163C89"/>
    <w:rsid w:val="00165E4A"/>
    <w:rsid w:val="00166EED"/>
    <w:rsid w:val="00167757"/>
    <w:rsid w:val="00170872"/>
    <w:rsid w:val="00170A85"/>
    <w:rsid w:val="00170BB5"/>
    <w:rsid w:val="001724F7"/>
    <w:rsid w:val="00173ED3"/>
    <w:rsid w:val="00175134"/>
    <w:rsid w:val="0017618F"/>
    <w:rsid w:val="001772D4"/>
    <w:rsid w:val="001800BC"/>
    <w:rsid w:val="00180D93"/>
    <w:rsid w:val="00181587"/>
    <w:rsid w:val="0018605A"/>
    <w:rsid w:val="00186855"/>
    <w:rsid w:val="00186E0A"/>
    <w:rsid w:val="001872B0"/>
    <w:rsid w:val="00187790"/>
    <w:rsid w:val="00190F1A"/>
    <w:rsid w:val="00191DB0"/>
    <w:rsid w:val="001926AC"/>
    <w:rsid w:val="001931B5"/>
    <w:rsid w:val="001947A3"/>
    <w:rsid w:val="00196B5E"/>
    <w:rsid w:val="001A06FB"/>
    <w:rsid w:val="001A0AA1"/>
    <w:rsid w:val="001A2745"/>
    <w:rsid w:val="001A4FBD"/>
    <w:rsid w:val="001A5545"/>
    <w:rsid w:val="001A6790"/>
    <w:rsid w:val="001A7358"/>
    <w:rsid w:val="001B1588"/>
    <w:rsid w:val="001B2B3C"/>
    <w:rsid w:val="001B78B7"/>
    <w:rsid w:val="001C22FB"/>
    <w:rsid w:val="001C2D6E"/>
    <w:rsid w:val="001C30E4"/>
    <w:rsid w:val="001C5828"/>
    <w:rsid w:val="001C6181"/>
    <w:rsid w:val="001C76FA"/>
    <w:rsid w:val="001C7825"/>
    <w:rsid w:val="001D3FB8"/>
    <w:rsid w:val="001D49F7"/>
    <w:rsid w:val="001D6290"/>
    <w:rsid w:val="001D7BB9"/>
    <w:rsid w:val="001E10B9"/>
    <w:rsid w:val="001E235F"/>
    <w:rsid w:val="001E3404"/>
    <w:rsid w:val="001E5D06"/>
    <w:rsid w:val="001F21A7"/>
    <w:rsid w:val="001F3E96"/>
    <w:rsid w:val="001F5492"/>
    <w:rsid w:val="001F5FB7"/>
    <w:rsid w:val="0020206B"/>
    <w:rsid w:val="002031B1"/>
    <w:rsid w:val="002034BE"/>
    <w:rsid w:val="0021401F"/>
    <w:rsid w:val="002148A5"/>
    <w:rsid w:val="00214B53"/>
    <w:rsid w:val="00214E0B"/>
    <w:rsid w:val="0021659C"/>
    <w:rsid w:val="0021934C"/>
    <w:rsid w:val="0022068A"/>
    <w:rsid w:val="0022089B"/>
    <w:rsid w:val="0022308F"/>
    <w:rsid w:val="00223FEC"/>
    <w:rsid w:val="002249D4"/>
    <w:rsid w:val="00224A9F"/>
    <w:rsid w:val="00225453"/>
    <w:rsid w:val="00227B2D"/>
    <w:rsid w:val="00232DC8"/>
    <w:rsid w:val="002342CC"/>
    <w:rsid w:val="00235C1C"/>
    <w:rsid w:val="00236763"/>
    <w:rsid w:val="00236A49"/>
    <w:rsid w:val="00237F72"/>
    <w:rsid w:val="002402B5"/>
    <w:rsid w:val="0024246B"/>
    <w:rsid w:val="00242AC6"/>
    <w:rsid w:val="00243305"/>
    <w:rsid w:val="00243647"/>
    <w:rsid w:val="00246D46"/>
    <w:rsid w:val="00247000"/>
    <w:rsid w:val="002500FC"/>
    <w:rsid w:val="0025076D"/>
    <w:rsid w:val="00253A93"/>
    <w:rsid w:val="00255E78"/>
    <w:rsid w:val="00256D80"/>
    <w:rsid w:val="00257296"/>
    <w:rsid w:val="00260330"/>
    <w:rsid w:val="00262768"/>
    <w:rsid w:val="00264896"/>
    <w:rsid w:val="002654E2"/>
    <w:rsid w:val="00267AE2"/>
    <w:rsid w:val="00274D08"/>
    <w:rsid w:val="00274FAD"/>
    <w:rsid w:val="002759EF"/>
    <w:rsid w:val="002762FB"/>
    <w:rsid w:val="00276599"/>
    <w:rsid w:val="002817A9"/>
    <w:rsid w:val="00281A56"/>
    <w:rsid w:val="00281E6C"/>
    <w:rsid w:val="002836A8"/>
    <w:rsid w:val="00285B03"/>
    <w:rsid w:val="00287B40"/>
    <w:rsid w:val="00287DC5"/>
    <w:rsid w:val="0029015B"/>
    <w:rsid w:val="00291C25"/>
    <w:rsid w:val="0029378D"/>
    <w:rsid w:val="00293B8E"/>
    <w:rsid w:val="00295F3B"/>
    <w:rsid w:val="00297323"/>
    <w:rsid w:val="002A0B50"/>
    <w:rsid w:val="002A16CA"/>
    <w:rsid w:val="002A23B2"/>
    <w:rsid w:val="002A253D"/>
    <w:rsid w:val="002A2DC8"/>
    <w:rsid w:val="002A3A79"/>
    <w:rsid w:val="002A45F5"/>
    <w:rsid w:val="002B1C50"/>
    <w:rsid w:val="002B452D"/>
    <w:rsid w:val="002B470B"/>
    <w:rsid w:val="002B49B0"/>
    <w:rsid w:val="002B4E0F"/>
    <w:rsid w:val="002B7574"/>
    <w:rsid w:val="002C0E29"/>
    <w:rsid w:val="002C0EA2"/>
    <w:rsid w:val="002C1284"/>
    <w:rsid w:val="002C1445"/>
    <w:rsid w:val="002C174C"/>
    <w:rsid w:val="002C3071"/>
    <w:rsid w:val="002C3292"/>
    <w:rsid w:val="002C3EEE"/>
    <w:rsid w:val="002C5E2C"/>
    <w:rsid w:val="002C7837"/>
    <w:rsid w:val="002C7ECB"/>
    <w:rsid w:val="002D03BE"/>
    <w:rsid w:val="002D3B6C"/>
    <w:rsid w:val="002D5353"/>
    <w:rsid w:val="002D6BD3"/>
    <w:rsid w:val="002D7BC0"/>
    <w:rsid w:val="002E0942"/>
    <w:rsid w:val="002E121C"/>
    <w:rsid w:val="002E4FD4"/>
    <w:rsid w:val="002E5CBC"/>
    <w:rsid w:val="002E6766"/>
    <w:rsid w:val="002E6B9C"/>
    <w:rsid w:val="002E74F7"/>
    <w:rsid w:val="002E764E"/>
    <w:rsid w:val="002E7EDD"/>
    <w:rsid w:val="002F0055"/>
    <w:rsid w:val="002F07E2"/>
    <w:rsid w:val="002F3295"/>
    <w:rsid w:val="002F4EC0"/>
    <w:rsid w:val="00302004"/>
    <w:rsid w:val="00302D68"/>
    <w:rsid w:val="003030A1"/>
    <w:rsid w:val="0030480F"/>
    <w:rsid w:val="003056A9"/>
    <w:rsid w:val="00305CBF"/>
    <w:rsid w:val="003071C8"/>
    <w:rsid w:val="0030746D"/>
    <w:rsid w:val="00307BD3"/>
    <w:rsid w:val="0031305D"/>
    <w:rsid w:val="0031602F"/>
    <w:rsid w:val="00320936"/>
    <w:rsid w:val="0032184A"/>
    <w:rsid w:val="00321BED"/>
    <w:rsid w:val="003221C4"/>
    <w:rsid w:val="003236A1"/>
    <w:rsid w:val="00323BF1"/>
    <w:rsid w:val="0032631F"/>
    <w:rsid w:val="00332F83"/>
    <w:rsid w:val="00333268"/>
    <w:rsid w:val="00334590"/>
    <w:rsid w:val="0033632A"/>
    <w:rsid w:val="00336F6E"/>
    <w:rsid w:val="003406E8"/>
    <w:rsid w:val="00342F54"/>
    <w:rsid w:val="003433DF"/>
    <w:rsid w:val="003437AB"/>
    <w:rsid w:val="00344E44"/>
    <w:rsid w:val="003476A9"/>
    <w:rsid w:val="003517FF"/>
    <w:rsid w:val="00351C5C"/>
    <w:rsid w:val="00352FD7"/>
    <w:rsid w:val="00353481"/>
    <w:rsid w:val="00354A3C"/>
    <w:rsid w:val="00356182"/>
    <w:rsid w:val="00357CFB"/>
    <w:rsid w:val="00360EF3"/>
    <w:rsid w:val="0036186E"/>
    <w:rsid w:val="00362710"/>
    <w:rsid w:val="003648C4"/>
    <w:rsid w:val="00371652"/>
    <w:rsid w:val="003724A8"/>
    <w:rsid w:val="00372864"/>
    <w:rsid w:val="00374BA3"/>
    <w:rsid w:val="0037735B"/>
    <w:rsid w:val="00377B59"/>
    <w:rsid w:val="003821BE"/>
    <w:rsid w:val="00384F15"/>
    <w:rsid w:val="00386582"/>
    <w:rsid w:val="00390215"/>
    <w:rsid w:val="00390371"/>
    <w:rsid w:val="00392A78"/>
    <w:rsid w:val="00395F1B"/>
    <w:rsid w:val="003A3143"/>
    <w:rsid w:val="003A3ECD"/>
    <w:rsid w:val="003A4967"/>
    <w:rsid w:val="003B33C9"/>
    <w:rsid w:val="003B3429"/>
    <w:rsid w:val="003B4C77"/>
    <w:rsid w:val="003B5548"/>
    <w:rsid w:val="003C337F"/>
    <w:rsid w:val="003D3171"/>
    <w:rsid w:val="003D5C7B"/>
    <w:rsid w:val="003D6438"/>
    <w:rsid w:val="003D6E32"/>
    <w:rsid w:val="003D6E77"/>
    <w:rsid w:val="003D7077"/>
    <w:rsid w:val="003D7E61"/>
    <w:rsid w:val="003D7EFC"/>
    <w:rsid w:val="003E0682"/>
    <w:rsid w:val="003E0D80"/>
    <w:rsid w:val="003E5488"/>
    <w:rsid w:val="003E6E8C"/>
    <w:rsid w:val="003F0590"/>
    <w:rsid w:val="003F2BD4"/>
    <w:rsid w:val="003F533E"/>
    <w:rsid w:val="003F59B7"/>
    <w:rsid w:val="003F6A9C"/>
    <w:rsid w:val="004015BA"/>
    <w:rsid w:val="00404F74"/>
    <w:rsid w:val="004063A3"/>
    <w:rsid w:val="00410F90"/>
    <w:rsid w:val="00416C12"/>
    <w:rsid w:val="00417A4B"/>
    <w:rsid w:val="00417AA7"/>
    <w:rsid w:val="004209C9"/>
    <w:rsid w:val="00420D5F"/>
    <w:rsid w:val="00423E8B"/>
    <w:rsid w:val="00424D2F"/>
    <w:rsid w:val="00425CF5"/>
    <w:rsid w:val="00427E8F"/>
    <w:rsid w:val="004310D5"/>
    <w:rsid w:val="00432409"/>
    <w:rsid w:val="004356A7"/>
    <w:rsid w:val="00436162"/>
    <w:rsid w:val="00441AE7"/>
    <w:rsid w:val="00442EB8"/>
    <w:rsid w:val="00444D1E"/>
    <w:rsid w:val="00445B1E"/>
    <w:rsid w:val="00447FB6"/>
    <w:rsid w:val="00451696"/>
    <w:rsid w:val="00451B9C"/>
    <w:rsid w:val="0045225A"/>
    <w:rsid w:val="0045394A"/>
    <w:rsid w:val="00453A6F"/>
    <w:rsid w:val="00454D52"/>
    <w:rsid w:val="0045713C"/>
    <w:rsid w:val="00457D7D"/>
    <w:rsid w:val="00463767"/>
    <w:rsid w:val="00464496"/>
    <w:rsid w:val="004648A2"/>
    <w:rsid w:val="00464A3E"/>
    <w:rsid w:val="00467199"/>
    <w:rsid w:val="00467F1C"/>
    <w:rsid w:val="0047229F"/>
    <w:rsid w:val="0047329F"/>
    <w:rsid w:val="00475FA2"/>
    <w:rsid w:val="00476619"/>
    <w:rsid w:val="00476EE1"/>
    <w:rsid w:val="00481845"/>
    <w:rsid w:val="00481E2C"/>
    <w:rsid w:val="00483452"/>
    <w:rsid w:val="00484B46"/>
    <w:rsid w:val="00487A1E"/>
    <w:rsid w:val="00491ECE"/>
    <w:rsid w:val="00493803"/>
    <w:rsid w:val="00495113"/>
    <w:rsid w:val="004959D6"/>
    <w:rsid w:val="004A2121"/>
    <w:rsid w:val="004A2C26"/>
    <w:rsid w:val="004A3E7D"/>
    <w:rsid w:val="004A46EA"/>
    <w:rsid w:val="004A49BA"/>
    <w:rsid w:val="004A4F3D"/>
    <w:rsid w:val="004A5182"/>
    <w:rsid w:val="004A5256"/>
    <w:rsid w:val="004A59CA"/>
    <w:rsid w:val="004B13EF"/>
    <w:rsid w:val="004B4B46"/>
    <w:rsid w:val="004B5437"/>
    <w:rsid w:val="004B5B40"/>
    <w:rsid w:val="004B5EB2"/>
    <w:rsid w:val="004B615C"/>
    <w:rsid w:val="004B7A19"/>
    <w:rsid w:val="004B7F2D"/>
    <w:rsid w:val="004C11B1"/>
    <w:rsid w:val="004C2B6D"/>
    <w:rsid w:val="004C593C"/>
    <w:rsid w:val="004C5CA2"/>
    <w:rsid w:val="004C68ED"/>
    <w:rsid w:val="004C6B96"/>
    <w:rsid w:val="004C6F2C"/>
    <w:rsid w:val="004D381D"/>
    <w:rsid w:val="004D5696"/>
    <w:rsid w:val="004D6469"/>
    <w:rsid w:val="004D7566"/>
    <w:rsid w:val="004E1B7F"/>
    <w:rsid w:val="004E2278"/>
    <w:rsid w:val="004E5699"/>
    <w:rsid w:val="004E5A03"/>
    <w:rsid w:val="004E6E3A"/>
    <w:rsid w:val="004F01BA"/>
    <w:rsid w:val="004F5390"/>
    <w:rsid w:val="004F55C6"/>
    <w:rsid w:val="004F57DE"/>
    <w:rsid w:val="004F7315"/>
    <w:rsid w:val="00500EE1"/>
    <w:rsid w:val="005011C5"/>
    <w:rsid w:val="00501487"/>
    <w:rsid w:val="00502476"/>
    <w:rsid w:val="0050291D"/>
    <w:rsid w:val="005049D8"/>
    <w:rsid w:val="005055AE"/>
    <w:rsid w:val="0050570D"/>
    <w:rsid w:val="00505CE4"/>
    <w:rsid w:val="00506513"/>
    <w:rsid w:val="00506DF9"/>
    <w:rsid w:val="00510AF9"/>
    <w:rsid w:val="00513756"/>
    <w:rsid w:val="00513CB2"/>
    <w:rsid w:val="00514EDB"/>
    <w:rsid w:val="005203F4"/>
    <w:rsid w:val="00520846"/>
    <w:rsid w:val="00522456"/>
    <w:rsid w:val="00522E4E"/>
    <w:rsid w:val="005239F7"/>
    <w:rsid w:val="0052783C"/>
    <w:rsid w:val="00527C47"/>
    <w:rsid w:val="00530EE9"/>
    <w:rsid w:val="00534C85"/>
    <w:rsid w:val="0053685E"/>
    <w:rsid w:val="00536BCD"/>
    <w:rsid w:val="0053765E"/>
    <w:rsid w:val="00540463"/>
    <w:rsid w:val="00540F93"/>
    <w:rsid w:val="00545387"/>
    <w:rsid w:val="00546071"/>
    <w:rsid w:val="00552AEE"/>
    <w:rsid w:val="0055360D"/>
    <w:rsid w:val="0055405E"/>
    <w:rsid w:val="005541CC"/>
    <w:rsid w:val="005545A7"/>
    <w:rsid w:val="0056021F"/>
    <w:rsid w:val="005619A2"/>
    <w:rsid w:val="00562994"/>
    <w:rsid w:val="00570A93"/>
    <w:rsid w:val="00570AE7"/>
    <w:rsid w:val="00570DA4"/>
    <w:rsid w:val="005718E9"/>
    <w:rsid w:val="00572F0E"/>
    <w:rsid w:val="0057521F"/>
    <w:rsid w:val="00575A80"/>
    <w:rsid w:val="00575C2F"/>
    <w:rsid w:val="00576216"/>
    <w:rsid w:val="005763C2"/>
    <w:rsid w:val="005765D4"/>
    <w:rsid w:val="0057686C"/>
    <w:rsid w:val="00577256"/>
    <w:rsid w:val="00581667"/>
    <w:rsid w:val="0058509F"/>
    <w:rsid w:val="0058588F"/>
    <w:rsid w:val="00585FC7"/>
    <w:rsid w:val="00586600"/>
    <w:rsid w:val="0058707E"/>
    <w:rsid w:val="0058707F"/>
    <w:rsid w:val="00590507"/>
    <w:rsid w:val="0059231D"/>
    <w:rsid w:val="00595D93"/>
    <w:rsid w:val="005A37CA"/>
    <w:rsid w:val="005A38D4"/>
    <w:rsid w:val="005A5BCD"/>
    <w:rsid w:val="005A6736"/>
    <w:rsid w:val="005B0752"/>
    <w:rsid w:val="005B0EC7"/>
    <w:rsid w:val="005B0FF7"/>
    <w:rsid w:val="005B37B9"/>
    <w:rsid w:val="005B4B9E"/>
    <w:rsid w:val="005B4D8D"/>
    <w:rsid w:val="005B7080"/>
    <w:rsid w:val="005B70A5"/>
    <w:rsid w:val="005C0082"/>
    <w:rsid w:val="005C48C9"/>
    <w:rsid w:val="005C67F3"/>
    <w:rsid w:val="005C6DB8"/>
    <w:rsid w:val="005D110C"/>
    <w:rsid w:val="005D2591"/>
    <w:rsid w:val="005D433C"/>
    <w:rsid w:val="005D50F5"/>
    <w:rsid w:val="005D6F22"/>
    <w:rsid w:val="005D7B77"/>
    <w:rsid w:val="005E0295"/>
    <w:rsid w:val="005E1A79"/>
    <w:rsid w:val="005E4D16"/>
    <w:rsid w:val="005E6524"/>
    <w:rsid w:val="005E69DD"/>
    <w:rsid w:val="005E703A"/>
    <w:rsid w:val="005F0AC0"/>
    <w:rsid w:val="005F0AC5"/>
    <w:rsid w:val="005F1C6C"/>
    <w:rsid w:val="005F20D9"/>
    <w:rsid w:val="005F32D3"/>
    <w:rsid w:val="005F49CC"/>
    <w:rsid w:val="005F4C3D"/>
    <w:rsid w:val="005F6EB8"/>
    <w:rsid w:val="00600FAE"/>
    <w:rsid w:val="006023BC"/>
    <w:rsid w:val="00603F5A"/>
    <w:rsid w:val="00611D34"/>
    <w:rsid w:val="00622203"/>
    <w:rsid w:val="0062255E"/>
    <w:rsid w:val="006246CD"/>
    <w:rsid w:val="00630D97"/>
    <w:rsid w:val="006319ED"/>
    <w:rsid w:val="006324C2"/>
    <w:rsid w:val="00634BDD"/>
    <w:rsid w:val="00634C48"/>
    <w:rsid w:val="006353CB"/>
    <w:rsid w:val="00636A2B"/>
    <w:rsid w:val="00641EF9"/>
    <w:rsid w:val="00646A43"/>
    <w:rsid w:val="00647F42"/>
    <w:rsid w:val="00650643"/>
    <w:rsid w:val="00650CF8"/>
    <w:rsid w:val="00652CBF"/>
    <w:rsid w:val="00654F24"/>
    <w:rsid w:val="00655EA0"/>
    <w:rsid w:val="00655FA9"/>
    <w:rsid w:val="006574E6"/>
    <w:rsid w:val="006578D1"/>
    <w:rsid w:val="00661303"/>
    <w:rsid w:val="006635C9"/>
    <w:rsid w:val="006639CA"/>
    <w:rsid w:val="006664C1"/>
    <w:rsid w:val="006676EE"/>
    <w:rsid w:val="00672673"/>
    <w:rsid w:val="00674298"/>
    <w:rsid w:val="00674B22"/>
    <w:rsid w:val="00677591"/>
    <w:rsid w:val="00680738"/>
    <w:rsid w:val="00682964"/>
    <w:rsid w:val="006839F7"/>
    <w:rsid w:val="006905D9"/>
    <w:rsid w:val="00692F78"/>
    <w:rsid w:val="0069443D"/>
    <w:rsid w:val="006965FB"/>
    <w:rsid w:val="0069691A"/>
    <w:rsid w:val="00697B15"/>
    <w:rsid w:val="006A1868"/>
    <w:rsid w:val="006A1CDC"/>
    <w:rsid w:val="006A5580"/>
    <w:rsid w:val="006A5D54"/>
    <w:rsid w:val="006B097D"/>
    <w:rsid w:val="006B31AB"/>
    <w:rsid w:val="006B3BA9"/>
    <w:rsid w:val="006B4F3B"/>
    <w:rsid w:val="006B6116"/>
    <w:rsid w:val="006B71C5"/>
    <w:rsid w:val="006C0848"/>
    <w:rsid w:val="006C2674"/>
    <w:rsid w:val="006C2EDF"/>
    <w:rsid w:val="006C3631"/>
    <w:rsid w:val="006C3777"/>
    <w:rsid w:val="006C3924"/>
    <w:rsid w:val="006C7343"/>
    <w:rsid w:val="006D011C"/>
    <w:rsid w:val="006D39E6"/>
    <w:rsid w:val="006D6007"/>
    <w:rsid w:val="006E031B"/>
    <w:rsid w:val="006E0B12"/>
    <w:rsid w:val="006E1625"/>
    <w:rsid w:val="006E1989"/>
    <w:rsid w:val="006E207B"/>
    <w:rsid w:val="006E250C"/>
    <w:rsid w:val="006E4849"/>
    <w:rsid w:val="006E575A"/>
    <w:rsid w:val="006E5A91"/>
    <w:rsid w:val="006E7FD2"/>
    <w:rsid w:val="006F0B71"/>
    <w:rsid w:val="006F2369"/>
    <w:rsid w:val="006F36B5"/>
    <w:rsid w:val="006F4F5A"/>
    <w:rsid w:val="006F5966"/>
    <w:rsid w:val="006F63F7"/>
    <w:rsid w:val="00700AB9"/>
    <w:rsid w:val="007036F1"/>
    <w:rsid w:val="00703770"/>
    <w:rsid w:val="00704659"/>
    <w:rsid w:val="00704E15"/>
    <w:rsid w:val="00706319"/>
    <w:rsid w:val="0070754F"/>
    <w:rsid w:val="00707EDA"/>
    <w:rsid w:val="00711706"/>
    <w:rsid w:val="00711E32"/>
    <w:rsid w:val="00713E55"/>
    <w:rsid w:val="007151FC"/>
    <w:rsid w:val="00720230"/>
    <w:rsid w:val="0072164F"/>
    <w:rsid w:val="00722090"/>
    <w:rsid w:val="0072552E"/>
    <w:rsid w:val="00725D7F"/>
    <w:rsid w:val="007314A2"/>
    <w:rsid w:val="00733DD3"/>
    <w:rsid w:val="0073594E"/>
    <w:rsid w:val="00736F9A"/>
    <w:rsid w:val="00737ECD"/>
    <w:rsid w:val="00737EF5"/>
    <w:rsid w:val="00744F1C"/>
    <w:rsid w:val="00745B87"/>
    <w:rsid w:val="00750958"/>
    <w:rsid w:val="0075122D"/>
    <w:rsid w:val="0076151B"/>
    <w:rsid w:val="00765562"/>
    <w:rsid w:val="00765C9B"/>
    <w:rsid w:val="00765DC7"/>
    <w:rsid w:val="0076614D"/>
    <w:rsid w:val="007671A9"/>
    <w:rsid w:val="00770E73"/>
    <w:rsid w:val="0077179B"/>
    <w:rsid w:val="00772EB5"/>
    <w:rsid w:val="00773A6B"/>
    <w:rsid w:val="00774C01"/>
    <w:rsid w:val="00777841"/>
    <w:rsid w:val="0078040C"/>
    <w:rsid w:val="00786678"/>
    <w:rsid w:val="00787649"/>
    <w:rsid w:val="007901CF"/>
    <w:rsid w:val="007904E4"/>
    <w:rsid w:val="007933B9"/>
    <w:rsid w:val="00794B45"/>
    <w:rsid w:val="00795A27"/>
    <w:rsid w:val="00796B99"/>
    <w:rsid w:val="00797417"/>
    <w:rsid w:val="007A03F7"/>
    <w:rsid w:val="007A269B"/>
    <w:rsid w:val="007A5634"/>
    <w:rsid w:val="007A724C"/>
    <w:rsid w:val="007A78C4"/>
    <w:rsid w:val="007B0186"/>
    <w:rsid w:val="007B2357"/>
    <w:rsid w:val="007B300C"/>
    <w:rsid w:val="007B521C"/>
    <w:rsid w:val="007B53E9"/>
    <w:rsid w:val="007B6E1B"/>
    <w:rsid w:val="007B74E8"/>
    <w:rsid w:val="007C0257"/>
    <w:rsid w:val="007C24DE"/>
    <w:rsid w:val="007C3BEB"/>
    <w:rsid w:val="007C46C4"/>
    <w:rsid w:val="007C5BAB"/>
    <w:rsid w:val="007C63E0"/>
    <w:rsid w:val="007D0C39"/>
    <w:rsid w:val="007D0E67"/>
    <w:rsid w:val="007D6A8F"/>
    <w:rsid w:val="007D7786"/>
    <w:rsid w:val="007E05E9"/>
    <w:rsid w:val="007E2164"/>
    <w:rsid w:val="007E2DC3"/>
    <w:rsid w:val="007E307E"/>
    <w:rsid w:val="007E4BF5"/>
    <w:rsid w:val="007E7643"/>
    <w:rsid w:val="007F0D83"/>
    <w:rsid w:val="007F67D0"/>
    <w:rsid w:val="00803A0C"/>
    <w:rsid w:val="0080467E"/>
    <w:rsid w:val="008065EA"/>
    <w:rsid w:val="00806C49"/>
    <w:rsid w:val="008074CE"/>
    <w:rsid w:val="008114DD"/>
    <w:rsid w:val="00820419"/>
    <w:rsid w:val="008208D8"/>
    <w:rsid w:val="0082103C"/>
    <w:rsid w:val="00823AE4"/>
    <w:rsid w:val="00824790"/>
    <w:rsid w:val="008258A7"/>
    <w:rsid w:val="00825A42"/>
    <w:rsid w:val="008276C2"/>
    <w:rsid w:val="00830227"/>
    <w:rsid w:val="00830990"/>
    <w:rsid w:val="008309A5"/>
    <w:rsid w:val="00831EA5"/>
    <w:rsid w:val="008339AE"/>
    <w:rsid w:val="00834012"/>
    <w:rsid w:val="00834DB8"/>
    <w:rsid w:val="008403C1"/>
    <w:rsid w:val="00840C53"/>
    <w:rsid w:val="008432E4"/>
    <w:rsid w:val="008446E1"/>
    <w:rsid w:val="00844991"/>
    <w:rsid w:val="00846835"/>
    <w:rsid w:val="00846B24"/>
    <w:rsid w:val="00851A53"/>
    <w:rsid w:val="00854BBB"/>
    <w:rsid w:val="008554BD"/>
    <w:rsid w:val="008558CA"/>
    <w:rsid w:val="008570A3"/>
    <w:rsid w:val="0086253A"/>
    <w:rsid w:val="008648EF"/>
    <w:rsid w:val="00865356"/>
    <w:rsid w:val="00867E61"/>
    <w:rsid w:val="00871FD2"/>
    <w:rsid w:val="008728ED"/>
    <w:rsid w:val="008767D0"/>
    <w:rsid w:val="00877381"/>
    <w:rsid w:val="00880FEA"/>
    <w:rsid w:val="0088160D"/>
    <w:rsid w:val="00883567"/>
    <w:rsid w:val="00883734"/>
    <w:rsid w:val="00885290"/>
    <w:rsid w:val="00885BFA"/>
    <w:rsid w:val="00891232"/>
    <w:rsid w:val="00892353"/>
    <w:rsid w:val="00893338"/>
    <w:rsid w:val="0089732B"/>
    <w:rsid w:val="008A2098"/>
    <w:rsid w:val="008A32BC"/>
    <w:rsid w:val="008A4BF1"/>
    <w:rsid w:val="008B109B"/>
    <w:rsid w:val="008B201F"/>
    <w:rsid w:val="008B3211"/>
    <w:rsid w:val="008B3CA0"/>
    <w:rsid w:val="008B3D27"/>
    <w:rsid w:val="008C0D9D"/>
    <w:rsid w:val="008C0FF8"/>
    <w:rsid w:val="008C1218"/>
    <w:rsid w:val="008C3305"/>
    <w:rsid w:val="008C3395"/>
    <w:rsid w:val="008C3570"/>
    <w:rsid w:val="008C51EF"/>
    <w:rsid w:val="008C6F65"/>
    <w:rsid w:val="008D02BA"/>
    <w:rsid w:val="008D0351"/>
    <w:rsid w:val="008D09A6"/>
    <w:rsid w:val="008D2F52"/>
    <w:rsid w:val="008D3576"/>
    <w:rsid w:val="008D524C"/>
    <w:rsid w:val="008D59D0"/>
    <w:rsid w:val="008D5B25"/>
    <w:rsid w:val="008D7158"/>
    <w:rsid w:val="008D7AD2"/>
    <w:rsid w:val="008E01A1"/>
    <w:rsid w:val="008E0FD0"/>
    <w:rsid w:val="008E1F3F"/>
    <w:rsid w:val="008E20F1"/>
    <w:rsid w:val="008E3563"/>
    <w:rsid w:val="008E4AE7"/>
    <w:rsid w:val="008F1DC1"/>
    <w:rsid w:val="008F2AB2"/>
    <w:rsid w:val="008F2FEB"/>
    <w:rsid w:val="008F3388"/>
    <w:rsid w:val="008F3642"/>
    <w:rsid w:val="008F3F1B"/>
    <w:rsid w:val="008F6F52"/>
    <w:rsid w:val="008F755F"/>
    <w:rsid w:val="008F7A9D"/>
    <w:rsid w:val="00901966"/>
    <w:rsid w:val="00902CFA"/>
    <w:rsid w:val="00903893"/>
    <w:rsid w:val="00907059"/>
    <w:rsid w:val="00910F36"/>
    <w:rsid w:val="009125FB"/>
    <w:rsid w:val="0091341F"/>
    <w:rsid w:val="00915F17"/>
    <w:rsid w:val="00916339"/>
    <w:rsid w:val="00916417"/>
    <w:rsid w:val="00916C9E"/>
    <w:rsid w:val="00916F28"/>
    <w:rsid w:val="00917A3D"/>
    <w:rsid w:val="00921558"/>
    <w:rsid w:val="0092208A"/>
    <w:rsid w:val="009233F8"/>
    <w:rsid w:val="009237BC"/>
    <w:rsid w:val="00925596"/>
    <w:rsid w:val="00926341"/>
    <w:rsid w:val="00930289"/>
    <w:rsid w:val="0093080A"/>
    <w:rsid w:val="00931329"/>
    <w:rsid w:val="00932333"/>
    <w:rsid w:val="00933024"/>
    <w:rsid w:val="0093483A"/>
    <w:rsid w:val="00935460"/>
    <w:rsid w:val="009355BB"/>
    <w:rsid w:val="009400C6"/>
    <w:rsid w:val="0094669D"/>
    <w:rsid w:val="00952F68"/>
    <w:rsid w:val="009543D7"/>
    <w:rsid w:val="009548AC"/>
    <w:rsid w:val="0095743E"/>
    <w:rsid w:val="00960542"/>
    <w:rsid w:val="00962427"/>
    <w:rsid w:val="009640C3"/>
    <w:rsid w:val="00964BE3"/>
    <w:rsid w:val="00964DFF"/>
    <w:rsid w:val="009660D3"/>
    <w:rsid w:val="0097044B"/>
    <w:rsid w:val="00971335"/>
    <w:rsid w:val="00971F98"/>
    <w:rsid w:val="00972BD8"/>
    <w:rsid w:val="009748A1"/>
    <w:rsid w:val="00974925"/>
    <w:rsid w:val="00975C3B"/>
    <w:rsid w:val="00976345"/>
    <w:rsid w:val="009833D5"/>
    <w:rsid w:val="00983CE6"/>
    <w:rsid w:val="009854E0"/>
    <w:rsid w:val="00986821"/>
    <w:rsid w:val="0099217B"/>
    <w:rsid w:val="0099248A"/>
    <w:rsid w:val="00993B74"/>
    <w:rsid w:val="009955F0"/>
    <w:rsid w:val="00996076"/>
    <w:rsid w:val="00996736"/>
    <w:rsid w:val="009A1E7B"/>
    <w:rsid w:val="009A4D87"/>
    <w:rsid w:val="009A545D"/>
    <w:rsid w:val="009B0226"/>
    <w:rsid w:val="009B10B4"/>
    <w:rsid w:val="009B14B6"/>
    <w:rsid w:val="009B3B92"/>
    <w:rsid w:val="009B5C17"/>
    <w:rsid w:val="009B7C38"/>
    <w:rsid w:val="009C059E"/>
    <w:rsid w:val="009C0A61"/>
    <w:rsid w:val="009D2216"/>
    <w:rsid w:val="009D34C8"/>
    <w:rsid w:val="009D66E9"/>
    <w:rsid w:val="009D7AC6"/>
    <w:rsid w:val="009E29A6"/>
    <w:rsid w:val="009E410B"/>
    <w:rsid w:val="009E5213"/>
    <w:rsid w:val="009E5CEB"/>
    <w:rsid w:val="009E6563"/>
    <w:rsid w:val="009E72CC"/>
    <w:rsid w:val="009F1C9B"/>
    <w:rsid w:val="009F2EDF"/>
    <w:rsid w:val="009F4BA8"/>
    <w:rsid w:val="009F5DF3"/>
    <w:rsid w:val="009F798D"/>
    <w:rsid w:val="00A00D9A"/>
    <w:rsid w:val="00A033B6"/>
    <w:rsid w:val="00A04307"/>
    <w:rsid w:val="00A05D0E"/>
    <w:rsid w:val="00A063FE"/>
    <w:rsid w:val="00A0663A"/>
    <w:rsid w:val="00A10AE8"/>
    <w:rsid w:val="00A11B6C"/>
    <w:rsid w:val="00A14FDB"/>
    <w:rsid w:val="00A20A44"/>
    <w:rsid w:val="00A20F80"/>
    <w:rsid w:val="00A215E1"/>
    <w:rsid w:val="00A2171D"/>
    <w:rsid w:val="00A21898"/>
    <w:rsid w:val="00A21D8C"/>
    <w:rsid w:val="00A22C7A"/>
    <w:rsid w:val="00A22E0C"/>
    <w:rsid w:val="00A2387A"/>
    <w:rsid w:val="00A23E90"/>
    <w:rsid w:val="00A255D7"/>
    <w:rsid w:val="00A258D9"/>
    <w:rsid w:val="00A260AF"/>
    <w:rsid w:val="00A26F91"/>
    <w:rsid w:val="00A27FE2"/>
    <w:rsid w:val="00A31CCC"/>
    <w:rsid w:val="00A32A19"/>
    <w:rsid w:val="00A32D1E"/>
    <w:rsid w:val="00A33752"/>
    <w:rsid w:val="00A3645E"/>
    <w:rsid w:val="00A36E34"/>
    <w:rsid w:val="00A42862"/>
    <w:rsid w:val="00A43258"/>
    <w:rsid w:val="00A4349A"/>
    <w:rsid w:val="00A440FA"/>
    <w:rsid w:val="00A44347"/>
    <w:rsid w:val="00A50240"/>
    <w:rsid w:val="00A5029A"/>
    <w:rsid w:val="00A515D1"/>
    <w:rsid w:val="00A51771"/>
    <w:rsid w:val="00A51A01"/>
    <w:rsid w:val="00A55ABB"/>
    <w:rsid w:val="00A6052B"/>
    <w:rsid w:val="00A60ACB"/>
    <w:rsid w:val="00A639A6"/>
    <w:rsid w:val="00A65063"/>
    <w:rsid w:val="00A6576F"/>
    <w:rsid w:val="00A70C13"/>
    <w:rsid w:val="00A70C3F"/>
    <w:rsid w:val="00A71980"/>
    <w:rsid w:val="00A75158"/>
    <w:rsid w:val="00A76E57"/>
    <w:rsid w:val="00A77098"/>
    <w:rsid w:val="00A80F13"/>
    <w:rsid w:val="00A844F2"/>
    <w:rsid w:val="00A85126"/>
    <w:rsid w:val="00A855D8"/>
    <w:rsid w:val="00A859D9"/>
    <w:rsid w:val="00A85F81"/>
    <w:rsid w:val="00A860F0"/>
    <w:rsid w:val="00A903EA"/>
    <w:rsid w:val="00A90BEF"/>
    <w:rsid w:val="00A9302E"/>
    <w:rsid w:val="00A945B5"/>
    <w:rsid w:val="00A94DA1"/>
    <w:rsid w:val="00A97CF7"/>
    <w:rsid w:val="00AA3860"/>
    <w:rsid w:val="00AA443D"/>
    <w:rsid w:val="00AA4E28"/>
    <w:rsid w:val="00AA4EB3"/>
    <w:rsid w:val="00AA5318"/>
    <w:rsid w:val="00AA6F53"/>
    <w:rsid w:val="00AA7A18"/>
    <w:rsid w:val="00AB2837"/>
    <w:rsid w:val="00AB2DCE"/>
    <w:rsid w:val="00AB420D"/>
    <w:rsid w:val="00AB7939"/>
    <w:rsid w:val="00AC0B74"/>
    <w:rsid w:val="00AC5EDC"/>
    <w:rsid w:val="00AC7AF0"/>
    <w:rsid w:val="00AD276B"/>
    <w:rsid w:val="00AD3DA5"/>
    <w:rsid w:val="00AD46AB"/>
    <w:rsid w:val="00AD56FE"/>
    <w:rsid w:val="00AD77AB"/>
    <w:rsid w:val="00AE137F"/>
    <w:rsid w:val="00AE31D8"/>
    <w:rsid w:val="00AE59D8"/>
    <w:rsid w:val="00AE6583"/>
    <w:rsid w:val="00AE7396"/>
    <w:rsid w:val="00AF060A"/>
    <w:rsid w:val="00AF2909"/>
    <w:rsid w:val="00AF4163"/>
    <w:rsid w:val="00AF473F"/>
    <w:rsid w:val="00AF48CF"/>
    <w:rsid w:val="00AF4B58"/>
    <w:rsid w:val="00AF6173"/>
    <w:rsid w:val="00AF676E"/>
    <w:rsid w:val="00AF6A78"/>
    <w:rsid w:val="00B01903"/>
    <w:rsid w:val="00B0321A"/>
    <w:rsid w:val="00B0583F"/>
    <w:rsid w:val="00B1079E"/>
    <w:rsid w:val="00B1247F"/>
    <w:rsid w:val="00B12910"/>
    <w:rsid w:val="00B1609C"/>
    <w:rsid w:val="00B16CA0"/>
    <w:rsid w:val="00B17CB2"/>
    <w:rsid w:val="00B2321F"/>
    <w:rsid w:val="00B25DD0"/>
    <w:rsid w:val="00B307A6"/>
    <w:rsid w:val="00B30EF4"/>
    <w:rsid w:val="00B31E53"/>
    <w:rsid w:val="00B33A5E"/>
    <w:rsid w:val="00B3448F"/>
    <w:rsid w:val="00B3585E"/>
    <w:rsid w:val="00B37666"/>
    <w:rsid w:val="00B37C56"/>
    <w:rsid w:val="00B413B4"/>
    <w:rsid w:val="00B41B2D"/>
    <w:rsid w:val="00B42A60"/>
    <w:rsid w:val="00B438A2"/>
    <w:rsid w:val="00B473D2"/>
    <w:rsid w:val="00B51499"/>
    <w:rsid w:val="00B51613"/>
    <w:rsid w:val="00B56644"/>
    <w:rsid w:val="00B56F8E"/>
    <w:rsid w:val="00B56FB4"/>
    <w:rsid w:val="00B57B6D"/>
    <w:rsid w:val="00B6034F"/>
    <w:rsid w:val="00B61351"/>
    <w:rsid w:val="00B63DE3"/>
    <w:rsid w:val="00B64F00"/>
    <w:rsid w:val="00B6526B"/>
    <w:rsid w:val="00B658A5"/>
    <w:rsid w:val="00B665DC"/>
    <w:rsid w:val="00B71C2F"/>
    <w:rsid w:val="00B726A8"/>
    <w:rsid w:val="00B73FF3"/>
    <w:rsid w:val="00B81463"/>
    <w:rsid w:val="00B838C0"/>
    <w:rsid w:val="00B8525A"/>
    <w:rsid w:val="00B85FBF"/>
    <w:rsid w:val="00B87B8B"/>
    <w:rsid w:val="00B931D1"/>
    <w:rsid w:val="00B93B81"/>
    <w:rsid w:val="00B94740"/>
    <w:rsid w:val="00BA13F3"/>
    <w:rsid w:val="00BA4813"/>
    <w:rsid w:val="00BB3675"/>
    <w:rsid w:val="00BB3BF8"/>
    <w:rsid w:val="00BB4B88"/>
    <w:rsid w:val="00BB5672"/>
    <w:rsid w:val="00BB582C"/>
    <w:rsid w:val="00BB63C4"/>
    <w:rsid w:val="00BC0CA2"/>
    <w:rsid w:val="00BC2E46"/>
    <w:rsid w:val="00BC645F"/>
    <w:rsid w:val="00BC6EE1"/>
    <w:rsid w:val="00BC78C0"/>
    <w:rsid w:val="00BC7E60"/>
    <w:rsid w:val="00BD044A"/>
    <w:rsid w:val="00BD0D09"/>
    <w:rsid w:val="00BD1577"/>
    <w:rsid w:val="00BD15D4"/>
    <w:rsid w:val="00BD1E8A"/>
    <w:rsid w:val="00BD2013"/>
    <w:rsid w:val="00BD3EB5"/>
    <w:rsid w:val="00BD49A7"/>
    <w:rsid w:val="00BD59EB"/>
    <w:rsid w:val="00BE1536"/>
    <w:rsid w:val="00BE4350"/>
    <w:rsid w:val="00BE57BB"/>
    <w:rsid w:val="00BE67E6"/>
    <w:rsid w:val="00BE6CC8"/>
    <w:rsid w:val="00BE7FE6"/>
    <w:rsid w:val="00BF2178"/>
    <w:rsid w:val="00BF6498"/>
    <w:rsid w:val="00C00C09"/>
    <w:rsid w:val="00C14237"/>
    <w:rsid w:val="00C14462"/>
    <w:rsid w:val="00C1469A"/>
    <w:rsid w:val="00C151DA"/>
    <w:rsid w:val="00C1567C"/>
    <w:rsid w:val="00C16AAE"/>
    <w:rsid w:val="00C20ACF"/>
    <w:rsid w:val="00C20C1A"/>
    <w:rsid w:val="00C2688C"/>
    <w:rsid w:val="00C27961"/>
    <w:rsid w:val="00C30AC9"/>
    <w:rsid w:val="00C31340"/>
    <w:rsid w:val="00C315FA"/>
    <w:rsid w:val="00C31933"/>
    <w:rsid w:val="00C31C4B"/>
    <w:rsid w:val="00C31D4E"/>
    <w:rsid w:val="00C341D6"/>
    <w:rsid w:val="00C35E99"/>
    <w:rsid w:val="00C41C2B"/>
    <w:rsid w:val="00C45DAD"/>
    <w:rsid w:val="00C46916"/>
    <w:rsid w:val="00C47B59"/>
    <w:rsid w:val="00C53EEA"/>
    <w:rsid w:val="00C54541"/>
    <w:rsid w:val="00C54CFE"/>
    <w:rsid w:val="00C5654A"/>
    <w:rsid w:val="00C57CEE"/>
    <w:rsid w:val="00C61646"/>
    <w:rsid w:val="00C626D7"/>
    <w:rsid w:val="00C63A6E"/>
    <w:rsid w:val="00C641A4"/>
    <w:rsid w:val="00C65D82"/>
    <w:rsid w:val="00C6670E"/>
    <w:rsid w:val="00C71AA8"/>
    <w:rsid w:val="00C72927"/>
    <w:rsid w:val="00C75E6D"/>
    <w:rsid w:val="00C75F92"/>
    <w:rsid w:val="00C80F2C"/>
    <w:rsid w:val="00C81410"/>
    <w:rsid w:val="00C83501"/>
    <w:rsid w:val="00C86320"/>
    <w:rsid w:val="00C86E1A"/>
    <w:rsid w:val="00C87287"/>
    <w:rsid w:val="00C872C3"/>
    <w:rsid w:val="00C909BC"/>
    <w:rsid w:val="00C91507"/>
    <w:rsid w:val="00C93AC4"/>
    <w:rsid w:val="00C93E85"/>
    <w:rsid w:val="00C94A90"/>
    <w:rsid w:val="00C94F40"/>
    <w:rsid w:val="00C94F8D"/>
    <w:rsid w:val="00C9546B"/>
    <w:rsid w:val="00C957DB"/>
    <w:rsid w:val="00C96B5F"/>
    <w:rsid w:val="00C973BC"/>
    <w:rsid w:val="00CA0642"/>
    <w:rsid w:val="00CA0B0A"/>
    <w:rsid w:val="00CA114C"/>
    <w:rsid w:val="00CA1813"/>
    <w:rsid w:val="00CA334C"/>
    <w:rsid w:val="00CA3E1D"/>
    <w:rsid w:val="00CA623D"/>
    <w:rsid w:val="00CA7632"/>
    <w:rsid w:val="00CB0019"/>
    <w:rsid w:val="00CB0224"/>
    <w:rsid w:val="00CB04A9"/>
    <w:rsid w:val="00CB164F"/>
    <w:rsid w:val="00CB3EEB"/>
    <w:rsid w:val="00CB65DE"/>
    <w:rsid w:val="00CB7BE2"/>
    <w:rsid w:val="00CC1E36"/>
    <w:rsid w:val="00CC1FFE"/>
    <w:rsid w:val="00CC22E4"/>
    <w:rsid w:val="00CC290E"/>
    <w:rsid w:val="00CC54F9"/>
    <w:rsid w:val="00CC5C79"/>
    <w:rsid w:val="00CC5E61"/>
    <w:rsid w:val="00CC5FC5"/>
    <w:rsid w:val="00CC709C"/>
    <w:rsid w:val="00CC7A9A"/>
    <w:rsid w:val="00CC7DD9"/>
    <w:rsid w:val="00CD1C04"/>
    <w:rsid w:val="00CD2574"/>
    <w:rsid w:val="00CD29F9"/>
    <w:rsid w:val="00CD3DDF"/>
    <w:rsid w:val="00CD4666"/>
    <w:rsid w:val="00CD7265"/>
    <w:rsid w:val="00CD778E"/>
    <w:rsid w:val="00CE131E"/>
    <w:rsid w:val="00CE2732"/>
    <w:rsid w:val="00CE2C5F"/>
    <w:rsid w:val="00CE382E"/>
    <w:rsid w:val="00CF304D"/>
    <w:rsid w:val="00CF7E51"/>
    <w:rsid w:val="00D0081E"/>
    <w:rsid w:val="00D025B8"/>
    <w:rsid w:val="00D026E0"/>
    <w:rsid w:val="00D04324"/>
    <w:rsid w:val="00D0463B"/>
    <w:rsid w:val="00D059BC"/>
    <w:rsid w:val="00D065B9"/>
    <w:rsid w:val="00D06F46"/>
    <w:rsid w:val="00D074E0"/>
    <w:rsid w:val="00D07C21"/>
    <w:rsid w:val="00D1055A"/>
    <w:rsid w:val="00D173F7"/>
    <w:rsid w:val="00D21478"/>
    <w:rsid w:val="00D23D18"/>
    <w:rsid w:val="00D30999"/>
    <w:rsid w:val="00D31FBE"/>
    <w:rsid w:val="00D333B6"/>
    <w:rsid w:val="00D339A8"/>
    <w:rsid w:val="00D33AAD"/>
    <w:rsid w:val="00D33BC9"/>
    <w:rsid w:val="00D343F6"/>
    <w:rsid w:val="00D34686"/>
    <w:rsid w:val="00D34919"/>
    <w:rsid w:val="00D355A7"/>
    <w:rsid w:val="00D36D6F"/>
    <w:rsid w:val="00D378AE"/>
    <w:rsid w:val="00D435B8"/>
    <w:rsid w:val="00D44D0B"/>
    <w:rsid w:val="00D4599F"/>
    <w:rsid w:val="00D464E5"/>
    <w:rsid w:val="00D46BE0"/>
    <w:rsid w:val="00D5026A"/>
    <w:rsid w:val="00D50556"/>
    <w:rsid w:val="00D514AF"/>
    <w:rsid w:val="00D51FF7"/>
    <w:rsid w:val="00D52E95"/>
    <w:rsid w:val="00D53714"/>
    <w:rsid w:val="00D54F6A"/>
    <w:rsid w:val="00D60062"/>
    <w:rsid w:val="00D61ABC"/>
    <w:rsid w:val="00D63344"/>
    <w:rsid w:val="00D712F3"/>
    <w:rsid w:val="00D73432"/>
    <w:rsid w:val="00D73608"/>
    <w:rsid w:val="00D74315"/>
    <w:rsid w:val="00D74A5D"/>
    <w:rsid w:val="00D756E5"/>
    <w:rsid w:val="00D76D0B"/>
    <w:rsid w:val="00D77EA6"/>
    <w:rsid w:val="00D80DEE"/>
    <w:rsid w:val="00D82888"/>
    <w:rsid w:val="00D85430"/>
    <w:rsid w:val="00D85C11"/>
    <w:rsid w:val="00D879B1"/>
    <w:rsid w:val="00D87D3A"/>
    <w:rsid w:val="00D90AA0"/>
    <w:rsid w:val="00D91DDB"/>
    <w:rsid w:val="00D924CF"/>
    <w:rsid w:val="00D92BDF"/>
    <w:rsid w:val="00D92D79"/>
    <w:rsid w:val="00D92F5A"/>
    <w:rsid w:val="00D9473D"/>
    <w:rsid w:val="00D95AF5"/>
    <w:rsid w:val="00DA06F0"/>
    <w:rsid w:val="00DA15ED"/>
    <w:rsid w:val="00DA4BEA"/>
    <w:rsid w:val="00DA56C5"/>
    <w:rsid w:val="00DA5D78"/>
    <w:rsid w:val="00DA6740"/>
    <w:rsid w:val="00DA7012"/>
    <w:rsid w:val="00DB07A0"/>
    <w:rsid w:val="00DB0E2B"/>
    <w:rsid w:val="00DB138D"/>
    <w:rsid w:val="00DB31E7"/>
    <w:rsid w:val="00DB3512"/>
    <w:rsid w:val="00DB3E07"/>
    <w:rsid w:val="00DB4F41"/>
    <w:rsid w:val="00DC1A28"/>
    <w:rsid w:val="00DC32D9"/>
    <w:rsid w:val="00DC720F"/>
    <w:rsid w:val="00DC75C4"/>
    <w:rsid w:val="00DD1EC9"/>
    <w:rsid w:val="00DD2CFD"/>
    <w:rsid w:val="00DD3A49"/>
    <w:rsid w:val="00DD4198"/>
    <w:rsid w:val="00DD609D"/>
    <w:rsid w:val="00DD6CEB"/>
    <w:rsid w:val="00DE169B"/>
    <w:rsid w:val="00DE3165"/>
    <w:rsid w:val="00DE37AA"/>
    <w:rsid w:val="00DF18A2"/>
    <w:rsid w:val="00DF2747"/>
    <w:rsid w:val="00DF7325"/>
    <w:rsid w:val="00DF77B5"/>
    <w:rsid w:val="00E00F86"/>
    <w:rsid w:val="00E02975"/>
    <w:rsid w:val="00E035A9"/>
    <w:rsid w:val="00E04B06"/>
    <w:rsid w:val="00E055A6"/>
    <w:rsid w:val="00E11CCC"/>
    <w:rsid w:val="00E14413"/>
    <w:rsid w:val="00E15518"/>
    <w:rsid w:val="00E1605B"/>
    <w:rsid w:val="00E20222"/>
    <w:rsid w:val="00E20552"/>
    <w:rsid w:val="00E23B06"/>
    <w:rsid w:val="00E252FC"/>
    <w:rsid w:val="00E26777"/>
    <w:rsid w:val="00E26BF5"/>
    <w:rsid w:val="00E3009B"/>
    <w:rsid w:val="00E30A4E"/>
    <w:rsid w:val="00E319F6"/>
    <w:rsid w:val="00E32813"/>
    <w:rsid w:val="00E32C9C"/>
    <w:rsid w:val="00E3322F"/>
    <w:rsid w:val="00E35283"/>
    <w:rsid w:val="00E4159B"/>
    <w:rsid w:val="00E417FE"/>
    <w:rsid w:val="00E4186D"/>
    <w:rsid w:val="00E42876"/>
    <w:rsid w:val="00E436F7"/>
    <w:rsid w:val="00E4416C"/>
    <w:rsid w:val="00E45B58"/>
    <w:rsid w:val="00E45ED5"/>
    <w:rsid w:val="00E47137"/>
    <w:rsid w:val="00E47350"/>
    <w:rsid w:val="00E5024E"/>
    <w:rsid w:val="00E52F5A"/>
    <w:rsid w:val="00E551CD"/>
    <w:rsid w:val="00E56424"/>
    <w:rsid w:val="00E62ED3"/>
    <w:rsid w:val="00E62F57"/>
    <w:rsid w:val="00E6312E"/>
    <w:rsid w:val="00E63264"/>
    <w:rsid w:val="00E6585B"/>
    <w:rsid w:val="00E659D0"/>
    <w:rsid w:val="00E70965"/>
    <w:rsid w:val="00E711EC"/>
    <w:rsid w:val="00E71B6F"/>
    <w:rsid w:val="00E720C8"/>
    <w:rsid w:val="00E73D34"/>
    <w:rsid w:val="00E757F4"/>
    <w:rsid w:val="00E77913"/>
    <w:rsid w:val="00E829D0"/>
    <w:rsid w:val="00E86B8E"/>
    <w:rsid w:val="00E8775D"/>
    <w:rsid w:val="00E93DBA"/>
    <w:rsid w:val="00E9547D"/>
    <w:rsid w:val="00E97692"/>
    <w:rsid w:val="00EA1A26"/>
    <w:rsid w:val="00EA4DA4"/>
    <w:rsid w:val="00EA557D"/>
    <w:rsid w:val="00EA6383"/>
    <w:rsid w:val="00EA6D74"/>
    <w:rsid w:val="00EB19BB"/>
    <w:rsid w:val="00EB1C95"/>
    <w:rsid w:val="00EB2EF8"/>
    <w:rsid w:val="00EB36DE"/>
    <w:rsid w:val="00EB4BDD"/>
    <w:rsid w:val="00EC3275"/>
    <w:rsid w:val="00EC3370"/>
    <w:rsid w:val="00EC44C7"/>
    <w:rsid w:val="00EC572A"/>
    <w:rsid w:val="00EC5979"/>
    <w:rsid w:val="00EC5E4C"/>
    <w:rsid w:val="00EC6624"/>
    <w:rsid w:val="00ED13E6"/>
    <w:rsid w:val="00ED3604"/>
    <w:rsid w:val="00ED4E33"/>
    <w:rsid w:val="00ED788F"/>
    <w:rsid w:val="00ED7AF2"/>
    <w:rsid w:val="00EE0340"/>
    <w:rsid w:val="00EE0F38"/>
    <w:rsid w:val="00EE31CD"/>
    <w:rsid w:val="00EE53AD"/>
    <w:rsid w:val="00EE6975"/>
    <w:rsid w:val="00EE775D"/>
    <w:rsid w:val="00EF5A10"/>
    <w:rsid w:val="00EF6F02"/>
    <w:rsid w:val="00F00CDF"/>
    <w:rsid w:val="00F011B4"/>
    <w:rsid w:val="00F01D9B"/>
    <w:rsid w:val="00F031B1"/>
    <w:rsid w:val="00F05844"/>
    <w:rsid w:val="00F06F4D"/>
    <w:rsid w:val="00F120ED"/>
    <w:rsid w:val="00F127DA"/>
    <w:rsid w:val="00F12B47"/>
    <w:rsid w:val="00F1302D"/>
    <w:rsid w:val="00F15DB8"/>
    <w:rsid w:val="00F16E30"/>
    <w:rsid w:val="00F17A31"/>
    <w:rsid w:val="00F20F05"/>
    <w:rsid w:val="00F21FB3"/>
    <w:rsid w:val="00F23C37"/>
    <w:rsid w:val="00F23E8B"/>
    <w:rsid w:val="00F24063"/>
    <w:rsid w:val="00F24ED8"/>
    <w:rsid w:val="00F26F52"/>
    <w:rsid w:val="00F26FED"/>
    <w:rsid w:val="00F30BC1"/>
    <w:rsid w:val="00F32012"/>
    <w:rsid w:val="00F329CE"/>
    <w:rsid w:val="00F33BE4"/>
    <w:rsid w:val="00F348F6"/>
    <w:rsid w:val="00F34F8E"/>
    <w:rsid w:val="00F3745A"/>
    <w:rsid w:val="00F37B89"/>
    <w:rsid w:val="00F4365C"/>
    <w:rsid w:val="00F44531"/>
    <w:rsid w:val="00F46836"/>
    <w:rsid w:val="00F47916"/>
    <w:rsid w:val="00F50AA5"/>
    <w:rsid w:val="00F555C1"/>
    <w:rsid w:val="00F5678F"/>
    <w:rsid w:val="00F56F9E"/>
    <w:rsid w:val="00F61006"/>
    <w:rsid w:val="00F6318E"/>
    <w:rsid w:val="00F636B1"/>
    <w:rsid w:val="00F65D13"/>
    <w:rsid w:val="00F66900"/>
    <w:rsid w:val="00F6743A"/>
    <w:rsid w:val="00F67636"/>
    <w:rsid w:val="00F719DA"/>
    <w:rsid w:val="00F740C5"/>
    <w:rsid w:val="00F753B3"/>
    <w:rsid w:val="00F77564"/>
    <w:rsid w:val="00F80E00"/>
    <w:rsid w:val="00F83925"/>
    <w:rsid w:val="00F839A3"/>
    <w:rsid w:val="00F84D90"/>
    <w:rsid w:val="00F85A20"/>
    <w:rsid w:val="00F85C14"/>
    <w:rsid w:val="00F90569"/>
    <w:rsid w:val="00F90963"/>
    <w:rsid w:val="00F939C5"/>
    <w:rsid w:val="00F94257"/>
    <w:rsid w:val="00F95146"/>
    <w:rsid w:val="00F9610B"/>
    <w:rsid w:val="00F97830"/>
    <w:rsid w:val="00FA0CCF"/>
    <w:rsid w:val="00FA3F50"/>
    <w:rsid w:val="00FA41AD"/>
    <w:rsid w:val="00FA6691"/>
    <w:rsid w:val="00FA671C"/>
    <w:rsid w:val="00FA67F2"/>
    <w:rsid w:val="00FA7352"/>
    <w:rsid w:val="00FA7E56"/>
    <w:rsid w:val="00FB07C9"/>
    <w:rsid w:val="00FB0D7F"/>
    <w:rsid w:val="00FB20A5"/>
    <w:rsid w:val="00FB2F65"/>
    <w:rsid w:val="00FB62F9"/>
    <w:rsid w:val="00FB69A8"/>
    <w:rsid w:val="00FB79F7"/>
    <w:rsid w:val="00FC3F4B"/>
    <w:rsid w:val="00FC461F"/>
    <w:rsid w:val="00FD166A"/>
    <w:rsid w:val="00FD5292"/>
    <w:rsid w:val="00FD6E8B"/>
    <w:rsid w:val="00FD707B"/>
    <w:rsid w:val="00FE1A43"/>
    <w:rsid w:val="00FE1BDD"/>
    <w:rsid w:val="00FE2692"/>
    <w:rsid w:val="00FE3A0E"/>
    <w:rsid w:val="00FE4778"/>
    <w:rsid w:val="00FE4E20"/>
    <w:rsid w:val="00FE55A0"/>
    <w:rsid w:val="00FF12BF"/>
    <w:rsid w:val="00FF146D"/>
    <w:rsid w:val="00FF155A"/>
    <w:rsid w:val="00FF1AF1"/>
    <w:rsid w:val="00FF1E60"/>
    <w:rsid w:val="00FF24A1"/>
    <w:rsid w:val="00FF4FDF"/>
    <w:rsid w:val="00FF5908"/>
    <w:rsid w:val="00FF7267"/>
    <w:rsid w:val="022D8136"/>
    <w:rsid w:val="0281986D"/>
    <w:rsid w:val="0304CEFD"/>
    <w:rsid w:val="040735C9"/>
    <w:rsid w:val="042C13EF"/>
    <w:rsid w:val="044A0E8F"/>
    <w:rsid w:val="045C3B2B"/>
    <w:rsid w:val="04A05BBC"/>
    <w:rsid w:val="04C1086F"/>
    <w:rsid w:val="058887AD"/>
    <w:rsid w:val="05A895EE"/>
    <w:rsid w:val="05DC78E6"/>
    <w:rsid w:val="06CA7ACB"/>
    <w:rsid w:val="06D5F40C"/>
    <w:rsid w:val="071735DE"/>
    <w:rsid w:val="077921B9"/>
    <w:rsid w:val="081E81F9"/>
    <w:rsid w:val="082E2E44"/>
    <w:rsid w:val="08D702B3"/>
    <w:rsid w:val="08E7333F"/>
    <w:rsid w:val="09355F72"/>
    <w:rsid w:val="09A785EC"/>
    <w:rsid w:val="0A1E75BB"/>
    <w:rsid w:val="0A7DFF31"/>
    <w:rsid w:val="0AA8A31F"/>
    <w:rsid w:val="0B1CB4CA"/>
    <w:rsid w:val="0BD0C262"/>
    <w:rsid w:val="0C3563B8"/>
    <w:rsid w:val="0D4E977B"/>
    <w:rsid w:val="0DBE8998"/>
    <w:rsid w:val="0EAE0C8E"/>
    <w:rsid w:val="0ECA08A3"/>
    <w:rsid w:val="0ED389C0"/>
    <w:rsid w:val="0F79394E"/>
    <w:rsid w:val="102B81AE"/>
    <w:rsid w:val="10F99242"/>
    <w:rsid w:val="11655222"/>
    <w:rsid w:val="1274354E"/>
    <w:rsid w:val="13126BC8"/>
    <w:rsid w:val="13158521"/>
    <w:rsid w:val="13A76F64"/>
    <w:rsid w:val="147B6E5B"/>
    <w:rsid w:val="15E9124A"/>
    <w:rsid w:val="166F6593"/>
    <w:rsid w:val="16840DCE"/>
    <w:rsid w:val="168BA97A"/>
    <w:rsid w:val="16A12C9A"/>
    <w:rsid w:val="172EED3F"/>
    <w:rsid w:val="17652F84"/>
    <w:rsid w:val="189D4AD9"/>
    <w:rsid w:val="1986C97B"/>
    <w:rsid w:val="19C165BC"/>
    <w:rsid w:val="1AB6DA5E"/>
    <w:rsid w:val="1AC588CC"/>
    <w:rsid w:val="1B497F10"/>
    <w:rsid w:val="1B506B30"/>
    <w:rsid w:val="1C0B3D83"/>
    <w:rsid w:val="1C1CC398"/>
    <w:rsid w:val="1D495EBE"/>
    <w:rsid w:val="1E014B4B"/>
    <w:rsid w:val="1E32DA97"/>
    <w:rsid w:val="1E42149D"/>
    <w:rsid w:val="1E8066E2"/>
    <w:rsid w:val="21E7BA0C"/>
    <w:rsid w:val="22999BB1"/>
    <w:rsid w:val="22A1D37A"/>
    <w:rsid w:val="23FD9731"/>
    <w:rsid w:val="25169CF1"/>
    <w:rsid w:val="255EB08A"/>
    <w:rsid w:val="26113324"/>
    <w:rsid w:val="27AA893B"/>
    <w:rsid w:val="28592EA3"/>
    <w:rsid w:val="28A40750"/>
    <w:rsid w:val="28DA4C1C"/>
    <w:rsid w:val="2A85F68E"/>
    <w:rsid w:val="2B27BF29"/>
    <w:rsid w:val="2B778F54"/>
    <w:rsid w:val="2B7C61A4"/>
    <w:rsid w:val="2C20FCA6"/>
    <w:rsid w:val="2C369BAE"/>
    <w:rsid w:val="2D40C0FC"/>
    <w:rsid w:val="2D83C936"/>
    <w:rsid w:val="2D9D19E0"/>
    <w:rsid w:val="2DA878D7"/>
    <w:rsid w:val="2E860479"/>
    <w:rsid w:val="2E964331"/>
    <w:rsid w:val="2EA313C9"/>
    <w:rsid w:val="2EC4CF57"/>
    <w:rsid w:val="2F2B0953"/>
    <w:rsid w:val="2F4026DE"/>
    <w:rsid w:val="2F4C03ED"/>
    <w:rsid w:val="30668A0D"/>
    <w:rsid w:val="31109F9F"/>
    <w:rsid w:val="3130166C"/>
    <w:rsid w:val="31AC39C7"/>
    <w:rsid w:val="31B390F2"/>
    <w:rsid w:val="31F3B4AF"/>
    <w:rsid w:val="323F6F9D"/>
    <w:rsid w:val="3286CF29"/>
    <w:rsid w:val="32CB4F55"/>
    <w:rsid w:val="343D86CB"/>
    <w:rsid w:val="349D9E55"/>
    <w:rsid w:val="3815AC3D"/>
    <w:rsid w:val="382D1990"/>
    <w:rsid w:val="38954A94"/>
    <w:rsid w:val="38D24B8D"/>
    <w:rsid w:val="398466E9"/>
    <w:rsid w:val="39910DDD"/>
    <w:rsid w:val="3AB3C690"/>
    <w:rsid w:val="3B9AFB9C"/>
    <w:rsid w:val="3BB82991"/>
    <w:rsid w:val="3D0ACA9A"/>
    <w:rsid w:val="3D118930"/>
    <w:rsid w:val="3D33DF97"/>
    <w:rsid w:val="3D713308"/>
    <w:rsid w:val="3DE4CDB8"/>
    <w:rsid w:val="3E12FA2A"/>
    <w:rsid w:val="3E5BDA2F"/>
    <w:rsid w:val="3E8DE1C9"/>
    <w:rsid w:val="3EC584D4"/>
    <w:rsid w:val="4082B55B"/>
    <w:rsid w:val="409F005A"/>
    <w:rsid w:val="40C9A137"/>
    <w:rsid w:val="42611ECB"/>
    <w:rsid w:val="43C68AF1"/>
    <w:rsid w:val="4477D14C"/>
    <w:rsid w:val="448B99D4"/>
    <w:rsid w:val="45750AC3"/>
    <w:rsid w:val="457F7EC3"/>
    <w:rsid w:val="4604EE36"/>
    <w:rsid w:val="464381AD"/>
    <w:rsid w:val="465586CD"/>
    <w:rsid w:val="467056E2"/>
    <w:rsid w:val="49414034"/>
    <w:rsid w:val="4A2EC1A5"/>
    <w:rsid w:val="4A5DB414"/>
    <w:rsid w:val="4ABB97F8"/>
    <w:rsid w:val="4B380AC5"/>
    <w:rsid w:val="4BCCE211"/>
    <w:rsid w:val="4BF47373"/>
    <w:rsid w:val="4C36E8A8"/>
    <w:rsid w:val="4DC44B91"/>
    <w:rsid w:val="4DE1D3A9"/>
    <w:rsid w:val="4F7EFB47"/>
    <w:rsid w:val="50139CE4"/>
    <w:rsid w:val="507036A0"/>
    <w:rsid w:val="51E168CC"/>
    <w:rsid w:val="54C72362"/>
    <w:rsid w:val="54D20FDD"/>
    <w:rsid w:val="562EEB71"/>
    <w:rsid w:val="56C43BBC"/>
    <w:rsid w:val="574677FE"/>
    <w:rsid w:val="5816BD91"/>
    <w:rsid w:val="5885F9FF"/>
    <w:rsid w:val="5891D46D"/>
    <w:rsid w:val="58F4C200"/>
    <w:rsid w:val="5963A25D"/>
    <w:rsid w:val="5AF97AD3"/>
    <w:rsid w:val="5B22A3E2"/>
    <w:rsid w:val="5B84DC8E"/>
    <w:rsid w:val="5BBC614D"/>
    <w:rsid w:val="5BE278E7"/>
    <w:rsid w:val="5C5FDC2F"/>
    <w:rsid w:val="5C691017"/>
    <w:rsid w:val="5C700083"/>
    <w:rsid w:val="5CD7DFDC"/>
    <w:rsid w:val="5CE048F0"/>
    <w:rsid w:val="5CEECDFC"/>
    <w:rsid w:val="5CF3EC3F"/>
    <w:rsid w:val="5E985F2D"/>
    <w:rsid w:val="5F233A7A"/>
    <w:rsid w:val="5F68B907"/>
    <w:rsid w:val="60093E91"/>
    <w:rsid w:val="600A08DA"/>
    <w:rsid w:val="629FC251"/>
    <w:rsid w:val="635B0E67"/>
    <w:rsid w:val="6377570B"/>
    <w:rsid w:val="638C2F36"/>
    <w:rsid w:val="63CDB97E"/>
    <w:rsid w:val="649E0FA1"/>
    <w:rsid w:val="64ACA159"/>
    <w:rsid w:val="64C0CF54"/>
    <w:rsid w:val="64DE6940"/>
    <w:rsid w:val="651AF66C"/>
    <w:rsid w:val="65F0D1EA"/>
    <w:rsid w:val="669E8D2B"/>
    <w:rsid w:val="693510EB"/>
    <w:rsid w:val="6A03F5B8"/>
    <w:rsid w:val="6A2A0345"/>
    <w:rsid w:val="6A318E00"/>
    <w:rsid w:val="6A48B9D6"/>
    <w:rsid w:val="6AA78C96"/>
    <w:rsid w:val="6AC06FC3"/>
    <w:rsid w:val="6B8173B8"/>
    <w:rsid w:val="6BCB61DA"/>
    <w:rsid w:val="6BE37125"/>
    <w:rsid w:val="6CDD1D0B"/>
    <w:rsid w:val="6D7DFCB8"/>
    <w:rsid w:val="6E3D07E6"/>
    <w:rsid w:val="6E92ED00"/>
    <w:rsid w:val="6F9508FB"/>
    <w:rsid w:val="70042F18"/>
    <w:rsid w:val="700E8C2B"/>
    <w:rsid w:val="71C9F64A"/>
    <w:rsid w:val="7338C929"/>
    <w:rsid w:val="73B31D59"/>
    <w:rsid w:val="73FE6E5B"/>
    <w:rsid w:val="74A9C3C6"/>
    <w:rsid w:val="74C5DA16"/>
    <w:rsid w:val="751D9F60"/>
    <w:rsid w:val="763E0C43"/>
    <w:rsid w:val="77D4427A"/>
    <w:rsid w:val="77D608E2"/>
    <w:rsid w:val="77E8E1E8"/>
    <w:rsid w:val="77F5A2A0"/>
    <w:rsid w:val="78265B77"/>
    <w:rsid w:val="784A48F3"/>
    <w:rsid w:val="790363E5"/>
    <w:rsid w:val="794D155C"/>
    <w:rsid w:val="79D3F3A3"/>
    <w:rsid w:val="7A13A62A"/>
    <w:rsid w:val="7B7BAC9E"/>
    <w:rsid w:val="7BBBDE30"/>
    <w:rsid w:val="7BC6EEEC"/>
    <w:rsid w:val="7C1AC729"/>
    <w:rsid w:val="7C480F8A"/>
    <w:rsid w:val="7C5181D7"/>
    <w:rsid w:val="7C9CB639"/>
    <w:rsid w:val="7CED7438"/>
    <w:rsid w:val="7E325740"/>
    <w:rsid w:val="7F3635F0"/>
    <w:rsid w:val="7FC2168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78889"/>
  <w15:docId w15:val="{4223C8AE-B15C-4BE6-AB0E-BAC64875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99"/>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6900"/>
    <w:rPr>
      <w:lang w:val="en-US" w:eastAsia="en-US"/>
    </w:rPr>
  </w:style>
  <w:style w:type="paragraph" w:styleId="Heading1">
    <w:name w:val="heading 1"/>
    <w:basedOn w:val="Normal"/>
    <w:next w:val="BodyText"/>
    <w:link w:val="Heading1Char"/>
    <w:qFormat/>
    <w:locked/>
    <w:rsid w:val="0091341F"/>
    <w:pPr>
      <w:keepNext/>
      <w:spacing w:before="400" w:after="600"/>
      <w:ind w:left="851" w:hanging="851"/>
      <w:outlineLvl w:val="0"/>
    </w:pPr>
    <w:rPr>
      <w:rFonts w:ascii="Public Sans SemiBold" w:hAnsi="Public Sans SemiBold"/>
      <w:caps/>
      <w:color w:val="002664"/>
      <w:kern w:val="28"/>
      <w:sz w:val="40"/>
      <w:szCs w:val="36"/>
      <w:lang w:val="en-AU"/>
    </w:rPr>
  </w:style>
  <w:style w:type="paragraph" w:styleId="Heading2">
    <w:name w:val="heading 2"/>
    <w:basedOn w:val="Normal"/>
    <w:next w:val="BodyText"/>
    <w:link w:val="Heading2Char"/>
    <w:semiHidden/>
    <w:qFormat/>
    <w:rsid w:val="00E711EC"/>
    <w:pPr>
      <w:keepNext/>
      <w:widowControl w:val="0"/>
      <w:numPr>
        <w:numId w:val="73"/>
      </w:numPr>
      <w:pBdr>
        <w:bottom w:val="single" w:sz="4" w:space="2" w:color="008EBA"/>
      </w:pBdr>
      <w:spacing w:before="240" w:after="100" w:line="240" w:lineRule="atLeast"/>
      <w:outlineLvl w:val="1"/>
    </w:pPr>
    <w:rPr>
      <w:rFonts w:ascii="Arial Bold" w:hAnsi="Arial Bold"/>
      <w:b/>
      <w:color w:val="008EBA"/>
      <w:kern w:val="28"/>
      <w:sz w:val="24"/>
      <w:szCs w:val="36"/>
      <w:lang w:val="en-AU"/>
    </w:rPr>
  </w:style>
  <w:style w:type="paragraph" w:styleId="Heading3">
    <w:name w:val="heading 3"/>
    <w:next w:val="BodyText"/>
    <w:link w:val="Heading3Char"/>
    <w:qFormat/>
    <w:locked/>
    <w:rsid w:val="00BD1577"/>
    <w:pPr>
      <w:spacing w:before="240" w:after="100" w:line="240" w:lineRule="atLeast"/>
      <w:outlineLvl w:val="2"/>
    </w:pPr>
    <w:rPr>
      <w:rFonts w:ascii="Public Sans SemiBold" w:hAnsi="Public Sans SemiBold"/>
      <w:b/>
      <w:color w:val="22272B"/>
      <w:kern w:val="28"/>
      <w:sz w:val="26"/>
      <w:szCs w:val="36"/>
      <w:lang w:eastAsia="en-US"/>
    </w:rPr>
  </w:style>
  <w:style w:type="paragraph" w:styleId="Heading4">
    <w:name w:val="heading 4"/>
    <w:basedOn w:val="Heading3"/>
    <w:next w:val="BodyText"/>
    <w:link w:val="Heading4Char"/>
    <w:qFormat/>
    <w:locked/>
    <w:rsid w:val="00BD1577"/>
    <w:pPr>
      <w:outlineLvl w:val="3"/>
    </w:pPr>
    <w:rPr>
      <w:sz w:val="24"/>
    </w:rPr>
  </w:style>
  <w:style w:type="paragraph" w:styleId="Heading5">
    <w:name w:val="heading 5"/>
    <w:basedOn w:val="Heading4"/>
    <w:next w:val="BodyText"/>
    <w:link w:val="Heading5Char"/>
    <w:qFormat/>
    <w:locked/>
    <w:rsid w:val="00BD1577"/>
    <w:pPr>
      <w:spacing w:after="60"/>
      <w:outlineLvl w:val="4"/>
    </w:pPr>
    <w:rPr>
      <w:b w:val="0"/>
      <w:i/>
    </w:rPr>
  </w:style>
  <w:style w:type="paragraph" w:styleId="Heading6">
    <w:name w:val="heading 6"/>
    <w:basedOn w:val="Heading1"/>
    <w:next w:val="Normal"/>
    <w:link w:val="Heading6Char"/>
    <w:semiHidden/>
    <w:qFormat/>
    <w:rsid w:val="00E711EC"/>
    <w:pPr>
      <w:spacing w:before="120"/>
      <w:outlineLvl w:val="5"/>
    </w:pPr>
    <w:rPr>
      <w:rFonts w:ascii="Times New Roman" w:hAnsi="Times New Roman"/>
      <w:b/>
      <w:i/>
      <w:caps w:val="0"/>
      <w:kern w:val="0"/>
      <w:sz w:val="24"/>
    </w:rPr>
  </w:style>
  <w:style w:type="paragraph" w:styleId="Heading7">
    <w:name w:val="heading 7"/>
    <w:basedOn w:val="Heading5"/>
    <w:next w:val="Normal"/>
    <w:link w:val="Heading7Char"/>
    <w:semiHidden/>
    <w:qFormat/>
    <w:rsid w:val="00E711EC"/>
    <w:pPr>
      <w:spacing w:before="120"/>
      <w:ind w:left="425"/>
      <w:jc w:val="both"/>
      <w:outlineLvl w:val="6"/>
    </w:pPr>
    <w:rPr>
      <w:i w:val="0"/>
    </w:rPr>
  </w:style>
  <w:style w:type="paragraph" w:styleId="Heading8">
    <w:name w:val="heading 8"/>
    <w:basedOn w:val="Heading7"/>
    <w:next w:val="Normal"/>
    <w:link w:val="Heading8Char"/>
    <w:semiHidden/>
    <w:qFormat/>
    <w:rsid w:val="00E711EC"/>
    <w:pPr>
      <w:outlineLvl w:val="7"/>
    </w:pPr>
    <w:rPr>
      <w:i/>
    </w:rPr>
  </w:style>
  <w:style w:type="paragraph" w:styleId="Heading9">
    <w:name w:val="heading 9"/>
    <w:basedOn w:val="Heading8"/>
    <w:next w:val="Normal"/>
    <w:link w:val="Heading9Char"/>
    <w:semiHidden/>
    <w:qFormat/>
    <w:rsid w:val="00E711EC"/>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locked/>
    <w:rsid w:val="00014449"/>
    <w:pPr>
      <w:spacing w:before="120" w:after="120"/>
    </w:pPr>
    <w:rPr>
      <w:rFonts w:ascii="Public Sans" w:hAnsi="Public Sans" w:cs="Arial"/>
      <w:sz w:val="22"/>
      <w:lang w:eastAsia="en-US"/>
    </w:rPr>
  </w:style>
  <w:style w:type="paragraph" w:customStyle="1" w:styleId="BodyTextBox">
    <w:name w:val="Body Text Box"/>
    <w:basedOn w:val="Normal"/>
    <w:link w:val="BodyTextBoxChar"/>
    <w:autoRedefine/>
    <w:locked/>
    <w:rsid w:val="00E711EC"/>
    <w:pPr>
      <w:spacing w:before="120" w:after="80" w:line="240" w:lineRule="atLeast"/>
    </w:pPr>
    <w:rPr>
      <w:rFonts w:ascii="Public Sans" w:hAnsi="Public Sans" w:cs="Arial"/>
      <w:sz w:val="23"/>
      <w:szCs w:val="19"/>
    </w:rPr>
  </w:style>
  <w:style w:type="paragraph" w:customStyle="1" w:styleId="Bullet1">
    <w:name w:val="Bullet 1"/>
    <w:basedOn w:val="BodyText"/>
    <w:link w:val="Bullet1Char"/>
    <w:autoRedefine/>
    <w:qFormat/>
    <w:locked/>
    <w:rsid w:val="00E23B06"/>
    <w:pPr>
      <w:tabs>
        <w:tab w:val="left" w:pos="8647"/>
      </w:tabs>
      <w:ind w:left="360" w:hanging="360"/>
    </w:pPr>
    <w:rPr>
      <w:rFonts w:eastAsiaTheme="minorEastAsia"/>
      <w:bCs/>
      <w:szCs w:val="23"/>
      <w:lang w:eastAsia="en-AU"/>
    </w:rPr>
  </w:style>
  <w:style w:type="paragraph" w:styleId="NoSpacing">
    <w:name w:val="No Spacing"/>
    <w:basedOn w:val="Normal"/>
    <w:link w:val="NoSpacingChar"/>
    <w:semiHidden/>
    <w:qFormat/>
    <w:rsid w:val="00E711EC"/>
  </w:style>
  <w:style w:type="paragraph" w:customStyle="1" w:styleId="Bullet2">
    <w:name w:val="Bullet 2"/>
    <w:basedOn w:val="Bullet1"/>
    <w:locked/>
    <w:rsid w:val="00CD2574"/>
    <w:pPr>
      <w:numPr>
        <w:numId w:val="31"/>
      </w:numPr>
      <w:tabs>
        <w:tab w:val="left" w:pos="851"/>
      </w:tabs>
      <w:ind w:left="284" w:hanging="284"/>
    </w:pPr>
    <w:rPr>
      <w:bCs w:val="0"/>
    </w:rPr>
  </w:style>
  <w:style w:type="character" w:customStyle="1" w:styleId="NoSpacingChar">
    <w:name w:val="No Spacing Char"/>
    <w:link w:val="NoSpacing"/>
    <w:semiHidden/>
    <w:rsid w:val="00E711EC"/>
    <w:rPr>
      <w:lang w:val="en-US" w:eastAsia="en-US"/>
    </w:rPr>
  </w:style>
  <w:style w:type="paragraph" w:customStyle="1" w:styleId="Table1X">
    <w:name w:val="Table 1.X"/>
    <w:next w:val="Normal"/>
    <w:semiHidden/>
    <w:qFormat/>
    <w:locked/>
    <w:rsid w:val="00E711EC"/>
    <w:pPr>
      <w:numPr>
        <w:numId w:val="34"/>
      </w:numPr>
      <w:spacing w:before="240" w:after="120"/>
    </w:pPr>
    <w:rPr>
      <w:rFonts w:ascii="Public Sans" w:hAnsi="Public Sans"/>
      <w:bCs/>
      <w:i/>
      <w:color w:val="4F4F4F"/>
      <w:kern w:val="28"/>
      <w:sz w:val="22"/>
      <w:szCs w:val="22"/>
      <w:lang w:eastAsia="en-US"/>
    </w:rPr>
  </w:style>
  <w:style w:type="character" w:styleId="FootnoteReference">
    <w:name w:val="footnote reference"/>
    <w:semiHidden/>
    <w:rsid w:val="00E711EC"/>
    <w:rPr>
      <w:vertAlign w:val="superscript"/>
    </w:rPr>
  </w:style>
  <w:style w:type="paragraph" w:styleId="FootnoteText">
    <w:name w:val="footnote text"/>
    <w:basedOn w:val="Normal"/>
    <w:link w:val="FootnoteTextChar"/>
    <w:semiHidden/>
    <w:rsid w:val="00E711EC"/>
    <w:pPr>
      <w:spacing w:before="80" w:after="80"/>
      <w:ind w:left="709" w:hanging="142"/>
    </w:pPr>
    <w:rPr>
      <w:i/>
      <w:sz w:val="16"/>
    </w:rPr>
  </w:style>
  <w:style w:type="character" w:styleId="EndnoteReference">
    <w:name w:val="endnote reference"/>
    <w:semiHidden/>
    <w:rsid w:val="00E711EC"/>
    <w:rPr>
      <w:i/>
      <w:sz w:val="16"/>
      <w:vertAlign w:val="superscript"/>
    </w:rPr>
  </w:style>
  <w:style w:type="paragraph" w:customStyle="1" w:styleId="21Heading2">
    <w:name w:val="2.1 Heading 2"/>
    <w:basedOn w:val="11Heading2"/>
    <w:next w:val="BodyText"/>
    <w:semiHidden/>
    <w:qFormat/>
    <w:locked/>
    <w:rsid w:val="00E711EC"/>
    <w:pPr>
      <w:numPr>
        <w:numId w:val="10"/>
      </w:numPr>
    </w:pPr>
    <w:rPr>
      <w:b w:val="0"/>
    </w:rPr>
  </w:style>
  <w:style w:type="paragraph" w:customStyle="1" w:styleId="11Heading2">
    <w:name w:val="1.1 Heading 2"/>
    <w:basedOn w:val="Normal"/>
    <w:next w:val="BodyText"/>
    <w:semiHidden/>
    <w:qFormat/>
    <w:locked/>
    <w:rsid w:val="00E711EC"/>
    <w:pPr>
      <w:numPr>
        <w:numId w:val="9"/>
      </w:numPr>
      <w:pBdr>
        <w:bottom w:val="single" w:sz="4" w:space="4" w:color="22272B"/>
      </w:pBdr>
      <w:spacing w:before="360" w:after="120"/>
    </w:pPr>
    <w:rPr>
      <w:rFonts w:ascii="Public Sans SemiBold" w:hAnsi="Public Sans SemiBold"/>
      <w:b/>
      <w:color w:val="22272B"/>
      <w:sz w:val="28"/>
      <w:lang w:val="en-AU"/>
    </w:rPr>
  </w:style>
  <w:style w:type="paragraph" w:customStyle="1" w:styleId="Chart1X">
    <w:name w:val="Chart 1.X"/>
    <w:basedOn w:val="Table1X"/>
    <w:next w:val="Normal"/>
    <w:semiHidden/>
    <w:locked/>
    <w:rsid w:val="00E711EC"/>
    <w:pPr>
      <w:keepLines/>
      <w:numPr>
        <w:numId w:val="35"/>
      </w:numPr>
    </w:pPr>
  </w:style>
  <w:style w:type="character" w:customStyle="1" w:styleId="Heading2Char">
    <w:name w:val="Heading 2 Char"/>
    <w:link w:val="Heading2"/>
    <w:semiHidden/>
    <w:rsid w:val="00E711EC"/>
    <w:rPr>
      <w:rFonts w:ascii="Arial Bold" w:hAnsi="Arial Bold"/>
      <w:b/>
      <w:color w:val="008EBA"/>
      <w:kern w:val="28"/>
      <w:sz w:val="24"/>
      <w:szCs w:val="36"/>
      <w:lang w:eastAsia="en-US"/>
    </w:rPr>
  </w:style>
  <w:style w:type="table" w:styleId="TableGrid">
    <w:name w:val="Table Grid"/>
    <w:basedOn w:val="TableNormal"/>
    <w:rsid w:val="00E71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BD1577"/>
    <w:rPr>
      <w:rFonts w:ascii="Public Sans SemiBold" w:hAnsi="Public Sans SemiBold"/>
      <w:b/>
      <w:color w:val="22272B"/>
      <w:kern w:val="28"/>
      <w:sz w:val="26"/>
      <w:szCs w:val="36"/>
      <w:lang w:eastAsia="en-US"/>
    </w:rPr>
  </w:style>
  <w:style w:type="character" w:customStyle="1" w:styleId="Bullet1Char">
    <w:name w:val="Bullet 1 Char"/>
    <w:link w:val="Bullet1"/>
    <w:rsid w:val="00E23B06"/>
    <w:rPr>
      <w:rFonts w:ascii="Public Sans" w:eastAsiaTheme="minorEastAsia" w:hAnsi="Public Sans" w:cs="Arial"/>
      <w:bCs/>
      <w:sz w:val="22"/>
      <w:szCs w:val="23"/>
    </w:rPr>
  </w:style>
  <w:style w:type="paragraph" w:customStyle="1" w:styleId="Box1XBoxHeading">
    <w:name w:val="Box 1.X: Box Heading"/>
    <w:basedOn w:val="Normal"/>
    <w:next w:val="BodyTextBox"/>
    <w:semiHidden/>
    <w:qFormat/>
    <w:locked/>
    <w:rsid w:val="00E711EC"/>
    <w:pPr>
      <w:numPr>
        <w:numId w:val="22"/>
      </w:numPr>
      <w:spacing w:before="80" w:after="60" w:line="240" w:lineRule="atLeast"/>
    </w:pPr>
    <w:rPr>
      <w:rFonts w:ascii="Public Sans SemiBold" w:hAnsi="Public Sans SemiBold"/>
      <w:b/>
      <w:color w:val="002664"/>
      <w:sz w:val="22"/>
      <w:lang w:val="en-AU"/>
    </w:rPr>
  </w:style>
  <w:style w:type="paragraph" w:customStyle="1" w:styleId="Box3XBoxHeading">
    <w:name w:val="Box 3.X: Box Heading"/>
    <w:basedOn w:val="Box1XBoxHeading"/>
    <w:next w:val="BodyTextBox"/>
    <w:semiHidden/>
    <w:qFormat/>
    <w:locked/>
    <w:rsid w:val="00E711EC"/>
    <w:pPr>
      <w:numPr>
        <w:numId w:val="24"/>
      </w:numPr>
    </w:pPr>
  </w:style>
  <w:style w:type="paragraph" w:customStyle="1" w:styleId="Box6XBoxHeading">
    <w:name w:val="Box 6.X: Box Heading"/>
    <w:basedOn w:val="Box1XBoxHeading"/>
    <w:autoRedefine/>
    <w:semiHidden/>
    <w:qFormat/>
    <w:locked/>
    <w:rsid w:val="00E711EC"/>
    <w:pPr>
      <w:keepLines/>
      <w:widowControl w:val="0"/>
      <w:numPr>
        <w:numId w:val="27"/>
      </w:numPr>
    </w:pPr>
    <w:rPr>
      <w:rFonts w:eastAsia="Arial Unicode MS" w:cs="Arial"/>
      <w:bCs/>
      <w:szCs w:val="17"/>
      <w:lang w:eastAsia="en-AU"/>
    </w:rPr>
  </w:style>
  <w:style w:type="paragraph" w:customStyle="1" w:styleId="Box2XBoxHeading">
    <w:name w:val="Box 2.X: Box Heading"/>
    <w:basedOn w:val="Box1XBoxHeading"/>
    <w:next w:val="BodyTextBox"/>
    <w:semiHidden/>
    <w:qFormat/>
    <w:locked/>
    <w:rsid w:val="00E711EC"/>
    <w:pPr>
      <w:numPr>
        <w:numId w:val="23"/>
      </w:numPr>
    </w:pPr>
  </w:style>
  <w:style w:type="paragraph" w:customStyle="1" w:styleId="Chart2X">
    <w:name w:val="Chart 2.X"/>
    <w:basedOn w:val="Chart1X"/>
    <w:next w:val="Normal"/>
    <w:semiHidden/>
    <w:locked/>
    <w:rsid w:val="00E711EC"/>
    <w:pPr>
      <w:numPr>
        <w:numId w:val="36"/>
      </w:numPr>
    </w:pPr>
    <w:rPr>
      <w:color w:val="57514D"/>
    </w:rPr>
  </w:style>
  <w:style w:type="paragraph" w:customStyle="1" w:styleId="Table2X">
    <w:name w:val="Table 2.X"/>
    <w:basedOn w:val="Table1X"/>
    <w:next w:val="Normal"/>
    <w:semiHidden/>
    <w:qFormat/>
    <w:locked/>
    <w:rsid w:val="00E711EC"/>
    <w:pPr>
      <w:numPr>
        <w:numId w:val="74"/>
      </w:numPr>
    </w:pPr>
    <w:rPr>
      <w:lang w:val="fr-FR"/>
    </w:rPr>
  </w:style>
  <w:style w:type="paragraph" w:customStyle="1" w:styleId="Table3X">
    <w:name w:val="Table 3.X"/>
    <w:basedOn w:val="Table1X"/>
    <w:next w:val="Normal"/>
    <w:semiHidden/>
    <w:locked/>
    <w:rsid w:val="00E711EC"/>
    <w:pPr>
      <w:widowControl w:val="0"/>
      <w:numPr>
        <w:numId w:val="75"/>
      </w:numPr>
    </w:pPr>
    <w:rPr>
      <w:bCs w:val="0"/>
    </w:rPr>
  </w:style>
  <w:style w:type="paragraph" w:customStyle="1" w:styleId="TableFX">
    <w:name w:val="Table F.X"/>
    <w:basedOn w:val="TableA1X"/>
    <w:next w:val="Normal"/>
    <w:semiHidden/>
    <w:locked/>
    <w:rsid w:val="00E711EC"/>
    <w:pPr>
      <w:widowControl w:val="0"/>
      <w:numPr>
        <w:numId w:val="88"/>
      </w:numPr>
      <w:tabs>
        <w:tab w:val="num" w:pos="360"/>
      </w:tabs>
    </w:pPr>
    <w:rPr>
      <w:bCs w:val="0"/>
      <w:color w:val="57514D"/>
    </w:rPr>
  </w:style>
  <w:style w:type="paragraph" w:customStyle="1" w:styleId="31Heading2">
    <w:name w:val="3.1 Heading 2"/>
    <w:basedOn w:val="11Heading2"/>
    <w:next w:val="BodyText"/>
    <w:semiHidden/>
    <w:qFormat/>
    <w:locked/>
    <w:rsid w:val="00E711EC"/>
    <w:pPr>
      <w:numPr>
        <w:numId w:val="11"/>
      </w:numPr>
    </w:pPr>
    <w:rPr>
      <w:b w:val="0"/>
    </w:rPr>
  </w:style>
  <w:style w:type="paragraph" w:customStyle="1" w:styleId="Box71BoxHeading">
    <w:name w:val="Box 7.1 Box Heading"/>
    <w:basedOn w:val="Normal"/>
    <w:autoRedefine/>
    <w:semiHidden/>
    <w:rsid w:val="00E711EC"/>
    <w:pPr>
      <w:keepLines/>
      <w:widowControl w:val="0"/>
      <w:numPr>
        <w:numId w:val="28"/>
      </w:numPr>
      <w:tabs>
        <w:tab w:val="left" w:pos="1134"/>
      </w:tabs>
      <w:spacing w:before="80" w:after="60" w:line="240" w:lineRule="atLeast"/>
      <w:outlineLvl w:val="2"/>
    </w:pPr>
    <w:rPr>
      <w:rFonts w:ascii="Arial Bold" w:hAnsi="Arial Bold" w:cs="Arial"/>
      <w:b/>
      <w:sz w:val="23"/>
    </w:rPr>
  </w:style>
  <w:style w:type="paragraph" w:customStyle="1" w:styleId="Chart3X">
    <w:name w:val="Chart 3.X"/>
    <w:basedOn w:val="Chart1X"/>
    <w:next w:val="Normal"/>
    <w:semiHidden/>
    <w:qFormat/>
    <w:locked/>
    <w:rsid w:val="00E711EC"/>
    <w:pPr>
      <w:numPr>
        <w:numId w:val="37"/>
      </w:numPr>
    </w:pPr>
  </w:style>
  <w:style w:type="paragraph" w:customStyle="1" w:styleId="41Heading2">
    <w:name w:val="4.1 Heading 2"/>
    <w:basedOn w:val="11Heading2"/>
    <w:next w:val="BodyText"/>
    <w:semiHidden/>
    <w:qFormat/>
    <w:locked/>
    <w:rsid w:val="00E711EC"/>
    <w:pPr>
      <w:numPr>
        <w:numId w:val="12"/>
      </w:numPr>
    </w:pPr>
    <w:rPr>
      <w:b w:val="0"/>
    </w:rPr>
  </w:style>
  <w:style w:type="paragraph" w:customStyle="1" w:styleId="Box4XBoxHeading">
    <w:name w:val="Box 4.X Box Heading"/>
    <w:basedOn w:val="Box1XBoxHeading"/>
    <w:next w:val="BodyTextBox"/>
    <w:autoRedefine/>
    <w:semiHidden/>
    <w:locked/>
    <w:rsid w:val="00E711EC"/>
    <w:pPr>
      <w:numPr>
        <w:numId w:val="25"/>
      </w:numPr>
    </w:pPr>
    <w:rPr>
      <w:rFonts w:cs="Arial"/>
      <w:lang w:eastAsia="en-AU"/>
    </w:rPr>
  </w:style>
  <w:style w:type="paragraph" w:customStyle="1" w:styleId="Chart4X">
    <w:name w:val="Chart 4.X"/>
    <w:basedOn w:val="Chart1X"/>
    <w:next w:val="Normal"/>
    <w:semiHidden/>
    <w:locked/>
    <w:rsid w:val="00E711EC"/>
    <w:pPr>
      <w:numPr>
        <w:numId w:val="38"/>
      </w:numPr>
    </w:pPr>
  </w:style>
  <w:style w:type="paragraph" w:customStyle="1" w:styleId="Table4X">
    <w:name w:val="Table 4.X"/>
    <w:basedOn w:val="Table1X"/>
    <w:next w:val="Normal"/>
    <w:semiHidden/>
    <w:locked/>
    <w:rsid w:val="00E711EC"/>
    <w:pPr>
      <w:widowControl w:val="0"/>
      <w:numPr>
        <w:numId w:val="76"/>
      </w:numPr>
    </w:pPr>
    <w:rPr>
      <w:bCs w:val="0"/>
    </w:rPr>
  </w:style>
  <w:style w:type="paragraph" w:customStyle="1" w:styleId="51Heading2">
    <w:name w:val="5.1 Heading 2"/>
    <w:basedOn w:val="11Heading2"/>
    <w:next w:val="BodyText"/>
    <w:semiHidden/>
    <w:qFormat/>
    <w:locked/>
    <w:rsid w:val="00E711EC"/>
    <w:pPr>
      <w:numPr>
        <w:numId w:val="13"/>
      </w:numPr>
    </w:pPr>
    <w:rPr>
      <w:b w:val="0"/>
    </w:rPr>
  </w:style>
  <w:style w:type="paragraph" w:customStyle="1" w:styleId="Box5XBoxHeading">
    <w:name w:val="Box 5.X: Box Heading"/>
    <w:basedOn w:val="Box1XBoxHeading"/>
    <w:next w:val="BodyTextBox"/>
    <w:semiHidden/>
    <w:qFormat/>
    <w:locked/>
    <w:rsid w:val="00E711EC"/>
    <w:pPr>
      <w:numPr>
        <w:numId w:val="26"/>
      </w:numPr>
    </w:pPr>
  </w:style>
  <w:style w:type="paragraph" w:customStyle="1" w:styleId="Chart5X">
    <w:name w:val="Chart 5.X"/>
    <w:basedOn w:val="Chart1X"/>
    <w:next w:val="Normal"/>
    <w:semiHidden/>
    <w:locked/>
    <w:rsid w:val="00E711EC"/>
    <w:pPr>
      <w:numPr>
        <w:numId w:val="39"/>
      </w:numPr>
    </w:pPr>
  </w:style>
  <w:style w:type="paragraph" w:customStyle="1" w:styleId="Table5X">
    <w:name w:val="Table 5.X"/>
    <w:basedOn w:val="Table1X"/>
    <w:next w:val="Normal"/>
    <w:semiHidden/>
    <w:locked/>
    <w:rsid w:val="00E711EC"/>
    <w:pPr>
      <w:widowControl w:val="0"/>
      <w:numPr>
        <w:numId w:val="77"/>
      </w:numPr>
    </w:pPr>
    <w:rPr>
      <w:bCs w:val="0"/>
    </w:rPr>
  </w:style>
  <w:style w:type="paragraph" w:customStyle="1" w:styleId="Chart6X">
    <w:name w:val="Chart 6.X"/>
    <w:basedOn w:val="Chart1X"/>
    <w:next w:val="Normal"/>
    <w:semiHidden/>
    <w:qFormat/>
    <w:locked/>
    <w:rsid w:val="00E711EC"/>
    <w:pPr>
      <w:numPr>
        <w:numId w:val="40"/>
      </w:numPr>
    </w:pPr>
  </w:style>
  <w:style w:type="paragraph" w:customStyle="1" w:styleId="Table6X">
    <w:name w:val="Table 6.X"/>
    <w:basedOn w:val="Table1X"/>
    <w:next w:val="Normal"/>
    <w:semiHidden/>
    <w:qFormat/>
    <w:locked/>
    <w:rsid w:val="00E711EC"/>
    <w:pPr>
      <w:widowControl w:val="0"/>
      <w:numPr>
        <w:numId w:val="78"/>
      </w:numPr>
    </w:pPr>
    <w:rPr>
      <w:bCs w:val="0"/>
    </w:rPr>
  </w:style>
  <w:style w:type="paragraph" w:customStyle="1" w:styleId="71Heading2">
    <w:name w:val="7.1 Heading 2"/>
    <w:basedOn w:val="11Heading2"/>
    <w:next w:val="BodyText"/>
    <w:semiHidden/>
    <w:qFormat/>
    <w:locked/>
    <w:rsid w:val="00E711EC"/>
    <w:pPr>
      <w:numPr>
        <w:numId w:val="15"/>
      </w:numPr>
    </w:pPr>
    <w:rPr>
      <w:b w:val="0"/>
    </w:rPr>
  </w:style>
  <w:style w:type="paragraph" w:customStyle="1" w:styleId="81Heading2">
    <w:name w:val="8.1 Heading 2"/>
    <w:basedOn w:val="11Heading2"/>
    <w:next w:val="BodyText"/>
    <w:semiHidden/>
    <w:qFormat/>
    <w:locked/>
    <w:rsid w:val="00E711EC"/>
    <w:pPr>
      <w:numPr>
        <w:numId w:val="16"/>
      </w:numPr>
    </w:pPr>
  </w:style>
  <w:style w:type="paragraph" w:customStyle="1" w:styleId="Chart7X">
    <w:name w:val="Chart 7.X"/>
    <w:basedOn w:val="Chart1X"/>
    <w:next w:val="Normal"/>
    <w:semiHidden/>
    <w:qFormat/>
    <w:locked/>
    <w:rsid w:val="00E711EC"/>
    <w:pPr>
      <w:numPr>
        <w:numId w:val="41"/>
      </w:numPr>
    </w:pPr>
  </w:style>
  <w:style w:type="paragraph" w:customStyle="1" w:styleId="Box7XBoxHeading">
    <w:name w:val="Box 7.X: Box Heading"/>
    <w:basedOn w:val="Box1XBoxHeading"/>
    <w:next w:val="BodyTextBox"/>
    <w:semiHidden/>
    <w:qFormat/>
    <w:locked/>
    <w:rsid w:val="00E711EC"/>
    <w:pPr>
      <w:numPr>
        <w:numId w:val="29"/>
      </w:numPr>
    </w:pPr>
  </w:style>
  <w:style w:type="paragraph" w:customStyle="1" w:styleId="Table7X">
    <w:name w:val="Table 7.X"/>
    <w:basedOn w:val="Table1X"/>
    <w:next w:val="Normal"/>
    <w:semiHidden/>
    <w:qFormat/>
    <w:locked/>
    <w:rsid w:val="00E711EC"/>
    <w:pPr>
      <w:numPr>
        <w:numId w:val="79"/>
      </w:numPr>
    </w:pPr>
  </w:style>
  <w:style w:type="paragraph" w:customStyle="1" w:styleId="ChartEX">
    <w:name w:val="Chart E.X"/>
    <w:basedOn w:val="ChartA1X"/>
    <w:next w:val="Normal"/>
    <w:semiHidden/>
    <w:qFormat/>
    <w:locked/>
    <w:rsid w:val="00E711EC"/>
    <w:pPr>
      <w:numPr>
        <w:numId w:val="50"/>
      </w:numPr>
    </w:pPr>
  </w:style>
  <w:style w:type="paragraph" w:customStyle="1" w:styleId="ChartA2X">
    <w:name w:val="Chart A2.X"/>
    <w:basedOn w:val="ChartA1X"/>
    <w:next w:val="Normal"/>
    <w:semiHidden/>
    <w:qFormat/>
    <w:locked/>
    <w:rsid w:val="00E711EC"/>
    <w:pPr>
      <w:numPr>
        <w:numId w:val="43"/>
      </w:numPr>
    </w:pPr>
  </w:style>
  <w:style w:type="paragraph" w:customStyle="1" w:styleId="A22Heading2">
    <w:name w:val="A2.2 Heading 2"/>
    <w:basedOn w:val="11Heading2"/>
    <w:next w:val="BodyText"/>
    <w:semiHidden/>
    <w:qFormat/>
    <w:locked/>
    <w:rsid w:val="00E711EC"/>
    <w:pPr>
      <w:numPr>
        <w:numId w:val="18"/>
      </w:numPr>
    </w:pPr>
    <w:rPr>
      <w:b w:val="0"/>
    </w:rPr>
  </w:style>
  <w:style w:type="paragraph" w:customStyle="1" w:styleId="TableA2X">
    <w:name w:val="Table A2.X"/>
    <w:basedOn w:val="TableA1X"/>
    <w:next w:val="Normal"/>
    <w:semiHidden/>
    <w:locked/>
    <w:rsid w:val="00E711EC"/>
    <w:pPr>
      <w:keepNext/>
      <w:keepLines/>
      <w:widowControl w:val="0"/>
      <w:numPr>
        <w:numId w:val="82"/>
      </w:numPr>
      <w:autoSpaceDE w:val="0"/>
      <w:autoSpaceDN w:val="0"/>
    </w:pPr>
    <w:rPr>
      <w:rFonts w:cs="Arial"/>
      <w:color w:val="57514D"/>
      <w:lang w:eastAsia="en-AU"/>
    </w:rPr>
  </w:style>
  <w:style w:type="paragraph" w:customStyle="1" w:styleId="TableA3X">
    <w:name w:val="Table A3.X"/>
    <w:basedOn w:val="TableA1X"/>
    <w:next w:val="Normal"/>
    <w:semiHidden/>
    <w:qFormat/>
    <w:locked/>
    <w:rsid w:val="00E711EC"/>
    <w:pPr>
      <w:widowControl w:val="0"/>
      <w:numPr>
        <w:numId w:val="83"/>
      </w:numPr>
    </w:pPr>
    <w:rPr>
      <w:bCs w:val="0"/>
    </w:rPr>
  </w:style>
  <w:style w:type="paragraph" w:customStyle="1" w:styleId="A11Heading2">
    <w:name w:val="A1.1 Heading 2"/>
    <w:basedOn w:val="11Heading2"/>
    <w:next w:val="BodyText"/>
    <w:semiHidden/>
    <w:qFormat/>
    <w:locked/>
    <w:rsid w:val="00E711EC"/>
    <w:pPr>
      <w:numPr>
        <w:numId w:val="17"/>
      </w:numPr>
    </w:pPr>
    <w:rPr>
      <w:rFonts w:eastAsia="Tahoma" w:cs="Tahoma"/>
      <w:b w:val="0"/>
    </w:rPr>
  </w:style>
  <w:style w:type="paragraph" w:customStyle="1" w:styleId="B1Heading2">
    <w:name w:val="B.1 Heading 2"/>
    <w:basedOn w:val="11Heading2"/>
    <w:qFormat/>
    <w:locked/>
    <w:rsid w:val="006E1989"/>
    <w:pPr>
      <w:numPr>
        <w:numId w:val="21"/>
      </w:numPr>
      <w:ind w:left="851" w:hanging="851"/>
    </w:pPr>
    <w:rPr>
      <w:rFonts w:eastAsia="Tahoma" w:cs="Tahoma"/>
    </w:rPr>
  </w:style>
  <w:style w:type="paragraph" w:customStyle="1" w:styleId="ChartA1X">
    <w:name w:val="Chart A1.X"/>
    <w:basedOn w:val="Chart1X"/>
    <w:next w:val="Normal"/>
    <w:semiHidden/>
    <w:qFormat/>
    <w:locked/>
    <w:rsid w:val="00E711EC"/>
    <w:pPr>
      <w:numPr>
        <w:numId w:val="42"/>
      </w:numPr>
    </w:pPr>
    <w:rPr>
      <w:rFonts w:eastAsia="Tahoma" w:cs="Tahoma"/>
    </w:rPr>
  </w:style>
  <w:style w:type="paragraph" w:customStyle="1" w:styleId="ChartBX">
    <w:name w:val="Chart B.X"/>
    <w:basedOn w:val="ChartA1X"/>
    <w:next w:val="Normal"/>
    <w:qFormat/>
    <w:locked/>
    <w:rsid w:val="00E711EC"/>
    <w:pPr>
      <w:numPr>
        <w:numId w:val="47"/>
      </w:numPr>
    </w:pPr>
  </w:style>
  <w:style w:type="paragraph" w:customStyle="1" w:styleId="ChartCX">
    <w:name w:val="Chart C.X"/>
    <w:basedOn w:val="ChartA1X"/>
    <w:next w:val="Normal"/>
    <w:semiHidden/>
    <w:qFormat/>
    <w:locked/>
    <w:rsid w:val="00E711EC"/>
    <w:pPr>
      <w:numPr>
        <w:numId w:val="48"/>
      </w:numPr>
    </w:pPr>
  </w:style>
  <w:style w:type="paragraph" w:customStyle="1" w:styleId="ChartDX">
    <w:name w:val="Chart D.X"/>
    <w:basedOn w:val="ChartA1X"/>
    <w:next w:val="Normal"/>
    <w:semiHidden/>
    <w:qFormat/>
    <w:locked/>
    <w:rsid w:val="00E711EC"/>
    <w:pPr>
      <w:numPr>
        <w:numId w:val="49"/>
      </w:numPr>
    </w:pPr>
  </w:style>
  <w:style w:type="paragraph" w:customStyle="1" w:styleId="TableA1X">
    <w:name w:val="Table A1.X"/>
    <w:basedOn w:val="Table1X"/>
    <w:next w:val="Normal"/>
    <w:semiHidden/>
    <w:qFormat/>
    <w:locked/>
    <w:rsid w:val="00E711EC"/>
    <w:pPr>
      <w:numPr>
        <w:numId w:val="81"/>
      </w:numPr>
    </w:pPr>
    <w:rPr>
      <w:rFonts w:eastAsia="Tahoma" w:cs="Tahoma"/>
    </w:rPr>
  </w:style>
  <w:style w:type="paragraph" w:customStyle="1" w:styleId="TableBX">
    <w:name w:val="Table B.X"/>
    <w:basedOn w:val="TableA1X"/>
    <w:next w:val="Normal"/>
    <w:qFormat/>
    <w:locked/>
    <w:rsid w:val="00CD2574"/>
    <w:pPr>
      <w:numPr>
        <w:numId w:val="84"/>
      </w:numPr>
      <w:ind w:left="1418" w:hanging="1418"/>
    </w:pPr>
  </w:style>
  <w:style w:type="paragraph" w:customStyle="1" w:styleId="TableCX">
    <w:name w:val="Table C.X"/>
    <w:basedOn w:val="TableA1X"/>
    <w:next w:val="Normal"/>
    <w:semiHidden/>
    <w:qFormat/>
    <w:locked/>
    <w:rsid w:val="00E711EC"/>
    <w:pPr>
      <w:numPr>
        <w:numId w:val="85"/>
      </w:numPr>
    </w:pPr>
  </w:style>
  <w:style w:type="paragraph" w:customStyle="1" w:styleId="TableDX">
    <w:name w:val="Table D.X"/>
    <w:basedOn w:val="TableA1X"/>
    <w:next w:val="Normal"/>
    <w:semiHidden/>
    <w:qFormat/>
    <w:locked/>
    <w:rsid w:val="00E711EC"/>
    <w:pPr>
      <w:numPr>
        <w:numId w:val="86"/>
      </w:numPr>
    </w:pPr>
  </w:style>
  <w:style w:type="paragraph" w:customStyle="1" w:styleId="ChartA3X">
    <w:name w:val="Chart A3.X"/>
    <w:basedOn w:val="ChartA1X"/>
    <w:next w:val="Normal"/>
    <w:semiHidden/>
    <w:qFormat/>
    <w:locked/>
    <w:rsid w:val="00E711EC"/>
    <w:pPr>
      <w:numPr>
        <w:numId w:val="44"/>
      </w:numPr>
    </w:pPr>
  </w:style>
  <w:style w:type="paragraph" w:customStyle="1" w:styleId="ChartFX">
    <w:name w:val="Chart F.X"/>
    <w:basedOn w:val="ChartA1X"/>
    <w:next w:val="Normal"/>
    <w:semiHidden/>
    <w:locked/>
    <w:rsid w:val="00E711EC"/>
    <w:pPr>
      <w:numPr>
        <w:numId w:val="51"/>
      </w:numPr>
    </w:pPr>
  </w:style>
  <w:style w:type="paragraph" w:customStyle="1" w:styleId="61Heading2">
    <w:name w:val="6.1 Heading 2"/>
    <w:basedOn w:val="11Heading2"/>
    <w:next w:val="BodyText"/>
    <w:semiHidden/>
    <w:qFormat/>
    <w:locked/>
    <w:rsid w:val="00E711EC"/>
    <w:pPr>
      <w:numPr>
        <w:numId w:val="14"/>
      </w:numPr>
    </w:pPr>
  </w:style>
  <w:style w:type="paragraph" w:customStyle="1" w:styleId="A31Heading2">
    <w:name w:val="A3.1 Heading 2"/>
    <w:basedOn w:val="11Heading2"/>
    <w:semiHidden/>
    <w:qFormat/>
    <w:locked/>
    <w:rsid w:val="00E711EC"/>
    <w:pPr>
      <w:numPr>
        <w:numId w:val="19"/>
      </w:numPr>
    </w:pPr>
  </w:style>
  <w:style w:type="paragraph" w:customStyle="1" w:styleId="A41Heading2">
    <w:name w:val="A4.1 Heading 2"/>
    <w:basedOn w:val="11Heading2"/>
    <w:next w:val="BodyText"/>
    <w:semiHidden/>
    <w:qFormat/>
    <w:locked/>
    <w:rsid w:val="00E711EC"/>
    <w:pPr>
      <w:numPr>
        <w:numId w:val="20"/>
      </w:numPr>
    </w:pPr>
  </w:style>
  <w:style w:type="paragraph" w:customStyle="1" w:styleId="C1Heading2">
    <w:name w:val="C.1 Heading 2"/>
    <w:basedOn w:val="11Heading2"/>
    <w:next w:val="BodyText"/>
    <w:semiHidden/>
    <w:qFormat/>
    <w:locked/>
    <w:rsid w:val="00E711EC"/>
    <w:pPr>
      <w:numPr>
        <w:numId w:val="33"/>
      </w:numPr>
    </w:pPr>
  </w:style>
  <w:style w:type="paragraph" w:customStyle="1" w:styleId="D1Heading2">
    <w:name w:val="D.1 Heading 2"/>
    <w:basedOn w:val="11Heading2"/>
    <w:next w:val="BodyText"/>
    <w:semiHidden/>
    <w:qFormat/>
    <w:locked/>
    <w:rsid w:val="00E711EC"/>
    <w:pPr>
      <w:numPr>
        <w:numId w:val="52"/>
      </w:numPr>
    </w:pPr>
  </w:style>
  <w:style w:type="paragraph" w:customStyle="1" w:styleId="E1Heading2">
    <w:name w:val="E.1 Heading 2"/>
    <w:basedOn w:val="11Heading2"/>
    <w:next w:val="BodyText"/>
    <w:semiHidden/>
    <w:qFormat/>
    <w:locked/>
    <w:rsid w:val="00E711EC"/>
    <w:pPr>
      <w:numPr>
        <w:numId w:val="53"/>
      </w:numPr>
    </w:pPr>
  </w:style>
  <w:style w:type="paragraph" w:customStyle="1" w:styleId="F1Heading2">
    <w:name w:val="F.1 Heading 2"/>
    <w:basedOn w:val="11Heading2"/>
    <w:semiHidden/>
    <w:qFormat/>
    <w:locked/>
    <w:rsid w:val="00E711EC"/>
    <w:pPr>
      <w:numPr>
        <w:numId w:val="54"/>
      </w:numPr>
    </w:pPr>
  </w:style>
  <w:style w:type="paragraph" w:customStyle="1" w:styleId="Table8X">
    <w:name w:val="Table 8.X"/>
    <w:basedOn w:val="Table1X"/>
    <w:next w:val="Normal"/>
    <w:semiHidden/>
    <w:qFormat/>
    <w:locked/>
    <w:rsid w:val="00E711EC"/>
    <w:pPr>
      <w:numPr>
        <w:numId w:val="80"/>
      </w:numPr>
    </w:pPr>
  </w:style>
  <w:style w:type="paragraph" w:customStyle="1" w:styleId="ChartA4X">
    <w:name w:val="Chart A4.X"/>
    <w:basedOn w:val="ChartA1X"/>
    <w:next w:val="Normal"/>
    <w:semiHidden/>
    <w:qFormat/>
    <w:locked/>
    <w:rsid w:val="00E711EC"/>
    <w:pPr>
      <w:numPr>
        <w:numId w:val="45"/>
      </w:numPr>
    </w:pPr>
  </w:style>
  <w:style w:type="paragraph" w:customStyle="1" w:styleId="ChartA5X">
    <w:name w:val="Chart A5.X"/>
    <w:basedOn w:val="ChartA1X"/>
    <w:next w:val="Normal"/>
    <w:semiHidden/>
    <w:qFormat/>
    <w:locked/>
    <w:rsid w:val="00E711EC"/>
    <w:pPr>
      <w:numPr>
        <w:numId w:val="46"/>
      </w:numPr>
    </w:pPr>
  </w:style>
  <w:style w:type="paragraph" w:customStyle="1" w:styleId="Box8XBoxHeading">
    <w:name w:val="Box 8.X: Box Heading"/>
    <w:basedOn w:val="Box1XBoxHeading"/>
    <w:next w:val="BodyTextBox"/>
    <w:semiHidden/>
    <w:qFormat/>
    <w:locked/>
    <w:rsid w:val="00E711EC"/>
    <w:pPr>
      <w:numPr>
        <w:numId w:val="30"/>
      </w:numPr>
    </w:pPr>
  </w:style>
  <w:style w:type="paragraph" w:styleId="Header">
    <w:name w:val="header"/>
    <w:basedOn w:val="Normal"/>
    <w:link w:val="HeaderChar"/>
    <w:uiPriority w:val="99"/>
    <w:semiHidden/>
    <w:rsid w:val="00E711EC"/>
    <w:pPr>
      <w:tabs>
        <w:tab w:val="center" w:pos="4513"/>
        <w:tab w:val="right" w:pos="9026"/>
      </w:tabs>
    </w:pPr>
  </w:style>
  <w:style w:type="character" w:customStyle="1" w:styleId="HeaderChar">
    <w:name w:val="Header Char"/>
    <w:basedOn w:val="DefaultParagraphFont"/>
    <w:link w:val="Header"/>
    <w:uiPriority w:val="99"/>
    <w:semiHidden/>
    <w:rsid w:val="00E711EC"/>
    <w:rPr>
      <w:lang w:val="en-US" w:eastAsia="en-US"/>
    </w:rPr>
  </w:style>
  <w:style w:type="paragraph" w:styleId="Footer">
    <w:name w:val="footer"/>
    <w:basedOn w:val="Normal"/>
    <w:link w:val="FooterChar"/>
    <w:semiHidden/>
    <w:rsid w:val="00E711EC"/>
    <w:pPr>
      <w:tabs>
        <w:tab w:val="center" w:pos="4513"/>
        <w:tab w:val="right" w:pos="9026"/>
      </w:tabs>
    </w:pPr>
  </w:style>
  <w:style w:type="character" w:customStyle="1" w:styleId="FooterChar">
    <w:name w:val="Footer Char"/>
    <w:basedOn w:val="DefaultParagraphFont"/>
    <w:link w:val="Footer"/>
    <w:semiHidden/>
    <w:rsid w:val="00E711EC"/>
    <w:rPr>
      <w:lang w:val="en-US" w:eastAsia="en-US"/>
    </w:rPr>
  </w:style>
  <w:style w:type="table" w:customStyle="1" w:styleId="Focusbox">
    <w:name w:val="Focus box"/>
    <w:basedOn w:val="TableNormal"/>
    <w:uiPriority w:val="99"/>
    <w:locked/>
    <w:rsid w:val="00E711EC"/>
    <w:rPr>
      <w:rFonts w:ascii="Arial" w:hAnsi="Arial"/>
      <w:sz w:val="23"/>
    </w:rPr>
    <w:tblPr/>
    <w:tcPr>
      <w:shd w:val="pct5" w:color="auto" w:fill="auto"/>
    </w:tcPr>
  </w:style>
  <w:style w:type="paragraph" w:customStyle="1" w:styleId="Source">
    <w:name w:val="Source"/>
    <w:basedOn w:val="Normal"/>
    <w:next w:val="BodyText"/>
    <w:qFormat/>
    <w:rsid w:val="00E711EC"/>
    <w:pPr>
      <w:widowControl w:val="0"/>
    </w:pPr>
    <w:rPr>
      <w:rFonts w:ascii="Public Sans" w:hAnsi="Public Sans" w:cs="Arial"/>
      <w:i/>
      <w:noProof/>
      <w:color w:val="4F4F4F"/>
      <w:sz w:val="17"/>
      <w:szCs w:val="17"/>
      <w:lang w:eastAsia="en-AU"/>
    </w:rPr>
  </w:style>
  <w:style w:type="character" w:customStyle="1" w:styleId="BodyTextChar">
    <w:name w:val="Body Text Char"/>
    <w:basedOn w:val="DefaultParagraphFont"/>
    <w:link w:val="BodyText"/>
    <w:rsid w:val="00014449"/>
    <w:rPr>
      <w:rFonts w:ascii="Public Sans" w:hAnsi="Public Sans" w:cs="Arial"/>
      <w:sz w:val="22"/>
      <w:lang w:eastAsia="en-US"/>
    </w:rPr>
  </w:style>
  <w:style w:type="paragraph" w:styleId="BalloonText">
    <w:name w:val="Balloon Text"/>
    <w:basedOn w:val="Normal"/>
    <w:link w:val="BalloonTextChar"/>
    <w:uiPriority w:val="99"/>
    <w:semiHidden/>
    <w:unhideWhenUsed/>
    <w:rsid w:val="00650C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CF8"/>
    <w:rPr>
      <w:rFonts w:ascii="Segoe UI" w:hAnsi="Segoe UI" w:cs="Segoe UI"/>
      <w:sz w:val="18"/>
      <w:szCs w:val="18"/>
      <w:lang w:val="en-US" w:eastAsia="en-US"/>
    </w:rPr>
  </w:style>
  <w:style w:type="character" w:customStyle="1" w:styleId="BodyTextBoxChar">
    <w:name w:val="Body Text Box Char"/>
    <w:link w:val="BodyTextBox"/>
    <w:rsid w:val="00650CF8"/>
    <w:rPr>
      <w:rFonts w:ascii="Public Sans" w:hAnsi="Public Sans" w:cs="Arial"/>
      <w:sz w:val="23"/>
      <w:szCs w:val="19"/>
      <w:lang w:val="en-US" w:eastAsia="en-US"/>
    </w:rPr>
  </w:style>
  <w:style w:type="paragraph" w:customStyle="1" w:styleId="BoxHeading">
    <w:name w:val="Box Heading"/>
    <w:basedOn w:val="Normal"/>
    <w:link w:val="BoxHeadingChar"/>
    <w:autoRedefine/>
    <w:semiHidden/>
    <w:rsid w:val="00650CF8"/>
    <w:pPr>
      <w:keepNext/>
      <w:widowControl w:val="0"/>
      <w:tabs>
        <w:tab w:val="left" w:pos="567"/>
        <w:tab w:val="left" w:pos="1168"/>
      </w:tabs>
      <w:spacing w:before="120" w:after="60" w:line="240" w:lineRule="atLeast"/>
      <w:ind w:left="1168" w:hanging="1168"/>
    </w:pPr>
    <w:rPr>
      <w:rFonts w:ascii="Arial" w:eastAsia="Arial Unicode MS" w:hAnsi="Arial"/>
      <w:b/>
      <w:bCs/>
      <w:sz w:val="23"/>
      <w:szCs w:val="23"/>
    </w:rPr>
  </w:style>
  <w:style w:type="character" w:customStyle="1" w:styleId="Heading1Char">
    <w:name w:val="Heading 1 Char"/>
    <w:basedOn w:val="DefaultParagraphFont"/>
    <w:link w:val="Heading1"/>
    <w:rsid w:val="00F66900"/>
    <w:rPr>
      <w:rFonts w:ascii="Public Sans SemiBold" w:hAnsi="Public Sans SemiBold"/>
      <w:caps/>
      <w:color w:val="002664"/>
      <w:kern w:val="28"/>
      <w:sz w:val="40"/>
      <w:szCs w:val="36"/>
      <w:lang w:eastAsia="en-US"/>
    </w:rPr>
  </w:style>
  <w:style w:type="character" w:customStyle="1" w:styleId="BoxHeadingChar">
    <w:name w:val="Box Heading Char"/>
    <w:link w:val="BoxHeading"/>
    <w:semiHidden/>
    <w:rsid w:val="00E3322F"/>
    <w:rPr>
      <w:rFonts w:ascii="Arial" w:eastAsia="Arial Unicode MS" w:hAnsi="Arial"/>
      <w:b/>
      <w:bCs/>
      <w:sz w:val="23"/>
      <w:szCs w:val="23"/>
      <w:lang w:val="en-US" w:eastAsia="en-US"/>
    </w:rPr>
  </w:style>
  <w:style w:type="paragraph" w:customStyle="1" w:styleId="Bullet">
    <w:name w:val="Bullet"/>
    <w:basedOn w:val="BodyText"/>
    <w:semiHidden/>
    <w:rsid w:val="00650CF8"/>
    <w:pPr>
      <w:numPr>
        <w:numId w:val="2"/>
      </w:numPr>
      <w:spacing w:before="180" w:after="180" w:line="288" w:lineRule="auto"/>
      <w:outlineLvl w:val="0"/>
    </w:pPr>
    <w:rPr>
      <w:rFonts w:eastAsiaTheme="minorHAnsi"/>
      <w:i/>
      <w:color w:val="595959" w:themeColor="text1" w:themeTint="A6"/>
      <w:szCs w:val="22"/>
    </w:rPr>
  </w:style>
  <w:style w:type="character" w:styleId="CommentReference">
    <w:name w:val="annotation reference"/>
    <w:uiPriority w:val="99"/>
    <w:semiHidden/>
    <w:rsid w:val="00650CF8"/>
    <w:rPr>
      <w:sz w:val="16"/>
      <w:szCs w:val="16"/>
    </w:rPr>
  </w:style>
  <w:style w:type="paragraph" w:styleId="CommentText">
    <w:name w:val="annotation text"/>
    <w:basedOn w:val="Normal"/>
    <w:link w:val="CommentTextChar"/>
    <w:uiPriority w:val="99"/>
    <w:rsid w:val="00650CF8"/>
  </w:style>
  <w:style w:type="character" w:customStyle="1" w:styleId="CommentTextChar">
    <w:name w:val="Comment Text Char"/>
    <w:basedOn w:val="DefaultParagraphFont"/>
    <w:link w:val="CommentText"/>
    <w:uiPriority w:val="99"/>
    <w:rsid w:val="00F66900"/>
    <w:rPr>
      <w:lang w:val="en-US" w:eastAsia="en-US"/>
    </w:rPr>
  </w:style>
  <w:style w:type="paragraph" w:customStyle="1" w:styleId="Default">
    <w:name w:val="Default"/>
    <w:semiHidden/>
    <w:rsid w:val="00650CF8"/>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semiHidden/>
    <w:rsid w:val="00E3322F"/>
    <w:rPr>
      <w:i/>
      <w:sz w:val="16"/>
      <w:lang w:val="en-US" w:eastAsia="en-US"/>
    </w:rPr>
  </w:style>
  <w:style w:type="paragraph" w:styleId="ListParagraph">
    <w:name w:val="List Paragraph"/>
    <w:basedOn w:val="Normal"/>
    <w:link w:val="ListParagraphChar"/>
    <w:uiPriority w:val="34"/>
    <w:semiHidden/>
    <w:qFormat/>
    <w:rsid w:val="00650CF8"/>
    <w:pPr>
      <w:ind w:left="720"/>
      <w:contextualSpacing/>
    </w:pPr>
  </w:style>
  <w:style w:type="character" w:customStyle="1" w:styleId="ListParagraphChar">
    <w:name w:val="List Paragraph Char"/>
    <w:link w:val="ListParagraph"/>
    <w:uiPriority w:val="34"/>
    <w:semiHidden/>
    <w:locked/>
    <w:rsid w:val="00E3322F"/>
    <w:rPr>
      <w:lang w:val="en-US" w:eastAsia="en-US"/>
    </w:rPr>
  </w:style>
  <w:style w:type="character" w:styleId="Hyperlink">
    <w:name w:val="Hyperlink"/>
    <w:basedOn w:val="DefaultParagraphFont"/>
    <w:uiPriority w:val="99"/>
    <w:semiHidden/>
    <w:rsid w:val="00650CF8"/>
    <w:rPr>
      <w:color w:val="0000FF" w:themeColor="hyperlink"/>
      <w:u w:val="single"/>
    </w:rPr>
  </w:style>
  <w:style w:type="paragraph" w:customStyle="1" w:styleId="TableParagraph">
    <w:name w:val="Table Paragraph"/>
    <w:basedOn w:val="Normal"/>
    <w:uiPriority w:val="1"/>
    <w:semiHidden/>
    <w:qFormat/>
    <w:rsid w:val="00650CF8"/>
    <w:rPr>
      <w:lang w:val="en-AU"/>
    </w:rPr>
  </w:style>
  <w:style w:type="character" w:customStyle="1" w:styleId="Heading4Char">
    <w:name w:val="Heading 4 Char"/>
    <w:link w:val="Heading4"/>
    <w:rsid w:val="00F66900"/>
    <w:rPr>
      <w:rFonts w:ascii="Public Sans SemiBold" w:hAnsi="Public Sans SemiBold"/>
      <w:b/>
      <w:color w:val="22272B"/>
      <w:kern w:val="28"/>
      <w:sz w:val="24"/>
      <w:szCs w:val="36"/>
      <w:lang w:eastAsia="en-US"/>
    </w:rPr>
  </w:style>
  <w:style w:type="character" w:customStyle="1" w:styleId="Heading5Char">
    <w:name w:val="Heading 5 Char"/>
    <w:link w:val="Heading5"/>
    <w:rsid w:val="00F66900"/>
    <w:rPr>
      <w:rFonts w:ascii="Public Sans SemiBold" w:hAnsi="Public Sans SemiBold"/>
      <w:i/>
      <w:color w:val="22272B"/>
      <w:kern w:val="28"/>
      <w:sz w:val="24"/>
      <w:szCs w:val="36"/>
      <w:lang w:eastAsia="en-US"/>
    </w:rPr>
  </w:style>
  <w:style w:type="character" w:customStyle="1" w:styleId="Heading6Char">
    <w:name w:val="Heading 6 Char"/>
    <w:link w:val="Heading6"/>
    <w:semiHidden/>
    <w:rsid w:val="00E3322F"/>
    <w:rPr>
      <w:b/>
      <w:i/>
      <w:color w:val="002664"/>
      <w:sz w:val="24"/>
      <w:szCs w:val="36"/>
      <w:lang w:eastAsia="en-US"/>
    </w:rPr>
  </w:style>
  <w:style w:type="character" w:customStyle="1" w:styleId="Heading7Char">
    <w:name w:val="Heading 7 Char"/>
    <w:link w:val="Heading7"/>
    <w:semiHidden/>
    <w:rsid w:val="00E3322F"/>
    <w:rPr>
      <w:rFonts w:ascii="Public Sans SemiBold" w:hAnsi="Public Sans SemiBold"/>
      <w:color w:val="22272B"/>
      <w:kern w:val="28"/>
      <w:sz w:val="24"/>
      <w:szCs w:val="36"/>
      <w:lang w:eastAsia="en-US"/>
    </w:rPr>
  </w:style>
  <w:style w:type="character" w:customStyle="1" w:styleId="Heading8Char">
    <w:name w:val="Heading 8 Char"/>
    <w:link w:val="Heading8"/>
    <w:semiHidden/>
    <w:rsid w:val="00E3322F"/>
    <w:rPr>
      <w:rFonts w:ascii="Public Sans SemiBold" w:hAnsi="Public Sans SemiBold"/>
      <w:i/>
      <w:color w:val="22272B"/>
      <w:kern w:val="28"/>
      <w:sz w:val="24"/>
      <w:szCs w:val="36"/>
      <w:lang w:eastAsia="en-US"/>
    </w:rPr>
  </w:style>
  <w:style w:type="character" w:customStyle="1" w:styleId="Heading9Char">
    <w:name w:val="Heading 9 Char"/>
    <w:link w:val="Heading9"/>
    <w:semiHidden/>
    <w:rsid w:val="00E3322F"/>
    <w:rPr>
      <w:rFonts w:ascii="Public Sans SemiBold" w:hAnsi="Public Sans SemiBold"/>
      <w:color w:val="22272B"/>
      <w:kern w:val="28"/>
      <w:sz w:val="24"/>
      <w:szCs w:val="36"/>
      <w:lang w:eastAsia="en-US"/>
    </w:rPr>
  </w:style>
  <w:style w:type="paragraph" w:styleId="Revision">
    <w:name w:val="Revision"/>
    <w:hidden/>
    <w:uiPriority w:val="99"/>
    <w:semiHidden/>
    <w:rsid w:val="00650CF8"/>
    <w:rPr>
      <w:rFonts w:ascii="Arial" w:hAnsi="Arial" w:cs="Arial"/>
    </w:rPr>
  </w:style>
  <w:style w:type="character" w:styleId="Emphasis">
    <w:name w:val="Emphasis"/>
    <w:basedOn w:val="DefaultParagraphFont"/>
    <w:semiHidden/>
    <w:qFormat/>
    <w:rsid w:val="00650CF8"/>
    <w:rPr>
      <w:i/>
      <w:iCs/>
    </w:rPr>
  </w:style>
  <w:style w:type="paragraph" w:customStyle="1" w:styleId="paragraph">
    <w:name w:val="paragraph"/>
    <w:basedOn w:val="Normal"/>
    <w:semiHidden/>
    <w:rsid w:val="00650CF8"/>
    <w:pPr>
      <w:spacing w:before="100" w:beforeAutospacing="1" w:after="100" w:afterAutospacing="1"/>
    </w:pPr>
    <w:rPr>
      <w:sz w:val="24"/>
      <w:szCs w:val="24"/>
      <w:lang w:val="en-AU" w:eastAsia="en-AU"/>
    </w:rPr>
  </w:style>
  <w:style w:type="character" w:customStyle="1" w:styleId="normaltextrun">
    <w:name w:val="normaltextrun"/>
    <w:basedOn w:val="DefaultParagraphFont"/>
    <w:rsid w:val="00650CF8"/>
  </w:style>
  <w:style w:type="character" w:customStyle="1" w:styleId="eop">
    <w:name w:val="eop"/>
    <w:basedOn w:val="DefaultParagraphFont"/>
    <w:rsid w:val="00650CF8"/>
  </w:style>
  <w:style w:type="character" w:customStyle="1" w:styleId="contextualspellingandgrammarerror">
    <w:name w:val="contextualspellingandgrammarerror"/>
    <w:basedOn w:val="DefaultParagraphFont"/>
    <w:semiHidden/>
    <w:rsid w:val="00650CF8"/>
  </w:style>
  <w:style w:type="character" w:customStyle="1" w:styleId="BulletPointStyleChar">
    <w:name w:val="Bullet Point Style Char"/>
    <w:basedOn w:val="DefaultParagraphFont"/>
    <w:link w:val="BulletPointStyle"/>
    <w:semiHidden/>
    <w:locked/>
    <w:rsid w:val="00E3322F"/>
    <w:rPr>
      <w:rFonts w:ascii="Garamond" w:hAnsi="Garamond"/>
      <w:lang w:eastAsia="x-none"/>
    </w:rPr>
  </w:style>
  <w:style w:type="paragraph" w:customStyle="1" w:styleId="BulletPointStyle">
    <w:name w:val="Bullet Point Style"/>
    <w:basedOn w:val="Normal"/>
    <w:link w:val="BulletPointStyleChar"/>
    <w:semiHidden/>
    <w:rsid w:val="00650CF8"/>
    <w:pPr>
      <w:spacing w:after="80" w:line="280" w:lineRule="exact"/>
    </w:pPr>
    <w:rPr>
      <w:rFonts w:ascii="Garamond" w:hAnsi="Garamond"/>
      <w:lang w:val="en-AU" w:eastAsia="x-none"/>
    </w:rPr>
  </w:style>
  <w:style w:type="paragraph" w:styleId="NormalWeb">
    <w:name w:val="Normal (Web)"/>
    <w:basedOn w:val="Normal"/>
    <w:uiPriority w:val="99"/>
    <w:unhideWhenUsed/>
    <w:rsid w:val="00650CF8"/>
    <w:pPr>
      <w:spacing w:before="100" w:beforeAutospacing="1" w:after="100" w:afterAutospacing="1"/>
    </w:pPr>
    <w:rPr>
      <w:rFonts w:ascii="Calibri" w:eastAsiaTheme="minorHAnsi" w:hAnsi="Calibri" w:cs="Calibri"/>
      <w:sz w:val="22"/>
      <w:szCs w:val="22"/>
      <w:lang w:val="en-AU" w:eastAsia="en-AU"/>
    </w:rPr>
  </w:style>
  <w:style w:type="paragraph" w:customStyle="1" w:styleId="Chart31">
    <w:name w:val="Chart 3.1"/>
    <w:basedOn w:val="Normal"/>
    <w:qFormat/>
    <w:rsid w:val="00650CF8"/>
    <w:pPr>
      <w:numPr>
        <w:numId w:val="4"/>
      </w:numPr>
      <w:spacing w:before="360" w:after="120"/>
    </w:pPr>
    <w:rPr>
      <w:rFonts w:ascii="Arial" w:hAnsi="Arial"/>
      <w:i/>
      <w:color w:val="4F4F4F"/>
      <w:sz w:val="22"/>
    </w:rPr>
  </w:style>
  <w:style w:type="paragraph" w:customStyle="1" w:styleId="Tablefootnote">
    <w:name w:val="Table footnote"/>
    <w:basedOn w:val="Normal"/>
    <w:semiHidden/>
    <w:qFormat/>
    <w:rsid w:val="00650CF8"/>
    <w:pPr>
      <w:numPr>
        <w:numId w:val="5"/>
      </w:numPr>
    </w:pPr>
    <w:rPr>
      <w:rFonts w:ascii="Arial" w:hAnsi="Arial"/>
      <w:sz w:val="17"/>
    </w:rPr>
  </w:style>
  <w:style w:type="paragraph" w:styleId="CommentSubject">
    <w:name w:val="annotation subject"/>
    <w:basedOn w:val="CommentText"/>
    <w:next w:val="CommentText"/>
    <w:link w:val="CommentSubjectChar"/>
    <w:uiPriority w:val="99"/>
    <w:semiHidden/>
    <w:unhideWhenUsed/>
    <w:rsid w:val="00650CF8"/>
    <w:rPr>
      <w:b/>
      <w:bCs/>
    </w:rPr>
  </w:style>
  <w:style w:type="character" w:customStyle="1" w:styleId="CommentSubjectChar">
    <w:name w:val="Comment Subject Char"/>
    <w:basedOn w:val="CommentTextChar"/>
    <w:link w:val="CommentSubject"/>
    <w:uiPriority w:val="99"/>
    <w:semiHidden/>
    <w:rsid w:val="00650CF8"/>
    <w:rPr>
      <w:b/>
      <w:bCs/>
      <w:lang w:val="en-US" w:eastAsia="en-US"/>
    </w:rPr>
  </w:style>
  <w:style w:type="character" w:customStyle="1" w:styleId="advancedproofingissue">
    <w:name w:val="advancedproofingissue"/>
    <w:basedOn w:val="DefaultParagraphFont"/>
    <w:semiHidden/>
    <w:rsid w:val="00650CF8"/>
  </w:style>
  <w:style w:type="character" w:styleId="UnresolvedMention">
    <w:name w:val="Unresolved Mention"/>
    <w:basedOn w:val="DefaultParagraphFont"/>
    <w:uiPriority w:val="99"/>
    <w:semiHidden/>
    <w:rsid w:val="00650CF8"/>
    <w:rPr>
      <w:color w:val="605E5C"/>
      <w:shd w:val="clear" w:color="auto" w:fill="E1DFDD"/>
    </w:rPr>
  </w:style>
  <w:style w:type="character" w:styleId="Mention">
    <w:name w:val="Mention"/>
    <w:basedOn w:val="DefaultParagraphFont"/>
    <w:uiPriority w:val="99"/>
    <w:rsid w:val="00650CF8"/>
    <w:rPr>
      <w:color w:val="2B579A"/>
      <w:shd w:val="clear" w:color="auto" w:fill="E1DFDD"/>
    </w:rPr>
  </w:style>
  <w:style w:type="paragraph" w:customStyle="1" w:styleId="FigureBX">
    <w:name w:val="Figure B.X"/>
    <w:basedOn w:val="Figure1X"/>
    <w:qFormat/>
    <w:rsid w:val="00E711EC"/>
    <w:pPr>
      <w:numPr>
        <w:numId w:val="68"/>
      </w:numPr>
    </w:pPr>
  </w:style>
  <w:style w:type="paragraph" w:customStyle="1" w:styleId="Footnotestyle">
    <w:name w:val="Footnote style"/>
    <w:basedOn w:val="Normal"/>
    <w:next w:val="Normal"/>
    <w:qFormat/>
    <w:rsid w:val="00E711EC"/>
    <w:pPr>
      <w:spacing w:before="40" w:after="40"/>
      <w:ind w:left="709" w:hanging="284"/>
    </w:pPr>
    <w:rPr>
      <w:rFonts w:ascii="Public Sans" w:hAnsi="Public Sans"/>
      <w:sz w:val="16"/>
    </w:rPr>
  </w:style>
  <w:style w:type="paragraph" w:styleId="ListBullet">
    <w:name w:val="List Bullet"/>
    <w:basedOn w:val="Normal"/>
    <w:uiPriority w:val="99"/>
    <w:semiHidden/>
    <w:unhideWhenUsed/>
    <w:rsid w:val="00FE1BDD"/>
    <w:pPr>
      <w:numPr>
        <w:numId w:val="8"/>
      </w:numPr>
      <w:spacing w:after="160" w:line="252" w:lineRule="auto"/>
      <w:contextualSpacing/>
    </w:pPr>
    <w:rPr>
      <w:rFonts w:ascii="Calibri" w:eastAsiaTheme="minorHAnsi" w:hAnsi="Calibri" w:cs="Calibri"/>
      <w:sz w:val="22"/>
      <w:szCs w:val="22"/>
      <w:lang w:val="en-AU"/>
    </w:rPr>
  </w:style>
  <w:style w:type="paragraph" w:customStyle="1" w:styleId="Bullet3">
    <w:name w:val="Bullet 3"/>
    <w:basedOn w:val="Bullet2"/>
    <w:next w:val="BodyText"/>
    <w:qFormat/>
    <w:rsid w:val="00E711EC"/>
    <w:pPr>
      <w:numPr>
        <w:numId w:val="32"/>
      </w:numPr>
      <w:tabs>
        <w:tab w:val="clear" w:pos="851"/>
        <w:tab w:val="clear" w:pos="8647"/>
      </w:tabs>
    </w:pPr>
  </w:style>
  <w:style w:type="paragraph" w:customStyle="1" w:styleId="Figure1X">
    <w:name w:val="Figure 1.X"/>
    <w:basedOn w:val="Table1X"/>
    <w:next w:val="Normal"/>
    <w:semiHidden/>
    <w:qFormat/>
    <w:rsid w:val="00E711EC"/>
    <w:pPr>
      <w:numPr>
        <w:numId w:val="55"/>
      </w:numPr>
    </w:pPr>
  </w:style>
  <w:style w:type="paragraph" w:customStyle="1" w:styleId="Figure2X">
    <w:name w:val="Figure 2.X"/>
    <w:basedOn w:val="Figure1X"/>
    <w:next w:val="Normal"/>
    <w:semiHidden/>
    <w:qFormat/>
    <w:rsid w:val="00E711EC"/>
    <w:pPr>
      <w:numPr>
        <w:numId w:val="56"/>
      </w:numPr>
    </w:pPr>
  </w:style>
  <w:style w:type="paragraph" w:customStyle="1" w:styleId="Figure3X">
    <w:name w:val="Figure 3.X"/>
    <w:basedOn w:val="Figure1X"/>
    <w:next w:val="Normal"/>
    <w:semiHidden/>
    <w:qFormat/>
    <w:rsid w:val="00E711EC"/>
    <w:pPr>
      <w:numPr>
        <w:numId w:val="57"/>
      </w:numPr>
    </w:pPr>
  </w:style>
  <w:style w:type="paragraph" w:customStyle="1" w:styleId="Figure4X">
    <w:name w:val="Figure 4.X"/>
    <w:basedOn w:val="Figure1X"/>
    <w:next w:val="Normal"/>
    <w:semiHidden/>
    <w:qFormat/>
    <w:rsid w:val="00E711EC"/>
    <w:pPr>
      <w:numPr>
        <w:numId w:val="58"/>
      </w:numPr>
    </w:pPr>
  </w:style>
  <w:style w:type="paragraph" w:customStyle="1" w:styleId="Figure5X">
    <w:name w:val="Figure 5.X"/>
    <w:basedOn w:val="Figure1X"/>
    <w:next w:val="Normal"/>
    <w:semiHidden/>
    <w:qFormat/>
    <w:rsid w:val="00E711EC"/>
    <w:pPr>
      <w:numPr>
        <w:numId w:val="59"/>
      </w:numPr>
    </w:pPr>
  </w:style>
  <w:style w:type="paragraph" w:customStyle="1" w:styleId="Figure6X">
    <w:name w:val="Figure 6.X"/>
    <w:basedOn w:val="Figure1X"/>
    <w:next w:val="Normal"/>
    <w:semiHidden/>
    <w:qFormat/>
    <w:rsid w:val="00E711EC"/>
    <w:pPr>
      <w:numPr>
        <w:numId w:val="60"/>
      </w:numPr>
    </w:pPr>
  </w:style>
  <w:style w:type="paragraph" w:customStyle="1" w:styleId="Figure7X">
    <w:name w:val="Figure 7.X"/>
    <w:basedOn w:val="Figure1X"/>
    <w:next w:val="Normal"/>
    <w:semiHidden/>
    <w:qFormat/>
    <w:rsid w:val="00E711EC"/>
    <w:pPr>
      <w:numPr>
        <w:numId w:val="61"/>
      </w:numPr>
    </w:pPr>
  </w:style>
  <w:style w:type="paragraph" w:customStyle="1" w:styleId="Figure8X">
    <w:name w:val="Figure 8.X"/>
    <w:basedOn w:val="Figure7X"/>
    <w:next w:val="Normal"/>
    <w:semiHidden/>
    <w:qFormat/>
    <w:rsid w:val="00E711EC"/>
    <w:pPr>
      <w:numPr>
        <w:numId w:val="62"/>
      </w:numPr>
    </w:pPr>
  </w:style>
  <w:style w:type="paragraph" w:customStyle="1" w:styleId="FigureA1X">
    <w:name w:val="Figure A1.X"/>
    <w:basedOn w:val="Figure1X"/>
    <w:next w:val="Normal"/>
    <w:semiHidden/>
    <w:qFormat/>
    <w:rsid w:val="00E711EC"/>
    <w:pPr>
      <w:numPr>
        <w:numId w:val="63"/>
      </w:numPr>
    </w:pPr>
  </w:style>
  <w:style w:type="paragraph" w:customStyle="1" w:styleId="FigureA2X">
    <w:name w:val="Figure A2.X"/>
    <w:basedOn w:val="Figure1X"/>
    <w:next w:val="Normal"/>
    <w:semiHidden/>
    <w:qFormat/>
    <w:rsid w:val="00E711EC"/>
    <w:pPr>
      <w:numPr>
        <w:numId w:val="64"/>
      </w:numPr>
    </w:pPr>
  </w:style>
  <w:style w:type="paragraph" w:customStyle="1" w:styleId="FigureA3X">
    <w:name w:val="Figure A3.X"/>
    <w:basedOn w:val="Figure1X"/>
    <w:next w:val="Normal"/>
    <w:semiHidden/>
    <w:qFormat/>
    <w:rsid w:val="00E711EC"/>
    <w:pPr>
      <w:numPr>
        <w:numId w:val="65"/>
      </w:numPr>
    </w:pPr>
  </w:style>
  <w:style w:type="paragraph" w:customStyle="1" w:styleId="FigureA4X">
    <w:name w:val="Figure A4.X"/>
    <w:basedOn w:val="Figure1X"/>
    <w:next w:val="Normal"/>
    <w:semiHidden/>
    <w:qFormat/>
    <w:rsid w:val="00E711EC"/>
    <w:pPr>
      <w:numPr>
        <w:numId w:val="66"/>
      </w:numPr>
    </w:pPr>
  </w:style>
  <w:style w:type="paragraph" w:customStyle="1" w:styleId="FigureA5X">
    <w:name w:val="Figure A5.X"/>
    <w:basedOn w:val="Figure1X"/>
    <w:next w:val="Normal"/>
    <w:semiHidden/>
    <w:qFormat/>
    <w:rsid w:val="00E711EC"/>
    <w:pPr>
      <w:numPr>
        <w:numId w:val="67"/>
      </w:numPr>
    </w:pPr>
  </w:style>
  <w:style w:type="paragraph" w:customStyle="1" w:styleId="FigureCX">
    <w:name w:val="Figure C.X"/>
    <w:basedOn w:val="Figure1X"/>
    <w:next w:val="Normal"/>
    <w:semiHidden/>
    <w:qFormat/>
    <w:rsid w:val="00E711EC"/>
    <w:pPr>
      <w:numPr>
        <w:numId w:val="69"/>
      </w:numPr>
    </w:pPr>
  </w:style>
  <w:style w:type="paragraph" w:customStyle="1" w:styleId="FigureDX">
    <w:name w:val="Figure D.X"/>
    <w:basedOn w:val="Figure1X"/>
    <w:next w:val="Normal"/>
    <w:semiHidden/>
    <w:qFormat/>
    <w:rsid w:val="00E711EC"/>
    <w:pPr>
      <w:numPr>
        <w:numId w:val="70"/>
      </w:numPr>
    </w:pPr>
  </w:style>
  <w:style w:type="paragraph" w:customStyle="1" w:styleId="FigureEX">
    <w:name w:val="Figure E.X"/>
    <w:basedOn w:val="Figure1X"/>
    <w:next w:val="Normal"/>
    <w:semiHidden/>
    <w:qFormat/>
    <w:rsid w:val="00E711EC"/>
    <w:pPr>
      <w:numPr>
        <w:numId w:val="71"/>
      </w:numPr>
    </w:pPr>
  </w:style>
  <w:style w:type="paragraph" w:customStyle="1" w:styleId="FigureFX">
    <w:name w:val="Figure F.X"/>
    <w:basedOn w:val="Figure1X"/>
    <w:next w:val="Normal"/>
    <w:semiHidden/>
    <w:qFormat/>
    <w:rsid w:val="00E711EC"/>
    <w:pPr>
      <w:numPr>
        <w:numId w:val="72"/>
      </w:numPr>
    </w:pPr>
  </w:style>
  <w:style w:type="paragraph" w:customStyle="1" w:styleId="Headinginbox">
    <w:name w:val="Heading in box"/>
    <w:basedOn w:val="BodyText"/>
    <w:next w:val="BodyTextBox"/>
    <w:qFormat/>
    <w:rsid w:val="00737ECD"/>
    <w:rPr>
      <w:rFonts w:ascii="Public Sans SemiBold" w:hAnsi="Public Sans SemiBold"/>
      <w:b/>
      <w:color w:val="002664"/>
    </w:rPr>
  </w:style>
  <w:style w:type="paragraph" w:customStyle="1" w:styleId="TableEX">
    <w:name w:val="Table E.X"/>
    <w:basedOn w:val="TableDX"/>
    <w:next w:val="BodyText"/>
    <w:semiHidden/>
    <w:qFormat/>
    <w:rsid w:val="00E711EC"/>
    <w:pPr>
      <w:numPr>
        <w:numId w:val="87"/>
      </w:numPr>
      <w:tabs>
        <w:tab w:val="num" w:pos="360"/>
      </w:tabs>
    </w:pPr>
  </w:style>
  <w:style w:type="character" w:styleId="Strong">
    <w:name w:val="Strong"/>
    <w:basedOn w:val="DefaultParagraphFont"/>
    <w:uiPriority w:val="22"/>
    <w:qFormat/>
    <w:rsid w:val="00AD46AB"/>
    <w:rPr>
      <w:b/>
      <w:bCs/>
    </w:rPr>
  </w:style>
  <w:style w:type="character" w:customStyle="1" w:styleId="xxxxxxui-provider">
    <w:name w:val="x_x_x_x_xxui-provider"/>
    <w:basedOn w:val="DefaultParagraphFont"/>
    <w:rsid w:val="00AD4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166914">
      <w:bodyDiv w:val="1"/>
      <w:marLeft w:val="0"/>
      <w:marRight w:val="0"/>
      <w:marTop w:val="0"/>
      <w:marBottom w:val="0"/>
      <w:divBdr>
        <w:top w:val="none" w:sz="0" w:space="0" w:color="auto"/>
        <w:left w:val="none" w:sz="0" w:space="0" w:color="auto"/>
        <w:bottom w:val="none" w:sz="0" w:space="0" w:color="auto"/>
        <w:right w:val="none" w:sz="0" w:space="0" w:color="auto"/>
      </w:divBdr>
    </w:div>
    <w:div w:id="723025017">
      <w:bodyDiv w:val="1"/>
      <w:marLeft w:val="0"/>
      <w:marRight w:val="0"/>
      <w:marTop w:val="0"/>
      <w:marBottom w:val="0"/>
      <w:divBdr>
        <w:top w:val="none" w:sz="0" w:space="0" w:color="auto"/>
        <w:left w:val="none" w:sz="0" w:space="0" w:color="auto"/>
        <w:bottom w:val="none" w:sz="0" w:space="0" w:color="auto"/>
        <w:right w:val="none" w:sz="0" w:space="0" w:color="auto"/>
      </w:divBdr>
    </w:div>
    <w:div w:id="170420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8" ma:contentTypeDescription="Create a new document." ma:contentTypeScope="" ma:versionID="b84699f8718cfaaccf8ae66a81ad7cf5">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b5bb7e07b68b4de85e92be5b8e3a6a2"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1c478e85-8130-4c67-8ee4-8bdf1c0e6049">
      <Terms xmlns="http://schemas.microsoft.com/office/infopath/2007/PartnerControls"/>
    </lcf76f155ced4ddcb4097134ff3c332f>
    <_Flow_SignoffStatus xmlns="1c478e85-8130-4c67-8ee4-8bdf1c0e6049" xsi:nil="true"/>
    <SharedWithUsers xmlns="801a5968-9419-4033-b9de-7ffe8168468e">
      <UserInfo>
        <DisplayName>James Atkinson</DisplayName>
        <AccountId>47</AccountId>
        <AccountType/>
      </UserInfo>
      <UserInfo>
        <DisplayName>Anna Komarzynski</DisplayName>
        <AccountId>1426</AccountId>
        <AccountType/>
      </UserInfo>
      <UserInfo>
        <DisplayName>Jack Wright</DisplayName>
        <AccountId>189</AccountId>
        <AccountType/>
      </UserInfo>
      <UserInfo>
        <DisplayName>Eileen Huang</DisplayName>
        <AccountId>751</AccountId>
        <AccountType/>
      </UserInfo>
      <UserInfo>
        <DisplayName>Michael Warlters</DisplayName>
        <AccountId>52</AccountId>
        <AccountType/>
      </UserInfo>
      <UserInfo>
        <DisplayName>Jessie Johnson</DisplayName>
        <AccountId>23</AccountId>
        <AccountType/>
      </UserInfo>
      <UserInfo>
        <DisplayName>Katherine Palmer</DisplayName>
        <AccountId>787</AccountId>
        <AccountType/>
      </UserInfo>
      <UserInfo>
        <DisplayName>Amy Zhu</DisplayName>
        <AccountId>749</AccountId>
        <AccountType/>
      </UserInfo>
      <UserInfo>
        <DisplayName>Alison Weaver</DisplayName>
        <AccountId>980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DD00A-2274-4487-836F-79F678847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10486F-5120-4F67-BA1E-2BAF7098B075}">
  <ds:schemaRefs>
    <ds:schemaRef ds:uri="http://schemas.microsoft.com/sharepoint/v3/contenttype/forms"/>
  </ds:schemaRefs>
</ds:datastoreItem>
</file>

<file path=customXml/itemProps3.xml><?xml version="1.0" encoding="utf-8"?>
<ds:datastoreItem xmlns:ds="http://schemas.openxmlformats.org/officeDocument/2006/customXml" ds:itemID="{CE9E9FD7-6E6C-41F1-AB66-B4A654C66101}">
  <ds:schemaRefs>
    <ds:schemaRef ds:uri="http://purl.org/dc/terms/"/>
    <ds:schemaRef ds:uri="http://www.w3.org/XML/1998/namespace"/>
    <ds:schemaRef ds:uri="801a5968-9419-4033-b9de-7ffe8168468e"/>
    <ds:schemaRef ds:uri="1c478e85-8130-4c67-8ee4-8bdf1c0e6049"/>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9f0ac7ce-5f57-4ea0-9af7-01d4f3f1ccae"/>
    <ds:schemaRef ds:uri="http://schemas.microsoft.com/office/2006/metadata/properties"/>
  </ds:schemaRefs>
</ds:datastoreItem>
</file>

<file path=customXml/itemProps4.xml><?xml version="1.0" encoding="utf-8"?>
<ds:datastoreItem xmlns:ds="http://schemas.openxmlformats.org/officeDocument/2006/customXml" ds:itemID="{D293D4C9-B5FB-425B-853A-592996518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9</Pages>
  <Words>4048</Words>
  <Characters>22874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2023-24 Budget Paper No. 1 - Budget Statement - Appendix B - Fiscal Risks and Budget Sensitivities</vt:lpstr>
    </vt:vector>
  </TitlesOfParts>
  <Company>NSW Treasury</Company>
  <LinksUpToDate>false</LinksUpToDate>
  <CharactersWithSpaces>26869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Budget Paper No. 1 - Budget Statement - Appendix B - Fiscal Risks and Budget Sensitivities</dc:title>
  <dc:subject/>
  <dc:creator>NSWTreasury@nswgov.onmicrosoft.com</dc:creator>
  <cp:keywords/>
  <cp:lastModifiedBy>Francess Lavorato</cp:lastModifiedBy>
  <cp:revision>300</cp:revision>
  <cp:lastPrinted>2023-09-14T22:26:00Z</cp:lastPrinted>
  <dcterms:created xsi:type="dcterms:W3CDTF">2023-07-20T17:38:00Z</dcterms:created>
  <dcterms:modified xsi:type="dcterms:W3CDTF">2023-09-17T01:15:00Z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A3020765</vt:lpwstr>
  </property>
  <property fmtid="{D5CDD505-2E9C-101B-9397-08002B2CF9AE}" pid="4" name="Objective-Title">
    <vt:lpwstr>Budget paper styles and template</vt:lpwstr>
  </property>
  <property fmtid="{D5CDD505-2E9C-101B-9397-08002B2CF9AE}" pid="5" name="Objective-Comment">
    <vt:lpwstr/>
  </property>
  <property fmtid="{D5CDD505-2E9C-101B-9397-08002B2CF9AE}" pid="6" name="Objective-CreationStamp">
    <vt:filetime>2015-09-10T21:55:51Z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2015-10-13T03:41:11Z</vt:filetime>
  </property>
  <property fmtid="{D5CDD505-2E9C-101B-9397-08002B2CF9AE}" pid="11" name="Objective-Owner">
    <vt:lpwstr>Alicia McIntyre</vt:lpwstr>
  </property>
  <property fmtid="{D5CDD505-2E9C-101B-9397-08002B2CF9AE}" pid="12" name="Objective-Path">
    <vt:lpwstr>Objective Global Folder:1. Treasury:1. Information Management Structure (TR):FISCAL &amp; ECONOMIC GROUP (FEG):Budget Strategy:Budget Process Design:Budget:2016-17 Budget - Process and Production:Production:</vt:lpwstr>
  </property>
  <property fmtid="{D5CDD505-2E9C-101B-9397-08002B2CF9AE}" pid="13" name="Objective-Parent">
    <vt:lpwstr>Production</vt:lpwstr>
  </property>
  <property fmtid="{D5CDD505-2E9C-101B-9397-08002B2CF9AE}" pid="14" name="Objective-State">
    <vt:lpwstr>Being Drafted</vt:lpwstr>
  </property>
  <property fmtid="{D5CDD505-2E9C-101B-9397-08002B2CF9AE}" pid="15" name="Objective-Version">
    <vt:lpwstr>0.5</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ContentTypeId">
    <vt:lpwstr>0x010100F02F16F1AFBDE54EBD2685E90FE1922F</vt:lpwstr>
  </property>
  <property fmtid="{D5CDD505-2E9C-101B-9397-08002B2CF9AE}" pid="25" name="MediaServiceImageTags">
    <vt:lpwstr/>
  </property>
  <property fmtid="{D5CDD505-2E9C-101B-9397-08002B2CF9AE}" pid="26" name="ClassificationContentMarkingHeaderShapeIds">
    <vt:lpwstr>3,4,5</vt:lpwstr>
  </property>
  <property fmtid="{D5CDD505-2E9C-101B-9397-08002B2CF9AE}" pid="27" name="ClassificationContentMarkingHeaderFontProps">
    <vt:lpwstr>#ff0000,10,Calibri</vt:lpwstr>
  </property>
  <property fmtid="{D5CDD505-2E9C-101B-9397-08002B2CF9AE}" pid="28" name="ClassificationContentMarkingHeaderText">
    <vt:lpwstr>OFFICIAL: Sensitive - NSW Government</vt:lpwstr>
  </property>
  <property fmtid="{D5CDD505-2E9C-101B-9397-08002B2CF9AE}" pid="29" name="ClassificationContentMarkingFooterShapeIds">
    <vt:lpwstr>6,7,8</vt:lpwstr>
  </property>
  <property fmtid="{D5CDD505-2E9C-101B-9397-08002B2CF9AE}" pid="30" name="ClassificationContentMarkingFooterFontProps">
    <vt:lpwstr>#ff0000,10,Calibri</vt:lpwstr>
  </property>
  <property fmtid="{D5CDD505-2E9C-101B-9397-08002B2CF9AE}" pid="31" name="ClassificationContentMarkingFooterText">
    <vt:lpwstr>OFFICIAL: Sensitive - NSW Government</vt:lpwstr>
  </property>
  <property fmtid="{D5CDD505-2E9C-101B-9397-08002B2CF9AE}" pid="32" name="MSIP_Label_ab31b62b-e375-4a62-a687-c19ac06ddd31_Enabled">
    <vt:lpwstr>true</vt:lpwstr>
  </property>
  <property fmtid="{D5CDD505-2E9C-101B-9397-08002B2CF9AE}" pid="33" name="MSIP_Label_ab31b62b-e375-4a62-a687-c19ac06ddd31_SetDate">
    <vt:lpwstr>2023-07-17T05:35:10Z</vt:lpwstr>
  </property>
  <property fmtid="{D5CDD505-2E9C-101B-9397-08002B2CF9AE}" pid="34" name="MSIP_Label_ab31b62b-e375-4a62-a687-c19ac06ddd31_Method">
    <vt:lpwstr>Privileged</vt:lpwstr>
  </property>
  <property fmtid="{D5CDD505-2E9C-101B-9397-08002B2CF9AE}" pid="35" name="MSIP_Label_ab31b62b-e375-4a62-a687-c19ac06ddd31_Name">
    <vt:lpwstr>OFFICIAL Sensitive - NSW Government</vt:lpwstr>
  </property>
  <property fmtid="{D5CDD505-2E9C-101B-9397-08002B2CF9AE}" pid="36" name="MSIP_Label_ab31b62b-e375-4a62-a687-c19ac06ddd31_SiteId">
    <vt:lpwstr>1ef97a68-e8ab-44ed-a16d-b579fe2d7cd8</vt:lpwstr>
  </property>
  <property fmtid="{D5CDD505-2E9C-101B-9397-08002B2CF9AE}" pid="37" name="MSIP_Label_ab31b62b-e375-4a62-a687-c19ac06ddd31_ActionId">
    <vt:lpwstr>e99cb3e8-e592-44b3-906e-e4c2bfceb55e</vt:lpwstr>
  </property>
  <property fmtid="{D5CDD505-2E9C-101B-9397-08002B2CF9AE}" pid="38" name="MSIP_Label_ab31b62b-e375-4a62-a687-c19ac06ddd31_ContentBits">
    <vt:lpwstr>3</vt:lpwstr>
  </property>
</Properties>
</file>