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B431C" w14:textId="2D94DC48" w:rsidR="00C626D7" w:rsidRPr="00A903EA" w:rsidRDefault="007E7624" w:rsidP="00697B15">
      <w:pPr>
        <w:pStyle w:val="Heading1"/>
      </w:pPr>
      <w:r>
        <w:t>E</w:t>
      </w:r>
      <w:r w:rsidR="00262768" w:rsidRPr="00CA7632">
        <w:t>.</w:t>
      </w:r>
      <w:r w:rsidR="00262768" w:rsidRPr="00CA7632">
        <w:tab/>
      </w:r>
      <w:r w:rsidRPr="00C34942">
        <w:t>Performance</w:t>
      </w:r>
      <w:r w:rsidRPr="00C04562">
        <w:t xml:space="preserve"> and Reporting Under the Fiscal </w:t>
      </w:r>
      <w:r w:rsidRPr="001626ED">
        <w:rPr>
          <w:color w:val="00426F"/>
        </w:rPr>
        <w:t>Responsibility</w:t>
      </w:r>
      <w:r w:rsidRPr="00C04562">
        <w:t xml:space="preserve"> Act</w:t>
      </w:r>
      <w:r>
        <w:t xml:space="preserve"> 2012</w:t>
      </w:r>
    </w:p>
    <w:p w14:paraId="58E75ADA" w14:textId="6EA4569F" w:rsidR="002310CE" w:rsidRDefault="007E7624" w:rsidP="00AA6F12">
      <w:pPr>
        <w:pStyle w:val="E1Heading2"/>
      </w:pPr>
      <w:r>
        <w:t xml:space="preserve">Performance Reporting under the </w:t>
      </w:r>
      <w:r w:rsidRPr="0061774F">
        <w:rPr>
          <w:i/>
          <w:iCs/>
        </w:rPr>
        <w:t>Fiscal Responsibility Act 2012</w:t>
      </w:r>
    </w:p>
    <w:p w14:paraId="1670F307" w14:textId="13C81B7A" w:rsidR="005A51F3" w:rsidRDefault="005A51F3" w:rsidP="00DF394F">
      <w:pPr>
        <w:pStyle w:val="Heading3"/>
      </w:pPr>
      <w:r>
        <w:t>Performance against FRA</w:t>
      </w:r>
      <w:r w:rsidR="00FE2340">
        <w:t xml:space="preserve">’s object </w:t>
      </w:r>
    </w:p>
    <w:p w14:paraId="24CA1F98" w14:textId="7CF3221F" w:rsidR="008C4014" w:rsidRPr="00CD4734" w:rsidRDefault="008C4014" w:rsidP="001076C2">
      <w:pPr>
        <w:pStyle w:val="BodyText"/>
      </w:pPr>
      <w:r w:rsidRPr="00CD4734">
        <w:t xml:space="preserve">The </w:t>
      </w:r>
      <w:r w:rsidRPr="00CD4734">
        <w:rPr>
          <w:i/>
          <w:iCs/>
        </w:rPr>
        <w:t>Fiscal Responsibility Act 2012</w:t>
      </w:r>
      <w:r w:rsidRPr="00CD4734">
        <w:t xml:space="preserve"> (FRA) requires the Government to report on its performance against the Act’s objects, targets, and principles.</w:t>
      </w:r>
    </w:p>
    <w:p w14:paraId="792ADEE2" w14:textId="320342B2" w:rsidR="008C4014" w:rsidRPr="00CD4734" w:rsidRDefault="008C4014" w:rsidP="001076C2">
      <w:pPr>
        <w:pStyle w:val="BodyText"/>
      </w:pPr>
      <w:r w:rsidRPr="00CD4734">
        <w:t xml:space="preserve">The FRA sets a policy objective of maintaining the State’s </w:t>
      </w:r>
      <w:r w:rsidR="00FA4042">
        <w:t>t</w:t>
      </w:r>
      <w:r w:rsidRPr="00CD4734">
        <w:t xml:space="preserve">riple-A credit rating, supported by two fiscal targets and three principles of sound financial management. </w:t>
      </w:r>
    </w:p>
    <w:p w14:paraId="7CB58E0B" w14:textId="682B8D04" w:rsidR="008C4014" w:rsidRPr="00CD4734" w:rsidRDefault="008C4014" w:rsidP="001076C2">
      <w:pPr>
        <w:pStyle w:val="BodyText"/>
      </w:pPr>
      <w:r w:rsidRPr="00CD4734">
        <w:t xml:space="preserve">As per section 8(c) of the FRA, the Government is required to outline the reasons for a departure from </w:t>
      </w:r>
      <w:r w:rsidRPr="00790651">
        <w:t>the FRA</w:t>
      </w:r>
      <w:r w:rsidR="009C2B04" w:rsidRPr="00790651">
        <w:t>’s</w:t>
      </w:r>
      <w:r w:rsidRPr="00790651">
        <w:t xml:space="preserve"> object</w:t>
      </w:r>
      <w:r w:rsidRPr="00CD4734">
        <w:t xml:space="preserve">, </w:t>
      </w:r>
      <w:proofErr w:type="gramStart"/>
      <w:r w:rsidRPr="00CD4734">
        <w:t>targets</w:t>
      </w:r>
      <w:proofErr w:type="gramEnd"/>
      <w:r w:rsidRPr="00CD4734">
        <w:t xml:space="preserve"> and principles, and how the Government plans to achieve these targets by the end of the forward estimates (2026-27). Relevant actions are outlined in the following sections. </w:t>
      </w:r>
    </w:p>
    <w:p w14:paraId="2F5BDDEC" w14:textId="78880FE3" w:rsidR="00C204A3" w:rsidRDefault="00C204A3" w:rsidP="00C348CD">
      <w:pPr>
        <w:pStyle w:val="TableEX"/>
      </w:pPr>
      <w:r>
        <w:t xml:space="preserve">Performance against the FRA’s object – Maintain the State’s </w:t>
      </w:r>
      <w:r w:rsidR="00525111">
        <w:t>t</w:t>
      </w:r>
      <w:r>
        <w:t xml:space="preserve">riple-A credit </w:t>
      </w:r>
      <w:proofErr w:type="gramStart"/>
      <w:r>
        <w:t>rating</w:t>
      </w:r>
      <w:proofErr w:type="gramEnd"/>
    </w:p>
    <w:tbl>
      <w:tblPr>
        <w:tblStyle w:val="TableGrid"/>
        <w:tblW w:w="99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Caption w:val="Table E.1: Performance against the FRA’s object – Maintain the State’s triple-A credit rating"/>
        <w:tblDescription w:val="Table E.1: Performance against the FRA’s object – Maintain the State’s triple-A credit rating"/>
      </w:tblPr>
      <w:tblGrid>
        <w:gridCol w:w="1696"/>
        <w:gridCol w:w="1984"/>
        <w:gridCol w:w="1985"/>
        <w:gridCol w:w="4253"/>
      </w:tblGrid>
      <w:tr w:rsidR="00A23F96" w:rsidRPr="00F34303" w14:paraId="3F2351BF" w14:textId="5A631E08" w:rsidTr="009723AE">
        <w:trPr>
          <w:trHeight w:val="246"/>
          <w:tblHeader/>
        </w:trPr>
        <w:tc>
          <w:tcPr>
            <w:tcW w:w="1696" w:type="dxa"/>
            <w:shd w:val="clear" w:color="auto" w:fill="EBEBEB"/>
            <w:vAlign w:val="center"/>
          </w:tcPr>
          <w:p w14:paraId="0EC6400D" w14:textId="3C1F24B7" w:rsidR="00A23F96" w:rsidRPr="00585336" w:rsidRDefault="00A23F96" w:rsidP="00DD1287">
            <w:pPr>
              <w:spacing w:before="100" w:after="100"/>
              <w:rPr>
                <w:rFonts w:ascii="Public Sans" w:hAnsi="Public Sans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EBEBEB"/>
            <w:vAlign w:val="center"/>
          </w:tcPr>
          <w:p w14:paraId="0F2DE9C6" w14:textId="4BD0E1C8" w:rsidR="00A23F96" w:rsidRPr="00585336" w:rsidRDefault="00A23F96" w:rsidP="00DD1287">
            <w:pPr>
              <w:spacing w:before="100" w:after="100"/>
              <w:rPr>
                <w:rFonts w:ascii="Public Sans" w:hAnsi="Public Sans" w:cs="Arial"/>
                <w:bCs/>
                <w:sz w:val="18"/>
                <w:szCs w:val="18"/>
              </w:rPr>
            </w:pPr>
            <w:r w:rsidRPr="00585336">
              <w:rPr>
                <w:rFonts w:ascii="Public Sans" w:hAnsi="Public Sans" w:cs="Arial"/>
                <w:bCs/>
                <w:sz w:val="18"/>
                <w:szCs w:val="18"/>
              </w:rPr>
              <w:t>Moody’s</w:t>
            </w:r>
          </w:p>
        </w:tc>
        <w:tc>
          <w:tcPr>
            <w:tcW w:w="1985" w:type="dxa"/>
            <w:shd w:val="clear" w:color="auto" w:fill="EBEBEB"/>
            <w:vAlign w:val="center"/>
          </w:tcPr>
          <w:p w14:paraId="54FFE640" w14:textId="0C036EBC" w:rsidR="00A23F96" w:rsidRPr="00585336" w:rsidRDefault="00A23F96" w:rsidP="00DD1287">
            <w:pPr>
              <w:spacing w:before="100" w:after="100"/>
              <w:rPr>
                <w:rFonts w:ascii="Public Sans" w:hAnsi="Public Sans" w:cs="Arial"/>
                <w:bCs/>
                <w:sz w:val="18"/>
                <w:szCs w:val="18"/>
              </w:rPr>
            </w:pPr>
            <w:r w:rsidRPr="00585336">
              <w:rPr>
                <w:rFonts w:ascii="Public Sans" w:hAnsi="Public Sans" w:cs="Arial"/>
                <w:bCs/>
                <w:sz w:val="18"/>
                <w:szCs w:val="18"/>
              </w:rPr>
              <w:t>Fitch</w:t>
            </w:r>
          </w:p>
        </w:tc>
        <w:tc>
          <w:tcPr>
            <w:tcW w:w="4253" w:type="dxa"/>
            <w:shd w:val="clear" w:color="auto" w:fill="EBEBEB"/>
            <w:vAlign w:val="center"/>
          </w:tcPr>
          <w:p w14:paraId="0D4131AB" w14:textId="7D5EDBCB" w:rsidR="00A23F96" w:rsidRPr="00585336" w:rsidRDefault="00A23F96" w:rsidP="00DD1287">
            <w:pPr>
              <w:spacing w:before="100" w:after="100"/>
              <w:rPr>
                <w:rFonts w:ascii="Public Sans" w:hAnsi="Public Sans" w:cs="Arial"/>
                <w:bCs/>
                <w:sz w:val="18"/>
                <w:szCs w:val="18"/>
              </w:rPr>
            </w:pPr>
            <w:r w:rsidRPr="00585336">
              <w:rPr>
                <w:rFonts w:ascii="Public Sans" w:hAnsi="Public Sans" w:cs="Arial"/>
                <w:bCs/>
                <w:sz w:val="18"/>
                <w:szCs w:val="18"/>
              </w:rPr>
              <w:t>S&amp;P Global</w:t>
            </w:r>
          </w:p>
        </w:tc>
      </w:tr>
      <w:tr w:rsidR="00A23F96" w:rsidRPr="00F34303" w14:paraId="3CDE2CB6" w14:textId="075A7E4B" w:rsidTr="009723AE">
        <w:trPr>
          <w:trHeight w:val="462"/>
        </w:trPr>
        <w:tc>
          <w:tcPr>
            <w:tcW w:w="1696" w:type="dxa"/>
          </w:tcPr>
          <w:p w14:paraId="45880E8F" w14:textId="17FB0131" w:rsidR="00A23F96" w:rsidRPr="0043282A" w:rsidRDefault="00A23F96" w:rsidP="00DD1287">
            <w:pPr>
              <w:shd w:val="clear" w:color="auto" w:fill="FFFFFF"/>
              <w:spacing w:before="60"/>
              <w:rPr>
                <w:rFonts w:ascii="Public Sans" w:hAnsi="Public Sans" w:cs="Arial"/>
                <w:b/>
                <w:bCs/>
                <w:sz w:val="18"/>
                <w:szCs w:val="18"/>
              </w:rPr>
            </w:pPr>
            <w:r w:rsidRPr="0043282A">
              <w:rPr>
                <w:rFonts w:ascii="Public Sans" w:hAnsi="Public Sans" w:cs="Arial"/>
                <w:b/>
                <w:bCs/>
                <w:sz w:val="18"/>
                <w:szCs w:val="18"/>
              </w:rPr>
              <w:t>Latest credit ratings</w:t>
            </w:r>
          </w:p>
        </w:tc>
        <w:tc>
          <w:tcPr>
            <w:tcW w:w="1984" w:type="dxa"/>
          </w:tcPr>
          <w:p w14:paraId="288C7C24" w14:textId="00BDDC11" w:rsidR="00A23F96" w:rsidRPr="0043282A" w:rsidRDefault="00DF478D" w:rsidP="009723AE">
            <w:pPr>
              <w:spacing w:before="160" w:after="10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R</w:t>
            </w:r>
            <w:r w:rsidRPr="00872E6E">
              <w:rPr>
                <w:rFonts w:ascii="Public Sans" w:hAnsi="Public Sans" w:cs="Arial"/>
                <w:sz w:val="18"/>
                <w:szCs w:val="18"/>
              </w:rPr>
              <w:t>ated as triple-A (</w:t>
            </w:r>
            <w:proofErr w:type="spellStart"/>
            <w:r w:rsidRPr="00872E6E">
              <w:rPr>
                <w:rFonts w:ascii="Public Sans" w:hAnsi="Public Sans" w:cs="Arial"/>
                <w:sz w:val="18"/>
                <w:szCs w:val="18"/>
              </w:rPr>
              <w:t>Aaa</w:t>
            </w:r>
            <w:proofErr w:type="spellEnd"/>
            <w:r w:rsidRPr="00872E6E">
              <w:rPr>
                <w:rFonts w:ascii="Public Sans" w:hAnsi="Public Sans" w:cs="Arial"/>
                <w:sz w:val="18"/>
                <w:szCs w:val="18"/>
              </w:rPr>
              <w:t>) in September 2022</w:t>
            </w:r>
          </w:p>
        </w:tc>
        <w:tc>
          <w:tcPr>
            <w:tcW w:w="1985" w:type="dxa"/>
          </w:tcPr>
          <w:p w14:paraId="7D486A70" w14:textId="40F42853" w:rsidR="00A23F96" w:rsidRPr="00D3479F" w:rsidRDefault="00DF478D" w:rsidP="009723AE">
            <w:pPr>
              <w:spacing w:before="160" w:after="10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R</w:t>
            </w:r>
            <w:r w:rsidRPr="00513A7D">
              <w:rPr>
                <w:rFonts w:ascii="Public Sans" w:hAnsi="Public Sans" w:cs="Arial"/>
                <w:sz w:val="18"/>
                <w:szCs w:val="18"/>
              </w:rPr>
              <w:t>ated as triple-A (AAA) in November 2022</w:t>
            </w:r>
          </w:p>
        </w:tc>
        <w:tc>
          <w:tcPr>
            <w:tcW w:w="4253" w:type="dxa"/>
            <w:shd w:val="clear" w:color="auto" w:fill="auto"/>
          </w:tcPr>
          <w:p w14:paraId="692E4E3A" w14:textId="15C7FB76" w:rsidR="00DF478D" w:rsidRDefault="00DF478D" w:rsidP="009723AE">
            <w:pPr>
              <w:spacing w:before="160" w:after="10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R</w:t>
            </w:r>
            <w:r w:rsidRPr="00513A7D">
              <w:rPr>
                <w:rFonts w:ascii="Public Sans" w:hAnsi="Public Sans" w:cs="Arial"/>
                <w:sz w:val="18"/>
                <w:szCs w:val="18"/>
              </w:rPr>
              <w:t>ated as double-A plus (AA+) in October 2022</w:t>
            </w:r>
          </w:p>
          <w:p w14:paraId="44DB311A" w14:textId="0371E642" w:rsidR="006D6C34" w:rsidRPr="00D3479F" w:rsidRDefault="00571991" w:rsidP="0043282A">
            <w:pPr>
              <w:shd w:val="clear" w:color="auto" w:fill="FFFFFF"/>
              <w:spacing w:before="6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 xml:space="preserve">S&amp;P Global in June 2022 outlined that it was unlikely </w:t>
            </w:r>
            <w:r w:rsidR="00A80491">
              <w:rPr>
                <w:rFonts w:ascii="Public Sans" w:hAnsi="Public Sans" w:cs="Arial"/>
                <w:sz w:val="18"/>
                <w:szCs w:val="18"/>
              </w:rPr>
              <w:t>that New South Wales would regain</w:t>
            </w:r>
            <w:r w:rsidR="006D6C34">
              <w:rPr>
                <w:rFonts w:ascii="Public Sans" w:hAnsi="Public Sans" w:cs="Arial"/>
                <w:sz w:val="18"/>
                <w:szCs w:val="18"/>
              </w:rPr>
              <w:t xml:space="preserve"> the triple-A credit rating until the second half of the decade and with the State required to </w:t>
            </w:r>
            <w:r w:rsidR="001E10B7">
              <w:rPr>
                <w:rFonts w:ascii="Public Sans" w:hAnsi="Public Sans" w:cs="Arial"/>
                <w:sz w:val="18"/>
                <w:szCs w:val="18"/>
              </w:rPr>
              <w:t>reduce debt levels.</w:t>
            </w:r>
          </w:p>
        </w:tc>
      </w:tr>
    </w:tbl>
    <w:p w14:paraId="111E2A1D" w14:textId="77777777" w:rsidR="008F2B0E" w:rsidRDefault="008F2B0E" w:rsidP="008F2B0E"/>
    <w:p w14:paraId="221A2B7D" w14:textId="1AE28660" w:rsidR="00C204A3" w:rsidRPr="00CD4734" w:rsidRDefault="00C204A3" w:rsidP="001076C2">
      <w:pPr>
        <w:pStyle w:val="BodyText"/>
      </w:pPr>
      <w:r w:rsidRPr="00CD4734">
        <w:t xml:space="preserve">In support of achieving the object of the FRA, this </w:t>
      </w:r>
      <w:r w:rsidR="007857A5">
        <w:t>B</w:t>
      </w:r>
      <w:r w:rsidRPr="00CD4734">
        <w:t>udget adopts two key fiscal principles</w:t>
      </w:r>
      <w:r w:rsidR="005A51F3">
        <w:t xml:space="preserve"> </w:t>
      </w:r>
      <w:r w:rsidR="00B00F80">
        <w:t>to</w:t>
      </w:r>
      <w:r w:rsidR="005A51F3">
        <w:t xml:space="preserve"> support the State’s credit rating</w:t>
      </w:r>
      <w:r w:rsidR="00E32524" w:rsidRPr="00CD4734">
        <w:t>:</w:t>
      </w:r>
      <w:r w:rsidRPr="00CD4734">
        <w:t xml:space="preserve"> </w:t>
      </w:r>
    </w:p>
    <w:p w14:paraId="61032796" w14:textId="4DB08ED7" w:rsidR="00C204A3" w:rsidRPr="00B375F6" w:rsidRDefault="00031C6D" w:rsidP="001076C2">
      <w:pPr>
        <w:pStyle w:val="Bullet1"/>
      </w:pPr>
      <w:r>
        <w:t>r</w:t>
      </w:r>
      <w:r w:rsidR="00C204A3" w:rsidRPr="00B375F6">
        <w:t>eturning to, and then maintaining, a sustainable operating position</w:t>
      </w:r>
      <w:r w:rsidR="00E55AB6">
        <w:t>.</w:t>
      </w:r>
    </w:p>
    <w:p w14:paraId="511282C7" w14:textId="09649F1B" w:rsidR="00C204A3" w:rsidRDefault="00F52313" w:rsidP="001076C2">
      <w:pPr>
        <w:pStyle w:val="Bullet1"/>
      </w:pPr>
      <w:r>
        <w:t>s</w:t>
      </w:r>
      <w:r w:rsidR="00C204A3" w:rsidRPr="00B375F6">
        <w:t>tabilising and then maintaining a sustainable debt position.</w:t>
      </w:r>
    </w:p>
    <w:p w14:paraId="23624F15" w14:textId="576CC4B3" w:rsidR="00694E82" w:rsidRPr="00CD4734" w:rsidRDefault="00C204A3" w:rsidP="001076C2">
      <w:pPr>
        <w:pStyle w:val="BodyText"/>
      </w:pPr>
      <w:r w:rsidRPr="00CD4734">
        <w:t>The final assessment of the State’s credit rating is determined by the independent credit rating agencies using their published methodology.</w:t>
      </w:r>
      <w:r w:rsidR="00694E82">
        <w:t xml:space="preserve"> </w:t>
      </w:r>
      <w:r w:rsidR="00694E82" w:rsidRPr="00CD4734">
        <w:t>The State is due to be rated again by all three credit rating agencies in late 2023.</w:t>
      </w:r>
    </w:p>
    <w:p w14:paraId="65C98996" w14:textId="77777777" w:rsidR="00C204A3" w:rsidRDefault="00C204A3" w:rsidP="00C204A3">
      <w:pPr>
        <w:pStyle w:val="Heading3"/>
      </w:pPr>
      <w:r>
        <w:t>Performance against FRA targets and principles – Target 1</w:t>
      </w:r>
    </w:p>
    <w:p w14:paraId="332C8F6A" w14:textId="1C55AA70" w:rsidR="00AD170F" w:rsidRDefault="008B0828" w:rsidP="001076C2">
      <w:pPr>
        <w:pStyle w:val="BodyText"/>
      </w:pPr>
      <w:r w:rsidRPr="00772833">
        <w:t xml:space="preserve">The FRA limits annual expense growth to below the long-term average revenue growth rate (5.6 per cent). The </w:t>
      </w:r>
      <w:r w:rsidR="007857A5">
        <w:t>b</w:t>
      </w:r>
      <w:r w:rsidRPr="00772833">
        <w:t xml:space="preserve">udget forecasts expense growth to </w:t>
      </w:r>
      <w:r w:rsidR="00042482">
        <w:t>remain below the</w:t>
      </w:r>
      <w:r w:rsidRPr="00772833">
        <w:t xml:space="preserve"> long-term average revenue growth </w:t>
      </w:r>
      <w:r w:rsidR="00042482">
        <w:t xml:space="preserve">as the </w:t>
      </w:r>
      <w:r w:rsidR="007857A5">
        <w:t>G</w:t>
      </w:r>
      <w:r w:rsidR="00042482">
        <w:t>overnment implements its Comprehensive Expenditure Review outcomes</w:t>
      </w:r>
      <w:r w:rsidR="007D3BB8">
        <w:t xml:space="preserve"> (see </w:t>
      </w:r>
      <w:r w:rsidR="00394E27">
        <w:t>Table</w:t>
      </w:r>
      <w:r w:rsidR="007D3BB8">
        <w:t xml:space="preserve"> E.</w:t>
      </w:r>
      <w:r w:rsidR="000B72E8">
        <w:t>2</w:t>
      </w:r>
      <w:r w:rsidR="007D3BB8">
        <w:t>)</w:t>
      </w:r>
      <w:r w:rsidR="00042482">
        <w:t>.</w:t>
      </w:r>
      <w:r w:rsidR="0066004F">
        <w:t xml:space="preserve"> For further information on expense measures in this </w:t>
      </w:r>
      <w:r w:rsidR="002653D5">
        <w:t>b</w:t>
      </w:r>
      <w:r w:rsidR="0066004F">
        <w:t xml:space="preserve">udget </w:t>
      </w:r>
      <w:r w:rsidR="005E3A49">
        <w:t>see</w:t>
      </w:r>
      <w:r w:rsidR="0066004F">
        <w:t xml:space="preserve"> Chapter </w:t>
      </w:r>
      <w:r w:rsidR="00E25839">
        <w:t>5 Expen</w:t>
      </w:r>
      <w:r w:rsidR="00344557">
        <w:t>diture</w:t>
      </w:r>
      <w:r w:rsidR="00E25839">
        <w:t xml:space="preserve">. </w:t>
      </w:r>
      <w:r w:rsidR="00AD170F">
        <w:br w:type="page"/>
      </w:r>
    </w:p>
    <w:p w14:paraId="23E45BB9" w14:textId="45E0D871" w:rsidR="008B0828" w:rsidRDefault="0011499C" w:rsidP="008F2B0E">
      <w:pPr>
        <w:pStyle w:val="TableEX"/>
      </w:pPr>
      <w:r>
        <w:lastRenderedPageBreak/>
        <w:t>Target</w:t>
      </w:r>
      <w:r w:rsidR="00C83018">
        <w:t xml:space="preserve"> 1</w:t>
      </w:r>
      <w:r w:rsidR="008B0828" w:rsidRPr="00F67869">
        <w:t xml:space="preserve"> – General </w:t>
      </w:r>
      <w:r w:rsidR="008B0828">
        <w:t>g</w:t>
      </w:r>
      <w:r w:rsidR="008B0828" w:rsidRPr="00F67869">
        <w:t>overnment expense growth</w:t>
      </w:r>
    </w:p>
    <w:tbl>
      <w:tblPr>
        <w:tblStyle w:val="TableGrid"/>
        <w:tblW w:w="10022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Caption w:val="Table E.2: Target 1 – General government expense growth"/>
        <w:tblDescription w:val="Table E.2: Target 1 – General government expense growth"/>
      </w:tblPr>
      <w:tblGrid>
        <w:gridCol w:w="1942"/>
        <w:gridCol w:w="993"/>
        <w:gridCol w:w="992"/>
        <w:gridCol w:w="992"/>
        <w:gridCol w:w="992"/>
        <w:gridCol w:w="993"/>
        <w:gridCol w:w="3118"/>
      </w:tblGrid>
      <w:tr w:rsidR="001D5C8E" w:rsidRPr="00A5302C" w14:paraId="6D4A099B" w14:textId="77777777" w:rsidTr="001D5C8E">
        <w:trPr>
          <w:trHeight w:val="246"/>
          <w:tblHeader/>
        </w:trPr>
        <w:tc>
          <w:tcPr>
            <w:tcW w:w="1942" w:type="dxa"/>
            <w:shd w:val="clear" w:color="auto" w:fill="ECECEC"/>
          </w:tcPr>
          <w:p w14:paraId="05AF01F4" w14:textId="77777777" w:rsidR="001D5C8E" w:rsidRPr="00A5302C" w:rsidRDefault="001D5C8E" w:rsidP="00FE3AAD">
            <w:pPr>
              <w:spacing w:before="120" w:after="120"/>
              <w:rPr>
                <w:rFonts w:ascii="Public Sans" w:hAnsi="Public Sans"/>
                <w:sz w:val="18"/>
                <w:szCs w:val="18"/>
              </w:rPr>
            </w:pPr>
            <w:r w:rsidRPr="00A5302C">
              <w:rPr>
                <w:rFonts w:ascii="Public Sans" w:hAnsi="Public Sans"/>
                <w:sz w:val="18"/>
                <w:szCs w:val="18"/>
              </w:rPr>
              <w:t>Fiscal Targets</w:t>
            </w:r>
          </w:p>
        </w:tc>
        <w:tc>
          <w:tcPr>
            <w:tcW w:w="993" w:type="dxa"/>
            <w:shd w:val="clear" w:color="auto" w:fill="ECECEC"/>
          </w:tcPr>
          <w:p w14:paraId="25EA943B" w14:textId="2D8B8722" w:rsidR="001D5C8E" w:rsidRPr="00A5302C" w:rsidRDefault="001D5C8E" w:rsidP="00FE3AAD">
            <w:pPr>
              <w:spacing w:before="120" w:after="120"/>
              <w:jc w:val="center"/>
              <w:rPr>
                <w:rFonts w:ascii="Public Sans" w:hAnsi="Public Sans"/>
                <w:sz w:val="18"/>
                <w:szCs w:val="18"/>
              </w:rPr>
            </w:pPr>
            <w:r w:rsidRPr="00A5302C">
              <w:rPr>
                <w:rFonts w:ascii="Public Sans" w:hAnsi="Public Sans"/>
                <w:sz w:val="18"/>
                <w:szCs w:val="18"/>
              </w:rPr>
              <w:t>2022-23</w:t>
            </w:r>
            <w:r w:rsidR="00A5302C" w:rsidRPr="00A5302C">
              <w:rPr>
                <w:rFonts w:ascii="Public Sans" w:hAnsi="Public Sans"/>
                <w:sz w:val="18"/>
                <w:szCs w:val="18"/>
              </w:rPr>
              <w:br/>
              <w:t>%</w:t>
            </w:r>
          </w:p>
        </w:tc>
        <w:tc>
          <w:tcPr>
            <w:tcW w:w="992" w:type="dxa"/>
            <w:shd w:val="clear" w:color="auto" w:fill="ECECEC"/>
          </w:tcPr>
          <w:p w14:paraId="334563D1" w14:textId="578DB6A8" w:rsidR="001D5C8E" w:rsidRPr="00A5302C" w:rsidRDefault="001D5C8E" w:rsidP="00FE3AAD">
            <w:pPr>
              <w:spacing w:before="120" w:after="120"/>
              <w:jc w:val="center"/>
              <w:rPr>
                <w:rFonts w:ascii="Public Sans" w:hAnsi="Public Sans"/>
                <w:sz w:val="18"/>
                <w:szCs w:val="18"/>
              </w:rPr>
            </w:pPr>
            <w:r w:rsidRPr="00A5302C">
              <w:rPr>
                <w:rFonts w:ascii="Public Sans" w:hAnsi="Public Sans"/>
                <w:sz w:val="18"/>
                <w:szCs w:val="18"/>
              </w:rPr>
              <w:t>2023-24</w:t>
            </w:r>
            <w:r w:rsidR="00FE3AAD">
              <w:rPr>
                <w:rFonts w:ascii="Public Sans" w:hAnsi="Public Sans"/>
                <w:sz w:val="18"/>
                <w:szCs w:val="18"/>
              </w:rPr>
              <w:br/>
              <w:t>%</w:t>
            </w:r>
          </w:p>
        </w:tc>
        <w:tc>
          <w:tcPr>
            <w:tcW w:w="992" w:type="dxa"/>
            <w:shd w:val="clear" w:color="auto" w:fill="ECECEC"/>
          </w:tcPr>
          <w:p w14:paraId="08130E3D" w14:textId="44A9AF01" w:rsidR="001D5C8E" w:rsidRPr="00A5302C" w:rsidRDefault="001D5C8E" w:rsidP="00FE3AAD">
            <w:pPr>
              <w:spacing w:before="120" w:after="120"/>
              <w:jc w:val="center"/>
              <w:rPr>
                <w:rFonts w:ascii="Public Sans" w:hAnsi="Public Sans"/>
                <w:sz w:val="18"/>
                <w:szCs w:val="18"/>
              </w:rPr>
            </w:pPr>
            <w:r w:rsidRPr="00A5302C">
              <w:rPr>
                <w:rFonts w:ascii="Public Sans" w:hAnsi="Public Sans"/>
                <w:sz w:val="18"/>
                <w:szCs w:val="18"/>
              </w:rPr>
              <w:t>2024-25</w:t>
            </w:r>
            <w:r w:rsidR="00FE3AAD">
              <w:rPr>
                <w:rFonts w:ascii="Public Sans" w:hAnsi="Public Sans"/>
                <w:sz w:val="18"/>
                <w:szCs w:val="18"/>
              </w:rPr>
              <w:br/>
              <w:t>%</w:t>
            </w:r>
          </w:p>
        </w:tc>
        <w:tc>
          <w:tcPr>
            <w:tcW w:w="992" w:type="dxa"/>
            <w:shd w:val="clear" w:color="auto" w:fill="ECECEC"/>
          </w:tcPr>
          <w:p w14:paraId="5E15EE4F" w14:textId="1AE51E77" w:rsidR="001D5C8E" w:rsidRPr="00A5302C" w:rsidRDefault="001D5C8E" w:rsidP="00FE3AAD">
            <w:pPr>
              <w:spacing w:before="120" w:after="120"/>
              <w:jc w:val="center"/>
              <w:rPr>
                <w:rFonts w:ascii="Public Sans" w:hAnsi="Public Sans"/>
                <w:sz w:val="18"/>
                <w:szCs w:val="18"/>
              </w:rPr>
            </w:pPr>
            <w:r w:rsidRPr="00A5302C">
              <w:rPr>
                <w:rFonts w:ascii="Public Sans" w:hAnsi="Public Sans"/>
                <w:sz w:val="18"/>
                <w:szCs w:val="18"/>
              </w:rPr>
              <w:t>2025-26</w:t>
            </w:r>
            <w:r w:rsidR="00FE3AAD">
              <w:rPr>
                <w:rFonts w:ascii="Public Sans" w:hAnsi="Public Sans"/>
                <w:sz w:val="18"/>
                <w:szCs w:val="18"/>
              </w:rPr>
              <w:br/>
              <w:t>%</w:t>
            </w:r>
          </w:p>
        </w:tc>
        <w:tc>
          <w:tcPr>
            <w:tcW w:w="993" w:type="dxa"/>
            <w:shd w:val="clear" w:color="auto" w:fill="ECECEC"/>
          </w:tcPr>
          <w:p w14:paraId="0A6436BA" w14:textId="768F0F9A" w:rsidR="001D5C8E" w:rsidRPr="00A5302C" w:rsidRDefault="001D5C8E" w:rsidP="00FE3AAD">
            <w:pPr>
              <w:spacing w:before="120" w:after="120"/>
              <w:jc w:val="center"/>
              <w:rPr>
                <w:rFonts w:ascii="Public Sans" w:hAnsi="Public Sans"/>
                <w:sz w:val="18"/>
                <w:szCs w:val="18"/>
              </w:rPr>
            </w:pPr>
            <w:r w:rsidRPr="00A5302C">
              <w:rPr>
                <w:rFonts w:ascii="Public Sans" w:hAnsi="Public Sans"/>
                <w:sz w:val="18"/>
                <w:szCs w:val="18"/>
              </w:rPr>
              <w:t>2026-27</w:t>
            </w:r>
            <w:r w:rsidR="00FE3AAD">
              <w:rPr>
                <w:rFonts w:ascii="Public Sans" w:hAnsi="Public Sans"/>
                <w:sz w:val="18"/>
                <w:szCs w:val="18"/>
              </w:rPr>
              <w:br/>
              <w:t>%</w:t>
            </w:r>
          </w:p>
        </w:tc>
        <w:tc>
          <w:tcPr>
            <w:tcW w:w="3118" w:type="dxa"/>
            <w:shd w:val="clear" w:color="auto" w:fill="ECECEC"/>
          </w:tcPr>
          <w:p w14:paraId="419431DF" w14:textId="77777777" w:rsidR="001D5C8E" w:rsidRPr="00A5302C" w:rsidRDefault="001D5C8E" w:rsidP="00FE3AAD">
            <w:pPr>
              <w:spacing w:before="120" w:after="120"/>
              <w:rPr>
                <w:rFonts w:ascii="Public Sans" w:hAnsi="Public Sans"/>
                <w:sz w:val="18"/>
                <w:szCs w:val="18"/>
              </w:rPr>
            </w:pPr>
            <w:r w:rsidRPr="00A5302C">
              <w:rPr>
                <w:rFonts w:ascii="Public Sans" w:hAnsi="Public Sans"/>
                <w:sz w:val="18"/>
                <w:szCs w:val="18"/>
              </w:rPr>
              <w:t>Relevant actions to achieve fiscal targets of the FRA by 2026-27</w:t>
            </w:r>
          </w:p>
        </w:tc>
      </w:tr>
      <w:tr w:rsidR="001D5C8E" w:rsidRPr="00A5302C" w14:paraId="74AA62B1" w14:textId="77777777" w:rsidTr="000E6507">
        <w:trPr>
          <w:trHeight w:val="3774"/>
        </w:trPr>
        <w:tc>
          <w:tcPr>
            <w:tcW w:w="1942" w:type="dxa"/>
          </w:tcPr>
          <w:p w14:paraId="4C5F7818" w14:textId="77777777" w:rsidR="001D5C8E" w:rsidRPr="00A5302C" w:rsidRDefault="001D5C8E" w:rsidP="00FE3AAD">
            <w:pPr>
              <w:spacing w:before="120"/>
              <w:rPr>
                <w:rFonts w:ascii="Public Sans" w:hAnsi="Public Sans"/>
                <w:b/>
                <w:sz w:val="18"/>
                <w:szCs w:val="18"/>
              </w:rPr>
            </w:pPr>
            <w:r w:rsidRPr="00A5302C">
              <w:rPr>
                <w:rFonts w:ascii="Public Sans" w:hAnsi="Public Sans"/>
                <w:b/>
                <w:sz w:val="18"/>
                <w:szCs w:val="18"/>
              </w:rPr>
              <w:t>Annual expense growth kept below long-term average revenue growth (5.6 per cent)</w:t>
            </w:r>
          </w:p>
          <w:p w14:paraId="058F0312" w14:textId="77777777" w:rsidR="001D5C8E" w:rsidRPr="00A5302C" w:rsidRDefault="001D5C8E" w:rsidP="00A5302C">
            <w:pPr>
              <w:rPr>
                <w:rFonts w:ascii="Public Sans" w:hAnsi="Public Sans"/>
                <w:sz w:val="18"/>
                <w:szCs w:val="18"/>
              </w:rPr>
            </w:pPr>
          </w:p>
          <w:p w14:paraId="5A756E8D" w14:textId="77777777" w:rsidR="001D5C8E" w:rsidRPr="00A5302C" w:rsidRDefault="001D5C8E" w:rsidP="00A5302C">
            <w:pPr>
              <w:rPr>
                <w:rFonts w:ascii="Public Sans" w:hAnsi="Public Sans"/>
                <w:b/>
                <w:sz w:val="18"/>
                <w:szCs w:val="18"/>
              </w:rPr>
            </w:pPr>
            <w:r w:rsidRPr="00A5302C">
              <w:rPr>
                <w:rFonts w:ascii="Public Sans" w:hAnsi="Public Sans"/>
                <w:b/>
                <w:sz w:val="18"/>
                <w:szCs w:val="18"/>
              </w:rPr>
              <w:t>(General government expense growth)</w:t>
            </w:r>
          </w:p>
        </w:tc>
        <w:tc>
          <w:tcPr>
            <w:tcW w:w="993" w:type="dxa"/>
          </w:tcPr>
          <w:p w14:paraId="661F0D15" w14:textId="523179DF" w:rsidR="001D5C8E" w:rsidRPr="00A5302C" w:rsidRDefault="00FE3AAD" w:rsidP="00FE3AAD">
            <w:pPr>
              <w:spacing w:before="120"/>
              <w:ind w:left="-350" w:right="176"/>
              <w:jc w:val="right"/>
              <w:rPr>
                <w:rFonts w:ascii="Public Sans" w:hAnsi="Public Sans"/>
                <w:sz w:val="18"/>
                <w:szCs w:val="18"/>
              </w:rPr>
            </w:pPr>
            <w:r>
              <w:rPr>
                <w:rFonts w:ascii="Public Sans" w:hAnsi="Public Sans"/>
                <w:sz w:val="18"/>
                <w:szCs w:val="18"/>
              </w:rPr>
              <w:t>(</w:t>
            </w:r>
            <w:r w:rsidR="001D5C8E" w:rsidRPr="00A5302C">
              <w:rPr>
                <w:rFonts w:ascii="Public Sans" w:hAnsi="Public Sans"/>
                <w:sz w:val="18"/>
                <w:szCs w:val="18"/>
              </w:rPr>
              <w:t>2.1</w:t>
            </w:r>
            <w:r>
              <w:rPr>
                <w:rFonts w:ascii="Public Sans" w:hAnsi="Public Sans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5045D41E" w14:textId="10F20FB7" w:rsidR="001D5C8E" w:rsidRPr="00A5302C" w:rsidRDefault="001D5C8E" w:rsidP="00FE3AAD">
            <w:pPr>
              <w:spacing w:before="120"/>
              <w:ind w:left="-350" w:right="176"/>
              <w:jc w:val="right"/>
              <w:rPr>
                <w:rFonts w:ascii="Public Sans" w:hAnsi="Public Sans"/>
                <w:sz w:val="18"/>
                <w:szCs w:val="18"/>
              </w:rPr>
            </w:pPr>
            <w:r w:rsidRPr="00A5302C">
              <w:rPr>
                <w:rFonts w:ascii="Public Sans" w:hAnsi="Public Sans"/>
                <w:sz w:val="18"/>
                <w:szCs w:val="18"/>
              </w:rPr>
              <w:t>3.4</w:t>
            </w:r>
          </w:p>
        </w:tc>
        <w:tc>
          <w:tcPr>
            <w:tcW w:w="992" w:type="dxa"/>
          </w:tcPr>
          <w:p w14:paraId="21E7558C" w14:textId="5D5D5296" w:rsidR="001D5C8E" w:rsidRPr="00A5302C" w:rsidRDefault="00FE3AAD" w:rsidP="00FE3AAD">
            <w:pPr>
              <w:spacing w:before="120"/>
              <w:ind w:left="-350" w:right="176"/>
              <w:jc w:val="right"/>
              <w:rPr>
                <w:rFonts w:ascii="Public Sans" w:hAnsi="Public Sans"/>
                <w:sz w:val="18"/>
                <w:szCs w:val="18"/>
              </w:rPr>
            </w:pPr>
            <w:r>
              <w:rPr>
                <w:rFonts w:ascii="Public Sans" w:hAnsi="Public Sans"/>
                <w:sz w:val="18"/>
                <w:szCs w:val="18"/>
              </w:rPr>
              <w:t>(</w:t>
            </w:r>
            <w:r w:rsidR="001D5C8E" w:rsidRPr="00A5302C">
              <w:rPr>
                <w:rFonts w:ascii="Public Sans" w:hAnsi="Public Sans"/>
                <w:sz w:val="18"/>
                <w:szCs w:val="18"/>
              </w:rPr>
              <w:t>3.1</w:t>
            </w:r>
            <w:r>
              <w:rPr>
                <w:rFonts w:ascii="Public Sans" w:hAnsi="Public Sans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42C99CBF" w14:textId="200FA33B" w:rsidR="001D5C8E" w:rsidRPr="00A5302C" w:rsidRDefault="001D5C8E" w:rsidP="00FE3AAD">
            <w:pPr>
              <w:spacing w:before="120"/>
              <w:ind w:left="-350" w:right="176"/>
              <w:jc w:val="right"/>
              <w:rPr>
                <w:rFonts w:ascii="Public Sans" w:hAnsi="Public Sans"/>
                <w:sz w:val="18"/>
                <w:szCs w:val="18"/>
              </w:rPr>
            </w:pPr>
            <w:r w:rsidRPr="00A5302C">
              <w:rPr>
                <w:rFonts w:ascii="Public Sans" w:hAnsi="Public Sans"/>
                <w:sz w:val="18"/>
                <w:szCs w:val="18"/>
              </w:rPr>
              <w:t>0.6</w:t>
            </w:r>
          </w:p>
        </w:tc>
        <w:tc>
          <w:tcPr>
            <w:tcW w:w="993" w:type="dxa"/>
          </w:tcPr>
          <w:p w14:paraId="4B8F30C4" w14:textId="12F5DE3C" w:rsidR="001D5C8E" w:rsidRPr="00A5302C" w:rsidRDefault="001D5C8E" w:rsidP="00FE3AAD">
            <w:pPr>
              <w:spacing w:before="120"/>
              <w:ind w:left="-350" w:right="176"/>
              <w:jc w:val="right"/>
              <w:rPr>
                <w:rFonts w:ascii="Public Sans" w:hAnsi="Public Sans"/>
                <w:sz w:val="18"/>
                <w:szCs w:val="18"/>
              </w:rPr>
            </w:pPr>
            <w:r w:rsidRPr="00A5302C">
              <w:rPr>
                <w:rFonts w:ascii="Public Sans" w:hAnsi="Public Sans"/>
                <w:sz w:val="18"/>
                <w:szCs w:val="18"/>
              </w:rPr>
              <w:t>2.5</w:t>
            </w:r>
          </w:p>
        </w:tc>
        <w:tc>
          <w:tcPr>
            <w:tcW w:w="3118" w:type="dxa"/>
          </w:tcPr>
          <w:p w14:paraId="4F4E9FD3" w14:textId="77777777" w:rsidR="001D5C8E" w:rsidRPr="00A5302C" w:rsidRDefault="001D5C8E" w:rsidP="00FE3AAD">
            <w:pPr>
              <w:spacing w:before="120"/>
              <w:rPr>
                <w:rFonts w:ascii="Public Sans" w:hAnsi="Public Sans"/>
                <w:sz w:val="18"/>
                <w:szCs w:val="18"/>
              </w:rPr>
            </w:pPr>
            <w:r w:rsidRPr="00A5302C">
              <w:rPr>
                <w:rFonts w:ascii="Public Sans" w:hAnsi="Public Sans"/>
                <w:sz w:val="18"/>
                <w:szCs w:val="18"/>
              </w:rPr>
              <w:t xml:space="preserve">From 2022-23, the Government is forecasting annual expense growth to remain below the long-term revenue growth rate. </w:t>
            </w:r>
          </w:p>
          <w:p w14:paraId="16564C94" w14:textId="77777777" w:rsidR="001D5C8E" w:rsidRPr="00A5302C" w:rsidRDefault="001D5C8E" w:rsidP="00A5302C">
            <w:pPr>
              <w:rPr>
                <w:rFonts w:ascii="Public Sans" w:hAnsi="Public Sans"/>
                <w:sz w:val="18"/>
                <w:szCs w:val="18"/>
              </w:rPr>
            </w:pPr>
          </w:p>
          <w:p w14:paraId="0528434C" w14:textId="283281C1" w:rsidR="001D5C8E" w:rsidRPr="00A5302C" w:rsidRDefault="001D5C8E" w:rsidP="00A5302C">
            <w:pPr>
              <w:rPr>
                <w:rFonts w:ascii="Public Sans" w:hAnsi="Public Sans"/>
                <w:sz w:val="18"/>
                <w:szCs w:val="18"/>
              </w:rPr>
            </w:pPr>
            <w:r w:rsidRPr="00A5302C">
              <w:rPr>
                <w:rFonts w:ascii="Public Sans" w:hAnsi="Public Sans"/>
                <w:sz w:val="18"/>
                <w:szCs w:val="18"/>
              </w:rPr>
              <w:t xml:space="preserve">Budget repair has been conducted through the Comprehensive Expenditure Review which has identified $13 billion worth of savings, </w:t>
            </w:r>
            <w:proofErr w:type="gramStart"/>
            <w:r w:rsidRPr="00A5302C">
              <w:rPr>
                <w:rFonts w:ascii="Public Sans" w:hAnsi="Public Sans"/>
                <w:sz w:val="18"/>
                <w:szCs w:val="18"/>
              </w:rPr>
              <w:t>revenue</w:t>
            </w:r>
            <w:proofErr w:type="gramEnd"/>
            <w:r w:rsidRPr="00A5302C">
              <w:rPr>
                <w:rFonts w:ascii="Public Sans" w:hAnsi="Public Sans"/>
                <w:sz w:val="18"/>
                <w:szCs w:val="18"/>
              </w:rPr>
              <w:t xml:space="preserve"> and </w:t>
            </w:r>
            <w:proofErr w:type="spellStart"/>
            <w:r w:rsidRPr="00A5302C">
              <w:rPr>
                <w:rFonts w:ascii="Public Sans" w:hAnsi="Public Sans"/>
                <w:sz w:val="18"/>
                <w:szCs w:val="18"/>
              </w:rPr>
              <w:t>reprioritisation</w:t>
            </w:r>
            <w:proofErr w:type="spellEnd"/>
            <w:r w:rsidRPr="00A5302C">
              <w:rPr>
                <w:rFonts w:ascii="Public Sans" w:hAnsi="Public Sans"/>
                <w:sz w:val="18"/>
                <w:szCs w:val="18"/>
              </w:rPr>
              <w:t xml:space="preserve">. Savings allow the Government to redirect funding towards priority election commitments, including energy bill relief to households and small businesses, without placing undue pressure on the State’s finances.  </w:t>
            </w:r>
          </w:p>
        </w:tc>
      </w:tr>
    </w:tbl>
    <w:p w14:paraId="7E3B0BFC" w14:textId="3B8D8AED" w:rsidR="008B0828" w:rsidRPr="00515D0B" w:rsidRDefault="008B0828" w:rsidP="00A8027F"/>
    <w:p w14:paraId="709F2FC7" w14:textId="4DC7DF61" w:rsidR="004F224E" w:rsidRDefault="004F224E" w:rsidP="004F224E">
      <w:pPr>
        <w:pStyle w:val="Heading3"/>
      </w:pPr>
      <w:r>
        <w:t>Performance against FRA targets and principles – Target 2</w:t>
      </w:r>
    </w:p>
    <w:p w14:paraId="37E66E92" w14:textId="4A7EC6EA" w:rsidR="009C04F9" w:rsidRPr="00337C16" w:rsidRDefault="004F224E" w:rsidP="001076C2">
      <w:pPr>
        <w:pStyle w:val="BodyText"/>
        <w:rPr>
          <w:bCs/>
          <w:i/>
        </w:rPr>
      </w:pPr>
      <w:r w:rsidRPr="00337C16">
        <w:t xml:space="preserve">The FRA commits the State to eliminating unfunded superannuation liabilities by 2030. </w:t>
      </w:r>
      <w:r w:rsidR="001F4AD2">
        <w:t xml:space="preserve">As part of this Budget the State is contributing an additional $1.7 billion over the next four years </w:t>
      </w:r>
      <w:r w:rsidR="009A2822">
        <w:t>to 2026-27</w:t>
      </w:r>
      <w:r w:rsidR="008416AF" w:rsidRPr="009723AE">
        <w:t>. This will</w:t>
      </w:r>
      <w:r w:rsidR="009D341D" w:rsidRPr="008416AF">
        <w:t xml:space="preserve"> ensure the target </w:t>
      </w:r>
      <w:r w:rsidR="0043479C">
        <w:t>continues to be</w:t>
      </w:r>
      <w:r w:rsidR="009D341D" w:rsidRPr="008416AF">
        <w:t xml:space="preserve"> fully funded by 2040</w:t>
      </w:r>
      <w:r w:rsidR="0043479C">
        <w:t>, in line with the</w:t>
      </w:r>
      <w:r w:rsidR="00342A77">
        <w:t xml:space="preserve"> approach taken </w:t>
      </w:r>
      <w:r w:rsidR="008B5C67">
        <w:t xml:space="preserve">by the previous Government </w:t>
      </w:r>
      <w:r w:rsidR="00342A77">
        <w:t xml:space="preserve">in the 2022-23 </w:t>
      </w:r>
      <w:r w:rsidR="0043479C">
        <w:t xml:space="preserve">Budget </w:t>
      </w:r>
      <w:r w:rsidR="00342A77">
        <w:t>(</w:t>
      </w:r>
      <w:r w:rsidR="0043479C">
        <w:t>see Chart E.</w:t>
      </w:r>
      <w:r w:rsidR="009A2822">
        <w:t>1</w:t>
      </w:r>
      <w:r w:rsidR="0043479C" w:rsidRPr="008416AF">
        <w:t>)</w:t>
      </w:r>
      <w:r w:rsidR="009D341D" w:rsidRPr="008416AF">
        <w:t>.</w:t>
      </w:r>
      <w:r w:rsidR="0043479C">
        <w:t xml:space="preserve"> </w:t>
      </w:r>
      <w:r w:rsidR="00461CCA">
        <w:t>Following the onset of COVID</w:t>
      </w:r>
      <w:r w:rsidR="00FF3AEF">
        <w:t>,</w:t>
      </w:r>
      <w:r w:rsidR="00461CCA">
        <w:t xml:space="preserve"> </w:t>
      </w:r>
      <w:r w:rsidR="00FF3AEF">
        <w:t>N</w:t>
      </w:r>
      <w:r w:rsidR="00C445B5">
        <w:t xml:space="preserve">ew </w:t>
      </w:r>
      <w:r w:rsidR="00FF3AEF">
        <w:t>S</w:t>
      </w:r>
      <w:r w:rsidR="00C445B5">
        <w:t xml:space="preserve">outh </w:t>
      </w:r>
      <w:r w:rsidR="00FF3AEF">
        <w:t>W</w:t>
      </w:r>
      <w:r w:rsidR="00C445B5">
        <w:t>ales</w:t>
      </w:r>
      <w:r w:rsidR="00FF3AEF">
        <w:t xml:space="preserve"> re-anchored its superannuation liability target to be fully </w:t>
      </w:r>
      <w:r w:rsidR="003C30EC">
        <w:t>funded by 2040 which freed up fiscal capacity to support the State’s response to COVID.</w:t>
      </w:r>
    </w:p>
    <w:p w14:paraId="14B5D33B" w14:textId="642A7E84" w:rsidR="004F224E" w:rsidRPr="00AB684F" w:rsidRDefault="0011499C" w:rsidP="00B954D3">
      <w:pPr>
        <w:pStyle w:val="ChartEX"/>
      </w:pPr>
      <w:r>
        <w:t>Target</w:t>
      </w:r>
      <w:r w:rsidR="009C03F7">
        <w:t xml:space="preserve"> 2</w:t>
      </w:r>
      <w:r w:rsidR="004F224E">
        <w:t xml:space="preserve"> – </w:t>
      </w:r>
      <w:r w:rsidR="00A92D0D" w:rsidRPr="00AB684F">
        <w:t xml:space="preserve">General </w:t>
      </w:r>
      <w:r w:rsidR="007255BB" w:rsidRPr="00AB684F">
        <w:t>g</w:t>
      </w:r>
      <w:r w:rsidR="00A92D0D" w:rsidRPr="00AB684F">
        <w:t xml:space="preserve">overnment </w:t>
      </w:r>
      <w:r w:rsidR="00825499" w:rsidRPr="00AB684F">
        <w:t>n</w:t>
      </w:r>
      <w:r w:rsidR="00A92D0D" w:rsidRPr="00AB684F">
        <w:t xml:space="preserve">et </w:t>
      </w:r>
      <w:r w:rsidR="00825499" w:rsidRPr="00AB684F">
        <w:t>s</w:t>
      </w:r>
      <w:r w:rsidR="004F224E" w:rsidRPr="00AB684F">
        <w:t xml:space="preserve">uperannuation </w:t>
      </w:r>
      <w:r w:rsidR="00825499" w:rsidRPr="00AB684F">
        <w:t>l</w:t>
      </w:r>
      <w:r w:rsidR="004F224E" w:rsidRPr="00AB684F">
        <w:t xml:space="preserve">iabilities </w:t>
      </w:r>
    </w:p>
    <w:p w14:paraId="161A22C1" w14:textId="69CCAE36" w:rsidR="007F66B4" w:rsidRDefault="00B603F5" w:rsidP="005D60EE">
      <w:pPr>
        <w:pStyle w:val="TableEX"/>
        <w:numPr>
          <w:ilvl w:val="0"/>
          <w:numId w:val="0"/>
        </w:numPr>
        <w:jc w:val="center"/>
      </w:pPr>
      <w:r>
        <w:rPr>
          <w:noProof/>
        </w:rPr>
        <w:drawing>
          <wp:inline distT="0" distB="0" distL="0" distR="0" wp14:anchorId="65B944DC" wp14:editId="42023760">
            <wp:extent cx="5616000" cy="2592000"/>
            <wp:effectExtent l="0" t="0" r="3810" b="0"/>
            <wp:docPr id="1" name="Chart 1" descr="Chart E.1: Target 2 – General government net superannuation liabilities ">
              <a:extLst xmlns:a="http://schemas.openxmlformats.org/drawingml/2006/main">
                <a:ext uri="{FF2B5EF4-FFF2-40B4-BE49-F238E27FC236}">
                  <a16:creationId xmlns:a16="http://schemas.microsoft.com/office/drawing/2014/main" id="{1844904F-2FE5-4CA6-923A-CCA735DE50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10357B7" w14:textId="77777777" w:rsidR="008B7A46" w:rsidRDefault="008B7A46">
      <w:pPr>
        <w:rPr>
          <w:rFonts w:ascii="Public Sans SemiBold" w:hAnsi="Public Sans SemiBold"/>
          <w:b/>
          <w:color w:val="22272B"/>
          <w:kern w:val="28"/>
          <w:sz w:val="26"/>
          <w:szCs w:val="36"/>
          <w:lang w:val="en-AU"/>
        </w:rPr>
      </w:pPr>
      <w:r>
        <w:br w:type="page"/>
      </w:r>
    </w:p>
    <w:p w14:paraId="521A8A42" w14:textId="6DC7610C" w:rsidR="005B0082" w:rsidRDefault="005B0082" w:rsidP="005B0082">
      <w:pPr>
        <w:pStyle w:val="Heading3"/>
      </w:pPr>
      <w:r>
        <w:lastRenderedPageBreak/>
        <w:t xml:space="preserve">Performance against FRA targets and principles – Principles of </w:t>
      </w:r>
      <w:r w:rsidR="0056526A">
        <w:t>s</w:t>
      </w:r>
      <w:r>
        <w:t xml:space="preserve">ound </w:t>
      </w:r>
      <w:r w:rsidR="0056526A">
        <w:t>f</w:t>
      </w:r>
      <w:r>
        <w:t xml:space="preserve">inancial </w:t>
      </w:r>
      <w:r w:rsidR="0056526A">
        <w:t>m</w:t>
      </w:r>
      <w:r>
        <w:t xml:space="preserve">anagement </w:t>
      </w:r>
    </w:p>
    <w:p w14:paraId="6D70AA6C" w14:textId="5BE9E339" w:rsidR="00284BE4" w:rsidRDefault="00284BE4" w:rsidP="00C95054">
      <w:pPr>
        <w:pStyle w:val="TableEX"/>
      </w:pPr>
      <w:r w:rsidRPr="00FE0702">
        <w:t>Fiscal Responsibility Act</w:t>
      </w:r>
      <w:r>
        <w:t xml:space="preserve"> 2012</w:t>
      </w:r>
      <w:r w:rsidRPr="00FE0702">
        <w:t xml:space="preserve"> – </w:t>
      </w:r>
      <w:r>
        <w:t>Principle 1</w:t>
      </w:r>
    </w:p>
    <w:tbl>
      <w:tblPr>
        <w:tblStyle w:val="TableGrid"/>
        <w:tblW w:w="949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Caption w:val="Table E.3: Fiscal Responsibility Act 2012 – Principle 1"/>
        <w:tblDescription w:val="Table E.3: Fiscal Responsibility Act 2012 – Principle 1"/>
      </w:tblPr>
      <w:tblGrid>
        <w:gridCol w:w="9493"/>
      </w:tblGrid>
      <w:tr w:rsidR="00427031" w:rsidRPr="00F34303" w14:paraId="6511BE86" w14:textId="77777777" w:rsidTr="009723AE">
        <w:trPr>
          <w:trHeight w:val="340"/>
          <w:tblHeader/>
        </w:trPr>
        <w:tc>
          <w:tcPr>
            <w:tcW w:w="9493" w:type="dxa"/>
            <w:shd w:val="clear" w:color="auto" w:fill="EBEBEB"/>
            <w:vAlign w:val="center"/>
          </w:tcPr>
          <w:p w14:paraId="5B348A44" w14:textId="5A15A98B" w:rsidR="00563651" w:rsidRPr="004409BF" w:rsidRDefault="00563651" w:rsidP="00F34303">
            <w:pPr>
              <w:spacing w:before="100" w:after="100"/>
              <w:rPr>
                <w:rFonts w:ascii="Public Sans" w:hAnsi="Public Sans" w:cs="Arial"/>
                <w:b/>
                <w:sz w:val="18"/>
                <w:szCs w:val="18"/>
              </w:rPr>
            </w:pPr>
            <w:r w:rsidRPr="004409BF">
              <w:rPr>
                <w:rFonts w:ascii="Public Sans" w:hAnsi="Public Sans" w:cs="Arial"/>
                <w:b/>
                <w:sz w:val="18"/>
                <w:szCs w:val="18"/>
              </w:rPr>
              <w:t>FRA principles of sound financial management</w:t>
            </w:r>
          </w:p>
        </w:tc>
      </w:tr>
      <w:tr w:rsidR="00C07545" w:rsidRPr="00F34303" w14:paraId="69C05158" w14:textId="77777777" w:rsidTr="00E73342">
        <w:trPr>
          <w:trHeight w:val="1315"/>
        </w:trPr>
        <w:tc>
          <w:tcPr>
            <w:tcW w:w="949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AFB7307" w14:textId="77777777" w:rsidR="00563651" w:rsidRPr="004409BF" w:rsidRDefault="00563651" w:rsidP="00F34303">
            <w:pPr>
              <w:spacing w:before="160" w:after="100"/>
              <w:rPr>
                <w:rFonts w:ascii="Public Sans" w:hAnsi="Public Sans" w:cs="Arial"/>
                <w:sz w:val="18"/>
                <w:szCs w:val="18"/>
              </w:rPr>
            </w:pPr>
            <w:r w:rsidRPr="004409BF">
              <w:rPr>
                <w:rFonts w:ascii="Public Sans" w:hAnsi="Public Sans" w:cs="Arial"/>
                <w:b/>
                <w:sz w:val="18"/>
                <w:szCs w:val="18"/>
              </w:rPr>
              <w:t>Principle No 1</w:t>
            </w:r>
            <w:r w:rsidRPr="004409BF">
              <w:rPr>
                <w:rFonts w:ascii="Public Sans" w:hAnsi="Public Sans" w:cs="Arial"/>
                <w:sz w:val="18"/>
                <w:szCs w:val="18"/>
              </w:rPr>
              <w:t xml:space="preserve"> is responsible and sustainable spending, </w:t>
            </w:r>
            <w:proofErr w:type="gramStart"/>
            <w:r w:rsidRPr="004409BF">
              <w:rPr>
                <w:rFonts w:ascii="Public Sans" w:hAnsi="Public Sans" w:cs="Arial"/>
                <w:sz w:val="18"/>
                <w:szCs w:val="18"/>
              </w:rPr>
              <w:t>taxation</w:t>
            </w:r>
            <w:proofErr w:type="gramEnd"/>
            <w:r w:rsidRPr="004409BF">
              <w:rPr>
                <w:rFonts w:ascii="Public Sans" w:hAnsi="Public Sans" w:cs="Arial"/>
                <w:sz w:val="18"/>
                <w:szCs w:val="18"/>
              </w:rPr>
              <w:t xml:space="preserve"> and infrastructure investment, including:</w:t>
            </w:r>
          </w:p>
          <w:p w14:paraId="7B78AE47" w14:textId="77777777" w:rsidR="00563651" w:rsidRPr="004409BF" w:rsidRDefault="00563651">
            <w:pPr>
              <w:numPr>
                <w:ilvl w:val="0"/>
                <w:numId w:val="59"/>
              </w:numPr>
              <w:spacing w:before="60"/>
              <w:ind w:left="357" w:hanging="357"/>
              <w:rPr>
                <w:rFonts w:ascii="Public Sans" w:hAnsi="Public Sans" w:cs="Arial"/>
                <w:sz w:val="18"/>
                <w:szCs w:val="18"/>
              </w:rPr>
            </w:pPr>
            <w:r w:rsidRPr="004409BF">
              <w:rPr>
                <w:rFonts w:ascii="Public Sans" w:hAnsi="Public Sans" w:cs="Arial"/>
                <w:sz w:val="18"/>
                <w:szCs w:val="18"/>
              </w:rPr>
              <w:t>aligning general government revenue and expense growth</w:t>
            </w:r>
          </w:p>
          <w:p w14:paraId="6783EAC9" w14:textId="77777777" w:rsidR="00563651" w:rsidRPr="004409BF" w:rsidRDefault="00563651">
            <w:pPr>
              <w:numPr>
                <w:ilvl w:val="0"/>
                <w:numId w:val="59"/>
              </w:numPr>
              <w:spacing w:before="60"/>
              <w:ind w:left="357" w:hanging="357"/>
              <w:rPr>
                <w:rFonts w:ascii="Public Sans" w:hAnsi="Public Sans" w:cs="Arial"/>
                <w:sz w:val="18"/>
                <w:szCs w:val="18"/>
              </w:rPr>
            </w:pPr>
            <w:r w:rsidRPr="004409BF">
              <w:rPr>
                <w:rFonts w:ascii="Public Sans" w:hAnsi="Public Sans" w:cs="Arial"/>
                <w:sz w:val="18"/>
                <w:szCs w:val="18"/>
              </w:rPr>
              <w:t>stable and predictable taxation policies</w:t>
            </w:r>
          </w:p>
          <w:p w14:paraId="74C6F9B0" w14:textId="0CEFD325" w:rsidR="00563651" w:rsidRPr="004409BF" w:rsidRDefault="00563651">
            <w:pPr>
              <w:numPr>
                <w:ilvl w:val="0"/>
                <w:numId w:val="59"/>
              </w:numPr>
              <w:spacing w:before="60"/>
              <w:ind w:left="357" w:hanging="357"/>
              <w:rPr>
                <w:rFonts w:ascii="Public Sans" w:hAnsi="Public Sans" w:cs="Arial"/>
                <w:sz w:val="18"/>
                <w:szCs w:val="18"/>
              </w:rPr>
            </w:pPr>
            <w:r w:rsidRPr="004409BF">
              <w:rPr>
                <w:rFonts w:ascii="Public Sans" w:hAnsi="Public Sans" w:cs="Arial"/>
                <w:sz w:val="18"/>
                <w:szCs w:val="18"/>
              </w:rPr>
              <w:t>investment in infrastructure that has the highest benefit for the community.</w:t>
            </w:r>
          </w:p>
        </w:tc>
      </w:tr>
    </w:tbl>
    <w:p w14:paraId="10701199" w14:textId="3B3FEC22" w:rsidR="00482E6D" w:rsidRDefault="00482E6D">
      <w:pPr>
        <w:rPr>
          <w:rFonts w:ascii="Public Sans" w:hAnsi="Public Sans" w:cs="Arial"/>
          <w:sz w:val="22"/>
          <w:lang w:val="en-AU"/>
        </w:rPr>
      </w:pPr>
    </w:p>
    <w:p w14:paraId="3DF79D07" w14:textId="5A4E7F22" w:rsidR="00694E82" w:rsidRDefault="00A92D0D" w:rsidP="001076C2">
      <w:pPr>
        <w:pStyle w:val="BodyText"/>
      </w:pPr>
      <w:r>
        <w:t>Reporting</w:t>
      </w:r>
      <w:r w:rsidR="00C31625">
        <w:t xml:space="preserve"> for </w:t>
      </w:r>
      <w:r>
        <w:t xml:space="preserve">general government revenue and expense growth is covered under Target 1. </w:t>
      </w:r>
    </w:p>
    <w:p w14:paraId="3B773F5B" w14:textId="45463479" w:rsidR="00E3075D" w:rsidRDefault="00E3075D" w:rsidP="001076C2">
      <w:pPr>
        <w:pStyle w:val="BodyText"/>
        <w:rPr>
          <w:highlight w:val="yellow"/>
        </w:rPr>
      </w:pPr>
      <w:r>
        <w:t xml:space="preserve">State taxation policies have been broadly stable over the past two decades, averaging around 5 per cent of revenues (Chart E.2). </w:t>
      </w:r>
      <w:r w:rsidR="00C7680D">
        <w:t xml:space="preserve">This Budget forecasts expense growth to remain below the long-term </w:t>
      </w:r>
      <w:r w:rsidR="006B202B">
        <w:t xml:space="preserve">average revenue growth as the Government implements its Comprehensive Expenditure Review outcomes </w:t>
      </w:r>
      <w:r w:rsidR="003A4964">
        <w:t>(</w:t>
      </w:r>
      <w:r w:rsidR="003C22C8">
        <w:t>Table E.2</w:t>
      </w:r>
      <w:r w:rsidR="003A4964">
        <w:t>)</w:t>
      </w:r>
      <w:r w:rsidR="003C22C8">
        <w:t>.</w:t>
      </w:r>
    </w:p>
    <w:p w14:paraId="1B432449" w14:textId="77777777" w:rsidR="00E3075D" w:rsidRDefault="00E3075D" w:rsidP="00C95054">
      <w:pPr>
        <w:pStyle w:val="ChartEX"/>
      </w:pPr>
      <w:r>
        <w:t>Principle 1</w:t>
      </w:r>
      <w:r w:rsidRPr="00DF15CA">
        <w:t xml:space="preserve"> – General </w:t>
      </w:r>
      <w:r>
        <w:t>g</w:t>
      </w:r>
      <w:r w:rsidRPr="00DF15CA">
        <w:t xml:space="preserve">overnment </w:t>
      </w:r>
      <w:r>
        <w:t>taxation revenue to GSP</w:t>
      </w:r>
      <w:r>
        <w:rPr>
          <w:rStyle w:val="FootnoteReference"/>
        </w:rPr>
        <w:footnoteReference w:id="2"/>
      </w:r>
    </w:p>
    <w:p w14:paraId="79D3B6CB" w14:textId="4F41509E" w:rsidR="00E3075D" w:rsidRDefault="00686AEA" w:rsidP="00E02747">
      <w:pPr>
        <w:pStyle w:val="TableEX"/>
        <w:numPr>
          <w:ilvl w:val="0"/>
          <w:numId w:val="0"/>
        </w:numPr>
        <w:jc w:val="center"/>
      </w:pPr>
      <w:r>
        <w:rPr>
          <w:noProof/>
        </w:rPr>
        <w:drawing>
          <wp:inline distT="0" distB="0" distL="0" distR="0" wp14:anchorId="6A82E939" wp14:editId="3DC1EBE9">
            <wp:extent cx="5616000" cy="2592000"/>
            <wp:effectExtent l="0" t="0" r="3810" b="0"/>
            <wp:docPr id="9" name="Chart 9" descr="Chart E.2: Principle 1 – General government taxation revenue to GSP">
              <a:extLst xmlns:a="http://schemas.openxmlformats.org/drawingml/2006/main">
                <a:ext uri="{FF2B5EF4-FFF2-40B4-BE49-F238E27FC236}">
                  <a16:creationId xmlns:a16="http://schemas.microsoft.com/office/drawing/2014/main" id="{0DE4A904-E6C2-48C6-8C75-84AB207095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A188561" w14:textId="7E5B4602" w:rsidR="00E3075D" w:rsidRPr="000057CF" w:rsidRDefault="00E3075D" w:rsidP="001076C2">
      <w:pPr>
        <w:pStyle w:val="BodyText"/>
      </w:pPr>
      <w:r>
        <w:t xml:space="preserve">Up until 2018-19, the State maintained </w:t>
      </w:r>
      <w:r w:rsidR="00DC0DFF" w:rsidRPr="00DC0DFF">
        <w:t xml:space="preserve">spending on </w:t>
      </w:r>
      <w:r>
        <w:t xml:space="preserve">infrastructure broadly in </w:t>
      </w:r>
      <w:r w:rsidR="00FD256A" w:rsidRPr="00DC0DFF">
        <w:t>line with</w:t>
      </w:r>
      <w:r w:rsidRPr="00DC0DFF">
        <w:t xml:space="preserve"> </w:t>
      </w:r>
      <w:r>
        <w:t xml:space="preserve">economic growth </w:t>
      </w:r>
      <w:r w:rsidR="00FD256A" w:rsidRPr="00DC0DFF">
        <w:t xml:space="preserve">at </w:t>
      </w:r>
      <w:r>
        <w:t>around 2</w:t>
      </w:r>
      <w:r w:rsidR="00035D88" w:rsidRPr="00DC0DFF">
        <w:t xml:space="preserve"> </w:t>
      </w:r>
      <w:r>
        <w:t xml:space="preserve">per cent of </w:t>
      </w:r>
      <w:r w:rsidR="00257B88">
        <w:t>gross state product (</w:t>
      </w:r>
      <w:r>
        <w:t>GSP</w:t>
      </w:r>
      <w:r w:rsidR="00257B88">
        <w:t>)</w:t>
      </w:r>
      <w:r>
        <w:t xml:space="preserve"> (Chart E.3). Since 2018-19, the State’s infrastructure program has increased significantly. This Budget will see infrastructure </w:t>
      </w:r>
      <w:r w:rsidR="00DC0DFF" w:rsidRPr="00DC0DFF">
        <w:t xml:space="preserve">expenditure </w:t>
      </w:r>
      <w:r>
        <w:t>start to trend back towards more sustainable levels of growth by 2026-27</w:t>
      </w:r>
      <w:r w:rsidR="007A38E4">
        <w:t xml:space="preserve"> (see Box 3.2 in Chapter 3 Fiscal Strategy </w:t>
      </w:r>
      <w:r w:rsidR="004772E8">
        <w:t>and Outlook)</w:t>
      </w:r>
      <w:r>
        <w:t xml:space="preserve">. </w:t>
      </w:r>
    </w:p>
    <w:p w14:paraId="14131622" w14:textId="77777777" w:rsidR="001F5A20" w:rsidRDefault="001F5A20">
      <w:pPr>
        <w:rPr>
          <w:rFonts w:ascii="Public Sans" w:hAnsi="Public Sans" w:cs="Arial"/>
          <w:sz w:val="22"/>
          <w:lang w:val="en-AU"/>
        </w:rPr>
      </w:pPr>
      <w:r>
        <w:br w:type="page"/>
      </w:r>
    </w:p>
    <w:p w14:paraId="2D7C1F7C" w14:textId="639172CD" w:rsidR="009D2C77" w:rsidRDefault="00E3075D" w:rsidP="00CD4734">
      <w:pPr>
        <w:pStyle w:val="ChartEX"/>
      </w:pPr>
      <w:r>
        <w:lastRenderedPageBreak/>
        <w:t>Principle 1</w:t>
      </w:r>
      <w:r w:rsidRPr="00DF15CA">
        <w:t xml:space="preserve"> – General </w:t>
      </w:r>
      <w:r>
        <w:t>g</w:t>
      </w:r>
      <w:r w:rsidRPr="00DF15CA">
        <w:t xml:space="preserve">overnment </w:t>
      </w:r>
      <w:r>
        <w:t>and public non-financial corporations</w:t>
      </w:r>
      <w:r w:rsidR="00D76ADB">
        <w:t>’</w:t>
      </w:r>
      <w:r>
        <w:t xml:space="preserve"> capital expenditure</w:t>
      </w:r>
    </w:p>
    <w:p w14:paraId="527D37B6" w14:textId="77777777" w:rsidR="009C36D4" w:rsidRDefault="00090726" w:rsidP="00E02747">
      <w:pPr>
        <w:jc w:val="center"/>
      </w:pPr>
      <w:r>
        <w:rPr>
          <w:noProof/>
        </w:rPr>
        <w:drawing>
          <wp:inline distT="0" distB="0" distL="0" distR="0" wp14:anchorId="5FEF5222" wp14:editId="0C6B9646">
            <wp:extent cx="5616000" cy="2592000"/>
            <wp:effectExtent l="0" t="0" r="3810" b="0"/>
            <wp:docPr id="10" name="Chart 10" descr="Chart E.3: Principle 1 – General government and public non-financial corporations’ capital expenditure">
              <a:extLst xmlns:a="http://schemas.openxmlformats.org/drawingml/2006/main">
                <a:ext uri="{FF2B5EF4-FFF2-40B4-BE49-F238E27FC236}">
                  <a16:creationId xmlns:a16="http://schemas.microsoft.com/office/drawing/2014/main" id="{78450150-C097-470C-A8BC-AD5EAC487F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13E52AE" w14:textId="013D0FE6" w:rsidR="006147D8" w:rsidRPr="006147D8" w:rsidRDefault="006147D8">
      <w:pPr>
        <w:pStyle w:val="TableEX"/>
      </w:pPr>
      <w:r w:rsidRPr="00FE0702">
        <w:t>Fiscal Responsibility Act</w:t>
      </w:r>
      <w:r>
        <w:t xml:space="preserve"> 2012</w:t>
      </w:r>
      <w:r w:rsidRPr="00FE0702">
        <w:t xml:space="preserve"> – </w:t>
      </w:r>
      <w:r>
        <w:t>Principle 2</w:t>
      </w:r>
    </w:p>
    <w:tbl>
      <w:tblPr>
        <w:tblStyle w:val="TableGrid"/>
        <w:tblW w:w="949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Caption w:val="Table E.4: Fiscal Responsibility Act 2012 – Principle 2"/>
        <w:tblDescription w:val="Table E.4: Fiscal Responsibility Act 2012 – Principle 2"/>
      </w:tblPr>
      <w:tblGrid>
        <w:gridCol w:w="9493"/>
      </w:tblGrid>
      <w:tr w:rsidR="00207CA5" w:rsidRPr="00F34303" w14:paraId="37F2BEA0" w14:textId="77777777" w:rsidTr="00DF394F">
        <w:trPr>
          <w:trHeight w:val="246"/>
          <w:tblHeader/>
        </w:trPr>
        <w:tc>
          <w:tcPr>
            <w:tcW w:w="9493" w:type="dxa"/>
            <w:shd w:val="clear" w:color="auto" w:fill="EBEBEB"/>
            <w:vAlign w:val="center"/>
          </w:tcPr>
          <w:p w14:paraId="2A21CAFC" w14:textId="6986F348" w:rsidR="00AE06D6" w:rsidRPr="004409BF" w:rsidRDefault="00DC658D" w:rsidP="00F34303">
            <w:pPr>
              <w:spacing w:before="100" w:after="100"/>
              <w:rPr>
                <w:rFonts w:ascii="Public Sans" w:hAnsi="Public Sans" w:cs="Arial"/>
                <w:sz w:val="18"/>
                <w:szCs w:val="18"/>
              </w:rPr>
            </w:pPr>
            <w:r w:rsidRPr="004409BF">
              <w:rPr>
                <w:rFonts w:ascii="Public Sans" w:hAnsi="Public Sans" w:cs="Arial"/>
                <w:b/>
                <w:sz w:val="18"/>
                <w:szCs w:val="18"/>
              </w:rPr>
              <w:t>FRA principles of sound financial management</w:t>
            </w:r>
          </w:p>
        </w:tc>
      </w:tr>
      <w:tr w:rsidR="008C7C7E" w:rsidRPr="00F34303" w14:paraId="239A9950" w14:textId="77777777" w:rsidTr="009723AE">
        <w:trPr>
          <w:trHeight w:val="1574"/>
        </w:trPr>
        <w:tc>
          <w:tcPr>
            <w:tcW w:w="9493" w:type="dxa"/>
            <w:shd w:val="clear" w:color="auto" w:fill="auto"/>
          </w:tcPr>
          <w:p w14:paraId="2BA1A81F" w14:textId="77777777" w:rsidR="00AE06D6" w:rsidRPr="004409BF" w:rsidRDefault="00BE2465" w:rsidP="00F34303">
            <w:pPr>
              <w:spacing w:before="160" w:after="100"/>
              <w:rPr>
                <w:rFonts w:ascii="Public Sans" w:hAnsi="Public Sans" w:cs="Arial"/>
                <w:b/>
                <w:sz w:val="18"/>
                <w:szCs w:val="18"/>
              </w:rPr>
            </w:pPr>
            <w:r w:rsidRPr="004409BF">
              <w:rPr>
                <w:rFonts w:ascii="Public Sans" w:hAnsi="Public Sans" w:cs="Arial"/>
                <w:b/>
                <w:sz w:val="18"/>
                <w:szCs w:val="18"/>
              </w:rPr>
              <w:t xml:space="preserve">Principle No 2 </w:t>
            </w:r>
            <w:r w:rsidR="0024465A" w:rsidRPr="004409BF">
              <w:rPr>
                <w:rFonts w:ascii="Public Sans" w:hAnsi="Public Sans" w:cs="Arial"/>
                <w:sz w:val="18"/>
                <w:szCs w:val="18"/>
              </w:rPr>
              <w:t xml:space="preserve">is effective </w:t>
            </w:r>
            <w:r w:rsidR="00536878" w:rsidRPr="004409BF">
              <w:rPr>
                <w:rFonts w:ascii="Public Sans" w:hAnsi="Public Sans" w:cs="Arial"/>
                <w:sz w:val="18"/>
                <w:szCs w:val="18"/>
              </w:rPr>
              <w:t xml:space="preserve">financial and </w:t>
            </w:r>
            <w:r w:rsidR="00B355AF" w:rsidRPr="004409BF">
              <w:rPr>
                <w:rFonts w:ascii="Public Sans" w:hAnsi="Public Sans" w:cs="Arial"/>
                <w:sz w:val="18"/>
                <w:szCs w:val="18"/>
              </w:rPr>
              <w:t xml:space="preserve">asset </w:t>
            </w:r>
            <w:r w:rsidR="00585765" w:rsidRPr="004409BF">
              <w:rPr>
                <w:rFonts w:ascii="Public Sans" w:hAnsi="Public Sans" w:cs="Arial"/>
                <w:sz w:val="18"/>
                <w:szCs w:val="18"/>
              </w:rPr>
              <w:t>management</w:t>
            </w:r>
            <w:r w:rsidR="00AF40B7" w:rsidRPr="004409BF">
              <w:rPr>
                <w:rFonts w:ascii="Public Sans" w:hAnsi="Public Sans" w:cs="Arial"/>
                <w:sz w:val="18"/>
                <w:szCs w:val="18"/>
              </w:rPr>
              <w:t xml:space="preserve">, including </w:t>
            </w:r>
            <w:r w:rsidR="00264722" w:rsidRPr="004409BF">
              <w:rPr>
                <w:rFonts w:ascii="Public Sans" w:hAnsi="Public Sans" w:cs="Arial"/>
                <w:sz w:val="18"/>
                <w:szCs w:val="18"/>
              </w:rPr>
              <w:t xml:space="preserve">sound policies </w:t>
            </w:r>
            <w:r w:rsidR="00CC15D8" w:rsidRPr="004409BF">
              <w:rPr>
                <w:rFonts w:ascii="Public Sans" w:hAnsi="Public Sans" w:cs="Arial"/>
                <w:sz w:val="18"/>
                <w:szCs w:val="18"/>
              </w:rPr>
              <w:t>and processes for:</w:t>
            </w:r>
          </w:p>
          <w:p w14:paraId="3906CF78" w14:textId="77777777" w:rsidR="00CE5A21" w:rsidRPr="004409BF" w:rsidRDefault="00CE5A21">
            <w:pPr>
              <w:numPr>
                <w:ilvl w:val="0"/>
                <w:numId w:val="60"/>
              </w:numPr>
              <w:shd w:val="clear" w:color="auto" w:fill="FFFFFF"/>
              <w:spacing w:before="60"/>
              <w:ind w:left="357" w:hanging="357"/>
              <w:rPr>
                <w:rFonts w:ascii="Public Sans" w:hAnsi="Public Sans" w:cs="Arial"/>
                <w:sz w:val="18"/>
                <w:szCs w:val="18"/>
              </w:rPr>
            </w:pPr>
            <w:r w:rsidRPr="004409BF">
              <w:rPr>
                <w:rFonts w:ascii="Public Sans" w:hAnsi="Public Sans" w:cs="Arial"/>
                <w:sz w:val="18"/>
                <w:szCs w:val="18"/>
              </w:rPr>
              <w:t>performance management and reporting</w:t>
            </w:r>
          </w:p>
          <w:p w14:paraId="55520822" w14:textId="77777777" w:rsidR="00CE5A21" w:rsidRPr="004409BF" w:rsidRDefault="00CE5A21">
            <w:pPr>
              <w:numPr>
                <w:ilvl w:val="0"/>
                <w:numId w:val="60"/>
              </w:numPr>
              <w:shd w:val="clear" w:color="auto" w:fill="FFFFFF"/>
              <w:spacing w:before="60"/>
              <w:ind w:left="357" w:hanging="357"/>
              <w:rPr>
                <w:rFonts w:ascii="Public Sans" w:hAnsi="Public Sans" w:cs="Arial"/>
                <w:sz w:val="18"/>
                <w:szCs w:val="18"/>
              </w:rPr>
            </w:pPr>
            <w:r w:rsidRPr="004409BF">
              <w:rPr>
                <w:rFonts w:ascii="Public Sans" w:hAnsi="Public Sans" w:cs="Arial"/>
                <w:sz w:val="18"/>
                <w:szCs w:val="18"/>
              </w:rPr>
              <w:t>asset maintenance and enhancement</w:t>
            </w:r>
          </w:p>
          <w:p w14:paraId="739149FA" w14:textId="77777777" w:rsidR="00CE5A21" w:rsidRPr="004409BF" w:rsidRDefault="00CE5A21">
            <w:pPr>
              <w:numPr>
                <w:ilvl w:val="0"/>
                <w:numId w:val="60"/>
              </w:numPr>
              <w:shd w:val="clear" w:color="auto" w:fill="FFFFFF"/>
              <w:spacing w:before="60"/>
              <w:ind w:left="357" w:hanging="357"/>
              <w:rPr>
                <w:rFonts w:ascii="Public Sans" w:hAnsi="Public Sans" w:cs="Arial"/>
                <w:sz w:val="18"/>
                <w:szCs w:val="18"/>
              </w:rPr>
            </w:pPr>
            <w:r w:rsidRPr="004409BF">
              <w:rPr>
                <w:rFonts w:ascii="Public Sans" w:hAnsi="Public Sans" w:cs="Arial"/>
                <w:sz w:val="18"/>
                <w:szCs w:val="18"/>
              </w:rPr>
              <w:t>funding decisions</w:t>
            </w:r>
          </w:p>
          <w:p w14:paraId="0CE77157" w14:textId="6ECAC26A" w:rsidR="00CC15D8" w:rsidRPr="004409BF" w:rsidRDefault="00CE5A21">
            <w:pPr>
              <w:numPr>
                <w:ilvl w:val="0"/>
                <w:numId w:val="60"/>
              </w:numPr>
              <w:shd w:val="clear" w:color="auto" w:fill="FFFFFF"/>
              <w:spacing w:before="60"/>
              <w:ind w:left="357" w:hanging="357"/>
              <w:rPr>
                <w:rFonts w:ascii="Public Sans" w:hAnsi="Public Sans" w:cs="Arial"/>
                <w:sz w:val="18"/>
                <w:szCs w:val="18"/>
              </w:rPr>
            </w:pPr>
            <w:r w:rsidRPr="004409BF">
              <w:rPr>
                <w:rFonts w:ascii="Public Sans" w:hAnsi="Public Sans" w:cs="Arial"/>
                <w:sz w:val="18"/>
                <w:szCs w:val="18"/>
              </w:rPr>
              <w:t>risk management practices.</w:t>
            </w:r>
          </w:p>
        </w:tc>
      </w:tr>
    </w:tbl>
    <w:p w14:paraId="26A65CF5" w14:textId="30F4EE33" w:rsidR="00DC799E" w:rsidRDefault="00DC799E"/>
    <w:p w14:paraId="3DAD6D94" w14:textId="37F8A784" w:rsidR="00DF394F" w:rsidRPr="009723AE" w:rsidRDefault="00DF394F" w:rsidP="009723AE">
      <w:pPr>
        <w:pStyle w:val="BodyText"/>
      </w:pPr>
      <w:r w:rsidRPr="009723AE">
        <w:t>The Government has continued to actively manage the State’s balance sheet, investment decisions and risk management supported by advice from the Treasury</w:t>
      </w:r>
      <w:r w:rsidR="003B30F7">
        <w:t>-</w:t>
      </w:r>
      <w:r w:rsidRPr="00E55C1C">
        <w:t>chaired Asset and Liability Committee.</w:t>
      </w:r>
    </w:p>
    <w:p w14:paraId="5A595A27" w14:textId="2315FD99" w:rsidR="00FA640C" w:rsidRDefault="00DF394F" w:rsidP="001076C2">
      <w:pPr>
        <w:pStyle w:val="BodyText"/>
      </w:pPr>
      <w:r w:rsidRPr="009723AE">
        <w:t xml:space="preserve">Following an inquiry by the NSW Parliament’s Standing Committee on State Development, the Government will </w:t>
      </w:r>
      <w:r w:rsidRPr="00CF382C">
        <w:t xml:space="preserve">temporarily suspend contributions in 2023-24 to the </w:t>
      </w:r>
      <w:r w:rsidR="009D4759">
        <w:t>NSW Generations</w:t>
      </w:r>
      <w:r w:rsidR="00383896">
        <w:t xml:space="preserve"> </w:t>
      </w:r>
      <w:r w:rsidRPr="00CF382C">
        <w:t>F</w:t>
      </w:r>
      <w:r w:rsidR="00383896">
        <w:t>und</w:t>
      </w:r>
      <w:r w:rsidR="0093784D">
        <w:t xml:space="preserve"> (</w:t>
      </w:r>
      <w:r w:rsidR="009D4759">
        <w:t>NGF</w:t>
      </w:r>
      <w:r w:rsidR="0093784D">
        <w:t>)</w:t>
      </w:r>
      <w:r w:rsidRPr="00CF382C">
        <w:t>, reducing NSW gross debt by $7.7 billion in the interim.</w:t>
      </w:r>
      <w:r>
        <w:t xml:space="preserve"> </w:t>
      </w:r>
      <w:r w:rsidR="00352E76">
        <w:t>C</w:t>
      </w:r>
      <w:r w:rsidR="00352E76" w:rsidRPr="001D6F29">
        <w:t xml:space="preserve">ontributions </w:t>
      </w:r>
      <w:r w:rsidR="00352E76">
        <w:t xml:space="preserve">are </w:t>
      </w:r>
      <w:r w:rsidR="00352E76" w:rsidRPr="001D6F29">
        <w:t xml:space="preserve">budgeted to recommence from 2024-25 to 2026-27. </w:t>
      </w:r>
    </w:p>
    <w:p w14:paraId="75166A3C" w14:textId="17A17278" w:rsidR="00DF394F" w:rsidRDefault="00DF394F" w:rsidP="001076C2">
      <w:pPr>
        <w:pStyle w:val="BodyText"/>
      </w:pPr>
      <w:r w:rsidRPr="00485E39">
        <w:t xml:space="preserve">The </w:t>
      </w:r>
      <w:r w:rsidR="009D4759">
        <w:t>NGF</w:t>
      </w:r>
      <w:r w:rsidRPr="00485E39">
        <w:t xml:space="preserve"> balance is now projected to be around $55 billion by June 2032, compared to the $94 billion projected in the 2022-23 Budget. This financially responsible approach to managing the </w:t>
      </w:r>
      <w:r w:rsidR="009D4759">
        <w:t>NGF</w:t>
      </w:r>
      <w:r w:rsidRPr="00485E39">
        <w:t xml:space="preserve"> will significantly reduce</w:t>
      </w:r>
      <w:r w:rsidRPr="009723AE">
        <w:t xml:space="preserve"> the potential impact to the State’s finances from investing a larger balance in volatile financial markets over the longer-term. </w:t>
      </w:r>
    </w:p>
    <w:p w14:paraId="69B22B7F" w14:textId="251FF687" w:rsidR="008A6F78" w:rsidRPr="001D6F29" w:rsidRDefault="008A6F78" w:rsidP="001076C2">
      <w:pPr>
        <w:pStyle w:val="BodyText"/>
      </w:pPr>
      <w:r>
        <w:t>Additionally, t</w:t>
      </w:r>
      <w:r w:rsidRPr="001D6F29">
        <w:t xml:space="preserve">he Government will investigate alternative approaches </w:t>
      </w:r>
      <w:r>
        <w:t xml:space="preserve">to </w:t>
      </w:r>
      <w:r w:rsidRPr="001D6F29">
        <w:t xml:space="preserve">managing the State’s investment funds more efficiently, </w:t>
      </w:r>
      <w:r>
        <w:t xml:space="preserve">including the potential consolidation of separate government funds totalling </w:t>
      </w:r>
      <w:r w:rsidRPr="00F87C6A">
        <w:t>$4</w:t>
      </w:r>
      <w:r w:rsidR="00F87C6A" w:rsidRPr="00F87C6A">
        <w:t>3</w:t>
      </w:r>
      <w:r w:rsidRPr="00F87C6A">
        <w:t xml:space="preserve"> billion</w:t>
      </w:r>
      <w:r>
        <w:t xml:space="preserve"> into a more cost-effective structure.  </w:t>
      </w:r>
    </w:p>
    <w:p w14:paraId="155CB0F0" w14:textId="36BB32CC" w:rsidR="00DF394F" w:rsidRPr="009723AE" w:rsidRDefault="00DF394F" w:rsidP="009723AE">
      <w:pPr>
        <w:pStyle w:val="BodyText"/>
      </w:pPr>
      <w:r w:rsidRPr="009723AE">
        <w:t>The Government is aiming to maintain a responsible gross debt trajectory to ensure interest expenses continue to remain manageable</w:t>
      </w:r>
      <w:r>
        <w:t xml:space="preserve"> (see Chart E.</w:t>
      </w:r>
      <w:r w:rsidR="00AA69C0">
        <w:t>4</w:t>
      </w:r>
      <w:r>
        <w:t>)</w:t>
      </w:r>
      <w:r w:rsidRPr="009723AE">
        <w:t>. Gross debt is projected to be $</w:t>
      </w:r>
      <w:r w:rsidR="009D3812" w:rsidRPr="00EB44C6">
        <w:t>14</w:t>
      </w:r>
      <w:r w:rsidR="00EB44C6" w:rsidRPr="00EB44C6">
        <w:t>5.8</w:t>
      </w:r>
      <w:r w:rsidRPr="00EB44C6">
        <w:t> billion</w:t>
      </w:r>
      <w:r w:rsidRPr="009723AE">
        <w:t xml:space="preserve"> in 2023</w:t>
      </w:r>
      <w:r w:rsidRPr="009723AE">
        <w:noBreakHyphen/>
        <w:t>24, $</w:t>
      </w:r>
      <w:r w:rsidR="000B7F0A" w:rsidRPr="00DA3377">
        <w:t>8</w:t>
      </w:r>
      <w:r w:rsidR="00EB44C6" w:rsidRPr="00DA3377">
        <w:t>.9</w:t>
      </w:r>
      <w:r w:rsidRPr="00DA3377">
        <w:t xml:space="preserve"> billion</w:t>
      </w:r>
      <w:r w:rsidRPr="009723AE">
        <w:t xml:space="preserve"> lower than projected at the 2023 Pre-election Budget Update.</w:t>
      </w:r>
    </w:p>
    <w:p w14:paraId="46988CF5" w14:textId="77777777" w:rsidR="004833F5" w:rsidRDefault="004833F5">
      <w:pPr>
        <w:rPr>
          <w:rFonts w:ascii="Public Sans" w:hAnsi="Public Sans" w:cs="Arial"/>
          <w:sz w:val="22"/>
          <w:lang w:val="en-AU"/>
        </w:rPr>
      </w:pPr>
      <w:r>
        <w:br w:type="page"/>
      </w:r>
    </w:p>
    <w:p w14:paraId="06651F34" w14:textId="06757FA2" w:rsidR="00DF394F" w:rsidRDefault="00DF394F" w:rsidP="007E7D6D">
      <w:pPr>
        <w:pStyle w:val="ChartEX"/>
      </w:pPr>
      <w:r>
        <w:lastRenderedPageBreak/>
        <w:t>Principle 2</w:t>
      </w:r>
      <w:r w:rsidRPr="00DF15CA">
        <w:t xml:space="preserve"> – </w:t>
      </w:r>
      <w:r w:rsidRPr="00416231">
        <w:t>General government gross debt and interest expenses as a per cent of revenue</w:t>
      </w:r>
      <w:r>
        <w:t xml:space="preserve"> </w:t>
      </w:r>
    </w:p>
    <w:p w14:paraId="63C947C2" w14:textId="5BD16903" w:rsidR="00B553D7" w:rsidRDefault="00090726" w:rsidP="005D60EE">
      <w:pPr>
        <w:jc w:val="center"/>
        <w:rPr>
          <w:rFonts w:ascii="Arial" w:hAnsi="Arial"/>
          <w:bCs/>
          <w:i/>
          <w:color w:val="57514D"/>
          <w:kern w:val="28"/>
          <w:sz w:val="22"/>
          <w:szCs w:val="22"/>
        </w:rPr>
      </w:pPr>
      <w:r>
        <w:rPr>
          <w:noProof/>
        </w:rPr>
        <w:drawing>
          <wp:inline distT="0" distB="0" distL="0" distR="0" wp14:anchorId="48E451B9" wp14:editId="647E8412">
            <wp:extent cx="5616000" cy="2592000"/>
            <wp:effectExtent l="0" t="0" r="3810" b="0"/>
            <wp:docPr id="11" name="Chart 11" descr="Chart E.4: Principle 2 – General government gross debt and interest expenses as a per cent of revenue ">
              <a:extLst xmlns:a="http://schemas.openxmlformats.org/drawingml/2006/main">
                <a:ext uri="{FF2B5EF4-FFF2-40B4-BE49-F238E27FC236}">
                  <a16:creationId xmlns:a16="http://schemas.microsoft.com/office/drawing/2014/main" id="{431D763A-8B19-4A2D-9C80-EBBD63B19F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4F7DE32" w14:textId="77777777" w:rsidR="004833F5" w:rsidRDefault="004833F5" w:rsidP="004833F5"/>
    <w:p w14:paraId="01C6ACED" w14:textId="4D5FBC4D" w:rsidR="0077094B" w:rsidRDefault="00DA0949">
      <w:pPr>
        <w:pStyle w:val="TableEX"/>
      </w:pPr>
      <w:r w:rsidRPr="00FE0702">
        <w:t>Fiscal Responsibility Act</w:t>
      </w:r>
      <w:r>
        <w:t xml:space="preserve"> 2012</w:t>
      </w:r>
      <w:r w:rsidRPr="00FE0702">
        <w:t xml:space="preserve"> – </w:t>
      </w:r>
      <w:r>
        <w:t>Principle 3</w:t>
      </w:r>
    </w:p>
    <w:tbl>
      <w:tblPr>
        <w:tblStyle w:val="TableGrid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Caption w:val="Table E.5: Fiscal Responsibility Act 2012 – Principle 3"/>
        <w:tblDescription w:val="Table E.5: Fiscal Responsibility Act 2012 – Principle 3"/>
      </w:tblPr>
      <w:tblGrid>
        <w:gridCol w:w="9776"/>
      </w:tblGrid>
      <w:tr w:rsidR="00427031" w:rsidRPr="00A8626B" w14:paraId="40C729B8" w14:textId="77777777" w:rsidTr="009723AE">
        <w:trPr>
          <w:trHeight w:val="246"/>
          <w:tblHeader/>
        </w:trPr>
        <w:tc>
          <w:tcPr>
            <w:tcW w:w="9776" w:type="dxa"/>
            <w:shd w:val="clear" w:color="auto" w:fill="EBEBEB"/>
            <w:vAlign w:val="center"/>
          </w:tcPr>
          <w:p w14:paraId="027B5A39" w14:textId="77777777" w:rsidR="0077094B" w:rsidRPr="004409BF" w:rsidRDefault="0077094B" w:rsidP="00A8626B">
            <w:pPr>
              <w:spacing w:before="100" w:after="100"/>
              <w:rPr>
                <w:rFonts w:ascii="Public Sans" w:hAnsi="Public Sans" w:cs="Arial"/>
                <w:sz w:val="18"/>
                <w:szCs w:val="18"/>
              </w:rPr>
            </w:pPr>
            <w:r w:rsidRPr="004409BF">
              <w:rPr>
                <w:rFonts w:ascii="Public Sans" w:hAnsi="Public Sans" w:cs="Arial"/>
                <w:b/>
                <w:sz w:val="18"/>
                <w:szCs w:val="18"/>
              </w:rPr>
              <w:t>FRA principles of sound financial management</w:t>
            </w:r>
          </w:p>
        </w:tc>
      </w:tr>
      <w:tr w:rsidR="008C7C7E" w:rsidRPr="005C2CA5" w14:paraId="703CA655" w14:textId="77777777" w:rsidTr="009723AE">
        <w:trPr>
          <w:trHeight w:val="1067"/>
        </w:trPr>
        <w:tc>
          <w:tcPr>
            <w:tcW w:w="9776" w:type="dxa"/>
            <w:shd w:val="clear" w:color="auto" w:fill="auto"/>
          </w:tcPr>
          <w:p w14:paraId="3FC34C7A" w14:textId="77777777" w:rsidR="007D2A5F" w:rsidRPr="004409BF" w:rsidRDefault="007D2A5F" w:rsidP="00A8626B">
            <w:pPr>
              <w:widowControl w:val="0"/>
              <w:spacing w:before="160" w:after="100"/>
              <w:rPr>
                <w:rFonts w:ascii="Public Sans" w:hAnsi="Public Sans" w:cs="Arial"/>
                <w:sz w:val="18"/>
                <w:szCs w:val="18"/>
              </w:rPr>
            </w:pPr>
            <w:r w:rsidRPr="004409BF">
              <w:rPr>
                <w:rFonts w:ascii="Public Sans" w:hAnsi="Public Sans" w:cs="Arial"/>
                <w:b/>
                <w:sz w:val="18"/>
                <w:szCs w:val="18"/>
              </w:rPr>
              <w:t>Principle No 3</w:t>
            </w:r>
            <w:r w:rsidRPr="004409BF">
              <w:rPr>
                <w:rFonts w:ascii="Public Sans" w:hAnsi="Public Sans" w:cs="Arial"/>
                <w:sz w:val="18"/>
                <w:szCs w:val="18"/>
              </w:rPr>
              <w:t xml:space="preserve"> is achieving intergenerational equity, including ensuring that:</w:t>
            </w:r>
          </w:p>
          <w:p w14:paraId="755A8B1D" w14:textId="77777777" w:rsidR="007D2A5F" w:rsidRPr="004409BF" w:rsidRDefault="007D2A5F">
            <w:pPr>
              <w:numPr>
                <w:ilvl w:val="0"/>
                <w:numId w:val="61"/>
              </w:numPr>
              <w:shd w:val="clear" w:color="auto" w:fill="FFFFFF"/>
              <w:spacing w:before="60"/>
              <w:ind w:left="357" w:hanging="357"/>
              <w:rPr>
                <w:rFonts w:ascii="Public Sans" w:hAnsi="Public Sans" w:cs="Arial"/>
                <w:sz w:val="18"/>
                <w:szCs w:val="18"/>
              </w:rPr>
            </w:pPr>
            <w:r w:rsidRPr="004409BF">
              <w:rPr>
                <w:rFonts w:ascii="Public Sans" w:hAnsi="Public Sans" w:cs="Arial"/>
                <w:sz w:val="18"/>
                <w:szCs w:val="18"/>
              </w:rPr>
              <w:t xml:space="preserve">policy decisions are made having regard to their financial effects on future </w:t>
            </w:r>
            <w:proofErr w:type="gramStart"/>
            <w:r w:rsidRPr="004409BF">
              <w:rPr>
                <w:rFonts w:ascii="Public Sans" w:hAnsi="Public Sans" w:cs="Arial"/>
                <w:sz w:val="18"/>
                <w:szCs w:val="18"/>
              </w:rPr>
              <w:t>generations</w:t>
            </w:r>
            <w:proofErr w:type="gramEnd"/>
          </w:p>
          <w:p w14:paraId="5B7B9042" w14:textId="556A981E" w:rsidR="0077094B" w:rsidRPr="004409BF" w:rsidRDefault="007D2A5F">
            <w:pPr>
              <w:numPr>
                <w:ilvl w:val="0"/>
                <w:numId w:val="61"/>
              </w:numPr>
              <w:shd w:val="clear" w:color="auto" w:fill="FFFFFF"/>
              <w:spacing w:before="60"/>
              <w:ind w:left="357" w:hanging="357"/>
              <w:rPr>
                <w:rFonts w:ascii="Public Sans" w:hAnsi="Public Sans" w:cs="Arial"/>
                <w:sz w:val="18"/>
                <w:szCs w:val="18"/>
              </w:rPr>
            </w:pPr>
            <w:r w:rsidRPr="004409BF">
              <w:rPr>
                <w:rFonts w:ascii="Public Sans" w:hAnsi="Public Sans" w:cs="Arial"/>
                <w:sz w:val="18"/>
                <w:szCs w:val="18"/>
              </w:rPr>
              <w:t>the current generation funds the cost of its services.</w:t>
            </w:r>
          </w:p>
        </w:tc>
      </w:tr>
    </w:tbl>
    <w:p w14:paraId="1FFD63C1" w14:textId="77777777" w:rsidR="009723AE" w:rsidRDefault="009723AE" w:rsidP="009723AE"/>
    <w:p w14:paraId="474E9917" w14:textId="274BA080" w:rsidR="00434824" w:rsidRDefault="00434824" w:rsidP="00434824">
      <w:pPr>
        <w:pStyle w:val="BodyText"/>
      </w:pPr>
      <w:r>
        <w:t>Managing debt in the long term is key to supporting intergenerational equity. The 2023</w:t>
      </w:r>
      <w:r w:rsidR="00B20070">
        <w:t> </w:t>
      </w:r>
      <w:r>
        <w:t>Pre</w:t>
      </w:r>
      <w:r w:rsidR="002A6F5F">
        <w:noBreakHyphen/>
      </w:r>
      <w:r>
        <w:t xml:space="preserve">Election Budget Update forecast borrowings to reach $188.2 billion in </w:t>
      </w:r>
      <w:r w:rsidR="00F568BC">
        <w:t xml:space="preserve">June </w:t>
      </w:r>
      <w:r>
        <w:t>202</w:t>
      </w:r>
      <w:r w:rsidR="00F568BC">
        <w:t>6</w:t>
      </w:r>
      <w:r>
        <w:t xml:space="preserve">. </w:t>
      </w:r>
    </w:p>
    <w:p w14:paraId="2D53E1CC" w14:textId="27687864" w:rsidR="00434824" w:rsidRDefault="00434824" w:rsidP="00434824">
      <w:pPr>
        <w:pStyle w:val="BodyText"/>
      </w:pPr>
      <w:r>
        <w:t xml:space="preserve">Measures announces in this Budget are projected to reduce borrowings levels by $14.8 billion, to $173.4 billion in </w:t>
      </w:r>
      <w:r w:rsidR="001F61E5">
        <w:t>June 2026</w:t>
      </w:r>
      <w:r>
        <w:t>. As a result, interest payments are forecast to reduce by $1.6</w:t>
      </w:r>
      <w:r w:rsidR="00F568BC">
        <w:t> </w:t>
      </w:r>
      <w:r>
        <w:t xml:space="preserve">billion between 2022-23 to 2025-26. </w:t>
      </w:r>
    </w:p>
    <w:p w14:paraId="305FDCAA" w14:textId="09C8BAC0" w:rsidR="00DF394F" w:rsidRPr="00B8127F" w:rsidRDefault="00DF394F" w:rsidP="009723AE">
      <w:pPr>
        <w:pStyle w:val="BodyText"/>
      </w:pPr>
      <w:r w:rsidRPr="009723AE">
        <w:t>The 2021-22 NSW Intergenerational Report (IGR) provided an update on the State’s long-term fiscal gap. The</w:t>
      </w:r>
      <w:r w:rsidR="002832FB">
        <w:t xml:space="preserve"> report found </w:t>
      </w:r>
      <w:r w:rsidR="00754F9B">
        <w:t>there</w:t>
      </w:r>
      <w:r w:rsidRPr="00E55C1C">
        <w:t xml:space="preserve"> is an expected build-up of fiscal pressures over the</w:t>
      </w:r>
      <w:r w:rsidRPr="00B8127F">
        <w:t xml:space="preserve"> long</w:t>
      </w:r>
      <w:r w:rsidR="009433F8">
        <w:noBreakHyphen/>
      </w:r>
      <w:r w:rsidRPr="00B8127F">
        <w:t>term in the absence of no change in current government policy, no corrective measures taken, and economic and demographic trends persisting.</w:t>
      </w:r>
      <w:r w:rsidR="001B7AD8">
        <w:t xml:space="preserve"> </w:t>
      </w:r>
    </w:p>
    <w:p w14:paraId="68A138ED" w14:textId="77777777" w:rsidR="00DF394F" w:rsidRPr="009723AE" w:rsidRDefault="00DF394F" w:rsidP="009723AE">
      <w:pPr>
        <w:pStyle w:val="BodyText"/>
      </w:pPr>
      <w:r w:rsidRPr="00B8127F">
        <w:t xml:space="preserve">The 2021-22 IGR projects that </w:t>
      </w:r>
      <w:proofErr w:type="gramStart"/>
      <w:r w:rsidRPr="00B8127F">
        <w:t>as a result of</w:t>
      </w:r>
      <w:proofErr w:type="gramEnd"/>
      <w:r w:rsidRPr="00B8127F">
        <w:t xml:space="preserve"> the long-term structural imbalance between growth in Government revenues and expenditure, the fiscal gap will reach </w:t>
      </w:r>
      <w:r w:rsidRPr="00E426CD">
        <w:t>2.6 p</w:t>
      </w:r>
      <w:r w:rsidRPr="009723AE">
        <w:t>er cent of GSP by 2060</w:t>
      </w:r>
      <w:r w:rsidRPr="009723AE">
        <w:noBreakHyphen/>
        <w:t xml:space="preserve">61. </w:t>
      </w:r>
    </w:p>
    <w:p w14:paraId="4EF8F8BD" w14:textId="081DF05B" w:rsidR="00A97BC6" w:rsidRDefault="009A6648" w:rsidP="00A97BC6">
      <w:pPr>
        <w:pStyle w:val="BodyText"/>
      </w:pPr>
      <w:r>
        <w:t>As per the requirements of s</w:t>
      </w:r>
      <w:r w:rsidR="001B0AF3">
        <w:t xml:space="preserve">8 </w:t>
      </w:r>
      <w:r w:rsidR="004D71D0">
        <w:t>(</w:t>
      </w:r>
      <w:r w:rsidR="009433F8">
        <w:t>d</w:t>
      </w:r>
      <w:r w:rsidR="004D71D0">
        <w:t>)</w:t>
      </w:r>
      <w:r w:rsidR="001B0AF3">
        <w:t xml:space="preserve"> of the </w:t>
      </w:r>
      <w:r w:rsidR="001B0AF3" w:rsidRPr="004D71D0">
        <w:rPr>
          <w:i/>
          <w:iCs/>
        </w:rPr>
        <w:t>Fiscal Responsibility Act 2012</w:t>
      </w:r>
      <w:r w:rsidR="001B0AF3">
        <w:t>, t</w:t>
      </w:r>
      <w:r w:rsidR="00A97BC6">
        <w:t>he measures announced in this Budget are projected to lead to a 0.1 percentage point deterioration in the fiscal gap, to 3.0 per cent of GSP by 2060-61. This is compared to 2.9 per cent estimated in the 2022-23 Budget.</w:t>
      </w:r>
      <w:r w:rsidR="00B449A2">
        <w:t xml:space="preserve"> Noting that </w:t>
      </w:r>
      <w:r w:rsidR="00C07D58">
        <w:t xml:space="preserve">as per the IGR this calculation does not include the impact of the </w:t>
      </w:r>
      <w:proofErr w:type="gramStart"/>
      <w:r w:rsidR="00C07D58">
        <w:t>NGF</w:t>
      </w:r>
      <w:proofErr w:type="gramEnd"/>
      <w:r w:rsidR="00C07D58">
        <w:t xml:space="preserve"> </w:t>
      </w:r>
      <w:r w:rsidR="006A3779">
        <w:t>or any changes announced to the NGF as part of this Budget.</w:t>
      </w:r>
    </w:p>
    <w:sectPr w:rsidR="00A97BC6" w:rsidSect="00020DE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134" w:right="1134" w:bottom="851" w:left="1134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FFA1C" w14:textId="77777777" w:rsidR="00B35FD1" w:rsidRDefault="00B35FD1">
      <w:r>
        <w:separator/>
      </w:r>
    </w:p>
  </w:endnote>
  <w:endnote w:type="continuationSeparator" w:id="0">
    <w:p w14:paraId="42BE717D" w14:textId="77777777" w:rsidR="00B35FD1" w:rsidRDefault="00B35FD1">
      <w:r>
        <w:continuationSeparator/>
      </w:r>
    </w:p>
  </w:endnote>
  <w:endnote w:type="continuationNotice" w:id="1">
    <w:p w14:paraId="73345EDA" w14:textId="77777777" w:rsidR="00B35FD1" w:rsidRDefault="00B35F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F5367" w14:textId="7DB1E7BD" w:rsidR="009E5213" w:rsidRPr="00D15056" w:rsidRDefault="007E7624" w:rsidP="00D15056">
    <w:pPr>
      <w:pBdr>
        <w:top w:val="single" w:sz="4" w:space="4" w:color="auto"/>
      </w:pBdr>
      <w:tabs>
        <w:tab w:val="right" w:pos="9639"/>
      </w:tabs>
      <w:rPr>
        <w:rFonts w:ascii="Public Sans" w:hAnsi="Public Sans" w:cs="Arial"/>
        <w:sz w:val="18"/>
        <w:szCs w:val="18"/>
      </w:rPr>
    </w:pPr>
    <w:r w:rsidRPr="0043282A">
      <w:rPr>
        <w:rFonts w:ascii="Public Sans" w:hAnsi="Public Sans" w:cs="Arial"/>
        <w:sz w:val="18"/>
        <w:szCs w:val="18"/>
      </w:rPr>
      <w:t>E</w:t>
    </w:r>
    <w:r w:rsidR="009E5213" w:rsidRPr="0043282A">
      <w:rPr>
        <w:rFonts w:ascii="Public Sans" w:hAnsi="Public Sans" w:cs="Arial"/>
        <w:sz w:val="18"/>
        <w:szCs w:val="18"/>
      </w:rPr>
      <w:t xml:space="preserve"> - </w:t>
    </w:r>
    <w:r w:rsidR="009E5213" w:rsidRPr="0043282A">
      <w:rPr>
        <w:rFonts w:ascii="Public Sans" w:hAnsi="Public Sans" w:cs="Arial"/>
        <w:sz w:val="18"/>
        <w:szCs w:val="18"/>
      </w:rPr>
      <w:fldChar w:fldCharType="begin"/>
    </w:r>
    <w:r w:rsidR="009E5213" w:rsidRPr="0043282A">
      <w:rPr>
        <w:rFonts w:ascii="Public Sans" w:hAnsi="Public Sans" w:cs="Arial"/>
        <w:sz w:val="18"/>
        <w:szCs w:val="18"/>
      </w:rPr>
      <w:instrText xml:space="preserve"> PAGE   \* MERGEFORMAT </w:instrText>
    </w:r>
    <w:r w:rsidR="009E5213" w:rsidRPr="0043282A">
      <w:rPr>
        <w:rFonts w:ascii="Public Sans" w:hAnsi="Public Sans" w:cs="Arial"/>
        <w:sz w:val="18"/>
        <w:szCs w:val="18"/>
      </w:rPr>
      <w:fldChar w:fldCharType="separate"/>
    </w:r>
    <w:r w:rsidR="009E5213" w:rsidRPr="0043282A">
      <w:rPr>
        <w:rFonts w:ascii="Public Sans" w:hAnsi="Public Sans" w:cs="Arial"/>
        <w:sz w:val="18"/>
        <w:szCs w:val="18"/>
      </w:rPr>
      <w:t>2</w:t>
    </w:r>
    <w:r w:rsidR="009E5213" w:rsidRPr="0043282A">
      <w:rPr>
        <w:rFonts w:ascii="Public Sans" w:hAnsi="Public Sans" w:cs="Arial"/>
        <w:sz w:val="18"/>
        <w:szCs w:val="18"/>
      </w:rPr>
      <w:fldChar w:fldCharType="end"/>
    </w:r>
    <w:r w:rsidR="009E5213" w:rsidRPr="0043282A">
      <w:rPr>
        <w:rFonts w:ascii="Public Sans" w:hAnsi="Public Sans" w:cs="Arial"/>
        <w:sz w:val="18"/>
        <w:szCs w:val="18"/>
      </w:rPr>
      <w:tab/>
      <w:t>Budget Statement 2023-24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C5FE" w14:textId="757C9CE9" w:rsidR="009E5213" w:rsidRPr="00D15056" w:rsidRDefault="009E5213" w:rsidP="00D15056">
    <w:pPr>
      <w:pBdr>
        <w:top w:val="single" w:sz="4" w:space="4" w:color="auto"/>
      </w:pBdr>
      <w:tabs>
        <w:tab w:val="right" w:pos="9639"/>
      </w:tabs>
      <w:rPr>
        <w:rFonts w:ascii="Public Sans" w:hAnsi="Public Sans" w:cs="Arial"/>
        <w:sz w:val="18"/>
        <w:szCs w:val="18"/>
      </w:rPr>
    </w:pPr>
    <w:r w:rsidRPr="0043282A">
      <w:rPr>
        <w:rFonts w:ascii="Public Sans" w:hAnsi="Public Sans" w:cs="Arial"/>
        <w:sz w:val="18"/>
        <w:szCs w:val="18"/>
      </w:rPr>
      <w:t>Budget Statement 2023-24</w:t>
    </w:r>
    <w:r w:rsidRPr="0043282A">
      <w:rPr>
        <w:rFonts w:ascii="Public Sans" w:hAnsi="Public Sans" w:cs="Arial"/>
        <w:sz w:val="18"/>
        <w:szCs w:val="18"/>
      </w:rPr>
      <w:tab/>
    </w:r>
    <w:r w:rsidR="007E7624" w:rsidRPr="0043282A">
      <w:rPr>
        <w:rFonts w:ascii="Public Sans" w:hAnsi="Public Sans" w:cs="Arial"/>
        <w:sz w:val="18"/>
        <w:szCs w:val="18"/>
      </w:rPr>
      <w:t>E</w:t>
    </w:r>
    <w:r w:rsidRPr="0043282A">
      <w:rPr>
        <w:rFonts w:ascii="Public Sans" w:hAnsi="Public Sans" w:cs="Arial"/>
        <w:sz w:val="18"/>
        <w:szCs w:val="18"/>
      </w:rPr>
      <w:t xml:space="preserve"> - </w:t>
    </w:r>
    <w:r w:rsidRPr="0043282A">
      <w:rPr>
        <w:rFonts w:ascii="Public Sans" w:hAnsi="Public Sans" w:cs="Arial"/>
        <w:sz w:val="18"/>
        <w:szCs w:val="18"/>
      </w:rPr>
      <w:fldChar w:fldCharType="begin"/>
    </w:r>
    <w:r w:rsidRPr="0043282A">
      <w:rPr>
        <w:rFonts w:ascii="Public Sans" w:hAnsi="Public Sans" w:cs="Arial"/>
        <w:sz w:val="18"/>
        <w:szCs w:val="18"/>
      </w:rPr>
      <w:instrText xml:space="preserve"> PAGE   \* MERGEFORMAT </w:instrText>
    </w:r>
    <w:r w:rsidRPr="0043282A">
      <w:rPr>
        <w:rFonts w:ascii="Public Sans" w:hAnsi="Public Sans" w:cs="Arial"/>
        <w:sz w:val="18"/>
        <w:szCs w:val="18"/>
      </w:rPr>
      <w:fldChar w:fldCharType="separate"/>
    </w:r>
    <w:r w:rsidRPr="0043282A">
      <w:rPr>
        <w:rFonts w:ascii="Public Sans" w:hAnsi="Public Sans" w:cs="Arial"/>
        <w:sz w:val="18"/>
        <w:szCs w:val="18"/>
      </w:rPr>
      <w:t>1</w:t>
    </w:r>
    <w:r w:rsidRPr="0043282A">
      <w:rPr>
        <w:rFonts w:ascii="Public Sans" w:hAnsi="Public Sans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93F9C" w14:textId="60608FC5" w:rsidR="00AB2DCE" w:rsidRPr="00D15056" w:rsidRDefault="009E5213" w:rsidP="00D15056">
    <w:pPr>
      <w:pBdr>
        <w:top w:val="single" w:sz="4" w:space="4" w:color="auto"/>
      </w:pBdr>
      <w:tabs>
        <w:tab w:val="right" w:pos="9639"/>
      </w:tabs>
      <w:rPr>
        <w:rFonts w:ascii="Public Sans" w:hAnsi="Public Sans" w:cs="Arial"/>
        <w:sz w:val="18"/>
        <w:szCs w:val="18"/>
      </w:rPr>
    </w:pPr>
    <w:r w:rsidRPr="0043282A">
      <w:rPr>
        <w:rFonts w:ascii="Public Sans" w:hAnsi="Public Sans" w:cs="Arial"/>
        <w:sz w:val="18"/>
        <w:szCs w:val="18"/>
      </w:rPr>
      <w:t>Budget Statement 2023-24</w:t>
    </w:r>
    <w:r w:rsidRPr="0043282A">
      <w:rPr>
        <w:rFonts w:ascii="Public Sans" w:hAnsi="Public Sans" w:cs="Arial"/>
        <w:sz w:val="18"/>
        <w:szCs w:val="18"/>
      </w:rPr>
      <w:tab/>
    </w:r>
    <w:r w:rsidR="007E7624" w:rsidRPr="0043282A">
      <w:rPr>
        <w:rFonts w:ascii="Public Sans" w:hAnsi="Public Sans" w:cs="Arial"/>
        <w:sz w:val="18"/>
        <w:szCs w:val="18"/>
      </w:rPr>
      <w:t>E</w:t>
    </w:r>
    <w:r w:rsidRPr="0043282A">
      <w:rPr>
        <w:rFonts w:ascii="Public Sans" w:hAnsi="Public Sans" w:cs="Arial"/>
        <w:sz w:val="18"/>
        <w:szCs w:val="18"/>
      </w:rPr>
      <w:t xml:space="preserve"> - </w:t>
    </w:r>
    <w:r w:rsidRPr="0043282A">
      <w:rPr>
        <w:rFonts w:ascii="Public Sans" w:hAnsi="Public Sans" w:cs="Arial"/>
        <w:sz w:val="18"/>
        <w:szCs w:val="18"/>
      </w:rPr>
      <w:fldChar w:fldCharType="begin"/>
    </w:r>
    <w:r w:rsidRPr="0043282A">
      <w:rPr>
        <w:rFonts w:ascii="Public Sans" w:hAnsi="Public Sans" w:cs="Arial"/>
        <w:sz w:val="18"/>
        <w:szCs w:val="18"/>
      </w:rPr>
      <w:instrText xml:space="preserve"> PAGE   \* MERGEFORMAT </w:instrText>
    </w:r>
    <w:r w:rsidRPr="0043282A">
      <w:rPr>
        <w:rFonts w:ascii="Public Sans" w:hAnsi="Public Sans" w:cs="Arial"/>
        <w:sz w:val="18"/>
        <w:szCs w:val="18"/>
      </w:rPr>
      <w:fldChar w:fldCharType="separate"/>
    </w:r>
    <w:r w:rsidRPr="0043282A">
      <w:rPr>
        <w:rFonts w:ascii="Public Sans" w:hAnsi="Public Sans" w:cs="Arial"/>
        <w:sz w:val="18"/>
        <w:szCs w:val="18"/>
      </w:rPr>
      <w:t>5</w:t>
    </w:r>
    <w:r w:rsidRPr="0043282A">
      <w:rPr>
        <w:rFonts w:ascii="Public Sans" w:hAnsi="Public Sans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5D399" w14:textId="77777777" w:rsidR="00B35FD1" w:rsidRDefault="00B35FD1">
      <w:pPr>
        <w:spacing w:before="120"/>
      </w:pPr>
      <w:r>
        <w:separator/>
      </w:r>
    </w:p>
  </w:footnote>
  <w:footnote w:type="continuationSeparator" w:id="0">
    <w:p w14:paraId="3AD664B0" w14:textId="77777777" w:rsidR="00B35FD1" w:rsidRDefault="00B35FD1">
      <w:pPr>
        <w:spacing w:before="120"/>
      </w:pPr>
      <w:r>
        <w:continuationSeparator/>
      </w:r>
    </w:p>
  </w:footnote>
  <w:footnote w:type="continuationNotice" w:id="1">
    <w:p w14:paraId="611FDBEE" w14:textId="77777777" w:rsidR="00B35FD1" w:rsidRDefault="00B35FD1">
      <w:pPr>
        <w:rPr>
          <w:sz w:val="16"/>
        </w:rPr>
      </w:pPr>
    </w:p>
  </w:footnote>
  <w:footnote w:id="2">
    <w:p w14:paraId="7875A735" w14:textId="65355214" w:rsidR="00E3075D" w:rsidRPr="0028560B" w:rsidRDefault="00E3075D" w:rsidP="009723AE">
      <w:pPr>
        <w:pStyle w:val="FootnoteText"/>
        <w:ind w:hanging="284"/>
        <w:rPr>
          <w:lang w:val="en-AU"/>
        </w:rPr>
      </w:pPr>
      <w:r w:rsidRPr="009723AE">
        <w:rPr>
          <w:rStyle w:val="FootnoteReference"/>
          <w:i w:val="0"/>
        </w:rPr>
        <w:footnoteRef/>
      </w:r>
      <w:r w:rsidRPr="009723AE">
        <w:rPr>
          <w:i w:val="0"/>
        </w:rPr>
        <w:t xml:space="preserve"> </w:t>
      </w:r>
      <w:r w:rsidR="00586B2C">
        <w:rPr>
          <w:i w:val="0"/>
          <w:iCs/>
        </w:rPr>
        <w:tab/>
      </w:r>
      <w:r w:rsidRPr="009723AE">
        <w:rPr>
          <w:rFonts w:ascii="Public Sans Light" w:hAnsi="Public Sans Light"/>
          <w:i w:val="0"/>
          <w:sz w:val="17"/>
          <w:szCs w:val="17"/>
        </w:rPr>
        <w:t>General government taxation revenue does not consider mining royalties which are a significant proportion of Queensland’s and Western Australia’s overall revenues</w:t>
      </w:r>
      <w:r w:rsidR="005D60EE">
        <w:rPr>
          <w:rFonts w:ascii="Public Sans Light" w:hAnsi="Public Sans Light"/>
          <w:i w:val="0"/>
          <w:sz w:val="17"/>
          <w:szCs w:val="17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FBB0" w14:textId="5C3A0C32" w:rsidR="007E7624" w:rsidRPr="0043282A" w:rsidRDefault="007E7624" w:rsidP="007E7624">
    <w:pPr>
      <w:pStyle w:val="Header"/>
      <w:pBdr>
        <w:bottom w:val="single" w:sz="4" w:space="4" w:color="auto"/>
      </w:pBdr>
      <w:tabs>
        <w:tab w:val="center" w:pos="4111"/>
      </w:tabs>
      <w:rPr>
        <w:rFonts w:ascii="Public Sans" w:eastAsiaTheme="minorHAnsi" w:hAnsi="Public Sans" w:cs="Arial"/>
        <w:sz w:val="18"/>
        <w:szCs w:val="18"/>
        <w:lang w:val="en-AU"/>
      </w:rPr>
    </w:pPr>
    <w:r w:rsidRPr="0043282A">
      <w:rPr>
        <w:rFonts w:ascii="Public Sans" w:eastAsiaTheme="minorHAnsi" w:hAnsi="Public Sans" w:cs="Arial"/>
        <w:sz w:val="18"/>
        <w:szCs w:val="18"/>
        <w:lang w:val="en-AU"/>
      </w:rPr>
      <w:t xml:space="preserve">Performance and Reporting Under the </w:t>
    </w:r>
    <w:r w:rsidRPr="0043282A">
      <w:rPr>
        <w:rFonts w:ascii="Public Sans" w:eastAsiaTheme="minorHAnsi" w:hAnsi="Public Sans" w:cs="Arial"/>
        <w:i/>
        <w:sz w:val="18"/>
        <w:szCs w:val="18"/>
        <w:lang w:val="en-AU"/>
      </w:rPr>
      <w:t>Fiscal Responsibility Act 2012</w:t>
    </w:r>
  </w:p>
  <w:p w14:paraId="439DB458" w14:textId="77777777" w:rsidR="009E5213" w:rsidRDefault="009E5213" w:rsidP="009E52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4708" w14:textId="300A8F9B" w:rsidR="007E7624" w:rsidRPr="0043282A" w:rsidRDefault="007E7624" w:rsidP="007E7624">
    <w:pPr>
      <w:pStyle w:val="Header"/>
      <w:pBdr>
        <w:bottom w:val="single" w:sz="4" w:space="4" w:color="auto"/>
      </w:pBdr>
      <w:tabs>
        <w:tab w:val="center" w:pos="4111"/>
      </w:tabs>
      <w:jc w:val="right"/>
      <w:rPr>
        <w:rFonts w:ascii="Public Sans" w:eastAsiaTheme="minorHAnsi" w:hAnsi="Public Sans" w:cs="Arial"/>
        <w:sz w:val="18"/>
        <w:szCs w:val="18"/>
        <w:lang w:val="en-AU"/>
      </w:rPr>
    </w:pPr>
    <w:r w:rsidRPr="0043282A">
      <w:rPr>
        <w:rFonts w:ascii="Public Sans" w:eastAsiaTheme="minorHAnsi" w:hAnsi="Public Sans" w:cs="Arial"/>
        <w:sz w:val="18"/>
        <w:szCs w:val="18"/>
        <w:lang w:val="en-AU"/>
      </w:rPr>
      <w:t xml:space="preserve">Performance and Reporting Under the </w:t>
    </w:r>
    <w:r w:rsidRPr="0043282A">
      <w:rPr>
        <w:rFonts w:ascii="Public Sans" w:eastAsiaTheme="minorHAnsi" w:hAnsi="Public Sans" w:cs="Arial"/>
        <w:i/>
        <w:sz w:val="18"/>
        <w:szCs w:val="18"/>
        <w:lang w:val="en-AU"/>
      </w:rPr>
      <w:t>Fiscal Responsibility Act 2012</w:t>
    </w:r>
  </w:p>
  <w:p w14:paraId="08E06F2E" w14:textId="63E124F2" w:rsidR="009E5213" w:rsidRPr="007E7624" w:rsidRDefault="009E5213" w:rsidP="007E7624">
    <w:pPr>
      <w:pStyle w:val="Header"/>
      <w:rPr>
        <w:rFonts w:eastAsia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727DD" w14:textId="496A446E" w:rsidR="00AB2DCE" w:rsidRDefault="00AB2D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6A3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E2770"/>
    <w:multiLevelType w:val="hybridMultilevel"/>
    <w:tmpl w:val="B1EA0446"/>
    <w:lvl w:ilvl="0" w:tplc="6CB4AA2A">
      <w:start w:val="1"/>
      <w:numFmt w:val="decimal"/>
      <w:pStyle w:val="Box71BoxHeading"/>
      <w:lvlText w:val="Box 7.%1:"/>
      <w:lvlJc w:val="left"/>
      <w:pPr>
        <w:ind w:left="720" w:hanging="360"/>
      </w:pPr>
      <w:rPr>
        <w:rFonts w:ascii="Arial Bold" w:hAnsi="Arial Bold" w:hint="default"/>
        <w:b/>
        <w:i w:val="0"/>
        <w:sz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13CE9"/>
    <w:multiLevelType w:val="hybridMultilevel"/>
    <w:tmpl w:val="E98635CE"/>
    <w:lvl w:ilvl="0" w:tplc="EA321640">
      <w:start w:val="1"/>
      <w:numFmt w:val="decimal"/>
      <w:pStyle w:val="ChartA1X"/>
      <w:lvlText w:val="Chart A1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9716A"/>
    <w:multiLevelType w:val="hybridMultilevel"/>
    <w:tmpl w:val="E6EEE90E"/>
    <w:lvl w:ilvl="0" w:tplc="2A182B60">
      <w:start w:val="1"/>
      <w:numFmt w:val="decimal"/>
      <w:pStyle w:val="A22Heading2"/>
      <w:lvlText w:val="A2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22B50"/>
    <w:multiLevelType w:val="hybridMultilevel"/>
    <w:tmpl w:val="01A0C7CC"/>
    <w:lvl w:ilvl="0" w:tplc="DF30B790">
      <w:start w:val="1"/>
      <w:numFmt w:val="decimal"/>
      <w:pStyle w:val="A11Heading2"/>
      <w:lvlText w:val="A1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60651"/>
    <w:multiLevelType w:val="hybridMultilevel"/>
    <w:tmpl w:val="A9386C16"/>
    <w:lvl w:ilvl="0" w:tplc="07A6AD08">
      <w:start w:val="1"/>
      <w:numFmt w:val="decimal"/>
      <w:pStyle w:val="TableA3X"/>
      <w:lvlText w:val="Table A3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57514D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9E3DB3"/>
    <w:multiLevelType w:val="hybridMultilevel"/>
    <w:tmpl w:val="80D86404"/>
    <w:lvl w:ilvl="0" w:tplc="2118EFB4">
      <w:start w:val="1"/>
      <w:numFmt w:val="decimal"/>
      <w:pStyle w:val="FigureBX"/>
      <w:lvlText w:val="Figure B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F3ACE"/>
    <w:multiLevelType w:val="hybridMultilevel"/>
    <w:tmpl w:val="1676F780"/>
    <w:lvl w:ilvl="0" w:tplc="763444AC">
      <w:start w:val="1"/>
      <w:numFmt w:val="decimal"/>
      <w:pStyle w:val="Table7X"/>
      <w:lvlText w:val="Table 7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A161376"/>
    <w:multiLevelType w:val="hybridMultilevel"/>
    <w:tmpl w:val="FBD60AE0"/>
    <w:lvl w:ilvl="0" w:tplc="D0B2D066">
      <w:start w:val="1"/>
      <w:numFmt w:val="decimal"/>
      <w:pStyle w:val="TableBX"/>
      <w:lvlText w:val="Table B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475E7"/>
    <w:multiLevelType w:val="hybridMultilevel"/>
    <w:tmpl w:val="20AA5F5A"/>
    <w:lvl w:ilvl="0" w:tplc="0FF8E9CE">
      <w:start w:val="1"/>
      <w:numFmt w:val="decimal"/>
      <w:pStyle w:val="ChartBX"/>
      <w:lvlText w:val="Chart B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D20A5"/>
    <w:multiLevelType w:val="hybridMultilevel"/>
    <w:tmpl w:val="A948C53A"/>
    <w:lvl w:ilvl="0" w:tplc="FF38996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68548E"/>
    <w:multiLevelType w:val="hybridMultilevel"/>
    <w:tmpl w:val="07A6E582"/>
    <w:lvl w:ilvl="0" w:tplc="D0A00826">
      <w:start w:val="1"/>
      <w:numFmt w:val="decimal"/>
      <w:pStyle w:val="Figure7X"/>
      <w:lvlText w:val="Figure 7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833DA"/>
    <w:multiLevelType w:val="hybridMultilevel"/>
    <w:tmpl w:val="3CF047EC"/>
    <w:lvl w:ilvl="0" w:tplc="45FE75FC">
      <w:start w:val="1"/>
      <w:numFmt w:val="decimal"/>
      <w:pStyle w:val="Table5X"/>
      <w:lvlText w:val="Table 5.%1:"/>
      <w:lvlJc w:val="left"/>
      <w:pPr>
        <w:ind w:left="360" w:hanging="360"/>
      </w:pPr>
      <w:rPr>
        <w:rFonts w:ascii="Public Sans" w:hAnsi="Public Sans" w:hint="default"/>
        <w:b w:val="0"/>
        <w:i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-520" w:hanging="360"/>
      </w:pPr>
    </w:lvl>
    <w:lvl w:ilvl="2" w:tplc="0C09001B" w:tentative="1">
      <w:start w:val="1"/>
      <w:numFmt w:val="lowerRoman"/>
      <w:lvlText w:val="%3."/>
      <w:lvlJc w:val="right"/>
      <w:pPr>
        <w:ind w:left="200" w:hanging="180"/>
      </w:pPr>
    </w:lvl>
    <w:lvl w:ilvl="3" w:tplc="0C09000F" w:tentative="1">
      <w:start w:val="1"/>
      <w:numFmt w:val="decimal"/>
      <w:lvlText w:val="%4."/>
      <w:lvlJc w:val="left"/>
      <w:pPr>
        <w:ind w:left="920" w:hanging="360"/>
      </w:pPr>
    </w:lvl>
    <w:lvl w:ilvl="4" w:tplc="0C090019" w:tentative="1">
      <w:start w:val="1"/>
      <w:numFmt w:val="lowerLetter"/>
      <w:lvlText w:val="%5."/>
      <w:lvlJc w:val="left"/>
      <w:pPr>
        <w:ind w:left="1640" w:hanging="360"/>
      </w:pPr>
    </w:lvl>
    <w:lvl w:ilvl="5" w:tplc="0C09001B" w:tentative="1">
      <w:start w:val="1"/>
      <w:numFmt w:val="lowerRoman"/>
      <w:lvlText w:val="%6."/>
      <w:lvlJc w:val="right"/>
      <w:pPr>
        <w:ind w:left="2360" w:hanging="180"/>
      </w:pPr>
    </w:lvl>
    <w:lvl w:ilvl="6" w:tplc="0C09000F" w:tentative="1">
      <w:start w:val="1"/>
      <w:numFmt w:val="decimal"/>
      <w:lvlText w:val="%7."/>
      <w:lvlJc w:val="left"/>
      <w:pPr>
        <w:ind w:left="3080" w:hanging="360"/>
      </w:pPr>
    </w:lvl>
    <w:lvl w:ilvl="7" w:tplc="0C090019" w:tentative="1">
      <w:start w:val="1"/>
      <w:numFmt w:val="lowerLetter"/>
      <w:lvlText w:val="%8."/>
      <w:lvlJc w:val="left"/>
      <w:pPr>
        <w:ind w:left="3800" w:hanging="360"/>
      </w:pPr>
    </w:lvl>
    <w:lvl w:ilvl="8" w:tplc="0C09001B" w:tentative="1">
      <w:start w:val="1"/>
      <w:numFmt w:val="lowerRoman"/>
      <w:lvlText w:val="%9."/>
      <w:lvlJc w:val="right"/>
      <w:pPr>
        <w:ind w:left="4520" w:hanging="180"/>
      </w:pPr>
    </w:lvl>
  </w:abstractNum>
  <w:abstractNum w:abstractNumId="13" w15:restartNumberingAfterBreak="0">
    <w:nsid w:val="1466487C"/>
    <w:multiLevelType w:val="hybridMultilevel"/>
    <w:tmpl w:val="D116BA2E"/>
    <w:lvl w:ilvl="0" w:tplc="82A2E370">
      <w:start w:val="1"/>
      <w:numFmt w:val="decimal"/>
      <w:pStyle w:val="Figure3X"/>
      <w:lvlText w:val="Figure 3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307FD1"/>
    <w:multiLevelType w:val="hybridMultilevel"/>
    <w:tmpl w:val="8ACE9244"/>
    <w:lvl w:ilvl="0" w:tplc="0D9200E4">
      <w:start w:val="1"/>
      <w:numFmt w:val="decimal"/>
      <w:pStyle w:val="E1Heading2"/>
      <w:lvlText w:val="E.%1"/>
      <w:lvlJc w:val="left"/>
      <w:pPr>
        <w:ind w:left="360" w:hanging="360"/>
      </w:pPr>
      <w:rPr>
        <w:rFonts w:ascii="Public Sans SemiBold" w:hAnsi="Public Sans SemiBold" w:hint="default"/>
        <w:b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A331C"/>
    <w:multiLevelType w:val="hybridMultilevel"/>
    <w:tmpl w:val="D62E3306"/>
    <w:lvl w:ilvl="0" w:tplc="7A242C56">
      <w:start w:val="1"/>
      <w:numFmt w:val="decimal"/>
      <w:pStyle w:val="TableDX"/>
      <w:lvlText w:val="Table D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97091"/>
    <w:multiLevelType w:val="hybridMultilevel"/>
    <w:tmpl w:val="4F3C3368"/>
    <w:lvl w:ilvl="0" w:tplc="CCFEA172">
      <w:start w:val="1"/>
      <w:numFmt w:val="decimal"/>
      <w:pStyle w:val="ChartA5X"/>
      <w:lvlText w:val="Chart A5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BA3451"/>
    <w:multiLevelType w:val="hybridMultilevel"/>
    <w:tmpl w:val="D3CCD44C"/>
    <w:lvl w:ilvl="0" w:tplc="0658A8F8">
      <w:start w:val="1"/>
      <w:numFmt w:val="decimal"/>
      <w:pStyle w:val="FigureA4X"/>
      <w:lvlText w:val="Figure A4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DE7142"/>
    <w:multiLevelType w:val="hybridMultilevel"/>
    <w:tmpl w:val="BD145A3C"/>
    <w:lvl w:ilvl="0" w:tplc="A75607BC">
      <w:start w:val="1"/>
      <w:numFmt w:val="decimal"/>
      <w:pStyle w:val="TableA1X"/>
      <w:lvlText w:val="Table A1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846FD5"/>
    <w:multiLevelType w:val="hybridMultilevel"/>
    <w:tmpl w:val="51685510"/>
    <w:lvl w:ilvl="0" w:tplc="BC860DF2">
      <w:start w:val="1"/>
      <w:numFmt w:val="decimal"/>
      <w:pStyle w:val="B1Heading2"/>
      <w:lvlText w:val="B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16028F"/>
    <w:multiLevelType w:val="hybridMultilevel"/>
    <w:tmpl w:val="F8707472"/>
    <w:lvl w:ilvl="0" w:tplc="42F65876">
      <w:start w:val="1"/>
      <w:numFmt w:val="decimal"/>
      <w:pStyle w:val="ChartA4X"/>
      <w:lvlText w:val="Chart A4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A67470"/>
    <w:multiLevelType w:val="hybridMultilevel"/>
    <w:tmpl w:val="6F860A44"/>
    <w:lvl w:ilvl="0" w:tplc="CE3EB444">
      <w:start w:val="1"/>
      <w:numFmt w:val="decimal"/>
      <w:pStyle w:val="FigureA3X"/>
      <w:lvlText w:val="Figure A3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B35209"/>
    <w:multiLevelType w:val="hybridMultilevel"/>
    <w:tmpl w:val="93FEDE46"/>
    <w:lvl w:ilvl="0" w:tplc="5DEA5146">
      <w:start w:val="1"/>
      <w:numFmt w:val="decimal"/>
      <w:pStyle w:val="Table6X"/>
      <w:lvlText w:val="Table 6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57514D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C46124"/>
    <w:multiLevelType w:val="hybridMultilevel"/>
    <w:tmpl w:val="9982A7A8"/>
    <w:lvl w:ilvl="0" w:tplc="B35C7842">
      <w:start w:val="1"/>
      <w:numFmt w:val="decimal"/>
      <w:pStyle w:val="Figure4X"/>
      <w:lvlText w:val="Figure 4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E73AFC"/>
    <w:multiLevelType w:val="hybridMultilevel"/>
    <w:tmpl w:val="2E8E44F4"/>
    <w:lvl w:ilvl="0" w:tplc="23B43618">
      <w:start w:val="1"/>
      <w:numFmt w:val="decimal"/>
      <w:pStyle w:val="41Heading2"/>
      <w:lvlText w:val="4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100178"/>
    <w:multiLevelType w:val="hybridMultilevel"/>
    <w:tmpl w:val="EF8A198C"/>
    <w:lvl w:ilvl="0" w:tplc="DE9229E2">
      <w:start w:val="1"/>
      <w:numFmt w:val="decimal"/>
      <w:pStyle w:val="Table1X"/>
      <w:lvlText w:val="Table 1.%1:"/>
      <w:lvlJc w:val="left"/>
      <w:pPr>
        <w:ind w:left="360" w:hanging="360"/>
      </w:pPr>
      <w:rPr>
        <w:rFonts w:ascii="Public Sans" w:hAnsi="Public Sans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38E"/>
    <w:multiLevelType w:val="hybridMultilevel"/>
    <w:tmpl w:val="E5440970"/>
    <w:lvl w:ilvl="0" w:tplc="13E48AEA">
      <w:start w:val="1"/>
      <w:numFmt w:val="decimal"/>
      <w:pStyle w:val="FigureA2X"/>
      <w:lvlText w:val="Figure A2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B327C4"/>
    <w:multiLevelType w:val="hybridMultilevel"/>
    <w:tmpl w:val="F66AE854"/>
    <w:lvl w:ilvl="0" w:tplc="792A9F28">
      <w:start w:val="1"/>
      <w:numFmt w:val="decimal"/>
      <w:pStyle w:val="81Heading2"/>
      <w:lvlText w:val="8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D55888"/>
    <w:multiLevelType w:val="hybridMultilevel"/>
    <w:tmpl w:val="66842F36"/>
    <w:lvl w:ilvl="0" w:tplc="4FCC9BE2">
      <w:start w:val="1"/>
      <w:numFmt w:val="decimal"/>
      <w:pStyle w:val="Table4X"/>
      <w:lvlText w:val="Table 4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4F4F4F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A618EB"/>
    <w:multiLevelType w:val="hybridMultilevel"/>
    <w:tmpl w:val="180CD53C"/>
    <w:lvl w:ilvl="0" w:tplc="3EF2249E">
      <w:start w:val="1"/>
      <w:numFmt w:val="decimal"/>
      <w:pStyle w:val="Chart2X"/>
      <w:lvlText w:val="Chart 2.%1:"/>
      <w:lvlJc w:val="left"/>
      <w:pPr>
        <w:ind w:left="360" w:hanging="360"/>
      </w:pPr>
      <w:rPr>
        <w:rFonts w:ascii="Public Sans" w:hAnsi="Public Sans" w:cs="Arial" w:hint="default"/>
        <w:b w:val="0"/>
        <w:i/>
        <w:caps w:val="0"/>
        <w:color w:val="57514D"/>
        <w:sz w:val="22"/>
        <w:szCs w:val="22"/>
        <w:u w:val="none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B425B1"/>
    <w:multiLevelType w:val="hybridMultilevel"/>
    <w:tmpl w:val="577CBD6E"/>
    <w:lvl w:ilvl="0" w:tplc="2F0AE4E8">
      <w:start w:val="1"/>
      <w:numFmt w:val="decimal"/>
      <w:pStyle w:val="TableA2X"/>
      <w:lvlText w:val="Table A2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57514D"/>
        <w:sz w:val="22"/>
        <w:u w:val="none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AC54CD5"/>
    <w:multiLevelType w:val="hybridMultilevel"/>
    <w:tmpl w:val="0DB073A8"/>
    <w:lvl w:ilvl="0" w:tplc="EF7AE16E">
      <w:start w:val="1"/>
      <w:numFmt w:val="decimal"/>
      <w:pStyle w:val="ChartA2X"/>
      <w:lvlText w:val="Chart A2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765FA8"/>
    <w:multiLevelType w:val="hybridMultilevel"/>
    <w:tmpl w:val="AE5EE838"/>
    <w:lvl w:ilvl="0" w:tplc="39DAC87A">
      <w:start w:val="1"/>
      <w:numFmt w:val="decimal"/>
      <w:pStyle w:val="Box8XBoxHeading"/>
      <w:lvlText w:val="Box 8.%1:"/>
      <w:lvlJc w:val="left"/>
      <w:pPr>
        <w:ind w:left="360" w:hanging="360"/>
      </w:pPr>
      <w:rPr>
        <w:rFonts w:ascii="Public Sans SemiBold" w:hAnsi="Public Sans SemiBold" w:hint="default"/>
        <w:b/>
        <w:bCs w:val="0"/>
        <w:i w:val="0"/>
        <w:iCs w:val="0"/>
        <w:caps w:val="0"/>
        <w:strike w:val="0"/>
        <w:dstrike w:val="0"/>
        <w:vanish w:val="0"/>
        <w:color w:val="002664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02373E"/>
    <w:multiLevelType w:val="hybridMultilevel"/>
    <w:tmpl w:val="A04852E6"/>
    <w:lvl w:ilvl="0" w:tplc="605AD154">
      <w:start w:val="1"/>
      <w:numFmt w:val="decimal"/>
      <w:pStyle w:val="C1Heading2"/>
      <w:lvlText w:val="C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5F00C6"/>
    <w:multiLevelType w:val="hybridMultilevel"/>
    <w:tmpl w:val="D430F61A"/>
    <w:lvl w:ilvl="0" w:tplc="AB2E823A">
      <w:start w:val="1"/>
      <w:numFmt w:val="decimal"/>
      <w:pStyle w:val="61Heading2"/>
      <w:lvlText w:val="6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aps w:val="0"/>
        <w:color w:val="22272B"/>
        <w:sz w:val="28"/>
        <w:u w:val="none" w:color="0A7CB9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7303A6"/>
    <w:multiLevelType w:val="hybridMultilevel"/>
    <w:tmpl w:val="24EE0C56"/>
    <w:lvl w:ilvl="0" w:tplc="31947774">
      <w:start w:val="1"/>
      <w:numFmt w:val="decimal"/>
      <w:pStyle w:val="51Heading2"/>
      <w:lvlText w:val="5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aps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-1821" w:hanging="360"/>
      </w:pPr>
    </w:lvl>
    <w:lvl w:ilvl="2" w:tplc="0C09001B" w:tentative="1">
      <w:start w:val="1"/>
      <w:numFmt w:val="lowerRoman"/>
      <w:lvlText w:val="%3."/>
      <w:lvlJc w:val="right"/>
      <w:pPr>
        <w:ind w:left="-1101" w:hanging="180"/>
      </w:pPr>
    </w:lvl>
    <w:lvl w:ilvl="3" w:tplc="0C09000F" w:tentative="1">
      <w:start w:val="1"/>
      <w:numFmt w:val="decimal"/>
      <w:lvlText w:val="%4."/>
      <w:lvlJc w:val="left"/>
      <w:pPr>
        <w:ind w:left="-381" w:hanging="360"/>
      </w:pPr>
    </w:lvl>
    <w:lvl w:ilvl="4" w:tplc="0C090019" w:tentative="1">
      <w:start w:val="1"/>
      <w:numFmt w:val="lowerLetter"/>
      <w:lvlText w:val="%5."/>
      <w:lvlJc w:val="left"/>
      <w:pPr>
        <w:ind w:left="339" w:hanging="360"/>
      </w:pPr>
    </w:lvl>
    <w:lvl w:ilvl="5" w:tplc="0C09001B" w:tentative="1">
      <w:start w:val="1"/>
      <w:numFmt w:val="lowerRoman"/>
      <w:lvlText w:val="%6."/>
      <w:lvlJc w:val="right"/>
      <w:pPr>
        <w:ind w:left="1059" w:hanging="180"/>
      </w:pPr>
    </w:lvl>
    <w:lvl w:ilvl="6" w:tplc="0C09000F" w:tentative="1">
      <w:start w:val="1"/>
      <w:numFmt w:val="decimal"/>
      <w:lvlText w:val="%7."/>
      <w:lvlJc w:val="left"/>
      <w:pPr>
        <w:ind w:left="1779" w:hanging="360"/>
      </w:pPr>
    </w:lvl>
    <w:lvl w:ilvl="7" w:tplc="0C090019" w:tentative="1">
      <w:start w:val="1"/>
      <w:numFmt w:val="lowerLetter"/>
      <w:lvlText w:val="%8."/>
      <w:lvlJc w:val="left"/>
      <w:pPr>
        <w:ind w:left="2499" w:hanging="360"/>
      </w:pPr>
    </w:lvl>
    <w:lvl w:ilvl="8" w:tplc="0C09001B" w:tentative="1">
      <w:start w:val="1"/>
      <w:numFmt w:val="lowerRoman"/>
      <w:lvlText w:val="%9."/>
      <w:lvlJc w:val="right"/>
      <w:pPr>
        <w:ind w:left="3219" w:hanging="180"/>
      </w:pPr>
    </w:lvl>
  </w:abstractNum>
  <w:abstractNum w:abstractNumId="36" w15:restartNumberingAfterBreak="0">
    <w:nsid w:val="45CD10BF"/>
    <w:multiLevelType w:val="hybridMultilevel"/>
    <w:tmpl w:val="F9747B80"/>
    <w:lvl w:ilvl="0" w:tplc="979CEB2E">
      <w:start w:val="1"/>
      <w:numFmt w:val="decimal"/>
      <w:pStyle w:val="Figure5X"/>
      <w:lvlText w:val="Figure 5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432C24"/>
    <w:multiLevelType w:val="hybridMultilevel"/>
    <w:tmpl w:val="231688CC"/>
    <w:lvl w:ilvl="0" w:tplc="1BBC7E6A">
      <w:start w:val="1"/>
      <w:numFmt w:val="decimal"/>
      <w:pStyle w:val="FigureEX"/>
      <w:lvlText w:val="Figure E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1C3199"/>
    <w:multiLevelType w:val="hybridMultilevel"/>
    <w:tmpl w:val="FF1EEEDE"/>
    <w:lvl w:ilvl="0" w:tplc="6A0CC274">
      <w:start w:val="1"/>
      <w:numFmt w:val="decimal"/>
      <w:pStyle w:val="A31Heading2"/>
      <w:lvlText w:val="A3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0D3232"/>
    <w:multiLevelType w:val="hybridMultilevel"/>
    <w:tmpl w:val="1BDACA9A"/>
    <w:lvl w:ilvl="0" w:tplc="F00A5FDA">
      <w:start w:val="1"/>
      <w:numFmt w:val="decimal"/>
      <w:pStyle w:val="Chart4X"/>
      <w:lvlText w:val="Chart 4.%1:"/>
      <w:lvlJc w:val="left"/>
      <w:pPr>
        <w:ind w:left="360" w:hanging="360"/>
      </w:pPr>
      <w:rPr>
        <w:rFonts w:ascii="Public Sans" w:hAnsi="Public Sans" w:cs="Arial" w:hint="default"/>
        <w:b w:val="0"/>
        <w:i/>
        <w:caps w:val="0"/>
        <w:color w:val="57514D"/>
        <w:sz w:val="22"/>
        <w:szCs w:val="22"/>
        <w:u w:val="none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352F38"/>
    <w:multiLevelType w:val="hybridMultilevel"/>
    <w:tmpl w:val="54AA8636"/>
    <w:lvl w:ilvl="0" w:tplc="77B4A580">
      <w:start w:val="1"/>
      <w:numFmt w:val="decimal"/>
      <w:pStyle w:val="31Heading2"/>
      <w:lvlText w:val="3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8EB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795CAD"/>
    <w:multiLevelType w:val="hybridMultilevel"/>
    <w:tmpl w:val="4B5A4DE6"/>
    <w:lvl w:ilvl="0" w:tplc="06D8EE14">
      <w:start w:val="1"/>
      <w:numFmt w:val="decimal"/>
      <w:pStyle w:val="Box7XBoxHeading"/>
      <w:lvlText w:val="Box 7.%1:"/>
      <w:lvlJc w:val="left"/>
      <w:pPr>
        <w:ind w:left="360" w:hanging="360"/>
      </w:pPr>
      <w:rPr>
        <w:rFonts w:ascii="Public Sans SemiBold" w:hAnsi="Public Sans SemiBold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2664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B83096"/>
    <w:multiLevelType w:val="hybridMultilevel"/>
    <w:tmpl w:val="3670BADE"/>
    <w:lvl w:ilvl="0" w:tplc="E83AB53E">
      <w:start w:val="1"/>
      <w:numFmt w:val="decimal"/>
      <w:pStyle w:val="ChartA3X"/>
      <w:lvlText w:val="Chart A3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FB1DA3"/>
    <w:multiLevelType w:val="hybridMultilevel"/>
    <w:tmpl w:val="B8C85740"/>
    <w:lvl w:ilvl="0" w:tplc="A92A2660">
      <w:start w:val="1"/>
      <w:numFmt w:val="decimal"/>
      <w:pStyle w:val="Box3XBoxHeading"/>
      <w:lvlText w:val="Box 3.%1:"/>
      <w:lvlJc w:val="left"/>
      <w:pPr>
        <w:ind w:left="360" w:hanging="360"/>
      </w:pPr>
      <w:rPr>
        <w:rFonts w:ascii="Public Sans SemiBold" w:hAnsi="Public Sans SemiBold" w:cs="Times New Roman" w:hint="default"/>
        <w:b/>
        <w:i w:val="0"/>
        <w:caps w:val="0"/>
        <w:color w:val="002664"/>
        <w:sz w:val="22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726" w:hanging="360"/>
      </w:pPr>
    </w:lvl>
    <w:lvl w:ilvl="2" w:tplc="0C09001B" w:tentative="1">
      <w:start w:val="1"/>
      <w:numFmt w:val="lowerRoman"/>
      <w:lvlText w:val="%3."/>
      <w:lvlJc w:val="right"/>
      <w:pPr>
        <w:ind w:left="1446" w:hanging="180"/>
      </w:pPr>
    </w:lvl>
    <w:lvl w:ilvl="3" w:tplc="0C09000F" w:tentative="1">
      <w:start w:val="1"/>
      <w:numFmt w:val="decimal"/>
      <w:lvlText w:val="%4."/>
      <w:lvlJc w:val="left"/>
      <w:pPr>
        <w:ind w:left="2166" w:hanging="360"/>
      </w:pPr>
    </w:lvl>
    <w:lvl w:ilvl="4" w:tplc="0C090019" w:tentative="1">
      <w:start w:val="1"/>
      <w:numFmt w:val="lowerLetter"/>
      <w:lvlText w:val="%5."/>
      <w:lvlJc w:val="left"/>
      <w:pPr>
        <w:ind w:left="2886" w:hanging="360"/>
      </w:pPr>
    </w:lvl>
    <w:lvl w:ilvl="5" w:tplc="0C09001B" w:tentative="1">
      <w:start w:val="1"/>
      <w:numFmt w:val="lowerRoman"/>
      <w:lvlText w:val="%6."/>
      <w:lvlJc w:val="right"/>
      <w:pPr>
        <w:ind w:left="3606" w:hanging="180"/>
      </w:pPr>
    </w:lvl>
    <w:lvl w:ilvl="6" w:tplc="0C09000F" w:tentative="1">
      <w:start w:val="1"/>
      <w:numFmt w:val="decimal"/>
      <w:lvlText w:val="%7."/>
      <w:lvlJc w:val="left"/>
      <w:pPr>
        <w:ind w:left="4326" w:hanging="360"/>
      </w:pPr>
    </w:lvl>
    <w:lvl w:ilvl="7" w:tplc="0C090019" w:tentative="1">
      <w:start w:val="1"/>
      <w:numFmt w:val="lowerLetter"/>
      <w:lvlText w:val="%8."/>
      <w:lvlJc w:val="left"/>
      <w:pPr>
        <w:ind w:left="5046" w:hanging="360"/>
      </w:pPr>
    </w:lvl>
    <w:lvl w:ilvl="8" w:tplc="0C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4" w15:restartNumberingAfterBreak="0">
    <w:nsid w:val="4D8E799A"/>
    <w:multiLevelType w:val="hybridMultilevel"/>
    <w:tmpl w:val="28FE19DA"/>
    <w:lvl w:ilvl="0" w:tplc="3C283CAA">
      <w:start w:val="1"/>
      <w:numFmt w:val="decimal"/>
      <w:pStyle w:val="Box2XBoxHeading"/>
      <w:lvlText w:val="Box 2.%1:"/>
      <w:lvlJc w:val="left"/>
      <w:pPr>
        <w:ind w:left="360" w:hanging="360"/>
      </w:pPr>
      <w:rPr>
        <w:rFonts w:ascii="Public Sans SemiBold" w:hAnsi="Public Sans SemiBold" w:hint="default"/>
        <w:b/>
        <w:i w:val="0"/>
        <w:color w:val="002664"/>
        <w:sz w:val="23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CA7ED8"/>
    <w:multiLevelType w:val="hybridMultilevel"/>
    <w:tmpl w:val="EDC2B4D8"/>
    <w:lvl w:ilvl="0" w:tplc="C68C75B4">
      <w:start w:val="1"/>
      <w:numFmt w:val="decimal"/>
      <w:pStyle w:val="Table2X"/>
      <w:lvlText w:val="Table 2.%1:"/>
      <w:lvlJc w:val="left"/>
      <w:pPr>
        <w:ind w:left="360" w:hanging="360"/>
      </w:pPr>
      <w:rPr>
        <w:rFonts w:ascii="Public Sans" w:hAnsi="Public Sans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0D536D6"/>
    <w:multiLevelType w:val="hybridMultilevel"/>
    <w:tmpl w:val="4DB22BCE"/>
    <w:lvl w:ilvl="0" w:tplc="DB24AB6E">
      <w:start w:val="1"/>
      <w:numFmt w:val="decimal"/>
      <w:pStyle w:val="Box5XBoxHeading"/>
      <w:lvlText w:val="Box 5.%1:"/>
      <w:lvlJc w:val="left"/>
      <w:pPr>
        <w:ind w:left="360" w:hanging="360"/>
      </w:pPr>
      <w:rPr>
        <w:rFonts w:ascii="Public Sans SemiBold" w:hAnsi="Public Sans SemiBold" w:cs="Times New Roman" w:hint="default"/>
        <w:b/>
        <w:i w:val="0"/>
        <w:caps w:val="0"/>
        <w:color w:val="002664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BD70C2"/>
    <w:multiLevelType w:val="hybridMultilevel"/>
    <w:tmpl w:val="B818E2F2"/>
    <w:lvl w:ilvl="0" w:tplc="98C650BE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836140"/>
    <w:multiLevelType w:val="hybridMultilevel"/>
    <w:tmpl w:val="BB901F84"/>
    <w:lvl w:ilvl="0" w:tplc="7D34DACA">
      <w:start w:val="1"/>
      <w:numFmt w:val="decimal"/>
      <w:pStyle w:val="Chart3X"/>
      <w:lvlText w:val="Chart 3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F164B4"/>
    <w:multiLevelType w:val="hybridMultilevel"/>
    <w:tmpl w:val="BFDC12D4"/>
    <w:lvl w:ilvl="0" w:tplc="F36C4050">
      <w:start w:val="1"/>
      <w:numFmt w:val="decimal"/>
      <w:pStyle w:val="ChartCX"/>
      <w:lvlText w:val="Chart C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D6282E"/>
    <w:multiLevelType w:val="hybridMultilevel"/>
    <w:tmpl w:val="B50E89E8"/>
    <w:lvl w:ilvl="0" w:tplc="C344A7BE">
      <w:start w:val="1"/>
      <w:numFmt w:val="decimal"/>
      <w:pStyle w:val="Chart7X"/>
      <w:lvlText w:val="Chart 7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4F4F4F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6041D7B"/>
    <w:multiLevelType w:val="hybridMultilevel"/>
    <w:tmpl w:val="93CED99C"/>
    <w:lvl w:ilvl="0" w:tplc="7032966E">
      <w:start w:val="1"/>
      <w:numFmt w:val="decimal"/>
      <w:pStyle w:val="ChartFX"/>
      <w:lvlText w:val="Chart F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4F4F4F"/>
        <w:sz w:val="22"/>
        <w:u w:val="none"/>
      </w:rPr>
    </w:lvl>
    <w:lvl w:ilvl="1" w:tplc="16F03A40">
      <w:numFmt w:val="decimal"/>
      <w:lvlText w:val=""/>
      <w:lvlJc w:val="left"/>
    </w:lvl>
    <w:lvl w:ilvl="2" w:tplc="233C1574">
      <w:numFmt w:val="decimal"/>
      <w:lvlText w:val=""/>
      <w:lvlJc w:val="left"/>
    </w:lvl>
    <w:lvl w:ilvl="3" w:tplc="7B003C54">
      <w:numFmt w:val="decimal"/>
      <w:lvlText w:val=""/>
      <w:lvlJc w:val="left"/>
    </w:lvl>
    <w:lvl w:ilvl="4" w:tplc="EAEE4440">
      <w:numFmt w:val="decimal"/>
      <w:lvlText w:val=""/>
      <w:lvlJc w:val="left"/>
    </w:lvl>
    <w:lvl w:ilvl="5" w:tplc="DDAE1404">
      <w:numFmt w:val="decimal"/>
      <w:lvlText w:val=""/>
      <w:lvlJc w:val="left"/>
    </w:lvl>
    <w:lvl w:ilvl="6" w:tplc="30E425A4">
      <w:numFmt w:val="decimal"/>
      <w:lvlText w:val=""/>
      <w:lvlJc w:val="left"/>
    </w:lvl>
    <w:lvl w:ilvl="7" w:tplc="684E0DE4">
      <w:numFmt w:val="decimal"/>
      <w:lvlText w:val=""/>
      <w:lvlJc w:val="left"/>
    </w:lvl>
    <w:lvl w:ilvl="8" w:tplc="38D6F2D4">
      <w:numFmt w:val="decimal"/>
      <w:lvlText w:val=""/>
      <w:lvlJc w:val="left"/>
    </w:lvl>
  </w:abstractNum>
  <w:abstractNum w:abstractNumId="52" w15:restartNumberingAfterBreak="0">
    <w:nsid w:val="599E5E30"/>
    <w:multiLevelType w:val="hybridMultilevel"/>
    <w:tmpl w:val="3D708204"/>
    <w:lvl w:ilvl="0" w:tplc="AA1685D2">
      <w:start w:val="1"/>
      <w:numFmt w:val="decimal"/>
      <w:pStyle w:val="71Heading2"/>
      <w:lvlText w:val="7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aps w:val="0"/>
        <w:color w:val="22272B"/>
        <w:sz w:val="28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A414304"/>
    <w:multiLevelType w:val="hybridMultilevel"/>
    <w:tmpl w:val="6C6E33C0"/>
    <w:lvl w:ilvl="0" w:tplc="EBD27E46">
      <w:start w:val="1"/>
      <w:numFmt w:val="decimal"/>
      <w:pStyle w:val="D1Heading2"/>
      <w:lvlText w:val="D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4039FA"/>
    <w:multiLevelType w:val="hybridMultilevel"/>
    <w:tmpl w:val="AC0E05BA"/>
    <w:lvl w:ilvl="0" w:tplc="019400A6">
      <w:start w:val="1"/>
      <w:numFmt w:val="decimal"/>
      <w:pStyle w:val="11Heading2"/>
      <w:lvlText w:val="1.%1"/>
      <w:lvlJc w:val="left"/>
      <w:pPr>
        <w:ind w:left="720" w:hanging="360"/>
      </w:pPr>
      <w:rPr>
        <w:rFonts w:ascii="Public Sans SemiBold" w:hAnsi="Public Sans SemiBold" w:hint="default"/>
        <w:b w:val="0"/>
        <w:bCs w:val="0"/>
        <w:i w:val="0"/>
        <w:iCs w:val="0"/>
        <w:caps w:val="0"/>
        <w:strike w:val="0"/>
        <w:dstrike w:val="0"/>
        <w:vanish w:val="0"/>
        <w:color w:val="22272B"/>
        <w:spacing w:val="0"/>
        <w:kern w:val="0"/>
        <w:position w:val="0"/>
        <w:sz w:val="28"/>
        <w:u w:val="none" w:color="00ABE6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BD6814"/>
    <w:multiLevelType w:val="hybridMultilevel"/>
    <w:tmpl w:val="68BC6BE2"/>
    <w:lvl w:ilvl="0" w:tplc="5BBC99D6">
      <w:start w:val="1"/>
      <w:numFmt w:val="decimal"/>
      <w:pStyle w:val="Chart6X"/>
      <w:lvlText w:val="Chart 6.%1:"/>
      <w:lvlJc w:val="left"/>
      <w:pPr>
        <w:ind w:left="360" w:hanging="360"/>
      </w:pPr>
      <w:rPr>
        <w:rFonts w:ascii="Public Sans" w:hAnsi="Public Sans" w:cs="Arial" w:hint="default"/>
        <w:b w:val="0"/>
        <w:i/>
        <w:caps w:val="0"/>
        <w:strike w:val="0"/>
        <w:color w:val="57514D"/>
        <w:sz w:val="22"/>
        <w:szCs w:val="22"/>
        <w:u w:val="none" w:color="4F4F4F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4225C0"/>
    <w:multiLevelType w:val="hybridMultilevel"/>
    <w:tmpl w:val="A23C4474"/>
    <w:lvl w:ilvl="0" w:tplc="72A23DCC">
      <w:start w:val="1"/>
      <w:numFmt w:val="decimal"/>
      <w:pStyle w:val="Figure2X"/>
      <w:lvlText w:val="Figure 2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DA03CA"/>
    <w:multiLevelType w:val="hybridMultilevel"/>
    <w:tmpl w:val="76841D38"/>
    <w:lvl w:ilvl="0" w:tplc="98B616F2">
      <w:start w:val="1"/>
      <w:numFmt w:val="decimal"/>
      <w:pStyle w:val="FigureFX"/>
      <w:lvlText w:val="Figure F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B26314"/>
    <w:multiLevelType w:val="hybridMultilevel"/>
    <w:tmpl w:val="80C225BA"/>
    <w:lvl w:ilvl="0" w:tplc="D0F0FC8C">
      <w:start w:val="1"/>
      <w:numFmt w:val="decimal"/>
      <w:pStyle w:val="TableFX"/>
      <w:lvlText w:val="Table F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541C4A"/>
    <w:multiLevelType w:val="hybridMultilevel"/>
    <w:tmpl w:val="B8DC8144"/>
    <w:lvl w:ilvl="0" w:tplc="F516F9AA">
      <w:start w:val="1"/>
      <w:numFmt w:val="decimal"/>
      <w:pStyle w:val="Figure6X"/>
      <w:lvlText w:val="Figure 6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03159E"/>
    <w:multiLevelType w:val="hybridMultilevel"/>
    <w:tmpl w:val="E7D4563E"/>
    <w:lvl w:ilvl="0" w:tplc="76E2174C">
      <w:start w:val="1"/>
      <w:numFmt w:val="bullet"/>
      <w:pStyle w:val="Bullet3"/>
      <w:lvlText w:val="o"/>
      <w:lvlJc w:val="left"/>
      <w:pPr>
        <w:ind w:left="927" w:hanging="360"/>
      </w:pPr>
      <w:rPr>
        <w:rFonts w:ascii="Courier New" w:hAnsi="Courier New" w:cs="Courier New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E75030"/>
    <w:multiLevelType w:val="hybridMultilevel"/>
    <w:tmpl w:val="77D24EDE"/>
    <w:lvl w:ilvl="0" w:tplc="AC301ED0">
      <w:start w:val="1"/>
      <w:numFmt w:val="decimal"/>
      <w:pStyle w:val="Heading2"/>
      <w:lvlText w:val="F.%1"/>
      <w:lvlJc w:val="left"/>
      <w:pPr>
        <w:ind w:left="360" w:hanging="360"/>
      </w:pPr>
      <w:rPr>
        <w:rFonts w:ascii="Arial Bold" w:hAnsi="Arial Bold" w:hint="default"/>
        <w:b/>
        <w:i w:val="0"/>
        <w:color w:val="008EBA"/>
        <w:sz w:val="3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D44CAF"/>
    <w:multiLevelType w:val="hybridMultilevel"/>
    <w:tmpl w:val="BBF40818"/>
    <w:lvl w:ilvl="0" w:tplc="F8965DD8">
      <w:start w:val="1"/>
      <w:numFmt w:val="decimal"/>
      <w:pStyle w:val="Figure8X"/>
      <w:lvlText w:val="Figure 8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08000C"/>
    <w:multiLevelType w:val="hybridMultilevel"/>
    <w:tmpl w:val="EAF2E7A4"/>
    <w:lvl w:ilvl="0" w:tplc="20F82F6C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8095C94"/>
    <w:multiLevelType w:val="hybridMultilevel"/>
    <w:tmpl w:val="619E6466"/>
    <w:lvl w:ilvl="0" w:tplc="A52E78A0">
      <w:start w:val="1"/>
      <w:numFmt w:val="decimal"/>
      <w:pStyle w:val="21Heading2"/>
      <w:lvlText w:val="2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6F44BC"/>
    <w:multiLevelType w:val="hybridMultilevel"/>
    <w:tmpl w:val="3760A860"/>
    <w:lvl w:ilvl="0" w:tplc="E2A69734">
      <w:start w:val="1"/>
      <w:numFmt w:val="decimal"/>
      <w:pStyle w:val="FigureDX"/>
      <w:lvlText w:val="Figure D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0515BC"/>
    <w:multiLevelType w:val="hybridMultilevel"/>
    <w:tmpl w:val="EC506154"/>
    <w:lvl w:ilvl="0" w:tplc="56EC33F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AD0A08"/>
    <w:multiLevelType w:val="hybridMultilevel"/>
    <w:tmpl w:val="2B18B4EE"/>
    <w:lvl w:ilvl="0" w:tplc="FAF2E3B4">
      <w:start w:val="1"/>
      <w:numFmt w:val="decimal"/>
      <w:pStyle w:val="A41Heading2"/>
      <w:lvlText w:val="A4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633B70"/>
    <w:multiLevelType w:val="hybridMultilevel"/>
    <w:tmpl w:val="BD168EE6"/>
    <w:lvl w:ilvl="0" w:tplc="6F6E4644">
      <w:start w:val="1"/>
      <w:numFmt w:val="decimal"/>
      <w:pStyle w:val="Box1XBoxHeading"/>
      <w:lvlText w:val="Box 1.%1:"/>
      <w:lvlJc w:val="left"/>
      <w:pPr>
        <w:ind w:left="360" w:hanging="360"/>
      </w:pPr>
      <w:rPr>
        <w:rFonts w:ascii="Public Sans SemiBold" w:hAnsi="Public Sans SemiBold" w:hint="default"/>
        <w:b/>
        <w:bCs w:val="0"/>
        <w:i w:val="0"/>
        <w:iCs w:val="0"/>
        <w:caps w:val="0"/>
        <w:strike w:val="0"/>
        <w:dstrike w:val="0"/>
        <w:vanish w:val="0"/>
        <w:color w:val="002664"/>
        <w:spacing w:val="0"/>
        <w:kern w:val="0"/>
        <w:position w:val="0"/>
        <w:sz w:val="22"/>
        <w:u w:val="none" w:color="00ABE6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DFA6ECC"/>
    <w:multiLevelType w:val="hybridMultilevel"/>
    <w:tmpl w:val="BB10E880"/>
    <w:lvl w:ilvl="0" w:tplc="A5EE317A">
      <w:start w:val="1"/>
      <w:numFmt w:val="decimal"/>
      <w:pStyle w:val="Box6XBoxHeading"/>
      <w:lvlText w:val="Box 6.%1:"/>
      <w:lvlJc w:val="left"/>
      <w:pPr>
        <w:ind w:left="360" w:hanging="360"/>
      </w:pPr>
      <w:rPr>
        <w:rFonts w:ascii="Public Sans SemiBold" w:hAnsi="Public Sans SemiBold" w:cs="Arial" w:hint="default"/>
        <w:b/>
        <w:i w:val="0"/>
        <w:color w:val="002664"/>
        <w:sz w:val="22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B8201D"/>
    <w:multiLevelType w:val="hybridMultilevel"/>
    <w:tmpl w:val="0384596C"/>
    <w:lvl w:ilvl="0" w:tplc="0EFEA14C">
      <w:start w:val="1"/>
      <w:numFmt w:val="decimal"/>
      <w:pStyle w:val="TableEX"/>
      <w:lvlText w:val="Table E.%1: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3112603"/>
    <w:multiLevelType w:val="hybridMultilevel"/>
    <w:tmpl w:val="7EBC983E"/>
    <w:lvl w:ilvl="0" w:tplc="19B6A9D2">
      <w:start w:val="1"/>
      <w:numFmt w:val="decimal"/>
      <w:pStyle w:val="Chart1X"/>
      <w:lvlText w:val="Chart 1.%1:"/>
      <w:lvlJc w:val="left"/>
      <w:pPr>
        <w:ind w:left="360" w:hanging="360"/>
      </w:pPr>
      <w:rPr>
        <w:rFonts w:ascii="Public Sans" w:hAnsi="Public Sans" w:cs="Arial" w:hint="default"/>
        <w:b w:val="0"/>
        <w:i/>
        <w:caps w:val="0"/>
        <w:color w:val="57514D"/>
        <w:sz w:val="22"/>
        <w:szCs w:val="22"/>
        <w:u w:val="none"/>
        <w:vertAlign w:val="baseline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73BB309D"/>
    <w:multiLevelType w:val="hybridMultilevel"/>
    <w:tmpl w:val="1A8A6AB6"/>
    <w:lvl w:ilvl="0" w:tplc="8BCEF202">
      <w:start w:val="1"/>
      <w:numFmt w:val="decimal"/>
      <w:pStyle w:val="FigureA5X"/>
      <w:lvlText w:val="Figure A4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AC412F"/>
    <w:multiLevelType w:val="hybridMultilevel"/>
    <w:tmpl w:val="5F2EE886"/>
    <w:lvl w:ilvl="0" w:tplc="5D3AE340">
      <w:start w:val="1"/>
      <w:numFmt w:val="decimal"/>
      <w:pStyle w:val="Table8X"/>
      <w:lvlText w:val="Table 8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6543C04"/>
    <w:multiLevelType w:val="hybridMultilevel"/>
    <w:tmpl w:val="E5848DAE"/>
    <w:lvl w:ilvl="0" w:tplc="05EC7EE6">
      <w:start w:val="1"/>
      <w:numFmt w:val="decimal"/>
      <w:pStyle w:val="ChartDX"/>
      <w:lvlText w:val="Chart D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6B3043F"/>
    <w:multiLevelType w:val="hybridMultilevel"/>
    <w:tmpl w:val="E0F8084A"/>
    <w:lvl w:ilvl="0" w:tplc="CF465CF8">
      <w:start w:val="1"/>
      <w:numFmt w:val="decimal"/>
      <w:pStyle w:val="Table3X"/>
      <w:lvlText w:val="Table 3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4F4F4F"/>
        <w:sz w:val="22"/>
        <w:u w:val="none" w:color="4F4F4F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C3404D"/>
    <w:multiLevelType w:val="hybridMultilevel"/>
    <w:tmpl w:val="3C84EB60"/>
    <w:lvl w:ilvl="0" w:tplc="89E0DFC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82868C0"/>
    <w:multiLevelType w:val="hybridMultilevel"/>
    <w:tmpl w:val="F0E2B930"/>
    <w:lvl w:ilvl="0" w:tplc="7FCEA4D2">
      <w:start w:val="1"/>
      <w:numFmt w:val="decimal"/>
      <w:pStyle w:val="Figure1X"/>
      <w:lvlText w:val="Figure 1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C00E47"/>
    <w:multiLevelType w:val="hybridMultilevel"/>
    <w:tmpl w:val="8BEA0916"/>
    <w:lvl w:ilvl="0" w:tplc="C3C84DF0">
      <w:start w:val="1"/>
      <w:numFmt w:val="decimal"/>
      <w:pStyle w:val="FigureA1X"/>
      <w:lvlText w:val="Figure A1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A1A1949"/>
    <w:multiLevelType w:val="hybridMultilevel"/>
    <w:tmpl w:val="6DF6CDE8"/>
    <w:lvl w:ilvl="0" w:tplc="53264B4E">
      <w:start w:val="1"/>
      <w:numFmt w:val="decimal"/>
      <w:pStyle w:val="Chart5X"/>
      <w:lvlText w:val="Chart 5.%1:"/>
      <w:lvlJc w:val="left"/>
      <w:pPr>
        <w:ind w:left="360" w:hanging="360"/>
      </w:pPr>
      <w:rPr>
        <w:rFonts w:ascii="Public Sans" w:hAnsi="Public Sans" w:cs="Arial" w:hint="default"/>
        <w:b w:val="0"/>
        <w:i/>
        <w:caps w:val="0"/>
        <w:color w:val="57514D"/>
        <w:sz w:val="22"/>
        <w:szCs w:val="22"/>
        <w:u w:val="none" w:color="4F4F4F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A876093"/>
    <w:multiLevelType w:val="hybridMultilevel"/>
    <w:tmpl w:val="8AE6108C"/>
    <w:lvl w:ilvl="0" w:tplc="818A2532">
      <w:start w:val="1"/>
      <w:numFmt w:val="decimal"/>
      <w:pStyle w:val="Box4XBoxHeading"/>
      <w:lvlText w:val="Box 4.%1:"/>
      <w:lvlJc w:val="left"/>
      <w:pPr>
        <w:ind w:left="360" w:hanging="360"/>
      </w:pPr>
      <w:rPr>
        <w:rFonts w:ascii="Public Sans SemiBold" w:hAnsi="Public Sans SemiBold" w:cs="Times New Roman" w:hint="default"/>
        <w:b/>
        <w:i w:val="0"/>
        <w:caps w:val="0"/>
        <w:color w:val="002664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C6919CF"/>
    <w:multiLevelType w:val="hybridMultilevel"/>
    <w:tmpl w:val="9AC06702"/>
    <w:lvl w:ilvl="0" w:tplc="BAC2257E">
      <w:start w:val="1"/>
      <w:numFmt w:val="decimal"/>
      <w:pStyle w:val="F1Heading2"/>
      <w:lvlText w:val="F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2945C9"/>
    <w:multiLevelType w:val="hybridMultilevel"/>
    <w:tmpl w:val="E24C0D4E"/>
    <w:lvl w:ilvl="0" w:tplc="EADED0DE">
      <w:start w:val="1"/>
      <w:numFmt w:val="decimal"/>
      <w:pStyle w:val="FigureCX"/>
      <w:lvlText w:val="Figure C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58502F"/>
    <w:multiLevelType w:val="hybridMultilevel"/>
    <w:tmpl w:val="06065FE6"/>
    <w:lvl w:ilvl="0" w:tplc="5E58E244">
      <w:start w:val="1"/>
      <w:numFmt w:val="decimal"/>
      <w:pStyle w:val="TableCX"/>
      <w:lvlText w:val="Table C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7E6F1F"/>
    <w:multiLevelType w:val="hybridMultilevel"/>
    <w:tmpl w:val="25D24E66"/>
    <w:lvl w:ilvl="0" w:tplc="AFB4FA42">
      <w:start w:val="1"/>
      <w:numFmt w:val="decimal"/>
      <w:pStyle w:val="ChartEX"/>
      <w:lvlText w:val="Chart E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651319">
    <w:abstractNumId w:val="47"/>
  </w:num>
  <w:num w:numId="2" w16cid:durableId="1012880008">
    <w:abstractNumId w:val="61"/>
  </w:num>
  <w:num w:numId="3" w16cid:durableId="772550103">
    <w:abstractNumId w:val="68"/>
  </w:num>
  <w:num w:numId="4" w16cid:durableId="1976445903">
    <w:abstractNumId w:val="44"/>
  </w:num>
  <w:num w:numId="5" w16cid:durableId="909848092">
    <w:abstractNumId w:val="29"/>
  </w:num>
  <w:num w:numId="6" w16cid:durableId="1206916741">
    <w:abstractNumId w:val="45"/>
  </w:num>
  <w:num w:numId="7" w16cid:durableId="379324161">
    <w:abstractNumId w:val="71"/>
  </w:num>
  <w:num w:numId="8" w16cid:durableId="227422026">
    <w:abstractNumId w:val="40"/>
  </w:num>
  <w:num w:numId="9" w16cid:durableId="2037533935">
    <w:abstractNumId w:val="43"/>
  </w:num>
  <w:num w:numId="10" w16cid:durableId="1915430418">
    <w:abstractNumId w:val="1"/>
  </w:num>
  <w:num w:numId="11" w16cid:durableId="464155706">
    <w:abstractNumId w:val="48"/>
  </w:num>
  <w:num w:numId="12" w16cid:durableId="742945067">
    <w:abstractNumId w:val="75"/>
  </w:num>
  <w:num w:numId="13" w16cid:durableId="723021600">
    <w:abstractNumId w:val="28"/>
  </w:num>
  <w:num w:numId="14" w16cid:durableId="1098327593">
    <w:abstractNumId w:val="35"/>
  </w:num>
  <w:num w:numId="15" w16cid:durableId="1633049061">
    <w:abstractNumId w:val="79"/>
  </w:num>
  <w:num w:numId="16" w16cid:durableId="1226532607">
    <w:abstractNumId w:val="12"/>
  </w:num>
  <w:num w:numId="17" w16cid:durableId="454057914">
    <w:abstractNumId w:val="69"/>
  </w:num>
  <w:num w:numId="18" w16cid:durableId="477262018">
    <w:abstractNumId w:val="55"/>
  </w:num>
  <w:num w:numId="19" w16cid:durableId="364059373">
    <w:abstractNumId w:val="22"/>
  </w:num>
  <w:num w:numId="20" w16cid:durableId="1156338826">
    <w:abstractNumId w:val="52"/>
  </w:num>
  <w:num w:numId="21" w16cid:durableId="1949193816">
    <w:abstractNumId w:val="50"/>
  </w:num>
  <w:num w:numId="22" w16cid:durableId="666320605">
    <w:abstractNumId w:val="41"/>
  </w:num>
  <w:num w:numId="23" w16cid:durableId="956104870">
    <w:abstractNumId w:val="7"/>
  </w:num>
  <w:num w:numId="24" w16cid:durableId="1920405866">
    <w:abstractNumId w:val="30"/>
  </w:num>
  <w:num w:numId="25" w16cid:durableId="1950819111">
    <w:abstractNumId w:val="5"/>
  </w:num>
  <w:num w:numId="26" w16cid:durableId="47804031">
    <w:abstractNumId w:val="4"/>
  </w:num>
  <w:num w:numId="27" w16cid:durableId="793137578">
    <w:abstractNumId w:val="19"/>
  </w:num>
  <w:num w:numId="28" w16cid:durableId="545260190">
    <w:abstractNumId w:val="9"/>
  </w:num>
  <w:num w:numId="29" w16cid:durableId="1633096602">
    <w:abstractNumId w:val="49"/>
  </w:num>
  <w:num w:numId="30" w16cid:durableId="334453913">
    <w:abstractNumId w:val="74"/>
  </w:num>
  <w:num w:numId="31" w16cid:durableId="1537817192">
    <w:abstractNumId w:val="18"/>
  </w:num>
  <w:num w:numId="32" w16cid:durableId="1665814591">
    <w:abstractNumId w:val="8"/>
  </w:num>
  <w:num w:numId="33" w16cid:durableId="361633808">
    <w:abstractNumId w:val="83"/>
  </w:num>
  <w:num w:numId="34" w16cid:durableId="762606329">
    <w:abstractNumId w:val="15"/>
  </w:num>
  <w:num w:numId="35" w16cid:durableId="1135373535">
    <w:abstractNumId w:val="51"/>
  </w:num>
  <w:num w:numId="36" w16cid:durableId="357900749">
    <w:abstractNumId w:val="64"/>
  </w:num>
  <w:num w:numId="37" w16cid:durableId="223028694">
    <w:abstractNumId w:val="24"/>
  </w:num>
  <w:num w:numId="38" w16cid:durableId="269355950">
    <w:abstractNumId w:val="34"/>
  </w:num>
  <w:num w:numId="39" w16cid:durableId="869148335">
    <w:abstractNumId w:val="27"/>
  </w:num>
  <w:num w:numId="40" w16cid:durableId="1011645628">
    <w:abstractNumId w:val="3"/>
  </w:num>
  <w:num w:numId="41" w16cid:durableId="861433331">
    <w:abstractNumId w:val="38"/>
  </w:num>
  <w:num w:numId="42" w16cid:durableId="1580796687">
    <w:abstractNumId w:val="67"/>
  </w:num>
  <w:num w:numId="43" w16cid:durableId="955988063">
    <w:abstractNumId w:val="33"/>
  </w:num>
  <w:num w:numId="44" w16cid:durableId="1461920188">
    <w:abstractNumId w:val="53"/>
  </w:num>
  <w:num w:numId="45" w16cid:durableId="373890380">
    <w:abstractNumId w:val="14"/>
  </w:num>
  <w:num w:numId="46" w16cid:durableId="328564473">
    <w:abstractNumId w:val="81"/>
  </w:num>
  <w:num w:numId="47" w16cid:durableId="1859393466">
    <w:abstractNumId w:val="80"/>
  </w:num>
  <w:num w:numId="48" w16cid:durableId="1904829545">
    <w:abstractNumId w:val="46"/>
  </w:num>
  <w:num w:numId="49" w16cid:durableId="1208951634">
    <w:abstractNumId w:val="25"/>
  </w:num>
  <w:num w:numId="50" w16cid:durableId="1401174682">
    <w:abstractNumId w:val="73"/>
  </w:num>
  <w:num w:numId="51" w16cid:durableId="864098280">
    <w:abstractNumId w:val="39"/>
  </w:num>
  <w:num w:numId="52" w16cid:durableId="1779250943">
    <w:abstractNumId w:val="2"/>
  </w:num>
  <w:num w:numId="53" w16cid:durableId="231546739">
    <w:abstractNumId w:val="31"/>
  </w:num>
  <w:num w:numId="54" w16cid:durableId="1681737941">
    <w:abstractNumId w:val="42"/>
  </w:num>
  <w:num w:numId="55" w16cid:durableId="909967997">
    <w:abstractNumId w:val="20"/>
  </w:num>
  <w:num w:numId="56" w16cid:durableId="2050185579">
    <w:abstractNumId w:val="16"/>
  </w:num>
  <w:num w:numId="57" w16cid:durableId="1917664535">
    <w:abstractNumId w:val="58"/>
  </w:num>
  <w:num w:numId="58" w16cid:durableId="1713840497">
    <w:abstractNumId w:val="63"/>
  </w:num>
  <w:num w:numId="59" w16cid:durableId="1490516087">
    <w:abstractNumId w:val="66"/>
  </w:num>
  <w:num w:numId="60" w16cid:durableId="1142428171">
    <w:abstractNumId w:val="10"/>
  </w:num>
  <w:num w:numId="61" w16cid:durableId="1835729842">
    <w:abstractNumId w:val="76"/>
  </w:num>
  <w:num w:numId="62" w16cid:durableId="127558034">
    <w:abstractNumId w:val="84"/>
  </w:num>
  <w:num w:numId="63" w16cid:durableId="1888754331">
    <w:abstractNumId w:val="37"/>
  </w:num>
  <w:num w:numId="64" w16cid:durableId="2051565319">
    <w:abstractNumId w:val="0"/>
  </w:num>
  <w:num w:numId="65" w16cid:durableId="1188904504">
    <w:abstractNumId w:val="54"/>
  </w:num>
  <w:num w:numId="66" w16cid:durableId="969435720">
    <w:abstractNumId w:val="32"/>
  </w:num>
  <w:num w:numId="67" w16cid:durableId="165901008">
    <w:abstractNumId w:val="60"/>
  </w:num>
  <w:num w:numId="68" w16cid:durableId="1753963552">
    <w:abstractNumId w:val="77"/>
  </w:num>
  <w:num w:numId="69" w16cid:durableId="1896548505">
    <w:abstractNumId w:val="56"/>
  </w:num>
  <w:num w:numId="70" w16cid:durableId="2028633954">
    <w:abstractNumId w:val="13"/>
  </w:num>
  <w:num w:numId="71" w16cid:durableId="711343036">
    <w:abstractNumId w:val="23"/>
  </w:num>
  <w:num w:numId="72" w16cid:durableId="1675499779">
    <w:abstractNumId w:val="36"/>
  </w:num>
  <w:num w:numId="73" w16cid:durableId="738207998">
    <w:abstractNumId w:val="59"/>
  </w:num>
  <w:num w:numId="74" w16cid:durableId="1262110266">
    <w:abstractNumId w:val="11"/>
  </w:num>
  <w:num w:numId="75" w16cid:durableId="1434059168">
    <w:abstractNumId w:val="62"/>
  </w:num>
  <w:num w:numId="76" w16cid:durableId="145704676">
    <w:abstractNumId w:val="78"/>
  </w:num>
  <w:num w:numId="77" w16cid:durableId="1250626054">
    <w:abstractNumId w:val="26"/>
  </w:num>
  <w:num w:numId="78" w16cid:durableId="934947424">
    <w:abstractNumId w:val="21"/>
  </w:num>
  <w:num w:numId="79" w16cid:durableId="1839533859">
    <w:abstractNumId w:val="17"/>
  </w:num>
  <w:num w:numId="80" w16cid:durableId="1978025508">
    <w:abstractNumId w:val="72"/>
  </w:num>
  <w:num w:numId="81" w16cid:durableId="413551434">
    <w:abstractNumId w:val="6"/>
  </w:num>
  <w:num w:numId="82" w16cid:durableId="440337877">
    <w:abstractNumId w:val="82"/>
  </w:num>
  <w:num w:numId="83" w16cid:durableId="2033872979">
    <w:abstractNumId w:val="65"/>
  </w:num>
  <w:num w:numId="84" w16cid:durableId="2072776296">
    <w:abstractNumId w:val="57"/>
  </w:num>
  <w:num w:numId="85" w16cid:durableId="1430128014">
    <w:abstractNumId w:val="70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BB"/>
    <w:rsid w:val="00001FC4"/>
    <w:rsid w:val="00003099"/>
    <w:rsid w:val="00004FF3"/>
    <w:rsid w:val="000054EF"/>
    <w:rsid w:val="000057CF"/>
    <w:rsid w:val="00006EFB"/>
    <w:rsid w:val="000072B2"/>
    <w:rsid w:val="000121C2"/>
    <w:rsid w:val="00014ED1"/>
    <w:rsid w:val="000153B8"/>
    <w:rsid w:val="000201BE"/>
    <w:rsid w:val="00020DE7"/>
    <w:rsid w:val="000217CC"/>
    <w:rsid w:val="00022D8F"/>
    <w:rsid w:val="000239DC"/>
    <w:rsid w:val="00026F56"/>
    <w:rsid w:val="0002795C"/>
    <w:rsid w:val="000310F1"/>
    <w:rsid w:val="00031C6D"/>
    <w:rsid w:val="0003432C"/>
    <w:rsid w:val="00035D88"/>
    <w:rsid w:val="000372DF"/>
    <w:rsid w:val="000416F3"/>
    <w:rsid w:val="00042482"/>
    <w:rsid w:val="00043C5E"/>
    <w:rsid w:val="00045303"/>
    <w:rsid w:val="00047698"/>
    <w:rsid w:val="00050E06"/>
    <w:rsid w:val="000523D2"/>
    <w:rsid w:val="00053756"/>
    <w:rsid w:val="00055144"/>
    <w:rsid w:val="00055D9C"/>
    <w:rsid w:val="000566C7"/>
    <w:rsid w:val="0006058F"/>
    <w:rsid w:val="00065F05"/>
    <w:rsid w:val="0006792D"/>
    <w:rsid w:val="00067B73"/>
    <w:rsid w:val="0007152E"/>
    <w:rsid w:val="00072029"/>
    <w:rsid w:val="000737DC"/>
    <w:rsid w:val="00073BF6"/>
    <w:rsid w:val="00073C25"/>
    <w:rsid w:val="00077B00"/>
    <w:rsid w:val="00081BC8"/>
    <w:rsid w:val="00082DF9"/>
    <w:rsid w:val="0008615C"/>
    <w:rsid w:val="00090726"/>
    <w:rsid w:val="00090C29"/>
    <w:rsid w:val="00091DE4"/>
    <w:rsid w:val="00092742"/>
    <w:rsid w:val="00093720"/>
    <w:rsid w:val="00097351"/>
    <w:rsid w:val="000A0C41"/>
    <w:rsid w:val="000A129C"/>
    <w:rsid w:val="000A1D6A"/>
    <w:rsid w:val="000A40BF"/>
    <w:rsid w:val="000A4D29"/>
    <w:rsid w:val="000A68C6"/>
    <w:rsid w:val="000A788C"/>
    <w:rsid w:val="000B04B1"/>
    <w:rsid w:val="000B1009"/>
    <w:rsid w:val="000B1E17"/>
    <w:rsid w:val="000B1F17"/>
    <w:rsid w:val="000B3EB5"/>
    <w:rsid w:val="000B72E8"/>
    <w:rsid w:val="000B7896"/>
    <w:rsid w:val="000B7F0A"/>
    <w:rsid w:val="000C2E6A"/>
    <w:rsid w:val="000C571D"/>
    <w:rsid w:val="000D0184"/>
    <w:rsid w:val="000D415D"/>
    <w:rsid w:val="000D47A5"/>
    <w:rsid w:val="000D5C9F"/>
    <w:rsid w:val="000D6210"/>
    <w:rsid w:val="000E116A"/>
    <w:rsid w:val="000E1E91"/>
    <w:rsid w:val="000E27AC"/>
    <w:rsid w:val="000E3608"/>
    <w:rsid w:val="000E4088"/>
    <w:rsid w:val="000E6507"/>
    <w:rsid w:val="000E7A1E"/>
    <w:rsid w:val="000F009F"/>
    <w:rsid w:val="000F2452"/>
    <w:rsid w:val="000F2F12"/>
    <w:rsid w:val="000F38B4"/>
    <w:rsid w:val="000F62C5"/>
    <w:rsid w:val="00100832"/>
    <w:rsid w:val="00101195"/>
    <w:rsid w:val="00104BEF"/>
    <w:rsid w:val="00106266"/>
    <w:rsid w:val="001070CD"/>
    <w:rsid w:val="00107234"/>
    <w:rsid w:val="001076C2"/>
    <w:rsid w:val="0011499C"/>
    <w:rsid w:val="00116C97"/>
    <w:rsid w:val="00116F12"/>
    <w:rsid w:val="00117257"/>
    <w:rsid w:val="001179FB"/>
    <w:rsid w:val="00117DFF"/>
    <w:rsid w:val="001201FA"/>
    <w:rsid w:val="00120FAB"/>
    <w:rsid w:val="001216EE"/>
    <w:rsid w:val="00123042"/>
    <w:rsid w:val="00125F0F"/>
    <w:rsid w:val="00126E91"/>
    <w:rsid w:val="00130186"/>
    <w:rsid w:val="0013060B"/>
    <w:rsid w:val="00130AE9"/>
    <w:rsid w:val="00133F92"/>
    <w:rsid w:val="00135BCC"/>
    <w:rsid w:val="001402A5"/>
    <w:rsid w:val="00140FE6"/>
    <w:rsid w:val="0014123A"/>
    <w:rsid w:val="001518AA"/>
    <w:rsid w:val="00152133"/>
    <w:rsid w:val="00153A63"/>
    <w:rsid w:val="00154A09"/>
    <w:rsid w:val="0015577E"/>
    <w:rsid w:val="00155F3E"/>
    <w:rsid w:val="00161088"/>
    <w:rsid w:val="00161D30"/>
    <w:rsid w:val="00162957"/>
    <w:rsid w:val="00162D18"/>
    <w:rsid w:val="00163987"/>
    <w:rsid w:val="00163C89"/>
    <w:rsid w:val="00165E4A"/>
    <w:rsid w:val="00167A8A"/>
    <w:rsid w:val="00171564"/>
    <w:rsid w:val="00171DDD"/>
    <w:rsid w:val="0017270B"/>
    <w:rsid w:val="001728B0"/>
    <w:rsid w:val="00173ED3"/>
    <w:rsid w:val="00175887"/>
    <w:rsid w:val="0017618F"/>
    <w:rsid w:val="00181587"/>
    <w:rsid w:val="00186855"/>
    <w:rsid w:val="00186E0A"/>
    <w:rsid w:val="001872B0"/>
    <w:rsid w:val="00192BFC"/>
    <w:rsid w:val="0019344D"/>
    <w:rsid w:val="0019451D"/>
    <w:rsid w:val="00196B5E"/>
    <w:rsid w:val="001A525B"/>
    <w:rsid w:val="001A6452"/>
    <w:rsid w:val="001A6612"/>
    <w:rsid w:val="001A6A74"/>
    <w:rsid w:val="001A7358"/>
    <w:rsid w:val="001A7A65"/>
    <w:rsid w:val="001B0AF3"/>
    <w:rsid w:val="001B7AD8"/>
    <w:rsid w:val="001B7C21"/>
    <w:rsid w:val="001C0F40"/>
    <w:rsid w:val="001C22FB"/>
    <w:rsid w:val="001C3531"/>
    <w:rsid w:val="001C5828"/>
    <w:rsid w:val="001C5E33"/>
    <w:rsid w:val="001C6181"/>
    <w:rsid w:val="001C79B0"/>
    <w:rsid w:val="001D474F"/>
    <w:rsid w:val="001D49F7"/>
    <w:rsid w:val="001D5009"/>
    <w:rsid w:val="001D5778"/>
    <w:rsid w:val="001D582F"/>
    <w:rsid w:val="001D5C8E"/>
    <w:rsid w:val="001D6C8E"/>
    <w:rsid w:val="001D7BB9"/>
    <w:rsid w:val="001E05BB"/>
    <w:rsid w:val="001E10B7"/>
    <w:rsid w:val="001E10B9"/>
    <w:rsid w:val="001E21B2"/>
    <w:rsid w:val="001E2A2F"/>
    <w:rsid w:val="001E75B7"/>
    <w:rsid w:val="001F0873"/>
    <w:rsid w:val="001F1652"/>
    <w:rsid w:val="001F208F"/>
    <w:rsid w:val="001F4AD2"/>
    <w:rsid w:val="001F5A20"/>
    <w:rsid w:val="001F5BBC"/>
    <w:rsid w:val="001F5FB7"/>
    <w:rsid w:val="001F61E5"/>
    <w:rsid w:val="002005BA"/>
    <w:rsid w:val="0020259F"/>
    <w:rsid w:val="00206F41"/>
    <w:rsid w:val="00206F4B"/>
    <w:rsid w:val="00207889"/>
    <w:rsid w:val="00207CA5"/>
    <w:rsid w:val="0021018B"/>
    <w:rsid w:val="002107E3"/>
    <w:rsid w:val="00211A33"/>
    <w:rsid w:val="00212F38"/>
    <w:rsid w:val="00213CA8"/>
    <w:rsid w:val="00214B53"/>
    <w:rsid w:val="00214E0B"/>
    <w:rsid w:val="00216674"/>
    <w:rsid w:val="00216F89"/>
    <w:rsid w:val="00221C23"/>
    <w:rsid w:val="00222A24"/>
    <w:rsid w:val="0022308F"/>
    <w:rsid w:val="002249F8"/>
    <w:rsid w:val="002310CE"/>
    <w:rsid w:val="0023216F"/>
    <w:rsid w:val="00235AB9"/>
    <w:rsid w:val="00236303"/>
    <w:rsid w:val="00237ECC"/>
    <w:rsid w:val="002402B5"/>
    <w:rsid w:val="00240696"/>
    <w:rsid w:val="00243DE3"/>
    <w:rsid w:val="00243F90"/>
    <w:rsid w:val="00243FE0"/>
    <w:rsid w:val="0024465A"/>
    <w:rsid w:val="002462E8"/>
    <w:rsid w:val="00246C7C"/>
    <w:rsid w:val="00246F3E"/>
    <w:rsid w:val="00246FEC"/>
    <w:rsid w:val="00247000"/>
    <w:rsid w:val="002474DD"/>
    <w:rsid w:val="0025076D"/>
    <w:rsid w:val="00250F44"/>
    <w:rsid w:val="00252F36"/>
    <w:rsid w:val="00253A93"/>
    <w:rsid w:val="0025692B"/>
    <w:rsid w:val="00257487"/>
    <w:rsid w:val="00257B88"/>
    <w:rsid w:val="00261119"/>
    <w:rsid w:val="002611F3"/>
    <w:rsid w:val="00261408"/>
    <w:rsid w:val="00262768"/>
    <w:rsid w:val="00262922"/>
    <w:rsid w:val="00264722"/>
    <w:rsid w:val="002653D5"/>
    <w:rsid w:val="002654E2"/>
    <w:rsid w:val="002661F5"/>
    <w:rsid w:val="00271BD1"/>
    <w:rsid w:val="00271D5D"/>
    <w:rsid w:val="00274106"/>
    <w:rsid w:val="00274D08"/>
    <w:rsid w:val="002759EF"/>
    <w:rsid w:val="00275BE1"/>
    <w:rsid w:val="002762FB"/>
    <w:rsid w:val="00276599"/>
    <w:rsid w:val="002765CA"/>
    <w:rsid w:val="002817A9"/>
    <w:rsid w:val="00281A56"/>
    <w:rsid w:val="00281CD8"/>
    <w:rsid w:val="002832FB"/>
    <w:rsid w:val="00284BE4"/>
    <w:rsid w:val="002863DA"/>
    <w:rsid w:val="00286D58"/>
    <w:rsid w:val="00287DC5"/>
    <w:rsid w:val="00287FAB"/>
    <w:rsid w:val="00290875"/>
    <w:rsid w:val="0029558B"/>
    <w:rsid w:val="002A01D0"/>
    <w:rsid w:val="002A0EDA"/>
    <w:rsid w:val="002A16CA"/>
    <w:rsid w:val="002A23B2"/>
    <w:rsid w:val="002A2DC8"/>
    <w:rsid w:val="002A385A"/>
    <w:rsid w:val="002A3E5B"/>
    <w:rsid w:val="002A4F07"/>
    <w:rsid w:val="002A60C3"/>
    <w:rsid w:val="002A6F5F"/>
    <w:rsid w:val="002A7CF4"/>
    <w:rsid w:val="002B0505"/>
    <w:rsid w:val="002B2666"/>
    <w:rsid w:val="002B470B"/>
    <w:rsid w:val="002B6F9B"/>
    <w:rsid w:val="002B71A4"/>
    <w:rsid w:val="002B7574"/>
    <w:rsid w:val="002C0C4B"/>
    <w:rsid w:val="002C0E29"/>
    <w:rsid w:val="002C16B2"/>
    <w:rsid w:val="002C21DB"/>
    <w:rsid w:val="002C2F1D"/>
    <w:rsid w:val="002C4B3E"/>
    <w:rsid w:val="002C59B8"/>
    <w:rsid w:val="002C5B68"/>
    <w:rsid w:val="002C6616"/>
    <w:rsid w:val="002C7837"/>
    <w:rsid w:val="002D03BE"/>
    <w:rsid w:val="002D4739"/>
    <w:rsid w:val="002D62E5"/>
    <w:rsid w:val="002D7BC0"/>
    <w:rsid w:val="002D7F2D"/>
    <w:rsid w:val="002E2137"/>
    <w:rsid w:val="002E32A9"/>
    <w:rsid w:val="002E4ED7"/>
    <w:rsid w:val="002E6766"/>
    <w:rsid w:val="002E74F7"/>
    <w:rsid w:val="002F07E2"/>
    <w:rsid w:val="002F2E65"/>
    <w:rsid w:val="002F3DB5"/>
    <w:rsid w:val="002F4EC0"/>
    <w:rsid w:val="002F7339"/>
    <w:rsid w:val="002F73C7"/>
    <w:rsid w:val="00302640"/>
    <w:rsid w:val="00302D68"/>
    <w:rsid w:val="003033FC"/>
    <w:rsid w:val="00304230"/>
    <w:rsid w:val="003046F9"/>
    <w:rsid w:val="0030480F"/>
    <w:rsid w:val="00304ED1"/>
    <w:rsid w:val="00305CBF"/>
    <w:rsid w:val="00305D23"/>
    <w:rsid w:val="00307AD9"/>
    <w:rsid w:val="0031305D"/>
    <w:rsid w:val="003130AE"/>
    <w:rsid w:val="00320936"/>
    <w:rsid w:val="00320961"/>
    <w:rsid w:val="00321482"/>
    <w:rsid w:val="00334590"/>
    <w:rsid w:val="00334708"/>
    <w:rsid w:val="0033632A"/>
    <w:rsid w:val="003367D1"/>
    <w:rsid w:val="00336F6E"/>
    <w:rsid w:val="00342A77"/>
    <w:rsid w:val="00344557"/>
    <w:rsid w:val="0035063E"/>
    <w:rsid w:val="003517FF"/>
    <w:rsid w:val="00351C5C"/>
    <w:rsid w:val="00352E76"/>
    <w:rsid w:val="00352FD7"/>
    <w:rsid w:val="0035442A"/>
    <w:rsid w:val="00356182"/>
    <w:rsid w:val="003604D2"/>
    <w:rsid w:val="00360E88"/>
    <w:rsid w:val="003622E4"/>
    <w:rsid w:val="00363D76"/>
    <w:rsid w:val="00364DEE"/>
    <w:rsid w:val="0037208E"/>
    <w:rsid w:val="00373D64"/>
    <w:rsid w:val="00373E96"/>
    <w:rsid w:val="0037473D"/>
    <w:rsid w:val="00377AFE"/>
    <w:rsid w:val="00383896"/>
    <w:rsid w:val="00383EF3"/>
    <w:rsid w:val="00384599"/>
    <w:rsid w:val="00384CAB"/>
    <w:rsid w:val="003854A7"/>
    <w:rsid w:val="00385567"/>
    <w:rsid w:val="0038665D"/>
    <w:rsid w:val="00392AD4"/>
    <w:rsid w:val="00394313"/>
    <w:rsid w:val="00394E27"/>
    <w:rsid w:val="0039560A"/>
    <w:rsid w:val="00395971"/>
    <w:rsid w:val="003A2A8C"/>
    <w:rsid w:val="003A4964"/>
    <w:rsid w:val="003A4BEF"/>
    <w:rsid w:val="003B30F7"/>
    <w:rsid w:val="003B3C10"/>
    <w:rsid w:val="003B4C77"/>
    <w:rsid w:val="003B5CF3"/>
    <w:rsid w:val="003C1FD2"/>
    <w:rsid w:val="003C22C8"/>
    <w:rsid w:val="003C30EC"/>
    <w:rsid w:val="003C446A"/>
    <w:rsid w:val="003C52AC"/>
    <w:rsid w:val="003C5BC4"/>
    <w:rsid w:val="003C7DE6"/>
    <w:rsid w:val="003D0881"/>
    <w:rsid w:val="003D53E9"/>
    <w:rsid w:val="003D5C7B"/>
    <w:rsid w:val="003D6E32"/>
    <w:rsid w:val="003D6E77"/>
    <w:rsid w:val="003D78C8"/>
    <w:rsid w:val="003E0D80"/>
    <w:rsid w:val="003E3269"/>
    <w:rsid w:val="003E3F14"/>
    <w:rsid w:val="003E4BDA"/>
    <w:rsid w:val="003E4F35"/>
    <w:rsid w:val="003E5488"/>
    <w:rsid w:val="003F2E1C"/>
    <w:rsid w:val="003F3BF0"/>
    <w:rsid w:val="003F533E"/>
    <w:rsid w:val="003F5DA6"/>
    <w:rsid w:val="004015BA"/>
    <w:rsid w:val="00401B0D"/>
    <w:rsid w:val="0040221A"/>
    <w:rsid w:val="00403CA4"/>
    <w:rsid w:val="004069BE"/>
    <w:rsid w:val="00406AED"/>
    <w:rsid w:val="0041074E"/>
    <w:rsid w:val="00410F90"/>
    <w:rsid w:val="00411A16"/>
    <w:rsid w:val="00412C14"/>
    <w:rsid w:val="00416231"/>
    <w:rsid w:val="00417203"/>
    <w:rsid w:val="00417336"/>
    <w:rsid w:val="00425CF5"/>
    <w:rsid w:val="00426489"/>
    <w:rsid w:val="00427031"/>
    <w:rsid w:val="00427E8F"/>
    <w:rsid w:val="004318F9"/>
    <w:rsid w:val="0043282A"/>
    <w:rsid w:val="0043479C"/>
    <w:rsid w:val="00434824"/>
    <w:rsid w:val="004400D6"/>
    <w:rsid w:val="004409BF"/>
    <w:rsid w:val="00442ABB"/>
    <w:rsid w:val="00444D1E"/>
    <w:rsid w:val="00451696"/>
    <w:rsid w:val="0045225A"/>
    <w:rsid w:val="00452DB8"/>
    <w:rsid w:val="00453E26"/>
    <w:rsid w:val="0045713C"/>
    <w:rsid w:val="00461CCA"/>
    <w:rsid w:val="004633EF"/>
    <w:rsid w:val="00463767"/>
    <w:rsid w:val="00464369"/>
    <w:rsid w:val="00464A3E"/>
    <w:rsid w:val="00466EA4"/>
    <w:rsid w:val="00467759"/>
    <w:rsid w:val="00467FBE"/>
    <w:rsid w:val="0047019F"/>
    <w:rsid w:val="00470479"/>
    <w:rsid w:val="00470CEC"/>
    <w:rsid w:val="0047125B"/>
    <w:rsid w:val="00472291"/>
    <w:rsid w:val="0047229F"/>
    <w:rsid w:val="004729AD"/>
    <w:rsid w:val="00476EE1"/>
    <w:rsid w:val="004772E8"/>
    <w:rsid w:val="00481845"/>
    <w:rsid w:val="0048239F"/>
    <w:rsid w:val="00482E6D"/>
    <w:rsid w:val="004833F5"/>
    <w:rsid w:val="00485E39"/>
    <w:rsid w:val="00487A1E"/>
    <w:rsid w:val="00490E4B"/>
    <w:rsid w:val="00491ECE"/>
    <w:rsid w:val="00493803"/>
    <w:rsid w:val="00494ABE"/>
    <w:rsid w:val="004959D6"/>
    <w:rsid w:val="00495AE8"/>
    <w:rsid w:val="0049774C"/>
    <w:rsid w:val="00497C9B"/>
    <w:rsid w:val="004A17B8"/>
    <w:rsid w:val="004A2C26"/>
    <w:rsid w:val="004A45FD"/>
    <w:rsid w:val="004A46EA"/>
    <w:rsid w:val="004B036C"/>
    <w:rsid w:val="004B16F3"/>
    <w:rsid w:val="004B1704"/>
    <w:rsid w:val="004B2F38"/>
    <w:rsid w:val="004B3243"/>
    <w:rsid w:val="004B5EB2"/>
    <w:rsid w:val="004B76A2"/>
    <w:rsid w:val="004C03ED"/>
    <w:rsid w:val="004C11B1"/>
    <w:rsid w:val="004C3BE1"/>
    <w:rsid w:val="004C58AC"/>
    <w:rsid w:val="004C6894"/>
    <w:rsid w:val="004C6F2C"/>
    <w:rsid w:val="004D011D"/>
    <w:rsid w:val="004D09D4"/>
    <w:rsid w:val="004D0BDA"/>
    <w:rsid w:val="004D381D"/>
    <w:rsid w:val="004D5E13"/>
    <w:rsid w:val="004D71D0"/>
    <w:rsid w:val="004E1B7F"/>
    <w:rsid w:val="004E27AA"/>
    <w:rsid w:val="004E3718"/>
    <w:rsid w:val="004E46C7"/>
    <w:rsid w:val="004F076B"/>
    <w:rsid w:val="004F224E"/>
    <w:rsid w:val="004F3862"/>
    <w:rsid w:val="004F4C7B"/>
    <w:rsid w:val="004F4F85"/>
    <w:rsid w:val="004F4FB9"/>
    <w:rsid w:val="004F57DE"/>
    <w:rsid w:val="004F6392"/>
    <w:rsid w:val="00501487"/>
    <w:rsid w:val="0050291D"/>
    <w:rsid w:val="00502E9B"/>
    <w:rsid w:val="005055AE"/>
    <w:rsid w:val="005065E4"/>
    <w:rsid w:val="00506DF9"/>
    <w:rsid w:val="0051031A"/>
    <w:rsid w:val="00510D59"/>
    <w:rsid w:val="00515D0B"/>
    <w:rsid w:val="00515D71"/>
    <w:rsid w:val="0051720A"/>
    <w:rsid w:val="00520B69"/>
    <w:rsid w:val="005212BB"/>
    <w:rsid w:val="00525111"/>
    <w:rsid w:val="0052783C"/>
    <w:rsid w:val="00531C90"/>
    <w:rsid w:val="005325C3"/>
    <w:rsid w:val="00536878"/>
    <w:rsid w:val="00536ED7"/>
    <w:rsid w:val="00537613"/>
    <w:rsid w:val="0053770C"/>
    <w:rsid w:val="005410A6"/>
    <w:rsid w:val="0054551F"/>
    <w:rsid w:val="00545D19"/>
    <w:rsid w:val="00546071"/>
    <w:rsid w:val="00550C83"/>
    <w:rsid w:val="005532E5"/>
    <w:rsid w:val="005541CC"/>
    <w:rsid w:val="005567F1"/>
    <w:rsid w:val="005569A7"/>
    <w:rsid w:val="005604D7"/>
    <w:rsid w:val="00562772"/>
    <w:rsid w:val="005631A2"/>
    <w:rsid w:val="00563651"/>
    <w:rsid w:val="0056526A"/>
    <w:rsid w:val="00571991"/>
    <w:rsid w:val="005724E9"/>
    <w:rsid w:val="005728ED"/>
    <w:rsid w:val="00573A4E"/>
    <w:rsid w:val="00575802"/>
    <w:rsid w:val="005763E3"/>
    <w:rsid w:val="005765D4"/>
    <w:rsid w:val="0057686C"/>
    <w:rsid w:val="00577539"/>
    <w:rsid w:val="00580227"/>
    <w:rsid w:val="00581027"/>
    <w:rsid w:val="00585336"/>
    <w:rsid w:val="00585765"/>
    <w:rsid w:val="005865DF"/>
    <w:rsid w:val="00586B2C"/>
    <w:rsid w:val="005878E9"/>
    <w:rsid w:val="00587964"/>
    <w:rsid w:val="00590507"/>
    <w:rsid w:val="0059115F"/>
    <w:rsid w:val="0059366C"/>
    <w:rsid w:val="005968C1"/>
    <w:rsid w:val="005978EA"/>
    <w:rsid w:val="005A26B6"/>
    <w:rsid w:val="005A4DE5"/>
    <w:rsid w:val="005A51F3"/>
    <w:rsid w:val="005A6736"/>
    <w:rsid w:val="005B0082"/>
    <w:rsid w:val="005B1518"/>
    <w:rsid w:val="005B3AAA"/>
    <w:rsid w:val="005B490A"/>
    <w:rsid w:val="005B496D"/>
    <w:rsid w:val="005B5630"/>
    <w:rsid w:val="005B673B"/>
    <w:rsid w:val="005C159F"/>
    <w:rsid w:val="005C2CA5"/>
    <w:rsid w:val="005C5408"/>
    <w:rsid w:val="005C56B9"/>
    <w:rsid w:val="005C595E"/>
    <w:rsid w:val="005C6DB8"/>
    <w:rsid w:val="005C7B05"/>
    <w:rsid w:val="005C7CC0"/>
    <w:rsid w:val="005C7D87"/>
    <w:rsid w:val="005D0E4A"/>
    <w:rsid w:val="005D110C"/>
    <w:rsid w:val="005D271B"/>
    <w:rsid w:val="005D3A9F"/>
    <w:rsid w:val="005D60EE"/>
    <w:rsid w:val="005D76D2"/>
    <w:rsid w:val="005D76F4"/>
    <w:rsid w:val="005D7B77"/>
    <w:rsid w:val="005E158F"/>
    <w:rsid w:val="005E28C1"/>
    <w:rsid w:val="005E3A49"/>
    <w:rsid w:val="005E4391"/>
    <w:rsid w:val="005E44DC"/>
    <w:rsid w:val="005E5965"/>
    <w:rsid w:val="005F32D3"/>
    <w:rsid w:val="005F7B08"/>
    <w:rsid w:val="0060014A"/>
    <w:rsid w:val="00600504"/>
    <w:rsid w:val="00600FAE"/>
    <w:rsid w:val="0060522F"/>
    <w:rsid w:val="006062BB"/>
    <w:rsid w:val="006067F6"/>
    <w:rsid w:val="006147D8"/>
    <w:rsid w:val="00615775"/>
    <w:rsid w:val="0061719B"/>
    <w:rsid w:val="00617D23"/>
    <w:rsid w:val="00621E91"/>
    <w:rsid w:val="00622A42"/>
    <w:rsid w:val="006319ED"/>
    <w:rsid w:val="00632198"/>
    <w:rsid w:val="006324C2"/>
    <w:rsid w:val="006330A6"/>
    <w:rsid w:val="00634BDD"/>
    <w:rsid w:val="006353F6"/>
    <w:rsid w:val="00641EF9"/>
    <w:rsid w:val="00642BF4"/>
    <w:rsid w:val="00646D6E"/>
    <w:rsid w:val="006517E0"/>
    <w:rsid w:val="00651B92"/>
    <w:rsid w:val="0065249E"/>
    <w:rsid w:val="00655EA0"/>
    <w:rsid w:val="00656D3C"/>
    <w:rsid w:val="0066004F"/>
    <w:rsid w:val="00660A75"/>
    <w:rsid w:val="00664527"/>
    <w:rsid w:val="006664C1"/>
    <w:rsid w:val="006818AF"/>
    <w:rsid w:val="006864AE"/>
    <w:rsid w:val="00686AEA"/>
    <w:rsid w:val="00687DF2"/>
    <w:rsid w:val="006905D9"/>
    <w:rsid w:val="0069160F"/>
    <w:rsid w:val="0069192B"/>
    <w:rsid w:val="00694E82"/>
    <w:rsid w:val="0069691A"/>
    <w:rsid w:val="00697277"/>
    <w:rsid w:val="00697B15"/>
    <w:rsid w:val="00697F23"/>
    <w:rsid w:val="006A060E"/>
    <w:rsid w:val="006A178E"/>
    <w:rsid w:val="006A2CF2"/>
    <w:rsid w:val="006A3779"/>
    <w:rsid w:val="006A4962"/>
    <w:rsid w:val="006A5D54"/>
    <w:rsid w:val="006A6469"/>
    <w:rsid w:val="006B091E"/>
    <w:rsid w:val="006B202B"/>
    <w:rsid w:val="006B36F7"/>
    <w:rsid w:val="006B378D"/>
    <w:rsid w:val="006B3BA9"/>
    <w:rsid w:val="006B40FD"/>
    <w:rsid w:val="006C1529"/>
    <w:rsid w:val="006C36D1"/>
    <w:rsid w:val="006C5388"/>
    <w:rsid w:val="006C5ABA"/>
    <w:rsid w:val="006D08AF"/>
    <w:rsid w:val="006D5ADC"/>
    <w:rsid w:val="006D64B1"/>
    <w:rsid w:val="006D6C34"/>
    <w:rsid w:val="006E2F1A"/>
    <w:rsid w:val="006E6A76"/>
    <w:rsid w:val="006F1150"/>
    <w:rsid w:val="006F2EDC"/>
    <w:rsid w:val="006F30A2"/>
    <w:rsid w:val="006F36B5"/>
    <w:rsid w:val="006F39B7"/>
    <w:rsid w:val="006F57FF"/>
    <w:rsid w:val="006F5D22"/>
    <w:rsid w:val="006F656D"/>
    <w:rsid w:val="00701835"/>
    <w:rsid w:val="00704659"/>
    <w:rsid w:val="00706B54"/>
    <w:rsid w:val="00707E05"/>
    <w:rsid w:val="0071324F"/>
    <w:rsid w:val="00713329"/>
    <w:rsid w:val="00713358"/>
    <w:rsid w:val="00713587"/>
    <w:rsid w:val="00713D08"/>
    <w:rsid w:val="00713E55"/>
    <w:rsid w:val="007151FC"/>
    <w:rsid w:val="0071551A"/>
    <w:rsid w:val="00715AB5"/>
    <w:rsid w:val="007220E5"/>
    <w:rsid w:val="007255BB"/>
    <w:rsid w:val="007264A4"/>
    <w:rsid w:val="007277D1"/>
    <w:rsid w:val="007314A2"/>
    <w:rsid w:val="0073486D"/>
    <w:rsid w:val="00734A2A"/>
    <w:rsid w:val="00743D45"/>
    <w:rsid w:val="00746CDE"/>
    <w:rsid w:val="00747F19"/>
    <w:rsid w:val="00751C55"/>
    <w:rsid w:val="00754F9B"/>
    <w:rsid w:val="00755662"/>
    <w:rsid w:val="0076017C"/>
    <w:rsid w:val="0076151B"/>
    <w:rsid w:val="00761BBA"/>
    <w:rsid w:val="00763D1F"/>
    <w:rsid w:val="00764163"/>
    <w:rsid w:val="007646B4"/>
    <w:rsid w:val="00765C9B"/>
    <w:rsid w:val="00765ED3"/>
    <w:rsid w:val="00767FBB"/>
    <w:rsid w:val="0077094B"/>
    <w:rsid w:val="00775A64"/>
    <w:rsid w:val="007777DC"/>
    <w:rsid w:val="00781947"/>
    <w:rsid w:val="00782CD9"/>
    <w:rsid w:val="007838F5"/>
    <w:rsid w:val="00784B67"/>
    <w:rsid w:val="00784E54"/>
    <w:rsid w:val="0078574C"/>
    <w:rsid w:val="007857A5"/>
    <w:rsid w:val="0078659F"/>
    <w:rsid w:val="00787649"/>
    <w:rsid w:val="00787808"/>
    <w:rsid w:val="00787FF9"/>
    <w:rsid w:val="007904E4"/>
    <w:rsid w:val="00790651"/>
    <w:rsid w:val="0079396C"/>
    <w:rsid w:val="00795581"/>
    <w:rsid w:val="007967EB"/>
    <w:rsid w:val="00796B6B"/>
    <w:rsid w:val="00796B99"/>
    <w:rsid w:val="007A004F"/>
    <w:rsid w:val="007A130D"/>
    <w:rsid w:val="007A2AE6"/>
    <w:rsid w:val="007A38E4"/>
    <w:rsid w:val="007A52CA"/>
    <w:rsid w:val="007B2022"/>
    <w:rsid w:val="007B421E"/>
    <w:rsid w:val="007B4AA8"/>
    <w:rsid w:val="007B7D5D"/>
    <w:rsid w:val="007C0257"/>
    <w:rsid w:val="007C0EC9"/>
    <w:rsid w:val="007C19BE"/>
    <w:rsid w:val="007C2662"/>
    <w:rsid w:val="007C2825"/>
    <w:rsid w:val="007C3BEB"/>
    <w:rsid w:val="007D2A5F"/>
    <w:rsid w:val="007D3BB8"/>
    <w:rsid w:val="007D6A8F"/>
    <w:rsid w:val="007E0BDF"/>
    <w:rsid w:val="007E2164"/>
    <w:rsid w:val="007E7624"/>
    <w:rsid w:val="007E7D6D"/>
    <w:rsid w:val="007E7D8D"/>
    <w:rsid w:val="007F003E"/>
    <w:rsid w:val="007F0D83"/>
    <w:rsid w:val="007F2D94"/>
    <w:rsid w:val="007F66B4"/>
    <w:rsid w:val="007F6E5B"/>
    <w:rsid w:val="007F6F9B"/>
    <w:rsid w:val="00803742"/>
    <w:rsid w:val="00803C32"/>
    <w:rsid w:val="008046BD"/>
    <w:rsid w:val="0080658F"/>
    <w:rsid w:val="00806C49"/>
    <w:rsid w:val="008074CE"/>
    <w:rsid w:val="00807CAD"/>
    <w:rsid w:val="0081242B"/>
    <w:rsid w:val="00813D49"/>
    <w:rsid w:val="00813F5E"/>
    <w:rsid w:val="00816E6D"/>
    <w:rsid w:val="00816F60"/>
    <w:rsid w:val="00822C80"/>
    <w:rsid w:val="0082451A"/>
    <w:rsid w:val="00824622"/>
    <w:rsid w:val="00825499"/>
    <w:rsid w:val="008256A2"/>
    <w:rsid w:val="00832963"/>
    <w:rsid w:val="0083309E"/>
    <w:rsid w:val="00834DB8"/>
    <w:rsid w:val="008403C1"/>
    <w:rsid w:val="008416AF"/>
    <w:rsid w:val="00842696"/>
    <w:rsid w:val="008449DB"/>
    <w:rsid w:val="00844AE6"/>
    <w:rsid w:val="008452A0"/>
    <w:rsid w:val="008467A4"/>
    <w:rsid w:val="00846835"/>
    <w:rsid w:val="008472C3"/>
    <w:rsid w:val="00847D78"/>
    <w:rsid w:val="00851A53"/>
    <w:rsid w:val="00852BC2"/>
    <w:rsid w:val="00853953"/>
    <w:rsid w:val="008565A2"/>
    <w:rsid w:val="00856A0E"/>
    <w:rsid w:val="008619C1"/>
    <w:rsid w:val="0086253A"/>
    <w:rsid w:val="00864304"/>
    <w:rsid w:val="00865C52"/>
    <w:rsid w:val="0086694D"/>
    <w:rsid w:val="0087351F"/>
    <w:rsid w:val="00873BAE"/>
    <w:rsid w:val="008740F1"/>
    <w:rsid w:val="00877381"/>
    <w:rsid w:val="008828AB"/>
    <w:rsid w:val="00883567"/>
    <w:rsid w:val="00883B40"/>
    <w:rsid w:val="00883C97"/>
    <w:rsid w:val="00885290"/>
    <w:rsid w:val="00885973"/>
    <w:rsid w:val="0089117A"/>
    <w:rsid w:val="00891411"/>
    <w:rsid w:val="00891980"/>
    <w:rsid w:val="0089301A"/>
    <w:rsid w:val="0089335D"/>
    <w:rsid w:val="00896CD8"/>
    <w:rsid w:val="008A32BC"/>
    <w:rsid w:val="008A4BF1"/>
    <w:rsid w:val="008A6F78"/>
    <w:rsid w:val="008B0828"/>
    <w:rsid w:val="008B3211"/>
    <w:rsid w:val="008B392B"/>
    <w:rsid w:val="008B393B"/>
    <w:rsid w:val="008B3CA0"/>
    <w:rsid w:val="008B5C67"/>
    <w:rsid w:val="008B7A46"/>
    <w:rsid w:val="008C4014"/>
    <w:rsid w:val="008C47BC"/>
    <w:rsid w:val="008C7C7E"/>
    <w:rsid w:val="008D0596"/>
    <w:rsid w:val="008D09A6"/>
    <w:rsid w:val="008D0CA2"/>
    <w:rsid w:val="008D2F52"/>
    <w:rsid w:val="008D47E1"/>
    <w:rsid w:val="008D524C"/>
    <w:rsid w:val="008D5B25"/>
    <w:rsid w:val="008D7AD2"/>
    <w:rsid w:val="008E1F3F"/>
    <w:rsid w:val="008E2DF8"/>
    <w:rsid w:val="008E4AE7"/>
    <w:rsid w:val="008F2B0E"/>
    <w:rsid w:val="008F2DE8"/>
    <w:rsid w:val="00904F59"/>
    <w:rsid w:val="00911A7A"/>
    <w:rsid w:val="00911E1D"/>
    <w:rsid w:val="00912007"/>
    <w:rsid w:val="0091316B"/>
    <w:rsid w:val="00916C9E"/>
    <w:rsid w:val="00920D68"/>
    <w:rsid w:val="00921B2B"/>
    <w:rsid w:val="00922212"/>
    <w:rsid w:val="00922216"/>
    <w:rsid w:val="009229D9"/>
    <w:rsid w:val="00925596"/>
    <w:rsid w:val="009258C8"/>
    <w:rsid w:val="00926341"/>
    <w:rsid w:val="009318DB"/>
    <w:rsid w:val="009355BB"/>
    <w:rsid w:val="0093784D"/>
    <w:rsid w:val="009433F8"/>
    <w:rsid w:val="009457D7"/>
    <w:rsid w:val="009507CD"/>
    <w:rsid w:val="00951E44"/>
    <w:rsid w:val="009543D7"/>
    <w:rsid w:val="009548AC"/>
    <w:rsid w:val="00954A93"/>
    <w:rsid w:val="00956178"/>
    <w:rsid w:val="0095701A"/>
    <w:rsid w:val="00957102"/>
    <w:rsid w:val="00957DFC"/>
    <w:rsid w:val="00960B97"/>
    <w:rsid w:val="00962427"/>
    <w:rsid w:val="009657C6"/>
    <w:rsid w:val="009710C3"/>
    <w:rsid w:val="009723AE"/>
    <w:rsid w:val="00972BD8"/>
    <w:rsid w:val="00975C3B"/>
    <w:rsid w:val="009768CD"/>
    <w:rsid w:val="00977163"/>
    <w:rsid w:val="009774FB"/>
    <w:rsid w:val="00980287"/>
    <w:rsid w:val="00980501"/>
    <w:rsid w:val="00980EF8"/>
    <w:rsid w:val="009833D5"/>
    <w:rsid w:val="00990294"/>
    <w:rsid w:val="00993552"/>
    <w:rsid w:val="00994482"/>
    <w:rsid w:val="009946AE"/>
    <w:rsid w:val="00994F59"/>
    <w:rsid w:val="00995420"/>
    <w:rsid w:val="00995B36"/>
    <w:rsid w:val="00997E62"/>
    <w:rsid w:val="009A1E7B"/>
    <w:rsid w:val="009A21C0"/>
    <w:rsid w:val="009A2822"/>
    <w:rsid w:val="009A381F"/>
    <w:rsid w:val="009A4D87"/>
    <w:rsid w:val="009A545D"/>
    <w:rsid w:val="009A6648"/>
    <w:rsid w:val="009A779E"/>
    <w:rsid w:val="009B06CC"/>
    <w:rsid w:val="009B14B6"/>
    <w:rsid w:val="009B27B0"/>
    <w:rsid w:val="009B3418"/>
    <w:rsid w:val="009B4560"/>
    <w:rsid w:val="009B5A9C"/>
    <w:rsid w:val="009B624F"/>
    <w:rsid w:val="009B7C38"/>
    <w:rsid w:val="009B7F07"/>
    <w:rsid w:val="009C03F7"/>
    <w:rsid w:val="009C04F9"/>
    <w:rsid w:val="009C059E"/>
    <w:rsid w:val="009C2B04"/>
    <w:rsid w:val="009C2ECD"/>
    <w:rsid w:val="009C36D4"/>
    <w:rsid w:val="009C4E22"/>
    <w:rsid w:val="009C50BD"/>
    <w:rsid w:val="009C553F"/>
    <w:rsid w:val="009C6E03"/>
    <w:rsid w:val="009D1F98"/>
    <w:rsid w:val="009D2C77"/>
    <w:rsid w:val="009D341D"/>
    <w:rsid w:val="009D3812"/>
    <w:rsid w:val="009D4759"/>
    <w:rsid w:val="009E0D2F"/>
    <w:rsid w:val="009E13DD"/>
    <w:rsid w:val="009E27FB"/>
    <w:rsid w:val="009E314B"/>
    <w:rsid w:val="009E5213"/>
    <w:rsid w:val="009F2E81"/>
    <w:rsid w:val="009F63CD"/>
    <w:rsid w:val="009F691B"/>
    <w:rsid w:val="009F73FC"/>
    <w:rsid w:val="00A014A8"/>
    <w:rsid w:val="00A023DA"/>
    <w:rsid w:val="00A030C6"/>
    <w:rsid w:val="00A05D0E"/>
    <w:rsid w:val="00A0663A"/>
    <w:rsid w:val="00A06FC2"/>
    <w:rsid w:val="00A10AE8"/>
    <w:rsid w:val="00A14779"/>
    <w:rsid w:val="00A14E4D"/>
    <w:rsid w:val="00A20A44"/>
    <w:rsid w:val="00A23F96"/>
    <w:rsid w:val="00A249C7"/>
    <w:rsid w:val="00A26F91"/>
    <w:rsid w:val="00A27FE2"/>
    <w:rsid w:val="00A31781"/>
    <w:rsid w:val="00A31CCC"/>
    <w:rsid w:val="00A33406"/>
    <w:rsid w:val="00A3515E"/>
    <w:rsid w:val="00A35993"/>
    <w:rsid w:val="00A373CF"/>
    <w:rsid w:val="00A3747C"/>
    <w:rsid w:val="00A40ECE"/>
    <w:rsid w:val="00A424F1"/>
    <w:rsid w:val="00A42C96"/>
    <w:rsid w:val="00A434BA"/>
    <w:rsid w:val="00A4740B"/>
    <w:rsid w:val="00A500E7"/>
    <w:rsid w:val="00A51771"/>
    <w:rsid w:val="00A51A01"/>
    <w:rsid w:val="00A5302C"/>
    <w:rsid w:val="00A54326"/>
    <w:rsid w:val="00A556A1"/>
    <w:rsid w:val="00A56A1E"/>
    <w:rsid w:val="00A609E6"/>
    <w:rsid w:val="00A61081"/>
    <w:rsid w:val="00A634E6"/>
    <w:rsid w:val="00A76E57"/>
    <w:rsid w:val="00A8027F"/>
    <w:rsid w:val="00A80491"/>
    <w:rsid w:val="00A822D8"/>
    <w:rsid w:val="00A8626B"/>
    <w:rsid w:val="00A903EA"/>
    <w:rsid w:val="00A90937"/>
    <w:rsid w:val="00A92D0D"/>
    <w:rsid w:val="00A92DF6"/>
    <w:rsid w:val="00A9302E"/>
    <w:rsid w:val="00A948EE"/>
    <w:rsid w:val="00A94DA1"/>
    <w:rsid w:val="00A966FA"/>
    <w:rsid w:val="00A97BC6"/>
    <w:rsid w:val="00AA4EB3"/>
    <w:rsid w:val="00AA69C0"/>
    <w:rsid w:val="00AA6AFC"/>
    <w:rsid w:val="00AA6F12"/>
    <w:rsid w:val="00AB140B"/>
    <w:rsid w:val="00AB1A80"/>
    <w:rsid w:val="00AB1F21"/>
    <w:rsid w:val="00AB2DCE"/>
    <w:rsid w:val="00AB3A82"/>
    <w:rsid w:val="00AB420D"/>
    <w:rsid w:val="00AB684F"/>
    <w:rsid w:val="00AC2365"/>
    <w:rsid w:val="00AC4521"/>
    <w:rsid w:val="00AD170F"/>
    <w:rsid w:val="00AD2247"/>
    <w:rsid w:val="00AD276B"/>
    <w:rsid w:val="00AD3844"/>
    <w:rsid w:val="00AD3DA5"/>
    <w:rsid w:val="00AD7800"/>
    <w:rsid w:val="00AE06D6"/>
    <w:rsid w:val="00AE26D9"/>
    <w:rsid w:val="00AE31D8"/>
    <w:rsid w:val="00AE5B60"/>
    <w:rsid w:val="00AE6561"/>
    <w:rsid w:val="00AE6DFA"/>
    <w:rsid w:val="00AE6F4D"/>
    <w:rsid w:val="00AF2721"/>
    <w:rsid w:val="00AF40B7"/>
    <w:rsid w:val="00AF676E"/>
    <w:rsid w:val="00AF6A78"/>
    <w:rsid w:val="00AF7999"/>
    <w:rsid w:val="00B00EB5"/>
    <w:rsid w:val="00B00F80"/>
    <w:rsid w:val="00B0169B"/>
    <w:rsid w:val="00B01903"/>
    <w:rsid w:val="00B02A40"/>
    <w:rsid w:val="00B036C2"/>
    <w:rsid w:val="00B0583F"/>
    <w:rsid w:val="00B05E5A"/>
    <w:rsid w:val="00B1079E"/>
    <w:rsid w:val="00B119D9"/>
    <w:rsid w:val="00B16CA0"/>
    <w:rsid w:val="00B16E12"/>
    <w:rsid w:val="00B17C83"/>
    <w:rsid w:val="00B20070"/>
    <w:rsid w:val="00B2601D"/>
    <w:rsid w:val="00B327C2"/>
    <w:rsid w:val="00B355AF"/>
    <w:rsid w:val="00B35FD1"/>
    <w:rsid w:val="00B369CA"/>
    <w:rsid w:val="00B37666"/>
    <w:rsid w:val="00B41980"/>
    <w:rsid w:val="00B42A60"/>
    <w:rsid w:val="00B42E2D"/>
    <w:rsid w:val="00B449A2"/>
    <w:rsid w:val="00B473D2"/>
    <w:rsid w:val="00B51C5B"/>
    <w:rsid w:val="00B53B22"/>
    <w:rsid w:val="00B54C2E"/>
    <w:rsid w:val="00B553D7"/>
    <w:rsid w:val="00B563D8"/>
    <w:rsid w:val="00B603F5"/>
    <w:rsid w:val="00B60485"/>
    <w:rsid w:val="00B61351"/>
    <w:rsid w:val="00B645D0"/>
    <w:rsid w:val="00B6608B"/>
    <w:rsid w:val="00B7319C"/>
    <w:rsid w:val="00B73CA6"/>
    <w:rsid w:val="00B753D3"/>
    <w:rsid w:val="00B76FDD"/>
    <w:rsid w:val="00B80556"/>
    <w:rsid w:val="00B8127F"/>
    <w:rsid w:val="00B81B74"/>
    <w:rsid w:val="00B8525A"/>
    <w:rsid w:val="00B857C7"/>
    <w:rsid w:val="00B85B93"/>
    <w:rsid w:val="00B87B8B"/>
    <w:rsid w:val="00B94740"/>
    <w:rsid w:val="00B95393"/>
    <w:rsid w:val="00B954D3"/>
    <w:rsid w:val="00B95C0A"/>
    <w:rsid w:val="00B96941"/>
    <w:rsid w:val="00B971B1"/>
    <w:rsid w:val="00B971D5"/>
    <w:rsid w:val="00B97580"/>
    <w:rsid w:val="00BA0981"/>
    <w:rsid w:val="00BA2D79"/>
    <w:rsid w:val="00BA5CEE"/>
    <w:rsid w:val="00BB299B"/>
    <w:rsid w:val="00BB63C4"/>
    <w:rsid w:val="00BB7536"/>
    <w:rsid w:val="00BB7EE7"/>
    <w:rsid w:val="00BC0720"/>
    <w:rsid w:val="00BC4429"/>
    <w:rsid w:val="00BC46F7"/>
    <w:rsid w:val="00BC5379"/>
    <w:rsid w:val="00BD6334"/>
    <w:rsid w:val="00BE054C"/>
    <w:rsid w:val="00BE2465"/>
    <w:rsid w:val="00BE3B99"/>
    <w:rsid w:val="00BE47E2"/>
    <w:rsid w:val="00BE57F0"/>
    <w:rsid w:val="00BE5CC7"/>
    <w:rsid w:val="00C000C7"/>
    <w:rsid w:val="00C00BEA"/>
    <w:rsid w:val="00C00C09"/>
    <w:rsid w:val="00C01B02"/>
    <w:rsid w:val="00C01B5C"/>
    <w:rsid w:val="00C0295C"/>
    <w:rsid w:val="00C0314C"/>
    <w:rsid w:val="00C04BA9"/>
    <w:rsid w:val="00C06E22"/>
    <w:rsid w:val="00C0701B"/>
    <w:rsid w:val="00C07545"/>
    <w:rsid w:val="00C07D58"/>
    <w:rsid w:val="00C07E70"/>
    <w:rsid w:val="00C151DF"/>
    <w:rsid w:val="00C17AB3"/>
    <w:rsid w:val="00C204A3"/>
    <w:rsid w:val="00C20CFE"/>
    <w:rsid w:val="00C21540"/>
    <w:rsid w:val="00C21942"/>
    <w:rsid w:val="00C21DF2"/>
    <w:rsid w:val="00C23DD0"/>
    <w:rsid w:val="00C25687"/>
    <w:rsid w:val="00C30AC9"/>
    <w:rsid w:val="00C31625"/>
    <w:rsid w:val="00C34529"/>
    <w:rsid w:val="00C348CD"/>
    <w:rsid w:val="00C352DB"/>
    <w:rsid w:val="00C37219"/>
    <w:rsid w:val="00C40F8F"/>
    <w:rsid w:val="00C4112B"/>
    <w:rsid w:val="00C41C2B"/>
    <w:rsid w:val="00C425CD"/>
    <w:rsid w:val="00C43E55"/>
    <w:rsid w:val="00C445B5"/>
    <w:rsid w:val="00C46916"/>
    <w:rsid w:val="00C514E6"/>
    <w:rsid w:val="00C5198A"/>
    <w:rsid w:val="00C51A26"/>
    <w:rsid w:val="00C5219F"/>
    <w:rsid w:val="00C529A0"/>
    <w:rsid w:val="00C5351E"/>
    <w:rsid w:val="00C55B85"/>
    <w:rsid w:val="00C5654A"/>
    <w:rsid w:val="00C57093"/>
    <w:rsid w:val="00C57CEE"/>
    <w:rsid w:val="00C615FF"/>
    <w:rsid w:val="00C61E67"/>
    <w:rsid w:val="00C62211"/>
    <w:rsid w:val="00C626D7"/>
    <w:rsid w:val="00C639AB"/>
    <w:rsid w:val="00C63A6E"/>
    <w:rsid w:val="00C63B8C"/>
    <w:rsid w:val="00C641A4"/>
    <w:rsid w:val="00C64363"/>
    <w:rsid w:val="00C65D82"/>
    <w:rsid w:val="00C66269"/>
    <w:rsid w:val="00C6693C"/>
    <w:rsid w:val="00C711AD"/>
    <w:rsid w:val="00C73E0E"/>
    <w:rsid w:val="00C7680D"/>
    <w:rsid w:val="00C813EC"/>
    <w:rsid w:val="00C81410"/>
    <w:rsid w:val="00C82AC3"/>
    <w:rsid w:val="00C83018"/>
    <w:rsid w:val="00C835CB"/>
    <w:rsid w:val="00C84C89"/>
    <w:rsid w:val="00C86E1A"/>
    <w:rsid w:val="00C87287"/>
    <w:rsid w:val="00C872C3"/>
    <w:rsid w:val="00C8745E"/>
    <w:rsid w:val="00C8766F"/>
    <w:rsid w:val="00C9122A"/>
    <w:rsid w:val="00C95054"/>
    <w:rsid w:val="00C9546B"/>
    <w:rsid w:val="00C957DB"/>
    <w:rsid w:val="00C95DB6"/>
    <w:rsid w:val="00C95F9D"/>
    <w:rsid w:val="00CA06EA"/>
    <w:rsid w:val="00CA0DAE"/>
    <w:rsid w:val="00CA10C5"/>
    <w:rsid w:val="00CA3B71"/>
    <w:rsid w:val="00CA3E1D"/>
    <w:rsid w:val="00CA461C"/>
    <w:rsid w:val="00CA613E"/>
    <w:rsid w:val="00CA63C9"/>
    <w:rsid w:val="00CA7632"/>
    <w:rsid w:val="00CB0224"/>
    <w:rsid w:val="00CB1A7E"/>
    <w:rsid w:val="00CB2021"/>
    <w:rsid w:val="00CB65DE"/>
    <w:rsid w:val="00CB6B60"/>
    <w:rsid w:val="00CB7C37"/>
    <w:rsid w:val="00CC05B7"/>
    <w:rsid w:val="00CC0D86"/>
    <w:rsid w:val="00CC15D8"/>
    <w:rsid w:val="00CC1E36"/>
    <w:rsid w:val="00CC25C4"/>
    <w:rsid w:val="00CC30C3"/>
    <w:rsid w:val="00CC522C"/>
    <w:rsid w:val="00CD124A"/>
    <w:rsid w:val="00CD13B1"/>
    <w:rsid w:val="00CD29F9"/>
    <w:rsid w:val="00CD3C56"/>
    <w:rsid w:val="00CD4734"/>
    <w:rsid w:val="00CD47DA"/>
    <w:rsid w:val="00CE00F0"/>
    <w:rsid w:val="00CE2732"/>
    <w:rsid w:val="00CE2ACE"/>
    <w:rsid w:val="00CE3FB7"/>
    <w:rsid w:val="00CE5A21"/>
    <w:rsid w:val="00CF382C"/>
    <w:rsid w:val="00CF555B"/>
    <w:rsid w:val="00CF5BDA"/>
    <w:rsid w:val="00CF7E51"/>
    <w:rsid w:val="00D00BBE"/>
    <w:rsid w:val="00D026E0"/>
    <w:rsid w:val="00D03493"/>
    <w:rsid w:val="00D04009"/>
    <w:rsid w:val="00D04324"/>
    <w:rsid w:val="00D04F59"/>
    <w:rsid w:val="00D062A9"/>
    <w:rsid w:val="00D06962"/>
    <w:rsid w:val="00D074E0"/>
    <w:rsid w:val="00D137AF"/>
    <w:rsid w:val="00D15056"/>
    <w:rsid w:val="00D2103B"/>
    <w:rsid w:val="00D21B9A"/>
    <w:rsid w:val="00D22523"/>
    <w:rsid w:val="00D22D91"/>
    <w:rsid w:val="00D23272"/>
    <w:rsid w:val="00D24316"/>
    <w:rsid w:val="00D24645"/>
    <w:rsid w:val="00D2493B"/>
    <w:rsid w:val="00D26AA0"/>
    <w:rsid w:val="00D3175E"/>
    <w:rsid w:val="00D31C41"/>
    <w:rsid w:val="00D343F6"/>
    <w:rsid w:val="00D36154"/>
    <w:rsid w:val="00D404D5"/>
    <w:rsid w:val="00D42B17"/>
    <w:rsid w:val="00D44D0B"/>
    <w:rsid w:val="00D51A16"/>
    <w:rsid w:val="00D51AB6"/>
    <w:rsid w:val="00D51FF7"/>
    <w:rsid w:val="00D52923"/>
    <w:rsid w:val="00D53714"/>
    <w:rsid w:val="00D54F6A"/>
    <w:rsid w:val="00D55FEE"/>
    <w:rsid w:val="00D56D9E"/>
    <w:rsid w:val="00D57AE5"/>
    <w:rsid w:val="00D60062"/>
    <w:rsid w:val="00D615AA"/>
    <w:rsid w:val="00D67A36"/>
    <w:rsid w:val="00D71DA8"/>
    <w:rsid w:val="00D743CC"/>
    <w:rsid w:val="00D74A5D"/>
    <w:rsid w:val="00D76ADB"/>
    <w:rsid w:val="00D86277"/>
    <w:rsid w:val="00D900B6"/>
    <w:rsid w:val="00D918EC"/>
    <w:rsid w:val="00D9249D"/>
    <w:rsid w:val="00D9290F"/>
    <w:rsid w:val="00D92D79"/>
    <w:rsid w:val="00D9627C"/>
    <w:rsid w:val="00D9721F"/>
    <w:rsid w:val="00DA0949"/>
    <w:rsid w:val="00DA2F1E"/>
    <w:rsid w:val="00DA3377"/>
    <w:rsid w:val="00DA3552"/>
    <w:rsid w:val="00DA5733"/>
    <w:rsid w:val="00DA6740"/>
    <w:rsid w:val="00DA7012"/>
    <w:rsid w:val="00DB095E"/>
    <w:rsid w:val="00DB09BB"/>
    <w:rsid w:val="00DB0E2B"/>
    <w:rsid w:val="00DB3331"/>
    <w:rsid w:val="00DB4F41"/>
    <w:rsid w:val="00DB61D8"/>
    <w:rsid w:val="00DB754C"/>
    <w:rsid w:val="00DC026E"/>
    <w:rsid w:val="00DC0DFF"/>
    <w:rsid w:val="00DC1514"/>
    <w:rsid w:val="00DC3495"/>
    <w:rsid w:val="00DC658D"/>
    <w:rsid w:val="00DC73DB"/>
    <w:rsid w:val="00DC75C4"/>
    <w:rsid w:val="00DC799E"/>
    <w:rsid w:val="00DD1197"/>
    <w:rsid w:val="00DD1287"/>
    <w:rsid w:val="00DD2411"/>
    <w:rsid w:val="00DD3C27"/>
    <w:rsid w:val="00DD4198"/>
    <w:rsid w:val="00DD4A44"/>
    <w:rsid w:val="00DD609D"/>
    <w:rsid w:val="00DD634F"/>
    <w:rsid w:val="00DD7A51"/>
    <w:rsid w:val="00DE37AA"/>
    <w:rsid w:val="00DE53D3"/>
    <w:rsid w:val="00DF15CA"/>
    <w:rsid w:val="00DF1BAF"/>
    <w:rsid w:val="00DF394F"/>
    <w:rsid w:val="00DF478D"/>
    <w:rsid w:val="00DF57BA"/>
    <w:rsid w:val="00DF6B73"/>
    <w:rsid w:val="00E01EFB"/>
    <w:rsid w:val="00E02585"/>
    <w:rsid w:val="00E02747"/>
    <w:rsid w:val="00E03606"/>
    <w:rsid w:val="00E0559D"/>
    <w:rsid w:val="00E145B2"/>
    <w:rsid w:val="00E1605B"/>
    <w:rsid w:val="00E16897"/>
    <w:rsid w:val="00E17D7F"/>
    <w:rsid w:val="00E2053A"/>
    <w:rsid w:val="00E21430"/>
    <w:rsid w:val="00E237DF"/>
    <w:rsid w:val="00E24DF4"/>
    <w:rsid w:val="00E25839"/>
    <w:rsid w:val="00E26777"/>
    <w:rsid w:val="00E27647"/>
    <w:rsid w:val="00E3009B"/>
    <w:rsid w:val="00E3075D"/>
    <w:rsid w:val="00E31F63"/>
    <w:rsid w:val="00E32524"/>
    <w:rsid w:val="00E32813"/>
    <w:rsid w:val="00E33A3F"/>
    <w:rsid w:val="00E3611E"/>
    <w:rsid w:val="00E417FE"/>
    <w:rsid w:val="00E418B4"/>
    <w:rsid w:val="00E426CD"/>
    <w:rsid w:val="00E4416C"/>
    <w:rsid w:val="00E46CCE"/>
    <w:rsid w:val="00E504A8"/>
    <w:rsid w:val="00E50C8A"/>
    <w:rsid w:val="00E51087"/>
    <w:rsid w:val="00E55AB6"/>
    <w:rsid w:val="00E55C1C"/>
    <w:rsid w:val="00E55DCE"/>
    <w:rsid w:val="00E56424"/>
    <w:rsid w:val="00E60466"/>
    <w:rsid w:val="00E61120"/>
    <w:rsid w:val="00E61CAD"/>
    <w:rsid w:val="00E6312E"/>
    <w:rsid w:val="00E63264"/>
    <w:rsid w:val="00E6353A"/>
    <w:rsid w:val="00E70965"/>
    <w:rsid w:val="00E720C8"/>
    <w:rsid w:val="00E73342"/>
    <w:rsid w:val="00E7343E"/>
    <w:rsid w:val="00E748C7"/>
    <w:rsid w:val="00E768E6"/>
    <w:rsid w:val="00E77913"/>
    <w:rsid w:val="00E82640"/>
    <w:rsid w:val="00E87D09"/>
    <w:rsid w:val="00E92C21"/>
    <w:rsid w:val="00E95EE4"/>
    <w:rsid w:val="00E9635B"/>
    <w:rsid w:val="00E97DC9"/>
    <w:rsid w:val="00EA3F35"/>
    <w:rsid w:val="00EA64BD"/>
    <w:rsid w:val="00EA6D74"/>
    <w:rsid w:val="00EB0485"/>
    <w:rsid w:val="00EB178F"/>
    <w:rsid w:val="00EB2EF8"/>
    <w:rsid w:val="00EB33AF"/>
    <w:rsid w:val="00EB36DE"/>
    <w:rsid w:val="00EB44C6"/>
    <w:rsid w:val="00EB45A4"/>
    <w:rsid w:val="00EB7D86"/>
    <w:rsid w:val="00EC2952"/>
    <w:rsid w:val="00EC37FD"/>
    <w:rsid w:val="00EC3C07"/>
    <w:rsid w:val="00EC54E9"/>
    <w:rsid w:val="00EC5E4C"/>
    <w:rsid w:val="00ED2E2B"/>
    <w:rsid w:val="00ED4E33"/>
    <w:rsid w:val="00ED6043"/>
    <w:rsid w:val="00ED788F"/>
    <w:rsid w:val="00ED7AF2"/>
    <w:rsid w:val="00EE0340"/>
    <w:rsid w:val="00EE0C3B"/>
    <w:rsid w:val="00EE2654"/>
    <w:rsid w:val="00EE3B3A"/>
    <w:rsid w:val="00EE48A5"/>
    <w:rsid w:val="00EE54C3"/>
    <w:rsid w:val="00EE775D"/>
    <w:rsid w:val="00EF3FC5"/>
    <w:rsid w:val="00EF5A10"/>
    <w:rsid w:val="00F011B4"/>
    <w:rsid w:val="00F02BA2"/>
    <w:rsid w:val="00F03161"/>
    <w:rsid w:val="00F031B1"/>
    <w:rsid w:val="00F0464D"/>
    <w:rsid w:val="00F06457"/>
    <w:rsid w:val="00F1036C"/>
    <w:rsid w:val="00F113BD"/>
    <w:rsid w:val="00F132B3"/>
    <w:rsid w:val="00F171EE"/>
    <w:rsid w:val="00F17BE6"/>
    <w:rsid w:val="00F22CC3"/>
    <w:rsid w:val="00F23255"/>
    <w:rsid w:val="00F23E8B"/>
    <w:rsid w:val="00F24063"/>
    <w:rsid w:val="00F24ED8"/>
    <w:rsid w:val="00F26ED7"/>
    <w:rsid w:val="00F27118"/>
    <w:rsid w:val="00F2726F"/>
    <w:rsid w:val="00F32012"/>
    <w:rsid w:val="00F32137"/>
    <w:rsid w:val="00F329CE"/>
    <w:rsid w:val="00F33B17"/>
    <w:rsid w:val="00F34303"/>
    <w:rsid w:val="00F348F6"/>
    <w:rsid w:val="00F36938"/>
    <w:rsid w:val="00F3745A"/>
    <w:rsid w:val="00F4136E"/>
    <w:rsid w:val="00F42667"/>
    <w:rsid w:val="00F4365C"/>
    <w:rsid w:val="00F43F5D"/>
    <w:rsid w:val="00F44242"/>
    <w:rsid w:val="00F44531"/>
    <w:rsid w:val="00F46249"/>
    <w:rsid w:val="00F46836"/>
    <w:rsid w:val="00F46F08"/>
    <w:rsid w:val="00F47822"/>
    <w:rsid w:val="00F52313"/>
    <w:rsid w:val="00F52EEF"/>
    <w:rsid w:val="00F53164"/>
    <w:rsid w:val="00F55458"/>
    <w:rsid w:val="00F55E9A"/>
    <w:rsid w:val="00F562FB"/>
    <w:rsid w:val="00F568BC"/>
    <w:rsid w:val="00F61EE5"/>
    <w:rsid w:val="00F6259C"/>
    <w:rsid w:val="00F636B1"/>
    <w:rsid w:val="00F64453"/>
    <w:rsid w:val="00F644D1"/>
    <w:rsid w:val="00F64945"/>
    <w:rsid w:val="00F659F9"/>
    <w:rsid w:val="00F65FC6"/>
    <w:rsid w:val="00F6743A"/>
    <w:rsid w:val="00F7372E"/>
    <w:rsid w:val="00F73A4A"/>
    <w:rsid w:val="00F73EA4"/>
    <w:rsid w:val="00F801B9"/>
    <w:rsid w:val="00F8059B"/>
    <w:rsid w:val="00F80E00"/>
    <w:rsid w:val="00F8498A"/>
    <w:rsid w:val="00F84D90"/>
    <w:rsid w:val="00F86FE6"/>
    <w:rsid w:val="00F87C6A"/>
    <w:rsid w:val="00F91D18"/>
    <w:rsid w:val="00F91E80"/>
    <w:rsid w:val="00F92EE6"/>
    <w:rsid w:val="00F9470D"/>
    <w:rsid w:val="00F94950"/>
    <w:rsid w:val="00F95EA2"/>
    <w:rsid w:val="00F97830"/>
    <w:rsid w:val="00FA0CCF"/>
    <w:rsid w:val="00FA31F9"/>
    <w:rsid w:val="00FA4042"/>
    <w:rsid w:val="00FA58EB"/>
    <w:rsid w:val="00FA640C"/>
    <w:rsid w:val="00FA671C"/>
    <w:rsid w:val="00FA67F2"/>
    <w:rsid w:val="00FA6E63"/>
    <w:rsid w:val="00FA7AE9"/>
    <w:rsid w:val="00FB07C9"/>
    <w:rsid w:val="00FB0E07"/>
    <w:rsid w:val="00FB2254"/>
    <w:rsid w:val="00FB4949"/>
    <w:rsid w:val="00FB5860"/>
    <w:rsid w:val="00FB6D87"/>
    <w:rsid w:val="00FB70AE"/>
    <w:rsid w:val="00FC0864"/>
    <w:rsid w:val="00FC461F"/>
    <w:rsid w:val="00FC58F2"/>
    <w:rsid w:val="00FC59CF"/>
    <w:rsid w:val="00FC7763"/>
    <w:rsid w:val="00FC77A4"/>
    <w:rsid w:val="00FD256A"/>
    <w:rsid w:val="00FD3B94"/>
    <w:rsid w:val="00FD707B"/>
    <w:rsid w:val="00FE1AF7"/>
    <w:rsid w:val="00FE2340"/>
    <w:rsid w:val="00FE3AAD"/>
    <w:rsid w:val="00FF12BF"/>
    <w:rsid w:val="00FF146D"/>
    <w:rsid w:val="00FF155A"/>
    <w:rsid w:val="00FF1B77"/>
    <w:rsid w:val="00FF1E60"/>
    <w:rsid w:val="00FF24A1"/>
    <w:rsid w:val="00FF3AEF"/>
    <w:rsid w:val="00FF5908"/>
    <w:rsid w:val="0683934E"/>
    <w:rsid w:val="1B2BD7EA"/>
    <w:rsid w:val="207C74D2"/>
    <w:rsid w:val="279262FE"/>
    <w:rsid w:val="27F08585"/>
    <w:rsid w:val="324B5A98"/>
    <w:rsid w:val="3291ABE6"/>
    <w:rsid w:val="3391C281"/>
    <w:rsid w:val="389BB243"/>
    <w:rsid w:val="3AA37926"/>
    <w:rsid w:val="3D705591"/>
    <w:rsid w:val="41CCB6E3"/>
    <w:rsid w:val="4B507929"/>
    <w:rsid w:val="596A9717"/>
    <w:rsid w:val="5B1102A5"/>
    <w:rsid w:val="5CCA5B1E"/>
    <w:rsid w:val="5F48F765"/>
    <w:rsid w:val="69DC9B3C"/>
    <w:rsid w:val="6A7618D3"/>
    <w:rsid w:val="716EA82E"/>
    <w:rsid w:val="72612878"/>
    <w:rsid w:val="75EF1D12"/>
    <w:rsid w:val="7A11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E78889"/>
  <w15:docId w15:val="{A7446545-3CD9-4E48-82A7-AEB404CE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iPriority="99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734"/>
    <w:rPr>
      <w:lang w:val="en-US" w:eastAsia="en-US"/>
    </w:rPr>
  </w:style>
  <w:style w:type="paragraph" w:styleId="Heading1">
    <w:name w:val="heading 1"/>
    <w:basedOn w:val="Normal"/>
    <w:next w:val="BodyText"/>
    <w:qFormat/>
    <w:locked/>
    <w:rsid w:val="00782CD9"/>
    <w:pPr>
      <w:keepNext/>
      <w:spacing w:before="400" w:after="600"/>
      <w:ind w:left="851" w:hanging="851"/>
      <w:outlineLvl w:val="0"/>
    </w:pPr>
    <w:rPr>
      <w:rFonts w:ascii="Public Sans SemiBold" w:hAnsi="Public Sans SemiBold"/>
      <w:caps/>
      <w:color w:val="002664"/>
      <w:kern w:val="28"/>
      <w:sz w:val="40"/>
      <w:szCs w:val="36"/>
      <w:lang w:val="en-AU"/>
    </w:rPr>
  </w:style>
  <w:style w:type="paragraph" w:styleId="Heading2">
    <w:name w:val="heading 2"/>
    <w:basedOn w:val="Normal"/>
    <w:next w:val="BodyText"/>
    <w:link w:val="Heading2Char"/>
    <w:semiHidden/>
    <w:qFormat/>
    <w:rsid w:val="00782CD9"/>
    <w:pPr>
      <w:keepNext/>
      <w:widowControl w:val="0"/>
      <w:numPr>
        <w:numId w:val="2"/>
      </w:numPr>
      <w:pBdr>
        <w:bottom w:val="single" w:sz="4" w:space="2" w:color="008EBA"/>
      </w:pBdr>
      <w:spacing w:before="240" w:after="100" w:line="240" w:lineRule="atLeast"/>
      <w:outlineLvl w:val="1"/>
    </w:pPr>
    <w:rPr>
      <w:rFonts w:ascii="Arial Bold" w:hAnsi="Arial Bold"/>
      <w:b/>
      <w:color w:val="008EBA"/>
      <w:kern w:val="28"/>
      <w:sz w:val="24"/>
      <w:szCs w:val="36"/>
      <w:lang w:val="en-AU"/>
    </w:rPr>
  </w:style>
  <w:style w:type="paragraph" w:styleId="Heading3">
    <w:name w:val="heading 3"/>
    <w:next w:val="BodyText"/>
    <w:link w:val="Heading3Char"/>
    <w:qFormat/>
    <w:locked/>
    <w:rsid w:val="00782CD9"/>
    <w:pPr>
      <w:spacing w:before="240" w:after="100" w:line="240" w:lineRule="atLeast"/>
      <w:outlineLvl w:val="2"/>
    </w:pPr>
    <w:rPr>
      <w:rFonts w:ascii="Public Sans SemiBold" w:hAnsi="Public Sans SemiBold"/>
      <w:b/>
      <w:color w:val="22272B"/>
      <w:kern w:val="28"/>
      <w:sz w:val="26"/>
      <w:szCs w:val="36"/>
      <w:lang w:eastAsia="en-US"/>
    </w:rPr>
  </w:style>
  <w:style w:type="paragraph" w:styleId="Heading4">
    <w:name w:val="heading 4"/>
    <w:basedOn w:val="Heading3"/>
    <w:next w:val="BodyText"/>
    <w:qFormat/>
    <w:locked/>
    <w:rsid w:val="008B3211"/>
    <w:pPr>
      <w:outlineLvl w:val="3"/>
    </w:pPr>
    <w:rPr>
      <w:sz w:val="24"/>
    </w:rPr>
  </w:style>
  <w:style w:type="paragraph" w:styleId="Heading5">
    <w:name w:val="heading 5"/>
    <w:basedOn w:val="Heading4"/>
    <w:next w:val="BodyText"/>
    <w:qFormat/>
    <w:locked/>
    <w:rsid w:val="00782CD9"/>
    <w:pPr>
      <w:spacing w:after="60"/>
      <w:outlineLvl w:val="4"/>
    </w:pPr>
    <w:rPr>
      <w:b w:val="0"/>
      <w:i/>
    </w:rPr>
  </w:style>
  <w:style w:type="paragraph" w:styleId="Heading6">
    <w:name w:val="heading 6"/>
    <w:basedOn w:val="Heading1"/>
    <w:next w:val="Normal"/>
    <w:semiHidden/>
    <w:qFormat/>
    <w:rsid w:val="00444D1E"/>
    <w:pPr>
      <w:spacing w:before="120"/>
      <w:outlineLvl w:val="5"/>
    </w:pPr>
    <w:rPr>
      <w:rFonts w:ascii="Times New Roman" w:hAnsi="Times New Roman"/>
      <w:b/>
      <w:i/>
      <w:caps w:val="0"/>
      <w:kern w:val="0"/>
      <w:sz w:val="24"/>
    </w:rPr>
  </w:style>
  <w:style w:type="paragraph" w:styleId="Heading7">
    <w:name w:val="heading 7"/>
    <w:basedOn w:val="Heading5"/>
    <w:next w:val="Normal"/>
    <w:semiHidden/>
    <w:qFormat/>
    <w:rsid w:val="00444D1E"/>
    <w:pPr>
      <w:spacing w:before="120"/>
      <w:ind w:left="425"/>
      <w:jc w:val="both"/>
      <w:outlineLvl w:val="6"/>
    </w:pPr>
    <w:rPr>
      <w:i w:val="0"/>
    </w:rPr>
  </w:style>
  <w:style w:type="paragraph" w:styleId="Heading8">
    <w:name w:val="heading 8"/>
    <w:basedOn w:val="Heading7"/>
    <w:next w:val="Normal"/>
    <w:semiHidden/>
    <w:qFormat/>
    <w:rsid w:val="00444D1E"/>
    <w:pPr>
      <w:outlineLvl w:val="7"/>
    </w:pPr>
    <w:rPr>
      <w:i/>
    </w:rPr>
  </w:style>
  <w:style w:type="paragraph" w:styleId="Heading9">
    <w:name w:val="heading 9"/>
    <w:basedOn w:val="Heading8"/>
    <w:next w:val="Normal"/>
    <w:semiHidden/>
    <w:qFormat/>
    <w:rsid w:val="00444D1E"/>
    <w:pPr>
      <w:ind w:left="851"/>
      <w:outlineLvl w:val="8"/>
    </w:pPr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autoRedefine/>
    <w:rsid w:val="001076C2"/>
    <w:pPr>
      <w:spacing w:before="120" w:after="120"/>
    </w:pPr>
    <w:rPr>
      <w:rFonts w:ascii="Public Sans" w:hAnsi="Public Sans" w:cs="Arial"/>
      <w:sz w:val="22"/>
      <w:lang w:eastAsia="en-US"/>
    </w:rPr>
  </w:style>
  <w:style w:type="paragraph" w:customStyle="1" w:styleId="Bullet1">
    <w:name w:val="Bullet 1"/>
    <w:basedOn w:val="BodyText"/>
    <w:link w:val="Bullet1Char"/>
    <w:autoRedefine/>
    <w:qFormat/>
    <w:rsid w:val="00406AED"/>
    <w:pPr>
      <w:numPr>
        <w:numId w:val="58"/>
      </w:numPr>
      <w:tabs>
        <w:tab w:val="left" w:pos="8647"/>
      </w:tabs>
      <w:ind w:left="284" w:hanging="284"/>
    </w:pPr>
    <w:rPr>
      <w:rFonts w:eastAsiaTheme="minorEastAsia"/>
      <w:szCs w:val="23"/>
      <w:lang w:eastAsia="en-AU"/>
    </w:rPr>
  </w:style>
  <w:style w:type="paragraph" w:styleId="NoSpacing">
    <w:name w:val="No Spacing"/>
    <w:basedOn w:val="Normal"/>
    <w:link w:val="NoSpacingChar"/>
    <w:semiHidden/>
    <w:qFormat/>
    <w:rsid w:val="00883567"/>
  </w:style>
  <w:style w:type="paragraph" w:customStyle="1" w:styleId="Bullet2">
    <w:name w:val="Bullet 2"/>
    <w:basedOn w:val="Bullet1"/>
    <w:rsid w:val="00CA0DAE"/>
    <w:pPr>
      <w:numPr>
        <w:numId w:val="1"/>
      </w:numPr>
      <w:tabs>
        <w:tab w:val="clear" w:pos="785"/>
        <w:tab w:val="left" w:pos="851"/>
      </w:tabs>
      <w:ind w:left="568" w:hanging="284"/>
    </w:pPr>
  </w:style>
  <w:style w:type="character" w:customStyle="1" w:styleId="NoSpacingChar">
    <w:name w:val="No Spacing Char"/>
    <w:link w:val="NoSpacing"/>
    <w:semiHidden/>
    <w:rsid w:val="002B2666"/>
    <w:rPr>
      <w:lang w:val="en-US" w:eastAsia="en-US"/>
    </w:rPr>
  </w:style>
  <w:style w:type="paragraph" w:customStyle="1" w:styleId="Table1X">
    <w:name w:val="Table 1.X"/>
    <w:next w:val="Normal"/>
    <w:semiHidden/>
    <w:qFormat/>
    <w:locked/>
    <w:rsid w:val="00782CD9"/>
    <w:pPr>
      <w:numPr>
        <w:numId w:val="49"/>
      </w:numPr>
      <w:spacing w:before="240" w:after="120"/>
    </w:pPr>
    <w:rPr>
      <w:rFonts w:ascii="Public Sans" w:hAnsi="Public Sans"/>
      <w:bCs/>
      <w:i/>
      <w:color w:val="4F4F4F"/>
      <w:kern w:val="28"/>
      <w:sz w:val="22"/>
      <w:szCs w:val="22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E4416C"/>
    <w:pPr>
      <w:spacing w:before="80" w:after="80"/>
      <w:ind w:left="709" w:hanging="142"/>
    </w:pPr>
    <w:rPr>
      <w:i/>
      <w:sz w:val="16"/>
    </w:rPr>
  </w:style>
  <w:style w:type="character" w:styleId="EndnoteReference">
    <w:name w:val="endnote reference"/>
    <w:semiHidden/>
    <w:rsid w:val="00FF5908"/>
    <w:rPr>
      <w:i/>
      <w:sz w:val="16"/>
      <w:vertAlign w:val="superscript"/>
    </w:rPr>
  </w:style>
  <w:style w:type="paragraph" w:customStyle="1" w:styleId="21Heading2">
    <w:name w:val="2.1 Heading 2"/>
    <w:basedOn w:val="11Heading2"/>
    <w:next w:val="BodyText"/>
    <w:semiHidden/>
    <w:qFormat/>
    <w:locked/>
    <w:rsid w:val="00782CD9"/>
    <w:pPr>
      <w:numPr>
        <w:numId w:val="36"/>
      </w:numPr>
    </w:pPr>
    <w:rPr>
      <w:b w:val="0"/>
    </w:rPr>
  </w:style>
  <w:style w:type="paragraph" w:customStyle="1" w:styleId="11Heading2">
    <w:name w:val="1.1 Heading 2"/>
    <w:basedOn w:val="Normal"/>
    <w:next w:val="BodyText"/>
    <w:semiHidden/>
    <w:qFormat/>
    <w:locked/>
    <w:rsid w:val="00782CD9"/>
    <w:pPr>
      <w:numPr>
        <w:numId w:val="65"/>
      </w:numPr>
      <w:pBdr>
        <w:bottom w:val="single" w:sz="4" w:space="4" w:color="22272B"/>
      </w:pBdr>
      <w:spacing w:before="360" w:after="120"/>
    </w:pPr>
    <w:rPr>
      <w:rFonts w:ascii="Public Sans SemiBold" w:hAnsi="Public Sans SemiBold"/>
      <w:b/>
      <w:color w:val="22272B"/>
      <w:sz w:val="28"/>
      <w:lang w:val="en-AU"/>
    </w:rPr>
  </w:style>
  <w:style w:type="paragraph" w:customStyle="1" w:styleId="Chart1X">
    <w:name w:val="Chart 1.X"/>
    <w:basedOn w:val="Table1X"/>
    <w:next w:val="Normal"/>
    <w:semiHidden/>
    <w:locked/>
    <w:rsid w:val="00782CD9"/>
    <w:pPr>
      <w:keepLines/>
      <w:numPr>
        <w:numId w:val="7"/>
      </w:numPr>
    </w:pPr>
  </w:style>
  <w:style w:type="character" w:customStyle="1" w:styleId="Heading2Char">
    <w:name w:val="Heading 2 Char"/>
    <w:link w:val="Heading2"/>
    <w:semiHidden/>
    <w:rsid w:val="002B2666"/>
    <w:rPr>
      <w:rFonts w:ascii="Arial Bold" w:hAnsi="Arial Bold"/>
      <w:b/>
      <w:color w:val="008EBA"/>
      <w:kern w:val="28"/>
      <w:sz w:val="24"/>
      <w:szCs w:val="36"/>
      <w:lang w:eastAsia="en-US"/>
    </w:rPr>
  </w:style>
  <w:style w:type="table" w:styleId="TableGrid">
    <w:name w:val="Table Grid"/>
    <w:basedOn w:val="TableNormal"/>
    <w:uiPriority w:val="39"/>
    <w:rsid w:val="007C3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0F2F12"/>
    <w:rPr>
      <w:rFonts w:ascii="Public Sans SemiBold" w:hAnsi="Public Sans SemiBold"/>
      <w:b/>
      <w:color w:val="22272B"/>
      <w:kern w:val="28"/>
      <w:sz w:val="26"/>
      <w:szCs w:val="36"/>
      <w:lang w:eastAsia="en-US"/>
    </w:rPr>
  </w:style>
  <w:style w:type="character" w:customStyle="1" w:styleId="Bullet1Char">
    <w:name w:val="Bullet 1 Char"/>
    <w:link w:val="Bullet1"/>
    <w:rsid w:val="00406AED"/>
    <w:rPr>
      <w:rFonts w:ascii="Public Sans" w:eastAsiaTheme="minorEastAsia" w:hAnsi="Public Sans" w:cs="Arial"/>
      <w:sz w:val="22"/>
      <w:szCs w:val="23"/>
    </w:rPr>
  </w:style>
  <w:style w:type="paragraph" w:customStyle="1" w:styleId="Box1XBoxHeading">
    <w:name w:val="Box 1.X: Box Heading"/>
    <w:basedOn w:val="Normal"/>
    <w:next w:val="Normal"/>
    <w:semiHidden/>
    <w:qFormat/>
    <w:locked/>
    <w:rsid w:val="00782CD9"/>
    <w:pPr>
      <w:numPr>
        <w:numId w:val="3"/>
      </w:numPr>
      <w:spacing w:before="80" w:after="60" w:line="240" w:lineRule="atLeast"/>
    </w:pPr>
    <w:rPr>
      <w:rFonts w:ascii="Public Sans SemiBold" w:hAnsi="Public Sans SemiBold"/>
      <w:b/>
      <w:color w:val="002664"/>
      <w:sz w:val="22"/>
      <w:lang w:val="en-AU"/>
    </w:rPr>
  </w:style>
  <w:style w:type="paragraph" w:customStyle="1" w:styleId="Box3XBoxHeading">
    <w:name w:val="Box 3.X: Box Heading"/>
    <w:basedOn w:val="Box1XBoxHeading"/>
    <w:next w:val="Normal"/>
    <w:semiHidden/>
    <w:qFormat/>
    <w:locked/>
    <w:rsid w:val="00782CD9"/>
    <w:pPr>
      <w:numPr>
        <w:numId w:val="9"/>
      </w:numPr>
    </w:pPr>
  </w:style>
  <w:style w:type="paragraph" w:customStyle="1" w:styleId="Box6XBoxHeading">
    <w:name w:val="Box 6.X: Box Heading"/>
    <w:basedOn w:val="Box1XBoxHeading"/>
    <w:autoRedefine/>
    <w:semiHidden/>
    <w:qFormat/>
    <w:locked/>
    <w:rsid w:val="00782CD9"/>
    <w:pPr>
      <w:keepLines/>
      <w:widowControl w:val="0"/>
      <w:numPr>
        <w:numId w:val="17"/>
      </w:numPr>
    </w:pPr>
    <w:rPr>
      <w:rFonts w:eastAsia="Arial Unicode MS" w:cs="Arial"/>
      <w:bCs/>
      <w:szCs w:val="17"/>
      <w:lang w:eastAsia="en-AU"/>
    </w:rPr>
  </w:style>
  <w:style w:type="paragraph" w:customStyle="1" w:styleId="Box2XBoxHeading">
    <w:name w:val="Box 2.X: Box Heading"/>
    <w:basedOn w:val="Box1XBoxHeading"/>
    <w:next w:val="Normal"/>
    <w:semiHidden/>
    <w:qFormat/>
    <w:locked/>
    <w:rsid w:val="00782CD9"/>
    <w:pPr>
      <w:numPr>
        <w:numId w:val="4"/>
      </w:numPr>
    </w:pPr>
  </w:style>
  <w:style w:type="paragraph" w:customStyle="1" w:styleId="Chart2X">
    <w:name w:val="Chart 2.X"/>
    <w:basedOn w:val="Chart1X"/>
    <w:next w:val="Normal"/>
    <w:semiHidden/>
    <w:locked/>
    <w:rsid w:val="00782CD9"/>
    <w:pPr>
      <w:numPr>
        <w:numId w:val="5"/>
      </w:numPr>
    </w:pPr>
    <w:rPr>
      <w:color w:val="57514D"/>
    </w:rPr>
  </w:style>
  <w:style w:type="paragraph" w:customStyle="1" w:styleId="Table2X">
    <w:name w:val="Table 2.X"/>
    <w:basedOn w:val="Table1X"/>
    <w:next w:val="Normal"/>
    <w:semiHidden/>
    <w:qFormat/>
    <w:locked/>
    <w:rsid w:val="00782CD9"/>
    <w:pPr>
      <w:numPr>
        <w:numId w:val="6"/>
      </w:numPr>
    </w:pPr>
    <w:rPr>
      <w:lang w:val="fr-FR"/>
    </w:rPr>
  </w:style>
  <w:style w:type="paragraph" w:customStyle="1" w:styleId="Table3X">
    <w:name w:val="Table 3.X"/>
    <w:basedOn w:val="Table1X"/>
    <w:next w:val="Normal"/>
    <w:semiHidden/>
    <w:locked/>
    <w:rsid w:val="00782CD9"/>
    <w:pPr>
      <w:widowControl w:val="0"/>
      <w:numPr>
        <w:numId w:val="12"/>
      </w:numPr>
    </w:pPr>
    <w:rPr>
      <w:bCs w:val="0"/>
    </w:rPr>
  </w:style>
  <w:style w:type="paragraph" w:customStyle="1" w:styleId="TableFX">
    <w:name w:val="Table F.X"/>
    <w:basedOn w:val="TableA1X"/>
    <w:next w:val="Normal"/>
    <w:semiHidden/>
    <w:locked/>
    <w:rsid w:val="00782CD9"/>
    <w:pPr>
      <w:widowControl w:val="0"/>
      <w:numPr>
        <w:numId w:val="57"/>
      </w:numPr>
    </w:pPr>
    <w:rPr>
      <w:bCs w:val="0"/>
      <w:color w:val="57514D"/>
    </w:rPr>
  </w:style>
  <w:style w:type="paragraph" w:customStyle="1" w:styleId="31Heading2">
    <w:name w:val="3.1 Heading 2"/>
    <w:basedOn w:val="11Heading2"/>
    <w:next w:val="BodyText"/>
    <w:semiHidden/>
    <w:qFormat/>
    <w:locked/>
    <w:rsid w:val="00782CD9"/>
    <w:pPr>
      <w:numPr>
        <w:numId w:val="8"/>
      </w:numPr>
    </w:pPr>
    <w:rPr>
      <w:b w:val="0"/>
    </w:rPr>
  </w:style>
  <w:style w:type="paragraph" w:customStyle="1" w:styleId="Box71BoxHeading">
    <w:name w:val="Box 7.1 Box Heading"/>
    <w:basedOn w:val="Normal"/>
    <w:autoRedefine/>
    <w:semiHidden/>
    <w:rsid w:val="00782CD9"/>
    <w:pPr>
      <w:keepLines/>
      <w:widowControl w:val="0"/>
      <w:numPr>
        <w:numId w:val="10"/>
      </w:numPr>
      <w:tabs>
        <w:tab w:val="left" w:pos="1134"/>
      </w:tabs>
      <w:spacing w:before="80" w:after="60" w:line="240" w:lineRule="atLeast"/>
      <w:outlineLvl w:val="2"/>
    </w:pPr>
    <w:rPr>
      <w:rFonts w:ascii="Arial Bold" w:hAnsi="Arial Bold" w:cs="Arial"/>
      <w:b/>
      <w:sz w:val="23"/>
    </w:rPr>
  </w:style>
  <w:style w:type="paragraph" w:customStyle="1" w:styleId="Chart3X">
    <w:name w:val="Chart 3.X"/>
    <w:basedOn w:val="Chart1X"/>
    <w:next w:val="Normal"/>
    <w:semiHidden/>
    <w:qFormat/>
    <w:locked/>
    <w:rsid w:val="00782CD9"/>
    <w:pPr>
      <w:numPr>
        <w:numId w:val="11"/>
      </w:numPr>
    </w:pPr>
  </w:style>
  <w:style w:type="paragraph" w:customStyle="1" w:styleId="41Heading2">
    <w:name w:val="4.1 Heading 2"/>
    <w:basedOn w:val="11Heading2"/>
    <w:next w:val="BodyText"/>
    <w:semiHidden/>
    <w:qFormat/>
    <w:locked/>
    <w:rsid w:val="00782CD9"/>
    <w:pPr>
      <w:numPr>
        <w:numId w:val="37"/>
      </w:numPr>
    </w:pPr>
    <w:rPr>
      <w:b w:val="0"/>
    </w:rPr>
  </w:style>
  <w:style w:type="paragraph" w:customStyle="1" w:styleId="Box4XBoxHeading">
    <w:name w:val="Box 4.X Box Heading"/>
    <w:basedOn w:val="Box1XBoxHeading"/>
    <w:next w:val="Normal"/>
    <w:autoRedefine/>
    <w:semiHidden/>
    <w:locked/>
    <w:rsid w:val="00782CD9"/>
    <w:pPr>
      <w:numPr>
        <w:numId w:val="47"/>
      </w:numPr>
    </w:pPr>
    <w:rPr>
      <w:rFonts w:cs="Arial"/>
      <w:lang w:eastAsia="en-AU"/>
    </w:rPr>
  </w:style>
  <w:style w:type="paragraph" w:customStyle="1" w:styleId="Chart4X">
    <w:name w:val="Chart 4.X"/>
    <w:basedOn w:val="Chart1X"/>
    <w:next w:val="Normal"/>
    <w:semiHidden/>
    <w:locked/>
    <w:rsid w:val="00782CD9"/>
    <w:pPr>
      <w:numPr>
        <w:numId w:val="51"/>
      </w:numPr>
    </w:pPr>
  </w:style>
  <w:style w:type="paragraph" w:customStyle="1" w:styleId="Table4X">
    <w:name w:val="Table 4.X"/>
    <w:basedOn w:val="Table1X"/>
    <w:next w:val="Normal"/>
    <w:semiHidden/>
    <w:locked/>
    <w:rsid w:val="00782CD9"/>
    <w:pPr>
      <w:widowControl w:val="0"/>
      <w:numPr>
        <w:numId w:val="13"/>
      </w:numPr>
    </w:pPr>
    <w:rPr>
      <w:bCs w:val="0"/>
    </w:rPr>
  </w:style>
  <w:style w:type="paragraph" w:customStyle="1" w:styleId="51Heading2">
    <w:name w:val="5.1 Heading 2"/>
    <w:basedOn w:val="11Heading2"/>
    <w:next w:val="BodyText"/>
    <w:semiHidden/>
    <w:qFormat/>
    <w:locked/>
    <w:rsid w:val="00782CD9"/>
    <w:pPr>
      <w:numPr>
        <w:numId w:val="14"/>
      </w:numPr>
    </w:pPr>
    <w:rPr>
      <w:b w:val="0"/>
    </w:rPr>
  </w:style>
  <w:style w:type="paragraph" w:customStyle="1" w:styleId="Box5XBoxHeading">
    <w:name w:val="Box 5.X: Box Heading"/>
    <w:basedOn w:val="Box1XBoxHeading"/>
    <w:next w:val="Normal"/>
    <w:semiHidden/>
    <w:qFormat/>
    <w:locked/>
    <w:rsid w:val="00782CD9"/>
    <w:pPr>
      <w:numPr>
        <w:numId w:val="48"/>
      </w:numPr>
    </w:pPr>
  </w:style>
  <w:style w:type="paragraph" w:customStyle="1" w:styleId="Chart5X">
    <w:name w:val="Chart 5.X"/>
    <w:basedOn w:val="Chart1X"/>
    <w:next w:val="Normal"/>
    <w:semiHidden/>
    <w:locked/>
    <w:rsid w:val="00782CD9"/>
    <w:pPr>
      <w:numPr>
        <w:numId w:val="15"/>
      </w:numPr>
    </w:pPr>
  </w:style>
  <w:style w:type="paragraph" w:customStyle="1" w:styleId="Table5X">
    <w:name w:val="Table 5.X"/>
    <w:basedOn w:val="Table1X"/>
    <w:next w:val="Normal"/>
    <w:semiHidden/>
    <w:locked/>
    <w:rsid w:val="00782CD9"/>
    <w:pPr>
      <w:widowControl w:val="0"/>
      <w:numPr>
        <w:numId w:val="16"/>
      </w:numPr>
    </w:pPr>
    <w:rPr>
      <w:bCs w:val="0"/>
    </w:rPr>
  </w:style>
  <w:style w:type="paragraph" w:customStyle="1" w:styleId="Chart6X">
    <w:name w:val="Chart 6.X"/>
    <w:basedOn w:val="Chart1X"/>
    <w:next w:val="Normal"/>
    <w:semiHidden/>
    <w:qFormat/>
    <w:locked/>
    <w:rsid w:val="00782CD9"/>
    <w:pPr>
      <w:numPr>
        <w:numId w:val="18"/>
      </w:numPr>
    </w:pPr>
  </w:style>
  <w:style w:type="paragraph" w:customStyle="1" w:styleId="Table6X">
    <w:name w:val="Table 6.X"/>
    <w:basedOn w:val="Table1X"/>
    <w:next w:val="Normal"/>
    <w:semiHidden/>
    <w:qFormat/>
    <w:locked/>
    <w:rsid w:val="00782CD9"/>
    <w:pPr>
      <w:widowControl w:val="0"/>
      <w:numPr>
        <w:numId w:val="19"/>
      </w:numPr>
    </w:pPr>
    <w:rPr>
      <w:bCs w:val="0"/>
    </w:rPr>
  </w:style>
  <w:style w:type="paragraph" w:customStyle="1" w:styleId="71Heading2">
    <w:name w:val="7.1 Heading 2"/>
    <w:basedOn w:val="11Heading2"/>
    <w:next w:val="BodyText"/>
    <w:semiHidden/>
    <w:qFormat/>
    <w:locked/>
    <w:rsid w:val="00782CD9"/>
    <w:pPr>
      <w:numPr>
        <w:numId w:val="20"/>
      </w:numPr>
    </w:pPr>
    <w:rPr>
      <w:b w:val="0"/>
    </w:rPr>
  </w:style>
  <w:style w:type="paragraph" w:customStyle="1" w:styleId="81Heading2">
    <w:name w:val="8.1 Heading 2"/>
    <w:basedOn w:val="11Heading2"/>
    <w:next w:val="BodyText"/>
    <w:semiHidden/>
    <w:qFormat/>
    <w:locked/>
    <w:rsid w:val="00782CD9"/>
    <w:pPr>
      <w:numPr>
        <w:numId w:val="39"/>
      </w:numPr>
    </w:pPr>
  </w:style>
  <w:style w:type="paragraph" w:customStyle="1" w:styleId="Chart7X">
    <w:name w:val="Chart 7.X"/>
    <w:basedOn w:val="Chart1X"/>
    <w:next w:val="Normal"/>
    <w:semiHidden/>
    <w:qFormat/>
    <w:locked/>
    <w:rsid w:val="00782CD9"/>
    <w:pPr>
      <w:numPr>
        <w:numId w:val="21"/>
      </w:numPr>
    </w:pPr>
  </w:style>
  <w:style w:type="paragraph" w:customStyle="1" w:styleId="Box7XBoxHeading">
    <w:name w:val="Box 7.X: Box Heading"/>
    <w:basedOn w:val="Box1XBoxHeading"/>
    <w:next w:val="Normal"/>
    <w:semiHidden/>
    <w:qFormat/>
    <w:locked/>
    <w:rsid w:val="00782CD9"/>
    <w:pPr>
      <w:numPr>
        <w:numId w:val="22"/>
      </w:numPr>
    </w:pPr>
  </w:style>
  <w:style w:type="paragraph" w:customStyle="1" w:styleId="Table7X">
    <w:name w:val="Table 7.X"/>
    <w:basedOn w:val="Table1X"/>
    <w:next w:val="Normal"/>
    <w:semiHidden/>
    <w:qFormat/>
    <w:locked/>
    <w:rsid w:val="00782CD9"/>
    <w:pPr>
      <w:numPr>
        <w:numId w:val="23"/>
      </w:numPr>
    </w:pPr>
  </w:style>
  <w:style w:type="paragraph" w:customStyle="1" w:styleId="ChartEX">
    <w:name w:val="Chart E.X"/>
    <w:basedOn w:val="ChartA1X"/>
    <w:next w:val="Normal"/>
    <w:qFormat/>
    <w:locked/>
    <w:rsid w:val="009723AE"/>
    <w:pPr>
      <w:numPr>
        <w:numId w:val="62"/>
      </w:numPr>
      <w:ind w:left="1418" w:hanging="1418"/>
    </w:pPr>
  </w:style>
  <w:style w:type="paragraph" w:customStyle="1" w:styleId="ChartA2X">
    <w:name w:val="Chart A2.X"/>
    <w:basedOn w:val="ChartA1X"/>
    <w:next w:val="Normal"/>
    <w:semiHidden/>
    <w:qFormat/>
    <w:locked/>
    <w:rsid w:val="00782CD9"/>
    <w:pPr>
      <w:numPr>
        <w:numId w:val="53"/>
      </w:numPr>
    </w:pPr>
  </w:style>
  <w:style w:type="paragraph" w:customStyle="1" w:styleId="A22Heading2">
    <w:name w:val="A2.2 Heading 2"/>
    <w:basedOn w:val="11Heading2"/>
    <w:next w:val="BodyText"/>
    <w:semiHidden/>
    <w:qFormat/>
    <w:locked/>
    <w:rsid w:val="00782CD9"/>
    <w:pPr>
      <w:numPr>
        <w:numId w:val="40"/>
      </w:numPr>
    </w:pPr>
    <w:rPr>
      <w:b w:val="0"/>
    </w:rPr>
  </w:style>
  <w:style w:type="paragraph" w:customStyle="1" w:styleId="TableA2X">
    <w:name w:val="Table A2.X"/>
    <w:basedOn w:val="TableA1X"/>
    <w:next w:val="Normal"/>
    <w:semiHidden/>
    <w:locked/>
    <w:rsid w:val="00782CD9"/>
    <w:pPr>
      <w:keepNext/>
      <w:keepLines/>
      <w:widowControl w:val="0"/>
      <w:numPr>
        <w:numId w:val="24"/>
      </w:numPr>
      <w:autoSpaceDE w:val="0"/>
      <w:autoSpaceDN w:val="0"/>
    </w:pPr>
    <w:rPr>
      <w:rFonts w:cs="Arial"/>
      <w:color w:val="57514D"/>
      <w:lang w:eastAsia="en-AU"/>
    </w:rPr>
  </w:style>
  <w:style w:type="paragraph" w:customStyle="1" w:styleId="TableA3X">
    <w:name w:val="Table A3.X"/>
    <w:basedOn w:val="TableA1X"/>
    <w:next w:val="Normal"/>
    <w:semiHidden/>
    <w:qFormat/>
    <w:locked/>
    <w:rsid w:val="00782CD9"/>
    <w:pPr>
      <w:widowControl w:val="0"/>
      <w:numPr>
        <w:numId w:val="25"/>
      </w:numPr>
    </w:pPr>
    <w:rPr>
      <w:bCs w:val="0"/>
    </w:rPr>
  </w:style>
  <w:style w:type="paragraph" w:customStyle="1" w:styleId="A11Heading2">
    <w:name w:val="A1.1 Heading 2"/>
    <w:basedOn w:val="11Heading2"/>
    <w:next w:val="BodyText"/>
    <w:semiHidden/>
    <w:qFormat/>
    <w:locked/>
    <w:rsid w:val="00782CD9"/>
    <w:pPr>
      <w:numPr>
        <w:numId w:val="26"/>
      </w:numPr>
    </w:pPr>
    <w:rPr>
      <w:rFonts w:eastAsia="Tahoma" w:cs="Tahoma"/>
      <w:b w:val="0"/>
    </w:rPr>
  </w:style>
  <w:style w:type="paragraph" w:customStyle="1" w:styleId="B1Heading2">
    <w:name w:val="B.1 Heading 2"/>
    <w:basedOn w:val="11Heading2"/>
    <w:semiHidden/>
    <w:qFormat/>
    <w:locked/>
    <w:rsid w:val="00782CD9"/>
    <w:pPr>
      <w:numPr>
        <w:numId w:val="27"/>
      </w:numPr>
    </w:pPr>
    <w:rPr>
      <w:rFonts w:eastAsia="Tahoma" w:cs="Tahoma"/>
      <w:b w:val="0"/>
    </w:rPr>
  </w:style>
  <w:style w:type="paragraph" w:customStyle="1" w:styleId="ChartA1X">
    <w:name w:val="Chart A1.X"/>
    <w:basedOn w:val="Chart1X"/>
    <w:next w:val="Normal"/>
    <w:semiHidden/>
    <w:qFormat/>
    <w:locked/>
    <w:rsid w:val="00782CD9"/>
    <w:pPr>
      <w:numPr>
        <w:numId w:val="52"/>
      </w:numPr>
    </w:pPr>
    <w:rPr>
      <w:rFonts w:eastAsia="Tahoma" w:cs="Tahoma"/>
    </w:rPr>
  </w:style>
  <w:style w:type="paragraph" w:customStyle="1" w:styleId="ChartBX">
    <w:name w:val="Chart B.X"/>
    <w:basedOn w:val="ChartA1X"/>
    <w:next w:val="Normal"/>
    <w:semiHidden/>
    <w:qFormat/>
    <w:locked/>
    <w:rsid w:val="00782CD9"/>
    <w:pPr>
      <w:numPr>
        <w:numId w:val="28"/>
      </w:numPr>
    </w:pPr>
  </w:style>
  <w:style w:type="paragraph" w:customStyle="1" w:styleId="ChartCX">
    <w:name w:val="Chart C.X"/>
    <w:basedOn w:val="ChartA1X"/>
    <w:next w:val="Normal"/>
    <w:semiHidden/>
    <w:qFormat/>
    <w:locked/>
    <w:rsid w:val="00782CD9"/>
    <w:pPr>
      <w:numPr>
        <w:numId w:val="29"/>
      </w:numPr>
    </w:pPr>
  </w:style>
  <w:style w:type="paragraph" w:customStyle="1" w:styleId="ChartDX">
    <w:name w:val="Chart D.X"/>
    <w:basedOn w:val="ChartA1X"/>
    <w:next w:val="Normal"/>
    <w:semiHidden/>
    <w:qFormat/>
    <w:locked/>
    <w:rsid w:val="00782CD9"/>
    <w:pPr>
      <w:numPr>
        <w:numId w:val="30"/>
      </w:numPr>
    </w:pPr>
  </w:style>
  <w:style w:type="paragraph" w:customStyle="1" w:styleId="TableA1X">
    <w:name w:val="Table A1.X"/>
    <w:basedOn w:val="Table1X"/>
    <w:next w:val="Normal"/>
    <w:semiHidden/>
    <w:qFormat/>
    <w:locked/>
    <w:rsid w:val="00782CD9"/>
    <w:pPr>
      <w:numPr>
        <w:numId w:val="31"/>
      </w:numPr>
    </w:pPr>
    <w:rPr>
      <w:rFonts w:eastAsia="Tahoma" w:cs="Tahoma"/>
    </w:rPr>
  </w:style>
  <w:style w:type="paragraph" w:customStyle="1" w:styleId="TableBX">
    <w:name w:val="Table B.X"/>
    <w:basedOn w:val="TableA1X"/>
    <w:next w:val="Normal"/>
    <w:semiHidden/>
    <w:qFormat/>
    <w:locked/>
    <w:rsid w:val="00782CD9"/>
    <w:pPr>
      <w:numPr>
        <w:numId w:val="32"/>
      </w:numPr>
    </w:pPr>
  </w:style>
  <w:style w:type="paragraph" w:customStyle="1" w:styleId="TableCX">
    <w:name w:val="Table C.X"/>
    <w:basedOn w:val="TableA1X"/>
    <w:next w:val="Normal"/>
    <w:semiHidden/>
    <w:qFormat/>
    <w:locked/>
    <w:rsid w:val="00782CD9"/>
    <w:pPr>
      <w:numPr>
        <w:numId w:val="33"/>
      </w:numPr>
    </w:pPr>
  </w:style>
  <w:style w:type="paragraph" w:customStyle="1" w:styleId="TableDX">
    <w:name w:val="Table D.X"/>
    <w:basedOn w:val="TableA1X"/>
    <w:next w:val="Normal"/>
    <w:semiHidden/>
    <w:qFormat/>
    <w:locked/>
    <w:rsid w:val="00782CD9"/>
    <w:pPr>
      <w:numPr>
        <w:numId w:val="34"/>
      </w:numPr>
    </w:pPr>
  </w:style>
  <w:style w:type="paragraph" w:customStyle="1" w:styleId="ChartA3X">
    <w:name w:val="Chart A3.X"/>
    <w:basedOn w:val="ChartA1X"/>
    <w:next w:val="Normal"/>
    <w:semiHidden/>
    <w:qFormat/>
    <w:locked/>
    <w:rsid w:val="00782CD9"/>
    <w:pPr>
      <w:numPr>
        <w:numId w:val="54"/>
      </w:numPr>
    </w:pPr>
  </w:style>
  <w:style w:type="paragraph" w:customStyle="1" w:styleId="ChartFX">
    <w:name w:val="Chart F.X"/>
    <w:basedOn w:val="ChartA1X"/>
    <w:next w:val="Normal"/>
    <w:semiHidden/>
    <w:locked/>
    <w:rsid w:val="00782CD9"/>
    <w:pPr>
      <w:numPr>
        <w:numId w:val="35"/>
      </w:numPr>
    </w:pPr>
  </w:style>
  <w:style w:type="paragraph" w:customStyle="1" w:styleId="61Heading2">
    <w:name w:val="6.1 Heading 2"/>
    <w:basedOn w:val="11Heading2"/>
    <w:next w:val="BodyText"/>
    <w:semiHidden/>
    <w:qFormat/>
    <w:locked/>
    <w:rsid w:val="00782CD9"/>
    <w:pPr>
      <w:numPr>
        <w:numId w:val="38"/>
      </w:numPr>
    </w:pPr>
  </w:style>
  <w:style w:type="paragraph" w:customStyle="1" w:styleId="A31Heading2">
    <w:name w:val="A3.1 Heading 2"/>
    <w:basedOn w:val="11Heading2"/>
    <w:semiHidden/>
    <w:qFormat/>
    <w:locked/>
    <w:rsid w:val="00782CD9"/>
    <w:pPr>
      <w:numPr>
        <w:numId w:val="41"/>
      </w:numPr>
    </w:pPr>
  </w:style>
  <w:style w:type="paragraph" w:customStyle="1" w:styleId="A41Heading2">
    <w:name w:val="A4.1 Heading 2"/>
    <w:basedOn w:val="11Heading2"/>
    <w:next w:val="BodyText"/>
    <w:semiHidden/>
    <w:qFormat/>
    <w:locked/>
    <w:rsid w:val="00782CD9"/>
    <w:pPr>
      <w:numPr>
        <w:numId w:val="42"/>
      </w:numPr>
    </w:pPr>
  </w:style>
  <w:style w:type="paragraph" w:customStyle="1" w:styleId="C1Heading2">
    <w:name w:val="C.1 Heading 2"/>
    <w:basedOn w:val="11Heading2"/>
    <w:next w:val="BodyText"/>
    <w:semiHidden/>
    <w:qFormat/>
    <w:locked/>
    <w:rsid w:val="00782CD9"/>
    <w:pPr>
      <w:numPr>
        <w:numId w:val="43"/>
      </w:numPr>
    </w:pPr>
  </w:style>
  <w:style w:type="paragraph" w:customStyle="1" w:styleId="D1Heading2">
    <w:name w:val="D.1 Heading 2"/>
    <w:basedOn w:val="11Heading2"/>
    <w:next w:val="BodyText"/>
    <w:semiHidden/>
    <w:qFormat/>
    <w:locked/>
    <w:rsid w:val="00782CD9"/>
    <w:pPr>
      <w:numPr>
        <w:numId w:val="44"/>
      </w:numPr>
    </w:pPr>
  </w:style>
  <w:style w:type="paragraph" w:customStyle="1" w:styleId="E1Heading2">
    <w:name w:val="E.1 Heading 2"/>
    <w:basedOn w:val="11Heading2"/>
    <w:next w:val="BodyText"/>
    <w:semiHidden/>
    <w:qFormat/>
    <w:locked/>
    <w:rsid w:val="00782CD9"/>
    <w:pPr>
      <w:numPr>
        <w:numId w:val="45"/>
      </w:numPr>
      <w:ind w:left="851" w:hanging="851"/>
    </w:pPr>
  </w:style>
  <w:style w:type="paragraph" w:customStyle="1" w:styleId="F1Heading2">
    <w:name w:val="F.1 Heading 2"/>
    <w:basedOn w:val="11Heading2"/>
    <w:semiHidden/>
    <w:qFormat/>
    <w:locked/>
    <w:rsid w:val="00782CD9"/>
    <w:pPr>
      <w:numPr>
        <w:numId w:val="46"/>
      </w:numPr>
    </w:pPr>
  </w:style>
  <w:style w:type="paragraph" w:customStyle="1" w:styleId="Table8X">
    <w:name w:val="Table 8.X"/>
    <w:basedOn w:val="Table1X"/>
    <w:next w:val="Normal"/>
    <w:semiHidden/>
    <w:qFormat/>
    <w:locked/>
    <w:rsid w:val="00782CD9"/>
    <w:pPr>
      <w:numPr>
        <w:numId w:val="50"/>
      </w:numPr>
    </w:pPr>
  </w:style>
  <w:style w:type="paragraph" w:customStyle="1" w:styleId="ChartA4X">
    <w:name w:val="Chart A4.X"/>
    <w:basedOn w:val="ChartA1X"/>
    <w:next w:val="Normal"/>
    <w:semiHidden/>
    <w:qFormat/>
    <w:locked/>
    <w:rsid w:val="00782CD9"/>
    <w:pPr>
      <w:numPr>
        <w:numId w:val="55"/>
      </w:numPr>
    </w:pPr>
  </w:style>
  <w:style w:type="paragraph" w:customStyle="1" w:styleId="ChartA5X">
    <w:name w:val="Chart A5.X"/>
    <w:basedOn w:val="ChartA1X"/>
    <w:next w:val="Normal"/>
    <w:semiHidden/>
    <w:qFormat/>
    <w:locked/>
    <w:rsid w:val="00782CD9"/>
    <w:pPr>
      <w:numPr>
        <w:numId w:val="56"/>
      </w:numPr>
    </w:pPr>
  </w:style>
  <w:style w:type="paragraph" w:customStyle="1" w:styleId="Box8XBoxHeading">
    <w:name w:val="Box 8.X: Box Heading"/>
    <w:basedOn w:val="Box1XBoxHeading"/>
    <w:next w:val="Normal"/>
    <w:semiHidden/>
    <w:qFormat/>
    <w:locked/>
    <w:rsid w:val="00782CD9"/>
    <w:pPr>
      <w:numPr>
        <w:numId w:val="66"/>
      </w:numPr>
    </w:pPr>
  </w:style>
  <w:style w:type="paragraph" w:styleId="Header">
    <w:name w:val="header"/>
    <w:basedOn w:val="Normal"/>
    <w:link w:val="HeaderChar"/>
    <w:uiPriority w:val="99"/>
    <w:semiHidden/>
    <w:rsid w:val="009E52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2666"/>
    <w:rPr>
      <w:lang w:val="en-US" w:eastAsia="en-US"/>
    </w:rPr>
  </w:style>
  <w:style w:type="paragraph" w:styleId="Footer">
    <w:name w:val="footer"/>
    <w:basedOn w:val="Normal"/>
    <w:link w:val="FooterChar"/>
    <w:semiHidden/>
    <w:rsid w:val="009E52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2B2666"/>
    <w:rPr>
      <w:lang w:val="en-US" w:eastAsia="en-US"/>
    </w:rPr>
  </w:style>
  <w:style w:type="table" w:customStyle="1" w:styleId="Focusbox">
    <w:name w:val="Focus box"/>
    <w:basedOn w:val="TableNormal"/>
    <w:uiPriority w:val="99"/>
    <w:locked/>
    <w:rsid w:val="00F011B4"/>
    <w:rPr>
      <w:rFonts w:ascii="Arial" w:hAnsi="Arial"/>
      <w:sz w:val="23"/>
    </w:rPr>
    <w:tblPr/>
    <w:tcPr>
      <w:shd w:val="pct5" w:color="auto" w:fill="auto"/>
    </w:tcPr>
  </w:style>
  <w:style w:type="paragraph" w:customStyle="1" w:styleId="Source">
    <w:name w:val="Source"/>
    <w:basedOn w:val="Normal"/>
    <w:next w:val="BodyText"/>
    <w:qFormat/>
    <w:rsid w:val="00782CD9"/>
    <w:pPr>
      <w:widowControl w:val="0"/>
    </w:pPr>
    <w:rPr>
      <w:rFonts w:ascii="Public Sans" w:hAnsi="Public Sans" w:cs="Arial"/>
      <w:i/>
      <w:noProof/>
      <w:color w:val="4F4F4F"/>
      <w:sz w:val="17"/>
      <w:szCs w:val="17"/>
      <w:lang w:eastAsia="en-AU"/>
    </w:rPr>
  </w:style>
  <w:style w:type="character" w:customStyle="1" w:styleId="BodyTextChar">
    <w:name w:val="Body Text Char"/>
    <w:basedOn w:val="DefaultParagraphFont"/>
    <w:link w:val="BodyText"/>
    <w:rsid w:val="001076C2"/>
    <w:rPr>
      <w:rFonts w:ascii="Public Sans" w:hAnsi="Public Sans" w:cs="Arial"/>
      <w:sz w:val="22"/>
      <w:lang w:eastAsia="en-US"/>
    </w:rPr>
  </w:style>
  <w:style w:type="paragraph" w:styleId="ListParagraph">
    <w:name w:val="List Paragraph"/>
    <w:aliases w:val="Recommendation,List Paragraph1,standard lewis,CDHP List Paragraph,Bullet List Paragraph,List Paragraph11,List Paragraph111,L,F5 List Paragraph,Dot pt,CV text,Medium Grid 1 - Accent 21,Numbered Paragraph,List Paragraph2,Bullet list,Bullets"/>
    <w:basedOn w:val="Normal"/>
    <w:link w:val="ListParagraphChar"/>
    <w:uiPriority w:val="34"/>
    <w:semiHidden/>
    <w:qFormat/>
    <w:rsid w:val="007E7624"/>
    <w:pPr>
      <w:ind w:left="720"/>
      <w:contextualSpacing/>
    </w:pPr>
  </w:style>
  <w:style w:type="character" w:customStyle="1" w:styleId="ListParagraphChar">
    <w:name w:val="List Paragraph Char"/>
    <w:aliases w:val="Recommendation Char,List Paragraph1 Char,standard lewis Char,CDHP List Paragraph Char,Bullet List Paragraph Char,List Paragraph11 Char,List Paragraph111 Char,L Char,F5 List Paragraph Char,Dot pt Char,CV text Char,List Paragraph2 Char"/>
    <w:link w:val="ListParagraph"/>
    <w:uiPriority w:val="34"/>
    <w:qFormat/>
    <w:locked/>
    <w:rsid w:val="002B2666"/>
    <w:rPr>
      <w:lang w:val="en-US" w:eastAsia="en-US"/>
    </w:rPr>
  </w:style>
  <w:style w:type="paragraph" w:customStyle="1" w:styleId="TableEX">
    <w:name w:val="Table E.X"/>
    <w:basedOn w:val="TableDX"/>
    <w:next w:val="BodyText"/>
    <w:qFormat/>
    <w:rsid w:val="00C5219F"/>
    <w:pPr>
      <w:numPr>
        <w:numId w:val="85"/>
      </w:numPr>
      <w:ind w:left="1418" w:hanging="1418"/>
    </w:pPr>
  </w:style>
  <w:style w:type="paragraph" w:customStyle="1" w:styleId="FigureEX">
    <w:name w:val="Figure E.X"/>
    <w:basedOn w:val="Figure1X"/>
    <w:next w:val="Normal"/>
    <w:qFormat/>
    <w:rsid w:val="00782CD9"/>
    <w:pPr>
      <w:numPr>
        <w:numId w:val="63"/>
      </w:numPr>
    </w:pPr>
  </w:style>
  <w:style w:type="paragraph" w:customStyle="1" w:styleId="Footnotestyle">
    <w:name w:val="Footnote style"/>
    <w:basedOn w:val="Normal"/>
    <w:next w:val="Normal"/>
    <w:qFormat/>
    <w:rsid w:val="00782CD9"/>
    <w:pPr>
      <w:spacing w:before="40" w:after="40"/>
      <w:ind w:left="709" w:hanging="284"/>
    </w:pPr>
    <w:rPr>
      <w:rFonts w:ascii="Public Sans" w:hAnsi="Public Sans"/>
      <w:sz w:val="16"/>
    </w:rPr>
  </w:style>
  <w:style w:type="paragraph" w:styleId="ListBullet">
    <w:name w:val="List Bullet"/>
    <w:basedOn w:val="Normal"/>
    <w:uiPriority w:val="99"/>
    <w:semiHidden/>
    <w:unhideWhenUsed/>
    <w:rsid w:val="00192BFC"/>
    <w:pPr>
      <w:numPr>
        <w:numId w:val="64"/>
      </w:numPr>
      <w:spacing w:after="160" w:line="252" w:lineRule="auto"/>
      <w:contextualSpacing/>
    </w:pPr>
    <w:rPr>
      <w:rFonts w:ascii="Calibri" w:eastAsiaTheme="minorHAnsi" w:hAnsi="Calibri" w:cs="Calibri"/>
      <w:sz w:val="22"/>
      <w:szCs w:val="22"/>
      <w:lang w:val="en-AU"/>
    </w:rPr>
  </w:style>
  <w:style w:type="paragraph" w:styleId="Revision">
    <w:name w:val="Revision"/>
    <w:hidden/>
    <w:uiPriority w:val="99"/>
    <w:semiHidden/>
    <w:rsid w:val="00F26ED7"/>
    <w:rPr>
      <w:lang w:val="en-US" w:eastAsia="en-US"/>
    </w:rPr>
  </w:style>
  <w:style w:type="paragraph" w:customStyle="1" w:styleId="Bullet">
    <w:name w:val="Bullet"/>
    <w:basedOn w:val="Bullet1"/>
    <w:semiHidden/>
    <w:rsid w:val="00F17BE6"/>
    <w:pPr>
      <w:numPr>
        <w:numId w:val="0"/>
      </w:numPr>
      <w:tabs>
        <w:tab w:val="num" w:pos="360"/>
      </w:tabs>
    </w:pPr>
  </w:style>
  <w:style w:type="paragraph" w:customStyle="1" w:styleId="Bullet3">
    <w:name w:val="Bullet 3"/>
    <w:basedOn w:val="Bullet2"/>
    <w:next w:val="BodyText"/>
    <w:qFormat/>
    <w:rsid w:val="00DC026E"/>
    <w:pPr>
      <w:numPr>
        <w:numId w:val="67"/>
      </w:numPr>
      <w:tabs>
        <w:tab w:val="clear" w:pos="851"/>
        <w:tab w:val="clear" w:pos="8647"/>
      </w:tabs>
      <w:ind w:left="851" w:hanging="284"/>
    </w:pPr>
  </w:style>
  <w:style w:type="paragraph" w:customStyle="1" w:styleId="Figure1X">
    <w:name w:val="Figure 1.X"/>
    <w:basedOn w:val="Table1X"/>
    <w:next w:val="Normal"/>
    <w:semiHidden/>
    <w:qFormat/>
    <w:rsid w:val="00782CD9"/>
    <w:pPr>
      <w:numPr>
        <w:numId w:val="68"/>
      </w:numPr>
    </w:pPr>
  </w:style>
  <w:style w:type="paragraph" w:customStyle="1" w:styleId="Figure2X">
    <w:name w:val="Figure 2.X"/>
    <w:basedOn w:val="Figure1X"/>
    <w:next w:val="Normal"/>
    <w:semiHidden/>
    <w:qFormat/>
    <w:rsid w:val="00782CD9"/>
    <w:pPr>
      <w:numPr>
        <w:numId w:val="69"/>
      </w:numPr>
    </w:pPr>
  </w:style>
  <w:style w:type="paragraph" w:customStyle="1" w:styleId="Figure3X">
    <w:name w:val="Figure 3.X"/>
    <w:basedOn w:val="Figure1X"/>
    <w:next w:val="Normal"/>
    <w:semiHidden/>
    <w:qFormat/>
    <w:rsid w:val="00782CD9"/>
    <w:pPr>
      <w:numPr>
        <w:numId w:val="70"/>
      </w:numPr>
    </w:pPr>
  </w:style>
  <w:style w:type="paragraph" w:customStyle="1" w:styleId="Figure4X">
    <w:name w:val="Figure 4.X"/>
    <w:basedOn w:val="Figure1X"/>
    <w:next w:val="Normal"/>
    <w:semiHidden/>
    <w:qFormat/>
    <w:rsid w:val="00782CD9"/>
    <w:pPr>
      <w:numPr>
        <w:numId w:val="71"/>
      </w:numPr>
    </w:pPr>
  </w:style>
  <w:style w:type="paragraph" w:customStyle="1" w:styleId="Figure5X">
    <w:name w:val="Figure 5.X"/>
    <w:basedOn w:val="Figure1X"/>
    <w:next w:val="Normal"/>
    <w:semiHidden/>
    <w:qFormat/>
    <w:rsid w:val="00782CD9"/>
    <w:pPr>
      <w:numPr>
        <w:numId w:val="72"/>
      </w:numPr>
    </w:pPr>
  </w:style>
  <w:style w:type="paragraph" w:customStyle="1" w:styleId="Figure6X">
    <w:name w:val="Figure 6.X"/>
    <w:basedOn w:val="Figure1X"/>
    <w:next w:val="Normal"/>
    <w:semiHidden/>
    <w:qFormat/>
    <w:rsid w:val="00782CD9"/>
    <w:pPr>
      <w:numPr>
        <w:numId w:val="73"/>
      </w:numPr>
    </w:pPr>
  </w:style>
  <w:style w:type="paragraph" w:customStyle="1" w:styleId="Figure7X">
    <w:name w:val="Figure 7.X"/>
    <w:basedOn w:val="Figure1X"/>
    <w:next w:val="Normal"/>
    <w:semiHidden/>
    <w:qFormat/>
    <w:rsid w:val="00782CD9"/>
    <w:pPr>
      <w:numPr>
        <w:numId w:val="74"/>
      </w:numPr>
    </w:pPr>
  </w:style>
  <w:style w:type="paragraph" w:customStyle="1" w:styleId="Figure8X">
    <w:name w:val="Figure 8.X"/>
    <w:basedOn w:val="Figure7X"/>
    <w:next w:val="Normal"/>
    <w:semiHidden/>
    <w:qFormat/>
    <w:rsid w:val="00782CD9"/>
    <w:pPr>
      <w:numPr>
        <w:numId w:val="75"/>
      </w:numPr>
    </w:pPr>
  </w:style>
  <w:style w:type="paragraph" w:customStyle="1" w:styleId="FigureA1X">
    <w:name w:val="Figure A1.X"/>
    <w:basedOn w:val="Figure1X"/>
    <w:next w:val="Normal"/>
    <w:semiHidden/>
    <w:qFormat/>
    <w:rsid w:val="00782CD9"/>
    <w:pPr>
      <w:numPr>
        <w:numId w:val="76"/>
      </w:numPr>
    </w:pPr>
  </w:style>
  <w:style w:type="paragraph" w:customStyle="1" w:styleId="FigureA2X">
    <w:name w:val="Figure A2.X"/>
    <w:basedOn w:val="Figure1X"/>
    <w:next w:val="Normal"/>
    <w:semiHidden/>
    <w:qFormat/>
    <w:rsid w:val="00782CD9"/>
    <w:pPr>
      <w:numPr>
        <w:numId w:val="77"/>
      </w:numPr>
    </w:pPr>
  </w:style>
  <w:style w:type="paragraph" w:customStyle="1" w:styleId="FigureA3X">
    <w:name w:val="Figure A3.X"/>
    <w:basedOn w:val="Figure1X"/>
    <w:next w:val="Normal"/>
    <w:semiHidden/>
    <w:qFormat/>
    <w:rsid w:val="00782CD9"/>
    <w:pPr>
      <w:numPr>
        <w:numId w:val="78"/>
      </w:numPr>
    </w:pPr>
  </w:style>
  <w:style w:type="paragraph" w:customStyle="1" w:styleId="FigureA4X">
    <w:name w:val="Figure A4.X"/>
    <w:basedOn w:val="Figure1X"/>
    <w:next w:val="Normal"/>
    <w:semiHidden/>
    <w:qFormat/>
    <w:rsid w:val="00782CD9"/>
    <w:pPr>
      <w:numPr>
        <w:numId w:val="79"/>
      </w:numPr>
    </w:pPr>
  </w:style>
  <w:style w:type="paragraph" w:customStyle="1" w:styleId="FigureA5X">
    <w:name w:val="Figure A5.X"/>
    <w:basedOn w:val="Figure1X"/>
    <w:next w:val="Normal"/>
    <w:semiHidden/>
    <w:qFormat/>
    <w:rsid w:val="00782CD9"/>
    <w:pPr>
      <w:numPr>
        <w:numId w:val="80"/>
      </w:numPr>
    </w:pPr>
  </w:style>
  <w:style w:type="paragraph" w:customStyle="1" w:styleId="FigureBX">
    <w:name w:val="Figure B.X"/>
    <w:basedOn w:val="Figure1X"/>
    <w:semiHidden/>
    <w:qFormat/>
    <w:rsid w:val="00782CD9"/>
    <w:pPr>
      <w:numPr>
        <w:numId w:val="81"/>
      </w:numPr>
    </w:pPr>
  </w:style>
  <w:style w:type="paragraph" w:customStyle="1" w:styleId="FigureCX">
    <w:name w:val="Figure C.X"/>
    <w:basedOn w:val="Figure1X"/>
    <w:next w:val="Normal"/>
    <w:semiHidden/>
    <w:qFormat/>
    <w:rsid w:val="00782CD9"/>
    <w:pPr>
      <w:numPr>
        <w:numId w:val="82"/>
      </w:numPr>
    </w:pPr>
  </w:style>
  <w:style w:type="paragraph" w:customStyle="1" w:styleId="FigureDX">
    <w:name w:val="Figure D.X"/>
    <w:basedOn w:val="Figure1X"/>
    <w:next w:val="Normal"/>
    <w:semiHidden/>
    <w:qFormat/>
    <w:rsid w:val="00782CD9"/>
    <w:pPr>
      <w:numPr>
        <w:numId w:val="83"/>
      </w:numPr>
    </w:pPr>
  </w:style>
  <w:style w:type="paragraph" w:customStyle="1" w:styleId="FigureFX">
    <w:name w:val="Figure F.X"/>
    <w:basedOn w:val="Figure1X"/>
    <w:next w:val="Normal"/>
    <w:semiHidden/>
    <w:qFormat/>
    <w:rsid w:val="00782CD9"/>
    <w:pPr>
      <w:numPr>
        <w:numId w:val="84"/>
      </w:numPr>
    </w:pPr>
  </w:style>
  <w:style w:type="paragraph" w:customStyle="1" w:styleId="Headinginbox">
    <w:name w:val="Heading in box"/>
    <w:basedOn w:val="BodyText"/>
    <w:next w:val="Normal"/>
    <w:qFormat/>
    <w:rsid w:val="00782CD9"/>
    <w:rPr>
      <w:rFonts w:ascii="Public Sans SemiBold" w:hAnsi="Public Sans SemiBold"/>
      <w:b/>
      <w:color w:val="002664"/>
    </w:rPr>
  </w:style>
  <w:style w:type="character" w:styleId="CommentReference">
    <w:name w:val="annotation reference"/>
    <w:basedOn w:val="DefaultParagraphFont"/>
    <w:semiHidden/>
    <w:unhideWhenUsed/>
    <w:rsid w:val="00C04BA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04BA9"/>
  </w:style>
  <w:style w:type="character" w:customStyle="1" w:styleId="CommentTextChar">
    <w:name w:val="Comment Text Char"/>
    <w:basedOn w:val="DefaultParagraphFont"/>
    <w:link w:val="CommentText"/>
    <w:rsid w:val="00C04BA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04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04BA9"/>
    <w:rPr>
      <w:b/>
      <w:bCs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04BA9"/>
    <w:rPr>
      <w:i/>
      <w:sz w:val="16"/>
      <w:lang w:val="en-US" w:eastAsia="en-US"/>
    </w:rPr>
  </w:style>
  <w:style w:type="character" w:styleId="Mention">
    <w:name w:val="Mention"/>
    <w:basedOn w:val="DefaultParagraphFont"/>
    <w:uiPriority w:val="99"/>
    <w:unhideWhenUsed/>
    <w:rsid w:val="00C04BA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https://nswgov.sharepoint.com/sites/TSY2019-20Budget/Shared%20Documents/General/2023-24%20Budget/01.%20Budget%20Paper%20No%201%20(Budget%20Statement)/16.%20App%20E%20-%20Performance%20Reporting%20under%20the%20FRA/Drafting%20content%20for%20Contributors/Budge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https://nswgov.sharepoint.com/sites/TSY2019-20Budget/Shared%20Documents/General/2023-24%20Budget/01.%20Budget%20Paper%20No%201%20(Budget%20Statement)/16.%20App%20E%20-%20Performance%20Reporting%20under%20the%20FRA/Drafting%20content%20for%20Contributors/Budge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https://nswgov.sharepoint.com/sites/TSY2019-20Budget/Shared%20Documents/General/2023-24%20Budget/01.%20Budget%20Paper%20No%201%20(Budget%20Statement)/16.%20App%20E%20-%20Performance%20Reporting%20under%20the%20FRA/Drafting%20content%20for%20Contributors/Budge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Public Sans" pitchFamily="2" charset="0"/>
                <a:ea typeface="+mn-ea"/>
                <a:cs typeface="+mn-cs"/>
              </a:defRPr>
            </a:pPr>
            <a:r>
              <a:rPr lang="en-AU"/>
              <a:t>Unfunded Defined Benefit Liability (AASB1056 basis)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Public Sans" pitchFamily="2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'C:\Users\TRAZZERW\AppData\Local\Microsoft\Windows\INetCache\Content.Outlook\FBOZ4HSR\[Book1.xlsx]Sheet1'!$D$13</c:f>
              <c:strCache>
                <c:ptCount val="1"/>
                <c:pt idx="0">
                  <c:v>Unfunded Liability ($ billions)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'C:\Users\TRAZZERW\AppData\Local\Microsoft\Windows\INetCache\Content.Outlook\FBOZ4HSR\[Book1.xlsx]Sheet1'!$C$14:$C$31</c:f>
              <c:numCache>
                <c:formatCode>General</c:formatCode>
                <c:ptCount val="18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  <c:pt idx="16">
                  <c:v>2039</c:v>
                </c:pt>
                <c:pt idx="17">
                  <c:v>2040</c:v>
                </c:pt>
              </c:numCache>
            </c:numRef>
          </c:cat>
          <c:val>
            <c:numRef>
              <c:f>'C:\Users\TRAZZERW\AppData\Local\Microsoft\Windows\INetCache\Content.Outlook\FBOZ4HSR\[Book1.xlsx]Sheet1'!$D$14:$D$31</c:f>
              <c:numCache>
                <c:formatCode>General</c:formatCode>
                <c:ptCount val="18"/>
                <c:pt idx="0">
                  <c:v>19.777764147013389</c:v>
                </c:pt>
                <c:pt idx="1">
                  <c:v>19.360612238987624</c:v>
                </c:pt>
                <c:pt idx="2">
                  <c:v>19.178029758233794</c:v>
                </c:pt>
                <c:pt idx="3">
                  <c:v>18.89800717216573</c:v>
                </c:pt>
                <c:pt idx="4">
                  <c:v>18.510968817019233</c:v>
                </c:pt>
                <c:pt idx="5">
                  <c:v>18.005657140740006</c:v>
                </c:pt>
                <c:pt idx="6">
                  <c:v>17.37064015970417</c:v>
                </c:pt>
                <c:pt idx="7">
                  <c:v>16.593310122445573</c:v>
                </c:pt>
                <c:pt idx="8">
                  <c:v>15.6589498363515</c:v>
                </c:pt>
                <c:pt idx="9">
                  <c:v>14.551721805094109</c:v>
                </c:pt>
                <c:pt idx="10">
                  <c:v>13.254873972882299</c:v>
                </c:pt>
                <c:pt idx="11">
                  <c:v>11.74995164337613</c:v>
                </c:pt>
                <c:pt idx="12">
                  <c:v>10.016393981642192</c:v>
                </c:pt>
                <c:pt idx="13">
                  <c:v>8.0321932660168756</c:v>
                </c:pt>
                <c:pt idx="14">
                  <c:v>5.7731327346360928</c:v>
                </c:pt>
                <c:pt idx="15">
                  <c:v>3.2133433273117324</c:v>
                </c:pt>
                <c:pt idx="16">
                  <c:v>0.32489133271003773</c:v>
                </c:pt>
                <c:pt idx="17">
                  <c:v>-2.9221733022496608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D07-46D6-B74A-FD7FF2441E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25599712"/>
        <c:axId val="1025601512"/>
      </c:lineChart>
      <c:catAx>
        <c:axId val="1025599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ublic Sans" pitchFamily="2" charset="0"/>
                <a:ea typeface="+mn-ea"/>
                <a:cs typeface="+mn-cs"/>
              </a:defRPr>
            </a:pPr>
            <a:endParaRPr lang="en-US"/>
          </a:p>
        </c:txPr>
        <c:crossAx val="1025601512"/>
        <c:crosses val="autoZero"/>
        <c:auto val="1"/>
        <c:lblAlgn val="ctr"/>
        <c:lblOffset val="100"/>
        <c:tickMarkSkip val="2"/>
        <c:noMultiLvlLbl val="0"/>
      </c:catAx>
      <c:valAx>
        <c:axId val="102560151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Public Sans" pitchFamily="2" charset="0"/>
                    <a:ea typeface="+mn-ea"/>
                    <a:cs typeface="+mn-cs"/>
                  </a:defRPr>
                </a:pPr>
                <a:r>
                  <a:rPr lang="en-AU"/>
                  <a:t>$ billions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7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Public Sans" pitchFamily="2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ublic Sans" pitchFamily="2" charset="0"/>
                <a:ea typeface="+mn-ea"/>
                <a:cs typeface="+mn-cs"/>
              </a:defRPr>
            </a:pPr>
            <a:endParaRPr lang="en-US"/>
          </a:p>
        </c:txPr>
        <c:crossAx val="1025599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latin typeface="Public Sans" pitchFamily="2" charset="0"/>
        </a:defRPr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v>New South Wales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'[Budget Papers - Charts and Table Template Edited.xltx]Graphs for Appendix E'!$C$5:$AD$5</c:f>
              <c:strCache>
                <c:ptCount val="28"/>
                <c:pt idx="0">
                  <c:v>1999-00</c:v>
                </c:pt>
                <c:pt idx="1">
                  <c:v>2000-01</c:v>
                </c:pt>
                <c:pt idx="2">
                  <c:v>2001-02</c:v>
                </c:pt>
                <c:pt idx="3">
                  <c:v>2002-03</c:v>
                </c:pt>
                <c:pt idx="4">
                  <c:v>2003-04</c:v>
                </c:pt>
                <c:pt idx="5">
                  <c:v>2004-05</c:v>
                </c:pt>
                <c:pt idx="6">
                  <c:v>2005-06</c:v>
                </c:pt>
                <c:pt idx="7">
                  <c:v>2006-07</c:v>
                </c:pt>
                <c:pt idx="8">
                  <c:v>2007-08</c:v>
                </c:pt>
                <c:pt idx="9">
                  <c:v>2008-09</c:v>
                </c:pt>
                <c:pt idx="10">
                  <c:v>2009-10</c:v>
                </c:pt>
                <c:pt idx="11">
                  <c:v>2010-11</c:v>
                </c:pt>
                <c:pt idx="12">
                  <c:v>2011-12</c:v>
                </c:pt>
                <c:pt idx="13">
                  <c:v>2012-13</c:v>
                </c:pt>
                <c:pt idx="14">
                  <c:v>2013-14</c:v>
                </c:pt>
                <c:pt idx="15">
                  <c:v>2014-15</c:v>
                </c:pt>
                <c:pt idx="16">
                  <c:v>2015-16</c:v>
                </c:pt>
                <c:pt idx="17">
                  <c:v>2016-17</c:v>
                </c:pt>
                <c:pt idx="18">
                  <c:v>2017-18</c:v>
                </c:pt>
                <c:pt idx="19">
                  <c:v>2018-19</c:v>
                </c:pt>
                <c:pt idx="20">
                  <c:v>2019-20</c:v>
                </c:pt>
                <c:pt idx="21">
                  <c:v>2020-21</c:v>
                </c:pt>
                <c:pt idx="22">
                  <c:v>2021-22</c:v>
                </c:pt>
                <c:pt idx="23">
                  <c:v>2022-23</c:v>
                </c:pt>
                <c:pt idx="24">
                  <c:v>2023-24</c:v>
                </c:pt>
                <c:pt idx="25">
                  <c:v>2024-25</c:v>
                </c:pt>
                <c:pt idx="26">
                  <c:v>2025-26</c:v>
                </c:pt>
                <c:pt idx="27">
                  <c:v>2026-27</c:v>
                </c:pt>
              </c:strCache>
            </c:strRef>
          </c:cat>
          <c:val>
            <c:numRef>
              <c:f>'[Budget Papers - Charts and Table Template Edited.xltx]Graphs for Appendix E'!$C$10:$AD$10</c:f>
              <c:numCache>
                <c:formatCode>0.00%</c:formatCode>
                <c:ptCount val="28"/>
                <c:pt idx="0">
                  <c:v>6.2831276196938915E-2</c:v>
                </c:pt>
                <c:pt idx="1">
                  <c:v>5.2267935383240711E-2</c:v>
                </c:pt>
                <c:pt idx="2">
                  <c:v>4.9925923686279253E-2</c:v>
                </c:pt>
                <c:pt idx="3">
                  <c:v>5.0680892379236099E-2</c:v>
                </c:pt>
                <c:pt idx="4">
                  <c:v>5.004298538496911E-2</c:v>
                </c:pt>
                <c:pt idx="5">
                  <c:v>4.8435961643783575E-2</c:v>
                </c:pt>
                <c:pt idx="6">
                  <c:v>4.7843694151768791E-2</c:v>
                </c:pt>
                <c:pt idx="7">
                  <c:v>5.0133854587175453E-2</c:v>
                </c:pt>
                <c:pt idx="8">
                  <c:v>4.9263202612643706E-2</c:v>
                </c:pt>
                <c:pt idx="9">
                  <c:v>4.5334374279174576E-2</c:v>
                </c:pt>
                <c:pt idx="10">
                  <c:v>4.6283235301945544E-2</c:v>
                </c:pt>
                <c:pt idx="11">
                  <c:v>4.5885388895263425E-2</c:v>
                </c:pt>
                <c:pt idx="12">
                  <c:v>4.4451903298821788E-2</c:v>
                </c:pt>
                <c:pt idx="13">
                  <c:v>4.5805599203090942E-2</c:v>
                </c:pt>
                <c:pt idx="14">
                  <c:v>4.9050783056028328E-2</c:v>
                </c:pt>
                <c:pt idx="15">
                  <c:v>5.0760521801105685E-2</c:v>
                </c:pt>
                <c:pt idx="16">
                  <c:v>5.4015409098758987E-2</c:v>
                </c:pt>
                <c:pt idx="17">
                  <c:v>5.3386762288544103E-2</c:v>
                </c:pt>
                <c:pt idx="18">
                  <c:v>5.1829913964262078E-2</c:v>
                </c:pt>
                <c:pt idx="19">
                  <c:v>4.9609849696194433E-2</c:v>
                </c:pt>
                <c:pt idx="20">
                  <c:v>4.7936279218699966E-2</c:v>
                </c:pt>
                <c:pt idx="21">
                  <c:v>5.2999075785582252E-2</c:v>
                </c:pt>
                <c:pt idx="22">
                  <c:v>5.5932033266418123E-2</c:v>
                </c:pt>
                <c:pt idx="23">
                  <c:v>5.1909189601092594E-2</c:v>
                </c:pt>
                <c:pt idx="24">
                  <c:v>5.6494713126054648E-2</c:v>
                </c:pt>
                <c:pt idx="25">
                  <c:v>5.651015524237598E-2</c:v>
                </c:pt>
                <c:pt idx="26">
                  <c:v>5.5553115312614913E-2</c:v>
                </c:pt>
                <c:pt idx="27">
                  <c:v>5.4713466903906771E-2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FEE-4FE7-B195-B45CAA51EB88}"/>
            </c:ext>
          </c:extLst>
        </c:ser>
        <c:ser>
          <c:idx val="1"/>
          <c:order val="1"/>
          <c:tx>
            <c:v>Victoria</c:v>
          </c:tx>
          <c:spPr>
            <a:ln w="28575" cap="rnd">
              <a:solidFill>
                <a:srgbClr val="8CE0FF"/>
              </a:solidFill>
              <a:round/>
            </a:ln>
            <a:effectLst/>
          </c:spPr>
          <c:marker>
            <c:symbol val="none"/>
          </c:marker>
          <c:cat>
            <c:strRef>
              <c:f>'[Budget Papers - Charts and Table Template Edited.xltx]Graphs for Appendix E'!$C$5:$AD$5</c:f>
              <c:strCache>
                <c:ptCount val="28"/>
                <c:pt idx="0">
                  <c:v>1999-00</c:v>
                </c:pt>
                <c:pt idx="1">
                  <c:v>2000-01</c:v>
                </c:pt>
                <c:pt idx="2">
                  <c:v>2001-02</c:v>
                </c:pt>
                <c:pt idx="3">
                  <c:v>2002-03</c:v>
                </c:pt>
                <c:pt idx="4">
                  <c:v>2003-04</c:v>
                </c:pt>
                <c:pt idx="5">
                  <c:v>2004-05</c:v>
                </c:pt>
                <c:pt idx="6">
                  <c:v>2005-06</c:v>
                </c:pt>
                <c:pt idx="7">
                  <c:v>2006-07</c:v>
                </c:pt>
                <c:pt idx="8">
                  <c:v>2007-08</c:v>
                </c:pt>
                <c:pt idx="9">
                  <c:v>2008-09</c:v>
                </c:pt>
                <c:pt idx="10">
                  <c:v>2009-10</c:v>
                </c:pt>
                <c:pt idx="11">
                  <c:v>2010-11</c:v>
                </c:pt>
                <c:pt idx="12">
                  <c:v>2011-12</c:v>
                </c:pt>
                <c:pt idx="13">
                  <c:v>2012-13</c:v>
                </c:pt>
                <c:pt idx="14">
                  <c:v>2013-14</c:v>
                </c:pt>
                <c:pt idx="15">
                  <c:v>2014-15</c:v>
                </c:pt>
                <c:pt idx="16">
                  <c:v>2015-16</c:v>
                </c:pt>
                <c:pt idx="17">
                  <c:v>2016-17</c:v>
                </c:pt>
                <c:pt idx="18">
                  <c:v>2017-18</c:v>
                </c:pt>
                <c:pt idx="19">
                  <c:v>2018-19</c:v>
                </c:pt>
                <c:pt idx="20">
                  <c:v>2019-20</c:v>
                </c:pt>
                <c:pt idx="21">
                  <c:v>2020-21</c:v>
                </c:pt>
                <c:pt idx="22">
                  <c:v>2021-22</c:v>
                </c:pt>
                <c:pt idx="23">
                  <c:v>2022-23</c:v>
                </c:pt>
                <c:pt idx="24">
                  <c:v>2023-24</c:v>
                </c:pt>
                <c:pt idx="25">
                  <c:v>2024-25</c:v>
                </c:pt>
                <c:pt idx="26">
                  <c:v>2025-26</c:v>
                </c:pt>
                <c:pt idx="27">
                  <c:v>2026-27</c:v>
                </c:pt>
              </c:strCache>
            </c:strRef>
          </c:cat>
          <c:val>
            <c:numRef>
              <c:f>'[Budget Papers - Charts and Table Template Edited.xltx]Graphs for Appendix E'!$C$14:$AD$14</c:f>
              <c:numCache>
                <c:formatCode>0.00%</c:formatCode>
                <c:ptCount val="28"/>
                <c:pt idx="0">
                  <c:v>5.9645381428223253E-2</c:v>
                </c:pt>
                <c:pt idx="1">
                  <c:v>4.9135692304172245E-2</c:v>
                </c:pt>
                <c:pt idx="2">
                  <c:v>4.7081129734076833E-2</c:v>
                </c:pt>
                <c:pt idx="3">
                  <c:v>4.6700121578418081E-2</c:v>
                </c:pt>
                <c:pt idx="4">
                  <c:v>4.7582372168163203E-2</c:v>
                </c:pt>
                <c:pt idx="5">
                  <c:v>4.5855164093939048E-2</c:v>
                </c:pt>
                <c:pt idx="6">
                  <c:v>4.5683229813664593E-2</c:v>
                </c:pt>
                <c:pt idx="7">
                  <c:v>4.5861894627929119E-2</c:v>
                </c:pt>
                <c:pt idx="8">
                  <c:v>4.6402314524216649E-2</c:v>
                </c:pt>
                <c:pt idx="9">
                  <c:v>4.3778798647828722E-2</c:v>
                </c:pt>
                <c:pt idx="10">
                  <c:v>4.5463569256628207E-2</c:v>
                </c:pt>
                <c:pt idx="11">
                  <c:v>4.5921678926871483E-2</c:v>
                </c:pt>
                <c:pt idx="12">
                  <c:v>4.4662866246203047E-2</c:v>
                </c:pt>
                <c:pt idx="13">
                  <c:v>4.506367532403472E-2</c:v>
                </c:pt>
                <c:pt idx="14">
                  <c:v>4.7294030076282051E-2</c:v>
                </c:pt>
                <c:pt idx="15">
                  <c:v>4.9176622018422433E-2</c:v>
                </c:pt>
                <c:pt idx="16">
                  <c:v>5.1316970503574852E-2</c:v>
                </c:pt>
                <c:pt idx="17">
                  <c:v>5.4379513924495686E-2</c:v>
                </c:pt>
                <c:pt idx="18">
                  <c:v>5.3260829167673239E-2</c:v>
                </c:pt>
                <c:pt idx="19">
                  <c:v>5.2997206273785166E-2</c:v>
                </c:pt>
                <c:pt idx="20">
                  <c:v>4.9515256178987596E-2</c:v>
                </c:pt>
                <c:pt idx="21">
                  <c:v>4.9799540662348867E-2</c:v>
                </c:pt>
                <c:pt idx="22">
                  <c:v>5.9284878338486259E-2</c:v>
                </c:pt>
                <c:pt idx="23">
                  <c:v>5.5557319223985893E-2</c:v>
                </c:pt>
                <c:pt idx="24">
                  <c:v>5.8205941255006673E-2</c:v>
                </c:pt>
                <c:pt idx="25">
                  <c:v>5.8070286528415387E-2</c:v>
                </c:pt>
                <c:pt idx="26">
                  <c:v>5.7853599879753498E-2</c:v>
                </c:pt>
                <c:pt idx="27">
                  <c:v>5.7608106179534754E-2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FEE-4FE7-B195-B45CAA51EB88}"/>
            </c:ext>
          </c:extLst>
        </c:ser>
        <c:ser>
          <c:idx val="2"/>
          <c:order val="2"/>
          <c:tx>
            <c:v>Queensland</c:v>
          </c:tx>
          <c:spPr>
            <a:ln w="28575" cap="rnd">
              <a:solidFill>
                <a:srgbClr val="146CFD"/>
              </a:solidFill>
              <a:round/>
            </a:ln>
            <a:effectLst/>
          </c:spPr>
          <c:marker>
            <c:symbol val="none"/>
          </c:marker>
          <c:cat>
            <c:strRef>
              <c:f>'[Budget Papers - Charts and Table Template Edited.xltx]Graphs for Appendix E'!$C$5:$AD$5</c:f>
              <c:strCache>
                <c:ptCount val="28"/>
                <c:pt idx="0">
                  <c:v>1999-00</c:v>
                </c:pt>
                <c:pt idx="1">
                  <c:v>2000-01</c:v>
                </c:pt>
                <c:pt idx="2">
                  <c:v>2001-02</c:v>
                </c:pt>
                <c:pt idx="3">
                  <c:v>2002-03</c:v>
                </c:pt>
                <c:pt idx="4">
                  <c:v>2003-04</c:v>
                </c:pt>
                <c:pt idx="5">
                  <c:v>2004-05</c:v>
                </c:pt>
                <c:pt idx="6">
                  <c:v>2005-06</c:v>
                </c:pt>
                <c:pt idx="7">
                  <c:v>2006-07</c:v>
                </c:pt>
                <c:pt idx="8">
                  <c:v>2007-08</c:v>
                </c:pt>
                <c:pt idx="9">
                  <c:v>2008-09</c:v>
                </c:pt>
                <c:pt idx="10">
                  <c:v>2009-10</c:v>
                </c:pt>
                <c:pt idx="11">
                  <c:v>2010-11</c:v>
                </c:pt>
                <c:pt idx="12">
                  <c:v>2011-12</c:v>
                </c:pt>
                <c:pt idx="13">
                  <c:v>2012-13</c:v>
                </c:pt>
                <c:pt idx="14">
                  <c:v>2013-14</c:v>
                </c:pt>
                <c:pt idx="15">
                  <c:v>2014-15</c:v>
                </c:pt>
                <c:pt idx="16">
                  <c:v>2015-16</c:v>
                </c:pt>
                <c:pt idx="17">
                  <c:v>2016-17</c:v>
                </c:pt>
                <c:pt idx="18">
                  <c:v>2017-18</c:v>
                </c:pt>
                <c:pt idx="19">
                  <c:v>2018-19</c:v>
                </c:pt>
                <c:pt idx="20">
                  <c:v>2019-20</c:v>
                </c:pt>
                <c:pt idx="21">
                  <c:v>2020-21</c:v>
                </c:pt>
                <c:pt idx="22">
                  <c:v>2021-22</c:v>
                </c:pt>
                <c:pt idx="23">
                  <c:v>2022-23</c:v>
                </c:pt>
                <c:pt idx="24">
                  <c:v>2023-24</c:v>
                </c:pt>
                <c:pt idx="25">
                  <c:v>2024-25</c:v>
                </c:pt>
                <c:pt idx="26">
                  <c:v>2025-26</c:v>
                </c:pt>
                <c:pt idx="27">
                  <c:v>2026-27</c:v>
                </c:pt>
              </c:strCache>
            </c:strRef>
          </c:cat>
          <c:val>
            <c:numRef>
              <c:f>'[Budget Papers - Charts and Table Template Edited.xltx]Graphs for Appendix E'!$C$15:$AD$15</c:f>
              <c:numCache>
                <c:formatCode>0.00%</c:formatCode>
                <c:ptCount val="28"/>
                <c:pt idx="0">
                  <c:v>4.6900814939946911E-2</c:v>
                </c:pt>
                <c:pt idx="1">
                  <c:v>3.6976542137271938E-2</c:v>
                </c:pt>
                <c:pt idx="2">
                  <c:v>3.7747238532757389E-2</c:v>
                </c:pt>
                <c:pt idx="3">
                  <c:v>4.1543290958879708E-2</c:v>
                </c:pt>
                <c:pt idx="4">
                  <c:v>4.4932325564177977E-2</c:v>
                </c:pt>
                <c:pt idx="5">
                  <c:v>4.220264798547918E-2</c:v>
                </c:pt>
                <c:pt idx="6">
                  <c:v>3.959463149047341E-2</c:v>
                </c:pt>
                <c:pt idx="7">
                  <c:v>4.0872761609280682E-2</c:v>
                </c:pt>
                <c:pt idx="8">
                  <c:v>4.2706441308841027E-2</c:v>
                </c:pt>
                <c:pt idx="9">
                  <c:v>3.5578730516266338E-2</c:v>
                </c:pt>
                <c:pt idx="10">
                  <c:v>3.8360659762429875E-2</c:v>
                </c:pt>
                <c:pt idx="11">
                  <c:v>3.8333685606133393E-2</c:v>
                </c:pt>
                <c:pt idx="12">
                  <c:v>3.8055468859304539E-2</c:v>
                </c:pt>
                <c:pt idx="13">
                  <c:v>3.8834504121979398E-2</c:v>
                </c:pt>
                <c:pt idx="14">
                  <c:v>4.0886701207788666E-2</c:v>
                </c:pt>
                <c:pt idx="15">
                  <c:v>4.2545776887577651E-2</c:v>
                </c:pt>
                <c:pt idx="16">
                  <c:v>4.1330535580758755E-2</c:v>
                </c:pt>
                <c:pt idx="17">
                  <c:v>3.9333351601009592E-2</c:v>
                </c:pt>
                <c:pt idx="18">
                  <c:v>3.7951795145127504E-2</c:v>
                </c:pt>
                <c:pt idx="19">
                  <c:v>3.8327497848897933E-2</c:v>
                </c:pt>
                <c:pt idx="20">
                  <c:v>4.0404907873485683E-2</c:v>
                </c:pt>
                <c:pt idx="21">
                  <c:v>4.4362599890246997E-2</c:v>
                </c:pt>
                <c:pt idx="22">
                  <c:v>4.47186175240845E-2</c:v>
                </c:pt>
                <c:pt idx="23">
                  <c:v>4.2061485503236358E-2</c:v>
                </c:pt>
                <c:pt idx="24">
                  <c:v>4.2036570720175505E-2</c:v>
                </c:pt>
                <c:pt idx="25">
                  <c:v>4.1802872327333228E-2</c:v>
                </c:pt>
                <c:pt idx="26">
                  <c:v>4.1710018800818129E-2</c:v>
                </c:pt>
                <c:pt idx="27">
                  <c:v>4.1427769985827236E-2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FEE-4FE7-B195-B45CAA51EB88}"/>
            </c:ext>
          </c:extLst>
        </c:ser>
        <c:ser>
          <c:idx val="3"/>
          <c:order val="3"/>
          <c:tx>
            <c:v>Western Australia</c:v>
          </c:tx>
          <c:spPr>
            <a:ln w="28575" cap="rnd">
              <a:solidFill>
                <a:srgbClr val="CBEDFD"/>
              </a:solidFill>
              <a:round/>
            </a:ln>
            <a:effectLst/>
          </c:spPr>
          <c:marker>
            <c:symbol val="none"/>
          </c:marker>
          <c:cat>
            <c:strRef>
              <c:f>'[Budget Papers - Charts and Table Template Edited.xltx]Graphs for Appendix E'!$C$5:$AD$5</c:f>
              <c:strCache>
                <c:ptCount val="28"/>
                <c:pt idx="0">
                  <c:v>1999-00</c:v>
                </c:pt>
                <c:pt idx="1">
                  <c:v>2000-01</c:v>
                </c:pt>
                <c:pt idx="2">
                  <c:v>2001-02</c:v>
                </c:pt>
                <c:pt idx="3">
                  <c:v>2002-03</c:v>
                </c:pt>
                <c:pt idx="4">
                  <c:v>2003-04</c:v>
                </c:pt>
                <c:pt idx="5">
                  <c:v>2004-05</c:v>
                </c:pt>
                <c:pt idx="6">
                  <c:v>2005-06</c:v>
                </c:pt>
                <c:pt idx="7">
                  <c:v>2006-07</c:v>
                </c:pt>
                <c:pt idx="8">
                  <c:v>2007-08</c:v>
                </c:pt>
                <c:pt idx="9">
                  <c:v>2008-09</c:v>
                </c:pt>
                <c:pt idx="10">
                  <c:v>2009-10</c:v>
                </c:pt>
                <c:pt idx="11">
                  <c:v>2010-11</c:v>
                </c:pt>
                <c:pt idx="12">
                  <c:v>2011-12</c:v>
                </c:pt>
                <c:pt idx="13">
                  <c:v>2012-13</c:v>
                </c:pt>
                <c:pt idx="14">
                  <c:v>2013-14</c:v>
                </c:pt>
                <c:pt idx="15">
                  <c:v>2014-15</c:v>
                </c:pt>
                <c:pt idx="16">
                  <c:v>2015-16</c:v>
                </c:pt>
                <c:pt idx="17">
                  <c:v>2016-17</c:v>
                </c:pt>
                <c:pt idx="18">
                  <c:v>2017-18</c:v>
                </c:pt>
                <c:pt idx="19">
                  <c:v>2018-19</c:v>
                </c:pt>
                <c:pt idx="20">
                  <c:v>2019-20</c:v>
                </c:pt>
                <c:pt idx="21">
                  <c:v>2020-21</c:v>
                </c:pt>
                <c:pt idx="22">
                  <c:v>2021-22</c:v>
                </c:pt>
                <c:pt idx="23">
                  <c:v>2022-23</c:v>
                </c:pt>
                <c:pt idx="24">
                  <c:v>2023-24</c:v>
                </c:pt>
                <c:pt idx="25">
                  <c:v>2024-25</c:v>
                </c:pt>
                <c:pt idx="26">
                  <c:v>2025-26</c:v>
                </c:pt>
                <c:pt idx="27">
                  <c:v>2026-27</c:v>
                </c:pt>
              </c:strCache>
            </c:strRef>
          </c:cat>
          <c:val>
            <c:numRef>
              <c:f>'[Budget Papers - Charts and Table Template Edited.xltx]Graphs for Appendix E'!$C$16:$AD$16</c:f>
              <c:numCache>
                <c:formatCode>0.00%</c:formatCode>
                <c:ptCount val="28"/>
                <c:pt idx="0">
                  <c:v>4.9807871448532839E-2</c:v>
                </c:pt>
                <c:pt idx="1">
                  <c:v>3.8271457878366749E-2</c:v>
                </c:pt>
                <c:pt idx="2">
                  <c:v>3.6076538612308896E-2</c:v>
                </c:pt>
                <c:pt idx="3">
                  <c:v>3.8337067463281055E-2</c:v>
                </c:pt>
                <c:pt idx="4">
                  <c:v>4.3267414031993953E-2</c:v>
                </c:pt>
                <c:pt idx="5">
                  <c:v>4.0995134559829713E-2</c:v>
                </c:pt>
                <c:pt idx="6">
                  <c:v>4.2662045971536736E-2</c:v>
                </c:pt>
                <c:pt idx="7">
                  <c:v>4.0267322061112248E-2</c:v>
                </c:pt>
                <c:pt idx="8">
                  <c:v>4.0440599928490334E-2</c:v>
                </c:pt>
                <c:pt idx="9">
                  <c:v>3.2289644791271721E-2</c:v>
                </c:pt>
                <c:pt idx="10">
                  <c:v>3.4377599112836152E-2</c:v>
                </c:pt>
                <c:pt idx="11">
                  <c:v>3.0658549079518205E-2</c:v>
                </c:pt>
                <c:pt idx="12">
                  <c:v>2.9495334942493762E-2</c:v>
                </c:pt>
                <c:pt idx="13">
                  <c:v>3.4026923823700733E-2</c:v>
                </c:pt>
                <c:pt idx="14">
                  <c:v>3.2779901612138451E-2</c:v>
                </c:pt>
                <c:pt idx="15">
                  <c:v>3.5252186889774405E-2</c:v>
                </c:pt>
                <c:pt idx="16">
                  <c:v>3.7769874058772572E-2</c:v>
                </c:pt>
                <c:pt idx="17">
                  <c:v>3.4271101781667111E-2</c:v>
                </c:pt>
                <c:pt idx="18">
                  <c:v>3.3153962979809271E-2</c:v>
                </c:pt>
                <c:pt idx="19">
                  <c:v>3.0171976061324473E-2</c:v>
                </c:pt>
                <c:pt idx="20">
                  <c:v>2.8695261820159076E-2</c:v>
                </c:pt>
                <c:pt idx="21">
                  <c:v>2.806549075218169E-2</c:v>
                </c:pt>
                <c:pt idx="22">
                  <c:v>2.8764705009716802E-2</c:v>
                </c:pt>
                <c:pt idx="23">
                  <c:v>2.7316287682114204E-2</c:v>
                </c:pt>
                <c:pt idx="24">
                  <c:v>2.5325139750481649E-2</c:v>
                </c:pt>
                <c:pt idx="25">
                  <c:v>2.4513235439450883E-2</c:v>
                </c:pt>
                <c:pt idx="26">
                  <c:v>2.4306258538983595E-2</c:v>
                </c:pt>
                <c:pt idx="27">
                  <c:v>2.3966542253657658E-2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FEE-4FE7-B195-B45CAA51EB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73389344"/>
        <c:axId val="1135993136"/>
      </c:lineChart>
      <c:catAx>
        <c:axId val="1273389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ublic Sans" pitchFamily="2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135993136"/>
        <c:crosses val="autoZero"/>
        <c:auto val="1"/>
        <c:lblAlgn val="ctr"/>
        <c:lblOffset val="100"/>
        <c:noMultiLvlLbl val="0"/>
      </c:catAx>
      <c:valAx>
        <c:axId val="1135993136"/>
        <c:scaling>
          <c:orientation val="minMax"/>
          <c:min val="2.0000000000000004E-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Public Sans" pitchFamily="2" charset="0"/>
                    <a:ea typeface="+mn-ea"/>
                    <a:cs typeface="Arial" panose="020B0604020202020204" pitchFamily="34" charset="0"/>
                  </a:defRPr>
                </a:pPr>
                <a:r>
                  <a:rPr lang="en-AU"/>
                  <a:t>Per cent of GSP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7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Public Sans" pitchFamily="2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ublic Sans" pitchFamily="2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273389344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Public Sans" pitchFamily="2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  <c:extLst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latin typeface="Public Sans" pitchFamily="2" charset="0"/>
          <a:cs typeface="Arial" panose="020B0604020202020204" pitchFamily="34" charset="0"/>
        </a:defRPr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v>GG Capital expenditure</c:v>
          </c:tx>
          <c:spPr>
            <a:solidFill>
              <a:srgbClr val="002664"/>
            </a:solidFill>
            <a:ln>
              <a:solidFill>
                <a:srgbClr val="002664"/>
              </a:solidFill>
            </a:ln>
            <a:effectLst/>
          </c:spPr>
          <c:invertIfNegative val="0"/>
          <c:cat>
            <c:strRef>
              <c:f>'[Budget Papers - Charts and Table Template Edited.xltx]Graphs for Appendix E'!$C$5:$AD$5</c:f>
              <c:strCache>
                <c:ptCount val="28"/>
                <c:pt idx="0">
                  <c:v>1999-00</c:v>
                </c:pt>
                <c:pt idx="1">
                  <c:v>2000-01</c:v>
                </c:pt>
                <c:pt idx="2">
                  <c:v>2001-02</c:v>
                </c:pt>
                <c:pt idx="3">
                  <c:v>2002-03</c:v>
                </c:pt>
                <c:pt idx="4">
                  <c:v>2003-04</c:v>
                </c:pt>
                <c:pt idx="5">
                  <c:v>2004-05</c:v>
                </c:pt>
                <c:pt idx="6">
                  <c:v>2005-06</c:v>
                </c:pt>
                <c:pt idx="7">
                  <c:v>2006-07</c:v>
                </c:pt>
                <c:pt idx="8">
                  <c:v>2007-08</c:v>
                </c:pt>
                <c:pt idx="9">
                  <c:v>2008-09</c:v>
                </c:pt>
                <c:pt idx="10">
                  <c:v>2009-10</c:v>
                </c:pt>
                <c:pt idx="11">
                  <c:v>2010-11</c:v>
                </c:pt>
                <c:pt idx="12">
                  <c:v>2011-12</c:v>
                </c:pt>
                <c:pt idx="13">
                  <c:v>2012-13</c:v>
                </c:pt>
                <c:pt idx="14">
                  <c:v>2013-14</c:v>
                </c:pt>
                <c:pt idx="15">
                  <c:v>2014-15</c:v>
                </c:pt>
                <c:pt idx="16">
                  <c:v>2015-16</c:v>
                </c:pt>
                <c:pt idx="17">
                  <c:v>2016-17</c:v>
                </c:pt>
                <c:pt idx="18">
                  <c:v>2017-18</c:v>
                </c:pt>
                <c:pt idx="19">
                  <c:v>2018-19</c:v>
                </c:pt>
                <c:pt idx="20">
                  <c:v>2019-20</c:v>
                </c:pt>
                <c:pt idx="21">
                  <c:v>2020-21</c:v>
                </c:pt>
                <c:pt idx="22">
                  <c:v>2021-22</c:v>
                </c:pt>
                <c:pt idx="23">
                  <c:v>2022-23</c:v>
                </c:pt>
                <c:pt idx="24">
                  <c:v>2023-24</c:v>
                </c:pt>
                <c:pt idx="25">
                  <c:v>2024-25</c:v>
                </c:pt>
                <c:pt idx="26">
                  <c:v>2025-26</c:v>
                </c:pt>
                <c:pt idx="27">
                  <c:v>2026-27</c:v>
                </c:pt>
              </c:strCache>
            </c:strRef>
          </c:cat>
          <c:val>
            <c:numRef>
              <c:f>'[Budget Papers - Charts and Table Template Edited.xltx]Graphs for Appendix E'!$C$11:$AD$11</c:f>
              <c:numCache>
                <c:formatCode>#,##0</c:formatCode>
                <c:ptCount val="28"/>
                <c:pt idx="0">
                  <c:v>2733</c:v>
                </c:pt>
                <c:pt idx="1">
                  <c:v>2859</c:v>
                </c:pt>
                <c:pt idx="2">
                  <c:v>3102</c:v>
                </c:pt>
                <c:pt idx="3">
                  <c:v>3349</c:v>
                </c:pt>
                <c:pt idx="4">
                  <c:v>3332</c:v>
                </c:pt>
                <c:pt idx="5">
                  <c:v>3343</c:v>
                </c:pt>
                <c:pt idx="6">
                  <c:v>3949</c:v>
                </c:pt>
                <c:pt idx="7">
                  <c:v>4295</c:v>
                </c:pt>
                <c:pt idx="8">
                  <c:v>4689</c:v>
                </c:pt>
                <c:pt idx="9">
                  <c:v>5264</c:v>
                </c:pt>
                <c:pt idx="10">
                  <c:v>7286</c:v>
                </c:pt>
                <c:pt idx="11">
                  <c:v>7046</c:v>
                </c:pt>
                <c:pt idx="12">
                  <c:v>5881</c:v>
                </c:pt>
                <c:pt idx="13">
                  <c:v>7872</c:v>
                </c:pt>
                <c:pt idx="14">
                  <c:v>8546</c:v>
                </c:pt>
                <c:pt idx="15">
                  <c:v>9484</c:v>
                </c:pt>
                <c:pt idx="16">
                  <c:v>9351</c:v>
                </c:pt>
                <c:pt idx="17">
                  <c:v>10546</c:v>
                </c:pt>
                <c:pt idx="18">
                  <c:v>12121</c:v>
                </c:pt>
                <c:pt idx="19">
                  <c:v>16623</c:v>
                </c:pt>
                <c:pt idx="20">
                  <c:v>20358</c:v>
                </c:pt>
                <c:pt idx="21">
                  <c:v>18818</c:v>
                </c:pt>
                <c:pt idx="22">
                  <c:v>20600</c:v>
                </c:pt>
                <c:pt idx="23">
                  <c:v>21745.709888770001</c:v>
                </c:pt>
                <c:pt idx="24">
                  <c:v>22227.12806404</c:v>
                </c:pt>
                <c:pt idx="25">
                  <c:v>22973.094554479998</c:v>
                </c:pt>
                <c:pt idx="26">
                  <c:v>20455.554563040001</c:v>
                </c:pt>
                <c:pt idx="27">
                  <c:v>19919.435229810002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BF-4A8B-B073-B67F1B2C1334}"/>
            </c:ext>
          </c:extLst>
        </c:ser>
        <c:ser>
          <c:idx val="1"/>
          <c:order val="1"/>
          <c:tx>
            <c:v>PNFC Capital expenditure</c:v>
          </c:tx>
          <c:spPr>
            <a:solidFill>
              <a:srgbClr val="8CE0FF"/>
            </a:solidFill>
            <a:ln>
              <a:noFill/>
            </a:ln>
            <a:effectLst/>
          </c:spPr>
          <c:invertIfNegative val="0"/>
          <c:cat>
            <c:strRef>
              <c:f>'[Budget Papers - Charts and Table Template Edited.xltx]Graphs for Appendix E'!$C$5:$AD$5</c:f>
              <c:strCache>
                <c:ptCount val="28"/>
                <c:pt idx="0">
                  <c:v>1999-00</c:v>
                </c:pt>
                <c:pt idx="1">
                  <c:v>2000-01</c:v>
                </c:pt>
                <c:pt idx="2">
                  <c:v>2001-02</c:v>
                </c:pt>
                <c:pt idx="3">
                  <c:v>2002-03</c:v>
                </c:pt>
                <c:pt idx="4">
                  <c:v>2003-04</c:v>
                </c:pt>
                <c:pt idx="5">
                  <c:v>2004-05</c:v>
                </c:pt>
                <c:pt idx="6">
                  <c:v>2005-06</c:v>
                </c:pt>
                <c:pt idx="7">
                  <c:v>2006-07</c:v>
                </c:pt>
                <c:pt idx="8">
                  <c:v>2007-08</c:v>
                </c:pt>
                <c:pt idx="9">
                  <c:v>2008-09</c:v>
                </c:pt>
                <c:pt idx="10">
                  <c:v>2009-10</c:v>
                </c:pt>
                <c:pt idx="11">
                  <c:v>2010-11</c:v>
                </c:pt>
                <c:pt idx="12">
                  <c:v>2011-12</c:v>
                </c:pt>
                <c:pt idx="13">
                  <c:v>2012-13</c:v>
                </c:pt>
                <c:pt idx="14">
                  <c:v>2013-14</c:v>
                </c:pt>
                <c:pt idx="15">
                  <c:v>2014-15</c:v>
                </c:pt>
                <c:pt idx="16">
                  <c:v>2015-16</c:v>
                </c:pt>
                <c:pt idx="17">
                  <c:v>2016-17</c:v>
                </c:pt>
                <c:pt idx="18">
                  <c:v>2017-18</c:v>
                </c:pt>
                <c:pt idx="19">
                  <c:v>2018-19</c:v>
                </c:pt>
                <c:pt idx="20">
                  <c:v>2019-20</c:v>
                </c:pt>
                <c:pt idx="21">
                  <c:v>2020-21</c:v>
                </c:pt>
                <c:pt idx="22">
                  <c:v>2021-22</c:v>
                </c:pt>
                <c:pt idx="23">
                  <c:v>2022-23</c:v>
                </c:pt>
                <c:pt idx="24">
                  <c:v>2023-24</c:v>
                </c:pt>
                <c:pt idx="25">
                  <c:v>2024-25</c:v>
                </c:pt>
                <c:pt idx="26">
                  <c:v>2025-26</c:v>
                </c:pt>
                <c:pt idx="27">
                  <c:v>2026-27</c:v>
                </c:pt>
              </c:strCache>
            </c:strRef>
          </c:cat>
          <c:val>
            <c:numRef>
              <c:f>'[Budget Papers - Charts and Table Template Edited.xltx]Graphs for Appendix E'!$C$12:$AD$12</c:f>
              <c:numCache>
                <c:formatCode>#,##0</c:formatCode>
                <c:ptCount val="28"/>
                <c:pt idx="0">
                  <c:v>2727</c:v>
                </c:pt>
                <c:pt idx="1">
                  <c:v>2506</c:v>
                </c:pt>
                <c:pt idx="2">
                  <c:v>2978</c:v>
                </c:pt>
                <c:pt idx="3">
                  <c:v>3348</c:v>
                </c:pt>
                <c:pt idx="4">
                  <c:v>3374</c:v>
                </c:pt>
                <c:pt idx="5">
                  <c:v>3594</c:v>
                </c:pt>
                <c:pt idx="6">
                  <c:v>4369</c:v>
                </c:pt>
                <c:pt idx="7">
                  <c:v>5411</c:v>
                </c:pt>
                <c:pt idx="8">
                  <c:v>6449</c:v>
                </c:pt>
                <c:pt idx="9">
                  <c:v>8054</c:v>
                </c:pt>
                <c:pt idx="10">
                  <c:v>9054</c:v>
                </c:pt>
                <c:pt idx="11">
                  <c:v>7809</c:v>
                </c:pt>
                <c:pt idx="12">
                  <c:v>7187</c:v>
                </c:pt>
                <c:pt idx="13">
                  <c:v>6271</c:v>
                </c:pt>
                <c:pt idx="14">
                  <c:v>5323</c:v>
                </c:pt>
                <c:pt idx="15">
                  <c:v>3925</c:v>
                </c:pt>
                <c:pt idx="16">
                  <c:v>6823.7231194699998</c:v>
                </c:pt>
                <c:pt idx="17">
                  <c:v>7652.3189999999995</c:v>
                </c:pt>
                <c:pt idx="18">
                  <c:v>5762.5802585099991</c:v>
                </c:pt>
                <c:pt idx="19">
                  <c:v>5202.2976779515993</c:v>
                </c:pt>
                <c:pt idx="20">
                  <c:v>4459</c:v>
                </c:pt>
                <c:pt idx="21">
                  <c:v>5644</c:v>
                </c:pt>
                <c:pt idx="22">
                  <c:v>5220</c:v>
                </c:pt>
                <c:pt idx="23">
                  <c:v>5595.6823375299973</c:v>
                </c:pt>
                <c:pt idx="24">
                  <c:v>7638.3355848600004</c:v>
                </c:pt>
                <c:pt idx="25">
                  <c:v>8311.1513539900043</c:v>
                </c:pt>
                <c:pt idx="26">
                  <c:v>7886.8311985299988</c:v>
                </c:pt>
                <c:pt idx="27">
                  <c:v>7123.5833478999957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BF-4A8B-B073-B67F1B2C13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73389344"/>
        <c:axId val="1135993136"/>
      </c:barChart>
      <c:lineChart>
        <c:grouping val="standard"/>
        <c:varyColors val="0"/>
        <c:ser>
          <c:idx val="2"/>
          <c:order val="2"/>
          <c:tx>
            <c:v>2% of GSP</c:v>
          </c:tx>
          <c:spPr>
            <a:ln w="28575" cap="rnd">
              <a:solidFill>
                <a:srgbClr val="146CFD"/>
              </a:solidFill>
              <a:prstDash val="dash"/>
              <a:round/>
            </a:ln>
            <a:effectLst/>
          </c:spPr>
          <c:marker>
            <c:symbol val="none"/>
          </c:marker>
          <c:cat>
            <c:strRef>
              <c:f>'[Budget Papers - Charts and Table Template Edited.xltx]Graphs for Appendix E'!$C$5:$AD$5</c:f>
              <c:strCache>
                <c:ptCount val="28"/>
                <c:pt idx="0">
                  <c:v>1999-00</c:v>
                </c:pt>
                <c:pt idx="1">
                  <c:v>2000-01</c:v>
                </c:pt>
                <c:pt idx="2">
                  <c:v>2001-02</c:v>
                </c:pt>
                <c:pt idx="3">
                  <c:v>2002-03</c:v>
                </c:pt>
                <c:pt idx="4">
                  <c:v>2003-04</c:v>
                </c:pt>
                <c:pt idx="5">
                  <c:v>2004-05</c:v>
                </c:pt>
                <c:pt idx="6">
                  <c:v>2005-06</c:v>
                </c:pt>
                <c:pt idx="7">
                  <c:v>2006-07</c:v>
                </c:pt>
                <c:pt idx="8">
                  <c:v>2007-08</c:v>
                </c:pt>
                <c:pt idx="9">
                  <c:v>2008-09</c:v>
                </c:pt>
                <c:pt idx="10">
                  <c:v>2009-10</c:v>
                </c:pt>
                <c:pt idx="11">
                  <c:v>2010-11</c:v>
                </c:pt>
                <c:pt idx="12">
                  <c:v>2011-12</c:v>
                </c:pt>
                <c:pt idx="13">
                  <c:v>2012-13</c:v>
                </c:pt>
                <c:pt idx="14">
                  <c:v>2013-14</c:v>
                </c:pt>
                <c:pt idx="15">
                  <c:v>2014-15</c:v>
                </c:pt>
                <c:pt idx="16">
                  <c:v>2015-16</c:v>
                </c:pt>
                <c:pt idx="17">
                  <c:v>2016-17</c:v>
                </c:pt>
                <c:pt idx="18">
                  <c:v>2017-18</c:v>
                </c:pt>
                <c:pt idx="19">
                  <c:v>2018-19</c:v>
                </c:pt>
                <c:pt idx="20">
                  <c:v>2019-20</c:v>
                </c:pt>
                <c:pt idx="21">
                  <c:v>2020-21</c:v>
                </c:pt>
                <c:pt idx="22">
                  <c:v>2021-22</c:v>
                </c:pt>
                <c:pt idx="23">
                  <c:v>2022-23</c:v>
                </c:pt>
                <c:pt idx="24">
                  <c:v>2023-24</c:v>
                </c:pt>
                <c:pt idx="25">
                  <c:v>2024-25</c:v>
                </c:pt>
                <c:pt idx="26">
                  <c:v>2025-26</c:v>
                </c:pt>
                <c:pt idx="27">
                  <c:v>2026-27</c:v>
                </c:pt>
              </c:strCache>
            </c:strRef>
          </c:cat>
          <c:val>
            <c:numRef>
              <c:f>'[Budget Papers - Charts and Table Template Edited.xltx]Graphs for Appendix E'!$C$18:$AD$18</c:f>
              <c:numCache>
                <c:formatCode>General</c:formatCode>
                <c:ptCount val="28"/>
                <c:pt idx="0">
                  <c:v>4833.58</c:v>
                </c:pt>
                <c:pt idx="1">
                  <c:v>5103.32</c:v>
                </c:pt>
                <c:pt idx="2">
                  <c:v>5291.84</c:v>
                </c:pt>
                <c:pt idx="3">
                  <c:v>5582.38</c:v>
                </c:pt>
                <c:pt idx="4">
                  <c:v>6002.04</c:v>
                </c:pt>
                <c:pt idx="5">
                  <c:v>6317.62</c:v>
                </c:pt>
                <c:pt idx="6">
                  <c:v>6647.4800000000005</c:v>
                </c:pt>
                <c:pt idx="7">
                  <c:v>7059.9000000000005</c:v>
                </c:pt>
                <c:pt idx="8">
                  <c:v>7532.6</c:v>
                </c:pt>
                <c:pt idx="9">
                  <c:v>7890.26</c:v>
                </c:pt>
                <c:pt idx="10">
                  <c:v>8266.06</c:v>
                </c:pt>
                <c:pt idx="11">
                  <c:v>8889.5400000000009</c:v>
                </c:pt>
                <c:pt idx="12">
                  <c:v>9295.44</c:v>
                </c:pt>
                <c:pt idx="13">
                  <c:v>9597.08</c:v>
                </c:pt>
                <c:pt idx="14">
                  <c:v>9906.06</c:v>
                </c:pt>
                <c:pt idx="15">
                  <c:v>10270.58</c:v>
                </c:pt>
                <c:pt idx="16">
                  <c:v>10770.26</c:v>
                </c:pt>
                <c:pt idx="17">
                  <c:v>11534.32</c:v>
                </c:pt>
                <c:pt idx="18">
                  <c:v>12088</c:v>
                </c:pt>
                <c:pt idx="19">
                  <c:v>12508</c:v>
                </c:pt>
                <c:pt idx="20">
                  <c:v>12492</c:v>
                </c:pt>
                <c:pt idx="21">
                  <c:v>12984</c:v>
                </c:pt>
                <c:pt idx="22">
                  <c:v>13948</c:v>
                </c:pt>
                <c:pt idx="23">
                  <c:v>15358</c:v>
                </c:pt>
                <c:pt idx="24">
                  <c:v>15882</c:v>
                </c:pt>
                <c:pt idx="25">
                  <c:v>16448</c:v>
                </c:pt>
                <c:pt idx="26">
                  <c:v>17186</c:v>
                </c:pt>
                <c:pt idx="27">
                  <c:v>18020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8BF-4A8B-B073-B67F1B2C13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73389344"/>
        <c:axId val="1135993136"/>
      </c:lineChart>
      <c:catAx>
        <c:axId val="1273389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135993136"/>
        <c:crosses val="autoZero"/>
        <c:auto val="1"/>
        <c:lblAlgn val="ctr"/>
        <c:lblOffset val="100"/>
        <c:noMultiLvlLbl val="0"/>
      </c:catAx>
      <c:valAx>
        <c:axId val="1135993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AU" sz="700"/>
                  <a:t>$ billions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273389344"/>
        <c:crosses val="autoZero"/>
        <c:crossBetween val="between"/>
        <c:dispUnits>
          <c:builtInUnit val="thousands"/>
        </c:dispUnits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  <c:extLst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v>Gross Debt as a per cent of Revenue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'[Budget Papers - Charts and Table Template Edited.xltx]Graphs for Appendix E'!$C$5:$AD$5</c:f>
              <c:strCache>
                <c:ptCount val="28"/>
                <c:pt idx="0">
                  <c:v>1999-00</c:v>
                </c:pt>
                <c:pt idx="1">
                  <c:v>2000-01</c:v>
                </c:pt>
                <c:pt idx="2">
                  <c:v>2001-02</c:v>
                </c:pt>
                <c:pt idx="3">
                  <c:v>2002-03</c:v>
                </c:pt>
                <c:pt idx="4">
                  <c:v>2003-04</c:v>
                </c:pt>
                <c:pt idx="5">
                  <c:v>2004-05</c:v>
                </c:pt>
                <c:pt idx="6">
                  <c:v>2005-06</c:v>
                </c:pt>
                <c:pt idx="7">
                  <c:v>2006-07</c:v>
                </c:pt>
                <c:pt idx="8">
                  <c:v>2007-08</c:v>
                </c:pt>
                <c:pt idx="9">
                  <c:v>2008-09</c:v>
                </c:pt>
                <c:pt idx="10">
                  <c:v>2009-10</c:v>
                </c:pt>
                <c:pt idx="11">
                  <c:v>2010-11</c:v>
                </c:pt>
                <c:pt idx="12">
                  <c:v>2011-12</c:v>
                </c:pt>
                <c:pt idx="13">
                  <c:v>2012-13</c:v>
                </c:pt>
                <c:pt idx="14">
                  <c:v>2013-14</c:v>
                </c:pt>
                <c:pt idx="15">
                  <c:v>2014-15</c:v>
                </c:pt>
                <c:pt idx="16">
                  <c:v>2015-16</c:v>
                </c:pt>
                <c:pt idx="17">
                  <c:v>2016-17</c:v>
                </c:pt>
                <c:pt idx="18">
                  <c:v>2017-18</c:v>
                </c:pt>
                <c:pt idx="19">
                  <c:v>2018-19</c:v>
                </c:pt>
                <c:pt idx="20">
                  <c:v>2019-20</c:v>
                </c:pt>
                <c:pt idx="21">
                  <c:v>2020-21</c:v>
                </c:pt>
                <c:pt idx="22">
                  <c:v>2021-22</c:v>
                </c:pt>
                <c:pt idx="23">
                  <c:v>2022-23</c:v>
                </c:pt>
                <c:pt idx="24">
                  <c:v>2023-24</c:v>
                </c:pt>
                <c:pt idx="25">
                  <c:v>2024-25</c:v>
                </c:pt>
                <c:pt idx="26">
                  <c:v>2025-26</c:v>
                </c:pt>
                <c:pt idx="27">
                  <c:v>2026-27</c:v>
                </c:pt>
              </c:strCache>
            </c:strRef>
          </c:cat>
          <c:val>
            <c:numRef>
              <c:f>'[Budget Papers - Charts and Table Template Edited.xltx]Graphs for Appendix E'!$C$22:$AD$22</c:f>
              <c:numCache>
                <c:formatCode>0%</c:formatCode>
                <c:ptCount val="28"/>
                <c:pt idx="0">
                  <c:v>0.57834795130252648</c:v>
                </c:pt>
                <c:pt idx="1">
                  <c:v>0.44024804462310307</c:v>
                </c:pt>
                <c:pt idx="2">
                  <c:v>0.375409981384629</c:v>
                </c:pt>
                <c:pt idx="3">
                  <c:v>0.33337953978375379</c:v>
                </c:pt>
                <c:pt idx="4">
                  <c:v>0.33313859309026211</c:v>
                </c:pt>
                <c:pt idx="5">
                  <c:v>0.34680823845465014</c:v>
                </c:pt>
                <c:pt idx="6">
                  <c:v>0.31414705054862607</c:v>
                </c:pt>
                <c:pt idx="7">
                  <c:v>0.31404293381037568</c:v>
                </c:pt>
                <c:pt idx="8">
                  <c:v>0.30453750342472968</c:v>
                </c:pt>
                <c:pt idx="9">
                  <c:v>0.35361484582561792</c:v>
                </c:pt>
                <c:pt idx="10">
                  <c:v>0.35423470112168109</c:v>
                </c:pt>
                <c:pt idx="11">
                  <c:v>0.43167506297229219</c:v>
                </c:pt>
                <c:pt idx="12">
                  <c:v>0.48936494754504006</c:v>
                </c:pt>
                <c:pt idx="13">
                  <c:v>0.5131714618326958</c:v>
                </c:pt>
                <c:pt idx="14">
                  <c:v>0.48403908794788275</c:v>
                </c:pt>
                <c:pt idx="15">
                  <c:v>0.46741456828073602</c:v>
                </c:pt>
                <c:pt idx="16">
                  <c:v>0.4404800653548811</c:v>
                </c:pt>
                <c:pt idx="17">
                  <c:v>0.43169224075045753</c:v>
                </c:pt>
                <c:pt idx="18">
                  <c:v>0.41368752479174931</c:v>
                </c:pt>
                <c:pt idx="19">
                  <c:v>0.47377380442103972</c:v>
                </c:pt>
                <c:pt idx="20">
                  <c:v>0.89176372303307283</c:v>
                </c:pt>
                <c:pt idx="21">
                  <c:v>1.0373785028136191</c:v>
                </c:pt>
                <c:pt idx="22">
                  <c:v>1.04702085306225</c:v>
                </c:pt>
                <c:pt idx="23">
                  <c:v>1.2518834477871927</c:v>
                </c:pt>
                <c:pt idx="24">
                  <c:v>1.2972903724846467</c:v>
                </c:pt>
                <c:pt idx="25">
                  <c:v>1.3597630335974498</c:v>
                </c:pt>
                <c:pt idx="26">
                  <c:v>1.4605223554235647</c:v>
                </c:pt>
                <c:pt idx="27">
                  <c:v>1.535624266747907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5D0-4B16-81FA-C9094D124A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73389344"/>
        <c:axId val="1135993136"/>
      </c:lineChart>
      <c:lineChart>
        <c:grouping val="standard"/>
        <c:varyColors val="0"/>
        <c:ser>
          <c:idx val="1"/>
          <c:order val="1"/>
          <c:tx>
            <c:v>Interest Expense as a per cent of Revenue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'[Budget Papers - Charts and Table Template Edited.xltx]Graphs for Appendix E'!$C$5:$AD$5</c:f>
              <c:strCache>
                <c:ptCount val="28"/>
                <c:pt idx="0">
                  <c:v>1999-00</c:v>
                </c:pt>
                <c:pt idx="1">
                  <c:v>2000-01</c:v>
                </c:pt>
                <c:pt idx="2">
                  <c:v>2001-02</c:v>
                </c:pt>
                <c:pt idx="3">
                  <c:v>2002-03</c:v>
                </c:pt>
                <c:pt idx="4">
                  <c:v>2003-04</c:v>
                </c:pt>
                <c:pt idx="5">
                  <c:v>2004-05</c:v>
                </c:pt>
                <c:pt idx="6">
                  <c:v>2005-06</c:v>
                </c:pt>
                <c:pt idx="7">
                  <c:v>2006-07</c:v>
                </c:pt>
                <c:pt idx="8">
                  <c:v>2007-08</c:v>
                </c:pt>
                <c:pt idx="9">
                  <c:v>2008-09</c:v>
                </c:pt>
                <c:pt idx="10">
                  <c:v>2009-10</c:v>
                </c:pt>
                <c:pt idx="11">
                  <c:v>2010-11</c:v>
                </c:pt>
                <c:pt idx="12">
                  <c:v>2011-12</c:v>
                </c:pt>
                <c:pt idx="13">
                  <c:v>2012-13</c:v>
                </c:pt>
                <c:pt idx="14">
                  <c:v>2013-14</c:v>
                </c:pt>
                <c:pt idx="15">
                  <c:v>2014-15</c:v>
                </c:pt>
                <c:pt idx="16">
                  <c:v>2015-16</c:v>
                </c:pt>
                <c:pt idx="17">
                  <c:v>2016-17</c:v>
                </c:pt>
                <c:pt idx="18">
                  <c:v>2017-18</c:v>
                </c:pt>
                <c:pt idx="19">
                  <c:v>2018-19</c:v>
                </c:pt>
                <c:pt idx="20">
                  <c:v>2019-20</c:v>
                </c:pt>
                <c:pt idx="21">
                  <c:v>2020-21</c:v>
                </c:pt>
                <c:pt idx="22">
                  <c:v>2021-22</c:v>
                </c:pt>
                <c:pt idx="23">
                  <c:v>2022-23</c:v>
                </c:pt>
                <c:pt idx="24">
                  <c:v>2023-24</c:v>
                </c:pt>
                <c:pt idx="25">
                  <c:v>2024-25</c:v>
                </c:pt>
                <c:pt idx="26">
                  <c:v>2025-26</c:v>
                </c:pt>
                <c:pt idx="27">
                  <c:v>2026-27</c:v>
                </c:pt>
              </c:strCache>
            </c:strRef>
          </c:cat>
          <c:val>
            <c:numRef>
              <c:f>'[Budget Papers - Charts and Table Template Edited.xltx]Graphs for Appendix E'!$C$23:$AD$23</c:f>
              <c:numCache>
                <c:formatCode>0%</c:formatCode>
                <c:ptCount val="28"/>
                <c:pt idx="0">
                  <c:v>4.4115721953135227E-2</c:v>
                </c:pt>
                <c:pt idx="1">
                  <c:v>3.1815773892991804E-2</c:v>
                </c:pt>
                <c:pt idx="2">
                  <c:v>2.5647844458233607E-2</c:v>
                </c:pt>
                <c:pt idx="3">
                  <c:v>2.2262267812586636E-2</c:v>
                </c:pt>
                <c:pt idx="4">
                  <c:v>2.0952279788618317E-2</c:v>
                </c:pt>
                <c:pt idx="5">
                  <c:v>3.0446462837405656E-2</c:v>
                </c:pt>
                <c:pt idx="6">
                  <c:v>2.8345681327956486E-2</c:v>
                </c:pt>
                <c:pt idx="7">
                  <c:v>2.8823792486583184E-2</c:v>
                </c:pt>
                <c:pt idx="8">
                  <c:v>2.7819342873400914E-2</c:v>
                </c:pt>
                <c:pt idx="9">
                  <c:v>2.9949279446099347E-2</c:v>
                </c:pt>
                <c:pt idx="10">
                  <c:v>2.9710350702825499E-2</c:v>
                </c:pt>
                <c:pt idx="11">
                  <c:v>3.2833053456479147E-2</c:v>
                </c:pt>
                <c:pt idx="12">
                  <c:v>3.5286341372472586E-2</c:v>
                </c:pt>
                <c:pt idx="13">
                  <c:v>3.6920006652253451E-2</c:v>
                </c:pt>
                <c:pt idx="14">
                  <c:v>3.4073176274524657E-2</c:v>
                </c:pt>
                <c:pt idx="15">
                  <c:v>3.2219141876265851E-2</c:v>
                </c:pt>
                <c:pt idx="16">
                  <c:v>2.963827617667579E-2</c:v>
                </c:pt>
                <c:pt idx="17">
                  <c:v>2.7502271592930547E-2</c:v>
                </c:pt>
                <c:pt idx="18">
                  <c:v>2.2461324871082905E-2</c:v>
                </c:pt>
                <c:pt idx="19">
                  <c:v>2.2190925234217132E-2</c:v>
                </c:pt>
                <c:pt idx="20">
                  <c:v>2.5504938817632317E-2</c:v>
                </c:pt>
                <c:pt idx="21">
                  <c:v>2.4998578980276246E-2</c:v>
                </c:pt>
                <c:pt idx="22">
                  <c:v>2.4418761958139266E-2</c:v>
                </c:pt>
                <c:pt idx="23">
                  <c:v>3.9843181590763034E-2</c:v>
                </c:pt>
                <c:pt idx="24">
                  <c:v>4.8952807744799591E-2</c:v>
                </c:pt>
                <c:pt idx="25">
                  <c:v>5.0295499879820731E-2</c:v>
                </c:pt>
                <c:pt idx="26">
                  <c:v>5.3144614742805976E-2</c:v>
                </c:pt>
                <c:pt idx="27">
                  <c:v>5.7395041884956623E-2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5D0-4B16-81FA-C9094D124A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15603920"/>
        <c:axId val="671598208"/>
      </c:lineChart>
      <c:catAx>
        <c:axId val="1273389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ublic Sans" pitchFamily="2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135993136"/>
        <c:crosses val="autoZero"/>
        <c:auto val="1"/>
        <c:lblAlgn val="ctr"/>
        <c:lblOffset val="100"/>
        <c:noMultiLvlLbl val="0"/>
      </c:catAx>
      <c:valAx>
        <c:axId val="1135993136"/>
        <c:scaling>
          <c:orientation val="minMax"/>
          <c:min val="0.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Public Sans" pitchFamily="2" charset="0"/>
                    <a:ea typeface="+mn-ea"/>
                    <a:cs typeface="Arial" panose="020B0604020202020204" pitchFamily="34" charset="0"/>
                  </a:defRPr>
                </a:pPr>
                <a:r>
                  <a:rPr lang="en-AU"/>
                  <a:t>Gross debt as a per cent of revenue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7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Public Sans" pitchFamily="2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ublic Sans" pitchFamily="2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273389344"/>
        <c:crosses val="autoZero"/>
        <c:crossBetween val="between"/>
      </c:valAx>
      <c:valAx>
        <c:axId val="671598208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Public Sans" pitchFamily="2" charset="0"/>
                    <a:ea typeface="+mn-ea"/>
                    <a:cs typeface="Arial" panose="020B0604020202020204" pitchFamily="34" charset="0"/>
                  </a:defRPr>
                </a:pPr>
                <a:r>
                  <a:rPr lang="en-AU"/>
                  <a:t>Interest expense as a per cent of revenue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7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Public Sans" pitchFamily="2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ublic Sans" pitchFamily="2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615603920"/>
        <c:crosses val="max"/>
        <c:crossBetween val="between"/>
      </c:valAx>
      <c:catAx>
        <c:axId val="6156039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71598208"/>
        <c:crosses val="autoZero"/>
        <c:auto val="1"/>
        <c:lblAlgn val="ctr"/>
        <c:lblOffset val="100"/>
        <c:noMultiLvlLbl val="0"/>
      </c:cat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Public Sans" pitchFamily="2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  <c:extLst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latin typeface="Public Sans" pitchFamily="2" charset="0"/>
          <a:cs typeface="Arial" panose="020B0604020202020204" pitchFamily="34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Budget Papers">
      <a:dk1>
        <a:sysClr val="windowText" lastClr="000000"/>
      </a:dk1>
      <a:lt1>
        <a:srgbClr val="FFFFFF"/>
      </a:lt1>
      <a:dk2>
        <a:srgbClr val="FFFFFF"/>
      </a:dk2>
      <a:lt2>
        <a:srgbClr val="DBDBDB"/>
      </a:lt2>
      <a:accent1>
        <a:srgbClr val="002664"/>
      </a:accent1>
      <a:accent2>
        <a:srgbClr val="0A7CB9"/>
      </a:accent2>
      <a:accent3>
        <a:srgbClr val="84BDDC"/>
      </a:accent3>
      <a:accent4>
        <a:srgbClr val="00ABE6"/>
      </a:accent4>
      <a:accent5>
        <a:srgbClr val="4F4F4F"/>
      </a:accent5>
      <a:accent6>
        <a:srgbClr val="000000"/>
      </a:accent6>
      <a:hlink>
        <a:srgbClr val="00ABE6"/>
      </a:hlink>
      <a:folHlink>
        <a:srgbClr val="00B0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Budget Papers">
    <a:dk1>
      <a:sysClr val="windowText" lastClr="000000"/>
    </a:dk1>
    <a:lt1>
      <a:srgbClr val="FFFFFF"/>
    </a:lt1>
    <a:dk2>
      <a:srgbClr val="FFFFFF"/>
    </a:dk2>
    <a:lt2>
      <a:srgbClr val="DBDBDB"/>
    </a:lt2>
    <a:accent1>
      <a:srgbClr val="002664"/>
    </a:accent1>
    <a:accent2>
      <a:srgbClr val="0A7CB9"/>
    </a:accent2>
    <a:accent3>
      <a:srgbClr val="84BDDC"/>
    </a:accent3>
    <a:accent4>
      <a:srgbClr val="00ABE6"/>
    </a:accent4>
    <a:accent5>
      <a:srgbClr val="4F4F4F"/>
    </a:accent5>
    <a:accent6>
      <a:srgbClr val="000000"/>
    </a:accent6>
    <a:hlink>
      <a:srgbClr val="00ABE6"/>
    </a:hlink>
    <a:folHlink>
      <a:srgbClr val="00B0F0"/>
    </a:folHlink>
  </a:clrScheme>
  <a:fontScheme name="Custom 1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Budget Papers">
    <a:dk1>
      <a:sysClr val="windowText" lastClr="000000"/>
    </a:dk1>
    <a:lt1>
      <a:srgbClr val="FFFFFF"/>
    </a:lt1>
    <a:dk2>
      <a:srgbClr val="FFFFFF"/>
    </a:dk2>
    <a:lt2>
      <a:srgbClr val="DBDBDB"/>
    </a:lt2>
    <a:accent1>
      <a:srgbClr val="002664"/>
    </a:accent1>
    <a:accent2>
      <a:srgbClr val="0A7CB9"/>
    </a:accent2>
    <a:accent3>
      <a:srgbClr val="84BDDC"/>
    </a:accent3>
    <a:accent4>
      <a:srgbClr val="00ABE6"/>
    </a:accent4>
    <a:accent5>
      <a:srgbClr val="4F4F4F"/>
    </a:accent5>
    <a:accent6>
      <a:srgbClr val="000000"/>
    </a:accent6>
    <a:hlink>
      <a:srgbClr val="00ABE6"/>
    </a:hlink>
    <a:folHlink>
      <a:srgbClr val="00B0F0"/>
    </a:folHlink>
  </a:clrScheme>
  <a:fontScheme name="Custom 1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Budget Papers">
    <a:dk1>
      <a:sysClr val="windowText" lastClr="000000"/>
    </a:dk1>
    <a:lt1>
      <a:srgbClr val="FFFFFF"/>
    </a:lt1>
    <a:dk2>
      <a:srgbClr val="FFFFFF"/>
    </a:dk2>
    <a:lt2>
      <a:srgbClr val="DBDBDB"/>
    </a:lt2>
    <a:accent1>
      <a:srgbClr val="002664"/>
    </a:accent1>
    <a:accent2>
      <a:srgbClr val="0A7CB9"/>
    </a:accent2>
    <a:accent3>
      <a:srgbClr val="84BDDC"/>
    </a:accent3>
    <a:accent4>
      <a:srgbClr val="00ABE6"/>
    </a:accent4>
    <a:accent5>
      <a:srgbClr val="4F4F4F"/>
    </a:accent5>
    <a:accent6>
      <a:srgbClr val="000000"/>
    </a:accent6>
    <a:hlink>
      <a:srgbClr val="00ABE6"/>
    </a:hlink>
    <a:folHlink>
      <a:srgbClr val="00B0F0"/>
    </a:folHlink>
  </a:clrScheme>
  <a:fontScheme name="Custom 1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Budget Papers">
    <a:dk1>
      <a:sysClr val="windowText" lastClr="000000"/>
    </a:dk1>
    <a:lt1>
      <a:srgbClr val="FFFFFF"/>
    </a:lt1>
    <a:dk2>
      <a:srgbClr val="FFFFFF"/>
    </a:dk2>
    <a:lt2>
      <a:srgbClr val="DBDBDB"/>
    </a:lt2>
    <a:accent1>
      <a:srgbClr val="002664"/>
    </a:accent1>
    <a:accent2>
      <a:srgbClr val="0A7CB9"/>
    </a:accent2>
    <a:accent3>
      <a:srgbClr val="84BDDC"/>
    </a:accent3>
    <a:accent4>
      <a:srgbClr val="00ABE6"/>
    </a:accent4>
    <a:accent5>
      <a:srgbClr val="4F4F4F"/>
    </a:accent5>
    <a:accent6>
      <a:srgbClr val="000000"/>
    </a:accent6>
    <a:hlink>
      <a:srgbClr val="00ABE6"/>
    </a:hlink>
    <a:folHlink>
      <a:srgbClr val="00B0F0"/>
    </a:folHlink>
  </a:clrScheme>
  <a:fontScheme name="Custom 1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8" ma:contentTypeDescription="Create a new document." ma:contentTypeScope="" ma:versionID="b84699f8718cfaaccf8ae66a81ad7cf5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0b5bb7e07b68b4de85e92be5b8e3a6a2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0ac7ce-5f57-4ea0-9af7-01d4f3f1ccae" xsi:nil="true"/>
    <lcf76f155ced4ddcb4097134ff3c332f xmlns="1c478e85-8130-4c67-8ee4-8bdf1c0e6049">
      <Terms xmlns="http://schemas.microsoft.com/office/infopath/2007/PartnerControls"/>
    </lcf76f155ced4ddcb4097134ff3c332f>
    <_Flow_SignoffStatus xmlns="1c478e85-8130-4c67-8ee4-8bdf1c0e6049" xsi:nil="true"/>
    <SharedWithUsers xmlns="801a5968-9419-4033-b9de-7ffe8168468e">
      <UserInfo>
        <DisplayName>James Atkinson</DisplayName>
        <AccountId>47</AccountId>
        <AccountType/>
      </UserInfo>
      <UserInfo>
        <DisplayName>Katherine Palmer</DisplayName>
        <AccountId>787</AccountId>
        <AccountType/>
      </UserInfo>
      <UserInfo>
        <DisplayName>Frank Crino</DisplayName>
        <AccountId>75</AccountId>
        <AccountType/>
      </UserInfo>
      <UserInfo>
        <DisplayName>Francess Lavorato</DisplayName>
        <AccountId>6</AccountId>
        <AccountType/>
      </UserInfo>
      <UserInfo>
        <DisplayName>Melissa Power</DisplayName>
        <AccountId>17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D5143-71BB-4CE5-94C5-CFF6EDD6A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5968-9419-4033-b9de-7ffe8168468e"/>
    <ds:schemaRef ds:uri="1c478e85-8130-4c67-8ee4-8bdf1c0e6049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10486F-5120-4F67-BA1E-2BAF7098B0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9E9FD7-6E6C-41F1-AB66-B4A654C66101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9f0ac7ce-5f57-4ea0-9af7-01d4f3f1ccae"/>
    <ds:schemaRef ds:uri="1c478e85-8130-4c67-8ee4-8bdf1c0e6049"/>
    <ds:schemaRef ds:uri="801a5968-9419-4033-b9de-7ffe8168468e"/>
  </ds:schemaRefs>
</ds:datastoreItem>
</file>

<file path=customXml/itemProps4.xml><?xml version="1.0" encoding="utf-8"?>
<ds:datastoreItem xmlns:ds="http://schemas.openxmlformats.org/officeDocument/2006/customXml" ds:itemID="{D293D4C9-B5FB-425B-853A-59299651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5</Pages>
  <Words>1305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2023-24 Budget Paper No. 1 - Budget Statement - Appendix E - Performance and Reporting under the Fiscal Responsibility Act 2012</vt:lpstr>
    </vt:vector>
  </TitlesOfParts>
  <Company>NSW Treasury</Company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 Budget Paper No. 1 - Budget Statement - Appendix E - Performance and Reporting under the Fiscal Responsibility Act 2012</dc:title>
  <dc:subject/>
  <dc:creator>NSWTreasury@nswgov.onmicrosoft.com</dc:creator>
  <cp:keywords/>
  <cp:lastModifiedBy>Francess Lavorato</cp:lastModifiedBy>
  <cp:revision>308</cp:revision>
  <cp:lastPrinted>2023-09-14T21:59:00Z</cp:lastPrinted>
  <dcterms:created xsi:type="dcterms:W3CDTF">2023-07-22T21:59:00Z</dcterms:created>
  <dcterms:modified xsi:type="dcterms:W3CDTF">2023-09-17T01:21:00Z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A3020765</vt:lpwstr>
  </property>
  <property fmtid="{D5CDD505-2E9C-101B-9397-08002B2CF9AE}" pid="4" name="Objective-Title">
    <vt:lpwstr>Budget paper styles and template</vt:lpwstr>
  </property>
  <property fmtid="{D5CDD505-2E9C-101B-9397-08002B2CF9AE}" pid="5" name="Objective-Comment">
    <vt:lpwstr/>
  </property>
  <property fmtid="{D5CDD505-2E9C-101B-9397-08002B2CF9AE}" pid="6" name="Objective-CreationStamp">
    <vt:filetime>2015-09-10T21:55:51Z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2015-10-13T03:41:11Z</vt:filetime>
  </property>
  <property fmtid="{D5CDD505-2E9C-101B-9397-08002B2CF9AE}" pid="11" name="Objective-Owner">
    <vt:lpwstr>Alicia McIntyre</vt:lpwstr>
  </property>
  <property fmtid="{D5CDD505-2E9C-101B-9397-08002B2CF9AE}" pid="12" name="Objective-Path">
    <vt:lpwstr>Objective Global Folder:1. Treasury:1. Information Management Structure (TR):FISCAL &amp; ECONOMIC GROUP (FEG):Budget Strategy:Budget Process Design:Budget:2016-17 Budget - Process and Production:Production:</vt:lpwstr>
  </property>
  <property fmtid="{D5CDD505-2E9C-101B-9397-08002B2CF9AE}" pid="13" name="Objective-Parent">
    <vt:lpwstr>Production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0.5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Vital Record [system]">
    <vt:lpwstr>No</vt:lpwstr>
  </property>
  <property fmtid="{D5CDD505-2E9C-101B-9397-08002B2CF9AE}" pid="22" name="Objective-GIPA [system]">
    <vt:lpwstr>No</vt:lpwstr>
  </property>
  <property fmtid="{D5CDD505-2E9C-101B-9397-08002B2CF9AE}" pid="23" name="Objective-Additional Search Tags [system]">
    <vt:lpwstr/>
  </property>
  <property fmtid="{D5CDD505-2E9C-101B-9397-08002B2CF9AE}" pid="24" name="ContentTypeId">
    <vt:lpwstr>0x010100F02F16F1AFBDE54EBD2685E90FE1922F</vt:lpwstr>
  </property>
  <property fmtid="{D5CDD505-2E9C-101B-9397-08002B2CF9AE}" pid="25" name="MediaServiceImageTags">
    <vt:lpwstr/>
  </property>
  <property fmtid="{D5CDD505-2E9C-101B-9397-08002B2CF9AE}" pid="26" name="ClassificationContentMarkingHeaderShapeIds">
    <vt:lpwstr>3,4,5</vt:lpwstr>
  </property>
  <property fmtid="{D5CDD505-2E9C-101B-9397-08002B2CF9AE}" pid="27" name="ClassificationContentMarkingHeaderFontProps">
    <vt:lpwstr>#ff0000,10,Calibri</vt:lpwstr>
  </property>
  <property fmtid="{D5CDD505-2E9C-101B-9397-08002B2CF9AE}" pid="28" name="ClassificationContentMarkingHeaderText">
    <vt:lpwstr>OFFICIAL: Sensitive - NSW Government</vt:lpwstr>
  </property>
  <property fmtid="{D5CDD505-2E9C-101B-9397-08002B2CF9AE}" pid="29" name="ClassificationContentMarkingFooterShapeIds">
    <vt:lpwstr>6,7,8</vt:lpwstr>
  </property>
  <property fmtid="{D5CDD505-2E9C-101B-9397-08002B2CF9AE}" pid="30" name="ClassificationContentMarkingFooterFontProps">
    <vt:lpwstr>#ff0000,10,Calibri</vt:lpwstr>
  </property>
  <property fmtid="{D5CDD505-2E9C-101B-9397-08002B2CF9AE}" pid="31" name="ClassificationContentMarkingFooterText">
    <vt:lpwstr>OFFICIAL: Sensitive - NSW Government</vt:lpwstr>
  </property>
  <property fmtid="{D5CDD505-2E9C-101B-9397-08002B2CF9AE}" pid="32" name="MSIP_Label_ab31b62b-e375-4a62-a687-c19ac06ddd31_Enabled">
    <vt:lpwstr>true</vt:lpwstr>
  </property>
  <property fmtid="{D5CDD505-2E9C-101B-9397-08002B2CF9AE}" pid="33" name="MSIP_Label_ab31b62b-e375-4a62-a687-c19ac06ddd31_SetDate">
    <vt:lpwstr>2023-07-17T05:35:10Z</vt:lpwstr>
  </property>
  <property fmtid="{D5CDD505-2E9C-101B-9397-08002B2CF9AE}" pid="34" name="MSIP_Label_ab31b62b-e375-4a62-a687-c19ac06ddd31_Method">
    <vt:lpwstr>Privileged</vt:lpwstr>
  </property>
  <property fmtid="{D5CDD505-2E9C-101B-9397-08002B2CF9AE}" pid="35" name="MSIP_Label_ab31b62b-e375-4a62-a687-c19ac06ddd31_Name">
    <vt:lpwstr>OFFICIAL Sensitive - NSW Government</vt:lpwstr>
  </property>
  <property fmtid="{D5CDD505-2E9C-101B-9397-08002B2CF9AE}" pid="36" name="MSIP_Label_ab31b62b-e375-4a62-a687-c19ac06ddd31_SiteId">
    <vt:lpwstr>1ef97a68-e8ab-44ed-a16d-b579fe2d7cd8</vt:lpwstr>
  </property>
  <property fmtid="{D5CDD505-2E9C-101B-9397-08002B2CF9AE}" pid="37" name="MSIP_Label_ab31b62b-e375-4a62-a687-c19ac06ddd31_ActionId">
    <vt:lpwstr>e99cb3e8-e592-44b3-906e-e4c2bfceb55e</vt:lpwstr>
  </property>
  <property fmtid="{D5CDD505-2E9C-101B-9397-08002B2CF9AE}" pid="38" name="MSIP_Label_ab31b62b-e375-4a62-a687-c19ac06ddd31_ContentBits">
    <vt:lpwstr>3</vt:lpwstr>
  </property>
</Properties>
</file>