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69C" w14:textId="2006050B" w:rsidR="00681EE6" w:rsidRPr="0078649A" w:rsidRDefault="00681EE6" w:rsidP="0091255A">
      <w:pPr>
        <w:pStyle w:val="Heading1"/>
        <w:spacing w:before="0" w:after="240"/>
        <w:rPr>
          <w:rFonts w:ascii="Public Sans SemiBold" w:hAnsi="Public Sans SemiBold" w:cs="Arial"/>
          <w:b/>
          <w:bCs/>
          <w:caps w:val="0"/>
          <w:color w:val="002664"/>
        </w:rPr>
      </w:pPr>
      <w:r w:rsidRPr="0078649A">
        <w:rPr>
          <w:rFonts w:ascii="Public Sans SemiBold" w:hAnsi="Public Sans SemiBold" w:cs="Arial"/>
          <w:b/>
          <w:bCs/>
          <w:caps w:val="0"/>
          <w:color w:val="002664"/>
        </w:rPr>
        <w:t>Chart</w:t>
      </w:r>
      <w:r w:rsidR="00BC538C" w:rsidRPr="0078649A">
        <w:rPr>
          <w:rFonts w:ascii="Public Sans SemiBold" w:hAnsi="Public Sans SemiBold" w:cs="Arial"/>
          <w:b/>
          <w:bCs/>
          <w:caps w:val="0"/>
          <w:color w:val="002664"/>
        </w:rPr>
        <w:t>, F</w:t>
      </w:r>
      <w:r w:rsidR="007431D7" w:rsidRPr="0078649A">
        <w:rPr>
          <w:rFonts w:ascii="Public Sans SemiBold" w:hAnsi="Public Sans SemiBold" w:cs="Arial"/>
          <w:b/>
          <w:bCs/>
          <w:caps w:val="0"/>
          <w:color w:val="002664"/>
        </w:rPr>
        <w:t>igure</w:t>
      </w:r>
      <w:r w:rsidRPr="0078649A">
        <w:rPr>
          <w:rFonts w:ascii="Public Sans SemiBold" w:hAnsi="Public Sans SemiBold" w:cs="Arial"/>
          <w:b/>
          <w:bCs/>
          <w:caps w:val="0"/>
          <w:color w:val="002664"/>
        </w:rPr>
        <w:t xml:space="preserve"> and Table List</w:t>
      </w:r>
    </w:p>
    <w:p w14:paraId="3AF8EDF2" w14:textId="77777777" w:rsidR="00681EE6" w:rsidRPr="00040693" w:rsidRDefault="00681EE6" w:rsidP="001028E0">
      <w:pPr>
        <w:ind w:left="720" w:right="442" w:firstLine="720"/>
        <w:jc w:val="right"/>
        <w:rPr>
          <w:rFonts w:ascii="Arial" w:hAnsi="Arial" w:cs="Arial"/>
        </w:rPr>
      </w:pPr>
      <w:r w:rsidRPr="00040693">
        <w:rPr>
          <w:rFonts w:ascii="Arial" w:hAnsi="Arial" w:cs="Arial"/>
        </w:rPr>
        <w:t>Page</w:t>
      </w:r>
    </w:p>
    <w:tbl>
      <w:tblPr>
        <w:tblStyle w:val="TableGrid"/>
        <w:tblW w:w="9805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3-24 Budget Papers - Chart, Figure and Table List"/>
        <w:tblDescription w:val="2023-24 Budget Papers - Chart, Figure and Table List"/>
      </w:tblPr>
      <w:tblGrid>
        <w:gridCol w:w="7769"/>
        <w:gridCol w:w="1275"/>
        <w:gridCol w:w="761"/>
      </w:tblGrid>
      <w:tr w:rsidR="0078649A" w:rsidRPr="0078649A" w14:paraId="1811607A" w14:textId="77777777" w:rsidTr="00EC21E1">
        <w:tc>
          <w:tcPr>
            <w:tcW w:w="7769" w:type="dxa"/>
          </w:tcPr>
          <w:p w14:paraId="2EBD1026" w14:textId="07538C7B" w:rsidR="00911CAF" w:rsidRPr="0078649A" w:rsidRDefault="00911CAF" w:rsidP="009428E6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1: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</w:r>
            <w:r w:rsidR="009428E6"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 xml:space="preserve">Budget </w:t>
            </w:r>
            <w:r w:rsidR="009C701C"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Overview</w:t>
            </w:r>
          </w:p>
        </w:tc>
        <w:tc>
          <w:tcPr>
            <w:tcW w:w="1275" w:type="dxa"/>
          </w:tcPr>
          <w:p w14:paraId="26214192" w14:textId="77777777" w:rsidR="00911CAF" w:rsidRPr="0078649A" w:rsidRDefault="00911CAF" w:rsidP="00810582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1" w:type="dxa"/>
          </w:tcPr>
          <w:p w14:paraId="64DD479E" w14:textId="77777777" w:rsidR="00911CAF" w:rsidRPr="0078649A" w:rsidRDefault="00911CAF" w:rsidP="00810582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1</w:t>
            </w:r>
          </w:p>
        </w:tc>
      </w:tr>
      <w:tr w:rsidR="00262BE7" w:rsidRPr="0078649A" w14:paraId="373223DA" w14:textId="77777777" w:rsidTr="00EC21E1">
        <w:tc>
          <w:tcPr>
            <w:tcW w:w="7769" w:type="dxa"/>
            <w:vAlign w:val="center"/>
          </w:tcPr>
          <w:p w14:paraId="75B24006" w14:textId="360A841A" w:rsidR="00262BE7" w:rsidRPr="0078649A" w:rsidRDefault="00A8288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B52C78">
              <w:rPr>
                <w:rFonts w:ascii="Public Sans" w:hAnsi="Public Sans" w:cs="Arial"/>
                <w:sz w:val="18"/>
                <w:szCs w:val="18"/>
              </w:rPr>
              <w:t>R</w:t>
            </w:r>
            <w:r w:rsidR="00D74DAF">
              <w:rPr>
                <w:rFonts w:ascii="Public Sans" w:hAnsi="Public Sans" w:cs="Arial"/>
                <w:sz w:val="18"/>
                <w:szCs w:val="18"/>
              </w:rPr>
              <w:t xml:space="preserve">eal </w:t>
            </w:r>
            <w:r>
              <w:rPr>
                <w:rFonts w:ascii="Public Sans" w:hAnsi="Public Sans" w:cs="Arial"/>
                <w:sz w:val="18"/>
                <w:szCs w:val="18"/>
              </w:rPr>
              <w:t>GSP per capita</w:t>
            </w:r>
          </w:p>
        </w:tc>
        <w:tc>
          <w:tcPr>
            <w:tcW w:w="1275" w:type="dxa"/>
          </w:tcPr>
          <w:p w14:paraId="524F2D20" w14:textId="0AC3388C" w:rsidR="00262BE7" w:rsidRPr="0078649A" w:rsidRDefault="00F171CC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</w:t>
            </w:r>
            <w:r w:rsidR="00437BD4">
              <w:rPr>
                <w:rFonts w:ascii="Public Sans" w:hAnsi="Public Sans" w:cs="Arial"/>
                <w:sz w:val="18"/>
                <w:szCs w:val="18"/>
              </w:rPr>
              <w:t>.1</w:t>
            </w:r>
          </w:p>
        </w:tc>
        <w:tc>
          <w:tcPr>
            <w:tcW w:w="761" w:type="dxa"/>
          </w:tcPr>
          <w:p w14:paraId="428303B6" w14:textId="26386932" w:rsidR="00262BE7" w:rsidRPr="0078649A" w:rsidRDefault="006466B3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FA0AC3">
              <w:rPr>
                <w:rFonts w:ascii="Public Sans" w:hAnsi="Public Sans" w:cs="Arial"/>
                <w:sz w:val="18"/>
                <w:szCs w:val="18"/>
              </w:rPr>
              <w:t>-</w:t>
            </w:r>
            <w:r w:rsidR="00D05AA6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A82889" w:rsidRPr="0078649A" w14:paraId="2A12EACC" w14:textId="77777777" w:rsidTr="00EC21E1">
        <w:tc>
          <w:tcPr>
            <w:tcW w:w="7769" w:type="dxa"/>
            <w:vAlign w:val="center"/>
          </w:tcPr>
          <w:p w14:paraId="11744A33" w14:textId="4E993ABA" w:rsidR="00A82889" w:rsidRPr="0078649A" w:rsidRDefault="00A82889" w:rsidP="00CF7FC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F3916"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>
              <w:rPr>
                <w:rFonts w:ascii="Public Sans" w:hAnsi="Public Sans" w:cs="Arial"/>
                <w:sz w:val="18"/>
                <w:szCs w:val="18"/>
              </w:rPr>
              <w:t>Employment</w:t>
            </w:r>
          </w:p>
        </w:tc>
        <w:tc>
          <w:tcPr>
            <w:tcW w:w="1275" w:type="dxa"/>
            <w:vAlign w:val="center"/>
          </w:tcPr>
          <w:p w14:paraId="354F31B0" w14:textId="77777777" w:rsidR="00A82889" w:rsidRPr="0078649A" w:rsidRDefault="00A82889" w:rsidP="00CF7FC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1.2</w:t>
            </w:r>
          </w:p>
        </w:tc>
        <w:tc>
          <w:tcPr>
            <w:tcW w:w="761" w:type="dxa"/>
            <w:vAlign w:val="center"/>
          </w:tcPr>
          <w:p w14:paraId="3A31F864" w14:textId="3A06EC5E" w:rsidR="00A82889" w:rsidRPr="0078649A" w:rsidRDefault="00A82889" w:rsidP="00CF7FC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B64F84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945B4A" w:rsidRPr="0078649A" w14:paraId="4811B57A" w14:textId="77777777" w:rsidTr="00EC21E1">
        <w:tc>
          <w:tcPr>
            <w:tcW w:w="7769" w:type="dxa"/>
            <w:vAlign w:val="center"/>
          </w:tcPr>
          <w:p w14:paraId="6DAEE742" w14:textId="617DFD05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Key Budget aggregates for the general government sector</w:t>
            </w:r>
          </w:p>
        </w:tc>
        <w:tc>
          <w:tcPr>
            <w:tcW w:w="1275" w:type="dxa"/>
            <w:vAlign w:val="center"/>
          </w:tcPr>
          <w:p w14:paraId="69EABEFE" w14:textId="18B5B2D9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1.1</w:t>
            </w:r>
          </w:p>
        </w:tc>
        <w:tc>
          <w:tcPr>
            <w:tcW w:w="761" w:type="dxa"/>
            <w:vAlign w:val="center"/>
          </w:tcPr>
          <w:p w14:paraId="6DAE0564" w14:textId="18BC5B0A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E75514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911CAF" w:rsidRPr="0078649A" w14:paraId="0C7965B1" w14:textId="77777777" w:rsidTr="00EC21E1">
        <w:tc>
          <w:tcPr>
            <w:tcW w:w="7769" w:type="dxa"/>
            <w:vAlign w:val="center"/>
          </w:tcPr>
          <w:p w14:paraId="6A6BF5BD" w14:textId="196AF2A3" w:rsidR="00911CAF" w:rsidRPr="0078649A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F3916"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B52C78">
              <w:rPr>
                <w:rFonts w:ascii="Public Sans" w:hAnsi="Public Sans" w:cs="Arial"/>
                <w:sz w:val="18"/>
                <w:szCs w:val="18"/>
              </w:rPr>
              <w:t>B</w:t>
            </w:r>
            <w:r w:rsidR="00DF0B38">
              <w:rPr>
                <w:rFonts w:ascii="Public Sans" w:hAnsi="Public Sans" w:cs="Arial"/>
                <w:sz w:val="18"/>
                <w:szCs w:val="18"/>
              </w:rPr>
              <w:t>udget result</w:t>
            </w:r>
            <w:r w:rsidRPr="007F3916">
              <w:rPr>
                <w:rFonts w:ascii="Public Sans" w:hAnsi="Public Sans" w:cs="Arial"/>
                <w:sz w:val="18"/>
                <w:szCs w:val="18"/>
              </w:rPr>
              <w:t>: 2023 Pre-election Budget Update compared to 2023</w:t>
            </w:r>
            <w:r w:rsidR="00DF1ABA">
              <w:rPr>
                <w:rFonts w:ascii="Public Sans" w:hAnsi="Public Sans" w:cs="Arial"/>
                <w:sz w:val="18"/>
                <w:szCs w:val="18"/>
              </w:rPr>
              <w:t>-</w:t>
            </w:r>
            <w:r w:rsidRPr="007F3916">
              <w:rPr>
                <w:rFonts w:ascii="Public Sans" w:hAnsi="Public Sans" w:cs="Arial"/>
                <w:sz w:val="18"/>
                <w:szCs w:val="18"/>
              </w:rPr>
              <w:t>24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Pr="007F3916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1275" w:type="dxa"/>
            <w:vAlign w:val="center"/>
          </w:tcPr>
          <w:p w14:paraId="4ABF4D7E" w14:textId="18118459" w:rsidR="00911CAF" w:rsidRPr="0078649A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</w:t>
            </w:r>
            <w:r w:rsidR="00DF1ABA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vAlign w:val="center"/>
          </w:tcPr>
          <w:p w14:paraId="280CC1F4" w14:textId="0CFD5106" w:rsidR="00911CAF" w:rsidRPr="0078649A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E75514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78649A" w:rsidRPr="0078649A" w14:paraId="4B5D8EF7" w14:textId="77777777" w:rsidTr="00EC21E1">
        <w:tc>
          <w:tcPr>
            <w:tcW w:w="7769" w:type="dxa"/>
          </w:tcPr>
          <w:p w14:paraId="3A10226A" w14:textId="6577C07B" w:rsidR="000F1772" w:rsidRPr="0078649A" w:rsidRDefault="000F1772" w:rsidP="000D6BCC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2: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The Economy</w:t>
            </w:r>
          </w:p>
        </w:tc>
        <w:tc>
          <w:tcPr>
            <w:tcW w:w="1275" w:type="dxa"/>
          </w:tcPr>
          <w:p w14:paraId="180507D0" w14:textId="77777777" w:rsidR="000F1772" w:rsidRPr="0078649A" w:rsidRDefault="000F1772" w:rsidP="000D6BCC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</w:tcPr>
          <w:p w14:paraId="14097F19" w14:textId="727D1A1A" w:rsidR="000F1772" w:rsidRPr="0078649A" w:rsidRDefault="000F1772" w:rsidP="000D6BCC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2</w:t>
            </w:r>
          </w:p>
        </w:tc>
      </w:tr>
      <w:tr w:rsidR="000F1772" w:rsidRPr="0078649A" w14:paraId="68FDE8F8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F426C00" w14:textId="30FE296A" w:rsidR="000F1772" w:rsidRPr="0078649A" w:rsidRDefault="007E106B" w:rsidP="00B76BC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 xml:space="preserve">ew </w:t>
            </w:r>
            <w:r>
              <w:rPr>
                <w:rFonts w:ascii="Public Sans" w:hAnsi="Public Sans" w:cs="Arial"/>
                <w:sz w:val="18"/>
                <w:szCs w:val="18"/>
              </w:rPr>
              <w:t>S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 xml:space="preserve">outh </w:t>
            </w:r>
            <w:r>
              <w:rPr>
                <w:rFonts w:ascii="Public Sans" w:hAnsi="Public Sans" w:cs="Arial"/>
                <w:sz w:val="18"/>
                <w:szCs w:val="18"/>
              </w:rPr>
              <w:t>W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>ales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economic performance and outlook</w:t>
            </w:r>
          </w:p>
        </w:tc>
        <w:tc>
          <w:tcPr>
            <w:tcW w:w="1275" w:type="dxa"/>
            <w:vAlign w:val="center"/>
          </w:tcPr>
          <w:p w14:paraId="123626C7" w14:textId="5AC29ADE" w:rsidR="000F1772" w:rsidRPr="0078649A" w:rsidRDefault="007E106B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</w:t>
            </w:r>
          </w:p>
        </w:tc>
        <w:tc>
          <w:tcPr>
            <w:tcW w:w="761" w:type="dxa"/>
            <w:vAlign w:val="center"/>
          </w:tcPr>
          <w:p w14:paraId="427A4D8D" w14:textId="39411BD5" w:rsidR="000F1772" w:rsidRPr="0078649A" w:rsidRDefault="007E106B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D4954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286030" w:rsidRPr="0078649A" w14:paraId="1E85DA72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22843E78" w14:textId="14B38B8F" w:rsidR="00286030" w:rsidRPr="0078649A" w:rsidRDefault="007E106B" w:rsidP="00B76BC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Annual core inflation</w:t>
            </w:r>
          </w:p>
        </w:tc>
        <w:tc>
          <w:tcPr>
            <w:tcW w:w="1275" w:type="dxa"/>
            <w:vAlign w:val="center"/>
          </w:tcPr>
          <w:p w14:paraId="465D34C5" w14:textId="1BA88DD2" w:rsidR="00286030" w:rsidRPr="0078649A" w:rsidRDefault="006F023E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2.1</w:t>
            </w:r>
          </w:p>
        </w:tc>
        <w:tc>
          <w:tcPr>
            <w:tcW w:w="761" w:type="dxa"/>
            <w:vAlign w:val="center"/>
          </w:tcPr>
          <w:p w14:paraId="00BE45BB" w14:textId="17B9BEDD" w:rsidR="00286030" w:rsidRPr="0078649A" w:rsidRDefault="006F023E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74164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286030" w:rsidRPr="0078649A" w14:paraId="634B5490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01A1425" w14:textId="7D0584CB" w:rsidR="00286030" w:rsidRPr="0078649A" w:rsidRDefault="006F023E" w:rsidP="00B76BC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Global cash rates</w:t>
            </w:r>
          </w:p>
        </w:tc>
        <w:tc>
          <w:tcPr>
            <w:tcW w:w="1275" w:type="dxa"/>
            <w:vAlign w:val="center"/>
          </w:tcPr>
          <w:p w14:paraId="53838E6B" w14:textId="22E5EF48" w:rsidR="00286030" w:rsidRPr="0078649A" w:rsidRDefault="006F023E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2.2</w:t>
            </w:r>
          </w:p>
        </w:tc>
        <w:tc>
          <w:tcPr>
            <w:tcW w:w="761" w:type="dxa"/>
            <w:vAlign w:val="center"/>
          </w:tcPr>
          <w:p w14:paraId="78FB7F30" w14:textId="1DFA5765" w:rsidR="00286030" w:rsidRPr="0078649A" w:rsidRDefault="006F023E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C7732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286030" w:rsidRPr="0078649A" w14:paraId="369BD39D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C952CAB" w14:textId="3AF5DFC6" w:rsidR="00286030" w:rsidRPr="0078649A" w:rsidRDefault="00A25F15" w:rsidP="00B76BC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r</w:t>
            </w:r>
            <w:r w:rsidR="00EF53A9">
              <w:rPr>
                <w:rFonts w:ascii="Public Sans" w:hAnsi="Public Sans" w:cs="Arial"/>
                <w:sz w:val="18"/>
                <w:szCs w:val="18"/>
              </w:rPr>
              <w:t>eal discretionary v</w:t>
            </w:r>
            <w:r w:rsidR="00197E86">
              <w:rPr>
                <w:rFonts w:ascii="Public Sans" w:hAnsi="Public Sans" w:cs="Arial"/>
                <w:sz w:val="18"/>
                <w:szCs w:val="18"/>
              </w:rPr>
              <w:t>s</w:t>
            </w:r>
            <w:r w:rsidR="00EF53A9">
              <w:rPr>
                <w:rFonts w:ascii="Public Sans" w:hAnsi="Public Sans" w:cs="Arial"/>
                <w:sz w:val="18"/>
                <w:szCs w:val="18"/>
              </w:rPr>
              <w:t xml:space="preserve"> essential consumption</w:t>
            </w:r>
          </w:p>
        </w:tc>
        <w:tc>
          <w:tcPr>
            <w:tcW w:w="1275" w:type="dxa"/>
            <w:vAlign w:val="center"/>
          </w:tcPr>
          <w:p w14:paraId="51DF51EB" w14:textId="78FE8670" w:rsidR="00286030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2.3</w:t>
            </w:r>
          </w:p>
        </w:tc>
        <w:tc>
          <w:tcPr>
            <w:tcW w:w="761" w:type="dxa"/>
            <w:vAlign w:val="center"/>
          </w:tcPr>
          <w:p w14:paraId="7F568E3E" w14:textId="27F78DF1" w:rsidR="00286030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C7732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E6282C" w:rsidRPr="0078649A" w14:paraId="727E8AEB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B24049D" w14:textId="3E5EE23B" w:rsidR="00E6282C" w:rsidRPr="0078649A" w:rsidRDefault="009E7A58" w:rsidP="00B76BC5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a</w:t>
            </w:r>
            <w:r w:rsidR="00EF53A9">
              <w:rPr>
                <w:rFonts w:ascii="Public Sans" w:hAnsi="Public Sans" w:cs="Arial"/>
                <w:sz w:val="18"/>
                <w:szCs w:val="18"/>
              </w:rPr>
              <w:t>uction clearance rates and house prices</w:t>
            </w:r>
          </w:p>
        </w:tc>
        <w:tc>
          <w:tcPr>
            <w:tcW w:w="1275" w:type="dxa"/>
            <w:vAlign w:val="center"/>
          </w:tcPr>
          <w:p w14:paraId="0FD1D780" w14:textId="1F2B8B6A" w:rsidR="00E6282C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2.4</w:t>
            </w:r>
          </w:p>
        </w:tc>
        <w:tc>
          <w:tcPr>
            <w:tcW w:w="761" w:type="dxa"/>
            <w:vAlign w:val="center"/>
          </w:tcPr>
          <w:p w14:paraId="00450286" w14:textId="5F0D1EA1" w:rsidR="00E6282C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C7732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E6282C" w:rsidRPr="0078649A" w14:paraId="447E48AD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28B35357" w14:textId="27E64822" w:rsidR="00E6282C" w:rsidRPr="0078649A" w:rsidRDefault="002D5E87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components of p</w:t>
            </w:r>
            <w:r w:rsidR="00EF53A9">
              <w:rPr>
                <w:rFonts w:ascii="Public Sans" w:hAnsi="Public Sans" w:cs="Arial"/>
                <w:sz w:val="18"/>
                <w:szCs w:val="18"/>
              </w:rPr>
              <w:t>opulation growth</w:t>
            </w:r>
          </w:p>
        </w:tc>
        <w:tc>
          <w:tcPr>
            <w:tcW w:w="1275" w:type="dxa"/>
            <w:vAlign w:val="center"/>
          </w:tcPr>
          <w:p w14:paraId="0290FF49" w14:textId="09714717" w:rsidR="00E6282C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2.5</w:t>
            </w:r>
          </w:p>
        </w:tc>
        <w:tc>
          <w:tcPr>
            <w:tcW w:w="761" w:type="dxa"/>
            <w:vAlign w:val="center"/>
          </w:tcPr>
          <w:p w14:paraId="0F9E3C5C" w14:textId="14CED111" w:rsidR="00E6282C" w:rsidRPr="0078649A" w:rsidRDefault="00EF53A9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C03AA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E6282C" w:rsidRPr="0078649A" w14:paraId="7F9FD065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4509443A" w14:textId="63ADAEEC" w:rsidR="00E6282C" w:rsidRPr="0078649A" w:rsidRDefault="002D5E87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957953">
              <w:rPr>
                <w:rFonts w:ascii="Public Sans" w:hAnsi="Public Sans" w:cs="Arial"/>
                <w:sz w:val="18"/>
                <w:szCs w:val="18"/>
              </w:rPr>
              <w:t>job vacancies</w:t>
            </w:r>
          </w:p>
        </w:tc>
        <w:tc>
          <w:tcPr>
            <w:tcW w:w="1275" w:type="dxa"/>
            <w:vAlign w:val="center"/>
          </w:tcPr>
          <w:p w14:paraId="0F8B44AF" w14:textId="288EDB6F" w:rsidR="00E6282C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2.6</w:t>
            </w:r>
          </w:p>
        </w:tc>
        <w:tc>
          <w:tcPr>
            <w:tcW w:w="761" w:type="dxa"/>
            <w:vAlign w:val="center"/>
          </w:tcPr>
          <w:p w14:paraId="6CD6985B" w14:textId="65E6CB07" w:rsidR="00E6282C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A21ED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A40F3" w:rsidRPr="0078649A" w14:paraId="6CBCB3F8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950452F" w14:textId="36B8245B" w:rsidR="005A40F3" w:rsidRPr="0078649A" w:rsidRDefault="00957953" w:rsidP="004F758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wages</w:t>
            </w:r>
          </w:p>
        </w:tc>
        <w:tc>
          <w:tcPr>
            <w:tcW w:w="1275" w:type="dxa"/>
            <w:vAlign w:val="center"/>
          </w:tcPr>
          <w:p w14:paraId="777AF456" w14:textId="4FFFE670" w:rsidR="005A40F3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2.7</w:t>
            </w:r>
          </w:p>
        </w:tc>
        <w:tc>
          <w:tcPr>
            <w:tcW w:w="761" w:type="dxa"/>
            <w:vAlign w:val="center"/>
          </w:tcPr>
          <w:p w14:paraId="42FC8665" w14:textId="6207B830" w:rsidR="005A40F3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A21ED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957953" w:rsidRPr="0078649A" w14:paraId="7F188E13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A9A2493" w14:textId="6F4FE8B2" w:rsidR="00957953" w:rsidRDefault="00957953" w:rsidP="004F758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Sydney CPI</w:t>
            </w:r>
          </w:p>
        </w:tc>
        <w:tc>
          <w:tcPr>
            <w:tcW w:w="1275" w:type="dxa"/>
            <w:vAlign w:val="center"/>
          </w:tcPr>
          <w:p w14:paraId="2679C9B6" w14:textId="3F219844" w:rsidR="00957953" w:rsidRDefault="00957953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2.8</w:t>
            </w:r>
          </w:p>
        </w:tc>
        <w:tc>
          <w:tcPr>
            <w:tcW w:w="761" w:type="dxa"/>
            <w:vAlign w:val="center"/>
          </w:tcPr>
          <w:p w14:paraId="293C0856" w14:textId="5D20A968" w:rsidR="00957953" w:rsidRDefault="004A21ED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2-6</w:t>
            </w:r>
          </w:p>
        </w:tc>
      </w:tr>
      <w:tr w:rsidR="005A40F3" w:rsidRPr="0078649A" w14:paraId="67224038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E5124C9" w14:textId="010A3644" w:rsidR="005A40F3" w:rsidRPr="0078649A" w:rsidRDefault="001708B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u</w:t>
            </w:r>
            <w:r w:rsidR="006B50E8">
              <w:rPr>
                <w:rFonts w:ascii="Public Sans" w:hAnsi="Public Sans" w:cs="Arial"/>
                <w:sz w:val="18"/>
                <w:szCs w:val="18"/>
              </w:rPr>
              <w:t>nemployment and underemployment rate</w:t>
            </w:r>
          </w:p>
        </w:tc>
        <w:tc>
          <w:tcPr>
            <w:tcW w:w="1275" w:type="dxa"/>
            <w:vAlign w:val="center"/>
          </w:tcPr>
          <w:p w14:paraId="29FCF7E1" w14:textId="774144C3" w:rsidR="005A40F3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957953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  <w:tc>
          <w:tcPr>
            <w:tcW w:w="761" w:type="dxa"/>
            <w:vAlign w:val="center"/>
          </w:tcPr>
          <w:p w14:paraId="68BE49CE" w14:textId="490FEB53" w:rsidR="005A40F3" w:rsidRPr="0078649A" w:rsidRDefault="006B50E8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A21ED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4D7353" w:rsidRPr="0078649A" w14:paraId="5F1060C7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50CD9AB" w14:textId="3B22B782" w:rsidR="004D7353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Living </w:t>
            </w:r>
            <w:r w:rsidR="00957953">
              <w:rPr>
                <w:rFonts w:ascii="Public Sans" w:hAnsi="Public Sans" w:cs="Arial"/>
                <w:sz w:val="18"/>
                <w:szCs w:val="18"/>
              </w:rPr>
              <w:t>C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ost </w:t>
            </w:r>
            <w:r w:rsidR="00957953">
              <w:rPr>
                <w:rFonts w:ascii="Public Sans" w:hAnsi="Public Sans" w:cs="Arial"/>
                <w:sz w:val="18"/>
                <w:szCs w:val="18"/>
              </w:rPr>
              <w:t>I</w:t>
            </w:r>
            <w:r>
              <w:rPr>
                <w:rFonts w:ascii="Public Sans" w:hAnsi="Public Sans" w:cs="Arial"/>
                <w:sz w:val="18"/>
                <w:szCs w:val="18"/>
              </w:rPr>
              <w:t>ndex by group, Australia</w:t>
            </w:r>
          </w:p>
        </w:tc>
        <w:tc>
          <w:tcPr>
            <w:tcW w:w="1275" w:type="dxa"/>
            <w:vAlign w:val="center"/>
          </w:tcPr>
          <w:p w14:paraId="29073B41" w14:textId="745A1992" w:rsidR="004D7353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185334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  <w:tc>
          <w:tcPr>
            <w:tcW w:w="761" w:type="dxa"/>
            <w:vAlign w:val="center"/>
          </w:tcPr>
          <w:p w14:paraId="1579070E" w14:textId="14C2EF6A" w:rsidR="004D7353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82B2E" w:rsidRPr="00516175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4D7353" w:rsidRPr="0078649A" w14:paraId="12B11A07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4AC43E15" w14:textId="4B81E55B" w:rsidR="004D7353" w:rsidRPr="0078649A" w:rsidRDefault="00185334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CPI by spending category, Sydney</w:t>
            </w:r>
          </w:p>
        </w:tc>
        <w:tc>
          <w:tcPr>
            <w:tcW w:w="1275" w:type="dxa"/>
            <w:vAlign w:val="center"/>
          </w:tcPr>
          <w:p w14:paraId="658E792D" w14:textId="031593CA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185334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  <w:tc>
          <w:tcPr>
            <w:tcW w:w="761" w:type="dxa"/>
            <w:vAlign w:val="center"/>
          </w:tcPr>
          <w:p w14:paraId="25CBB37A" w14:textId="15676324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82B2E" w:rsidRPr="00516175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4D7353" w:rsidRPr="0078649A" w14:paraId="52A300DF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3F95DE7B" w14:textId="0FEC806D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nominal household consumption and disposable income</w:t>
            </w:r>
          </w:p>
        </w:tc>
        <w:tc>
          <w:tcPr>
            <w:tcW w:w="1275" w:type="dxa"/>
            <w:vAlign w:val="center"/>
          </w:tcPr>
          <w:p w14:paraId="7384FD0E" w14:textId="79D6D67F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185334">
              <w:rPr>
                <w:rFonts w:ascii="Public Sans" w:hAnsi="Public Sans" w:cs="Arial"/>
                <w:sz w:val="18"/>
                <w:szCs w:val="18"/>
              </w:rPr>
              <w:t>12</w:t>
            </w:r>
          </w:p>
        </w:tc>
        <w:tc>
          <w:tcPr>
            <w:tcW w:w="761" w:type="dxa"/>
            <w:vAlign w:val="center"/>
          </w:tcPr>
          <w:p w14:paraId="4FED0343" w14:textId="5FA4F46F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324EA5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4D7353" w:rsidRPr="0078649A" w14:paraId="65D7FD9B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3C3F3D16" w14:textId="5263FDC5" w:rsidR="004D7353" w:rsidRPr="0078649A" w:rsidRDefault="00FA7E3E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2E0D2E">
              <w:rPr>
                <w:rFonts w:ascii="Public Sans" w:hAnsi="Public Sans" w:cs="Arial"/>
                <w:sz w:val="18"/>
                <w:szCs w:val="18"/>
              </w:rPr>
              <w:t>r</w:t>
            </w:r>
            <w:r w:rsidR="009D09F3">
              <w:rPr>
                <w:rFonts w:ascii="Public Sans" w:hAnsi="Public Sans" w:cs="Arial"/>
                <w:sz w:val="18"/>
                <w:szCs w:val="18"/>
              </w:rPr>
              <w:t xml:space="preserve">eal </w:t>
            </w:r>
            <w:r w:rsidR="004D7353">
              <w:rPr>
                <w:rFonts w:ascii="Public Sans" w:hAnsi="Public Sans" w:cs="Arial"/>
                <w:sz w:val="18"/>
                <w:szCs w:val="18"/>
              </w:rPr>
              <w:t>GSP per capita</w:t>
            </w:r>
          </w:p>
        </w:tc>
        <w:tc>
          <w:tcPr>
            <w:tcW w:w="1275" w:type="dxa"/>
            <w:vAlign w:val="center"/>
          </w:tcPr>
          <w:p w14:paraId="611747A3" w14:textId="5ED9F9BA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3A6282">
              <w:rPr>
                <w:rFonts w:ascii="Public Sans" w:hAnsi="Public Sans" w:cs="Arial"/>
                <w:sz w:val="18"/>
                <w:szCs w:val="18"/>
              </w:rPr>
              <w:t>13</w:t>
            </w:r>
          </w:p>
        </w:tc>
        <w:tc>
          <w:tcPr>
            <w:tcW w:w="761" w:type="dxa"/>
            <w:vAlign w:val="center"/>
          </w:tcPr>
          <w:p w14:paraId="55241F77" w14:textId="564227C4" w:rsidR="004D7353" w:rsidRPr="0078649A" w:rsidRDefault="004D7353" w:rsidP="004D735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324EA5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CC3501" w:rsidRPr="0078649A" w14:paraId="39D54771" w14:textId="77777777" w:rsidTr="00EC21E1">
        <w:trPr>
          <w:trHeight w:val="187"/>
        </w:trPr>
        <w:tc>
          <w:tcPr>
            <w:tcW w:w="7769" w:type="dxa"/>
          </w:tcPr>
          <w:p w14:paraId="199B0CE3" w14:textId="75FA62E8" w:rsidR="00CC3501" w:rsidRPr="0078649A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dwelling </w:t>
            </w:r>
            <w:r w:rsidR="003A6282">
              <w:rPr>
                <w:rFonts w:ascii="Public Sans" w:hAnsi="Public Sans" w:cs="Arial"/>
                <w:sz w:val="18"/>
                <w:szCs w:val="18"/>
              </w:rPr>
              <w:t>approvals</w:t>
            </w:r>
          </w:p>
        </w:tc>
        <w:tc>
          <w:tcPr>
            <w:tcW w:w="1275" w:type="dxa"/>
            <w:vAlign w:val="center"/>
          </w:tcPr>
          <w:p w14:paraId="6C4A20D3" w14:textId="713AEC72" w:rsidR="00CC3501" w:rsidRPr="0078649A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3A6282" w:rsidRPr="002112EB">
              <w:rPr>
                <w:rFonts w:ascii="Public Sans" w:hAnsi="Public Sans" w:cs="Arial"/>
                <w:sz w:val="18"/>
                <w:szCs w:val="18"/>
              </w:rPr>
              <w:t>14</w:t>
            </w:r>
          </w:p>
        </w:tc>
        <w:tc>
          <w:tcPr>
            <w:tcW w:w="761" w:type="dxa"/>
            <w:vAlign w:val="center"/>
          </w:tcPr>
          <w:p w14:paraId="72DA3FFA" w14:textId="42FC7FD7" w:rsidR="00CC3501" w:rsidRPr="0078649A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324EA5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CC3501" w:rsidRPr="0078649A" w14:paraId="778E192D" w14:textId="77777777" w:rsidTr="00EC21E1">
        <w:trPr>
          <w:trHeight w:val="187"/>
        </w:trPr>
        <w:tc>
          <w:tcPr>
            <w:tcW w:w="7769" w:type="dxa"/>
          </w:tcPr>
          <w:p w14:paraId="1E40250F" w14:textId="09CAA371" w:rsidR="00CC3501" w:rsidRPr="0078649A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value of work yet to be done in electricity generation and transmission</w:t>
            </w:r>
          </w:p>
        </w:tc>
        <w:tc>
          <w:tcPr>
            <w:tcW w:w="1275" w:type="dxa"/>
            <w:vAlign w:val="center"/>
          </w:tcPr>
          <w:p w14:paraId="1DDA6D5E" w14:textId="148C5D24" w:rsidR="00CC3501" w:rsidRPr="002112EB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2112EB"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3A6282" w:rsidRPr="002112EB">
              <w:rPr>
                <w:rFonts w:ascii="Public Sans" w:hAnsi="Public Sans" w:cs="Arial"/>
                <w:sz w:val="18"/>
                <w:szCs w:val="18"/>
              </w:rPr>
              <w:t>15</w:t>
            </w:r>
          </w:p>
        </w:tc>
        <w:tc>
          <w:tcPr>
            <w:tcW w:w="761" w:type="dxa"/>
            <w:vAlign w:val="center"/>
          </w:tcPr>
          <w:p w14:paraId="5FA27C79" w14:textId="6BC13BB0" w:rsidR="00CC3501" w:rsidRPr="002112EB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2112EB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324EA5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CC3501" w:rsidRPr="0078649A" w14:paraId="0376EAD3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71BD8390" w14:textId="49A6EA3A" w:rsidR="00CC3501" w:rsidRDefault="00042AC3" w:rsidP="00FC658C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 w:rsidRPr="0074117F">
              <w:rPr>
                <w:rFonts w:ascii="Public Sans" w:hAnsi="Public Sans" w:cs="Arial"/>
                <w:sz w:val="18"/>
                <w:szCs w:val="18"/>
              </w:rPr>
              <w:t>NSW h</w:t>
            </w:r>
            <w:r w:rsidR="00CC3501" w:rsidRPr="0074117F">
              <w:rPr>
                <w:rFonts w:ascii="Public Sans" w:hAnsi="Public Sans" w:cs="Arial"/>
                <w:sz w:val="18"/>
                <w:szCs w:val="18"/>
              </w:rPr>
              <w:t xml:space="preserve">ousing costs as a </w:t>
            </w:r>
            <w:r w:rsidR="003A6282" w:rsidRPr="0074117F">
              <w:rPr>
                <w:rFonts w:ascii="Public Sans" w:hAnsi="Public Sans" w:cs="Arial"/>
                <w:sz w:val="18"/>
                <w:szCs w:val="18"/>
              </w:rPr>
              <w:t xml:space="preserve">proportion </w:t>
            </w:r>
            <w:r w:rsidR="00CC3501" w:rsidRPr="0074117F">
              <w:rPr>
                <w:rFonts w:ascii="Public Sans" w:hAnsi="Public Sans" w:cs="Arial"/>
                <w:sz w:val="18"/>
                <w:szCs w:val="18"/>
              </w:rPr>
              <w:t>of income by equivalised disposable household income quintiles</w:t>
            </w:r>
          </w:p>
        </w:tc>
        <w:tc>
          <w:tcPr>
            <w:tcW w:w="1275" w:type="dxa"/>
            <w:vAlign w:val="center"/>
          </w:tcPr>
          <w:p w14:paraId="0E6D266C" w14:textId="3883D77E" w:rsidR="00CC3501" w:rsidRPr="002112EB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2112EB">
              <w:rPr>
                <w:rFonts w:ascii="Public Sans" w:hAnsi="Public Sans" w:cs="Arial"/>
                <w:sz w:val="18"/>
                <w:szCs w:val="18"/>
              </w:rPr>
              <w:t>Chart 2.</w:t>
            </w:r>
            <w:r w:rsidR="002E710A">
              <w:rPr>
                <w:rFonts w:ascii="Public Sans" w:hAnsi="Public Sans" w:cs="Arial"/>
                <w:sz w:val="18"/>
                <w:szCs w:val="18"/>
              </w:rPr>
              <w:t>16</w:t>
            </w:r>
          </w:p>
        </w:tc>
        <w:tc>
          <w:tcPr>
            <w:tcW w:w="761" w:type="dxa"/>
            <w:vAlign w:val="center"/>
          </w:tcPr>
          <w:p w14:paraId="0C67C17F" w14:textId="6EF416ED" w:rsidR="00CC3501" w:rsidRPr="002112EB" w:rsidRDefault="00CC3501" w:rsidP="00CC3501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2112EB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6A5E39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CA2394" w:rsidRPr="0078649A" w14:paraId="6EB7ABFC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1725FAC" w14:textId="06247FAA" w:rsidR="00CA2394" w:rsidRDefault="00CA2394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mortgage servicing costs as proportion of income </w:t>
            </w:r>
          </w:p>
        </w:tc>
        <w:tc>
          <w:tcPr>
            <w:tcW w:w="1275" w:type="dxa"/>
            <w:vAlign w:val="center"/>
          </w:tcPr>
          <w:p w14:paraId="1BCCF46C" w14:textId="16378175" w:rsidR="00CA2394" w:rsidRDefault="00CA2394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2.17</w:t>
            </w:r>
          </w:p>
        </w:tc>
        <w:tc>
          <w:tcPr>
            <w:tcW w:w="761" w:type="dxa"/>
            <w:vAlign w:val="center"/>
          </w:tcPr>
          <w:p w14:paraId="20C989C9" w14:textId="59DA8DC1" w:rsidR="00CA2394" w:rsidRDefault="00CA2394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72E8C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CA2394" w:rsidRPr="0078649A" w14:paraId="7441B801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72537997" w14:textId="254E3055" w:rsidR="00CA2394" w:rsidRDefault="002E710A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Sydney housing rents</w:t>
            </w:r>
          </w:p>
        </w:tc>
        <w:tc>
          <w:tcPr>
            <w:tcW w:w="1275" w:type="dxa"/>
            <w:vAlign w:val="center"/>
          </w:tcPr>
          <w:p w14:paraId="076C7BB0" w14:textId="1EFD2D1F" w:rsidR="00CA2394" w:rsidRDefault="00CA2394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2.18</w:t>
            </w:r>
          </w:p>
        </w:tc>
        <w:tc>
          <w:tcPr>
            <w:tcW w:w="761" w:type="dxa"/>
            <w:vAlign w:val="center"/>
          </w:tcPr>
          <w:p w14:paraId="67D1BCB7" w14:textId="4A5E397F" w:rsidR="00CA2394" w:rsidRDefault="00CA2394" w:rsidP="00CA239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72E8C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FC377B" w:rsidRPr="0078649A" w14:paraId="4546D87F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754EC9A7" w14:textId="6AFB07E8" w:rsidR="00FC377B" w:rsidRDefault="00444772" w:rsidP="00FC377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unemployment rate</w:t>
            </w:r>
          </w:p>
        </w:tc>
        <w:tc>
          <w:tcPr>
            <w:tcW w:w="1275" w:type="dxa"/>
            <w:vAlign w:val="center"/>
          </w:tcPr>
          <w:p w14:paraId="6A9B1502" w14:textId="6CD5FB8A" w:rsidR="00FC377B" w:rsidRDefault="00FC377B" w:rsidP="00FC377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2.19</w:t>
            </w:r>
          </w:p>
        </w:tc>
        <w:tc>
          <w:tcPr>
            <w:tcW w:w="761" w:type="dxa"/>
            <w:vAlign w:val="center"/>
          </w:tcPr>
          <w:p w14:paraId="5A81EBFB" w14:textId="2CD23FC5" w:rsidR="00FC377B" w:rsidRDefault="00FC377B" w:rsidP="00FC377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72E8C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165F4F" w:rsidRPr="0078649A" w14:paraId="1DE9E2FA" w14:textId="77777777" w:rsidTr="00EC21E1">
        <w:tc>
          <w:tcPr>
            <w:tcW w:w="7769" w:type="dxa"/>
          </w:tcPr>
          <w:p w14:paraId="37C4684A" w14:textId="768A6E9B" w:rsidR="00165F4F" w:rsidRPr="0078649A" w:rsidRDefault="00165F4F" w:rsidP="00165F4F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3: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Fiscal Strategy and Outlook</w:t>
            </w:r>
          </w:p>
        </w:tc>
        <w:tc>
          <w:tcPr>
            <w:tcW w:w="1275" w:type="dxa"/>
          </w:tcPr>
          <w:p w14:paraId="04E1BB93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</w:tcPr>
          <w:p w14:paraId="62E59DF6" w14:textId="31447279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3</w:t>
            </w:r>
          </w:p>
        </w:tc>
      </w:tr>
      <w:tr w:rsidR="001F7E6A" w:rsidRPr="0078649A" w14:paraId="5B2EADA5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343A9CA0" w14:textId="7178C68A" w:rsidR="001F7E6A" w:rsidRDefault="001F7E6A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gross debt and interest expense</w:t>
            </w:r>
          </w:p>
        </w:tc>
        <w:tc>
          <w:tcPr>
            <w:tcW w:w="1275" w:type="dxa"/>
            <w:vAlign w:val="center"/>
          </w:tcPr>
          <w:p w14:paraId="4797746D" w14:textId="6BB63AE2" w:rsidR="001F7E6A" w:rsidRDefault="001F7E6A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3.1</w:t>
            </w:r>
          </w:p>
        </w:tc>
        <w:tc>
          <w:tcPr>
            <w:tcW w:w="761" w:type="dxa"/>
            <w:vAlign w:val="center"/>
          </w:tcPr>
          <w:p w14:paraId="185A4C52" w14:textId="34C9ADBD" w:rsidR="001F7E6A" w:rsidRDefault="009B067F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3-2</w:t>
            </w:r>
          </w:p>
        </w:tc>
      </w:tr>
      <w:tr w:rsidR="00165F4F" w:rsidRPr="0078649A" w14:paraId="600A7979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6CCF145D" w14:textId="117842F4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budget result without the NGF net investment returns</w:t>
            </w:r>
          </w:p>
        </w:tc>
        <w:tc>
          <w:tcPr>
            <w:tcW w:w="1275" w:type="dxa"/>
            <w:vAlign w:val="center"/>
          </w:tcPr>
          <w:p w14:paraId="5F4D24DA" w14:textId="2667DEF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B51C3C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1" w:type="dxa"/>
            <w:vAlign w:val="center"/>
          </w:tcPr>
          <w:p w14:paraId="2D8B9CC8" w14:textId="225D2CE2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652D00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165F4F" w:rsidRPr="0078649A" w14:paraId="50F43342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4D276972" w14:textId="76C614B2" w:rsidR="00165F4F" w:rsidRPr="0078649A" w:rsidRDefault="00652D00" w:rsidP="00B51C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</w:t>
            </w:r>
            <w:r w:rsidR="00165F4F">
              <w:rPr>
                <w:rFonts w:ascii="Public Sans" w:hAnsi="Public Sans" w:cs="Arial"/>
                <w:sz w:val="18"/>
                <w:szCs w:val="18"/>
              </w:rPr>
              <w:t xml:space="preserve"> budget result</w:t>
            </w:r>
            <w:r>
              <w:rPr>
                <w:rFonts w:ascii="Public Sans" w:hAnsi="Public Sans" w:cs="Arial"/>
                <w:sz w:val="18"/>
                <w:szCs w:val="18"/>
              </w:rPr>
              <w:t>, relative to the</w:t>
            </w:r>
            <w:r w:rsidR="00165F4F">
              <w:rPr>
                <w:rFonts w:ascii="Public Sans" w:hAnsi="Public Sans" w:cs="Arial"/>
                <w:sz w:val="18"/>
                <w:szCs w:val="18"/>
              </w:rPr>
              <w:t xml:space="preserve"> 2023 Pre-election Budget Update</w:t>
            </w:r>
          </w:p>
        </w:tc>
        <w:tc>
          <w:tcPr>
            <w:tcW w:w="1275" w:type="dxa"/>
            <w:vAlign w:val="center"/>
          </w:tcPr>
          <w:p w14:paraId="7C052482" w14:textId="57499E4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DC0188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vAlign w:val="center"/>
          </w:tcPr>
          <w:p w14:paraId="6C569738" w14:textId="2814DD64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652D00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165F4F" w:rsidRPr="0078649A" w14:paraId="7DD0A026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6CB5E9D9" w14:textId="7BE2FC37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revenue and expense growth</w:t>
            </w:r>
          </w:p>
        </w:tc>
        <w:tc>
          <w:tcPr>
            <w:tcW w:w="1275" w:type="dxa"/>
            <w:vAlign w:val="center"/>
          </w:tcPr>
          <w:p w14:paraId="19D90EFD" w14:textId="1016697D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DC0188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761" w:type="dxa"/>
            <w:vAlign w:val="center"/>
          </w:tcPr>
          <w:p w14:paraId="3720BBC7" w14:textId="0B52205A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5834AE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165F4F" w:rsidRPr="0078649A" w14:paraId="520E3F6E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7370FD35" w14:textId="47DE1EA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Reconciliation of 2022-23 Budget to 2023-24 Budget</w:t>
            </w:r>
          </w:p>
        </w:tc>
        <w:tc>
          <w:tcPr>
            <w:tcW w:w="1275" w:type="dxa"/>
            <w:vAlign w:val="bottom"/>
          </w:tcPr>
          <w:p w14:paraId="50AEC8D9" w14:textId="0206FAFC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3.1</w:t>
            </w:r>
          </w:p>
        </w:tc>
        <w:tc>
          <w:tcPr>
            <w:tcW w:w="761" w:type="dxa"/>
            <w:vAlign w:val="bottom"/>
          </w:tcPr>
          <w:p w14:paraId="5C5C0A91" w14:textId="2BDF8E70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233160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165F4F" w:rsidRPr="0058759B" w14:paraId="16DC8EBD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61A8D682" w14:textId="6794ABCF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58759B">
              <w:rPr>
                <w:rFonts w:ascii="Public Sans" w:hAnsi="Public Sans" w:cs="Arial"/>
                <w:sz w:val="18"/>
                <w:szCs w:val="18"/>
              </w:rPr>
              <w:t xml:space="preserve">Infrastructure program as a per cent of GSP  </w:t>
            </w:r>
          </w:p>
        </w:tc>
        <w:tc>
          <w:tcPr>
            <w:tcW w:w="1275" w:type="dxa"/>
            <w:vAlign w:val="bottom"/>
          </w:tcPr>
          <w:p w14:paraId="253A1158" w14:textId="5B7BE48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BD5E0D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761" w:type="dxa"/>
            <w:vAlign w:val="bottom"/>
          </w:tcPr>
          <w:p w14:paraId="3FB827D3" w14:textId="47C85E06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1844B3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165F4F" w:rsidRPr="0078649A" w14:paraId="2BD3A67D" w14:textId="77777777" w:rsidTr="00EC21E1">
        <w:tc>
          <w:tcPr>
            <w:tcW w:w="7769" w:type="dxa"/>
          </w:tcPr>
          <w:p w14:paraId="0F5310F9" w14:textId="01B425D8" w:rsidR="00165F4F" w:rsidRPr="0078649A" w:rsidRDefault="00165F4F" w:rsidP="00165F4F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4: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Revenue</w:t>
            </w:r>
          </w:p>
        </w:tc>
        <w:tc>
          <w:tcPr>
            <w:tcW w:w="1275" w:type="dxa"/>
          </w:tcPr>
          <w:p w14:paraId="00BEE04D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</w:tcPr>
          <w:p w14:paraId="35AF9429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4</w:t>
            </w:r>
          </w:p>
        </w:tc>
      </w:tr>
      <w:tr w:rsidR="00165F4F" w:rsidRPr="0078649A" w14:paraId="4A737609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6CAA798" w14:textId="7235B214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8649A">
              <w:rPr>
                <w:rFonts w:ascii="Public Sans" w:hAnsi="Public Sans" w:cs="Arial"/>
                <w:sz w:val="18"/>
                <w:szCs w:val="18"/>
              </w:rPr>
              <w:t>Composition of total revenue, 202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Pr="0078649A">
              <w:rPr>
                <w:rFonts w:ascii="Public Sans" w:hAnsi="Public Sans" w:cs="Arial"/>
                <w:sz w:val="18"/>
                <w:szCs w:val="18"/>
              </w:rPr>
              <w:t>-2</w:t>
            </w:r>
            <w:r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78C240B" w14:textId="19C38B0C" w:rsidR="00165F4F" w:rsidRPr="007020C4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20C4">
              <w:rPr>
                <w:rFonts w:ascii="Public Sans" w:hAnsi="Public Sans" w:cs="Arial"/>
                <w:sz w:val="18"/>
                <w:szCs w:val="18"/>
              </w:rPr>
              <w:t>Chart 4.1</w:t>
            </w:r>
          </w:p>
        </w:tc>
        <w:tc>
          <w:tcPr>
            <w:tcW w:w="761" w:type="dxa"/>
            <w:vAlign w:val="center"/>
          </w:tcPr>
          <w:p w14:paraId="564FB22E" w14:textId="4422380A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ED4B24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165F4F" w:rsidRPr="0078649A" w14:paraId="10D5D9EF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A759A59" w14:textId="5005FA18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8649A">
              <w:rPr>
                <w:rFonts w:ascii="Public Sans" w:hAnsi="Public Sans" w:cs="Arial"/>
                <w:sz w:val="18"/>
                <w:szCs w:val="18"/>
              </w:rPr>
              <w:t>General government sector – summary of revenue and its components</w:t>
            </w:r>
          </w:p>
        </w:tc>
        <w:tc>
          <w:tcPr>
            <w:tcW w:w="1275" w:type="dxa"/>
            <w:vAlign w:val="center"/>
          </w:tcPr>
          <w:p w14:paraId="6CAF392C" w14:textId="6D5631F3" w:rsidR="00165F4F" w:rsidRPr="007020C4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20C4">
              <w:rPr>
                <w:rFonts w:ascii="Public Sans" w:hAnsi="Public Sans" w:cs="Arial"/>
                <w:sz w:val="18"/>
                <w:szCs w:val="18"/>
              </w:rPr>
              <w:t>Table 4.1</w:t>
            </w:r>
          </w:p>
        </w:tc>
        <w:tc>
          <w:tcPr>
            <w:tcW w:w="761" w:type="dxa"/>
            <w:vAlign w:val="center"/>
          </w:tcPr>
          <w:p w14:paraId="19313BF5" w14:textId="7935DBB7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D329EC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65F4F" w:rsidRPr="0078649A" w14:paraId="4EEADAF0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38468795" w14:textId="7DA177C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Revenue reconciliation</w:t>
            </w:r>
          </w:p>
        </w:tc>
        <w:tc>
          <w:tcPr>
            <w:tcW w:w="1275" w:type="dxa"/>
            <w:vAlign w:val="center"/>
          </w:tcPr>
          <w:p w14:paraId="04CC396C" w14:textId="3E97AC5E" w:rsidR="00165F4F" w:rsidRPr="007020C4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20C4">
              <w:rPr>
                <w:rFonts w:ascii="Public Sans" w:hAnsi="Public Sans" w:cs="Arial"/>
                <w:sz w:val="18"/>
                <w:szCs w:val="18"/>
              </w:rPr>
              <w:t>Table 4.2</w:t>
            </w:r>
          </w:p>
        </w:tc>
        <w:tc>
          <w:tcPr>
            <w:tcW w:w="761" w:type="dxa"/>
            <w:vAlign w:val="center"/>
          </w:tcPr>
          <w:p w14:paraId="29C392FE" w14:textId="367C1363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5528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165F4F" w:rsidRPr="0078649A" w14:paraId="274ADB79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939F380" w14:textId="7B27D30C" w:rsidR="00165F4F" w:rsidRPr="0078649A" w:rsidRDefault="007020C4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New revenue measures</w:t>
            </w:r>
          </w:p>
        </w:tc>
        <w:tc>
          <w:tcPr>
            <w:tcW w:w="1275" w:type="dxa"/>
            <w:vAlign w:val="center"/>
          </w:tcPr>
          <w:p w14:paraId="0F3F2349" w14:textId="26A61F10" w:rsidR="00165F4F" w:rsidRPr="003D19AE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827BC5">
              <w:rPr>
                <w:rFonts w:ascii="Public Sans" w:hAnsi="Public Sans" w:cs="Arial"/>
                <w:sz w:val="18"/>
                <w:szCs w:val="18"/>
              </w:rPr>
              <w:t>Table 4.3</w:t>
            </w:r>
          </w:p>
        </w:tc>
        <w:tc>
          <w:tcPr>
            <w:tcW w:w="761" w:type="dxa"/>
            <w:vAlign w:val="center"/>
          </w:tcPr>
          <w:p w14:paraId="04395A53" w14:textId="6702B8B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4528C3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827BC5" w:rsidRPr="0078649A" w14:paraId="78B27114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D6DC4CD" w14:textId="09EEDC9D" w:rsidR="00827BC5" w:rsidRDefault="00827BC5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sector – summary of taxation revenue</w:t>
            </w:r>
          </w:p>
        </w:tc>
        <w:tc>
          <w:tcPr>
            <w:tcW w:w="1275" w:type="dxa"/>
            <w:vAlign w:val="center"/>
          </w:tcPr>
          <w:p w14:paraId="5723CD94" w14:textId="3A2A209C" w:rsidR="00827BC5" w:rsidRPr="00827BC5" w:rsidRDefault="001C4662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4.4</w:t>
            </w:r>
          </w:p>
        </w:tc>
        <w:tc>
          <w:tcPr>
            <w:tcW w:w="761" w:type="dxa"/>
            <w:vAlign w:val="center"/>
          </w:tcPr>
          <w:p w14:paraId="13929031" w14:textId="6CD0609D" w:rsidR="00827BC5" w:rsidRDefault="00874040" w:rsidP="0018533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4-7</w:t>
            </w:r>
          </w:p>
        </w:tc>
      </w:tr>
      <w:tr w:rsidR="00CC295C" w:rsidRPr="0078649A" w14:paraId="43D57889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64DF2D2" w14:textId="68E98250" w:rsidR="00CC295C" w:rsidRDefault="00A06E99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05415">
              <w:rPr>
                <w:rFonts w:ascii="Public Sans" w:hAnsi="Public Sans" w:cs="Arial"/>
                <w:sz w:val="18"/>
                <w:szCs w:val="18"/>
              </w:rPr>
              <w:t>Residential property transactions (seasonally adjusted; quarterly)</w:t>
            </w:r>
          </w:p>
        </w:tc>
        <w:tc>
          <w:tcPr>
            <w:tcW w:w="1275" w:type="dxa"/>
            <w:vAlign w:val="center"/>
          </w:tcPr>
          <w:p w14:paraId="77690A5F" w14:textId="2E3EE89E" w:rsidR="00CC295C" w:rsidRPr="00D05415" w:rsidRDefault="00ED6A1A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05415">
              <w:rPr>
                <w:rFonts w:ascii="Public Sans" w:hAnsi="Public Sans" w:cs="Arial"/>
                <w:sz w:val="18"/>
                <w:szCs w:val="18"/>
              </w:rPr>
              <w:t>Chart 4.</w:t>
            </w:r>
            <w:r w:rsidR="00D05415" w:rsidRPr="00D05415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1" w:type="dxa"/>
            <w:vAlign w:val="center"/>
          </w:tcPr>
          <w:p w14:paraId="13BFE589" w14:textId="150ACC93" w:rsidR="00CC295C" w:rsidRDefault="00204182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A0C82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165F4F" w:rsidRPr="0078649A" w14:paraId="162FC0FA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9B7CF78" w14:textId="55EC3A6D" w:rsidR="00165F4F" w:rsidRPr="0078649A" w:rsidRDefault="00D05415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264CF">
              <w:rPr>
                <w:rFonts w:ascii="Public Sans" w:hAnsi="Public Sans" w:cs="Arial"/>
                <w:sz w:val="18"/>
                <w:szCs w:val="18"/>
              </w:rPr>
              <w:t xml:space="preserve">Sydney </w:t>
            </w:r>
            <w:r w:rsidR="00D264CF" w:rsidRPr="00D264CF">
              <w:rPr>
                <w:rFonts w:ascii="Public Sans" w:hAnsi="Public Sans" w:cs="Arial"/>
                <w:sz w:val="18"/>
                <w:szCs w:val="18"/>
              </w:rPr>
              <w:t>hedonic</w:t>
            </w:r>
            <w:r w:rsidRPr="00D264CF">
              <w:rPr>
                <w:rFonts w:ascii="Public Sans" w:hAnsi="Public Sans" w:cs="Arial"/>
                <w:sz w:val="18"/>
                <w:szCs w:val="18"/>
              </w:rPr>
              <w:t xml:space="preserve"> dwelling </w:t>
            </w:r>
            <w:r w:rsidR="00D264CF" w:rsidRPr="00D264CF">
              <w:rPr>
                <w:rFonts w:ascii="Public Sans" w:hAnsi="Public Sans" w:cs="Arial"/>
                <w:sz w:val="18"/>
                <w:szCs w:val="18"/>
              </w:rPr>
              <w:t>price</w:t>
            </w:r>
            <w:r w:rsidRPr="00D264CF">
              <w:rPr>
                <w:rFonts w:ascii="Public Sans" w:hAnsi="Public Sans" w:cs="Arial"/>
                <w:sz w:val="18"/>
                <w:szCs w:val="18"/>
              </w:rPr>
              <w:t xml:space="preserve"> index (quarter</w:t>
            </w:r>
            <w:r w:rsidR="00D264CF" w:rsidRPr="00D264CF">
              <w:rPr>
                <w:rFonts w:ascii="Public Sans" w:hAnsi="Public Sans" w:cs="Arial"/>
                <w:sz w:val="18"/>
                <w:szCs w:val="18"/>
              </w:rPr>
              <w:t>ly)</w:t>
            </w:r>
          </w:p>
        </w:tc>
        <w:tc>
          <w:tcPr>
            <w:tcW w:w="1275" w:type="dxa"/>
            <w:vAlign w:val="center"/>
          </w:tcPr>
          <w:p w14:paraId="6B9EE224" w14:textId="6EA0E47A" w:rsidR="00165F4F" w:rsidRPr="00D264CF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264CF">
              <w:rPr>
                <w:rFonts w:ascii="Public Sans" w:hAnsi="Public Sans" w:cs="Arial"/>
                <w:sz w:val="18"/>
                <w:szCs w:val="18"/>
              </w:rPr>
              <w:t>Chart 4.</w:t>
            </w:r>
            <w:r w:rsidR="00D264CF" w:rsidRPr="00D264CF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vAlign w:val="center"/>
          </w:tcPr>
          <w:p w14:paraId="49567E15" w14:textId="5A56D9B9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A0C82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165F4F" w:rsidRPr="0078649A" w14:paraId="0331D0B3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2A5FA3BB" w14:textId="60F9F454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Grant revenue</w:t>
            </w:r>
          </w:p>
        </w:tc>
        <w:tc>
          <w:tcPr>
            <w:tcW w:w="1275" w:type="dxa"/>
            <w:vAlign w:val="center"/>
          </w:tcPr>
          <w:p w14:paraId="321917E6" w14:textId="4D324973" w:rsidR="00165F4F" w:rsidRPr="00872F92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872F92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872F92" w:rsidRPr="00872F92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761" w:type="dxa"/>
            <w:vAlign w:val="center"/>
          </w:tcPr>
          <w:p w14:paraId="07B699AA" w14:textId="45178911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5072B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165F4F" w:rsidRPr="0078649A" w14:paraId="252873EF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5AC1C7A3" w14:textId="484A36F8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GST (including “no worse off”) revenues to New South Wales – reconciliation statement</w:t>
            </w:r>
          </w:p>
        </w:tc>
        <w:tc>
          <w:tcPr>
            <w:tcW w:w="1275" w:type="dxa"/>
            <w:vAlign w:val="center"/>
          </w:tcPr>
          <w:p w14:paraId="571494C0" w14:textId="1EEF7851" w:rsidR="00165F4F" w:rsidRPr="00872F92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872F92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872F92" w:rsidRPr="00872F92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761" w:type="dxa"/>
            <w:vAlign w:val="center"/>
          </w:tcPr>
          <w:p w14:paraId="4B9B701A" w14:textId="46644165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1657DD">
              <w:rPr>
                <w:rFonts w:ascii="Public Sans" w:hAnsi="Public Sans" w:cs="Arial"/>
                <w:sz w:val="18"/>
                <w:szCs w:val="18"/>
              </w:rPr>
              <w:t>1</w:t>
            </w:r>
            <w:r w:rsidR="00A62C49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65F4F" w:rsidRPr="0078649A" w14:paraId="2A4D1A65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63900D8E" w14:textId="5F3A4214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National Agreement payments to New South Wales</w:t>
            </w:r>
          </w:p>
        </w:tc>
        <w:tc>
          <w:tcPr>
            <w:tcW w:w="1275" w:type="dxa"/>
            <w:vAlign w:val="center"/>
          </w:tcPr>
          <w:p w14:paraId="2864DC86" w14:textId="0F7EE6FE" w:rsidR="00165F4F" w:rsidRPr="003D19AE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AA559B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AA559B" w:rsidRPr="00AA559B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  <w:tc>
          <w:tcPr>
            <w:tcW w:w="761" w:type="dxa"/>
            <w:vAlign w:val="center"/>
          </w:tcPr>
          <w:p w14:paraId="406CD5A6" w14:textId="69D0E407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5254C">
              <w:rPr>
                <w:rFonts w:ascii="Public Sans" w:hAnsi="Public Sans" w:cs="Arial"/>
                <w:sz w:val="18"/>
                <w:szCs w:val="18"/>
              </w:rPr>
              <w:t>1</w:t>
            </w:r>
            <w:r w:rsidR="00E111E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165F4F" w:rsidRPr="0078649A" w14:paraId="328CC7CF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6D121AE8" w14:textId="77226445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Funding Agreement payments to New South Wales</w:t>
            </w:r>
          </w:p>
        </w:tc>
        <w:tc>
          <w:tcPr>
            <w:tcW w:w="1275" w:type="dxa"/>
            <w:vAlign w:val="center"/>
          </w:tcPr>
          <w:p w14:paraId="6A9F32A9" w14:textId="466D6052" w:rsidR="00165F4F" w:rsidRPr="003D19AE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C32C18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C32C18" w:rsidRPr="00C32C18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  <w:tc>
          <w:tcPr>
            <w:tcW w:w="761" w:type="dxa"/>
            <w:vAlign w:val="center"/>
          </w:tcPr>
          <w:p w14:paraId="78676B50" w14:textId="1D81279B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5254C">
              <w:rPr>
                <w:rFonts w:ascii="Public Sans" w:hAnsi="Public Sans" w:cs="Arial"/>
                <w:sz w:val="18"/>
                <w:szCs w:val="18"/>
              </w:rPr>
              <w:t>14</w:t>
            </w:r>
          </w:p>
        </w:tc>
      </w:tr>
      <w:tr w:rsidR="00165F4F" w:rsidRPr="0078649A" w14:paraId="7AC13457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1AA219BF" w14:textId="4E20A533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Sales of goods and services revenue</w:t>
            </w:r>
          </w:p>
        </w:tc>
        <w:tc>
          <w:tcPr>
            <w:tcW w:w="1275" w:type="dxa"/>
            <w:vAlign w:val="center"/>
          </w:tcPr>
          <w:p w14:paraId="57C281F0" w14:textId="2E630FBE" w:rsidR="00165F4F" w:rsidRPr="003D19AE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4F41A5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4F41A5" w:rsidRPr="004F41A5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  <w:tc>
          <w:tcPr>
            <w:tcW w:w="761" w:type="dxa"/>
            <w:vAlign w:val="center"/>
          </w:tcPr>
          <w:p w14:paraId="5BFFADF3" w14:textId="249220EC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3063B">
              <w:rPr>
                <w:rFonts w:ascii="Public Sans" w:hAnsi="Public Sans" w:cs="Arial"/>
                <w:sz w:val="18"/>
                <w:szCs w:val="18"/>
              </w:rPr>
              <w:t>15</w:t>
            </w:r>
          </w:p>
        </w:tc>
      </w:tr>
      <w:tr w:rsidR="00165F4F" w:rsidRPr="0078649A" w14:paraId="5E6F5CAD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0608B7CB" w14:textId="0C1234B7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Fines, regulatory fees and other revenues</w:t>
            </w:r>
          </w:p>
        </w:tc>
        <w:tc>
          <w:tcPr>
            <w:tcW w:w="1275" w:type="dxa"/>
            <w:vAlign w:val="center"/>
          </w:tcPr>
          <w:p w14:paraId="177FA10B" w14:textId="79E4F474" w:rsidR="00165F4F" w:rsidRPr="003D19AE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4F41A5">
              <w:rPr>
                <w:rFonts w:ascii="Public Sans" w:hAnsi="Public Sans" w:cs="Arial"/>
                <w:sz w:val="18"/>
                <w:szCs w:val="18"/>
              </w:rPr>
              <w:t>Table 4.</w:t>
            </w:r>
            <w:r w:rsidR="004F41A5" w:rsidRPr="004F41A5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  <w:tc>
          <w:tcPr>
            <w:tcW w:w="761" w:type="dxa"/>
            <w:vAlign w:val="center"/>
          </w:tcPr>
          <w:p w14:paraId="1651E29D" w14:textId="79159CAC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6B3447">
              <w:rPr>
                <w:rFonts w:ascii="Public Sans" w:hAnsi="Public Sans" w:cs="Arial"/>
                <w:sz w:val="18"/>
                <w:szCs w:val="18"/>
              </w:rPr>
              <w:t>16</w:t>
            </w:r>
          </w:p>
        </w:tc>
      </w:tr>
      <w:tr w:rsidR="00204182" w:rsidRPr="0078649A" w14:paraId="228C8FD7" w14:textId="77777777" w:rsidTr="00EC21E1">
        <w:trPr>
          <w:trHeight w:val="187"/>
        </w:trPr>
        <w:tc>
          <w:tcPr>
            <w:tcW w:w="7769" w:type="dxa"/>
            <w:vAlign w:val="center"/>
          </w:tcPr>
          <w:p w14:paraId="2FB05CDD" w14:textId="1326D4BD" w:rsidR="00204182" w:rsidRDefault="00204182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Newcastle thermal coal spot price ($US per tonne)</w:t>
            </w:r>
          </w:p>
        </w:tc>
        <w:tc>
          <w:tcPr>
            <w:tcW w:w="1275" w:type="dxa"/>
            <w:vAlign w:val="center"/>
          </w:tcPr>
          <w:p w14:paraId="1BE75D62" w14:textId="40DF0C68" w:rsidR="00204182" w:rsidRPr="003D19AE" w:rsidRDefault="00204182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4F41A5">
              <w:rPr>
                <w:rFonts w:ascii="Public Sans" w:hAnsi="Public Sans" w:cs="Arial"/>
                <w:sz w:val="18"/>
                <w:szCs w:val="18"/>
              </w:rPr>
              <w:t>Chart 4.</w:t>
            </w:r>
            <w:r w:rsidR="004F41A5" w:rsidRPr="004F41A5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761" w:type="dxa"/>
            <w:vAlign w:val="center"/>
          </w:tcPr>
          <w:p w14:paraId="15F63CF0" w14:textId="39D459F0" w:rsidR="00204182" w:rsidRDefault="00204182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937706">
              <w:rPr>
                <w:rFonts w:ascii="Public Sans" w:hAnsi="Public Sans" w:cs="Arial"/>
                <w:sz w:val="18"/>
                <w:szCs w:val="18"/>
              </w:rPr>
              <w:t>1</w:t>
            </w:r>
            <w:r w:rsidR="00B2291D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</w:tbl>
    <w:p w14:paraId="763F6562" w14:textId="77777777" w:rsidR="00B91E9B" w:rsidRDefault="00B91E9B">
      <w:r>
        <w:br w:type="page"/>
      </w:r>
    </w:p>
    <w:tbl>
      <w:tblPr>
        <w:tblStyle w:val="TableGrid"/>
        <w:tblW w:w="9804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61"/>
        <w:gridCol w:w="1274"/>
        <w:gridCol w:w="760"/>
        <w:gridCol w:w="9"/>
      </w:tblGrid>
      <w:tr w:rsidR="0078649A" w:rsidRPr="0078649A" w14:paraId="67BAA0B6" w14:textId="77777777" w:rsidTr="00A42422">
        <w:trPr>
          <w:gridAfter w:val="1"/>
          <w:wAfter w:w="9" w:type="dxa"/>
        </w:trPr>
        <w:tc>
          <w:tcPr>
            <w:tcW w:w="7761" w:type="dxa"/>
          </w:tcPr>
          <w:p w14:paraId="3F97D96A" w14:textId="03873D18" w:rsidR="0019003C" w:rsidRPr="00B45671" w:rsidRDefault="0019003C" w:rsidP="002E47EC">
            <w:pPr>
              <w:tabs>
                <w:tab w:val="left" w:pos="1134"/>
              </w:tabs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lastRenderedPageBreak/>
              <w:t>Chapter 5: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Expenditure</w:t>
            </w:r>
          </w:p>
        </w:tc>
        <w:tc>
          <w:tcPr>
            <w:tcW w:w="1274" w:type="dxa"/>
          </w:tcPr>
          <w:p w14:paraId="3F7C9DB6" w14:textId="2C6C6EEF" w:rsidR="0019003C" w:rsidRPr="00B45671" w:rsidRDefault="0019003C" w:rsidP="002E47EC">
            <w:pPr>
              <w:spacing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ABB1FAB" w14:textId="658A24FC" w:rsidR="0019003C" w:rsidRPr="00B45671" w:rsidRDefault="0019003C" w:rsidP="002E47EC">
            <w:pPr>
              <w:rPr>
                <w:rFonts w:ascii="Public Sans" w:hAnsi="Public Sans" w:cs="Arial"/>
                <w:b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5</w:t>
            </w:r>
          </w:p>
        </w:tc>
      </w:tr>
      <w:tr w:rsidR="0019003C" w:rsidRPr="00040693" w14:paraId="390E623F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28842119" w14:textId="4CDD2547" w:rsidR="0019003C" w:rsidRPr="00B45671" w:rsidRDefault="00603044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Expense reconc</w:t>
            </w:r>
            <w:r w:rsidR="00016A93" w:rsidRPr="00B45671">
              <w:rPr>
                <w:rFonts w:ascii="Public Sans" w:hAnsi="Public Sans" w:cs="Arial"/>
                <w:sz w:val="18"/>
                <w:szCs w:val="18"/>
              </w:rPr>
              <w:t>iliation since the 2023 Pre-election Budget Update</w:t>
            </w:r>
          </w:p>
        </w:tc>
        <w:tc>
          <w:tcPr>
            <w:tcW w:w="1274" w:type="dxa"/>
            <w:vAlign w:val="center"/>
          </w:tcPr>
          <w:p w14:paraId="6FF679D2" w14:textId="5669F4A3" w:rsidR="0019003C" w:rsidRPr="00B45671" w:rsidRDefault="00634266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Table </w:t>
            </w:r>
            <w:r w:rsidR="005E2741" w:rsidRPr="00B45671">
              <w:rPr>
                <w:rFonts w:ascii="Public Sans" w:hAnsi="Public Sans" w:cs="Arial"/>
                <w:sz w:val="18"/>
                <w:szCs w:val="18"/>
              </w:rPr>
              <w:t>5.1</w:t>
            </w:r>
          </w:p>
        </w:tc>
        <w:tc>
          <w:tcPr>
            <w:tcW w:w="760" w:type="dxa"/>
            <w:vAlign w:val="center"/>
          </w:tcPr>
          <w:p w14:paraId="5DAC60E7" w14:textId="0F75E231" w:rsidR="0019003C" w:rsidRPr="00B45671" w:rsidRDefault="005E2741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775965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9003C" w:rsidRPr="00040693" w14:paraId="4C41F58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37756D3" w14:textId="3A42D6DE" w:rsidR="0019003C" w:rsidRPr="00B45671" w:rsidRDefault="00580A28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expenses</w:t>
            </w:r>
          </w:p>
        </w:tc>
        <w:tc>
          <w:tcPr>
            <w:tcW w:w="1274" w:type="dxa"/>
            <w:vAlign w:val="center"/>
          </w:tcPr>
          <w:p w14:paraId="644A972B" w14:textId="0A97A178" w:rsidR="0019003C" w:rsidRPr="00B45671" w:rsidRDefault="00580A28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5.</w:t>
            </w:r>
            <w:r w:rsidR="0012703C" w:rsidRPr="00B45671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14:paraId="1C964782" w14:textId="07AEA0A4" w:rsidR="0019003C" w:rsidRPr="00B45671" w:rsidRDefault="00580A28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6720F1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19003C" w:rsidRPr="00040693" w14:paraId="1A7AF0D6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6342C8D" w14:textId="3CF12679" w:rsidR="0019003C" w:rsidRPr="00B45671" w:rsidRDefault="00B45671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 visual breakdown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 xml:space="preserve"> of government</w:t>
            </w:r>
            <w:r w:rsidR="004B0CCA">
              <w:rPr>
                <w:rFonts w:ascii="Public Sans" w:hAnsi="Public Sans" w:cs="Arial"/>
                <w:sz w:val="18"/>
                <w:szCs w:val="18"/>
              </w:rPr>
              <w:t>’s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 xml:space="preserve"> expenses </w:t>
            </w:r>
            <w:r w:rsidR="00A43A90">
              <w:rPr>
                <w:rFonts w:ascii="Public Sans" w:hAnsi="Public Sans" w:cs="Arial"/>
                <w:sz w:val="18"/>
                <w:szCs w:val="18"/>
              </w:rPr>
              <w:t xml:space="preserve">in 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>2023-24</w:t>
            </w:r>
          </w:p>
        </w:tc>
        <w:tc>
          <w:tcPr>
            <w:tcW w:w="1274" w:type="dxa"/>
            <w:vAlign w:val="center"/>
          </w:tcPr>
          <w:p w14:paraId="5A9E0320" w14:textId="34C5DF7B" w:rsidR="0019003C" w:rsidRPr="00A43A90" w:rsidRDefault="00F27E71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A43A90">
              <w:rPr>
                <w:rFonts w:ascii="Public Sans" w:hAnsi="Public Sans" w:cs="Arial"/>
                <w:kern w:val="28"/>
                <w:sz w:val="18"/>
                <w:szCs w:val="18"/>
              </w:rPr>
              <w:t>Chart 5.1</w:t>
            </w:r>
          </w:p>
        </w:tc>
        <w:tc>
          <w:tcPr>
            <w:tcW w:w="760" w:type="dxa"/>
            <w:vAlign w:val="center"/>
          </w:tcPr>
          <w:p w14:paraId="7AEABDA9" w14:textId="12A4B3A7" w:rsidR="0019003C" w:rsidRPr="00A43A90" w:rsidRDefault="00F27E71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A43A90">
              <w:rPr>
                <w:rFonts w:ascii="Public Sans" w:hAnsi="Public Sans" w:cs="Arial"/>
                <w:kern w:val="28"/>
                <w:sz w:val="18"/>
                <w:szCs w:val="18"/>
              </w:rPr>
              <w:t>5-</w:t>
            </w:r>
            <w:r w:rsidR="00F5103C">
              <w:rPr>
                <w:rFonts w:ascii="Public Sans" w:hAnsi="Public Sans" w:cs="Arial"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253E8911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bottom"/>
          </w:tcPr>
          <w:p w14:paraId="7D011C09" w14:textId="6CFC4BB5" w:rsidR="0019003C" w:rsidRPr="00B45671" w:rsidRDefault="00A43A90" w:rsidP="0027699F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Change in interest expense forecasts </w:t>
            </w:r>
            <w:r w:rsidR="00F5103C">
              <w:rPr>
                <w:rFonts w:ascii="Public Sans" w:hAnsi="Public Sans" w:cs="Arial"/>
                <w:sz w:val="18"/>
                <w:szCs w:val="18"/>
              </w:rPr>
              <w:t xml:space="preserve">(borrowings and superannuation) </w:t>
            </w:r>
            <w:r>
              <w:rPr>
                <w:rFonts w:ascii="Public Sans" w:hAnsi="Public Sans" w:cs="Arial"/>
                <w:sz w:val="18"/>
                <w:szCs w:val="18"/>
              </w:rPr>
              <w:t>since the 2023</w:t>
            </w:r>
            <w:r w:rsidR="00F5103C">
              <w:rPr>
                <w:rFonts w:ascii="Public Sans" w:hAnsi="Public Sans" w:cs="Arial"/>
                <w:sz w:val="18"/>
                <w:szCs w:val="18"/>
              </w:rPr>
              <w:t> </w:t>
            </w:r>
            <w:r>
              <w:rPr>
                <w:rFonts w:ascii="Public Sans" w:hAnsi="Public Sans" w:cs="Arial"/>
                <w:sz w:val="18"/>
                <w:szCs w:val="18"/>
              </w:rPr>
              <w:t>Pre-election Budget Update</w:t>
            </w:r>
          </w:p>
        </w:tc>
        <w:tc>
          <w:tcPr>
            <w:tcW w:w="1274" w:type="dxa"/>
            <w:vAlign w:val="bottom"/>
          </w:tcPr>
          <w:p w14:paraId="2E9D8E2A" w14:textId="4D1CC539" w:rsidR="0019003C" w:rsidRPr="00B45671" w:rsidRDefault="00A43A90" w:rsidP="0027699F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 xml:space="preserve"> 5.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bottom"/>
          </w:tcPr>
          <w:p w14:paraId="6D63B5B3" w14:textId="258E8DA4" w:rsidR="0019003C" w:rsidRPr="00B45671" w:rsidRDefault="00F27E71" w:rsidP="0027699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6720F1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19003C" w:rsidRPr="00833A46" w14:paraId="6DEA17B3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0A82BF7E" w14:textId="17ED2D14" w:rsidR="0019003C" w:rsidRPr="00B45671" w:rsidRDefault="00B53C4D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Capital expenditure reconciliation</w:t>
            </w:r>
          </w:p>
        </w:tc>
        <w:tc>
          <w:tcPr>
            <w:tcW w:w="1274" w:type="dxa"/>
            <w:vAlign w:val="center"/>
          </w:tcPr>
          <w:p w14:paraId="54F8F939" w14:textId="5510E1FB" w:rsidR="0019003C" w:rsidRPr="00B45671" w:rsidRDefault="00B53C4D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 xml:space="preserve"> 5.</w:t>
            </w:r>
            <w:r w:rsidR="00EF0B4E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14:paraId="6E7DDF3D" w14:textId="0BBAE370" w:rsidR="0019003C" w:rsidRPr="00B45671" w:rsidRDefault="00F27E71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D418C9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78649A" w:rsidRPr="0078649A" w14:paraId="1679667E" w14:textId="77777777" w:rsidTr="00A42422">
        <w:trPr>
          <w:gridAfter w:val="1"/>
          <w:wAfter w:w="9" w:type="dxa"/>
        </w:trPr>
        <w:tc>
          <w:tcPr>
            <w:tcW w:w="7761" w:type="dxa"/>
          </w:tcPr>
          <w:p w14:paraId="5F7D04E0" w14:textId="5C188942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Chapter 6: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1274" w:type="dxa"/>
          </w:tcPr>
          <w:p w14:paraId="5A30F637" w14:textId="4170D065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3628AF4" w14:textId="76C87361" w:rsidR="0019003C" w:rsidRPr="00B45671" w:rsidRDefault="0019003C" w:rsidP="002E47EC">
            <w:pPr>
              <w:spacing w:before="10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6</w:t>
            </w:r>
          </w:p>
        </w:tc>
      </w:tr>
      <w:tr w:rsidR="0019003C" w:rsidRPr="00040693" w14:paraId="156AF40A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A5DBDEC" w14:textId="1E84FD20" w:rsidR="0019003C" w:rsidRPr="00B45671" w:rsidRDefault="007D5EDB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net debt, gross debt and financial assets</w:t>
            </w:r>
          </w:p>
        </w:tc>
        <w:tc>
          <w:tcPr>
            <w:tcW w:w="1274" w:type="dxa"/>
          </w:tcPr>
          <w:p w14:paraId="094BF1E3" w14:textId="0B7E1A98" w:rsidR="0019003C" w:rsidRPr="00B45671" w:rsidRDefault="007D5EDB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Chart 6.1</w:t>
            </w:r>
          </w:p>
        </w:tc>
        <w:tc>
          <w:tcPr>
            <w:tcW w:w="760" w:type="dxa"/>
          </w:tcPr>
          <w:p w14:paraId="418B3B33" w14:textId="5F267E57" w:rsidR="0019003C" w:rsidRPr="00B45671" w:rsidRDefault="007D5EDB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3E7FCB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9003C" w:rsidRPr="00040693" w14:paraId="08B808AD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3F3821E3" w14:textId="29CA84FF" w:rsidR="0019003C" w:rsidRPr="00B45671" w:rsidRDefault="00323EC2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DF5AF9">
              <w:rPr>
                <w:rFonts w:ascii="Public Sans" w:hAnsi="Public Sans" w:cs="Arial"/>
                <w:sz w:val="18"/>
                <w:szCs w:val="18"/>
              </w:rPr>
              <w:t xml:space="preserve">NSW investment funds returns to </w:t>
            </w:r>
            <w:r w:rsidR="00DF5AF9" w:rsidRPr="00DF5AF9">
              <w:rPr>
                <w:rFonts w:ascii="Public Sans" w:hAnsi="Public Sans" w:cs="Arial"/>
                <w:sz w:val="18"/>
                <w:szCs w:val="18"/>
              </w:rPr>
              <w:t>30 June</w:t>
            </w:r>
            <w:r w:rsidRPr="00DF5AF9">
              <w:rPr>
                <w:rFonts w:ascii="Public Sans" w:hAnsi="Public Sans" w:cs="Arial"/>
                <w:sz w:val="18"/>
                <w:szCs w:val="18"/>
              </w:rPr>
              <w:t xml:space="preserve"> 2023</w:t>
            </w:r>
          </w:p>
        </w:tc>
        <w:tc>
          <w:tcPr>
            <w:tcW w:w="1274" w:type="dxa"/>
          </w:tcPr>
          <w:p w14:paraId="6778D203" w14:textId="39B2B304" w:rsidR="0019003C" w:rsidRPr="00B45671" w:rsidRDefault="00961DAD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6.1</w:t>
            </w:r>
          </w:p>
        </w:tc>
        <w:tc>
          <w:tcPr>
            <w:tcW w:w="760" w:type="dxa"/>
          </w:tcPr>
          <w:p w14:paraId="211DA10C" w14:textId="0258BC2E" w:rsidR="0019003C" w:rsidRPr="00B45671" w:rsidRDefault="00961DAD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83644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747EC7" w:rsidRPr="00040693" w14:paraId="18E5F63C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2316BFFD" w14:textId="13A18840" w:rsidR="00747EC7" w:rsidRPr="00B45671" w:rsidRDefault="00961DAD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Key balance sheet aggregates of the general government sector</w:t>
            </w:r>
          </w:p>
        </w:tc>
        <w:tc>
          <w:tcPr>
            <w:tcW w:w="1274" w:type="dxa"/>
          </w:tcPr>
          <w:p w14:paraId="3AD0082E" w14:textId="76C4705A" w:rsidR="00747EC7" w:rsidRPr="00B45671" w:rsidRDefault="00961DAD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6.2</w:t>
            </w:r>
          </w:p>
        </w:tc>
        <w:tc>
          <w:tcPr>
            <w:tcW w:w="760" w:type="dxa"/>
          </w:tcPr>
          <w:p w14:paraId="59D69A2F" w14:textId="2137E8AF" w:rsidR="00747EC7" w:rsidRPr="00B45671" w:rsidRDefault="00961DAD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83644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066142" w:rsidRPr="00040693" w14:paraId="5E082394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2ECFC257" w14:textId="66D1F510" w:rsidR="00066142" w:rsidRPr="00B45671" w:rsidRDefault="005F63DB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Interest </w:t>
            </w:r>
            <w:r w:rsidR="00CB365B">
              <w:rPr>
                <w:rFonts w:ascii="Public Sans" w:hAnsi="Public Sans" w:cs="Arial"/>
                <w:sz w:val="18"/>
                <w:szCs w:val="18"/>
              </w:rPr>
              <w:t>e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xpense to </w:t>
            </w:r>
            <w:r w:rsidR="00CB365B"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evenue – </w:t>
            </w:r>
            <w:r w:rsidR="00C72D59">
              <w:rPr>
                <w:rFonts w:ascii="Public Sans" w:hAnsi="Public Sans" w:cs="Arial"/>
                <w:sz w:val="18"/>
                <w:szCs w:val="18"/>
              </w:rPr>
              <w:t>2023 Pre-election Budget Update</w:t>
            </w:r>
            <w:r w:rsidR="00CB365B">
              <w:rPr>
                <w:rFonts w:ascii="Public Sans" w:hAnsi="Public Sans" w:cs="Arial"/>
                <w:sz w:val="18"/>
                <w:szCs w:val="18"/>
              </w:rPr>
              <w:t xml:space="preserve"> vs 2023-24 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1274" w:type="dxa"/>
          </w:tcPr>
          <w:p w14:paraId="735F435E" w14:textId="18EA7B76" w:rsidR="00066142" w:rsidRPr="00B45671" w:rsidRDefault="005F63DB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6.2</w:t>
            </w:r>
          </w:p>
        </w:tc>
        <w:tc>
          <w:tcPr>
            <w:tcW w:w="760" w:type="dxa"/>
          </w:tcPr>
          <w:p w14:paraId="28A85D18" w14:textId="78E64F59" w:rsidR="00066142" w:rsidRPr="00B45671" w:rsidRDefault="005F63DB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83644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780814" w:rsidRPr="00040693" w14:paraId="4304BBE0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6B0053BC" w14:textId="6D3C4993" w:rsidR="00780814" w:rsidRPr="00B45671" w:rsidRDefault="005F63DB" w:rsidP="00F61E82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net worth to increase of the next four years</w:t>
            </w:r>
          </w:p>
        </w:tc>
        <w:tc>
          <w:tcPr>
            <w:tcW w:w="1274" w:type="dxa"/>
          </w:tcPr>
          <w:p w14:paraId="069939CD" w14:textId="55DB10D2" w:rsidR="00780814" w:rsidRPr="00B45671" w:rsidRDefault="005F63DB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6.3</w:t>
            </w:r>
          </w:p>
        </w:tc>
        <w:tc>
          <w:tcPr>
            <w:tcW w:w="760" w:type="dxa"/>
          </w:tcPr>
          <w:p w14:paraId="3F4B3388" w14:textId="6B2E2E79" w:rsidR="00780814" w:rsidRPr="00B45671" w:rsidRDefault="005F63DB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5D364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0DA53B63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7B42F822" w14:textId="14D340C2" w:rsidR="0019003C" w:rsidRPr="00B45671" w:rsidRDefault="005F63DB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financial assets increasing over time</w:t>
            </w:r>
          </w:p>
        </w:tc>
        <w:tc>
          <w:tcPr>
            <w:tcW w:w="1274" w:type="dxa"/>
          </w:tcPr>
          <w:p w14:paraId="5336313A" w14:textId="39B584B3" w:rsidR="0019003C" w:rsidRPr="00B45671" w:rsidRDefault="005F63DB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6.4</w:t>
            </w:r>
          </w:p>
        </w:tc>
        <w:tc>
          <w:tcPr>
            <w:tcW w:w="760" w:type="dxa"/>
          </w:tcPr>
          <w:p w14:paraId="610B6818" w14:textId="65B9DB74" w:rsidR="0019003C" w:rsidRPr="00B45671" w:rsidRDefault="005F63DB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5D364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4388835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1D3021CD" w14:textId="00DCF3C4" w:rsidR="0019003C" w:rsidRPr="00B45671" w:rsidRDefault="005F63DB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non-financial assets growing over time due to infrastructure investment</w:t>
            </w:r>
            <w:r w:rsidR="0055235E" w:rsidRPr="00B45671">
              <w:rPr>
                <w:rFonts w:ascii="Public Sans" w:hAnsi="Public Sans" w:cs="Arial"/>
                <w:sz w:val="18"/>
                <w:szCs w:val="18"/>
              </w:rPr>
              <w:t xml:space="preserve"> and asset revaluation</w:t>
            </w:r>
          </w:p>
        </w:tc>
        <w:tc>
          <w:tcPr>
            <w:tcW w:w="1274" w:type="dxa"/>
            <w:vAlign w:val="bottom"/>
          </w:tcPr>
          <w:p w14:paraId="5A8D7FCD" w14:textId="0BFC5512" w:rsidR="0019003C" w:rsidRPr="00B45671" w:rsidRDefault="00D35F76" w:rsidP="00D35F76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6.5</w:t>
            </w:r>
          </w:p>
        </w:tc>
        <w:tc>
          <w:tcPr>
            <w:tcW w:w="760" w:type="dxa"/>
            <w:vAlign w:val="bottom"/>
          </w:tcPr>
          <w:p w14:paraId="016CBC82" w14:textId="3BEDC3F9" w:rsidR="0019003C" w:rsidRPr="00B45671" w:rsidRDefault="00D35F76" w:rsidP="00D35F76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472E6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5E826A8D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E02CD58" w14:textId="0AF633DF" w:rsidR="0019003C" w:rsidRPr="00B45671" w:rsidRDefault="00D35F76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Liabilities to increase over the forward estimates</w:t>
            </w:r>
          </w:p>
        </w:tc>
        <w:tc>
          <w:tcPr>
            <w:tcW w:w="1274" w:type="dxa"/>
          </w:tcPr>
          <w:p w14:paraId="5C8C765E" w14:textId="0AF865B0" w:rsidR="0019003C" w:rsidRPr="00B45671" w:rsidRDefault="00D35F76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6.6</w:t>
            </w:r>
          </w:p>
        </w:tc>
        <w:tc>
          <w:tcPr>
            <w:tcW w:w="760" w:type="dxa"/>
          </w:tcPr>
          <w:p w14:paraId="13A5E658" w14:textId="2B83F635" w:rsidR="0019003C" w:rsidRPr="00B45671" w:rsidRDefault="00D35F76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472E6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510F6164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0227C7D0" w14:textId="67E752DA" w:rsidR="0019003C" w:rsidRPr="00B45671" w:rsidRDefault="00A5694F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cash surplus/</w:t>
            </w:r>
            <w:r w:rsidR="009F09F0">
              <w:rPr>
                <w:rFonts w:ascii="Public Sans" w:hAnsi="Public Sans" w:cs="Arial"/>
                <w:sz w:val="18"/>
                <w:szCs w:val="18"/>
              </w:rPr>
              <w:t>(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>deficits</w:t>
            </w:r>
            <w:r w:rsidR="009F09F0">
              <w:rPr>
                <w:rFonts w:ascii="Public Sans" w:hAnsi="Public Sans" w:cs="Arial"/>
                <w:sz w:val="18"/>
                <w:szCs w:val="18"/>
              </w:rPr>
              <w:t>)</w:t>
            </w:r>
          </w:p>
        </w:tc>
        <w:tc>
          <w:tcPr>
            <w:tcW w:w="1274" w:type="dxa"/>
          </w:tcPr>
          <w:p w14:paraId="4B291715" w14:textId="71002F01" w:rsidR="0019003C" w:rsidRPr="00B45671" w:rsidRDefault="008D33F5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6.</w:t>
            </w:r>
            <w:r w:rsidR="7BD92E4B" w:rsidRPr="3E57071C">
              <w:rPr>
                <w:rFonts w:ascii="Public Sans" w:hAnsi="Public Sans" w:cs="Arial"/>
                <w:kern w:val="28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14:paraId="02675408" w14:textId="1C727B8B" w:rsidR="0019003C" w:rsidRPr="00B45671" w:rsidRDefault="008D33F5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6-</w:t>
            </w:r>
            <w:r w:rsidR="00FE46D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78649A" w:rsidRPr="0078649A" w14:paraId="2B7D946D" w14:textId="77777777" w:rsidTr="00A42422">
        <w:trPr>
          <w:gridAfter w:val="1"/>
          <w:wAfter w:w="9" w:type="dxa"/>
        </w:trPr>
        <w:tc>
          <w:tcPr>
            <w:tcW w:w="7761" w:type="dxa"/>
          </w:tcPr>
          <w:p w14:paraId="06A88EF9" w14:textId="01342796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Chapter 7: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Commercial Performance in the Broader Public Sector</w:t>
            </w:r>
          </w:p>
        </w:tc>
        <w:tc>
          <w:tcPr>
            <w:tcW w:w="1274" w:type="dxa"/>
          </w:tcPr>
          <w:p w14:paraId="0B818C4D" w14:textId="72951165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3F00F0A" w14:textId="66DBEF36" w:rsidR="0019003C" w:rsidRPr="00B45671" w:rsidRDefault="0019003C" w:rsidP="002E47EC">
            <w:pPr>
              <w:spacing w:before="100"/>
              <w:rPr>
                <w:rFonts w:ascii="Public Sans" w:hAnsi="Public Sans" w:cs="Arial"/>
                <w:b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7</w:t>
            </w:r>
          </w:p>
        </w:tc>
      </w:tr>
      <w:tr w:rsidR="0019003C" w:rsidRPr="00040693" w14:paraId="665BC625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47F2DC5" w14:textId="01D21B90" w:rsidR="0019003C" w:rsidRPr="00B45671" w:rsidRDefault="000E0504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Capital </w:t>
            </w:r>
            <w:r w:rsidR="00F30776" w:rsidRPr="00B45671">
              <w:rPr>
                <w:rFonts w:ascii="Public Sans" w:hAnsi="Public Sans" w:cs="Arial"/>
                <w:sz w:val="18"/>
                <w:szCs w:val="18"/>
              </w:rPr>
              <w:t>expenditure of the PNFC secto</w:t>
            </w:r>
            <w:r w:rsidR="002A0F17" w:rsidRPr="00B45671">
              <w:rPr>
                <w:rFonts w:ascii="Public Sans" w:hAnsi="Public Sans" w:cs="Arial"/>
                <w:sz w:val="18"/>
                <w:szCs w:val="18"/>
              </w:rPr>
              <w:t>r</w:t>
            </w:r>
          </w:p>
        </w:tc>
        <w:tc>
          <w:tcPr>
            <w:tcW w:w="1274" w:type="dxa"/>
          </w:tcPr>
          <w:p w14:paraId="5E0BA838" w14:textId="7B6C9DEB" w:rsidR="0019003C" w:rsidRPr="00B45671" w:rsidRDefault="00F30776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7.1</w:t>
            </w:r>
          </w:p>
        </w:tc>
        <w:tc>
          <w:tcPr>
            <w:tcW w:w="760" w:type="dxa"/>
          </w:tcPr>
          <w:p w14:paraId="00415B64" w14:textId="4EF3728E" w:rsidR="0019003C" w:rsidRPr="00B45671" w:rsidRDefault="00F30776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7-</w:t>
            </w:r>
            <w:r w:rsidR="00BA047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7A5003BE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2B6D9F02" w14:textId="70EA52C7" w:rsidR="0019003C" w:rsidRPr="00B45671" w:rsidRDefault="004C4B8D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Total dividend and tax equivalent payments from the PNFC and PFC sectors</w:t>
            </w:r>
          </w:p>
        </w:tc>
        <w:tc>
          <w:tcPr>
            <w:tcW w:w="1274" w:type="dxa"/>
          </w:tcPr>
          <w:p w14:paraId="2779DC88" w14:textId="2A12EBD7" w:rsidR="0019003C" w:rsidRPr="00B45671" w:rsidRDefault="004C4B8D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7.1</w:t>
            </w:r>
          </w:p>
        </w:tc>
        <w:tc>
          <w:tcPr>
            <w:tcW w:w="760" w:type="dxa"/>
          </w:tcPr>
          <w:p w14:paraId="090E07DB" w14:textId="50276A35" w:rsidR="0019003C" w:rsidRPr="00B45671" w:rsidRDefault="004C4B8D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7-</w:t>
            </w:r>
            <w:r w:rsidR="00BA047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10</w:t>
            </w:r>
          </w:p>
        </w:tc>
      </w:tr>
      <w:tr w:rsidR="0078649A" w:rsidRPr="0078649A" w14:paraId="08C95DFC" w14:textId="77777777" w:rsidTr="00A42422">
        <w:trPr>
          <w:gridAfter w:val="1"/>
          <w:wAfter w:w="9" w:type="dxa"/>
        </w:trPr>
        <w:tc>
          <w:tcPr>
            <w:tcW w:w="7761" w:type="dxa"/>
          </w:tcPr>
          <w:p w14:paraId="31E9D26E" w14:textId="3E2462BB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A1: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Statement of Finances</w:t>
            </w:r>
          </w:p>
        </w:tc>
        <w:tc>
          <w:tcPr>
            <w:tcW w:w="1274" w:type="dxa"/>
          </w:tcPr>
          <w:p w14:paraId="723A9FCC" w14:textId="14EC7056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E114D25" w14:textId="4B79391C" w:rsidR="0019003C" w:rsidRPr="00B45671" w:rsidRDefault="0019003C" w:rsidP="002E47EC">
            <w:pPr>
              <w:spacing w:before="10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A1</w:t>
            </w:r>
          </w:p>
        </w:tc>
      </w:tr>
      <w:tr w:rsidR="00ED04AB" w:rsidRPr="00ED04AB" w14:paraId="534019CE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56FB62C3" w14:textId="42F862DA" w:rsidR="0019003C" w:rsidRPr="00FB660C" w:rsidRDefault="0019003C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sz w:val="18"/>
                <w:szCs w:val="18"/>
              </w:rPr>
              <w:t>General government sector operating statement</w:t>
            </w:r>
          </w:p>
        </w:tc>
        <w:tc>
          <w:tcPr>
            <w:tcW w:w="1274" w:type="dxa"/>
            <w:vAlign w:val="bottom"/>
          </w:tcPr>
          <w:p w14:paraId="0508B094" w14:textId="231CD4F2" w:rsidR="0019003C" w:rsidRPr="00FB660C" w:rsidRDefault="009E64F0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</w:p>
        </w:tc>
        <w:tc>
          <w:tcPr>
            <w:tcW w:w="760" w:type="dxa"/>
            <w:vAlign w:val="bottom"/>
          </w:tcPr>
          <w:p w14:paraId="396ADA29" w14:textId="0B09EF06" w:rsidR="0019003C" w:rsidRPr="00FB660C" w:rsidRDefault="00860A93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74BC2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9E64F0" w:rsidRPr="00ED04AB" w14:paraId="14964D46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5D2AD58A" w14:textId="75826045" w:rsidR="009E64F0" w:rsidRPr="00FB660C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sz w:val="18"/>
                <w:szCs w:val="18"/>
              </w:rPr>
              <w:t xml:space="preserve">General government sector balance sheet </w:t>
            </w:r>
          </w:p>
        </w:tc>
        <w:tc>
          <w:tcPr>
            <w:tcW w:w="1274" w:type="dxa"/>
            <w:vAlign w:val="bottom"/>
          </w:tcPr>
          <w:p w14:paraId="4F4F09F1" w14:textId="0346887F" w:rsidR="009E64F0" w:rsidRPr="00FB660C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</w:rPr>
            </w:pPr>
            <w:r w:rsidRPr="00FB660C">
              <w:rPr>
                <w:rFonts w:ascii="Public Sans" w:hAnsi="Public Sans" w:cs="Arial"/>
                <w:kern w:val="28"/>
                <w:sz w:val="18"/>
                <w:szCs w:val="18"/>
              </w:rPr>
              <w:t>Table A1.2</w:t>
            </w:r>
          </w:p>
        </w:tc>
        <w:tc>
          <w:tcPr>
            <w:tcW w:w="760" w:type="dxa"/>
            <w:vAlign w:val="bottom"/>
          </w:tcPr>
          <w:p w14:paraId="263D313A" w14:textId="322BA169" w:rsidR="009E64F0" w:rsidRPr="00FB660C" w:rsidRDefault="00860A93" w:rsidP="009E64F0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9C694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9E64F0" w:rsidRPr="00ED04AB" w14:paraId="0B7FDD69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15C516BE" w14:textId="0CDE2B00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cash flow statement</w:t>
            </w:r>
          </w:p>
        </w:tc>
        <w:tc>
          <w:tcPr>
            <w:tcW w:w="1274" w:type="dxa"/>
            <w:vAlign w:val="bottom"/>
          </w:tcPr>
          <w:p w14:paraId="45062BD9" w14:textId="37E5AFBE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A1.3</w:t>
            </w:r>
          </w:p>
        </w:tc>
        <w:tc>
          <w:tcPr>
            <w:tcW w:w="760" w:type="dxa"/>
          </w:tcPr>
          <w:p w14:paraId="18CCFFD9" w14:textId="4EDC00A0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9C6941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9E64F0" w:rsidRPr="00ED04AB" w14:paraId="04215B5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71A95285" w14:textId="5068AD4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General government sector taxes </w:t>
            </w:r>
          </w:p>
        </w:tc>
        <w:tc>
          <w:tcPr>
            <w:tcW w:w="1274" w:type="dxa"/>
            <w:vAlign w:val="bottom"/>
          </w:tcPr>
          <w:p w14:paraId="07CFA74A" w14:textId="209B8FD5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A1.4</w:t>
            </w:r>
          </w:p>
        </w:tc>
        <w:tc>
          <w:tcPr>
            <w:tcW w:w="760" w:type="dxa"/>
          </w:tcPr>
          <w:p w14:paraId="445175CF" w14:textId="2D649FBC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44390C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10</w:t>
            </w:r>
          </w:p>
        </w:tc>
      </w:tr>
      <w:tr w:rsidR="009E64F0" w:rsidRPr="00ED04AB" w14:paraId="41E2BCB1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0EB91975" w14:textId="551528E9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grant revenue and expense</w:t>
            </w:r>
          </w:p>
        </w:tc>
        <w:tc>
          <w:tcPr>
            <w:tcW w:w="1274" w:type="dxa"/>
            <w:vAlign w:val="bottom"/>
          </w:tcPr>
          <w:p w14:paraId="6E12479C" w14:textId="3F84651A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A1.5</w:t>
            </w:r>
          </w:p>
        </w:tc>
        <w:tc>
          <w:tcPr>
            <w:tcW w:w="760" w:type="dxa"/>
          </w:tcPr>
          <w:p w14:paraId="4E522F05" w14:textId="1975AC9D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44390C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11</w:t>
            </w:r>
          </w:p>
        </w:tc>
      </w:tr>
      <w:tr w:rsidR="009E64F0" w:rsidRPr="00ED04AB" w14:paraId="514EE4D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326D9F07" w14:textId="6F1E993D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dividend and income tax equivalent income</w:t>
            </w:r>
          </w:p>
        </w:tc>
        <w:tc>
          <w:tcPr>
            <w:tcW w:w="1274" w:type="dxa"/>
            <w:vAlign w:val="bottom"/>
          </w:tcPr>
          <w:p w14:paraId="327AA962" w14:textId="62947E8A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b/>
                <w:kern w:val="2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A1.6</w:t>
            </w:r>
          </w:p>
        </w:tc>
        <w:tc>
          <w:tcPr>
            <w:tcW w:w="760" w:type="dxa"/>
          </w:tcPr>
          <w:p w14:paraId="26C0E646" w14:textId="0873BAB5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44390C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5B5732D1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5AAD1A83" w14:textId="7829229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expenses by function</w:t>
            </w:r>
          </w:p>
        </w:tc>
        <w:tc>
          <w:tcPr>
            <w:tcW w:w="1274" w:type="dxa"/>
            <w:vAlign w:val="bottom"/>
          </w:tcPr>
          <w:p w14:paraId="3DDF05B5" w14:textId="7CC47B92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A1.7</w:t>
            </w:r>
          </w:p>
        </w:tc>
        <w:tc>
          <w:tcPr>
            <w:tcW w:w="760" w:type="dxa"/>
          </w:tcPr>
          <w:p w14:paraId="2FEABCBC" w14:textId="00841B91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6D6D4D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1FEACA2F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3B455072" w14:textId="0EE6CA0E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General government sector </w:t>
            </w:r>
            <w:r w:rsidR="00153D22" w:rsidRPr="00E61586">
              <w:rPr>
                <w:rFonts w:ascii="Public Sans" w:hAnsi="Public Sans" w:cs="Arial"/>
                <w:sz w:val="18"/>
                <w:szCs w:val="18"/>
              </w:rPr>
              <w:t>capital expenditure</w:t>
            </w: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 by function </w:t>
            </w:r>
          </w:p>
        </w:tc>
        <w:tc>
          <w:tcPr>
            <w:tcW w:w="1274" w:type="dxa"/>
            <w:vAlign w:val="bottom"/>
          </w:tcPr>
          <w:p w14:paraId="6D2BFB0E" w14:textId="12CF55B4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14:paraId="4B4B3987" w14:textId="7018255A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153D22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1E006BAF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0D5B3442" w14:textId="40BF75B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Public non-financial corporation sector operating statement </w:t>
            </w:r>
          </w:p>
        </w:tc>
        <w:tc>
          <w:tcPr>
            <w:tcW w:w="1274" w:type="dxa"/>
            <w:vAlign w:val="bottom"/>
          </w:tcPr>
          <w:p w14:paraId="7EF090E1" w14:textId="20EEC9B0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14:paraId="6DF2FDD3" w14:textId="4ED377E5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153D22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13</w:t>
            </w:r>
          </w:p>
        </w:tc>
      </w:tr>
      <w:tr w:rsidR="009E64F0" w:rsidRPr="00ED04AB" w14:paraId="0D5C5308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112FDEEF" w14:textId="0C12E8C9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Public non-financial corporation sector balance sheet </w:t>
            </w:r>
          </w:p>
        </w:tc>
        <w:tc>
          <w:tcPr>
            <w:tcW w:w="1274" w:type="dxa"/>
            <w:vAlign w:val="bottom"/>
          </w:tcPr>
          <w:p w14:paraId="74883FCD" w14:textId="03BC345E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0</w:t>
            </w:r>
          </w:p>
        </w:tc>
        <w:tc>
          <w:tcPr>
            <w:tcW w:w="760" w:type="dxa"/>
          </w:tcPr>
          <w:p w14:paraId="2A049888" w14:textId="2D250BDE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61586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15</w:t>
            </w:r>
          </w:p>
        </w:tc>
      </w:tr>
      <w:tr w:rsidR="009E64F0" w:rsidRPr="00ED04AB" w14:paraId="0862FD78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29EA012C" w14:textId="4C79268F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Public non-financial corporation sector cash flow statement</w:t>
            </w:r>
          </w:p>
        </w:tc>
        <w:tc>
          <w:tcPr>
            <w:tcW w:w="1274" w:type="dxa"/>
            <w:vAlign w:val="bottom"/>
          </w:tcPr>
          <w:p w14:paraId="113BAF5B" w14:textId="66319BF0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9C2FCA4" w14:textId="5297A0F2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61586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9E64F0" w:rsidRPr="00ED04AB" w14:paraId="1C496A2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58A2888F" w14:textId="57821382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Non-financial public sector operating statement</w:t>
            </w:r>
          </w:p>
        </w:tc>
        <w:tc>
          <w:tcPr>
            <w:tcW w:w="1274" w:type="dxa"/>
            <w:vAlign w:val="bottom"/>
          </w:tcPr>
          <w:p w14:paraId="6E5DB6FB" w14:textId="5073E3BD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14:paraId="1C419DA4" w14:textId="708D3178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61586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9E64F0" w:rsidRPr="00ED04AB" w14:paraId="12C9108B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7794DC1" w14:textId="7E810343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Non-financial public sector balance sheet </w:t>
            </w:r>
          </w:p>
        </w:tc>
        <w:tc>
          <w:tcPr>
            <w:tcW w:w="1274" w:type="dxa"/>
            <w:vAlign w:val="bottom"/>
          </w:tcPr>
          <w:p w14:paraId="13A8AFD2" w14:textId="08F49EA2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14:paraId="496DC270" w14:textId="3A7D62DC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61586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19</w:t>
            </w:r>
          </w:p>
        </w:tc>
      </w:tr>
      <w:tr w:rsidR="009E64F0" w:rsidRPr="00ED04AB" w14:paraId="04E7B467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210C655F" w14:textId="13AF16EF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Non-financial public sector cash flow statement</w:t>
            </w:r>
          </w:p>
        </w:tc>
        <w:tc>
          <w:tcPr>
            <w:tcW w:w="1274" w:type="dxa"/>
            <w:vAlign w:val="bottom"/>
          </w:tcPr>
          <w:p w14:paraId="7399B032" w14:textId="2B765F94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14:paraId="6A096154" w14:textId="61340572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E61586"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20</w:t>
            </w:r>
          </w:p>
        </w:tc>
      </w:tr>
      <w:tr w:rsidR="009E64F0" w:rsidRPr="0078649A" w14:paraId="7353BA12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05"/>
        </w:trPr>
        <w:tc>
          <w:tcPr>
            <w:tcW w:w="7761" w:type="dxa"/>
          </w:tcPr>
          <w:p w14:paraId="747C00E9" w14:textId="49C45108" w:rsidR="009E64F0" w:rsidRPr="00B45671" w:rsidRDefault="009E64F0" w:rsidP="009E64F0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A2: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Tax Expenditure and Concessional Charges Statement</w:t>
            </w:r>
          </w:p>
        </w:tc>
        <w:tc>
          <w:tcPr>
            <w:tcW w:w="1274" w:type="dxa"/>
          </w:tcPr>
          <w:p w14:paraId="543BDEA2" w14:textId="77777777" w:rsidR="009E64F0" w:rsidRPr="00B45671" w:rsidRDefault="009E64F0" w:rsidP="009E64F0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7D8CD96" w14:textId="288F6EAC" w:rsidR="009E64F0" w:rsidRPr="00B45671" w:rsidRDefault="009E64F0" w:rsidP="009E64F0">
            <w:pPr>
              <w:spacing w:before="10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A2</w:t>
            </w:r>
          </w:p>
        </w:tc>
      </w:tr>
      <w:tr w:rsidR="006C6693" w:rsidRPr="006C6693" w14:paraId="134D3806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6E1648C9" w14:textId="5BF845CE" w:rsidR="006C6693" w:rsidRPr="00B45671" w:rsidRDefault="006C6693" w:rsidP="006C6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Major tax expenditures by type</w:t>
            </w:r>
          </w:p>
        </w:tc>
        <w:tc>
          <w:tcPr>
            <w:tcW w:w="1274" w:type="dxa"/>
            <w:vAlign w:val="center"/>
          </w:tcPr>
          <w:p w14:paraId="67F337C9" w14:textId="659E833D" w:rsidR="006C6693" w:rsidRPr="00B45671" w:rsidRDefault="006C6693" w:rsidP="006C6693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</w:t>
            </w:r>
          </w:p>
        </w:tc>
        <w:tc>
          <w:tcPr>
            <w:tcW w:w="760" w:type="dxa"/>
            <w:vAlign w:val="center"/>
          </w:tcPr>
          <w:p w14:paraId="78B00217" w14:textId="577F19E2" w:rsidR="006C6693" w:rsidRPr="00B45671" w:rsidRDefault="00860A93" w:rsidP="006C6693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BC61E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6C6693" w:rsidRPr="006C6693" w14:paraId="26C3EFE7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46B07D6" w14:textId="0B9DFB86" w:rsidR="006C6693" w:rsidRPr="00B45671" w:rsidRDefault="00645AC9" w:rsidP="006C6693">
            <w:pPr>
              <w:tabs>
                <w:tab w:val="left" w:pos="1230"/>
              </w:tabs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Concessions by function</w:t>
            </w:r>
          </w:p>
        </w:tc>
        <w:tc>
          <w:tcPr>
            <w:tcW w:w="1274" w:type="dxa"/>
            <w:vAlign w:val="center"/>
          </w:tcPr>
          <w:p w14:paraId="6918656C" w14:textId="2C0AE77D" w:rsidR="006C6693" w:rsidRPr="00B45671" w:rsidRDefault="006C6693" w:rsidP="006C6693">
            <w:pPr>
              <w:spacing w:before="20" w:after="20"/>
              <w:ind w:right="-57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</w:t>
            </w:r>
            <w:r w:rsidR="00696790"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.2</w:t>
            </w:r>
          </w:p>
        </w:tc>
        <w:tc>
          <w:tcPr>
            <w:tcW w:w="760" w:type="dxa"/>
          </w:tcPr>
          <w:p w14:paraId="67F7C16A" w14:textId="4210D0FD" w:rsidR="006C6693" w:rsidRPr="00B45671" w:rsidRDefault="00875806" w:rsidP="006C6693">
            <w:pPr>
              <w:spacing w:before="20" w:after="20"/>
              <w:rPr>
                <w:rFonts w:ascii="Public Sans" w:hAnsi="Public Sans" w:cs="Arial"/>
                <w:b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BC61E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35A39" w:rsidRPr="006C6693" w14:paraId="5EFA37F9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21E0E087" w14:textId="4B599FE5" w:rsidR="00735A39" w:rsidRPr="00B45671" w:rsidRDefault="00735A39" w:rsidP="00735A39">
            <w:pPr>
              <w:tabs>
                <w:tab w:val="left" w:pos="1230"/>
              </w:tabs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Transfer duty – major tax expenditures</w:t>
            </w:r>
          </w:p>
        </w:tc>
        <w:tc>
          <w:tcPr>
            <w:tcW w:w="1274" w:type="dxa"/>
            <w:vAlign w:val="center"/>
          </w:tcPr>
          <w:p w14:paraId="4B126FA3" w14:textId="6E7915E5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A2.3</w:t>
            </w:r>
          </w:p>
        </w:tc>
        <w:tc>
          <w:tcPr>
            <w:tcW w:w="760" w:type="dxa"/>
          </w:tcPr>
          <w:p w14:paraId="1D519CD4" w14:textId="0C812110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b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56008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735A39" w:rsidRPr="006C6693" w14:paraId="0D68C981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5D73614" w14:textId="37A6257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insurance duty – major tax expenditures</w:t>
            </w:r>
          </w:p>
        </w:tc>
        <w:tc>
          <w:tcPr>
            <w:tcW w:w="1274" w:type="dxa"/>
            <w:vAlign w:val="center"/>
          </w:tcPr>
          <w:p w14:paraId="6C4269D7" w14:textId="3649D639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A2.4</w:t>
            </w:r>
          </w:p>
        </w:tc>
        <w:tc>
          <w:tcPr>
            <w:tcW w:w="760" w:type="dxa"/>
          </w:tcPr>
          <w:p w14:paraId="4AE34F5F" w14:textId="50DE0C19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56008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735A39" w:rsidRPr="006C6693" w14:paraId="116595EA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0807131D" w14:textId="57BBC377" w:rsidR="00735A39" w:rsidRPr="00B45671" w:rsidRDefault="00735A39" w:rsidP="00735A39">
            <w:pPr>
              <w:tabs>
                <w:tab w:val="left" w:pos="1456"/>
              </w:tabs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Life insurance duty – major tax expenditures</w:t>
            </w:r>
          </w:p>
        </w:tc>
        <w:tc>
          <w:tcPr>
            <w:tcW w:w="1274" w:type="dxa"/>
            <w:vAlign w:val="center"/>
          </w:tcPr>
          <w:p w14:paraId="1274EA53" w14:textId="49AC0F10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A2.5</w:t>
            </w:r>
          </w:p>
        </w:tc>
        <w:tc>
          <w:tcPr>
            <w:tcW w:w="760" w:type="dxa"/>
          </w:tcPr>
          <w:p w14:paraId="2A4E1AC4" w14:textId="718303A4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b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56008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735A39" w:rsidRPr="006C6693" w14:paraId="5DD92D16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0134FB24" w14:textId="229560F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Motor vehicle stamp duty – major tax expenditures</w:t>
            </w:r>
          </w:p>
        </w:tc>
        <w:tc>
          <w:tcPr>
            <w:tcW w:w="1274" w:type="dxa"/>
            <w:vAlign w:val="center"/>
          </w:tcPr>
          <w:p w14:paraId="68935257" w14:textId="68CAC827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A2.6</w:t>
            </w:r>
          </w:p>
        </w:tc>
        <w:tc>
          <w:tcPr>
            <w:tcW w:w="760" w:type="dxa"/>
          </w:tcPr>
          <w:p w14:paraId="76CAD1A2" w14:textId="33895A6B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532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735A39" w:rsidRPr="006C6693" w14:paraId="19899309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6FA37AEF" w14:textId="7A093AE4" w:rsidR="00735A39" w:rsidRPr="00B45671" w:rsidRDefault="00735A39" w:rsidP="00735A39">
            <w:pPr>
              <w:tabs>
                <w:tab w:val="left" w:pos="1456"/>
              </w:tabs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Payroll tax – major tax expenditures</w:t>
            </w:r>
          </w:p>
        </w:tc>
        <w:tc>
          <w:tcPr>
            <w:tcW w:w="1274" w:type="dxa"/>
            <w:vAlign w:val="center"/>
          </w:tcPr>
          <w:p w14:paraId="6DB009C6" w14:textId="466D7D39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A2.7</w:t>
            </w:r>
          </w:p>
        </w:tc>
        <w:tc>
          <w:tcPr>
            <w:tcW w:w="760" w:type="dxa"/>
          </w:tcPr>
          <w:p w14:paraId="1573E0F3" w14:textId="375E9157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b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532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735A39" w:rsidRPr="006C6693" w14:paraId="563B8D0F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DDA820E" w14:textId="3D5F9DD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Land tax – major tax expenditures</w:t>
            </w:r>
          </w:p>
        </w:tc>
        <w:tc>
          <w:tcPr>
            <w:tcW w:w="1274" w:type="dxa"/>
            <w:vAlign w:val="center"/>
          </w:tcPr>
          <w:p w14:paraId="52BC3F5B" w14:textId="7169D39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A2.8</w:t>
            </w:r>
          </w:p>
        </w:tc>
        <w:tc>
          <w:tcPr>
            <w:tcW w:w="760" w:type="dxa"/>
          </w:tcPr>
          <w:p w14:paraId="1AD771F5" w14:textId="424B10B1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532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11</w:t>
            </w:r>
          </w:p>
        </w:tc>
      </w:tr>
      <w:tr w:rsidR="00735A39" w:rsidRPr="006C6693" w14:paraId="1DC5A164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59F561C" w14:textId="5B8C66C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Vehicles weight tax – major tax expenditures</w:t>
            </w:r>
          </w:p>
        </w:tc>
        <w:tc>
          <w:tcPr>
            <w:tcW w:w="1274" w:type="dxa"/>
            <w:vAlign w:val="center"/>
          </w:tcPr>
          <w:p w14:paraId="0CB74BF6" w14:textId="03E81B0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A2.9</w:t>
            </w:r>
          </w:p>
        </w:tc>
        <w:tc>
          <w:tcPr>
            <w:tcW w:w="760" w:type="dxa"/>
          </w:tcPr>
          <w:p w14:paraId="6EE9E366" w14:textId="39DB15AE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532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14</w:t>
            </w:r>
          </w:p>
        </w:tc>
      </w:tr>
      <w:tr w:rsidR="00735A39" w:rsidRPr="006C6693" w14:paraId="30D286D5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1CD2B01" w14:textId="5379C47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Gambling and betting taxes– major tax expenditures</w:t>
            </w:r>
          </w:p>
        </w:tc>
        <w:tc>
          <w:tcPr>
            <w:tcW w:w="1274" w:type="dxa"/>
            <w:vAlign w:val="center"/>
          </w:tcPr>
          <w:p w14:paraId="76F7AF9C" w14:textId="4DA74F5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</w:t>
            </w:r>
            <w:r w:rsidR="00E942E3"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</w:t>
            </w: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A2.10</w:t>
            </w:r>
          </w:p>
        </w:tc>
        <w:tc>
          <w:tcPr>
            <w:tcW w:w="760" w:type="dxa"/>
          </w:tcPr>
          <w:p w14:paraId="1718E33E" w14:textId="26DADBFF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15</w:t>
            </w:r>
          </w:p>
        </w:tc>
      </w:tr>
      <w:tr w:rsidR="00735A39" w:rsidRPr="006C6693" w14:paraId="087EDD2F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733079BC" w14:textId="5F07F0E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Parking space levy – major tax expenditures</w:t>
            </w:r>
          </w:p>
        </w:tc>
        <w:tc>
          <w:tcPr>
            <w:tcW w:w="1274" w:type="dxa"/>
            <w:vAlign w:val="center"/>
          </w:tcPr>
          <w:p w14:paraId="25BB1A02" w14:textId="3B5FDFA1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A2.11</w:t>
            </w:r>
          </w:p>
        </w:tc>
        <w:tc>
          <w:tcPr>
            <w:tcW w:w="760" w:type="dxa"/>
          </w:tcPr>
          <w:p w14:paraId="15E18A2F" w14:textId="0982D4AA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735A39" w:rsidRPr="006C6693" w14:paraId="021C8136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05F7F8B8" w14:textId="40C1755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Public order and safety – major concessions</w:t>
            </w:r>
          </w:p>
        </w:tc>
        <w:tc>
          <w:tcPr>
            <w:tcW w:w="1274" w:type="dxa"/>
            <w:vAlign w:val="center"/>
          </w:tcPr>
          <w:p w14:paraId="150D5781" w14:textId="681300EC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A2.12</w:t>
            </w:r>
          </w:p>
        </w:tc>
        <w:tc>
          <w:tcPr>
            <w:tcW w:w="760" w:type="dxa"/>
          </w:tcPr>
          <w:p w14:paraId="3BE2AD3B" w14:textId="5AD653E0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735A39" w:rsidRPr="006C6693" w14:paraId="327008A5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A95A0C1" w14:textId="61A6D174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Education – major concessions</w:t>
            </w:r>
          </w:p>
        </w:tc>
        <w:tc>
          <w:tcPr>
            <w:tcW w:w="1274" w:type="dxa"/>
            <w:vAlign w:val="center"/>
          </w:tcPr>
          <w:p w14:paraId="7944BF10" w14:textId="3C174AFB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A2.13</w:t>
            </w:r>
          </w:p>
        </w:tc>
        <w:tc>
          <w:tcPr>
            <w:tcW w:w="760" w:type="dxa"/>
          </w:tcPr>
          <w:p w14:paraId="5D62CD6F" w14:textId="5BE03CF1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735A39" w:rsidRPr="006C6693" w14:paraId="3EFA17ED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0F087C4F" w14:textId="130872B3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Health – major concessions</w:t>
            </w:r>
          </w:p>
        </w:tc>
        <w:tc>
          <w:tcPr>
            <w:tcW w:w="1274" w:type="dxa"/>
            <w:vAlign w:val="center"/>
          </w:tcPr>
          <w:p w14:paraId="5395986C" w14:textId="64A45294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A2.14</w:t>
            </w:r>
          </w:p>
        </w:tc>
        <w:tc>
          <w:tcPr>
            <w:tcW w:w="760" w:type="dxa"/>
          </w:tcPr>
          <w:p w14:paraId="2D054A24" w14:textId="34B99BB1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735A39" w:rsidRPr="006C6693" w14:paraId="2D42C746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B74B891" w14:textId="7CB150D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Transport – major concessions</w:t>
            </w:r>
          </w:p>
        </w:tc>
        <w:tc>
          <w:tcPr>
            <w:tcW w:w="1274" w:type="dxa"/>
            <w:vAlign w:val="center"/>
          </w:tcPr>
          <w:p w14:paraId="67D94181" w14:textId="0F00D7FA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A2.15</w:t>
            </w:r>
          </w:p>
        </w:tc>
        <w:tc>
          <w:tcPr>
            <w:tcW w:w="760" w:type="dxa"/>
          </w:tcPr>
          <w:p w14:paraId="14B2DFDC" w14:textId="5E7FBB27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19</w:t>
            </w:r>
          </w:p>
        </w:tc>
      </w:tr>
      <w:tr w:rsidR="00735A39" w:rsidRPr="006C6693" w14:paraId="1049E85A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75E3A5CA" w14:textId="11B67DC4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Housing and Community – major concessions</w:t>
            </w:r>
          </w:p>
        </w:tc>
        <w:tc>
          <w:tcPr>
            <w:tcW w:w="1274" w:type="dxa"/>
            <w:vAlign w:val="center"/>
          </w:tcPr>
          <w:p w14:paraId="395C1CA9" w14:textId="2E6A4DFD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A2.16</w:t>
            </w:r>
          </w:p>
        </w:tc>
        <w:tc>
          <w:tcPr>
            <w:tcW w:w="760" w:type="dxa"/>
          </w:tcPr>
          <w:p w14:paraId="1DC456FD" w14:textId="3BBF19D9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21</w:t>
            </w:r>
          </w:p>
        </w:tc>
      </w:tr>
      <w:tr w:rsidR="00735A39" w:rsidRPr="006C6693" w14:paraId="047C8A1B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7E638043" w14:textId="6DAC594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Economic affairs – major concessions</w:t>
            </w:r>
          </w:p>
        </w:tc>
        <w:tc>
          <w:tcPr>
            <w:tcW w:w="1274" w:type="dxa"/>
            <w:vAlign w:val="center"/>
          </w:tcPr>
          <w:p w14:paraId="4A3C73B0" w14:textId="3F3EB748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A2.17</w:t>
            </w:r>
          </w:p>
        </w:tc>
        <w:tc>
          <w:tcPr>
            <w:tcW w:w="760" w:type="dxa"/>
          </w:tcPr>
          <w:p w14:paraId="0C2F0FC4" w14:textId="5A5AB312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22</w:t>
            </w:r>
          </w:p>
        </w:tc>
      </w:tr>
      <w:tr w:rsidR="00735A39" w:rsidRPr="000972CC" w14:paraId="47981686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38CACE41" w14:textId="7C9F39A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color w:val="FF0000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Recreation, culture</w:t>
            </w:r>
            <w:r w:rsidR="00913293">
              <w:rPr>
                <w:rFonts w:ascii="Public Sans" w:hAnsi="Public Sans" w:cs="Arial"/>
                <w:kern w:val="28"/>
                <w:sz w:val="18"/>
                <w:szCs w:val="18"/>
              </w:rPr>
              <w:t>,</w:t>
            </w: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and religion – major concessions</w:t>
            </w:r>
          </w:p>
        </w:tc>
        <w:tc>
          <w:tcPr>
            <w:tcW w:w="1274" w:type="dxa"/>
            <w:vAlign w:val="center"/>
          </w:tcPr>
          <w:p w14:paraId="5757600A" w14:textId="640A0CDC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A2.18</w:t>
            </w:r>
          </w:p>
        </w:tc>
        <w:tc>
          <w:tcPr>
            <w:tcW w:w="760" w:type="dxa"/>
          </w:tcPr>
          <w:p w14:paraId="4E0C43F6" w14:textId="35F49EBC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color w:val="FF0000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2142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23</w:t>
            </w:r>
          </w:p>
        </w:tc>
      </w:tr>
      <w:tr w:rsidR="00735A39" w:rsidRPr="000972CC" w14:paraId="3BB4E2BE" w14:textId="77777777" w:rsidTr="00A4242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3E774D39" w14:textId="64628D3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Environmental protection – major concessions</w:t>
            </w:r>
          </w:p>
        </w:tc>
        <w:tc>
          <w:tcPr>
            <w:tcW w:w="1274" w:type="dxa"/>
            <w:vAlign w:val="center"/>
          </w:tcPr>
          <w:p w14:paraId="01DA693D" w14:textId="56870DF5" w:rsidR="00735A39" w:rsidRPr="00B45671" w:rsidRDefault="00735A39" w:rsidP="00735A3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A2.19</w:t>
            </w:r>
          </w:p>
        </w:tc>
        <w:tc>
          <w:tcPr>
            <w:tcW w:w="760" w:type="dxa"/>
          </w:tcPr>
          <w:p w14:paraId="3304015C" w14:textId="1470BAB8" w:rsidR="00735A39" w:rsidRPr="00B45671" w:rsidRDefault="00875806" w:rsidP="00735A39">
            <w:pPr>
              <w:spacing w:before="20" w:after="20"/>
              <w:rPr>
                <w:rFonts w:ascii="Public Sans" w:hAnsi="Public Sans" w:cs="Arial"/>
                <w:color w:val="FF0000"/>
                <w:kern w:val="28"/>
                <w:sz w:val="18"/>
                <w:szCs w:val="18"/>
              </w:rPr>
            </w:pPr>
            <w:r w:rsidRPr="00CA7CC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C0243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23</w:t>
            </w:r>
          </w:p>
        </w:tc>
      </w:tr>
      <w:tr w:rsidR="00735A39" w:rsidRPr="0078649A" w14:paraId="0C54279F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0F9DFD83" w14:textId="77777777" w:rsidR="00EC21E1" w:rsidRDefault="00EC21E1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  <w:p w14:paraId="66B2FBB7" w14:textId="77777777" w:rsidR="005F37B1" w:rsidRDefault="005F37B1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  <w:p w14:paraId="150B1FD9" w14:textId="7EBF654B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lastRenderedPageBreak/>
              <w:t>Appendix A3: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Variation Details of Appropriations during 2021-22</w:t>
            </w:r>
          </w:p>
        </w:tc>
        <w:tc>
          <w:tcPr>
            <w:tcW w:w="1274" w:type="dxa"/>
            <w:vAlign w:val="center"/>
          </w:tcPr>
          <w:p w14:paraId="66D173F6" w14:textId="77777777" w:rsidR="00735A39" w:rsidRPr="00B45671" w:rsidRDefault="00735A39" w:rsidP="00735A39">
            <w:pPr>
              <w:spacing w:before="40"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B4D0A6A" w14:textId="77777777" w:rsidR="00EC21E1" w:rsidRDefault="00EC21E1" w:rsidP="000B055B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  <w:p w14:paraId="028F32E8" w14:textId="77777777" w:rsidR="005F37B1" w:rsidRDefault="005F37B1" w:rsidP="000B055B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  <w:p w14:paraId="0C5AA40C" w14:textId="6B259188" w:rsidR="00735A39" w:rsidRPr="00B45671" w:rsidRDefault="00735A39" w:rsidP="000B055B">
            <w:pPr>
              <w:spacing w:before="12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lastRenderedPageBreak/>
              <w:t>A3</w:t>
            </w:r>
          </w:p>
        </w:tc>
      </w:tr>
      <w:tr w:rsidR="00735A39" w:rsidRPr="00DE5621" w14:paraId="7C511CB1" w14:textId="77777777" w:rsidTr="00427220">
        <w:trPr>
          <w:gridAfter w:val="1"/>
          <w:wAfter w:w="9" w:type="dxa"/>
          <w:trHeight w:val="187"/>
        </w:trPr>
        <w:tc>
          <w:tcPr>
            <w:tcW w:w="7761" w:type="dxa"/>
            <w:vAlign w:val="bottom"/>
          </w:tcPr>
          <w:p w14:paraId="65BA070E" w14:textId="4BE17FA6" w:rsidR="00735A39" w:rsidRPr="00B45671" w:rsidRDefault="00735A39" w:rsidP="00427220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lastRenderedPageBreak/>
              <w:t>Details of appropriations affected by transfer of functions between Ministers or GSF agencies during 2022-23</w:t>
            </w:r>
          </w:p>
        </w:tc>
        <w:tc>
          <w:tcPr>
            <w:tcW w:w="1274" w:type="dxa"/>
            <w:vAlign w:val="bottom"/>
          </w:tcPr>
          <w:p w14:paraId="2CADA1BE" w14:textId="1A68769D" w:rsidR="00735A39" w:rsidRPr="00B45671" w:rsidRDefault="00735A39" w:rsidP="0042722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A3.1</w:t>
            </w:r>
          </w:p>
        </w:tc>
        <w:tc>
          <w:tcPr>
            <w:tcW w:w="760" w:type="dxa"/>
            <w:vAlign w:val="bottom"/>
          </w:tcPr>
          <w:p w14:paraId="1C22C0F4" w14:textId="1E22FF23" w:rsidR="00735A39" w:rsidRPr="00B45671" w:rsidRDefault="009D686F" w:rsidP="00427220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</w:t>
            </w:r>
            <w:r w:rsidR="00860A9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8D6D3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A42422" w:rsidRPr="00DE5621" w14:paraId="2A781194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69A32D8B" w14:textId="77777777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Variation details of annual appropriations for Commonwealth Grants during 2022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noBreakHyphen/>
              <w:t>23</w:t>
            </w:r>
          </w:p>
        </w:tc>
        <w:tc>
          <w:tcPr>
            <w:tcW w:w="1274" w:type="dxa"/>
          </w:tcPr>
          <w:p w14:paraId="10928B0C" w14:textId="77777777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A3.2</w:t>
            </w:r>
          </w:p>
        </w:tc>
        <w:tc>
          <w:tcPr>
            <w:tcW w:w="760" w:type="dxa"/>
          </w:tcPr>
          <w:p w14:paraId="243543D5" w14:textId="77777777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A3-3</w:t>
            </w:r>
          </w:p>
        </w:tc>
      </w:tr>
      <w:tr w:rsidR="00735A39" w:rsidRPr="0078649A" w14:paraId="740AD676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0E90DA5F" w14:textId="13422206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A4: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Classification of Agencies</w:t>
            </w:r>
          </w:p>
        </w:tc>
        <w:tc>
          <w:tcPr>
            <w:tcW w:w="1274" w:type="dxa"/>
            <w:vAlign w:val="center"/>
          </w:tcPr>
          <w:p w14:paraId="66161715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vAlign w:val="center"/>
          </w:tcPr>
          <w:p w14:paraId="78807B65" w14:textId="238A8B88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A4</w:t>
            </w:r>
          </w:p>
        </w:tc>
      </w:tr>
      <w:tr w:rsidR="00735A39" w:rsidRPr="00DE5621" w14:paraId="06C67F45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FD4B381" w14:textId="7DA8AF3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Classification of agencies by sector</w:t>
            </w:r>
          </w:p>
        </w:tc>
        <w:tc>
          <w:tcPr>
            <w:tcW w:w="1274" w:type="dxa"/>
          </w:tcPr>
          <w:p w14:paraId="2DF73867" w14:textId="041927F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Table </w:t>
            </w:r>
            <w:r w:rsidR="00CC1B0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</w:t>
            </w: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.1</w:t>
            </w:r>
          </w:p>
        </w:tc>
        <w:tc>
          <w:tcPr>
            <w:tcW w:w="760" w:type="dxa"/>
          </w:tcPr>
          <w:p w14:paraId="003B8769" w14:textId="516E0EBC" w:rsidR="00735A39" w:rsidRPr="00B45671" w:rsidRDefault="00860A93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A4</w:t>
            </w:r>
            <w:r w:rsidR="00735A39"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7D1E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78649A" w14:paraId="771F533C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74C30CE3" w14:textId="38917E5D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A5: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Measures Statement</w:t>
            </w:r>
          </w:p>
        </w:tc>
        <w:tc>
          <w:tcPr>
            <w:tcW w:w="1274" w:type="dxa"/>
            <w:vAlign w:val="center"/>
          </w:tcPr>
          <w:p w14:paraId="79D2629D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vAlign w:val="center"/>
          </w:tcPr>
          <w:p w14:paraId="171E0E82" w14:textId="3A287352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A5</w:t>
            </w:r>
          </w:p>
        </w:tc>
      </w:tr>
      <w:tr w:rsidR="00735A39" w:rsidRPr="00DE5621" w14:paraId="4BE3073C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07C925FA" w14:textId="3695EE6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color w:val="FF0000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New </w:t>
            </w:r>
            <w:r w:rsidR="00BE5904" w:rsidRPr="00B45671">
              <w:rPr>
                <w:rFonts w:ascii="Public Sans" w:hAnsi="Public Sans" w:cs="Arial"/>
                <w:sz w:val="18"/>
                <w:szCs w:val="18"/>
              </w:rPr>
              <w:t>policy measures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 since the 2023 Pre-Election Budget Update</w:t>
            </w:r>
          </w:p>
        </w:tc>
        <w:tc>
          <w:tcPr>
            <w:tcW w:w="1274" w:type="dxa"/>
          </w:tcPr>
          <w:p w14:paraId="4AC2A0FE" w14:textId="25AE6CF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A5.1</w:t>
            </w:r>
          </w:p>
        </w:tc>
        <w:tc>
          <w:tcPr>
            <w:tcW w:w="760" w:type="dxa"/>
          </w:tcPr>
          <w:p w14:paraId="27A6FA74" w14:textId="3995BFCC" w:rsidR="00735A39" w:rsidRPr="00B45671" w:rsidRDefault="00860A93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A5-</w:t>
            </w:r>
            <w:r w:rsidR="002F129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735A39" w:rsidRPr="0078649A" w14:paraId="026556DB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4766A468" w14:textId="77777777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B: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Fiscal Risks and Budget Sensitivities</w:t>
            </w:r>
          </w:p>
        </w:tc>
        <w:tc>
          <w:tcPr>
            <w:tcW w:w="1274" w:type="dxa"/>
            <w:vAlign w:val="center"/>
          </w:tcPr>
          <w:p w14:paraId="47BE0019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vAlign w:val="center"/>
          </w:tcPr>
          <w:p w14:paraId="5F16A283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B</w:t>
            </w:r>
          </w:p>
        </w:tc>
      </w:tr>
      <w:tr w:rsidR="00735A39" w:rsidRPr="00DE5621" w14:paraId="7ED1B5E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6AF03599" w14:textId="2C2FF4C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Forecasting revenue – What weighting is given to different variables</w:t>
            </w:r>
          </w:p>
        </w:tc>
        <w:tc>
          <w:tcPr>
            <w:tcW w:w="1274" w:type="dxa"/>
          </w:tcPr>
          <w:p w14:paraId="1C451F94" w14:textId="0AAE8B1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B.1</w:t>
            </w:r>
          </w:p>
        </w:tc>
        <w:tc>
          <w:tcPr>
            <w:tcW w:w="760" w:type="dxa"/>
          </w:tcPr>
          <w:p w14:paraId="22D920F2" w14:textId="0BF1F54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BE713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735A39" w:rsidRPr="00DE5621" w14:paraId="0F228A72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</w:tcPr>
          <w:p w14:paraId="4A842698" w14:textId="5874ABB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Payroll tax</w:t>
            </w:r>
          </w:p>
        </w:tc>
        <w:tc>
          <w:tcPr>
            <w:tcW w:w="1274" w:type="dxa"/>
          </w:tcPr>
          <w:p w14:paraId="4AC98264" w14:textId="4B550B5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B.2</w:t>
            </w:r>
          </w:p>
        </w:tc>
        <w:tc>
          <w:tcPr>
            <w:tcW w:w="760" w:type="dxa"/>
          </w:tcPr>
          <w:p w14:paraId="2F9C02C2" w14:textId="75CC961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DE229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323CE204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5A18BC7F" w14:textId="3BD034B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Transfer duty</w:t>
            </w:r>
          </w:p>
        </w:tc>
        <w:tc>
          <w:tcPr>
            <w:tcW w:w="1274" w:type="dxa"/>
          </w:tcPr>
          <w:p w14:paraId="02043A6B" w14:textId="0004FA9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B.3</w:t>
            </w:r>
          </w:p>
        </w:tc>
        <w:tc>
          <w:tcPr>
            <w:tcW w:w="760" w:type="dxa"/>
          </w:tcPr>
          <w:p w14:paraId="7741CC05" w14:textId="44A5E85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DE229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0DDE7FE7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4AACAB25" w14:textId="6D153BA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GST</w:t>
            </w:r>
          </w:p>
        </w:tc>
        <w:tc>
          <w:tcPr>
            <w:tcW w:w="1274" w:type="dxa"/>
          </w:tcPr>
          <w:p w14:paraId="5D2E9463" w14:textId="0FFF82C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B.4</w:t>
            </w:r>
          </w:p>
        </w:tc>
        <w:tc>
          <w:tcPr>
            <w:tcW w:w="760" w:type="dxa"/>
          </w:tcPr>
          <w:p w14:paraId="5EFF9405" w14:textId="5EA122A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582AD2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5AD7632B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35EBBC7" w14:textId="4C6AFF97" w:rsidR="00735A39" w:rsidRPr="00B45671" w:rsidRDefault="00735A39" w:rsidP="00735A39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Coal royalties</w:t>
            </w:r>
          </w:p>
        </w:tc>
        <w:tc>
          <w:tcPr>
            <w:tcW w:w="1274" w:type="dxa"/>
          </w:tcPr>
          <w:p w14:paraId="34568A46" w14:textId="760C471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B.5</w:t>
            </w:r>
          </w:p>
        </w:tc>
        <w:tc>
          <w:tcPr>
            <w:tcW w:w="760" w:type="dxa"/>
          </w:tcPr>
          <w:p w14:paraId="7703761E" w14:textId="7CAA01A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C449C5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735A39" w:rsidRPr="00DE5621" w14:paraId="22716DA0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64B78A25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Expense sensitivities</w:t>
            </w:r>
          </w:p>
        </w:tc>
        <w:tc>
          <w:tcPr>
            <w:tcW w:w="1274" w:type="dxa"/>
          </w:tcPr>
          <w:p w14:paraId="703B8D59" w14:textId="38592C3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B.6</w:t>
            </w:r>
          </w:p>
        </w:tc>
        <w:tc>
          <w:tcPr>
            <w:tcW w:w="760" w:type="dxa"/>
          </w:tcPr>
          <w:p w14:paraId="37AA7C5B" w14:textId="7671D172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5D1EF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735A39" w:rsidRPr="00DE5621" w14:paraId="202A4208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7487604C" w14:textId="05D4395A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Financial markets and interest rates sensitivities</w:t>
            </w:r>
          </w:p>
        </w:tc>
        <w:tc>
          <w:tcPr>
            <w:tcW w:w="1274" w:type="dxa"/>
          </w:tcPr>
          <w:p w14:paraId="08864743" w14:textId="1C604DA2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B.7</w:t>
            </w:r>
          </w:p>
        </w:tc>
        <w:tc>
          <w:tcPr>
            <w:tcW w:w="760" w:type="dxa"/>
          </w:tcPr>
          <w:p w14:paraId="22688E5D" w14:textId="077CF33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5D1EF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735A39" w:rsidRPr="00DE5621" w14:paraId="79397191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1033E1E2" w14:textId="2CC6B9C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Superannuation liabilities sensitivities</w:t>
            </w:r>
          </w:p>
        </w:tc>
        <w:tc>
          <w:tcPr>
            <w:tcW w:w="1274" w:type="dxa"/>
          </w:tcPr>
          <w:p w14:paraId="316D5EB0" w14:textId="6D4B2EE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B.8</w:t>
            </w:r>
          </w:p>
        </w:tc>
        <w:tc>
          <w:tcPr>
            <w:tcW w:w="760" w:type="dxa"/>
          </w:tcPr>
          <w:p w14:paraId="4BD659A2" w14:textId="123122A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037F9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735A39" w:rsidRPr="0078649A" w14:paraId="5EEFBFCC" w14:textId="77777777" w:rsidTr="00A42422">
        <w:tc>
          <w:tcPr>
            <w:tcW w:w="7761" w:type="dxa"/>
            <w:vAlign w:val="center"/>
          </w:tcPr>
          <w:p w14:paraId="2BC6C016" w14:textId="197CAAC0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C: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Contingent Assets and Liabilities</w:t>
            </w:r>
          </w:p>
        </w:tc>
        <w:tc>
          <w:tcPr>
            <w:tcW w:w="1274" w:type="dxa"/>
            <w:vAlign w:val="center"/>
          </w:tcPr>
          <w:p w14:paraId="02C3E1F0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2FBF74C7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C</w:t>
            </w:r>
          </w:p>
        </w:tc>
      </w:tr>
      <w:tr w:rsidR="00735A39" w:rsidRPr="00DE5621" w14:paraId="5B2DD90D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70A673E5" w14:textId="7D522BF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quantifiable contingent assets</w:t>
            </w:r>
          </w:p>
        </w:tc>
        <w:tc>
          <w:tcPr>
            <w:tcW w:w="1274" w:type="dxa"/>
            <w:vAlign w:val="center"/>
          </w:tcPr>
          <w:p w14:paraId="3CB8FBB2" w14:textId="748457CA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C.1</w:t>
            </w:r>
          </w:p>
        </w:tc>
        <w:tc>
          <w:tcPr>
            <w:tcW w:w="769" w:type="dxa"/>
            <w:gridSpan w:val="2"/>
            <w:vAlign w:val="center"/>
          </w:tcPr>
          <w:p w14:paraId="1F9CBDE6" w14:textId="074774E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0A4FCD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735A39" w:rsidRPr="00DE5621" w14:paraId="33A7B057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2E9DED39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non-quantifiable contingent assets</w:t>
            </w:r>
          </w:p>
        </w:tc>
        <w:tc>
          <w:tcPr>
            <w:tcW w:w="1274" w:type="dxa"/>
            <w:vAlign w:val="center"/>
          </w:tcPr>
          <w:p w14:paraId="7BA25DB3" w14:textId="0CCC15E4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C.2</w:t>
            </w:r>
          </w:p>
        </w:tc>
        <w:tc>
          <w:tcPr>
            <w:tcW w:w="769" w:type="dxa"/>
            <w:gridSpan w:val="2"/>
            <w:vAlign w:val="center"/>
          </w:tcPr>
          <w:p w14:paraId="1EF18C7F" w14:textId="173619A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5E5A2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735A39" w:rsidRPr="00DE5621" w14:paraId="406C4963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0D4D5910" w14:textId="136F109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quantifiable contingent liabilities</w:t>
            </w:r>
          </w:p>
        </w:tc>
        <w:tc>
          <w:tcPr>
            <w:tcW w:w="1274" w:type="dxa"/>
            <w:vAlign w:val="center"/>
          </w:tcPr>
          <w:p w14:paraId="6B5E82AB" w14:textId="4903342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C.3</w:t>
            </w:r>
          </w:p>
        </w:tc>
        <w:tc>
          <w:tcPr>
            <w:tcW w:w="769" w:type="dxa"/>
            <w:gridSpan w:val="2"/>
            <w:vAlign w:val="center"/>
          </w:tcPr>
          <w:p w14:paraId="23C7BB61" w14:textId="408D0564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A45E6A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735A39" w:rsidRPr="00DE5621" w14:paraId="7FF48C91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00689C39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Commercial transaction-related non-quantifiable contingent liabilities</w:t>
            </w:r>
          </w:p>
        </w:tc>
        <w:tc>
          <w:tcPr>
            <w:tcW w:w="1274" w:type="dxa"/>
            <w:vAlign w:val="center"/>
          </w:tcPr>
          <w:p w14:paraId="483DED54" w14:textId="5AB4E08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C.4</w:t>
            </w:r>
          </w:p>
        </w:tc>
        <w:tc>
          <w:tcPr>
            <w:tcW w:w="769" w:type="dxa"/>
            <w:gridSpan w:val="2"/>
            <w:vAlign w:val="center"/>
          </w:tcPr>
          <w:p w14:paraId="0AC69952" w14:textId="449F567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4A5BE9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735A39" w:rsidRPr="00DE5621" w14:paraId="2D25F7F4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63C19634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Other non-quantifiable contingent liabilities</w:t>
            </w:r>
          </w:p>
        </w:tc>
        <w:tc>
          <w:tcPr>
            <w:tcW w:w="1274" w:type="dxa"/>
            <w:vAlign w:val="center"/>
          </w:tcPr>
          <w:p w14:paraId="14AC28BA" w14:textId="64DEF18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C.5</w:t>
            </w:r>
          </w:p>
        </w:tc>
        <w:tc>
          <w:tcPr>
            <w:tcW w:w="769" w:type="dxa"/>
            <w:gridSpan w:val="2"/>
            <w:vAlign w:val="center"/>
          </w:tcPr>
          <w:p w14:paraId="2BA32743" w14:textId="672B74A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EF433E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735A39" w:rsidRPr="0078649A" w14:paraId="127D68DE" w14:textId="77777777" w:rsidTr="00A42422">
        <w:tc>
          <w:tcPr>
            <w:tcW w:w="7761" w:type="dxa"/>
            <w:vAlign w:val="center"/>
          </w:tcPr>
          <w:p w14:paraId="24A6117A" w14:textId="77777777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D: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Historical Fiscal Indicators</w:t>
            </w:r>
          </w:p>
        </w:tc>
        <w:tc>
          <w:tcPr>
            <w:tcW w:w="1274" w:type="dxa"/>
            <w:vAlign w:val="center"/>
          </w:tcPr>
          <w:p w14:paraId="11F933E3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204858A5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D</w:t>
            </w:r>
          </w:p>
        </w:tc>
      </w:tr>
      <w:tr w:rsidR="00735A39" w:rsidRPr="00DE5621" w14:paraId="484BBAE6" w14:textId="77777777" w:rsidTr="00A42422">
        <w:trPr>
          <w:trHeight w:val="187"/>
        </w:trPr>
        <w:tc>
          <w:tcPr>
            <w:tcW w:w="7761" w:type="dxa"/>
          </w:tcPr>
          <w:p w14:paraId="702CC597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operating statement aggregates</w:t>
            </w:r>
          </w:p>
        </w:tc>
        <w:tc>
          <w:tcPr>
            <w:tcW w:w="1274" w:type="dxa"/>
          </w:tcPr>
          <w:p w14:paraId="00A533DC" w14:textId="08E6882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D.1</w:t>
            </w:r>
          </w:p>
        </w:tc>
        <w:tc>
          <w:tcPr>
            <w:tcW w:w="769" w:type="dxa"/>
            <w:gridSpan w:val="2"/>
          </w:tcPr>
          <w:p w14:paraId="5CC33817" w14:textId="7EA673F7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4C770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35605159" w14:textId="77777777" w:rsidTr="00A42422">
        <w:trPr>
          <w:trHeight w:val="187"/>
        </w:trPr>
        <w:tc>
          <w:tcPr>
            <w:tcW w:w="7761" w:type="dxa"/>
          </w:tcPr>
          <w:p w14:paraId="1C4DE81E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balance sheet and financing indicators</w:t>
            </w:r>
          </w:p>
        </w:tc>
        <w:tc>
          <w:tcPr>
            <w:tcW w:w="1274" w:type="dxa"/>
          </w:tcPr>
          <w:p w14:paraId="73CE8336" w14:textId="74926DD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D.2</w:t>
            </w:r>
          </w:p>
        </w:tc>
        <w:tc>
          <w:tcPr>
            <w:tcW w:w="769" w:type="dxa"/>
            <w:gridSpan w:val="2"/>
          </w:tcPr>
          <w:p w14:paraId="548CB749" w14:textId="43F73680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F1071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20CAC4C9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71A8F7AE" w14:textId="1A514CE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Non-financial public sector operating statement aggregates</w:t>
            </w:r>
          </w:p>
        </w:tc>
        <w:tc>
          <w:tcPr>
            <w:tcW w:w="1274" w:type="dxa"/>
          </w:tcPr>
          <w:p w14:paraId="7A32B53C" w14:textId="3C41DE8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D.3</w:t>
            </w:r>
          </w:p>
        </w:tc>
        <w:tc>
          <w:tcPr>
            <w:tcW w:w="769" w:type="dxa"/>
            <w:gridSpan w:val="2"/>
            <w:vAlign w:val="center"/>
          </w:tcPr>
          <w:p w14:paraId="065FB5B6" w14:textId="232DE701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64085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735A39" w:rsidRPr="00DE5621" w14:paraId="56830000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2C2CD377" w14:textId="09C3615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Non-financial public sector balance sheet and financing indicators</w:t>
            </w:r>
          </w:p>
        </w:tc>
        <w:tc>
          <w:tcPr>
            <w:tcW w:w="1274" w:type="dxa"/>
          </w:tcPr>
          <w:p w14:paraId="4EB947AF" w14:textId="6EC6EFD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D.4</w:t>
            </w:r>
          </w:p>
        </w:tc>
        <w:tc>
          <w:tcPr>
            <w:tcW w:w="769" w:type="dxa"/>
            <w:gridSpan w:val="2"/>
            <w:vAlign w:val="center"/>
          </w:tcPr>
          <w:p w14:paraId="34FFDB0B" w14:textId="21DCFB59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BA4E8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735A39" w:rsidRPr="0078649A" w14:paraId="1774E9AC" w14:textId="77777777" w:rsidTr="00A42422">
        <w:tc>
          <w:tcPr>
            <w:tcW w:w="7761" w:type="dxa"/>
            <w:vAlign w:val="center"/>
          </w:tcPr>
          <w:p w14:paraId="6AA6F087" w14:textId="0B35309E" w:rsidR="00735A39" w:rsidRPr="00B45671" w:rsidRDefault="00735A39" w:rsidP="00735A39">
            <w:pPr>
              <w:tabs>
                <w:tab w:val="left" w:pos="1418"/>
              </w:tabs>
              <w:spacing w:before="120"/>
              <w:ind w:left="1278" w:hanging="1278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E: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 xml:space="preserve">Performance and Reporting Under the </w:t>
            </w:r>
            <w:r w:rsidRPr="00A01066">
              <w:rPr>
                <w:rFonts w:ascii="Public Sans" w:hAnsi="Public Sans" w:cs="Arial"/>
                <w:b/>
                <w:i/>
                <w:color w:val="22272B"/>
                <w:kern w:val="28"/>
              </w:rPr>
              <w:t xml:space="preserve">Fiscal Responsibility </w:t>
            </w:r>
            <w:r w:rsidRPr="00A01066">
              <w:rPr>
                <w:rFonts w:ascii="Public Sans" w:hAnsi="Public Sans" w:cs="Arial"/>
                <w:b/>
                <w:i/>
                <w:color w:val="22272B"/>
                <w:kern w:val="28"/>
              </w:rPr>
              <w:br/>
              <w:t xml:space="preserve">  Act 2012</w:t>
            </w:r>
          </w:p>
        </w:tc>
        <w:tc>
          <w:tcPr>
            <w:tcW w:w="1274" w:type="dxa"/>
            <w:vAlign w:val="center"/>
          </w:tcPr>
          <w:p w14:paraId="21664EED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9" w:type="dxa"/>
            <w:gridSpan w:val="2"/>
            <w:vAlign w:val="bottom"/>
          </w:tcPr>
          <w:p w14:paraId="6CEE9271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E</w:t>
            </w:r>
          </w:p>
        </w:tc>
      </w:tr>
      <w:tr w:rsidR="00735A39" w:rsidRPr="00DE5621" w14:paraId="10B52340" w14:textId="77777777" w:rsidTr="00A42422">
        <w:tc>
          <w:tcPr>
            <w:tcW w:w="7761" w:type="dxa"/>
            <w:vAlign w:val="center"/>
          </w:tcPr>
          <w:p w14:paraId="50F6E9F1" w14:textId="28EB3B1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Performance against the FRA’s object – Maintain the State’s triple-A credit rating</w:t>
            </w:r>
          </w:p>
        </w:tc>
        <w:tc>
          <w:tcPr>
            <w:tcW w:w="1274" w:type="dxa"/>
            <w:vAlign w:val="center"/>
          </w:tcPr>
          <w:p w14:paraId="2B799B1E" w14:textId="5BEC6EB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E.1</w:t>
            </w:r>
          </w:p>
        </w:tc>
        <w:tc>
          <w:tcPr>
            <w:tcW w:w="769" w:type="dxa"/>
            <w:gridSpan w:val="2"/>
            <w:vAlign w:val="center"/>
          </w:tcPr>
          <w:p w14:paraId="73409C32" w14:textId="535FDC5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C22530F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1</w:t>
            </w:r>
          </w:p>
        </w:tc>
      </w:tr>
      <w:tr w:rsidR="00735A39" w:rsidRPr="00DE5621" w14:paraId="064D6B83" w14:textId="77777777" w:rsidTr="00A42422">
        <w:tc>
          <w:tcPr>
            <w:tcW w:w="7761" w:type="dxa"/>
            <w:vAlign w:val="center"/>
          </w:tcPr>
          <w:p w14:paraId="02AAA13C" w14:textId="43747A43" w:rsidR="00735A39" w:rsidRPr="00B45671" w:rsidRDefault="00A06E7A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iCs/>
                <w:sz w:val="18"/>
                <w:szCs w:val="18"/>
              </w:rPr>
              <w:t>Target</w:t>
            </w:r>
            <w:r w:rsidR="00735A39" w:rsidRPr="00B45671">
              <w:rPr>
                <w:rFonts w:ascii="Public Sans" w:hAnsi="Public Sans" w:cs="Arial"/>
                <w:sz w:val="18"/>
                <w:szCs w:val="18"/>
              </w:rPr>
              <w:t xml:space="preserve"> 1 – General government expense growth</w:t>
            </w:r>
          </w:p>
        </w:tc>
        <w:tc>
          <w:tcPr>
            <w:tcW w:w="1274" w:type="dxa"/>
            <w:vAlign w:val="center"/>
          </w:tcPr>
          <w:p w14:paraId="66F829B3" w14:textId="32935BF2" w:rsidR="00735A39" w:rsidRPr="00B45671" w:rsidRDefault="00D03C8B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kern w:val="28"/>
                <w:sz w:val="18"/>
                <w:szCs w:val="18"/>
              </w:rPr>
              <w:t>Table E.2</w:t>
            </w:r>
          </w:p>
        </w:tc>
        <w:tc>
          <w:tcPr>
            <w:tcW w:w="769" w:type="dxa"/>
            <w:gridSpan w:val="2"/>
            <w:vAlign w:val="center"/>
          </w:tcPr>
          <w:p w14:paraId="5964ACFE" w14:textId="1265098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E8A541C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</w:tr>
      <w:tr w:rsidR="001E7330" w:rsidRPr="00DE5621" w14:paraId="62AD4DB0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195A93B1" w14:textId="051C9DBF" w:rsidR="001E7330" w:rsidRDefault="001E7330" w:rsidP="00735A39">
            <w:pPr>
              <w:spacing w:before="20" w:after="20"/>
              <w:rPr>
                <w:rFonts w:ascii="Public Sans" w:hAnsi="Public Sans" w:cs="Arial"/>
                <w:iCs/>
                <w:sz w:val="18"/>
                <w:szCs w:val="18"/>
              </w:rPr>
            </w:pPr>
            <w:r>
              <w:rPr>
                <w:rFonts w:ascii="Public Sans" w:hAnsi="Public Sans" w:cs="Arial"/>
                <w:iCs/>
                <w:sz w:val="18"/>
                <w:szCs w:val="18"/>
              </w:rPr>
              <w:t>Target 2</w:t>
            </w:r>
            <w:r w:rsidRPr="00B45671">
              <w:rPr>
                <w:rFonts w:ascii="Public Sans" w:hAnsi="Public Sans" w:cs="Arial"/>
                <w:iCs/>
                <w:sz w:val="18"/>
                <w:szCs w:val="18"/>
              </w:rPr>
              <w:t xml:space="preserve"> – General government </w:t>
            </w:r>
            <w:r w:rsidR="007F212D">
              <w:rPr>
                <w:rFonts w:ascii="Public Sans" w:hAnsi="Public Sans" w:cs="Arial"/>
                <w:iCs/>
                <w:sz w:val="18"/>
                <w:szCs w:val="18"/>
              </w:rPr>
              <w:t>net superannuation liabilities</w:t>
            </w:r>
          </w:p>
        </w:tc>
        <w:tc>
          <w:tcPr>
            <w:tcW w:w="1274" w:type="dxa"/>
            <w:vAlign w:val="center"/>
          </w:tcPr>
          <w:p w14:paraId="42E0AAAB" w14:textId="0724C47C" w:rsidR="001E7330" w:rsidRPr="00B45671" w:rsidRDefault="007F212D" w:rsidP="00735A3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 E.</w:t>
            </w:r>
            <w:r w:rsidR="006D45C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14:paraId="400032E5" w14:textId="0B872027" w:rsidR="001E7330" w:rsidRPr="00B45671" w:rsidRDefault="23444BCB" w:rsidP="00735A3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32492FCF">
              <w:rPr>
                <w:rFonts w:ascii="Public Sans" w:hAnsi="Public Sans" w:cs="Arial"/>
                <w:sz w:val="18"/>
                <w:szCs w:val="18"/>
              </w:rPr>
              <w:t>E-2</w:t>
            </w:r>
          </w:p>
        </w:tc>
      </w:tr>
      <w:tr w:rsidR="00735A39" w:rsidRPr="00DE5621" w14:paraId="3079A1B2" w14:textId="77777777" w:rsidTr="00A42422">
        <w:tc>
          <w:tcPr>
            <w:tcW w:w="7761" w:type="dxa"/>
            <w:vAlign w:val="center"/>
          </w:tcPr>
          <w:p w14:paraId="42AB8AF2" w14:textId="189A580B" w:rsidR="00735A39" w:rsidRPr="00B45671" w:rsidRDefault="00F46E1C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iCs/>
                <w:sz w:val="18"/>
                <w:szCs w:val="18"/>
              </w:rPr>
              <w:t>Fiscal Responsibility Act 2012 – Principle 1</w:t>
            </w:r>
          </w:p>
        </w:tc>
        <w:tc>
          <w:tcPr>
            <w:tcW w:w="1274" w:type="dxa"/>
            <w:vAlign w:val="center"/>
          </w:tcPr>
          <w:p w14:paraId="49FE4719" w14:textId="236886F6" w:rsidR="00735A39" w:rsidRPr="00B45671" w:rsidRDefault="00F46E1C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Table</w:t>
            </w:r>
            <w:r w:rsidR="00735A39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E.</w:t>
            </w:r>
            <w:r w:rsidR="00613024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14:paraId="3AFA541D" w14:textId="37FE552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3AAB8C0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128ECC70" w14:textId="77777777" w:rsidTr="00A42422">
        <w:tc>
          <w:tcPr>
            <w:tcW w:w="7761" w:type="dxa"/>
            <w:vAlign w:val="center"/>
          </w:tcPr>
          <w:p w14:paraId="52C77BFA" w14:textId="4E90223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iCs/>
                <w:sz w:val="18"/>
                <w:szCs w:val="18"/>
              </w:rPr>
              <w:t xml:space="preserve">Principle 1 – </w:t>
            </w:r>
            <w:r w:rsidR="00F46E1C">
              <w:rPr>
                <w:rFonts w:ascii="Public Sans" w:hAnsi="Public Sans" w:cs="Arial"/>
                <w:iCs/>
                <w:sz w:val="18"/>
                <w:szCs w:val="18"/>
              </w:rPr>
              <w:t>General government taxation revenue to GSP</w:t>
            </w:r>
          </w:p>
        </w:tc>
        <w:tc>
          <w:tcPr>
            <w:tcW w:w="1274" w:type="dxa"/>
            <w:vAlign w:val="center"/>
          </w:tcPr>
          <w:p w14:paraId="49EBF578" w14:textId="7362117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E.</w:t>
            </w:r>
            <w:r w:rsidR="00303F1A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14:paraId="7C34D9A7" w14:textId="4B41C56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22D7A219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188E2532" w14:textId="77777777" w:rsidTr="00A42422">
        <w:tc>
          <w:tcPr>
            <w:tcW w:w="7761" w:type="dxa"/>
            <w:vAlign w:val="center"/>
          </w:tcPr>
          <w:p w14:paraId="25C5DA25" w14:textId="25EDB857" w:rsidR="00735A39" w:rsidRPr="00B45671" w:rsidRDefault="00735A39" w:rsidP="00C0492B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C0492B">
              <w:rPr>
                <w:rFonts w:ascii="Public Sans" w:hAnsi="Public Sans" w:cs="Arial"/>
                <w:sz w:val="18"/>
                <w:szCs w:val="18"/>
              </w:rPr>
              <w:t xml:space="preserve">Principle </w:t>
            </w:r>
            <w:r w:rsidR="00C0492B" w:rsidRPr="00C0492B">
              <w:rPr>
                <w:rFonts w:ascii="Public Sans" w:hAnsi="Public Sans" w:cs="Arial"/>
                <w:sz w:val="18"/>
                <w:szCs w:val="18"/>
              </w:rPr>
              <w:t>1</w:t>
            </w:r>
            <w:r w:rsidRPr="00C0492B">
              <w:rPr>
                <w:rFonts w:ascii="Public Sans" w:hAnsi="Public Sans" w:cs="Arial"/>
                <w:sz w:val="18"/>
                <w:szCs w:val="18"/>
              </w:rPr>
              <w:t xml:space="preserve"> – </w:t>
            </w:r>
            <w:r w:rsidR="00C0492B" w:rsidRPr="00C0492B">
              <w:rPr>
                <w:rFonts w:ascii="Public Sans" w:hAnsi="Public Sans" w:cs="Arial"/>
                <w:sz w:val="18"/>
                <w:szCs w:val="18"/>
              </w:rPr>
              <w:t>General government and public non-financial corporations’ capital expenditure</w:t>
            </w:r>
          </w:p>
        </w:tc>
        <w:tc>
          <w:tcPr>
            <w:tcW w:w="1274" w:type="dxa"/>
            <w:vAlign w:val="center"/>
          </w:tcPr>
          <w:p w14:paraId="324E84ED" w14:textId="5146F8A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E.</w:t>
            </w:r>
            <w:r w:rsidR="007F4593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14:paraId="094E3684" w14:textId="62A0876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07F4593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</w:tr>
      <w:tr w:rsidR="006C630D" w:rsidRPr="00DE5621" w14:paraId="017D8460" w14:textId="77777777" w:rsidTr="00A42422">
        <w:trPr>
          <w:gridAfter w:val="1"/>
          <w:wAfter w:w="9" w:type="dxa"/>
        </w:trPr>
        <w:tc>
          <w:tcPr>
            <w:tcW w:w="7761" w:type="dxa"/>
            <w:vAlign w:val="center"/>
          </w:tcPr>
          <w:p w14:paraId="359142E8" w14:textId="016D3E73" w:rsidR="006C630D" w:rsidRPr="00C0492B" w:rsidRDefault="006C630D" w:rsidP="006C630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i/>
                <w:sz w:val="18"/>
                <w:szCs w:val="18"/>
              </w:rPr>
              <w:t>Fiscal Responsibility Act 2012</w:t>
            </w:r>
            <w:r w:rsidR="00DD0B70">
              <w:rPr>
                <w:rFonts w:ascii="Public Sans" w:hAnsi="Public Sans" w:cs="Arial"/>
                <w:i/>
                <w:sz w:val="18"/>
                <w:szCs w:val="18"/>
              </w:rPr>
              <w:t xml:space="preserve"> 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– Principle 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1274" w:type="dxa"/>
            <w:vAlign w:val="center"/>
          </w:tcPr>
          <w:p w14:paraId="20C07DF9" w14:textId="5DC01AE7" w:rsidR="006C630D" w:rsidRPr="00B45671" w:rsidRDefault="006C630D" w:rsidP="006C630D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Table E.</w:t>
            </w:r>
            <w:r w:rsidR="0031347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14:paraId="13AD7C12" w14:textId="11A6FDB1" w:rsidR="006C630D" w:rsidRPr="00B45671" w:rsidRDefault="006C630D" w:rsidP="006C630D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E-</w:t>
            </w:r>
            <w:r w:rsidR="62FF753B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</w:tr>
      <w:tr w:rsidR="00735A39" w:rsidRPr="00086383" w14:paraId="586006F5" w14:textId="77777777" w:rsidTr="00A42422">
        <w:tc>
          <w:tcPr>
            <w:tcW w:w="7761" w:type="dxa"/>
            <w:vAlign w:val="center"/>
          </w:tcPr>
          <w:p w14:paraId="7B351F42" w14:textId="55B12AB9" w:rsidR="00735A39" w:rsidRPr="00B45671" w:rsidRDefault="006C630D" w:rsidP="006C630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Principle 2 – General government gross debt and interest expenses as a per cent of revenue</w:t>
            </w:r>
          </w:p>
        </w:tc>
        <w:tc>
          <w:tcPr>
            <w:tcW w:w="1274" w:type="dxa"/>
            <w:vAlign w:val="center"/>
          </w:tcPr>
          <w:p w14:paraId="3FFD1486" w14:textId="61E4076F" w:rsidR="00735A39" w:rsidRPr="00B45671" w:rsidRDefault="006C630D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</w:t>
            </w:r>
            <w:r w:rsidR="00735A39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E.</w:t>
            </w:r>
            <w:r w:rsidR="00FA6A6D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  <w:tc>
          <w:tcPr>
            <w:tcW w:w="769" w:type="dxa"/>
            <w:gridSpan w:val="2"/>
            <w:vAlign w:val="center"/>
          </w:tcPr>
          <w:p w14:paraId="6B0921BC" w14:textId="3BBFCCE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  <w:highlight w:val="yellow"/>
              </w:rPr>
            </w:pPr>
            <w:r w:rsidRPr="00860A93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03E7D8B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</w:tr>
      <w:tr w:rsidR="00735A39" w:rsidRPr="00086383" w14:paraId="3280893F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7C0FFF4C" w14:textId="0618A8B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i/>
                <w:sz w:val="18"/>
                <w:szCs w:val="18"/>
              </w:rPr>
              <w:t>Fiscal Responsibility Act 2012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Pr="00B45671">
              <w:rPr>
                <w:rFonts w:ascii="Public Sans" w:hAnsi="Public Sans" w:cs="Arial" w:hint="eastAsia"/>
                <w:sz w:val="18"/>
                <w:szCs w:val="18"/>
              </w:rPr>
              <w:t>–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 Principle </w:t>
            </w:r>
            <w:r w:rsidR="00F64F68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1274" w:type="dxa"/>
            <w:vAlign w:val="center"/>
          </w:tcPr>
          <w:p w14:paraId="0CC20A1D" w14:textId="02235CE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E.</w:t>
            </w:r>
            <w:r w:rsidR="00EC172C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  <w:tc>
          <w:tcPr>
            <w:tcW w:w="769" w:type="dxa"/>
            <w:gridSpan w:val="2"/>
            <w:vAlign w:val="center"/>
          </w:tcPr>
          <w:p w14:paraId="0B0AA59F" w14:textId="0A5F6A6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  <w:highlight w:val="yellow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235FA75F" w:rsidRPr="32492FCF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</w:tr>
      <w:tr w:rsidR="00735A39" w:rsidRPr="0078649A" w14:paraId="289E27FA" w14:textId="77777777" w:rsidTr="00A42422">
        <w:tc>
          <w:tcPr>
            <w:tcW w:w="7761" w:type="dxa"/>
            <w:vAlign w:val="center"/>
          </w:tcPr>
          <w:p w14:paraId="5C05FB57" w14:textId="2E13C6DC" w:rsidR="00735A39" w:rsidRPr="00B45671" w:rsidRDefault="00735A39" w:rsidP="00735A39">
            <w:pPr>
              <w:tabs>
                <w:tab w:val="left" w:pos="1418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F: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Economic Scenario Analysis</w:t>
            </w:r>
          </w:p>
        </w:tc>
        <w:tc>
          <w:tcPr>
            <w:tcW w:w="1274" w:type="dxa"/>
            <w:vAlign w:val="center"/>
          </w:tcPr>
          <w:p w14:paraId="6C881584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3BAE4BC9" w14:textId="7D3345CA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F</w:t>
            </w:r>
          </w:p>
        </w:tc>
      </w:tr>
      <w:tr w:rsidR="009B1D68" w:rsidRPr="00DE5621" w14:paraId="4C949735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14654B62" w14:textId="6154727C" w:rsidR="009B1D68" w:rsidRPr="00B45671" w:rsidRDefault="00312FAD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</w:t>
            </w:r>
            <w:r w:rsidR="006C630D" w:rsidRPr="00B45671">
              <w:rPr>
                <w:rFonts w:ascii="Public Sans" w:hAnsi="Public Sans" w:cs="Arial"/>
                <w:sz w:val="18"/>
                <w:szCs w:val="18"/>
              </w:rPr>
              <w:t xml:space="preserve">ffect </w:t>
            </w:r>
            <w:r>
              <w:rPr>
                <w:rFonts w:ascii="Public Sans" w:hAnsi="Public Sans" w:cs="Arial"/>
                <w:sz w:val="18"/>
                <w:szCs w:val="18"/>
              </w:rPr>
              <w:t>on major economic parameters from a</w:t>
            </w:r>
            <w:r w:rsidR="009B1D68">
              <w:rPr>
                <w:rFonts w:ascii="Public Sans" w:hAnsi="Public Sans" w:cs="Arial"/>
                <w:sz w:val="18"/>
                <w:szCs w:val="18"/>
              </w:rPr>
              <w:t xml:space="preserve"> faster than expected return of interest rates to the neutral rate</w:t>
            </w:r>
          </w:p>
        </w:tc>
        <w:tc>
          <w:tcPr>
            <w:tcW w:w="1274" w:type="dxa"/>
            <w:vAlign w:val="center"/>
          </w:tcPr>
          <w:p w14:paraId="0D09A9E0" w14:textId="6214B34D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F.1</w:t>
            </w:r>
          </w:p>
        </w:tc>
        <w:tc>
          <w:tcPr>
            <w:tcW w:w="769" w:type="dxa"/>
            <w:gridSpan w:val="2"/>
            <w:vAlign w:val="center"/>
          </w:tcPr>
          <w:p w14:paraId="46C69D7D" w14:textId="2BA3C0B0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E213F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312FAD" w:rsidRPr="00B45671" w14:paraId="0C4BF647" w14:textId="77777777" w:rsidTr="00A42422">
        <w:trPr>
          <w:gridAfter w:val="1"/>
          <w:wAfter w:w="9" w:type="dxa"/>
          <w:trHeight w:val="187"/>
        </w:trPr>
        <w:tc>
          <w:tcPr>
            <w:tcW w:w="7761" w:type="dxa"/>
            <w:vAlign w:val="center"/>
          </w:tcPr>
          <w:p w14:paraId="541EEAC2" w14:textId="3B8C9028" w:rsidR="00312FAD" w:rsidRPr="00B45671" w:rsidRDefault="00312FAD" w:rsidP="00CF7FC9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Higher household consumption and investment lift domestic activity</w:t>
            </w:r>
          </w:p>
        </w:tc>
        <w:tc>
          <w:tcPr>
            <w:tcW w:w="1274" w:type="dxa"/>
            <w:vAlign w:val="center"/>
          </w:tcPr>
          <w:p w14:paraId="4120F8BB" w14:textId="77777777" w:rsidR="00312FAD" w:rsidRPr="00B45671" w:rsidRDefault="00312FAD" w:rsidP="00CF7FC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 F.1</w:t>
            </w:r>
          </w:p>
        </w:tc>
        <w:tc>
          <w:tcPr>
            <w:tcW w:w="760" w:type="dxa"/>
            <w:vAlign w:val="center"/>
          </w:tcPr>
          <w:p w14:paraId="28F2F920" w14:textId="4423DEF4" w:rsidR="00312FAD" w:rsidRPr="00B45671" w:rsidRDefault="00312FAD" w:rsidP="00CF7FC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F-</w:t>
            </w:r>
            <w:r w:rsidR="00E213F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9B1D68" w:rsidRPr="00DE5621" w14:paraId="14473DB1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6A490C22" w14:textId="3CDE7988" w:rsidR="009B1D68" w:rsidRPr="00B45671" w:rsidRDefault="00E203D7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</w:t>
            </w:r>
            <w:r w:rsidR="006C630D" w:rsidRPr="00B45671">
              <w:rPr>
                <w:rFonts w:ascii="Public Sans" w:hAnsi="Public Sans" w:cs="Arial"/>
                <w:sz w:val="18"/>
                <w:szCs w:val="18"/>
              </w:rPr>
              <w:t xml:space="preserve">ffect </w:t>
            </w:r>
            <w:r>
              <w:rPr>
                <w:rFonts w:ascii="Public Sans" w:hAnsi="Public Sans" w:cs="Arial"/>
                <w:sz w:val="18"/>
                <w:szCs w:val="18"/>
              </w:rPr>
              <w:t>on major revenue parameters from a</w:t>
            </w:r>
            <w:r w:rsidR="009B1D68">
              <w:rPr>
                <w:rFonts w:ascii="Public Sans" w:hAnsi="Public Sans" w:cs="Arial"/>
                <w:sz w:val="18"/>
                <w:szCs w:val="18"/>
              </w:rPr>
              <w:t xml:space="preserve"> faster than expected return of interest rates to the neutral rate</w:t>
            </w:r>
          </w:p>
        </w:tc>
        <w:tc>
          <w:tcPr>
            <w:tcW w:w="1274" w:type="dxa"/>
            <w:vAlign w:val="center"/>
          </w:tcPr>
          <w:p w14:paraId="0F6365F2" w14:textId="410EF7D8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F.2</w:t>
            </w:r>
          </w:p>
        </w:tc>
        <w:tc>
          <w:tcPr>
            <w:tcW w:w="769" w:type="dxa"/>
            <w:gridSpan w:val="2"/>
            <w:vAlign w:val="center"/>
          </w:tcPr>
          <w:p w14:paraId="734AB679" w14:textId="2F2D0744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E213F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9077BF" w:rsidRPr="00DE5621" w14:paraId="0C816541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12EFEA35" w14:textId="311D3BBC" w:rsidR="009077BF" w:rsidRPr="00B45671" w:rsidRDefault="00E203D7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Effect on major economic parameters from</w:t>
            </w:r>
            <w:r w:rsidR="002B3937">
              <w:rPr>
                <w:rFonts w:ascii="Public Sans" w:hAnsi="Public Sans" w:cs="Arial"/>
                <w:sz w:val="18"/>
                <w:szCs w:val="18"/>
              </w:rPr>
              <w:t xml:space="preserve"> a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larger than expected impact of interest rates in slowing the economy</w:t>
            </w:r>
          </w:p>
        </w:tc>
        <w:tc>
          <w:tcPr>
            <w:tcW w:w="1274" w:type="dxa"/>
            <w:vAlign w:val="center"/>
          </w:tcPr>
          <w:p w14:paraId="18F8AFF3" w14:textId="3DE0F3EC" w:rsidR="009077BF" w:rsidRPr="00B45671" w:rsidRDefault="00E203D7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Table</w:t>
            </w:r>
            <w:r w:rsidR="009077BF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F.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14:paraId="1782B5B3" w14:textId="3CB2D674" w:rsidR="009077BF" w:rsidRPr="00B45671" w:rsidRDefault="009077BF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0A0EB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9B1D68" w:rsidRPr="00DE5621" w14:paraId="582D8D1C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04AC4FBD" w14:textId="190CEF33" w:rsidR="009B1D68" w:rsidRPr="00B45671" w:rsidRDefault="0030628C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Trade sector improves to mitigate some of the downturn in domestic economic activity</w:t>
            </w:r>
          </w:p>
        </w:tc>
        <w:tc>
          <w:tcPr>
            <w:tcW w:w="1274" w:type="dxa"/>
            <w:vAlign w:val="center"/>
          </w:tcPr>
          <w:p w14:paraId="617BC652" w14:textId="20BC9B34" w:rsidR="009B1D68" w:rsidRPr="00B45671" w:rsidRDefault="00E203D7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</w:t>
            </w:r>
            <w:r w:rsidR="009B1D68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F.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14:paraId="64742EA0" w14:textId="7193DD7F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9D1B35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9B1D68" w:rsidRPr="00DE5621" w14:paraId="2F2F3245" w14:textId="77777777" w:rsidTr="00A42422">
        <w:trPr>
          <w:trHeight w:val="187"/>
        </w:trPr>
        <w:tc>
          <w:tcPr>
            <w:tcW w:w="7761" w:type="dxa"/>
            <w:vAlign w:val="center"/>
          </w:tcPr>
          <w:p w14:paraId="22225142" w14:textId="37CD3711" w:rsidR="009B1D68" w:rsidRPr="00B45671" w:rsidRDefault="0030628C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Effect on major revenue parameters</w:t>
            </w:r>
            <w:r w:rsidR="00841AD5">
              <w:rPr>
                <w:rFonts w:ascii="Public Sans" w:hAnsi="Public Sans" w:cs="Arial"/>
                <w:sz w:val="18"/>
                <w:szCs w:val="18"/>
              </w:rPr>
              <w:t xml:space="preserve"> from</w:t>
            </w:r>
            <w:r w:rsidR="007B5259">
              <w:rPr>
                <w:rFonts w:ascii="Public Sans" w:hAnsi="Public Sans" w:cs="Arial"/>
                <w:sz w:val="18"/>
                <w:szCs w:val="18"/>
              </w:rPr>
              <w:t xml:space="preserve"> a</w:t>
            </w:r>
            <w:r w:rsidR="006263D5">
              <w:rPr>
                <w:rFonts w:ascii="Public Sans" w:hAnsi="Public Sans" w:cs="Arial"/>
                <w:sz w:val="18"/>
                <w:szCs w:val="18"/>
              </w:rPr>
              <w:t xml:space="preserve"> larger</w:t>
            </w:r>
            <w:r w:rsidR="00841AD5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6263D5">
              <w:rPr>
                <w:rFonts w:ascii="Public Sans" w:hAnsi="Public Sans" w:cs="Arial"/>
                <w:sz w:val="18"/>
                <w:szCs w:val="18"/>
              </w:rPr>
              <w:t>than expected impact of interest rates in slowing the economy</w:t>
            </w:r>
          </w:p>
        </w:tc>
        <w:tc>
          <w:tcPr>
            <w:tcW w:w="1274" w:type="dxa"/>
          </w:tcPr>
          <w:p w14:paraId="1994085A" w14:textId="66EEB841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kern w:val="28"/>
                <w:sz w:val="18"/>
                <w:szCs w:val="18"/>
              </w:rPr>
              <w:t>Table F.4</w:t>
            </w:r>
          </w:p>
        </w:tc>
        <w:tc>
          <w:tcPr>
            <w:tcW w:w="769" w:type="dxa"/>
            <w:gridSpan w:val="2"/>
          </w:tcPr>
          <w:p w14:paraId="5F112116" w14:textId="50A53863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9D1B35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</w:tbl>
    <w:p w14:paraId="15974DB0" w14:textId="77777777" w:rsidR="005806B0" w:rsidRPr="00DE5621" w:rsidRDefault="005806B0" w:rsidP="00B6671C">
      <w:pPr>
        <w:rPr>
          <w:rFonts w:ascii="Arial" w:hAnsi="Arial" w:cs="Arial"/>
        </w:rPr>
      </w:pPr>
    </w:p>
    <w:sectPr w:rsidR="005806B0" w:rsidRPr="00DE5621" w:rsidSect="00CD1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07" w:right="1134" w:bottom="340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8F0D" w14:textId="77777777" w:rsidR="005234BF" w:rsidRDefault="005234BF" w:rsidP="005806B0">
      <w:r>
        <w:separator/>
      </w:r>
    </w:p>
  </w:endnote>
  <w:endnote w:type="continuationSeparator" w:id="0">
    <w:p w14:paraId="471F6AB9" w14:textId="77777777" w:rsidR="005234BF" w:rsidRDefault="005234BF" w:rsidP="005806B0">
      <w:r>
        <w:continuationSeparator/>
      </w:r>
    </w:p>
  </w:endnote>
  <w:endnote w:type="continuationNotice" w:id="1">
    <w:p w14:paraId="1CAFC8DD" w14:textId="77777777" w:rsidR="005234BF" w:rsidRDefault="00523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0B3E" w14:textId="3DDDCD92" w:rsidR="006B442F" w:rsidRPr="005F37B1" w:rsidRDefault="00263F53" w:rsidP="005F37B1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Public Sans" w:eastAsia="Times New Roman" w:hAnsi="Public Sans" w:cs="Arial"/>
        <w:sz w:val="18"/>
        <w:szCs w:val="18"/>
      </w:rPr>
    </w:pPr>
    <w:r w:rsidRPr="0078649A">
      <w:rPr>
        <w:rFonts w:ascii="Public Sans" w:eastAsia="Times New Roman" w:hAnsi="Public Sans" w:cs="Arial"/>
        <w:sz w:val="18"/>
        <w:szCs w:val="18"/>
      </w:rPr>
      <w:t>Budget Statement 202</w:t>
    </w:r>
    <w:r w:rsidR="006B442F" w:rsidRPr="0078649A">
      <w:rPr>
        <w:rFonts w:ascii="Public Sans" w:eastAsia="Times New Roman" w:hAnsi="Public Sans" w:cs="Arial"/>
        <w:sz w:val="18"/>
        <w:szCs w:val="18"/>
      </w:rPr>
      <w:t>3</w:t>
    </w:r>
    <w:r w:rsidRPr="0078649A">
      <w:rPr>
        <w:rFonts w:ascii="Public Sans" w:eastAsia="Times New Roman" w:hAnsi="Public Sans" w:cs="Arial"/>
        <w:sz w:val="18"/>
        <w:szCs w:val="18"/>
      </w:rPr>
      <w:t>-2</w:t>
    </w:r>
    <w:r w:rsidR="006B442F" w:rsidRPr="0078649A">
      <w:rPr>
        <w:rFonts w:ascii="Public Sans" w:eastAsia="Times New Roman" w:hAnsi="Public Sans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7845" w14:textId="24DE066F" w:rsidR="006B442F" w:rsidRPr="005F37B1" w:rsidRDefault="00263F53" w:rsidP="005F37B1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Public Sans" w:eastAsia="Times New Roman" w:hAnsi="Public Sans" w:cs="Arial"/>
        <w:sz w:val="18"/>
        <w:szCs w:val="18"/>
      </w:rPr>
    </w:pPr>
    <w:r w:rsidRPr="0078649A">
      <w:rPr>
        <w:rFonts w:ascii="Public Sans" w:eastAsia="Times New Roman" w:hAnsi="Public Sans" w:cs="Arial"/>
        <w:sz w:val="18"/>
        <w:szCs w:val="18"/>
      </w:rPr>
      <w:t>Budget Statement 202</w:t>
    </w:r>
    <w:r w:rsidR="006B442F" w:rsidRPr="0078649A">
      <w:rPr>
        <w:rFonts w:ascii="Public Sans" w:eastAsia="Times New Roman" w:hAnsi="Public Sans" w:cs="Arial"/>
        <w:sz w:val="18"/>
        <w:szCs w:val="18"/>
      </w:rPr>
      <w:t>3</w:t>
    </w:r>
    <w:r w:rsidRPr="0078649A">
      <w:rPr>
        <w:rFonts w:ascii="Public Sans" w:eastAsia="Times New Roman" w:hAnsi="Public Sans" w:cs="Arial"/>
        <w:sz w:val="18"/>
        <w:szCs w:val="18"/>
      </w:rPr>
      <w:t>-2</w:t>
    </w:r>
    <w:r w:rsidR="006B442F" w:rsidRPr="0078649A">
      <w:rPr>
        <w:rFonts w:ascii="Public Sans" w:eastAsia="Times New Roman" w:hAnsi="Public Sans" w:cs="Arial"/>
        <w:sz w:val="18"/>
        <w:szCs w:val="18"/>
      </w:rPr>
      <w:t>4</w:t>
    </w:r>
    <w:r w:rsidR="006B442F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A0C5" w14:textId="16A71E42" w:rsidR="006B442F" w:rsidRPr="005F37B1" w:rsidRDefault="00263F53" w:rsidP="005F37B1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Public Sans" w:eastAsia="Times New Roman" w:hAnsi="Public Sans" w:cs="Arial"/>
        <w:sz w:val="18"/>
        <w:szCs w:val="18"/>
      </w:rPr>
    </w:pPr>
    <w:r w:rsidRPr="0078649A">
      <w:rPr>
        <w:rFonts w:ascii="Public Sans" w:eastAsia="Times New Roman" w:hAnsi="Public Sans" w:cs="Arial"/>
        <w:sz w:val="18"/>
        <w:szCs w:val="18"/>
      </w:rPr>
      <w:t>Budget Statement 202</w:t>
    </w:r>
    <w:r w:rsidR="006B442F" w:rsidRPr="0078649A">
      <w:rPr>
        <w:rFonts w:ascii="Public Sans" w:eastAsia="Times New Roman" w:hAnsi="Public Sans" w:cs="Arial"/>
        <w:sz w:val="18"/>
        <w:szCs w:val="18"/>
      </w:rPr>
      <w:t>3</w:t>
    </w:r>
    <w:r w:rsidRPr="0078649A">
      <w:rPr>
        <w:rFonts w:ascii="Public Sans" w:eastAsia="Times New Roman" w:hAnsi="Public Sans" w:cs="Arial"/>
        <w:sz w:val="18"/>
        <w:szCs w:val="18"/>
      </w:rPr>
      <w:t>-2</w:t>
    </w:r>
    <w:r w:rsidR="006B442F" w:rsidRPr="0078649A">
      <w:rPr>
        <w:rFonts w:ascii="Public Sans" w:eastAsia="Times New Roman" w:hAnsi="Public Sans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12C" w14:textId="77777777" w:rsidR="005234BF" w:rsidRDefault="005234BF" w:rsidP="005806B0">
      <w:r>
        <w:separator/>
      </w:r>
    </w:p>
  </w:footnote>
  <w:footnote w:type="continuationSeparator" w:id="0">
    <w:p w14:paraId="5848E73F" w14:textId="77777777" w:rsidR="005234BF" w:rsidRDefault="005234BF" w:rsidP="005806B0">
      <w:r>
        <w:continuationSeparator/>
      </w:r>
    </w:p>
  </w:footnote>
  <w:footnote w:type="continuationNotice" w:id="1">
    <w:p w14:paraId="3D8777EF" w14:textId="77777777" w:rsidR="005234BF" w:rsidRDefault="00523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0F33" w14:textId="77777777" w:rsidR="00263F53" w:rsidRDefault="0026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2D60" w14:textId="77777777" w:rsidR="00263F53" w:rsidRDefault="00263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AE76" w14:textId="77777777" w:rsidR="00263F53" w:rsidRDefault="0026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5B20BB"/>
    <w:multiLevelType w:val="hybridMultilevel"/>
    <w:tmpl w:val="748C890E"/>
    <w:lvl w:ilvl="0" w:tplc="981E2CB2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6DC462C4"/>
    <w:lvl w:ilvl="0" w:tplc="58262568">
      <w:start w:val="1"/>
      <w:numFmt w:val="decimal"/>
      <w:pStyle w:val="TableA3X"/>
      <w:lvlText w:val="Table A3.%1:"/>
      <w:lvlJc w:val="left"/>
      <w:pPr>
        <w:ind w:left="360" w:hanging="360"/>
      </w:pPr>
      <w:rPr>
        <w:rFonts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9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6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6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0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2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CA7ED8"/>
    <w:multiLevelType w:val="hybridMultilevel"/>
    <w:tmpl w:val="1E46AC48"/>
    <w:lvl w:ilvl="0" w:tplc="CE58B8EA">
      <w:start w:val="1"/>
      <w:numFmt w:val="decimal"/>
      <w:pStyle w:val="Table21"/>
      <w:lvlText w:val="Table 2.%1:"/>
      <w:lvlJc w:val="left"/>
      <w:pPr>
        <w:ind w:left="108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36140"/>
    <w:multiLevelType w:val="hybridMultilevel"/>
    <w:tmpl w:val="64709564"/>
    <w:lvl w:ilvl="0" w:tplc="88582E6E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4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BD6814"/>
    <w:multiLevelType w:val="hybridMultilevel"/>
    <w:tmpl w:val="1194ADDE"/>
    <w:lvl w:ilvl="0" w:tplc="831EBCDC">
      <w:start w:val="1"/>
      <w:numFmt w:val="decimal"/>
      <w:pStyle w:val="Chart6X"/>
      <w:lvlText w:val="Chart 6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4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AE650EF"/>
    <w:multiLevelType w:val="hybridMultilevel"/>
    <w:tmpl w:val="7EDAFACA"/>
    <w:lvl w:ilvl="0" w:tplc="D6180F72">
      <w:start w:val="1"/>
      <w:numFmt w:val="decimal"/>
      <w:pStyle w:val="Box61BoxHeading"/>
      <w:lvlText w:val="Box 6.%1:"/>
      <w:lvlJc w:val="left"/>
      <w:pPr>
        <w:ind w:left="927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1A1949"/>
    <w:multiLevelType w:val="hybridMultilevel"/>
    <w:tmpl w:val="7DFE196C"/>
    <w:lvl w:ilvl="0" w:tplc="76809DFA">
      <w:start w:val="1"/>
      <w:numFmt w:val="decimal"/>
      <w:pStyle w:val="Chart41"/>
      <w:lvlText w:val="Chart 4.%1:"/>
      <w:lvlJc w:val="left"/>
      <w:pPr>
        <w:ind w:left="36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516776">
    <w:abstractNumId w:val="14"/>
  </w:num>
  <w:num w:numId="2" w16cid:durableId="1265459527">
    <w:abstractNumId w:val="32"/>
  </w:num>
  <w:num w:numId="3" w16cid:durableId="1935356676">
    <w:abstractNumId w:val="47"/>
  </w:num>
  <w:num w:numId="4" w16cid:durableId="1302231484">
    <w:abstractNumId w:val="21"/>
  </w:num>
  <w:num w:numId="5" w16cid:durableId="1129662970">
    <w:abstractNumId w:val="34"/>
  </w:num>
  <w:num w:numId="6" w16cid:durableId="2086485542">
    <w:abstractNumId w:val="44"/>
  </w:num>
  <w:num w:numId="7" w16cid:durableId="608045625">
    <w:abstractNumId w:val="35"/>
  </w:num>
  <w:num w:numId="8" w16cid:durableId="1855144890">
    <w:abstractNumId w:val="4"/>
  </w:num>
  <w:num w:numId="9" w16cid:durableId="1070692170">
    <w:abstractNumId w:val="2"/>
  </w:num>
  <w:num w:numId="10" w16cid:durableId="1411925541">
    <w:abstractNumId w:val="1"/>
  </w:num>
  <w:num w:numId="11" w16cid:durableId="1780559787">
    <w:abstractNumId w:val="0"/>
  </w:num>
  <w:num w:numId="12" w16cid:durableId="521670828">
    <w:abstractNumId w:val="3"/>
  </w:num>
  <w:num w:numId="13" w16cid:durableId="827787281">
    <w:abstractNumId w:val="13"/>
  </w:num>
  <w:num w:numId="14" w16cid:durableId="1744982704">
    <w:abstractNumId w:val="17"/>
  </w:num>
  <w:num w:numId="15" w16cid:durableId="1641809935">
    <w:abstractNumId w:val="9"/>
  </w:num>
  <w:num w:numId="16" w16cid:durableId="1035736161">
    <w:abstractNumId w:val="29"/>
  </w:num>
  <w:num w:numId="17" w16cid:durableId="271936402">
    <w:abstractNumId w:val="15"/>
  </w:num>
  <w:num w:numId="18" w16cid:durableId="1640765851">
    <w:abstractNumId w:val="22"/>
  </w:num>
  <w:num w:numId="19" w16cid:durableId="1158687549">
    <w:abstractNumId w:val="41"/>
  </w:num>
  <w:num w:numId="20" w16cid:durableId="47918664">
    <w:abstractNumId w:val="49"/>
  </w:num>
  <w:num w:numId="21" w16cid:durableId="836384494">
    <w:abstractNumId w:val="27"/>
  </w:num>
  <w:num w:numId="22" w16cid:durableId="974526712">
    <w:abstractNumId w:val="39"/>
  </w:num>
  <w:num w:numId="23" w16cid:durableId="137263732">
    <w:abstractNumId w:val="20"/>
  </w:num>
  <w:num w:numId="24" w16cid:durableId="95951914">
    <w:abstractNumId w:val="25"/>
  </w:num>
  <w:num w:numId="25" w16cid:durableId="40371598">
    <w:abstractNumId w:val="5"/>
  </w:num>
  <w:num w:numId="26" w16cid:durableId="58866057">
    <w:abstractNumId w:val="37"/>
  </w:num>
  <w:num w:numId="27" w16cid:durableId="605424558">
    <w:abstractNumId w:val="8"/>
  </w:num>
  <w:num w:numId="28" w16cid:durableId="581447691">
    <w:abstractNumId w:val="31"/>
  </w:num>
  <w:num w:numId="29" w16cid:durableId="464851997">
    <w:abstractNumId w:val="40"/>
  </w:num>
  <w:num w:numId="30" w16cid:durableId="1928927570">
    <w:abstractNumId w:val="11"/>
  </w:num>
  <w:num w:numId="31" w16cid:durableId="1474911969">
    <w:abstractNumId w:val="33"/>
  </w:num>
  <w:num w:numId="32" w16cid:durableId="574708665">
    <w:abstractNumId w:val="12"/>
  </w:num>
  <w:num w:numId="33" w16cid:durableId="423646916">
    <w:abstractNumId w:val="10"/>
  </w:num>
  <w:num w:numId="34" w16cid:durableId="1900289902">
    <w:abstractNumId w:val="16"/>
  </w:num>
  <w:num w:numId="35" w16cid:durableId="1842576198">
    <w:abstractNumId w:val="26"/>
  </w:num>
  <w:num w:numId="36" w16cid:durableId="1453746110">
    <w:abstractNumId w:val="24"/>
  </w:num>
  <w:num w:numId="37" w16cid:durableId="2119373686">
    <w:abstractNumId w:val="18"/>
  </w:num>
  <w:num w:numId="38" w16cid:durableId="29570755">
    <w:abstractNumId w:val="23"/>
  </w:num>
  <w:num w:numId="39" w16cid:durableId="1002245788">
    <w:abstractNumId w:val="19"/>
  </w:num>
  <w:num w:numId="40" w16cid:durableId="401953115">
    <w:abstractNumId w:val="43"/>
  </w:num>
  <w:num w:numId="41" w16cid:durableId="1650221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0863085">
    <w:abstractNumId w:val="30"/>
  </w:num>
  <w:num w:numId="43" w16cid:durableId="1833595113">
    <w:abstractNumId w:val="28"/>
  </w:num>
  <w:num w:numId="44" w16cid:durableId="1010763192">
    <w:abstractNumId w:val="38"/>
  </w:num>
  <w:num w:numId="45" w16cid:durableId="631981539">
    <w:abstractNumId w:val="36"/>
  </w:num>
  <w:num w:numId="46" w16cid:durableId="103696080">
    <w:abstractNumId w:val="48"/>
  </w:num>
  <w:num w:numId="47" w16cid:durableId="831218847">
    <w:abstractNumId w:val="6"/>
  </w:num>
  <w:num w:numId="48" w16cid:durableId="1764372480">
    <w:abstractNumId w:val="45"/>
  </w:num>
  <w:num w:numId="49" w16cid:durableId="1143086627">
    <w:abstractNumId w:val="42"/>
  </w:num>
  <w:num w:numId="50" w16cid:durableId="834959509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1058"/>
    <w:rsid w:val="00001E60"/>
    <w:rsid w:val="000022BA"/>
    <w:rsid w:val="0000251C"/>
    <w:rsid w:val="00003104"/>
    <w:rsid w:val="0000398C"/>
    <w:rsid w:val="00004267"/>
    <w:rsid w:val="00004818"/>
    <w:rsid w:val="00006965"/>
    <w:rsid w:val="00006B52"/>
    <w:rsid w:val="000070F5"/>
    <w:rsid w:val="000079DB"/>
    <w:rsid w:val="00011701"/>
    <w:rsid w:val="0001255D"/>
    <w:rsid w:val="00012D6D"/>
    <w:rsid w:val="00014252"/>
    <w:rsid w:val="00015C29"/>
    <w:rsid w:val="00016A93"/>
    <w:rsid w:val="00016CD0"/>
    <w:rsid w:val="0001757A"/>
    <w:rsid w:val="00020E7B"/>
    <w:rsid w:val="000213B3"/>
    <w:rsid w:val="00021FB2"/>
    <w:rsid w:val="00022335"/>
    <w:rsid w:val="000228C3"/>
    <w:rsid w:val="00030A59"/>
    <w:rsid w:val="000319FA"/>
    <w:rsid w:val="000326DF"/>
    <w:rsid w:val="00032828"/>
    <w:rsid w:val="00033842"/>
    <w:rsid w:val="00036A90"/>
    <w:rsid w:val="00037E82"/>
    <w:rsid w:val="00037F97"/>
    <w:rsid w:val="00040693"/>
    <w:rsid w:val="00042AC3"/>
    <w:rsid w:val="00042F21"/>
    <w:rsid w:val="0004361E"/>
    <w:rsid w:val="00044DB6"/>
    <w:rsid w:val="00044F91"/>
    <w:rsid w:val="000462D0"/>
    <w:rsid w:val="000465ED"/>
    <w:rsid w:val="00047356"/>
    <w:rsid w:val="00047559"/>
    <w:rsid w:val="000505B6"/>
    <w:rsid w:val="000506AF"/>
    <w:rsid w:val="00050BEE"/>
    <w:rsid w:val="00050ECE"/>
    <w:rsid w:val="00051812"/>
    <w:rsid w:val="00051B54"/>
    <w:rsid w:val="00051DB8"/>
    <w:rsid w:val="0005226A"/>
    <w:rsid w:val="000526AA"/>
    <w:rsid w:val="00052E24"/>
    <w:rsid w:val="00053646"/>
    <w:rsid w:val="000539EE"/>
    <w:rsid w:val="00053F02"/>
    <w:rsid w:val="00055596"/>
    <w:rsid w:val="000560B0"/>
    <w:rsid w:val="00061C6D"/>
    <w:rsid w:val="00061E39"/>
    <w:rsid w:val="00062C74"/>
    <w:rsid w:val="000655BB"/>
    <w:rsid w:val="00066142"/>
    <w:rsid w:val="0006618D"/>
    <w:rsid w:val="000662BA"/>
    <w:rsid w:val="000723B4"/>
    <w:rsid w:val="00072E8C"/>
    <w:rsid w:val="00073689"/>
    <w:rsid w:val="00074164"/>
    <w:rsid w:val="00074178"/>
    <w:rsid w:val="00074B43"/>
    <w:rsid w:val="00075335"/>
    <w:rsid w:val="00075AFA"/>
    <w:rsid w:val="00077B11"/>
    <w:rsid w:val="000824AB"/>
    <w:rsid w:val="0008494D"/>
    <w:rsid w:val="00086383"/>
    <w:rsid w:val="00086E0F"/>
    <w:rsid w:val="00094A5F"/>
    <w:rsid w:val="000956BC"/>
    <w:rsid w:val="000972CC"/>
    <w:rsid w:val="000974B1"/>
    <w:rsid w:val="000978B1"/>
    <w:rsid w:val="000A0AAA"/>
    <w:rsid w:val="000A0EB9"/>
    <w:rsid w:val="000A265D"/>
    <w:rsid w:val="000A27C5"/>
    <w:rsid w:val="000A4FCD"/>
    <w:rsid w:val="000A7708"/>
    <w:rsid w:val="000B055B"/>
    <w:rsid w:val="000B0C7E"/>
    <w:rsid w:val="000B20A9"/>
    <w:rsid w:val="000B58DA"/>
    <w:rsid w:val="000B5C70"/>
    <w:rsid w:val="000C1B35"/>
    <w:rsid w:val="000C3C3A"/>
    <w:rsid w:val="000C4917"/>
    <w:rsid w:val="000C4C7B"/>
    <w:rsid w:val="000C5B14"/>
    <w:rsid w:val="000C5E47"/>
    <w:rsid w:val="000C62C2"/>
    <w:rsid w:val="000D4611"/>
    <w:rsid w:val="000D5E72"/>
    <w:rsid w:val="000D6BCC"/>
    <w:rsid w:val="000D7FAD"/>
    <w:rsid w:val="000E0504"/>
    <w:rsid w:val="000E0659"/>
    <w:rsid w:val="000E5D37"/>
    <w:rsid w:val="000E5D55"/>
    <w:rsid w:val="000E732F"/>
    <w:rsid w:val="000E7DF7"/>
    <w:rsid w:val="000F02B0"/>
    <w:rsid w:val="000F10FC"/>
    <w:rsid w:val="000F1588"/>
    <w:rsid w:val="000F1772"/>
    <w:rsid w:val="000F4EDB"/>
    <w:rsid w:val="000F5ADF"/>
    <w:rsid w:val="000F694E"/>
    <w:rsid w:val="00100524"/>
    <w:rsid w:val="00100A5E"/>
    <w:rsid w:val="00101D7F"/>
    <w:rsid w:val="00102185"/>
    <w:rsid w:val="001028E0"/>
    <w:rsid w:val="00102B4D"/>
    <w:rsid w:val="00104058"/>
    <w:rsid w:val="00104D2A"/>
    <w:rsid w:val="00104FC0"/>
    <w:rsid w:val="0010682B"/>
    <w:rsid w:val="00107297"/>
    <w:rsid w:val="0010741B"/>
    <w:rsid w:val="0011056B"/>
    <w:rsid w:val="00110589"/>
    <w:rsid w:val="001107F6"/>
    <w:rsid w:val="001149AF"/>
    <w:rsid w:val="00116E93"/>
    <w:rsid w:val="001175CE"/>
    <w:rsid w:val="00117C31"/>
    <w:rsid w:val="001224E4"/>
    <w:rsid w:val="00122D71"/>
    <w:rsid w:val="001258DF"/>
    <w:rsid w:val="00125A74"/>
    <w:rsid w:val="0012703C"/>
    <w:rsid w:val="001279BC"/>
    <w:rsid w:val="00127DD1"/>
    <w:rsid w:val="0013531B"/>
    <w:rsid w:val="001360F8"/>
    <w:rsid w:val="00140C7B"/>
    <w:rsid w:val="001425CC"/>
    <w:rsid w:val="00142E28"/>
    <w:rsid w:val="00145A02"/>
    <w:rsid w:val="0015020C"/>
    <w:rsid w:val="0015092F"/>
    <w:rsid w:val="00150CCC"/>
    <w:rsid w:val="00150EDF"/>
    <w:rsid w:val="001537E4"/>
    <w:rsid w:val="00153D22"/>
    <w:rsid w:val="00154E6D"/>
    <w:rsid w:val="0015530A"/>
    <w:rsid w:val="00156C38"/>
    <w:rsid w:val="00157A62"/>
    <w:rsid w:val="00157EC5"/>
    <w:rsid w:val="00160E5E"/>
    <w:rsid w:val="00161C1F"/>
    <w:rsid w:val="00162F55"/>
    <w:rsid w:val="001640B3"/>
    <w:rsid w:val="00164240"/>
    <w:rsid w:val="001657DD"/>
    <w:rsid w:val="00165F4F"/>
    <w:rsid w:val="001664CB"/>
    <w:rsid w:val="00167DA0"/>
    <w:rsid w:val="001708B8"/>
    <w:rsid w:val="001713EF"/>
    <w:rsid w:val="001733E6"/>
    <w:rsid w:val="00174447"/>
    <w:rsid w:val="00175F40"/>
    <w:rsid w:val="00177306"/>
    <w:rsid w:val="00181B89"/>
    <w:rsid w:val="00182B92"/>
    <w:rsid w:val="00182C23"/>
    <w:rsid w:val="00183194"/>
    <w:rsid w:val="00183D87"/>
    <w:rsid w:val="00183F28"/>
    <w:rsid w:val="001844B3"/>
    <w:rsid w:val="00184EAD"/>
    <w:rsid w:val="00185334"/>
    <w:rsid w:val="00185687"/>
    <w:rsid w:val="00185B7C"/>
    <w:rsid w:val="00186265"/>
    <w:rsid w:val="00186A8A"/>
    <w:rsid w:val="00187351"/>
    <w:rsid w:val="0019003C"/>
    <w:rsid w:val="00190389"/>
    <w:rsid w:val="00190C5E"/>
    <w:rsid w:val="001910A2"/>
    <w:rsid w:val="001915A7"/>
    <w:rsid w:val="00192BED"/>
    <w:rsid w:val="001943D2"/>
    <w:rsid w:val="00197E86"/>
    <w:rsid w:val="001A1452"/>
    <w:rsid w:val="001A1851"/>
    <w:rsid w:val="001A2F86"/>
    <w:rsid w:val="001A33DC"/>
    <w:rsid w:val="001A68B9"/>
    <w:rsid w:val="001B2344"/>
    <w:rsid w:val="001B430F"/>
    <w:rsid w:val="001B77CF"/>
    <w:rsid w:val="001C19C5"/>
    <w:rsid w:val="001C3BFA"/>
    <w:rsid w:val="001C4662"/>
    <w:rsid w:val="001C47FA"/>
    <w:rsid w:val="001C6DA5"/>
    <w:rsid w:val="001C7EAE"/>
    <w:rsid w:val="001D34CC"/>
    <w:rsid w:val="001D4954"/>
    <w:rsid w:val="001D5156"/>
    <w:rsid w:val="001D51AF"/>
    <w:rsid w:val="001D733F"/>
    <w:rsid w:val="001D7BA8"/>
    <w:rsid w:val="001E03BA"/>
    <w:rsid w:val="001E1D15"/>
    <w:rsid w:val="001E214F"/>
    <w:rsid w:val="001E3F50"/>
    <w:rsid w:val="001E5AFB"/>
    <w:rsid w:val="001E60E2"/>
    <w:rsid w:val="001E7330"/>
    <w:rsid w:val="001F1373"/>
    <w:rsid w:val="001F2285"/>
    <w:rsid w:val="001F5E85"/>
    <w:rsid w:val="001F6A99"/>
    <w:rsid w:val="001F7613"/>
    <w:rsid w:val="001F7E6A"/>
    <w:rsid w:val="00202C94"/>
    <w:rsid w:val="00204182"/>
    <w:rsid w:val="00204975"/>
    <w:rsid w:val="00205493"/>
    <w:rsid w:val="002059AC"/>
    <w:rsid w:val="00206059"/>
    <w:rsid w:val="0020746F"/>
    <w:rsid w:val="00210416"/>
    <w:rsid w:val="002104A7"/>
    <w:rsid w:val="002112EB"/>
    <w:rsid w:val="00211901"/>
    <w:rsid w:val="00213493"/>
    <w:rsid w:val="00220412"/>
    <w:rsid w:val="0022142E"/>
    <w:rsid w:val="00222EF3"/>
    <w:rsid w:val="00223122"/>
    <w:rsid w:val="002236F9"/>
    <w:rsid w:val="00225B6E"/>
    <w:rsid w:val="00225E99"/>
    <w:rsid w:val="00230622"/>
    <w:rsid w:val="00231C94"/>
    <w:rsid w:val="00231E63"/>
    <w:rsid w:val="00233160"/>
    <w:rsid w:val="00233C78"/>
    <w:rsid w:val="00235691"/>
    <w:rsid w:val="00236016"/>
    <w:rsid w:val="0023644A"/>
    <w:rsid w:val="00236600"/>
    <w:rsid w:val="002425C9"/>
    <w:rsid w:val="00244BCE"/>
    <w:rsid w:val="00244FCC"/>
    <w:rsid w:val="002452B8"/>
    <w:rsid w:val="00245743"/>
    <w:rsid w:val="00245D9B"/>
    <w:rsid w:val="00245E58"/>
    <w:rsid w:val="0024734C"/>
    <w:rsid w:val="00250A20"/>
    <w:rsid w:val="00250DD4"/>
    <w:rsid w:val="0025334C"/>
    <w:rsid w:val="00253D3C"/>
    <w:rsid w:val="00254823"/>
    <w:rsid w:val="002550A5"/>
    <w:rsid w:val="00256A4E"/>
    <w:rsid w:val="00260FEA"/>
    <w:rsid w:val="00261173"/>
    <w:rsid w:val="002614EE"/>
    <w:rsid w:val="0026282E"/>
    <w:rsid w:val="00262BE7"/>
    <w:rsid w:val="002639B5"/>
    <w:rsid w:val="00263B28"/>
    <w:rsid w:val="00263F53"/>
    <w:rsid w:val="00264373"/>
    <w:rsid w:val="00265444"/>
    <w:rsid w:val="00266998"/>
    <w:rsid w:val="00270C55"/>
    <w:rsid w:val="0027330E"/>
    <w:rsid w:val="00273B8C"/>
    <w:rsid w:val="00273F08"/>
    <w:rsid w:val="00275EDF"/>
    <w:rsid w:val="0027678F"/>
    <w:rsid w:val="0027699F"/>
    <w:rsid w:val="00276CD7"/>
    <w:rsid w:val="0027702F"/>
    <w:rsid w:val="002803DE"/>
    <w:rsid w:val="00280FA3"/>
    <w:rsid w:val="002820B8"/>
    <w:rsid w:val="00283581"/>
    <w:rsid w:val="00286030"/>
    <w:rsid w:val="002873DB"/>
    <w:rsid w:val="002903CE"/>
    <w:rsid w:val="0029172B"/>
    <w:rsid w:val="00291B51"/>
    <w:rsid w:val="00292C4F"/>
    <w:rsid w:val="002939E2"/>
    <w:rsid w:val="002961F7"/>
    <w:rsid w:val="002A0F17"/>
    <w:rsid w:val="002A2449"/>
    <w:rsid w:val="002A4507"/>
    <w:rsid w:val="002A7EBD"/>
    <w:rsid w:val="002B028E"/>
    <w:rsid w:val="002B0F26"/>
    <w:rsid w:val="002B19CA"/>
    <w:rsid w:val="002B38A1"/>
    <w:rsid w:val="002B3937"/>
    <w:rsid w:val="002B4B67"/>
    <w:rsid w:val="002B5BE9"/>
    <w:rsid w:val="002B6258"/>
    <w:rsid w:val="002B6EBF"/>
    <w:rsid w:val="002C186B"/>
    <w:rsid w:val="002C2614"/>
    <w:rsid w:val="002C324A"/>
    <w:rsid w:val="002C41AE"/>
    <w:rsid w:val="002C439B"/>
    <w:rsid w:val="002C44E2"/>
    <w:rsid w:val="002C58B0"/>
    <w:rsid w:val="002C7732"/>
    <w:rsid w:val="002D0E4D"/>
    <w:rsid w:val="002D1F14"/>
    <w:rsid w:val="002D224A"/>
    <w:rsid w:val="002D5353"/>
    <w:rsid w:val="002D5E87"/>
    <w:rsid w:val="002D6847"/>
    <w:rsid w:val="002D6F8C"/>
    <w:rsid w:val="002E0D2E"/>
    <w:rsid w:val="002E0F36"/>
    <w:rsid w:val="002E183A"/>
    <w:rsid w:val="002E2E44"/>
    <w:rsid w:val="002E3051"/>
    <w:rsid w:val="002E35FA"/>
    <w:rsid w:val="002E446F"/>
    <w:rsid w:val="002E47EC"/>
    <w:rsid w:val="002E5079"/>
    <w:rsid w:val="002E6218"/>
    <w:rsid w:val="002E6573"/>
    <w:rsid w:val="002E710A"/>
    <w:rsid w:val="002E7F3A"/>
    <w:rsid w:val="002E7FA2"/>
    <w:rsid w:val="002F04A0"/>
    <w:rsid w:val="002F1298"/>
    <w:rsid w:val="002F14C7"/>
    <w:rsid w:val="002F49B7"/>
    <w:rsid w:val="002F4FDB"/>
    <w:rsid w:val="002F5337"/>
    <w:rsid w:val="002F6762"/>
    <w:rsid w:val="002F68FA"/>
    <w:rsid w:val="002F69CA"/>
    <w:rsid w:val="002F7B5A"/>
    <w:rsid w:val="003008B1"/>
    <w:rsid w:val="0030098E"/>
    <w:rsid w:val="00301ADE"/>
    <w:rsid w:val="00302188"/>
    <w:rsid w:val="00303F1A"/>
    <w:rsid w:val="00305783"/>
    <w:rsid w:val="0030628C"/>
    <w:rsid w:val="00307AAE"/>
    <w:rsid w:val="00310421"/>
    <w:rsid w:val="003106DA"/>
    <w:rsid w:val="00312FAD"/>
    <w:rsid w:val="00313478"/>
    <w:rsid w:val="00315226"/>
    <w:rsid w:val="00315C49"/>
    <w:rsid w:val="00323EC2"/>
    <w:rsid w:val="00324EA5"/>
    <w:rsid w:val="0032594F"/>
    <w:rsid w:val="003260D1"/>
    <w:rsid w:val="003267E9"/>
    <w:rsid w:val="00326C2C"/>
    <w:rsid w:val="00330ED4"/>
    <w:rsid w:val="00332A55"/>
    <w:rsid w:val="00334324"/>
    <w:rsid w:val="00336332"/>
    <w:rsid w:val="003366DD"/>
    <w:rsid w:val="00340DF9"/>
    <w:rsid w:val="00341148"/>
    <w:rsid w:val="00343CAA"/>
    <w:rsid w:val="00343ECE"/>
    <w:rsid w:val="00344700"/>
    <w:rsid w:val="0034489F"/>
    <w:rsid w:val="0034508C"/>
    <w:rsid w:val="003458CF"/>
    <w:rsid w:val="00347218"/>
    <w:rsid w:val="00347E4F"/>
    <w:rsid w:val="0035063F"/>
    <w:rsid w:val="003529F7"/>
    <w:rsid w:val="00355EA7"/>
    <w:rsid w:val="0036008F"/>
    <w:rsid w:val="00360B3A"/>
    <w:rsid w:val="0036105A"/>
    <w:rsid w:val="003615C9"/>
    <w:rsid w:val="00361DB3"/>
    <w:rsid w:val="0036429A"/>
    <w:rsid w:val="0036651E"/>
    <w:rsid w:val="0036755E"/>
    <w:rsid w:val="00370697"/>
    <w:rsid w:val="00370AF8"/>
    <w:rsid w:val="0037140B"/>
    <w:rsid w:val="00372345"/>
    <w:rsid w:val="00380038"/>
    <w:rsid w:val="003807C7"/>
    <w:rsid w:val="003819CC"/>
    <w:rsid w:val="00385350"/>
    <w:rsid w:val="0038535B"/>
    <w:rsid w:val="00387BE0"/>
    <w:rsid w:val="00390E47"/>
    <w:rsid w:val="00395CE0"/>
    <w:rsid w:val="003971FC"/>
    <w:rsid w:val="003A146A"/>
    <w:rsid w:val="003A1EDE"/>
    <w:rsid w:val="003A2C5E"/>
    <w:rsid w:val="003A3A88"/>
    <w:rsid w:val="003A6282"/>
    <w:rsid w:val="003B0F8B"/>
    <w:rsid w:val="003B13AD"/>
    <w:rsid w:val="003B2978"/>
    <w:rsid w:val="003B38F1"/>
    <w:rsid w:val="003B48A0"/>
    <w:rsid w:val="003B5BF4"/>
    <w:rsid w:val="003B6810"/>
    <w:rsid w:val="003B7579"/>
    <w:rsid w:val="003C0A2B"/>
    <w:rsid w:val="003C11B9"/>
    <w:rsid w:val="003C2145"/>
    <w:rsid w:val="003C2D65"/>
    <w:rsid w:val="003C3971"/>
    <w:rsid w:val="003C4484"/>
    <w:rsid w:val="003C4650"/>
    <w:rsid w:val="003C468C"/>
    <w:rsid w:val="003C5C07"/>
    <w:rsid w:val="003D19AE"/>
    <w:rsid w:val="003D2AA2"/>
    <w:rsid w:val="003D4B6F"/>
    <w:rsid w:val="003D5B14"/>
    <w:rsid w:val="003D682A"/>
    <w:rsid w:val="003D798B"/>
    <w:rsid w:val="003D7EFC"/>
    <w:rsid w:val="003E09CF"/>
    <w:rsid w:val="003E0A57"/>
    <w:rsid w:val="003E2BE2"/>
    <w:rsid w:val="003E46ED"/>
    <w:rsid w:val="003E5F34"/>
    <w:rsid w:val="003E65B5"/>
    <w:rsid w:val="003E71D6"/>
    <w:rsid w:val="003E78F3"/>
    <w:rsid w:val="003E7D8B"/>
    <w:rsid w:val="003E7F56"/>
    <w:rsid w:val="003E7FCB"/>
    <w:rsid w:val="003F12DC"/>
    <w:rsid w:val="003F2121"/>
    <w:rsid w:val="003F26C3"/>
    <w:rsid w:val="003F4617"/>
    <w:rsid w:val="003F5354"/>
    <w:rsid w:val="003F5BDE"/>
    <w:rsid w:val="003F5C58"/>
    <w:rsid w:val="003F61E5"/>
    <w:rsid w:val="003F6B3A"/>
    <w:rsid w:val="003F7A5D"/>
    <w:rsid w:val="004001FB"/>
    <w:rsid w:val="00400AA2"/>
    <w:rsid w:val="00401059"/>
    <w:rsid w:val="004014E7"/>
    <w:rsid w:val="0040205A"/>
    <w:rsid w:val="00403C06"/>
    <w:rsid w:val="00404D1B"/>
    <w:rsid w:val="00405601"/>
    <w:rsid w:val="004102CF"/>
    <w:rsid w:val="0041519D"/>
    <w:rsid w:val="0041556C"/>
    <w:rsid w:val="00415A10"/>
    <w:rsid w:val="0041665F"/>
    <w:rsid w:val="004166CA"/>
    <w:rsid w:val="00417017"/>
    <w:rsid w:val="004203C7"/>
    <w:rsid w:val="004215FF"/>
    <w:rsid w:val="00422810"/>
    <w:rsid w:val="00422C14"/>
    <w:rsid w:val="004232D5"/>
    <w:rsid w:val="00424F3E"/>
    <w:rsid w:val="00427220"/>
    <w:rsid w:val="0043312A"/>
    <w:rsid w:val="00434C69"/>
    <w:rsid w:val="004355A0"/>
    <w:rsid w:val="0043746C"/>
    <w:rsid w:val="00437BD4"/>
    <w:rsid w:val="00437D7F"/>
    <w:rsid w:val="00441F73"/>
    <w:rsid w:val="0044248A"/>
    <w:rsid w:val="00442D0B"/>
    <w:rsid w:val="0044300D"/>
    <w:rsid w:val="0044390C"/>
    <w:rsid w:val="00443B40"/>
    <w:rsid w:val="004441FE"/>
    <w:rsid w:val="00444772"/>
    <w:rsid w:val="004468FA"/>
    <w:rsid w:val="00447F36"/>
    <w:rsid w:val="00451479"/>
    <w:rsid w:val="00451F5F"/>
    <w:rsid w:val="004528C3"/>
    <w:rsid w:val="00452D62"/>
    <w:rsid w:val="004553C2"/>
    <w:rsid w:val="00460EBC"/>
    <w:rsid w:val="00461367"/>
    <w:rsid w:val="00464CAF"/>
    <w:rsid w:val="00465950"/>
    <w:rsid w:val="004668A7"/>
    <w:rsid w:val="00472E6A"/>
    <w:rsid w:val="00472EF0"/>
    <w:rsid w:val="00475827"/>
    <w:rsid w:val="00475AAF"/>
    <w:rsid w:val="00475BEE"/>
    <w:rsid w:val="00477213"/>
    <w:rsid w:val="00480AE6"/>
    <w:rsid w:val="004862FC"/>
    <w:rsid w:val="0049122E"/>
    <w:rsid w:val="00491881"/>
    <w:rsid w:val="00492F2A"/>
    <w:rsid w:val="004958CA"/>
    <w:rsid w:val="00496322"/>
    <w:rsid w:val="00496408"/>
    <w:rsid w:val="004A087B"/>
    <w:rsid w:val="004A0CF2"/>
    <w:rsid w:val="004A191C"/>
    <w:rsid w:val="004A21ED"/>
    <w:rsid w:val="004A25B6"/>
    <w:rsid w:val="004A4748"/>
    <w:rsid w:val="004A5721"/>
    <w:rsid w:val="004A5833"/>
    <w:rsid w:val="004A5BE9"/>
    <w:rsid w:val="004B0CCA"/>
    <w:rsid w:val="004B1651"/>
    <w:rsid w:val="004B36E0"/>
    <w:rsid w:val="004B3D67"/>
    <w:rsid w:val="004B567A"/>
    <w:rsid w:val="004B57A6"/>
    <w:rsid w:val="004B5B0D"/>
    <w:rsid w:val="004C00A6"/>
    <w:rsid w:val="004C03AA"/>
    <w:rsid w:val="004C0608"/>
    <w:rsid w:val="004C095C"/>
    <w:rsid w:val="004C0D59"/>
    <w:rsid w:val="004C237A"/>
    <w:rsid w:val="004C3717"/>
    <w:rsid w:val="004C42D6"/>
    <w:rsid w:val="004C4B8D"/>
    <w:rsid w:val="004C5A22"/>
    <w:rsid w:val="004C770D"/>
    <w:rsid w:val="004C79F1"/>
    <w:rsid w:val="004D1940"/>
    <w:rsid w:val="004D1B60"/>
    <w:rsid w:val="004D1E9C"/>
    <w:rsid w:val="004D25C3"/>
    <w:rsid w:val="004D3170"/>
    <w:rsid w:val="004D3B5C"/>
    <w:rsid w:val="004D562C"/>
    <w:rsid w:val="004D67B5"/>
    <w:rsid w:val="004D7353"/>
    <w:rsid w:val="004D76CE"/>
    <w:rsid w:val="004E20FD"/>
    <w:rsid w:val="004E4247"/>
    <w:rsid w:val="004E46B8"/>
    <w:rsid w:val="004E5340"/>
    <w:rsid w:val="004E5379"/>
    <w:rsid w:val="004E6681"/>
    <w:rsid w:val="004E6F52"/>
    <w:rsid w:val="004F0DE0"/>
    <w:rsid w:val="004F0EF6"/>
    <w:rsid w:val="004F28E1"/>
    <w:rsid w:val="004F39E2"/>
    <w:rsid w:val="004F3C16"/>
    <w:rsid w:val="004F41A5"/>
    <w:rsid w:val="004F4612"/>
    <w:rsid w:val="004F4FB1"/>
    <w:rsid w:val="004F50D4"/>
    <w:rsid w:val="004F6F6B"/>
    <w:rsid w:val="004F7588"/>
    <w:rsid w:val="0050149D"/>
    <w:rsid w:val="00502B5A"/>
    <w:rsid w:val="005035E0"/>
    <w:rsid w:val="00503D2E"/>
    <w:rsid w:val="005052BE"/>
    <w:rsid w:val="005065D5"/>
    <w:rsid w:val="005115DE"/>
    <w:rsid w:val="00512D8A"/>
    <w:rsid w:val="00513094"/>
    <w:rsid w:val="005143A0"/>
    <w:rsid w:val="005153B4"/>
    <w:rsid w:val="005160C7"/>
    <w:rsid w:val="00516175"/>
    <w:rsid w:val="005172C5"/>
    <w:rsid w:val="00517758"/>
    <w:rsid w:val="0052167F"/>
    <w:rsid w:val="00521E6F"/>
    <w:rsid w:val="005234BF"/>
    <w:rsid w:val="0052605F"/>
    <w:rsid w:val="0052615F"/>
    <w:rsid w:val="00531997"/>
    <w:rsid w:val="00531A3D"/>
    <w:rsid w:val="00532C53"/>
    <w:rsid w:val="00533CCA"/>
    <w:rsid w:val="00535D00"/>
    <w:rsid w:val="00536A7D"/>
    <w:rsid w:val="00536C35"/>
    <w:rsid w:val="005422FD"/>
    <w:rsid w:val="00542351"/>
    <w:rsid w:val="005438A3"/>
    <w:rsid w:val="00547625"/>
    <w:rsid w:val="0055187F"/>
    <w:rsid w:val="00551BFA"/>
    <w:rsid w:val="0055235E"/>
    <w:rsid w:val="00552A22"/>
    <w:rsid w:val="00553210"/>
    <w:rsid w:val="0055406B"/>
    <w:rsid w:val="005571C7"/>
    <w:rsid w:val="0056008F"/>
    <w:rsid w:val="00561669"/>
    <w:rsid w:val="00561A4D"/>
    <w:rsid w:val="00562C88"/>
    <w:rsid w:val="00563319"/>
    <w:rsid w:val="00563906"/>
    <w:rsid w:val="00565B28"/>
    <w:rsid w:val="005679C3"/>
    <w:rsid w:val="00570055"/>
    <w:rsid w:val="005709CF"/>
    <w:rsid w:val="00571078"/>
    <w:rsid w:val="00571E20"/>
    <w:rsid w:val="0057281D"/>
    <w:rsid w:val="00573C65"/>
    <w:rsid w:val="005748D8"/>
    <w:rsid w:val="00575979"/>
    <w:rsid w:val="00576DDF"/>
    <w:rsid w:val="005806B0"/>
    <w:rsid w:val="00580A28"/>
    <w:rsid w:val="005811CC"/>
    <w:rsid w:val="00581A33"/>
    <w:rsid w:val="00582AD2"/>
    <w:rsid w:val="00582B2E"/>
    <w:rsid w:val="005834AE"/>
    <w:rsid w:val="00583F42"/>
    <w:rsid w:val="00584358"/>
    <w:rsid w:val="00584C91"/>
    <w:rsid w:val="0058562E"/>
    <w:rsid w:val="00585C64"/>
    <w:rsid w:val="00586C45"/>
    <w:rsid w:val="005871DB"/>
    <w:rsid w:val="00587309"/>
    <w:rsid w:val="00587320"/>
    <w:rsid w:val="0058759B"/>
    <w:rsid w:val="005912F5"/>
    <w:rsid w:val="00591D10"/>
    <w:rsid w:val="005923AC"/>
    <w:rsid w:val="00593F43"/>
    <w:rsid w:val="005960C7"/>
    <w:rsid w:val="005A2BAC"/>
    <w:rsid w:val="005A376A"/>
    <w:rsid w:val="005A40F3"/>
    <w:rsid w:val="005A52A1"/>
    <w:rsid w:val="005A55F3"/>
    <w:rsid w:val="005A60F9"/>
    <w:rsid w:val="005B0B87"/>
    <w:rsid w:val="005B1BAF"/>
    <w:rsid w:val="005B2A89"/>
    <w:rsid w:val="005B2F2B"/>
    <w:rsid w:val="005B473A"/>
    <w:rsid w:val="005B475A"/>
    <w:rsid w:val="005B63BE"/>
    <w:rsid w:val="005B6BCF"/>
    <w:rsid w:val="005B6D57"/>
    <w:rsid w:val="005C003E"/>
    <w:rsid w:val="005C2EE7"/>
    <w:rsid w:val="005C47BF"/>
    <w:rsid w:val="005C61DF"/>
    <w:rsid w:val="005C76EF"/>
    <w:rsid w:val="005D0CA4"/>
    <w:rsid w:val="005D1EFB"/>
    <w:rsid w:val="005D364A"/>
    <w:rsid w:val="005D487E"/>
    <w:rsid w:val="005D59B0"/>
    <w:rsid w:val="005D7D2B"/>
    <w:rsid w:val="005E00DA"/>
    <w:rsid w:val="005E2741"/>
    <w:rsid w:val="005E4FB4"/>
    <w:rsid w:val="005E564D"/>
    <w:rsid w:val="005E5A29"/>
    <w:rsid w:val="005E7705"/>
    <w:rsid w:val="005F160B"/>
    <w:rsid w:val="005F1E3C"/>
    <w:rsid w:val="005F24D9"/>
    <w:rsid w:val="005F32BA"/>
    <w:rsid w:val="005F37B1"/>
    <w:rsid w:val="005F3989"/>
    <w:rsid w:val="005F4A20"/>
    <w:rsid w:val="005F54DC"/>
    <w:rsid w:val="005F6374"/>
    <w:rsid w:val="005F63DB"/>
    <w:rsid w:val="005F6E9B"/>
    <w:rsid w:val="005F77FD"/>
    <w:rsid w:val="00602521"/>
    <w:rsid w:val="00602B43"/>
    <w:rsid w:val="00603044"/>
    <w:rsid w:val="00604828"/>
    <w:rsid w:val="00604C35"/>
    <w:rsid w:val="00604CB4"/>
    <w:rsid w:val="006065B6"/>
    <w:rsid w:val="00606F7F"/>
    <w:rsid w:val="00607BA1"/>
    <w:rsid w:val="00610967"/>
    <w:rsid w:val="00610994"/>
    <w:rsid w:val="00610FB0"/>
    <w:rsid w:val="00611F82"/>
    <w:rsid w:val="0061278F"/>
    <w:rsid w:val="00612F1C"/>
    <w:rsid w:val="00613024"/>
    <w:rsid w:val="00615296"/>
    <w:rsid w:val="0061555A"/>
    <w:rsid w:val="0061587C"/>
    <w:rsid w:val="0061642F"/>
    <w:rsid w:val="0061781E"/>
    <w:rsid w:val="0062006F"/>
    <w:rsid w:val="00620EBD"/>
    <w:rsid w:val="00623378"/>
    <w:rsid w:val="006263D5"/>
    <w:rsid w:val="006305EF"/>
    <w:rsid w:val="00632490"/>
    <w:rsid w:val="00633201"/>
    <w:rsid w:val="00634266"/>
    <w:rsid w:val="0063532E"/>
    <w:rsid w:val="006362BF"/>
    <w:rsid w:val="00636311"/>
    <w:rsid w:val="00636F38"/>
    <w:rsid w:val="00640483"/>
    <w:rsid w:val="00640850"/>
    <w:rsid w:val="0064166E"/>
    <w:rsid w:val="006423EB"/>
    <w:rsid w:val="0064257F"/>
    <w:rsid w:val="006446D5"/>
    <w:rsid w:val="00645AC9"/>
    <w:rsid w:val="006466B3"/>
    <w:rsid w:val="00646EB1"/>
    <w:rsid w:val="00650085"/>
    <w:rsid w:val="006522F6"/>
    <w:rsid w:val="00652D00"/>
    <w:rsid w:val="00653D6D"/>
    <w:rsid w:val="00654A5E"/>
    <w:rsid w:val="00655420"/>
    <w:rsid w:val="00655ED1"/>
    <w:rsid w:val="00656964"/>
    <w:rsid w:val="00656AEE"/>
    <w:rsid w:val="0065715C"/>
    <w:rsid w:val="00660A4D"/>
    <w:rsid w:val="00660BC5"/>
    <w:rsid w:val="0066278A"/>
    <w:rsid w:val="00663EE1"/>
    <w:rsid w:val="00664500"/>
    <w:rsid w:val="00666578"/>
    <w:rsid w:val="0066798D"/>
    <w:rsid w:val="00671006"/>
    <w:rsid w:val="00671D00"/>
    <w:rsid w:val="006720F1"/>
    <w:rsid w:val="00673905"/>
    <w:rsid w:val="00674487"/>
    <w:rsid w:val="0067583C"/>
    <w:rsid w:val="006760F4"/>
    <w:rsid w:val="00677C3D"/>
    <w:rsid w:val="00681EE6"/>
    <w:rsid w:val="00682EF8"/>
    <w:rsid w:val="006834D3"/>
    <w:rsid w:val="00687696"/>
    <w:rsid w:val="00687C2E"/>
    <w:rsid w:val="00690118"/>
    <w:rsid w:val="0069115C"/>
    <w:rsid w:val="0069203F"/>
    <w:rsid w:val="006932DC"/>
    <w:rsid w:val="00695A94"/>
    <w:rsid w:val="00696261"/>
    <w:rsid w:val="006962C6"/>
    <w:rsid w:val="00696349"/>
    <w:rsid w:val="00696790"/>
    <w:rsid w:val="006A1212"/>
    <w:rsid w:val="006A345C"/>
    <w:rsid w:val="006A4D52"/>
    <w:rsid w:val="006A5859"/>
    <w:rsid w:val="006A5E39"/>
    <w:rsid w:val="006A69DD"/>
    <w:rsid w:val="006B0499"/>
    <w:rsid w:val="006B279D"/>
    <w:rsid w:val="006B2AAC"/>
    <w:rsid w:val="006B3447"/>
    <w:rsid w:val="006B36F5"/>
    <w:rsid w:val="006B40BA"/>
    <w:rsid w:val="006B442F"/>
    <w:rsid w:val="006B477A"/>
    <w:rsid w:val="006B49F6"/>
    <w:rsid w:val="006B50E8"/>
    <w:rsid w:val="006B5540"/>
    <w:rsid w:val="006B58F5"/>
    <w:rsid w:val="006B6229"/>
    <w:rsid w:val="006C074C"/>
    <w:rsid w:val="006C133B"/>
    <w:rsid w:val="006C2A85"/>
    <w:rsid w:val="006C3703"/>
    <w:rsid w:val="006C37DD"/>
    <w:rsid w:val="006C4228"/>
    <w:rsid w:val="006C4628"/>
    <w:rsid w:val="006C630D"/>
    <w:rsid w:val="006C6693"/>
    <w:rsid w:val="006C6D1D"/>
    <w:rsid w:val="006D06F4"/>
    <w:rsid w:val="006D11E8"/>
    <w:rsid w:val="006D2C48"/>
    <w:rsid w:val="006D329F"/>
    <w:rsid w:val="006D38C3"/>
    <w:rsid w:val="006D45CE"/>
    <w:rsid w:val="006D6C5A"/>
    <w:rsid w:val="006D6D4D"/>
    <w:rsid w:val="006D7927"/>
    <w:rsid w:val="006E06B3"/>
    <w:rsid w:val="006E08FD"/>
    <w:rsid w:val="006E3E61"/>
    <w:rsid w:val="006E4346"/>
    <w:rsid w:val="006E490E"/>
    <w:rsid w:val="006E543B"/>
    <w:rsid w:val="006E796C"/>
    <w:rsid w:val="006E79F5"/>
    <w:rsid w:val="006F023E"/>
    <w:rsid w:val="006F1E3E"/>
    <w:rsid w:val="006F2895"/>
    <w:rsid w:val="006F43E6"/>
    <w:rsid w:val="006F4BD4"/>
    <w:rsid w:val="006F7110"/>
    <w:rsid w:val="007020C4"/>
    <w:rsid w:val="00702F7E"/>
    <w:rsid w:val="00704181"/>
    <w:rsid w:val="00706AF9"/>
    <w:rsid w:val="00710F31"/>
    <w:rsid w:val="00715CE9"/>
    <w:rsid w:val="007167F4"/>
    <w:rsid w:val="007258F3"/>
    <w:rsid w:val="00725A0F"/>
    <w:rsid w:val="0073063B"/>
    <w:rsid w:val="00731534"/>
    <w:rsid w:val="0073257A"/>
    <w:rsid w:val="00735A39"/>
    <w:rsid w:val="007402AD"/>
    <w:rsid w:val="00740E04"/>
    <w:rsid w:val="0074117F"/>
    <w:rsid w:val="00742045"/>
    <w:rsid w:val="00742F2B"/>
    <w:rsid w:val="007431D7"/>
    <w:rsid w:val="007469BE"/>
    <w:rsid w:val="0074704B"/>
    <w:rsid w:val="00747309"/>
    <w:rsid w:val="0074733E"/>
    <w:rsid w:val="0074745B"/>
    <w:rsid w:val="007475B2"/>
    <w:rsid w:val="00747B9D"/>
    <w:rsid w:val="00747EC7"/>
    <w:rsid w:val="0075035D"/>
    <w:rsid w:val="00750395"/>
    <w:rsid w:val="0075072B"/>
    <w:rsid w:val="007545FF"/>
    <w:rsid w:val="00755D03"/>
    <w:rsid w:val="00755D8D"/>
    <w:rsid w:val="00756D91"/>
    <w:rsid w:val="00757605"/>
    <w:rsid w:val="007637BB"/>
    <w:rsid w:val="00764081"/>
    <w:rsid w:val="00765898"/>
    <w:rsid w:val="007677AA"/>
    <w:rsid w:val="00772821"/>
    <w:rsid w:val="0077313A"/>
    <w:rsid w:val="00773FDE"/>
    <w:rsid w:val="00774DA6"/>
    <w:rsid w:val="00775569"/>
    <w:rsid w:val="00775965"/>
    <w:rsid w:val="0077646B"/>
    <w:rsid w:val="00777637"/>
    <w:rsid w:val="007778A8"/>
    <w:rsid w:val="00780814"/>
    <w:rsid w:val="007815A9"/>
    <w:rsid w:val="007822A5"/>
    <w:rsid w:val="0078625A"/>
    <w:rsid w:val="0078649A"/>
    <w:rsid w:val="0078689D"/>
    <w:rsid w:val="007911F7"/>
    <w:rsid w:val="00791E93"/>
    <w:rsid w:val="00792103"/>
    <w:rsid w:val="00792209"/>
    <w:rsid w:val="00792EFE"/>
    <w:rsid w:val="00794BDF"/>
    <w:rsid w:val="007950E1"/>
    <w:rsid w:val="007965B9"/>
    <w:rsid w:val="007A05B5"/>
    <w:rsid w:val="007A2CA4"/>
    <w:rsid w:val="007A3373"/>
    <w:rsid w:val="007A34FF"/>
    <w:rsid w:val="007A54A0"/>
    <w:rsid w:val="007A5B0F"/>
    <w:rsid w:val="007A5D3D"/>
    <w:rsid w:val="007A69B7"/>
    <w:rsid w:val="007B2321"/>
    <w:rsid w:val="007B4C32"/>
    <w:rsid w:val="007B4F84"/>
    <w:rsid w:val="007B5259"/>
    <w:rsid w:val="007B5D2F"/>
    <w:rsid w:val="007C00CB"/>
    <w:rsid w:val="007C18CE"/>
    <w:rsid w:val="007C1AF1"/>
    <w:rsid w:val="007C1E62"/>
    <w:rsid w:val="007C35C6"/>
    <w:rsid w:val="007C3F05"/>
    <w:rsid w:val="007C44D6"/>
    <w:rsid w:val="007C48EF"/>
    <w:rsid w:val="007C5BF3"/>
    <w:rsid w:val="007C6CA6"/>
    <w:rsid w:val="007D088D"/>
    <w:rsid w:val="007D089D"/>
    <w:rsid w:val="007D13EC"/>
    <w:rsid w:val="007D1E71"/>
    <w:rsid w:val="007D2214"/>
    <w:rsid w:val="007D302E"/>
    <w:rsid w:val="007D4369"/>
    <w:rsid w:val="007D44E9"/>
    <w:rsid w:val="007D59A5"/>
    <w:rsid w:val="007D5EDB"/>
    <w:rsid w:val="007D5F27"/>
    <w:rsid w:val="007D7672"/>
    <w:rsid w:val="007E106B"/>
    <w:rsid w:val="007E109E"/>
    <w:rsid w:val="007E1C8F"/>
    <w:rsid w:val="007E2E29"/>
    <w:rsid w:val="007E4F00"/>
    <w:rsid w:val="007E5A45"/>
    <w:rsid w:val="007E66DD"/>
    <w:rsid w:val="007E7713"/>
    <w:rsid w:val="007E7DD7"/>
    <w:rsid w:val="007F008D"/>
    <w:rsid w:val="007F186A"/>
    <w:rsid w:val="007F212D"/>
    <w:rsid w:val="007F36B8"/>
    <w:rsid w:val="007F3916"/>
    <w:rsid w:val="007F4593"/>
    <w:rsid w:val="007F7183"/>
    <w:rsid w:val="0080311D"/>
    <w:rsid w:val="00805928"/>
    <w:rsid w:val="00805F84"/>
    <w:rsid w:val="00806848"/>
    <w:rsid w:val="00806E71"/>
    <w:rsid w:val="00807534"/>
    <w:rsid w:val="00810582"/>
    <w:rsid w:val="008109A5"/>
    <w:rsid w:val="008111AC"/>
    <w:rsid w:val="008119A5"/>
    <w:rsid w:val="00812741"/>
    <w:rsid w:val="00814F0B"/>
    <w:rsid w:val="00815AD8"/>
    <w:rsid w:val="00815F29"/>
    <w:rsid w:val="008169ED"/>
    <w:rsid w:val="008211D8"/>
    <w:rsid w:val="00826798"/>
    <w:rsid w:val="008268B6"/>
    <w:rsid w:val="00826DCD"/>
    <w:rsid w:val="00827BC5"/>
    <w:rsid w:val="00830A65"/>
    <w:rsid w:val="00831736"/>
    <w:rsid w:val="00831985"/>
    <w:rsid w:val="00833A46"/>
    <w:rsid w:val="00836449"/>
    <w:rsid w:val="00837461"/>
    <w:rsid w:val="008378BF"/>
    <w:rsid w:val="00840268"/>
    <w:rsid w:val="00840416"/>
    <w:rsid w:val="0084053F"/>
    <w:rsid w:val="00840842"/>
    <w:rsid w:val="00841AD5"/>
    <w:rsid w:val="008433BF"/>
    <w:rsid w:val="008451C6"/>
    <w:rsid w:val="00845BC1"/>
    <w:rsid w:val="0084617B"/>
    <w:rsid w:val="008478B7"/>
    <w:rsid w:val="008518D5"/>
    <w:rsid w:val="00851C34"/>
    <w:rsid w:val="00851F13"/>
    <w:rsid w:val="00852555"/>
    <w:rsid w:val="00853552"/>
    <w:rsid w:val="00853E77"/>
    <w:rsid w:val="00854604"/>
    <w:rsid w:val="008556D7"/>
    <w:rsid w:val="008559C1"/>
    <w:rsid w:val="00855E40"/>
    <w:rsid w:val="0085797A"/>
    <w:rsid w:val="00860071"/>
    <w:rsid w:val="00860A93"/>
    <w:rsid w:val="00863917"/>
    <w:rsid w:val="00863D2D"/>
    <w:rsid w:val="00865323"/>
    <w:rsid w:val="00870721"/>
    <w:rsid w:val="008718F6"/>
    <w:rsid w:val="00872F92"/>
    <w:rsid w:val="00873BD9"/>
    <w:rsid w:val="00873E99"/>
    <w:rsid w:val="00874040"/>
    <w:rsid w:val="008740A5"/>
    <w:rsid w:val="00875806"/>
    <w:rsid w:val="008760DD"/>
    <w:rsid w:val="008807AF"/>
    <w:rsid w:val="00883582"/>
    <w:rsid w:val="008843DC"/>
    <w:rsid w:val="00884DE6"/>
    <w:rsid w:val="0088641B"/>
    <w:rsid w:val="008908CE"/>
    <w:rsid w:val="00891204"/>
    <w:rsid w:val="00892259"/>
    <w:rsid w:val="00892C14"/>
    <w:rsid w:val="00893CE5"/>
    <w:rsid w:val="0089442D"/>
    <w:rsid w:val="00895351"/>
    <w:rsid w:val="008954B5"/>
    <w:rsid w:val="00895CC8"/>
    <w:rsid w:val="00896F8F"/>
    <w:rsid w:val="008A0AA5"/>
    <w:rsid w:val="008A1036"/>
    <w:rsid w:val="008A174A"/>
    <w:rsid w:val="008A39D8"/>
    <w:rsid w:val="008A5606"/>
    <w:rsid w:val="008A5E7F"/>
    <w:rsid w:val="008A6FFB"/>
    <w:rsid w:val="008A7050"/>
    <w:rsid w:val="008A7509"/>
    <w:rsid w:val="008A7979"/>
    <w:rsid w:val="008A7FEC"/>
    <w:rsid w:val="008B0FE5"/>
    <w:rsid w:val="008B12C9"/>
    <w:rsid w:val="008B1615"/>
    <w:rsid w:val="008B410F"/>
    <w:rsid w:val="008B43F4"/>
    <w:rsid w:val="008B6F03"/>
    <w:rsid w:val="008C13EE"/>
    <w:rsid w:val="008C1E2A"/>
    <w:rsid w:val="008C266F"/>
    <w:rsid w:val="008C2DBF"/>
    <w:rsid w:val="008C354A"/>
    <w:rsid w:val="008C3F58"/>
    <w:rsid w:val="008C653E"/>
    <w:rsid w:val="008D098A"/>
    <w:rsid w:val="008D1C6A"/>
    <w:rsid w:val="008D33F5"/>
    <w:rsid w:val="008D5D50"/>
    <w:rsid w:val="008D5DB3"/>
    <w:rsid w:val="008D6D3F"/>
    <w:rsid w:val="008E0206"/>
    <w:rsid w:val="008E041A"/>
    <w:rsid w:val="008E29BC"/>
    <w:rsid w:val="008E6432"/>
    <w:rsid w:val="008E6AA7"/>
    <w:rsid w:val="008E6FBD"/>
    <w:rsid w:val="008F1511"/>
    <w:rsid w:val="008F2715"/>
    <w:rsid w:val="008F31C7"/>
    <w:rsid w:val="008F5D8D"/>
    <w:rsid w:val="008F5E95"/>
    <w:rsid w:val="008F5F12"/>
    <w:rsid w:val="009010D5"/>
    <w:rsid w:val="00903A3C"/>
    <w:rsid w:val="009049D9"/>
    <w:rsid w:val="009077BF"/>
    <w:rsid w:val="00910728"/>
    <w:rsid w:val="00911319"/>
    <w:rsid w:val="00911BAA"/>
    <w:rsid w:val="00911CAF"/>
    <w:rsid w:val="00912525"/>
    <w:rsid w:val="0091255A"/>
    <w:rsid w:val="0091321C"/>
    <w:rsid w:val="00913293"/>
    <w:rsid w:val="00913419"/>
    <w:rsid w:val="00915816"/>
    <w:rsid w:val="0091635B"/>
    <w:rsid w:val="009166E7"/>
    <w:rsid w:val="00921143"/>
    <w:rsid w:val="00923D37"/>
    <w:rsid w:val="00924D38"/>
    <w:rsid w:val="00927ED6"/>
    <w:rsid w:val="0093136E"/>
    <w:rsid w:val="00931EE2"/>
    <w:rsid w:val="009365B5"/>
    <w:rsid w:val="00937311"/>
    <w:rsid w:val="00937706"/>
    <w:rsid w:val="00937A77"/>
    <w:rsid w:val="00942796"/>
    <w:rsid w:val="009428E6"/>
    <w:rsid w:val="00943276"/>
    <w:rsid w:val="00943AE5"/>
    <w:rsid w:val="00943D6F"/>
    <w:rsid w:val="00944946"/>
    <w:rsid w:val="00945347"/>
    <w:rsid w:val="00945576"/>
    <w:rsid w:val="0094592D"/>
    <w:rsid w:val="00945B4A"/>
    <w:rsid w:val="00951EE0"/>
    <w:rsid w:val="0095201E"/>
    <w:rsid w:val="00952A27"/>
    <w:rsid w:val="00953E7C"/>
    <w:rsid w:val="009559CE"/>
    <w:rsid w:val="0095704E"/>
    <w:rsid w:val="00957953"/>
    <w:rsid w:val="00957B07"/>
    <w:rsid w:val="00960734"/>
    <w:rsid w:val="00961DAD"/>
    <w:rsid w:val="00962AE2"/>
    <w:rsid w:val="00963AA3"/>
    <w:rsid w:val="00963FD9"/>
    <w:rsid w:val="00964507"/>
    <w:rsid w:val="0096599C"/>
    <w:rsid w:val="00967B38"/>
    <w:rsid w:val="0097079D"/>
    <w:rsid w:val="00970C6A"/>
    <w:rsid w:val="009714D2"/>
    <w:rsid w:val="00971C56"/>
    <w:rsid w:val="00972B0D"/>
    <w:rsid w:val="00976E95"/>
    <w:rsid w:val="00980936"/>
    <w:rsid w:val="009820FE"/>
    <w:rsid w:val="00982263"/>
    <w:rsid w:val="00982511"/>
    <w:rsid w:val="009826FB"/>
    <w:rsid w:val="00983437"/>
    <w:rsid w:val="00983D91"/>
    <w:rsid w:val="00984ECD"/>
    <w:rsid w:val="00985AA4"/>
    <w:rsid w:val="0099099B"/>
    <w:rsid w:val="009932CF"/>
    <w:rsid w:val="009935E9"/>
    <w:rsid w:val="009A0574"/>
    <w:rsid w:val="009A0B8D"/>
    <w:rsid w:val="009A25BC"/>
    <w:rsid w:val="009A534C"/>
    <w:rsid w:val="009B05D7"/>
    <w:rsid w:val="009B067F"/>
    <w:rsid w:val="009B1A57"/>
    <w:rsid w:val="009B1BA4"/>
    <w:rsid w:val="009B1D68"/>
    <w:rsid w:val="009B5409"/>
    <w:rsid w:val="009B58F2"/>
    <w:rsid w:val="009B701F"/>
    <w:rsid w:val="009C008B"/>
    <w:rsid w:val="009C2CC6"/>
    <w:rsid w:val="009C2F81"/>
    <w:rsid w:val="009C422D"/>
    <w:rsid w:val="009C6941"/>
    <w:rsid w:val="009C701C"/>
    <w:rsid w:val="009C7255"/>
    <w:rsid w:val="009C74BF"/>
    <w:rsid w:val="009C7828"/>
    <w:rsid w:val="009D09F3"/>
    <w:rsid w:val="009D1B35"/>
    <w:rsid w:val="009D1E0C"/>
    <w:rsid w:val="009D1EE7"/>
    <w:rsid w:val="009D2C5C"/>
    <w:rsid w:val="009D399A"/>
    <w:rsid w:val="009D686F"/>
    <w:rsid w:val="009D691D"/>
    <w:rsid w:val="009D7E69"/>
    <w:rsid w:val="009E08FD"/>
    <w:rsid w:val="009E39E0"/>
    <w:rsid w:val="009E485F"/>
    <w:rsid w:val="009E4877"/>
    <w:rsid w:val="009E5792"/>
    <w:rsid w:val="009E5A68"/>
    <w:rsid w:val="009E64F0"/>
    <w:rsid w:val="009E7456"/>
    <w:rsid w:val="009E75B3"/>
    <w:rsid w:val="009E7A58"/>
    <w:rsid w:val="009F09F0"/>
    <w:rsid w:val="009F1A02"/>
    <w:rsid w:val="009F3161"/>
    <w:rsid w:val="009F3A73"/>
    <w:rsid w:val="009F4923"/>
    <w:rsid w:val="009F4FC5"/>
    <w:rsid w:val="009F56B1"/>
    <w:rsid w:val="009F7B16"/>
    <w:rsid w:val="00A01066"/>
    <w:rsid w:val="00A01136"/>
    <w:rsid w:val="00A01E27"/>
    <w:rsid w:val="00A03320"/>
    <w:rsid w:val="00A04B5D"/>
    <w:rsid w:val="00A04F19"/>
    <w:rsid w:val="00A05031"/>
    <w:rsid w:val="00A05A1A"/>
    <w:rsid w:val="00A06E7A"/>
    <w:rsid w:val="00A06E99"/>
    <w:rsid w:val="00A073C8"/>
    <w:rsid w:val="00A100A9"/>
    <w:rsid w:val="00A140D9"/>
    <w:rsid w:val="00A15E37"/>
    <w:rsid w:val="00A1623A"/>
    <w:rsid w:val="00A16C4E"/>
    <w:rsid w:val="00A17EEC"/>
    <w:rsid w:val="00A22B77"/>
    <w:rsid w:val="00A24279"/>
    <w:rsid w:val="00A254F7"/>
    <w:rsid w:val="00A25F15"/>
    <w:rsid w:val="00A27999"/>
    <w:rsid w:val="00A27DAB"/>
    <w:rsid w:val="00A3297C"/>
    <w:rsid w:val="00A33474"/>
    <w:rsid w:val="00A33C2C"/>
    <w:rsid w:val="00A35EAD"/>
    <w:rsid w:val="00A36A30"/>
    <w:rsid w:val="00A415D5"/>
    <w:rsid w:val="00A41ADF"/>
    <w:rsid w:val="00A41CEF"/>
    <w:rsid w:val="00A41E6E"/>
    <w:rsid w:val="00A4209E"/>
    <w:rsid w:val="00A422BF"/>
    <w:rsid w:val="00A42422"/>
    <w:rsid w:val="00A43179"/>
    <w:rsid w:val="00A43A90"/>
    <w:rsid w:val="00A43C65"/>
    <w:rsid w:val="00A45E04"/>
    <w:rsid w:val="00A45E6A"/>
    <w:rsid w:val="00A472D8"/>
    <w:rsid w:val="00A47CAD"/>
    <w:rsid w:val="00A50794"/>
    <w:rsid w:val="00A51BB3"/>
    <w:rsid w:val="00A521DD"/>
    <w:rsid w:val="00A529F1"/>
    <w:rsid w:val="00A52F5E"/>
    <w:rsid w:val="00A533D9"/>
    <w:rsid w:val="00A54CA9"/>
    <w:rsid w:val="00A56001"/>
    <w:rsid w:val="00A5694F"/>
    <w:rsid w:val="00A56DEE"/>
    <w:rsid w:val="00A570C2"/>
    <w:rsid w:val="00A62C49"/>
    <w:rsid w:val="00A63781"/>
    <w:rsid w:val="00A6559D"/>
    <w:rsid w:val="00A6702A"/>
    <w:rsid w:val="00A71A78"/>
    <w:rsid w:val="00A72ABF"/>
    <w:rsid w:val="00A72BAA"/>
    <w:rsid w:val="00A733B4"/>
    <w:rsid w:val="00A771E6"/>
    <w:rsid w:val="00A80907"/>
    <w:rsid w:val="00A8161B"/>
    <w:rsid w:val="00A82889"/>
    <w:rsid w:val="00A83198"/>
    <w:rsid w:val="00A8325B"/>
    <w:rsid w:val="00A85368"/>
    <w:rsid w:val="00A8750B"/>
    <w:rsid w:val="00A90843"/>
    <w:rsid w:val="00A90F99"/>
    <w:rsid w:val="00A92147"/>
    <w:rsid w:val="00A93605"/>
    <w:rsid w:val="00A93BB4"/>
    <w:rsid w:val="00A944EC"/>
    <w:rsid w:val="00A964AB"/>
    <w:rsid w:val="00A97995"/>
    <w:rsid w:val="00AA055F"/>
    <w:rsid w:val="00AA1EB4"/>
    <w:rsid w:val="00AA24BD"/>
    <w:rsid w:val="00AA29A1"/>
    <w:rsid w:val="00AA310E"/>
    <w:rsid w:val="00AA559B"/>
    <w:rsid w:val="00AA64F9"/>
    <w:rsid w:val="00AA6571"/>
    <w:rsid w:val="00AA7D51"/>
    <w:rsid w:val="00AB31A8"/>
    <w:rsid w:val="00AB4ABE"/>
    <w:rsid w:val="00AC057D"/>
    <w:rsid w:val="00AC1293"/>
    <w:rsid w:val="00AC48CD"/>
    <w:rsid w:val="00AC75F0"/>
    <w:rsid w:val="00AD0EF0"/>
    <w:rsid w:val="00AD2029"/>
    <w:rsid w:val="00AD28DD"/>
    <w:rsid w:val="00AD2F9B"/>
    <w:rsid w:val="00AD5862"/>
    <w:rsid w:val="00AD58B4"/>
    <w:rsid w:val="00AD599F"/>
    <w:rsid w:val="00AE035C"/>
    <w:rsid w:val="00AE1418"/>
    <w:rsid w:val="00AE4810"/>
    <w:rsid w:val="00AE6D3A"/>
    <w:rsid w:val="00AE6FBC"/>
    <w:rsid w:val="00AE7CF4"/>
    <w:rsid w:val="00AF43E1"/>
    <w:rsid w:val="00AF4858"/>
    <w:rsid w:val="00AF56DC"/>
    <w:rsid w:val="00AF5942"/>
    <w:rsid w:val="00AF70D9"/>
    <w:rsid w:val="00AF78FD"/>
    <w:rsid w:val="00B011A3"/>
    <w:rsid w:val="00B0268D"/>
    <w:rsid w:val="00B04CD5"/>
    <w:rsid w:val="00B06247"/>
    <w:rsid w:val="00B07516"/>
    <w:rsid w:val="00B07C11"/>
    <w:rsid w:val="00B10EA6"/>
    <w:rsid w:val="00B11938"/>
    <w:rsid w:val="00B120DC"/>
    <w:rsid w:val="00B12D54"/>
    <w:rsid w:val="00B1317B"/>
    <w:rsid w:val="00B132C2"/>
    <w:rsid w:val="00B14554"/>
    <w:rsid w:val="00B147A0"/>
    <w:rsid w:val="00B1692B"/>
    <w:rsid w:val="00B169AC"/>
    <w:rsid w:val="00B16B89"/>
    <w:rsid w:val="00B2084B"/>
    <w:rsid w:val="00B21E7F"/>
    <w:rsid w:val="00B2204A"/>
    <w:rsid w:val="00B2291D"/>
    <w:rsid w:val="00B22E75"/>
    <w:rsid w:val="00B2377C"/>
    <w:rsid w:val="00B2467C"/>
    <w:rsid w:val="00B26304"/>
    <w:rsid w:val="00B26332"/>
    <w:rsid w:val="00B30DCE"/>
    <w:rsid w:val="00B31023"/>
    <w:rsid w:val="00B31AA5"/>
    <w:rsid w:val="00B332BD"/>
    <w:rsid w:val="00B35BE1"/>
    <w:rsid w:val="00B367EC"/>
    <w:rsid w:val="00B36A72"/>
    <w:rsid w:val="00B40066"/>
    <w:rsid w:val="00B410B2"/>
    <w:rsid w:val="00B434BE"/>
    <w:rsid w:val="00B434C7"/>
    <w:rsid w:val="00B44467"/>
    <w:rsid w:val="00B45671"/>
    <w:rsid w:val="00B459FF"/>
    <w:rsid w:val="00B46291"/>
    <w:rsid w:val="00B466C2"/>
    <w:rsid w:val="00B46864"/>
    <w:rsid w:val="00B46C40"/>
    <w:rsid w:val="00B5045A"/>
    <w:rsid w:val="00B50634"/>
    <w:rsid w:val="00B51354"/>
    <w:rsid w:val="00B51C3C"/>
    <w:rsid w:val="00B51DB6"/>
    <w:rsid w:val="00B5254C"/>
    <w:rsid w:val="00B52C78"/>
    <w:rsid w:val="00B53972"/>
    <w:rsid w:val="00B53C4D"/>
    <w:rsid w:val="00B5528D"/>
    <w:rsid w:val="00B556C8"/>
    <w:rsid w:val="00B560D7"/>
    <w:rsid w:val="00B64F84"/>
    <w:rsid w:val="00B6671C"/>
    <w:rsid w:val="00B706CA"/>
    <w:rsid w:val="00B707EA"/>
    <w:rsid w:val="00B711BB"/>
    <w:rsid w:val="00B71732"/>
    <w:rsid w:val="00B71DF5"/>
    <w:rsid w:val="00B75898"/>
    <w:rsid w:val="00B765C1"/>
    <w:rsid w:val="00B7664A"/>
    <w:rsid w:val="00B76BC5"/>
    <w:rsid w:val="00B779F2"/>
    <w:rsid w:val="00B81EDB"/>
    <w:rsid w:val="00B8285C"/>
    <w:rsid w:val="00B8302F"/>
    <w:rsid w:val="00B832D7"/>
    <w:rsid w:val="00B8340D"/>
    <w:rsid w:val="00B8347E"/>
    <w:rsid w:val="00B8371A"/>
    <w:rsid w:val="00B8583A"/>
    <w:rsid w:val="00B87ADF"/>
    <w:rsid w:val="00B903A0"/>
    <w:rsid w:val="00B90463"/>
    <w:rsid w:val="00B91E9B"/>
    <w:rsid w:val="00B92C19"/>
    <w:rsid w:val="00B93044"/>
    <w:rsid w:val="00B93E44"/>
    <w:rsid w:val="00B95C5E"/>
    <w:rsid w:val="00B97AAB"/>
    <w:rsid w:val="00BA0474"/>
    <w:rsid w:val="00BA0C82"/>
    <w:rsid w:val="00BA4B9D"/>
    <w:rsid w:val="00BA4BF9"/>
    <w:rsid w:val="00BA4E89"/>
    <w:rsid w:val="00BA5BCD"/>
    <w:rsid w:val="00BA7B9D"/>
    <w:rsid w:val="00BB1BEE"/>
    <w:rsid w:val="00BB2889"/>
    <w:rsid w:val="00BB4EE7"/>
    <w:rsid w:val="00BB5520"/>
    <w:rsid w:val="00BB5D9A"/>
    <w:rsid w:val="00BB6823"/>
    <w:rsid w:val="00BC26B8"/>
    <w:rsid w:val="00BC32F6"/>
    <w:rsid w:val="00BC3BDB"/>
    <w:rsid w:val="00BC538C"/>
    <w:rsid w:val="00BC61E7"/>
    <w:rsid w:val="00BC6CB2"/>
    <w:rsid w:val="00BD2771"/>
    <w:rsid w:val="00BD407C"/>
    <w:rsid w:val="00BD5E0D"/>
    <w:rsid w:val="00BD6E2A"/>
    <w:rsid w:val="00BE0429"/>
    <w:rsid w:val="00BE093D"/>
    <w:rsid w:val="00BE2228"/>
    <w:rsid w:val="00BE2E1F"/>
    <w:rsid w:val="00BE5041"/>
    <w:rsid w:val="00BE5904"/>
    <w:rsid w:val="00BE611E"/>
    <w:rsid w:val="00BE7131"/>
    <w:rsid w:val="00BF0B78"/>
    <w:rsid w:val="00BF275E"/>
    <w:rsid w:val="00BF2865"/>
    <w:rsid w:val="00BF3262"/>
    <w:rsid w:val="00BF53FA"/>
    <w:rsid w:val="00BF5D15"/>
    <w:rsid w:val="00BF673A"/>
    <w:rsid w:val="00C0065B"/>
    <w:rsid w:val="00C0243E"/>
    <w:rsid w:val="00C029F4"/>
    <w:rsid w:val="00C0492B"/>
    <w:rsid w:val="00C0498C"/>
    <w:rsid w:val="00C11706"/>
    <w:rsid w:val="00C126E7"/>
    <w:rsid w:val="00C12ECA"/>
    <w:rsid w:val="00C13DCA"/>
    <w:rsid w:val="00C165AA"/>
    <w:rsid w:val="00C16E85"/>
    <w:rsid w:val="00C178A2"/>
    <w:rsid w:val="00C201A3"/>
    <w:rsid w:val="00C20CB0"/>
    <w:rsid w:val="00C22EA3"/>
    <w:rsid w:val="00C2352C"/>
    <w:rsid w:val="00C23569"/>
    <w:rsid w:val="00C23CD2"/>
    <w:rsid w:val="00C23DB7"/>
    <w:rsid w:val="00C25626"/>
    <w:rsid w:val="00C26AB6"/>
    <w:rsid w:val="00C32BB7"/>
    <w:rsid w:val="00C32C18"/>
    <w:rsid w:val="00C3428D"/>
    <w:rsid w:val="00C357BB"/>
    <w:rsid w:val="00C361A4"/>
    <w:rsid w:val="00C42DC4"/>
    <w:rsid w:val="00C441AE"/>
    <w:rsid w:val="00C444D6"/>
    <w:rsid w:val="00C449C5"/>
    <w:rsid w:val="00C44E43"/>
    <w:rsid w:val="00C44E6C"/>
    <w:rsid w:val="00C45CDF"/>
    <w:rsid w:val="00C476E7"/>
    <w:rsid w:val="00C521E5"/>
    <w:rsid w:val="00C52EDC"/>
    <w:rsid w:val="00C541A3"/>
    <w:rsid w:val="00C54C6E"/>
    <w:rsid w:val="00C55624"/>
    <w:rsid w:val="00C55AB1"/>
    <w:rsid w:val="00C6077F"/>
    <w:rsid w:val="00C65411"/>
    <w:rsid w:val="00C66C2A"/>
    <w:rsid w:val="00C66DCD"/>
    <w:rsid w:val="00C70B20"/>
    <w:rsid w:val="00C718A7"/>
    <w:rsid w:val="00C71A20"/>
    <w:rsid w:val="00C71EB2"/>
    <w:rsid w:val="00C725E6"/>
    <w:rsid w:val="00C72D59"/>
    <w:rsid w:val="00C733D6"/>
    <w:rsid w:val="00C742CC"/>
    <w:rsid w:val="00C75733"/>
    <w:rsid w:val="00C75F45"/>
    <w:rsid w:val="00C7669A"/>
    <w:rsid w:val="00C77654"/>
    <w:rsid w:val="00C77FDD"/>
    <w:rsid w:val="00C81A91"/>
    <w:rsid w:val="00C81F56"/>
    <w:rsid w:val="00C854F4"/>
    <w:rsid w:val="00C86A9F"/>
    <w:rsid w:val="00C87123"/>
    <w:rsid w:val="00C9245E"/>
    <w:rsid w:val="00C94083"/>
    <w:rsid w:val="00C94EFF"/>
    <w:rsid w:val="00C9586A"/>
    <w:rsid w:val="00C95965"/>
    <w:rsid w:val="00C95FA7"/>
    <w:rsid w:val="00CA2394"/>
    <w:rsid w:val="00CA340E"/>
    <w:rsid w:val="00CA4420"/>
    <w:rsid w:val="00CA4C46"/>
    <w:rsid w:val="00CA4E63"/>
    <w:rsid w:val="00CB14E0"/>
    <w:rsid w:val="00CB365B"/>
    <w:rsid w:val="00CB457C"/>
    <w:rsid w:val="00CB7240"/>
    <w:rsid w:val="00CB73D1"/>
    <w:rsid w:val="00CC1467"/>
    <w:rsid w:val="00CC1B0E"/>
    <w:rsid w:val="00CC1F3B"/>
    <w:rsid w:val="00CC2739"/>
    <w:rsid w:val="00CC295C"/>
    <w:rsid w:val="00CC31C0"/>
    <w:rsid w:val="00CC3501"/>
    <w:rsid w:val="00CC3917"/>
    <w:rsid w:val="00CC4B5B"/>
    <w:rsid w:val="00CC4C77"/>
    <w:rsid w:val="00CC50FC"/>
    <w:rsid w:val="00CC521A"/>
    <w:rsid w:val="00CC52F4"/>
    <w:rsid w:val="00CC691D"/>
    <w:rsid w:val="00CD06B0"/>
    <w:rsid w:val="00CD179E"/>
    <w:rsid w:val="00CD7279"/>
    <w:rsid w:val="00CE32AA"/>
    <w:rsid w:val="00CE3739"/>
    <w:rsid w:val="00CE48BA"/>
    <w:rsid w:val="00CF0395"/>
    <w:rsid w:val="00CF0888"/>
    <w:rsid w:val="00CF2E74"/>
    <w:rsid w:val="00CF3663"/>
    <w:rsid w:val="00CF70BE"/>
    <w:rsid w:val="00CF7DFB"/>
    <w:rsid w:val="00CF7FC9"/>
    <w:rsid w:val="00D00059"/>
    <w:rsid w:val="00D014AE"/>
    <w:rsid w:val="00D01E27"/>
    <w:rsid w:val="00D02226"/>
    <w:rsid w:val="00D022ED"/>
    <w:rsid w:val="00D03C8B"/>
    <w:rsid w:val="00D04CD5"/>
    <w:rsid w:val="00D05415"/>
    <w:rsid w:val="00D05AA6"/>
    <w:rsid w:val="00D065C9"/>
    <w:rsid w:val="00D0723B"/>
    <w:rsid w:val="00D07CA7"/>
    <w:rsid w:val="00D10041"/>
    <w:rsid w:val="00D103BB"/>
    <w:rsid w:val="00D103ED"/>
    <w:rsid w:val="00D104B7"/>
    <w:rsid w:val="00D10B6A"/>
    <w:rsid w:val="00D120B4"/>
    <w:rsid w:val="00D12726"/>
    <w:rsid w:val="00D12EDE"/>
    <w:rsid w:val="00D139F8"/>
    <w:rsid w:val="00D14673"/>
    <w:rsid w:val="00D15A92"/>
    <w:rsid w:val="00D168C0"/>
    <w:rsid w:val="00D17288"/>
    <w:rsid w:val="00D211D7"/>
    <w:rsid w:val="00D21C40"/>
    <w:rsid w:val="00D21C6A"/>
    <w:rsid w:val="00D2252D"/>
    <w:rsid w:val="00D22C88"/>
    <w:rsid w:val="00D23BC4"/>
    <w:rsid w:val="00D23FC2"/>
    <w:rsid w:val="00D25A7F"/>
    <w:rsid w:val="00D264CF"/>
    <w:rsid w:val="00D30AD1"/>
    <w:rsid w:val="00D329EC"/>
    <w:rsid w:val="00D338E5"/>
    <w:rsid w:val="00D35568"/>
    <w:rsid w:val="00D35A39"/>
    <w:rsid w:val="00D35F76"/>
    <w:rsid w:val="00D40DE7"/>
    <w:rsid w:val="00D418C9"/>
    <w:rsid w:val="00D4369A"/>
    <w:rsid w:val="00D46F86"/>
    <w:rsid w:val="00D47012"/>
    <w:rsid w:val="00D532B6"/>
    <w:rsid w:val="00D53414"/>
    <w:rsid w:val="00D53966"/>
    <w:rsid w:val="00D55D75"/>
    <w:rsid w:val="00D612E9"/>
    <w:rsid w:val="00D62C74"/>
    <w:rsid w:val="00D633AD"/>
    <w:rsid w:val="00D64293"/>
    <w:rsid w:val="00D66BB4"/>
    <w:rsid w:val="00D67DC2"/>
    <w:rsid w:val="00D70D9E"/>
    <w:rsid w:val="00D73D77"/>
    <w:rsid w:val="00D74DAF"/>
    <w:rsid w:val="00D771E6"/>
    <w:rsid w:val="00D8114C"/>
    <w:rsid w:val="00D83129"/>
    <w:rsid w:val="00D83EAC"/>
    <w:rsid w:val="00D90888"/>
    <w:rsid w:val="00D918A0"/>
    <w:rsid w:val="00D9360D"/>
    <w:rsid w:val="00D93C15"/>
    <w:rsid w:val="00D941E9"/>
    <w:rsid w:val="00D94A6A"/>
    <w:rsid w:val="00D959A6"/>
    <w:rsid w:val="00D972CC"/>
    <w:rsid w:val="00D97BE1"/>
    <w:rsid w:val="00DA0FDF"/>
    <w:rsid w:val="00DA1270"/>
    <w:rsid w:val="00DA2442"/>
    <w:rsid w:val="00DA5E64"/>
    <w:rsid w:val="00DA6D0E"/>
    <w:rsid w:val="00DA71EC"/>
    <w:rsid w:val="00DB1F31"/>
    <w:rsid w:val="00DB2593"/>
    <w:rsid w:val="00DB58E8"/>
    <w:rsid w:val="00DC0188"/>
    <w:rsid w:val="00DC0B71"/>
    <w:rsid w:val="00DC1640"/>
    <w:rsid w:val="00DC3AB3"/>
    <w:rsid w:val="00DC589F"/>
    <w:rsid w:val="00DC5AA4"/>
    <w:rsid w:val="00DC658A"/>
    <w:rsid w:val="00DC66F8"/>
    <w:rsid w:val="00DC7C53"/>
    <w:rsid w:val="00DD0158"/>
    <w:rsid w:val="00DD0B70"/>
    <w:rsid w:val="00DD12C5"/>
    <w:rsid w:val="00DD5A9D"/>
    <w:rsid w:val="00DD6091"/>
    <w:rsid w:val="00DD6F88"/>
    <w:rsid w:val="00DE0B02"/>
    <w:rsid w:val="00DE1227"/>
    <w:rsid w:val="00DE122D"/>
    <w:rsid w:val="00DE1439"/>
    <w:rsid w:val="00DE2098"/>
    <w:rsid w:val="00DE2290"/>
    <w:rsid w:val="00DE2E4D"/>
    <w:rsid w:val="00DE39C6"/>
    <w:rsid w:val="00DE49D6"/>
    <w:rsid w:val="00DE4DDA"/>
    <w:rsid w:val="00DE5518"/>
    <w:rsid w:val="00DE5621"/>
    <w:rsid w:val="00DE606D"/>
    <w:rsid w:val="00DF0B38"/>
    <w:rsid w:val="00DF0D2B"/>
    <w:rsid w:val="00DF1ABA"/>
    <w:rsid w:val="00DF2353"/>
    <w:rsid w:val="00DF5525"/>
    <w:rsid w:val="00DF57D5"/>
    <w:rsid w:val="00DF5AF9"/>
    <w:rsid w:val="00DF5DF6"/>
    <w:rsid w:val="00DF65A3"/>
    <w:rsid w:val="00DF6C75"/>
    <w:rsid w:val="00E00ACF"/>
    <w:rsid w:val="00E00D38"/>
    <w:rsid w:val="00E01318"/>
    <w:rsid w:val="00E02FEA"/>
    <w:rsid w:val="00E0314F"/>
    <w:rsid w:val="00E052F5"/>
    <w:rsid w:val="00E068C8"/>
    <w:rsid w:val="00E1073C"/>
    <w:rsid w:val="00E111ED"/>
    <w:rsid w:val="00E128A6"/>
    <w:rsid w:val="00E129A9"/>
    <w:rsid w:val="00E1438E"/>
    <w:rsid w:val="00E17CF4"/>
    <w:rsid w:val="00E203D7"/>
    <w:rsid w:val="00E20BF8"/>
    <w:rsid w:val="00E213F1"/>
    <w:rsid w:val="00E21CB3"/>
    <w:rsid w:val="00E2275C"/>
    <w:rsid w:val="00E24746"/>
    <w:rsid w:val="00E269D4"/>
    <w:rsid w:val="00E278DB"/>
    <w:rsid w:val="00E30F83"/>
    <w:rsid w:val="00E310A4"/>
    <w:rsid w:val="00E31E8D"/>
    <w:rsid w:val="00E3236F"/>
    <w:rsid w:val="00E33455"/>
    <w:rsid w:val="00E33F39"/>
    <w:rsid w:val="00E40BE5"/>
    <w:rsid w:val="00E41B72"/>
    <w:rsid w:val="00E455EB"/>
    <w:rsid w:val="00E472C3"/>
    <w:rsid w:val="00E50393"/>
    <w:rsid w:val="00E5066F"/>
    <w:rsid w:val="00E50E3C"/>
    <w:rsid w:val="00E51178"/>
    <w:rsid w:val="00E52957"/>
    <w:rsid w:val="00E52A85"/>
    <w:rsid w:val="00E53C16"/>
    <w:rsid w:val="00E53DBF"/>
    <w:rsid w:val="00E548DF"/>
    <w:rsid w:val="00E55B86"/>
    <w:rsid w:val="00E61586"/>
    <w:rsid w:val="00E61AE7"/>
    <w:rsid w:val="00E6282C"/>
    <w:rsid w:val="00E62C62"/>
    <w:rsid w:val="00E635A3"/>
    <w:rsid w:val="00E650E6"/>
    <w:rsid w:val="00E65418"/>
    <w:rsid w:val="00E671BC"/>
    <w:rsid w:val="00E6749B"/>
    <w:rsid w:val="00E72112"/>
    <w:rsid w:val="00E73FC1"/>
    <w:rsid w:val="00E74BC2"/>
    <w:rsid w:val="00E74F68"/>
    <w:rsid w:val="00E75514"/>
    <w:rsid w:val="00E75E6A"/>
    <w:rsid w:val="00E76319"/>
    <w:rsid w:val="00E766A0"/>
    <w:rsid w:val="00E81DD3"/>
    <w:rsid w:val="00E8287B"/>
    <w:rsid w:val="00E83320"/>
    <w:rsid w:val="00E84BBD"/>
    <w:rsid w:val="00E85ACC"/>
    <w:rsid w:val="00E85F5C"/>
    <w:rsid w:val="00E86ED1"/>
    <w:rsid w:val="00E900AF"/>
    <w:rsid w:val="00E90752"/>
    <w:rsid w:val="00E90894"/>
    <w:rsid w:val="00E93EE5"/>
    <w:rsid w:val="00E9405D"/>
    <w:rsid w:val="00E942E3"/>
    <w:rsid w:val="00E95C0A"/>
    <w:rsid w:val="00E966FF"/>
    <w:rsid w:val="00E973F3"/>
    <w:rsid w:val="00E97CEF"/>
    <w:rsid w:val="00E97ED9"/>
    <w:rsid w:val="00EA07F0"/>
    <w:rsid w:val="00EA0C77"/>
    <w:rsid w:val="00EA1536"/>
    <w:rsid w:val="00EA2DAE"/>
    <w:rsid w:val="00EA3092"/>
    <w:rsid w:val="00EA4742"/>
    <w:rsid w:val="00EA4838"/>
    <w:rsid w:val="00EA6A83"/>
    <w:rsid w:val="00EB293A"/>
    <w:rsid w:val="00EB3A90"/>
    <w:rsid w:val="00EB3DAF"/>
    <w:rsid w:val="00EB4B60"/>
    <w:rsid w:val="00EB58CB"/>
    <w:rsid w:val="00EC022F"/>
    <w:rsid w:val="00EC0CB9"/>
    <w:rsid w:val="00EC172C"/>
    <w:rsid w:val="00EC21E1"/>
    <w:rsid w:val="00EC2E95"/>
    <w:rsid w:val="00EC311B"/>
    <w:rsid w:val="00EC40DB"/>
    <w:rsid w:val="00EC429E"/>
    <w:rsid w:val="00EC46FC"/>
    <w:rsid w:val="00EC4891"/>
    <w:rsid w:val="00EC569A"/>
    <w:rsid w:val="00ED04AB"/>
    <w:rsid w:val="00ED1EDC"/>
    <w:rsid w:val="00ED3174"/>
    <w:rsid w:val="00ED4B24"/>
    <w:rsid w:val="00ED4FA6"/>
    <w:rsid w:val="00ED6323"/>
    <w:rsid w:val="00ED6339"/>
    <w:rsid w:val="00ED6A1A"/>
    <w:rsid w:val="00ED6CDB"/>
    <w:rsid w:val="00EE052F"/>
    <w:rsid w:val="00EE0543"/>
    <w:rsid w:val="00EE20B5"/>
    <w:rsid w:val="00EE20F9"/>
    <w:rsid w:val="00EE2705"/>
    <w:rsid w:val="00EE27CC"/>
    <w:rsid w:val="00EE3732"/>
    <w:rsid w:val="00EE45FC"/>
    <w:rsid w:val="00EE49CE"/>
    <w:rsid w:val="00EE5540"/>
    <w:rsid w:val="00EF0B4E"/>
    <w:rsid w:val="00EF16C1"/>
    <w:rsid w:val="00EF1CF7"/>
    <w:rsid w:val="00EF1D6F"/>
    <w:rsid w:val="00EF3C11"/>
    <w:rsid w:val="00EF433E"/>
    <w:rsid w:val="00EF48AD"/>
    <w:rsid w:val="00EF53A9"/>
    <w:rsid w:val="00F017B5"/>
    <w:rsid w:val="00F0232D"/>
    <w:rsid w:val="00F02975"/>
    <w:rsid w:val="00F044FA"/>
    <w:rsid w:val="00F04B42"/>
    <w:rsid w:val="00F0530F"/>
    <w:rsid w:val="00F10714"/>
    <w:rsid w:val="00F110AE"/>
    <w:rsid w:val="00F11966"/>
    <w:rsid w:val="00F11A18"/>
    <w:rsid w:val="00F11BF4"/>
    <w:rsid w:val="00F16051"/>
    <w:rsid w:val="00F1651B"/>
    <w:rsid w:val="00F171CC"/>
    <w:rsid w:val="00F177CF"/>
    <w:rsid w:val="00F20086"/>
    <w:rsid w:val="00F20DF5"/>
    <w:rsid w:val="00F22380"/>
    <w:rsid w:val="00F24433"/>
    <w:rsid w:val="00F24924"/>
    <w:rsid w:val="00F25BF7"/>
    <w:rsid w:val="00F264E7"/>
    <w:rsid w:val="00F26A7B"/>
    <w:rsid w:val="00F26CC6"/>
    <w:rsid w:val="00F27E71"/>
    <w:rsid w:val="00F30776"/>
    <w:rsid w:val="00F30AF1"/>
    <w:rsid w:val="00F30E6C"/>
    <w:rsid w:val="00F31358"/>
    <w:rsid w:val="00F3182A"/>
    <w:rsid w:val="00F32645"/>
    <w:rsid w:val="00F32BE9"/>
    <w:rsid w:val="00F334C1"/>
    <w:rsid w:val="00F3387A"/>
    <w:rsid w:val="00F3411C"/>
    <w:rsid w:val="00F3425B"/>
    <w:rsid w:val="00F36924"/>
    <w:rsid w:val="00F36970"/>
    <w:rsid w:val="00F36AEB"/>
    <w:rsid w:val="00F36B22"/>
    <w:rsid w:val="00F406A9"/>
    <w:rsid w:val="00F40FD8"/>
    <w:rsid w:val="00F43873"/>
    <w:rsid w:val="00F45538"/>
    <w:rsid w:val="00F45C7E"/>
    <w:rsid w:val="00F464FF"/>
    <w:rsid w:val="00F46E1C"/>
    <w:rsid w:val="00F47E13"/>
    <w:rsid w:val="00F50B20"/>
    <w:rsid w:val="00F5103C"/>
    <w:rsid w:val="00F531D4"/>
    <w:rsid w:val="00F54485"/>
    <w:rsid w:val="00F54718"/>
    <w:rsid w:val="00F55105"/>
    <w:rsid w:val="00F553A3"/>
    <w:rsid w:val="00F5586F"/>
    <w:rsid w:val="00F60E7F"/>
    <w:rsid w:val="00F61E82"/>
    <w:rsid w:val="00F64F68"/>
    <w:rsid w:val="00F67AFC"/>
    <w:rsid w:val="00F72DEA"/>
    <w:rsid w:val="00F741D1"/>
    <w:rsid w:val="00F75084"/>
    <w:rsid w:val="00F816A7"/>
    <w:rsid w:val="00F82A68"/>
    <w:rsid w:val="00F8569D"/>
    <w:rsid w:val="00F867F0"/>
    <w:rsid w:val="00F91CDA"/>
    <w:rsid w:val="00F93466"/>
    <w:rsid w:val="00F939D1"/>
    <w:rsid w:val="00F95A4B"/>
    <w:rsid w:val="00F967F8"/>
    <w:rsid w:val="00F96C0D"/>
    <w:rsid w:val="00F96D5D"/>
    <w:rsid w:val="00F97590"/>
    <w:rsid w:val="00FA0AC3"/>
    <w:rsid w:val="00FA118C"/>
    <w:rsid w:val="00FA1306"/>
    <w:rsid w:val="00FA156C"/>
    <w:rsid w:val="00FA26A9"/>
    <w:rsid w:val="00FA2E6E"/>
    <w:rsid w:val="00FA3D86"/>
    <w:rsid w:val="00FA4628"/>
    <w:rsid w:val="00FA4EF8"/>
    <w:rsid w:val="00FA67C3"/>
    <w:rsid w:val="00FA6A6D"/>
    <w:rsid w:val="00FA7990"/>
    <w:rsid w:val="00FA7E3E"/>
    <w:rsid w:val="00FB3064"/>
    <w:rsid w:val="00FB61A3"/>
    <w:rsid w:val="00FB660C"/>
    <w:rsid w:val="00FC0272"/>
    <w:rsid w:val="00FC0E52"/>
    <w:rsid w:val="00FC0EF1"/>
    <w:rsid w:val="00FC17AC"/>
    <w:rsid w:val="00FC19D5"/>
    <w:rsid w:val="00FC377B"/>
    <w:rsid w:val="00FC44B4"/>
    <w:rsid w:val="00FC5A80"/>
    <w:rsid w:val="00FC5BF0"/>
    <w:rsid w:val="00FC658C"/>
    <w:rsid w:val="00FD23A0"/>
    <w:rsid w:val="00FD3B27"/>
    <w:rsid w:val="00FD658E"/>
    <w:rsid w:val="00FE28A8"/>
    <w:rsid w:val="00FE28B7"/>
    <w:rsid w:val="00FE2B25"/>
    <w:rsid w:val="00FE2B5C"/>
    <w:rsid w:val="00FE2D67"/>
    <w:rsid w:val="00FE3FCA"/>
    <w:rsid w:val="00FE4628"/>
    <w:rsid w:val="00FE46DB"/>
    <w:rsid w:val="00FE47E4"/>
    <w:rsid w:val="00FE5101"/>
    <w:rsid w:val="00FE536C"/>
    <w:rsid w:val="00FE5B65"/>
    <w:rsid w:val="00FE76C5"/>
    <w:rsid w:val="00FF0F31"/>
    <w:rsid w:val="00FF251E"/>
    <w:rsid w:val="00FF3692"/>
    <w:rsid w:val="00FF375A"/>
    <w:rsid w:val="00FF5484"/>
    <w:rsid w:val="00FF5EDB"/>
    <w:rsid w:val="03AAB8C0"/>
    <w:rsid w:val="0C22530F"/>
    <w:rsid w:val="0E8A541C"/>
    <w:rsid w:val="0F14D4B1"/>
    <w:rsid w:val="1A38797C"/>
    <w:rsid w:val="22D7A219"/>
    <w:rsid w:val="23444BCB"/>
    <w:rsid w:val="235FA75F"/>
    <w:rsid w:val="32492FCF"/>
    <w:rsid w:val="3E57071C"/>
    <w:rsid w:val="4B986ECD"/>
    <w:rsid w:val="6164F103"/>
    <w:rsid w:val="62C9AC42"/>
    <w:rsid w:val="62D141C1"/>
    <w:rsid w:val="62FF753B"/>
    <w:rsid w:val="66286A19"/>
    <w:rsid w:val="667C2A25"/>
    <w:rsid w:val="6A7F55EA"/>
    <w:rsid w:val="6C0AAF20"/>
    <w:rsid w:val="737F8B18"/>
    <w:rsid w:val="7BD92E4B"/>
    <w:rsid w:val="7D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AC6F6"/>
  <w14:defaultImageDpi w14:val="96"/>
  <w15:docId w15:val="{9FC53CCF-CAF0-4E17-83B8-4C4C918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0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Chart31">
    <w:name w:val="Chart 3.1"/>
    <w:basedOn w:val="Normal"/>
    <w:qFormat/>
    <w:rsid w:val="00F334C1"/>
    <w:pPr>
      <w:widowControl/>
      <w:numPr>
        <w:numId w:val="44"/>
      </w:numPr>
      <w:autoSpaceDE/>
      <w:autoSpaceDN/>
      <w:spacing w:before="240" w:after="120"/>
      <w:ind w:left="1134" w:hanging="1134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paragraph" w:customStyle="1" w:styleId="Table21">
    <w:name w:val="Table 2.1"/>
    <w:basedOn w:val="Normal"/>
    <w:qFormat/>
    <w:rsid w:val="00347E4F"/>
    <w:pPr>
      <w:widowControl/>
      <w:numPr>
        <w:numId w:val="45"/>
      </w:numPr>
      <w:autoSpaceDE/>
      <w:autoSpaceDN/>
      <w:spacing w:before="240" w:after="120"/>
    </w:pPr>
    <w:rPr>
      <w:rFonts w:ascii="Arial" w:eastAsia="Times New Roman" w:hAnsi="Arial" w:cs="Times New Roman"/>
      <w:i/>
      <w:color w:val="4F4F4F"/>
      <w:sz w:val="22"/>
      <w:lang w:val="fr-FR" w:eastAsia="en-US"/>
    </w:rPr>
  </w:style>
  <w:style w:type="paragraph" w:customStyle="1" w:styleId="Chart41">
    <w:name w:val="Chart 4.1"/>
    <w:basedOn w:val="Normal"/>
    <w:next w:val="Normal"/>
    <w:rsid w:val="005F77FD"/>
    <w:pPr>
      <w:keepLines/>
      <w:widowControl/>
      <w:numPr>
        <w:numId w:val="46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character" w:customStyle="1" w:styleId="eop">
    <w:name w:val="eop"/>
    <w:basedOn w:val="DefaultParagraphFont"/>
    <w:rsid w:val="00263B28"/>
  </w:style>
  <w:style w:type="paragraph" w:customStyle="1" w:styleId="Chart5x">
    <w:name w:val="Chart 5.x"/>
    <w:basedOn w:val="Table5X"/>
    <w:qFormat/>
    <w:rsid w:val="00D40DE7"/>
    <w:pPr>
      <w:numPr>
        <w:numId w:val="47"/>
      </w:numPr>
      <w:tabs>
        <w:tab w:val="clear" w:pos="1232"/>
        <w:tab w:val="left" w:pos="0"/>
        <w:tab w:val="left" w:pos="1304"/>
      </w:tabs>
      <w:autoSpaceDE/>
      <w:autoSpaceDN/>
      <w:spacing w:before="240"/>
    </w:pPr>
    <w:rPr>
      <w:rFonts w:ascii="Arial" w:eastAsia="Times New Roman" w:hAnsi="Arial"/>
      <w:i/>
      <w:color w:val="4F4F4F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8F31C7"/>
    <w:rPr>
      <w:color w:val="2B579A"/>
      <w:shd w:val="clear" w:color="auto" w:fill="E1DFDD"/>
    </w:rPr>
  </w:style>
  <w:style w:type="paragraph" w:customStyle="1" w:styleId="Box61BoxHeading">
    <w:name w:val="Box 6.1 Box Heading"/>
    <w:basedOn w:val="ObjectHeading"/>
    <w:autoRedefine/>
    <w:rsid w:val="0010741B"/>
    <w:pPr>
      <w:keepLines/>
      <w:numPr>
        <w:numId w:val="48"/>
      </w:numPr>
      <w:tabs>
        <w:tab w:val="clear" w:pos="1418"/>
        <w:tab w:val="left" w:pos="1134"/>
      </w:tabs>
      <w:spacing w:before="80" w:after="60"/>
      <w:ind w:left="1171" w:hanging="1171"/>
      <w:outlineLvl w:val="9"/>
    </w:pPr>
    <w:rPr>
      <w:rFonts w:cs="Arial"/>
      <w:sz w:val="23"/>
      <w:szCs w:val="20"/>
      <w:lang w:eastAsia="en-AU"/>
    </w:rPr>
  </w:style>
  <w:style w:type="paragraph" w:customStyle="1" w:styleId="Chart6X">
    <w:name w:val="Chart 6.X"/>
    <w:basedOn w:val="Normal"/>
    <w:next w:val="Normal"/>
    <w:rsid w:val="00C23CD2"/>
    <w:pPr>
      <w:keepLines/>
      <w:widowControl/>
      <w:numPr>
        <w:numId w:val="49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val="en-US" w:eastAsia="en-US"/>
    </w:rPr>
  </w:style>
  <w:style w:type="paragraph" w:customStyle="1" w:styleId="TableA3X">
    <w:name w:val="Table A3.X"/>
    <w:basedOn w:val="Normal"/>
    <w:qFormat/>
    <w:rsid w:val="008718F6"/>
    <w:pPr>
      <w:numPr>
        <w:numId w:val="50"/>
      </w:numPr>
      <w:tabs>
        <w:tab w:val="left" w:pos="1304"/>
      </w:tabs>
      <w:autoSpaceDE/>
      <w:autoSpaceDN/>
      <w:spacing w:before="360" w:after="120"/>
    </w:pPr>
    <w:rPr>
      <w:rFonts w:ascii="Arial" w:eastAsia="Times New Roman" w:hAnsi="Arial" w:cs="Times New Roman"/>
      <w:bCs/>
      <w:i/>
      <w:color w:val="4F4F4F"/>
      <w:kern w:val="28"/>
      <w:sz w:val="22"/>
      <w:szCs w:val="22"/>
      <w:lang w:val="en-US" w:eastAsia="en-US"/>
    </w:rPr>
  </w:style>
  <w:style w:type="paragraph" w:customStyle="1" w:styleId="TOC31">
    <w:name w:val="TOC 31"/>
    <w:basedOn w:val="Normal"/>
    <w:rsid w:val="004C00A6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4C00A6"/>
    <w:pPr>
      <w:ind w:left="40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1A893AA2-D95C-4B6E-AC10-0C393438B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AE7F0-2CAF-4909-85AC-F6F41132DE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DFC50-438E-42B6-B64A-4EA5D5E6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8FDD0-7FDF-4F6D-839F-F6E85718C5B9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801a5968-9419-4033-b9de-7ffe8168468e"/>
    <ds:schemaRef ds:uri="http://schemas.openxmlformats.org/package/2006/metadata/core-properties"/>
    <ds:schemaRef ds:uri="9f0ac7ce-5f57-4ea0-9af7-01d4f3f1ccae"/>
    <ds:schemaRef ds:uri="1c478e85-8130-4c67-8ee4-8bdf1c0e6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Budget Paper No. 1 – Budget Statement - Charts, Firgure and Table List</vt:lpstr>
    </vt:vector>
  </TitlesOfParts>
  <Company>ServiceFirst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 No. 1 – Budget Statement - Charts, Firgure and Table List</dc:title>
  <dc:subject/>
  <dc:creator>NSW Treasury</dc:creator>
  <cp:keywords/>
  <cp:lastModifiedBy>Francess Lavorato</cp:lastModifiedBy>
  <cp:revision>1226</cp:revision>
  <cp:lastPrinted>2022-06-17T16:20:00Z</cp:lastPrinted>
  <dcterms:created xsi:type="dcterms:W3CDTF">2016-06-13T08:42:00Z</dcterms:created>
  <dcterms:modified xsi:type="dcterms:W3CDTF">2023-09-17T01:26:00Z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