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F00" w14:textId="407D1E93" w:rsidR="00477340" w:rsidRPr="00477340" w:rsidRDefault="00477340" w:rsidP="00080A15">
      <w:pPr>
        <w:keepNext/>
        <w:spacing w:before="400" w:after="600"/>
        <w:ind w:left="851" w:hanging="851"/>
        <w:outlineLvl w:val="0"/>
        <w:rPr>
          <w:rFonts w:ascii="Arial" w:hAnsi="Arial"/>
          <w:caps/>
          <w:color w:val="002664"/>
          <w:kern w:val="28"/>
          <w:sz w:val="40"/>
          <w:szCs w:val="36"/>
          <w:lang w:val="en-AU"/>
        </w:rPr>
      </w:pPr>
      <w:r w:rsidRPr="00477340">
        <w:rPr>
          <w:rFonts w:ascii="Arial" w:hAnsi="Arial"/>
          <w:caps/>
          <w:color w:val="002664"/>
          <w:kern w:val="28"/>
          <w:sz w:val="40"/>
          <w:szCs w:val="36"/>
          <w:lang w:val="en-AU"/>
        </w:rPr>
        <w:t>7.</w:t>
      </w:r>
      <w:r w:rsidRPr="00477340">
        <w:rPr>
          <w:rFonts w:ascii="Arial" w:hAnsi="Arial"/>
          <w:caps/>
          <w:color w:val="002664"/>
          <w:kern w:val="28"/>
          <w:sz w:val="40"/>
          <w:szCs w:val="36"/>
          <w:lang w:val="en-AU"/>
        </w:rPr>
        <w:tab/>
      </w:r>
      <w:r w:rsidR="007706EE" w:rsidRPr="00477340">
        <w:rPr>
          <w:rFonts w:ascii="Arial" w:hAnsi="Arial"/>
          <w:caps/>
          <w:color w:val="002664"/>
          <w:kern w:val="28"/>
          <w:sz w:val="40"/>
          <w:szCs w:val="36"/>
          <w:lang w:val="en-AU"/>
        </w:rPr>
        <w:t>COMMERCIAL PERFORMANCE IN</w:t>
      </w:r>
      <w:r w:rsidR="007706EE" w:rsidRPr="00477340">
        <w:rPr>
          <w:rFonts w:ascii="Arial" w:hAnsi="Arial"/>
          <w:caps/>
          <w:color w:val="002664"/>
          <w:spacing w:val="-28"/>
          <w:kern w:val="28"/>
          <w:sz w:val="40"/>
          <w:szCs w:val="36"/>
          <w:lang w:val="en-AU"/>
        </w:rPr>
        <w:t xml:space="preserve"> </w:t>
      </w:r>
      <w:r w:rsidR="007706EE" w:rsidRPr="00477340">
        <w:rPr>
          <w:rFonts w:ascii="Arial" w:hAnsi="Arial"/>
          <w:caps/>
          <w:color w:val="002664"/>
          <w:kern w:val="28"/>
          <w:sz w:val="40"/>
          <w:szCs w:val="36"/>
          <w:lang w:val="en-AU"/>
        </w:rPr>
        <w:t>THE BROADER PUBLIC</w:t>
      </w:r>
      <w:r w:rsidR="007706EE" w:rsidRPr="00477340">
        <w:rPr>
          <w:rFonts w:ascii="Arial" w:hAnsi="Arial"/>
          <w:caps/>
          <w:color w:val="002664"/>
          <w:spacing w:val="-2"/>
          <w:kern w:val="28"/>
          <w:sz w:val="40"/>
          <w:szCs w:val="36"/>
          <w:lang w:val="en-AU"/>
        </w:rPr>
        <w:t xml:space="preserve"> </w:t>
      </w:r>
      <w:r w:rsidR="007706EE" w:rsidRPr="00477340">
        <w:rPr>
          <w:rFonts w:ascii="Arial" w:hAnsi="Arial"/>
          <w:caps/>
          <w:color w:val="002664"/>
          <w:kern w:val="28"/>
          <w:sz w:val="40"/>
          <w:szCs w:val="36"/>
          <w:lang w:val="en-AU"/>
        </w:rPr>
        <w:t>SECTOR</w:t>
      </w:r>
    </w:p>
    <w:tbl>
      <w:tblPr>
        <w:tblStyle w:val="Focusbox"/>
        <w:tblW w:w="0" w:type="auto"/>
        <w:tblLook w:val="04A0" w:firstRow="1" w:lastRow="0" w:firstColumn="1" w:lastColumn="0" w:noHBand="0" w:noVBand="1"/>
        <w:tblCaption w:val="7. COMMERCIAL PERFORMANCE IN THE BROADER PUBLIC SECTOR -Focus box"/>
        <w:tblDescription w:val="7. COMMERCIAL PERFORMANCE IN THE BROADER PUBLIC SECTOR -Focus box"/>
      </w:tblPr>
      <w:tblGrid>
        <w:gridCol w:w="9629"/>
      </w:tblGrid>
      <w:tr w:rsidR="00477340" w:rsidRPr="00477340" w14:paraId="4B3E92CE" w14:textId="77777777">
        <w:tc>
          <w:tcPr>
            <w:tcW w:w="9629" w:type="dxa"/>
          </w:tcPr>
          <w:p w14:paraId="68C34856" w14:textId="0CE360A4" w:rsidR="00A81313" w:rsidRDefault="002D58BE" w:rsidP="00681D2E">
            <w:pPr>
              <w:pStyle w:val="Bullet1"/>
            </w:pPr>
            <w:r>
              <w:t>Commercial operations of the public sector are delivered through</w:t>
            </w:r>
            <w:r w:rsidR="00457C00">
              <w:t xml:space="preserve"> the </w:t>
            </w:r>
            <w:proofErr w:type="gramStart"/>
            <w:r w:rsidR="00457C00">
              <w:t>State Owned</w:t>
            </w:r>
            <w:proofErr w:type="gramEnd"/>
            <w:r w:rsidR="00457C00">
              <w:t xml:space="preserve"> Corporations (SOCs)</w:t>
            </w:r>
            <w:r w:rsidR="003927F3">
              <w:t>, other entities</w:t>
            </w:r>
            <w:r w:rsidR="00457C00">
              <w:t xml:space="preserve"> in</w:t>
            </w:r>
            <w:r w:rsidR="004669EA">
              <w:t xml:space="preserve"> the public non-financial corporation </w:t>
            </w:r>
            <w:r w:rsidR="0082707B">
              <w:t xml:space="preserve">(PNFC) sector and </w:t>
            </w:r>
            <w:r w:rsidR="00F5552F">
              <w:t xml:space="preserve">entities </w:t>
            </w:r>
            <w:r w:rsidR="00302C5E">
              <w:t>in the public financial corporation (PFC) sector</w:t>
            </w:r>
            <w:r w:rsidR="00643A23">
              <w:t xml:space="preserve"> </w:t>
            </w:r>
            <w:r w:rsidR="00643A23" w:rsidRPr="00643A23">
              <w:t>(see Appendix A4</w:t>
            </w:r>
            <w:r w:rsidR="0060061F">
              <w:t xml:space="preserve"> Classification of Agencies</w:t>
            </w:r>
            <w:r w:rsidR="00643A23" w:rsidRPr="00643A23">
              <w:t xml:space="preserve"> for classifications of the entities)</w:t>
            </w:r>
            <w:r w:rsidR="00302C5E">
              <w:t>.</w:t>
            </w:r>
            <w:r w:rsidR="00026798">
              <w:t xml:space="preserve"> </w:t>
            </w:r>
            <w:r w:rsidR="004A4C53" w:rsidRPr="002E5016">
              <w:t>The</w:t>
            </w:r>
            <w:r w:rsidR="002E5016">
              <w:t>s</w:t>
            </w:r>
            <w:r w:rsidR="006837F6">
              <w:t>e</w:t>
            </w:r>
            <w:r w:rsidR="004A4C53" w:rsidRPr="002E5016">
              <w:t xml:space="preserve"> </w:t>
            </w:r>
            <w:r w:rsidR="00071675" w:rsidRPr="002E5016">
              <w:t xml:space="preserve">commercial entities </w:t>
            </w:r>
            <w:r w:rsidR="008A410F" w:rsidRPr="002E5016">
              <w:t>operate</w:t>
            </w:r>
            <w:r w:rsidR="008043D6" w:rsidRPr="002E5016">
              <w:t xml:space="preserve"> at arm’s length from the </w:t>
            </w:r>
            <w:r w:rsidR="001C3BD7" w:rsidRPr="002E5016">
              <w:t xml:space="preserve">Government and </w:t>
            </w:r>
            <w:r w:rsidR="00071675" w:rsidRPr="002E5016">
              <w:t xml:space="preserve">are guided </w:t>
            </w:r>
            <w:r w:rsidR="001C3BD7" w:rsidRPr="002E5016">
              <w:t>by Treasury</w:t>
            </w:r>
            <w:r w:rsidR="009103DE" w:rsidRPr="002E5016">
              <w:t>’s Commercial Policy Framework</w:t>
            </w:r>
            <w:r w:rsidR="00F60D6B">
              <w:t xml:space="preserve">. </w:t>
            </w:r>
          </w:p>
          <w:p w14:paraId="73590075" w14:textId="2FA93470" w:rsidR="005853D2" w:rsidRDefault="00636805" w:rsidP="00681D2E">
            <w:pPr>
              <w:pStyle w:val="Bullet1"/>
            </w:pPr>
            <w:r>
              <w:t>The Government is working with</w:t>
            </w:r>
            <w:r w:rsidR="00044AFD">
              <w:t xml:space="preserve"> </w:t>
            </w:r>
            <w:r w:rsidR="006D4D95">
              <w:t xml:space="preserve">individual </w:t>
            </w:r>
            <w:r w:rsidR="00044AFD">
              <w:t>SOCs</w:t>
            </w:r>
            <w:r w:rsidR="000C67BC">
              <w:t xml:space="preserve"> to </w:t>
            </w:r>
            <w:r w:rsidR="00756358">
              <w:t xml:space="preserve">align </w:t>
            </w:r>
            <w:r w:rsidR="00F70070">
              <w:t xml:space="preserve">their strategic </w:t>
            </w:r>
            <w:r w:rsidR="00CB2217">
              <w:t>direction</w:t>
            </w:r>
            <w:r w:rsidR="00F70070">
              <w:t xml:space="preserve"> with the </w:t>
            </w:r>
            <w:r w:rsidR="006D4D95">
              <w:t xml:space="preserve">Government’s </w:t>
            </w:r>
            <w:r w:rsidR="00CB2217">
              <w:t>priorities</w:t>
            </w:r>
            <w:r w:rsidR="00405EF2">
              <w:t xml:space="preserve">, while maintaining </w:t>
            </w:r>
            <w:proofErr w:type="spellStart"/>
            <w:r w:rsidR="00E05399">
              <w:t>SOCs’</w:t>
            </w:r>
            <w:proofErr w:type="spellEnd"/>
            <w:r w:rsidR="00E05399">
              <w:t xml:space="preserve"> i</w:t>
            </w:r>
            <w:r w:rsidR="00164395">
              <w:t>ndependence of operation in a commercial manner</w:t>
            </w:r>
            <w:r w:rsidR="006D4D95">
              <w:t xml:space="preserve">. </w:t>
            </w:r>
            <w:r w:rsidR="0030591A">
              <w:t xml:space="preserve">SOCs will </w:t>
            </w:r>
            <w:r w:rsidR="0029765B">
              <w:t xml:space="preserve">fully </w:t>
            </w:r>
            <w:r w:rsidR="0030591A">
              <w:t>re</w:t>
            </w:r>
            <w:r w:rsidR="00B56C30">
              <w:t>flect</w:t>
            </w:r>
            <w:r w:rsidR="0030591A">
              <w:t xml:space="preserve"> </w:t>
            </w:r>
            <w:r w:rsidR="00FC4E5A">
              <w:t xml:space="preserve">the Government’s expectations in </w:t>
            </w:r>
            <w:r w:rsidR="00B51C12">
              <w:t>the upcoming</w:t>
            </w:r>
            <w:r w:rsidR="003740C2">
              <w:t xml:space="preserve"> Statement of Corporate </w:t>
            </w:r>
            <w:r w:rsidR="001849FD">
              <w:t>Intent and business plan</w:t>
            </w:r>
            <w:r w:rsidR="00F20B4F">
              <w:t>ning process</w:t>
            </w:r>
            <w:r w:rsidR="002F7B6E">
              <w:t xml:space="preserve"> f</w:t>
            </w:r>
            <w:r w:rsidR="00F20B4F">
              <w:t>or</w:t>
            </w:r>
            <w:r w:rsidR="002F7B6E">
              <w:t xml:space="preserve"> 202</w:t>
            </w:r>
            <w:r w:rsidR="00F20B4F">
              <w:t>4</w:t>
            </w:r>
            <w:r w:rsidR="002F7B6E">
              <w:t>-</w:t>
            </w:r>
            <w:r w:rsidR="00F20B4F">
              <w:t>25</w:t>
            </w:r>
            <w:r w:rsidR="002F7B6E">
              <w:t>.</w:t>
            </w:r>
          </w:p>
          <w:p w14:paraId="0367997E" w14:textId="612BAA72" w:rsidR="006B6CFA" w:rsidRPr="006B6CFA" w:rsidRDefault="006B6CFA" w:rsidP="00681D2E">
            <w:pPr>
              <w:pStyle w:val="Bullet1"/>
            </w:pPr>
            <w:r>
              <w:t xml:space="preserve">The commercial entities in the NSW public sector deliver essential services including water, </w:t>
            </w:r>
            <w:proofErr w:type="gramStart"/>
            <w:r>
              <w:t>energy</w:t>
            </w:r>
            <w:proofErr w:type="gramEnd"/>
            <w:r>
              <w:t xml:space="preserve"> and port </w:t>
            </w:r>
            <w:r w:rsidR="00B63E46">
              <w:t>functions</w:t>
            </w:r>
            <w:r>
              <w:t>. The Government is committed to maintain</w:t>
            </w:r>
            <w:r w:rsidR="00F77798">
              <w:t>ing</w:t>
            </w:r>
            <w:r>
              <w:t xml:space="preserve"> public ownership of its essential assets. The Government has safeguarded Sydney Water Corporation (Sydney Water) and Hunter Water Corporation (Hunter Water) from privatisation through an amendment to the </w:t>
            </w:r>
            <w:r w:rsidRPr="00F1799B">
              <w:rPr>
                <w:i/>
              </w:rPr>
              <w:t>Constitution Act</w:t>
            </w:r>
            <w:r w:rsidR="00056927" w:rsidRPr="00F1799B">
              <w:rPr>
                <w:i/>
              </w:rPr>
              <w:t xml:space="preserve"> (NSW)</w:t>
            </w:r>
            <w:r w:rsidRPr="00F1799B">
              <w:rPr>
                <w:i/>
              </w:rPr>
              <w:t xml:space="preserve"> 1902</w:t>
            </w:r>
            <w:r>
              <w:t>.</w:t>
            </w:r>
          </w:p>
          <w:p w14:paraId="3F346018" w14:textId="3023C019" w:rsidR="00A62B72" w:rsidRDefault="00A62B72" w:rsidP="00681D2E">
            <w:pPr>
              <w:pStyle w:val="Bullet1"/>
            </w:pPr>
            <w:r w:rsidRPr="00A62B72">
              <w:t xml:space="preserve">SOCs are taking action to support the State’s energy security and transition to net zero emissions. They are exploring a wide spectrum of renewable energy solutions, including renewable energy generation, </w:t>
            </w:r>
            <w:proofErr w:type="gramStart"/>
            <w:r w:rsidRPr="00A62B72">
              <w:t>storage</w:t>
            </w:r>
            <w:proofErr w:type="gramEnd"/>
            <w:r w:rsidRPr="00A62B72">
              <w:t xml:space="preserve"> and efficient connections</w:t>
            </w:r>
            <w:r w:rsidR="007369C1">
              <w:t xml:space="preserve"> to the network.</w:t>
            </w:r>
          </w:p>
          <w:p w14:paraId="591B5D55" w14:textId="19831926" w:rsidR="00A62B72" w:rsidRPr="00661209" w:rsidRDefault="00AE615F" w:rsidP="00681D2E">
            <w:pPr>
              <w:pStyle w:val="Bullet1"/>
            </w:pPr>
            <w:r w:rsidRPr="00661209">
              <w:t>In line with the Government’s commitment to addressing the cost of livin</w:t>
            </w:r>
            <w:r>
              <w:t>g b</w:t>
            </w:r>
            <w:r w:rsidRPr="00661209">
              <w:t>y ensuring housing is more affordable,</w:t>
            </w:r>
            <w:r w:rsidR="00BB71A4" w:rsidRPr="00661209">
              <w:t xml:space="preserve"> </w:t>
            </w:r>
            <w:proofErr w:type="spellStart"/>
            <w:r w:rsidR="00BB71A4" w:rsidRPr="00661209">
              <w:t>Landcom</w:t>
            </w:r>
            <w:proofErr w:type="spellEnd"/>
            <w:r w:rsidR="00BB71A4" w:rsidRPr="00661209">
              <w:t xml:space="preserve"> is</w:t>
            </w:r>
            <w:r w:rsidR="00BB71A4">
              <w:t xml:space="preserve"> </w:t>
            </w:r>
            <w:r w:rsidR="00E96324" w:rsidRPr="00E96324">
              <w:t>accelerating</w:t>
            </w:r>
            <w:r w:rsidR="00BB71A4" w:rsidRPr="00E96324">
              <w:t xml:space="preserve"> investment in affordable housing</w:t>
            </w:r>
            <w:r w:rsidR="00E96324" w:rsidRPr="00E96324">
              <w:t>. A</w:t>
            </w:r>
            <w:r w:rsidR="009421F7" w:rsidRPr="00E96324">
              <w:t xml:space="preserve"> special dividend of</w:t>
            </w:r>
            <w:r w:rsidR="00E570BC" w:rsidRPr="00E96324">
              <w:t xml:space="preserve"> $300</w:t>
            </w:r>
            <w:r w:rsidR="007369C1">
              <w:t>.0</w:t>
            </w:r>
            <w:r w:rsidR="00E570BC" w:rsidRPr="00E96324">
              <w:t xml:space="preserve"> million </w:t>
            </w:r>
            <w:r w:rsidR="00E96324" w:rsidRPr="00E96324">
              <w:t>that</w:t>
            </w:r>
            <w:r w:rsidR="009421F7" w:rsidRPr="00E96324">
              <w:t xml:space="preserve"> had been </w:t>
            </w:r>
            <w:r w:rsidR="00810B84">
              <w:t>projected</w:t>
            </w:r>
            <w:r w:rsidR="00810B84" w:rsidRPr="00E96324">
              <w:t xml:space="preserve"> </w:t>
            </w:r>
            <w:r w:rsidR="009421F7" w:rsidRPr="00E96324">
              <w:t>to be declared</w:t>
            </w:r>
            <w:r w:rsidR="00E570BC" w:rsidRPr="00E96324">
              <w:t xml:space="preserve"> in 2024-25 will </w:t>
            </w:r>
            <w:r w:rsidR="00D55AEB" w:rsidRPr="00E96324">
              <w:t>instead</w:t>
            </w:r>
            <w:r w:rsidR="00E570BC" w:rsidRPr="00E96324">
              <w:t xml:space="preserve"> </w:t>
            </w:r>
            <w:r w:rsidR="00E96324" w:rsidRPr="00E96324">
              <w:t>be</w:t>
            </w:r>
            <w:r w:rsidR="00D55AEB" w:rsidRPr="00E96324">
              <w:t xml:space="preserve"> </w:t>
            </w:r>
            <w:r w:rsidR="00A52C48" w:rsidRPr="00E96324">
              <w:t>retained</w:t>
            </w:r>
            <w:r w:rsidR="00760ED4" w:rsidRPr="00E96324">
              <w:t xml:space="preserve"> and </w:t>
            </w:r>
            <w:r w:rsidR="00D55AEB" w:rsidRPr="00E96324">
              <w:t>used</w:t>
            </w:r>
            <w:r w:rsidR="00EE1987" w:rsidRPr="00E96324">
              <w:t xml:space="preserve"> to </w:t>
            </w:r>
            <w:r w:rsidR="00D55AEB" w:rsidRPr="00E96324">
              <w:t xml:space="preserve">fund the </w:t>
            </w:r>
            <w:r w:rsidR="00E570BC" w:rsidRPr="00E96324">
              <w:t>deliver</w:t>
            </w:r>
            <w:r w:rsidR="00D55AEB" w:rsidRPr="00E96324">
              <w:t>y of</w:t>
            </w:r>
            <w:r w:rsidR="00E570BC" w:rsidRPr="00E96324">
              <w:t xml:space="preserve"> an </w:t>
            </w:r>
            <w:r w:rsidR="00810B84">
              <w:t xml:space="preserve">estimated </w:t>
            </w:r>
            <w:r w:rsidR="00E570BC" w:rsidRPr="00E96324">
              <w:t>additional</w:t>
            </w:r>
            <w:r w:rsidR="004F2624">
              <w:t xml:space="preserve"> </w:t>
            </w:r>
            <w:r w:rsidR="004F2624" w:rsidRPr="004F2624">
              <w:t>4,697 dwelling</w:t>
            </w:r>
            <w:r w:rsidR="007369C1">
              <w:t>s</w:t>
            </w:r>
            <w:r w:rsidR="004F2624" w:rsidRPr="004F2624">
              <w:t>, of which</w:t>
            </w:r>
            <w:r w:rsidR="00E570BC" w:rsidRPr="00E96324">
              <w:t xml:space="preserve"> 1,409 </w:t>
            </w:r>
            <w:r w:rsidR="00F77512">
              <w:t xml:space="preserve">will be </w:t>
            </w:r>
            <w:r w:rsidR="00E570BC" w:rsidRPr="00E96324">
              <w:t>affordable</w:t>
            </w:r>
            <w:r w:rsidR="00F77512">
              <w:t xml:space="preserve"> housing</w:t>
            </w:r>
            <w:r w:rsidR="00E570BC" w:rsidRPr="00E96324">
              <w:t>.</w:t>
            </w:r>
          </w:p>
          <w:p w14:paraId="5063A017" w14:textId="66638FC9" w:rsidR="00EC3AE1" w:rsidRDefault="00DA7321" w:rsidP="00681D2E">
            <w:pPr>
              <w:pStyle w:val="Bullet1"/>
            </w:pPr>
            <w:proofErr w:type="spellStart"/>
            <w:r w:rsidRPr="00E570BC">
              <w:t>icare</w:t>
            </w:r>
            <w:proofErr w:type="spellEnd"/>
            <w:r w:rsidRPr="00E570BC">
              <w:t xml:space="preserve"> </w:t>
            </w:r>
            <w:r w:rsidR="007C31EE">
              <w:t xml:space="preserve">continues to implement </w:t>
            </w:r>
            <w:r w:rsidRPr="00E570BC">
              <w:t xml:space="preserve">a multi-year improvement program </w:t>
            </w:r>
            <w:r w:rsidR="007967E3">
              <w:t>aimed at</w:t>
            </w:r>
            <w:r w:rsidR="00612790">
              <w:t>:</w:t>
            </w:r>
            <w:r w:rsidR="007967E3">
              <w:t xml:space="preserve"> </w:t>
            </w:r>
          </w:p>
          <w:p w14:paraId="00ADF8DA" w14:textId="14901200" w:rsidR="003A606A" w:rsidRDefault="007967E3" w:rsidP="00681D2E">
            <w:pPr>
              <w:pStyle w:val="Bullet2"/>
            </w:pPr>
            <w:r>
              <w:t xml:space="preserve">strengthening </w:t>
            </w:r>
            <w:proofErr w:type="spellStart"/>
            <w:r>
              <w:t>icare’s</w:t>
            </w:r>
            <w:proofErr w:type="spellEnd"/>
            <w:r>
              <w:t xml:space="preserve"> culture, </w:t>
            </w:r>
            <w:proofErr w:type="gramStart"/>
            <w:r>
              <w:t>governance</w:t>
            </w:r>
            <w:proofErr w:type="gramEnd"/>
            <w:r>
              <w:t xml:space="preserve"> </w:t>
            </w:r>
            <w:r w:rsidR="00DA7321" w:rsidRPr="00E570BC">
              <w:t>and</w:t>
            </w:r>
            <w:r w:rsidR="00EF0996">
              <w:t xml:space="preserve"> </w:t>
            </w:r>
            <w:r w:rsidR="00EF0996" w:rsidRPr="00EF0996">
              <w:t>accountability frameworks</w:t>
            </w:r>
          </w:p>
          <w:p w14:paraId="14DF01E5" w14:textId="77777777" w:rsidR="003A606A" w:rsidRDefault="00EF0996" w:rsidP="00681D2E">
            <w:pPr>
              <w:pStyle w:val="Bullet2"/>
            </w:pPr>
            <w:r w:rsidRPr="00EF0996">
              <w:t>upgrad</w:t>
            </w:r>
            <w:r w:rsidR="00366A6A">
              <w:t>ing</w:t>
            </w:r>
            <w:r w:rsidRPr="00EF0996">
              <w:t xml:space="preserve"> risk management and capability</w:t>
            </w:r>
          </w:p>
          <w:p w14:paraId="45602DBC" w14:textId="4F41345E" w:rsidR="00507F92" w:rsidRDefault="00EF0996" w:rsidP="00681D2E">
            <w:pPr>
              <w:pStyle w:val="Bullet2"/>
            </w:pPr>
            <w:r w:rsidRPr="00EF0996">
              <w:t>bring</w:t>
            </w:r>
            <w:r w:rsidR="00650FB3">
              <w:t>ing</w:t>
            </w:r>
            <w:r w:rsidRPr="00EF0996">
              <w:t xml:space="preserve"> about a greater focus on customer</w:t>
            </w:r>
            <w:r w:rsidR="00547FDB">
              <w:t xml:space="preserve"> and return to work</w:t>
            </w:r>
            <w:r w:rsidRPr="00EF0996">
              <w:t xml:space="preserve"> outcomes. </w:t>
            </w:r>
          </w:p>
          <w:p w14:paraId="0FBE91AC" w14:textId="787B1356" w:rsidR="00DA7321" w:rsidRPr="00DC4FA2" w:rsidRDefault="00044B0C" w:rsidP="00080A15">
            <w:pPr>
              <w:ind w:left="314"/>
              <w:rPr>
                <w:rFonts w:ascii="Public Sans" w:hAnsi="Public Sans"/>
                <w:sz w:val="22"/>
                <w:szCs w:val="22"/>
              </w:rPr>
            </w:pPr>
            <w:r w:rsidRPr="00DC4FA2">
              <w:rPr>
                <w:rFonts w:ascii="Public Sans" w:hAnsi="Public Sans"/>
                <w:sz w:val="22"/>
                <w:szCs w:val="22"/>
              </w:rPr>
              <w:t xml:space="preserve">The program is underpinned by the recommendations </w:t>
            </w:r>
            <w:r w:rsidR="009B0EAC" w:rsidRPr="00DC4FA2">
              <w:rPr>
                <w:rFonts w:ascii="Public Sans" w:hAnsi="Public Sans"/>
                <w:sz w:val="22"/>
                <w:szCs w:val="22"/>
              </w:rPr>
              <w:t xml:space="preserve">from </w:t>
            </w:r>
            <w:r w:rsidR="00C36BC9" w:rsidRPr="00DC4FA2">
              <w:rPr>
                <w:rFonts w:ascii="Public Sans" w:hAnsi="Public Sans"/>
                <w:sz w:val="22"/>
                <w:szCs w:val="22"/>
              </w:rPr>
              <w:t>t</w:t>
            </w:r>
            <w:r w:rsidR="00E04A97" w:rsidRPr="00DC4FA2">
              <w:rPr>
                <w:rFonts w:ascii="Public Sans" w:hAnsi="Public Sans"/>
                <w:sz w:val="22"/>
                <w:szCs w:val="22"/>
              </w:rPr>
              <w:t xml:space="preserve">he </w:t>
            </w:r>
            <w:r w:rsidR="00E04A97" w:rsidRPr="00DC4FA2">
              <w:rPr>
                <w:rFonts w:ascii="Public Sans" w:hAnsi="Public Sans"/>
                <w:i/>
                <w:sz w:val="22"/>
                <w:szCs w:val="22"/>
              </w:rPr>
              <w:t>State Insurance and Care Governance Act 2015</w:t>
            </w:r>
            <w:r w:rsidR="00E04A97" w:rsidRPr="00DC4FA2">
              <w:rPr>
                <w:rFonts w:ascii="Public Sans" w:hAnsi="Public Sans"/>
                <w:sz w:val="22"/>
                <w:szCs w:val="22"/>
              </w:rPr>
              <w:t xml:space="preserve"> Independent Review led by the Hon Robert McDougall QC (McDougall Review) and the Governance, Accountability and Culture Review</w:t>
            </w:r>
            <w:r w:rsidR="007369C1" w:rsidRPr="00DC4FA2">
              <w:rPr>
                <w:rFonts w:ascii="Public Sans" w:hAnsi="Public Sans"/>
                <w:sz w:val="22"/>
                <w:szCs w:val="22"/>
              </w:rPr>
              <w:t xml:space="preserve"> </w:t>
            </w:r>
            <w:r w:rsidR="00985279" w:rsidRPr="00DC4FA2">
              <w:rPr>
                <w:rFonts w:ascii="Public Sans" w:hAnsi="Public Sans"/>
                <w:sz w:val="22"/>
                <w:szCs w:val="22"/>
              </w:rPr>
              <w:t>(GAC Review)</w:t>
            </w:r>
            <w:r w:rsidR="005D7EAB" w:rsidRPr="00DC4FA2">
              <w:rPr>
                <w:rFonts w:ascii="Public Sans" w:hAnsi="Public Sans"/>
                <w:sz w:val="22"/>
                <w:szCs w:val="22"/>
              </w:rPr>
              <w:t xml:space="preserve"> in 2021</w:t>
            </w:r>
            <w:r w:rsidR="00C36BC9" w:rsidRPr="00DC4FA2">
              <w:rPr>
                <w:rFonts w:ascii="Public Sans" w:hAnsi="Public Sans"/>
                <w:sz w:val="22"/>
                <w:szCs w:val="22"/>
              </w:rPr>
              <w:t>. The reviews</w:t>
            </w:r>
            <w:r w:rsidR="00E04A97" w:rsidRPr="00DC4FA2">
              <w:rPr>
                <w:rFonts w:ascii="Public Sans" w:hAnsi="Public Sans"/>
                <w:sz w:val="22"/>
                <w:szCs w:val="22"/>
              </w:rPr>
              <w:t xml:space="preserve"> contained 107 recommendations which </w:t>
            </w:r>
            <w:proofErr w:type="spellStart"/>
            <w:r w:rsidR="00E04A97" w:rsidRPr="00DC4FA2">
              <w:rPr>
                <w:rFonts w:ascii="Public Sans" w:hAnsi="Public Sans"/>
                <w:sz w:val="22"/>
                <w:szCs w:val="22"/>
              </w:rPr>
              <w:t>icare</w:t>
            </w:r>
            <w:proofErr w:type="spellEnd"/>
            <w:r w:rsidR="00E04A97" w:rsidRPr="00DC4FA2">
              <w:rPr>
                <w:rFonts w:ascii="Public Sans" w:hAnsi="Public Sans"/>
                <w:sz w:val="22"/>
                <w:szCs w:val="22"/>
              </w:rPr>
              <w:t xml:space="preserve"> </w:t>
            </w:r>
            <w:r w:rsidR="009C2EFB" w:rsidRPr="00DC4FA2">
              <w:rPr>
                <w:rFonts w:ascii="Public Sans" w:hAnsi="Public Sans"/>
                <w:sz w:val="22"/>
                <w:szCs w:val="22"/>
              </w:rPr>
              <w:t xml:space="preserve">has </w:t>
            </w:r>
            <w:r w:rsidR="00E04A97" w:rsidRPr="00DC4FA2">
              <w:rPr>
                <w:rFonts w:ascii="Public Sans" w:hAnsi="Public Sans"/>
                <w:sz w:val="22"/>
                <w:szCs w:val="22"/>
              </w:rPr>
              <w:t>committed to addressing.</w:t>
            </w:r>
            <w:r w:rsidR="00172D9B" w:rsidRPr="00DC4FA2">
              <w:rPr>
                <w:rFonts w:ascii="Public Sans" w:hAnsi="Public Sans"/>
                <w:sz w:val="22"/>
                <w:szCs w:val="22"/>
              </w:rPr>
              <w:t xml:space="preserve"> </w:t>
            </w:r>
            <w:proofErr w:type="spellStart"/>
            <w:r w:rsidR="00E44966" w:rsidRPr="00DC4FA2">
              <w:rPr>
                <w:rFonts w:ascii="Public Sans" w:hAnsi="Public Sans"/>
                <w:sz w:val="22"/>
                <w:szCs w:val="22"/>
              </w:rPr>
              <w:t>i</w:t>
            </w:r>
            <w:r w:rsidR="00634F49" w:rsidRPr="00DC4FA2">
              <w:rPr>
                <w:rFonts w:ascii="Public Sans" w:hAnsi="Public Sans"/>
                <w:sz w:val="22"/>
                <w:szCs w:val="22"/>
              </w:rPr>
              <w:t>care</w:t>
            </w:r>
            <w:proofErr w:type="spellEnd"/>
            <w:r w:rsidR="00634F49" w:rsidRPr="00DC4FA2">
              <w:rPr>
                <w:rFonts w:ascii="Public Sans" w:hAnsi="Public Sans"/>
                <w:sz w:val="22"/>
                <w:szCs w:val="22"/>
              </w:rPr>
              <w:t xml:space="preserve"> will</w:t>
            </w:r>
            <w:r w:rsidR="00E44966" w:rsidRPr="00DC4FA2">
              <w:rPr>
                <w:rFonts w:ascii="Public Sans" w:hAnsi="Public Sans"/>
                <w:sz w:val="22"/>
                <w:szCs w:val="22"/>
              </w:rPr>
              <w:t xml:space="preserve"> progressively </w:t>
            </w:r>
            <w:r w:rsidR="00BE7B5F" w:rsidRPr="00DC4FA2">
              <w:rPr>
                <w:rFonts w:ascii="Public Sans" w:hAnsi="Public Sans"/>
                <w:sz w:val="22"/>
                <w:szCs w:val="22"/>
              </w:rPr>
              <w:t>address</w:t>
            </w:r>
            <w:r w:rsidR="00E64A75" w:rsidRPr="00DC4FA2">
              <w:rPr>
                <w:rFonts w:ascii="Public Sans" w:hAnsi="Public Sans"/>
                <w:sz w:val="22"/>
                <w:szCs w:val="22"/>
              </w:rPr>
              <w:t xml:space="preserve"> </w:t>
            </w:r>
            <w:r w:rsidR="00E44966" w:rsidRPr="00DC4FA2">
              <w:rPr>
                <w:rFonts w:ascii="Public Sans" w:hAnsi="Public Sans"/>
                <w:sz w:val="22"/>
                <w:szCs w:val="22"/>
              </w:rPr>
              <w:t xml:space="preserve">the </w:t>
            </w:r>
            <w:r w:rsidR="00A34783" w:rsidRPr="00DC4FA2">
              <w:rPr>
                <w:rFonts w:ascii="Public Sans" w:hAnsi="Public Sans"/>
                <w:sz w:val="22"/>
                <w:szCs w:val="22"/>
              </w:rPr>
              <w:t>remaining 8</w:t>
            </w:r>
            <w:r w:rsidR="00996516" w:rsidRPr="00DC4FA2">
              <w:rPr>
                <w:rFonts w:ascii="Public Sans" w:hAnsi="Public Sans"/>
                <w:sz w:val="22"/>
                <w:szCs w:val="22"/>
              </w:rPr>
              <w:t>6</w:t>
            </w:r>
            <w:r w:rsidR="00A34783" w:rsidRPr="00DC4FA2">
              <w:rPr>
                <w:rFonts w:ascii="Public Sans" w:hAnsi="Public Sans"/>
                <w:sz w:val="22"/>
                <w:szCs w:val="22"/>
              </w:rPr>
              <w:t xml:space="preserve"> </w:t>
            </w:r>
            <w:r w:rsidR="00E44966" w:rsidRPr="00DC4FA2">
              <w:rPr>
                <w:rFonts w:ascii="Public Sans" w:hAnsi="Public Sans"/>
                <w:sz w:val="22"/>
                <w:szCs w:val="22"/>
              </w:rPr>
              <w:t>recommendations</w:t>
            </w:r>
            <w:r w:rsidR="00634F49" w:rsidRPr="00DC4FA2">
              <w:rPr>
                <w:rFonts w:ascii="Public Sans" w:hAnsi="Public Sans"/>
                <w:sz w:val="22"/>
                <w:szCs w:val="22"/>
              </w:rPr>
              <w:t xml:space="preserve"> </w:t>
            </w:r>
            <w:r w:rsidR="00DA7321" w:rsidRPr="00DC4FA2">
              <w:rPr>
                <w:rFonts w:ascii="Public Sans" w:hAnsi="Public Sans"/>
                <w:sz w:val="22"/>
                <w:szCs w:val="22"/>
              </w:rPr>
              <w:t>throughout 2023-24.</w:t>
            </w:r>
          </w:p>
          <w:p w14:paraId="67C6A897" w14:textId="5CB55409" w:rsidR="00477340" w:rsidRPr="00477340" w:rsidRDefault="00477340" w:rsidP="00681D2E">
            <w:pPr>
              <w:pStyle w:val="Bullet1"/>
            </w:pPr>
            <w:r w:rsidRPr="00477340">
              <w:t xml:space="preserve">The total dividend and tax equivalent payments by </w:t>
            </w:r>
            <w:r w:rsidR="00667268">
              <w:t xml:space="preserve">entities in </w:t>
            </w:r>
            <w:r w:rsidR="005F6204">
              <w:t>the</w:t>
            </w:r>
            <w:r w:rsidR="00667268">
              <w:t xml:space="preserve"> PNFC and PFC sectors</w:t>
            </w:r>
            <w:r w:rsidRPr="00477340">
              <w:t xml:space="preserve"> </w:t>
            </w:r>
            <w:r w:rsidR="00DC4FA2">
              <w:t>were</w:t>
            </w:r>
            <w:r w:rsidRPr="00477340">
              <w:t xml:space="preserve"> </w:t>
            </w:r>
            <w:r w:rsidRPr="00790471">
              <w:t>$</w:t>
            </w:r>
            <w:r w:rsidR="00547FDB" w:rsidRPr="00790471">
              <w:t>653.7</w:t>
            </w:r>
            <w:r w:rsidRPr="00790471">
              <w:t xml:space="preserve"> million</w:t>
            </w:r>
            <w:r w:rsidRPr="00477340">
              <w:t xml:space="preserve"> in 2022-23 and are </w:t>
            </w:r>
            <w:r w:rsidR="00985279">
              <w:t xml:space="preserve">forecast </w:t>
            </w:r>
            <w:r w:rsidRPr="00477340">
              <w:t xml:space="preserve">to be </w:t>
            </w:r>
            <w:r w:rsidRPr="00790471">
              <w:t>$</w:t>
            </w:r>
            <w:r w:rsidR="00547FDB" w:rsidRPr="00790471">
              <w:t>4.1</w:t>
            </w:r>
            <w:r w:rsidRPr="00790471">
              <w:t xml:space="preserve"> </w:t>
            </w:r>
            <w:r w:rsidR="0089465E" w:rsidRPr="00790471">
              <w:t>b</w:t>
            </w:r>
            <w:r w:rsidRPr="00790471">
              <w:t>illion</w:t>
            </w:r>
            <w:r w:rsidRPr="00477340">
              <w:t xml:space="preserve"> </w:t>
            </w:r>
            <w:r w:rsidR="0089465E">
              <w:t>o</w:t>
            </w:r>
            <w:r w:rsidRPr="00477340">
              <w:t xml:space="preserve">ver the </w:t>
            </w:r>
            <w:r w:rsidR="000C3676">
              <w:t>b</w:t>
            </w:r>
            <w:r w:rsidRPr="00477340">
              <w:t>udget year and forward estimates</w:t>
            </w:r>
            <w:r w:rsidR="00547FDB">
              <w:t xml:space="preserve"> to 2026-27</w:t>
            </w:r>
            <w:r w:rsidR="0089465E">
              <w:t>.</w:t>
            </w:r>
          </w:p>
        </w:tc>
      </w:tr>
    </w:tbl>
    <w:p w14:paraId="32866CAA" w14:textId="77777777" w:rsidR="0041515F" w:rsidRDefault="0041515F">
      <w:pPr>
        <w:rPr>
          <w:rFonts w:ascii="Public Sans SemiBold" w:hAnsi="Public Sans SemiBold"/>
          <w:b/>
          <w:color w:val="22272B"/>
          <w:sz w:val="28"/>
          <w:lang w:val="en-AU"/>
        </w:rPr>
      </w:pPr>
      <w:r>
        <w:br w:type="page"/>
      </w:r>
    </w:p>
    <w:p w14:paraId="582984FD" w14:textId="5C20DC3E" w:rsidR="00FD56B9" w:rsidRPr="00756358" w:rsidRDefault="00477340" w:rsidP="00265A68">
      <w:pPr>
        <w:pStyle w:val="71Heading2"/>
      </w:pPr>
      <w:r w:rsidRPr="00477340">
        <w:lastRenderedPageBreak/>
        <w:t xml:space="preserve">Reforms and initiatives of </w:t>
      </w:r>
      <w:proofErr w:type="gramStart"/>
      <w:r w:rsidR="00C36977">
        <w:t>State Owned</w:t>
      </w:r>
      <w:proofErr w:type="gramEnd"/>
      <w:r w:rsidR="00C36977">
        <w:t xml:space="preserve"> Corporations</w:t>
      </w:r>
    </w:p>
    <w:p w14:paraId="6588A007" w14:textId="77777777" w:rsidR="009C2442" w:rsidRDefault="009C2442" w:rsidP="009C2442">
      <w:pPr>
        <w:pStyle w:val="Heading3"/>
      </w:pPr>
      <w:r w:rsidRPr="009C2442">
        <w:t>Water</w:t>
      </w:r>
    </w:p>
    <w:p w14:paraId="1B4247FF" w14:textId="312B4003" w:rsidR="006E647B" w:rsidRDefault="00077E7C" w:rsidP="00F83A51">
      <w:pPr>
        <w:pStyle w:val="BodyText"/>
      </w:pPr>
      <w:r w:rsidRPr="00077E7C">
        <w:t xml:space="preserve">Sydney Water and Hunter Water deliver essential water and wastewater services to households in Greater Sydney, </w:t>
      </w:r>
      <w:proofErr w:type="gramStart"/>
      <w:r w:rsidRPr="00077E7C">
        <w:t>Illawarra</w:t>
      </w:r>
      <w:proofErr w:type="gramEnd"/>
      <w:r w:rsidRPr="00077E7C">
        <w:t xml:space="preserve"> and </w:t>
      </w:r>
      <w:r w:rsidR="003E4311">
        <w:t xml:space="preserve">the </w:t>
      </w:r>
      <w:r w:rsidRPr="00077E7C">
        <w:t>Lower Hunter.</w:t>
      </w:r>
      <w:r w:rsidR="006E647B">
        <w:t xml:space="preserve"> </w:t>
      </w:r>
      <w:proofErr w:type="spellStart"/>
      <w:r w:rsidR="006E647B">
        <w:t>WaterNSW</w:t>
      </w:r>
      <w:proofErr w:type="spellEnd"/>
      <w:r w:rsidR="006E647B">
        <w:t xml:space="preserve"> </w:t>
      </w:r>
      <w:r w:rsidR="00667F05">
        <w:t>supplies bulk water to metropolitan and regional areas.</w:t>
      </w:r>
    </w:p>
    <w:p w14:paraId="4A031903" w14:textId="615BD68A" w:rsidR="000C3676" w:rsidRPr="001E337F" w:rsidRDefault="00077E7C" w:rsidP="00F83A51">
      <w:pPr>
        <w:pStyle w:val="BodyText"/>
      </w:pPr>
      <w:r w:rsidRPr="00077E7C">
        <w:t>The Government is committed to safeguard</w:t>
      </w:r>
      <w:r w:rsidR="00DA7321">
        <w:t>ing</w:t>
      </w:r>
      <w:r w:rsidRPr="00077E7C">
        <w:t xml:space="preserve"> the State’s essential water assets from </w:t>
      </w:r>
      <w:proofErr w:type="spellStart"/>
      <w:r w:rsidRPr="00077E7C">
        <w:t>privatisation</w:t>
      </w:r>
      <w:proofErr w:type="spellEnd"/>
      <w:r w:rsidRPr="00077E7C">
        <w:t>.</w:t>
      </w:r>
    </w:p>
    <w:p w14:paraId="30AA3D80" w14:textId="77777777" w:rsidR="004B5C15" w:rsidRPr="001E337F" w:rsidRDefault="004B5C15" w:rsidP="008129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1: Protecting the State’s water assets"/>
        <w:tblDescription w:val="Box 7.1: Protecting the State’s water assets"/>
      </w:tblPr>
      <w:tblGrid>
        <w:gridCol w:w="9637"/>
      </w:tblGrid>
      <w:tr w:rsidR="00103E47" w:rsidRPr="00477340" w14:paraId="150A217F" w14:textId="77777777" w:rsidTr="006D0E95">
        <w:trPr>
          <w:trHeight w:val="3689"/>
        </w:trPr>
        <w:tc>
          <w:tcPr>
            <w:tcW w:w="9637" w:type="dxa"/>
            <w:shd w:val="pct5" w:color="auto" w:fill="auto"/>
          </w:tcPr>
          <w:p w14:paraId="534809D3" w14:textId="77777777" w:rsidR="00103E47" w:rsidRPr="00C37B97" w:rsidRDefault="00103E47" w:rsidP="00EB0389">
            <w:pPr>
              <w:pStyle w:val="Box7XBoxHeading"/>
            </w:pPr>
            <w:r w:rsidRPr="00C37B97">
              <w:t>Protecting the State’s water assets</w:t>
            </w:r>
          </w:p>
          <w:p w14:paraId="0DADBE65" w14:textId="27F86DE4" w:rsidR="00103E47" w:rsidRPr="00252369" w:rsidRDefault="00103E47" w:rsidP="00F83A51">
            <w:pPr>
              <w:pStyle w:val="BodyText"/>
              <w:rPr>
                <w:rFonts w:eastAsiaTheme="minorEastAsia"/>
                <w:lang w:eastAsia="en-AU"/>
              </w:rPr>
            </w:pPr>
            <w:r w:rsidRPr="00252369">
              <w:rPr>
                <w:rFonts w:eastAsiaTheme="minorEastAsia"/>
                <w:lang w:eastAsia="en-AU"/>
              </w:rPr>
              <w:t xml:space="preserve">On 1 June 2023, the Legislative Council </w:t>
            </w:r>
            <w:r>
              <w:rPr>
                <w:rFonts w:eastAsiaTheme="minorEastAsia"/>
                <w:lang w:eastAsia="en-AU"/>
              </w:rPr>
              <w:t>passed</w:t>
            </w:r>
            <w:r w:rsidRPr="00252369">
              <w:rPr>
                <w:rFonts w:eastAsiaTheme="minorEastAsia"/>
                <w:lang w:eastAsia="en-AU"/>
              </w:rPr>
              <w:t xml:space="preserve"> the </w:t>
            </w:r>
            <w:r w:rsidRPr="00D70EEA">
              <w:rPr>
                <w:rFonts w:eastAsiaTheme="minorEastAsia"/>
                <w:i/>
                <w:iCs/>
                <w:lang w:eastAsia="en-AU"/>
              </w:rPr>
              <w:t>Constitutional Amendment (Sydney Water and Hunter Water) Bill 2023</w:t>
            </w:r>
            <w:r w:rsidRPr="00252369">
              <w:rPr>
                <w:rFonts w:eastAsiaTheme="minorEastAsia"/>
                <w:lang w:eastAsia="en-AU"/>
              </w:rPr>
              <w:t xml:space="preserve">, amending the </w:t>
            </w:r>
            <w:r w:rsidRPr="00503692">
              <w:rPr>
                <w:rFonts w:eastAsiaTheme="minorEastAsia"/>
                <w:i/>
                <w:lang w:eastAsia="en-AU"/>
              </w:rPr>
              <w:t>Constitution Act</w:t>
            </w:r>
            <w:r w:rsidR="00AE3C54">
              <w:rPr>
                <w:rFonts w:eastAsiaTheme="minorEastAsia"/>
                <w:i/>
                <w:lang w:eastAsia="en-AU"/>
              </w:rPr>
              <w:t xml:space="preserve"> (NSW)</w:t>
            </w:r>
            <w:r w:rsidRPr="00503692">
              <w:rPr>
                <w:rFonts w:eastAsiaTheme="minorEastAsia"/>
                <w:i/>
                <w:lang w:eastAsia="en-AU"/>
              </w:rPr>
              <w:t xml:space="preserve"> 1902</w:t>
            </w:r>
            <w:r w:rsidRPr="00252369">
              <w:rPr>
                <w:rFonts w:eastAsiaTheme="minorEastAsia"/>
                <w:lang w:eastAsia="en-AU"/>
              </w:rPr>
              <w:t xml:space="preserve"> to </w:t>
            </w:r>
            <w:r>
              <w:rPr>
                <w:rFonts w:eastAsiaTheme="minorEastAsia"/>
                <w:lang w:eastAsia="en-AU"/>
              </w:rPr>
              <w:t xml:space="preserve">protect </w:t>
            </w:r>
            <w:r w:rsidRPr="00252369">
              <w:rPr>
                <w:rFonts w:eastAsiaTheme="minorEastAsia"/>
                <w:lang w:eastAsia="en-AU"/>
              </w:rPr>
              <w:t>the continued public ownership of Sydney Water and Hunter Water.</w:t>
            </w:r>
          </w:p>
          <w:p w14:paraId="5D6DDAE4" w14:textId="50313FCA" w:rsidR="00103E47" w:rsidRDefault="00103E47" w:rsidP="00F83A51">
            <w:pPr>
              <w:pStyle w:val="BodyText"/>
              <w:rPr>
                <w:rFonts w:eastAsiaTheme="minorEastAsia"/>
                <w:lang w:eastAsia="en-AU"/>
              </w:rPr>
            </w:pPr>
            <w:r w:rsidRPr="00252369">
              <w:rPr>
                <w:rFonts w:eastAsiaTheme="minorEastAsia"/>
                <w:lang w:eastAsia="en-AU"/>
              </w:rPr>
              <w:t xml:space="preserve">The new provisions of </w:t>
            </w:r>
            <w:r>
              <w:rPr>
                <w:rFonts w:eastAsiaTheme="minorEastAsia"/>
                <w:lang w:eastAsia="en-AU"/>
              </w:rPr>
              <w:t>the legislation</w:t>
            </w:r>
            <w:r w:rsidRPr="00252369">
              <w:rPr>
                <w:rFonts w:eastAsiaTheme="minorEastAsia"/>
                <w:lang w:eastAsia="en-AU"/>
              </w:rPr>
              <w:t xml:space="preserve"> ensure </w:t>
            </w:r>
            <w:r>
              <w:rPr>
                <w:rFonts w:eastAsiaTheme="minorEastAsia"/>
                <w:lang w:eastAsia="en-AU"/>
              </w:rPr>
              <w:t xml:space="preserve">the essential water </w:t>
            </w:r>
            <w:r w:rsidRPr="00252369">
              <w:rPr>
                <w:rFonts w:eastAsiaTheme="minorEastAsia"/>
                <w:lang w:eastAsia="en-AU"/>
              </w:rPr>
              <w:t>assets continue to belong to the people of N</w:t>
            </w:r>
            <w:r>
              <w:rPr>
                <w:rFonts w:eastAsiaTheme="minorEastAsia"/>
                <w:lang w:eastAsia="en-AU"/>
              </w:rPr>
              <w:t xml:space="preserve">ew South Wales, which will support strategic investment in the State’s water </w:t>
            </w:r>
            <w:r w:rsidR="002F7EE6">
              <w:rPr>
                <w:rFonts w:eastAsiaTheme="minorEastAsia"/>
                <w:lang w:eastAsia="en-AU"/>
              </w:rPr>
              <w:t>security</w:t>
            </w:r>
            <w:r>
              <w:rPr>
                <w:rFonts w:eastAsiaTheme="minorEastAsia"/>
                <w:lang w:eastAsia="en-AU"/>
              </w:rPr>
              <w:t xml:space="preserve"> and prevent </w:t>
            </w:r>
            <w:r w:rsidRPr="00252369">
              <w:rPr>
                <w:rFonts w:eastAsiaTheme="minorEastAsia"/>
                <w:lang w:eastAsia="en-AU"/>
              </w:rPr>
              <w:t>severe</w:t>
            </w:r>
            <w:r>
              <w:rPr>
                <w:rFonts w:eastAsiaTheme="minorEastAsia"/>
                <w:lang w:eastAsia="en-AU"/>
              </w:rPr>
              <w:t xml:space="preserve"> water</w:t>
            </w:r>
            <w:r w:rsidRPr="00252369">
              <w:rPr>
                <w:rFonts w:eastAsiaTheme="minorEastAsia"/>
                <w:lang w:eastAsia="en-AU"/>
              </w:rPr>
              <w:t xml:space="preserve"> price spikes</w:t>
            </w:r>
            <w:r>
              <w:rPr>
                <w:rFonts w:eastAsiaTheme="minorEastAsia"/>
                <w:lang w:eastAsia="en-AU"/>
              </w:rPr>
              <w:t>.</w:t>
            </w:r>
          </w:p>
          <w:p w14:paraId="5A73517D" w14:textId="31DEB51D" w:rsidR="00103E47" w:rsidRPr="00477340" w:rsidRDefault="00103E47" w:rsidP="00F83A51">
            <w:pPr>
              <w:pStyle w:val="BodyText"/>
            </w:pPr>
            <w:r w:rsidRPr="00252369">
              <w:rPr>
                <w:rFonts w:eastAsiaTheme="minorEastAsia"/>
                <w:lang w:eastAsia="en-AU"/>
              </w:rPr>
              <w:t xml:space="preserve">The Government has also agreed to establish a </w:t>
            </w:r>
            <w:r w:rsidR="005B4E61">
              <w:rPr>
                <w:rFonts w:eastAsiaTheme="minorEastAsia"/>
                <w:lang w:eastAsia="en-AU"/>
              </w:rPr>
              <w:t>p</w:t>
            </w:r>
            <w:r w:rsidRPr="00252369">
              <w:rPr>
                <w:rFonts w:eastAsiaTheme="minorEastAsia"/>
                <w:lang w:eastAsia="en-AU"/>
              </w:rPr>
              <w:t>arliamentary inquiry that will examine options for safeguarding and supporting other regional water utilities and securing the future of water services to all parts of N</w:t>
            </w:r>
            <w:r>
              <w:rPr>
                <w:rFonts w:eastAsiaTheme="minorEastAsia"/>
                <w:szCs w:val="23"/>
                <w:lang w:eastAsia="en-AU"/>
              </w:rPr>
              <w:t xml:space="preserve">ew </w:t>
            </w:r>
            <w:r w:rsidRPr="00252369">
              <w:rPr>
                <w:rFonts w:eastAsiaTheme="minorEastAsia"/>
                <w:szCs w:val="23"/>
                <w:lang w:eastAsia="en-AU"/>
              </w:rPr>
              <w:t>S</w:t>
            </w:r>
            <w:r>
              <w:rPr>
                <w:rFonts w:eastAsiaTheme="minorEastAsia"/>
                <w:szCs w:val="23"/>
                <w:lang w:eastAsia="en-AU"/>
              </w:rPr>
              <w:t xml:space="preserve">outh </w:t>
            </w:r>
            <w:r w:rsidRPr="00252369">
              <w:rPr>
                <w:rFonts w:eastAsiaTheme="minorEastAsia"/>
                <w:szCs w:val="23"/>
                <w:lang w:eastAsia="en-AU"/>
              </w:rPr>
              <w:t>W</w:t>
            </w:r>
            <w:r>
              <w:rPr>
                <w:rFonts w:eastAsiaTheme="minorEastAsia"/>
                <w:szCs w:val="23"/>
                <w:lang w:eastAsia="en-AU"/>
              </w:rPr>
              <w:t>ales</w:t>
            </w:r>
            <w:r w:rsidRPr="00252369">
              <w:rPr>
                <w:rFonts w:eastAsiaTheme="minorEastAsia"/>
                <w:szCs w:val="23"/>
                <w:lang w:eastAsia="en-AU"/>
              </w:rPr>
              <w:t xml:space="preserve">. The inquiry will </w:t>
            </w:r>
            <w:r>
              <w:rPr>
                <w:rFonts w:eastAsiaTheme="minorEastAsia"/>
                <w:szCs w:val="23"/>
                <w:lang w:eastAsia="en-AU"/>
              </w:rPr>
              <w:t xml:space="preserve">involve extensive local consultations and will </w:t>
            </w:r>
            <w:r w:rsidRPr="00252369">
              <w:rPr>
                <w:rFonts w:eastAsiaTheme="minorEastAsia"/>
                <w:szCs w:val="23"/>
                <w:lang w:eastAsia="en-AU"/>
              </w:rPr>
              <w:t>report on the governance systems and regulatory and assurance framework for local water utilities</w:t>
            </w:r>
            <w:r>
              <w:rPr>
                <w:rFonts w:eastAsiaTheme="minorEastAsia"/>
                <w:szCs w:val="23"/>
                <w:lang w:eastAsia="en-AU"/>
              </w:rPr>
              <w:t>.</w:t>
            </w:r>
          </w:p>
        </w:tc>
      </w:tr>
    </w:tbl>
    <w:p w14:paraId="541DE248" w14:textId="77777777" w:rsidR="004B5C15" w:rsidRDefault="004B5C15" w:rsidP="0081298C"/>
    <w:p w14:paraId="362D8799" w14:textId="30AE654E" w:rsidR="00834109" w:rsidRDefault="00834109" w:rsidP="00F83A51">
      <w:pPr>
        <w:pStyle w:val="BodyText"/>
      </w:pPr>
      <w:r>
        <w:t>I</w:t>
      </w:r>
      <w:r w:rsidRPr="006821E5">
        <w:t>n response</w:t>
      </w:r>
      <w:r w:rsidRPr="006821E5" w:rsidDel="00637635">
        <w:t xml:space="preserve"> </w:t>
      </w:r>
      <w:r w:rsidRPr="006821E5">
        <w:t>to the cost-of-living pressures, both Sydney Water and Hunter Water have expanded their assistance programs to provide support for vulnerable customers, including concessions to eligible pensioners and assistance to eligible customers who are experiencing financial hardship.</w:t>
      </w:r>
      <w:r w:rsidR="001F0CA5">
        <w:t xml:space="preserve"> </w:t>
      </w:r>
    </w:p>
    <w:p w14:paraId="32CC12C8" w14:textId="77777777" w:rsidR="00437B45" w:rsidRDefault="00437B45" w:rsidP="00F83A51">
      <w:pPr>
        <w:pStyle w:val="BodyText"/>
      </w:pPr>
      <w:r>
        <w:t>Ensuring a resilient and sustainable water future is key for both Sydney Water and Hunter Water.</w:t>
      </w:r>
    </w:p>
    <w:p w14:paraId="232AAC46" w14:textId="7BA9C1C3" w:rsidR="00834109" w:rsidRPr="00374736" w:rsidRDefault="00834109" w:rsidP="00F83A51">
      <w:pPr>
        <w:pStyle w:val="BodyText"/>
      </w:pPr>
      <w:r w:rsidRPr="008B3B13">
        <w:t>Consistent with the Lower Hunter Water Security Plan</w:t>
      </w:r>
      <w:r w:rsidRPr="004269A3">
        <w:t>, Hunter Water is designing the Belmont Desalination Plant</w:t>
      </w:r>
      <w:r>
        <w:t xml:space="preserve">, exploring </w:t>
      </w:r>
      <w:r w:rsidRPr="004269A3">
        <w:t xml:space="preserve">a connection on the Paterson River to the proposed Lostock Dam and </w:t>
      </w:r>
      <w:proofErr w:type="spellStart"/>
      <w:r w:rsidRPr="004269A3">
        <w:t>Glennies</w:t>
      </w:r>
      <w:proofErr w:type="spellEnd"/>
      <w:r w:rsidRPr="004269A3">
        <w:t xml:space="preserve"> Creek Dam</w:t>
      </w:r>
      <w:r>
        <w:t xml:space="preserve"> pipeline</w:t>
      </w:r>
      <w:r w:rsidRPr="004269A3">
        <w:t>,</w:t>
      </w:r>
      <w:r w:rsidR="002D131B">
        <w:t xml:space="preserve"> </w:t>
      </w:r>
      <w:r>
        <w:t>and investigating</w:t>
      </w:r>
      <w:r w:rsidRPr="004269A3">
        <w:t xml:space="preserve"> increased </w:t>
      </w:r>
      <w:r>
        <w:t xml:space="preserve">use of </w:t>
      </w:r>
      <w:r w:rsidRPr="004269A3">
        <w:t>recycled water across</w:t>
      </w:r>
      <w:r w:rsidR="0045345E">
        <w:t xml:space="preserve"> the</w:t>
      </w:r>
      <w:r w:rsidRPr="004269A3">
        <w:t xml:space="preserve"> </w:t>
      </w:r>
      <w:r>
        <w:t>Lower Hunter</w:t>
      </w:r>
      <w:r w:rsidRPr="004269A3">
        <w:t>.</w:t>
      </w:r>
    </w:p>
    <w:p w14:paraId="371FC7E1" w14:textId="092688C8" w:rsidR="00834109" w:rsidRDefault="00834109" w:rsidP="00F83A51">
      <w:pPr>
        <w:pStyle w:val="BodyText"/>
      </w:pPr>
      <w:r>
        <w:t>Sydney Water has developed its</w:t>
      </w:r>
      <w:r w:rsidRPr="00374736">
        <w:t xml:space="preserve"> new </w:t>
      </w:r>
      <w:r>
        <w:t>l</w:t>
      </w:r>
      <w:r w:rsidRPr="00374736">
        <w:t>ong</w:t>
      </w:r>
      <w:r w:rsidR="00861257">
        <w:t>-</w:t>
      </w:r>
      <w:r>
        <w:t>t</w:t>
      </w:r>
      <w:r w:rsidRPr="00374736">
        <w:t xml:space="preserve">erm </w:t>
      </w:r>
      <w:r>
        <w:t>c</w:t>
      </w:r>
      <w:r w:rsidRPr="00374736">
        <w:t xml:space="preserve">apital and </w:t>
      </w:r>
      <w:r>
        <w:t>o</w:t>
      </w:r>
      <w:r w:rsidRPr="00374736">
        <w:t xml:space="preserve">perational </w:t>
      </w:r>
      <w:r>
        <w:t>p</w:t>
      </w:r>
      <w:r w:rsidRPr="00374736">
        <w:t xml:space="preserve">lan, </w:t>
      </w:r>
      <w:r>
        <w:t xml:space="preserve">in collaboration </w:t>
      </w:r>
      <w:r w:rsidRPr="00374736">
        <w:t xml:space="preserve">with </w:t>
      </w:r>
      <w:proofErr w:type="spellStart"/>
      <w:r w:rsidRPr="00374736">
        <w:t>WaterNSW</w:t>
      </w:r>
      <w:proofErr w:type="spellEnd"/>
      <w:r w:rsidR="00861257">
        <w:t>.</w:t>
      </w:r>
      <w:r>
        <w:t xml:space="preserve"> </w:t>
      </w:r>
      <w:r w:rsidRPr="00374736">
        <w:t>Sydney Water</w:t>
      </w:r>
      <w:r>
        <w:t xml:space="preserve"> </w:t>
      </w:r>
      <w:r w:rsidRPr="00374736">
        <w:t>supplies clean</w:t>
      </w:r>
      <w:r>
        <w:t xml:space="preserve"> and</w:t>
      </w:r>
      <w:r w:rsidRPr="00374736">
        <w:t xml:space="preserve"> safe drinking water to 5.3 million people.</w:t>
      </w:r>
      <w:r>
        <w:t xml:space="preserve"> The plan sets out investments to </w:t>
      </w:r>
      <w:r w:rsidRPr="00374736">
        <w:t xml:space="preserve">ensure </w:t>
      </w:r>
      <w:r>
        <w:t xml:space="preserve">Sydney Water </w:t>
      </w:r>
      <w:r w:rsidRPr="00374736">
        <w:t>can service nearly two million more people by 2050.</w:t>
      </w:r>
    </w:p>
    <w:p w14:paraId="14CD5435" w14:textId="265A1A21" w:rsidR="00043858" w:rsidRPr="00374736" w:rsidRDefault="00834109" w:rsidP="00F83A51">
      <w:pPr>
        <w:pStyle w:val="BodyText"/>
      </w:pPr>
      <w:r w:rsidRPr="00BF7472">
        <w:rPr>
          <w:rStyle w:val="BodyTextChar"/>
        </w:rPr>
        <w:t>To support increasing housing supply, the Government will work with Sydney Water to review its capital and service planning to provide timely services to priority areas for housing growth. Th</w:t>
      </w:r>
      <w:r w:rsidR="00580156">
        <w:rPr>
          <w:rStyle w:val="BodyTextChar"/>
        </w:rPr>
        <w:t>is</w:t>
      </w:r>
      <w:r w:rsidRPr="00BF7472">
        <w:rPr>
          <w:rStyle w:val="BodyTextChar"/>
        </w:rPr>
        <w:t xml:space="preserve"> review is expected to be completed by early 2024.</w:t>
      </w:r>
      <w:r>
        <w:rPr>
          <w:rStyle w:val="BodyTextChar"/>
        </w:rPr>
        <w:t xml:space="preserve"> </w:t>
      </w:r>
    </w:p>
    <w:p w14:paraId="1C777FAC" w14:textId="77777777" w:rsidR="00834109" w:rsidRDefault="00834109" w:rsidP="00F83A51">
      <w:pPr>
        <w:pStyle w:val="BodyText"/>
      </w:pPr>
      <w:r w:rsidRPr="00374736">
        <w:t xml:space="preserve">Sydney Water has progressed projects that contribute to thriving, </w:t>
      </w:r>
      <w:proofErr w:type="spellStart"/>
      <w:r w:rsidRPr="00374736">
        <w:t>liveable</w:t>
      </w:r>
      <w:proofErr w:type="spellEnd"/>
      <w:r w:rsidRPr="00374736">
        <w:t xml:space="preserve"> and sustainable communities</w:t>
      </w:r>
      <w:r>
        <w:t xml:space="preserve">. </w:t>
      </w:r>
    </w:p>
    <w:p w14:paraId="21525BE0" w14:textId="77777777" w:rsidR="00F14AE7" w:rsidRDefault="00F14AE7">
      <w:pPr>
        <w:rPr>
          <w:rFonts w:ascii="Public Sans" w:hAnsi="Public Sans" w:cs="Arial"/>
          <w:sz w:val="22"/>
        </w:rPr>
      </w:pPr>
      <w:r>
        <w:br w:type="page"/>
      </w:r>
    </w:p>
    <w:p w14:paraId="2F69A521" w14:textId="5D3C4887" w:rsidR="00834109" w:rsidRDefault="00834109" w:rsidP="00F83A51">
      <w:pPr>
        <w:pStyle w:val="BodyText"/>
      </w:pPr>
      <w:r w:rsidRPr="00374736">
        <w:lastRenderedPageBreak/>
        <w:t>The $1.</w:t>
      </w:r>
      <w:r w:rsidR="008B23E1">
        <w:t>3</w:t>
      </w:r>
      <w:r w:rsidRPr="00374736">
        <w:t xml:space="preserve"> billion Advanced Water Recycling Centre at Upper South Creek is Sydney Water’s largest investment in water resilien</w:t>
      </w:r>
      <w:r>
        <w:t xml:space="preserve">ce </w:t>
      </w:r>
      <w:r w:rsidRPr="004A21B7">
        <w:t>over the next 10 years</w:t>
      </w:r>
      <w:r>
        <w:t xml:space="preserve">. </w:t>
      </w:r>
      <w:r w:rsidR="00D85A9C" w:rsidRPr="00D85A9C">
        <w:t xml:space="preserve">The </w:t>
      </w:r>
      <w:proofErr w:type="spellStart"/>
      <w:r w:rsidR="00D85A9C" w:rsidRPr="00D85A9C">
        <w:t>centre</w:t>
      </w:r>
      <w:proofErr w:type="spellEnd"/>
      <w:r w:rsidR="00D85A9C" w:rsidRPr="00D85A9C">
        <w:t xml:space="preserve"> will create a foundation for a circular economy hub in Western Sydney that </w:t>
      </w:r>
      <w:r w:rsidR="008B23E1">
        <w:t>can</w:t>
      </w:r>
      <w:r w:rsidR="00D85A9C" w:rsidRPr="00D85A9C">
        <w:t xml:space="preserve"> offer integrated circular water, </w:t>
      </w:r>
      <w:proofErr w:type="gramStart"/>
      <w:r w:rsidR="00D85A9C" w:rsidRPr="00D85A9C">
        <w:t>energy</w:t>
      </w:r>
      <w:proofErr w:type="gramEnd"/>
      <w:r w:rsidR="00D85A9C" w:rsidRPr="00D85A9C">
        <w:t xml:space="preserve"> and organic waste management. Once completed, the </w:t>
      </w:r>
      <w:proofErr w:type="spellStart"/>
      <w:r w:rsidR="00D85A9C" w:rsidRPr="00D85A9C">
        <w:t>centre</w:t>
      </w:r>
      <w:proofErr w:type="spellEnd"/>
      <w:r w:rsidRPr="00374736">
        <w:t xml:space="preserve"> will</w:t>
      </w:r>
      <w:r>
        <w:t>:</w:t>
      </w:r>
    </w:p>
    <w:p w14:paraId="02F0ACF2" w14:textId="53D8B0AE" w:rsidR="00834109" w:rsidRPr="00AA1405" w:rsidRDefault="00834109" w:rsidP="00681D2E">
      <w:pPr>
        <w:pStyle w:val="Bullet1"/>
      </w:pPr>
      <w:r w:rsidRPr="00AA1405">
        <w:t xml:space="preserve">supply wastewater services to </w:t>
      </w:r>
      <w:r w:rsidR="008B23E1">
        <w:t>thousands of</w:t>
      </w:r>
      <w:r w:rsidRPr="00AA1405">
        <w:t xml:space="preserve"> new dwellings around the Western Sydney </w:t>
      </w:r>
      <w:r w:rsidR="00CD02A0">
        <w:t>International Airport</w:t>
      </w:r>
    </w:p>
    <w:p w14:paraId="66277E1A" w14:textId="77777777" w:rsidR="00834109" w:rsidRPr="00AA1405" w:rsidRDefault="00834109" w:rsidP="00681D2E">
      <w:pPr>
        <w:pStyle w:val="Bullet1"/>
      </w:pPr>
      <w:r w:rsidRPr="00AA1405">
        <w:t xml:space="preserve">produce high-quality treated water for sustainable use in homes and </w:t>
      </w:r>
      <w:proofErr w:type="gramStart"/>
      <w:r w:rsidRPr="00AA1405">
        <w:t>businesses</w:t>
      </w:r>
      <w:proofErr w:type="gramEnd"/>
    </w:p>
    <w:p w14:paraId="5FD7D6C3" w14:textId="77777777" w:rsidR="00F02AD4" w:rsidRDefault="00834109" w:rsidP="00681D2E">
      <w:pPr>
        <w:pStyle w:val="Bullet1"/>
      </w:pPr>
      <w:r w:rsidRPr="00AA1405">
        <w:t>supply biosolids for agribusiness</w:t>
      </w:r>
    </w:p>
    <w:p w14:paraId="59FC4E69" w14:textId="59BDB0CD" w:rsidR="00F74D55" w:rsidRDefault="00F02AD4" w:rsidP="00681D2E">
      <w:pPr>
        <w:pStyle w:val="Bullet1"/>
      </w:pPr>
      <w:r w:rsidRPr="00F02AD4">
        <w:t>maximise energy recovery</w:t>
      </w:r>
      <w:r w:rsidR="00834109" w:rsidRPr="00AA1405">
        <w:t xml:space="preserve"> </w:t>
      </w:r>
      <w:r w:rsidR="005E2D8B">
        <w:t xml:space="preserve">and </w:t>
      </w:r>
      <w:r w:rsidR="0077512E">
        <w:t xml:space="preserve">unlock </w:t>
      </w:r>
      <w:r w:rsidR="00834109" w:rsidRPr="00374736">
        <w:t>the value of food waste in the economy</w:t>
      </w:r>
      <w:r w:rsidR="005E2D8B">
        <w:t xml:space="preserve"> </w:t>
      </w:r>
      <w:r w:rsidR="005E2D8B" w:rsidRPr="005E2D8B">
        <w:t>by sourcing organic waste in surrounding areas to produce and supply renewable gas to local households and industries</w:t>
      </w:r>
      <w:r w:rsidR="00F74D55">
        <w:t>.</w:t>
      </w:r>
    </w:p>
    <w:p w14:paraId="4FF037C2" w14:textId="23F5980A" w:rsidR="00834109" w:rsidRDefault="00834109" w:rsidP="00F83A51">
      <w:pPr>
        <w:pStyle w:val="BodyText"/>
      </w:pPr>
      <w:r>
        <w:t xml:space="preserve">In addition, the development of the </w:t>
      </w:r>
      <w:proofErr w:type="spellStart"/>
      <w:r>
        <w:t>centre</w:t>
      </w:r>
      <w:proofErr w:type="spellEnd"/>
      <w:r>
        <w:t xml:space="preserve"> is expected to </w:t>
      </w:r>
      <w:r w:rsidRPr="00374736">
        <w:t>generate $10</w:t>
      </w:r>
      <w:r>
        <w:t>.0</w:t>
      </w:r>
      <w:r w:rsidRPr="00374736">
        <w:t xml:space="preserve"> billion </w:t>
      </w:r>
      <w:r>
        <w:t>of</w:t>
      </w:r>
      <w:r w:rsidRPr="00374736">
        <w:t xml:space="preserve"> social and economic benefits in Western Sydney through jobs and investment</w:t>
      </w:r>
      <w:r>
        <w:t>.</w:t>
      </w:r>
    </w:p>
    <w:p w14:paraId="4D97E1D8" w14:textId="1C26A449" w:rsidR="00834109" w:rsidRPr="005141C5" w:rsidRDefault="00834109" w:rsidP="00F83A51">
      <w:pPr>
        <w:pStyle w:val="BodyText"/>
      </w:pPr>
      <w:r w:rsidRPr="00374736">
        <w:t>Other</w:t>
      </w:r>
      <w:r w:rsidR="00496961">
        <w:t xml:space="preserve"> Sydney Water</w:t>
      </w:r>
      <w:r w:rsidRPr="00374736">
        <w:t xml:space="preserve"> projects in progress include: </w:t>
      </w:r>
    </w:p>
    <w:p w14:paraId="3D0C4307" w14:textId="6CB4923D" w:rsidR="003A25B1" w:rsidRDefault="00834109" w:rsidP="00681D2E">
      <w:pPr>
        <w:pStyle w:val="Bullet1"/>
      </w:pPr>
      <w:r>
        <w:t>t</w:t>
      </w:r>
      <w:r w:rsidRPr="00374736">
        <w:t>he new Purified Recycled Water Discovery Centre at Quakers Hill</w:t>
      </w:r>
      <w:r>
        <w:t>, which</w:t>
      </w:r>
      <w:r w:rsidRPr="00374736">
        <w:t xml:space="preserve"> will educate and engage visitors on purified recycled </w:t>
      </w:r>
      <w:proofErr w:type="gramStart"/>
      <w:r w:rsidRPr="00374736">
        <w:t>water</w:t>
      </w:r>
      <w:proofErr w:type="gramEnd"/>
    </w:p>
    <w:p w14:paraId="3FB4A917" w14:textId="75445C6D" w:rsidR="00B32668" w:rsidRDefault="00834109" w:rsidP="00681D2E">
      <w:pPr>
        <w:pStyle w:val="Bullet1"/>
      </w:pPr>
      <w:r w:rsidRPr="00374736">
        <w:t xml:space="preserve">a smart irrigation project under a trial agreement with Penrith </w:t>
      </w:r>
      <w:r w:rsidR="007E2515">
        <w:t xml:space="preserve">City Council </w:t>
      </w:r>
      <w:r w:rsidRPr="00374736">
        <w:t xml:space="preserve">and Liverpool City Council, </w:t>
      </w:r>
      <w:r>
        <w:t>which is expected to</w:t>
      </w:r>
      <w:r w:rsidRPr="00374736">
        <w:t xml:space="preserve"> result in 10 to 20 per cent reduction in water use for </w:t>
      </w:r>
      <w:r w:rsidR="003327BE">
        <w:t xml:space="preserve">the </w:t>
      </w:r>
      <w:r w:rsidRPr="00374736">
        <w:t>councils.</w:t>
      </w:r>
    </w:p>
    <w:p w14:paraId="287213DA" w14:textId="7EACF7F3" w:rsidR="00B32668" w:rsidRDefault="00864661" w:rsidP="00F83A51">
      <w:pPr>
        <w:pStyle w:val="BodyText"/>
      </w:pPr>
      <w:r>
        <w:t>In 202</w:t>
      </w:r>
      <w:r w:rsidR="00B83F96">
        <w:t>2</w:t>
      </w:r>
      <w:r>
        <w:t>-</w:t>
      </w:r>
      <w:r w:rsidR="00B83F96">
        <w:t xml:space="preserve">23, </w:t>
      </w:r>
      <w:r w:rsidR="00510A26">
        <w:t xml:space="preserve">New South Wales </w:t>
      </w:r>
      <w:r w:rsidR="00B32668">
        <w:t>and the Murray</w:t>
      </w:r>
      <w:r w:rsidR="00E13BD5">
        <w:t>-</w:t>
      </w:r>
      <w:r w:rsidR="00B32668">
        <w:t xml:space="preserve">Darling </w:t>
      </w:r>
      <w:r w:rsidR="008E364F">
        <w:t>B</w:t>
      </w:r>
      <w:r w:rsidR="00B32668">
        <w:t>asin experienced the wettest Spring on record</w:t>
      </w:r>
      <w:r w:rsidR="00B7375D">
        <w:t>. This</w:t>
      </w:r>
      <w:r w:rsidR="00B32668">
        <w:t xml:space="preserve"> result</w:t>
      </w:r>
      <w:r w:rsidR="00B7375D">
        <w:t>ed</w:t>
      </w:r>
      <w:r w:rsidR="00B32668">
        <w:t xml:space="preserve"> in extreme flooding in catchments across the </w:t>
      </w:r>
      <w:r w:rsidR="00B7375D">
        <w:t>S</w:t>
      </w:r>
      <w:r w:rsidR="00B32668">
        <w:t>tate, bringing with it tremendous hardship for thousands of people.</w:t>
      </w:r>
    </w:p>
    <w:p w14:paraId="5E3BDD00" w14:textId="6C752654" w:rsidR="00B32668" w:rsidRDefault="00BA559D" w:rsidP="00F83A51">
      <w:pPr>
        <w:pStyle w:val="BodyText"/>
      </w:pPr>
      <w:r>
        <w:t>During</w:t>
      </w:r>
      <w:r w:rsidR="00B32668">
        <w:t xml:space="preserve"> this period</w:t>
      </w:r>
      <w:r>
        <w:t>,</w:t>
      </w:r>
      <w:r w:rsidR="00B32668">
        <w:t xml:space="preserve"> </w:t>
      </w:r>
      <w:proofErr w:type="spellStart"/>
      <w:r w:rsidR="00B32668">
        <w:t>WaterNSW</w:t>
      </w:r>
      <w:proofErr w:type="spellEnd"/>
      <w:r w:rsidR="00B32668">
        <w:t xml:space="preserve"> worked closely with the State Emergency Services and the Bureau of Meteorology to mitigate the impacts of these floods where possible, while keeping local stakeholders informed and engaged throughout.</w:t>
      </w:r>
    </w:p>
    <w:p w14:paraId="292BC063" w14:textId="46FA9E42" w:rsidR="00B16718" w:rsidRDefault="00B32668" w:rsidP="00F83A51">
      <w:pPr>
        <w:pStyle w:val="BodyText"/>
      </w:pPr>
      <w:r>
        <w:t xml:space="preserve">Working in partnership with local councils and other stakeholders through local Airspace Reference Panels, </w:t>
      </w:r>
      <w:proofErr w:type="spellStart"/>
      <w:r>
        <w:t>WaterNSW</w:t>
      </w:r>
      <w:proofErr w:type="spellEnd"/>
      <w:r>
        <w:t xml:space="preserve"> helped manage dam levels prior to rainfall events to capture floodwater. </w:t>
      </w:r>
    </w:p>
    <w:p w14:paraId="51C3EA17" w14:textId="285F6927" w:rsidR="00477340" w:rsidRPr="00477340" w:rsidRDefault="00477340" w:rsidP="00274626">
      <w:pPr>
        <w:pStyle w:val="Heading3"/>
      </w:pPr>
      <w:r w:rsidRPr="00477340">
        <w:t>Energy</w:t>
      </w:r>
    </w:p>
    <w:p w14:paraId="63F863B2" w14:textId="0B0929C3" w:rsidR="00477340" w:rsidRDefault="00477340" w:rsidP="00F83A51">
      <w:pPr>
        <w:pStyle w:val="BodyText"/>
      </w:pPr>
      <w:r w:rsidRPr="00477340">
        <w:t xml:space="preserve">Essential Energy operates and maintains one of Australia’s largest electricity </w:t>
      </w:r>
      <w:r w:rsidR="00B412A6">
        <w:t xml:space="preserve">distribution </w:t>
      </w:r>
      <w:r w:rsidR="001550E0" w:rsidRPr="00477340">
        <w:t>networks</w:t>
      </w:r>
      <w:r w:rsidR="004F1836">
        <w:t>.</w:t>
      </w:r>
    </w:p>
    <w:p w14:paraId="390BE2A2" w14:textId="2FEE2136" w:rsidR="00942294" w:rsidRDefault="003D7473" w:rsidP="00F83A51">
      <w:pPr>
        <w:pStyle w:val="BodyText"/>
      </w:pPr>
      <w:r w:rsidRPr="003D7473">
        <w:t xml:space="preserve">Essential Energy focuses on the future needs of customers in regional, </w:t>
      </w:r>
      <w:proofErr w:type="gramStart"/>
      <w:r w:rsidRPr="003D7473">
        <w:t>rural</w:t>
      </w:r>
      <w:proofErr w:type="gramEnd"/>
      <w:r w:rsidRPr="003D7473">
        <w:t xml:space="preserve"> and remote communities</w:t>
      </w:r>
      <w:r w:rsidR="00496961">
        <w:t xml:space="preserve"> of New South Wales</w:t>
      </w:r>
      <w:r w:rsidR="004655EF">
        <w:t xml:space="preserve">. </w:t>
      </w:r>
      <w:r w:rsidR="00BD7806">
        <w:t>It</w:t>
      </w:r>
      <w:r w:rsidRPr="003D7473">
        <w:t xml:space="preserve"> seeks to </w:t>
      </w:r>
      <w:proofErr w:type="spellStart"/>
      <w:r w:rsidRPr="003D7473">
        <w:t>optimise</w:t>
      </w:r>
      <w:proofErr w:type="spellEnd"/>
      <w:r w:rsidRPr="003D7473">
        <w:t xml:space="preserve"> asset investment and use, maintain affordable network </w:t>
      </w:r>
      <w:proofErr w:type="gramStart"/>
      <w:r w:rsidRPr="003D7473">
        <w:t>charges</w:t>
      </w:r>
      <w:proofErr w:type="gramEnd"/>
      <w:r w:rsidRPr="003D7473">
        <w:t xml:space="preserve"> and facilitate new ways for customers to connect to the network and </w:t>
      </w:r>
      <w:proofErr w:type="spellStart"/>
      <w:r w:rsidRPr="003D7473">
        <w:t>utilise</w:t>
      </w:r>
      <w:proofErr w:type="spellEnd"/>
      <w:r w:rsidRPr="003D7473">
        <w:t xml:space="preserve"> services.</w:t>
      </w:r>
      <w:r>
        <w:t xml:space="preserve"> </w:t>
      </w:r>
    </w:p>
    <w:p w14:paraId="3F350BFB" w14:textId="578CE309" w:rsidR="00E75594" w:rsidRPr="00492B8C" w:rsidRDefault="00E75594" w:rsidP="00F83A51">
      <w:pPr>
        <w:pStyle w:val="BodyText"/>
        <w:rPr>
          <w:rFonts w:eastAsia="MS Mincho"/>
        </w:rPr>
      </w:pPr>
      <w:r w:rsidRPr="00115C0F">
        <w:t xml:space="preserve">Essential Energy </w:t>
      </w:r>
      <w:r w:rsidR="00BD7806">
        <w:t>expects</w:t>
      </w:r>
      <w:r w:rsidRPr="00115C0F">
        <w:t xml:space="preserve"> to spend over $100</w:t>
      </w:r>
      <w:r>
        <w:t>.0</w:t>
      </w:r>
      <w:r w:rsidRPr="00115C0F">
        <w:t xml:space="preserve"> million in 2023-24 as part of its network upgrades and resilience programs. This will contribute towards replacing 11,000 poles with fireproof composite poles in high-risk areas and building 1,123 portable community resilience assets by 2028-29. </w:t>
      </w:r>
    </w:p>
    <w:p w14:paraId="0870DC73" w14:textId="44FEDC77" w:rsidR="00E72A31" w:rsidRDefault="00C34287" w:rsidP="000E51E8">
      <w:pPr>
        <w:pStyle w:val="BodyText"/>
      </w:pPr>
      <w:r>
        <w:t>In response to growth in connection inquiries from renewable generators</w:t>
      </w:r>
      <w:r w:rsidR="00FE7EC7">
        <w:t xml:space="preserve"> </w:t>
      </w:r>
      <w:r w:rsidR="00850561">
        <w:t>and new load customers</w:t>
      </w:r>
      <w:r>
        <w:t xml:space="preserve">, Essential Energy </w:t>
      </w:r>
      <w:r w:rsidR="00F444AA">
        <w:t>expects to</w:t>
      </w:r>
      <w:r>
        <w:t xml:space="preserve"> </w:t>
      </w:r>
      <w:r w:rsidR="004F4D22">
        <w:t>undertake</w:t>
      </w:r>
      <w:r w:rsidR="00477BAC">
        <w:t xml:space="preserve"> </w:t>
      </w:r>
      <w:r>
        <w:t xml:space="preserve">$40.0 million in </w:t>
      </w:r>
      <w:r w:rsidR="00765BCA">
        <w:t>capital work</w:t>
      </w:r>
      <w:r w:rsidR="00781FCD">
        <w:t>s</w:t>
      </w:r>
      <w:r w:rsidR="00765BCA">
        <w:t xml:space="preserve"> during </w:t>
      </w:r>
      <w:r w:rsidR="0059415B">
        <w:br w:type="textWrapping" w:clear="all"/>
      </w:r>
      <w:r>
        <w:t xml:space="preserve">2023-24 to facilitate customer connections. </w:t>
      </w:r>
      <w:r w:rsidR="00E51985" w:rsidRPr="00E51985">
        <w:t xml:space="preserve">Essential Energy </w:t>
      </w:r>
      <w:r w:rsidR="00D23CC3">
        <w:t xml:space="preserve">is </w:t>
      </w:r>
      <w:r w:rsidR="00E51985" w:rsidRPr="00E51985">
        <w:t>target</w:t>
      </w:r>
      <w:r w:rsidR="00D23CC3">
        <w:t>ing</w:t>
      </w:r>
      <w:r w:rsidR="00E51985" w:rsidRPr="00E51985">
        <w:t xml:space="preserve"> 4.2 gigawatts of renewable generation to be connected to the network by 2029-30</w:t>
      </w:r>
      <w:r w:rsidR="001E31A7">
        <w:t>.</w:t>
      </w:r>
    </w:p>
    <w:p w14:paraId="792390D3" w14:textId="77777777" w:rsidR="000E51E8" w:rsidRPr="00AC2D25" w:rsidRDefault="001E31A7" w:rsidP="00AC2D25">
      <w:pPr>
        <w:spacing w:before="80" w:after="80"/>
        <w:rPr>
          <w:rFonts w:ascii="Public Sans" w:hAnsi="Public Sans"/>
          <w:sz w:val="22"/>
          <w:szCs w:val="22"/>
        </w:rPr>
      </w:pPr>
      <w:r w:rsidRPr="00AC2D25">
        <w:rPr>
          <w:rFonts w:ascii="Public Sans" w:hAnsi="Public Sans"/>
          <w:sz w:val="22"/>
          <w:szCs w:val="22"/>
        </w:rPr>
        <w:lastRenderedPageBreak/>
        <w:t>In line with the Government’s response to the Electricity Supply</w:t>
      </w:r>
      <w:r w:rsidR="00E51985" w:rsidRPr="00AC2D25" w:rsidDel="00990D0D">
        <w:rPr>
          <w:rFonts w:ascii="Public Sans" w:hAnsi="Public Sans"/>
          <w:sz w:val="22"/>
          <w:szCs w:val="22"/>
        </w:rPr>
        <w:t xml:space="preserve"> and</w:t>
      </w:r>
      <w:r w:rsidR="00597CB5" w:rsidRPr="00AC2D25">
        <w:rPr>
          <w:rFonts w:ascii="Public Sans" w:hAnsi="Public Sans"/>
          <w:sz w:val="22"/>
          <w:szCs w:val="22"/>
        </w:rPr>
        <w:t xml:space="preserve"> Reliability Check Up, Essential Energy will work with the Government and the other NSW networks to explore</w:t>
      </w:r>
      <w:r w:rsidR="00E51985" w:rsidRPr="00AC2D25">
        <w:rPr>
          <w:rFonts w:ascii="Public Sans" w:hAnsi="Public Sans"/>
          <w:sz w:val="22"/>
          <w:szCs w:val="22"/>
        </w:rPr>
        <w:t xml:space="preserve"> opportunities to materially increase large-scale renewable connections</w:t>
      </w:r>
      <w:r w:rsidR="00D63173" w:rsidRPr="00AC2D25">
        <w:rPr>
          <w:rFonts w:ascii="Public Sans" w:hAnsi="Public Sans"/>
          <w:sz w:val="22"/>
          <w:szCs w:val="22"/>
        </w:rPr>
        <w:t>.</w:t>
      </w:r>
      <w:r w:rsidR="002837E9" w:rsidRPr="00AC2D25">
        <w:rPr>
          <w:rStyle w:val="FootnoteReference"/>
          <w:rFonts w:ascii="Public Sans" w:hAnsi="Public Sans"/>
          <w:sz w:val="22"/>
          <w:szCs w:val="22"/>
        </w:rPr>
        <w:footnoteReference w:id="2"/>
      </w:r>
      <w:r w:rsidR="00D63173" w:rsidRPr="00AC2D25">
        <w:rPr>
          <w:rFonts w:ascii="Public Sans" w:hAnsi="Public Sans"/>
          <w:sz w:val="22"/>
          <w:szCs w:val="22"/>
        </w:rPr>
        <w:t xml:space="preserve"> </w:t>
      </w:r>
    </w:p>
    <w:p w14:paraId="7DABB571" w14:textId="359257CA" w:rsidR="00C34287" w:rsidRPr="00AC2D25" w:rsidRDefault="00501190" w:rsidP="00AC2D25">
      <w:pPr>
        <w:spacing w:before="80" w:after="80"/>
        <w:rPr>
          <w:rFonts w:ascii="Public Sans" w:hAnsi="Public Sans"/>
          <w:sz w:val="22"/>
          <w:szCs w:val="22"/>
        </w:rPr>
      </w:pPr>
      <w:r w:rsidRPr="00AC2D25">
        <w:rPr>
          <w:rFonts w:ascii="Public Sans" w:hAnsi="Public Sans"/>
          <w:sz w:val="22"/>
          <w:szCs w:val="22"/>
        </w:rPr>
        <w:t>For Essential Energy, t</w:t>
      </w:r>
      <w:r w:rsidR="00D63173" w:rsidRPr="00AC2D25">
        <w:rPr>
          <w:rFonts w:ascii="Public Sans" w:hAnsi="Public Sans"/>
          <w:sz w:val="22"/>
          <w:szCs w:val="22"/>
        </w:rPr>
        <w:t>his will</w:t>
      </w:r>
      <w:r w:rsidR="00E51985" w:rsidRPr="00AC2D25">
        <w:rPr>
          <w:rFonts w:ascii="Public Sans" w:hAnsi="Public Sans"/>
          <w:sz w:val="22"/>
          <w:szCs w:val="22"/>
        </w:rPr>
        <w:t xml:space="preserve"> </w:t>
      </w:r>
      <w:proofErr w:type="spellStart"/>
      <w:r w:rsidR="00E51985" w:rsidRPr="00AC2D25">
        <w:rPr>
          <w:rFonts w:ascii="Public Sans" w:hAnsi="Public Sans"/>
          <w:sz w:val="22"/>
          <w:szCs w:val="22"/>
        </w:rPr>
        <w:t>utilis</w:t>
      </w:r>
      <w:r w:rsidR="00D63173" w:rsidRPr="00AC2D25">
        <w:rPr>
          <w:rFonts w:ascii="Public Sans" w:hAnsi="Public Sans"/>
          <w:sz w:val="22"/>
          <w:szCs w:val="22"/>
        </w:rPr>
        <w:t>e</w:t>
      </w:r>
      <w:proofErr w:type="spellEnd"/>
      <w:r w:rsidR="00E51985" w:rsidRPr="00AC2D25">
        <w:rPr>
          <w:rFonts w:ascii="Public Sans" w:hAnsi="Public Sans"/>
          <w:sz w:val="22"/>
          <w:szCs w:val="22"/>
        </w:rPr>
        <w:t xml:space="preserve"> significant available capacity that exists in</w:t>
      </w:r>
      <w:r w:rsidR="00496961" w:rsidRPr="00AC2D25">
        <w:rPr>
          <w:rFonts w:ascii="Public Sans" w:hAnsi="Public Sans"/>
          <w:sz w:val="22"/>
          <w:szCs w:val="22"/>
        </w:rPr>
        <w:t xml:space="preserve"> its</w:t>
      </w:r>
      <w:r w:rsidR="00E51985" w:rsidRPr="00AC2D25">
        <w:rPr>
          <w:rFonts w:ascii="Public Sans" w:hAnsi="Public Sans"/>
          <w:sz w:val="22"/>
          <w:szCs w:val="22"/>
        </w:rPr>
        <w:t xml:space="preserve"> high</w:t>
      </w:r>
      <w:r w:rsidR="00086E18">
        <w:rPr>
          <w:rFonts w:ascii="Public Sans" w:hAnsi="Public Sans"/>
          <w:sz w:val="22"/>
          <w:szCs w:val="22"/>
        </w:rPr>
        <w:t> </w:t>
      </w:r>
      <w:r w:rsidR="00E51985" w:rsidRPr="00AC2D25">
        <w:rPr>
          <w:rFonts w:ascii="Public Sans" w:hAnsi="Public Sans"/>
          <w:sz w:val="22"/>
          <w:szCs w:val="22"/>
        </w:rPr>
        <w:t>voltage network</w:t>
      </w:r>
      <w:r w:rsidR="00C2149E" w:rsidRPr="00AC2D25">
        <w:rPr>
          <w:rFonts w:ascii="Public Sans" w:hAnsi="Public Sans"/>
          <w:sz w:val="22"/>
          <w:szCs w:val="22"/>
        </w:rPr>
        <w:t>,</w:t>
      </w:r>
      <w:r w:rsidR="00433FBD" w:rsidRPr="00AC2D25">
        <w:rPr>
          <w:rFonts w:ascii="Public Sans" w:hAnsi="Public Sans"/>
          <w:sz w:val="22"/>
          <w:szCs w:val="22"/>
        </w:rPr>
        <w:t xml:space="preserve"> connecting more </w:t>
      </w:r>
      <w:r w:rsidR="00C3310D" w:rsidRPr="00AC2D25">
        <w:rPr>
          <w:rFonts w:ascii="Public Sans" w:hAnsi="Public Sans"/>
          <w:sz w:val="22"/>
          <w:szCs w:val="22"/>
        </w:rPr>
        <w:t>renewable energy</w:t>
      </w:r>
      <w:r w:rsidR="00433FBD" w:rsidRPr="00AC2D25">
        <w:rPr>
          <w:rFonts w:ascii="Public Sans" w:hAnsi="Public Sans"/>
          <w:sz w:val="22"/>
          <w:szCs w:val="22"/>
        </w:rPr>
        <w:t xml:space="preserve"> and storage in the short to medium term</w:t>
      </w:r>
      <w:r w:rsidR="009553F6" w:rsidRPr="00AC2D25">
        <w:rPr>
          <w:rFonts w:ascii="Public Sans" w:hAnsi="Public Sans"/>
          <w:sz w:val="22"/>
          <w:szCs w:val="22"/>
        </w:rPr>
        <w:t xml:space="preserve">. </w:t>
      </w:r>
      <w:r w:rsidR="0039007F" w:rsidRPr="00AC2D25">
        <w:rPr>
          <w:rFonts w:ascii="Public Sans" w:hAnsi="Public Sans"/>
          <w:sz w:val="22"/>
          <w:szCs w:val="22"/>
        </w:rPr>
        <w:t xml:space="preserve">In return, </w:t>
      </w:r>
      <w:r w:rsidR="00433FBD" w:rsidRPr="00AC2D25">
        <w:rPr>
          <w:rFonts w:ascii="Public Sans" w:hAnsi="Public Sans"/>
          <w:sz w:val="22"/>
          <w:szCs w:val="22"/>
        </w:rPr>
        <w:t>NSW consumers can benefit from cheaper and cleaner electricity as larger</w:t>
      </w:r>
      <w:r w:rsidR="00086E18">
        <w:rPr>
          <w:rFonts w:ascii="Public Sans" w:hAnsi="Public Sans"/>
          <w:sz w:val="22"/>
          <w:szCs w:val="22"/>
        </w:rPr>
        <w:t> </w:t>
      </w:r>
      <w:r w:rsidR="00433FBD" w:rsidRPr="00AC2D25">
        <w:rPr>
          <w:rFonts w:ascii="Public Sans" w:hAnsi="Public Sans"/>
          <w:sz w:val="22"/>
          <w:szCs w:val="22"/>
        </w:rPr>
        <w:t>scale network projects are developed</w:t>
      </w:r>
      <w:r w:rsidR="00E51985" w:rsidRPr="00AC2D25">
        <w:rPr>
          <w:rFonts w:ascii="Public Sans" w:hAnsi="Public Sans"/>
          <w:sz w:val="22"/>
          <w:szCs w:val="22"/>
        </w:rPr>
        <w:t xml:space="preserve">. </w:t>
      </w:r>
    </w:p>
    <w:p w14:paraId="5D21A457" w14:textId="3FD9C2F2" w:rsidR="003B5DB4" w:rsidRPr="00AC2D25" w:rsidRDefault="00001711" w:rsidP="00AC2D25">
      <w:pPr>
        <w:spacing w:before="80" w:after="80"/>
        <w:rPr>
          <w:rFonts w:ascii="Public Sans" w:hAnsi="Public Sans"/>
          <w:sz w:val="22"/>
          <w:szCs w:val="22"/>
        </w:rPr>
      </w:pPr>
      <w:r w:rsidRPr="00AC2D25">
        <w:rPr>
          <w:rFonts w:ascii="Public Sans" w:hAnsi="Public Sans"/>
          <w:sz w:val="22"/>
          <w:szCs w:val="22"/>
        </w:rPr>
        <w:t>In addition, Essential Energy is improving reliability for remote and rural customers and communities by transitioning high cost-to-serve customers to more efficient and reliable solutions where it is economically and technically feasible.</w:t>
      </w:r>
      <w:r w:rsidR="00BB193B" w:rsidRPr="00AC2D25">
        <w:rPr>
          <w:rFonts w:ascii="Public Sans" w:hAnsi="Public Sans"/>
          <w:sz w:val="22"/>
          <w:szCs w:val="22"/>
        </w:rPr>
        <w:t xml:space="preserve"> This includes a target to deliver 400 stand-alone power systems by 2028-29 that will </w:t>
      </w:r>
      <w:r w:rsidR="00DB7C86" w:rsidRPr="00AC2D25">
        <w:rPr>
          <w:rFonts w:ascii="Public Sans" w:hAnsi="Public Sans"/>
          <w:sz w:val="22"/>
          <w:szCs w:val="22"/>
        </w:rPr>
        <w:t>provide</w:t>
      </w:r>
      <w:r w:rsidR="00BB193B" w:rsidRPr="00AC2D25">
        <w:rPr>
          <w:rFonts w:ascii="Public Sans" w:hAnsi="Public Sans"/>
          <w:sz w:val="22"/>
          <w:szCs w:val="22"/>
        </w:rPr>
        <w:t xml:space="preserve"> safe, </w:t>
      </w:r>
      <w:proofErr w:type="gramStart"/>
      <w:r w:rsidR="00BB193B" w:rsidRPr="00AC2D25">
        <w:rPr>
          <w:rFonts w:ascii="Public Sans" w:hAnsi="Public Sans"/>
          <w:sz w:val="22"/>
          <w:szCs w:val="22"/>
        </w:rPr>
        <w:t>reliable</w:t>
      </w:r>
      <w:proofErr w:type="gramEnd"/>
      <w:r w:rsidR="00BB193B" w:rsidRPr="00AC2D25">
        <w:rPr>
          <w:rFonts w:ascii="Public Sans" w:hAnsi="Public Sans"/>
          <w:sz w:val="22"/>
          <w:szCs w:val="22"/>
        </w:rPr>
        <w:t xml:space="preserve"> and renewable power </w:t>
      </w:r>
      <w:r w:rsidR="00FA292E" w:rsidRPr="00AC2D25">
        <w:rPr>
          <w:rFonts w:ascii="Public Sans" w:hAnsi="Public Sans"/>
          <w:sz w:val="22"/>
          <w:szCs w:val="22"/>
        </w:rPr>
        <w:t>to</w:t>
      </w:r>
      <w:r w:rsidR="00BB193B" w:rsidRPr="00AC2D25">
        <w:rPr>
          <w:rFonts w:ascii="Public Sans" w:hAnsi="Public Sans"/>
          <w:sz w:val="22"/>
          <w:szCs w:val="22"/>
        </w:rPr>
        <w:t xml:space="preserve"> remote </w:t>
      </w:r>
      <w:r w:rsidR="00FA292E" w:rsidRPr="00AC2D25">
        <w:rPr>
          <w:rFonts w:ascii="Public Sans" w:hAnsi="Public Sans"/>
          <w:sz w:val="22"/>
          <w:szCs w:val="22"/>
        </w:rPr>
        <w:t>communities</w:t>
      </w:r>
      <w:r w:rsidR="00BB193B" w:rsidRPr="00AC2D25">
        <w:rPr>
          <w:rFonts w:ascii="Public Sans" w:hAnsi="Public Sans"/>
          <w:sz w:val="22"/>
          <w:szCs w:val="22"/>
        </w:rPr>
        <w:t>, or in difficult to access, flood or bushfire-prone locations.</w:t>
      </w:r>
    </w:p>
    <w:p w14:paraId="23FD96F0" w14:textId="77777777" w:rsidR="00FF2D30" w:rsidRPr="00F46D1F" w:rsidRDefault="00FF2D30" w:rsidP="0048692F">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2: SOCs contribute to the State’s renewable energy transition"/>
        <w:tblDescription w:val="Box 7.2: SOCs contribute to the State’s renewable energy transition"/>
      </w:tblPr>
      <w:tblGrid>
        <w:gridCol w:w="9637"/>
      </w:tblGrid>
      <w:tr w:rsidR="00184CC9" w:rsidRPr="00477340" w14:paraId="421AA532" w14:textId="77777777" w:rsidTr="00065C41">
        <w:trPr>
          <w:trHeight w:val="567"/>
        </w:trPr>
        <w:tc>
          <w:tcPr>
            <w:tcW w:w="9637" w:type="dxa"/>
            <w:shd w:val="pct5" w:color="auto" w:fill="auto"/>
          </w:tcPr>
          <w:p w14:paraId="29218DBF" w14:textId="4224BA4E" w:rsidR="00184CC9" w:rsidRDefault="003F7104" w:rsidP="008B1F52">
            <w:pPr>
              <w:pStyle w:val="Box7XBoxHeading"/>
              <w:spacing w:after="40"/>
            </w:pPr>
            <w:r>
              <w:t xml:space="preserve">SOCs contribute </w:t>
            </w:r>
            <w:r w:rsidR="00B368D3">
              <w:t>to</w:t>
            </w:r>
            <w:r w:rsidR="001671D7">
              <w:t xml:space="preserve"> </w:t>
            </w:r>
            <w:r w:rsidR="00BB193B">
              <w:t xml:space="preserve">the </w:t>
            </w:r>
            <w:r w:rsidR="0087429C">
              <w:t xml:space="preserve">State’s </w:t>
            </w:r>
            <w:r w:rsidR="00B368D3">
              <w:t>renewable energy</w:t>
            </w:r>
            <w:r w:rsidR="0026201F">
              <w:t xml:space="preserve"> </w:t>
            </w:r>
            <w:proofErr w:type="gramStart"/>
            <w:r w:rsidR="0026201F">
              <w:t>transition</w:t>
            </w:r>
            <w:proofErr w:type="gramEnd"/>
          </w:p>
          <w:p w14:paraId="0A4B2A4A" w14:textId="2AA5AFF3" w:rsidR="00F55EC9" w:rsidRPr="00AC656E" w:rsidRDefault="005F0115" w:rsidP="00AC656E">
            <w:pPr>
              <w:spacing w:before="60" w:after="60"/>
              <w:rPr>
                <w:rFonts w:ascii="Public Sans" w:eastAsiaTheme="minorEastAsia" w:hAnsi="Public Sans"/>
                <w:sz w:val="22"/>
                <w:szCs w:val="22"/>
                <w:lang w:eastAsia="en-AU"/>
              </w:rPr>
            </w:pPr>
            <w:r w:rsidRPr="00AC656E">
              <w:rPr>
                <w:rFonts w:ascii="Public Sans" w:eastAsiaTheme="minorEastAsia" w:hAnsi="Public Sans"/>
                <w:sz w:val="22"/>
                <w:szCs w:val="22"/>
                <w:lang w:eastAsia="en-AU"/>
              </w:rPr>
              <w:t>The energy sector is undergoing a transformation with r</w:t>
            </w:r>
            <w:r w:rsidR="0052433B" w:rsidRPr="00AC656E">
              <w:rPr>
                <w:rFonts w:ascii="Public Sans" w:eastAsiaTheme="minorEastAsia" w:hAnsi="Public Sans"/>
                <w:sz w:val="22"/>
                <w:szCs w:val="22"/>
                <w:lang w:eastAsia="en-AU"/>
              </w:rPr>
              <w:t>enewable energy continuing to grow</w:t>
            </w:r>
            <w:r w:rsidR="007E3C51" w:rsidRPr="00AC656E">
              <w:rPr>
                <w:rFonts w:ascii="Public Sans" w:eastAsiaTheme="minorEastAsia" w:hAnsi="Public Sans"/>
                <w:sz w:val="22"/>
                <w:szCs w:val="22"/>
                <w:lang w:eastAsia="en-AU"/>
              </w:rPr>
              <w:t xml:space="preserve"> to deliver clean </w:t>
            </w:r>
            <w:r w:rsidR="000363A1" w:rsidRPr="00AC656E">
              <w:rPr>
                <w:rFonts w:ascii="Public Sans" w:eastAsiaTheme="minorEastAsia" w:hAnsi="Public Sans"/>
                <w:sz w:val="22"/>
                <w:szCs w:val="22"/>
                <w:lang w:eastAsia="en-AU"/>
              </w:rPr>
              <w:t>power</w:t>
            </w:r>
            <w:r w:rsidR="00162FFA" w:rsidRPr="00AC656E">
              <w:rPr>
                <w:rFonts w:ascii="Public Sans" w:eastAsiaTheme="minorEastAsia" w:hAnsi="Public Sans"/>
                <w:sz w:val="22"/>
                <w:szCs w:val="22"/>
                <w:lang w:eastAsia="en-AU"/>
              </w:rPr>
              <w:t xml:space="preserve"> and reduce carbon emission</w:t>
            </w:r>
            <w:r w:rsidR="00C719DE" w:rsidRPr="00AC656E">
              <w:rPr>
                <w:rFonts w:ascii="Public Sans" w:eastAsiaTheme="minorEastAsia" w:hAnsi="Public Sans"/>
                <w:sz w:val="22"/>
                <w:szCs w:val="22"/>
                <w:lang w:eastAsia="en-AU"/>
              </w:rPr>
              <w:t>s</w:t>
            </w:r>
            <w:r w:rsidR="00162FFA" w:rsidRPr="00AC656E">
              <w:rPr>
                <w:rFonts w:ascii="Public Sans" w:eastAsiaTheme="minorEastAsia" w:hAnsi="Public Sans"/>
                <w:sz w:val="22"/>
                <w:szCs w:val="22"/>
                <w:lang w:eastAsia="en-AU"/>
              </w:rPr>
              <w:t>.</w:t>
            </w:r>
            <w:r w:rsidR="007A63BC" w:rsidRPr="00AC656E">
              <w:rPr>
                <w:rFonts w:ascii="Public Sans" w:hAnsi="Public Sans"/>
                <w:sz w:val="22"/>
                <w:szCs w:val="22"/>
              </w:rPr>
              <w:t xml:space="preserve"> </w:t>
            </w:r>
            <w:r w:rsidR="00F55EC9" w:rsidRPr="00AC656E">
              <w:rPr>
                <w:rFonts w:ascii="Public Sans" w:eastAsiaTheme="minorEastAsia" w:hAnsi="Public Sans"/>
                <w:sz w:val="22"/>
                <w:szCs w:val="22"/>
                <w:lang w:eastAsia="en-AU"/>
              </w:rPr>
              <w:t xml:space="preserve">All SOCs have taken initiatives </w:t>
            </w:r>
            <w:r w:rsidR="00BB193B" w:rsidRPr="00AC656E">
              <w:rPr>
                <w:rFonts w:ascii="Public Sans" w:eastAsiaTheme="minorEastAsia" w:hAnsi="Public Sans"/>
                <w:sz w:val="22"/>
                <w:szCs w:val="22"/>
                <w:lang w:eastAsia="en-AU"/>
              </w:rPr>
              <w:t xml:space="preserve">to </w:t>
            </w:r>
            <w:r w:rsidR="00F55EC9" w:rsidRPr="00AC656E">
              <w:rPr>
                <w:rFonts w:ascii="Public Sans" w:eastAsiaTheme="minorEastAsia" w:hAnsi="Public Sans"/>
                <w:sz w:val="22"/>
                <w:szCs w:val="22"/>
                <w:lang w:eastAsia="en-AU"/>
              </w:rPr>
              <w:t>contribut</w:t>
            </w:r>
            <w:r w:rsidR="007F6CA2" w:rsidRPr="00AC656E">
              <w:rPr>
                <w:rFonts w:ascii="Public Sans" w:eastAsiaTheme="minorEastAsia" w:hAnsi="Public Sans"/>
                <w:sz w:val="22"/>
                <w:szCs w:val="22"/>
                <w:lang w:eastAsia="en-AU"/>
              </w:rPr>
              <w:t>e</w:t>
            </w:r>
            <w:r w:rsidR="00F55EC9" w:rsidRPr="00AC656E">
              <w:rPr>
                <w:rFonts w:ascii="Public Sans" w:eastAsiaTheme="minorEastAsia" w:hAnsi="Public Sans"/>
                <w:sz w:val="22"/>
                <w:szCs w:val="22"/>
                <w:lang w:eastAsia="en-AU"/>
              </w:rPr>
              <w:t xml:space="preserve"> to the State’s energy security and transition to renewable energy.</w:t>
            </w:r>
          </w:p>
          <w:p w14:paraId="25939445" w14:textId="43540B88" w:rsidR="00C514CC" w:rsidRPr="00661DE5" w:rsidRDefault="00C514CC" w:rsidP="00BF5CD0">
            <w:pPr>
              <w:pStyle w:val="Headinginbox"/>
              <w:framePr w:wrap="around"/>
              <w:spacing w:before="20" w:after="20"/>
              <w:rPr>
                <w:rFonts w:eastAsiaTheme="minorEastAsia"/>
              </w:rPr>
            </w:pPr>
            <w:proofErr w:type="spellStart"/>
            <w:r w:rsidRPr="00661DE5">
              <w:rPr>
                <w:rFonts w:eastAsiaTheme="minorEastAsia"/>
              </w:rPr>
              <w:t>WaterNSW</w:t>
            </w:r>
            <w:proofErr w:type="spellEnd"/>
            <w:r w:rsidRPr="00661DE5">
              <w:rPr>
                <w:rFonts w:eastAsiaTheme="minorEastAsia"/>
              </w:rPr>
              <w:t xml:space="preserve"> Renewable Energy and Storage Program</w:t>
            </w:r>
          </w:p>
          <w:p w14:paraId="5EA92A81" w14:textId="6DFD206D" w:rsidR="00F51E09" w:rsidRPr="00AC656E" w:rsidRDefault="00C514CC" w:rsidP="00166CCC">
            <w:pPr>
              <w:spacing w:before="80" w:after="80"/>
              <w:rPr>
                <w:rFonts w:ascii="Public Sans" w:eastAsiaTheme="minorEastAsia" w:hAnsi="Public Sans"/>
                <w:sz w:val="22"/>
                <w:szCs w:val="22"/>
                <w:lang w:eastAsia="en-AU"/>
              </w:rPr>
            </w:pPr>
            <w:proofErr w:type="spellStart"/>
            <w:r w:rsidRPr="00AC656E">
              <w:rPr>
                <w:rFonts w:ascii="Public Sans" w:eastAsiaTheme="minorEastAsia" w:hAnsi="Public Sans"/>
                <w:sz w:val="22"/>
                <w:szCs w:val="22"/>
                <w:lang w:eastAsia="en-AU"/>
              </w:rPr>
              <w:t>WaterNSW</w:t>
            </w:r>
            <w:proofErr w:type="spellEnd"/>
            <w:r w:rsidRPr="00AC656E">
              <w:rPr>
                <w:rFonts w:ascii="Public Sans" w:eastAsiaTheme="minorEastAsia" w:hAnsi="Public Sans"/>
                <w:sz w:val="22"/>
                <w:szCs w:val="22"/>
                <w:lang w:eastAsia="en-AU"/>
              </w:rPr>
              <w:t xml:space="preserve"> is progressing its Renewable Energy and Storage Program which looks to identify opportunities to </w:t>
            </w:r>
            <w:r w:rsidR="00C2149E" w:rsidRPr="00AC656E">
              <w:rPr>
                <w:rFonts w:ascii="Public Sans" w:eastAsiaTheme="minorEastAsia" w:hAnsi="Public Sans"/>
                <w:sz w:val="22"/>
                <w:szCs w:val="22"/>
                <w:lang w:eastAsia="en-AU"/>
              </w:rPr>
              <w:t>use its</w:t>
            </w:r>
            <w:r w:rsidRPr="00AC656E">
              <w:rPr>
                <w:rFonts w:ascii="Public Sans" w:eastAsiaTheme="minorEastAsia" w:hAnsi="Public Sans"/>
                <w:sz w:val="22"/>
                <w:szCs w:val="22"/>
                <w:lang w:eastAsia="en-AU"/>
              </w:rPr>
              <w:t xml:space="preserve"> land and assets </w:t>
            </w:r>
            <w:r w:rsidR="00BB101A" w:rsidRPr="00AC656E">
              <w:rPr>
                <w:rFonts w:ascii="Public Sans" w:eastAsiaTheme="minorEastAsia" w:hAnsi="Public Sans"/>
                <w:sz w:val="22"/>
                <w:szCs w:val="22"/>
                <w:lang w:eastAsia="en-AU"/>
              </w:rPr>
              <w:t xml:space="preserve">to support </w:t>
            </w:r>
            <w:r w:rsidRPr="00AC656E">
              <w:rPr>
                <w:rFonts w:ascii="Public Sans" w:eastAsiaTheme="minorEastAsia" w:hAnsi="Public Sans"/>
                <w:sz w:val="22"/>
                <w:szCs w:val="22"/>
                <w:lang w:eastAsia="en-AU"/>
              </w:rPr>
              <w:t xml:space="preserve">renewable energy generation and storage projects </w:t>
            </w:r>
            <w:r w:rsidR="00BB101A" w:rsidRPr="00AC656E">
              <w:rPr>
                <w:rFonts w:ascii="Public Sans" w:eastAsiaTheme="minorEastAsia" w:hAnsi="Public Sans"/>
                <w:sz w:val="22"/>
                <w:szCs w:val="22"/>
                <w:lang w:eastAsia="en-AU"/>
              </w:rPr>
              <w:t>in</w:t>
            </w:r>
            <w:r w:rsidRPr="00AC656E">
              <w:rPr>
                <w:rFonts w:ascii="Public Sans" w:eastAsiaTheme="minorEastAsia" w:hAnsi="Public Sans"/>
                <w:sz w:val="22"/>
                <w:szCs w:val="22"/>
                <w:lang w:eastAsia="en-AU"/>
              </w:rPr>
              <w:t xml:space="preserve"> New South Wales.</w:t>
            </w:r>
          </w:p>
          <w:p w14:paraId="424737D4" w14:textId="5EA5BEDC" w:rsidR="00C514CC" w:rsidRPr="00AC656E" w:rsidRDefault="00C514CC" w:rsidP="00166CCC">
            <w:pPr>
              <w:spacing w:before="80" w:after="80"/>
              <w:rPr>
                <w:rFonts w:ascii="Public Sans" w:eastAsiaTheme="minorEastAsia" w:hAnsi="Public Sans"/>
                <w:sz w:val="22"/>
                <w:szCs w:val="22"/>
                <w:lang w:eastAsia="en-AU"/>
              </w:rPr>
            </w:pPr>
            <w:r w:rsidRPr="00AC656E">
              <w:rPr>
                <w:rFonts w:ascii="Public Sans" w:eastAsiaTheme="minorEastAsia" w:hAnsi="Public Sans"/>
                <w:sz w:val="22"/>
                <w:szCs w:val="22"/>
                <w:lang w:eastAsia="en-AU"/>
              </w:rPr>
              <w:t xml:space="preserve">The program aligns with </w:t>
            </w:r>
            <w:r w:rsidR="006A1C19" w:rsidRPr="00AC656E">
              <w:rPr>
                <w:rFonts w:ascii="Public Sans" w:eastAsiaTheme="minorEastAsia" w:hAnsi="Public Sans"/>
                <w:sz w:val="22"/>
                <w:szCs w:val="22"/>
                <w:lang w:eastAsia="en-AU"/>
              </w:rPr>
              <w:t>the</w:t>
            </w:r>
            <w:r w:rsidR="001F29BA" w:rsidRPr="00AC656E">
              <w:rPr>
                <w:rFonts w:ascii="Public Sans" w:eastAsiaTheme="minorEastAsia" w:hAnsi="Public Sans"/>
                <w:sz w:val="22"/>
                <w:szCs w:val="22"/>
                <w:lang w:eastAsia="en-AU"/>
              </w:rPr>
              <w:t xml:space="preserve"> State’s </w:t>
            </w:r>
            <w:r w:rsidRPr="00AC656E">
              <w:rPr>
                <w:rFonts w:ascii="Public Sans" w:eastAsiaTheme="minorEastAsia" w:hAnsi="Public Sans"/>
                <w:sz w:val="22"/>
                <w:szCs w:val="22"/>
                <w:lang w:eastAsia="en-AU"/>
              </w:rPr>
              <w:t>energy initiatives</w:t>
            </w:r>
            <w:r w:rsidR="0013702F" w:rsidRPr="00AC656E">
              <w:rPr>
                <w:rFonts w:ascii="Public Sans" w:eastAsiaTheme="minorEastAsia" w:hAnsi="Public Sans"/>
                <w:sz w:val="22"/>
                <w:szCs w:val="22"/>
                <w:lang w:eastAsia="en-AU"/>
              </w:rPr>
              <w:t>,</w:t>
            </w:r>
            <w:r w:rsidRPr="00AC656E">
              <w:rPr>
                <w:rFonts w:ascii="Public Sans" w:eastAsiaTheme="minorEastAsia" w:hAnsi="Public Sans"/>
                <w:sz w:val="22"/>
                <w:szCs w:val="22"/>
                <w:lang w:eastAsia="en-AU"/>
              </w:rPr>
              <w:t xml:space="preserve"> including the NSW Electricity Strategy, the NSW Electricity Infrastructure </w:t>
            </w:r>
            <w:proofErr w:type="gramStart"/>
            <w:r w:rsidRPr="00AC656E">
              <w:rPr>
                <w:rFonts w:ascii="Public Sans" w:eastAsiaTheme="minorEastAsia" w:hAnsi="Public Sans"/>
                <w:sz w:val="22"/>
                <w:szCs w:val="22"/>
                <w:lang w:eastAsia="en-AU"/>
              </w:rPr>
              <w:t>Roadmap</w:t>
            </w:r>
            <w:proofErr w:type="gramEnd"/>
            <w:r w:rsidRPr="00AC656E">
              <w:rPr>
                <w:rFonts w:ascii="Public Sans" w:eastAsiaTheme="minorEastAsia" w:hAnsi="Public Sans"/>
                <w:sz w:val="22"/>
                <w:szCs w:val="22"/>
                <w:lang w:eastAsia="en-AU"/>
              </w:rPr>
              <w:t xml:space="preserve"> and the NSW Pumped Hydro Roadmap. </w:t>
            </w:r>
            <w:proofErr w:type="spellStart"/>
            <w:r w:rsidR="00297354" w:rsidRPr="00AC656E">
              <w:rPr>
                <w:rFonts w:ascii="Public Sans" w:eastAsiaTheme="minorEastAsia" w:hAnsi="Public Sans"/>
                <w:sz w:val="22"/>
                <w:szCs w:val="22"/>
                <w:lang w:eastAsia="en-AU"/>
              </w:rPr>
              <w:t>WaterNSW</w:t>
            </w:r>
            <w:proofErr w:type="spellEnd"/>
            <w:r w:rsidR="00297354" w:rsidRPr="00AC656E">
              <w:rPr>
                <w:rFonts w:ascii="Public Sans" w:eastAsiaTheme="minorEastAsia" w:hAnsi="Public Sans"/>
                <w:sz w:val="22"/>
                <w:szCs w:val="22"/>
                <w:lang w:eastAsia="en-AU"/>
              </w:rPr>
              <w:t xml:space="preserve"> is </w:t>
            </w:r>
            <w:r w:rsidRPr="00AC656E">
              <w:rPr>
                <w:rFonts w:ascii="Public Sans" w:eastAsiaTheme="minorEastAsia" w:hAnsi="Public Sans"/>
                <w:sz w:val="22"/>
                <w:szCs w:val="22"/>
                <w:lang w:eastAsia="en-AU"/>
              </w:rPr>
              <w:t>undertak</w:t>
            </w:r>
            <w:r w:rsidR="00B2752E" w:rsidRPr="00AC656E">
              <w:rPr>
                <w:rFonts w:ascii="Public Sans" w:eastAsiaTheme="minorEastAsia" w:hAnsi="Public Sans"/>
                <w:sz w:val="22"/>
                <w:szCs w:val="22"/>
                <w:lang w:eastAsia="en-AU"/>
              </w:rPr>
              <w:t>ing the program</w:t>
            </w:r>
            <w:r w:rsidRPr="00AC656E">
              <w:rPr>
                <w:rFonts w:ascii="Public Sans" w:eastAsiaTheme="minorEastAsia" w:hAnsi="Public Sans"/>
                <w:sz w:val="22"/>
                <w:szCs w:val="22"/>
                <w:lang w:eastAsia="en-AU"/>
              </w:rPr>
              <w:t xml:space="preserve"> in close co</w:t>
            </w:r>
            <w:r w:rsidR="00644D92" w:rsidRPr="00AC656E">
              <w:rPr>
                <w:rFonts w:ascii="Public Sans" w:eastAsiaTheme="minorEastAsia" w:hAnsi="Public Sans"/>
                <w:sz w:val="22"/>
                <w:szCs w:val="22"/>
                <w:lang w:eastAsia="en-AU"/>
              </w:rPr>
              <w:t>llaboration</w:t>
            </w:r>
            <w:r w:rsidRPr="00AC656E">
              <w:rPr>
                <w:rFonts w:ascii="Public Sans" w:eastAsiaTheme="minorEastAsia" w:hAnsi="Public Sans"/>
                <w:sz w:val="22"/>
                <w:szCs w:val="22"/>
                <w:lang w:eastAsia="en-AU"/>
              </w:rPr>
              <w:t xml:space="preserve"> with </w:t>
            </w:r>
            <w:r w:rsidR="004F1A98" w:rsidRPr="00AC656E">
              <w:rPr>
                <w:rFonts w:ascii="Public Sans" w:eastAsiaTheme="minorEastAsia" w:hAnsi="Public Sans"/>
                <w:sz w:val="22"/>
                <w:szCs w:val="22"/>
                <w:lang w:eastAsia="en-AU"/>
              </w:rPr>
              <w:t>the Energy Corporation of NSW (</w:t>
            </w:r>
            <w:r w:rsidRPr="00AC656E">
              <w:rPr>
                <w:rFonts w:ascii="Public Sans" w:eastAsiaTheme="minorEastAsia" w:hAnsi="Public Sans"/>
                <w:sz w:val="22"/>
                <w:szCs w:val="22"/>
                <w:lang w:eastAsia="en-AU"/>
              </w:rPr>
              <w:t>EnergyCo</w:t>
            </w:r>
            <w:r w:rsidR="004F1A98" w:rsidRPr="00AC656E">
              <w:rPr>
                <w:rFonts w:ascii="Public Sans" w:eastAsiaTheme="minorEastAsia" w:hAnsi="Public Sans"/>
                <w:sz w:val="22"/>
                <w:szCs w:val="22"/>
                <w:lang w:eastAsia="en-AU"/>
              </w:rPr>
              <w:t>)</w:t>
            </w:r>
            <w:r w:rsidR="00D8056C" w:rsidRPr="00AC656E">
              <w:rPr>
                <w:rFonts w:ascii="Public Sans" w:eastAsiaTheme="minorEastAsia" w:hAnsi="Public Sans"/>
                <w:sz w:val="22"/>
                <w:szCs w:val="22"/>
                <w:lang w:eastAsia="en-AU"/>
              </w:rPr>
              <w:t>.</w:t>
            </w:r>
          </w:p>
          <w:p w14:paraId="4135924A" w14:textId="315BD505" w:rsidR="00C514CC" w:rsidRPr="00AC656E" w:rsidRDefault="00C514CC" w:rsidP="00166CCC">
            <w:pPr>
              <w:spacing w:before="80" w:after="80"/>
              <w:rPr>
                <w:rFonts w:ascii="Public Sans" w:eastAsiaTheme="minorEastAsia" w:hAnsi="Public Sans"/>
                <w:sz w:val="22"/>
                <w:szCs w:val="22"/>
                <w:lang w:eastAsia="en-AU"/>
              </w:rPr>
            </w:pPr>
            <w:r w:rsidRPr="00AC656E">
              <w:rPr>
                <w:rFonts w:ascii="Public Sans" w:eastAsiaTheme="minorEastAsia" w:hAnsi="Public Sans"/>
                <w:sz w:val="22"/>
                <w:szCs w:val="22"/>
                <w:lang w:eastAsia="en-AU"/>
              </w:rPr>
              <w:t xml:space="preserve">In December 2022, </w:t>
            </w:r>
            <w:proofErr w:type="spellStart"/>
            <w:r w:rsidRPr="00AC656E">
              <w:rPr>
                <w:rFonts w:ascii="Public Sans" w:eastAsiaTheme="minorEastAsia" w:hAnsi="Public Sans"/>
                <w:sz w:val="22"/>
                <w:szCs w:val="22"/>
                <w:lang w:eastAsia="en-AU"/>
              </w:rPr>
              <w:t>WaterNSW</w:t>
            </w:r>
            <w:proofErr w:type="spellEnd"/>
            <w:r w:rsidRPr="00AC656E">
              <w:rPr>
                <w:rFonts w:ascii="Public Sans" w:eastAsiaTheme="minorEastAsia" w:hAnsi="Public Sans"/>
                <w:sz w:val="22"/>
                <w:szCs w:val="22"/>
                <w:lang w:eastAsia="en-AU"/>
              </w:rPr>
              <w:t xml:space="preserve"> entered into the first development agreement under the program, which is with ACEN Australia for a pumped hydro scheme located near Lake </w:t>
            </w:r>
            <w:proofErr w:type="spellStart"/>
            <w:r w:rsidRPr="00AC656E">
              <w:rPr>
                <w:rFonts w:ascii="Public Sans" w:eastAsiaTheme="minorEastAsia" w:hAnsi="Public Sans"/>
                <w:sz w:val="22"/>
                <w:szCs w:val="22"/>
                <w:lang w:eastAsia="en-AU"/>
              </w:rPr>
              <w:t>Burrendong</w:t>
            </w:r>
            <w:proofErr w:type="spellEnd"/>
            <w:r w:rsidRPr="00AC656E">
              <w:rPr>
                <w:rFonts w:ascii="Public Sans" w:eastAsiaTheme="minorEastAsia" w:hAnsi="Public Sans"/>
                <w:sz w:val="22"/>
                <w:szCs w:val="22"/>
                <w:lang w:eastAsia="en-AU"/>
              </w:rPr>
              <w:t xml:space="preserve">. If constructed, the large-scale power station will provide electricity </w:t>
            </w:r>
            <w:r w:rsidR="004667BB" w:rsidRPr="00AC656E">
              <w:rPr>
                <w:rFonts w:ascii="Public Sans" w:eastAsiaTheme="minorEastAsia" w:hAnsi="Public Sans"/>
                <w:sz w:val="22"/>
                <w:szCs w:val="22"/>
                <w:lang w:eastAsia="en-AU"/>
              </w:rPr>
              <w:t>for</w:t>
            </w:r>
            <w:r w:rsidRPr="00AC656E">
              <w:rPr>
                <w:rFonts w:ascii="Public Sans" w:eastAsiaTheme="minorEastAsia" w:hAnsi="Public Sans"/>
                <w:sz w:val="22"/>
                <w:szCs w:val="22"/>
                <w:lang w:eastAsia="en-AU"/>
              </w:rPr>
              <w:t xml:space="preserve"> up to 400,000 households. </w:t>
            </w:r>
          </w:p>
          <w:p w14:paraId="3F39E54B" w14:textId="77777777" w:rsidR="00C514CC" w:rsidRPr="00661DE5" w:rsidRDefault="00C514CC" w:rsidP="00BF5CD0">
            <w:pPr>
              <w:pStyle w:val="Headinginbox"/>
              <w:framePr w:wrap="around"/>
              <w:spacing w:before="20" w:after="20"/>
              <w:rPr>
                <w:rFonts w:eastAsiaTheme="minorEastAsia"/>
              </w:rPr>
            </w:pPr>
            <w:r w:rsidRPr="00661DE5">
              <w:rPr>
                <w:rFonts w:eastAsiaTheme="minorEastAsia"/>
              </w:rPr>
              <w:t>Forestry Corporation of NSW (Forestry Corporation) – wind farm opportunities</w:t>
            </w:r>
          </w:p>
          <w:p w14:paraId="0D1E97D9" w14:textId="77777777" w:rsidR="00085567" w:rsidRPr="003026F3" w:rsidRDefault="00C514CC" w:rsidP="003026F3">
            <w:pPr>
              <w:spacing w:before="80" w:after="80"/>
              <w:rPr>
                <w:rFonts w:ascii="Public Sans" w:eastAsiaTheme="minorEastAsia" w:hAnsi="Public Sans"/>
                <w:sz w:val="22"/>
                <w:szCs w:val="22"/>
                <w:lang w:eastAsia="en-AU"/>
              </w:rPr>
            </w:pPr>
            <w:r w:rsidRPr="003026F3">
              <w:rPr>
                <w:rFonts w:ascii="Public Sans" w:eastAsiaTheme="minorEastAsia" w:hAnsi="Public Sans"/>
                <w:sz w:val="22"/>
                <w:szCs w:val="22"/>
                <w:lang w:eastAsia="en-AU"/>
              </w:rPr>
              <w:t xml:space="preserve">Forestry Corporation is working to identify opportunities to produce renewable energy within the 225,000 hectares of </w:t>
            </w:r>
            <w:proofErr w:type="gramStart"/>
            <w:r w:rsidRPr="003026F3">
              <w:rPr>
                <w:rFonts w:ascii="Public Sans" w:eastAsiaTheme="minorEastAsia" w:hAnsi="Public Sans"/>
                <w:sz w:val="22"/>
                <w:szCs w:val="22"/>
                <w:lang w:eastAsia="en-AU"/>
              </w:rPr>
              <w:t>State forest</w:t>
            </w:r>
            <w:proofErr w:type="gramEnd"/>
            <w:r w:rsidRPr="003026F3">
              <w:rPr>
                <w:rFonts w:ascii="Public Sans" w:eastAsiaTheme="minorEastAsia" w:hAnsi="Public Sans"/>
                <w:sz w:val="22"/>
                <w:szCs w:val="22"/>
                <w:lang w:eastAsia="en-AU"/>
              </w:rPr>
              <w:t xml:space="preserve"> pine plantations. Forestry Corporation has shortlisted renewable energy providers and requested formal proposals to understand if the development opportunities are compatible with forestry activities. </w:t>
            </w:r>
          </w:p>
          <w:p w14:paraId="47710B99" w14:textId="6A70047D" w:rsidR="00A82669" w:rsidRPr="003026F3" w:rsidRDefault="00C514CC" w:rsidP="003026F3">
            <w:pPr>
              <w:spacing w:before="80" w:after="80"/>
              <w:rPr>
                <w:rFonts w:ascii="Public Sans" w:eastAsiaTheme="minorEastAsia" w:hAnsi="Public Sans"/>
                <w:sz w:val="22"/>
                <w:szCs w:val="22"/>
                <w:lang w:eastAsia="en-AU"/>
              </w:rPr>
            </w:pPr>
            <w:r w:rsidRPr="003026F3">
              <w:rPr>
                <w:rFonts w:ascii="Public Sans" w:eastAsiaTheme="minorEastAsia" w:hAnsi="Public Sans"/>
                <w:sz w:val="22"/>
                <w:szCs w:val="22"/>
                <w:lang w:eastAsia="en-AU"/>
              </w:rPr>
              <w:t xml:space="preserve">This </w:t>
            </w:r>
            <w:r w:rsidR="004C7C45" w:rsidRPr="003026F3">
              <w:rPr>
                <w:rFonts w:ascii="Public Sans" w:eastAsiaTheme="minorEastAsia" w:hAnsi="Public Sans"/>
                <w:sz w:val="22"/>
                <w:szCs w:val="22"/>
                <w:lang w:eastAsia="en-AU"/>
              </w:rPr>
              <w:t>initiative</w:t>
            </w:r>
            <w:r w:rsidRPr="003026F3">
              <w:rPr>
                <w:rFonts w:ascii="Public Sans" w:eastAsiaTheme="minorEastAsia" w:hAnsi="Public Sans"/>
                <w:sz w:val="22"/>
                <w:szCs w:val="22"/>
                <w:lang w:eastAsia="en-AU"/>
              </w:rPr>
              <w:t xml:space="preserve"> is consistent with </w:t>
            </w:r>
            <w:proofErr w:type="spellStart"/>
            <w:r w:rsidRPr="003026F3">
              <w:rPr>
                <w:rFonts w:ascii="Public Sans" w:eastAsiaTheme="minorEastAsia" w:hAnsi="Public Sans"/>
                <w:sz w:val="22"/>
                <w:szCs w:val="22"/>
                <w:lang w:eastAsia="en-AU"/>
              </w:rPr>
              <w:t>EnergyCo’s</w:t>
            </w:r>
            <w:proofErr w:type="spellEnd"/>
            <w:r w:rsidRPr="003026F3">
              <w:rPr>
                <w:rFonts w:ascii="Public Sans" w:eastAsiaTheme="minorEastAsia" w:hAnsi="Public Sans"/>
                <w:sz w:val="22"/>
                <w:szCs w:val="22"/>
                <w:lang w:eastAsia="en-AU"/>
              </w:rPr>
              <w:t xml:space="preserve"> 2023 Network Infrastructure Strategy, with some of </w:t>
            </w:r>
            <w:r w:rsidR="00094380" w:rsidRPr="003026F3">
              <w:rPr>
                <w:rFonts w:ascii="Public Sans" w:eastAsiaTheme="minorEastAsia" w:hAnsi="Public Sans"/>
                <w:sz w:val="22"/>
                <w:szCs w:val="22"/>
                <w:lang w:eastAsia="en-AU"/>
              </w:rPr>
              <w:t>the</w:t>
            </w:r>
            <w:r w:rsidRPr="003026F3">
              <w:rPr>
                <w:rFonts w:ascii="Public Sans" w:eastAsiaTheme="minorEastAsia" w:hAnsi="Public Sans"/>
                <w:sz w:val="22"/>
                <w:szCs w:val="22"/>
                <w:lang w:eastAsia="en-AU"/>
              </w:rPr>
              <w:t xml:space="preserve"> potential sites being </w:t>
            </w:r>
            <w:r w:rsidR="001A372B" w:rsidRPr="003026F3">
              <w:rPr>
                <w:rFonts w:ascii="Public Sans" w:eastAsiaTheme="minorEastAsia" w:hAnsi="Public Sans"/>
                <w:sz w:val="22"/>
                <w:szCs w:val="22"/>
                <w:lang w:eastAsia="en-AU"/>
              </w:rPr>
              <w:t>close to</w:t>
            </w:r>
            <w:r w:rsidRPr="003026F3">
              <w:rPr>
                <w:rFonts w:ascii="Public Sans" w:eastAsiaTheme="minorEastAsia" w:hAnsi="Public Sans"/>
                <w:sz w:val="22"/>
                <w:szCs w:val="22"/>
                <w:lang w:eastAsia="en-AU"/>
              </w:rPr>
              <w:t xml:space="preserve"> existing network infrastructure and being able to open opportunities for generation to connect to new parts of the grid which were previously difficult to access. </w:t>
            </w:r>
          </w:p>
          <w:p w14:paraId="546C7B1A" w14:textId="0E964B17" w:rsidR="00C514CC" w:rsidRPr="003026F3" w:rsidRDefault="00C514CC" w:rsidP="003026F3">
            <w:pPr>
              <w:spacing w:before="80" w:after="80"/>
              <w:rPr>
                <w:rFonts w:ascii="Public Sans" w:eastAsiaTheme="minorEastAsia" w:hAnsi="Public Sans"/>
                <w:sz w:val="22"/>
                <w:szCs w:val="22"/>
                <w:lang w:eastAsia="en-AU"/>
              </w:rPr>
            </w:pPr>
            <w:r w:rsidRPr="003026F3">
              <w:rPr>
                <w:rFonts w:ascii="Public Sans" w:eastAsiaTheme="minorEastAsia" w:hAnsi="Public Sans"/>
                <w:sz w:val="22"/>
                <w:szCs w:val="22"/>
                <w:lang w:eastAsia="en-AU"/>
              </w:rPr>
              <w:t xml:space="preserve">The scale, timing and location of this potential generation development could influence the planning and operational parameters of NSW Renewable Energy Zones. EnergyCo will work closely with Forestry Corporation to ensure coordinated development of the two programs </w:t>
            </w:r>
            <w:r w:rsidR="00CF447A" w:rsidRPr="003026F3">
              <w:rPr>
                <w:rFonts w:ascii="Public Sans" w:eastAsiaTheme="minorEastAsia" w:hAnsi="Public Sans"/>
                <w:sz w:val="22"/>
                <w:szCs w:val="22"/>
                <w:lang w:eastAsia="en-AU"/>
              </w:rPr>
              <w:t xml:space="preserve">to achieve </w:t>
            </w:r>
            <w:r w:rsidRPr="003026F3">
              <w:rPr>
                <w:rFonts w:ascii="Public Sans" w:eastAsiaTheme="minorEastAsia" w:hAnsi="Public Sans"/>
                <w:sz w:val="22"/>
                <w:szCs w:val="22"/>
                <w:lang w:eastAsia="en-AU"/>
              </w:rPr>
              <w:t>the best outcome for NSW electricity consumers.</w:t>
            </w:r>
          </w:p>
          <w:p w14:paraId="754CA6F8" w14:textId="14EE08FA" w:rsidR="00E63F87" w:rsidRPr="00661DE5" w:rsidRDefault="005F2BB4" w:rsidP="00BF5CD0">
            <w:pPr>
              <w:pStyle w:val="Headinginbox"/>
              <w:framePr w:wrap="around"/>
              <w:spacing w:before="20" w:after="20"/>
            </w:pPr>
            <w:r w:rsidRPr="00661DE5">
              <w:t xml:space="preserve">Initiatives by </w:t>
            </w:r>
            <w:r w:rsidR="00B74DD3" w:rsidRPr="00661DE5">
              <w:t xml:space="preserve">the </w:t>
            </w:r>
            <w:r w:rsidRPr="00661DE5">
              <w:t>other SOCs</w:t>
            </w:r>
          </w:p>
          <w:p w14:paraId="7F6974D4" w14:textId="44EBF8B3" w:rsidR="00EF4126" w:rsidRPr="003026F3" w:rsidRDefault="00C9359C" w:rsidP="003026F3">
            <w:pPr>
              <w:spacing w:before="80" w:after="80"/>
              <w:rPr>
                <w:rFonts w:ascii="Public Sans" w:eastAsiaTheme="minorEastAsia" w:hAnsi="Public Sans"/>
                <w:sz w:val="22"/>
                <w:szCs w:val="22"/>
                <w:lang w:eastAsia="en-AU"/>
              </w:rPr>
            </w:pPr>
            <w:r w:rsidRPr="003026F3">
              <w:rPr>
                <w:rFonts w:ascii="Public Sans" w:eastAsiaTheme="minorEastAsia" w:hAnsi="Public Sans"/>
                <w:sz w:val="22"/>
                <w:szCs w:val="22"/>
                <w:lang w:eastAsia="en-AU"/>
              </w:rPr>
              <w:t xml:space="preserve">Other SOCs have also commenced identifying renewable energy opportunities as part of their sustainability agenda, </w:t>
            </w:r>
            <w:r w:rsidR="000415BE" w:rsidRPr="003026F3">
              <w:rPr>
                <w:rFonts w:ascii="Public Sans" w:eastAsiaTheme="minorEastAsia" w:hAnsi="Public Sans"/>
                <w:sz w:val="22"/>
                <w:szCs w:val="22"/>
                <w:lang w:eastAsia="en-AU"/>
              </w:rPr>
              <w:t>including:</w:t>
            </w:r>
          </w:p>
          <w:p w14:paraId="36131A9E" w14:textId="0779D050" w:rsidR="000415BE" w:rsidRPr="00AC2D25" w:rsidRDefault="00C9359C" w:rsidP="00AC2D25">
            <w:pPr>
              <w:pStyle w:val="ListParagraph"/>
              <w:numPr>
                <w:ilvl w:val="0"/>
                <w:numId w:val="114"/>
              </w:numPr>
              <w:spacing w:before="60" w:after="60"/>
              <w:ind w:left="284" w:hanging="284"/>
              <w:contextualSpacing w:val="0"/>
              <w:rPr>
                <w:rFonts w:ascii="Public Sans" w:hAnsi="Public Sans"/>
                <w:sz w:val="22"/>
                <w:szCs w:val="22"/>
              </w:rPr>
            </w:pPr>
            <w:r w:rsidRPr="00AC2D25">
              <w:rPr>
                <w:rFonts w:ascii="Public Sans" w:hAnsi="Public Sans"/>
                <w:sz w:val="22"/>
                <w:szCs w:val="22"/>
              </w:rPr>
              <w:t>biogas production by Sydney Water</w:t>
            </w:r>
          </w:p>
          <w:p w14:paraId="2B245051" w14:textId="77777777" w:rsidR="000415BE" w:rsidRPr="00AC2D25" w:rsidRDefault="00C9359C" w:rsidP="00AC2D25">
            <w:pPr>
              <w:pStyle w:val="ListParagraph"/>
              <w:numPr>
                <w:ilvl w:val="0"/>
                <w:numId w:val="114"/>
              </w:numPr>
              <w:spacing w:before="60" w:after="60"/>
              <w:ind w:left="284" w:hanging="284"/>
              <w:contextualSpacing w:val="0"/>
              <w:rPr>
                <w:rFonts w:ascii="Public Sans" w:hAnsi="Public Sans"/>
                <w:sz w:val="22"/>
                <w:szCs w:val="22"/>
              </w:rPr>
            </w:pPr>
            <w:r w:rsidRPr="00AC2D25">
              <w:rPr>
                <w:rFonts w:ascii="Public Sans" w:hAnsi="Public Sans"/>
                <w:sz w:val="22"/>
                <w:szCs w:val="22"/>
              </w:rPr>
              <w:t>shore power by Port Authority of New South Wales (Port Authority)</w:t>
            </w:r>
          </w:p>
          <w:p w14:paraId="7686A1BD" w14:textId="77777777" w:rsidR="000415BE" w:rsidRPr="00AC2D25" w:rsidRDefault="00C9359C" w:rsidP="00AC2D25">
            <w:pPr>
              <w:pStyle w:val="ListParagraph"/>
              <w:numPr>
                <w:ilvl w:val="0"/>
                <w:numId w:val="114"/>
              </w:numPr>
              <w:spacing w:before="60" w:after="60"/>
              <w:ind w:left="284" w:hanging="284"/>
              <w:contextualSpacing w:val="0"/>
              <w:rPr>
                <w:rFonts w:ascii="Public Sans" w:hAnsi="Public Sans"/>
                <w:sz w:val="22"/>
                <w:szCs w:val="22"/>
              </w:rPr>
            </w:pPr>
            <w:r w:rsidRPr="00AC2D25">
              <w:rPr>
                <w:rFonts w:ascii="Public Sans" w:hAnsi="Public Sans"/>
                <w:sz w:val="22"/>
                <w:szCs w:val="22"/>
              </w:rPr>
              <w:t xml:space="preserve">onsite renewable energy systems by Hunter Water and </w:t>
            </w:r>
            <w:proofErr w:type="spellStart"/>
            <w:r w:rsidRPr="00AC2D25">
              <w:rPr>
                <w:rFonts w:ascii="Public Sans" w:hAnsi="Public Sans"/>
                <w:sz w:val="22"/>
                <w:szCs w:val="22"/>
              </w:rPr>
              <w:t>Landcom</w:t>
            </w:r>
            <w:proofErr w:type="spellEnd"/>
          </w:p>
          <w:p w14:paraId="7C541E48" w14:textId="7689BAF1" w:rsidR="00ED285D" w:rsidRPr="00B20179" w:rsidRDefault="00713EFD" w:rsidP="00AC2D25">
            <w:pPr>
              <w:pStyle w:val="ListParagraph"/>
              <w:numPr>
                <w:ilvl w:val="0"/>
                <w:numId w:val="114"/>
              </w:numPr>
              <w:spacing w:before="60" w:after="60"/>
              <w:ind w:left="284" w:hanging="284"/>
              <w:contextualSpacing w:val="0"/>
            </w:pPr>
            <w:r w:rsidRPr="00AC2D25">
              <w:rPr>
                <w:rFonts w:ascii="Public Sans" w:hAnsi="Public Sans"/>
                <w:sz w:val="22"/>
                <w:szCs w:val="22"/>
              </w:rPr>
              <w:t xml:space="preserve">fireproof </w:t>
            </w:r>
            <w:r w:rsidR="00917B1B" w:rsidRPr="00AC2D25">
              <w:rPr>
                <w:rFonts w:ascii="Public Sans" w:hAnsi="Public Sans"/>
                <w:sz w:val="22"/>
                <w:szCs w:val="22"/>
              </w:rPr>
              <w:t>(composite) power poles</w:t>
            </w:r>
            <w:r w:rsidR="00962C90" w:rsidRPr="00AC2D25">
              <w:rPr>
                <w:rFonts w:ascii="Public Sans" w:hAnsi="Public Sans"/>
                <w:sz w:val="22"/>
                <w:szCs w:val="22"/>
              </w:rPr>
              <w:t xml:space="preserve">, </w:t>
            </w:r>
            <w:r w:rsidR="00C9359C" w:rsidRPr="00AC2D25">
              <w:rPr>
                <w:rFonts w:ascii="Public Sans" w:hAnsi="Public Sans"/>
                <w:sz w:val="22"/>
                <w:szCs w:val="22"/>
              </w:rPr>
              <w:t>microgrids, stand-alone power systems, electric vehicles</w:t>
            </w:r>
            <w:r w:rsidR="00467086" w:rsidRPr="00AC2D25">
              <w:rPr>
                <w:rFonts w:ascii="Public Sans" w:hAnsi="Public Sans"/>
                <w:sz w:val="22"/>
                <w:szCs w:val="22"/>
              </w:rPr>
              <w:t>,</w:t>
            </w:r>
            <w:r w:rsidR="00C9359C" w:rsidRPr="00AC2D25">
              <w:rPr>
                <w:rFonts w:ascii="Public Sans" w:hAnsi="Public Sans"/>
                <w:sz w:val="22"/>
                <w:szCs w:val="22"/>
              </w:rPr>
              <w:t xml:space="preserve"> </w:t>
            </w:r>
            <w:proofErr w:type="gramStart"/>
            <w:r w:rsidR="00C9359C" w:rsidRPr="00AC2D25">
              <w:rPr>
                <w:rFonts w:ascii="Public Sans" w:hAnsi="Public Sans"/>
                <w:sz w:val="22"/>
                <w:szCs w:val="22"/>
              </w:rPr>
              <w:t>batteries</w:t>
            </w:r>
            <w:proofErr w:type="gramEnd"/>
            <w:r w:rsidR="00C9359C" w:rsidRPr="00AC2D25">
              <w:rPr>
                <w:rFonts w:ascii="Public Sans" w:hAnsi="Public Sans"/>
                <w:sz w:val="22"/>
                <w:szCs w:val="22"/>
              </w:rPr>
              <w:t xml:space="preserve"> </w:t>
            </w:r>
            <w:r w:rsidR="00467086" w:rsidRPr="00AC2D25">
              <w:rPr>
                <w:rFonts w:ascii="Public Sans" w:hAnsi="Public Sans"/>
                <w:sz w:val="22"/>
                <w:szCs w:val="22"/>
              </w:rPr>
              <w:t xml:space="preserve">and renewable generation network connections </w:t>
            </w:r>
            <w:r w:rsidR="00C9359C" w:rsidRPr="00AC2D25">
              <w:rPr>
                <w:rFonts w:ascii="Public Sans" w:hAnsi="Public Sans"/>
                <w:sz w:val="22"/>
                <w:szCs w:val="22"/>
              </w:rPr>
              <w:t>by Essential Energy.</w:t>
            </w:r>
          </w:p>
        </w:tc>
      </w:tr>
    </w:tbl>
    <w:p w14:paraId="1A447883" w14:textId="133C42A5" w:rsidR="000E51E8" w:rsidRPr="00BF5CD0" w:rsidRDefault="0043042E" w:rsidP="0043042E">
      <w:pPr>
        <w:rPr>
          <w:sz w:val="2"/>
          <w:szCs w:val="2"/>
        </w:rPr>
      </w:pPr>
      <w:r w:rsidRPr="00BF5CD0">
        <w:rPr>
          <w:sz w:val="2"/>
          <w:szCs w:val="2"/>
        </w:rPr>
        <w:br w:type="page"/>
      </w:r>
    </w:p>
    <w:p w14:paraId="464A1371" w14:textId="5DDA6610" w:rsidR="00477340" w:rsidRPr="00477340" w:rsidRDefault="00477340" w:rsidP="009C2442">
      <w:pPr>
        <w:pStyle w:val="Heading3"/>
      </w:pPr>
      <w:r w:rsidRPr="00477340">
        <w:lastRenderedPageBreak/>
        <w:t>Transport</w:t>
      </w:r>
    </w:p>
    <w:p w14:paraId="0099763C" w14:textId="50E465DA" w:rsidR="00370437" w:rsidRPr="00BF7AA4" w:rsidRDefault="00477340" w:rsidP="004A35EE">
      <w:pPr>
        <w:pStyle w:val="Heading5"/>
        <w:rPr>
          <w:lang w:val="en-US"/>
        </w:rPr>
      </w:pPr>
      <w:r w:rsidRPr="001C7532">
        <w:rPr>
          <w:lang w:val="en-US"/>
        </w:rPr>
        <w:t>Transport Asset Holding Entity of NSW (TAHE)</w:t>
      </w:r>
      <w:r w:rsidRPr="00BF7AA4">
        <w:rPr>
          <w:lang w:val="en-US"/>
        </w:rPr>
        <w:t xml:space="preserve"> </w:t>
      </w:r>
    </w:p>
    <w:p w14:paraId="22D8B776" w14:textId="56DE1577" w:rsidR="00477340" w:rsidRPr="00477340" w:rsidRDefault="00370437" w:rsidP="00F83A51">
      <w:pPr>
        <w:pStyle w:val="BodyText"/>
      </w:pPr>
      <w:r w:rsidRPr="001C7532">
        <w:t xml:space="preserve">TAHE </w:t>
      </w:r>
      <w:r w:rsidR="00477340" w:rsidRPr="001C7532">
        <w:t>owns an extensive asset portfolio of property, stations, rollingstock and rail infrastructure across the Sydney metropolitan area, the country regional network and other limited locations in New South Wales. TAHE is also the strategic asset manager of these assets.</w:t>
      </w:r>
    </w:p>
    <w:p w14:paraId="33B906DE" w14:textId="1F101399" w:rsidR="00DD7D57" w:rsidRPr="002D0D2E" w:rsidRDefault="003D4B18" w:rsidP="00F83A51">
      <w:pPr>
        <w:pStyle w:val="BodyText"/>
      </w:pPr>
      <w:r w:rsidRPr="001C7532">
        <w:t>TAHE will transition from its current operating model as a statutory SOC with a commercial imperative to a non-commercial PNFC. T</w:t>
      </w:r>
      <w:r w:rsidR="00003222">
        <w:t>AHE’s new operating model will be implemented</w:t>
      </w:r>
      <w:r w:rsidRPr="001C7532">
        <w:t xml:space="preserve"> under a phased approach over the next 12 months. As part of the transition, the Government </w:t>
      </w:r>
      <w:r w:rsidR="00C23F0E">
        <w:t xml:space="preserve">will no longer require TAHE </w:t>
      </w:r>
      <w:r w:rsidRPr="001C7532">
        <w:t>to provide returns to Government in the form of dividends and income tax equivalents from 2023-24 onwards.</w:t>
      </w:r>
    </w:p>
    <w:p w14:paraId="470C1215" w14:textId="66CF2486" w:rsidR="00A86279" w:rsidRPr="0042559B" w:rsidRDefault="00477340" w:rsidP="0089175D">
      <w:pPr>
        <w:pStyle w:val="Heading5"/>
        <w:rPr>
          <w:lang w:val="en-US"/>
        </w:rPr>
      </w:pPr>
      <w:r w:rsidRPr="0042559B">
        <w:rPr>
          <w:lang w:val="en-US"/>
        </w:rPr>
        <w:t xml:space="preserve">Port Authority </w:t>
      </w:r>
    </w:p>
    <w:p w14:paraId="5D10D7EB" w14:textId="77777777" w:rsidR="00BC2326" w:rsidRDefault="00A86279" w:rsidP="00F83A51">
      <w:pPr>
        <w:pStyle w:val="BodyText"/>
        <w:rPr>
          <w:rFonts w:eastAsiaTheme="minorEastAsia"/>
          <w:szCs w:val="23"/>
          <w:lang w:eastAsia="en-AU"/>
        </w:rPr>
      </w:pPr>
      <w:r>
        <w:t xml:space="preserve">Port Authority </w:t>
      </w:r>
      <w:r w:rsidR="00477340" w:rsidRPr="00477340">
        <w:t xml:space="preserve">is responsible for all commercial marine functions in the ports of Sydney </w:t>
      </w:r>
      <w:proofErr w:type="spellStart"/>
      <w:r w:rsidR="00477340" w:rsidRPr="00477340">
        <w:t>Harbour</w:t>
      </w:r>
      <w:proofErr w:type="spellEnd"/>
      <w:r w:rsidR="00477340" w:rsidRPr="00477340">
        <w:t xml:space="preserve">, Port Botany, Newcastle </w:t>
      </w:r>
      <w:proofErr w:type="spellStart"/>
      <w:r w:rsidR="00477340" w:rsidRPr="00477340">
        <w:t>Harbour</w:t>
      </w:r>
      <w:proofErr w:type="spellEnd"/>
      <w:r w:rsidR="00477340" w:rsidRPr="00477340">
        <w:t xml:space="preserve">, Port Kembla, Port of </w:t>
      </w:r>
      <w:proofErr w:type="gramStart"/>
      <w:r w:rsidR="00477340" w:rsidRPr="00477340">
        <w:t>Eden</w:t>
      </w:r>
      <w:proofErr w:type="gramEnd"/>
      <w:r w:rsidR="00477340" w:rsidRPr="00477340">
        <w:t xml:space="preserve"> and Port of </w:t>
      </w:r>
      <w:proofErr w:type="spellStart"/>
      <w:r w:rsidR="00477340" w:rsidRPr="00477340">
        <w:t>Yamba</w:t>
      </w:r>
      <w:proofErr w:type="spellEnd"/>
      <w:r w:rsidR="00477340" w:rsidRPr="00477340">
        <w:t>.</w:t>
      </w:r>
    </w:p>
    <w:p w14:paraId="7F0FCA04" w14:textId="5EE3E7D4" w:rsidR="00794B1E" w:rsidRDefault="00477340" w:rsidP="00F83A51">
      <w:pPr>
        <w:pStyle w:val="BodyText"/>
        <w:rPr>
          <w:rFonts w:eastAsiaTheme="minorEastAsia"/>
          <w:lang w:eastAsia="en-AU"/>
        </w:rPr>
      </w:pPr>
      <w:r w:rsidRPr="00477340">
        <w:rPr>
          <w:rFonts w:eastAsiaTheme="minorEastAsia"/>
          <w:lang w:eastAsia="en-AU"/>
        </w:rPr>
        <w:t xml:space="preserve">Demand for cruises in </w:t>
      </w:r>
      <w:r w:rsidR="006052EA">
        <w:rPr>
          <w:rFonts w:eastAsiaTheme="minorEastAsia"/>
          <w:lang w:eastAsia="en-AU"/>
        </w:rPr>
        <w:t>2023-24</w:t>
      </w:r>
      <w:r w:rsidRPr="00477340">
        <w:rPr>
          <w:rFonts w:eastAsiaTheme="minorEastAsia"/>
          <w:lang w:eastAsia="en-AU"/>
        </w:rPr>
        <w:t xml:space="preserve"> is expected to remain </w:t>
      </w:r>
      <w:r w:rsidR="00FC391E">
        <w:rPr>
          <w:rFonts w:eastAsiaTheme="minorEastAsia"/>
          <w:lang w:eastAsia="en-AU"/>
        </w:rPr>
        <w:t>strong</w:t>
      </w:r>
      <w:r w:rsidR="00F504CF">
        <w:rPr>
          <w:rFonts w:eastAsiaTheme="minorEastAsia"/>
          <w:lang w:eastAsia="en-AU"/>
        </w:rPr>
        <w:t xml:space="preserve"> </w:t>
      </w:r>
      <w:r w:rsidRPr="00477340">
        <w:rPr>
          <w:rFonts w:eastAsiaTheme="minorEastAsia"/>
          <w:lang w:eastAsia="en-AU"/>
        </w:rPr>
        <w:t>which will facilitate sustainable tourism in N</w:t>
      </w:r>
      <w:r w:rsidR="00825E05">
        <w:rPr>
          <w:rFonts w:eastAsiaTheme="minorEastAsia"/>
          <w:lang w:eastAsia="en-AU"/>
        </w:rPr>
        <w:t xml:space="preserve">ew </w:t>
      </w:r>
      <w:r w:rsidRPr="00477340">
        <w:rPr>
          <w:rFonts w:eastAsiaTheme="minorEastAsia"/>
          <w:lang w:eastAsia="en-AU"/>
        </w:rPr>
        <w:t>S</w:t>
      </w:r>
      <w:r w:rsidR="00825E05">
        <w:rPr>
          <w:rFonts w:eastAsiaTheme="minorEastAsia"/>
          <w:lang w:eastAsia="en-AU"/>
        </w:rPr>
        <w:t xml:space="preserve">outh </w:t>
      </w:r>
      <w:r w:rsidRPr="00477340">
        <w:rPr>
          <w:rFonts w:eastAsiaTheme="minorEastAsia"/>
          <w:lang w:eastAsia="en-AU"/>
        </w:rPr>
        <w:t>W</w:t>
      </w:r>
      <w:r w:rsidR="00825E05">
        <w:rPr>
          <w:rFonts w:eastAsiaTheme="minorEastAsia"/>
          <w:lang w:eastAsia="en-AU"/>
        </w:rPr>
        <w:t>ales</w:t>
      </w:r>
      <w:r w:rsidRPr="00477340">
        <w:rPr>
          <w:rFonts w:eastAsiaTheme="minorEastAsia"/>
          <w:lang w:eastAsia="en-AU"/>
        </w:rPr>
        <w:t xml:space="preserve">. Port Authority will </w:t>
      </w:r>
      <w:r w:rsidR="00A8435B">
        <w:rPr>
          <w:rFonts w:eastAsiaTheme="minorEastAsia"/>
          <w:lang w:eastAsia="en-AU"/>
        </w:rPr>
        <w:t>invest $43.</w:t>
      </w:r>
      <w:r w:rsidR="00CD3F81">
        <w:rPr>
          <w:rFonts w:eastAsiaTheme="minorEastAsia"/>
          <w:lang w:eastAsia="en-AU"/>
        </w:rPr>
        <w:t xml:space="preserve">3 million over </w:t>
      </w:r>
      <w:r w:rsidR="00916E46">
        <w:rPr>
          <w:rFonts w:eastAsiaTheme="minorEastAsia"/>
          <w:lang w:eastAsia="en-AU"/>
        </w:rPr>
        <w:t xml:space="preserve">the </w:t>
      </w:r>
      <w:r w:rsidR="00CD3F81">
        <w:rPr>
          <w:rFonts w:eastAsiaTheme="minorEastAsia"/>
          <w:lang w:eastAsia="en-AU"/>
        </w:rPr>
        <w:t xml:space="preserve">10 years </w:t>
      </w:r>
      <w:r w:rsidR="00916E46">
        <w:rPr>
          <w:rFonts w:eastAsiaTheme="minorEastAsia"/>
          <w:lang w:eastAsia="en-AU"/>
        </w:rPr>
        <w:t xml:space="preserve">from </w:t>
      </w:r>
      <w:r w:rsidR="0074034F">
        <w:rPr>
          <w:rFonts w:eastAsiaTheme="minorEastAsia"/>
          <w:lang w:eastAsia="en-AU"/>
        </w:rPr>
        <w:t xml:space="preserve">2023-24 to 2032-33 </w:t>
      </w:r>
      <w:r w:rsidRPr="00477340">
        <w:rPr>
          <w:rFonts w:eastAsiaTheme="minorEastAsia"/>
          <w:lang w:eastAsia="en-AU"/>
        </w:rPr>
        <w:t xml:space="preserve">in key cruise infrastructure assets </w:t>
      </w:r>
      <w:r w:rsidR="00DE73E1" w:rsidRPr="00F758BA">
        <w:rPr>
          <w:rFonts w:eastAsiaTheme="minorEastAsia"/>
          <w:lang w:eastAsia="en-AU"/>
        </w:rPr>
        <w:t>to improve customer experience</w:t>
      </w:r>
      <w:r w:rsidR="00DE73E1">
        <w:rPr>
          <w:rFonts w:eastAsiaTheme="minorEastAsia"/>
          <w:lang w:eastAsia="en-AU"/>
        </w:rPr>
        <w:t>,</w:t>
      </w:r>
      <w:r w:rsidRPr="00477340">
        <w:rPr>
          <w:rFonts w:eastAsiaTheme="minorEastAsia"/>
          <w:lang w:eastAsia="en-AU"/>
        </w:rPr>
        <w:t xml:space="preserve"> including upgrades to the Overseas Passenger Terminal and the White Bay Cruise Terminal</w:t>
      </w:r>
      <w:r w:rsidR="00F758BA" w:rsidRPr="00F758BA">
        <w:rPr>
          <w:rFonts w:eastAsiaTheme="minorEastAsia"/>
          <w:lang w:eastAsia="en-AU"/>
        </w:rPr>
        <w:t>.</w:t>
      </w:r>
    </w:p>
    <w:p w14:paraId="77CFF455" w14:textId="5F39249A" w:rsidR="001871BD" w:rsidRDefault="007C5B64" w:rsidP="00F83A51">
      <w:pPr>
        <w:pStyle w:val="BodyText"/>
        <w:rPr>
          <w:rFonts w:eastAsiaTheme="minorEastAsia"/>
          <w:highlight w:val="yellow"/>
          <w:lang w:eastAsia="en-AU"/>
        </w:rPr>
      </w:pPr>
      <w:r>
        <w:rPr>
          <w:rFonts w:eastAsiaTheme="minorEastAsia"/>
          <w:lang w:eastAsia="en-AU"/>
        </w:rPr>
        <w:t>The terminal capacity for c</w:t>
      </w:r>
      <w:r w:rsidR="001871BD" w:rsidRPr="001871BD">
        <w:rPr>
          <w:rFonts w:eastAsiaTheme="minorEastAsia"/>
          <w:lang w:eastAsia="en-AU"/>
        </w:rPr>
        <w:t>ruise ship</w:t>
      </w:r>
      <w:r>
        <w:rPr>
          <w:rFonts w:eastAsiaTheme="minorEastAsia"/>
          <w:lang w:eastAsia="en-AU"/>
        </w:rPr>
        <w:t>s</w:t>
      </w:r>
      <w:r w:rsidR="001871BD" w:rsidRPr="001871BD">
        <w:rPr>
          <w:rFonts w:eastAsiaTheme="minorEastAsia"/>
          <w:lang w:eastAsia="en-AU"/>
        </w:rPr>
        <w:t xml:space="preserve"> in Sydney </w:t>
      </w:r>
      <w:proofErr w:type="spellStart"/>
      <w:r w:rsidR="001871BD" w:rsidRPr="001871BD">
        <w:rPr>
          <w:rFonts w:eastAsiaTheme="minorEastAsia"/>
          <w:lang w:eastAsia="en-AU"/>
        </w:rPr>
        <w:t>Harbour</w:t>
      </w:r>
      <w:proofErr w:type="spellEnd"/>
      <w:r w:rsidR="001871BD" w:rsidRPr="001871BD">
        <w:rPr>
          <w:rFonts w:eastAsiaTheme="minorEastAsia"/>
          <w:lang w:eastAsia="en-AU"/>
        </w:rPr>
        <w:t xml:space="preserve"> is becoming constrained and Port Authority is examining options to i</w:t>
      </w:r>
      <w:r w:rsidR="00A705FB">
        <w:rPr>
          <w:rFonts w:eastAsiaTheme="minorEastAsia"/>
          <w:lang w:eastAsia="en-AU"/>
        </w:rPr>
        <w:t>mprove the</w:t>
      </w:r>
      <w:r w:rsidR="001871BD" w:rsidRPr="001871BD">
        <w:rPr>
          <w:rFonts w:eastAsiaTheme="minorEastAsia"/>
          <w:lang w:eastAsia="en-AU"/>
        </w:rPr>
        <w:t xml:space="preserve"> capacity. </w:t>
      </w:r>
    </w:p>
    <w:p w14:paraId="55192248" w14:textId="5F580130" w:rsidR="00B53A0F" w:rsidRPr="00477340" w:rsidRDefault="00B53A0F" w:rsidP="00F83A51">
      <w:pPr>
        <w:pStyle w:val="BodyText"/>
        <w:rPr>
          <w:rFonts w:eastAsiaTheme="minorEastAsia"/>
          <w:lang w:eastAsia="en-AU"/>
        </w:rPr>
      </w:pPr>
      <w:r w:rsidRPr="00477340">
        <w:rPr>
          <w:rFonts w:eastAsiaTheme="minorEastAsia"/>
          <w:lang w:eastAsia="en-AU"/>
        </w:rPr>
        <w:t xml:space="preserve">Port Authority is leading the development of </w:t>
      </w:r>
      <w:r w:rsidR="00DE73E1">
        <w:rPr>
          <w:rFonts w:eastAsiaTheme="minorEastAsia"/>
          <w:lang w:eastAsia="en-AU"/>
        </w:rPr>
        <w:t>the</w:t>
      </w:r>
      <w:r w:rsidRPr="00477340">
        <w:rPr>
          <w:rFonts w:eastAsiaTheme="minorEastAsia"/>
          <w:lang w:eastAsia="en-AU"/>
        </w:rPr>
        <w:t xml:space="preserve"> Bays Port Integration and Innovation Plan</w:t>
      </w:r>
      <w:r>
        <w:rPr>
          <w:rFonts w:eastAsiaTheme="minorEastAsia"/>
          <w:lang w:eastAsia="en-AU"/>
        </w:rPr>
        <w:t xml:space="preserve"> </w:t>
      </w:r>
      <w:r w:rsidR="00E63563">
        <w:rPr>
          <w:rFonts w:eastAsiaTheme="minorEastAsia"/>
          <w:lang w:eastAsia="en-AU"/>
        </w:rPr>
        <w:t>which wil</w:t>
      </w:r>
      <w:r w:rsidR="00BA2B4E">
        <w:rPr>
          <w:rFonts w:eastAsiaTheme="minorEastAsia"/>
          <w:lang w:eastAsia="en-AU"/>
        </w:rPr>
        <w:t>l</w:t>
      </w:r>
      <w:r>
        <w:rPr>
          <w:rFonts w:eastAsiaTheme="minorEastAsia"/>
          <w:lang w:eastAsia="en-AU"/>
        </w:rPr>
        <w:t xml:space="preserve"> provide </w:t>
      </w:r>
      <w:r w:rsidRPr="00477340">
        <w:rPr>
          <w:rFonts w:eastAsiaTheme="minorEastAsia"/>
          <w:lang w:eastAsia="en-AU"/>
        </w:rPr>
        <w:t>a long-term vision for Bays Port</w:t>
      </w:r>
      <w:r>
        <w:rPr>
          <w:rFonts w:eastAsiaTheme="minorEastAsia"/>
          <w:lang w:eastAsia="en-AU"/>
        </w:rPr>
        <w:t xml:space="preserve">. The plan will </w:t>
      </w:r>
      <w:r w:rsidRPr="00477340">
        <w:rPr>
          <w:rFonts w:eastAsiaTheme="minorEastAsia"/>
          <w:lang w:eastAsia="en-AU"/>
        </w:rPr>
        <w:t xml:space="preserve">identify opportunities </w:t>
      </w:r>
      <w:r>
        <w:rPr>
          <w:rFonts w:eastAsiaTheme="minorEastAsia"/>
          <w:lang w:eastAsia="en-AU"/>
        </w:rPr>
        <w:t>for</w:t>
      </w:r>
      <w:r w:rsidRPr="00477340">
        <w:rPr>
          <w:rFonts w:eastAsiaTheme="minorEastAsia"/>
          <w:lang w:eastAsia="en-AU"/>
        </w:rPr>
        <w:t xml:space="preserve"> increas</w:t>
      </w:r>
      <w:r>
        <w:rPr>
          <w:rFonts w:eastAsiaTheme="minorEastAsia"/>
          <w:lang w:eastAsia="en-AU"/>
        </w:rPr>
        <w:t>ing</w:t>
      </w:r>
      <w:r w:rsidRPr="00477340">
        <w:rPr>
          <w:rFonts w:eastAsiaTheme="minorEastAsia"/>
          <w:lang w:eastAsia="en-AU"/>
        </w:rPr>
        <w:t xml:space="preserve"> the </w:t>
      </w:r>
      <w:proofErr w:type="spellStart"/>
      <w:r w:rsidRPr="00477340">
        <w:rPr>
          <w:rFonts w:eastAsiaTheme="minorEastAsia"/>
          <w:lang w:eastAsia="en-AU"/>
        </w:rPr>
        <w:t>utilisation</w:t>
      </w:r>
      <w:proofErr w:type="spellEnd"/>
      <w:r w:rsidRPr="00477340">
        <w:rPr>
          <w:rFonts w:eastAsiaTheme="minorEastAsia"/>
          <w:lang w:eastAsia="en-AU"/>
        </w:rPr>
        <w:t xml:space="preserve"> of the port, introduc</w:t>
      </w:r>
      <w:r>
        <w:rPr>
          <w:rFonts w:eastAsiaTheme="minorEastAsia"/>
          <w:lang w:eastAsia="en-AU"/>
        </w:rPr>
        <w:t>ing</w:t>
      </w:r>
      <w:r w:rsidRPr="00477340">
        <w:rPr>
          <w:rFonts w:eastAsiaTheme="minorEastAsia"/>
          <w:lang w:eastAsia="en-AU"/>
        </w:rPr>
        <w:t xml:space="preserve"> new </w:t>
      </w:r>
      <w:proofErr w:type="gramStart"/>
      <w:r w:rsidRPr="00477340">
        <w:rPr>
          <w:rFonts w:eastAsiaTheme="minorEastAsia"/>
          <w:lang w:eastAsia="en-AU"/>
        </w:rPr>
        <w:t>uses</w:t>
      </w:r>
      <w:proofErr w:type="gramEnd"/>
      <w:r w:rsidRPr="00477340">
        <w:rPr>
          <w:rFonts w:eastAsiaTheme="minorEastAsia"/>
          <w:lang w:eastAsia="en-AU"/>
        </w:rPr>
        <w:t xml:space="preserve"> and subsequently support</w:t>
      </w:r>
      <w:r>
        <w:rPr>
          <w:rFonts w:eastAsiaTheme="minorEastAsia"/>
          <w:lang w:eastAsia="en-AU"/>
        </w:rPr>
        <w:t>ing</w:t>
      </w:r>
      <w:r w:rsidRPr="00477340">
        <w:rPr>
          <w:rFonts w:eastAsiaTheme="minorEastAsia"/>
          <w:lang w:eastAsia="en-AU"/>
        </w:rPr>
        <w:t xml:space="preserve"> an efficient and sustainable city. The </w:t>
      </w:r>
      <w:r>
        <w:rPr>
          <w:rFonts w:eastAsiaTheme="minorEastAsia"/>
          <w:lang w:eastAsia="en-AU"/>
        </w:rPr>
        <w:t>development</w:t>
      </w:r>
      <w:r w:rsidRPr="00477340">
        <w:rPr>
          <w:rFonts w:eastAsiaTheme="minorEastAsia"/>
          <w:lang w:eastAsia="en-AU"/>
        </w:rPr>
        <w:t xml:space="preserve"> </w:t>
      </w:r>
      <w:r w:rsidR="00570701">
        <w:rPr>
          <w:rFonts w:eastAsiaTheme="minorEastAsia"/>
          <w:lang w:eastAsia="en-AU"/>
        </w:rPr>
        <w:t xml:space="preserve">of this plan </w:t>
      </w:r>
      <w:r w:rsidRPr="00477340">
        <w:rPr>
          <w:rFonts w:eastAsiaTheme="minorEastAsia"/>
          <w:lang w:eastAsia="en-AU"/>
        </w:rPr>
        <w:t xml:space="preserve">commenced in </w:t>
      </w:r>
      <w:r>
        <w:rPr>
          <w:rFonts w:eastAsiaTheme="minorEastAsia"/>
          <w:lang w:eastAsia="en-AU"/>
        </w:rPr>
        <w:t>2022-23</w:t>
      </w:r>
      <w:r w:rsidRPr="00477340">
        <w:rPr>
          <w:rFonts w:eastAsiaTheme="minorEastAsia"/>
          <w:lang w:eastAsia="en-AU"/>
        </w:rPr>
        <w:t xml:space="preserve"> and will conclude in</w:t>
      </w:r>
      <w:r>
        <w:rPr>
          <w:rFonts w:eastAsiaTheme="minorEastAsia"/>
          <w:lang w:eastAsia="en-AU"/>
        </w:rPr>
        <w:t xml:space="preserve"> 2023-24.</w:t>
      </w:r>
      <w:r w:rsidRPr="00477340">
        <w:rPr>
          <w:rFonts w:eastAsiaTheme="minorEastAsia"/>
          <w:lang w:eastAsia="en-AU"/>
        </w:rPr>
        <w:t xml:space="preserve"> </w:t>
      </w:r>
    </w:p>
    <w:p w14:paraId="1C70F236" w14:textId="1BC60446" w:rsidR="00477340" w:rsidRPr="00477340" w:rsidRDefault="00477340" w:rsidP="009C2442">
      <w:pPr>
        <w:pStyle w:val="Heading3"/>
      </w:pPr>
      <w:r w:rsidRPr="00477340">
        <w:t>Property</w:t>
      </w:r>
    </w:p>
    <w:p w14:paraId="7D3F0B97" w14:textId="3CF79707" w:rsidR="00477340" w:rsidRPr="000C502F" w:rsidRDefault="00971207" w:rsidP="00F83A51">
      <w:pPr>
        <w:pStyle w:val="BodyText"/>
      </w:pPr>
      <w:proofErr w:type="spellStart"/>
      <w:r w:rsidRPr="00971207">
        <w:t>Landcom</w:t>
      </w:r>
      <w:proofErr w:type="spellEnd"/>
      <w:r w:rsidRPr="00971207">
        <w:t xml:space="preserve"> is the </w:t>
      </w:r>
      <w:r w:rsidR="00DE73E1">
        <w:t>State</w:t>
      </w:r>
      <w:r w:rsidR="00DE73E1" w:rsidRPr="00971207">
        <w:t xml:space="preserve">’s </w:t>
      </w:r>
      <w:r w:rsidRPr="00971207">
        <w:t xml:space="preserve">land and property development </w:t>
      </w:r>
      <w:proofErr w:type="spellStart"/>
      <w:r w:rsidRPr="00971207">
        <w:t>organisation</w:t>
      </w:r>
      <w:proofErr w:type="spellEnd"/>
      <w:r w:rsidRPr="00971207">
        <w:t xml:space="preserve"> that develops land to achieve both public outcomes and financial benefits for the </w:t>
      </w:r>
      <w:r w:rsidR="004808C4">
        <w:t>State</w:t>
      </w:r>
      <w:r w:rsidRPr="00971207">
        <w:t xml:space="preserve"> and people of N</w:t>
      </w:r>
      <w:r w:rsidR="00CB4312">
        <w:t>ew South Wales</w:t>
      </w:r>
      <w:r w:rsidRPr="00971207">
        <w:t xml:space="preserve">. </w:t>
      </w:r>
      <w:proofErr w:type="spellStart"/>
      <w:r w:rsidR="005D703D" w:rsidRPr="005D703D">
        <w:rPr>
          <w:rFonts w:eastAsiaTheme="minorEastAsia"/>
          <w:szCs w:val="23"/>
          <w:lang w:eastAsia="en-AU"/>
        </w:rPr>
        <w:t>Landcom</w:t>
      </w:r>
      <w:proofErr w:type="spellEnd"/>
      <w:r w:rsidR="005D703D" w:rsidRPr="005D703D">
        <w:rPr>
          <w:rFonts w:eastAsiaTheme="minorEastAsia"/>
          <w:szCs w:val="23"/>
          <w:lang w:eastAsia="en-AU"/>
        </w:rPr>
        <w:t xml:space="preserve"> supplies new dwellings through the delivery of master-planned communities and development projects, with a focus on expanding the stock of affordable and diverse housing.</w:t>
      </w:r>
    </w:p>
    <w:p w14:paraId="7EB936BA" w14:textId="70B2328E" w:rsidR="00FB7A68" w:rsidRPr="0005229E" w:rsidRDefault="00563714" w:rsidP="00F83A51">
      <w:pPr>
        <w:pStyle w:val="BodyText"/>
      </w:pPr>
      <w:proofErr w:type="spellStart"/>
      <w:r w:rsidRPr="00563714">
        <w:t>Landcom</w:t>
      </w:r>
      <w:proofErr w:type="spellEnd"/>
      <w:r w:rsidRPr="00563714">
        <w:t xml:space="preserve"> </w:t>
      </w:r>
      <w:r w:rsidR="0061723E">
        <w:t xml:space="preserve">settled </w:t>
      </w:r>
      <w:r w:rsidR="0061723E" w:rsidRPr="00563714">
        <w:t>2,313 dwellings in 2022-23</w:t>
      </w:r>
      <w:r w:rsidR="0061723E">
        <w:t xml:space="preserve"> and </w:t>
      </w:r>
      <w:r>
        <w:t>projec</w:t>
      </w:r>
      <w:r w:rsidR="000639EF">
        <w:t>ts</w:t>
      </w:r>
      <w:r>
        <w:t xml:space="preserve"> </w:t>
      </w:r>
      <w:r w:rsidRPr="00563714">
        <w:t>to settle 3,581 dwellings in 2023</w:t>
      </w:r>
      <w:r w:rsidR="00CE6AEF">
        <w:noBreakHyphen/>
      </w:r>
      <w:r w:rsidRPr="00563714">
        <w:t>24. Th</w:t>
      </w:r>
      <w:r w:rsidR="00D04F80">
        <w:t>e</w:t>
      </w:r>
      <w:r w:rsidRPr="00563714">
        <w:t xml:space="preserve"> settlements</w:t>
      </w:r>
      <w:r w:rsidR="00D04F80">
        <w:t xml:space="preserve"> in 2023-24 </w:t>
      </w:r>
      <w:r w:rsidR="00AC7479">
        <w:t>include the first settlements</w:t>
      </w:r>
      <w:r w:rsidR="00892BB2">
        <w:t xml:space="preserve"> </w:t>
      </w:r>
      <w:r w:rsidR="00B57709">
        <w:t>of 16</w:t>
      </w:r>
      <w:r w:rsidR="00BE5C82">
        <w:t>1</w:t>
      </w:r>
      <w:r w:rsidR="00C63157">
        <w:t xml:space="preserve"> dwellings</w:t>
      </w:r>
      <w:r w:rsidR="001261ED">
        <w:t xml:space="preserve"> at</w:t>
      </w:r>
      <w:r w:rsidR="00AC7479">
        <w:t xml:space="preserve"> </w:t>
      </w:r>
      <w:proofErr w:type="spellStart"/>
      <w:r w:rsidR="00AC7479">
        <w:t>Landcom’s</w:t>
      </w:r>
      <w:proofErr w:type="spellEnd"/>
      <w:r w:rsidRPr="00563714">
        <w:t xml:space="preserve"> </w:t>
      </w:r>
      <w:r w:rsidR="00A23473">
        <w:t>P</w:t>
      </w:r>
      <w:r w:rsidRPr="00563714">
        <w:t>anorama project in North Wilton</w:t>
      </w:r>
      <w:r w:rsidR="00A4507D">
        <w:t xml:space="preserve">. The North Wilton </w:t>
      </w:r>
      <w:r w:rsidR="005F1876">
        <w:t xml:space="preserve">project </w:t>
      </w:r>
      <w:r w:rsidR="007E390B">
        <w:t xml:space="preserve">is on an </w:t>
      </w:r>
      <w:r w:rsidR="005F1876" w:rsidRPr="00563714">
        <w:t>871</w:t>
      </w:r>
      <w:r w:rsidR="0049628C">
        <w:t xml:space="preserve">-hectare site and </w:t>
      </w:r>
      <w:r w:rsidR="00822CD1">
        <w:t>is expected to</w:t>
      </w:r>
      <w:r w:rsidR="0049628C">
        <w:t xml:space="preserve"> deliver</w:t>
      </w:r>
      <w:r w:rsidRPr="00563714">
        <w:t xml:space="preserve"> over 5,000 dwellings over </w:t>
      </w:r>
      <w:r w:rsidR="00BE5C82">
        <w:t>the</w:t>
      </w:r>
      <w:r w:rsidR="006760C9">
        <w:t xml:space="preserve"> next 25 years.</w:t>
      </w:r>
      <w:r w:rsidR="001323E0">
        <w:t xml:space="preserve"> </w:t>
      </w:r>
    </w:p>
    <w:p w14:paraId="4C73D8A2" w14:textId="77777777" w:rsidR="00787E2D" w:rsidRDefault="00787E2D">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3: Landcom accelerates the supply of affordable housing "/>
        <w:tblDescription w:val="Box 7.3: Landcom accelerates the supply of affordable housing "/>
      </w:tblPr>
      <w:tblGrid>
        <w:gridCol w:w="9637"/>
      </w:tblGrid>
      <w:tr w:rsidR="00477340" w:rsidRPr="00477340" w14:paraId="62B1B4E1" w14:textId="77777777" w:rsidTr="002C1300">
        <w:trPr>
          <w:trHeight w:val="720"/>
        </w:trPr>
        <w:tc>
          <w:tcPr>
            <w:tcW w:w="9637" w:type="dxa"/>
            <w:shd w:val="pct5" w:color="auto" w:fill="auto"/>
          </w:tcPr>
          <w:p w14:paraId="76ACA766" w14:textId="1EDC5045" w:rsidR="00477340" w:rsidRPr="00A121CC" w:rsidRDefault="00BD2E80" w:rsidP="00787E2D">
            <w:pPr>
              <w:pStyle w:val="Box7XBoxHeading"/>
            </w:pPr>
            <w:proofErr w:type="spellStart"/>
            <w:r>
              <w:lastRenderedPageBreak/>
              <w:t>Landcom</w:t>
            </w:r>
            <w:proofErr w:type="spellEnd"/>
            <w:r>
              <w:t xml:space="preserve"> </w:t>
            </w:r>
            <w:r w:rsidR="00FC5103">
              <w:t xml:space="preserve">accelerates the supply of </w:t>
            </w:r>
            <w:r w:rsidR="00A121CC">
              <w:t>a</w:t>
            </w:r>
            <w:r w:rsidR="00477340" w:rsidRPr="00A121CC">
              <w:t xml:space="preserve">ffordable </w:t>
            </w:r>
            <w:proofErr w:type="gramStart"/>
            <w:r w:rsidR="00A121CC">
              <w:t>h</w:t>
            </w:r>
            <w:r w:rsidR="00477340" w:rsidRPr="00A121CC">
              <w:t>ousing</w:t>
            </w:r>
            <w:proofErr w:type="gramEnd"/>
            <w:r w:rsidR="00477340" w:rsidRPr="00A121CC">
              <w:t xml:space="preserve"> </w:t>
            </w:r>
          </w:p>
          <w:p w14:paraId="0BA37326" w14:textId="72666AB0" w:rsidR="00CC1B03" w:rsidRPr="006B1551" w:rsidRDefault="00CC1B03" w:rsidP="00F83A51">
            <w:pPr>
              <w:pStyle w:val="BodyText"/>
              <w:rPr>
                <w:rFonts w:eastAsiaTheme="minorEastAsia"/>
                <w:lang w:eastAsia="en-AU"/>
              </w:rPr>
            </w:pPr>
            <w:r w:rsidRPr="00661209">
              <w:rPr>
                <w:rFonts w:eastAsiaTheme="minorEastAsia"/>
                <w:lang w:eastAsia="en-AU"/>
              </w:rPr>
              <w:t xml:space="preserve">The Government is committed to addressing </w:t>
            </w:r>
            <w:r w:rsidR="00231A17" w:rsidRPr="00661209">
              <w:rPr>
                <w:rFonts w:eastAsiaTheme="minorEastAsia"/>
                <w:lang w:eastAsia="en-AU"/>
              </w:rPr>
              <w:t xml:space="preserve">the </w:t>
            </w:r>
            <w:r w:rsidRPr="00661209">
              <w:rPr>
                <w:rFonts w:eastAsiaTheme="minorEastAsia"/>
                <w:lang w:eastAsia="en-AU"/>
              </w:rPr>
              <w:t>cost</w:t>
            </w:r>
            <w:r w:rsidR="00231A17" w:rsidRPr="00661209">
              <w:rPr>
                <w:rFonts w:eastAsiaTheme="minorEastAsia"/>
                <w:lang w:eastAsia="en-AU"/>
              </w:rPr>
              <w:t>-</w:t>
            </w:r>
            <w:r w:rsidRPr="00661209">
              <w:rPr>
                <w:rFonts w:eastAsiaTheme="minorEastAsia"/>
                <w:lang w:eastAsia="en-AU"/>
              </w:rPr>
              <w:t>of</w:t>
            </w:r>
            <w:r w:rsidR="007E25CF">
              <w:rPr>
                <w:rFonts w:eastAsiaTheme="minorEastAsia"/>
                <w:lang w:eastAsia="en-AU"/>
              </w:rPr>
              <w:t>-</w:t>
            </w:r>
            <w:r w:rsidRPr="006B1551">
              <w:rPr>
                <w:rFonts w:eastAsiaTheme="minorEastAsia"/>
                <w:lang w:eastAsia="en-AU"/>
              </w:rPr>
              <w:t xml:space="preserve">living pressures by ensuring housing is more affordable. As part of this commitment, </w:t>
            </w:r>
            <w:proofErr w:type="spellStart"/>
            <w:r w:rsidRPr="006B1551">
              <w:rPr>
                <w:rFonts w:eastAsiaTheme="minorEastAsia"/>
                <w:lang w:eastAsia="en-AU"/>
              </w:rPr>
              <w:t>Landcom</w:t>
            </w:r>
            <w:proofErr w:type="spellEnd"/>
            <w:r w:rsidRPr="006B1551">
              <w:rPr>
                <w:rFonts w:eastAsiaTheme="minorEastAsia"/>
                <w:lang w:eastAsia="en-AU"/>
              </w:rPr>
              <w:t xml:space="preserve"> will accelerate investment in delivering affordable housing by reinvesting $300</w:t>
            </w:r>
            <w:r w:rsidR="00C23F0E">
              <w:rPr>
                <w:rFonts w:eastAsiaTheme="minorEastAsia"/>
                <w:lang w:eastAsia="en-AU"/>
              </w:rPr>
              <w:t>.0</w:t>
            </w:r>
            <w:r w:rsidRPr="006B1551">
              <w:rPr>
                <w:rFonts w:eastAsiaTheme="minorEastAsia"/>
                <w:lang w:eastAsia="en-AU"/>
              </w:rPr>
              <w:t xml:space="preserve"> million of dividends</w:t>
            </w:r>
            <w:r w:rsidR="00A74A4A" w:rsidRPr="006B1551">
              <w:rPr>
                <w:rFonts w:eastAsiaTheme="minorEastAsia"/>
                <w:lang w:eastAsia="en-AU"/>
              </w:rPr>
              <w:t xml:space="preserve"> planned </w:t>
            </w:r>
            <w:r w:rsidRPr="006B1551">
              <w:rPr>
                <w:rFonts w:eastAsiaTheme="minorEastAsia"/>
                <w:lang w:eastAsia="en-AU"/>
              </w:rPr>
              <w:t xml:space="preserve">to be declared in 2024-25. The investment will allow </w:t>
            </w:r>
            <w:proofErr w:type="spellStart"/>
            <w:r w:rsidRPr="006B1551">
              <w:rPr>
                <w:rFonts w:eastAsiaTheme="minorEastAsia"/>
                <w:lang w:eastAsia="en-AU"/>
              </w:rPr>
              <w:t>Landcom</w:t>
            </w:r>
            <w:proofErr w:type="spellEnd"/>
            <w:r w:rsidRPr="006B1551">
              <w:rPr>
                <w:rFonts w:eastAsiaTheme="minorEastAsia"/>
                <w:lang w:eastAsia="en-AU"/>
              </w:rPr>
              <w:t xml:space="preserve"> to deliver</w:t>
            </w:r>
            <w:r>
              <w:rPr>
                <w:rFonts w:eastAsiaTheme="minorEastAsia"/>
                <w:lang w:eastAsia="en-AU"/>
              </w:rPr>
              <w:t xml:space="preserve"> </w:t>
            </w:r>
            <w:r w:rsidR="00F71EDA">
              <w:rPr>
                <w:rFonts w:eastAsiaTheme="minorEastAsia"/>
                <w:lang w:eastAsia="en-AU"/>
              </w:rPr>
              <w:t>an estimated</w:t>
            </w:r>
            <w:r w:rsidRPr="006B1551">
              <w:rPr>
                <w:rFonts w:eastAsiaTheme="minorEastAsia"/>
                <w:lang w:eastAsia="en-AU"/>
              </w:rPr>
              <w:t xml:space="preserve"> 1,409 affordable dwelling</w:t>
            </w:r>
            <w:r w:rsidR="00822CD1">
              <w:rPr>
                <w:rFonts w:eastAsiaTheme="minorEastAsia"/>
                <w:lang w:eastAsia="en-AU"/>
              </w:rPr>
              <w:t>s</w:t>
            </w:r>
            <w:r w:rsidRPr="006B1551">
              <w:rPr>
                <w:rFonts w:eastAsiaTheme="minorEastAsia"/>
                <w:lang w:eastAsia="en-AU"/>
              </w:rPr>
              <w:t xml:space="preserve"> and </w:t>
            </w:r>
            <w:r w:rsidR="00344F87">
              <w:rPr>
                <w:rFonts w:eastAsiaTheme="minorEastAsia"/>
                <w:lang w:eastAsia="en-AU"/>
              </w:rPr>
              <w:t>3</w:t>
            </w:r>
            <w:r w:rsidR="000B0081">
              <w:rPr>
                <w:rFonts w:eastAsiaTheme="minorEastAsia"/>
                <w:lang w:eastAsia="en-AU"/>
              </w:rPr>
              <w:t>,</w:t>
            </w:r>
            <w:r w:rsidR="00344F87">
              <w:rPr>
                <w:rFonts w:eastAsiaTheme="minorEastAsia"/>
                <w:lang w:eastAsia="en-AU"/>
              </w:rPr>
              <w:t>288</w:t>
            </w:r>
            <w:r w:rsidRPr="006B1551">
              <w:rPr>
                <w:rFonts w:eastAsiaTheme="minorEastAsia"/>
                <w:lang w:eastAsia="en-AU"/>
              </w:rPr>
              <w:t xml:space="preserve"> market dwelling</w:t>
            </w:r>
            <w:r w:rsidR="00D30AFE">
              <w:rPr>
                <w:rFonts w:eastAsiaTheme="minorEastAsia"/>
                <w:lang w:eastAsia="en-AU"/>
              </w:rPr>
              <w:t>s</w:t>
            </w:r>
            <w:r w:rsidRPr="006B1551">
              <w:rPr>
                <w:rFonts w:eastAsiaTheme="minorEastAsia"/>
                <w:lang w:eastAsia="en-AU"/>
              </w:rPr>
              <w:t xml:space="preserve">. </w:t>
            </w:r>
          </w:p>
          <w:p w14:paraId="5E6F9041" w14:textId="19174F11" w:rsidR="00F50BFC" w:rsidRPr="00D93268" w:rsidRDefault="00CC1B03" w:rsidP="00F83A51">
            <w:pPr>
              <w:pStyle w:val="BodyText"/>
              <w:rPr>
                <w:rFonts w:eastAsiaTheme="minorEastAsia"/>
                <w:lang w:eastAsia="en-AU"/>
              </w:rPr>
            </w:pPr>
            <w:r w:rsidRPr="006B1551">
              <w:rPr>
                <w:rFonts w:eastAsiaTheme="minorEastAsia"/>
                <w:lang w:eastAsia="en-AU"/>
              </w:rPr>
              <w:t>In addition to the $300</w:t>
            </w:r>
            <w:r w:rsidR="00C23F0E">
              <w:rPr>
                <w:rFonts w:eastAsiaTheme="minorEastAsia"/>
                <w:lang w:eastAsia="en-AU"/>
              </w:rPr>
              <w:t>.0</w:t>
            </w:r>
            <w:r w:rsidRPr="006B1551">
              <w:rPr>
                <w:rFonts w:eastAsiaTheme="minorEastAsia"/>
                <w:lang w:eastAsia="en-AU"/>
              </w:rPr>
              <w:t xml:space="preserve"> million investment, </w:t>
            </w:r>
            <w:proofErr w:type="spellStart"/>
            <w:r w:rsidRPr="006B1551">
              <w:rPr>
                <w:rFonts w:eastAsiaTheme="minorEastAsia"/>
                <w:lang w:eastAsia="en-AU"/>
              </w:rPr>
              <w:t>Landcom</w:t>
            </w:r>
            <w:proofErr w:type="spellEnd"/>
            <w:r w:rsidRPr="006B1551">
              <w:rPr>
                <w:rFonts w:eastAsiaTheme="minorEastAsia"/>
                <w:lang w:eastAsia="en-AU"/>
              </w:rPr>
              <w:t xml:space="preserve"> remains committed to delivering</w:t>
            </w:r>
            <w:r>
              <w:rPr>
                <w:rFonts w:eastAsiaTheme="minorEastAsia"/>
                <w:lang w:eastAsia="en-AU"/>
              </w:rPr>
              <w:t xml:space="preserve"> </w:t>
            </w:r>
            <w:r w:rsidR="00BF4342" w:rsidRPr="00D93268">
              <w:rPr>
                <w:rFonts w:eastAsiaTheme="minorEastAsia"/>
                <w:lang w:eastAsia="en-AU"/>
              </w:rPr>
              <w:t>10</w:t>
            </w:r>
            <w:r w:rsidR="00DD6747">
              <w:rPr>
                <w:rFonts w:eastAsiaTheme="minorEastAsia"/>
                <w:lang w:eastAsia="en-AU"/>
              </w:rPr>
              <w:t> </w:t>
            </w:r>
            <w:r w:rsidR="00BF4342" w:rsidRPr="00D93268">
              <w:rPr>
                <w:rFonts w:eastAsiaTheme="minorEastAsia"/>
                <w:lang w:eastAsia="en-AU"/>
              </w:rPr>
              <w:t>per</w:t>
            </w:r>
            <w:r w:rsidR="00DD6747">
              <w:rPr>
                <w:rFonts w:eastAsiaTheme="minorEastAsia"/>
                <w:lang w:eastAsia="en-AU"/>
              </w:rPr>
              <w:t> </w:t>
            </w:r>
            <w:r w:rsidR="00BF4342" w:rsidRPr="00D93268">
              <w:rPr>
                <w:rFonts w:eastAsiaTheme="minorEastAsia"/>
                <w:lang w:eastAsia="en-AU"/>
              </w:rPr>
              <w:t>cent of its new housing in</w:t>
            </w:r>
            <w:r w:rsidR="00E705F7" w:rsidRPr="00D93268">
              <w:rPr>
                <w:rFonts w:eastAsiaTheme="minorEastAsia"/>
                <w:lang w:eastAsia="en-AU"/>
              </w:rPr>
              <w:t xml:space="preserve"> </w:t>
            </w:r>
            <w:r w:rsidR="00280BDA" w:rsidRPr="00D93268">
              <w:rPr>
                <w:rFonts w:eastAsiaTheme="minorEastAsia"/>
                <w:lang w:eastAsia="en-AU"/>
              </w:rPr>
              <w:t xml:space="preserve">metropolitan </w:t>
            </w:r>
            <w:r w:rsidR="00E705F7" w:rsidRPr="00D93268">
              <w:rPr>
                <w:rFonts w:eastAsiaTheme="minorEastAsia"/>
                <w:lang w:eastAsia="en-AU"/>
              </w:rPr>
              <w:t>areas</w:t>
            </w:r>
            <w:r w:rsidR="001B528E" w:rsidRPr="00D93268">
              <w:rPr>
                <w:rFonts w:eastAsiaTheme="minorEastAsia"/>
                <w:lang w:eastAsia="en-AU"/>
              </w:rPr>
              <w:t xml:space="preserve"> </w:t>
            </w:r>
            <w:r w:rsidR="00825868" w:rsidRPr="00D93268">
              <w:rPr>
                <w:rFonts w:eastAsiaTheme="minorEastAsia"/>
                <w:lang w:eastAsia="en-AU"/>
              </w:rPr>
              <w:t>and</w:t>
            </w:r>
            <w:r w:rsidR="00F41CC2" w:rsidRPr="00D93268">
              <w:rPr>
                <w:rFonts w:eastAsiaTheme="minorEastAsia"/>
                <w:lang w:eastAsia="en-AU"/>
              </w:rPr>
              <w:t xml:space="preserve"> </w:t>
            </w:r>
            <w:r w:rsidR="000B393E" w:rsidRPr="00D93268">
              <w:rPr>
                <w:rFonts w:eastAsiaTheme="minorEastAsia"/>
                <w:lang w:eastAsia="en-AU"/>
              </w:rPr>
              <w:t>20</w:t>
            </w:r>
            <w:r w:rsidR="0076699A" w:rsidRPr="00D93268">
              <w:rPr>
                <w:rFonts w:eastAsiaTheme="minorEastAsia"/>
                <w:lang w:eastAsia="en-AU"/>
              </w:rPr>
              <w:t> </w:t>
            </w:r>
            <w:r w:rsidR="000B393E" w:rsidRPr="00D93268">
              <w:rPr>
                <w:rFonts w:eastAsiaTheme="minorEastAsia"/>
                <w:lang w:eastAsia="en-AU"/>
              </w:rPr>
              <w:t>per cent in regional areas</w:t>
            </w:r>
            <w:r w:rsidR="00825868" w:rsidRPr="00D93268">
              <w:rPr>
                <w:rFonts w:eastAsiaTheme="minorEastAsia"/>
                <w:lang w:eastAsia="en-AU"/>
              </w:rPr>
              <w:t xml:space="preserve"> </w:t>
            </w:r>
            <w:r w:rsidR="00E705F7" w:rsidRPr="00D93268">
              <w:rPr>
                <w:rFonts w:eastAsiaTheme="minorEastAsia"/>
                <w:lang w:eastAsia="en-AU"/>
              </w:rPr>
              <w:t>as affordable housing</w:t>
            </w:r>
            <w:r w:rsidR="00827563" w:rsidRPr="00D93268">
              <w:rPr>
                <w:rFonts w:eastAsiaTheme="minorEastAsia"/>
                <w:lang w:eastAsia="en-AU"/>
              </w:rPr>
              <w:t xml:space="preserve">. </w:t>
            </w:r>
          </w:p>
          <w:p w14:paraId="1A80F749" w14:textId="6FB3FE1E" w:rsidR="00F13FDA" w:rsidRPr="00D93268" w:rsidRDefault="00F13FDA" w:rsidP="00F83A51">
            <w:pPr>
              <w:pStyle w:val="BodyText"/>
              <w:rPr>
                <w:rFonts w:eastAsiaTheme="minorEastAsia"/>
                <w:lang w:eastAsia="en-AU"/>
              </w:rPr>
            </w:pPr>
            <w:proofErr w:type="spellStart"/>
            <w:r w:rsidRPr="00D93268">
              <w:rPr>
                <w:rFonts w:eastAsiaTheme="minorEastAsia"/>
                <w:lang w:eastAsia="en-AU"/>
              </w:rPr>
              <w:t>Landcom</w:t>
            </w:r>
            <w:proofErr w:type="spellEnd"/>
            <w:r w:rsidRPr="00D93268">
              <w:rPr>
                <w:rFonts w:eastAsiaTheme="minorEastAsia"/>
                <w:lang w:eastAsia="en-AU"/>
              </w:rPr>
              <w:t xml:space="preserve"> released 237 dwellings</w:t>
            </w:r>
            <w:r w:rsidR="00D30AFE">
              <w:rPr>
                <w:rFonts w:eastAsiaTheme="minorEastAsia"/>
                <w:lang w:eastAsia="en-AU"/>
              </w:rPr>
              <w:t xml:space="preserve"> in 2022-23</w:t>
            </w:r>
            <w:r w:rsidRPr="00D93268">
              <w:rPr>
                <w:rFonts w:eastAsiaTheme="minorEastAsia"/>
                <w:lang w:eastAsia="en-AU"/>
              </w:rPr>
              <w:t xml:space="preserve"> as </w:t>
            </w:r>
            <w:r w:rsidR="00796919" w:rsidRPr="00D93268">
              <w:rPr>
                <w:rFonts w:eastAsiaTheme="minorEastAsia"/>
                <w:lang w:eastAsia="en-AU"/>
              </w:rPr>
              <w:t>a</w:t>
            </w:r>
            <w:r w:rsidRPr="00D93268">
              <w:rPr>
                <w:rFonts w:eastAsiaTheme="minorEastAsia"/>
                <w:lang w:eastAsia="en-AU"/>
              </w:rPr>
              <w:t xml:space="preserve">ffordable </w:t>
            </w:r>
            <w:r w:rsidR="00796919" w:rsidRPr="00D93268">
              <w:rPr>
                <w:rFonts w:eastAsiaTheme="minorEastAsia"/>
                <w:lang w:eastAsia="en-AU"/>
              </w:rPr>
              <w:t>r</w:t>
            </w:r>
            <w:r w:rsidRPr="00D93268">
              <w:rPr>
                <w:rFonts w:eastAsiaTheme="minorEastAsia"/>
                <w:lang w:eastAsia="en-AU"/>
              </w:rPr>
              <w:t xml:space="preserve">ental </w:t>
            </w:r>
            <w:r w:rsidR="00796919" w:rsidRPr="00D93268">
              <w:rPr>
                <w:rFonts w:eastAsiaTheme="minorEastAsia"/>
                <w:lang w:eastAsia="en-AU"/>
              </w:rPr>
              <w:t>h</w:t>
            </w:r>
            <w:r w:rsidRPr="00D93268">
              <w:rPr>
                <w:rFonts w:eastAsiaTheme="minorEastAsia"/>
                <w:lang w:eastAsia="en-AU"/>
              </w:rPr>
              <w:t xml:space="preserve">ousing to </w:t>
            </w:r>
            <w:r w:rsidR="00A513F9" w:rsidRPr="00D93268">
              <w:rPr>
                <w:rFonts w:eastAsiaTheme="minorEastAsia"/>
                <w:lang w:eastAsia="en-AU"/>
              </w:rPr>
              <w:t>c</w:t>
            </w:r>
            <w:r w:rsidRPr="00D93268">
              <w:rPr>
                <w:rFonts w:eastAsiaTheme="minorEastAsia"/>
                <w:lang w:eastAsia="en-AU"/>
              </w:rPr>
              <w:t xml:space="preserve">ommunity </w:t>
            </w:r>
            <w:r w:rsidR="00A513F9" w:rsidRPr="00D93268">
              <w:rPr>
                <w:rFonts w:eastAsiaTheme="minorEastAsia"/>
                <w:lang w:eastAsia="en-AU"/>
              </w:rPr>
              <w:t>h</w:t>
            </w:r>
            <w:r w:rsidRPr="00D93268">
              <w:rPr>
                <w:rFonts w:eastAsiaTheme="minorEastAsia"/>
                <w:lang w:eastAsia="en-AU"/>
              </w:rPr>
              <w:t xml:space="preserve">ousing </w:t>
            </w:r>
            <w:proofErr w:type="gramStart"/>
            <w:r w:rsidR="00A513F9" w:rsidRPr="00D93268">
              <w:rPr>
                <w:rFonts w:eastAsiaTheme="minorEastAsia"/>
                <w:lang w:eastAsia="en-AU"/>
              </w:rPr>
              <w:t>p</w:t>
            </w:r>
            <w:r w:rsidRPr="00D93268">
              <w:rPr>
                <w:rFonts w:eastAsiaTheme="minorEastAsia"/>
                <w:lang w:eastAsia="en-AU"/>
              </w:rPr>
              <w:t>roviders</w:t>
            </w:r>
            <w:r w:rsidR="00925B01">
              <w:rPr>
                <w:rFonts w:eastAsiaTheme="minorEastAsia"/>
                <w:lang w:eastAsia="en-AU"/>
              </w:rPr>
              <w:t>,</w:t>
            </w:r>
            <w:r w:rsidR="00FA48B8" w:rsidRPr="00D93268">
              <w:rPr>
                <w:rFonts w:eastAsiaTheme="minorEastAsia"/>
                <w:lang w:eastAsia="en-AU"/>
              </w:rPr>
              <w:t xml:space="preserve"> </w:t>
            </w:r>
            <w:r w:rsidR="00741C27" w:rsidRPr="00D93268">
              <w:rPr>
                <w:rFonts w:eastAsiaTheme="minorEastAsia"/>
                <w:lang w:eastAsia="en-AU"/>
              </w:rPr>
              <w:t>and</w:t>
            </w:r>
            <w:proofErr w:type="gramEnd"/>
            <w:r w:rsidR="00741C27" w:rsidRPr="00D93268">
              <w:rPr>
                <w:rFonts w:eastAsiaTheme="minorEastAsia"/>
                <w:lang w:eastAsia="en-AU"/>
              </w:rPr>
              <w:t xml:space="preserve"> </w:t>
            </w:r>
            <w:r w:rsidR="00A24582" w:rsidRPr="004625EB">
              <w:rPr>
                <w:rFonts w:eastAsiaTheme="minorEastAsia"/>
                <w:lang w:eastAsia="en-AU"/>
              </w:rPr>
              <w:t xml:space="preserve">expects </w:t>
            </w:r>
            <w:r w:rsidR="00741C27" w:rsidRPr="00D93268">
              <w:rPr>
                <w:rFonts w:eastAsiaTheme="minorEastAsia"/>
                <w:lang w:eastAsia="en-AU"/>
              </w:rPr>
              <w:t xml:space="preserve">to release </w:t>
            </w:r>
            <w:r w:rsidR="003670FA" w:rsidRPr="00D93268">
              <w:rPr>
                <w:rFonts w:eastAsiaTheme="minorEastAsia"/>
                <w:lang w:eastAsia="en-AU"/>
              </w:rPr>
              <w:t>579 dwelling</w:t>
            </w:r>
            <w:r w:rsidR="002D2F94" w:rsidRPr="00D93268">
              <w:rPr>
                <w:rFonts w:eastAsiaTheme="minorEastAsia"/>
                <w:lang w:eastAsia="en-AU"/>
              </w:rPr>
              <w:t>s</w:t>
            </w:r>
            <w:r w:rsidR="003670FA" w:rsidRPr="00D93268">
              <w:rPr>
                <w:rFonts w:eastAsiaTheme="minorEastAsia"/>
                <w:lang w:eastAsia="en-AU"/>
              </w:rPr>
              <w:t xml:space="preserve"> in 2023-24</w:t>
            </w:r>
            <w:r w:rsidR="003A3E57" w:rsidRPr="00D93268">
              <w:rPr>
                <w:rFonts w:eastAsiaTheme="minorEastAsia"/>
                <w:lang w:eastAsia="en-AU"/>
              </w:rPr>
              <w:t>.</w:t>
            </w:r>
            <w:r w:rsidR="003670FA" w:rsidRPr="00D93268">
              <w:rPr>
                <w:rFonts w:eastAsiaTheme="minorEastAsia"/>
                <w:lang w:eastAsia="en-AU"/>
              </w:rPr>
              <w:t xml:space="preserve"> </w:t>
            </w:r>
          </w:p>
          <w:p w14:paraId="0AD48960" w14:textId="6C7F8F2A" w:rsidR="00EE640D" w:rsidRPr="00D93268" w:rsidRDefault="00A75D2E" w:rsidP="00F83A51">
            <w:pPr>
              <w:pStyle w:val="BodyText"/>
              <w:rPr>
                <w:rFonts w:eastAsiaTheme="minorEastAsia"/>
                <w:lang w:eastAsia="en-AU"/>
              </w:rPr>
            </w:pPr>
            <w:r w:rsidRPr="004625EB">
              <w:rPr>
                <w:rFonts w:eastAsiaTheme="minorEastAsia"/>
                <w:lang w:eastAsia="en-AU"/>
              </w:rPr>
              <w:t>Excluding the dwellings to be delivered as part of the $300</w:t>
            </w:r>
            <w:r w:rsidR="00CC7001">
              <w:rPr>
                <w:rFonts w:eastAsiaTheme="minorEastAsia"/>
                <w:lang w:eastAsia="en-AU"/>
              </w:rPr>
              <w:t>.0</w:t>
            </w:r>
            <w:r w:rsidRPr="004625EB">
              <w:rPr>
                <w:rFonts w:eastAsiaTheme="minorEastAsia"/>
                <w:lang w:eastAsia="en-AU"/>
              </w:rPr>
              <w:t xml:space="preserve"> million investment, </w:t>
            </w:r>
            <w:r w:rsidR="00792B01" w:rsidRPr="00D93268">
              <w:rPr>
                <w:rFonts w:eastAsiaTheme="minorEastAsia"/>
                <w:lang w:eastAsia="en-AU"/>
              </w:rPr>
              <w:t>New South Wales</w:t>
            </w:r>
            <w:r w:rsidR="00A45A2B" w:rsidRPr="00D93268">
              <w:rPr>
                <w:rFonts w:eastAsiaTheme="minorEastAsia"/>
                <w:lang w:eastAsia="en-AU"/>
              </w:rPr>
              <w:t xml:space="preserve"> </w:t>
            </w:r>
            <w:r w:rsidR="00F20023" w:rsidRPr="00A15CE2">
              <w:rPr>
                <w:rFonts w:eastAsiaTheme="minorEastAsia"/>
                <w:lang w:eastAsia="en-AU"/>
              </w:rPr>
              <w:t>has</w:t>
            </w:r>
            <w:r w:rsidR="00A45A2B" w:rsidRPr="00D93268">
              <w:rPr>
                <w:rFonts w:eastAsiaTheme="minorEastAsia"/>
                <w:lang w:eastAsia="en-AU"/>
              </w:rPr>
              <w:t xml:space="preserve"> </w:t>
            </w:r>
            <w:r w:rsidR="00153F88" w:rsidRPr="00D93268">
              <w:rPr>
                <w:rFonts w:eastAsiaTheme="minorEastAsia"/>
                <w:lang w:eastAsia="en-AU"/>
              </w:rPr>
              <w:t>committed</w:t>
            </w:r>
            <w:r w:rsidR="00A45A2B" w:rsidRPr="00D93268">
              <w:rPr>
                <w:rFonts w:eastAsiaTheme="minorEastAsia"/>
                <w:lang w:eastAsia="en-AU"/>
              </w:rPr>
              <w:t xml:space="preserve"> to build 3,100 affordable housing</w:t>
            </w:r>
            <w:r w:rsidR="00952D22" w:rsidRPr="00D93268">
              <w:rPr>
                <w:rFonts w:eastAsiaTheme="minorEastAsia"/>
                <w:lang w:eastAsia="en-AU"/>
              </w:rPr>
              <w:t xml:space="preserve"> dwellings</w:t>
            </w:r>
            <w:r w:rsidR="00A45A2B" w:rsidRPr="00D93268">
              <w:rPr>
                <w:rFonts w:eastAsiaTheme="minorEastAsia"/>
                <w:lang w:eastAsia="en-AU"/>
              </w:rPr>
              <w:t xml:space="preserve"> </w:t>
            </w:r>
            <w:r w:rsidR="00472F49" w:rsidRPr="00D93268">
              <w:rPr>
                <w:rFonts w:eastAsiaTheme="minorEastAsia"/>
                <w:lang w:eastAsia="en-AU"/>
              </w:rPr>
              <w:t xml:space="preserve">by 2028-29 as part of the </w:t>
            </w:r>
            <w:r w:rsidR="004E5C18" w:rsidRPr="00D93268">
              <w:rPr>
                <w:rFonts w:eastAsiaTheme="minorEastAsia"/>
                <w:lang w:eastAsia="en-AU"/>
              </w:rPr>
              <w:t>National Housing Accor</w:t>
            </w:r>
            <w:r w:rsidR="009352CB" w:rsidRPr="00D93268">
              <w:rPr>
                <w:rFonts w:eastAsiaTheme="minorEastAsia"/>
                <w:lang w:eastAsia="en-AU"/>
              </w:rPr>
              <w:t>d</w:t>
            </w:r>
            <w:r w:rsidR="008B33EB" w:rsidRPr="00D93268">
              <w:rPr>
                <w:rFonts w:eastAsiaTheme="minorEastAsia"/>
                <w:lang w:eastAsia="en-AU"/>
              </w:rPr>
              <w:t>,</w:t>
            </w:r>
            <w:r w:rsidR="00A37DD0" w:rsidRPr="00D93268">
              <w:rPr>
                <w:rFonts w:eastAsiaTheme="minorEastAsia"/>
                <w:lang w:eastAsia="en-AU"/>
              </w:rPr>
              <w:t xml:space="preserve"> </w:t>
            </w:r>
            <w:r w:rsidR="000F38C1" w:rsidRPr="00D93268">
              <w:rPr>
                <w:rFonts w:eastAsiaTheme="minorEastAsia"/>
                <w:lang w:eastAsia="en-AU"/>
              </w:rPr>
              <w:t xml:space="preserve">of which </w:t>
            </w:r>
            <w:r w:rsidR="00A37DD0" w:rsidRPr="00D93268">
              <w:rPr>
                <w:rFonts w:eastAsiaTheme="minorEastAsia"/>
                <w:lang w:eastAsia="en-AU"/>
              </w:rPr>
              <w:t xml:space="preserve">1,800 </w:t>
            </w:r>
            <w:r w:rsidR="00EA2ECA" w:rsidRPr="00D93268">
              <w:rPr>
                <w:rFonts w:eastAsiaTheme="minorEastAsia"/>
                <w:lang w:eastAsia="en-AU"/>
              </w:rPr>
              <w:t xml:space="preserve">dwellings will be supplied by </w:t>
            </w:r>
            <w:proofErr w:type="spellStart"/>
            <w:r w:rsidR="00EA2ECA" w:rsidRPr="00D93268">
              <w:rPr>
                <w:rFonts w:eastAsiaTheme="minorEastAsia"/>
                <w:lang w:eastAsia="en-AU"/>
              </w:rPr>
              <w:t>Landcom</w:t>
            </w:r>
            <w:proofErr w:type="spellEnd"/>
            <w:r w:rsidR="00EA2ECA" w:rsidRPr="00D93268">
              <w:rPr>
                <w:rFonts w:eastAsiaTheme="minorEastAsia"/>
                <w:lang w:eastAsia="en-AU"/>
              </w:rPr>
              <w:t>.</w:t>
            </w:r>
          </w:p>
          <w:p w14:paraId="589EE485" w14:textId="665B9C1D" w:rsidR="009B447C" w:rsidRPr="00F50BFC" w:rsidRDefault="0043748E" w:rsidP="00F83A51">
            <w:pPr>
              <w:pStyle w:val="BodyText"/>
              <w:rPr>
                <w:rFonts w:eastAsiaTheme="minorEastAsia"/>
                <w:lang w:eastAsia="en-AU"/>
              </w:rPr>
            </w:pPr>
            <w:proofErr w:type="spellStart"/>
            <w:r w:rsidRPr="00A15CE2">
              <w:rPr>
                <w:rFonts w:eastAsiaTheme="minorEastAsia"/>
                <w:lang w:eastAsia="en-AU"/>
              </w:rPr>
              <w:t>Landcom</w:t>
            </w:r>
            <w:proofErr w:type="spellEnd"/>
            <w:r w:rsidRPr="00A15CE2">
              <w:rPr>
                <w:rFonts w:eastAsiaTheme="minorEastAsia"/>
                <w:lang w:eastAsia="en-AU"/>
              </w:rPr>
              <w:t xml:space="preserve"> </w:t>
            </w:r>
            <w:r w:rsidR="00A75D2E" w:rsidRPr="00A15CE2">
              <w:rPr>
                <w:rFonts w:eastAsiaTheme="minorEastAsia"/>
                <w:lang w:eastAsia="en-AU"/>
              </w:rPr>
              <w:t xml:space="preserve">is also improving </w:t>
            </w:r>
            <w:r w:rsidRPr="00A15CE2">
              <w:rPr>
                <w:rFonts w:eastAsiaTheme="minorEastAsia"/>
                <w:lang w:eastAsia="en-AU"/>
              </w:rPr>
              <w:t xml:space="preserve">the </w:t>
            </w:r>
            <w:r w:rsidR="009D19DF" w:rsidRPr="00A15CE2">
              <w:rPr>
                <w:rFonts w:eastAsiaTheme="minorEastAsia"/>
                <w:lang w:eastAsia="en-AU"/>
              </w:rPr>
              <w:t xml:space="preserve">supply </w:t>
            </w:r>
            <w:r w:rsidRPr="00A15CE2">
              <w:rPr>
                <w:rFonts w:eastAsiaTheme="minorEastAsia"/>
                <w:lang w:eastAsia="en-AU"/>
              </w:rPr>
              <w:t xml:space="preserve">of </w:t>
            </w:r>
            <w:r w:rsidR="00A60FFF" w:rsidRPr="00A15CE2">
              <w:rPr>
                <w:rFonts w:eastAsiaTheme="minorEastAsia"/>
                <w:lang w:eastAsia="en-AU"/>
              </w:rPr>
              <w:t xml:space="preserve">affordable </w:t>
            </w:r>
            <w:r w:rsidRPr="00A15CE2">
              <w:rPr>
                <w:rFonts w:eastAsiaTheme="minorEastAsia"/>
                <w:lang w:eastAsia="en-AU"/>
              </w:rPr>
              <w:t>housing</w:t>
            </w:r>
            <w:r w:rsidR="008177CE" w:rsidRPr="00A15CE2">
              <w:t xml:space="preserve"> </w:t>
            </w:r>
            <w:r w:rsidR="00A97CC9" w:rsidRPr="005A2987">
              <w:rPr>
                <w:rFonts w:eastAsiaTheme="minorEastAsia"/>
                <w:lang w:eastAsia="en-AU"/>
              </w:rPr>
              <w:t xml:space="preserve">in regional </w:t>
            </w:r>
            <w:r w:rsidR="006B2445" w:rsidRPr="005A2987">
              <w:rPr>
                <w:rFonts w:eastAsiaTheme="minorEastAsia"/>
                <w:lang w:eastAsia="en-AU"/>
              </w:rPr>
              <w:t>N</w:t>
            </w:r>
            <w:r w:rsidR="00A97CC9" w:rsidRPr="005A2987">
              <w:rPr>
                <w:rFonts w:eastAsiaTheme="minorEastAsia"/>
                <w:lang w:eastAsia="en-AU"/>
              </w:rPr>
              <w:t>ew South Wales</w:t>
            </w:r>
            <w:r w:rsidR="00DD5D38" w:rsidRPr="005A2987">
              <w:rPr>
                <w:rFonts w:eastAsiaTheme="minorEastAsia"/>
                <w:lang w:eastAsia="en-AU"/>
              </w:rPr>
              <w:t xml:space="preserve">. </w:t>
            </w:r>
            <w:r w:rsidR="000C2C29" w:rsidRPr="005A2987">
              <w:rPr>
                <w:rFonts w:eastAsiaTheme="minorEastAsia"/>
                <w:lang w:eastAsia="en-AU"/>
              </w:rPr>
              <w:t>It</w:t>
            </w:r>
            <w:r w:rsidR="007372BE" w:rsidRPr="005A2987">
              <w:rPr>
                <w:rFonts w:eastAsiaTheme="minorEastAsia"/>
                <w:lang w:eastAsia="en-AU"/>
              </w:rPr>
              <w:t xml:space="preserve"> </w:t>
            </w:r>
            <w:r w:rsidR="00B879B7" w:rsidRPr="005A2987">
              <w:rPr>
                <w:rFonts w:eastAsiaTheme="minorEastAsia"/>
                <w:lang w:eastAsia="en-AU"/>
              </w:rPr>
              <w:t xml:space="preserve">is in the process of </w:t>
            </w:r>
            <w:r w:rsidR="007372BE" w:rsidRPr="005A2987">
              <w:rPr>
                <w:rFonts w:eastAsiaTheme="minorEastAsia"/>
                <w:lang w:eastAsia="en-AU"/>
              </w:rPr>
              <w:t>a</w:t>
            </w:r>
            <w:r w:rsidR="00182857" w:rsidRPr="005A2987">
              <w:rPr>
                <w:rFonts w:eastAsiaTheme="minorEastAsia"/>
                <w:lang w:eastAsia="en-AU"/>
              </w:rPr>
              <w:t>cqui</w:t>
            </w:r>
            <w:r w:rsidR="007372BE" w:rsidRPr="005A2987">
              <w:rPr>
                <w:rFonts w:eastAsiaTheme="minorEastAsia"/>
                <w:lang w:eastAsia="en-AU"/>
              </w:rPr>
              <w:t>r</w:t>
            </w:r>
            <w:r w:rsidR="00B879B7" w:rsidRPr="005A2987">
              <w:rPr>
                <w:rFonts w:eastAsiaTheme="minorEastAsia"/>
                <w:lang w:eastAsia="en-AU"/>
              </w:rPr>
              <w:t>ing</w:t>
            </w:r>
            <w:r w:rsidR="00182857" w:rsidRPr="005A2987">
              <w:rPr>
                <w:rFonts w:eastAsiaTheme="minorEastAsia"/>
                <w:lang w:eastAsia="en-AU"/>
              </w:rPr>
              <w:t xml:space="preserve"> two regional sites</w:t>
            </w:r>
            <w:r w:rsidR="004B6CE2" w:rsidRPr="005A2987">
              <w:rPr>
                <w:rFonts w:eastAsiaTheme="minorEastAsia"/>
                <w:lang w:eastAsia="en-AU"/>
              </w:rPr>
              <w:t xml:space="preserve"> </w:t>
            </w:r>
            <w:r w:rsidR="00182857" w:rsidRPr="005A2987">
              <w:rPr>
                <w:rFonts w:eastAsiaTheme="minorEastAsia"/>
                <w:lang w:eastAsia="en-AU"/>
              </w:rPr>
              <w:t xml:space="preserve">for </w:t>
            </w:r>
            <w:r w:rsidR="00431AEA" w:rsidRPr="005A2987">
              <w:rPr>
                <w:rFonts w:eastAsiaTheme="minorEastAsia"/>
                <w:lang w:eastAsia="en-AU"/>
              </w:rPr>
              <w:t>developing build-to-rent</w:t>
            </w:r>
            <w:r w:rsidR="00EF7834" w:rsidRPr="005A2987">
              <w:rPr>
                <w:rFonts w:eastAsiaTheme="minorEastAsia"/>
                <w:lang w:eastAsia="en-AU"/>
              </w:rPr>
              <w:t xml:space="preserve"> </w:t>
            </w:r>
            <w:r w:rsidR="00896002" w:rsidRPr="005A2987">
              <w:rPr>
                <w:rFonts w:eastAsiaTheme="minorEastAsia"/>
                <w:lang w:eastAsia="en-AU"/>
              </w:rPr>
              <w:t xml:space="preserve">housing </w:t>
            </w:r>
            <w:r w:rsidR="00083B58" w:rsidRPr="005A2987">
              <w:rPr>
                <w:rFonts w:eastAsiaTheme="minorEastAsia"/>
                <w:lang w:eastAsia="en-AU"/>
              </w:rPr>
              <w:t>in the South Coast and Northern Rivers Region. The two projects are estimated to deliver a total of 100 dwellings over the next five years</w:t>
            </w:r>
            <w:r w:rsidR="00083B58" w:rsidRPr="00B879B7">
              <w:rPr>
                <w:rFonts w:eastAsiaTheme="minorEastAsia"/>
                <w:lang w:eastAsia="en-AU"/>
              </w:rPr>
              <w:t>.</w:t>
            </w:r>
            <w:r w:rsidR="00083B58" w:rsidRPr="00083B58">
              <w:rPr>
                <w:rFonts w:eastAsiaTheme="minorEastAsia"/>
                <w:lang w:eastAsia="en-AU"/>
              </w:rPr>
              <w:t xml:space="preserve"> </w:t>
            </w:r>
          </w:p>
        </w:tc>
      </w:tr>
    </w:tbl>
    <w:p w14:paraId="56751186" w14:textId="3E92C4FD" w:rsidR="00477340" w:rsidRPr="00477340" w:rsidRDefault="00477340" w:rsidP="009C2442">
      <w:pPr>
        <w:pStyle w:val="Heading3"/>
      </w:pPr>
      <w:r w:rsidRPr="00477340">
        <w:t>Forestry</w:t>
      </w:r>
    </w:p>
    <w:p w14:paraId="4187EBC3" w14:textId="39E86018" w:rsidR="008D6456" w:rsidRDefault="00477340" w:rsidP="00F83A51">
      <w:pPr>
        <w:pStyle w:val="BodyText"/>
      </w:pPr>
      <w:r w:rsidRPr="00477340">
        <w:t xml:space="preserve">Forestry Corporation manages </w:t>
      </w:r>
      <w:r w:rsidR="00741F0A">
        <w:t xml:space="preserve">the </w:t>
      </w:r>
      <w:r w:rsidRPr="00477340">
        <w:t xml:space="preserve">State forests. It also delivers a range of other public services including recreation, tourism, </w:t>
      </w:r>
      <w:proofErr w:type="gramStart"/>
      <w:r w:rsidRPr="00477340">
        <w:t>conservation</w:t>
      </w:r>
      <w:proofErr w:type="gramEnd"/>
      <w:r w:rsidRPr="00477340">
        <w:t xml:space="preserve"> and firefighting.</w:t>
      </w:r>
    </w:p>
    <w:p w14:paraId="2679A4A4" w14:textId="6E590FC9" w:rsidR="00E46E90" w:rsidRDefault="00E46E90" w:rsidP="00F83A51">
      <w:pPr>
        <w:pStyle w:val="BodyText"/>
        <w:rPr>
          <w:rFonts w:ascii="Arial" w:hAnsi="Arial"/>
          <w:sz w:val="23"/>
        </w:rPr>
      </w:pPr>
      <w:r w:rsidRPr="00E01925">
        <w:t xml:space="preserve">Forestry Corporation </w:t>
      </w:r>
      <w:r>
        <w:t>continues</w:t>
      </w:r>
      <w:r w:rsidRPr="00E01925">
        <w:t xml:space="preserve"> </w:t>
      </w:r>
      <w:r>
        <w:t xml:space="preserve">to </w:t>
      </w:r>
      <w:r w:rsidRPr="00E01925">
        <w:t xml:space="preserve">invest in the State’s future timber resource through </w:t>
      </w:r>
      <w:r>
        <w:t xml:space="preserve">improved estate evaluation plans and </w:t>
      </w:r>
      <w:r w:rsidRPr="00E01925">
        <w:t xml:space="preserve">replanting plantations </w:t>
      </w:r>
      <w:r>
        <w:t>a</w:t>
      </w:r>
      <w:r w:rsidRPr="00E01925">
        <w:t xml:space="preserve">ffected by the 2019-20 bushfires. </w:t>
      </w:r>
      <w:r>
        <w:t>In 2022-23, Forestry Corporation invested $15.</w:t>
      </w:r>
      <w:r w:rsidR="00D30AFE">
        <w:t>3</w:t>
      </w:r>
      <w:r>
        <w:t xml:space="preserve"> million to repair roads and bridges impacted by the floods and reopen crucial links t</w:t>
      </w:r>
      <w:r w:rsidR="00FC5103">
        <w:t>o</w:t>
      </w:r>
      <w:r>
        <w:t xml:space="preserve"> forests for regional communities, </w:t>
      </w:r>
      <w:proofErr w:type="gramStart"/>
      <w:r>
        <w:t>industry</w:t>
      </w:r>
      <w:proofErr w:type="gramEnd"/>
      <w:r>
        <w:t xml:space="preserve"> and visitors. </w:t>
      </w:r>
    </w:p>
    <w:p w14:paraId="0F489761" w14:textId="77777777" w:rsidR="00182ED6" w:rsidRDefault="00E46E90" w:rsidP="00F83A51">
      <w:pPr>
        <w:pStyle w:val="BodyText"/>
      </w:pPr>
      <w:r>
        <w:t xml:space="preserve">Major </w:t>
      </w:r>
      <w:r w:rsidR="00A11994">
        <w:t>i</w:t>
      </w:r>
      <w:r>
        <w:t>nvestments are</w:t>
      </w:r>
      <w:r w:rsidR="001D3A27">
        <w:t xml:space="preserve"> being</w:t>
      </w:r>
      <w:r>
        <w:t xml:space="preserve"> made in strategic fire trails and installation of hardware </w:t>
      </w:r>
      <w:r w:rsidR="00D77149">
        <w:t>for</w:t>
      </w:r>
      <w:r w:rsidR="005E01D8">
        <w:t xml:space="preserve"> </w:t>
      </w:r>
      <w:r w:rsidR="00E36C79">
        <w:t xml:space="preserve">the </w:t>
      </w:r>
      <w:r>
        <w:t xml:space="preserve">transition to the Government Radio Network. Forestry Corporation </w:t>
      </w:r>
      <w:r w:rsidR="00BB61F1">
        <w:t>also</w:t>
      </w:r>
      <w:r w:rsidR="00311A69">
        <w:t xml:space="preserve"> </w:t>
      </w:r>
      <w:r>
        <w:t xml:space="preserve">remains prepared and equipped for fires through retrofitted fire tanks and light vehicles </w:t>
      </w:r>
      <w:r w:rsidR="00E138D9">
        <w:t>in line with</w:t>
      </w:r>
      <w:r w:rsidR="009D65BA">
        <w:t xml:space="preserve"> </w:t>
      </w:r>
      <w:r>
        <w:t xml:space="preserve">the recommendations from the </w:t>
      </w:r>
      <w:r w:rsidRPr="00F83E68">
        <w:t>NSW Bush</w:t>
      </w:r>
      <w:r w:rsidR="00E30651" w:rsidRPr="00F83E68">
        <w:t>fire</w:t>
      </w:r>
      <w:r w:rsidRPr="00F83E68">
        <w:t xml:space="preserve"> Inquiry </w:t>
      </w:r>
      <w:r w:rsidR="00307447" w:rsidRPr="00F83E68">
        <w:t>into</w:t>
      </w:r>
      <w:r w:rsidRPr="00F83E68">
        <w:t xml:space="preserve"> the 2019-20 </w:t>
      </w:r>
      <w:r w:rsidR="00307447" w:rsidRPr="00F83E68">
        <w:t>bushfire season</w:t>
      </w:r>
      <w:r w:rsidRPr="00F83E68">
        <w:t>.</w:t>
      </w:r>
    </w:p>
    <w:p w14:paraId="48485B44" w14:textId="26EB783C" w:rsidR="00DD1C2F" w:rsidRPr="00182ED6" w:rsidRDefault="00421042" w:rsidP="00F83A51">
      <w:pPr>
        <w:pStyle w:val="BodyText"/>
      </w:pPr>
      <w:r w:rsidRPr="002B112D">
        <w:t>The Government has made an election commitment to establish the Great Koala National Park (GKNP) on the Mid North Coast. While the GKNP is being established, Forestry Corporation ceased forestry harvesting operations in high density koala population areas of the proposed GKNP</w:t>
      </w:r>
      <w:r w:rsidR="00C67B34">
        <w:t xml:space="preserve">, </w:t>
      </w:r>
      <w:r w:rsidRPr="002B112D">
        <w:t xml:space="preserve">effective from 1 September 2023. The Government is working with Forestry Corporation on timber supply options. </w:t>
      </w:r>
      <w:r w:rsidR="002B112D" w:rsidRPr="002B112D">
        <w:t xml:space="preserve"> </w:t>
      </w:r>
      <w:r w:rsidR="00E46E90">
        <w:t xml:space="preserve"> </w:t>
      </w:r>
    </w:p>
    <w:p w14:paraId="2B82AAC2" w14:textId="5F5BB76B" w:rsidR="00477340" w:rsidRPr="00477340" w:rsidRDefault="00477340" w:rsidP="00265A68">
      <w:pPr>
        <w:pStyle w:val="71Heading2"/>
      </w:pPr>
      <w:r w:rsidRPr="00477340">
        <w:t xml:space="preserve">Capital </w:t>
      </w:r>
      <w:proofErr w:type="gramStart"/>
      <w:r w:rsidR="00A11994">
        <w:t>e</w:t>
      </w:r>
      <w:r w:rsidRPr="00477340">
        <w:t>xpenditure</w:t>
      </w:r>
      <w:proofErr w:type="gramEnd"/>
    </w:p>
    <w:p w14:paraId="6527F2DD" w14:textId="79269C9E" w:rsidR="00477340" w:rsidRPr="00CD590C" w:rsidRDefault="00477340" w:rsidP="00F83A51">
      <w:pPr>
        <w:pStyle w:val="BodyText"/>
      </w:pPr>
      <w:r w:rsidRPr="00CD590C">
        <w:t xml:space="preserve">In 2022-23, capital expenditure within the PNFC sector </w:t>
      </w:r>
      <w:r w:rsidR="002B112D" w:rsidRPr="00CD590C">
        <w:t>wa</w:t>
      </w:r>
      <w:r w:rsidRPr="00CD590C">
        <w:t>s $</w:t>
      </w:r>
      <w:r w:rsidR="00626E4A" w:rsidRPr="00CD590C">
        <w:t>5.6</w:t>
      </w:r>
      <w:r w:rsidRPr="00CD590C">
        <w:t xml:space="preserve"> billion, which is $</w:t>
      </w:r>
      <w:r w:rsidR="00626E4A" w:rsidRPr="00CD590C">
        <w:t>1.4</w:t>
      </w:r>
      <w:r w:rsidRPr="00CD590C">
        <w:t xml:space="preserve"> billion lower than </w:t>
      </w:r>
      <w:r w:rsidR="001075FB" w:rsidRPr="00CD590C">
        <w:t>project</w:t>
      </w:r>
      <w:r w:rsidR="00127066" w:rsidRPr="00CD590C">
        <w:t>ed</w:t>
      </w:r>
      <w:r w:rsidRPr="00CD590C">
        <w:t xml:space="preserve"> in the </w:t>
      </w:r>
      <w:r w:rsidR="000F78F5">
        <w:t>2022-</w:t>
      </w:r>
      <w:r w:rsidRPr="00CD590C">
        <w:t>23</w:t>
      </w:r>
      <w:r w:rsidR="008E5764">
        <w:t xml:space="preserve"> Half-Yearly Review</w:t>
      </w:r>
      <w:r w:rsidRPr="00CD590C">
        <w:t>. This is largely driven by</w:t>
      </w:r>
      <w:r w:rsidR="001532EC" w:rsidRPr="00CD590C">
        <w:t xml:space="preserve"> </w:t>
      </w:r>
      <w:r w:rsidR="00B85726" w:rsidRPr="00CD590C">
        <w:t xml:space="preserve">the updated project delivery profile of </w:t>
      </w:r>
      <w:r w:rsidR="001F3DC5" w:rsidRPr="00CD590C">
        <w:t>TAHE</w:t>
      </w:r>
      <w:r w:rsidR="00582274" w:rsidRPr="00CD590C">
        <w:t>.</w:t>
      </w:r>
      <w:r w:rsidR="007A66F1" w:rsidRPr="00CD590C">
        <w:t xml:space="preserve"> </w:t>
      </w:r>
    </w:p>
    <w:p w14:paraId="489CE92B" w14:textId="1E0AB07B" w:rsidR="00477340" w:rsidRPr="00CD590C" w:rsidRDefault="00CB15D6" w:rsidP="00F83A51">
      <w:pPr>
        <w:pStyle w:val="BodyText"/>
      </w:pPr>
      <w:r w:rsidRPr="00CD590C">
        <w:t>Over the four years to 2026-27, c</w:t>
      </w:r>
      <w:r w:rsidR="00477340" w:rsidRPr="00CD590C">
        <w:t xml:space="preserve">apital expenditure within the PNFC sector is </w:t>
      </w:r>
      <w:r w:rsidR="00D749F6" w:rsidRPr="00CD590C">
        <w:t>projected</w:t>
      </w:r>
      <w:r w:rsidR="00477340" w:rsidRPr="00CD590C">
        <w:t xml:space="preserve"> to be </w:t>
      </w:r>
      <w:r w:rsidR="00291B2F">
        <w:t>$31.0</w:t>
      </w:r>
      <w:r w:rsidR="00854E3F">
        <w:t xml:space="preserve"> billion, which is </w:t>
      </w:r>
      <w:r w:rsidR="00477340" w:rsidRPr="00CD590C">
        <w:t>$</w:t>
      </w:r>
      <w:r w:rsidR="008A05D5" w:rsidRPr="00CD590C">
        <w:t>4.7</w:t>
      </w:r>
      <w:r w:rsidR="00477340" w:rsidRPr="00CD590C">
        <w:t xml:space="preserve"> billion</w:t>
      </w:r>
      <w:r w:rsidR="006657B4" w:rsidRPr="00CD590C">
        <w:t xml:space="preserve"> higher than</w:t>
      </w:r>
      <w:r w:rsidR="007F35B1" w:rsidRPr="00CD590C">
        <w:t xml:space="preserve"> project</w:t>
      </w:r>
      <w:r w:rsidR="00127066" w:rsidRPr="00CD590C">
        <w:t>ed</w:t>
      </w:r>
      <w:r w:rsidR="007F35B1" w:rsidRPr="00CD590C">
        <w:t xml:space="preserve"> in th</w:t>
      </w:r>
      <w:r w:rsidR="00127066" w:rsidRPr="00CD590C">
        <w:t xml:space="preserve">e </w:t>
      </w:r>
      <w:r w:rsidR="008E5764">
        <w:t>2022-</w:t>
      </w:r>
      <w:r w:rsidR="008E5764" w:rsidRPr="00CD590C">
        <w:t>23</w:t>
      </w:r>
      <w:r w:rsidR="008E5764">
        <w:t xml:space="preserve"> Half-Yearly Review</w:t>
      </w:r>
      <w:r w:rsidR="007F35B1" w:rsidRPr="00CD590C">
        <w:t>.</w:t>
      </w:r>
      <w:r w:rsidR="00477340" w:rsidRPr="00CD590C">
        <w:t xml:space="preserve"> Key movements include:</w:t>
      </w:r>
    </w:p>
    <w:p w14:paraId="0F0A1BC9" w14:textId="64231D15" w:rsidR="00846995" w:rsidRPr="00F96F1B" w:rsidRDefault="00846995" w:rsidP="00681D2E">
      <w:pPr>
        <w:pStyle w:val="Bullet1"/>
      </w:pPr>
      <w:r w:rsidRPr="00CD590C">
        <w:t>$3.1 billion increase from Sydney Water predominantly driven by new growth projects, particularly in the W</w:t>
      </w:r>
      <w:r>
        <w:t xml:space="preserve">estern Sydney Aerotropolis Growth Area and </w:t>
      </w:r>
      <w:proofErr w:type="gramStart"/>
      <w:r>
        <w:t>South West</w:t>
      </w:r>
      <w:proofErr w:type="gramEnd"/>
      <w:r>
        <w:t xml:space="preserve"> Growth Area</w:t>
      </w:r>
    </w:p>
    <w:p w14:paraId="5368EA1D" w14:textId="7864F366" w:rsidR="006B37C1" w:rsidRPr="00F96F1B" w:rsidRDefault="006B37C1" w:rsidP="00681D2E">
      <w:pPr>
        <w:pStyle w:val="Bullet1"/>
      </w:pPr>
      <w:r w:rsidRPr="006B37C1">
        <w:t>$668.4 million increase from TAHE largely driven by updated project delivery profiles</w:t>
      </w:r>
      <w:r w:rsidR="005313B6">
        <w:t>,</w:t>
      </w:r>
      <w:r w:rsidR="00321A22">
        <w:t xml:space="preserve"> </w:t>
      </w:r>
      <w:r w:rsidRPr="006B37C1">
        <w:t>new investment to increase accessibility facilities and car parks at train stations</w:t>
      </w:r>
      <w:r w:rsidR="00B671BC">
        <w:t xml:space="preserve"> as well as increased financial costs </w:t>
      </w:r>
      <w:r w:rsidR="009E0687">
        <w:t xml:space="preserve">associated with rail delivery </w:t>
      </w:r>
      <w:proofErr w:type="gramStart"/>
      <w:r w:rsidR="009E0687">
        <w:t>programs</w:t>
      </w:r>
      <w:proofErr w:type="gramEnd"/>
    </w:p>
    <w:p w14:paraId="420570C9" w14:textId="00FE328F" w:rsidR="00846995" w:rsidRPr="000473C9" w:rsidRDefault="00846995" w:rsidP="00681D2E">
      <w:pPr>
        <w:pStyle w:val="Bullet1"/>
      </w:pPr>
      <w:r w:rsidRPr="000473C9">
        <w:lastRenderedPageBreak/>
        <w:t xml:space="preserve">$434.4 million increase from Essential Energy in relation to increased expenditure on network resilience, and higher future network related spend that supports changes in the way energy is sourced and shared </w:t>
      </w:r>
      <w:r w:rsidR="000F4715" w:rsidRPr="000473C9">
        <w:t>and enables greater levels of</w:t>
      </w:r>
      <w:r w:rsidRPr="000473C9" w:rsidDel="000F4715">
        <w:t xml:space="preserve"> </w:t>
      </w:r>
      <w:r w:rsidR="00971695" w:rsidRPr="000473C9">
        <w:t>renewables to connect</w:t>
      </w:r>
      <w:r w:rsidR="00A745A4" w:rsidRPr="000473C9">
        <w:t xml:space="preserve"> to the </w:t>
      </w:r>
      <w:proofErr w:type="gramStart"/>
      <w:r w:rsidR="00A745A4" w:rsidRPr="000473C9">
        <w:t>network</w:t>
      </w:r>
      <w:proofErr w:type="gramEnd"/>
    </w:p>
    <w:p w14:paraId="65C4B871" w14:textId="43885EFC" w:rsidR="00846995" w:rsidRPr="000473C9" w:rsidRDefault="00846995" w:rsidP="00681D2E">
      <w:pPr>
        <w:pStyle w:val="Bullet1"/>
      </w:pPr>
      <w:r w:rsidRPr="000473C9">
        <w:t xml:space="preserve">$388.0 million increase from </w:t>
      </w:r>
      <w:proofErr w:type="spellStart"/>
      <w:r w:rsidRPr="000473C9">
        <w:t>WaterNSW</w:t>
      </w:r>
      <w:proofErr w:type="spellEnd"/>
      <w:r w:rsidRPr="000473C9">
        <w:t xml:space="preserve"> primarily driven by higher projected expenditure on renewals and replacements of </w:t>
      </w:r>
      <w:proofErr w:type="spellStart"/>
      <w:r w:rsidRPr="000473C9">
        <w:t>WaterNSW’s</w:t>
      </w:r>
      <w:proofErr w:type="spellEnd"/>
      <w:r w:rsidRPr="000473C9">
        <w:t xml:space="preserve"> existing assets, along with investments in the previously deferred capital projects caused by the flood events and supply chain challenges</w:t>
      </w:r>
      <w:r w:rsidR="00B67856" w:rsidRPr="000473C9">
        <w:t>.</w:t>
      </w:r>
    </w:p>
    <w:p w14:paraId="21B60F68" w14:textId="77777777" w:rsidR="00424317" w:rsidRDefault="00477340" w:rsidP="00F83A51">
      <w:pPr>
        <w:pStyle w:val="BodyText"/>
      </w:pPr>
      <w:r w:rsidRPr="000473C9">
        <w:t>Chart 7.1 shows capital expenditure in the PNFC sector from 2022-23 to 2026-27.</w:t>
      </w:r>
    </w:p>
    <w:p w14:paraId="5E38358F" w14:textId="30F4282D" w:rsidR="00B87B50" w:rsidRPr="000473C9" w:rsidRDefault="00477340" w:rsidP="00F83A51">
      <w:pPr>
        <w:pStyle w:val="BodyText"/>
        <w:rPr>
          <w:i/>
          <w:iCs/>
        </w:rPr>
      </w:pPr>
      <w:r w:rsidRPr="000473C9">
        <w:t xml:space="preserve">Further details on </w:t>
      </w:r>
      <w:r w:rsidR="00F67119" w:rsidRPr="000473C9">
        <w:t xml:space="preserve">PNFC entities’ capital investment program </w:t>
      </w:r>
      <w:r w:rsidRPr="000473C9">
        <w:t>are provided in Budget Paper</w:t>
      </w:r>
      <w:r w:rsidR="00B87B50" w:rsidRPr="000473C9">
        <w:t> </w:t>
      </w:r>
      <w:r w:rsidRPr="000473C9">
        <w:t>No.3</w:t>
      </w:r>
      <w:r w:rsidRPr="000473C9">
        <w:rPr>
          <w:i/>
        </w:rPr>
        <w:t xml:space="preserve"> Infrastructure Statement.</w:t>
      </w:r>
    </w:p>
    <w:p w14:paraId="33FB1D94" w14:textId="77777777" w:rsidR="00477340" w:rsidRPr="00D766B6" w:rsidRDefault="00477340" w:rsidP="00D766B6">
      <w:pPr>
        <w:pStyle w:val="Chart7X"/>
      </w:pPr>
      <w:r w:rsidRPr="00D766B6">
        <w:t>Capital expenditure of the PNFC</w:t>
      </w:r>
      <w:r w:rsidRPr="00D766B6" w:rsidDel="00BA4390">
        <w:t xml:space="preserve"> </w:t>
      </w:r>
      <w:r w:rsidRPr="00D766B6">
        <w:t>sector</w:t>
      </w:r>
    </w:p>
    <w:p w14:paraId="7EF0B934" w14:textId="716023A7" w:rsidR="00477340" w:rsidRPr="000473C9" w:rsidRDefault="00F670EE" w:rsidP="00477340">
      <w:pPr>
        <w:rPr>
          <w:lang w:val="en-AU"/>
        </w:rPr>
      </w:pPr>
      <w:r>
        <w:rPr>
          <w:noProof/>
          <w:lang w:val="en-AU"/>
        </w:rPr>
        <w:drawing>
          <wp:inline distT="0" distB="0" distL="0" distR="0" wp14:anchorId="703BA91C" wp14:editId="00663A13">
            <wp:extent cx="5834380" cy="2676525"/>
            <wp:effectExtent l="0" t="0" r="0" b="0"/>
            <wp:docPr id="4" name="Picture 4" descr="Chart 7.1: Capital expenditure of the PNF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7.1: Capital expenditure of the PNFC s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380" cy="2676525"/>
                    </a:xfrm>
                    <a:prstGeom prst="rect">
                      <a:avLst/>
                    </a:prstGeom>
                    <a:noFill/>
                  </pic:spPr>
                </pic:pic>
              </a:graphicData>
            </a:graphic>
          </wp:inline>
        </w:drawing>
      </w:r>
    </w:p>
    <w:p w14:paraId="73DD58E0" w14:textId="56229207" w:rsidR="00477340" w:rsidRPr="000473C9" w:rsidRDefault="00477340" w:rsidP="00C71090">
      <w:pPr>
        <w:pStyle w:val="71Heading2"/>
      </w:pPr>
      <w:r w:rsidRPr="000473C9">
        <w:t>Major public financial corporations</w:t>
      </w:r>
    </w:p>
    <w:p w14:paraId="0DA778CC" w14:textId="7F7288A6" w:rsidR="00477340" w:rsidRPr="000473C9" w:rsidRDefault="00477340" w:rsidP="00105D21">
      <w:pPr>
        <w:pStyle w:val="Heading3"/>
        <w:tabs>
          <w:tab w:val="left" w:pos="5460"/>
        </w:tabs>
        <w:rPr>
          <w:rFonts w:ascii="Arial Bold" w:hAnsi="Arial Bold"/>
          <w:b w:val="0"/>
          <w:sz w:val="24"/>
        </w:rPr>
      </w:pPr>
      <w:r w:rsidRPr="000473C9">
        <w:t>NSW Treasury Corporation (TCorp)</w:t>
      </w:r>
      <w:r w:rsidRPr="000473C9">
        <w:rPr>
          <w:rFonts w:ascii="Arial Bold" w:hAnsi="Arial Bold"/>
          <w:bCs/>
          <w:sz w:val="24"/>
        </w:rPr>
        <w:t xml:space="preserve"> </w:t>
      </w:r>
      <w:r w:rsidR="00105D21">
        <w:rPr>
          <w:rFonts w:ascii="Arial Bold" w:hAnsi="Arial Bold"/>
          <w:bCs/>
          <w:sz w:val="24"/>
        </w:rPr>
        <w:tab/>
      </w:r>
    </w:p>
    <w:p w14:paraId="1A4EA91A" w14:textId="48FB742A" w:rsidR="00D6209F" w:rsidRPr="000473C9" w:rsidRDefault="00D6209F" w:rsidP="00F83A51">
      <w:pPr>
        <w:pStyle w:val="BodyText"/>
      </w:pPr>
      <w:proofErr w:type="spellStart"/>
      <w:r w:rsidRPr="000473C9">
        <w:t>T</w:t>
      </w:r>
      <w:r w:rsidR="00E502CB" w:rsidRPr="000473C9">
        <w:t>C</w:t>
      </w:r>
      <w:r w:rsidRPr="000473C9">
        <w:t>orp</w:t>
      </w:r>
      <w:proofErr w:type="spellEnd"/>
      <w:r w:rsidRPr="000473C9">
        <w:t xml:space="preserve"> is the State’s investment management agency and central financing authority. </w:t>
      </w:r>
    </w:p>
    <w:p w14:paraId="2B844A87" w14:textId="28A08E7A" w:rsidR="00477340" w:rsidRPr="000473C9" w:rsidRDefault="00D6209F" w:rsidP="00F83A51">
      <w:pPr>
        <w:pStyle w:val="BodyText"/>
        <w:rPr>
          <w:rFonts w:eastAsiaTheme="minorEastAsia"/>
        </w:rPr>
      </w:pPr>
      <w:proofErr w:type="spellStart"/>
      <w:r w:rsidRPr="000473C9">
        <w:t>T</w:t>
      </w:r>
      <w:r w:rsidR="00E502CB" w:rsidRPr="000473C9">
        <w:t>C</w:t>
      </w:r>
      <w:r w:rsidRPr="000473C9">
        <w:t>orp’s</w:t>
      </w:r>
      <w:proofErr w:type="spellEnd"/>
      <w:r w:rsidRPr="000473C9">
        <w:t xml:space="preserve"> total funds under management was </w:t>
      </w:r>
      <w:r w:rsidR="007155A3" w:rsidRPr="000473C9">
        <w:t>around</w:t>
      </w:r>
      <w:r w:rsidRPr="000473C9">
        <w:t xml:space="preserve"> $106</w:t>
      </w:r>
      <w:r w:rsidR="00B35EA1" w:rsidRPr="000473C9">
        <w:t>.0</w:t>
      </w:r>
      <w:r w:rsidRPr="000473C9">
        <w:t xml:space="preserve"> billion as </w:t>
      </w:r>
      <w:proofErr w:type="gramStart"/>
      <w:r w:rsidRPr="000473C9">
        <w:t>at</w:t>
      </w:r>
      <w:proofErr w:type="gramEnd"/>
      <w:r w:rsidRPr="000473C9">
        <w:t xml:space="preserve"> 30 June 2023, making it one of Australia’s largest fund managers.</w:t>
      </w:r>
      <w:r w:rsidR="004C1734" w:rsidRPr="000473C9">
        <w:t xml:space="preserve"> </w:t>
      </w:r>
      <w:proofErr w:type="spellStart"/>
      <w:r w:rsidRPr="000473C9">
        <w:t>T</w:t>
      </w:r>
      <w:r w:rsidR="00E502CB" w:rsidRPr="000473C9">
        <w:t>C</w:t>
      </w:r>
      <w:r w:rsidRPr="000473C9">
        <w:t>orp</w:t>
      </w:r>
      <w:proofErr w:type="spellEnd"/>
      <w:r w:rsidRPr="000473C9">
        <w:t xml:space="preserve"> raised $33.3</w:t>
      </w:r>
      <w:r w:rsidR="0078644C" w:rsidRPr="000473C9">
        <w:t xml:space="preserve"> </w:t>
      </w:r>
      <w:r w:rsidRPr="000473C9">
        <w:t xml:space="preserve">billion face value in debt funding and retired $3.3 billion during 2022-23. This includes raising $2.0 billion in </w:t>
      </w:r>
      <w:r w:rsidR="00FC62E1" w:rsidRPr="000473C9">
        <w:t>s</w:t>
      </w:r>
      <w:r w:rsidRPr="000473C9">
        <w:t xml:space="preserve">ustainability bonds, taking the </w:t>
      </w:r>
      <w:r w:rsidR="00FC62E1" w:rsidRPr="000473C9">
        <w:t>p</w:t>
      </w:r>
      <w:r w:rsidR="00DA3D7E" w:rsidRPr="000473C9">
        <w:t>rogram</w:t>
      </w:r>
      <w:r w:rsidRPr="000473C9">
        <w:t xml:space="preserve"> to $9.2 billion</w:t>
      </w:r>
      <w:r w:rsidR="00691ED9" w:rsidRPr="000473C9">
        <w:t xml:space="preserve"> and</w:t>
      </w:r>
      <w:r w:rsidRPr="000473C9">
        <w:t xml:space="preserve"> mak</w:t>
      </w:r>
      <w:r w:rsidR="00297AFE" w:rsidRPr="000473C9">
        <w:t>ing</w:t>
      </w:r>
      <w:r w:rsidRPr="000473C9">
        <w:t xml:space="preserve"> </w:t>
      </w:r>
      <w:proofErr w:type="spellStart"/>
      <w:r w:rsidRPr="000473C9">
        <w:t>T</w:t>
      </w:r>
      <w:r w:rsidR="00E502CB" w:rsidRPr="000473C9">
        <w:t>C</w:t>
      </w:r>
      <w:r w:rsidRPr="000473C9">
        <w:t>orp</w:t>
      </w:r>
      <w:proofErr w:type="spellEnd"/>
      <w:r w:rsidRPr="000473C9">
        <w:t xml:space="preserve"> one of the largest </w:t>
      </w:r>
      <w:r w:rsidR="007A2292" w:rsidRPr="000473C9">
        <w:t>g</w:t>
      </w:r>
      <w:r w:rsidRPr="000473C9">
        <w:t xml:space="preserve">overnment issuers of </w:t>
      </w:r>
      <w:r w:rsidR="00D92E47" w:rsidRPr="000473C9">
        <w:t xml:space="preserve">sustainability </w:t>
      </w:r>
      <w:r w:rsidRPr="000473C9">
        <w:t>bonds in Australia.</w:t>
      </w:r>
      <w:r w:rsidR="00477340" w:rsidRPr="000473C9">
        <w:rPr>
          <w:rFonts w:eastAsiaTheme="minorEastAsia"/>
          <w:szCs w:val="23"/>
          <w:lang w:eastAsia="en-AU"/>
        </w:rPr>
        <w:t xml:space="preserve"> </w:t>
      </w:r>
    </w:p>
    <w:p w14:paraId="41C10C80" w14:textId="7D598849" w:rsidR="00530FCC" w:rsidRPr="007F5617" w:rsidRDefault="00314EC2" w:rsidP="00F83A51">
      <w:pPr>
        <w:pStyle w:val="BodyText"/>
        <w:rPr>
          <w:szCs w:val="19"/>
        </w:rPr>
      </w:pPr>
      <w:r w:rsidRPr="000473C9">
        <w:rPr>
          <w:rFonts w:eastAsiaTheme="minorEastAsia"/>
          <w:lang w:eastAsia="en-AU"/>
        </w:rPr>
        <w:t xml:space="preserve">Chapter </w:t>
      </w:r>
      <w:r w:rsidR="000A0296" w:rsidRPr="000473C9">
        <w:rPr>
          <w:rFonts w:eastAsiaTheme="minorEastAsia"/>
          <w:lang w:eastAsia="en-AU"/>
        </w:rPr>
        <w:t>6</w:t>
      </w:r>
      <w:r w:rsidRPr="000473C9">
        <w:rPr>
          <w:rFonts w:eastAsiaTheme="minorEastAsia"/>
          <w:lang w:eastAsia="en-AU"/>
        </w:rPr>
        <w:t xml:space="preserve"> and Appendix </w:t>
      </w:r>
      <w:r w:rsidR="000A0296" w:rsidRPr="000473C9">
        <w:rPr>
          <w:rFonts w:eastAsiaTheme="minorEastAsia"/>
          <w:lang w:eastAsia="en-AU"/>
        </w:rPr>
        <w:t>B</w:t>
      </w:r>
      <w:r w:rsidR="00ED524E" w:rsidRPr="000473C9">
        <w:rPr>
          <w:rFonts w:eastAsiaTheme="minorEastAsia"/>
          <w:lang w:eastAsia="en-AU"/>
        </w:rPr>
        <w:t xml:space="preserve"> of </w:t>
      </w:r>
      <w:r w:rsidR="00D51ABE">
        <w:rPr>
          <w:rFonts w:eastAsiaTheme="minorEastAsia"/>
          <w:lang w:eastAsia="en-AU"/>
        </w:rPr>
        <w:t>this budget paper</w:t>
      </w:r>
      <w:r w:rsidR="007F5617" w:rsidRPr="000473C9">
        <w:rPr>
          <w:rFonts w:eastAsiaTheme="minorEastAsia"/>
          <w:i/>
          <w:lang w:eastAsia="en-AU"/>
        </w:rPr>
        <w:t xml:space="preserve"> </w:t>
      </w:r>
      <w:r w:rsidR="007F5617" w:rsidRPr="000473C9">
        <w:rPr>
          <w:rFonts w:eastAsiaTheme="minorEastAsia"/>
          <w:lang w:eastAsia="en-AU"/>
        </w:rPr>
        <w:t>provide</w:t>
      </w:r>
      <w:r w:rsidR="003B4B96" w:rsidRPr="000473C9">
        <w:rPr>
          <w:rFonts w:eastAsiaTheme="minorEastAsia"/>
          <w:lang w:eastAsia="en-AU"/>
        </w:rPr>
        <w:t xml:space="preserve"> further</w:t>
      </w:r>
      <w:r w:rsidR="007F5617" w:rsidRPr="000473C9">
        <w:rPr>
          <w:rFonts w:eastAsiaTheme="minorEastAsia"/>
          <w:lang w:eastAsia="en-AU"/>
        </w:rPr>
        <w:t xml:space="preserve"> detail </w:t>
      </w:r>
      <w:r w:rsidR="00980C80" w:rsidRPr="000473C9">
        <w:rPr>
          <w:rFonts w:eastAsiaTheme="minorEastAsia"/>
          <w:lang w:eastAsia="en-AU"/>
        </w:rPr>
        <w:t xml:space="preserve">on </w:t>
      </w:r>
      <w:proofErr w:type="spellStart"/>
      <w:r w:rsidR="007F5617" w:rsidRPr="000473C9">
        <w:rPr>
          <w:rFonts w:eastAsiaTheme="minorEastAsia"/>
          <w:lang w:eastAsia="en-AU"/>
        </w:rPr>
        <w:t>T</w:t>
      </w:r>
      <w:r w:rsidR="00E502CB" w:rsidRPr="000473C9">
        <w:rPr>
          <w:rFonts w:eastAsiaTheme="minorEastAsia"/>
          <w:lang w:eastAsia="en-AU"/>
        </w:rPr>
        <w:t>C</w:t>
      </w:r>
      <w:r w:rsidR="007F5617" w:rsidRPr="000473C9">
        <w:rPr>
          <w:rFonts w:eastAsiaTheme="minorEastAsia"/>
          <w:lang w:eastAsia="en-AU"/>
        </w:rPr>
        <w:t>orp’s</w:t>
      </w:r>
      <w:proofErr w:type="spellEnd"/>
      <w:r w:rsidR="007F5617" w:rsidRPr="000473C9">
        <w:rPr>
          <w:rFonts w:eastAsiaTheme="minorEastAsia"/>
          <w:lang w:eastAsia="en-AU"/>
        </w:rPr>
        <w:t xml:space="preserve"> </w:t>
      </w:r>
      <w:r w:rsidR="00E34E9A" w:rsidRPr="000473C9">
        <w:rPr>
          <w:rFonts w:eastAsiaTheme="minorEastAsia"/>
          <w:lang w:eastAsia="en-AU"/>
        </w:rPr>
        <w:t>investment and financial risk management</w:t>
      </w:r>
      <w:r w:rsidR="00A57B1C" w:rsidRPr="000473C9">
        <w:rPr>
          <w:rFonts w:eastAsiaTheme="minorEastAsia"/>
          <w:lang w:eastAsia="en-AU"/>
        </w:rPr>
        <w:t xml:space="preserve"> activitie</w:t>
      </w:r>
      <w:r w:rsidR="00781347" w:rsidRPr="000473C9">
        <w:rPr>
          <w:rFonts w:eastAsiaTheme="minorEastAsia"/>
          <w:lang w:eastAsia="en-AU"/>
        </w:rPr>
        <w:t xml:space="preserve">s </w:t>
      </w:r>
      <w:r w:rsidR="002230FE" w:rsidRPr="000473C9">
        <w:rPr>
          <w:rFonts w:eastAsiaTheme="minorEastAsia"/>
          <w:lang w:eastAsia="en-AU"/>
        </w:rPr>
        <w:t xml:space="preserve">which </w:t>
      </w:r>
      <w:r w:rsidR="00781347" w:rsidRPr="000473C9">
        <w:rPr>
          <w:rFonts w:eastAsiaTheme="minorEastAsia"/>
          <w:lang w:eastAsia="en-AU"/>
        </w:rPr>
        <w:t>contribut</w:t>
      </w:r>
      <w:r w:rsidR="00365E03" w:rsidRPr="000473C9">
        <w:rPr>
          <w:rFonts w:eastAsiaTheme="minorEastAsia"/>
          <w:lang w:eastAsia="en-AU"/>
        </w:rPr>
        <w:t>e</w:t>
      </w:r>
      <w:r w:rsidR="00781347" w:rsidRPr="000473C9">
        <w:rPr>
          <w:rFonts w:eastAsiaTheme="minorEastAsia"/>
          <w:lang w:eastAsia="en-AU"/>
        </w:rPr>
        <w:t xml:space="preserve"> to </w:t>
      </w:r>
      <w:r w:rsidR="00C57AF8" w:rsidRPr="000473C9">
        <w:rPr>
          <w:rFonts w:eastAsiaTheme="minorEastAsia"/>
          <w:lang w:eastAsia="en-AU"/>
        </w:rPr>
        <w:t xml:space="preserve">delivering </w:t>
      </w:r>
      <w:r w:rsidR="00365E03" w:rsidRPr="000473C9">
        <w:rPr>
          <w:rFonts w:eastAsiaTheme="minorEastAsia"/>
          <w:lang w:eastAsia="en-AU"/>
        </w:rPr>
        <w:t xml:space="preserve">the </w:t>
      </w:r>
      <w:r w:rsidR="008C56C1" w:rsidRPr="000473C9">
        <w:rPr>
          <w:rFonts w:eastAsiaTheme="minorEastAsia"/>
          <w:lang w:eastAsia="en-AU"/>
        </w:rPr>
        <w:t>whole</w:t>
      </w:r>
      <w:r w:rsidR="00444523">
        <w:rPr>
          <w:rFonts w:eastAsiaTheme="minorEastAsia"/>
          <w:lang w:eastAsia="en-AU"/>
        </w:rPr>
        <w:t>-</w:t>
      </w:r>
      <w:r w:rsidR="008C56C1" w:rsidRPr="000473C9">
        <w:rPr>
          <w:rFonts w:eastAsiaTheme="minorEastAsia"/>
          <w:lang w:eastAsia="en-AU"/>
        </w:rPr>
        <w:t>of</w:t>
      </w:r>
      <w:r w:rsidR="00444523">
        <w:rPr>
          <w:rFonts w:eastAsiaTheme="minorEastAsia"/>
          <w:lang w:eastAsia="en-AU"/>
        </w:rPr>
        <w:t>-</w:t>
      </w:r>
      <w:r w:rsidR="008C56C1" w:rsidRPr="000473C9">
        <w:rPr>
          <w:rFonts w:eastAsiaTheme="minorEastAsia"/>
          <w:lang w:eastAsia="en-AU"/>
        </w:rPr>
        <w:t>state</w:t>
      </w:r>
      <w:r w:rsidR="00C57AF8" w:rsidRPr="000473C9">
        <w:rPr>
          <w:rFonts w:eastAsiaTheme="minorEastAsia"/>
          <w:lang w:eastAsia="en-AU"/>
        </w:rPr>
        <w:t xml:space="preserve"> </w:t>
      </w:r>
      <w:r w:rsidR="00365E03" w:rsidRPr="000473C9">
        <w:rPr>
          <w:rFonts w:eastAsiaTheme="minorEastAsia"/>
          <w:lang w:eastAsia="en-AU"/>
        </w:rPr>
        <w:t xml:space="preserve">financial </w:t>
      </w:r>
      <w:r w:rsidR="00C57AF8" w:rsidRPr="000473C9">
        <w:rPr>
          <w:rFonts w:eastAsiaTheme="minorEastAsia"/>
          <w:lang w:eastAsia="en-AU"/>
        </w:rPr>
        <w:t>outcomes</w:t>
      </w:r>
      <w:r w:rsidR="00085FAD" w:rsidRPr="000473C9">
        <w:rPr>
          <w:rFonts w:eastAsiaTheme="minorEastAsia"/>
          <w:lang w:eastAsia="en-AU"/>
        </w:rPr>
        <w:t xml:space="preserve"> over the </w:t>
      </w:r>
      <w:r w:rsidR="001676DC" w:rsidRPr="000473C9">
        <w:rPr>
          <w:rFonts w:eastAsiaTheme="minorEastAsia"/>
          <w:lang w:eastAsia="en-AU"/>
        </w:rPr>
        <w:t>b</w:t>
      </w:r>
      <w:r w:rsidR="009D5731" w:rsidRPr="000473C9">
        <w:rPr>
          <w:rFonts w:eastAsiaTheme="minorEastAsia"/>
          <w:lang w:eastAsia="en-AU"/>
        </w:rPr>
        <w:t xml:space="preserve">udget </w:t>
      </w:r>
      <w:r w:rsidR="00A15C92" w:rsidRPr="000473C9">
        <w:rPr>
          <w:rFonts w:eastAsiaTheme="minorEastAsia"/>
          <w:lang w:eastAsia="en-AU"/>
        </w:rPr>
        <w:t xml:space="preserve">year </w:t>
      </w:r>
      <w:r w:rsidR="009D5731" w:rsidRPr="000473C9">
        <w:rPr>
          <w:rFonts w:eastAsiaTheme="minorEastAsia"/>
          <w:lang w:eastAsia="en-AU"/>
        </w:rPr>
        <w:t>and</w:t>
      </w:r>
      <w:r w:rsidR="009D5731">
        <w:rPr>
          <w:rFonts w:eastAsiaTheme="minorEastAsia"/>
          <w:lang w:eastAsia="en-AU"/>
        </w:rPr>
        <w:t xml:space="preserve"> forward estimates.</w:t>
      </w:r>
    </w:p>
    <w:p w14:paraId="173EDBE1" w14:textId="77777777" w:rsidR="003B50A4" w:rsidRDefault="003B50A4">
      <w:pPr>
        <w:rPr>
          <w:rFonts w:ascii="Public Sans SemiBold" w:hAnsi="Public Sans SemiBold"/>
          <w:b/>
          <w:color w:val="22272B"/>
          <w:kern w:val="28"/>
          <w:sz w:val="26"/>
          <w:szCs w:val="36"/>
          <w:lang w:val="en-AU"/>
        </w:rPr>
      </w:pPr>
      <w:r>
        <w:br w:type="page"/>
      </w:r>
    </w:p>
    <w:p w14:paraId="0D2BDD8F" w14:textId="01222DAC" w:rsidR="00477340" w:rsidRPr="00477340" w:rsidRDefault="00477340" w:rsidP="00190614">
      <w:pPr>
        <w:pStyle w:val="Heading3"/>
        <w:rPr>
          <w:rFonts w:ascii="Arial Bold" w:eastAsia="Calibri" w:hAnsi="Arial Bold"/>
          <w:b w:val="0"/>
          <w:sz w:val="24"/>
        </w:rPr>
      </w:pPr>
      <w:r w:rsidRPr="00477340">
        <w:lastRenderedPageBreak/>
        <w:t>I</w:t>
      </w:r>
      <w:r w:rsidRPr="00477340">
        <w:rPr>
          <w:rFonts w:ascii="Arial Bold" w:hAnsi="Arial Bold"/>
          <w:b w:val="0"/>
          <w:sz w:val="24"/>
        </w:rPr>
        <w:t>nsurance and Care NSW (icare)</w:t>
      </w:r>
    </w:p>
    <w:p w14:paraId="6FD82B21" w14:textId="1612A1BB" w:rsidR="00C52FC6" w:rsidRDefault="00C52FC6" w:rsidP="00F83A51">
      <w:pPr>
        <w:pStyle w:val="BodyText"/>
      </w:pPr>
      <w:r>
        <w:t xml:space="preserve">icare is the </w:t>
      </w:r>
      <w:r w:rsidR="000B6ED7">
        <w:t xml:space="preserve">State’s </w:t>
      </w:r>
      <w:r>
        <w:t xml:space="preserve">social insurer with the purpose to protect, insure and care for the State’s people, </w:t>
      </w:r>
      <w:proofErr w:type="gramStart"/>
      <w:r>
        <w:t>businesses</w:t>
      </w:r>
      <w:proofErr w:type="gramEnd"/>
      <w:r>
        <w:t xml:space="preserve"> and assets. </w:t>
      </w:r>
    </w:p>
    <w:p w14:paraId="3913E6AB" w14:textId="53512F01" w:rsidR="00C43066" w:rsidRDefault="00C52FC6" w:rsidP="00F83A51">
      <w:pPr>
        <w:pStyle w:val="BodyText"/>
      </w:pPr>
      <w:proofErr w:type="spellStart"/>
      <w:r>
        <w:t>icare's</w:t>
      </w:r>
      <w:proofErr w:type="spellEnd"/>
      <w:r>
        <w:t xml:space="preserve"> multi-year improvement program ensures</w:t>
      </w:r>
      <w:r w:rsidR="006907CE">
        <w:t>:</w:t>
      </w:r>
    </w:p>
    <w:p w14:paraId="3811C195" w14:textId="77777777" w:rsidR="00C43066" w:rsidRDefault="00C52FC6" w:rsidP="00681D2E">
      <w:pPr>
        <w:pStyle w:val="Bullet1"/>
      </w:pPr>
      <w:r>
        <w:t>effective embedment of governance and risk management</w:t>
      </w:r>
    </w:p>
    <w:p w14:paraId="455B1041" w14:textId="77777777" w:rsidR="00C43066" w:rsidRDefault="00C52FC6" w:rsidP="00681D2E">
      <w:pPr>
        <w:pStyle w:val="Bullet1"/>
      </w:pPr>
      <w:r>
        <w:t>cultural improvements</w:t>
      </w:r>
    </w:p>
    <w:p w14:paraId="56C1AA47" w14:textId="2B403D11" w:rsidR="00C43066" w:rsidRDefault="00C52FC6" w:rsidP="00681D2E">
      <w:pPr>
        <w:pStyle w:val="Bullet1"/>
      </w:pPr>
      <w:r>
        <w:t>improved return to work</w:t>
      </w:r>
      <w:r w:rsidR="00BD6DCD">
        <w:t xml:space="preserve"> outcomes</w:t>
      </w:r>
    </w:p>
    <w:p w14:paraId="32019D9B" w14:textId="77777777" w:rsidR="006907CE" w:rsidRDefault="006907CE" w:rsidP="00681D2E">
      <w:pPr>
        <w:pStyle w:val="Bullet1"/>
      </w:pPr>
      <w:r>
        <w:t xml:space="preserve">improved </w:t>
      </w:r>
      <w:r w:rsidR="00C52FC6">
        <w:t>claims servicing</w:t>
      </w:r>
    </w:p>
    <w:p w14:paraId="25CE8D88" w14:textId="77777777" w:rsidR="006907CE" w:rsidRDefault="00C52FC6" w:rsidP="00681D2E">
      <w:pPr>
        <w:pStyle w:val="Bullet1"/>
      </w:pPr>
      <w:r>
        <w:t>better outcomes for the customers they serve.</w:t>
      </w:r>
    </w:p>
    <w:p w14:paraId="52FB8AF9" w14:textId="6610991B" w:rsidR="00C52FC6" w:rsidRDefault="00C52FC6" w:rsidP="00F83A51">
      <w:pPr>
        <w:pStyle w:val="BodyText"/>
      </w:pPr>
      <w:r>
        <w:t xml:space="preserve">There has been strong focus on change management and maintaining momentum to address the remaining 86 recommendations </w:t>
      </w:r>
      <w:r w:rsidR="00DC49C3" w:rsidRPr="00DC49C3">
        <w:t xml:space="preserve">from the McDougall Review and </w:t>
      </w:r>
      <w:r w:rsidR="00554504" w:rsidRPr="00554504">
        <w:t>G</w:t>
      </w:r>
      <w:r w:rsidR="00053ADF">
        <w:t>AC</w:t>
      </w:r>
      <w:r w:rsidR="00554504" w:rsidRPr="00554504">
        <w:t xml:space="preserve"> Review</w:t>
      </w:r>
      <w:r w:rsidR="00554504" w:rsidRPr="00554504" w:rsidDel="00554504">
        <w:rPr>
          <w:rStyle w:val="CommentReference"/>
          <w:sz w:val="22"/>
          <w:szCs w:val="20"/>
        </w:rPr>
        <w:t xml:space="preserve"> </w:t>
      </w:r>
      <w:r>
        <w:t>which underpin this improvement program. icare will progressively complete the recommendations throughout 2023-24.</w:t>
      </w:r>
    </w:p>
    <w:p w14:paraId="170F584A" w14:textId="5DD996D9" w:rsidR="00C52FC6" w:rsidRDefault="00C52FC6" w:rsidP="00F83A51">
      <w:pPr>
        <w:pStyle w:val="BodyText"/>
      </w:pPr>
      <w:r>
        <w:t xml:space="preserve">The move to multiple service providers and the introduction of performance-related incentives for claims management is intended to deliver significantly improved claims experience for </w:t>
      </w:r>
      <w:r w:rsidR="001D4D12">
        <w:t>injured</w:t>
      </w:r>
      <w:r>
        <w:t xml:space="preserve"> workers</w:t>
      </w:r>
      <w:r w:rsidR="001D4D12">
        <w:t xml:space="preserve"> across the State</w:t>
      </w:r>
      <w:r>
        <w:t xml:space="preserve"> and help them to return to work as soon as possible.</w:t>
      </w:r>
    </w:p>
    <w:p w14:paraId="4F7376AD" w14:textId="77777777" w:rsidR="003A1F85" w:rsidRDefault="003A1F85" w:rsidP="003A1F85">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4: Mental health return to work trial initiative for essential workers "/>
        <w:tblDescription w:val="Box 7.4: Mental health return to work trial initiative for essential workers "/>
      </w:tblPr>
      <w:tblGrid>
        <w:gridCol w:w="9637"/>
      </w:tblGrid>
      <w:tr w:rsidR="00682982" w:rsidRPr="00477340" w14:paraId="7BCA39FC" w14:textId="77777777" w:rsidTr="002C1300">
        <w:trPr>
          <w:trHeight w:val="720"/>
        </w:trPr>
        <w:tc>
          <w:tcPr>
            <w:tcW w:w="9637" w:type="dxa"/>
            <w:shd w:val="pct5" w:color="auto" w:fill="auto"/>
          </w:tcPr>
          <w:p w14:paraId="34FAC2C7" w14:textId="445D1F22" w:rsidR="00682982" w:rsidRPr="00A40D0C" w:rsidRDefault="00682982" w:rsidP="00AC319F">
            <w:pPr>
              <w:pStyle w:val="Box7XBoxHeading"/>
              <w:rPr>
                <w:rFonts w:eastAsiaTheme="minorEastAsia"/>
                <w:lang w:eastAsia="en-AU"/>
              </w:rPr>
            </w:pPr>
            <w:r w:rsidRPr="00682982">
              <w:t xml:space="preserve">Mental health return to work trial initiative for </w:t>
            </w:r>
            <w:r w:rsidR="000D4D1F">
              <w:t>e</w:t>
            </w:r>
            <w:r w:rsidRPr="00682982">
              <w:t>ssential workers</w:t>
            </w:r>
            <w:r w:rsidRPr="00A40D0C">
              <w:rPr>
                <w:rFonts w:eastAsiaTheme="minorEastAsia"/>
                <w:lang w:eastAsia="en-AU"/>
              </w:rPr>
              <w:t xml:space="preserve"> </w:t>
            </w:r>
          </w:p>
          <w:p w14:paraId="5A0AAA8D" w14:textId="751B63C4" w:rsidR="00F41D8F" w:rsidRDefault="00BB0A79" w:rsidP="00F83A51">
            <w:pPr>
              <w:pStyle w:val="BodyText"/>
              <w:rPr>
                <w:rFonts w:eastAsiaTheme="minorEastAsia"/>
                <w:lang w:eastAsia="en-AU"/>
              </w:rPr>
            </w:pPr>
            <w:proofErr w:type="spellStart"/>
            <w:r w:rsidRPr="00EF1D87">
              <w:rPr>
                <w:rFonts w:eastAsiaTheme="minorEastAsia"/>
                <w:lang w:eastAsia="en-AU"/>
              </w:rPr>
              <w:t>icare's</w:t>
            </w:r>
            <w:proofErr w:type="spellEnd"/>
            <w:r w:rsidRPr="00EF1D87">
              <w:rPr>
                <w:rFonts w:eastAsiaTheme="minorEastAsia"/>
                <w:lang w:eastAsia="en-AU"/>
              </w:rPr>
              <w:t xml:space="preserve"> Front of Mind initiative involves rolling out interventions that provide prevention and early intervention support for first responders and frontline workers</w:t>
            </w:r>
            <w:r w:rsidR="00D83E66">
              <w:rPr>
                <w:rFonts w:eastAsiaTheme="minorEastAsia"/>
                <w:lang w:eastAsia="en-AU"/>
              </w:rPr>
              <w:t xml:space="preserve"> across the State</w:t>
            </w:r>
            <w:r w:rsidRPr="00EF1D87">
              <w:rPr>
                <w:rFonts w:eastAsiaTheme="minorEastAsia"/>
                <w:lang w:eastAsia="en-AU"/>
              </w:rPr>
              <w:t>. The five-year integrated initiative commenced in July 2020 and involves collaboration between icare and a consortium of leading experts in mental health</w:t>
            </w:r>
            <w:r w:rsidR="00986C80">
              <w:rPr>
                <w:rFonts w:eastAsiaTheme="minorEastAsia"/>
                <w:lang w:eastAsia="en-AU"/>
              </w:rPr>
              <w:t>,</w:t>
            </w:r>
            <w:r w:rsidRPr="00EF1D87">
              <w:rPr>
                <w:rFonts w:eastAsiaTheme="minorEastAsia"/>
                <w:lang w:eastAsia="en-AU"/>
              </w:rPr>
              <w:t xml:space="preserve"> and four participating NSW</w:t>
            </w:r>
            <w:r w:rsidR="001D7E86">
              <w:rPr>
                <w:rFonts w:eastAsiaTheme="minorEastAsia"/>
                <w:lang w:eastAsia="en-AU"/>
              </w:rPr>
              <w:t> </w:t>
            </w:r>
            <w:r w:rsidR="00D83E66">
              <w:rPr>
                <w:rFonts w:eastAsiaTheme="minorEastAsia"/>
                <w:lang w:eastAsia="en-AU"/>
              </w:rPr>
              <w:t xml:space="preserve">Government </w:t>
            </w:r>
            <w:r w:rsidRPr="00EF1D87">
              <w:rPr>
                <w:rFonts w:eastAsiaTheme="minorEastAsia"/>
                <w:lang w:eastAsia="en-AU"/>
              </w:rPr>
              <w:t xml:space="preserve">agencies: </w:t>
            </w:r>
          </w:p>
          <w:p w14:paraId="03B5245E" w14:textId="77777777" w:rsidR="00F41D8F" w:rsidRDefault="00BB0A79" w:rsidP="00681D2E">
            <w:pPr>
              <w:pStyle w:val="Bullet1"/>
            </w:pPr>
            <w:r w:rsidRPr="00EF1D87">
              <w:t>Department of Communities and Justice</w:t>
            </w:r>
          </w:p>
          <w:p w14:paraId="379F6143" w14:textId="14270A44" w:rsidR="00F41D8F" w:rsidRDefault="00BB0A79" w:rsidP="00681D2E">
            <w:pPr>
              <w:pStyle w:val="Bullet1"/>
            </w:pPr>
            <w:r w:rsidRPr="00EF1D87">
              <w:t>Fire and Rescue NSW</w:t>
            </w:r>
          </w:p>
          <w:p w14:paraId="788AD85A" w14:textId="77777777" w:rsidR="00F41D8F" w:rsidRDefault="00BB0A79" w:rsidP="00681D2E">
            <w:pPr>
              <w:pStyle w:val="Bullet1"/>
            </w:pPr>
            <w:r w:rsidRPr="00EF1D87">
              <w:t xml:space="preserve">NSW Ambulance </w:t>
            </w:r>
          </w:p>
          <w:p w14:paraId="00ABE62C" w14:textId="38C18E59" w:rsidR="00BB0A79" w:rsidRPr="00EF1D87" w:rsidRDefault="00BB0A79" w:rsidP="00681D2E">
            <w:pPr>
              <w:pStyle w:val="Bullet1"/>
            </w:pPr>
            <w:r w:rsidRPr="00EF1D87">
              <w:t>NSW Police.</w:t>
            </w:r>
          </w:p>
          <w:p w14:paraId="5DA9E8F8" w14:textId="36CF3B35" w:rsidR="00BB0A79" w:rsidRPr="00EF1D87" w:rsidRDefault="00BB0A79" w:rsidP="00F83A51">
            <w:pPr>
              <w:pStyle w:val="BodyText"/>
              <w:rPr>
                <w:rFonts w:eastAsiaTheme="minorEastAsia"/>
                <w:lang w:eastAsia="en-AU"/>
              </w:rPr>
            </w:pPr>
            <w:r w:rsidRPr="00EF1D87">
              <w:rPr>
                <w:rFonts w:eastAsiaTheme="minorEastAsia"/>
                <w:lang w:eastAsia="en-AU"/>
              </w:rPr>
              <w:t xml:space="preserve">The initiative aims to develop a range of tailored, innovative interventions to reduce </w:t>
            </w:r>
            <w:r w:rsidR="009B520A">
              <w:rPr>
                <w:rFonts w:eastAsiaTheme="minorEastAsia"/>
                <w:lang w:eastAsia="en-AU"/>
              </w:rPr>
              <w:t xml:space="preserve">the </w:t>
            </w:r>
            <w:r w:rsidRPr="00EF1D87">
              <w:rPr>
                <w:rFonts w:eastAsiaTheme="minorEastAsia"/>
                <w:lang w:eastAsia="en-AU"/>
              </w:rPr>
              <w:t>risk and severity of psychological injury and associated injury claims. Front of Mind puts research</w:t>
            </w:r>
            <w:r>
              <w:rPr>
                <w:rFonts w:eastAsiaTheme="minorEastAsia"/>
                <w:lang w:eastAsia="en-AU"/>
              </w:rPr>
              <w:t xml:space="preserve"> </w:t>
            </w:r>
            <w:r w:rsidRPr="00EF1D87">
              <w:rPr>
                <w:rFonts w:eastAsiaTheme="minorEastAsia"/>
                <w:lang w:eastAsia="en-AU"/>
              </w:rPr>
              <w:t>into</w:t>
            </w:r>
            <w:r>
              <w:rPr>
                <w:rFonts w:eastAsiaTheme="minorEastAsia"/>
                <w:lang w:eastAsia="en-AU"/>
              </w:rPr>
              <w:t xml:space="preserve"> </w:t>
            </w:r>
            <w:r w:rsidRPr="00EF1D87">
              <w:rPr>
                <w:rFonts w:eastAsiaTheme="minorEastAsia"/>
                <w:lang w:eastAsia="en-AU"/>
              </w:rPr>
              <w:t>practice</w:t>
            </w:r>
            <w:r w:rsidR="0061118C">
              <w:rPr>
                <w:rFonts w:eastAsiaTheme="minorEastAsia"/>
                <w:lang w:eastAsia="en-AU"/>
              </w:rPr>
              <w:t>, allow</w:t>
            </w:r>
            <w:r w:rsidR="000D177B">
              <w:rPr>
                <w:rFonts w:eastAsiaTheme="minorEastAsia"/>
                <w:lang w:eastAsia="en-AU"/>
              </w:rPr>
              <w:t>ing</w:t>
            </w:r>
            <w:r w:rsidR="0061118C">
              <w:rPr>
                <w:rFonts w:eastAsiaTheme="minorEastAsia"/>
                <w:lang w:eastAsia="en-AU"/>
              </w:rPr>
              <w:t xml:space="preserve"> icare and the</w:t>
            </w:r>
            <w:r w:rsidR="0034543C">
              <w:rPr>
                <w:rFonts w:eastAsiaTheme="minorEastAsia"/>
                <w:lang w:eastAsia="en-AU"/>
              </w:rPr>
              <w:t xml:space="preserve"> NSW </w:t>
            </w:r>
            <w:r w:rsidR="00D91E1F">
              <w:rPr>
                <w:rFonts w:eastAsiaTheme="minorEastAsia"/>
                <w:lang w:eastAsia="en-AU"/>
              </w:rPr>
              <w:t xml:space="preserve">Government </w:t>
            </w:r>
            <w:r w:rsidR="00713FD7">
              <w:rPr>
                <w:rFonts w:eastAsiaTheme="minorEastAsia"/>
                <w:lang w:eastAsia="en-AU"/>
              </w:rPr>
              <w:t>agencies</w:t>
            </w:r>
            <w:r w:rsidR="007810D4">
              <w:rPr>
                <w:rFonts w:eastAsiaTheme="minorEastAsia"/>
                <w:lang w:eastAsia="en-AU"/>
              </w:rPr>
              <w:t xml:space="preserve"> to</w:t>
            </w:r>
            <w:r w:rsidR="0034543C">
              <w:rPr>
                <w:rFonts w:eastAsiaTheme="minorEastAsia"/>
                <w:lang w:eastAsia="en-AU"/>
              </w:rPr>
              <w:t xml:space="preserve"> understand </w:t>
            </w:r>
            <w:r w:rsidR="00D91E1F">
              <w:rPr>
                <w:rFonts w:eastAsiaTheme="minorEastAsia"/>
                <w:lang w:eastAsia="en-AU"/>
              </w:rPr>
              <w:t xml:space="preserve">some of </w:t>
            </w:r>
            <w:r w:rsidR="0034543C">
              <w:rPr>
                <w:rFonts w:eastAsiaTheme="minorEastAsia"/>
                <w:lang w:eastAsia="en-AU"/>
              </w:rPr>
              <w:t xml:space="preserve">the </w:t>
            </w:r>
            <w:r w:rsidR="00D91E1F">
              <w:rPr>
                <w:rFonts w:eastAsiaTheme="minorEastAsia"/>
                <w:lang w:eastAsia="en-AU"/>
              </w:rPr>
              <w:t>underlying drivers or causal factors for</w:t>
            </w:r>
            <w:r w:rsidR="0034543C">
              <w:rPr>
                <w:rFonts w:eastAsiaTheme="minorEastAsia"/>
                <w:lang w:eastAsia="en-AU"/>
              </w:rPr>
              <w:t xml:space="preserve"> </w:t>
            </w:r>
            <w:r w:rsidR="00FD4855">
              <w:rPr>
                <w:rFonts w:eastAsiaTheme="minorEastAsia"/>
                <w:lang w:eastAsia="en-AU"/>
              </w:rPr>
              <w:t>psychological injuries and claims</w:t>
            </w:r>
            <w:r w:rsidR="0092182D">
              <w:rPr>
                <w:rFonts w:eastAsiaTheme="minorEastAsia"/>
                <w:lang w:eastAsia="en-AU"/>
              </w:rPr>
              <w:t xml:space="preserve">. Through this initiative, NSW Government </w:t>
            </w:r>
            <w:r w:rsidRPr="00EF1D87">
              <w:rPr>
                <w:rFonts w:eastAsiaTheme="minorEastAsia"/>
                <w:lang w:eastAsia="en-AU"/>
              </w:rPr>
              <w:t xml:space="preserve">agencies </w:t>
            </w:r>
            <w:r w:rsidR="0092182D">
              <w:rPr>
                <w:rFonts w:eastAsiaTheme="minorEastAsia"/>
                <w:lang w:eastAsia="en-AU"/>
              </w:rPr>
              <w:t xml:space="preserve">are </w:t>
            </w:r>
            <w:r w:rsidR="00A72C19">
              <w:rPr>
                <w:rFonts w:eastAsiaTheme="minorEastAsia"/>
                <w:lang w:eastAsia="en-AU"/>
              </w:rPr>
              <w:t>better</w:t>
            </w:r>
            <w:r w:rsidRPr="00EF1D87">
              <w:rPr>
                <w:rFonts w:eastAsiaTheme="minorEastAsia"/>
                <w:lang w:eastAsia="en-AU"/>
              </w:rPr>
              <w:t xml:space="preserve"> equip</w:t>
            </w:r>
            <w:r w:rsidR="00A72C19">
              <w:rPr>
                <w:rFonts w:eastAsiaTheme="minorEastAsia"/>
                <w:lang w:eastAsia="en-AU"/>
              </w:rPr>
              <w:t>ped</w:t>
            </w:r>
            <w:r w:rsidRPr="00EF1D87">
              <w:rPr>
                <w:rFonts w:eastAsiaTheme="minorEastAsia"/>
                <w:lang w:eastAsia="en-AU"/>
              </w:rPr>
              <w:t xml:space="preserve"> to integrate </w:t>
            </w:r>
            <w:r w:rsidR="00A72C19">
              <w:rPr>
                <w:rFonts w:eastAsiaTheme="minorEastAsia"/>
                <w:lang w:eastAsia="en-AU"/>
              </w:rPr>
              <w:t>pre</w:t>
            </w:r>
            <w:r w:rsidR="003E34C5">
              <w:rPr>
                <w:rFonts w:eastAsiaTheme="minorEastAsia"/>
                <w:lang w:eastAsia="en-AU"/>
              </w:rPr>
              <w:t>ventative</w:t>
            </w:r>
            <w:r w:rsidRPr="00EF1D87">
              <w:rPr>
                <w:rFonts w:eastAsiaTheme="minorEastAsia"/>
                <w:lang w:eastAsia="en-AU"/>
              </w:rPr>
              <w:t xml:space="preserve"> mental health </w:t>
            </w:r>
            <w:r w:rsidR="003E34C5">
              <w:rPr>
                <w:rFonts w:eastAsiaTheme="minorEastAsia"/>
                <w:lang w:eastAsia="en-AU"/>
              </w:rPr>
              <w:t xml:space="preserve">measures into their workplaces to help reduce the incidence </w:t>
            </w:r>
            <w:r w:rsidR="00725B24">
              <w:rPr>
                <w:rFonts w:eastAsiaTheme="minorEastAsia"/>
                <w:lang w:eastAsia="en-AU"/>
              </w:rPr>
              <w:t>of psychological distress</w:t>
            </w:r>
            <w:r w:rsidRPr="00EF1D87">
              <w:rPr>
                <w:rFonts w:eastAsiaTheme="minorEastAsia"/>
                <w:lang w:eastAsia="en-AU"/>
              </w:rPr>
              <w:t xml:space="preserve"> </w:t>
            </w:r>
            <w:r w:rsidR="00725B24">
              <w:rPr>
                <w:rFonts w:eastAsiaTheme="minorEastAsia"/>
                <w:lang w:eastAsia="en-AU"/>
              </w:rPr>
              <w:t xml:space="preserve">in </w:t>
            </w:r>
            <w:r w:rsidRPr="00EF1D87">
              <w:rPr>
                <w:rFonts w:eastAsiaTheme="minorEastAsia"/>
                <w:lang w:eastAsia="en-AU"/>
              </w:rPr>
              <w:t>their workforce.</w:t>
            </w:r>
          </w:p>
          <w:p w14:paraId="7DB6135A" w14:textId="77777777" w:rsidR="00BB0A79" w:rsidRPr="00EF1D87" w:rsidRDefault="00BB0A79" w:rsidP="00F83A51">
            <w:pPr>
              <w:pStyle w:val="BodyText"/>
              <w:rPr>
                <w:rFonts w:eastAsiaTheme="minorEastAsia"/>
                <w:lang w:eastAsia="en-AU"/>
              </w:rPr>
            </w:pPr>
            <w:r w:rsidRPr="00EF1D87">
              <w:rPr>
                <w:rFonts w:eastAsiaTheme="minorEastAsia"/>
                <w:lang w:eastAsia="en-AU"/>
              </w:rPr>
              <w:t>Front of Mind’s interventions include:</w:t>
            </w:r>
          </w:p>
          <w:p w14:paraId="335D21DA" w14:textId="4117ED4A" w:rsidR="002E7D55" w:rsidRPr="002E7D55" w:rsidRDefault="006619CE" w:rsidP="00681D2E">
            <w:pPr>
              <w:pStyle w:val="Bullet1"/>
            </w:pPr>
            <w:r>
              <w:t xml:space="preserve">a </w:t>
            </w:r>
            <w:r w:rsidR="002E7D55" w:rsidRPr="002E7D55">
              <w:t xml:space="preserve">training program aimed at line managers to help them identify and manage staff members at risk or affected by psychological </w:t>
            </w:r>
            <w:proofErr w:type="gramStart"/>
            <w:r w:rsidR="002E7D55" w:rsidRPr="002E7D55">
              <w:t>stress</w:t>
            </w:r>
            <w:proofErr w:type="gramEnd"/>
          </w:p>
          <w:p w14:paraId="16E8808A" w14:textId="77777777" w:rsidR="002E7D55" w:rsidRPr="002E7D55" w:rsidRDefault="002E7D55" w:rsidP="00681D2E">
            <w:pPr>
              <w:pStyle w:val="Bullet1"/>
            </w:pPr>
            <w:r w:rsidRPr="002E7D55">
              <w:t xml:space="preserve">an online mental health assessment followed by feedback tailored to the level of psychological distress </w:t>
            </w:r>
            <w:proofErr w:type="gramStart"/>
            <w:r w:rsidRPr="002E7D55">
              <w:t>reported</w:t>
            </w:r>
            <w:proofErr w:type="gramEnd"/>
          </w:p>
          <w:p w14:paraId="7097E786" w14:textId="77777777" w:rsidR="002E7D55" w:rsidRPr="002E7D55" w:rsidRDefault="002E7D55" w:rsidP="00681D2E">
            <w:pPr>
              <w:pStyle w:val="Bullet1"/>
            </w:pPr>
            <w:r w:rsidRPr="002E7D55">
              <w:t xml:space="preserve">a self-guided app-based program aimed at individuals who have mild to moderate levels of distress or subclinical </w:t>
            </w:r>
            <w:proofErr w:type="gramStart"/>
            <w:r w:rsidRPr="002E7D55">
              <w:t>symptoms</w:t>
            </w:r>
            <w:proofErr w:type="gramEnd"/>
          </w:p>
          <w:p w14:paraId="0C0D783B" w14:textId="54CF5824" w:rsidR="00682982" w:rsidRPr="005127BD" w:rsidRDefault="002E7D55" w:rsidP="00681D2E">
            <w:pPr>
              <w:pStyle w:val="Bullet1"/>
            </w:pPr>
            <w:r w:rsidRPr="002E7D55">
              <w:t>an app-based program for Post</w:t>
            </w:r>
            <w:r w:rsidR="00966876">
              <w:t xml:space="preserve"> </w:t>
            </w:r>
            <w:r w:rsidRPr="002E7D55">
              <w:t>Traumatic Stress Disorder designed to complement clinical treatment.</w:t>
            </w:r>
          </w:p>
        </w:tc>
      </w:tr>
    </w:tbl>
    <w:p w14:paraId="0C2D061A" w14:textId="77777777" w:rsidR="000C6443" w:rsidRDefault="000C6443" w:rsidP="000C6443"/>
    <w:p w14:paraId="2D66DF38" w14:textId="77777777" w:rsidR="000C6443" w:rsidRDefault="000C6443" w:rsidP="000C6443">
      <w:pPr>
        <w:rPr>
          <w:lang w:val="en-AU"/>
        </w:rPr>
      </w:pPr>
      <w:r>
        <w:br w:type="page"/>
      </w:r>
    </w:p>
    <w:p w14:paraId="07BA101D" w14:textId="364FC5DF" w:rsidR="00477340" w:rsidRPr="00477340" w:rsidRDefault="00477340" w:rsidP="00C71090">
      <w:pPr>
        <w:pStyle w:val="71Heading2"/>
      </w:pPr>
      <w:r w:rsidRPr="00477340">
        <w:lastRenderedPageBreak/>
        <w:t xml:space="preserve">Returns to the Government from </w:t>
      </w:r>
      <w:r w:rsidR="00C17412">
        <w:t xml:space="preserve">the </w:t>
      </w:r>
      <w:r w:rsidRPr="00477340">
        <w:t xml:space="preserve">PNFC and PFC </w:t>
      </w:r>
      <w:proofErr w:type="gramStart"/>
      <w:r w:rsidRPr="00477340">
        <w:t>sectors</w:t>
      </w:r>
      <w:proofErr w:type="gramEnd"/>
    </w:p>
    <w:p w14:paraId="0808DC04" w14:textId="2410F83C" w:rsidR="00477340" w:rsidRPr="000473C9" w:rsidRDefault="007443F0" w:rsidP="00F83A51">
      <w:pPr>
        <w:pStyle w:val="BodyText"/>
      </w:pPr>
      <w:r>
        <w:t xml:space="preserve">SOCs and </w:t>
      </w:r>
      <w:proofErr w:type="spellStart"/>
      <w:r>
        <w:t>TCorp</w:t>
      </w:r>
      <w:proofErr w:type="spellEnd"/>
      <w:r w:rsidR="00477340" w:rsidRPr="00477340">
        <w:t xml:space="preserve"> pay dividends to the </w:t>
      </w:r>
      <w:r w:rsidR="00ED6A1C">
        <w:t>Sta</w:t>
      </w:r>
      <w:r w:rsidR="00A23B61">
        <w:t xml:space="preserve">te </w:t>
      </w:r>
      <w:r w:rsidR="00477340" w:rsidRPr="00477340">
        <w:t xml:space="preserve">as return on its investments in these </w:t>
      </w:r>
      <w:r w:rsidR="00A23B61">
        <w:t>entities</w:t>
      </w:r>
      <w:r w:rsidR="00477340" w:rsidRPr="00477340">
        <w:t xml:space="preserve">. </w:t>
      </w:r>
      <w:r w:rsidR="00AC2FEC" w:rsidRPr="000473C9">
        <w:t xml:space="preserve">These entities </w:t>
      </w:r>
      <w:r w:rsidR="00477340" w:rsidRPr="000473C9">
        <w:t xml:space="preserve">also </w:t>
      </w:r>
      <w:r w:rsidR="00C20E1A" w:rsidRPr="000473C9">
        <w:t xml:space="preserve">make </w:t>
      </w:r>
      <w:r w:rsidR="00477340" w:rsidRPr="000473C9">
        <w:t xml:space="preserve">tax equivalent payments and debt neutrality charges (government guarantee fees) to ensure </w:t>
      </w:r>
      <w:r w:rsidR="00F84B72" w:rsidRPr="000473C9">
        <w:t>competitive neutrality.</w:t>
      </w:r>
      <w:r w:rsidR="00885736" w:rsidRPr="000473C9">
        <w:t xml:space="preserve"> </w:t>
      </w:r>
    </w:p>
    <w:p w14:paraId="659A19A3" w14:textId="3339FB28" w:rsidR="00390291" w:rsidRPr="000473C9" w:rsidRDefault="00390291" w:rsidP="00F83A51">
      <w:pPr>
        <w:pStyle w:val="BodyText"/>
      </w:pPr>
      <w:r w:rsidRPr="000473C9">
        <w:t xml:space="preserve">The government guarantee fees </w:t>
      </w:r>
      <w:r w:rsidR="00A13BF0" w:rsidRPr="000473C9">
        <w:t>were</w:t>
      </w:r>
      <w:r w:rsidRPr="000473C9">
        <w:t xml:space="preserve"> $</w:t>
      </w:r>
      <w:r w:rsidR="00152ACA" w:rsidRPr="000473C9">
        <w:t>319.7</w:t>
      </w:r>
      <w:r w:rsidRPr="000473C9">
        <w:t xml:space="preserve"> million in </w:t>
      </w:r>
      <w:proofErr w:type="gramStart"/>
      <w:r w:rsidRPr="000473C9">
        <w:t>2022-23</w:t>
      </w:r>
      <w:r w:rsidR="008C290D">
        <w:t>,</w:t>
      </w:r>
      <w:r w:rsidRPr="000473C9">
        <w:t xml:space="preserve"> and</w:t>
      </w:r>
      <w:proofErr w:type="gramEnd"/>
      <w:r w:rsidR="001E4F3D" w:rsidRPr="000473C9">
        <w:t xml:space="preserve"> are forecast to total</w:t>
      </w:r>
      <w:r w:rsidRPr="000473C9">
        <w:t xml:space="preserve"> $</w:t>
      </w:r>
      <w:r w:rsidR="00152ACA" w:rsidRPr="000473C9">
        <w:t>1.</w:t>
      </w:r>
      <w:r w:rsidR="00EB2823" w:rsidRPr="000473C9">
        <w:t>9</w:t>
      </w:r>
      <w:r w:rsidR="00F2385D">
        <w:t> </w:t>
      </w:r>
      <w:r w:rsidRPr="000473C9">
        <w:t>billion over the budget year and forward estimates.</w:t>
      </w:r>
    </w:p>
    <w:p w14:paraId="1093BCC3" w14:textId="7B8737FA" w:rsidR="00B74F1E" w:rsidRPr="000473C9" w:rsidRDefault="00477340" w:rsidP="00F83A51">
      <w:pPr>
        <w:pStyle w:val="BodyText"/>
      </w:pPr>
      <w:r w:rsidRPr="000473C9">
        <w:t xml:space="preserve">Total dividend and tax equivalent payments from the PNFC and PFC sectors </w:t>
      </w:r>
      <w:r w:rsidR="002A6F16" w:rsidRPr="000473C9">
        <w:t>wer</w:t>
      </w:r>
      <w:r w:rsidRPr="000473C9">
        <w:t>e $</w:t>
      </w:r>
      <w:r w:rsidR="00E434B7" w:rsidRPr="000473C9">
        <w:t>65</w:t>
      </w:r>
      <w:r w:rsidR="00AF2342" w:rsidRPr="000473C9">
        <w:t>3</w:t>
      </w:r>
      <w:r w:rsidR="00E434B7" w:rsidRPr="000473C9">
        <w:t>.7</w:t>
      </w:r>
      <w:r w:rsidR="00FB1E26" w:rsidRPr="000473C9">
        <w:t> </w:t>
      </w:r>
      <w:r w:rsidRPr="000473C9">
        <w:t>million for 2022-23</w:t>
      </w:r>
      <w:r w:rsidR="00B74F1E" w:rsidRPr="000473C9">
        <w:t>, which is $</w:t>
      </w:r>
      <w:r w:rsidR="00E434B7" w:rsidRPr="000473C9">
        <w:t>65.5</w:t>
      </w:r>
      <w:r w:rsidR="00B74F1E" w:rsidRPr="000473C9">
        <w:t xml:space="preserve"> million lower than </w:t>
      </w:r>
      <w:r w:rsidR="00C22BFF" w:rsidRPr="000473C9">
        <w:t xml:space="preserve">forecast at the </w:t>
      </w:r>
      <w:r w:rsidR="008E5764">
        <w:t>2022-</w:t>
      </w:r>
      <w:r w:rsidR="008E5764" w:rsidRPr="00CD590C">
        <w:t>23</w:t>
      </w:r>
      <w:r w:rsidR="008E5764">
        <w:t xml:space="preserve"> Half</w:t>
      </w:r>
      <w:r w:rsidR="00581AF6">
        <w:noBreakHyphen/>
      </w:r>
      <w:r w:rsidR="008E5764">
        <w:t>Yearly Review</w:t>
      </w:r>
      <w:r w:rsidR="00B74F1E" w:rsidRPr="000473C9">
        <w:t>. This is primarily due to</w:t>
      </w:r>
      <w:r w:rsidR="001D6D3F" w:rsidRPr="000473C9">
        <w:t xml:space="preserve"> </w:t>
      </w:r>
      <w:r w:rsidR="00683C37" w:rsidRPr="000473C9">
        <w:t>Sydney Water’s lower income tax equivalents, which was driven in part by lower profit caused by increase</w:t>
      </w:r>
      <w:r w:rsidR="00C22BFF" w:rsidRPr="000473C9">
        <w:t>s</w:t>
      </w:r>
      <w:r w:rsidR="008624E5" w:rsidRPr="000473C9">
        <w:t xml:space="preserve"> in</w:t>
      </w:r>
      <w:r w:rsidR="00683C37" w:rsidRPr="000473C9">
        <w:t xml:space="preserve"> finance costs and operating expenses.</w:t>
      </w:r>
      <w:r w:rsidR="001D6D3F" w:rsidRPr="000473C9">
        <w:t xml:space="preserve"> </w:t>
      </w:r>
    </w:p>
    <w:p w14:paraId="6474823A" w14:textId="793121A2" w:rsidR="00477340" w:rsidRPr="00477340" w:rsidRDefault="001D6D3F" w:rsidP="00F83A51">
      <w:pPr>
        <w:pStyle w:val="BodyText"/>
      </w:pPr>
      <w:r w:rsidRPr="000473C9" w:rsidDel="00460A85">
        <w:t>Over the four years to 2026-27,</w:t>
      </w:r>
      <w:r w:rsidR="00477340" w:rsidRPr="000473C9">
        <w:t xml:space="preserve"> </w:t>
      </w:r>
      <w:r w:rsidR="008472D4" w:rsidRPr="000473C9">
        <w:t>t</w:t>
      </w:r>
      <w:r w:rsidR="00477340" w:rsidRPr="000473C9">
        <w:t xml:space="preserve">otal dividend and tax equivalent payments to the Government from </w:t>
      </w:r>
      <w:r w:rsidR="00472425">
        <w:t xml:space="preserve">the </w:t>
      </w:r>
      <w:r w:rsidR="00477340" w:rsidRPr="000473C9">
        <w:t>PNFC and PFC sector are</w:t>
      </w:r>
      <w:r w:rsidR="00B30C0E" w:rsidRPr="000473C9">
        <w:t xml:space="preserve"> forecast to </w:t>
      </w:r>
      <w:r w:rsidR="00F031AC" w:rsidRPr="000473C9">
        <w:t>be</w:t>
      </w:r>
      <w:r w:rsidR="00477340" w:rsidRPr="000473C9">
        <w:t xml:space="preserve"> $</w:t>
      </w:r>
      <w:r w:rsidR="0045238E" w:rsidRPr="000473C9">
        <w:t>4.1</w:t>
      </w:r>
      <w:r w:rsidR="00477340" w:rsidRPr="000473C9">
        <w:t xml:space="preserve"> </w:t>
      </w:r>
      <w:r w:rsidR="00717E47" w:rsidRPr="000473C9">
        <w:t>b</w:t>
      </w:r>
      <w:r w:rsidR="00477340" w:rsidRPr="000473C9">
        <w:t>illion</w:t>
      </w:r>
      <w:r w:rsidR="00717E47" w:rsidRPr="000473C9">
        <w:t>, which is $</w:t>
      </w:r>
      <w:r w:rsidR="0045238E" w:rsidRPr="000473C9">
        <w:t>2.1</w:t>
      </w:r>
      <w:r w:rsidR="00717E47" w:rsidRPr="000473C9">
        <w:t xml:space="preserve"> </w:t>
      </w:r>
      <w:r w:rsidR="00565441" w:rsidRPr="000473C9">
        <w:t>b</w:t>
      </w:r>
      <w:r w:rsidR="00477340" w:rsidRPr="000473C9">
        <w:t xml:space="preserve">illion lower than </w:t>
      </w:r>
      <w:r w:rsidR="00F031AC" w:rsidRPr="000473C9">
        <w:t>forecast at</w:t>
      </w:r>
      <w:r w:rsidR="00477340" w:rsidRPr="000473C9">
        <w:t xml:space="preserve"> the </w:t>
      </w:r>
      <w:r w:rsidR="003E3B83">
        <w:t>2022-</w:t>
      </w:r>
      <w:r w:rsidR="003E3B83" w:rsidRPr="00CD590C">
        <w:t>23</w:t>
      </w:r>
      <w:r w:rsidR="003E3B83">
        <w:t xml:space="preserve"> Half-Yearly Review</w:t>
      </w:r>
      <w:r w:rsidR="00477340" w:rsidRPr="000473C9">
        <w:t>. Key movements include:</w:t>
      </w:r>
    </w:p>
    <w:p w14:paraId="4644EEAD" w14:textId="06C4AFD1" w:rsidR="00AE023A" w:rsidRDefault="00AE023A" w:rsidP="00681D2E">
      <w:pPr>
        <w:pStyle w:val="Bullet1"/>
      </w:pPr>
      <w:r>
        <w:t xml:space="preserve">decrease of </w:t>
      </w:r>
      <w:r w:rsidRPr="00A16C38">
        <w:t>$</w:t>
      </w:r>
      <w:r w:rsidR="00844E4B" w:rsidRPr="00A16C38">
        <w:t>2.0</w:t>
      </w:r>
      <w:r w:rsidRPr="00A16C38">
        <w:t xml:space="preserve"> billion</w:t>
      </w:r>
      <w:r>
        <w:t xml:space="preserve"> dividends and tax equivalents from TAHE in line with the Government’s d</w:t>
      </w:r>
      <w:r w:rsidR="00565441">
        <w:t>ecision that</w:t>
      </w:r>
      <w:r>
        <w:t xml:space="preserve"> TAHE will no</w:t>
      </w:r>
      <w:r w:rsidR="0001080D">
        <w:t xml:space="preserve"> longer</w:t>
      </w:r>
      <w:r>
        <w:t xml:space="preserve"> be required to pay dividends and income tax equivalents from 2023-24, as part of its transition to a non-commercial PNFC</w:t>
      </w:r>
      <w:r w:rsidR="008712EA">
        <w:t xml:space="preserve"> operating model</w:t>
      </w:r>
    </w:p>
    <w:p w14:paraId="19567A13" w14:textId="301651E6" w:rsidR="00AE6BB4" w:rsidRPr="00A16C38" w:rsidRDefault="008712EA" w:rsidP="00681D2E">
      <w:pPr>
        <w:pStyle w:val="Bullet1"/>
      </w:pPr>
      <w:r>
        <w:t>decrease</w:t>
      </w:r>
      <w:r w:rsidR="00AE6BB4" w:rsidRPr="00FD1255">
        <w:t xml:space="preserve"> of </w:t>
      </w:r>
      <w:r w:rsidR="00AE6BB4" w:rsidRPr="00A16C38">
        <w:t>$364.2</w:t>
      </w:r>
      <w:r w:rsidR="00AE6BB4" w:rsidRPr="00FD1255">
        <w:t xml:space="preserve"> million dividends and tax equivalents from </w:t>
      </w:r>
      <w:proofErr w:type="spellStart"/>
      <w:r w:rsidR="00AE6BB4" w:rsidRPr="00FD1255">
        <w:t>Landcom</w:t>
      </w:r>
      <w:proofErr w:type="spellEnd"/>
      <w:r w:rsidR="00AF4968">
        <w:t>,</w:t>
      </w:r>
      <w:r w:rsidR="00AE6BB4" w:rsidRPr="00FD1255">
        <w:t xml:space="preserve"> primarily driven by the decision </w:t>
      </w:r>
      <w:r w:rsidR="00AE6BB4">
        <w:t xml:space="preserve">not </w:t>
      </w:r>
      <w:r w:rsidR="00AE6BB4" w:rsidRPr="00844E4B">
        <w:t xml:space="preserve">to </w:t>
      </w:r>
      <w:r w:rsidR="00AE6BB4">
        <w:t>proceed with</w:t>
      </w:r>
      <w:r w:rsidR="00AE6BB4" w:rsidRPr="00FD1255">
        <w:t xml:space="preserve"> the $300.0 million dividend</w:t>
      </w:r>
      <w:r w:rsidR="00AE6BB4">
        <w:t xml:space="preserve"> that was previously planned to be declared in 2024-25. The funding will be invested </w:t>
      </w:r>
      <w:r w:rsidR="00AE6BB4" w:rsidRPr="00FD1255">
        <w:t xml:space="preserve">to accelerate the delivery of affordable </w:t>
      </w:r>
      <w:proofErr w:type="gramStart"/>
      <w:r w:rsidR="00AE6BB4" w:rsidRPr="00FD1255">
        <w:t>housing</w:t>
      </w:r>
      <w:proofErr w:type="gramEnd"/>
    </w:p>
    <w:p w14:paraId="345F420E" w14:textId="17126456" w:rsidR="00AE6BB4" w:rsidRPr="00A00779" w:rsidRDefault="00AE6BB4" w:rsidP="00681D2E">
      <w:pPr>
        <w:pStyle w:val="Bullet1"/>
      </w:pPr>
      <w:r w:rsidRPr="00A16C38">
        <w:t>increase of $</w:t>
      </w:r>
      <w:r w:rsidR="006756FD">
        <w:t>155</w:t>
      </w:r>
      <w:r w:rsidRPr="00A16C38">
        <w:t>.</w:t>
      </w:r>
      <w:r w:rsidR="006756FD">
        <w:t>5</w:t>
      </w:r>
      <w:r w:rsidRPr="00A16C38">
        <w:t xml:space="preserve"> million dividends and tax equivalents from TCorp</w:t>
      </w:r>
      <w:r w:rsidR="002E46BD" w:rsidRPr="00A16C38">
        <w:t xml:space="preserve"> </w:t>
      </w:r>
      <w:r w:rsidR="00FC3EFE" w:rsidRPr="00FC3EFE">
        <w:t xml:space="preserve">due to higher revenues mainly from lending margins payable on new client loans to meet the State’s funding </w:t>
      </w:r>
      <w:proofErr w:type="gramStart"/>
      <w:r w:rsidR="00FC3EFE" w:rsidRPr="00FC3EFE">
        <w:t>program</w:t>
      </w:r>
      <w:proofErr w:type="gramEnd"/>
    </w:p>
    <w:p w14:paraId="5F66511C" w14:textId="1B995520" w:rsidR="00FB5091" w:rsidRPr="00AF3123" w:rsidRDefault="006756FD" w:rsidP="00681D2E">
      <w:pPr>
        <w:pStyle w:val="Bullet1"/>
      </w:pPr>
      <w:r w:rsidRPr="00AF3123">
        <w:t>decrease</w:t>
      </w:r>
      <w:r w:rsidR="00FB5091" w:rsidRPr="00AF3123">
        <w:t xml:space="preserve"> of $153.1 million dividends and tax equivalents from Essential Energy, driven by higher expenditure in relation to major IT projects,</w:t>
      </w:r>
      <w:r w:rsidR="00E45EBC" w:rsidRPr="00AF3123">
        <w:t xml:space="preserve"> increased</w:t>
      </w:r>
      <w:r w:rsidR="00FB5091" w:rsidRPr="00AF3123">
        <w:t xml:space="preserve"> insurance premiums, </w:t>
      </w:r>
      <w:r w:rsidR="00E45EBC" w:rsidRPr="00AF3123">
        <w:t xml:space="preserve">higher depreciation following the revaluation of non-current system assets </w:t>
      </w:r>
      <w:r w:rsidR="00FB5091" w:rsidRPr="00AF3123">
        <w:t xml:space="preserve">and initiatives to enable more consumer energy resources on the network. In addition, Essential Energy </w:t>
      </w:r>
      <w:r w:rsidR="00077F31" w:rsidRPr="00AF3123">
        <w:t>will be</w:t>
      </w:r>
      <w:r w:rsidR="00FB5091" w:rsidRPr="00AF3123">
        <w:t xml:space="preserve"> subject to a</w:t>
      </w:r>
      <w:r w:rsidR="00D83676" w:rsidRPr="00AF3123">
        <w:t>n Efficiency Benefit Sharing Scheme</w:t>
      </w:r>
      <w:r w:rsidR="00FB5091" w:rsidRPr="00AF3123">
        <w:t xml:space="preserve"> penalty </w:t>
      </w:r>
      <w:r w:rsidR="00644C62" w:rsidRPr="00AF3123">
        <w:t>following</w:t>
      </w:r>
      <w:r w:rsidR="00FB5091" w:rsidRPr="00AF3123">
        <w:t xml:space="preserve"> </w:t>
      </w:r>
      <w:r w:rsidR="00D83676" w:rsidRPr="00AF3123">
        <w:t>a</w:t>
      </w:r>
      <w:r w:rsidR="00DF6293" w:rsidRPr="00AF3123">
        <w:t>n issues paper</w:t>
      </w:r>
      <w:r w:rsidR="00C461BA" w:rsidRPr="00AF3123">
        <w:t xml:space="preserve"> released</w:t>
      </w:r>
      <w:r w:rsidR="00D83676" w:rsidRPr="00AF3123">
        <w:t xml:space="preserve"> by </w:t>
      </w:r>
      <w:r w:rsidR="00FB5091" w:rsidRPr="00AF3123">
        <w:t>the Australian Energy Regulator</w:t>
      </w:r>
      <w:r w:rsidR="00202605">
        <w:t xml:space="preserve"> in March 2023</w:t>
      </w:r>
      <w:r w:rsidR="00334FE6" w:rsidRPr="00AF3123">
        <w:t>. Th</w:t>
      </w:r>
      <w:r w:rsidR="00CA6E80" w:rsidRPr="00AF3123">
        <w:t xml:space="preserve">e penalty </w:t>
      </w:r>
      <w:r w:rsidR="005865D2" w:rsidRPr="00AF3123">
        <w:t>w</w:t>
      </w:r>
      <w:r w:rsidR="007177FC" w:rsidRPr="00AF3123">
        <w:t>ill be</w:t>
      </w:r>
      <w:r w:rsidR="00EF03A8" w:rsidRPr="00AF3123">
        <w:t xml:space="preserve"> the result</w:t>
      </w:r>
      <w:r w:rsidR="00844E4B" w:rsidRPr="00AF3123">
        <w:t xml:space="preserve"> </w:t>
      </w:r>
      <w:r w:rsidR="00EF03A8" w:rsidRPr="00AF3123">
        <w:t xml:space="preserve">of </w:t>
      </w:r>
      <w:r w:rsidR="00844E4B" w:rsidRPr="00AF3123">
        <w:t>projected operating expenditure in 202</w:t>
      </w:r>
      <w:r w:rsidR="00EA452C" w:rsidRPr="00AF3123">
        <w:t>2</w:t>
      </w:r>
      <w:r w:rsidR="00844E4B" w:rsidRPr="00AF3123">
        <w:t>-2</w:t>
      </w:r>
      <w:r w:rsidR="00EA452C" w:rsidRPr="00AF3123">
        <w:t>3</w:t>
      </w:r>
      <w:r w:rsidR="00844E4B" w:rsidRPr="00AF3123">
        <w:t xml:space="preserve"> and 202</w:t>
      </w:r>
      <w:r w:rsidR="00EA452C" w:rsidRPr="00AF3123">
        <w:t>3</w:t>
      </w:r>
      <w:r w:rsidR="00844E4B" w:rsidRPr="00AF3123">
        <w:t>-2</w:t>
      </w:r>
      <w:r w:rsidR="00EA452C" w:rsidRPr="00AF3123">
        <w:t>4</w:t>
      </w:r>
      <w:r w:rsidR="00844E4B" w:rsidRPr="00AF3123">
        <w:t xml:space="preserve"> exceeding the allowances approved by the Australian Energy Regulator</w:t>
      </w:r>
      <w:r w:rsidR="0095381A" w:rsidRPr="00AF3123">
        <w:t>,</w:t>
      </w:r>
      <w:r w:rsidR="00FB5091" w:rsidRPr="00AF3123">
        <w:t xml:space="preserve"> </w:t>
      </w:r>
      <w:r w:rsidR="0095381A" w:rsidRPr="00AF3123">
        <w:t xml:space="preserve">which </w:t>
      </w:r>
      <w:r w:rsidR="0025386E" w:rsidRPr="00AF3123">
        <w:t>was</w:t>
      </w:r>
      <w:r w:rsidR="0095381A" w:rsidRPr="00AF3123">
        <w:t xml:space="preserve"> driven by increased resourcing requirements to support customers in the energy </w:t>
      </w:r>
      <w:proofErr w:type="gramStart"/>
      <w:r w:rsidR="0095381A" w:rsidRPr="00AF3123">
        <w:t>transition</w:t>
      </w:r>
      <w:proofErr w:type="gramEnd"/>
    </w:p>
    <w:p w14:paraId="5B64BE62" w14:textId="0D7B5A93" w:rsidR="00844E4B" w:rsidRPr="00AF3123" w:rsidRDefault="00844E4B" w:rsidP="00681D2E">
      <w:pPr>
        <w:pStyle w:val="Bullet1"/>
      </w:pPr>
      <w:r w:rsidRPr="00AF3123">
        <w:t>increase of $97.2 million dividends and tax equivalents from Sydney Water, due to higher revenue resulting from the gradual introduction of infrastructure contributions from</w:t>
      </w:r>
      <w:r w:rsidR="00855CDC">
        <w:br w:type="textWrapping" w:clear="all"/>
      </w:r>
      <w:r w:rsidRPr="00AF3123">
        <w:t>2024</w:t>
      </w:r>
      <w:r w:rsidR="00855CDC">
        <w:t>-</w:t>
      </w:r>
      <w:r w:rsidRPr="00AF3123">
        <w:t xml:space="preserve">25 and increased </w:t>
      </w:r>
      <w:r w:rsidR="006756FD" w:rsidRPr="00AF3123">
        <w:t>forecast</w:t>
      </w:r>
      <w:r w:rsidRPr="00AF3123">
        <w:t xml:space="preserve"> </w:t>
      </w:r>
      <w:r w:rsidR="0095381A" w:rsidRPr="00AF3123">
        <w:t>revenue</w:t>
      </w:r>
      <w:r w:rsidRPr="00AF3123">
        <w:t xml:space="preserve"> in line with the anticipated Independent Pricing and Regulatory Tribunal</w:t>
      </w:r>
      <w:r w:rsidR="00B97D63" w:rsidRPr="00AF3123">
        <w:t>’s (IPART)</w:t>
      </w:r>
      <w:r w:rsidRPr="00AF3123">
        <w:t xml:space="preserve"> pricing determination </w:t>
      </w:r>
      <w:r w:rsidR="00014081" w:rsidRPr="00AF3123">
        <w:t xml:space="preserve">for Sydney Water </w:t>
      </w:r>
      <w:r w:rsidRPr="00AF3123">
        <w:t>commencing from 1</w:t>
      </w:r>
      <w:r w:rsidR="00664647" w:rsidRPr="00AF3123">
        <w:t> </w:t>
      </w:r>
      <w:r w:rsidRPr="00AF3123">
        <w:t>July</w:t>
      </w:r>
      <w:r w:rsidR="00664647" w:rsidRPr="00AF3123">
        <w:t> </w:t>
      </w:r>
      <w:r w:rsidRPr="00AF3123">
        <w:t>2025</w:t>
      </w:r>
      <w:r w:rsidR="00221ADB" w:rsidRPr="00AF3123">
        <w:t xml:space="preserve">. </w:t>
      </w:r>
      <w:r w:rsidR="0044280C" w:rsidRPr="00AF3123">
        <w:t>After reflecting these updated assumptions, Sydney Water’s dividend</w:t>
      </w:r>
      <w:r w:rsidR="0038124C">
        <w:t xml:space="preserve">s and tax equivalents are </w:t>
      </w:r>
      <w:r w:rsidR="0044280C" w:rsidRPr="00AF3123">
        <w:t>forecast to increase significantly in 2025-26 (to $626.0 million)</w:t>
      </w:r>
    </w:p>
    <w:p w14:paraId="42E8A7B8" w14:textId="0D1937C6" w:rsidR="00844E4B" w:rsidRPr="00AF3123" w:rsidRDefault="005A6703" w:rsidP="00681D2E">
      <w:pPr>
        <w:pStyle w:val="Bullet1"/>
      </w:pPr>
      <w:r w:rsidRPr="00AF3123">
        <w:t>decrease</w:t>
      </w:r>
      <w:r w:rsidR="00844E4B" w:rsidRPr="00AF3123">
        <w:t xml:space="preserve"> of $64.9 million dividends and tax equivalents from Forestry Corporation, due to </w:t>
      </w:r>
      <w:r w:rsidRPr="00AF3123">
        <w:t>softening of market demand for softwood</w:t>
      </w:r>
      <w:r w:rsidR="00014081" w:rsidRPr="00AF3123">
        <w:t xml:space="preserve"> timber </w:t>
      </w:r>
      <w:r w:rsidR="001D697C" w:rsidRPr="00AF3123">
        <w:t xml:space="preserve">resulting </w:t>
      </w:r>
      <w:r w:rsidR="00014081" w:rsidRPr="00AF3123">
        <w:t xml:space="preserve">from </w:t>
      </w:r>
      <w:r w:rsidR="001D697C" w:rsidRPr="00AF3123">
        <w:t>lower housing starts</w:t>
      </w:r>
      <w:r w:rsidR="00014081" w:rsidRPr="00AF3123">
        <w:t xml:space="preserve">, </w:t>
      </w:r>
      <w:r w:rsidR="00F12B91" w:rsidRPr="00AF3123">
        <w:t>inflationary cost pressures and</w:t>
      </w:r>
      <w:r w:rsidR="001D697C" w:rsidRPr="00AF3123">
        <w:t xml:space="preserve"> increased</w:t>
      </w:r>
      <w:r w:rsidR="00F12B91" w:rsidRPr="00AF3123">
        <w:t xml:space="preserve"> investments </w:t>
      </w:r>
      <w:r w:rsidR="001D697C" w:rsidRPr="00AF3123">
        <w:t xml:space="preserve">in community and environmental </w:t>
      </w:r>
      <w:r w:rsidR="00F12B91" w:rsidRPr="00AF3123">
        <w:t>projects</w:t>
      </w:r>
      <w:r w:rsidR="00B87231" w:rsidRPr="00AF3123">
        <w:t>.</w:t>
      </w:r>
    </w:p>
    <w:p w14:paraId="235522AB" w14:textId="5E390BAC" w:rsidR="00196F42" w:rsidRDefault="00D3746D" w:rsidP="00F83A51">
      <w:pPr>
        <w:pStyle w:val="BodyText"/>
      </w:pPr>
      <w:r w:rsidRPr="00AF3123">
        <w:t>Table 7.1 below</w:t>
      </w:r>
      <w:r w:rsidRPr="00F900A9">
        <w:t xml:space="preserve"> shows the dividend and tax equivalent payments </w:t>
      </w:r>
      <w:r w:rsidR="002E3921" w:rsidRPr="00F900A9">
        <w:t xml:space="preserve">from the PNFC and PFC sectors across </w:t>
      </w:r>
      <w:r w:rsidR="00F900A9" w:rsidRPr="00F900A9">
        <w:t>202</w:t>
      </w:r>
      <w:r w:rsidR="00876B8B">
        <w:t>2</w:t>
      </w:r>
      <w:r w:rsidR="00F900A9" w:rsidRPr="00F900A9">
        <w:t>-2</w:t>
      </w:r>
      <w:r w:rsidR="00876B8B">
        <w:t>3</w:t>
      </w:r>
      <w:r w:rsidR="00F900A9" w:rsidRPr="00F900A9">
        <w:t xml:space="preserve"> to 2026-27.</w:t>
      </w:r>
    </w:p>
    <w:p w14:paraId="06C4640B" w14:textId="4B6ED5AC" w:rsidR="00944757" w:rsidRPr="00D06283" w:rsidRDefault="00944757">
      <w:r>
        <w:br w:type="page"/>
      </w:r>
    </w:p>
    <w:p w14:paraId="3B0F26A7" w14:textId="5A7389C5" w:rsidR="00477340" w:rsidRPr="00403583" w:rsidRDefault="00477340" w:rsidP="008A453C">
      <w:pPr>
        <w:pStyle w:val="Table7X"/>
        <w:rPr>
          <w:rFonts w:eastAsiaTheme="minorEastAsia"/>
        </w:rPr>
      </w:pPr>
      <w:r w:rsidRPr="00477340">
        <w:lastRenderedPageBreak/>
        <w:t>Total dividend and tax equivalent payments from the PNFC and PFC sectors</w:t>
      </w:r>
    </w:p>
    <w:tbl>
      <w:tblPr>
        <w:tblW w:w="9781" w:type="dxa"/>
        <w:tblLayout w:type="fixed"/>
        <w:tblLook w:val="04A0" w:firstRow="1" w:lastRow="0" w:firstColumn="1" w:lastColumn="0" w:noHBand="0" w:noVBand="1"/>
        <w:tblCaption w:val="Table 7.1: Total dividend and tax equivalent payments from the PNFC and PFC sectors"/>
        <w:tblDescription w:val="Table 7.1: Total dividend and tax equivalent payments from the PNFC and PFC sectors"/>
      </w:tblPr>
      <w:tblGrid>
        <w:gridCol w:w="4111"/>
        <w:gridCol w:w="1134"/>
        <w:gridCol w:w="1134"/>
        <w:gridCol w:w="1134"/>
        <w:gridCol w:w="1134"/>
        <w:gridCol w:w="1134"/>
      </w:tblGrid>
      <w:tr w:rsidR="00C024F4" w:rsidRPr="000473C9" w14:paraId="7033FA7E" w14:textId="77777777" w:rsidTr="00C3270B">
        <w:trPr>
          <w:trHeight w:val="283"/>
        </w:trPr>
        <w:tc>
          <w:tcPr>
            <w:tcW w:w="4111" w:type="dxa"/>
            <w:tcBorders>
              <w:top w:val="nil"/>
              <w:left w:val="nil"/>
              <w:bottom w:val="nil"/>
              <w:right w:val="nil"/>
            </w:tcBorders>
            <w:shd w:val="clear" w:color="auto" w:fill="EBEBEB"/>
            <w:noWrap/>
            <w:vAlign w:val="bottom"/>
            <w:hideMark/>
          </w:tcPr>
          <w:p w14:paraId="4F4AAA4F" w14:textId="77777777" w:rsidR="00477340" w:rsidRPr="00C024F4" w:rsidRDefault="00477340" w:rsidP="00477340">
            <w:pPr>
              <w:rPr>
                <w:rFonts w:ascii="Public Sans" w:hAnsi="Public Sans" w:cs="Arial"/>
                <w:sz w:val="17"/>
                <w:szCs w:val="17"/>
                <w:lang w:val="en-AU" w:eastAsia="en-AU"/>
              </w:rPr>
            </w:pPr>
            <w:r w:rsidRPr="00C024F4">
              <w:rPr>
                <w:rFonts w:ascii="Public Sans" w:hAnsi="Public Sans" w:cs="Arial"/>
                <w:sz w:val="17"/>
                <w:szCs w:val="17"/>
                <w:lang w:val="en-AU" w:eastAsia="en-AU"/>
              </w:rPr>
              <w:t> </w:t>
            </w:r>
          </w:p>
        </w:tc>
        <w:tc>
          <w:tcPr>
            <w:tcW w:w="1134" w:type="dxa"/>
            <w:tcBorders>
              <w:top w:val="nil"/>
              <w:left w:val="nil"/>
              <w:bottom w:val="nil"/>
              <w:right w:val="nil"/>
            </w:tcBorders>
            <w:shd w:val="clear" w:color="auto" w:fill="EBEBEB"/>
            <w:noWrap/>
            <w:vAlign w:val="bottom"/>
            <w:hideMark/>
          </w:tcPr>
          <w:p w14:paraId="7E748A23" w14:textId="4BB2A039"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202</w:t>
            </w:r>
            <w:r w:rsidR="00986B5A" w:rsidRPr="000473C9">
              <w:rPr>
                <w:rFonts w:ascii="Public Sans" w:hAnsi="Public Sans" w:cs="Arial"/>
                <w:sz w:val="17"/>
                <w:szCs w:val="17"/>
                <w:lang w:val="en-AU" w:eastAsia="en-AU"/>
              </w:rPr>
              <w:t>2</w:t>
            </w:r>
            <w:r w:rsidRPr="000473C9">
              <w:rPr>
                <w:rFonts w:ascii="Public Sans" w:hAnsi="Public Sans" w:cs="Arial"/>
                <w:sz w:val="17"/>
                <w:szCs w:val="17"/>
                <w:lang w:val="en-AU" w:eastAsia="en-AU"/>
              </w:rPr>
              <w:t>-2</w:t>
            </w:r>
            <w:r w:rsidR="00986B5A" w:rsidRPr="000473C9">
              <w:rPr>
                <w:rFonts w:ascii="Public Sans" w:hAnsi="Public Sans" w:cs="Arial"/>
                <w:sz w:val="17"/>
                <w:szCs w:val="17"/>
                <w:lang w:val="en-AU" w:eastAsia="en-AU"/>
              </w:rPr>
              <w:t>3</w:t>
            </w:r>
            <w:r w:rsidRPr="000473C9">
              <w:rPr>
                <w:rFonts w:ascii="Public Sans" w:hAnsi="Public Sans" w:cs="Arial"/>
                <w:sz w:val="17"/>
                <w:szCs w:val="17"/>
                <w:lang w:val="en-AU" w:eastAsia="en-AU"/>
              </w:rPr>
              <w:t xml:space="preserve"> </w:t>
            </w:r>
          </w:p>
        </w:tc>
        <w:tc>
          <w:tcPr>
            <w:tcW w:w="1134" w:type="dxa"/>
            <w:tcBorders>
              <w:top w:val="nil"/>
              <w:left w:val="nil"/>
              <w:bottom w:val="nil"/>
              <w:right w:val="nil"/>
            </w:tcBorders>
            <w:shd w:val="clear" w:color="auto" w:fill="EBEBEB"/>
            <w:noWrap/>
            <w:vAlign w:val="bottom"/>
            <w:hideMark/>
          </w:tcPr>
          <w:p w14:paraId="57E46111" w14:textId="4D1C0C2C"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202</w:t>
            </w:r>
            <w:r w:rsidR="00986B5A" w:rsidRPr="000473C9">
              <w:rPr>
                <w:rFonts w:ascii="Public Sans" w:hAnsi="Public Sans" w:cs="Arial"/>
                <w:sz w:val="17"/>
                <w:szCs w:val="17"/>
                <w:lang w:val="en-AU" w:eastAsia="en-AU"/>
              </w:rPr>
              <w:t>3</w:t>
            </w:r>
            <w:r w:rsidRPr="000473C9">
              <w:rPr>
                <w:rFonts w:ascii="Public Sans" w:hAnsi="Public Sans" w:cs="Arial"/>
                <w:sz w:val="17"/>
                <w:szCs w:val="17"/>
                <w:lang w:val="en-AU" w:eastAsia="en-AU"/>
              </w:rPr>
              <w:t>-2</w:t>
            </w:r>
            <w:r w:rsidR="003519AB" w:rsidRPr="000473C9">
              <w:rPr>
                <w:rFonts w:ascii="Public Sans" w:hAnsi="Public Sans" w:cs="Arial"/>
                <w:sz w:val="17"/>
                <w:szCs w:val="17"/>
                <w:lang w:val="en-AU" w:eastAsia="en-AU"/>
              </w:rPr>
              <w:t>4</w:t>
            </w:r>
            <w:r w:rsidRPr="000473C9">
              <w:rPr>
                <w:rFonts w:ascii="Public Sans" w:hAnsi="Public Sans" w:cs="Arial"/>
                <w:sz w:val="17"/>
                <w:szCs w:val="17"/>
                <w:lang w:val="en-AU" w:eastAsia="en-AU"/>
              </w:rPr>
              <w:t xml:space="preserve"> </w:t>
            </w:r>
          </w:p>
        </w:tc>
        <w:tc>
          <w:tcPr>
            <w:tcW w:w="1134" w:type="dxa"/>
            <w:tcBorders>
              <w:top w:val="nil"/>
              <w:left w:val="nil"/>
              <w:bottom w:val="nil"/>
              <w:right w:val="nil"/>
            </w:tcBorders>
            <w:shd w:val="clear" w:color="auto" w:fill="EBEBEB"/>
            <w:noWrap/>
            <w:vAlign w:val="bottom"/>
            <w:hideMark/>
          </w:tcPr>
          <w:p w14:paraId="6F6CA8DB" w14:textId="05EA001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202</w:t>
            </w:r>
            <w:r w:rsidR="003519AB" w:rsidRPr="000473C9">
              <w:rPr>
                <w:rFonts w:ascii="Public Sans" w:hAnsi="Public Sans" w:cs="Arial"/>
                <w:sz w:val="17"/>
                <w:szCs w:val="17"/>
                <w:lang w:val="en-AU" w:eastAsia="en-AU"/>
              </w:rPr>
              <w:t>4</w:t>
            </w:r>
            <w:r w:rsidRPr="000473C9">
              <w:rPr>
                <w:rFonts w:ascii="Public Sans" w:hAnsi="Public Sans" w:cs="Arial"/>
                <w:sz w:val="17"/>
                <w:szCs w:val="17"/>
                <w:lang w:val="en-AU" w:eastAsia="en-AU"/>
              </w:rPr>
              <w:t>-2</w:t>
            </w:r>
            <w:r w:rsidR="003519AB" w:rsidRPr="000473C9">
              <w:rPr>
                <w:rFonts w:ascii="Public Sans" w:hAnsi="Public Sans" w:cs="Arial"/>
                <w:sz w:val="17"/>
                <w:szCs w:val="17"/>
                <w:lang w:val="en-AU" w:eastAsia="en-AU"/>
              </w:rPr>
              <w:t>5</w:t>
            </w:r>
            <w:r w:rsidRPr="000473C9">
              <w:rPr>
                <w:rFonts w:ascii="Public Sans" w:hAnsi="Public Sans" w:cs="Arial"/>
                <w:sz w:val="17"/>
                <w:szCs w:val="17"/>
                <w:lang w:val="en-AU" w:eastAsia="en-AU"/>
              </w:rPr>
              <w:t xml:space="preserve"> </w:t>
            </w:r>
          </w:p>
        </w:tc>
        <w:tc>
          <w:tcPr>
            <w:tcW w:w="1134" w:type="dxa"/>
            <w:tcBorders>
              <w:top w:val="nil"/>
              <w:left w:val="nil"/>
              <w:bottom w:val="nil"/>
              <w:right w:val="nil"/>
            </w:tcBorders>
            <w:shd w:val="clear" w:color="auto" w:fill="EBEBEB"/>
            <w:noWrap/>
            <w:vAlign w:val="bottom"/>
            <w:hideMark/>
          </w:tcPr>
          <w:p w14:paraId="3696D80A" w14:textId="3BA6F509"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202</w:t>
            </w:r>
            <w:r w:rsidR="00E648CF" w:rsidRPr="000473C9">
              <w:rPr>
                <w:rFonts w:ascii="Public Sans" w:hAnsi="Public Sans" w:cs="Arial"/>
                <w:sz w:val="17"/>
                <w:szCs w:val="17"/>
                <w:lang w:val="en-AU" w:eastAsia="en-AU"/>
              </w:rPr>
              <w:t>5</w:t>
            </w:r>
            <w:r w:rsidRPr="000473C9">
              <w:rPr>
                <w:rFonts w:ascii="Public Sans" w:hAnsi="Public Sans" w:cs="Arial"/>
                <w:sz w:val="17"/>
                <w:szCs w:val="17"/>
                <w:lang w:val="en-AU" w:eastAsia="en-AU"/>
              </w:rPr>
              <w:t>-2</w:t>
            </w:r>
            <w:r w:rsidR="00E648CF" w:rsidRPr="000473C9">
              <w:rPr>
                <w:rFonts w:ascii="Public Sans" w:hAnsi="Public Sans" w:cs="Arial"/>
                <w:sz w:val="17"/>
                <w:szCs w:val="17"/>
                <w:lang w:val="en-AU" w:eastAsia="en-AU"/>
              </w:rPr>
              <w:t>6</w:t>
            </w:r>
            <w:r w:rsidRPr="000473C9">
              <w:rPr>
                <w:rFonts w:ascii="Public Sans" w:hAnsi="Public Sans" w:cs="Arial"/>
                <w:sz w:val="17"/>
                <w:szCs w:val="17"/>
                <w:lang w:val="en-AU" w:eastAsia="en-AU"/>
              </w:rPr>
              <w:t xml:space="preserve"> </w:t>
            </w:r>
          </w:p>
        </w:tc>
        <w:tc>
          <w:tcPr>
            <w:tcW w:w="1134" w:type="dxa"/>
            <w:tcBorders>
              <w:top w:val="nil"/>
              <w:left w:val="nil"/>
              <w:bottom w:val="nil"/>
              <w:right w:val="nil"/>
            </w:tcBorders>
            <w:shd w:val="clear" w:color="auto" w:fill="EBEBEB"/>
            <w:noWrap/>
            <w:vAlign w:val="bottom"/>
            <w:hideMark/>
          </w:tcPr>
          <w:p w14:paraId="53EAC27C" w14:textId="6D8C75CF"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202</w:t>
            </w:r>
            <w:r w:rsidR="00E648CF" w:rsidRPr="000473C9">
              <w:rPr>
                <w:rFonts w:ascii="Public Sans" w:hAnsi="Public Sans" w:cs="Arial"/>
                <w:sz w:val="17"/>
                <w:szCs w:val="17"/>
                <w:lang w:val="en-AU" w:eastAsia="en-AU"/>
              </w:rPr>
              <w:t>6</w:t>
            </w:r>
            <w:r w:rsidRPr="000473C9">
              <w:rPr>
                <w:rFonts w:ascii="Public Sans" w:hAnsi="Public Sans" w:cs="Arial"/>
                <w:sz w:val="17"/>
                <w:szCs w:val="17"/>
                <w:lang w:val="en-AU" w:eastAsia="en-AU"/>
              </w:rPr>
              <w:t>-2</w:t>
            </w:r>
            <w:r w:rsidR="00E648CF" w:rsidRPr="000473C9">
              <w:rPr>
                <w:rFonts w:ascii="Public Sans" w:hAnsi="Public Sans" w:cs="Arial"/>
                <w:sz w:val="17"/>
                <w:szCs w:val="17"/>
                <w:lang w:val="en-AU" w:eastAsia="en-AU"/>
              </w:rPr>
              <w:t>7</w:t>
            </w:r>
            <w:r w:rsidRPr="000473C9">
              <w:rPr>
                <w:rFonts w:ascii="Public Sans" w:hAnsi="Public Sans" w:cs="Arial"/>
                <w:sz w:val="17"/>
                <w:szCs w:val="17"/>
                <w:lang w:val="en-AU" w:eastAsia="en-AU"/>
              </w:rPr>
              <w:t xml:space="preserve"> </w:t>
            </w:r>
          </w:p>
        </w:tc>
      </w:tr>
      <w:tr w:rsidR="00C024F4" w:rsidRPr="000473C9" w14:paraId="42E6FE60" w14:textId="77777777" w:rsidTr="00C3270B">
        <w:trPr>
          <w:trHeight w:val="227"/>
        </w:trPr>
        <w:tc>
          <w:tcPr>
            <w:tcW w:w="4111" w:type="dxa"/>
            <w:tcBorders>
              <w:top w:val="nil"/>
              <w:left w:val="nil"/>
              <w:right w:val="nil"/>
            </w:tcBorders>
            <w:shd w:val="clear" w:color="auto" w:fill="EBEBEB"/>
            <w:noWrap/>
            <w:vAlign w:val="bottom"/>
            <w:hideMark/>
          </w:tcPr>
          <w:p w14:paraId="151D9FC0" w14:textId="77777777" w:rsidR="00477340" w:rsidRPr="000473C9" w:rsidRDefault="00477340" w:rsidP="00477340">
            <w:pPr>
              <w:jc w:val="right"/>
              <w:rPr>
                <w:rFonts w:ascii="Public Sans" w:hAnsi="Public Sans" w:cs="Arial"/>
                <w:sz w:val="17"/>
                <w:szCs w:val="17"/>
                <w:lang w:val="en-AU" w:eastAsia="en-AU"/>
              </w:rPr>
            </w:pPr>
            <w:r w:rsidRPr="000473C9">
              <w:rPr>
                <w:rFonts w:ascii="Public Sans" w:hAnsi="Public Sans" w:cs="Arial"/>
                <w:sz w:val="17"/>
                <w:szCs w:val="17"/>
                <w:lang w:val="en-AU" w:eastAsia="en-AU"/>
              </w:rPr>
              <w:t> </w:t>
            </w:r>
          </w:p>
        </w:tc>
        <w:tc>
          <w:tcPr>
            <w:tcW w:w="1134" w:type="dxa"/>
            <w:tcBorders>
              <w:top w:val="nil"/>
              <w:left w:val="nil"/>
              <w:right w:val="nil"/>
            </w:tcBorders>
            <w:shd w:val="clear" w:color="auto" w:fill="EBEBEB"/>
            <w:noWrap/>
            <w:hideMark/>
          </w:tcPr>
          <w:p w14:paraId="2C86327D" w14:textId="409076AB" w:rsidR="00477340" w:rsidRPr="000473C9" w:rsidRDefault="00986B5A"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Estimated Actual</w:t>
            </w:r>
          </w:p>
        </w:tc>
        <w:tc>
          <w:tcPr>
            <w:tcW w:w="1134" w:type="dxa"/>
            <w:tcBorders>
              <w:top w:val="nil"/>
              <w:left w:val="nil"/>
              <w:right w:val="nil"/>
            </w:tcBorders>
            <w:shd w:val="clear" w:color="auto" w:fill="EBEBEB"/>
            <w:noWrap/>
            <w:hideMark/>
          </w:tcPr>
          <w:p w14:paraId="334B9F8E"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Budget</w:t>
            </w:r>
          </w:p>
        </w:tc>
        <w:tc>
          <w:tcPr>
            <w:tcW w:w="3402" w:type="dxa"/>
            <w:gridSpan w:val="3"/>
            <w:tcBorders>
              <w:top w:val="nil"/>
              <w:left w:val="nil"/>
              <w:right w:val="nil"/>
            </w:tcBorders>
            <w:shd w:val="clear" w:color="auto" w:fill="EBEBEB"/>
            <w:noWrap/>
            <w:hideMark/>
          </w:tcPr>
          <w:p w14:paraId="7734E2A0"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Forward Estimates</w:t>
            </w:r>
          </w:p>
        </w:tc>
      </w:tr>
      <w:tr w:rsidR="00C024F4" w:rsidRPr="000473C9" w14:paraId="51635A23" w14:textId="77777777" w:rsidTr="00C3270B">
        <w:trPr>
          <w:trHeight w:val="283"/>
        </w:trPr>
        <w:tc>
          <w:tcPr>
            <w:tcW w:w="4111" w:type="dxa"/>
            <w:tcBorders>
              <w:top w:val="nil"/>
              <w:left w:val="nil"/>
              <w:bottom w:val="nil"/>
              <w:right w:val="nil"/>
            </w:tcBorders>
            <w:shd w:val="clear" w:color="auto" w:fill="EBEBEB"/>
            <w:noWrap/>
            <w:hideMark/>
          </w:tcPr>
          <w:p w14:paraId="32B9723B" w14:textId="77777777" w:rsidR="00477340" w:rsidRPr="000473C9" w:rsidRDefault="00477340" w:rsidP="00477340">
            <w:pPr>
              <w:jc w:val="right"/>
              <w:rPr>
                <w:rFonts w:ascii="Public Sans" w:hAnsi="Public Sans" w:cs="Arial"/>
                <w:sz w:val="17"/>
                <w:szCs w:val="17"/>
                <w:lang w:val="en-AU" w:eastAsia="en-AU"/>
              </w:rPr>
            </w:pPr>
            <w:r w:rsidRPr="000473C9">
              <w:rPr>
                <w:rFonts w:ascii="Public Sans" w:hAnsi="Public Sans" w:cs="Arial"/>
                <w:sz w:val="17"/>
                <w:szCs w:val="17"/>
                <w:lang w:val="en-AU" w:eastAsia="en-AU"/>
              </w:rPr>
              <w:t> </w:t>
            </w:r>
          </w:p>
        </w:tc>
        <w:tc>
          <w:tcPr>
            <w:tcW w:w="1134" w:type="dxa"/>
            <w:tcBorders>
              <w:top w:val="nil"/>
              <w:left w:val="nil"/>
              <w:bottom w:val="nil"/>
              <w:right w:val="nil"/>
            </w:tcBorders>
            <w:shd w:val="clear" w:color="auto" w:fill="EBEBEB"/>
            <w:noWrap/>
            <w:hideMark/>
          </w:tcPr>
          <w:p w14:paraId="0F60149B"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$m </w:t>
            </w:r>
          </w:p>
        </w:tc>
        <w:tc>
          <w:tcPr>
            <w:tcW w:w="1134" w:type="dxa"/>
            <w:tcBorders>
              <w:top w:val="nil"/>
              <w:left w:val="nil"/>
              <w:right w:val="nil"/>
            </w:tcBorders>
            <w:shd w:val="clear" w:color="auto" w:fill="EBEBEB"/>
            <w:noWrap/>
            <w:hideMark/>
          </w:tcPr>
          <w:p w14:paraId="7403499C"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$m </w:t>
            </w:r>
          </w:p>
        </w:tc>
        <w:tc>
          <w:tcPr>
            <w:tcW w:w="1134" w:type="dxa"/>
            <w:tcBorders>
              <w:top w:val="nil"/>
              <w:left w:val="nil"/>
              <w:right w:val="nil"/>
            </w:tcBorders>
            <w:shd w:val="clear" w:color="auto" w:fill="EBEBEB"/>
            <w:noWrap/>
            <w:hideMark/>
          </w:tcPr>
          <w:p w14:paraId="3D2BD491"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$m </w:t>
            </w:r>
          </w:p>
        </w:tc>
        <w:tc>
          <w:tcPr>
            <w:tcW w:w="1134" w:type="dxa"/>
            <w:tcBorders>
              <w:top w:val="nil"/>
              <w:left w:val="nil"/>
              <w:right w:val="nil"/>
            </w:tcBorders>
            <w:shd w:val="clear" w:color="auto" w:fill="EBEBEB"/>
            <w:noWrap/>
            <w:hideMark/>
          </w:tcPr>
          <w:p w14:paraId="558691EC"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$m </w:t>
            </w:r>
          </w:p>
        </w:tc>
        <w:tc>
          <w:tcPr>
            <w:tcW w:w="1134" w:type="dxa"/>
            <w:tcBorders>
              <w:top w:val="nil"/>
              <w:left w:val="nil"/>
              <w:right w:val="nil"/>
            </w:tcBorders>
            <w:shd w:val="clear" w:color="auto" w:fill="EBEBEB"/>
            <w:noWrap/>
            <w:hideMark/>
          </w:tcPr>
          <w:p w14:paraId="2698DD02" w14:textId="77777777" w:rsidR="00477340" w:rsidRPr="000473C9" w:rsidRDefault="00477340" w:rsidP="00477340">
            <w:pPr>
              <w:jc w:val="center"/>
              <w:rPr>
                <w:rFonts w:ascii="Public Sans" w:hAnsi="Public Sans" w:cs="Arial"/>
                <w:sz w:val="17"/>
                <w:szCs w:val="17"/>
                <w:lang w:val="en-AU" w:eastAsia="en-AU"/>
              </w:rPr>
            </w:pPr>
            <w:r w:rsidRPr="000473C9">
              <w:rPr>
                <w:rFonts w:ascii="Public Sans" w:hAnsi="Public Sans" w:cs="Arial"/>
                <w:sz w:val="17"/>
                <w:szCs w:val="17"/>
                <w:lang w:val="en-AU" w:eastAsia="en-AU"/>
              </w:rPr>
              <w:t xml:space="preserve"> $m </w:t>
            </w:r>
          </w:p>
        </w:tc>
      </w:tr>
      <w:tr w:rsidR="00C024F4" w:rsidRPr="000473C9" w14:paraId="63269A9B" w14:textId="77777777" w:rsidTr="00C3270B">
        <w:trPr>
          <w:trHeight w:val="290"/>
        </w:trPr>
        <w:tc>
          <w:tcPr>
            <w:tcW w:w="4111" w:type="dxa"/>
            <w:tcBorders>
              <w:top w:val="nil"/>
              <w:left w:val="nil"/>
              <w:bottom w:val="nil"/>
              <w:right w:val="nil"/>
            </w:tcBorders>
            <w:shd w:val="clear" w:color="auto" w:fill="auto"/>
            <w:noWrap/>
            <w:vAlign w:val="center"/>
          </w:tcPr>
          <w:p w14:paraId="6B85C455" w14:textId="77777777" w:rsidR="00477340" w:rsidRPr="000473C9" w:rsidRDefault="00477340" w:rsidP="00477340">
            <w:pPr>
              <w:rPr>
                <w:rFonts w:ascii="Public Sans" w:hAnsi="Public Sans" w:cs="Arial"/>
                <w:b/>
                <w:bCs/>
                <w:sz w:val="16"/>
                <w:szCs w:val="16"/>
                <w:lang w:val="en-AU" w:eastAsia="en-AU"/>
              </w:rPr>
            </w:pPr>
            <w:r w:rsidRPr="000473C9">
              <w:rPr>
                <w:rFonts w:ascii="Public Sans" w:hAnsi="Public Sans" w:cs="Arial"/>
                <w:b/>
                <w:bCs/>
                <w:sz w:val="16"/>
                <w:szCs w:val="16"/>
                <w:lang w:val="en-AU" w:eastAsia="en-AU"/>
              </w:rPr>
              <w:t xml:space="preserve">Public non-financial corporations </w:t>
            </w:r>
          </w:p>
        </w:tc>
        <w:tc>
          <w:tcPr>
            <w:tcW w:w="1134" w:type="dxa"/>
            <w:tcBorders>
              <w:top w:val="nil"/>
              <w:left w:val="nil"/>
              <w:bottom w:val="nil"/>
              <w:right w:val="nil"/>
            </w:tcBorders>
            <w:shd w:val="clear" w:color="auto" w:fill="auto"/>
            <w:noWrap/>
            <w:vAlign w:val="center"/>
          </w:tcPr>
          <w:p w14:paraId="05C9E5FF"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2D891784"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7F57FF69"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6DEE64E4" w14:textId="77777777" w:rsidR="00477340" w:rsidRPr="000473C9" w:rsidRDefault="00477340" w:rsidP="00477340">
            <w:pPr>
              <w:ind w:right="227"/>
              <w:jc w:val="center"/>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6DA16182" w14:textId="77777777" w:rsidR="00477340" w:rsidRPr="000473C9" w:rsidRDefault="00477340" w:rsidP="00477340">
            <w:pPr>
              <w:ind w:right="227"/>
              <w:jc w:val="center"/>
              <w:rPr>
                <w:rFonts w:ascii="Public Sans" w:hAnsi="Public Sans" w:cs="Arial"/>
                <w:sz w:val="16"/>
                <w:szCs w:val="16"/>
                <w:lang w:val="en-AU" w:eastAsia="en-AU"/>
              </w:rPr>
            </w:pPr>
          </w:p>
        </w:tc>
      </w:tr>
      <w:tr w:rsidR="00C024F4" w:rsidRPr="000473C9" w14:paraId="694CDCD7" w14:textId="77777777" w:rsidTr="00C3270B">
        <w:trPr>
          <w:trHeight w:val="290"/>
        </w:trPr>
        <w:tc>
          <w:tcPr>
            <w:tcW w:w="4111" w:type="dxa"/>
            <w:tcBorders>
              <w:top w:val="nil"/>
              <w:left w:val="nil"/>
              <w:bottom w:val="nil"/>
              <w:right w:val="nil"/>
            </w:tcBorders>
            <w:shd w:val="clear" w:color="auto" w:fill="auto"/>
            <w:noWrap/>
            <w:vAlign w:val="center"/>
            <w:hideMark/>
          </w:tcPr>
          <w:p w14:paraId="5B06192E"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Essential Energy</w:t>
            </w:r>
          </w:p>
        </w:tc>
        <w:tc>
          <w:tcPr>
            <w:tcW w:w="1134" w:type="dxa"/>
            <w:tcBorders>
              <w:top w:val="nil"/>
              <w:left w:val="nil"/>
              <w:bottom w:val="nil"/>
              <w:right w:val="nil"/>
            </w:tcBorders>
            <w:shd w:val="clear" w:color="auto" w:fill="auto"/>
            <w:noWrap/>
            <w:vAlign w:val="center"/>
            <w:hideMark/>
          </w:tcPr>
          <w:p w14:paraId="1400D0A1" w14:textId="01254A54" w:rsidR="00477340" w:rsidRPr="000473C9" w:rsidRDefault="00D70F97"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p>
        </w:tc>
        <w:tc>
          <w:tcPr>
            <w:tcW w:w="1134" w:type="dxa"/>
            <w:tcBorders>
              <w:top w:val="nil"/>
              <w:left w:val="nil"/>
              <w:bottom w:val="nil"/>
              <w:right w:val="nil"/>
            </w:tcBorders>
            <w:shd w:val="pct5" w:color="auto" w:fill="auto"/>
            <w:noWrap/>
            <w:vAlign w:val="center"/>
            <w:hideMark/>
          </w:tcPr>
          <w:p w14:paraId="7E507EEF" w14:textId="77777777"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16</w:t>
            </w:r>
          </w:p>
        </w:tc>
        <w:tc>
          <w:tcPr>
            <w:tcW w:w="1134" w:type="dxa"/>
            <w:tcBorders>
              <w:top w:val="nil"/>
              <w:left w:val="nil"/>
              <w:bottom w:val="nil"/>
              <w:right w:val="nil"/>
            </w:tcBorders>
            <w:shd w:val="pct5" w:color="auto" w:fill="auto"/>
            <w:noWrap/>
            <w:vAlign w:val="center"/>
            <w:hideMark/>
          </w:tcPr>
          <w:p w14:paraId="71229DD8" w14:textId="0EA12194"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22</w:t>
            </w:r>
          </w:p>
        </w:tc>
        <w:tc>
          <w:tcPr>
            <w:tcW w:w="1134" w:type="dxa"/>
            <w:tcBorders>
              <w:top w:val="nil"/>
              <w:left w:val="nil"/>
              <w:bottom w:val="nil"/>
              <w:right w:val="nil"/>
            </w:tcBorders>
            <w:shd w:val="pct5" w:color="auto" w:fill="auto"/>
            <w:noWrap/>
            <w:vAlign w:val="center"/>
            <w:hideMark/>
          </w:tcPr>
          <w:p w14:paraId="580E4D98" w14:textId="38212A01"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38</w:t>
            </w:r>
          </w:p>
        </w:tc>
        <w:tc>
          <w:tcPr>
            <w:tcW w:w="1134" w:type="dxa"/>
            <w:tcBorders>
              <w:top w:val="nil"/>
              <w:left w:val="nil"/>
              <w:bottom w:val="nil"/>
              <w:right w:val="nil"/>
            </w:tcBorders>
            <w:shd w:val="pct5" w:color="auto" w:fill="auto"/>
            <w:noWrap/>
            <w:vAlign w:val="center"/>
            <w:hideMark/>
          </w:tcPr>
          <w:p w14:paraId="37C3B03D" w14:textId="3F3E890E"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54</w:t>
            </w:r>
          </w:p>
        </w:tc>
      </w:tr>
      <w:tr w:rsidR="00C024F4" w:rsidRPr="000473C9" w14:paraId="15AC0405" w14:textId="77777777" w:rsidTr="00C3270B">
        <w:trPr>
          <w:trHeight w:val="290"/>
        </w:trPr>
        <w:tc>
          <w:tcPr>
            <w:tcW w:w="4111" w:type="dxa"/>
            <w:tcBorders>
              <w:top w:val="nil"/>
              <w:left w:val="nil"/>
              <w:bottom w:val="nil"/>
              <w:right w:val="nil"/>
            </w:tcBorders>
            <w:shd w:val="clear" w:color="auto" w:fill="auto"/>
            <w:noWrap/>
            <w:vAlign w:val="center"/>
          </w:tcPr>
          <w:p w14:paraId="44C1054A"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Forestry Corporation of NSW</w:t>
            </w:r>
          </w:p>
        </w:tc>
        <w:tc>
          <w:tcPr>
            <w:tcW w:w="1134" w:type="dxa"/>
            <w:tcBorders>
              <w:top w:val="nil"/>
              <w:left w:val="nil"/>
              <w:bottom w:val="nil"/>
              <w:right w:val="nil"/>
            </w:tcBorders>
            <w:shd w:val="clear" w:color="auto" w:fill="auto"/>
            <w:noWrap/>
            <w:vAlign w:val="center"/>
          </w:tcPr>
          <w:p w14:paraId="3BF4B1EA" w14:textId="5D1CC569" w:rsidR="00477340" w:rsidRPr="000473C9" w:rsidRDefault="00D70F97"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33</w:t>
            </w:r>
          </w:p>
        </w:tc>
        <w:tc>
          <w:tcPr>
            <w:tcW w:w="1134" w:type="dxa"/>
            <w:tcBorders>
              <w:top w:val="nil"/>
              <w:left w:val="nil"/>
              <w:bottom w:val="nil"/>
              <w:right w:val="nil"/>
            </w:tcBorders>
            <w:shd w:val="pct5" w:color="auto" w:fill="auto"/>
            <w:noWrap/>
            <w:vAlign w:val="center"/>
          </w:tcPr>
          <w:p w14:paraId="355A232B" w14:textId="33CE397E"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w:t>
            </w:r>
          </w:p>
        </w:tc>
        <w:tc>
          <w:tcPr>
            <w:tcW w:w="1134" w:type="dxa"/>
            <w:tcBorders>
              <w:top w:val="nil"/>
              <w:left w:val="nil"/>
              <w:bottom w:val="nil"/>
              <w:right w:val="nil"/>
            </w:tcBorders>
            <w:shd w:val="pct5" w:color="auto" w:fill="auto"/>
            <w:noWrap/>
            <w:vAlign w:val="center"/>
          </w:tcPr>
          <w:p w14:paraId="5E03F532" w14:textId="09806347"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9</w:t>
            </w:r>
          </w:p>
        </w:tc>
        <w:tc>
          <w:tcPr>
            <w:tcW w:w="1134" w:type="dxa"/>
            <w:tcBorders>
              <w:top w:val="nil"/>
              <w:left w:val="nil"/>
              <w:bottom w:val="nil"/>
              <w:right w:val="nil"/>
            </w:tcBorders>
            <w:shd w:val="pct5" w:color="auto" w:fill="auto"/>
            <w:noWrap/>
            <w:vAlign w:val="center"/>
          </w:tcPr>
          <w:p w14:paraId="58E2716E" w14:textId="1D6D5FBB"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w:t>
            </w:r>
            <w:r w:rsidR="00477340" w:rsidRPr="000473C9">
              <w:rPr>
                <w:rFonts w:ascii="Public Sans" w:hAnsi="Public Sans" w:cs="Arial"/>
                <w:sz w:val="16"/>
                <w:szCs w:val="16"/>
                <w:lang w:val="en-AU" w:eastAsia="en-AU"/>
              </w:rPr>
              <w:t>4</w:t>
            </w:r>
          </w:p>
        </w:tc>
        <w:tc>
          <w:tcPr>
            <w:tcW w:w="1134" w:type="dxa"/>
            <w:tcBorders>
              <w:top w:val="nil"/>
              <w:left w:val="nil"/>
              <w:bottom w:val="nil"/>
              <w:right w:val="nil"/>
            </w:tcBorders>
            <w:shd w:val="pct5" w:color="auto" w:fill="auto"/>
            <w:noWrap/>
            <w:vAlign w:val="center"/>
          </w:tcPr>
          <w:p w14:paraId="022662E1" w14:textId="07FE409C"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42</w:t>
            </w:r>
          </w:p>
        </w:tc>
      </w:tr>
      <w:tr w:rsidR="00C024F4" w:rsidRPr="000473C9" w14:paraId="37542FAD" w14:textId="77777777" w:rsidTr="00C3270B">
        <w:trPr>
          <w:trHeight w:val="290"/>
        </w:trPr>
        <w:tc>
          <w:tcPr>
            <w:tcW w:w="4111" w:type="dxa"/>
            <w:tcBorders>
              <w:top w:val="nil"/>
              <w:left w:val="nil"/>
              <w:bottom w:val="nil"/>
              <w:right w:val="nil"/>
            </w:tcBorders>
            <w:shd w:val="clear" w:color="auto" w:fill="auto"/>
            <w:noWrap/>
            <w:vAlign w:val="center"/>
          </w:tcPr>
          <w:p w14:paraId="0322E2BA"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Hunter Water Corporation</w:t>
            </w:r>
          </w:p>
        </w:tc>
        <w:tc>
          <w:tcPr>
            <w:tcW w:w="1134" w:type="dxa"/>
            <w:tcBorders>
              <w:top w:val="nil"/>
              <w:left w:val="nil"/>
              <w:bottom w:val="nil"/>
              <w:right w:val="nil"/>
            </w:tcBorders>
            <w:shd w:val="clear" w:color="auto" w:fill="auto"/>
            <w:noWrap/>
            <w:vAlign w:val="center"/>
          </w:tcPr>
          <w:p w14:paraId="6C60B8CF" w14:textId="40015293" w:rsidR="00477340" w:rsidRPr="000473C9" w:rsidRDefault="00D70F97"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39</w:t>
            </w:r>
          </w:p>
        </w:tc>
        <w:tc>
          <w:tcPr>
            <w:tcW w:w="1134" w:type="dxa"/>
            <w:tcBorders>
              <w:top w:val="nil"/>
              <w:left w:val="nil"/>
              <w:bottom w:val="nil"/>
              <w:right w:val="nil"/>
            </w:tcBorders>
            <w:shd w:val="pct5" w:color="auto" w:fill="auto"/>
            <w:noWrap/>
            <w:vAlign w:val="center"/>
          </w:tcPr>
          <w:p w14:paraId="559EC2BA" w14:textId="0DC9AA32"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5</w:t>
            </w:r>
            <w:r w:rsidR="00250D0A" w:rsidRPr="000473C9">
              <w:rPr>
                <w:rFonts w:ascii="Public Sans" w:hAnsi="Public Sans" w:cs="Arial"/>
                <w:sz w:val="16"/>
                <w:szCs w:val="16"/>
                <w:lang w:val="en-AU" w:eastAsia="en-AU"/>
              </w:rPr>
              <w:t>6</w:t>
            </w:r>
          </w:p>
        </w:tc>
        <w:tc>
          <w:tcPr>
            <w:tcW w:w="1134" w:type="dxa"/>
            <w:tcBorders>
              <w:top w:val="nil"/>
              <w:left w:val="nil"/>
              <w:bottom w:val="nil"/>
              <w:right w:val="nil"/>
            </w:tcBorders>
            <w:shd w:val="pct5" w:color="auto" w:fill="auto"/>
            <w:noWrap/>
            <w:vAlign w:val="center"/>
          </w:tcPr>
          <w:p w14:paraId="46A14F22" w14:textId="0C92FD02"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w:t>
            </w:r>
            <w:r w:rsidR="00477340" w:rsidRPr="000473C9">
              <w:rPr>
                <w:rFonts w:ascii="Public Sans" w:hAnsi="Public Sans" w:cs="Arial"/>
                <w:sz w:val="16"/>
                <w:szCs w:val="16"/>
                <w:lang w:val="en-AU" w:eastAsia="en-AU"/>
              </w:rPr>
              <w:t>5</w:t>
            </w:r>
          </w:p>
        </w:tc>
        <w:tc>
          <w:tcPr>
            <w:tcW w:w="1134" w:type="dxa"/>
            <w:tcBorders>
              <w:top w:val="nil"/>
              <w:left w:val="nil"/>
              <w:bottom w:val="nil"/>
              <w:right w:val="nil"/>
            </w:tcBorders>
            <w:shd w:val="pct5" w:color="auto" w:fill="auto"/>
            <w:noWrap/>
            <w:vAlign w:val="center"/>
          </w:tcPr>
          <w:p w14:paraId="3565A4F7" w14:textId="06D3A0FA"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66</w:t>
            </w:r>
          </w:p>
        </w:tc>
        <w:tc>
          <w:tcPr>
            <w:tcW w:w="1134" w:type="dxa"/>
            <w:tcBorders>
              <w:top w:val="nil"/>
              <w:left w:val="nil"/>
              <w:bottom w:val="nil"/>
              <w:right w:val="nil"/>
            </w:tcBorders>
            <w:shd w:val="pct5" w:color="auto" w:fill="auto"/>
            <w:noWrap/>
            <w:vAlign w:val="center"/>
          </w:tcPr>
          <w:p w14:paraId="17767ADD" w14:textId="7FD3474C"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83</w:t>
            </w:r>
          </w:p>
        </w:tc>
      </w:tr>
      <w:tr w:rsidR="00C024F4" w:rsidRPr="000473C9" w14:paraId="161CB02E" w14:textId="77777777" w:rsidTr="00C3270B">
        <w:trPr>
          <w:trHeight w:val="290"/>
        </w:trPr>
        <w:tc>
          <w:tcPr>
            <w:tcW w:w="4111" w:type="dxa"/>
            <w:tcBorders>
              <w:top w:val="nil"/>
              <w:left w:val="nil"/>
              <w:bottom w:val="nil"/>
              <w:right w:val="nil"/>
            </w:tcBorders>
            <w:shd w:val="clear" w:color="auto" w:fill="auto"/>
            <w:noWrap/>
            <w:vAlign w:val="center"/>
          </w:tcPr>
          <w:p w14:paraId="33B5CCF3" w14:textId="77777777" w:rsidR="00477340" w:rsidRPr="000473C9" w:rsidRDefault="00477340" w:rsidP="00477340">
            <w:pPr>
              <w:ind w:left="113"/>
              <w:rPr>
                <w:rFonts w:ascii="Public Sans" w:hAnsi="Public Sans" w:cs="Arial"/>
                <w:sz w:val="16"/>
                <w:szCs w:val="16"/>
                <w:lang w:val="en-AU" w:eastAsia="en-AU"/>
              </w:rPr>
            </w:pPr>
            <w:proofErr w:type="spellStart"/>
            <w:r w:rsidRPr="000473C9">
              <w:rPr>
                <w:rFonts w:ascii="Public Sans" w:hAnsi="Public Sans" w:cs="Arial"/>
                <w:sz w:val="16"/>
                <w:szCs w:val="16"/>
                <w:lang w:val="en-AU" w:eastAsia="en-AU"/>
              </w:rPr>
              <w:t>Landcom</w:t>
            </w:r>
            <w:proofErr w:type="spellEnd"/>
            <w:r w:rsidRPr="000473C9">
              <w:rPr>
                <w:rFonts w:ascii="Public Sans" w:hAnsi="Public Sans" w:cs="Arial"/>
                <w:iCs/>
                <w:position w:val="7"/>
                <w:sz w:val="14"/>
              </w:rPr>
              <w:t>(a)</w:t>
            </w:r>
          </w:p>
        </w:tc>
        <w:tc>
          <w:tcPr>
            <w:tcW w:w="1134" w:type="dxa"/>
            <w:tcBorders>
              <w:top w:val="nil"/>
              <w:left w:val="nil"/>
              <w:bottom w:val="nil"/>
              <w:right w:val="nil"/>
            </w:tcBorders>
            <w:shd w:val="clear" w:color="auto" w:fill="auto"/>
            <w:noWrap/>
            <w:vAlign w:val="center"/>
          </w:tcPr>
          <w:p w14:paraId="60845C98" w14:textId="67631C74"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26</w:t>
            </w:r>
          </w:p>
        </w:tc>
        <w:tc>
          <w:tcPr>
            <w:tcW w:w="1134" w:type="dxa"/>
            <w:tcBorders>
              <w:top w:val="nil"/>
              <w:left w:val="nil"/>
              <w:bottom w:val="nil"/>
              <w:right w:val="nil"/>
            </w:tcBorders>
            <w:shd w:val="pct5" w:color="auto" w:fill="auto"/>
            <w:noWrap/>
            <w:vAlign w:val="center"/>
          </w:tcPr>
          <w:p w14:paraId="50E116A6" w14:textId="60477311"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r w:rsidR="00250D0A" w:rsidRPr="000473C9">
              <w:rPr>
                <w:rFonts w:ascii="Public Sans" w:hAnsi="Public Sans" w:cs="Arial"/>
                <w:sz w:val="16"/>
                <w:szCs w:val="16"/>
                <w:lang w:val="en-AU" w:eastAsia="en-AU"/>
              </w:rPr>
              <w:t>4</w:t>
            </w:r>
          </w:p>
        </w:tc>
        <w:tc>
          <w:tcPr>
            <w:tcW w:w="1134" w:type="dxa"/>
            <w:tcBorders>
              <w:top w:val="nil"/>
              <w:left w:val="nil"/>
              <w:bottom w:val="nil"/>
              <w:right w:val="nil"/>
            </w:tcBorders>
            <w:shd w:val="pct5" w:color="auto" w:fill="auto"/>
            <w:noWrap/>
            <w:vAlign w:val="center"/>
          </w:tcPr>
          <w:p w14:paraId="662EB991" w14:textId="301646B7"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r w:rsidR="00F16F78" w:rsidRPr="000473C9">
              <w:rPr>
                <w:rFonts w:ascii="Public Sans" w:hAnsi="Public Sans" w:cs="Arial"/>
                <w:sz w:val="16"/>
                <w:szCs w:val="16"/>
                <w:lang w:val="en-AU" w:eastAsia="en-AU"/>
              </w:rPr>
              <w:t>8</w:t>
            </w:r>
          </w:p>
        </w:tc>
        <w:tc>
          <w:tcPr>
            <w:tcW w:w="1134" w:type="dxa"/>
            <w:tcBorders>
              <w:top w:val="nil"/>
              <w:left w:val="nil"/>
              <w:bottom w:val="nil"/>
              <w:right w:val="nil"/>
            </w:tcBorders>
            <w:shd w:val="pct5" w:color="auto" w:fill="auto"/>
            <w:noWrap/>
            <w:vAlign w:val="center"/>
          </w:tcPr>
          <w:p w14:paraId="2991D2A8" w14:textId="61A3B7C4"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25</w:t>
            </w:r>
          </w:p>
        </w:tc>
        <w:tc>
          <w:tcPr>
            <w:tcW w:w="1134" w:type="dxa"/>
            <w:tcBorders>
              <w:top w:val="nil"/>
              <w:left w:val="nil"/>
              <w:bottom w:val="nil"/>
              <w:right w:val="nil"/>
            </w:tcBorders>
            <w:shd w:val="pct5" w:color="auto" w:fill="auto"/>
            <w:noWrap/>
            <w:vAlign w:val="center"/>
          </w:tcPr>
          <w:p w14:paraId="5A4B4ED9" w14:textId="60CDB983"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40</w:t>
            </w:r>
          </w:p>
        </w:tc>
      </w:tr>
      <w:tr w:rsidR="00C024F4" w:rsidRPr="000473C9" w14:paraId="505F8C34" w14:textId="77777777" w:rsidTr="00C3270B">
        <w:trPr>
          <w:trHeight w:val="290"/>
        </w:trPr>
        <w:tc>
          <w:tcPr>
            <w:tcW w:w="4111" w:type="dxa"/>
            <w:tcBorders>
              <w:top w:val="nil"/>
              <w:left w:val="nil"/>
              <w:bottom w:val="nil"/>
              <w:right w:val="nil"/>
            </w:tcBorders>
            <w:shd w:val="clear" w:color="auto" w:fill="auto"/>
            <w:noWrap/>
            <w:vAlign w:val="center"/>
          </w:tcPr>
          <w:p w14:paraId="659F83EA"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Port Authority of NSW</w:t>
            </w:r>
          </w:p>
        </w:tc>
        <w:tc>
          <w:tcPr>
            <w:tcW w:w="1134" w:type="dxa"/>
            <w:tcBorders>
              <w:top w:val="nil"/>
              <w:left w:val="nil"/>
              <w:bottom w:val="nil"/>
              <w:right w:val="nil"/>
            </w:tcBorders>
            <w:shd w:val="clear" w:color="auto" w:fill="auto"/>
            <w:noWrap/>
            <w:vAlign w:val="center"/>
          </w:tcPr>
          <w:p w14:paraId="3394927B" w14:textId="4F52B23A"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40</w:t>
            </w:r>
          </w:p>
        </w:tc>
        <w:tc>
          <w:tcPr>
            <w:tcW w:w="1134" w:type="dxa"/>
            <w:tcBorders>
              <w:top w:val="nil"/>
              <w:left w:val="nil"/>
              <w:bottom w:val="nil"/>
              <w:right w:val="nil"/>
            </w:tcBorders>
            <w:shd w:val="pct5" w:color="auto" w:fill="auto"/>
            <w:noWrap/>
            <w:vAlign w:val="center"/>
          </w:tcPr>
          <w:p w14:paraId="65C456CB" w14:textId="328C3A88"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48</w:t>
            </w:r>
          </w:p>
        </w:tc>
        <w:tc>
          <w:tcPr>
            <w:tcW w:w="1134" w:type="dxa"/>
            <w:tcBorders>
              <w:top w:val="nil"/>
              <w:left w:val="nil"/>
              <w:bottom w:val="nil"/>
              <w:right w:val="nil"/>
            </w:tcBorders>
            <w:shd w:val="pct5" w:color="auto" w:fill="auto"/>
            <w:noWrap/>
            <w:vAlign w:val="center"/>
          </w:tcPr>
          <w:p w14:paraId="384288FB" w14:textId="48AE369E"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57</w:t>
            </w:r>
          </w:p>
        </w:tc>
        <w:tc>
          <w:tcPr>
            <w:tcW w:w="1134" w:type="dxa"/>
            <w:tcBorders>
              <w:top w:val="nil"/>
              <w:left w:val="nil"/>
              <w:bottom w:val="nil"/>
              <w:right w:val="nil"/>
            </w:tcBorders>
            <w:shd w:val="pct5" w:color="auto" w:fill="auto"/>
            <w:noWrap/>
            <w:vAlign w:val="center"/>
          </w:tcPr>
          <w:p w14:paraId="6B8DD9DA" w14:textId="5E72229D"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w:t>
            </w:r>
            <w:r w:rsidR="00F16F78" w:rsidRPr="000473C9">
              <w:rPr>
                <w:rFonts w:ascii="Public Sans" w:hAnsi="Public Sans" w:cs="Arial"/>
                <w:sz w:val="16"/>
                <w:szCs w:val="16"/>
                <w:lang w:val="en-AU" w:eastAsia="en-AU"/>
              </w:rPr>
              <w:t>3</w:t>
            </w:r>
          </w:p>
        </w:tc>
        <w:tc>
          <w:tcPr>
            <w:tcW w:w="1134" w:type="dxa"/>
            <w:tcBorders>
              <w:top w:val="nil"/>
              <w:left w:val="nil"/>
              <w:bottom w:val="nil"/>
              <w:right w:val="nil"/>
            </w:tcBorders>
            <w:shd w:val="pct5" w:color="auto" w:fill="auto"/>
            <w:noWrap/>
            <w:vAlign w:val="center"/>
          </w:tcPr>
          <w:p w14:paraId="3BEB63C7" w14:textId="28D45899"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55</w:t>
            </w:r>
          </w:p>
        </w:tc>
      </w:tr>
      <w:tr w:rsidR="00C024F4" w:rsidRPr="000473C9" w14:paraId="460711F7" w14:textId="77777777" w:rsidTr="00C3270B">
        <w:trPr>
          <w:trHeight w:val="290"/>
        </w:trPr>
        <w:tc>
          <w:tcPr>
            <w:tcW w:w="4111" w:type="dxa"/>
            <w:tcBorders>
              <w:top w:val="nil"/>
              <w:left w:val="nil"/>
              <w:bottom w:val="nil"/>
              <w:right w:val="nil"/>
            </w:tcBorders>
            <w:shd w:val="clear" w:color="auto" w:fill="auto"/>
            <w:noWrap/>
            <w:vAlign w:val="center"/>
          </w:tcPr>
          <w:p w14:paraId="7C928898" w14:textId="1E553044"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Sydney Water Corporation</w:t>
            </w:r>
            <w:r w:rsidR="00F933DD" w:rsidRPr="000473C9">
              <w:rPr>
                <w:rFonts w:ascii="Public Sans" w:hAnsi="Public Sans" w:cs="Arial"/>
                <w:iCs/>
                <w:position w:val="7"/>
                <w:sz w:val="14"/>
              </w:rPr>
              <w:t>(</w:t>
            </w:r>
            <w:r w:rsidR="00D02132">
              <w:rPr>
                <w:rFonts w:ascii="Public Sans" w:hAnsi="Public Sans" w:cs="Arial"/>
                <w:iCs/>
                <w:position w:val="7"/>
                <w:sz w:val="14"/>
              </w:rPr>
              <w:t>b</w:t>
            </w:r>
            <w:r w:rsidR="00F933DD" w:rsidRPr="000473C9">
              <w:rPr>
                <w:rFonts w:ascii="Public Sans" w:hAnsi="Public Sans" w:cs="Arial"/>
                <w:iCs/>
                <w:position w:val="7"/>
                <w:sz w:val="14"/>
              </w:rPr>
              <w:t>)</w:t>
            </w:r>
          </w:p>
        </w:tc>
        <w:tc>
          <w:tcPr>
            <w:tcW w:w="1134" w:type="dxa"/>
            <w:tcBorders>
              <w:top w:val="nil"/>
              <w:left w:val="nil"/>
              <w:bottom w:val="nil"/>
              <w:right w:val="nil"/>
            </w:tcBorders>
            <w:shd w:val="clear" w:color="auto" w:fill="auto"/>
            <w:noWrap/>
            <w:vAlign w:val="center"/>
          </w:tcPr>
          <w:p w14:paraId="1C8F2A07" w14:textId="7557A6B1"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140</w:t>
            </w:r>
          </w:p>
        </w:tc>
        <w:tc>
          <w:tcPr>
            <w:tcW w:w="1134" w:type="dxa"/>
            <w:tcBorders>
              <w:top w:val="nil"/>
              <w:left w:val="nil"/>
              <w:bottom w:val="nil"/>
              <w:right w:val="nil"/>
            </w:tcBorders>
            <w:shd w:val="pct5" w:color="auto" w:fill="auto"/>
            <w:noWrap/>
            <w:vAlign w:val="center"/>
          </w:tcPr>
          <w:p w14:paraId="3B4C1D4B" w14:textId="06DC14C1"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361</w:t>
            </w:r>
          </w:p>
        </w:tc>
        <w:tc>
          <w:tcPr>
            <w:tcW w:w="1134" w:type="dxa"/>
            <w:tcBorders>
              <w:top w:val="nil"/>
              <w:left w:val="nil"/>
              <w:bottom w:val="nil"/>
              <w:right w:val="nil"/>
            </w:tcBorders>
            <w:shd w:val="pct5" w:color="auto" w:fill="auto"/>
            <w:noWrap/>
            <w:vAlign w:val="center"/>
          </w:tcPr>
          <w:p w14:paraId="720C9C69" w14:textId="4414F5CC"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w:t>
            </w:r>
            <w:r w:rsidR="00F16F78" w:rsidRPr="000473C9">
              <w:rPr>
                <w:rFonts w:ascii="Public Sans" w:hAnsi="Public Sans" w:cs="Arial"/>
                <w:sz w:val="16"/>
                <w:szCs w:val="16"/>
                <w:lang w:val="en-AU" w:eastAsia="en-AU"/>
              </w:rPr>
              <w:t>86</w:t>
            </w:r>
          </w:p>
        </w:tc>
        <w:tc>
          <w:tcPr>
            <w:tcW w:w="1134" w:type="dxa"/>
            <w:tcBorders>
              <w:top w:val="nil"/>
              <w:left w:val="nil"/>
              <w:bottom w:val="nil"/>
              <w:right w:val="nil"/>
            </w:tcBorders>
            <w:shd w:val="pct5" w:color="auto" w:fill="auto"/>
            <w:noWrap/>
            <w:vAlign w:val="center"/>
          </w:tcPr>
          <w:p w14:paraId="68D96400" w14:textId="16451BCC"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626</w:t>
            </w:r>
          </w:p>
        </w:tc>
        <w:tc>
          <w:tcPr>
            <w:tcW w:w="1134" w:type="dxa"/>
            <w:tcBorders>
              <w:top w:val="nil"/>
              <w:left w:val="nil"/>
              <w:bottom w:val="nil"/>
              <w:right w:val="nil"/>
            </w:tcBorders>
            <w:shd w:val="pct5" w:color="auto" w:fill="auto"/>
            <w:noWrap/>
            <w:vAlign w:val="center"/>
          </w:tcPr>
          <w:p w14:paraId="76DE3794" w14:textId="23C13CDE"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w:t>
            </w:r>
            <w:r w:rsidR="005860D1" w:rsidRPr="000473C9">
              <w:rPr>
                <w:rFonts w:ascii="Public Sans" w:hAnsi="Public Sans" w:cs="Arial"/>
                <w:sz w:val="16"/>
                <w:szCs w:val="16"/>
                <w:lang w:val="en-AU" w:eastAsia="en-AU"/>
              </w:rPr>
              <w:t>37</w:t>
            </w:r>
          </w:p>
        </w:tc>
      </w:tr>
      <w:tr w:rsidR="00C024F4" w:rsidRPr="000473C9" w14:paraId="7E5EB281" w14:textId="77777777" w:rsidTr="00C3270B">
        <w:trPr>
          <w:trHeight w:val="290"/>
        </w:trPr>
        <w:tc>
          <w:tcPr>
            <w:tcW w:w="4111" w:type="dxa"/>
            <w:tcBorders>
              <w:top w:val="nil"/>
              <w:left w:val="nil"/>
              <w:bottom w:val="nil"/>
              <w:right w:val="nil"/>
            </w:tcBorders>
            <w:shd w:val="clear" w:color="auto" w:fill="auto"/>
            <w:noWrap/>
            <w:vAlign w:val="center"/>
          </w:tcPr>
          <w:p w14:paraId="18490B79"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Transport Asset Holding Entity of NSW</w:t>
            </w:r>
          </w:p>
        </w:tc>
        <w:tc>
          <w:tcPr>
            <w:tcW w:w="1134" w:type="dxa"/>
            <w:tcBorders>
              <w:top w:val="nil"/>
              <w:left w:val="nil"/>
              <w:bottom w:val="nil"/>
              <w:right w:val="nil"/>
            </w:tcBorders>
            <w:shd w:val="clear" w:color="auto" w:fill="auto"/>
            <w:noWrap/>
            <w:vAlign w:val="center"/>
          </w:tcPr>
          <w:p w14:paraId="4549D329" w14:textId="4748C6D2"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129</w:t>
            </w:r>
          </w:p>
        </w:tc>
        <w:tc>
          <w:tcPr>
            <w:tcW w:w="1134" w:type="dxa"/>
            <w:tcBorders>
              <w:top w:val="nil"/>
              <w:left w:val="nil"/>
              <w:bottom w:val="nil"/>
              <w:right w:val="nil"/>
            </w:tcBorders>
            <w:shd w:val="pct5" w:color="auto" w:fill="auto"/>
            <w:noWrap/>
            <w:vAlign w:val="center"/>
          </w:tcPr>
          <w:p w14:paraId="3C369A32" w14:textId="4E004CA4"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w:t>
            </w:r>
          </w:p>
        </w:tc>
        <w:tc>
          <w:tcPr>
            <w:tcW w:w="1134" w:type="dxa"/>
            <w:tcBorders>
              <w:top w:val="nil"/>
              <w:left w:val="nil"/>
              <w:bottom w:val="nil"/>
              <w:right w:val="nil"/>
            </w:tcBorders>
            <w:shd w:val="pct5" w:color="auto" w:fill="auto"/>
            <w:noWrap/>
            <w:vAlign w:val="center"/>
          </w:tcPr>
          <w:p w14:paraId="15C642E3" w14:textId="7C890E0F"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w:t>
            </w:r>
          </w:p>
        </w:tc>
        <w:tc>
          <w:tcPr>
            <w:tcW w:w="1134" w:type="dxa"/>
            <w:tcBorders>
              <w:top w:val="nil"/>
              <w:left w:val="nil"/>
              <w:bottom w:val="nil"/>
              <w:right w:val="nil"/>
            </w:tcBorders>
            <w:shd w:val="pct5" w:color="auto" w:fill="auto"/>
            <w:noWrap/>
            <w:vAlign w:val="center"/>
          </w:tcPr>
          <w:p w14:paraId="7200C651" w14:textId="30ED5787"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w:t>
            </w:r>
          </w:p>
        </w:tc>
        <w:tc>
          <w:tcPr>
            <w:tcW w:w="1134" w:type="dxa"/>
            <w:tcBorders>
              <w:top w:val="nil"/>
              <w:left w:val="nil"/>
              <w:bottom w:val="nil"/>
              <w:right w:val="nil"/>
            </w:tcBorders>
            <w:shd w:val="pct5" w:color="auto" w:fill="auto"/>
            <w:noWrap/>
            <w:vAlign w:val="center"/>
          </w:tcPr>
          <w:p w14:paraId="22C5190C" w14:textId="1C43961C" w:rsidR="00477340" w:rsidRPr="000473C9" w:rsidRDefault="00F0597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w:t>
            </w:r>
          </w:p>
        </w:tc>
      </w:tr>
      <w:tr w:rsidR="00C024F4" w:rsidRPr="000473C9" w14:paraId="4765AC82" w14:textId="77777777" w:rsidTr="00C3270B">
        <w:trPr>
          <w:trHeight w:val="290"/>
        </w:trPr>
        <w:tc>
          <w:tcPr>
            <w:tcW w:w="4111" w:type="dxa"/>
            <w:tcBorders>
              <w:top w:val="nil"/>
              <w:left w:val="nil"/>
              <w:bottom w:val="nil"/>
              <w:right w:val="nil"/>
            </w:tcBorders>
            <w:shd w:val="clear" w:color="auto" w:fill="auto"/>
            <w:noWrap/>
            <w:vAlign w:val="center"/>
          </w:tcPr>
          <w:p w14:paraId="11F2F434"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Water NSW</w:t>
            </w:r>
          </w:p>
        </w:tc>
        <w:tc>
          <w:tcPr>
            <w:tcW w:w="1134" w:type="dxa"/>
            <w:tcBorders>
              <w:top w:val="nil"/>
              <w:left w:val="nil"/>
              <w:bottom w:val="nil"/>
              <w:right w:val="nil"/>
            </w:tcBorders>
            <w:shd w:val="clear" w:color="auto" w:fill="auto"/>
            <w:noWrap/>
            <w:vAlign w:val="center"/>
          </w:tcPr>
          <w:p w14:paraId="308F33C0" w14:textId="67E26F42"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40</w:t>
            </w:r>
          </w:p>
        </w:tc>
        <w:tc>
          <w:tcPr>
            <w:tcW w:w="1134" w:type="dxa"/>
            <w:tcBorders>
              <w:top w:val="nil"/>
              <w:left w:val="nil"/>
              <w:bottom w:val="nil"/>
              <w:right w:val="nil"/>
            </w:tcBorders>
            <w:shd w:val="pct5" w:color="auto" w:fill="auto"/>
            <w:noWrap/>
            <w:vAlign w:val="center"/>
          </w:tcPr>
          <w:p w14:paraId="00C123D2" w14:textId="65A27543" w:rsidR="00477340" w:rsidRPr="000473C9" w:rsidRDefault="00250D0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61</w:t>
            </w:r>
          </w:p>
        </w:tc>
        <w:tc>
          <w:tcPr>
            <w:tcW w:w="1134" w:type="dxa"/>
            <w:tcBorders>
              <w:top w:val="nil"/>
              <w:left w:val="nil"/>
              <w:bottom w:val="nil"/>
              <w:right w:val="nil"/>
            </w:tcBorders>
            <w:shd w:val="pct5" w:color="auto" w:fill="auto"/>
            <w:noWrap/>
            <w:vAlign w:val="center"/>
          </w:tcPr>
          <w:p w14:paraId="0C87E551" w14:textId="24796D46"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65</w:t>
            </w:r>
          </w:p>
        </w:tc>
        <w:tc>
          <w:tcPr>
            <w:tcW w:w="1134" w:type="dxa"/>
            <w:tcBorders>
              <w:top w:val="nil"/>
              <w:left w:val="nil"/>
              <w:bottom w:val="nil"/>
              <w:right w:val="nil"/>
            </w:tcBorders>
            <w:shd w:val="pct5" w:color="auto" w:fill="auto"/>
            <w:noWrap/>
            <w:vAlign w:val="center"/>
          </w:tcPr>
          <w:p w14:paraId="5475067A" w14:textId="6161D96A"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65</w:t>
            </w:r>
          </w:p>
        </w:tc>
        <w:tc>
          <w:tcPr>
            <w:tcW w:w="1134" w:type="dxa"/>
            <w:tcBorders>
              <w:top w:val="nil"/>
              <w:left w:val="nil"/>
              <w:bottom w:val="nil"/>
              <w:right w:val="nil"/>
            </w:tcBorders>
            <w:shd w:val="pct5" w:color="auto" w:fill="auto"/>
            <w:noWrap/>
            <w:vAlign w:val="center"/>
          </w:tcPr>
          <w:p w14:paraId="2886688D" w14:textId="54B3FB65" w:rsidR="00477340" w:rsidRPr="000473C9" w:rsidRDefault="00F0597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65</w:t>
            </w:r>
          </w:p>
        </w:tc>
      </w:tr>
      <w:tr w:rsidR="00C024F4" w:rsidRPr="000473C9" w14:paraId="730FABBB" w14:textId="77777777" w:rsidTr="00C3270B">
        <w:trPr>
          <w:trHeight w:val="290"/>
        </w:trPr>
        <w:tc>
          <w:tcPr>
            <w:tcW w:w="4111" w:type="dxa"/>
            <w:tcBorders>
              <w:top w:val="nil"/>
              <w:left w:val="nil"/>
              <w:bottom w:val="nil"/>
              <w:right w:val="nil"/>
            </w:tcBorders>
            <w:shd w:val="clear" w:color="auto" w:fill="auto"/>
            <w:noWrap/>
            <w:vAlign w:val="center"/>
          </w:tcPr>
          <w:p w14:paraId="2297D56A" w14:textId="77777777" w:rsidR="00477340" w:rsidRPr="000473C9" w:rsidRDefault="00477340" w:rsidP="00477340">
            <w:pPr>
              <w:rPr>
                <w:rFonts w:ascii="Public Sans" w:hAnsi="Public Sans" w:cs="Arial"/>
                <w:b/>
                <w:bCs/>
                <w:sz w:val="16"/>
                <w:szCs w:val="16"/>
                <w:lang w:val="en-AU" w:eastAsia="en-AU"/>
              </w:rPr>
            </w:pPr>
            <w:r w:rsidRPr="000473C9">
              <w:rPr>
                <w:rFonts w:ascii="Public Sans" w:hAnsi="Public Sans" w:cs="Arial"/>
                <w:b/>
                <w:bCs/>
                <w:sz w:val="16"/>
                <w:szCs w:val="16"/>
                <w:lang w:val="en-AU" w:eastAsia="en-AU"/>
              </w:rPr>
              <w:t>Public financial corporations</w:t>
            </w:r>
          </w:p>
        </w:tc>
        <w:tc>
          <w:tcPr>
            <w:tcW w:w="1134" w:type="dxa"/>
            <w:tcBorders>
              <w:top w:val="nil"/>
              <w:left w:val="nil"/>
              <w:bottom w:val="nil"/>
              <w:right w:val="nil"/>
            </w:tcBorders>
            <w:shd w:val="clear" w:color="auto" w:fill="auto"/>
            <w:noWrap/>
            <w:vAlign w:val="center"/>
          </w:tcPr>
          <w:p w14:paraId="35E30359"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61043DE1"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7AC6C4B0"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36749FFB" w14:textId="77777777" w:rsidR="00477340" w:rsidRPr="000473C9" w:rsidRDefault="00477340" w:rsidP="00477340">
            <w:pPr>
              <w:ind w:right="227"/>
              <w:jc w:val="right"/>
              <w:rPr>
                <w:rFonts w:ascii="Public Sans" w:hAnsi="Public Sans" w:cs="Arial"/>
                <w:sz w:val="16"/>
                <w:szCs w:val="16"/>
                <w:lang w:val="en-AU" w:eastAsia="en-AU"/>
              </w:rPr>
            </w:pPr>
          </w:p>
        </w:tc>
        <w:tc>
          <w:tcPr>
            <w:tcW w:w="1134" w:type="dxa"/>
            <w:tcBorders>
              <w:top w:val="nil"/>
              <w:left w:val="nil"/>
              <w:bottom w:val="nil"/>
              <w:right w:val="nil"/>
            </w:tcBorders>
            <w:shd w:val="pct5" w:color="auto" w:fill="auto"/>
            <w:noWrap/>
            <w:vAlign w:val="center"/>
          </w:tcPr>
          <w:p w14:paraId="332A2664" w14:textId="77777777" w:rsidR="00477340" w:rsidRPr="000473C9" w:rsidRDefault="00477340" w:rsidP="00477340">
            <w:pPr>
              <w:ind w:right="227"/>
              <w:jc w:val="right"/>
              <w:rPr>
                <w:rFonts w:ascii="Public Sans" w:hAnsi="Public Sans" w:cs="Arial"/>
                <w:sz w:val="16"/>
                <w:szCs w:val="16"/>
                <w:lang w:val="en-AU" w:eastAsia="en-AU"/>
              </w:rPr>
            </w:pPr>
          </w:p>
        </w:tc>
      </w:tr>
      <w:tr w:rsidR="00C024F4" w:rsidRPr="000473C9" w14:paraId="6A3DCFF6" w14:textId="77777777" w:rsidTr="00C3270B">
        <w:trPr>
          <w:trHeight w:val="290"/>
        </w:trPr>
        <w:tc>
          <w:tcPr>
            <w:tcW w:w="4111" w:type="dxa"/>
            <w:tcBorders>
              <w:top w:val="nil"/>
              <w:left w:val="nil"/>
              <w:bottom w:val="nil"/>
              <w:right w:val="nil"/>
            </w:tcBorders>
            <w:shd w:val="clear" w:color="auto" w:fill="auto"/>
            <w:noWrap/>
            <w:vAlign w:val="center"/>
          </w:tcPr>
          <w:p w14:paraId="3B3C2A3B" w14:textId="77777777" w:rsidR="00477340" w:rsidRPr="000473C9" w:rsidRDefault="00477340" w:rsidP="00477340">
            <w:pPr>
              <w:ind w:left="113"/>
              <w:rPr>
                <w:rFonts w:ascii="Public Sans" w:hAnsi="Public Sans" w:cs="Arial"/>
                <w:sz w:val="16"/>
                <w:szCs w:val="16"/>
                <w:lang w:val="en-AU" w:eastAsia="en-AU"/>
              </w:rPr>
            </w:pPr>
            <w:r w:rsidRPr="000473C9">
              <w:rPr>
                <w:rFonts w:ascii="Public Sans" w:hAnsi="Public Sans" w:cs="Arial"/>
                <w:sz w:val="16"/>
                <w:szCs w:val="16"/>
                <w:lang w:val="en-AU" w:eastAsia="en-AU"/>
              </w:rPr>
              <w:t>NSW Treasury Corporation</w:t>
            </w:r>
          </w:p>
        </w:tc>
        <w:tc>
          <w:tcPr>
            <w:tcW w:w="1134" w:type="dxa"/>
            <w:tcBorders>
              <w:top w:val="nil"/>
              <w:left w:val="nil"/>
              <w:bottom w:val="nil"/>
              <w:right w:val="nil"/>
            </w:tcBorders>
            <w:shd w:val="clear" w:color="auto" w:fill="auto"/>
            <w:noWrap/>
            <w:vAlign w:val="center"/>
          </w:tcPr>
          <w:p w14:paraId="0E2CF8AC" w14:textId="17C0471C"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w:t>
            </w:r>
            <w:r w:rsidR="00762BC8" w:rsidRPr="000473C9">
              <w:rPr>
                <w:rFonts w:ascii="Public Sans" w:hAnsi="Public Sans" w:cs="Arial"/>
                <w:sz w:val="16"/>
                <w:szCs w:val="16"/>
                <w:lang w:val="en-AU" w:eastAsia="en-AU"/>
              </w:rPr>
              <w:t>61</w:t>
            </w:r>
          </w:p>
        </w:tc>
        <w:tc>
          <w:tcPr>
            <w:tcW w:w="1134" w:type="dxa"/>
            <w:tcBorders>
              <w:top w:val="nil"/>
              <w:left w:val="nil"/>
              <w:bottom w:val="nil"/>
              <w:right w:val="nil"/>
            </w:tcBorders>
            <w:shd w:val="pct5" w:color="auto" w:fill="auto"/>
            <w:noWrap/>
            <w:vAlign w:val="center"/>
          </w:tcPr>
          <w:p w14:paraId="6E4C8CCA" w14:textId="4733E181"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1</w:t>
            </w:r>
            <w:r w:rsidR="00876B8B" w:rsidRPr="000473C9">
              <w:rPr>
                <w:rFonts w:ascii="Public Sans" w:hAnsi="Public Sans" w:cs="Arial"/>
                <w:sz w:val="16"/>
                <w:szCs w:val="16"/>
                <w:lang w:val="en-AU" w:eastAsia="en-AU"/>
              </w:rPr>
              <w:t>8</w:t>
            </w:r>
            <w:r w:rsidR="00250D0A" w:rsidRPr="000473C9">
              <w:rPr>
                <w:rFonts w:ascii="Public Sans" w:hAnsi="Public Sans" w:cs="Arial"/>
                <w:sz w:val="16"/>
                <w:szCs w:val="16"/>
                <w:lang w:val="en-AU" w:eastAsia="en-AU"/>
              </w:rPr>
              <w:t>3</w:t>
            </w:r>
          </w:p>
        </w:tc>
        <w:tc>
          <w:tcPr>
            <w:tcW w:w="1134" w:type="dxa"/>
            <w:tcBorders>
              <w:top w:val="nil"/>
              <w:left w:val="nil"/>
              <w:bottom w:val="nil"/>
              <w:right w:val="nil"/>
            </w:tcBorders>
            <w:shd w:val="pct5" w:color="auto" w:fill="auto"/>
            <w:noWrap/>
            <w:vAlign w:val="center"/>
          </w:tcPr>
          <w:p w14:paraId="09C204F7" w14:textId="277CAFD8" w:rsidR="00477340" w:rsidRPr="000473C9" w:rsidRDefault="00F16F7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r w:rsidR="00876B8B" w:rsidRPr="000473C9">
              <w:rPr>
                <w:rFonts w:ascii="Public Sans" w:hAnsi="Public Sans" w:cs="Arial"/>
                <w:sz w:val="16"/>
                <w:szCs w:val="16"/>
                <w:lang w:val="en-AU" w:eastAsia="en-AU"/>
              </w:rPr>
              <w:t>03</w:t>
            </w:r>
          </w:p>
        </w:tc>
        <w:tc>
          <w:tcPr>
            <w:tcW w:w="1134" w:type="dxa"/>
            <w:tcBorders>
              <w:top w:val="nil"/>
              <w:left w:val="nil"/>
              <w:bottom w:val="nil"/>
              <w:right w:val="nil"/>
            </w:tcBorders>
            <w:shd w:val="pct5" w:color="auto" w:fill="auto"/>
            <w:noWrap/>
            <w:vAlign w:val="center"/>
          </w:tcPr>
          <w:p w14:paraId="73453AA3" w14:textId="586CE382"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r w:rsidR="00876B8B" w:rsidRPr="000473C9">
              <w:rPr>
                <w:rFonts w:ascii="Public Sans" w:hAnsi="Public Sans" w:cs="Arial"/>
                <w:sz w:val="16"/>
                <w:szCs w:val="16"/>
                <w:lang w:val="en-AU" w:eastAsia="en-AU"/>
              </w:rPr>
              <w:t>19</w:t>
            </w:r>
          </w:p>
        </w:tc>
        <w:tc>
          <w:tcPr>
            <w:tcW w:w="1134" w:type="dxa"/>
            <w:tcBorders>
              <w:top w:val="nil"/>
              <w:left w:val="nil"/>
              <w:bottom w:val="nil"/>
              <w:right w:val="nil"/>
            </w:tcBorders>
            <w:shd w:val="pct5" w:color="auto" w:fill="auto"/>
            <w:noWrap/>
            <w:vAlign w:val="center"/>
          </w:tcPr>
          <w:p w14:paraId="41E78749" w14:textId="465D66B0" w:rsidR="00477340" w:rsidRPr="000473C9" w:rsidRDefault="00F0597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2</w:t>
            </w:r>
            <w:r w:rsidR="00876B8B" w:rsidRPr="000473C9">
              <w:rPr>
                <w:rFonts w:ascii="Public Sans" w:hAnsi="Public Sans" w:cs="Arial"/>
                <w:sz w:val="16"/>
                <w:szCs w:val="16"/>
                <w:lang w:val="en-AU" w:eastAsia="en-AU"/>
              </w:rPr>
              <w:t>3</w:t>
            </w:r>
            <w:r w:rsidRPr="000473C9">
              <w:rPr>
                <w:rFonts w:ascii="Public Sans" w:hAnsi="Public Sans" w:cs="Arial"/>
                <w:sz w:val="16"/>
                <w:szCs w:val="16"/>
                <w:lang w:val="en-AU" w:eastAsia="en-AU"/>
              </w:rPr>
              <w:t>6</w:t>
            </w:r>
          </w:p>
        </w:tc>
      </w:tr>
      <w:tr w:rsidR="00C024F4" w:rsidRPr="000473C9" w14:paraId="61B7D961" w14:textId="77777777" w:rsidTr="00C3270B">
        <w:trPr>
          <w:trHeight w:val="340"/>
        </w:trPr>
        <w:tc>
          <w:tcPr>
            <w:tcW w:w="4111" w:type="dxa"/>
            <w:tcBorders>
              <w:top w:val="single" w:sz="4" w:space="0" w:color="auto"/>
              <w:left w:val="nil"/>
              <w:bottom w:val="single" w:sz="4" w:space="0" w:color="auto"/>
              <w:right w:val="nil"/>
            </w:tcBorders>
            <w:shd w:val="clear" w:color="auto" w:fill="auto"/>
            <w:noWrap/>
            <w:vAlign w:val="center"/>
            <w:hideMark/>
          </w:tcPr>
          <w:p w14:paraId="60600567" w14:textId="39AAE519" w:rsidR="00477340" w:rsidRPr="000473C9" w:rsidRDefault="00477340" w:rsidP="00477340">
            <w:pPr>
              <w:rPr>
                <w:rFonts w:ascii="Public Sans" w:hAnsi="Public Sans" w:cs="Arial"/>
                <w:b/>
                <w:sz w:val="16"/>
                <w:szCs w:val="16"/>
                <w:lang w:val="en-AU" w:eastAsia="en-AU"/>
              </w:rPr>
            </w:pPr>
            <w:r w:rsidRPr="000473C9">
              <w:rPr>
                <w:rFonts w:ascii="Public Sans" w:hAnsi="Public Sans" w:cs="Arial"/>
                <w:b/>
                <w:sz w:val="16"/>
                <w:szCs w:val="16"/>
                <w:lang w:val="en-AU" w:eastAsia="en-AU"/>
              </w:rPr>
              <w:t>Total Dividend and Tax Equivalent Payments in Revenue from Transactions section</w:t>
            </w:r>
          </w:p>
        </w:tc>
        <w:tc>
          <w:tcPr>
            <w:tcW w:w="1134" w:type="dxa"/>
            <w:tcBorders>
              <w:top w:val="single" w:sz="4" w:space="0" w:color="auto"/>
              <w:left w:val="nil"/>
              <w:bottom w:val="single" w:sz="4" w:space="0" w:color="auto"/>
              <w:right w:val="nil"/>
            </w:tcBorders>
            <w:shd w:val="clear" w:color="auto" w:fill="auto"/>
            <w:noWrap/>
            <w:vAlign w:val="center"/>
            <w:hideMark/>
          </w:tcPr>
          <w:p w14:paraId="5EBC35FB" w14:textId="5E62DF0A" w:rsidR="00477340" w:rsidRPr="000473C9" w:rsidRDefault="00762BC8"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61</w:t>
            </w:r>
            <w:r w:rsidR="00C36B04">
              <w:rPr>
                <w:rFonts w:ascii="Public Sans" w:hAnsi="Public Sans" w:cs="Arial"/>
                <w:b/>
                <w:sz w:val="16"/>
                <w:szCs w:val="16"/>
                <w:lang w:val="en-AU" w:eastAsia="en-AU"/>
              </w:rPr>
              <w:t>2</w:t>
            </w:r>
          </w:p>
        </w:tc>
        <w:tc>
          <w:tcPr>
            <w:tcW w:w="1134" w:type="dxa"/>
            <w:tcBorders>
              <w:top w:val="single" w:sz="4" w:space="0" w:color="auto"/>
              <w:left w:val="nil"/>
              <w:bottom w:val="single" w:sz="4" w:space="0" w:color="auto"/>
              <w:right w:val="nil"/>
            </w:tcBorders>
            <w:shd w:val="pct5" w:color="auto" w:fill="auto"/>
            <w:noWrap/>
            <w:vAlign w:val="center"/>
            <w:hideMark/>
          </w:tcPr>
          <w:p w14:paraId="756FB7CB" w14:textId="7149F8E9" w:rsidR="00477340" w:rsidRPr="000473C9" w:rsidRDefault="00477340"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7</w:t>
            </w:r>
            <w:r w:rsidR="00876B8B" w:rsidRPr="000473C9">
              <w:rPr>
                <w:rFonts w:ascii="Public Sans" w:hAnsi="Public Sans" w:cs="Arial"/>
                <w:b/>
                <w:sz w:val="16"/>
                <w:szCs w:val="16"/>
                <w:lang w:val="en-AU" w:eastAsia="en-AU"/>
              </w:rPr>
              <w:t>5</w:t>
            </w:r>
            <w:r w:rsidR="00250D0A" w:rsidRPr="000473C9">
              <w:rPr>
                <w:rFonts w:ascii="Public Sans" w:hAnsi="Public Sans" w:cs="Arial"/>
                <w:b/>
                <w:sz w:val="16"/>
                <w:szCs w:val="16"/>
                <w:lang w:val="en-AU" w:eastAsia="en-AU"/>
              </w:rPr>
              <w:t>2</w:t>
            </w:r>
          </w:p>
        </w:tc>
        <w:tc>
          <w:tcPr>
            <w:tcW w:w="1134" w:type="dxa"/>
            <w:tcBorders>
              <w:top w:val="single" w:sz="4" w:space="0" w:color="auto"/>
              <w:left w:val="nil"/>
              <w:bottom w:val="single" w:sz="4" w:space="0" w:color="auto"/>
              <w:right w:val="nil"/>
            </w:tcBorders>
            <w:shd w:val="pct5" w:color="auto" w:fill="auto"/>
            <w:noWrap/>
            <w:vAlign w:val="center"/>
            <w:hideMark/>
          </w:tcPr>
          <w:p w14:paraId="59EAF03D" w14:textId="12136877" w:rsidR="00477340" w:rsidRPr="000473C9" w:rsidRDefault="00F16F78"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8</w:t>
            </w:r>
            <w:r w:rsidR="00876B8B" w:rsidRPr="000473C9">
              <w:rPr>
                <w:rFonts w:ascii="Public Sans" w:hAnsi="Public Sans" w:cs="Arial"/>
                <w:b/>
                <w:sz w:val="16"/>
                <w:szCs w:val="16"/>
                <w:lang w:val="en-AU" w:eastAsia="en-AU"/>
              </w:rPr>
              <w:t>1</w:t>
            </w:r>
            <w:r w:rsidR="00C36B04">
              <w:rPr>
                <w:rFonts w:ascii="Public Sans" w:hAnsi="Public Sans" w:cs="Arial"/>
                <w:b/>
                <w:sz w:val="16"/>
                <w:szCs w:val="16"/>
                <w:lang w:val="en-AU" w:eastAsia="en-AU"/>
              </w:rPr>
              <w:t>6</w:t>
            </w:r>
          </w:p>
        </w:tc>
        <w:tc>
          <w:tcPr>
            <w:tcW w:w="1134" w:type="dxa"/>
            <w:tcBorders>
              <w:top w:val="single" w:sz="4" w:space="0" w:color="auto"/>
              <w:left w:val="nil"/>
              <w:bottom w:val="single" w:sz="4" w:space="0" w:color="auto"/>
              <w:right w:val="nil"/>
            </w:tcBorders>
            <w:shd w:val="pct5" w:color="auto" w:fill="auto"/>
            <w:noWrap/>
            <w:vAlign w:val="center"/>
            <w:hideMark/>
          </w:tcPr>
          <w:p w14:paraId="250F39FD" w14:textId="1E24C527" w:rsidR="00477340" w:rsidRPr="000473C9" w:rsidRDefault="00477340"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1,</w:t>
            </w:r>
            <w:r w:rsidR="005860D1" w:rsidRPr="000473C9">
              <w:rPr>
                <w:rFonts w:ascii="Public Sans" w:hAnsi="Public Sans" w:cs="Arial"/>
                <w:b/>
                <w:sz w:val="16"/>
                <w:szCs w:val="16"/>
                <w:lang w:val="en-AU" w:eastAsia="en-AU"/>
              </w:rPr>
              <w:t>1</w:t>
            </w:r>
            <w:r w:rsidR="005043C4" w:rsidRPr="000473C9">
              <w:rPr>
                <w:rFonts w:ascii="Public Sans" w:hAnsi="Public Sans" w:cs="Arial"/>
                <w:b/>
                <w:sz w:val="16"/>
                <w:szCs w:val="16"/>
                <w:lang w:val="en-AU" w:eastAsia="en-AU"/>
              </w:rPr>
              <w:t>1</w:t>
            </w:r>
            <w:r w:rsidR="000358BD" w:rsidRPr="000473C9">
              <w:rPr>
                <w:rFonts w:ascii="Public Sans" w:hAnsi="Public Sans" w:cs="Arial"/>
                <w:b/>
                <w:sz w:val="16"/>
                <w:szCs w:val="16"/>
                <w:lang w:val="en-AU" w:eastAsia="en-AU"/>
              </w:rPr>
              <w:t>6</w:t>
            </w:r>
          </w:p>
        </w:tc>
        <w:tc>
          <w:tcPr>
            <w:tcW w:w="1134" w:type="dxa"/>
            <w:tcBorders>
              <w:top w:val="single" w:sz="4" w:space="0" w:color="auto"/>
              <w:left w:val="nil"/>
              <w:bottom w:val="single" w:sz="4" w:space="0" w:color="auto"/>
              <w:right w:val="nil"/>
            </w:tcBorders>
            <w:shd w:val="pct5" w:color="auto" w:fill="auto"/>
            <w:noWrap/>
            <w:vAlign w:val="center"/>
            <w:hideMark/>
          </w:tcPr>
          <w:p w14:paraId="543072FB" w14:textId="0ECC18F9" w:rsidR="00477340" w:rsidRPr="000473C9" w:rsidRDefault="00477340"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1,</w:t>
            </w:r>
            <w:r w:rsidR="00F0597A" w:rsidRPr="000473C9">
              <w:rPr>
                <w:rFonts w:ascii="Public Sans" w:hAnsi="Public Sans" w:cs="Arial"/>
                <w:b/>
                <w:sz w:val="16"/>
                <w:szCs w:val="16"/>
                <w:lang w:val="en-AU" w:eastAsia="en-AU"/>
              </w:rPr>
              <w:t>2</w:t>
            </w:r>
            <w:r w:rsidR="00296BDE" w:rsidRPr="000473C9">
              <w:rPr>
                <w:rFonts w:ascii="Public Sans" w:hAnsi="Public Sans" w:cs="Arial"/>
                <w:b/>
                <w:sz w:val="16"/>
                <w:szCs w:val="16"/>
                <w:lang w:val="en-AU" w:eastAsia="en-AU"/>
              </w:rPr>
              <w:t>1</w:t>
            </w:r>
            <w:r w:rsidR="00F0597A" w:rsidRPr="000473C9">
              <w:rPr>
                <w:rFonts w:ascii="Public Sans" w:hAnsi="Public Sans" w:cs="Arial"/>
                <w:b/>
                <w:sz w:val="16"/>
                <w:szCs w:val="16"/>
                <w:lang w:val="en-AU" w:eastAsia="en-AU"/>
              </w:rPr>
              <w:t>2</w:t>
            </w:r>
          </w:p>
        </w:tc>
      </w:tr>
      <w:tr w:rsidR="00C024F4" w:rsidRPr="000473C9" w14:paraId="2D3796D1" w14:textId="77777777" w:rsidTr="00C3270B">
        <w:trPr>
          <w:trHeight w:val="340"/>
        </w:trPr>
        <w:tc>
          <w:tcPr>
            <w:tcW w:w="4111" w:type="dxa"/>
            <w:tcBorders>
              <w:left w:val="nil"/>
              <w:right w:val="nil"/>
            </w:tcBorders>
            <w:shd w:val="clear" w:color="auto" w:fill="auto"/>
            <w:noWrap/>
            <w:vAlign w:val="center"/>
          </w:tcPr>
          <w:p w14:paraId="651B420A" w14:textId="77777777" w:rsidR="00477340" w:rsidRPr="000473C9" w:rsidRDefault="00477340" w:rsidP="00477340">
            <w:pPr>
              <w:rPr>
                <w:rFonts w:ascii="Public Sans" w:hAnsi="Public Sans" w:cs="Arial"/>
                <w:b/>
                <w:bCs/>
                <w:sz w:val="16"/>
                <w:szCs w:val="16"/>
                <w:lang w:val="en-AU" w:eastAsia="en-AU"/>
              </w:rPr>
            </w:pPr>
            <w:r w:rsidRPr="000473C9">
              <w:rPr>
                <w:rFonts w:ascii="Public Sans" w:hAnsi="Public Sans" w:cs="Arial"/>
                <w:b/>
                <w:bCs/>
                <w:sz w:val="16"/>
                <w:szCs w:val="16"/>
                <w:lang w:val="en-AU" w:eastAsia="en-AU"/>
              </w:rPr>
              <w:t>Public non-financial corporations</w:t>
            </w:r>
          </w:p>
        </w:tc>
        <w:tc>
          <w:tcPr>
            <w:tcW w:w="1134" w:type="dxa"/>
            <w:tcBorders>
              <w:left w:val="nil"/>
              <w:right w:val="nil"/>
            </w:tcBorders>
            <w:shd w:val="clear" w:color="auto" w:fill="auto"/>
            <w:noWrap/>
            <w:vAlign w:val="center"/>
          </w:tcPr>
          <w:p w14:paraId="61C177BC" w14:textId="77777777" w:rsidR="00477340" w:rsidRPr="000473C9" w:rsidRDefault="00477340" w:rsidP="00477340">
            <w:pPr>
              <w:ind w:right="227"/>
              <w:jc w:val="right"/>
              <w:rPr>
                <w:rFonts w:ascii="Public Sans" w:hAnsi="Public Sans" w:cs="Arial"/>
                <w:b/>
                <w:sz w:val="16"/>
                <w:szCs w:val="16"/>
                <w:lang w:val="en-AU" w:eastAsia="en-AU"/>
              </w:rPr>
            </w:pPr>
          </w:p>
        </w:tc>
        <w:tc>
          <w:tcPr>
            <w:tcW w:w="1134" w:type="dxa"/>
            <w:tcBorders>
              <w:left w:val="nil"/>
              <w:right w:val="nil"/>
            </w:tcBorders>
            <w:shd w:val="pct5" w:color="auto" w:fill="auto"/>
            <w:noWrap/>
            <w:vAlign w:val="center"/>
          </w:tcPr>
          <w:p w14:paraId="561B5C09" w14:textId="77777777" w:rsidR="00477340" w:rsidRPr="000473C9" w:rsidRDefault="00477340" w:rsidP="00477340">
            <w:pPr>
              <w:ind w:right="227"/>
              <w:jc w:val="right"/>
              <w:rPr>
                <w:rFonts w:ascii="Public Sans" w:hAnsi="Public Sans" w:cs="Arial"/>
                <w:b/>
                <w:sz w:val="16"/>
                <w:szCs w:val="16"/>
                <w:lang w:val="en-AU" w:eastAsia="en-AU"/>
              </w:rPr>
            </w:pPr>
          </w:p>
        </w:tc>
        <w:tc>
          <w:tcPr>
            <w:tcW w:w="1134" w:type="dxa"/>
            <w:tcBorders>
              <w:left w:val="nil"/>
              <w:right w:val="nil"/>
            </w:tcBorders>
            <w:shd w:val="pct5" w:color="auto" w:fill="auto"/>
            <w:noWrap/>
            <w:vAlign w:val="center"/>
          </w:tcPr>
          <w:p w14:paraId="72A69EF5" w14:textId="77777777" w:rsidR="00477340" w:rsidRPr="000473C9" w:rsidRDefault="00477340" w:rsidP="00477340">
            <w:pPr>
              <w:ind w:right="227"/>
              <w:jc w:val="right"/>
              <w:rPr>
                <w:rFonts w:ascii="Public Sans" w:hAnsi="Public Sans" w:cs="Arial"/>
                <w:b/>
                <w:sz w:val="16"/>
                <w:szCs w:val="16"/>
                <w:lang w:val="en-AU" w:eastAsia="en-AU"/>
              </w:rPr>
            </w:pPr>
          </w:p>
        </w:tc>
        <w:tc>
          <w:tcPr>
            <w:tcW w:w="1134" w:type="dxa"/>
            <w:tcBorders>
              <w:left w:val="nil"/>
              <w:right w:val="nil"/>
            </w:tcBorders>
            <w:shd w:val="pct5" w:color="auto" w:fill="auto"/>
            <w:noWrap/>
            <w:vAlign w:val="center"/>
          </w:tcPr>
          <w:p w14:paraId="7D2D0719" w14:textId="77777777" w:rsidR="00477340" w:rsidRPr="000473C9" w:rsidRDefault="00477340" w:rsidP="00477340">
            <w:pPr>
              <w:ind w:right="227"/>
              <w:jc w:val="right"/>
              <w:rPr>
                <w:rFonts w:ascii="Public Sans" w:hAnsi="Public Sans" w:cs="Arial"/>
                <w:b/>
                <w:sz w:val="16"/>
                <w:szCs w:val="16"/>
                <w:lang w:val="en-AU" w:eastAsia="en-AU"/>
              </w:rPr>
            </w:pPr>
          </w:p>
        </w:tc>
        <w:tc>
          <w:tcPr>
            <w:tcW w:w="1134" w:type="dxa"/>
            <w:tcBorders>
              <w:left w:val="nil"/>
              <w:right w:val="nil"/>
            </w:tcBorders>
            <w:shd w:val="pct5" w:color="auto" w:fill="auto"/>
            <w:noWrap/>
            <w:vAlign w:val="center"/>
          </w:tcPr>
          <w:p w14:paraId="43765214" w14:textId="77777777" w:rsidR="00477340" w:rsidRPr="000473C9" w:rsidRDefault="00477340" w:rsidP="00477340">
            <w:pPr>
              <w:ind w:right="227"/>
              <w:jc w:val="right"/>
              <w:rPr>
                <w:rFonts w:ascii="Public Sans" w:hAnsi="Public Sans" w:cs="Arial"/>
                <w:b/>
                <w:sz w:val="16"/>
                <w:szCs w:val="16"/>
                <w:lang w:val="en-AU" w:eastAsia="en-AU"/>
              </w:rPr>
            </w:pPr>
          </w:p>
        </w:tc>
      </w:tr>
      <w:tr w:rsidR="00C024F4" w:rsidRPr="000473C9" w14:paraId="054B1C50" w14:textId="77777777" w:rsidTr="00FB0F66">
        <w:trPr>
          <w:trHeight w:val="161"/>
        </w:trPr>
        <w:tc>
          <w:tcPr>
            <w:tcW w:w="4111" w:type="dxa"/>
            <w:tcBorders>
              <w:left w:val="nil"/>
              <w:right w:val="nil"/>
            </w:tcBorders>
            <w:shd w:val="clear" w:color="auto" w:fill="auto"/>
            <w:noWrap/>
            <w:vAlign w:val="center"/>
          </w:tcPr>
          <w:p w14:paraId="48A1A9B1" w14:textId="77777777" w:rsidR="00477340" w:rsidRPr="000473C9" w:rsidRDefault="00477340" w:rsidP="00477340">
            <w:pPr>
              <w:ind w:left="113"/>
              <w:rPr>
                <w:rFonts w:ascii="Public Sans" w:hAnsi="Public Sans" w:cs="Arial"/>
                <w:b/>
                <w:sz w:val="16"/>
                <w:szCs w:val="16"/>
                <w:lang w:val="en-AU" w:eastAsia="en-AU"/>
              </w:rPr>
            </w:pPr>
            <w:proofErr w:type="spellStart"/>
            <w:r w:rsidRPr="000473C9">
              <w:rPr>
                <w:rFonts w:ascii="Public Sans" w:hAnsi="Public Sans" w:cs="Arial"/>
                <w:sz w:val="16"/>
                <w:szCs w:val="16"/>
                <w:lang w:val="en-AU" w:eastAsia="en-AU"/>
              </w:rPr>
              <w:t>Landcom</w:t>
            </w:r>
            <w:proofErr w:type="spellEnd"/>
          </w:p>
        </w:tc>
        <w:tc>
          <w:tcPr>
            <w:tcW w:w="1134" w:type="dxa"/>
            <w:tcBorders>
              <w:left w:val="nil"/>
              <w:right w:val="nil"/>
            </w:tcBorders>
            <w:shd w:val="clear" w:color="auto" w:fill="auto"/>
            <w:noWrap/>
            <w:vAlign w:val="center"/>
          </w:tcPr>
          <w:p w14:paraId="7CF7B600" w14:textId="6561E1DB" w:rsidR="00477340" w:rsidRPr="000473C9" w:rsidRDefault="00762BC8"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42</w:t>
            </w:r>
          </w:p>
        </w:tc>
        <w:tc>
          <w:tcPr>
            <w:tcW w:w="1134" w:type="dxa"/>
            <w:tcBorders>
              <w:left w:val="nil"/>
              <w:right w:val="nil"/>
            </w:tcBorders>
            <w:shd w:val="pct5" w:color="auto" w:fill="auto"/>
            <w:noWrap/>
            <w:vAlign w:val="center"/>
          </w:tcPr>
          <w:p w14:paraId="460E21E0" w14:textId="77226C11"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3</w:t>
            </w:r>
            <w:r w:rsidR="00250D0A" w:rsidRPr="000473C9">
              <w:rPr>
                <w:rFonts w:ascii="Public Sans" w:hAnsi="Public Sans" w:cs="Arial"/>
                <w:sz w:val="16"/>
                <w:szCs w:val="16"/>
                <w:lang w:val="en-AU" w:eastAsia="en-AU"/>
              </w:rPr>
              <w:t>9</w:t>
            </w:r>
          </w:p>
        </w:tc>
        <w:tc>
          <w:tcPr>
            <w:tcW w:w="1134" w:type="dxa"/>
            <w:tcBorders>
              <w:left w:val="nil"/>
              <w:right w:val="nil"/>
            </w:tcBorders>
            <w:shd w:val="pct5" w:color="auto" w:fill="auto"/>
            <w:noWrap/>
            <w:vAlign w:val="center"/>
          </w:tcPr>
          <w:p w14:paraId="27365C3A" w14:textId="77777777" w:rsidR="00477340" w:rsidRPr="000473C9" w:rsidRDefault="00477340"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40</w:t>
            </w:r>
          </w:p>
        </w:tc>
        <w:tc>
          <w:tcPr>
            <w:tcW w:w="1134" w:type="dxa"/>
            <w:tcBorders>
              <w:left w:val="nil"/>
              <w:right w:val="nil"/>
            </w:tcBorders>
            <w:shd w:val="pct5" w:color="auto" w:fill="auto"/>
            <w:noWrap/>
            <w:vAlign w:val="center"/>
          </w:tcPr>
          <w:p w14:paraId="6B7CEC58" w14:textId="01192F7A" w:rsidR="00477340" w:rsidRPr="000473C9" w:rsidRDefault="005860D1"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41</w:t>
            </w:r>
          </w:p>
        </w:tc>
        <w:tc>
          <w:tcPr>
            <w:tcW w:w="1134" w:type="dxa"/>
            <w:tcBorders>
              <w:left w:val="nil"/>
              <w:right w:val="nil"/>
            </w:tcBorders>
            <w:shd w:val="pct5" w:color="auto" w:fill="auto"/>
            <w:noWrap/>
            <w:vAlign w:val="center"/>
          </w:tcPr>
          <w:p w14:paraId="3283CC8D" w14:textId="3E3F16D0" w:rsidR="00477340" w:rsidRPr="000473C9" w:rsidRDefault="00F0597A" w:rsidP="00477340">
            <w:pPr>
              <w:ind w:right="227"/>
              <w:jc w:val="right"/>
              <w:rPr>
                <w:rFonts w:ascii="Public Sans" w:hAnsi="Public Sans" w:cs="Arial"/>
                <w:sz w:val="16"/>
                <w:szCs w:val="16"/>
                <w:lang w:val="en-AU" w:eastAsia="en-AU"/>
              </w:rPr>
            </w:pPr>
            <w:r w:rsidRPr="000473C9">
              <w:rPr>
                <w:rFonts w:ascii="Public Sans" w:hAnsi="Public Sans" w:cs="Arial"/>
                <w:sz w:val="16"/>
                <w:szCs w:val="16"/>
                <w:lang w:val="en-AU" w:eastAsia="en-AU"/>
              </w:rPr>
              <w:t>65</w:t>
            </w:r>
          </w:p>
        </w:tc>
      </w:tr>
      <w:tr w:rsidR="00C024F4" w:rsidRPr="000473C9" w14:paraId="2444863D" w14:textId="77777777" w:rsidTr="00C3270B">
        <w:trPr>
          <w:trHeight w:val="340"/>
        </w:trPr>
        <w:tc>
          <w:tcPr>
            <w:tcW w:w="4111" w:type="dxa"/>
            <w:tcBorders>
              <w:top w:val="single" w:sz="4" w:space="0" w:color="auto"/>
              <w:left w:val="nil"/>
              <w:bottom w:val="single" w:sz="4" w:space="0" w:color="auto"/>
              <w:right w:val="nil"/>
            </w:tcBorders>
            <w:shd w:val="clear" w:color="auto" w:fill="auto"/>
            <w:noWrap/>
            <w:vAlign w:val="center"/>
          </w:tcPr>
          <w:p w14:paraId="3BB37B35" w14:textId="6101B2AE" w:rsidR="00477340" w:rsidRPr="000473C9" w:rsidRDefault="00477340" w:rsidP="00477340">
            <w:pPr>
              <w:rPr>
                <w:rFonts w:ascii="Public Sans" w:hAnsi="Public Sans" w:cs="Arial"/>
                <w:sz w:val="16"/>
                <w:szCs w:val="16"/>
                <w:lang w:val="en-AU" w:eastAsia="en-AU"/>
              </w:rPr>
            </w:pPr>
            <w:r w:rsidRPr="000473C9">
              <w:rPr>
                <w:rFonts w:ascii="Public Sans" w:hAnsi="Public Sans" w:cs="Arial"/>
                <w:b/>
                <w:sz w:val="16"/>
                <w:szCs w:val="16"/>
                <w:lang w:val="en-AU" w:eastAsia="en-AU"/>
              </w:rPr>
              <w:t>Total Dividends in Other Economic Flows section</w:t>
            </w:r>
            <w:r w:rsidRPr="000473C9">
              <w:rPr>
                <w:rFonts w:ascii="Public Sans" w:hAnsi="Public Sans" w:cs="Arial"/>
                <w:b/>
                <w:bCs/>
                <w:iCs/>
                <w:position w:val="7"/>
                <w:sz w:val="14"/>
              </w:rPr>
              <w:t>(</w:t>
            </w:r>
            <w:r w:rsidR="00D02132">
              <w:rPr>
                <w:rFonts w:ascii="Public Sans" w:hAnsi="Public Sans" w:cs="Arial"/>
                <w:b/>
                <w:bCs/>
                <w:iCs/>
                <w:position w:val="7"/>
                <w:sz w:val="14"/>
              </w:rPr>
              <w:t>c</w:t>
            </w:r>
            <w:r w:rsidRPr="000473C9">
              <w:rPr>
                <w:rFonts w:ascii="Public Sans" w:hAnsi="Public Sans" w:cs="Arial"/>
                <w:b/>
                <w:bCs/>
                <w:iCs/>
                <w:position w:val="7"/>
                <w:sz w:val="14"/>
              </w:rPr>
              <w:t>)</w:t>
            </w:r>
          </w:p>
        </w:tc>
        <w:tc>
          <w:tcPr>
            <w:tcW w:w="1134" w:type="dxa"/>
            <w:tcBorders>
              <w:top w:val="single" w:sz="4" w:space="0" w:color="auto"/>
              <w:left w:val="nil"/>
              <w:bottom w:val="single" w:sz="4" w:space="0" w:color="auto"/>
              <w:right w:val="nil"/>
            </w:tcBorders>
            <w:shd w:val="clear" w:color="auto" w:fill="auto"/>
            <w:noWrap/>
            <w:vAlign w:val="center"/>
          </w:tcPr>
          <w:p w14:paraId="6F8A6AA8" w14:textId="6E63E98A" w:rsidR="00477340" w:rsidRPr="000473C9" w:rsidRDefault="00762BC8"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42</w:t>
            </w:r>
          </w:p>
        </w:tc>
        <w:tc>
          <w:tcPr>
            <w:tcW w:w="1134" w:type="dxa"/>
            <w:tcBorders>
              <w:top w:val="single" w:sz="4" w:space="0" w:color="auto"/>
              <w:left w:val="nil"/>
              <w:bottom w:val="single" w:sz="4" w:space="0" w:color="auto"/>
              <w:right w:val="nil"/>
            </w:tcBorders>
            <w:shd w:val="pct5" w:color="auto" w:fill="auto"/>
            <w:noWrap/>
            <w:vAlign w:val="center"/>
          </w:tcPr>
          <w:p w14:paraId="2C2A9709" w14:textId="0A03520E" w:rsidR="00477340" w:rsidRPr="000473C9" w:rsidRDefault="00477340"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3</w:t>
            </w:r>
            <w:r w:rsidR="00250D0A" w:rsidRPr="000473C9">
              <w:rPr>
                <w:rFonts w:ascii="Public Sans" w:hAnsi="Public Sans" w:cs="Arial"/>
                <w:b/>
                <w:sz w:val="16"/>
                <w:szCs w:val="16"/>
                <w:lang w:val="en-AU" w:eastAsia="en-AU"/>
              </w:rPr>
              <w:t>9</w:t>
            </w:r>
          </w:p>
        </w:tc>
        <w:tc>
          <w:tcPr>
            <w:tcW w:w="1134" w:type="dxa"/>
            <w:tcBorders>
              <w:top w:val="single" w:sz="4" w:space="0" w:color="auto"/>
              <w:left w:val="nil"/>
              <w:bottom w:val="single" w:sz="4" w:space="0" w:color="auto"/>
              <w:right w:val="nil"/>
            </w:tcBorders>
            <w:shd w:val="pct5" w:color="auto" w:fill="auto"/>
            <w:noWrap/>
            <w:vAlign w:val="center"/>
          </w:tcPr>
          <w:p w14:paraId="78F0EC3D" w14:textId="77777777" w:rsidR="00477340" w:rsidRPr="000473C9" w:rsidRDefault="00477340"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40</w:t>
            </w:r>
          </w:p>
        </w:tc>
        <w:tc>
          <w:tcPr>
            <w:tcW w:w="1134" w:type="dxa"/>
            <w:tcBorders>
              <w:top w:val="single" w:sz="4" w:space="0" w:color="auto"/>
              <w:left w:val="nil"/>
              <w:bottom w:val="single" w:sz="4" w:space="0" w:color="auto"/>
              <w:right w:val="nil"/>
            </w:tcBorders>
            <w:shd w:val="pct5" w:color="auto" w:fill="auto"/>
            <w:noWrap/>
            <w:vAlign w:val="center"/>
          </w:tcPr>
          <w:p w14:paraId="4DA3D44C" w14:textId="21B04FD0" w:rsidR="00477340" w:rsidRPr="000473C9" w:rsidRDefault="005860D1"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41</w:t>
            </w:r>
          </w:p>
        </w:tc>
        <w:tc>
          <w:tcPr>
            <w:tcW w:w="1134" w:type="dxa"/>
            <w:tcBorders>
              <w:top w:val="single" w:sz="4" w:space="0" w:color="auto"/>
              <w:left w:val="nil"/>
              <w:bottom w:val="single" w:sz="4" w:space="0" w:color="auto"/>
              <w:right w:val="nil"/>
            </w:tcBorders>
            <w:shd w:val="pct5" w:color="auto" w:fill="auto"/>
            <w:noWrap/>
            <w:vAlign w:val="center"/>
          </w:tcPr>
          <w:p w14:paraId="2114566E" w14:textId="03F29AE2" w:rsidR="00477340" w:rsidRPr="000473C9" w:rsidRDefault="00F0597A" w:rsidP="00477340">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65</w:t>
            </w:r>
          </w:p>
        </w:tc>
      </w:tr>
      <w:tr w:rsidR="00C024F4" w:rsidRPr="000473C9" w14:paraId="26974D24" w14:textId="77777777" w:rsidTr="00C3270B">
        <w:trPr>
          <w:trHeight w:val="340"/>
        </w:trPr>
        <w:tc>
          <w:tcPr>
            <w:tcW w:w="4111" w:type="dxa"/>
            <w:tcBorders>
              <w:top w:val="single" w:sz="4" w:space="0" w:color="auto"/>
              <w:left w:val="nil"/>
              <w:bottom w:val="single" w:sz="4" w:space="0" w:color="auto"/>
              <w:right w:val="nil"/>
            </w:tcBorders>
            <w:shd w:val="clear" w:color="auto" w:fill="auto"/>
            <w:noWrap/>
            <w:vAlign w:val="center"/>
          </w:tcPr>
          <w:p w14:paraId="73DEA88D" w14:textId="6C23C92B" w:rsidR="00477340" w:rsidRPr="000473C9" w:rsidRDefault="00477340" w:rsidP="00477340">
            <w:pPr>
              <w:rPr>
                <w:rFonts w:ascii="Public Sans" w:hAnsi="Public Sans" w:cs="Arial"/>
                <w:b/>
                <w:sz w:val="16"/>
                <w:szCs w:val="16"/>
                <w:lang w:val="en-AU" w:eastAsia="en-AU"/>
              </w:rPr>
            </w:pPr>
            <w:r w:rsidRPr="000473C9">
              <w:rPr>
                <w:rFonts w:ascii="Public Sans" w:hAnsi="Public Sans" w:cs="Arial"/>
                <w:b/>
                <w:sz w:val="16"/>
                <w:szCs w:val="16"/>
                <w:lang w:val="en-AU" w:eastAsia="en-AU"/>
              </w:rPr>
              <w:t>TOTAL DIVIDEND AND TAX EQUIVALENT PAYMENTS</w:t>
            </w:r>
          </w:p>
        </w:tc>
        <w:tc>
          <w:tcPr>
            <w:tcW w:w="1134" w:type="dxa"/>
            <w:tcBorders>
              <w:top w:val="single" w:sz="4" w:space="0" w:color="auto"/>
              <w:left w:val="nil"/>
              <w:bottom w:val="single" w:sz="4" w:space="0" w:color="auto"/>
              <w:right w:val="nil"/>
            </w:tcBorders>
            <w:shd w:val="clear" w:color="auto" w:fill="auto"/>
            <w:noWrap/>
            <w:vAlign w:val="bottom"/>
          </w:tcPr>
          <w:p w14:paraId="3FF5139F" w14:textId="0D2C8C0C" w:rsidR="00477340" w:rsidRPr="000473C9" w:rsidRDefault="00477340" w:rsidP="00BF5FDB">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6</w:t>
            </w:r>
            <w:r w:rsidR="00250D0A" w:rsidRPr="000473C9">
              <w:rPr>
                <w:rFonts w:ascii="Public Sans" w:hAnsi="Public Sans" w:cs="Arial"/>
                <w:b/>
                <w:sz w:val="16"/>
                <w:szCs w:val="16"/>
                <w:lang w:val="en-AU" w:eastAsia="en-AU"/>
              </w:rPr>
              <w:t>54</w:t>
            </w:r>
          </w:p>
        </w:tc>
        <w:tc>
          <w:tcPr>
            <w:tcW w:w="1134" w:type="dxa"/>
            <w:tcBorders>
              <w:top w:val="single" w:sz="4" w:space="0" w:color="auto"/>
              <w:left w:val="nil"/>
              <w:bottom w:val="single" w:sz="4" w:space="0" w:color="auto"/>
              <w:right w:val="nil"/>
            </w:tcBorders>
            <w:shd w:val="pct5" w:color="auto" w:fill="auto"/>
            <w:noWrap/>
            <w:vAlign w:val="bottom"/>
          </w:tcPr>
          <w:p w14:paraId="37FE91E7" w14:textId="1845C9C6" w:rsidR="00477340" w:rsidRPr="000473C9" w:rsidRDefault="00296BDE" w:rsidP="00BF5FDB">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79</w:t>
            </w:r>
            <w:r w:rsidR="00250D0A" w:rsidRPr="000473C9">
              <w:rPr>
                <w:rFonts w:ascii="Public Sans" w:hAnsi="Public Sans" w:cs="Arial"/>
                <w:b/>
                <w:sz w:val="16"/>
                <w:szCs w:val="16"/>
                <w:lang w:val="en-AU" w:eastAsia="en-AU"/>
              </w:rPr>
              <w:t>1</w:t>
            </w:r>
          </w:p>
        </w:tc>
        <w:tc>
          <w:tcPr>
            <w:tcW w:w="1134" w:type="dxa"/>
            <w:tcBorders>
              <w:top w:val="single" w:sz="4" w:space="0" w:color="auto"/>
              <w:left w:val="nil"/>
              <w:bottom w:val="single" w:sz="4" w:space="0" w:color="auto"/>
              <w:right w:val="nil"/>
            </w:tcBorders>
            <w:shd w:val="pct5" w:color="auto" w:fill="auto"/>
            <w:noWrap/>
            <w:vAlign w:val="bottom"/>
          </w:tcPr>
          <w:p w14:paraId="3C302E46" w14:textId="46FEA00D" w:rsidR="00477340" w:rsidRPr="000473C9" w:rsidRDefault="00F16F78" w:rsidP="00BF5FDB">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8</w:t>
            </w:r>
            <w:r w:rsidR="00296BDE" w:rsidRPr="000473C9">
              <w:rPr>
                <w:rFonts w:ascii="Public Sans" w:hAnsi="Public Sans" w:cs="Arial"/>
                <w:b/>
                <w:sz w:val="16"/>
                <w:szCs w:val="16"/>
                <w:lang w:val="en-AU" w:eastAsia="en-AU"/>
              </w:rPr>
              <w:t>55</w:t>
            </w:r>
          </w:p>
        </w:tc>
        <w:tc>
          <w:tcPr>
            <w:tcW w:w="1134" w:type="dxa"/>
            <w:tcBorders>
              <w:top w:val="single" w:sz="4" w:space="0" w:color="auto"/>
              <w:left w:val="nil"/>
              <w:bottom w:val="single" w:sz="4" w:space="0" w:color="auto"/>
              <w:right w:val="nil"/>
            </w:tcBorders>
            <w:shd w:val="pct5" w:color="auto" w:fill="auto"/>
            <w:noWrap/>
            <w:vAlign w:val="bottom"/>
          </w:tcPr>
          <w:p w14:paraId="1F6C07BA" w14:textId="4BB4A919" w:rsidR="00477340" w:rsidRPr="000473C9" w:rsidRDefault="00477340" w:rsidP="00BF5FDB">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1,</w:t>
            </w:r>
            <w:r w:rsidR="005860D1" w:rsidRPr="000473C9">
              <w:rPr>
                <w:rFonts w:ascii="Public Sans" w:hAnsi="Public Sans" w:cs="Arial"/>
                <w:b/>
                <w:sz w:val="16"/>
                <w:szCs w:val="16"/>
                <w:lang w:val="en-AU" w:eastAsia="en-AU"/>
              </w:rPr>
              <w:t>1</w:t>
            </w:r>
            <w:r w:rsidR="00296BDE" w:rsidRPr="000473C9">
              <w:rPr>
                <w:rFonts w:ascii="Public Sans" w:hAnsi="Public Sans" w:cs="Arial"/>
                <w:b/>
                <w:sz w:val="16"/>
                <w:szCs w:val="16"/>
                <w:lang w:val="en-AU" w:eastAsia="en-AU"/>
              </w:rPr>
              <w:t>5</w:t>
            </w:r>
            <w:r w:rsidR="005860D1" w:rsidRPr="000473C9">
              <w:rPr>
                <w:rFonts w:ascii="Public Sans" w:hAnsi="Public Sans" w:cs="Arial"/>
                <w:b/>
                <w:sz w:val="16"/>
                <w:szCs w:val="16"/>
                <w:lang w:val="en-AU" w:eastAsia="en-AU"/>
              </w:rPr>
              <w:t>6</w:t>
            </w:r>
          </w:p>
        </w:tc>
        <w:tc>
          <w:tcPr>
            <w:tcW w:w="1134" w:type="dxa"/>
            <w:tcBorders>
              <w:top w:val="single" w:sz="4" w:space="0" w:color="auto"/>
              <w:left w:val="nil"/>
              <w:bottom w:val="single" w:sz="4" w:space="0" w:color="auto"/>
              <w:right w:val="nil"/>
            </w:tcBorders>
            <w:shd w:val="pct5" w:color="auto" w:fill="auto"/>
            <w:noWrap/>
            <w:vAlign w:val="bottom"/>
          </w:tcPr>
          <w:p w14:paraId="0E712B50" w14:textId="793230E2" w:rsidR="00477340" w:rsidRPr="000473C9" w:rsidRDefault="00477340" w:rsidP="00BF5FDB">
            <w:pPr>
              <w:ind w:right="227"/>
              <w:jc w:val="right"/>
              <w:rPr>
                <w:rFonts w:ascii="Public Sans" w:hAnsi="Public Sans" w:cs="Arial"/>
                <w:b/>
                <w:sz w:val="16"/>
                <w:szCs w:val="16"/>
                <w:lang w:val="en-AU" w:eastAsia="en-AU"/>
              </w:rPr>
            </w:pPr>
            <w:r w:rsidRPr="000473C9">
              <w:rPr>
                <w:rFonts w:ascii="Public Sans" w:hAnsi="Public Sans" w:cs="Arial"/>
                <w:b/>
                <w:sz w:val="16"/>
                <w:szCs w:val="16"/>
                <w:lang w:val="en-AU" w:eastAsia="en-AU"/>
              </w:rPr>
              <w:t>1,</w:t>
            </w:r>
            <w:r w:rsidR="00F0597A" w:rsidRPr="000473C9">
              <w:rPr>
                <w:rFonts w:ascii="Public Sans" w:hAnsi="Public Sans" w:cs="Arial"/>
                <w:b/>
                <w:sz w:val="16"/>
                <w:szCs w:val="16"/>
                <w:lang w:val="en-AU" w:eastAsia="en-AU"/>
              </w:rPr>
              <w:t>2</w:t>
            </w:r>
            <w:r w:rsidR="00296BDE" w:rsidRPr="000473C9">
              <w:rPr>
                <w:rFonts w:ascii="Public Sans" w:hAnsi="Public Sans" w:cs="Arial"/>
                <w:b/>
                <w:sz w:val="16"/>
                <w:szCs w:val="16"/>
                <w:lang w:val="en-AU" w:eastAsia="en-AU"/>
              </w:rPr>
              <w:t>76</w:t>
            </w:r>
          </w:p>
        </w:tc>
      </w:tr>
    </w:tbl>
    <w:p w14:paraId="495760FB" w14:textId="77777777" w:rsidR="00C71090" w:rsidRPr="000473C9" w:rsidRDefault="00C71090" w:rsidP="00C71090">
      <w:pPr>
        <w:rPr>
          <w:sz w:val="6"/>
          <w:szCs w:val="6"/>
        </w:rPr>
      </w:pPr>
    </w:p>
    <w:p w14:paraId="1983A5BA" w14:textId="118640C4" w:rsidR="00477340" w:rsidRPr="000473C9" w:rsidRDefault="00477340" w:rsidP="00C71090">
      <w:pPr>
        <w:numPr>
          <w:ilvl w:val="0"/>
          <w:numId w:val="4"/>
        </w:numPr>
        <w:ind w:left="357" w:hanging="357"/>
        <w:rPr>
          <w:rFonts w:ascii="Public Sans" w:hAnsi="Public Sans" w:cs="Arial"/>
          <w:sz w:val="17"/>
          <w:szCs w:val="17"/>
        </w:rPr>
      </w:pPr>
      <w:proofErr w:type="spellStart"/>
      <w:r w:rsidRPr="000473C9">
        <w:rPr>
          <w:rFonts w:ascii="Public Sans" w:hAnsi="Public Sans" w:cs="Arial"/>
          <w:sz w:val="17"/>
          <w:szCs w:val="17"/>
        </w:rPr>
        <w:t>Landcom’s</w:t>
      </w:r>
      <w:proofErr w:type="spellEnd"/>
      <w:r w:rsidRPr="000473C9">
        <w:rPr>
          <w:rFonts w:ascii="Public Sans" w:hAnsi="Public Sans" w:cs="Arial"/>
          <w:sz w:val="17"/>
          <w:szCs w:val="17"/>
        </w:rPr>
        <w:t xml:space="preserve"> returns classified under the ‘Revenue from Transactions’ section in the General Government Operating Statement relate to tax equivalent payments.</w:t>
      </w:r>
    </w:p>
    <w:p w14:paraId="46F82AD8" w14:textId="77777777" w:rsidR="00D02132" w:rsidRPr="00637FD6" w:rsidRDefault="00D02132" w:rsidP="00D02132">
      <w:pPr>
        <w:numPr>
          <w:ilvl w:val="0"/>
          <w:numId w:val="4"/>
        </w:numPr>
        <w:ind w:left="357" w:hanging="357"/>
        <w:rPr>
          <w:rFonts w:ascii="Public Sans" w:hAnsi="Public Sans" w:cs="Arial"/>
          <w:sz w:val="17"/>
          <w:szCs w:val="17"/>
        </w:rPr>
      </w:pPr>
      <w:r w:rsidRPr="00637FD6">
        <w:rPr>
          <w:rFonts w:ascii="Public Sans" w:hAnsi="Public Sans" w:cs="Arial"/>
          <w:sz w:val="17"/>
          <w:szCs w:val="17"/>
        </w:rPr>
        <w:t>Dividends and tax equivalents from Sydney Water are forecast to rise to $626.0 million in 2025-26 due to the gradual reintroduction of infrastructure contributions and the forecast higher revenue resulting from the commencement of the next IPART pricing determination.</w:t>
      </w:r>
    </w:p>
    <w:p w14:paraId="6A7992CE" w14:textId="4DBBDFDD" w:rsidR="00477340" w:rsidRPr="000473C9" w:rsidRDefault="00477340" w:rsidP="00C71090">
      <w:pPr>
        <w:numPr>
          <w:ilvl w:val="0"/>
          <w:numId w:val="4"/>
        </w:numPr>
        <w:ind w:left="357" w:hanging="357"/>
        <w:rPr>
          <w:rFonts w:ascii="Public Sans" w:hAnsi="Public Sans" w:cs="Arial"/>
          <w:sz w:val="17"/>
          <w:szCs w:val="17"/>
        </w:rPr>
      </w:pPr>
      <w:r w:rsidRPr="000473C9">
        <w:rPr>
          <w:rFonts w:ascii="Public Sans" w:hAnsi="Public Sans" w:cs="Arial"/>
          <w:sz w:val="17"/>
          <w:szCs w:val="17"/>
        </w:rPr>
        <w:t xml:space="preserve">Dividends paid by </w:t>
      </w:r>
      <w:proofErr w:type="spellStart"/>
      <w:r w:rsidRPr="000473C9">
        <w:rPr>
          <w:rFonts w:ascii="Public Sans" w:hAnsi="Public Sans" w:cs="Arial"/>
          <w:sz w:val="17"/>
          <w:szCs w:val="17"/>
        </w:rPr>
        <w:t>Landcom</w:t>
      </w:r>
      <w:proofErr w:type="spellEnd"/>
      <w:r w:rsidRPr="000473C9">
        <w:rPr>
          <w:rFonts w:ascii="Public Sans" w:hAnsi="Public Sans" w:cs="Arial"/>
          <w:sz w:val="17"/>
          <w:szCs w:val="17"/>
        </w:rPr>
        <w:t xml:space="preserve"> across the five years to 202</w:t>
      </w:r>
      <w:r w:rsidR="006068AD" w:rsidRPr="000473C9">
        <w:rPr>
          <w:rFonts w:ascii="Public Sans" w:hAnsi="Public Sans" w:cs="Arial"/>
          <w:sz w:val="17"/>
          <w:szCs w:val="17"/>
        </w:rPr>
        <w:t>6</w:t>
      </w:r>
      <w:r w:rsidRPr="000473C9">
        <w:rPr>
          <w:rFonts w:ascii="Public Sans" w:hAnsi="Public Sans" w:cs="Arial"/>
          <w:sz w:val="17"/>
          <w:szCs w:val="17"/>
        </w:rPr>
        <w:t>-2</w:t>
      </w:r>
      <w:r w:rsidR="006068AD" w:rsidRPr="000473C9">
        <w:rPr>
          <w:rFonts w:ascii="Public Sans" w:hAnsi="Public Sans" w:cs="Arial"/>
          <w:sz w:val="17"/>
          <w:szCs w:val="17"/>
        </w:rPr>
        <w:t>7</w:t>
      </w:r>
      <w:r w:rsidRPr="000473C9">
        <w:rPr>
          <w:rFonts w:ascii="Public Sans" w:hAnsi="Public Sans" w:cs="Arial"/>
          <w:sz w:val="17"/>
          <w:szCs w:val="17"/>
        </w:rPr>
        <w:t xml:space="preserve"> are classified as income within the ‘Other Economic Flows’ section of the General Government Operating Statement.</w:t>
      </w:r>
    </w:p>
    <w:p w14:paraId="5501D88E" w14:textId="77777777" w:rsidR="00477340" w:rsidRPr="00477340" w:rsidRDefault="00477340" w:rsidP="00477340">
      <w:pPr>
        <w:rPr>
          <w:sz w:val="17"/>
          <w:szCs w:val="17"/>
        </w:rPr>
      </w:pPr>
    </w:p>
    <w:p w14:paraId="42DD92C2" w14:textId="77777777" w:rsidR="00477340" w:rsidRPr="00477340" w:rsidRDefault="00477340" w:rsidP="00477340">
      <w:pPr>
        <w:rPr>
          <w:sz w:val="17"/>
          <w:szCs w:val="17"/>
        </w:rPr>
      </w:pPr>
    </w:p>
    <w:p w14:paraId="6335BF0C" w14:textId="77777777" w:rsidR="00B647D8" w:rsidRPr="00814D44" w:rsidRDefault="00B647D8" w:rsidP="00B647D8">
      <w:pPr>
        <w:rPr>
          <w:sz w:val="17"/>
          <w:szCs w:val="17"/>
        </w:rPr>
      </w:pPr>
    </w:p>
    <w:sectPr w:rsidR="00B647D8" w:rsidRPr="00814D44" w:rsidSect="000D24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2684" w14:textId="77777777" w:rsidR="0071768C" w:rsidRDefault="0071768C">
      <w:r>
        <w:separator/>
      </w:r>
    </w:p>
  </w:endnote>
  <w:endnote w:type="continuationSeparator" w:id="0">
    <w:p w14:paraId="7ECC3783" w14:textId="77777777" w:rsidR="0071768C" w:rsidRDefault="0071768C">
      <w:r>
        <w:continuationSeparator/>
      </w:r>
    </w:p>
  </w:endnote>
  <w:endnote w:type="continuationNotice" w:id="1">
    <w:p w14:paraId="2B61F81C" w14:textId="77777777" w:rsidR="0071768C" w:rsidRDefault="0071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E357" w14:textId="2B694F13" w:rsidR="00CE798B" w:rsidRPr="00E00641" w:rsidRDefault="002B648A" w:rsidP="009E5213">
    <w:pPr>
      <w:pBdr>
        <w:top w:val="single" w:sz="4" w:space="4" w:color="auto"/>
      </w:pBdr>
      <w:tabs>
        <w:tab w:val="right" w:pos="9639"/>
      </w:tabs>
      <w:rPr>
        <w:rFonts w:ascii="Public Sans" w:hAnsi="Public Sans" w:cs="Arial"/>
        <w:sz w:val="18"/>
        <w:szCs w:val="18"/>
      </w:rPr>
    </w:pPr>
    <w:r w:rsidRPr="00E00641">
      <w:rPr>
        <w:rFonts w:ascii="Public Sans" w:hAnsi="Public Sans" w:cs="Arial"/>
        <w:sz w:val="18"/>
        <w:szCs w:val="18"/>
      </w:rPr>
      <w:t>7</w:t>
    </w:r>
    <w:r w:rsidR="009E5213" w:rsidRPr="00E00641">
      <w:rPr>
        <w:rFonts w:ascii="Public Sans" w:hAnsi="Public Sans" w:cs="Arial"/>
        <w:sz w:val="18"/>
        <w:szCs w:val="18"/>
      </w:rPr>
      <w:t xml:space="preserve"> - </w:t>
    </w:r>
    <w:r w:rsidR="009E5213" w:rsidRPr="00E00641">
      <w:rPr>
        <w:rFonts w:ascii="Public Sans" w:hAnsi="Public Sans" w:cs="Arial"/>
        <w:sz w:val="18"/>
        <w:szCs w:val="18"/>
      </w:rPr>
      <w:fldChar w:fldCharType="begin"/>
    </w:r>
    <w:r w:rsidR="009E5213" w:rsidRPr="00E00641">
      <w:rPr>
        <w:rFonts w:ascii="Public Sans" w:hAnsi="Public Sans" w:cs="Arial"/>
        <w:sz w:val="18"/>
        <w:szCs w:val="18"/>
      </w:rPr>
      <w:instrText xml:space="preserve"> PAGE   \* MERGEFORMAT </w:instrText>
    </w:r>
    <w:r w:rsidR="009E5213" w:rsidRPr="00E00641">
      <w:rPr>
        <w:rFonts w:ascii="Public Sans" w:hAnsi="Public Sans" w:cs="Arial"/>
        <w:sz w:val="18"/>
        <w:szCs w:val="18"/>
      </w:rPr>
      <w:fldChar w:fldCharType="separate"/>
    </w:r>
    <w:r w:rsidR="009E5213" w:rsidRPr="00E00641">
      <w:rPr>
        <w:rFonts w:ascii="Public Sans" w:hAnsi="Public Sans" w:cs="Arial"/>
        <w:sz w:val="18"/>
        <w:szCs w:val="18"/>
      </w:rPr>
      <w:t>2</w:t>
    </w:r>
    <w:r w:rsidR="009E5213" w:rsidRPr="00E00641">
      <w:rPr>
        <w:rFonts w:ascii="Public Sans" w:hAnsi="Public Sans" w:cs="Arial"/>
        <w:noProof/>
        <w:sz w:val="18"/>
        <w:szCs w:val="18"/>
      </w:rPr>
      <w:fldChar w:fldCharType="end"/>
    </w:r>
    <w:r w:rsidR="009E5213" w:rsidRPr="00E00641">
      <w:rPr>
        <w:rFonts w:ascii="Public Sans" w:hAnsi="Public Sans" w:cs="Arial"/>
        <w:noProof/>
        <w:sz w:val="18"/>
        <w:szCs w:val="18"/>
      </w:rPr>
      <w:tab/>
    </w:r>
    <w:r w:rsidR="009E5213" w:rsidRPr="00E00641">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E8A" w14:textId="6316785C" w:rsidR="00CE798B" w:rsidRPr="00E00641" w:rsidRDefault="009E5213" w:rsidP="009E5213">
    <w:pPr>
      <w:pBdr>
        <w:top w:val="single" w:sz="4" w:space="4" w:color="auto"/>
      </w:pBdr>
      <w:tabs>
        <w:tab w:val="right" w:pos="9639"/>
      </w:tabs>
      <w:rPr>
        <w:rFonts w:ascii="Public Sans" w:hAnsi="Public Sans" w:cs="Arial"/>
        <w:sz w:val="18"/>
        <w:szCs w:val="18"/>
      </w:rPr>
    </w:pPr>
    <w:r w:rsidRPr="00E00641">
      <w:rPr>
        <w:rFonts w:ascii="Public Sans" w:hAnsi="Public Sans" w:cs="Arial"/>
        <w:sz w:val="18"/>
        <w:szCs w:val="18"/>
      </w:rPr>
      <w:t>Budget Statement 2023-24</w:t>
    </w:r>
    <w:r w:rsidRPr="00E00641">
      <w:rPr>
        <w:rFonts w:ascii="Public Sans" w:hAnsi="Public Sans" w:cs="Arial"/>
        <w:sz w:val="18"/>
        <w:szCs w:val="18"/>
      </w:rPr>
      <w:tab/>
    </w:r>
    <w:r w:rsidR="006975A4" w:rsidRPr="00E00641">
      <w:rPr>
        <w:rFonts w:ascii="Public Sans" w:hAnsi="Public Sans" w:cs="Arial"/>
        <w:sz w:val="18"/>
        <w:szCs w:val="18"/>
      </w:rPr>
      <w:t>7</w:t>
    </w:r>
    <w:r w:rsidRPr="00E00641">
      <w:rPr>
        <w:rFonts w:ascii="Public Sans" w:hAnsi="Public Sans" w:cs="Arial"/>
        <w:sz w:val="18"/>
        <w:szCs w:val="18"/>
      </w:rPr>
      <w:t xml:space="preserve"> - </w:t>
    </w:r>
    <w:r w:rsidRPr="00E00641">
      <w:rPr>
        <w:rFonts w:ascii="Public Sans" w:hAnsi="Public Sans" w:cs="Arial"/>
        <w:sz w:val="18"/>
        <w:szCs w:val="18"/>
      </w:rPr>
      <w:fldChar w:fldCharType="begin"/>
    </w:r>
    <w:r w:rsidRPr="00E00641">
      <w:rPr>
        <w:rFonts w:ascii="Public Sans" w:hAnsi="Public Sans" w:cs="Arial"/>
        <w:sz w:val="18"/>
        <w:szCs w:val="18"/>
      </w:rPr>
      <w:instrText xml:space="preserve"> PAGE   \* MERGEFORMAT </w:instrText>
    </w:r>
    <w:r w:rsidRPr="00E00641">
      <w:rPr>
        <w:rFonts w:ascii="Public Sans" w:hAnsi="Public Sans" w:cs="Arial"/>
        <w:sz w:val="18"/>
        <w:szCs w:val="18"/>
      </w:rPr>
      <w:fldChar w:fldCharType="separate"/>
    </w:r>
    <w:r w:rsidRPr="00E00641">
      <w:rPr>
        <w:rFonts w:ascii="Public Sans" w:hAnsi="Public Sans" w:cs="Arial"/>
        <w:sz w:val="18"/>
        <w:szCs w:val="18"/>
      </w:rPr>
      <w:t>1</w:t>
    </w:r>
    <w:r w:rsidRPr="00E00641">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FC12" w14:textId="633E09DB" w:rsidR="00CE798B" w:rsidRPr="00BB7CB1" w:rsidRDefault="009E5213" w:rsidP="00BB7CB1">
    <w:pPr>
      <w:pBdr>
        <w:top w:val="single" w:sz="4" w:space="4" w:color="auto"/>
      </w:pBdr>
      <w:tabs>
        <w:tab w:val="right" w:pos="9639"/>
      </w:tabs>
      <w:rPr>
        <w:rFonts w:ascii="Public Sans" w:hAnsi="Public Sans" w:cs="Arial"/>
        <w:noProof/>
        <w:sz w:val="18"/>
        <w:szCs w:val="18"/>
      </w:rPr>
    </w:pPr>
    <w:r w:rsidRPr="00E00641">
      <w:rPr>
        <w:rFonts w:ascii="Public Sans" w:hAnsi="Public Sans" w:cs="Arial"/>
        <w:sz w:val="18"/>
        <w:szCs w:val="18"/>
      </w:rPr>
      <w:t>Budget Statement 2023-24</w:t>
    </w:r>
    <w:r w:rsidRPr="00E00641">
      <w:rPr>
        <w:rFonts w:ascii="Public Sans" w:hAnsi="Public Sans" w:cs="Arial"/>
        <w:sz w:val="18"/>
        <w:szCs w:val="18"/>
      </w:rPr>
      <w:tab/>
    </w:r>
    <w:r w:rsidR="006975A4" w:rsidRPr="00E00641">
      <w:rPr>
        <w:rFonts w:ascii="Public Sans" w:hAnsi="Public Sans" w:cs="Arial"/>
        <w:sz w:val="18"/>
        <w:szCs w:val="18"/>
      </w:rPr>
      <w:t>7</w:t>
    </w:r>
    <w:r w:rsidRPr="00E00641">
      <w:rPr>
        <w:rFonts w:ascii="Public Sans" w:hAnsi="Public Sans" w:cs="Arial"/>
        <w:sz w:val="18"/>
        <w:szCs w:val="18"/>
      </w:rPr>
      <w:t xml:space="preserve"> - </w:t>
    </w:r>
    <w:r w:rsidRPr="00E00641">
      <w:rPr>
        <w:rFonts w:ascii="Public Sans" w:hAnsi="Public Sans" w:cs="Arial"/>
        <w:sz w:val="18"/>
        <w:szCs w:val="18"/>
      </w:rPr>
      <w:fldChar w:fldCharType="begin"/>
    </w:r>
    <w:r w:rsidRPr="00E00641">
      <w:rPr>
        <w:rFonts w:ascii="Public Sans" w:hAnsi="Public Sans" w:cs="Arial"/>
        <w:sz w:val="18"/>
        <w:szCs w:val="18"/>
      </w:rPr>
      <w:instrText xml:space="preserve"> PAGE   \* MERGEFORMAT </w:instrText>
    </w:r>
    <w:r w:rsidRPr="00E00641">
      <w:rPr>
        <w:rFonts w:ascii="Public Sans" w:hAnsi="Public Sans" w:cs="Arial"/>
        <w:sz w:val="18"/>
        <w:szCs w:val="18"/>
      </w:rPr>
      <w:fldChar w:fldCharType="separate"/>
    </w:r>
    <w:r w:rsidRPr="00E00641">
      <w:rPr>
        <w:rFonts w:ascii="Public Sans" w:hAnsi="Public Sans" w:cs="Arial"/>
        <w:sz w:val="18"/>
        <w:szCs w:val="18"/>
      </w:rPr>
      <w:t>5</w:t>
    </w:r>
    <w:r w:rsidRPr="00E00641">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460D" w14:textId="77777777" w:rsidR="0071768C" w:rsidRDefault="0071768C">
      <w:pPr>
        <w:spacing w:before="120"/>
      </w:pPr>
      <w:r>
        <w:separator/>
      </w:r>
    </w:p>
  </w:footnote>
  <w:footnote w:type="continuationSeparator" w:id="0">
    <w:p w14:paraId="0D9EF567" w14:textId="77777777" w:rsidR="0071768C" w:rsidRDefault="0071768C">
      <w:pPr>
        <w:spacing w:before="120"/>
      </w:pPr>
      <w:r>
        <w:continuationSeparator/>
      </w:r>
    </w:p>
  </w:footnote>
  <w:footnote w:type="continuationNotice" w:id="1">
    <w:p w14:paraId="78372477" w14:textId="77777777" w:rsidR="0071768C" w:rsidRDefault="0071768C">
      <w:pPr>
        <w:rPr>
          <w:sz w:val="16"/>
        </w:rPr>
      </w:pPr>
    </w:p>
  </w:footnote>
  <w:footnote w:id="2">
    <w:p w14:paraId="2CDF3BFA" w14:textId="0BC6A182" w:rsidR="002837E9" w:rsidRPr="00F83E68" w:rsidRDefault="002837E9" w:rsidP="00801B99">
      <w:pPr>
        <w:pStyle w:val="FootnoteText"/>
        <w:spacing w:before="0" w:after="0"/>
        <w:ind w:hanging="283"/>
        <w:rPr>
          <w:rFonts w:ascii="Public Sans" w:hAnsi="Public Sans"/>
          <w:i w:val="0"/>
          <w:lang w:val="en-AU"/>
        </w:rPr>
      </w:pPr>
      <w:r w:rsidRPr="00F83E68">
        <w:rPr>
          <w:rStyle w:val="FootnoteReference"/>
          <w:rFonts w:ascii="Public Sans" w:hAnsi="Public Sans"/>
          <w:i w:val="0"/>
        </w:rPr>
        <w:footnoteRef/>
      </w:r>
      <w:r w:rsidRPr="00F83E68">
        <w:rPr>
          <w:rFonts w:ascii="Public Sans" w:hAnsi="Public Sans"/>
          <w:i w:val="0"/>
          <w:iCs/>
        </w:rPr>
        <w:t xml:space="preserve"> </w:t>
      </w:r>
      <w:r w:rsidR="00801B99">
        <w:rPr>
          <w:rFonts w:ascii="Public Sans" w:hAnsi="Public Sans"/>
          <w:i w:val="0"/>
          <w:iCs/>
        </w:rPr>
        <w:tab/>
      </w:r>
      <w:r w:rsidR="0030786C">
        <w:rPr>
          <w:rFonts w:ascii="Public Sans" w:hAnsi="Public Sans"/>
          <w:i w:val="0"/>
          <w:iCs/>
        </w:rPr>
        <w:t xml:space="preserve">To </w:t>
      </w:r>
      <w:r w:rsidR="006725D4">
        <w:rPr>
          <w:rFonts w:ascii="Public Sans" w:hAnsi="Public Sans"/>
          <w:i w:val="0"/>
          <w:iCs/>
        </w:rPr>
        <w:t>r</w:t>
      </w:r>
      <w:r w:rsidR="0030786C">
        <w:rPr>
          <w:rFonts w:ascii="Public Sans" w:hAnsi="Public Sans"/>
          <w:i w:val="0"/>
          <w:iCs/>
        </w:rPr>
        <w:t xml:space="preserve">eview the Government response to the </w:t>
      </w:r>
      <w:r w:rsidR="008E712A">
        <w:rPr>
          <w:rFonts w:ascii="Public Sans" w:hAnsi="Public Sans"/>
          <w:i w:val="0"/>
          <w:iCs/>
        </w:rPr>
        <w:t xml:space="preserve">Electricity Supply and Reliability Check Up, please refer to the </w:t>
      </w:r>
      <w:r w:rsidR="00196A06">
        <w:rPr>
          <w:rFonts w:ascii="Public Sans" w:hAnsi="Public Sans"/>
          <w:i w:val="0"/>
          <w:iCs/>
        </w:rPr>
        <w:t>NSW Climate and Energy</w:t>
      </w:r>
      <w:r w:rsidR="0051444C">
        <w:rPr>
          <w:rFonts w:ascii="Public Sans" w:hAnsi="Public Sans"/>
          <w:i w:val="0"/>
          <w:iCs/>
        </w:rPr>
        <w:t xml:space="preserve"> Action we</w:t>
      </w:r>
      <w:r w:rsidR="00EB67C9">
        <w:rPr>
          <w:rFonts w:ascii="Public Sans" w:hAnsi="Public Sans"/>
          <w:i w:val="0"/>
          <w:iCs/>
        </w:rPr>
        <w:t>bsite (</w:t>
      </w:r>
      <w:hyperlink r:id="rId1" w:history="1">
        <w:r w:rsidR="006725D4" w:rsidRPr="0008048E">
          <w:rPr>
            <w:rStyle w:val="Hyperlink"/>
            <w:rFonts w:ascii="Public Sans" w:hAnsi="Public Sans"/>
            <w:i w:val="0"/>
            <w:iCs/>
          </w:rPr>
          <w:t>https://www.energy.nsw.gov.au/</w:t>
        </w:r>
      </w:hyperlink>
      <w:r w:rsidR="00EB67C9">
        <w:rPr>
          <w:rFonts w:ascii="Public Sans" w:hAnsi="Public Sans"/>
          <w:i w:val="0"/>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1CD7" w14:textId="77777777" w:rsidR="006975A4" w:rsidRPr="00E00641" w:rsidRDefault="006975A4" w:rsidP="006975A4">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E00641">
      <w:rPr>
        <w:rFonts w:ascii="Public Sans" w:eastAsia="Calibri" w:hAnsi="Public Sans" w:cs="Arial"/>
        <w:sz w:val="18"/>
        <w:szCs w:val="18"/>
      </w:rPr>
      <w:t>Commercial Performance in the Broader Public Sector</w:t>
    </w:r>
  </w:p>
  <w:p w14:paraId="439DB458" w14:textId="77777777" w:rsidR="009E5213" w:rsidRDefault="009E5213" w:rsidP="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AF16" w14:textId="77777777" w:rsidR="006975A4" w:rsidRPr="00E00641" w:rsidRDefault="006975A4" w:rsidP="006975A4">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E00641">
      <w:rPr>
        <w:rFonts w:ascii="Public Sans" w:eastAsia="Calibri" w:hAnsi="Public Sans" w:cs="Arial"/>
        <w:sz w:val="18"/>
        <w:szCs w:val="18"/>
      </w:rPr>
      <w:t>Commercial Performance in the Broader Public Sector</w:t>
    </w:r>
  </w:p>
  <w:p w14:paraId="08E06F2E" w14:textId="3E95D2F4" w:rsidR="009E5213" w:rsidRPr="006975A4" w:rsidRDefault="009E5213" w:rsidP="006975A4">
    <w:pP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6E8" w14:textId="77777777" w:rsidR="00016AE9" w:rsidRDefault="00016AE9">
    <w:pPr>
      <w:rPr>
        <w:rFonts w:ascii="Arial" w:hAnsi="Arial" w:cs="Arial"/>
      </w:rPr>
    </w:pPr>
  </w:p>
  <w:p w14:paraId="7778FEFE" w14:textId="21CA1604" w:rsidR="00016AE9" w:rsidRPr="0045160F" w:rsidRDefault="00016AE9">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2160"/>
        </w:tabs>
        <w:ind w:left="2160" w:hanging="360"/>
      </w:pPr>
      <w:rPr>
        <w:rFonts w:ascii="Symbol" w:hAnsi="Symbol" w:hint="default"/>
      </w:rPr>
    </w:lvl>
  </w:abstractNum>
  <w:abstractNum w:abstractNumId="1" w15:restartNumberingAfterBreak="0">
    <w:nsid w:val="019302DE"/>
    <w:multiLevelType w:val="hybridMultilevel"/>
    <w:tmpl w:val="60E46DD0"/>
    <w:lvl w:ilvl="0" w:tplc="2C482E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972509"/>
    <w:multiLevelType w:val="hybridMultilevel"/>
    <w:tmpl w:val="54CA359E"/>
    <w:lvl w:ilvl="0" w:tplc="69A8D5A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A60123"/>
    <w:multiLevelType w:val="hybridMultilevel"/>
    <w:tmpl w:val="C4F0BDE8"/>
    <w:lvl w:ilvl="0" w:tplc="04BE49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A1DFE"/>
    <w:multiLevelType w:val="hybridMultilevel"/>
    <w:tmpl w:val="A6CEB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3E7B4D"/>
    <w:multiLevelType w:val="hybridMultilevel"/>
    <w:tmpl w:val="6A20B932"/>
    <w:lvl w:ilvl="0" w:tplc="3E3CF29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68548E"/>
    <w:multiLevelType w:val="hybridMultilevel"/>
    <w:tmpl w:val="07A6E582"/>
    <w:lvl w:ilvl="0" w:tplc="D0A00826">
      <w:start w:val="1"/>
      <w:numFmt w:val="decimal"/>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7"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516841"/>
    <w:multiLevelType w:val="hybridMultilevel"/>
    <w:tmpl w:val="83469946"/>
    <w:lvl w:ilvl="0" w:tplc="66E49180">
      <w:start w:val="1"/>
      <w:numFmt w:val="decimal"/>
      <w:lvlText w:val="Figure 7.%1:"/>
      <w:lvlJc w:val="left"/>
      <w:pPr>
        <w:ind w:left="720" w:hanging="360"/>
      </w:pPr>
      <w:rPr>
        <w:rFonts w:ascii="Arial" w:hAnsi="Arial"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345ECE"/>
    <w:multiLevelType w:val="hybridMultilevel"/>
    <w:tmpl w:val="9BF8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D438F4"/>
    <w:multiLevelType w:val="hybridMultilevel"/>
    <w:tmpl w:val="B27CAF78"/>
    <w:lvl w:ilvl="0" w:tplc="02BE88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856019"/>
    <w:multiLevelType w:val="hybridMultilevel"/>
    <w:tmpl w:val="2F7ADD14"/>
    <w:styleLink w:val="BulletPoints"/>
    <w:lvl w:ilvl="0" w:tplc="CAEEC708">
      <w:start w:val="1"/>
      <w:numFmt w:val="bullet"/>
      <w:lvlText w:val=""/>
      <w:lvlJc w:val="left"/>
      <w:pPr>
        <w:ind w:left="360" w:hanging="360"/>
      </w:pPr>
      <w:rPr>
        <w:rFonts w:ascii="Symbol" w:hAnsi="Symbol" w:hint="default"/>
        <w:color w:val="0A7CB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B246AF"/>
    <w:multiLevelType w:val="multilevel"/>
    <w:tmpl w:val="C4068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982270"/>
    <w:multiLevelType w:val="hybridMultilevel"/>
    <w:tmpl w:val="3A08D1F6"/>
    <w:lvl w:ilvl="0" w:tplc="58B0F1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97A3B0D"/>
    <w:multiLevelType w:val="hybridMultilevel"/>
    <w:tmpl w:val="CB144096"/>
    <w:lvl w:ilvl="0" w:tplc="21F285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AB913E8"/>
    <w:multiLevelType w:val="hybridMultilevel"/>
    <w:tmpl w:val="9BA22F48"/>
    <w:lvl w:ilvl="0" w:tplc="5FB07FC2">
      <w:start w:val="1"/>
      <w:numFmt w:val="bullet"/>
      <w:lvlText w:val=""/>
      <w:lvlJc w:val="left"/>
      <w:pPr>
        <w:ind w:left="1080" w:hanging="360"/>
      </w:pPr>
      <w:rPr>
        <w:rFonts w:ascii="Symbol" w:hAnsi="Symbol"/>
      </w:rPr>
    </w:lvl>
    <w:lvl w:ilvl="1" w:tplc="CC9C2932">
      <w:start w:val="1"/>
      <w:numFmt w:val="bullet"/>
      <w:lvlText w:val=""/>
      <w:lvlJc w:val="left"/>
      <w:pPr>
        <w:ind w:left="1080" w:hanging="360"/>
      </w:pPr>
      <w:rPr>
        <w:rFonts w:ascii="Symbol" w:hAnsi="Symbol"/>
      </w:rPr>
    </w:lvl>
    <w:lvl w:ilvl="2" w:tplc="A9883E7A">
      <w:start w:val="1"/>
      <w:numFmt w:val="bullet"/>
      <w:lvlText w:val=""/>
      <w:lvlJc w:val="left"/>
      <w:pPr>
        <w:ind w:left="1080" w:hanging="360"/>
      </w:pPr>
      <w:rPr>
        <w:rFonts w:ascii="Symbol" w:hAnsi="Symbol"/>
      </w:rPr>
    </w:lvl>
    <w:lvl w:ilvl="3" w:tplc="295E55DC">
      <w:start w:val="1"/>
      <w:numFmt w:val="bullet"/>
      <w:lvlText w:val=""/>
      <w:lvlJc w:val="left"/>
      <w:pPr>
        <w:ind w:left="1080" w:hanging="360"/>
      </w:pPr>
      <w:rPr>
        <w:rFonts w:ascii="Symbol" w:hAnsi="Symbol"/>
      </w:rPr>
    </w:lvl>
    <w:lvl w:ilvl="4" w:tplc="69BA9F0A">
      <w:start w:val="1"/>
      <w:numFmt w:val="bullet"/>
      <w:lvlText w:val=""/>
      <w:lvlJc w:val="left"/>
      <w:pPr>
        <w:ind w:left="1080" w:hanging="360"/>
      </w:pPr>
      <w:rPr>
        <w:rFonts w:ascii="Symbol" w:hAnsi="Symbol"/>
      </w:rPr>
    </w:lvl>
    <w:lvl w:ilvl="5" w:tplc="BFA4ABB6">
      <w:start w:val="1"/>
      <w:numFmt w:val="bullet"/>
      <w:lvlText w:val=""/>
      <w:lvlJc w:val="left"/>
      <w:pPr>
        <w:ind w:left="1080" w:hanging="360"/>
      </w:pPr>
      <w:rPr>
        <w:rFonts w:ascii="Symbol" w:hAnsi="Symbol"/>
      </w:rPr>
    </w:lvl>
    <w:lvl w:ilvl="6" w:tplc="D480ACE8">
      <w:start w:val="1"/>
      <w:numFmt w:val="bullet"/>
      <w:lvlText w:val=""/>
      <w:lvlJc w:val="left"/>
      <w:pPr>
        <w:ind w:left="1080" w:hanging="360"/>
      </w:pPr>
      <w:rPr>
        <w:rFonts w:ascii="Symbol" w:hAnsi="Symbol"/>
      </w:rPr>
    </w:lvl>
    <w:lvl w:ilvl="7" w:tplc="BF887480">
      <w:start w:val="1"/>
      <w:numFmt w:val="bullet"/>
      <w:lvlText w:val=""/>
      <w:lvlJc w:val="left"/>
      <w:pPr>
        <w:ind w:left="1080" w:hanging="360"/>
      </w:pPr>
      <w:rPr>
        <w:rFonts w:ascii="Symbol" w:hAnsi="Symbol"/>
      </w:rPr>
    </w:lvl>
    <w:lvl w:ilvl="8" w:tplc="D5442580">
      <w:start w:val="1"/>
      <w:numFmt w:val="bullet"/>
      <w:lvlText w:val=""/>
      <w:lvlJc w:val="left"/>
      <w:pPr>
        <w:ind w:left="1080" w:hanging="360"/>
      </w:pPr>
      <w:rPr>
        <w:rFonts w:ascii="Symbol" w:hAnsi="Symbol"/>
      </w:rPr>
    </w:lvl>
  </w:abstractNum>
  <w:abstractNum w:abstractNumId="44"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9159C4"/>
    <w:multiLevelType w:val="hybridMultilevel"/>
    <w:tmpl w:val="1B1AF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043183B"/>
    <w:multiLevelType w:val="multilevel"/>
    <w:tmpl w:val="8BE07090"/>
    <w:lvl w:ilvl="0">
      <w:start w:val="7"/>
      <w:numFmt w:val="decimal"/>
      <w:lvlText w:val="%1"/>
      <w:lvlJc w:val="left"/>
      <w:pPr>
        <w:ind w:left="390" w:hanging="3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1375CC"/>
    <w:multiLevelType w:val="hybridMultilevel"/>
    <w:tmpl w:val="EA38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2"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88D7AC5"/>
    <w:multiLevelType w:val="hybridMultilevel"/>
    <w:tmpl w:val="4AF27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BED1631"/>
    <w:multiLevelType w:val="hybridMultilevel"/>
    <w:tmpl w:val="85E07730"/>
    <w:lvl w:ilvl="0" w:tplc="01BE4D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2"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B0208D"/>
    <w:multiLevelType w:val="hybridMultilevel"/>
    <w:tmpl w:val="DE06317A"/>
    <w:lvl w:ilvl="0" w:tplc="666A80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2BD70C2"/>
    <w:multiLevelType w:val="hybridMultilevel"/>
    <w:tmpl w:val="05222D5E"/>
    <w:lvl w:ilvl="0" w:tplc="98C650BE">
      <w:start w:val="1"/>
      <w:numFmt w:val="bullet"/>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1" w15:restartNumberingAfterBreak="0">
    <w:nsid w:val="588C4480"/>
    <w:multiLevelType w:val="hybridMultilevel"/>
    <w:tmpl w:val="5A26F534"/>
    <w:lvl w:ilvl="0" w:tplc="CC3A8458">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9E5E30"/>
    <w:multiLevelType w:val="hybridMultilevel"/>
    <w:tmpl w:val="DFDEE6A2"/>
    <w:lvl w:ilvl="0" w:tplc="4824E5C8">
      <w:start w:val="1"/>
      <w:numFmt w:val="decimal"/>
      <w:pStyle w:val="71Heading2"/>
      <w:lvlText w:val="7.%1"/>
      <w:lvlJc w:val="left"/>
      <w:pPr>
        <w:ind w:left="360" w:hanging="360"/>
      </w:pPr>
      <w:rPr>
        <w:rFonts w:ascii="Public Sans SemiBold" w:hAnsi="Public Sans SemiBold" w:hint="default"/>
        <w:b/>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B5C2DEF"/>
    <w:multiLevelType w:val="hybridMultilevel"/>
    <w:tmpl w:val="B8D4410A"/>
    <w:lvl w:ilvl="0" w:tplc="7C56628C">
      <w:start w:val="1"/>
      <w:numFmt w:val="bullet"/>
      <w:lvlText w:val=""/>
      <w:lvlJc w:val="left"/>
      <w:pPr>
        <w:ind w:left="1080" w:hanging="360"/>
      </w:pPr>
      <w:rPr>
        <w:rFonts w:ascii="Symbol" w:hAnsi="Symbol"/>
      </w:rPr>
    </w:lvl>
    <w:lvl w:ilvl="1" w:tplc="2F88D304">
      <w:start w:val="1"/>
      <w:numFmt w:val="bullet"/>
      <w:lvlText w:val=""/>
      <w:lvlJc w:val="left"/>
      <w:pPr>
        <w:ind w:left="1080" w:hanging="360"/>
      </w:pPr>
      <w:rPr>
        <w:rFonts w:ascii="Symbol" w:hAnsi="Symbol"/>
      </w:rPr>
    </w:lvl>
    <w:lvl w:ilvl="2" w:tplc="FA06741E">
      <w:start w:val="1"/>
      <w:numFmt w:val="bullet"/>
      <w:lvlText w:val=""/>
      <w:lvlJc w:val="left"/>
      <w:pPr>
        <w:ind w:left="1080" w:hanging="360"/>
      </w:pPr>
      <w:rPr>
        <w:rFonts w:ascii="Symbol" w:hAnsi="Symbol"/>
      </w:rPr>
    </w:lvl>
    <w:lvl w:ilvl="3" w:tplc="29C60BBC">
      <w:start w:val="1"/>
      <w:numFmt w:val="bullet"/>
      <w:lvlText w:val=""/>
      <w:lvlJc w:val="left"/>
      <w:pPr>
        <w:ind w:left="1080" w:hanging="360"/>
      </w:pPr>
      <w:rPr>
        <w:rFonts w:ascii="Symbol" w:hAnsi="Symbol"/>
      </w:rPr>
    </w:lvl>
    <w:lvl w:ilvl="4" w:tplc="AE3E0B80">
      <w:start w:val="1"/>
      <w:numFmt w:val="bullet"/>
      <w:lvlText w:val=""/>
      <w:lvlJc w:val="left"/>
      <w:pPr>
        <w:ind w:left="1080" w:hanging="360"/>
      </w:pPr>
      <w:rPr>
        <w:rFonts w:ascii="Symbol" w:hAnsi="Symbol"/>
      </w:rPr>
    </w:lvl>
    <w:lvl w:ilvl="5" w:tplc="8ED61B60">
      <w:start w:val="1"/>
      <w:numFmt w:val="bullet"/>
      <w:lvlText w:val=""/>
      <w:lvlJc w:val="left"/>
      <w:pPr>
        <w:ind w:left="1080" w:hanging="360"/>
      </w:pPr>
      <w:rPr>
        <w:rFonts w:ascii="Symbol" w:hAnsi="Symbol"/>
      </w:rPr>
    </w:lvl>
    <w:lvl w:ilvl="6" w:tplc="BA1AF684">
      <w:start w:val="1"/>
      <w:numFmt w:val="bullet"/>
      <w:lvlText w:val=""/>
      <w:lvlJc w:val="left"/>
      <w:pPr>
        <w:ind w:left="1080" w:hanging="360"/>
      </w:pPr>
      <w:rPr>
        <w:rFonts w:ascii="Symbol" w:hAnsi="Symbol"/>
      </w:rPr>
    </w:lvl>
    <w:lvl w:ilvl="7" w:tplc="D39ED75C">
      <w:start w:val="1"/>
      <w:numFmt w:val="bullet"/>
      <w:lvlText w:val=""/>
      <w:lvlJc w:val="left"/>
      <w:pPr>
        <w:ind w:left="1080" w:hanging="360"/>
      </w:pPr>
      <w:rPr>
        <w:rFonts w:ascii="Symbol" w:hAnsi="Symbol"/>
      </w:rPr>
    </w:lvl>
    <w:lvl w:ilvl="8" w:tplc="7A8EFE86">
      <w:start w:val="1"/>
      <w:numFmt w:val="bullet"/>
      <w:lvlText w:val=""/>
      <w:lvlJc w:val="left"/>
      <w:pPr>
        <w:ind w:left="1080" w:hanging="360"/>
      </w:pPr>
      <w:rPr>
        <w:rFonts w:ascii="Symbol" w:hAnsi="Symbol"/>
      </w:rPr>
    </w:lvl>
  </w:abstractNum>
  <w:abstractNum w:abstractNumId="75" w15:restartNumberingAfterBreak="0">
    <w:nsid w:val="5D4039FA"/>
    <w:multiLevelType w:val="hybridMultilevel"/>
    <w:tmpl w:val="AC0E05BA"/>
    <w:lvl w:ilvl="0" w:tplc="019400A6">
      <w:start w:val="1"/>
      <w:numFmt w:val="decimal"/>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2617E4"/>
    <w:multiLevelType w:val="hybridMultilevel"/>
    <w:tmpl w:val="794E1ADC"/>
    <w:lvl w:ilvl="0" w:tplc="A86A7A4A">
      <w:start w:val="1"/>
      <w:numFmt w:val="bullet"/>
      <w:lvlText w:val=""/>
      <w:lvlJc w:val="left"/>
      <w:pPr>
        <w:ind w:left="1080" w:hanging="360"/>
      </w:pPr>
      <w:rPr>
        <w:rFonts w:ascii="Symbol" w:hAnsi="Symbol"/>
      </w:rPr>
    </w:lvl>
    <w:lvl w:ilvl="1" w:tplc="08947EAA">
      <w:start w:val="1"/>
      <w:numFmt w:val="bullet"/>
      <w:lvlText w:val=""/>
      <w:lvlJc w:val="left"/>
      <w:pPr>
        <w:ind w:left="1080" w:hanging="360"/>
      </w:pPr>
      <w:rPr>
        <w:rFonts w:ascii="Symbol" w:hAnsi="Symbol"/>
      </w:rPr>
    </w:lvl>
    <w:lvl w:ilvl="2" w:tplc="CF6A9C4A">
      <w:start w:val="1"/>
      <w:numFmt w:val="bullet"/>
      <w:lvlText w:val=""/>
      <w:lvlJc w:val="left"/>
      <w:pPr>
        <w:ind w:left="1080" w:hanging="360"/>
      </w:pPr>
      <w:rPr>
        <w:rFonts w:ascii="Symbol" w:hAnsi="Symbol"/>
      </w:rPr>
    </w:lvl>
    <w:lvl w:ilvl="3" w:tplc="2FBA5ABE">
      <w:start w:val="1"/>
      <w:numFmt w:val="bullet"/>
      <w:lvlText w:val=""/>
      <w:lvlJc w:val="left"/>
      <w:pPr>
        <w:ind w:left="1080" w:hanging="360"/>
      </w:pPr>
      <w:rPr>
        <w:rFonts w:ascii="Symbol" w:hAnsi="Symbol"/>
      </w:rPr>
    </w:lvl>
    <w:lvl w:ilvl="4" w:tplc="BC349C64">
      <w:start w:val="1"/>
      <w:numFmt w:val="bullet"/>
      <w:lvlText w:val=""/>
      <w:lvlJc w:val="left"/>
      <w:pPr>
        <w:ind w:left="1080" w:hanging="360"/>
      </w:pPr>
      <w:rPr>
        <w:rFonts w:ascii="Symbol" w:hAnsi="Symbol"/>
      </w:rPr>
    </w:lvl>
    <w:lvl w:ilvl="5" w:tplc="121621FC">
      <w:start w:val="1"/>
      <w:numFmt w:val="bullet"/>
      <w:lvlText w:val=""/>
      <w:lvlJc w:val="left"/>
      <w:pPr>
        <w:ind w:left="1080" w:hanging="360"/>
      </w:pPr>
      <w:rPr>
        <w:rFonts w:ascii="Symbol" w:hAnsi="Symbol"/>
      </w:rPr>
    </w:lvl>
    <w:lvl w:ilvl="6" w:tplc="4A3898C0">
      <w:start w:val="1"/>
      <w:numFmt w:val="bullet"/>
      <w:lvlText w:val=""/>
      <w:lvlJc w:val="left"/>
      <w:pPr>
        <w:ind w:left="1080" w:hanging="360"/>
      </w:pPr>
      <w:rPr>
        <w:rFonts w:ascii="Symbol" w:hAnsi="Symbol"/>
      </w:rPr>
    </w:lvl>
    <w:lvl w:ilvl="7" w:tplc="80E2F216">
      <w:start w:val="1"/>
      <w:numFmt w:val="bullet"/>
      <w:lvlText w:val=""/>
      <w:lvlJc w:val="left"/>
      <w:pPr>
        <w:ind w:left="1080" w:hanging="360"/>
      </w:pPr>
      <w:rPr>
        <w:rFonts w:ascii="Symbol" w:hAnsi="Symbol"/>
      </w:rPr>
    </w:lvl>
    <w:lvl w:ilvl="8" w:tplc="00B2FE52">
      <w:start w:val="1"/>
      <w:numFmt w:val="bullet"/>
      <w:lvlText w:val=""/>
      <w:lvlJc w:val="left"/>
      <w:pPr>
        <w:ind w:left="1080" w:hanging="360"/>
      </w:pPr>
      <w:rPr>
        <w:rFonts w:ascii="Symbol" w:hAnsi="Symbol"/>
      </w:rPr>
    </w:lvl>
  </w:abstractNum>
  <w:abstractNum w:abstractNumId="78"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D52973"/>
    <w:multiLevelType w:val="multilevel"/>
    <w:tmpl w:val="7D44FFE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0B26314"/>
    <w:multiLevelType w:val="hybridMultilevel"/>
    <w:tmpl w:val="80C225BA"/>
    <w:lvl w:ilvl="0" w:tplc="D0F0FC8C">
      <w:start w:val="1"/>
      <w:numFmt w:val="decimal"/>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0DA6701"/>
    <w:multiLevelType w:val="hybridMultilevel"/>
    <w:tmpl w:val="53402698"/>
    <w:lvl w:ilvl="0" w:tplc="125817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1832985"/>
    <w:multiLevelType w:val="hybridMultilevel"/>
    <w:tmpl w:val="A392C5FC"/>
    <w:lvl w:ilvl="0" w:tplc="ED02FC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4E75030"/>
    <w:multiLevelType w:val="hybridMultilevel"/>
    <w:tmpl w:val="80060E3A"/>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608000C"/>
    <w:multiLevelType w:val="hybridMultilevel"/>
    <w:tmpl w:val="2DE4F020"/>
    <w:lvl w:ilvl="0" w:tplc="9E9897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D511C04"/>
    <w:multiLevelType w:val="hybridMultilevel"/>
    <w:tmpl w:val="36780ACA"/>
    <w:lvl w:ilvl="0" w:tplc="47CEFB5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D6B71F0"/>
    <w:multiLevelType w:val="hybridMultilevel"/>
    <w:tmpl w:val="919E0636"/>
    <w:lvl w:ilvl="0" w:tplc="A3FEEC18">
      <w:start w:val="1"/>
      <w:numFmt w:val="decimal"/>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8"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7FF3D37"/>
    <w:multiLevelType w:val="hybridMultilevel"/>
    <w:tmpl w:val="87789A28"/>
    <w:lvl w:ilvl="0" w:tplc="8AB0FD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8F1128E"/>
    <w:multiLevelType w:val="hybridMultilevel"/>
    <w:tmpl w:val="E766C76A"/>
    <w:lvl w:ilvl="0" w:tplc="7E807EA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A876093"/>
    <w:multiLevelType w:val="hybridMultilevel"/>
    <w:tmpl w:val="552CD91A"/>
    <w:lvl w:ilvl="0" w:tplc="A064970A">
      <w:start w:val="1"/>
      <w:numFmt w:val="decimal"/>
      <w:pStyle w:val="Box4XBoxHeading"/>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DEB76DC"/>
    <w:multiLevelType w:val="hybridMultilevel"/>
    <w:tmpl w:val="0F905A06"/>
    <w:lvl w:ilvl="0" w:tplc="45764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6"/>
  </w:num>
  <w:num w:numId="2" w16cid:durableId="1949193816">
    <w:abstractNumId w:val="69"/>
  </w:num>
  <w:num w:numId="3" w16cid:durableId="956104870">
    <w:abstractNumId w:val="9"/>
  </w:num>
  <w:num w:numId="4" w16cid:durableId="897397806">
    <w:abstractNumId w:val="109"/>
  </w:num>
  <w:num w:numId="5" w16cid:durableId="1740471988">
    <w:abstractNumId w:val="0"/>
  </w:num>
  <w:num w:numId="6" w16cid:durableId="447357914">
    <w:abstractNumId w:val="89"/>
  </w:num>
  <w:num w:numId="7" w16cid:durableId="308101240">
    <w:abstractNumId w:val="57"/>
  </w:num>
  <w:num w:numId="8" w16cid:durableId="1964581645">
    <w:abstractNumId w:val="34"/>
  </w:num>
  <w:num w:numId="9" w16cid:durableId="1889143005">
    <w:abstractNumId w:val="51"/>
  </w:num>
  <w:num w:numId="10" w16cid:durableId="759909728">
    <w:abstractNumId w:val="50"/>
  </w:num>
  <w:num w:numId="11" w16cid:durableId="541406601">
    <w:abstractNumId w:val="72"/>
  </w:num>
  <w:num w:numId="12" w16cid:durableId="64500957">
    <w:abstractNumId w:val="38"/>
  </w:num>
  <w:num w:numId="13" w16cid:durableId="986471424">
    <w:abstractNumId w:val="5"/>
  </w:num>
  <w:num w:numId="14" w16cid:durableId="831718553">
    <w:abstractNumId w:val="4"/>
  </w:num>
  <w:num w:numId="15" w16cid:durableId="250163921">
    <w:abstractNumId w:val="54"/>
  </w:num>
  <w:num w:numId="16" w16cid:durableId="1280263244">
    <w:abstractNumId w:val="91"/>
  </w:num>
  <w:num w:numId="17" w16cid:durableId="1264799674">
    <w:abstractNumId w:val="27"/>
  </w:num>
  <w:num w:numId="18" w16cid:durableId="1335380034">
    <w:abstractNumId w:val="93"/>
  </w:num>
  <w:num w:numId="19" w16cid:durableId="1515462041">
    <w:abstractNumId w:val="62"/>
  </w:num>
  <w:num w:numId="20" w16cid:durableId="460198536">
    <w:abstractNumId w:val="61"/>
  </w:num>
  <w:num w:numId="21" w16cid:durableId="310141319">
    <w:abstractNumId w:val="107"/>
  </w:num>
  <w:num w:numId="22" w16cid:durableId="1446001484">
    <w:abstractNumId w:val="65"/>
  </w:num>
  <w:num w:numId="23" w16cid:durableId="156504245">
    <w:abstractNumId w:val="95"/>
  </w:num>
  <w:num w:numId="24" w16cid:durableId="800269870">
    <w:abstractNumId w:val="2"/>
  </w:num>
  <w:num w:numId="25" w16cid:durableId="1573469470">
    <w:abstractNumId w:val="58"/>
  </w:num>
  <w:num w:numId="26" w16cid:durableId="1907297182">
    <w:abstractNumId w:val="46"/>
  </w:num>
  <w:num w:numId="27" w16cid:durableId="29495050">
    <w:abstractNumId w:val="85"/>
  </w:num>
  <w:num w:numId="28" w16cid:durableId="738211744">
    <w:abstractNumId w:val="49"/>
  </w:num>
  <w:num w:numId="29" w16cid:durableId="939028478">
    <w:abstractNumId w:val="35"/>
  </w:num>
  <w:num w:numId="30" w16cid:durableId="1175802337">
    <w:abstractNumId w:val="97"/>
  </w:num>
  <w:num w:numId="31" w16cid:durableId="1951932687">
    <w:abstractNumId w:val="40"/>
  </w:num>
  <w:num w:numId="32" w16cid:durableId="1754667699">
    <w:abstractNumId w:val="67"/>
  </w:num>
  <w:num w:numId="33" w16cid:durableId="2003042961">
    <w:abstractNumId w:val="56"/>
  </w:num>
  <w:num w:numId="34" w16cid:durableId="717364073">
    <w:abstractNumId w:val="106"/>
  </w:num>
  <w:num w:numId="35" w16cid:durableId="802307058">
    <w:abstractNumId w:val="76"/>
  </w:num>
  <w:num w:numId="36" w16cid:durableId="1763994299">
    <w:abstractNumId w:val="3"/>
  </w:num>
  <w:num w:numId="37" w16cid:durableId="1269124476">
    <w:abstractNumId w:val="44"/>
  </w:num>
  <w:num w:numId="38" w16cid:durableId="1504128885">
    <w:abstractNumId w:val="59"/>
  </w:num>
  <w:num w:numId="39" w16cid:durableId="1438674186">
    <w:abstractNumId w:val="29"/>
  </w:num>
  <w:num w:numId="40" w16cid:durableId="1828402965">
    <w:abstractNumId w:val="23"/>
  </w:num>
  <w:num w:numId="41" w16cid:durableId="1696883354">
    <w:abstractNumId w:val="13"/>
  </w:num>
  <w:num w:numId="42" w16cid:durableId="153646689">
    <w:abstractNumId w:val="68"/>
  </w:num>
  <w:num w:numId="43" w16cid:durableId="1209029244">
    <w:abstractNumId w:val="100"/>
  </w:num>
  <w:num w:numId="44" w16cid:durableId="874150031">
    <w:abstractNumId w:val="112"/>
  </w:num>
  <w:num w:numId="45" w16cid:durableId="1216965701">
    <w:abstractNumId w:val="70"/>
  </w:num>
  <w:num w:numId="46" w16cid:durableId="1857576384">
    <w:abstractNumId w:val="73"/>
  </w:num>
  <w:num w:numId="47" w16cid:durableId="1746950292">
    <w:abstractNumId w:val="18"/>
  </w:num>
  <w:num w:numId="48" w16cid:durableId="1713114471">
    <w:abstractNumId w:val="108"/>
  </w:num>
  <w:num w:numId="49" w16cid:durableId="1471633870">
    <w:abstractNumId w:val="103"/>
  </w:num>
  <w:num w:numId="50" w16cid:durableId="7678521">
    <w:abstractNumId w:val="78"/>
  </w:num>
  <w:num w:numId="51" w16cid:durableId="354116018">
    <w:abstractNumId w:val="17"/>
  </w:num>
  <w:num w:numId="52" w16cid:durableId="668408429">
    <w:abstractNumId w:val="32"/>
  </w:num>
  <w:num w:numId="53" w16cid:durableId="1979147873">
    <w:abstractNumId w:val="52"/>
  </w:num>
  <w:num w:numId="54" w16cid:durableId="1898860465">
    <w:abstractNumId w:val="83"/>
  </w:num>
  <w:num w:numId="55" w16cid:durableId="388966665">
    <w:abstractNumId w:val="87"/>
  </w:num>
  <w:num w:numId="56" w16cid:durableId="1801411147">
    <w:abstractNumId w:val="105"/>
  </w:num>
  <w:num w:numId="57" w16cid:durableId="771822169">
    <w:abstractNumId w:val="37"/>
  </w:num>
  <w:num w:numId="58" w16cid:durableId="294414689">
    <w:abstractNumId w:val="30"/>
  </w:num>
  <w:num w:numId="59" w16cid:durableId="1766654330">
    <w:abstractNumId w:val="24"/>
  </w:num>
  <w:num w:numId="60" w16cid:durableId="1457289010">
    <w:abstractNumId w:val="98"/>
  </w:num>
  <w:num w:numId="61" w16cid:durableId="2113085398">
    <w:abstractNumId w:val="8"/>
  </w:num>
  <w:num w:numId="62" w16cid:durableId="517353182">
    <w:abstractNumId w:val="110"/>
  </w:num>
  <w:num w:numId="63" w16cid:durableId="1128595735">
    <w:abstractNumId w:val="90"/>
  </w:num>
  <w:num w:numId="64" w16cid:durableId="2031759502">
    <w:abstractNumId w:val="53"/>
  </w:num>
  <w:num w:numId="65" w16cid:durableId="50691255">
    <w:abstractNumId w:val="80"/>
  </w:num>
  <w:num w:numId="66" w16cid:durableId="1580476983">
    <w:abstractNumId w:val="86"/>
  </w:num>
  <w:num w:numId="67" w16cid:durableId="411896188">
    <w:abstractNumId w:val="64"/>
  </w:num>
  <w:num w:numId="68" w16cid:durableId="37629349">
    <w:abstractNumId w:val="101"/>
  </w:num>
  <w:num w:numId="69" w16cid:durableId="1499149501">
    <w:abstractNumId w:val="39"/>
  </w:num>
  <w:num w:numId="70" w16cid:durableId="1879664790">
    <w:abstractNumId w:val="16"/>
  </w:num>
  <w:num w:numId="71" w16cid:durableId="316308033">
    <w:abstractNumId w:val="31"/>
  </w:num>
  <w:num w:numId="72" w16cid:durableId="368266260">
    <w:abstractNumId w:val="99"/>
  </w:num>
  <w:num w:numId="73" w16cid:durableId="1772630405">
    <w:abstractNumId w:val="25"/>
  </w:num>
  <w:num w:numId="74" w16cid:durableId="2029603624">
    <w:abstractNumId w:val="41"/>
  </w:num>
  <w:num w:numId="75" w16cid:durableId="1918438207">
    <w:abstractNumId w:val="6"/>
  </w:num>
  <w:num w:numId="76" w16cid:durableId="372924803">
    <w:abstractNumId w:val="10"/>
  </w:num>
  <w:num w:numId="77" w16cid:durableId="816142411">
    <w:abstractNumId w:val="111"/>
  </w:num>
  <w:num w:numId="78" w16cid:durableId="1832601261">
    <w:abstractNumId w:val="20"/>
  </w:num>
  <w:num w:numId="79" w16cid:durableId="475612108">
    <w:abstractNumId w:val="96"/>
  </w:num>
  <w:num w:numId="80" w16cid:durableId="566191989">
    <w:abstractNumId w:val="84"/>
  </w:num>
  <w:num w:numId="81" w16cid:durableId="1427077401">
    <w:abstractNumId w:val="104"/>
  </w:num>
  <w:num w:numId="82" w16cid:durableId="1076173511">
    <w:abstractNumId w:val="92"/>
  </w:num>
  <w:num w:numId="83" w16cid:durableId="234436449">
    <w:abstractNumId w:val="28"/>
  </w:num>
  <w:num w:numId="84" w16cid:durableId="811017934">
    <w:abstractNumId w:val="92"/>
  </w:num>
  <w:num w:numId="85" w16cid:durableId="513307713">
    <w:abstractNumId w:val="15"/>
  </w:num>
  <w:num w:numId="86" w16cid:durableId="1107580471">
    <w:abstractNumId w:val="81"/>
  </w:num>
  <w:num w:numId="87" w16cid:durableId="1274703388">
    <w:abstractNumId w:val="1"/>
  </w:num>
  <w:num w:numId="88" w16cid:durableId="127012673">
    <w:abstractNumId w:val="42"/>
  </w:num>
  <w:num w:numId="89" w16cid:durableId="1835992789">
    <w:abstractNumId w:val="45"/>
  </w:num>
  <w:num w:numId="90" w16cid:durableId="1090782291">
    <w:abstractNumId w:val="75"/>
  </w:num>
  <w:num w:numId="91" w16cid:durableId="578297537">
    <w:abstractNumId w:val="88"/>
  </w:num>
  <w:num w:numId="92" w16cid:durableId="168300102">
    <w:abstractNumId w:val="66"/>
  </w:num>
  <w:num w:numId="93" w16cid:durableId="1033001274">
    <w:abstractNumId w:val="36"/>
  </w:num>
  <w:num w:numId="94" w16cid:durableId="1036543609">
    <w:abstractNumId w:val="47"/>
  </w:num>
  <w:num w:numId="95" w16cid:durableId="1809319256">
    <w:abstractNumId w:val="12"/>
  </w:num>
  <w:num w:numId="96" w16cid:durableId="714282453">
    <w:abstractNumId w:val="22"/>
  </w:num>
  <w:num w:numId="97" w16cid:durableId="875586698">
    <w:abstractNumId w:val="33"/>
  </w:num>
  <w:num w:numId="98" w16cid:durableId="1081869245">
    <w:abstractNumId w:val="102"/>
  </w:num>
  <w:num w:numId="99" w16cid:durableId="342557644">
    <w:abstractNumId w:val="21"/>
  </w:num>
  <w:num w:numId="100" w16cid:durableId="1389067269">
    <w:abstractNumId w:val="94"/>
  </w:num>
  <w:num w:numId="101" w16cid:durableId="279647122">
    <w:abstractNumId w:val="82"/>
  </w:num>
  <w:num w:numId="102" w16cid:durableId="228855867">
    <w:abstractNumId w:val="79"/>
  </w:num>
  <w:num w:numId="103" w16cid:durableId="1369063411">
    <w:abstractNumId w:val="19"/>
  </w:num>
  <w:num w:numId="104" w16cid:durableId="258219843">
    <w:abstractNumId w:val="60"/>
  </w:num>
  <w:num w:numId="105" w16cid:durableId="308637720">
    <w:abstractNumId w:val="63"/>
  </w:num>
  <w:num w:numId="106" w16cid:durableId="359555606">
    <w:abstractNumId w:val="14"/>
  </w:num>
  <w:num w:numId="107" w16cid:durableId="671570999">
    <w:abstractNumId w:val="74"/>
  </w:num>
  <w:num w:numId="108" w16cid:durableId="1671055914">
    <w:abstractNumId w:val="43"/>
  </w:num>
  <w:num w:numId="109" w16cid:durableId="1677263915">
    <w:abstractNumId w:val="77"/>
  </w:num>
  <w:num w:numId="110" w16cid:durableId="477575051">
    <w:abstractNumId w:val="55"/>
  </w:num>
  <w:num w:numId="111" w16cid:durableId="157888380">
    <w:abstractNumId w:val="48"/>
  </w:num>
  <w:num w:numId="112" w16cid:durableId="1950041095">
    <w:abstractNumId w:val="11"/>
  </w:num>
  <w:num w:numId="113" w16cid:durableId="1200585925">
    <w:abstractNumId w:val="71"/>
  </w:num>
  <w:num w:numId="114" w16cid:durableId="1229343441">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8E"/>
    <w:rsid w:val="00000BE8"/>
    <w:rsid w:val="00000DDA"/>
    <w:rsid w:val="00001711"/>
    <w:rsid w:val="000025C9"/>
    <w:rsid w:val="00003099"/>
    <w:rsid w:val="00003222"/>
    <w:rsid w:val="0000341E"/>
    <w:rsid w:val="00003A62"/>
    <w:rsid w:val="00004468"/>
    <w:rsid w:val="000047C2"/>
    <w:rsid w:val="00004D50"/>
    <w:rsid w:val="00004F59"/>
    <w:rsid w:val="00004FF3"/>
    <w:rsid w:val="00006137"/>
    <w:rsid w:val="00006594"/>
    <w:rsid w:val="00006EFB"/>
    <w:rsid w:val="00007C16"/>
    <w:rsid w:val="000100DA"/>
    <w:rsid w:val="0001029A"/>
    <w:rsid w:val="00010588"/>
    <w:rsid w:val="0001080D"/>
    <w:rsid w:val="00011745"/>
    <w:rsid w:val="00011BAA"/>
    <w:rsid w:val="0001222A"/>
    <w:rsid w:val="00014081"/>
    <w:rsid w:val="0001432D"/>
    <w:rsid w:val="0001473E"/>
    <w:rsid w:val="00014B21"/>
    <w:rsid w:val="00014C40"/>
    <w:rsid w:val="00014D7B"/>
    <w:rsid w:val="00014E1A"/>
    <w:rsid w:val="00014ED1"/>
    <w:rsid w:val="000166C1"/>
    <w:rsid w:val="0001683B"/>
    <w:rsid w:val="00016AE9"/>
    <w:rsid w:val="0002016B"/>
    <w:rsid w:val="00020DE7"/>
    <w:rsid w:val="00020E12"/>
    <w:rsid w:val="000217CC"/>
    <w:rsid w:val="00022EA8"/>
    <w:rsid w:val="000239DC"/>
    <w:rsid w:val="0002450A"/>
    <w:rsid w:val="000247D7"/>
    <w:rsid w:val="000251F5"/>
    <w:rsid w:val="0002597E"/>
    <w:rsid w:val="00025EB7"/>
    <w:rsid w:val="0002654E"/>
    <w:rsid w:val="00026798"/>
    <w:rsid w:val="00026BBD"/>
    <w:rsid w:val="00026DBA"/>
    <w:rsid w:val="00026F56"/>
    <w:rsid w:val="0002728A"/>
    <w:rsid w:val="000311DB"/>
    <w:rsid w:val="0003135A"/>
    <w:rsid w:val="0003176C"/>
    <w:rsid w:val="0003187A"/>
    <w:rsid w:val="00031B37"/>
    <w:rsid w:val="0003247C"/>
    <w:rsid w:val="0003250F"/>
    <w:rsid w:val="00032A2A"/>
    <w:rsid w:val="00033AB9"/>
    <w:rsid w:val="000358BD"/>
    <w:rsid w:val="000363A1"/>
    <w:rsid w:val="00036747"/>
    <w:rsid w:val="000370ED"/>
    <w:rsid w:val="000372DF"/>
    <w:rsid w:val="00041020"/>
    <w:rsid w:val="000415BE"/>
    <w:rsid w:val="000416F3"/>
    <w:rsid w:val="00042C50"/>
    <w:rsid w:val="00043438"/>
    <w:rsid w:val="00043858"/>
    <w:rsid w:val="00043E5F"/>
    <w:rsid w:val="00044795"/>
    <w:rsid w:val="000447DE"/>
    <w:rsid w:val="00044AFD"/>
    <w:rsid w:val="00044B0C"/>
    <w:rsid w:val="000454DC"/>
    <w:rsid w:val="00045FC2"/>
    <w:rsid w:val="00046076"/>
    <w:rsid w:val="000473C9"/>
    <w:rsid w:val="000503D4"/>
    <w:rsid w:val="00051406"/>
    <w:rsid w:val="0005177D"/>
    <w:rsid w:val="0005229E"/>
    <w:rsid w:val="000523D2"/>
    <w:rsid w:val="0005281A"/>
    <w:rsid w:val="0005355F"/>
    <w:rsid w:val="00053ADF"/>
    <w:rsid w:val="00053FE4"/>
    <w:rsid w:val="00054D5B"/>
    <w:rsid w:val="000550D2"/>
    <w:rsid w:val="00055144"/>
    <w:rsid w:val="00055A25"/>
    <w:rsid w:val="000566C7"/>
    <w:rsid w:val="00056927"/>
    <w:rsid w:val="00056A8B"/>
    <w:rsid w:val="00057BAE"/>
    <w:rsid w:val="0006047A"/>
    <w:rsid w:val="000606EE"/>
    <w:rsid w:val="00060F8C"/>
    <w:rsid w:val="00061A95"/>
    <w:rsid w:val="00061F51"/>
    <w:rsid w:val="000622A6"/>
    <w:rsid w:val="00062A33"/>
    <w:rsid w:val="000631B8"/>
    <w:rsid w:val="000634FA"/>
    <w:rsid w:val="00063866"/>
    <w:rsid w:val="000639EF"/>
    <w:rsid w:val="00063F96"/>
    <w:rsid w:val="000640D1"/>
    <w:rsid w:val="00065C41"/>
    <w:rsid w:val="00065C5E"/>
    <w:rsid w:val="00065DE1"/>
    <w:rsid w:val="00065EF8"/>
    <w:rsid w:val="000672AC"/>
    <w:rsid w:val="00067A3B"/>
    <w:rsid w:val="0007009C"/>
    <w:rsid w:val="000704DC"/>
    <w:rsid w:val="000705FD"/>
    <w:rsid w:val="00070EA9"/>
    <w:rsid w:val="000714C2"/>
    <w:rsid w:val="00071675"/>
    <w:rsid w:val="000726A3"/>
    <w:rsid w:val="0007307A"/>
    <w:rsid w:val="00075081"/>
    <w:rsid w:val="000762D5"/>
    <w:rsid w:val="000768F9"/>
    <w:rsid w:val="00077E7C"/>
    <w:rsid w:val="00077F31"/>
    <w:rsid w:val="000807F4"/>
    <w:rsid w:val="00080A15"/>
    <w:rsid w:val="00081D3D"/>
    <w:rsid w:val="00083244"/>
    <w:rsid w:val="00083AD8"/>
    <w:rsid w:val="00083B58"/>
    <w:rsid w:val="00083BA4"/>
    <w:rsid w:val="00083C41"/>
    <w:rsid w:val="00085298"/>
    <w:rsid w:val="0008533B"/>
    <w:rsid w:val="00085567"/>
    <w:rsid w:val="000859DF"/>
    <w:rsid w:val="00085FAD"/>
    <w:rsid w:val="00086E18"/>
    <w:rsid w:val="00091262"/>
    <w:rsid w:val="0009151E"/>
    <w:rsid w:val="00091D2F"/>
    <w:rsid w:val="0009215C"/>
    <w:rsid w:val="000926FE"/>
    <w:rsid w:val="00093595"/>
    <w:rsid w:val="00093720"/>
    <w:rsid w:val="0009384E"/>
    <w:rsid w:val="000938FD"/>
    <w:rsid w:val="00094380"/>
    <w:rsid w:val="000950BE"/>
    <w:rsid w:val="00096013"/>
    <w:rsid w:val="00097906"/>
    <w:rsid w:val="00097D8D"/>
    <w:rsid w:val="000A0296"/>
    <w:rsid w:val="000A02CA"/>
    <w:rsid w:val="000A0C41"/>
    <w:rsid w:val="000A1E24"/>
    <w:rsid w:val="000A2D24"/>
    <w:rsid w:val="000A5634"/>
    <w:rsid w:val="000A7186"/>
    <w:rsid w:val="000A7A77"/>
    <w:rsid w:val="000A7AE6"/>
    <w:rsid w:val="000B0081"/>
    <w:rsid w:val="000B0271"/>
    <w:rsid w:val="000B1C34"/>
    <w:rsid w:val="000B223D"/>
    <w:rsid w:val="000B32CF"/>
    <w:rsid w:val="000B393E"/>
    <w:rsid w:val="000B3EB5"/>
    <w:rsid w:val="000B4769"/>
    <w:rsid w:val="000B5751"/>
    <w:rsid w:val="000B59D6"/>
    <w:rsid w:val="000B623D"/>
    <w:rsid w:val="000B63B2"/>
    <w:rsid w:val="000B6ED7"/>
    <w:rsid w:val="000B7029"/>
    <w:rsid w:val="000B7896"/>
    <w:rsid w:val="000C0CD9"/>
    <w:rsid w:val="000C152E"/>
    <w:rsid w:val="000C2C29"/>
    <w:rsid w:val="000C2E6A"/>
    <w:rsid w:val="000C3676"/>
    <w:rsid w:val="000C404A"/>
    <w:rsid w:val="000C4215"/>
    <w:rsid w:val="000C4294"/>
    <w:rsid w:val="000C429D"/>
    <w:rsid w:val="000C502F"/>
    <w:rsid w:val="000C5D36"/>
    <w:rsid w:val="000C5F24"/>
    <w:rsid w:val="000C6443"/>
    <w:rsid w:val="000C67BC"/>
    <w:rsid w:val="000D02DC"/>
    <w:rsid w:val="000D030D"/>
    <w:rsid w:val="000D0738"/>
    <w:rsid w:val="000D0B5E"/>
    <w:rsid w:val="000D177B"/>
    <w:rsid w:val="000D2429"/>
    <w:rsid w:val="000D4A05"/>
    <w:rsid w:val="000D4D1F"/>
    <w:rsid w:val="000D54EA"/>
    <w:rsid w:val="000D5B5C"/>
    <w:rsid w:val="000D6C96"/>
    <w:rsid w:val="000E00F7"/>
    <w:rsid w:val="000E0590"/>
    <w:rsid w:val="000E063F"/>
    <w:rsid w:val="000E3298"/>
    <w:rsid w:val="000E3608"/>
    <w:rsid w:val="000E51E8"/>
    <w:rsid w:val="000E5BB8"/>
    <w:rsid w:val="000E6D2B"/>
    <w:rsid w:val="000E7A67"/>
    <w:rsid w:val="000F08BD"/>
    <w:rsid w:val="000F1301"/>
    <w:rsid w:val="000F14E7"/>
    <w:rsid w:val="000F1517"/>
    <w:rsid w:val="000F1FF9"/>
    <w:rsid w:val="000F2118"/>
    <w:rsid w:val="000F2F12"/>
    <w:rsid w:val="000F38C1"/>
    <w:rsid w:val="000F3DBE"/>
    <w:rsid w:val="000F4715"/>
    <w:rsid w:val="000F48BA"/>
    <w:rsid w:val="000F4DBC"/>
    <w:rsid w:val="000F4F73"/>
    <w:rsid w:val="000F521D"/>
    <w:rsid w:val="000F78F5"/>
    <w:rsid w:val="0010145F"/>
    <w:rsid w:val="00101747"/>
    <w:rsid w:val="00101A2F"/>
    <w:rsid w:val="00102182"/>
    <w:rsid w:val="00102829"/>
    <w:rsid w:val="00102DBC"/>
    <w:rsid w:val="00102EAC"/>
    <w:rsid w:val="00103886"/>
    <w:rsid w:val="00103E47"/>
    <w:rsid w:val="00103EE7"/>
    <w:rsid w:val="00105D21"/>
    <w:rsid w:val="00105FFC"/>
    <w:rsid w:val="00106075"/>
    <w:rsid w:val="00106BC2"/>
    <w:rsid w:val="001075FB"/>
    <w:rsid w:val="00112888"/>
    <w:rsid w:val="00112C20"/>
    <w:rsid w:val="00113254"/>
    <w:rsid w:val="001133CF"/>
    <w:rsid w:val="00114212"/>
    <w:rsid w:val="001143C2"/>
    <w:rsid w:val="001146CA"/>
    <w:rsid w:val="00114959"/>
    <w:rsid w:val="0011609B"/>
    <w:rsid w:val="00116D1B"/>
    <w:rsid w:val="00116D98"/>
    <w:rsid w:val="0011723E"/>
    <w:rsid w:val="0011762B"/>
    <w:rsid w:val="001179FB"/>
    <w:rsid w:val="00117CD9"/>
    <w:rsid w:val="0012016C"/>
    <w:rsid w:val="001204C3"/>
    <w:rsid w:val="00120CD9"/>
    <w:rsid w:val="00121940"/>
    <w:rsid w:val="00121B27"/>
    <w:rsid w:val="001239D5"/>
    <w:rsid w:val="001240B9"/>
    <w:rsid w:val="00124751"/>
    <w:rsid w:val="001261ED"/>
    <w:rsid w:val="00126AF4"/>
    <w:rsid w:val="00127066"/>
    <w:rsid w:val="00127305"/>
    <w:rsid w:val="001278F1"/>
    <w:rsid w:val="00127DB8"/>
    <w:rsid w:val="00127DCE"/>
    <w:rsid w:val="00130517"/>
    <w:rsid w:val="00130B42"/>
    <w:rsid w:val="00131057"/>
    <w:rsid w:val="001314CE"/>
    <w:rsid w:val="001323E0"/>
    <w:rsid w:val="00133AB3"/>
    <w:rsid w:val="00133BA4"/>
    <w:rsid w:val="00133F10"/>
    <w:rsid w:val="00133F60"/>
    <w:rsid w:val="001352DE"/>
    <w:rsid w:val="0013702F"/>
    <w:rsid w:val="00140B6E"/>
    <w:rsid w:val="00140F64"/>
    <w:rsid w:val="00143C79"/>
    <w:rsid w:val="0014616C"/>
    <w:rsid w:val="00146455"/>
    <w:rsid w:val="00146F43"/>
    <w:rsid w:val="001476EC"/>
    <w:rsid w:val="00151042"/>
    <w:rsid w:val="00151966"/>
    <w:rsid w:val="00152133"/>
    <w:rsid w:val="0015265C"/>
    <w:rsid w:val="00152ACA"/>
    <w:rsid w:val="001532EC"/>
    <w:rsid w:val="00153A1E"/>
    <w:rsid w:val="00153F88"/>
    <w:rsid w:val="00154A09"/>
    <w:rsid w:val="00154AE8"/>
    <w:rsid w:val="00154EC8"/>
    <w:rsid w:val="001550E0"/>
    <w:rsid w:val="0015573D"/>
    <w:rsid w:val="0015577E"/>
    <w:rsid w:val="0015653E"/>
    <w:rsid w:val="00156ABF"/>
    <w:rsid w:val="00161065"/>
    <w:rsid w:val="00161259"/>
    <w:rsid w:val="00161E3A"/>
    <w:rsid w:val="00162084"/>
    <w:rsid w:val="00162FFA"/>
    <w:rsid w:val="0016309D"/>
    <w:rsid w:val="001631ED"/>
    <w:rsid w:val="00163315"/>
    <w:rsid w:val="0016359D"/>
    <w:rsid w:val="00163924"/>
    <w:rsid w:val="00163C89"/>
    <w:rsid w:val="0016413C"/>
    <w:rsid w:val="00164395"/>
    <w:rsid w:val="00164CF7"/>
    <w:rsid w:val="00165E0B"/>
    <w:rsid w:val="00165E4A"/>
    <w:rsid w:val="00166CCC"/>
    <w:rsid w:val="00167035"/>
    <w:rsid w:val="001671D7"/>
    <w:rsid w:val="001676DC"/>
    <w:rsid w:val="00167905"/>
    <w:rsid w:val="00167F84"/>
    <w:rsid w:val="001701CB"/>
    <w:rsid w:val="001709EA"/>
    <w:rsid w:val="00170FCD"/>
    <w:rsid w:val="00171C63"/>
    <w:rsid w:val="00172D9B"/>
    <w:rsid w:val="00173ED3"/>
    <w:rsid w:val="0017427E"/>
    <w:rsid w:val="0017618F"/>
    <w:rsid w:val="0017691C"/>
    <w:rsid w:val="00176C3C"/>
    <w:rsid w:val="0017711E"/>
    <w:rsid w:val="001772F0"/>
    <w:rsid w:val="00177B14"/>
    <w:rsid w:val="00181587"/>
    <w:rsid w:val="00181590"/>
    <w:rsid w:val="001825D5"/>
    <w:rsid w:val="00182857"/>
    <w:rsid w:val="00182AB1"/>
    <w:rsid w:val="00182DB5"/>
    <w:rsid w:val="00182ED6"/>
    <w:rsid w:val="001849E5"/>
    <w:rsid w:val="001849FD"/>
    <w:rsid w:val="00184CC9"/>
    <w:rsid w:val="00184E06"/>
    <w:rsid w:val="0018572F"/>
    <w:rsid w:val="00185BC3"/>
    <w:rsid w:val="001862FC"/>
    <w:rsid w:val="00186855"/>
    <w:rsid w:val="00186E0A"/>
    <w:rsid w:val="001871BD"/>
    <w:rsid w:val="001872B0"/>
    <w:rsid w:val="00190614"/>
    <w:rsid w:val="00190BA4"/>
    <w:rsid w:val="00191BD5"/>
    <w:rsid w:val="00191E27"/>
    <w:rsid w:val="001925B9"/>
    <w:rsid w:val="00195AC9"/>
    <w:rsid w:val="00195E3B"/>
    <w:rsid w:val="00196784"/>
    <w:rsid w:val="00196A06"/>
    <w:rsid w:val="00196B5E"/>
    <w:rsid w:val="00196F42"/>
    <w:rsid w:val="001975A7"/>
    <w:rsid w:val="00197B8C"/>
    <w:rsid w:val="00197E9D"/>
    <w:rsid w:val="001A03B5"/>
    <w:rsid w:val="001A03EB"/>
    <w:rsid w:val="001A0B1A"/>
    <w:rsid w:val="001A10B9"/>
    <w:rsid w:val="001A17DF"/>
    <w:rsid w:val="001A1A28"/>
    <w:rsid w:val="001A372B"/>
    <w:rsid w:val="001A5746"/>
    <w:rsid w:val="001A5DE7"/>
    <w:rsid w:val="001A65BF"/>
    <w:rsid w:val="001A6CDC"/>
    <w:rsid w:val="001A7285"/>
    <w:rsid w:val="001A7358"/>
    <w:rsid w:val="001A73B7"/>
    <w:rsid w:val="001A7827"/>
    <w:rsid w:val="001A786C"/>
    <w:rsid w:val="001A7A05"/>
    <w:rsid w:val="001B0E71"/>
    <w:rsid w:val="001B17BB"/>
    <w:rsid w:val="001B226C"/>
    <w:rsid w:val="001B268E"/>
    <w:rsid w:val="001B3C2D"/>
    <w:rsid w:val="001B3D60"/>
    <w:rsid w:val="001B42E7"/>
    <w:rsid w:val="001B4FFC"/>
    <w:rsid w:val="001B528E"/>
    <w:rsid w:val="001B52CF"/>
    <w:rsid w:val="001B57EA"/>
    <w:rsid w:val="001B702B"/>
    <w:rsid w:val="001C1317"/>
    <w:rsid w:val="001C22FB"/>
    <w:rsid w:val="001C2A59"/>
    <w:rsid w:val="001C3BD7"/>
    <w:rsid w:val="001C3D9E"/>
    <w:rsid w:val="001C5828"/>
    <w:rsid w:val="001C6181"/>
    <w:rsid w:val="001C7532"/>
    <w:rsid w:val="001D1D93"/>
    <w:rsid w:val="001D21A9"/>
    <w:rsid w:val="001D231C"/>
    <w:rsid w:val="001D3A27"/>
    <w:rsid w:val="001D49F7"/>
    <w:rsid w:val="001D4D12"/>
    <w:rsid w:val="001D5850"/>
    <w:rsid w:val="001D697C"/>
    <w:rsid w:val="001D6D3F"/>
    <w:rsid w:val="001D6D48"/>
    <w:rsid w:val="001D702E"/>
    <w:rsid w:val="001D75C8"/>
    <w:rsid w:val="001D7BB9"/>
    <w:rsid w:val="001D7DC6"/>
    <w:rsid w:val="001D7E86"/>
    <w:rsid w:val="001E10B9"/>
    <w:rsid w:val="001E180E"/>
    <w:rsid w:val="001E19AA"/>
    <w:rsid w:val="001E31A7"/>
    <w:rsid w:val="001E337F"/>
    <w:rsid w:val="001E4F3D"/>
    <w:rsid w:val="001E4FF5"/>
    <w:rsid w:val="001E58AB"/>
    <w:rsid w:val="001E7E0E"/>
    <w:rsid w:val="001F02CB"/>
    <w:rsid w:val="001F0CA5"/>
    <w:rsid w:val="001F19C6"/>
    <w:rsid w:val="001F1D19"/>
    <w:rsid w:val="001F29BA"/>
    <w:rsid w:val="001F2D9B"/>
    <w:rsid w:val="001F354A"/>
    <w:rsid w:val="001F3DC5"/>
    <w:rsid w:val="001F41E5"/>
    <w:rsid w:val="001F52A4"/>
    <w:rsid w:val="001F5E0E"/>
    <w:rsid w:val="001F5FB7"/>
    <w:rsid w:val="001F61E0"/>
    <w:rsid w:val="001F6C5D"/>
    <w:rsid w:val="001F741B"/>
    <w:rsid w:val="001F7A50"/>
    <w:rsid w:val="00200534"/>
    <w:rsid w:val="00201AF2"/>
    <w:rsid w:val="00201E41"/>
    <w:rsid w:val="00202605"/>
    <w:rsid w:val="002036FE"/>
    <w:rsid w:val="00204B9E"/>
    <w:rsid w:val="00205799"/>
    <w:rsid w:val="00206325"/>
    <w:rsid w:val="00206924"/>
    <w:rsid w:val="00207DC4"/>
    <w:rsid w:val="00210841"/>
    <w:rsid w:val="0021096E"/>
    <w:rsid w:val="00210C46"/>
    <w:rsid w:val="00210FE5"/>
    <w:rsid w:val="00211592"/>
    <w:rsid w:val="00214134"/>
    <w:rsid w:val="00214B53"/>
    <w:rsid w:val="00214E0B"/>
    <w:rsid w:val="00216251"/>
    <w:rsid w:val="00216482"/>
    <w:rsid w:val="00216DD6"/>
    <w:rsid w:val="00217935"/>
    <w:rsid w:val="002212BE"/>
    <w:rsid w:val="002216DB"/>
    <w:rsid w:val="00221ADB"/>
    <w:rsid w:val="00221B80"/>
    <w:rsid w:val="00222423"/>
    <w:rsid w:val="0022308F"/>
    <w:rsid w:val="002230FE"/>
    <w:rsid w:val="00224116"/>
    <w:rsid w:val="002265FC"/>
    <w:rsid w:val="002267C5"/>
    <w:rsid w:val="00227A86"/>
    <w:rsid w:val="00230100"/>
    <w:rsid w:val="00230230"/>
    <w:rsid w:val="00230299"/>
    <w:rsid w:val="00230808"/>
    <w:rsid w:val="00230B0F"/>
    <w:rsid w:val="0023113A"/>
    <w:rsid w:val="00231A17"/>
    <w:rsid w:val="00231A3E"/>
    <w:rsid w:val="00232458"/>
    <w:rsid w:val="002324FA"/>
    <w:rsid w:val="00234BA5"/>
    <w:rsid w:val="002358DC"/>
    <w:rsid w:val="002400D4"/>
    <w:rsid w:val="002402B5"/>
    <w:rsid w:val="002408C2"/>
    <w:rsid w:val="0024106E"/>
    <w:rsid w:val="0024116B"/>
    <w:rsid w:val="002437B4"/>
    <w:rsid w:val="00243D4A"/>
    <w:rsid w:val="00243DD9"/>
    <w:rsid w:val="00244B5C"/>
    <w:rsid w:val="00244DCF"/>
    <w:rsid w:val="00246590"/>
    <w:rsid w:val="00247000"/>
    <w:rsid w:val="0024726C"/>
    <w:rsid w:val="00247754"/>
    <w:rsid w:val="002501B7"/>
    <w:rsid w:val="0025076D"/>
    <w:rsid w:val="00250D0A"/>
    <w:rsid w:val="00251C2C"/>
    <w:rsid w:val="0025217E"/>
    <w:rsid w:val="00252369"/>
    <w:rsid w:val="0025386E"/>
    <w:rsid w:val="00253A93"/>
    <w:rsid w:val="002556FC"/>
    <w:rsid w:val="002568AC"/>
    <w:rsid w:val="002600C3"/>
    <w:rsid w:val="00260DA7"/>
    <w:rsid w:val="0026114E"/>
    <w:rsid w:val="0026201F"/>
    <w:rsid w:val="002620FA"/>
    <w:rsid w:val="002621EC"/>
    <w:rsid w:val="0026253C"/>
    <w:rsid w:val="00262768"/>
    <w:rsid w:val="0026361C"/>
    <w:rsid w:val="00263C8B"/>
    <w:rsid w:val="00263DA6"/>
    <w:rsid w:val="00264787"/>
    <w:rsid w:val="002654E2"/>
    <w:rsid w:val="00265A68"/>
    <w:rsid w:val="00265F67"/>
    <w:rsid w:val="00266D28"/>
    <w:rsid w:val="00267B9A"/>
    <w:rsid w:val="0027075E"/>
    <w:rsid w:val="0027079A"/>
    <w:rsid w:val="00271C06"/>
    <w:rsid w:val="0027282B"/>
    <w:rsid w:val="002741A5"/>
    <w:rsid w:val="00274626"/>
    <w:rsid w:val="00274D08"/>
    <w:rsid w:val="00274EBD"/>
    <w:rsid w:val="002759EF"/>
    <w:rsid w:val="00275A4F"/>
    <w:rsid w:val="002762FB"/>
    <w:rsid w:val="002763DE"/>
    <w:rsid w:val="00276599"/>
    <w:rsid w:val="002773EA"/>
    <w:rsid w:val="00280150"/>
    <w:rsid w:val="00280BDA"/>
    <w:rsid w:val="002817A9"/>
    <w:rsid w:val="00281A56"/>
    <w:rsid w:val="0028218F"/>
    <w:rsid w:val="002837E9"/>
    <w:rsid w:val="00283FD6"/>
    <w:rsid w:val="00284295"/>
    <w:rsid w:val="00284355"/>
    <w:rsid w:val="00284A27"/>
    <w:rsid w:val="00284F96"/>
    <w:rsid w:val="0028542F"/>
    <w:rsid w:val="00286FFE"/>
    <w:rsid w:val="002879DC"/>
    <w:rsid w:val="00287BF6"/>
    <w:rsid w:val="00287DC5"/>
    <w:rsid w:val="002901AE"/>
    <w:rsid w:val="002913D3"/>
    <w:rsid w:val="00291B2B"/>
    <w:rsid w:val="00291B2F"/>
    <w:rsid w:val="00291F5A"/>
    <w:rsid w:val="00291FC8"/>
    <w:rsid w:val="0029265F"/>
    <w:rsid w:val="00294694"/>
    <w:rsid w:val="00294C7A"/>
    <w:rsid w:val="00294F4F"/>
    <w:rsid w:val="00296533"/>
    <w:rsid w:val="00296BDE"/>
    <w:rsid w:val="00296F48"/>
    <w:rsid w:val="00297354"/>
    <w:rsid w:val="0029765B"/>
    <w:rsid w:val="00297AFE"/>
    <w:rsid w:val="002A0671"/>
    <w:rsid w:val="002A16CA"/>
    <w:rsid w:val="002A1C11"/>
    <w:rsid w:val="002A236B"/>
    <w:rsid w:val="002A23B2"/>
    <w:rsid w:val="002A2DC8"/>
    <w:rsid w:val="002A46CB"/>
    <w:rsid w:val="002A5E14"/>
    <w:rsid w:val="002A6F16"/>
    <w:rsid w:val="002A6F37"/>
    <w:rsid w:val="002B0FAD"/>
    <w:rsid w:val="002B112D"/>
    <w:rsid w:val="002B11F1"/>
    <w:rsid w:val="002B13A0"/>
    <w:rsid w:val="002B2ADC"/>
    <w:rsid w:val="002B2FEB"/>
    <w:rsid w:val="002B361B"/>
    <w:rsid w:val="002B4118"/>
    <w:rsid w:val="002B470B"/>
    <w:rsid w:val="002B47B1"/>
    <w:rsid w:val="002B5576"/>
    <w:rsid w:val="002B5D50"/>
    <w:rsid w:val="002B648A"/>
    <w:rsid w:val="002B6CF8"/>
    <w:rsid w:val="002B7574"/>
    <w:rsid w:val="002B7F83"/>
    <w:rsid w:val="002C0840"/>
    <w:rsid w:val="002C0E29"/>
    <w:rsid w:val="002C1300"/>
    <w:rsid w:val="002C20F3"/>
    <w:rsid w:val="002C4E2F"/>
    <w:rsid w:val="002C56F8"/>
    <w:rsid w:val="002C5787"/>
    <w:rsid w:val="002C5972"/>
    <w:rsid w:val="002C5C19"/>
    <w:rsid w:val="002C7837"/>
    <w:rsid w:val="002D03BE"/>
    <w:rsid w:val="002D0D2E"/>
    <w:rsid w:val="002D131B"/>
    <w:rsid w:val="002D16AC"/>
    <w:rsid w:val="002D1D8D"/>
    <w:rsid w:val="002D2EFD"/>
    <w:rsid w:val="002D2F94"/>
    <w:rsid w:val="002D3A4F"/>
    <w:rsid w:val="002D3F47"/>
    <w:rsid w:val="002D42CA"/>
    <w:rsid w:val="002D58BE"/>
    <w:rsid w:val="002D73F9"/>
    <w:rsid w:val="002D7BC0"/>
    <w:rsid w:val="002D7D1B"/>
    <w:rsid w:val="002E2608"/>
    <w:rsid w:val="002E34EF"/>
    <w:rsid w:val="002E3695"/>
    <w:rsid w:val="002E3921"/>
    <w:rsid w:val="002E3B29"/>
    <w:rsid w:val="002E46BD"/>
    <w:rsid w:val="002E4946"/>
    <w:rsid w:val="002E4B7D"/>
    <w:rsid w:val="002E5016"/>
    <w:rsid w:val="002E5293"/>
    <w:rsid w:val="002E57D3"/>
    <w:rsid w:val="002E585D"/>
    <w:rsid w:val="002E5E11"/>
    <w:rsid w:val="002E6208"/>
    <w:rsid w:val="002E6644"/>
    <w:rsid w:val="002E6766"/>
    <w:rsid w:val="002E74F7"/>
    <w:rsid w:val="002E7BA0"/>
    <w:rsid w:val="002E7D55"/>
    <w:rsid w:val="002F07E2"/>
    <w:rsid w:val="002F1C1E"/>
    <w:rsid w:val="002F295A"/>
    <w:rsid w:val="002F4EC0"/>
    <w:rsid w:val="002F7B6E"/>
    <w:rsid w:val="002F7D43"/>
    <w:rsid w:val="002F7EE6"/>
    <w:rsid w:val="00300436"/>
    <w:rsid w:val="003008D7"/>
    <w:rsid w:val="00300A40"/>
    <w:rsid w:val="00300A7E"/>
    <w:rsid w:val="00301BC7"/>
    <w:rsid w:val="003026F3"/>
    <w:rsid w:val="00302C5E"/>
    <w:rsid w:val="00302D68"/>
    <w:rsid w:val="00303DAC"/>
    <w:rsid w:val="003043BD"/>
    <w:rsid w:val="0030480F"/>
    <w:rsid w:val="00304A6A"/>
    <w:rsid w:val="00305637"/>
    <w:rsid w:val="0030591A"/>
    <w:rsid w:val="00305CBF"/>
    <w:rsid w:val="003071C3"/>
    <w:rsid w:val="00307447"/>
    <w:rsid w:val="0030786C"/>
    <w:rsid w:val="00311255"/>
    <w:rsid w:val="00311A69"/>
    <w:rsid w:val="003123C5"/>
    <w:rsid w:val="0031277F"/>
    <w:rsid w:val="0031305D"/>
    <w:rsid w:val="00313653"/>
    <w:rsid w:val="003141CE"/>
    <w:rsid w:val="0031437E"/>
    <w:rsid w:val="003146F3"/>
    <w:rsid w:val="00314910"/>
    <w:rsid w:val="00314AC1"/>
    <w:rsid w:val="00314EC2"/>
    <w:rsid w:val="0031501C"/>
    <w:rsid w:val="003151E0"/>
    <w:rsid w:val="00316010"/>
    <w:rsid w:val="00316E64"/>
    <w:rsid w:val="003174AF"/>
    <w:rsid w:val="00317799"/>
    <w:rsid w:val="00320936"/>
    <w:rsid w:val="00320B39"/>
    <w:rsid w:val="00321A22"/>
    <w:rsid w:val="00321A3C"/>
    <w:rsid w:val="00324B58"/>
    <w:rsid w:val="00325EBC"/>
    <w:rsid w:val="00325F0F"/>
    <w:rsid w:val="003270D5"/>
    <w:rsid w:val="00327EA2"/>
    <w:rsid w:val="00330979"/>
    <w:rsid w:val="003317AE"/>
    <w:rsid w:val="00331858"/>
    <w:rsid w:val="003327BE"/>
    <w:rsid w:val="003334F3"/>
    <w:rsid w:val="003336CF"/>
    <w:rsid w:val="00333D11"/>
    <w:rsid w:val="0033454A"/>
    <w:rsid w:val="00334590"/>
    <w:rsid w:val="003345FB"/>
    <w:rsid w:val="00334717"/>
    <w:rsid w:val="00334B12"/>
    <w:rsid w:val="00334FE6"/>
    <w:rsid w:val="00335ED2"/>
    <w:rsid w:val="0033632A"/>
    <w:rsid w:val="00336550"/>
    <w:rsid w:val="00336557"/>
    <w:rsid w:val="00336F6E"/>
    <w:rsid w:val="00337A79"/>
    <w:rsid w:val="00341709"/>
    <w:rsid w:val="003417E6"/>
    <w:rsid w:val="0034240C"/>
    <w:rsid w:val="00343CD2"/>
    <w:rsid w:val="0034438F"/>
    <w:rsid w:val="003446A9"/>
    <w:rsid w:val="00344F87"/>
    <w:rsid w:val="0034543C"/>
    <w:rsid w:val="00345D2B"/>
    <w:rsid w:val="00346633"/>
    <w:rsid w:val="003471C4"/>
    <w:rsid w:val="00347958"/>
    <w:rsid w:val="003517FF"/>
    <w:rsid w:val="003519AB"/>
    <w:rsid w:val="00351C5C"/>
    <w:rsid w:val="00352FD7"/>
    <w:rsid w:val="0035355A"/>
    <w:rsid w:val="00353EA7"/>
    <w:rsid w:val="00354CC5"/>
    <w:rsid w:val="0035594E"/>
    <w:rsid w:val="00356182"/>
    <w:rsid w:val="00356B04"/>
    <w:rsid w:val="00356B09"/>
    <w:rsid w:val="003614FF"/>
    <w:rsid w:val="0036163C"/>
    <w:rsid w:val="00363426"/>
    <w:rsid w:val="0036579A"/>
    <w:rsid w:val="00365E03"/>
    <w:rsid w:val="0036666F"/>
    <w:rsid w:val="00366A6A"/>
    <w:rsid w:val="003670FA"/>
    <w:rsid w:val="003672B2"/>
    <w:rsid w:val="00367366"/>
    <w:rsid w:val="00367E5D"/>
    <w:rsid w:val="00370437"/>
    <w:rsid w:val="003709E2"/>
    <w:rsid w:val="003725D3"/>
    <w:rsid w:val="00372BEB"/>
    <w:rsid w:val="003740C2"/>
    <w:rsid w:val="00374352"/>
    <w:rsid w:val="00374736"/>
    <w:rsid w:val="00375886"/>
    <w:rsid w:val="003771F2"/>
    <w:rsid w:val="003805A7"/>
    <w:rsid w:val="0038124C"/>
    <w:rsid w:val="00381405"/>
    <w:rsid w:val="0038223E"/>
    <w:rsid w:val="003832DC"/>
    <w:rsid w:val="00383BF8"/>
    <w:rsid w:val="00383DEC"/>
    <w:rsid w:val="003845F8"/>
    <w:rsid w:val="00384891"/>
    <w:rsid w:val="00385C0D"/>
    <w:rsid w:val="0039007F"/>
    <w:rsid w:val="00390291"/>
    <w:rsid w:val="00390B3E"/>
    <w:rsid w:val="00390B83"/>
    <w:rsid w:val="003910F5"/>
    <w:rsid w:val="00391A70"/>
    <w:rsid w:val="003927F3"/>
    <w:rsid w:val="00392FDC"/>
    <w:rsid w:val="0039392F"/>
    <w:rsid w:val="00397238"/>
    <w:rsid w:val="00397789"/>
    <w:rsid w:val="003A0D50"/>
    <w:rsid w:val="003A1475"/>
    <w:rsid w:val="003A1F5D"/>
    <w:rsid w:val="003A1F85"/>
    <w:rsid w:val="003A25B1"/>
    <w:rsid w:val="003A2C5E"/>
    <w:rsid w:val="003A3E57"/>
    <w:rsid w:val="003A4146"/>
    <w:rsid w:val="003A5825"/>
    <w:rsid w:val="003A5C07"/>
    <w:rsid w:val="003A606A"/>
    <w:rsid w:val="003A6207"/>
    <w:rsid w:val="003A683A"/>
    <w:rsid w:val="003A6B9D"/>
    <w:rsid w:val="003A770A"/>
    <w:rsid w:val="003B0185"/>
    <w:rsid w:val="003B03F0"/>
    <w:rsid w:val="003B145B"/>
    <w:rsid w:val="003B1C7A"/>
    <w:rsid w:val="003B23A4"/>
    <w:rsid w:val="003B2C1F"/>
    <w:rsid w:val="003B36CA"/>
    <w:rsid w:val="003B3EC1"/>
    <w:rsid w:val="003B3F89"/>
    <w:rsid w:val="003B4516"/>
    <w:rsid w:val="003B46D1"/>
    <w:rsid w:val="003B4B96"/>
    <w:rsid w:val="003B4C77"/>
    <w:rsid w:val="003B50A4"/>
    <w:rsid w:val="003B5DB4"/>
    <w:rsid w:val="003B7973"/>
    <w:rsid w:val="003C1387"/>
    <w:rsid w:val="003C1DE1"/>
    <w:rsid w:val="003C2800"/>
    <w:rsid w:val="003C2CF8"/>
    <w:rsid w:val="003C382E"/>
    <w:rsid w:val="003C3AA5"/>
    <w:rsid w:val="003C3AE8"/>
    <w:rsid w:val="003C4418"/>
    <w:rsid w:val="003C472D"/>
    <w:rsid w:val="003C530F"/>
    <w:rsid w:val="003C5DA1"/>
    <w:rsid w:val="003C63F8"/>
    <w:rsid w:val="003C7671"/>
    <w:rsid w:val="003C7881"/>
    <w:rsid w:val="003C7DC5"/>
    <w:rsid w:val="003D0B98"/>
    <w:rsid w:val="003D0F6C"/>
    <w:rsid w:val="003D18E7"/>
    <w:rsid w:val="003D357D"/>
    <w:rsid w:val="003D39F2"/>
    <w:rsid w:val="003D41FD"/>
    <w:rsid w:val="003D4B18"/>
    <w:rsid w:val="003D4EC8"/>
    <w:rsid w:val="003D5C7B"/>
    <w:rsid w:val="003D6025"/>
    <w:rsid w:val="003D69D2"/>
    <w:rsid w:val="003D6E32"/>
    <w:rsid w:val="003D6E77"/>
    <w:rsid w:val="003D72AE"/>
    <w:rsid w:val="003D7473"/>
    <w:rsid w:val="003D78B0"/>
    <w:rsid w:val="003E01A6"/>
    <w:rsid w:val="003E05A4"/>
    <w:rsid w:val="003E0D80"/>
    <w:rsid w:val="003E1F07"/>
    <w:rsid w:val="003E34C5"/>
    <w:rsid w:val="003E399A"/>
    <w:rsid w:val="003E3A66"/>
    <w:rsid w:val="003E3B83"/>
    <w:rsid w:val="003E3BBE"/>
    <w:rsid w:val="003E4311"/>
    <w:rsid w:val="003E490C"/>
    <w:rsid w:val="003E522F"/>
    <w:rsid w:val="003E5488"/>
    <w:rsid w:val="003E5576"/>
    <w:rsid w:val="003E7B60"/>
    <w:rsid w:val="003F2321"/>
    <w:rsid w:val="003F3A78"/>
    <w:rsid w:val="003F4113"/>
    <w:rsid w:val="003F4A16"/>
    <w:rsid w:val="003F50A4"/>
    <w:rsid w:val="003F5107"/>
    <w:rsid w:val="003F533E"/>
    <w:rsid w:val="003F7104"/>
    <w:rsid w:val="003F7EA2"/>
    <w:rsid w:val="00400AF5"/>
    <w:rsid w:val="00401247"/>
    <w:rsid w:val="00401325"/>
    <w:rsid w:val="004014FC"/>
    <w:rsid w:val="004015BA"/>
    <w:rsid w:val="004028A5"/>
    <w:rsid w:val="00402A64"/>
    <w:rsid w:val="004031A4"/>
    <w:rsid w:val="00403583"/>
    <w:rsid w:val="00403910"/>
    <w:rsid w:val="0040422A"/>
    <w:rsid w:val="00404299"/>
    <w:rsid w:val="004043D9"/>
    <w:rsid w:val="00405EF2"/>
    <w:rsid w:val="0040615A"/>
    <w:rsid w:val="00407D73"/>
    <w:rsid w:val="0041038E"/>
    <w:rsid w:val="00410F90"/>
    <w:rsid w:val="004126FF"/>
    <w:rsid w:val="004128ED"/>
    <w:rsid w:val="00412901"/>
    <w:rsid w:val="00412933"/>
    <w:rsid w:val="00412DF0"/>
    <w:rsid w:val="00412E42"/>
    <w:rsid w:val="0041515F"/>
    <w:rsid w:val="0041556F"/>
    <w:rsid w:val="0042020B"/>
    <w:rsid w:val="00420CD3"/>
    <w:rsid w:val="00421042"/>
    <w:rsid w:val="0042332E"/>
    <w:rsid w:val="00424317"/>
    <w:rsid w:val="004249F6"/>
    <w:rsid w:val="0042559B"/>
    <w:rsid w:val="00425AF7"/>
    <w:rsid w:val="00425CF5"/>
    <w:rsid w:val="004269A3"/>
    <w:rsid w:val="00427629"/>
    <w:rsid w:val="00427E8F"/>
    <w:rsid w:val="00427F84"/>
    <w:rsid w:val="0043042E"/>
    <w:rsid w:val="00430ACE"/>
    <w:rsid w:val="00431AEA"/>
    <w:rsid w:val="00432AF5"/>
    <w:rsid w:val="00433963"/>
    <w:rsid w:val="00433FBD"/>
    <w:rsid w:val="00434F86"/>
    <w:rsid w:val="00435396"/>
    <w:rsid w:val="0043634F"/>
    <w:rsid w:val="00436E1F"/>
    <w:rsid w:val="0043728F"/>
    <w:rsid w:val="0043748E"/>
    <w:rsid w:val="00437B45"/>
    <w:rsid w:val="004403D5"/>
    <w:rsid w:val="004415F0"/>
    <w:rsid w:val="0044280C"/>
    <w:rsid w:val="00443024"/>
    <w:rsid w:val="00444274"/>
    <w:rsid w:val="00444523"/>
    <w:rsid w:val="0044496C"/>
    <w:rsid w:val="00444D1E"/>
    <w:rsid w:val="00445248"/>
    <w:rsid w:val="00445590"/>
    <w:rsid w:val="0044570E"/>
    <w:rsid w:val="004469C3"/>
    <w:rsid w:val="00447D29"/>
    <w:rsid w:val="00451696"/>
    <w:rsid w:val="00451C88"/>
    <w:rsid w:val="0045225A"/>
    <w:rsid w:val="00452309"/>
    <w:rsid w:val="0045238E"/>
    <w:rsid w:val="004528A6"/>
    <w:rsid w:val="0045345E"/>
    <w:rsid w:val="00453B16"/>
    <w:rsid w:val="00454209"/>
    <w:rsid w:val="004547AF"/>
    <w:rsid w:val="00454F54"/>
    <w:rsid w:val="00455920"/>
    <w:rsid w:val="00456127"/>
    <w:rsid w:val="0045687F"/>
    <w:rsid w:val="00456C2D"/>
    <w:rsid w:val="0045713C"/>
    <w:rsid w:val="00457C00"/>
    <w:rsid w:val="0046009B"/>
    <w:rsid w:val="00460A85"/>
    <w:rsid w:val="00460B2D"/>
    <w:rsid w:val="00460BAA"/>
    <w:rsid w:val="004620A9"/>
    <w:rsid w:val="004625EB"/>
    <w:rsid w:val="0046269B"/>
    <w:rsid w:val="00463767"/>
    <w:rsid w:val="00464850"/>
    <w:rsid w:val="00464A3E"/>
    <w:rsid w:val="004655EF"/>
    <w:rsid w:val="004667BB"/>
    <w:rsid w:val="004669EA"/>
    <w:rsid w:val="00466B1A"/>
    <w:rsid w:val="00466F7B"/>
    <w:rsid w:val="00467086"/>
    <w:rsid w:val="004677A4"/>
    <w:rsid w:val="00470622"/>
    <w:rsid w:val="004706A7"/>
    <w:rsid w:val="004717B1"/>
    <w:rsid w:val="00471822"/>
    <w:rsid w:val="00471B43"/>
    <w:rsid w:val="00472223"/>
    <w:rsid w:val="0047229F"/>
    <w:rsid w:val="00472425"/>
    <w:rsid w:val="00472BC2"/>
    <w:rsid w:val="00472F49"/>
    <w:rsid w:val="0047333E"/>
    <w:rsid w:val="004737CB"/>
    <w:rsid w:val="00473DD3"/>
    <w:rsid w:val="00474371"/>
    <w:rsid w:val="004756DC"/>
    <w:rsid w:val="00476AA1"/>
    <w:rsid w:val="00476EE1"/>
    <w:rsid w:val="00477340"/>
    <w:rsid w:val="004776E5"/>
    <w:rsid w:val="004778A1"/>
    <w:rsid w:val="00477BAC"/>
    <w:rsid w:val="004805C7"/>
    <w:rsid w:val="004808C4"/>
    <w:rsid w:val="00480DCD"/>
    <w:rsid w:val="0048129C"/>
    <w:rsid w:val="00481845"/>
    <w:rsid w:val="0048191E"/>
    <w:rsid w:val="0048320C"/>
    <w:rsid w:val="004840FD"/>
    <w:rsid w:val="0048470D"/>
    <w:rsid w:val="004848B3"/>
    <w:rsid w:val="00486217"/>
    <w:rsid w:val="004865C3"/>
    <w:rsid w:val="0048692F"/>
    <w:rsid w:val="00487A1E"/>
    <w:rsid w:val="0049079B"/>
    <w:rsid w:val="00490F73"/>
    <w:rsid w:val="00490FC7"/>
    <w:rsid w:val="0049173D"/>
    <w:rsid w:val="00491ECE"/>
    <w:rsid w:val="00492A5F"/>
    <w:rsid w:val="00492B8C"/>
    <w:rsid w:val="00493803"/>
    <w:rsid w:val="004939D5"/>
    <w:rsid w:val="00493B73"/>
    <w:rsid w:val="0049412E"/>
    <w:rsid w:val="004943EA"/>
    <w:rsid w:val="00494D88"/>
    <w:rsid w:val="004959D6"/>
    <w:rsid w:val="0049628C"/>
    <w:rsid w:val="00496438"/>
    <w:rsid w:val="00496961"/>
    <w:rsid w:val="00496CE5"/>
    <w:rsid w:val="004A1260"/>
    <w:rsid w:val="004A1511"/>
    <w:rsid w:val="004A2084"/>
    <w:rsid w:val="004A21B7"/>
    <w:rsid w:val="004A27D9"/>
    <w:rsid w:val="004A2BBC"/>
    <w:rsid w:val="004A2C26"/>
    <w:rsid w:val="004A34F4"/>
    <w:rsid w:val="004A35EE"/>
    <w:rsid w:val="004A3B73"/>
    <w:rsid w:val="004A3CAF"/>
    <w:rsid w:val="004A3F50"/>
    <w:rsid w:val="004A42B0"/>
    <w:rsid w:val="004A46EA"/>
    <w:rsid w:val="004A4773"/>
    <w:rsid w:val="004A4C53"/>
    <w:rsid w:val="004A5C47"/>
    <w:rsid w:val="004A6E1C"/>
    <w:rsid w:val="004A7DBB"/>
    <w:rsid w:val="004B04B2"/>
    <w:rsid w:val="004B076A"/>
    <w:rsid w:val="004B0AFF"/>
    <w:rsid w:val="004B167F"/>
    <w:rsid w:val="004B2625"/>
    <w:rsid w:val="004B2C81"/>
    <w:rsid w:val="004B47A2"/>
    <w:rsid w:val="004B4DC9"/>
    <w:rsid w:val="004B4EE2"/>
    <w:rsid w:val="004B5B12"/>
    <w:rsid w:val="004B5C15"/>
    <w:rsid w:val="004B5EB2"/>
    <w:rsid w:val="004B6503"/>
    <w:rsid w:val="004B6CE2"/>
    <w:rsid w:val="004B6D65"/>
    <w:rsid w:val="004B6EE6"/>
    <w:rsid w:val="004B720B"/>
    <w:rsid w:val="004B7816"/>
    <w:rsid w:val="004C11B1"/>
    <w:rsid w:val="004C1734"/>
    <w:rsid w:val="004C1CEF"/>
    <w:rsid w:val="004C3C90"/>
    <w:rsid w:val="004C4CBA"/>
    <w:rsid w:val="004C5013"/>
    <w:rsid w:val="004C5154"/>
    <w:rsid w:val="004C5851"/>
    <w:rsid w:val="004C5C75"/>
    <w:rsid w:val="004C5E0B"/>
    <w:rsid w:val="004C5F0E"/>
    <w:rsid w:val="004C6339"/>
    <w:rsid w:val="004C65D7"/>
    <w:rsid w:val="004C6E37"/>
    <w:rsid w:val="004C6F2C"/>
    <w:rsid w:val="004C70E3"/>
    <w:rsid w:val="004C7110"/>
    <w:rsid w:val="004C72CE"/>
    <w:rsid w:val="004C7C45"/>
    <w:rsid w:val="004D07FA"/>
    <w:rsid w:val="004D381D"/>
    <w:rsid w:val="004D42B3"/>
    <w:rsid w:val="004D4881"/>
    <w:rsid w:val="004D4910"/>
    <w:rsid w:val="004D657F"/>
    <w:rsid w:val="004D681E"/>
    <w:rsid w:val="004D68CC"/>
    <w:rsid w:val="004D6AE6"/>
    <w:rsid w:val="004D6D9E"/>
    <w:rsid w:val="004D74B3"/>
    <w:rsid w:val="004E0455"/>
    <w:rsid w:val="004E1B7F"/>
    <w:rsid w:val="004E28D7"/>
    <w:rsid w:val="004E387D"/>
    <w:rsid w:val="004E56AF"/>
    <w:rsid w:val="004E5BE8"/>
    <w:rsid w:val="004E5C18"/>
    <w:rsid w:val="004E62CD"/>
    <w:rsid w:val="004E67E9"/>
    <w:rsid w:val="004E7174"/>
    <w:rsid w:val="004E7462"/>
    <w:rsid w:val="004F0977"/>
    <w:rsid w:val="004F1836"/>
    <w:rsid w:val="004F1A98"/>
    <w:rsid w:val="004F1E01"/>
    <w:rsid w:val="004F2624"/>
    <w:rsid w:val="004F2EC1"/>
    <w:rsid w:val="004F2EEA"/>
    <w:rsid w:val="004F417D"/>
    <w:rsid w:val="004F48FA"/>
    <w:rsid w:val="004F4D22"/>
    <w:rsid w:val="004F57DE"/>
    <w:rsid w:val="004F5862"/>
    <w:rsid w:val="00500E28"/>
    <w:rsid w:val="00501190"/>
    <w:rsid w:val="00501487"/>
    <w:rsid w:val="00501758"/>
    <w:rsid w:val="0050291D"/>
    <w:rsid w:val="00502ED1"/>
    <w:rsid w:val="00503692"/>
    <w:rsid w:val="005043C4"/>
    <w:rsid w:val="005055AE"/>
    <w:rsid w:val="0050658D"/>
    <w:rsid w:val="005068CB"/>
    <w:rsid w:val="00506DF9"/>
    <w:rsid w:val="0050707C"/>
    <w:rsid w:val="00507F52"/>
    <w:rsid w:val="00507F69"/>
    <w:rsid w:val="00507F92"/>
    <w:rsid w:val="00510A26"/>
    <w:rsid w:val="00510F3F"/>
    <w:rsid w:val="00511769"/>
    <w:rsid w:val="00511CB3"/>
    <w:rsid w:val="0051267F"/>
    <w:rsid w:val="005127BD"/>
    <w:rsid w:val="005141C5"/>
    <w:rsid w:val="0051444C"/>
    <w:rsid w:val="00515870"/>
    <w:rsid w:val="005169E3"/>
    <w:rsid w:val="00521F10"/>
    <w:rsid w:val="005220AE"/>
    <w:rsid w:val="00523058"/>
    <w:rsid w:val="0052433B"/>
    <w:rsid w:val="00525AC8"/>
    <w:rsid w:val="00525FB4"/>
    <w:rsid w:val="0052628A"/>
    <w:rsid w:val="0052783C"/>
    <w:rsid w:val="0053002E"/>
    <w:rsid w:val="00530ECE"/>
    <w:rsid w:val="00530FCC"/>
    <w:rsid w:val="0053118B"/>
    <w:rsid w:val="005313B6"/>
    <w:rsid w:val="00531E8B"/>
    <w:rsid w:val="0053240B"/>
    <w:rsid w:val="00532D95"/>
    <w:rsid w:val="0053301E"/>
    <w:rsid w:val="005345EA"/>
    <w:rsid w:val="0053478B"/>
    <w:rsid w:val="00534882"/>
    <w:rsid w:val="0053663D"/>
    <w:rsid w:val="005373C4"/>
    <w:rsid w:val="00537D86"/>
    <w:rsid w:val="005400B5"/>
    <w:rsid w:val="00540C21"/>
    <w:rsid w:val="005411D3"/>
    <w:rsid w:val="00541246"/>
    <w:rsid w:val="00541380"/>
    <w:rsid w:val="005435BD"/>
    <w:rsid w:val="00543BCF"/>
    <w:rsid w:val="00543FBD"/>
    <w:rsid w:val="0054417B"/>
    <w:rsid w:val="00544A9F"/>
    <w:rsid w:val="005454A0"/>
    <w:rsid w:val="00545AAF"/>
    <w:rsid w:val="00545F12"/>
    <w:rsid w:val="00546071"/>
    <w:rsid w:val="005465AA"/>
    <w:rsid w:val="00546836"/>
    <w:rsid w:val="00547148"/>
    <w:rsid w:val="00547F96"/>
    <w:rsid w:val="00547FDB"/>
    <w:rsid w:val="00550FDB"/>
    <w:rsid w:val="00551F44"/>
    <w:rsid w:val="00552A44"/>
    <w:rsid w:val="00553541"/>
    <w:rsid w:val="00553BB4"/>
    <w:rsid w:val="00553DFB"/>
    <w:rsid w:val="005541CC"/>
    <w:rsid w:val="00554362"/>
    <w:rsid w:val="00554504"/>
    <w:rsid w:val="00554D17"/>
    <w:rsid w:val="005563F3"/>
    <w:rsid w:val="00563714"/>
    <w:rsid w:val="005638FF"/>
    <w:rsid w:val="00565441"/>
    <w:rsid w:val="005666F6"/>
    <w:rsid w:val="00566BBA"/>
    <w:rsid w:val="00570701"/>
    <w:rsid w:val="00571706"/>
    <w:rsid w:val="00572AF4"/>
    <w:rsid w:val="00572D0B"/>
    <w:rsid w:val="005765D4"/>
    <w:rsid w:val="0057686C"/>
    <w:rsid w:val="005775EC"/>
    <w:rsid w:val="00577864"/>
    <w:rsid w:val="00577F87"/>
    <w:rsid w:val="00580156"/>
    <w:rsid w:val="005802E4"/>
    <w:rsid w:val="00581AF6"/>
    <w:rsid w:val="00582274"/>
    <w:rsid w:val="0058326F"/>
    <w:rsid w:val="00583710"/>
    <w:rsid w:val="0058439A"/>
    <w:rsid w:val="0058483C"/>
    <w:rsid w:val="005850F1"/>
    <w:rsid w:val="00585359"/>
    <w:rsid w:val="005853D2"/>
    <w:rsid w:val="00585F19"/>
    <w:rsid w:val="005860D1"/>
    <w:rsid w:val="005865D2"/>
    <w:rsid w:val="005872DC"/>
    <w:rsid w:val="00587C5E"/>
    <w:rsid w:val="00590507"/>
    <w:rsid w:val="00590D36"/>
    <w:rsid w:val="00591ACD"/>
    <w:rsid w:val="00592313"/>
    <w:rsid w:val="00593DB5"/>
    <w:rsid w:val="0059415B"/>
    <w:rsid w:val="00595970"/>
    <w:rsid w:val="00596349"/>
    <w:rsid w:val="00596772"/>
    <w:rsid w:val="00596F6F"/>
    <w:rsid w:val="0059713B"/>
    <w:rsid w:val="00597CB5"/>
    <w:rsid w:val="005A1A3D"/>
    <w:rsid w:val="005A205D"/>
    <w:rsid w:val="005A2987"/>
    <w:rsid w:val="005A33FE"/>
    <w:rsid w:val="005A351C"/>
    <w:rsid w:val="005A4315"/>
    <w:rsid w:val="005A5349"/>
    <w:rsid w:val="005A5379"/>
    <w:rsid w:val="005A60B5"/>
    <w:rsid w:val="005A65F0"/>
    <w:rsid w:val="005A66AE"/>
    <w:rsid w:val="005A6703"/>
    <w:rsid w:val="005A6736"/>
    <w:rsid w:val="005A703C"/>
    <w:rsid w:val="005A7566"/>
    <w:rsid w:val="005A76C5"/>
    <w:rsid w:val="005B08EA"/>
    <w:rsid w:val="005B19F7"/>
    <w:rsid w:val="005B2A10"/>
    <w:rsid w:val="005B2EA2"/>
    <w:rsid w:val="005B3A50"/>
    <w:rsid w:val="005B4601"/>
    <w:rsid w:val="005B4707"/>
    <w:rsid w:val="005B4E61"/>
    <w:rsid w:val="005B4F50"/>
    <w:rsid w:val="005B56CA"/>
    <w:rsid w:val="005C00F5"/>
    <w:rsid w:val="005C0AFC"/>
    <w:rsid w:val="005C0B4A"/>
    <w:rsid w:val="005C14CA"/>
    <w:rsid w:val="005C2476"/>
    <w:rsid w:val="005C2AD4"/>
    <w:rsid w:val="005C2C56"/>
    <w:rsid w:val="005C5C5E"/>
    <w:rsid w:val="005C6DB8"/>
    <w:rsid w:val="005C710B"/>
    <w:rsid w:val="005C7138"/>
    <w:rsid w:val="005C78D5"/>
    <w:rsid w:val="005D110C"/>
    <w:rsid w:val="005D1D9A"/>
    <w:rsid w:val="005D20E9"/>
    <w:rsid w:val="005D42EA"/>
    <w:rsid w:val="005D4BAB"/>
    <w:rsid w:val="005D703D"/>
    <w:rsid w:val="005D70DC"/>
    <w:rsid w:val="005D7B77"/>
    <w:rsid w:val="005D7EAB"/>
    <w:rsid w:val="005E01D8"/>
    <w:rsid w:val="005E12DC"/>
    <w:rsid w:val="005E2D8B"/>
    <w:rsid w:val="005E3994"/>
    <w:rsid w:val="005E6D20"/>
    <w:rsid w:val="005F0115"/>
    <w:rsid w:val="005F17C0"/>
    <w:rsid w:val="005F1876"/>
    <w:rsid w:val="005F1AB1"/>
    <w:rsid w:val="005F253A"/>
    <w:rsid w:val="005F2BB4"/>
    <w:rsid w:val="005F2F1D"/>
    <w:rsid w:val="005F32D3"/>
    <w:rsid w:val="005F3363"/>
    <w:rsid w:val="005F4AF1"/>
    <w:rsid w:val="005F4DE5"/>
    <w:rsid w:val="005F525F"/>
    <w:rsid w:val="005F5E39"/>
    <w:rsid w:val="005F6204"/>
    <w:rsid w:val="005F6416"/>
    <w:rsid w:val="0060061F"/>
    <w:rsid w:val="00600FAE"/>
    <w:rsid w:val="006019E7"/>
    <w:rsid w:val="006052EA"/>
    <w:rsid w:val="00605C94"/>
    <w:rsid w:val="00605CEC"/>
    <w:rsid w:val="006065BE"/>
    <w:rsid w:val="006068AD"/>
    <w:rsid w:val="006069CC"/>
    <w:rsid w:val="00606D67"/>
    <w:rsid w:val="0060786C"/>
    <w:rsid w:val="0061118C"/>
    <w:rsid w:val="00611F5C"/>
    <w:rsid w:val="00612790"/>
    <w:rsid w:val="0061357B"/>
    <w:rsid w:val="0061439D"/>
    <w:rsid w:val="00616DAB"/>
    <w:rsid w:val="0061723E"/>
    <w:rsid w:val="00617520"/>
    <w:rsid w:val="00620E3C"/>
    <w:rsid w:val="00621F84"/>
    <w:rsid w:val="006223DD"/>
    <w:rsid w:val="00622817"/>
    <w:rsid w:val="0062306B"/>
    <w:rsid w:val="006230CF"/>
    <w:rsid w:val="00625169"/>
    <w:rsid w:val="00625297"/>
    <w:rsid w:val="00625C01"/>
    <w:rsid w:val="00626E4A"/>
    <w:rsid w:val="00626E77"/>
    <w:rsid w:val="0062739C"/>
    <w:rsid w:val="0063012B"/>
    <w:rsid w:val="00630C13"/>
    <w:rsid w:val="0063142F"/>
    <w:rsid w:val="00631754"/>
    <w:rsid w:val="0063192D"/>
    <w:rsid w:val="006319ED"/>
    <w:rsid w:val="00631C74"/>
    <w:rsid w:val="006324C2"/>
    <w:rsid w:val="006326CA"/>
    <w:rsid w:val="006328A0"/>
    <w:rsid w:val="006334D0"/>
    <w:rsid w:val="00633E4B"/>
    <w:rsid w:val="006348D2"/>
    <w:rsid w:val="00634BDD"/>
    <w:rsid w:val="00634DD0"/>
    <w:rsid w:val="00634F49"/>
    <w:rsid w:val="00635CEB"/>
    <w:rsid w:val="00635FB6"/>
    <w:rsid w:val="00636805"/>
    <w:rsid w:val="00637559"/>
    <w:rsid w:val="00637635"/>
    <w:rsid w:val="006378A1"/>
    <w:rsid w:val="00637FD6"/>
    <w:rsid w:val="00641662"/>
    <w:rsid w:val="00641EF9"/>
    <w:rsid w:val="00642773"/>
    <w:rsid w:val="006434BC"/>
    <w:rsid w:val="00643A23"/>
    <w:rsid w:val="00643E43"/>
    <w:rsid w:val="006446FA"/>
    <w:rsid w:val="00644C62"/>
    <w:rsid w:val="00644D92"/>
    <w:rsid w:val="00645617"/>
    <w:rsid w:val="00646688"/>
    <w:rsid w:val="00646775"/>
    <w:rsid w:val="00646839"/>
    <w:rsid w:val="00647554"/>
    <w:rsid w:val="00647F72"/>
    <w:rsid w:val="00650B66"/>
    <w:rsid w:val="00650FB3"/>
    <w:rsid w:val="006527DF"/>
    <w:rsid w:val="00653583"/>
    <w:rsid w:val="00654F9C"/>
    <w:rsid w:val="00655EA0"/>
    <w:rsid w:val="00655F99"/>
    <w:rsid w:val="00656092"/>
    <w:rsid w:val="0065752F"/>
    <w:rsid w:val="00657AA4"/>
    <w:rsid w:val="00657AD9"/>
    <w:rsid w:val="006609D1"/>
    <w:rsid w:val="0066101A"/>
    <w:rsid w:val="00661209"/>
    <w:rsid w:val="006615A2"/>
    <w:rsid w:val="006619CE"/>
    <w:rsid w:val="00661DE5"/>
    <w:rsid w:val="00664647"/>
    <w:rsid w:val="00664A13"/>
    <w:rsid w:val="0066569F"/>
    <w:rsid w:val="006657B4"/>
    <w:rsid w:val="00665CE1"/>
    <w:rsid w:val="006664C1"/>
    <w:rsid w:val="00667268"/>
    <w:rsid w:val="00667F05"/>
    <w:rsid w:val="00671A8D"/>
    <w:rsid w:val="006725D4"/>
    <w:rsid w:val="006731E7"/>
    <w:rsid w:val="00674890"/>
    <w:rsid w:val="006756FD"/>
    <w:rsid w:val="006760C9"/>
    <w:rsid w:val="00676FD0"/>
    <w:rsid w:val="0067713B"/>
    <w:rsid w:val="006771E7"/>
    <w:rsid w:val="00677C93"/>
    <w:rsid w:val="006800F0"/>
    <w:rsid w:val="0068115B"/>
    <w:rsid w:val="00681D2E"/>
    <w:rsid w:val="006821E5"/>
    <w:rsid w:val="0068260D"/>
    <w:rsid w:val="00682982"/>
    <w:rsid w:val="006837F6"/>
    <w:rsid w:val="0068381F"/>
    <w:rsid w:val="00683C37"/>
    <w:rsid w:val="00684484"/>
    <w:rsid w:val="006854CF"/>
    <w:rsid w:val="00687276"/>
    <w:rsid w:val="00687B1D"/>
    <w:rsid w:val="006905D9"/>
    <w:rsid w:val="006907CE"/>
    <w:rsid w:val="00691D42"/>
    <w:rsid w:val="00691ED9"/>
    <w:rsid w:val="00692CA3"/>
    <w:rsid w:val="00693129"/>
    <w:rsid w:val="00694B5F"/>
    <w:rsid w:val="0069691A"/>
    <w:rsid w:val="00696D14"/>
    <w:rsid w:val="00697206"/>
    <w:rsid w:val="006975A4"/>
    <w:rsid w:val="0069776C"/>
    <w:rsid w:val="00697983"/>
    <w:rsid w:val="00697A13"/>
    <w:rsid w:val="00697B15"/>
    <w:rsid w:val="006A0AD1"/>
    <w:rsid w:val="006A0FC4"/>
    <w:rsid w:val="006A1C19"/>
    <w:rsid w:val="006A2B1B"/>
    <w:rsid w:val="006A3220"/>
    <w:rsid w:val="006A38A6"/>
    <w:rsid w:val="006A3D39"/>
    <w:rsid w:val="006A3F3B"/>
    <w:rsid w:val="006A435D"/>
    <w:rsid w:val="006A523E"/>
    <w:rsid w:val="006A534D"/>
    <w:rsid w:val="006A5D54"/>
    <w:rsid w:val="006A6497"/>
    <w:rsid w:val="006A6BE4"/>
    <w:rsid w:val="006A70F1"/>
    <w:rsid w:val="006B073A"/>
    <w:rsid w:val="006B09F0"/>
    <w:rsid w:val="006B0B45"/>
    <w:rsid w:val="006B1551"/>
    <w:rsid w:val="006B169B"/>
    <w:rsid w:val="006B20FF"/>
    <w:rsid w:val="006B2445"/>
    <w:rsid w:val="006B2C1F"/>
    <w:rsid w:val="006B37C1"/>
    <w:rsid w:val="006B3BA9"/>
    <w:rsid w:val="006B6056"/>
    <w:rsid w:val="006B65CE"/>
    <w:rsid w:val="006B681E"/>
    <w:rsid w:val="006B6CFA"/>
    <w:rsid w:val="006B7767"/>
    <w:rsid w:val="006B7BD4"/>
    <w:rsid w:val="006C1634"/>
    <w:rsid w:val="006C24F7"/>
    <w:rsid w:val="006C329D"/>
    <w:rsid w:val="006C3F51"/>
    <w:rsid w:val="006C4383"/>
    <w:rsid w:val="006C4726"/>
    <w:rsid w:val="006C4836"/>
    <w:rsid w:val="006C4954"/>
    <w:rsid w:val="006C6BF1"/>
    <w:rsid w:val="006C7586"/>
    <w:rsid w:val="006D05CD"/>
    <w:rsid w:val="006D0E95"/>
    <w:rsid w:val="006D342B"/>
    <w:rsid w:val="006D4B98"/>
    <w:rsid w:val="006D4D95"/>
    <w:rsid w:val="006D5CE6"/>
    <w:rsid w:val="006D680D"/>
    <w:rsid w:val="006D6FFC"/>
    <w:rsid w:val="006D72E4"/>
    <w:rsid w:val="006D7596"/>
    <w:rsid w:val="006D7646"/>
    <w:rsid w:val="006D7A63"/>
    <w:rsid w:val="006E0E78"/>
    <w:rsid w:val="006E28A3"/>
    <w:rsid w:val="006E4162"/>
    <w:rsid w:val="006E42B9"/>
    <w:rsid w:val="006E5D21"/>
    <w:rsid w:val="006E647B"/>
    <w:rsid w:val="006E6FA7"/>
    <w:rsid w:val="006E71BF"/>
    <w:rsid w:val="006E7895"/>
    <w:rsid w:val="006E7E63"/>
    <w:rsid w:val="006F1EC3"/>
    <w:rsid w:val="006F246C"/>
    <w:rsid w:val="006F2C56"/>
    <w:rsid w:val="006F3265"/>
    <w:rsid w:val="006F36B5"/>
    <w:rsid w:val="006F3E99"/>
    <w:rsid w:val="006F76CC"/>
    <w:rsid w:val="006F78A6"/>
    <w:rsid w:val="006F7CF0"/>
    <w:rsid w:val="007002C3"/>
    <w:rsid w:val="007016B2"/>
    <w:rsid w:val="00702263"/>
    <w:rsid w:val="007028E7"/>
    <w:rsid w:val="007030BA"/>
    <w:rsid w:val="00704659"/>
    <w:rsid w:val="00704D55"/>
    <w:rsid w:val="0070647D"/>
    <w:rsid w:val="00707C6A"/>
    <w:rsid w:val="00707D14"/>
    <w:rsid w:val="0071048C"/>
    <w:rsid w:val="00710602"/>
    <w:rsid w:val="0071090F"/>
    <w:rsid w:val="007129D2"/>
    <w:rsid w:val="00713E55"/>
    <w:rsid w:val="00713EFD"/>
    <w:rsid w:val="00713FD7"/>
    <w:rsid w:val="007147EF"/>
    <w:rsid w:val="007151FC"/>
    <w:rsid w:val="007155A3"/>
    <w:rsid w:val="00715F57"/>
    <w:rsid w:val="0071768C"/>
    <w:rsid w:val="007177FC"/>
    <w:rsid w:val="00717E47"/>
    <w:rsid w:val="00721CD0"/>
    <w:rsid w:val="007220BB"/>
    <w:rsid w:val="007229AE"/>
    <w:rsid w:val="00725B24"/>
    <w:rsid w:val="0072610C"/>
    <w:rsid w:val="00726CB8"/>
    <w:rsid w:val="007274CE"/>
    <w:rsid w:val="0072771D"/>
    <w:rsid w:val="00730633"/>
    <w:rsid w:val="0073085E"/>
    <w:rsid w:val="00731472"/>
    <w:rsid w:val="007314A2"/>
    <w:rsid w:val="00731AC7"/>
    <w:rsid w:val="00732332"/>
    <w:rsid w:val="00733C9F"/>
    <w:rsid w:val="00733DF8"/>
    <w:rsid w:val="00734548"/>
    <w:rsid w:val="00734DDC"/>
    <w:rsid w:val="007362FB"/>
    <w:rsid w:val="00736379"/>
    <w:rsid w:val="007369C1"/>
    <w:rsid w:val="00736A19"/>
    <w:rsid w:val="007372BE"/>
    <w:rsid w:val="007372E6"/>
    <w:rsid w:val="00737A1F"/>
    <w:rsid w:val="00737F81"/>
    <w:rsid w:val="0074034F"/>
    <w:rsid w:val="00740544"/>
    <w:rsid w:val="00741521"/>
    <w:rsid w:val="00741C27"/>
    <w:rsid w:val="00741F0A"/>
    <w:rsid w:val="00743681"/>
    <w:rsid w:val="00743F6E"/>
    <w:rsid w:val="007443F0"/>
    <w:rsid w:val="0074574F"/>
    <w:rsid w:val="00745B1A"/>
    <w:rsid w:val="00746050"/>
    <w:rsid w:val="00747C9F"/>
    <w:rsid w:val="0075032B"/>
    <w:rsid w:val="007503FC"/>
    <w:rsid w:val="00751856"/>
    <w:rsid w:val="0075316A"/>
    <w:rsid w:val="00753B39"/>
    <w:rsid w:val="007561D3"/>
    <w:rsid w:val="00756358"/>
    <w:rsid w:val="0075716B"/>
    <w:rsid w:val="0076016D"/>
    <w:rsid w:val="00760A2A"/>
    <w:rsid w:val="00760ED4"/>
    <w:rsid w:val="0076151B"/>
    <w:rsid w:val="00762AA5"/>
    <w:rsid w:val="00762BC8"/>
    <w:rsid w:val="0076318D"/>
    <w:rsid w:val="00763196"/>
    <w:rsid w:val="007634CE"/>
    <w:rsid w:val="007641D0"/>
    <w:rsid w:val="007649C0"/>
    <w:rsid w:val="0076561E"/>
    <w:rsid w:val="00765659"/>
    <w:rsid w:val="00765AA9"/>
    <w:rsid w:val="00765BCA"/>
    <w:rsid w:val="00765C9B"/>
    <w:rsid w:val="0076699A"/>
    <w:rsid w:val="00767CCD"/>
    <w:rsid w:val="00767F5F"/>
    <w:rsid w:val="007706EE"/>
    <w:rsid w:val="00770C5A"/>
    <w:rsid w:val="0077184D"/>
    <w:rsid w:val="00772480"/>
    <w:rsid w:val="00773875"/>
    <w:rsid w:val="0077512E"/>
    <w:rsid w:val="00775D2A"/>
    <w:rsid w:val="007766FC"/>
    <w:rsid w:val="00777827"/>
    <w:rsid w:val="007802A1"/>
    <w:rsid w:val="00780841"/>
    <w:rsid w:val="007810D4"/>
    <w:rsid w:val="00781347"/>
    <w:rsid w:val="007816DB"/>
    <w:rsid w:val="007819A7"/>
    <w:rsid w:val="00781A1D"/>
    <w:rsid w:val="00781FCD"/>
    <w:rsid w:val="00782417"/>
    <w:rsid w:val="00783753"/>
    <w:rsid w:val="0078644C"/>
    <w:rsid w:val="00787649"/>
    <w:rsid w:val="00787E2D"/>
    <w:rsid w:val="00790471"/>
    <w:rsid w:val="007904E4"/>
    <w:rsid w:val="00790E23"/>
    <w:rsid w:val="00790F14"/>
    <w:rsid w:val="007910C3"/>
    <w:rsid w:val="00791648"/>
    <w:rsid w:val="00792801"/>
    <w:rsid w:val="00792B01"/>
    <w:rsid w:val="007949A1"/>
    <w:rsid w:val="00794B1E"/>
    <w:rsid w:val="007952EF"/>
    <w:rsid w:val="00795E9A"/>
    <w:rsid w:val="007967E3"/>
    <w:rsid w:val="00796919"/>
    <w:rsid w:val="00796ADA"/>
    <w:rsid w:val="00796B99"/>
    <w:rsid w:val="0079748C"/>
    <w:rsid w:val="007978D1"/>
    <w:rsid w:val="00797AB5"/>
    <w:rsid w:val="007A1685"/>
    <w:rsid w:val="007A2292"/>
    <w:rsid w:val="007A3712"/>
    <w:rsid w:val="007A50C4"/>
    <w:rsid w:val="007A5B54"/>
    <w:rsid w:val="007A63BC"/>
    <w:rsid w:val="007A66F1"/>
    <w:rsid w:val="007A6D1C"/>
    <w:rsid w:val="007A7094"/>
    <w:rsid w:val="007B077A"/>
    <w:rsid w:val="007B1A60"/>
    <w:rsid w:val="007B259C"/>
    <w:rsid w:val="007B3503"/>
    <w:rsid w:val="007B41FA"/>
    <w:rsid w:val="007B5AB3"/>
    <w:rsid w:val="007B658E"/>
    <w:rsid w:val="007B7885"/>
    <w:rsid w:val="007C0257"/>
    <w:rsid w:val="007C189A"/>
    <w:rsid w:val="007C1993"/>
    <w:rsid w:val="007C1F58"/>
    <w:rsid w:val="007C2E4B"/>
    <w:rsid w:val="007C31EE"/>
    <w:rsid w:val="007C3362"/>
    <w:rsid w:val="007C3BEB"/>
    <w:rsid w:val="007C5B64"/>
    <w:rsid w:val="007C5C7A"/>
    <w:rsid w:val="007C63DB"/>
    <w:rsid w:val="007C757A"/>
    <w:rsid w:val="007D1B18"/>
    <w:rsid w:val="007D2816"/>
    <w:rsid w:val="007D4422"/>
    <w:rsid w:val="007D45CE"/>
    <w:rsid w:val="007D4D4C"/>
    <w:rsid w:val="007D533F"/>
    <w:rsid w:val="007D6A8F"/>
    <w:rsid w:val="007D6F24"/>
    <w:rsid w:val="007D6F2D"/>
    <w:rsid w:val="007D6F83"/>
    <w:rsid w:val="007E0A58"/>
    <w:rsid w:val="007E0CE4"/>
    <w:rsid w:val="007E1A47"/>
    <w:rsid w:val="007E2164"/>
    <w:rsid w:val="007E2515"/>
    <w:rsid w:val="007E25CF"/>
    <w:rsid w:val="007E390B"/>
    <w:rsid w:val="007E3C51"/>
    <w:rsid w:val="007E4444"/>
    <w:rsid w:val="007E4457"/>
    <w:rsid w:val="007E4F84"/>
    <w:rsid w:val="007E6459"/>
    <w:rsid w:val="007E6DB7"/>
    <w:rsid w:val="007E77AD"/>
    <w:rsid w:val="007E7B99"/>
    <w:rsid w:val="007E7F6A"/>
    <w:rsid w:val="007F0D83"/>
    <w:rsid w:val="007F2596"/>
    <w:rsid w:val="007F2DAF"/>
    <w:rsid w:val="007F35B1"/>
    <w:rsid w:val="007F3D67"/>
    <w:rsid w:val="007F4B59"/>
    <w:rsid w:val="007F4F28"/>
    <w:rsid w:val="007F5617"/>
    <w:rsid w:val="007F56BE"/>
    <w:rsid w:val="007F6CA2"/>
    <w:rsid w:val="007F7DCA"/>
    <w:rsid w:val="00800549"/>
    <w:rsid w:val="00801579"/>
    <w:rsid w:val="00801B99"/>
    <w:rsid w:val="00801FD9"/>
    <w:rsid w:val="008022CC"/>
    <w:rsid w:val="00802A0C"/>
    <w:rsid w:val="00802C91"/>
    <w:rsid w:val="00803863"/>
    <w:rsid w:val="00803886"/>
    <w:rsid w:val="008043D6"/>
    <w:rsid w:val="0080497F"/>
    <w:rsid w:val="008051BB"/>
    <w:rsid w:val="00805EA0"/>
    <w:rsid w:val="00805EDA"/>
    <w:rsid w:val="00806490"/>
    <w:rsid w:val="00806AFA"/>
    <w:rsid w:val="00806C49"/>
    <w:rsid w:val="008074BD"/>
    <w:rsid w:val="008074CE"/>
    <w:rsid w:val="008076F8"/>
    <w:rsid w:val="00810B84"/>
    <w:rsid w:val="00810F61"/>
    <w:rsid w:val="008126A2"/>
    <w:rsid w:val="0081298C"/>
    <w:rsid w:val="0081319B"/>
    <w:rsid w:val="00813BC8"/>
    <w:rsid w:val="00813C28"/>
    <w:rsid w:val="00813ED2"/>
    <w:rsid w:val="0081434A"/>
    <w:rsid w:val="008155CC"/>
    <w:rsid w:val="00816995"/>
    <w:rsid w:val="008177CE"/>
    <w:rsid w:val="008205A2"/>
    <w:rsid w:val="00822CD1"/>
    <w:rsid w:val="00823A14"/>
    <w:rsid w:val="008241E9"/>
    <w:rsid w:val="008245A3"/>
    <w:rsid w:val="00824729"/>
    <w:rsid w:val="00824749"/>
    <w:rsid w:val="00825868"/>
    <w:rsid w:val="00825E05"/>
    <w:rsid w:val="00826F9B"/>
    <w:rsid w:val="0082707B"/>
    <w:rsid w:val="00827563"/>
    <w:rsid w:val="008309C9"/>
    <w:rsid w:val="00830BD0"/>
    <w:rsid w:val="00831A66"/>
    <w:rsid w:val="00831B1F"/>
    <w:rsid w:val="008337EF"/>
    <w:rsid w:val="00833817"/>
    <w:rsid w:val="00833B16"/>
    <w:rsid w:val="00833EF0"/>
    <w:rsid w:val="00834109"/>
    <w:rsid w:val="00834DB8"/>
    <w:rsid w:val="008403C1"/>
    <w:rsid w:val="00840F5B"/>
    <w:rsid w:val="0084186B"/>
    <w:rsid w:val="0084199C"/>
    <w:rsid w:val="008421A0"/>
    <w:rsid w:val="00842816"/>
    <w:rsid w:val="008437CD"/>
    <w:rsid w:val="00844E4B"/>
    <w:rsid w:val="008459DF"/>
    <w:rsid w:val="008464E8"/>
    <w:rsid w:val="00846835"/>
    <w:rsid w:val="00846995"/>
    <w:rsid w:val="008472D4"/>
    <w:rsid w:val="00847E16"/>
    <w:rsid w:val="00850561"/>
    <w:rsid w:val="00850ECE"/>
    <w:rsid w:val="0085182A"/>
    <w:rsid w:val="00851A3D"/>
    <w:rsid w:val="00851A53"/>
    <w:rsid w:val="00854951"/>
    <w:rsid w:val="00854E3F"/>
    <w:rsid w:val="00855CDC"/>
    <w:rsid w:val="008562EB"/>
    <w:rsid w:val="00856369"/>
    <w:rsid w:val="00857236"/>
    <w:rsid w:val="00857B9C"/>
    <w:rsid w:val="00861257"/>
    <w:rsid w:val="00861552"/>
    <w:rsid w:val="00861560"/>
    <w:rsid w:val="00861B1D"/>
    <w:rsid w:val="00861E0F"/>
    <w:rsid w:val="008624E5"/>
    <w:rsid w:val="0086253A"/>
    <w:rsid w:val="00862FD0"/>
    <w:rsid w:val="008631D6"/>
    <w:rsid w:val="0086358D"/>
    <w:rsid w:val="00863CDC"/>
    <w:rsid w:val="00864661"/>
    <w:rsid w:val="00867EE2"/>
    <w:rsid w:val="008712EA"/>
    <w:rsid w:val="0087138C"/>
    <w:rsid w:val="00872845"/>
    <w:rsid w:val="0087359B"/>
    <w:rsid w:val="0087429C"/>
    <w:rsid w:val="008747B9"/>
    <w:rsid w:val="008755F9"/>
    <w:rsid w:val="00875A72"/>
    <w:rsid w:val="00875BBF"/>
    <w:rsid w:val="00876012"/>
    <w:rsid w:val="00876A05"/>
    <w:rsid w:val="00876AF7"/>
    <w:rsid w:val="00876B8B"/>
    <w:rsid w:val="00877381"/>
    <w:rsid w:val="00877F78"/>
    <w:rsid w:val="008804BD"/>
    <w:rsid w:val="0088059C"/>
    <w:rsid w:val="00880C93"/>
    <w:rsid w:val="0088275B"/>
    <w:rsid w:val="008831D6"/>
    <w:rsid w:val="00883567"/>
    <w:rsid w:val="00884198"/>
    <w:rsid w:val="00884ADC"/>
    <w:rsid w:val="00885290"/>
    <w:rsid w:val="00885736"/>
    <w:rsid w:val="008858D5"/>
    <w:rsid w:val="00886D5D"/>
    <w:rsid w:val="008877E9"/>
    <w:rsid w:val="00890D60"/>
    <w:rsid w:val="008912D1"/>
    <w:rsid w:val="0089175D"/>
    <w:rsid w:val="00891D38"/>
    <w:rsid w:val="0089212E"/>
    <w:rsid w:val="00892BB2"/>
    <w:rsid w:val="0089465E"/>
    <w:rsid w:val="008955C6"/>
    <w:rsid w:val="00895AAA"/>
    <w:rsid w:val="00896002"/>
    <w:rsid w:val="00897C69"/>
    <w:rsid w:val="00897E44"/>
    <w:rsid w:val="008A0393"/>
    <w:rsid w:val="008A05D5"/>
    <w:rsid w:val="008A08D9"/>
    <w:rsid w:val="008A0D54"/>
    <w:rsid w:val="008A32BC"/>
    <w:rsid w:val="008A3E0D"/>
    <w:rsid w:val="008A410F"/>
    <w:rsid w:val="008A453C"/>
    <w:rsid w:val="008A47E3"/>
    <w:rsid w:val="008A4BF1"/>
    <w:rsid w:val="008A4E67"/>
    <w:rsid w:val="008A5047"/>
    <w:rsid w:val="008A5CD7"/>
    <w:rsid w:val="008A5CF6"/>
    <w:rsid w:val="008A5E55"/>
    <w:rsid w:val="008A6297"/>
    <w:rsid w:val="008A6732"/>
    <w:rsid w:val="008A71DC"/>
    <w:rsid w:val="008A7CA5"/>
    <w:rsid w:val="008B1F52"/>
    <w:rsid w:val="008B1F63"/>
    <w:rsid w:val="008B23E1"/>
    <w:rsid w:val="008B3211"/>
    <w:rsid w:val="008B33EB"/>
    <w:rsid w:val="008B3B13"/>
    <w:rsid w:val="008B3CA0"/>
    <w:rsid w:val="008B3F32"/>
    <w:rsid w:val="008B5792"/>
    <w:rsid w:val="008B7B05"/>
    <w:rsid w:val="008C1059"/>
    <w:rsid w:val="008C13D9"/>
    <w:rsid w:val="008C17D9"/>
    <w:rsid w:val="008C290D"/>
    <w:rsid w:val="008C339E"/>
    <w:rsid w:val="008C3DCF"/>
    <w:rsid w:val="008C42E4"/>
    <w:rsid w:val="008C56C1"/>
    <w:rsid w:val="008C5C0D"/>
    <w:rsid w:val="008D09A6"/>
    <w:rsid w:val="008D1ABC"/>
    <w:rsid w:val="008D2F52"/>
    <w:rsid w:val="008D43E0"/>
    <w:rsid w:val="008D524C"/>
    <w:rsid w:val="008D588A"/>
    <w:rsid w:val="008D5B25"/>
    <w:rsid w:val="008D5D14"/>
    <w:rsid w:val="008D6456"/>
    <w:rsid w:val="008D6958"/>
    <w:rsid w:val="008D7AD2"/>
    <w:rsid w:val="008D7B8F"/>
    <w:rsid w:val="008E0A5D"/>
    <w:rsid w:val="008E0B1E"/>
    <w:rsid w:val="008E189A"/>
    <w:rsid w:val="008E1F3F"/>
    <w:rsid w:val="008E24DE"/>
    <w:rsid w:val="008E364F"/>
    <w:rsid w:val="008E4AE7"/>
    <w:rsid w:val="008E5764"/>
    <w:rsid w:val="008E5E92"/>
    <w:rsid w:val="008E6A40"/>
    <w:rsid w:val="008E712A"/>
    <w:rsid w:val="008E7C7C"/>
    <w:rsid w:val="008F0D3C"/>
    <w:rsid w:val="008F1F90"/>
    <w:rsid w:val="008F29E8"/>
    <w:rsid w:val="008F30D8"/>
    <w:rsid w:val="008F37E9"/>
    <w:rsid w:val="008F47C3"/>
    <w:rsid w:val="008F495A"/>
    <w:rsid w:val="008F7F07"/>
    <w:rsid w:val="0090045D"/>
    <w:rsid w:val="00902EC7"/>
    <w:rsid w:val="0090340F"/>
    <w:rsid w:val="00903562"/>
    <w:rsid w:val="00903971"/>
    <w:rsid w:val="00904037"/>
    <w:rsid w:val="009041FA"/>
    <w:rsid w:val="009075B3"/>
    <w:rsid w:val="00907ACB"/>
    <w:rsid w:val="009103DE"/>
    <w:rsid w:val="0091100E"/>
    <w:rsid w:val="00912479"/>
    <w:rsid w:val="009126A8"/>
    <w:rsid w:val="0091306A"/>
    <w:rsid w:val="00913BEE"/>
    <w:rsid w:val="00916C9E"/>
    <w:rsid w:val="00916E46"/>
    <w:rsid w:val="00917B1B"/>
    <w:rsid w:val="00917BD1"/>
    <w:rsid w:val="0092182D"/>
    <w:rsid w:val="00922B3B"/>
    <w:rsid w:val="00923765"/>
    <w:rsid w:val="00923E51"/>
    <w:rsid w:val="009248F3"/>
    <w:rsid w:val="00925596"/>
    <w:rsid w:val="00925780"/>
    <w:rsid w:val="00925B01"/>
    <w:rsid w:val="00926341"/>
    <w:rsid w:val="009352CB"/>
    <w:rsid w:val="00935429"/>
    <w:rsid w:val="009355BB"/>
    <w:rsid w:val="00936CEB"/>
    <w:rsid w:val="00940325"/>
    <w:rsid w:val="0094053E"/>
    <w:rsid w:val="009408B7"/>
    <w:rsid w:val="00942009"/>
    <w:rsid w:val="0094205F"/>
    <w:rsid w:val="009421F7"/>
    <w:rsid w:val="00942294"/>
    <w:rsid w:val="00942467"/>
    <w:rsid w:val="00944757"/>
    <w:rsid w:val="00944AB1"/>
    <w:rsid w:val="0094788D"/>
    <w:rsid w:val="00947A78"/>
    <w:rsid w:val="0095032E"/>
    <w:rsid w:val="009523C2"/>
    <w:rsid w:val="00952A68"/>
    <w:rsid w:val="00952CA0"/>
    <w:rsid w:val="00952D22"/>
    <w:rsid w:val="0095381A"/>
    <w:rsid w:val="00953918"/>
    <w:rsid w:val="00953CFB"/>
    <w:rsid w:val="009543D7"/>
    <w:rsid w:val="009548AC"/>
    <w:rsid w:val="009553F6"/>
    <w:rsid w:val="00957BD8"/>
    <w:rsid w:val="009619DD"/>
    <w:rsid w:val="00961A7F"/>
    <w:rsid w:val="00962427"/>
    <w:rsid w:val="00962C90"/>
    <w:rsid w:val="00964022"/>
    <w:rsid w:val="009644DB"/>
    <w:rsid w:val="00966876"/>
    <w:rsid w:val="00966F49"/>
    <w:rsid w:val="00970313"/>
    <w:rsid w:val="00970743"/>
    <w:rsid w:val="009710E4"/>
    <w:rsid w:val="00971207"/>
    <w:rsid w:val="00971332"/>
    <w:rsid w:val="00971695"/>
    <w:rsid w:val="00971989"/>
    <w:rsid w:val="00972AAA"/>
    <w:rsid w:val="00972BD8"/>
    <w:rsid w:val="00973156"/>
    <w:rsid w:val="00973D9F"/>
    <w:rsid w:val="0097428D"/>
    <w:rsid w:val="009744FE"/>
    <w:rsid w:val="00975C3B"/>
    <w:rsid w:val="00976479"/>
    <w:rsid w:val="00976E17"/>
    <w:rsid w:val="00977074"/>
    <w:rsid w:val="0097760E"/>
    <w:rsid w:val="00977869"/>
    <w:rsid w:val="00980C80"/>
    <w:rsid w:val="009813B5"/>
    <w:rsid w:val="00981999"/>
    <w:rsid w:val="00982191"/>
    <w:rsid w:val="00982581"/>
    <w:rsid w:val="00982FB7"/>
    <w:rsid w:val="009833D5"/>
    <w:rsid w:val="00983EED"/>
    <w:rsid w:val="00984499"/>
    <w:rsid w:val="009845BB"/>
    <w:rsid w:val="0098516B"/>
    <w:rsid w:val="00985279"/>
    <w:rsid w:val="00985657"/>
    <w:rsid w:val="00986B5A"/>
    <w:rsid w:val="00986C80"/>
    <w:rsid w:val="009879EB"/>
    <w:rsid w:val="00987AFC"/>
    <w:rsid w:val="00987EBB"/>
    <w:rsid w:val="00990D0D"/>
    <w:rsid w:val="009910D4"/>
    <w:rsid w:val="00991B68"/>
    <w:rsid w:val="00993347"/>
    <w:rsid w:val="00993E75"/>
    <w:rsid w:val="0099463A"/>
    <w:rsid w:val="00994839"/>
    <w:rsid w:val="00995455"/>
    <w:rsid w:val="00996516"/>
    <w:rsid w:val="00997381"/>
    <w:rsid w:val="00997B97"/>
    <w:rsid w:val="009A00C7"/>
    <w:rsid w:val="009A1E7B"/>
    <w:rsid w:val="009A2066"/>
    <w:rsid w:val="009A341E"/>
    <w:rsid w:val="009A39DE"/>
    <w:rsid w:val="009A45D6"/>
    <w:rsid w:val="009A4D87"/>
    <w:rsid w:val="009A5324"/>
    <w:rsid w:val="009A545D"/>
    <w:rsid w:val="009A54C1"/>
    <w:rsid w:val="009A6E17"/>
    <w:rsid w:val="009A73DF"/>
    <w:rsid w:val="009A7871"/>
    <w:rsid w:val="009B032E"/>
    <w:rsid w:val="009B06E1"/>
    <w:rsid w:val="009B0EAC"/>
    <w:rsid w:val="009B14B6"/>
    <w:rsid w:val="009B15EF"/>
    <w:rsid w:val="009B1B45"/>
    <w:rsid w:val="009B3CEE"/>
    <w:rsid w:val="009B447C"/>
    <w:rsid w:val="009B520A"/>
    <w:rsid w:val="009B5BCE"/>
    <w:rsid w:val="009B78C4"/>
    <w:rsid w:val="009B7C38"/>
    <w:rsid w:val="009B7E8A"/>
    <w:rsid w:val="009C059E"/>
    <w:rsid w:val="009C0E8F"/>
    <w:rsid w:val="009C1538"/>
    <w:rsid w:val="009C1C09"/>
    <w:rsid w:val="009C235B"/>
    <w:rsid w:val="009C2442"/>
    <w:rsid w:val="009C2688"/>
    <w:rsid w:val="009C2EFB"/>
    <w:rsid w:val="009C367C"/>
    <w:rsid w:val="009C37A6"/>
    <w:rsid w:val="009C3AE0"/>
    <w:rsid w:val="009C5587"/>
    <w:rsid w:val="009C7AE5"/>
    <w:rsid w:val="009D0F51"/>
    <w:rsid w:val="009D19DF"/>
    <w:rsid w:val="009D241B"/>
    <w:rsid w:val="009D2C67"/>
    <w:rsid w:val="009D53A7"/>
    <w:rsid w:val="009D5731"/>
    <w:rsid w:val="009D5ECF"/>
    <w:rsid w:val="009D61BE"/>
    <w:rsid w:val="009D61EA"/>
    <w:rsid w:val="009D65BA"/>
    <w:rsid w:val="009E0687"/>
    <w:rsid w:val="009E0A31"/>
    <w:rsid w:val="009E1405"/>
    <w:rsid w:val="009E4C57"/>
    <w:rsid w:val="009E5213"/>
    <w:rsid w:val="009E56B9"/>
    <w:rsid w:val="009E5BE2"/>
    <w:rsid w:val="009E680C"/>
    <w:rsid w:val="009E7029"/>
    <w:rsid w:val="009F0F1C"/>
    <w:rsid w:val="009F17CB"/>
    <w:rsid w:val="009F3CC4"/>
    <w:rsid w:val="009F4FCF"/>
    <w:rsid w:val="009F542F"/>
    <w:rsid w:val="009F5ECA"/>
    <w:rsid w:val="009F6729"/>
    <w:rsid w:val="009F6B60"/>
    <w:rsid w:val="009F7278"/>
    <w:rsid w:val="00A002DB"/>
    <w:rsid w:val="00A00779"/>
    <w:rsid w:val="00A03C82"/>
    <w:rsid w:val="00A05186"/>
    <w:rsid w:val="00A05278"/>
    <w:rsid w:val="00A0532D"/>
    <w:rsid w:val="00A05D0E"/>
    <w:rsid w:val="00A05F4E"/>
    <w:rsid w:val="00A0663A"/>
    <w:rsid w:val="00A0675B"/>
    <w:rsid w:val="00A06ABB"/>
    <w:rsid w:val="00A07862"/>
    <w:rsid w:val="00A1054F"/>
    <w:rsid w:val="00A10AE8"/>
    <w:rsid w:val="00A1129C"/>
    <w:rsid w:val="00A11994"/>
    <w:rsid w:val="00A121CC"/>
    <w:rsid w:val="00A12ABC"/>
    <w:rsid w:val="00A13BF0"/>
    <w:rsid w:val="00A13DF3"/>
    <w:rsid w:val="00A1487A"/>
    <w:rsid w:val="00A1510B"/>
    <w:rsid w:val="00A15C92"/>
    <w:rsid w:val="00A15CE2"/>
    <w:rsid w:val="00A16C38"/>
    <w:rsid w:val="00A17595"/>
    <w:rsid w:val="00A2046E"/>
    <w:rsid w:val="00A20A44"/>
    <w:rsid w:val="00A21A45"/>
    <w:rsid w:val="00A22FC7"/>
    <w:rsid w:val="00A23473"/>
    <w:rsid w:val="00A2398C"/>
    <w:rsid w:val="00A23B61"/>
    <w:rsid w:val="00A23C6D"/>
    <w:rsid w:val="00A24290"/>
    <w:rsid w:val="00A2448F"/>
    <w:rsid w:val="00A24582"/>
    <w:rsid w:val="00A24BAB"/>
    <w:rsid w:val="00A25AEF"/>
    <w:rsid w:val="00A2604B"/>
    <w:rsid w:val="00A26960"/>
    <w:rsid w:val="00A26F91"/>
    <w:rsid w:val="00A27FE2"/>
    <w:rsid w:val="00A3001F"/>
    <w:rsid w:val="00A307B9"/>
    <w:rsid w:val="00A30875"/>
    <w:rsid w:val="00A31CCC"/>
    <w:rsid w:val="00A31DFA"/>
    <w:rsid w:val="00A31F06"/>
    <w:rsid w:val="00A326CF"/>
    <w:rsid w:val="00A34783"/>
    <w:rsid w:val="00A35E12"/>
    <w:rsid w:val="00A35F17"/>
    <w:rsid w:val="00A36717"/>
    <w:rsid w:val="00A37DD0"/>
    <w:rsid w:val="00A37EE7"/>
    <w:rsid w:val="00A40D0C"/>
    <w:rsid w:val="00A415E3"/>
    <w:rsid w:val="00A43093"/>
    <w:rsid w:val="00A44370"/>
    <w:rsid w:val="00A44D68"/>
    <w:rsid w:val="00A4507D"/>
    <w:rsid w:val="00A45A2B"/>
    <w:rsid w:val="00A4651F"/>
    <w:rsid w:val="00A46552"/>
    <w:rsid w:val="00A46560"/>
    <w:rsid w:val="00A47A4D"/>
    <w:rsid w:val="00A5071E"/>
    <w:rsid w:val="00A509CC"/>
    <w:rsid w:val="00A513F9"/>
    <w:rsid w:val="00A51771"/>
    <w:rsid w:val="00A51834"/>
    <w:rsid w:val="00A51A01"/>
    <w:rsid w:val="00A51C07"/>
    <w:rsid w:val="00A525CF"/>
    <w:rsid w:val="00A52C48"/>
    <w:rsid w:val="00A52DD3"/>
    <w:rsid w:val="00A543C6"/>
    <w:rsid w:val="00A54D24"/>
    <w:rsid w:val="00A55225"/>
    <w:rsid w:val="00A55716"/>
    <w:rsid w:val="00A57331"/>
    <w:rsid w:val="00A57B1C"/>
    <w:rsid w:val="00A60FFF"/>
    <w:rsid w:val="00A62567"/>
    <w:rsid w:val="00A62B72"/>
    <w:rsid w:val="00A630E5"/>
    <w:rsid w:val="00A650A6"/>
    <w:rsid w:val="00A65EB7"/>
    <w:rsid w:val="00A66B8E"/>
    <w:rsid w:val="00A66E67"/>
    <w:rsid w:val="00A705FB"/>
    <w:rsid w:val="00A71B58"/>
    <w:rsid w:val="00A71BA8"/>
    <w:rsid w:val="00A72097"/>
    <w:rsid w:val="00A723E6"/>
    <w:rsid w:val="00A72443"/>
    <w:rsid w:val="00A72C19"/>
    <w:rsid w:val="00A73524"/>
    <w:rsid w:val="00A739EA"/>
    <w:rsid w:val="00A73E2E"/>
    <w:rsid w:val="00A73FDE"/>
    <w:rsid w:val="00A74185"/>
    <w:rsid w:val="00A745A4"/>
    <w:rsid w:val="00A74A4A"/>
    <w:rsid w:val="00A75D2E"/>
    <w:rsid w:val="00A761D8"/>
    <w:rsid w:val="00A76E57"/>
    <w:rsid w:val="00A7757A"/>
    <w:rsid w:val="00A779DA"/>
    <w:rsid w:val="00A77BAE"/>
    <w:rsid w:val="00A77EC7"/>
    <w:rsid w:val="00A77F56"/>
    <w:rsid w:val="00A804B1"/>
    <w:rsid w:val="00A81313"/>
    <w:rsid w:val="00A81A41"/>
    <w:rsid w:val="00A81CEB"/>
    <w:rsid w:val="00A81E13"/>
    <w:rsid w:val="00A81EF4"/>
    <w:rsid w:val="00A82669"/>
    <w:rsid w:val="00A82BF1"/>
    <w:rsid w:val="00A83A7C"/>
    <w:rsid w:val="00A8425F"/>
    <w:rsid w:val="00A8435B"/>
    <w:rsid w:val="00A86279"/>
    <w:rsid w:val="00A86375"/>
    <w:rsid w:val="00A903EA"/>
    <w:rsid w:val="00A91D1B"/>
    <w:rsid w:val="00A9302E"/>
    <w:rsid w:val="00A936AA"/>
    <w:rsid w:val="00A94DA1"/>
    <w:rsid w:val="00A94FF4"/>
    <w:rsid w:val="00A953F9"/>
    <w:rsid w:val="00A95AAD"/>
    <w:rsid w:val="00A95E01"/>
    <w:rsid w:val="00A9710F"/>
    <w:rsid w:val="00A97655"/>
    <w:rsid w:val="00A97CC9"/>
    <w:rsid w:val="00A97EC4"/>
    <w:rsid w:val="00AA1405"/>
    <w:rsid w:val="00AA376B"/>
    <w:rsid w:val="00AA4EB3"/>
    <w:rsid w:val="00AA6176"/>
    <w:rsid w:val="00AA73F9"/>
    <w:rsid w:val="00AA7895"/>
    <w:rsid w:val="00AB00AF"/>
    <w:rsid w:val="00AB02DC"/>
    <w:rsid w:val="00AB06ED"/>
    <w:rsid w:val="00AB087E"/>
    <w:rsid w:val="00AB2DCE"/>
    <w:rsid w:val="00AB3E5C"/>
    <w:rsid w:val="00AB420D"/>
    <w:rsid w:val="00AB5E6E"/>
    <w:rsid w:val="00AB62F3"/>
    <w:rsid w:val="00AB63D9"/>
    <w:rsid w:val="00AB6D07"/>
    <w:rsid w:val="00AB6E81"/>
    <w:rsid w:val="00AB75C8"/>
    <w:rsid w:val="00AC02B2"/>
    <w:rsid w:val="00AC0B02"/>
    <w:rsid w:val="00AC0F7A"/>
    <w:rsid w:val="00AC12FD"/>
    <w:rsid w:val="00AC178D"/>
    <w:rsid w:val="00AC21B4"/>
    <w:rsid w:val="00AC2D25"/>
    <w:rsid w:val="00AC2FEC"/>
    <w:rsid w:val="00AC319F"/>
    <w:rsid w:val="00AC50DE"/>
    <w:rsid w:val="00AC656E"/>
    <w:rsid w:val="00AC7060"/>
    <w:rsid w:val="00AC7479"/>
    <w:rsid w:val="00AD15AE"/>
    <w:rsid w:val="00AD1D81"/>
    <w:rsid w:val="00AD276B"/>
    <w:rsid w:val="00AD2A6C"/>
    <w:rsid w:val="00AD2F3E"/>
    <w:rsid w:val="00AD39C9"/>
    <w:rsid w:val="00AD3DA5"/>
    <w:rsid w:val="00AD3FBD"/>
    <w:rsid w:val="00AD5640"/>
    <w:rsid w:val="00AD5FF3"/>
    <w:rsid w:val="00AE023A"/>
    <w:rsid w:val="00AE1A63"/>
    <w:rsid w:val="00AE31D8"/>
    <w:rsid w:val="00AE3C54"/>
    <w:rsid w:val="00AE4080"/>
    <w:rsid w:val="00AE615F"/>
    <w:rsid w:val="00AE6620"/>
    <w:rsid w:val="00AE6BB4"/>
    <w:rsid w:val="00AE7206"/>
    <w:rsid w:val="00AE74A8"/>
    <w:rsid w:val="00AE757E"/>
    <w:rsid w:val="00AF109B"/>
    <w:rsid w:val="00AF2342"/>
    <w:rsid w:val="00AF28B0"/>
    <w:rsid w:val="00AF3123"/>
    <w:rsid w:val="00AF3BA2"/>
    <w:rsid w:val="00AF471C"/>
    <w:rsid w:val="00AF4968"/>
    <w:rsid w:val="00AF49F9"/>
    <w:rsid w:val="00AF4E9D"/>
    <w:rsid w:val="00AF676E"/>
    <w:rsid w:val="00AF6A78"/>
    <w:rsid w:val="00B00365"/>
    <w:rsid w:val="00B003FC"/>
    <w:rsid w:val="00B00B7F"/>
    <w:rsid w:val="00B01903"/>
    <w:rsid w:val="00B022B6"/>
    <w:rsid w:val="00B03F3E"/>
    <w:rsid w:val="00B04265"/>
    <w:rsid w:val="00B04630"/>
    <w:rsid w:val="00B056A8"/>
    <w:rsid w:val="00B05777"/>
    <w:rsid w:val="00B0583F"/>
    <w:rsid w:val="00B06079"/>
    <w:rsid w:val="00B07B8C"/>
    <w:rsid w:val="00B103E0"/>
    <w:rsid w:val="00B1079E"/>
    <w:rsid w:val="00B1121C"/>
    <w:rsid w:val="00B116D7"/>
    <w:rsid w:val="00B11969"/>
    <w:rsid w:val="00B12B01"/>
    <w:rsid w:val="00B12F9F"/>
    <w:rsid w:val="00B1538B"/>
    <w:rsid w:val="00B1561F"/>
    <w:rsid w:val="00B1664A"/>
    <w:rsid w:val="00B16718"/>
    <w:rsid w:val="00B16CA0"/>
    <w:rsid w:val="00B16ED9"/>
    <w:rsid w:val="00B16F9C"/>
    <w:rsid w:val="00B170E5"/>
    <w:rsid w:val="00B172EB"/>
    <w:rsid w:val="00B175B3"/>
    <w:rsid w:val="00B175F7"/>
    <w:rsid w:val="00B20179"/>
    <w:rsid w:val="00B20427"/>
    <w:rsid w:val="00B20571"/>
    <w:rsid w:val="00B209D3"/>
    <w:rsid w:val="00B22132"/>
    <w:rsid w:val="00B23EC2"/>
    <w:rsid w:val="00B261DD"/>
    <w:rsid w:val="00B26F96"/>
    <w:rsid w:val="00B271DA"/>
    <w:rsid w:val="00B2752E"/>
    <w:rsid w:val="00B30C0E"/>
    <w:rsid w:val="00B313B1"/>
    <w:rsid w:val="00B31BFB"/>
    <w:rsid w:val="00B32629"/>
    <w:rsid w:val="00B32668"/>
    <w:rsid w:val="00B32C1F"/>
    <w:rsid w:val="00B330AF"/>
    <w:rsid w:val="00B3313E"/>
    <w:rsid w:val="00B33BBD"/>
    <w:rsid w:val="00B359CC"/>
    <w:rsid w:val="00B35EA1"/>
    <w:rsid w:val="00B368D3"/>
    <w:rsid w:val="00B37449"/>
    <w:rsid w:val="00B37666"/>
    <w:rsid w:val="00B379DF"/>
    <w:rsid w:val="00B37FFB"/>
    <w:rsid w:val="00B41214"/>
    <w:rsid w:val="00B412A6"/>
    <w:rsid w:val="00B41658"/>
    <w:rsid w:val="00B42A60"/>
    <w:rsid w:val="00B43346"/>
    <w:rsid w:val="00B44419"/>
    <w:rsid w:val="00B4607F"/>
    <w:rsid w:val="00B46820"/>
    <w:rsid w:val="00B473D2"/>
    <w:rsid w:val="00B47575"/>
    <w:rsid w:val="00B505E2"/>
    <w:rsid w:val="00B51C12"/>
    <w:rsid w:val="00B51F50"/>
    <w:rsid w:val="00B51F67"/>
    <w:rsid w:val="00B53A0F"/>
    <w:rsid w:val="00B562A2"/>
    <w:rsid w:val="00B568C7"/>
    <w:rsid w:val="00B56C30"/>
    <w:rsid w:val="00B57709"/>
    <w:rsid w:val="00B57AD2"/>
    <w:rsid w:val="00B61351"/>
    <w:rsid w:val="00B616E6"/>
    <w:rsid w:val="00B62ACB"/>
    <w:rsid w:val="00B6313A"/>
    <w:rsid w:val="00B6320B"/>
    <w:rsid w:val="00B63482"/>
    <w:rsid w:val="00B63E46"/>
    <w:rsid w:val="00B647D8"/>
    <w:rsid w:val="00B64AE1"/>
    <w:rsid w:val="00B66F45"/>
    <w:rsid w:val="00B671BC"/>
    <w:rsid w:val="00B67856"/>
    <w:rsid w:val="00B70684"/>
    <w:rsid w:val="00B710A6"/>
    <w:rsid w:val="00B71C9E"/>
    <w:rsid w:val="00B71F10"/>
    <w:rsid w:val="00B722F5"/>
    <w:rsid w:val="00B726E0"/>
    <w:rsid w:val="00B73307"/>
    <w:rsid w:val="00B7375D"/>
    <w:rsid w:val="00B74DD3"/>
    <w:rsid w:val="00B74F1E"/>
    <w:rsid w:val="00B74FE1"/>
    <w:rsid w:val="00B75A5A"/>
    <w:rsid w:val="00B75C37"/>
    <w:rsid w:val="00B772AB"/>
    <w:rsid w:val="00B77FEC"/>
    <w:rsid w:val="00B81496"/>
    <w:rsid w:val="00B81BBA"/>
    <w:rsid w:val="00B822AA"/>
    <w:rsid w:val="00B824B4"/>
    <w:rsid w:val="00B8258F"/>
    <w:rsid w:val="00B8262F"/>
    <w:rsid w:val="00B83136"/>
    <w:rsid w:val="00B83BB2"/>
    <w:rsid w:val="00B83F96"/>
    <w:rsid w:val="00B8457E"/>
    <w:rsid w:val="00B8525A"/>
    <w:rsid w:val="00B85540"/>
    <w:rsid w:val="00B85726"/>
    <w:rsid w:val="00B86FAF"/>
    <w:rsid w:val="00B87231"/>
    <w:rsid w:val="00B872ED"/>
    <w:rsid w:val="00B8745F"/>
    <w:rsid w:val="00B879B7"/>
    <w:rsid w:val="00B87B50"/>
    <w:rsid w:val="00B87B8B"/>
    <w:rsid w:val="00B90CC6"/>
    <w:rsid w:val="00B9321F"/>
    <w:rsid w:val="00B94740"/>
    <w:rsid w:val="00B94B2C"/>
    <w:rsid w:val="00B95D99"/>
    <w:rsid w:val="00B95DB9"/>
    <w:rsid w:val="00B97D63"/>
    <w:rsid w:val="00BA1364"/>
    <w:rsid w:val="00BA1495"/>
    <w:rsid w:val="00BA1A54"/>
    <w:rsid w:val="00BA1BB9"/>
    <w:rsid w:val="00BA2AE1"/>
    <w:rsid w:val="00BA2B4E"/>
    <w:rsid w:val="00BA394A"/>
    <w:rsid w:val="00BA3D5F"/>
    <w:rsid w:val="00BA4B89"/>
    <w:rsid w:val="00BA559D"/>
    <w:rsid w:val="00BB022E"/>
    <w:rsid w:val="00BB0A79"/>
    <w:rsid w:val="00BB101A"/>
    <w:rsid w:val="00BB1855"/>
    <w:rsid w:val="00BB193B"/>
    <w:rsid w:val="00BB375B"/>
    <w:rsid w:val="00BB4189"/>
    <w:rsid w:val="00BB4BEE"/>
    <w:rsid w:val="00BB61F1"/>
    <w:rsid w:val="00BB63C4"/>
    <w:rsid w:val="00BB71A4"/>
    <w:rsid w:val="00BB733E"/>
    <w:rsid w:val="00BB7CB1"/>
    <w:rsid w:val="00BC042F"/>
    <w:rsid w:val="00BC1676"/>
    <w:rsid w:val="00BC1EDE"/>
    <w:rsid w:val="00BC230F"/>
    <w:rsid w:val="00BC2326"/>
    <w:rsid w:val="00BC2D72"/>
    <w:rsid w:val="00BC2DB5"/>
    <w:rsid w:val="00BC43A5"/>
    <w:rsid w:val="00BC505A"/>
    <w:rsid w:val="00BC5260"/>
    <w:rsid w:val="00BC53D9"/>
    <w:rsid w:val="00BC5DB9"/>
    <w:rsid w:val="00BC64AF"/>
    <w:rsid w:val="00BC6B2F"/>
    <w:rsid w:val="00BC6C22"/>
    <w:rsid w:val="00BC769E"/>
    <w:rsid w:val="00BC7AB4"/>
    <w:rsid w:val="00BD15A0"/>
    <w:rsid w:val="00BD2E80"/>
    <w:rsid w:val="00BD3138"/>
    <w:rsid w:val="00BD3163"/>
    <w:rsid w:val="00BD3275"/>
    <w:rsid w:val="00BD5EE9"/>
    <w:rsid w:val="00BD662C"/>
    <w:rsid w:val="00BD66C6"/>
    <w:rsid w:val="00BD6DCD"/>
    <w:rsid w:val="00BD744F"/>
    <w:rsid w:val="00BD7806"/>
    <w:rsid w:val="00BD7B60"/>
    <w:rsid w:val="00BE1736"/>
    <w:rsid w:val="00BE173D"/>
    <w:rsid w:val="00BE1D88"/>
    <w:rsid w:val="00BE2BFD"/>
    <w:rsid w:val="00BE3DEA"/>
    <w:rsid w:val="00BE440B"/>
    <w:rsid w:val="00BE57A8"/>
    <w:rsid w:val="00BE5C82"/>
    <w:rsid w:val="00BE5CA0"/>
    <w:rsid w:val="00BE63EE"/>
    <w:rsid w:val="00BE6A0C"/>
    <w:rsid w:val="00BE7B5F"/>
    <w:rsid w:val="00BF0031"/>
    <w:rsid w:val="00BF0D6A"/>
    <w:rsid w:val="00BF1C40"/>
    <w:rsid w:val="00BF1E7E"/>
    <w:rsid w:val="00BF1F0E"/>
    <w:rsid w:val="00BF4342"/>
    <w:rsid w:val="00BF45A2"/>
    <w:rsid w:val="00BF525C"/>
    <w:rsid w:val="00BF561B"/>
    <w:rsid w:val="00BF5CD0"/>
    <w:rsid w:val="00BF5FDB"/>
    <w:rsid w:val="00BF67EF"/>
    <w:rsid w:val="00BF7472"/>
    <w:rsid w:val="00BF7AA4"/>
    <w:rsid w:val="00C00C09"/>
    <w:rsid w:val="00C022A5"/>
    <w:rsid w:val="00C024F4"/>
    <w:rsid w:val="00C02569"/>
    <w:rsid w:val="00C026DB"/>
    <w:rsid w:val="00C02D27"/>
    <w:rsid w:val="00C06F66"/>
    <w:rsid w:val="00C101EC"/>
    <w:rsid w:val="00C112BC"/>
    <w:rsid w:val="00C124A0"/>
    <w:rsid w:val="00C12825"/>
    <w:rsid w:val="00C14B4C"/>
    <w:rsid w:val="00C14CD7"/>
    <w:rsid w:val="00C166CA"/>
    <w:rsid w:val="00C168BD"/>
    <w:rsid w:val="00C17412"/>
    <w:rsid w:val="00C20E1A"/>
    <w:rsid w:val="00C2149E"/>
    <w:rsid w:val="00C22BFF"/>
    <w:rsid w:val="00C236B7"/>
    <w:rsid w:val="00C23C2E"/>
    <w:rsid w:val="00C23F0E"/>
    <w:rsid w:val="00C24AA5"/>
    <w:rsid w:val="00C2695C"/>
    <w:rsid w:val="00C26BC0"/>
    <w:rsid w:val="00C26D62"/>
    <w:rsid w:val="00C27102"/>
    <w:rsid w:val="00C275A5"/>
    <w:rsid w:val="00C30AC9"/>
    <w:rsid w:val="00C30F98"/>
    <w:rsid w:val="00C310FF"/>
    <w:rsid w:val="00C31ADD"/>
    <w:rsid w:val="00C31D60"/>
    <w:rsid w:val="00C3208F"/>
    <w:rsid w:val="00C3270B"/>
    <w:rsid w:val="00C3295D"/>
    <w:rsid w:val="00C3310D"/>
    <w:rsid w:val="00C333BC"/>
    <w:rsid w:val="00C335FA"/>
    <w:rsid w:val="00C340F0"/>
    <w:rsid w:val="00C34287"/>
    <w:rsid w:val="00C34511"/>
    <w:rsid w:val="00C34F9F"/>
    <w:rsid w:val="00C3693E"/>
    <w:rsid w:val="00C36977"/>
    <w:rsid w:val="00C36B04"/>
    <w:rsid w:val="00C36BC9"/>
    <w:rsid w:val="00C36E3E"/>
    <w:rsid w:val="00C37A9C"/>
    <w:rsid w:val="00C37B97"/>
    <w:rsid w:val="00C37C5C"/>
    <w:rsid w:val="00C4139C"/>
    <w:rsid w:val="00C41C2B"/>
    <w:rsid w:val="00C4292C"/>
    <w:rsid w:val="00C42C39"/>
    <w:rsid w:val="00C43029"/>
    <w:rsid w:val="00C43066"/>
    <w:rsid w:val="00C43521"/>
    <w:rsid w:val="00C43763"/>
    <w:rsid w:val="00C4399E"/>
    <w:rsid w:val="00C44121"/>
    <w:rsid w:val="00C448C5"/>
    <w:rsid w:val="00C4519C"/>
    <w:rsid w:val="00C454F6"/>
    <w:rsid w:val="00C45A45"/>
    <w:rsid w:val="00C461BA"/>
    <w:rsid w:val="00C46916"/>
    <w:rsid w:val="00C47B4E"/>
    <w:rsid w:val="00C514CC"/>
    <w:rsid w:val="00C52FC6"/>
    <w:rsid w:val="00C53409"/>
    <w:rsid w:val="00C536E1"/>
    <w:rsid w:val="00C54BB7"/>
    <w:rsid w:val="00C54EFA"/>
    <w:rsid w:val="00C5654A"/>
    <w:rsid w:val="00C569E4"/>
    <w:rsid w:val="00C57AF8"/>
    <w:rsid w:val="00C57CEE"/>
    <w:rsid w:val="00C6111F"/>
    <w:rsid w:val="00C626D7"/>
    <w:rsid w:val="00C627B0"/>
    <w:rsid w:val="00C63157"/>
    <w:rsid w:val="00C63A6E"/>
    <w:rsid w:val="00C63F41"/>
    <w:rsid w:val="00C641A4"/>
    <w:rsid w:val="00C65B6E"/>
    <w:rsid w:val="00C65D82"/>
    <w:rsid w:val="00C669C3"/>
    <w:rsid w:val="00C67B34"/>
    <w:rsid w:val="00C71090"/>
    <w:rsid w:val="00C718AD"/>
    <w:rsid w:val="00C719DE"/>
    <w:rsid w:val="00C71A69"/>
    <w:rsid w:val="00C71C70"/>
    <w:rsid w:val="00C71DDA"/>
    <w:rsid w:val="00C720CB"/>
    <w:rsid w:val="00C74192"/>
    <w:rsid w:val="00C743E7"/>
    <w:rsid w:val="00C744E7"/>
    <w:rsid w:val="00C74A5F"/>
    <w:rsid w:val="00C76238"/>
    <w:rsid w:val="00C7706E"/>
    <w:rsid w:val="00C80B26"/>
    <w:rsid w:val="00C811B9"/>
    <w:rsid w:val="00C81410"/>
    <w:rsid w:val="00C819B3"/>
    <w:rsid w:val="00C81BE8"/>
    <w:rsid w:val="00C84F26"/>
    <w:rsid w:val="00C85056"/>
    <w:rsid w:val="00C86605"/>
    <w:rsid w:val="00C86DA1"/>
    <w:rsid w:val="00C86E1A"/>
    <w:rsid w:val="00C86FD6"/>
    <w:rsid w:val="00C87287"/>
    <w:rsid w:val="00C872C3"/>
    <w:rsid w:val="00C87640"/>
    <w:rsid w:val="00C87A24"/>
    <w:rsid w:val="00C91623"/>
    <w:rsid w:val="00C91901"/>
    <w:rsid w:val="00C9359C"/>
    <w:rsid w:val="00C9546B"/>
    <w:rsid w:val="00C9563D"/>
    <w:rsid w:val="00C957DB"/>
    <w:rsid w:val="00C96399"/>
    <w:rsid w:val="00C967EC"/>
    <w:rsid w:val="00C96A63"/>
    <w:rsid w:val="00C96B00"/>
    <w:rsid w:val="00CA12BD"/>
    <w:rsid w:val="00CA1BB6"/>
    <w:rsid w:val="00CA27CC"/>
    <w:rsid w:val="00CA2804"/>
    <w:rsid w:val="00CA3E1D"/>
    <w:rsid w:val="00CA417A"/>
    <w:rsid w:val="00CA667A"/>
    <w:rsid w:val="00CA6E80"/>
    <w:rsid w:val="00CA7072"/>
    <w:rsid w:val="00CA7632"/>
    <w:rsid w:val="00CB01E6"/>
    <w:rsid w:val="00CB0224"/>
    <w:rsid w:val="00CB15D6"/>
    <w:rsid w:val="00CB18BC"/>
    <w:rsid w:val="00CB2217"/>
    <w:rsid w:val="00CB375F"/>
    <w:rsid w:val="00CB3AA4"/>
    <w:rsid w:val="00CB41BE"/>
    <w:rsid w:val="00CB4312"/>
    <w:rsid w:val="00CB5522"/>
    <w:rsid w:val="00CB5D7A"/>
    <w:rsid w:val="00CB644E"/>
    <w:rsid w:val="00CB65DE"/>
    <w:rsid w:val="00CB6D40"/>
    <w:rsid w:val="00CB7FE6"/>
    <w:rsid w:val="00CC0217"/>
    <w:rsid w:val="00CC12E4"/>
    <w:rsid w:val="00CC1786"/>
    <w:rsid w:val="00CC1B03"/>
    <w:rsid w:val="00CC1E36"/>
    <w:rsid w:val="00CC3579"/>
    <w:rsid w:val="00CC55D8"/>
    <w:rsid w:val="00CC7001"/>
    <w:rsid w:val="00CC7E47"/>
    <w:rsid w:val="00CD02A0"/>
    <w:rsid w:val="00CD11E8"/>
    <w:rsid w:val="00CD29F9"/>
    <w:rsid w:val="00CD2DAC"/>
    <w:rsid w:val="00CD3B3B"/>
    <w:rsid w:val="00CD3F81"/>
    <w:rsid w:val="00CD4A99"/>
    <w:rsid w:val="00CD51B2"/>
    <w:rsid w:val="00CD5496"/>
    <w:rsid w:val="00CD590C"/>
    <w:rsid w:val="00CD6319"/>
    <w:rsid w:val="00CD7BDD"/>
    <w:rsid w:val="00CE083D"/>
    <w:rsid w:val="00CE0F4D"/>
    <w:rsid w:val="00CE1BD8"/>
    <w:rsid w:val="00CE246B"/>
    <w:rsid w:val="00CE2732"/>
    <w:rsid w:val="00CE354C"/>
    <w:rsid w:val="00CE48B0"/>
    <w:rsid w:val="00CE4932"/>
    <w:rsid w:val="00CE6AEF"/>
    <w:rsid w:val="00CE6CA8"/>
    <w:rsid w:val="00CE7177"/>
    <w:rsid w:val="00CE798B"/>
    <w:rsid w:val="00CE7B17"/>
    <w:rsid w:val="00CF0440"/>
    <w:rsid w:val="00CF17E6"/>
    <w:rsid w:val="00CF1F76"/>
    <w:rsid w:val="00CF22A7"/>
    <w:rsid w:val="00CF2A41"/>
    <w:rsid w:val="00CF30C7"/>
    <w:rsid w:val="00CF32A6"/>
    <w:rsid w:val="00CF3A53"/>
    <w:rsid w:val="00CF447A"/>
    <w:rsid w:val="00CF642B"/>
    <w:rsid w:val="00CF742E"/>
    <w:rsid w:val="00CF753C"/>
    <w:rsid w:val="00CF7969"/>
    <w:rsid w:val="00CF7E51"/>
    <w:rsid w:val="00D00C30"/>
    <w:rsid w:val="00D012D2"/>
    <w:rsid w:val="00D014A2"/>
    <w:rsid w:val="00D01A67"/>
    <w:rsid w:val="00D01E20"/>
    <w:rsid w:val="00D01FC4"/>
    <w:rsid w:val="00D02132"/>
    <w:rsid w:val="00D022B4"/>
    <w:rsid w:val="00D026E0"/>
    <w:rsid w:val="00D03150"/>
    <w:rsid w:val="00D03FD1"/>
    <w:rsid w:val="00D04324"/>
    <w:rsid w:val="00D048C9"/>
    <w:rsid w:val="00D049F4"/>
    <w:rsid w:val="00D04D41"/>
    <w:rsid w:val="00D04F80"/>
    <w:rsid w:val="00D057DD"/>
    <w:rsid w:val="00D05A15"/>
    <w:rsid w:val="00D05BBB"/>
    <w:rsid w:val="00D06283"/>
    <w:rsid w:val="00D06BC9"/>
    <w:rsid w:val="00D06F0E"/>
    <w:rsid w:val="00D074E0"/>
    <w:rsid w:val="00D113B6"/>
    <w:rsid w:val="00D114F6"/>
    <w:rsid w:val="00D11D4C"/>
    <w:rsid w:val="00D15F52"/>
    <w:rsid w:val="00D1743C"/>
    <w:rsid w:val="00D17861"/>
    <w:rsid w:val="00D1797B"/>
    <w:rsid w:val="00D20A75"/>
    <w:rsid w:val="00D21354"/>
    <w:rsid w:val="00D21582"/>
    <w:rsid w:val="00D227BD"/>
    <w:rsid w:val="00D23017"/>
    <w:rsid w:val="00D232DA"/>
    <w:rsid w:val="00D23CC3"/>
    <w:rsid w:val="00D2429E"/>
    <w:rsid w:val="00D26404"/>
    <w:rsid w:val="00D267AA"/>
    <w:rsid w:val="00D27474"/>
    <w:rsid w:val="00D301BB"/>
    <w:rsid w:val="00D30AFE"/>
    <w:rsid w:val="00D343AF"/>
    <w:rsid w:val="00D343F6"/>
    <w:rsid w:val="00D35350"/>
    <w:rsid w:val="00D3746D"/>
    <w:rsid w:val="00D37663"/>
    <w:rsid w:val="00D40051"/>
    <w:rsid w:val="00D40129"/>
    <w:rsid w:val="00D41089"/>
    <w:rsid w:val="00D41C99"/>
    <w:rsid w:val="00D41E0A"/>
    <w:rsid w:val="00D43233"/>
    <w:rsid w:val="00D4392E"/>
    <w:rsid w:val="00D440DC"/>
    <w:rsid w:val="00D44374"/>
    <w:rsid w:val="00D44D0B"/>
    <w:rsid w:val="00D45277"/>
    <w:rsid w:val="00D46F76"/>
    <w:rsid w:val="00D474D0"/>
    <w:rsid w:val="00D47DD4"/>
    <w:rsid w:val="00D47F06"/>
    <w:rsid w:val="00D51725"/>
    <w:rsid w:val="00D5174B"/>
    <w:rsid w:val="00D51ABE"/>
    <w:rsid w:val="00D51E87"/>
    <w:rsid w:val="00D51FF7"/>
    <w:rsid w:val="00D535A9"/>
    <w:rsid w:val="00D53714"/>
    <w:rsid w:val="00D54592"/>
    <w:rsid w:val="00D54F6A"/>
    <w:rsid w:val="00D55040"/>
    <w:rsid w:val="00D55AEB"/>
    <w:rsid w:val="00D5605E"/>
    <w:rsid w:val="00D60062"/>
    <w:rsid w:val="00D602CF"/>
    <w:rsid w:val="00D61BE4"/>
    <w:rsid w:val="00D61DC9"/>
    <w:rsid w:val="00D6209F"/>
    <w:rsid w:val="00D63173"/>
    <w:rsid w:val="00D6483A"/>
    <w:rsid w:val="00D6507E"/>
    <w:rsid w:val="00D65553"/>
    <w:rsid w:val="00D6609B"/>
    <w:rsid w:val="00D675F6"/>
    <w:rsid w:val="00D679EB"/>
    <w:rsid w:val="00D70271"/>
    <w:rsid w:val="00D7054D"/>
    <w:rsid w:val="00D70EEA"/>
    <w:rsid w:val="00D70F97"/>
    <w:rsid w:val="00D71A39"/>
    <w:rsid w:val="00D71BCF"/>
    <w:rsid w:val="00D723DC"/>
    <w:rsid w:val="00D749F6"/>
    <w:rsid w:val="00D74A5D"/>
    <w:rsid w:val="00D74BEC"/>
    <w:rsid w:val="00D75CB5"/>
    <w:rsid w:val="00D766B6"/>
    <w:rsid w:val="00D768E3"/>
    <w:rsid w:val="00D76E9A"/>
    <w:rsid w:val="00D77149"/>
    <w:rsid w:val="00D772F8"/>
    <w:rsid w:val="00D77F70"/>
    <w:rsid w:val="00D8056C"/>
    <w:rsid w:val="00D822C9"/>
    <w:rsid w:val="00D82480"/>
    <w:rsid w:val="00D83676"/>
    <w:rsid w:val="00D83759"/>
    <w:rsid w:val="00D83D14"/>
    <w:rsid w:val="00D83E66"/>
    <w:rsid w:val="00D850CD"/>
    <w:rsid w:val="00D85A9C"/>
    <w:rsid w:val="00D86945"/>
    <w:rsid w:val="00D8768E"/>
    <w:rsid w:val="00D90148"/>
    <w:rsid w:val="00D90C68"/>
    <w:rsid w:val="00D91E1F"/>
    <w:rsid w:val="00D91F20"/>
    <w:rsid w:val="00D920BB"/>
    <w:rsid w:val="00D92D79"/>
    <w:rsid w:val="00D92E47"/>
    <w:rsid w:val="00D9309F"/>
    <w:rsid w:val="00D93268"/>
    <w:rsid w:val="00D95758"/>
    <w:rsid w:val="00D957DC"/>
    <w:rsid w:val="00D964E8"/>
    <w:rsid w:val="00DA0C09"/>
    <w:rsid w:val="00DA1BD8"/>
    <w:rsid w:val="00DA37E3"/>
    <w:rsid w:val="00DA3AEC"/>
    <w:rsid w:val="00DA3D7E"/>
    <w:rsid w:val="00DA469B"/>
    <w:rsid w:val="00DA52DD"/>
    <w:rsid w:val="00DA6740"/>
    <w:rsid w:val="00DA6DBE"/>
    <w:rsid w:val="00DA7012"/>
    <w:rsid w:val="00DA7321"/>
    <w:rsid w:val="00DA7664"/>
    <w:rsid w:val="00DA7678"/>
    <w:rsid w:val="00DB0708"/>
    <w:rsid w:val="00DB094F"/>
    <w:rsid w:val="00DB0E2B"/>
    <w:rsid w:val="00DB4F41"/>
    <w:rsid w:val="00DB545E"/>
    <w:rsid w:val="00DB6496"/>
    <w:rsid w:val="00DB6C4F"/>
    <w:rsid w:val="00DB7C86"/>
    <w:rsid w:val="00DC0559"/>
    <w:rsid w:val="00DC0B64"/>
    <w:rsid w:val="00DC0C50"/>
    <w:rsid w:val="00DC16A6"/>
    <w:rsid w:val="00DC1823"/>
    <w:rsid w:val="00DC35AB"/>
    <w:rsid w:val="00DC387F"/>
    <w:rsid w:val="00DC3FBC"/>
    <w:rsid w:val="00DC49C3"/>
    <w:rsid w:val="00DC4B44"/>
    <w:rsid w:val="00DC4FA2"/>
    <w:rsid w:val="00DC5835"/>
    <w:rsid w:val="00DC5846"/>
    <w:rsid w:val="00DC5A08"/>
    <w:rsid w:val="00DC72F6"/>
    <w:rsid w:val="00DC75C4"/>
    <w:rsid w:val="00DC79A1"/>
    <w:rsid w:val="00DC7AA3"/>
    <w:rsid w:val="00DC7F88"/>
    <w:rsid w:val="00DD0912"/>
    <w:rsid w:val="00DD1C2F"/>
    <w:rsid w:val="00DD2897"/>
    <w:rsid w:val="00DD3484"/>
    <w:rsid w:val="00DD3F96"/>
    <w:rsid w:val="00DD4198"/>
    <w:rsid w:val="00DD530E"/>
    <w:rsid w:val="00DD5D38"/>
    <w:rsid w:val="00DD609D"/>
    <w:rsid w:val="00DD6747"/>
    <w:rsid w:val="00DD695A"/>
    <w:rsid w:val="00DD6D13"/>
    <w:rsid w:val="00DD6D3E"/>
    <w:rsid w:val="00DD6E14"/>
    <w:rsid w:val="00DD78B8"/>
    <w:rsid w:val="00DD7D57"/>
    <w:rsid w:val="00DE0B3B"/>
    <w:rsid w:val="00DE20A4"/>
    <w:rsid w:val="00DE37AA"/>
    <w:rsid w:val="00DE6E04"/>
    <w:rsid w:val="00DE7081"/>
    <w:rsid w:val="00DE73E1"/>
    <w:rsid w:val="00DE7CE6"/>
    <w:rsid w:val="00DF0D7D"/>
    <w:rsid w:val="00DF2457"/>
    <w:rsid w:val="00DF47E0"/>
    <w:rsid w:val="00DF5815"/>
    <w:rsid w:val="00DF5BA1"/>
    <w:rsid w:val="00DF6293"/>
    <w:rsid w:val="00DF6F35"/>
    <w:rsid w:val="00DF7094"/>
    <w:rsid w:val="00E00641"/>
    <w:rsid w:val="00E0089C"/>
    <w:rsid w:val="00E00B0F"/>
    <w:rsid w:val="00E0113C"/>
    <w:rsid w:val="00E01925"/>
    <w:rsid w:val="00E01BC8"/>
    <w:rsid w:val="00E0203F"/>
    <w:rsid w:val="00E02AE5"/>
    <w:rsid w:val="00E03582"/>
    <w:rsid w:val="00E0470E"/>
    <w:rsid w:val="00E04A97"/>
    <w:rsid w:val="00E05399"/>
    <w:rsid w:val="00E07781"/>
    <w:rsid w:val="00E11D57"/>
    <w:rsid w:val="00E126B1"/>
    <w:rsid w:val="00E13070"/>
    <w:rsid w:val="00E13851"/>
    <w:rsid w:val="00E138D9"/>
    <w:rsid w:val="00E13BD5"/>
    <w:rsid w:val="00E13E09"/>
    <w:rsid w:val="00E15C70"/>
    <w:rsid w:val="00E1605B"/>
    <w:rsid w:val="00E17E37"/>
    <w:rsid w:val="00E206A0"/>
    <w:rsid w:val="00E2179B"/>
    <w:rsid w:val="00E228B9"/>
    <w:rsid w:val="00E23164"/>
    <w:rsid w:val="00E23228"/>
    <w:rsid w:val="00E24226"/>
    <w:rsid w:val="00E242D6"/>
    <w:rsid w:val="00E24469"/>
    <w:rsid w:val="00E26777"/>
    <w:rsid w:val="00E26DA0"/>
    <w:rsid w:val="00E273D4"/>
    <w:rsid w:val="00E27D14"/>
    <w:rsid w:val="00E27E5E"/>
    <w:rsid w:val="00E30024"/>
    <w:rsid w:val="00E3009B"/>
    <w:rsid w:val="00E30651"/>
    <w:rsid w:val="00E30B78"/>
    <w:rsid w:val="00E30D68"/>
    <w:rsid w:val="00E31C07"/>
    <w:rsid w:val="00E32813"/>
    <w:rsid w:val="00E332DD"/>
    <w:rsid w:val="00E34E9A"/>
    <w:rsid w:val="00E35D21"/>
    <w:rsid w:val="00E3600F"/>
    <w:rsid w:val="00E3651A"/>
    <w:rsid w:val="00E36C79"/>
    <w:rsid w:val="00E3720F"/>
    <w:rsid w:val="00E377D5"/>
    <w:rsid w:val="00E404A4"/>
    <w:rsid w:val="00E40FBD"/>
    <w:rsid w:val="00E414EE"/>
    <w:rsid w:val="00E417FE"/>
    <w:rsid w:val="00E41D97"/>
    <w:rsid w:val="00E434B7"/>
    <w:rsid w:val="00E43892"/>
    <w:rsid w:val="00E4416C"/>
    <w:rsid w:val="00E44966"/>
    <w:rsid w:val="00E44E3A"/>
    <w:rsid w:val="00E45279"/>
    <w:rsid w:val="00E45EBC"/>
    <w:rsid w:val="00E46E90"/>
    <w:rsid w:val="00E47241"/>
    <w:rsid w:val="00E4728A"/>
    <w:rsid w:val="00E502CB"/>
    <w:rsid w:val="00E50535"/>
    <w:rsid w:val="00E51985"/>
    <w:rsid w:val="00E53531"/>
    <w:rsid w:val="00E53895"/>
    <w:rsid w:val="00E553DD"/>
    <w:rsid w:val="00E555FE"/>
    <w:rsid w:val="00E55BCD"/>
    <w:rsid w:val="00E56424"/>
    <w:rsid w:val="00E567A9"/>
    <w:rsid w:val="00E56983"/>
    <w:rsid w:val="00E56E56"/>
    <w:rsid w:val="00E570BC"/>
    <w:rsid w:val="00E57F4D"/>
    <w:rsid w:val="00E601AB"/>
    <w:rsid w:val="00E61B47"/>
    <w:rsid w:val="00E61EA8"/>
    <w:rsid w:val="00E620BA"/>
    <w:rsid w:val="00E6312E"/>
    <w:rsid w:val="00E63264"/>
    <w:rsid w:val="00E63563"/>
    <w:rsid w:val="00E63B8C"/>
    <w:rsid w:val="00E63C2B"/>
    <w:rsid w:val="00E63F87"/>
    <w:rsid w:val="00E64556"/>
    <w:rsid w:val="00E648CF"/>
    <w:rsid w:val="00E64A75"/>
    <w:rsid w:val="00E665A4"/>
    <w:rsid w:val="00E66666"/>
    <w:rsid w:val="00E669E8"/>
    <w:rsid w:val="00E66A3A"/>
    <w:rsid w:val="00E67AB3"/>
    <w:rsid w:val="00E67D89"/>
    <w:rsid w:val="00E705F7"/>
    <w:rsid w:val="00E70965"/>
    <w:rsid w:val="00E71F1E"/>
    <w:rsid w:val="00E720C8"/>
    <w:rsid w:val="00E72A31"/>
    <w:rsid w:val="00E74772"/>
    <w:rsid w:val="00E750FE"/>
    <w:rsid w:val="00E75594"/>
    <w:rsid w:val="00E7617F"/>
    <w:rsid w:val="00E765B2"/>
    <w:rsid w:val="00E76E6F"/>
    <w:rsid w:val="00E77460"/>
    <w:rsid w:val="00E77913"/>
    <w:rsid w:val="00E82659"/>
    <w:rsid w:val="00E83BF7"/>
    <w:rsid w:val="00E84B0E"/>
    <w:rsid w:val="00E851EC"/>
    <w:rsid w:val="00E86226"/>
    <w:rsid w:val="00E91EB7"/>
    <w:rsid w:val="00E9260C"/>
    <w:rsid w:val="00E9305E"/>
    <w:rsid w:val="00E95C04"/>
    <w:rsid w:val="00E96324"/>
    <w:rsid w:val="00E966D0"/>
    <w:rsid w:val="00E9734A"/>
    <w:rsid w:val="00EA16B2"/>
    <w:rsid w:val="00EA21A1"/>
    <w:rsid w:val="00EA2914"/>
    <w:rsid w:val="00EA2ECA"/>
    <w:rsid w:val="00EA304B"/>
    <w:rsid w:val="00EA3D12"/>
    <w:rsid w:val="00EA41C6"/>
    <w:rsid w:val="00EA452C"/>
    <w:rsid w:val="00EA6D74"/>
    <w:rsid w:val="00EA7238"/>
    <w:rsid w:val="00EA7996"/>
    <w:rsid w:val="00EB011D"/>
    <w:rsid w:val="00EB0389"/>
    <w:rsid w:val="00EB0F9F"/>
    <w:rsid w:val="00EB1121"/>
    <w:rsid w:val="00EB1339"/>
    <w:rsid w:val="00EB15B4"/>
    <w:rsid w:val="00EB21E9"/>
    <w:rsid w:val="00EB2823"/>
    <w:rsid w:val="00EB2EF8"/>
    <w:rsid w:val="00EB36DE"/>
    <w:rsid w:val="00EB38E1"/>
    <w:rsid w:val="00EB618C"/>
    <w:rsid w:val="00EB67C9"/>
    <w:rsid w:val="00EB6B9B"/>
    <w:rsid w:val="00EB6BC7"/>
    <w:rsid w:val="00EB6C7F"/>
    <w:rsid w:val="00EB7A4E"/>
    <w:rsid w:val="00EC208F"/>
    <w:rsid w:val="00EC2B02"/>
    <w:rsid w:val="00EC3AE1"/>
    <w:rsid w:val="00EC5E4C"/>
    <w:rsid w:val="00ED0BAF"/>
    <w:rsid w:val="00ED0C3F"/>
    <w:rsid w:val="00ED13E0"/>
    <w:rsid w:val="00ED285D"/>
    <w:rsid w:val="00ED2B4C"/>
    <w:rsid w:val="00ED3969"/>
    <w:rsid w:val="00ED4E33"/>
    <w:rsid w:val="00ED503D"/>
    <w:rsid w:val="00ED524E"/>
    <w:rsid w:val="00ED54AA"/>
    <w:rsid w:val="00ED6A1C"/>
    <w:rsid w:val="00ED6A39"/>
    <w:rsid w:val="00ED788F"/>
    <w:rsid w:val="00ED7AF2"/>
    <w:rsid w:val="00ED7CC0"/>
    <w:rsid w:val="00EE0340"/>
    <w:rsid w:val="00EE0749"/>
    <w:rsid w:val="00EE0F3E"/>
    <w:rsid w:val="00EE1987"/>
    <w:rsid w:val="00EE3368"/>
    <w:rsid w:val="00EE3DB7"/>
    <w:rsid w:val="00EE40D4"/>
    <w:rsid w:val="00EE4168"/>
    <w:rsid w:val="00EE50DC"/>
    <w:rsid w:val="00EE6146"/>
    <w:rsid w:val="00EE640D"/>
    <w:rsid w:val="00EE6911"/>
    <w:rsid w:val="00EE775D"/>
    <w:rsid w:val="00EE7CAC"/>
    <w:rsid w:val="00EF03A8"/>
    <w:rsid w:val="00EF0996"/>
    <w:rsid w:val="00EF1D87"/>
    <w:rsid w:val="00EF4126"/>
    <w:rsid w:val="00EF5695"/>
    <w:rsid w:val="00EF5766"/>
    <w:rsid w:val="00EF5A10"/>
    <w:rsid w:val="00EF5ABA"/>
    <w:rsid w:val="00EF5FE9"/>
    <w:rsid w:val="00EF60B1"/>
    <w:rsid w:val="00EF75F8"/>
    <w:rsid w:val="00EF7834"/>
    <w:rsid w:val="00F011B4"/>
    <w:rsid w:val="00F01533"/>
    <w:rsid w:val="00F02063"/>
    <w:rsid w:val="00F020A9"/>
    <w:rsid w:val="00F02AD4"/>
    <w:rsid w:val="00F031AC"/>
    <w:rsid w:val="00F031B1"/>
    <w:rsid w:val="00F04386"/>
    <w:rsid w:val="00F0487D"/>
    <w:rsid w:val="00F058BF"/>
    <w:rsid w:val="00F0597A"/>
    <w:rsid w:val="00F05E03"/>
    <w:rsid w:val="00F064B6"/>
    <w:rsid w:val="00F06A96"/>
    <w:rsid w:val="00F06CC9"/>
    <w:rsid w:val="00F10D62"/>
    <w:rsid w:val="00F1286C"/>
    <w:rsid w:val="00F12B91"/>
    <w:rsid w:val="00F13371"/>
    <w:rsid w:val="00F13DB6"/>
    <w:rsid w:val="00F13FDA"/>
    <w:rsid w:val="00F14994"/>
    <w:rsid w:val="00F14AE7"/>
    <w:rsid w:val="00F1569B"/>
    <w:rsid w:val="00F16F78"/>
    <w:rsid w:val="00F1799B"/>
    <w:rsid w:val="00F20023"/>
    <w:rsid w:val="00F20B4F"/>
    <w:rsid w:val="00F21066"/>
    <w:rsid w:val="00F21B71"/>
    <w:rsid w:val="00F22351"/>
    <w:rsid w:val="00F2385D"/>
    <w:rsid w:val="00F23D12"/>
    <w:rsid w:val="00F23E8B"/>
    <w:rsid w:val="00F24063"/>
    <w:rsid w:val="00F24387"/>
    <w:rsid w:val="00F24ED8"/>
    <w:rsid w:val="00F24F8F"/>
    <w:rsid w:val="00F2543B"/>
    <w:rsid w:val="00F27677"/>
    <w:rsid w:val="00F30916"/>
    <w:rsid w:val="00F30934"/>
    <w:rsid w:val="00F31F72"/>
    <w:rsid w:val="00F32012"/>
    <w:rsid w:val="00F32152"/>
    <w:rsid w:val="00F329CE"/>
    <w:rsid w:val="00F3326D"/>
    <w:rsid w:val="00F332A3"/>
    <w:rsid w:val="00F33494"/>
    <w:rsid w:val="00F348F6"/>
    <w:rsid w:val="00F356F2"/>
    <w:rsid w:val="00F35C7A"/>
    <w:rsid w:val="00F3745A"/>
    <w:rsid w:val="00F374AC"/>
    <w:rsid w:val="00F37934"/>
    <w:rsid w:val="00F41704"/>
    <w:rsid w:val="00F41CC2"/>
    <w:rsid w:val="00F41D8F"/>
    <w:rsid w:val="00F4260E"/>
    <w:rsid w:val="00F4365C"/>
    <w:rsid w:val="00F444AA"/>
    <w:rsid w:val="00F44531"/>
    <w:rsid w:val="00F459C3"/>
    <w:rsid w:val="00F45ECA"/>
    <w:rsid w:val="00F46836"/>
    <w:rsid w:val="00F469A9"/>
    <w:rsid w:val="00F46D1F"/>
    <w:rsid w:val="00F47416"/>
    <w:rsid w:val="00F47856"/>
    <w:rsid w:val="00F47C77"/>
    <w:rsid w:val="00F504CF"/>
    <w:rsid w:val="00F50BFC"/>
    <w:rsid w:val="00F51E09"/>
    <w:rsid w:val="00F53026"/>
    <w:rsid w:val="00F5433E"/>
    <w:rsid w:val="00F5436D"/>
    <w:rsid w:val="00F54437"/>
    <w:rsid w:val="00F5468B"/>
    <w:rsid w:val="00F5502A"/>
    <w:rsid w:val="00F55253"/>
    <w:rsid w:val="00F5552F"/>
    <w:rsid w:val="00F55BAD"/>
    <w:rsid w:val="00F55EC9"/>
    <w:rsid w:val="00F56726"/>
    <w:rsid w:val="00F56BBD"/>
    <w:rsid w:val="00F56F09"/>
    <w:rsid w:val="00F60381"/>
    <w:rsid w:val="00F605C6"/>
    <w:rsid w:val="00F60D6B"/>
    <w:rsid w:val="00F6151B"/>
    <w:rsid w:val="00F62191"/>
    <w:rsid w:val="00F62269"/>
    <w:rsid w:val="00F636B1"/>
    <w:rsid w:val="00F63C93"/>
    <w:rsid w:val="00F643EF"/>
    <w:rsid w:val="00F64841"/>
    <w:rsid w:val="00F64D02"/>
    <w:rsid w:val="00F64F07"/>
    <w:rsid w:val="00F66186"/>
    <w:rsid w:val="00F66C7D"/>
    <w:rsid w:val="00F670EE"/>
    <w:rsid w:val="00F67119"/>
    <w:rsid w:val="00F67250"/>
    <w:rsid w:val="00F6743A"/>
    <w:rsid w:val="00F675BB"/>
    <w:rsid w:val="00F70070"/>
    <w:rsid w:val="00F71EDA"/>
    <w:rsid w:val="00F73045"/>
    <w:rsid w:val="00F73438"/>
    <w:rsid w:val="00F74D55"/>
    <w:rsid w:val="00F75248"/>
    <w:rsid w:val="00F758BA"/>
    <w:rsid w:val="00F758EF"/>
    <w:rsid w:val="00F7598D"/>
    <w:rsid w:val="00F767AC"/>
    <w:rsid w:val="00F772F2"/>
    <w:rsid w:val="00F77512"/>
    <w:rsid w:val="00F77798"/>
    <w:rsid w:val="00F8009B"/>
    <w:rsid w:val="00F80E00"/>
    <w:rsid w:val="00F814EC"/>
    <w:rsid w:val="00F819B1"/>
    <w:rsid w:val="00F81A44"/>
    <w:rsid w:val="00F83189"/>
    <w:rsid w:val="00F8339F"/>
    <w:rsid w:val="00F8395C"/>
    <w:rsid w:val="00F83A51"/>
    <w:rsid w:val="00F83E68"/>
    <w:rsid w:val="00F84B72"/>
    <w:rsid w:val="00F84D90"/>
    <w:rsid w:val="00F85A57"/>
    <w:rsid w:val="00F86FEA"/>
    <w:rsid w:val="00F87E18"/>
    <w:rsid w:val="00F900A9"/>
    <w:rsid w:val="00F900AB"/>
    <w:rsid w:val="00F90674"/>
    <w:rsid w:val="00F9163A"/>
    <w:rsid w:val="00F91644"/>
    <w:rsid w:val="00F92930"/>
    <w:rsid w:val="00F933DD"/>
    <w:rsid w:val="00F95305"/>
    <w:rsid w:val="00F9530A"/>
    <w:rsid w:val="00F967E6"/>
    <w:rsid w:val="00F96F1B"/>
    <w:rsid w:val="00F97830"/>
    <w:rsid w:val="00FA0CCF"/>
    <w:rsid w:val="00FA236E"/>
    <w:rsid w:val="00FA27CA"/>
    <w:rsid w:val="00FA292E"/>
    <w:rsid w:val="00FA3F16"/>
    <w:rsid w:val="00FA48B8"/>
    <w:rsid w:val="00FA51F1"/>
    <w:rsid w:val="00FA56AF"/>
    <w:rsid w:val="00FA58D5"/>
    <w:rsid w:val="00FA671C"/>
    <w:rsid w:val="00FA67F2"/>
    <w:rsid w:val="00FA6B4E"/>
    <w:rsid w:val="00FB07C9"/>
    <w:rsid w:val="00FB0F66"/>
    <w:rsid w:val="00FB12A5"/>
    <w:rsid w:val="00FB1E26"/>
    <w:rsid w:val="00FB3C11"/>
    <w:rsid w:val="00FB4C65"/>
    <w:rsid w:val="00FB5091"/>
    <w:rsid w:val="00FB7A68"/>
    <w:rsid w:val="00FC1C13"/>
    <w:rsid w:val="00FC25ED"/>
    <w:rsid w:val="00FC2A8C"/>
    <w:rsid w:val="00FC38EB"/>
    <w:rsid w:val="00FC391E"/>
    <w:rsid w:val="00FC3B33"/>
    <w:rsid w:val="00FC3EFE"/>
    <w:rsid w:val="00FC461F"/>
    <w:rsid w:val="00FC4E5A"/>
    <w:rsid w:val="00FC4FE6"/>
    <w:rsid w:val="00FC5103"/>
    <w:rsid w:val="00FC5166"/>
    <w:rsid w:val="00FC599D"/>
    <w:rsid w:val="00FC62E1"/>
    <w:rsid w:val="00FC6626"/>
    <w:rsid w:val="00FC78C2"/>
    <w:rsid w:val="00FC7D86"/>
    <w:rsid w:val="00FD0DDC"/>
    <w:rsid w:val="00FD158E"/>
    <w:rsid w:val="00FD2972"/>
    <w:rsid w:val="00FD38BF"/>
    <w:rsid w:val="00FD4855"/>
    <w:rsid w:val="00FD4AC2"/>
    <w:rsid w:val="00FD5383"/>
    <w:rsid w:val="00FD56B9"/>
    <w:rsid w:val="00FD588B"/>
    <w:rsid w:val="00FD6FC1"/>
    <w:rsid w:val="00FD704C"/>
    <w:rsid w:val="00FD707B"/>
    <w:rsid w:val="00FD787C"/>
    <w:rsid w:val="00FE0C47"/>
    <w:rsid w:val="00FE1817"/>
    <w:rsid w:val="00FE1C11"/>
    <w:rsid w:val="00FE3F91"/>
    <w:rsid w:val="00FE4095"/>
    <w:rsid w:val="00FE47E8"/>
    <w:rsid w:val="00FE5EE4"/>
    <w:rsid w:val="00FE65D0"/>
    <w:rsid w:val="00FE7EC7"/>
    <w:rsid w:val="00FF12BF"/>
    <w:rsid w:val="00FF146D"/>
    <w:rsid w:val="00FF155A"/>
    <w:rsid w:val="00FF17A0"/>
    <w:rsid w:val="00FF1B64"/>
    <w:rsid w:val="00FF1E60"/>
    <w:rsid w:val="00FF24A1"/>
    <w:rsid w:val="00FF2D30"/>
    <w:rsid w:val="00FF4831"/>
    <w:rsid w:val="00FF520E"/>
    <w:rsid w:val="00FF55F3"/>
    <w:rsid w:val="00FF5908"/>
    <w:rsid w:val="00FF5CF5"/>
    <w:rsid w:val="00FF60D1"/>
    <w:rsid w:val="00FF7450"/>
    <w:rsid w:val="08AE7E93"/>
    <w:rsid w:val="0FA4CE83"/>
    <w:rsid w:val="2CD0B532"/>
    <w:rsid w:val="57673F4F"/>
    <w:rsid w:val="72D1CA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F8D12763-F831-4BD4-BDAF-8DEB38E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090"/>
    <w:rPr>
      <w:lang w:val="en-US" w:eastAsia="en-US"/>
    </w:rPr>
  </w:style>
  <w:style w:type="paragraph" w:styleId="Heading1">
    <w:name w:val="heading 1"/>
    <w:basedOn w:val="Normal"/>
    <w:next w:val="BodyText"/>
    <w:link w:val="Heading1Char"/>
    <w:qFormat/>
    <w:locked/>
    <w:rsid w:val="003910F5"/>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66"/>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3C472D"/>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3910F5"/>
    <w:pPr>
      <w:outlineLvl w:val="3"/>
    </w:pPr>
    <w:rPr>
      <w:sz w:val="24"/>
    </w:rPr>
  </w:style>
  <w:style w:type="paragraph" w:styleId="Heading5">
    <w:name w:val="heading 5"/>
    <w:basedOn w:val="Heading4"/>
    <w:next w:val="BodyText"/>
    <w:link w:val="Heading5Char"/>
    <w:qFormat/>
    <w:locked/>
    <w:rsid w:val="00274626"/>
    <w:pPr>
      <w:spacing w:after="60"/>
      <w:outlineLvl w:val="4"/>
    </w:pPr>
    <w:rPr>
      <w:b w:val="0"/>
      <w:i/>
    </w:rPr>
  </w:style>
  <w:style w:type="paragraph" w:styleId="Heading6">
    <w:name w:val="heading 6"/>
    <w:basedOn w:val="Heading1"/>
    <w:next w:val="Normal"/>
    <w:semiHidden/>
    <w:qFormat/>
    <w:rsid w:val="003910F5"/>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3910F5"/>
    <w:pPr>
      <w:spacing w:before="120"/>
      <w:ind w:left="425"/>
      <w:jc w:val="both"/>
      <w:outlineLvl w:val="6"/>
    </w:pPr>
    <w:rPr>
      <w:i w:val="0"/>
    </w:rPr>
  </w:style>
  <w:style w:type="paragraph" w:styleId="Heading8">
    <w:name w:val="heading 8"/>
    <w:basedOn w:val="Heading7"/>
    <w:next w:val="Normal"/>
    <w:semiHidden/>
    <w:qFormat/>
    <w:rsid w:val="003910F5"/>
    <w:pPr>
      <w:outlineLvl w:val="7"/>
    </w:pPr>
    <w:rPr>
      <w:i/>
    </w:rPr>
  </w:style>
  <w:style w:type="paragraph" w:styleId="Heading9">
    <w:name w:val="heading 9"/>
    <w:basedOn w:val="Heading8"/>
    <w:next w:val="Normal"/>
    <w:semiHidden/>
    <w:qFormat/>
    <w:rsid w:val="003910F5"/>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locked/>
    <w:rsid w:val="003B50A4"/>
    <w:pPr>
      <w:spacing w:before="120" w:after="120"/>
    </w:pPr>
    <w:rPr>
      <w:rFonts w:ascii="Public Sans" w:hAnsi="Public Sans" w:cs="Arial"/>
      <w:sz w:val="22"/>
    </w:rPr>
  </w:style>
  <w:style w:type="paragraph" w:customStyle="1" w:styleId="Bullet1">
    <w:name w:val="Bullet 1"/>
    <w:basedOn w:val="BodyText"/>
    <w:link w:val="Bullet1Char"/>
    <w:autoRedefine/>
    <w:qFormat/>
    <w:locked/>
    <w:rsid w:val="00681D2E"/>
    <w:pPr>
      <w:numPr>
        <w:numId w:val="82"/>
      </w:numPr>
      <w:tabs>
        <w:tab w:val="left" w:pos="8647"/>
      </w:tabs>
      <w:ind w:left="284" w:hanging="284"/>
    </w:pPr>
    <w:rPr>
      <w:rFonts w:eastAsiaTheme="minorEastAsia"/>
      <w:szCs w:val="23"/>
      <w:lang w:val="en-AU" w:eastAsia="en-AU"/>
    </w:rPr>
  </w:style>
  <w:style w:type="paragraph" w:styleId="NoSpacing">
    <w:name w:val="No Spacing"/>
    <w:basedOn w:val="Normal"/>
    <w:link w:val="NoSpacingChar"/>
    <w:semiHidden/>
    <w:qFormat/>
    <w:rsid w:val="003910F5"/>
  </w:style>
  <w:style w:type="paragraph" w:customStyle="1" w:styleId="Bullet2">
    <w:name w:val="Bullet 2"/>
    <w:basedOn w:val="Bullet1"/>
    <w:locked/>
    <w:rsid w:val="00080A15"/>
    <w:pPr>
      <w:numPr>
        <w:numId w:val="81"/>
      </w:numPr>
      <w:tabs>
        <w:tab w:val="clear" w:pos="8647"/>
      </w:tabs>
      <w:ind w:left="568" w:hanging="284"/>
    </w:pPr>
  </w:style>
  <w:style w:type="character" w:customStyle="1" w:styleId="NoSpacingChar">
    <w:name w:val="No Spacing Char"/>
    <w:link w:val="NoSpacing"/>
    <w:semiHidden/>
    <w:rsid w:val="003910F5"/>
    <w:rPr>
      <w:lang w:val="en-US" w:eastAsia="en-US"/>
    </w:rPr>
  </w:style>
  <w:style w:type="paragraph" w:customStyle="1" w:styleId="Table1X">
    <w:name w:val="Table 1.X"/>
    <w:next w:val="Normal"/>
    <w:semiHidden/>
    <w:qFormat/>
    <w:locked/>
    <w:rsid w:val="003910F5"/>
    <w:pPr>
      <w:numPr>
        <w:numId w:val="29"/>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3910F5"/>
    <w:rPr>
      <w:vertAlign w:val="superscript"/>
    </w:rPr>
  </w:style>
  <w:style w:type="paragraph" w:styleId="FootnoteText">
    <w:name w:val="footnote text"/>
    <w:basedOn w:val="Normal"/>
    <w:semiHidden/>
    <w:rsid w:val="003910F5"/>
    <w:pPr>
      <w:spacing w:before="80" w:after="80"/>
      <w:ind w:left="709" w:hanging="142"/>
    </w:pPr>
    <w:rPr>
      <w:i/>
      <w:sz w:val="16"/>
    </w:rPr>
  </w:style>
  <w:style w:type="paragraph" w:customStyle="1" w:styleId="21Heading2">
    <w:name w:val="2.1 Heading 2"/>
    <w:basedOn w:val="11Heading2"/>
    <w:next w:val="BodyText"/>
    <w:semiHidden/>
    <w:qFormat/>
    <w:locked/>
    <w:rsid w:val="003910F5"/>
    <w:pPr>
      <w:numPr>
        <w:numId w:val="6"/>
      </w:numPr>
    </w:pPr>
    <w:rPr>
      <w:b w:val="0"/>
    </w:rPr>
  </w:style>
  <w:style w:type="paragraph" w:customStyle="1" w:styleId="11Heading2">
    <w:name w:val="1.1 Heading 2"/>
    <w:basedOn w:val="Normal"/>
    <w:semiHidden/>
    <w:qFormat/>
    <w:locked/>
    <w:rsid w:val="00697B15"/>
    <w:pPr>
      <w:pBdr>
        <w:bottom w:val="single" w:sz="4" w:space="4" w:color="0A7CB9"/>
      </w:pBdr>
      <w:spacing w:before="360" w:after="120"/>
      <w:ind w:left="720" w:hanging="360"/>
    </w:pPr>
    <w:rPr>
      <w:rFonts w:ascii="Arial Bold" w:hAnsi="Arial Bold"/>
      <w:b/>
      <w:color w:val="0A7CB9"/>
      <w:sz w:val="28"/>
      <w:lang w:val="en-AU"/>
    </w:rPr>
  </w:style>
  <w:style w:type="paragraph" w:customStyle="1" w:styleId="Chart1X">
    <w:name w:val="Chart 1.X"/>
    <w:basedOn w:val="Table1X"/>
    <w:next w:val="Normal"/>
    <w:semiHidden/>
    <w:locked/>
    <w:rsid w:val="003910F5"/>
    <w:pPr>
      <w:keepLines/>
      <w:numPr>
        <w:numId w:val="30"/>
      </w:numPr>
    </w:pPr>
  </w:style>
  <w:style w:type="character" w:customStyle="1" w:styleId="Heading2Char">
    <w:name w:val="Heading 2 Char"/>
    <w:link w:val="Heading2"/>
    <w:semiHidden/>
    <w:rsid w:val="003910F5"/>
    <w:rPr>
      <w:rFonts w:ascii="Arial Bold" w:hAnsi="Arial Bold"/>
      <w:b/>
      <w:color w:val="008EBA"/>
      <w:kern w:val="28"/>
      <w:sz w:val="24"/>
      <w:szCs w:val="36"/>
      <w:lang w:eastAsia="en-US"/>
    </w:rPr>
  </w:style>
  <w:style w:type="table" w:styleId="TableGrid">
    <w:name w:val="Table Grid"/>
    <w:basedOn w:val="TableNormal"/>
    <w:rsid w:val="0039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C472D"/>
    <w:rPr>
      <w:rFonts w:ascii="Public Sans SemiBold" w:hAnsi="Public Sans SemiBold"/>
      <w:b/>
      <w:color w:val="22272B"/>
      <w:kern w:val="28"/>
      <w:sz w:val="26"/>
      <w:szCs w:val="36"/>
      <w:lang w:eastAsia="en-US"/>
    </w:rPr>
  </w:style>
  <w:style w:type="character" w:customStyle="1" w:styleId="Bullet1Char">
    <w:name w:val="Bullet 1 Char"/>
    <w:link w:val="Bullet1"/>
    <w:rsid w:val="00681D2E"/>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3910F5"/>
    <w:pPr>
      <w:numPr>
        <w:numId w:val="18"/>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semiHidden/>
    <w:qFormat/>
    <w:locked/>
    <w:rsid w:val="003910F5"/>
    <w:pPr>
      <w:numPr>
        <w:numId w:val="20"/>
      </w:numPr>
    </w:pPr>
  </w:style>
  <w:style w:type="paragraph" w:customStyle="1" w:styleId="Box6XBoxHeading">
    <w:name w:val="Box 6.X: Box Heading"/>
    <w:basedOn w:val="Box1XBoxHeading"/>
    <w:autoRedefine/>
    <w:semiHidden/>
    <w:qFormat/>
    <w:locked/>
    <w:rsid w:val="003517FF"/>
    <w:pPr>
      <w:keepLines/>
      <w:widowControl w:val="0"/>
      <w:numPr>
        <w:numId w:val="23"/>
      </w:numPr>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3910F5"/>
    <w:pPr>
      <w:numPr>
        <w:numId w:val="19"/>
      </w:numPr>
    </w:pPr>
  </w:style>
  <w:style w:type="paragraph" w:customStyle="1" w:styleId="Chart2X">
    <w:name w:val="Chart 2.X"/>
    <w:basedOn w:val="Chart1X"/>
    <w:next w:val="Normal"/>
    <w:semiHidden/>
    <w:locked/>
    <w:rsid w:val="003910F5"/>
    <w:pPr>
      <w:numPr>
        <w:numId w:val="31"/>
      </w:numPr>
    </w:pPr>
    <w:rPr>
      <w:color w:val="57514D"/>
    </w:rPr>
  </w:style>
  <w:style w:type="paragraph" w:customStyle="1" w:styleId="Table2X">
    <w:name w:val="Table 2.X"/>
    <w:basedOn w:val="Table1X"/>
    <w:next w:val="Normal"/>
    <w:semiHidden/>
    <w:qFormat/>
    <w:locked/>
    <w:rsid w:val="003910F5"/>
    <w:pPr>
      <w:numPr>
        <w:numId w:val="67"/>
      </w:numPr>
    </w:pPr>
    <w:rPr>
      <w:lang w:val="fr-FR"/>
    </w:rPr>
  </w:style>
  <w:style w:type="paragraph" w:customStyle="1" w:styleId="Table3X">
    <w:name w:val="Table 3.X"/>
    <w:basedOn w:val="Table1X"/>
    <w:next w:val="Normal"/>
    <w:semiHidden/>
    <w:locked/>
    <w:rsid w:val="003910F5"/>
    <w:pPr>
      <w:widowControl w:val="0"/>
      <w:numPr>
        <w:numId w:val="68"/>
      </w:numPr>
    </w:pPr>
    <w:rPr>
      <w:bCs w:val="0"/>
    </w:rPr>
  </w:style>
  <w:style w:type="paragraph" w:customStyle="1" w:styleId="TableFX">
    <w:name w:val="Table F.X"/>
    <w:basedOn w:val="TableA1X"/>
    <w:next w:val="Normal"/>
    <w:semiHidden/>
    <w:locked/>
    <w:rsid w:val="003910F5"/>
    <w:pPr>
      <w:widowControl w:val="0"/>
      <w:numPr>
        <w:numId w:val="0"/>
      </w:numPr>
      <w:ind w:left="360" w:hanging="360"/>
    </w:pPr>
    <w:rPr>
      <w:bCs w:val="0"/>
      <w:color w:val="57514D"/>
    </w:rPr>
  </w:style>
  <w:style w:type="paragraph" w:customStyle="1" w:styleId="31Heading2">
    <w:name w:val="3.1 Heading 2"/>
    <w:basedOn w:val="11Heading2"/>
    <w:next w:val="BodyText"/>
    <w:semiHidden/>
    <w:qFormat/>
    <w:locked/>
    <w:rsid w:val="003910F5"/>
    <w:pPr>
      <w:numPr>
        <w:numId w:val="7"/>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24"/>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3910F5"/>
    <w:pPr>
      <w:numPr>
        <w:numId w:val="32"/>
      </w:numPr>
    </w:pPr>
  </w:style>
  <w:style w:type="paragraph" w:customStyle="1" w:styleId="41Heading2">
    <w:name w:val="4.1 Heading 2"/>
    <w:basedOn w:val="11Heading2"/>
    <w:next w:val="BodyText"/>
    <w:semiHidden/>
    <w:qFormat/>
    <w:locked/>
    <w:rsid w:val="003910F5"/>
    <w:pPr>
      <w:numPr>
        <w:numId w:val="8"/>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A31F06"/>
    <w:pPr>
      <w:numPr>
        <w:numId w:val="21"/>
      </w:numPr>
    </w:pPr>
    <w:rPr>
      <w:rFonts w:ascii="Public Sans" w:hAnsi="Public Sans" w:cs="Arial"/>
      <w:b w:val="0"/>
      <w:i/>
      <w:color w:val="4F4F4F"/>
      <w:lang w:eastAsia="en-AU"/>
    </w:rPr>
  </w:style>
  <w:style w:type="paragraph" w:customStyle="1" w:styleId="Chart4X">
    <w:name w:val="Chart 4.X"/>
    <w:basedOn w:val="Chart1X"/>
    <w:next w:val="Normal"/>
    <w:semiHidden/>
    <w:locked/>
    <w:rsid w:val="003910F5"/>
    <w:pPr>
      <w:numPr>
        <w:numId w:val="33"/>
      </w:numPr>
    </w:pPr>
  </w:style>
  <w:style w:type="paragraph" w:customStyle="1" w:styleId="Table4X">
    <w:name w:val="Table 4.X"/>
    <w:basedOn w:val="Table1X"/>
    <w:next w:val="Normal"/>
    <w:semiHidden/>
    <w:locked/>
    <w:rsid w:val="003910F5"/>
    <w:pPr>
      <w:widowControl w:val="0"/>
      <w:numPr>
        <w:numId w:val="69"/>
      </w:numPr>
    </w:pPr>
    <w:rPr>
      <w:bCs w:val="0"/>
    </w:rPr>
  </w:style>
  <w:style w:type="paragraph" w:customStyle="1" w:styleId="51Heading2">
    <w:name w:val="5.1 Heading 2"/>
    <w:basedOn w:val="11Heading2"/>
    <w:next w:val="BodyText"/>
    <w:semiHidden/>
    <w:qFormat/>
    <w:locked/>
    <w:rsid w:val="003910F5"/>
    <w:pPr>
      <w:numPr>
        <w:numId w:val="9"/>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3910F5"/>
    <w:pPr>
      <w:numPr>
        <w:numId w:val="22"/>
      </w:numPr>
    </w:pPr>
  </w:style>
  <w:style w:type="paragraph" w:customStyle="1" w:styleId="Chart5X">
    <w:name w:val="Chart 5.X"/>
    <w:basedOn w:val="Chart1X"/>
    <w:next w:val="Normal"/>
    <w:semiHidden/>
    <w:locked/>
    <w:rsid w:val="003910F5"/>
    <w:pPr>
      <w:numPr>
        <w:numId w:val="34"/>
      </w:numPr>
    </w:pPr>
  </w:style>
  <w:style w:type="paragraph" w:customStyle="1" w:styleId="Table5X">
    <w:name w:val="Table 5.X"/>
    <w:basedOn w:val="Table1X"/>
    <w:next w:val="Normal"/>
    <w:semiHidden/>
    <w:locked/>
    <w:rsid w:val="003910F5"/>
    <w:pPr>
      <w:widowControl w:val="0"/>
      <w:numPr>
        <w:numId w:val="70"/>
      </w:numPr>
    </w:pPr>
    <w:rPr>
      <w:bCs w:val="0"/>
    </w:rPr>
  </w:style>
  <w:style w:type="paragraph" w:customStyle="1" w:styleId="Chart6X">
    <w:name w:val="Chart 6.X"/>
    <w:basedOn w:val="Chart1X"/>
    <w:next w:val="Normal"/>
    <w:semiHidden/>
    <w:qFormat/>
    <w:locked/>
    <w:rsid w:val="003910F5"/>
    <w:pPr>
      <w:numPr>
        <w:numId w:val="35"/>
      </w:numPr>
    </w:pPr>
  </w:style>
  <w:style w:type="paragraph" w:customStyle="1" w:styleId="Table6X">
    <w:name w:val="Table 6.X"/>
    <w:basedOn w:val="Table1X"/>
    <w:next w:val="Normal"/>
    <w:semiHidden/>
    <w:qFormat/>
    <w:locked/>
    <w:rsid w:val="003910F5"/>
    <w:pPr>
      <w:widowControl w:val="0"/>
      <w:numPr>
        <w:numId w:val="71"/>
      </w:numPr>
    </w:pPr>
    <w:rPr>
      <w:bCs w:val="0"/>
    </w:rPr>
  </w:style>
  <w:style w:type="paragraph" w:customStyle="1" w:styleId="71Heading2">
    <w:name w:val="7.1 Heading 2"/>
    <w:basedOn w:val="11Heading2"/>
    <w:next w:val="BodyText"/>
    <w:qFormat/>
    <w:locked/>
    <w:rsid w:val="007E6DB7"/>
    <w:pPr>
      <w:numPr>
        <w:numId w:val="11"/>
      </w:numPr>
      <w:pBdr>
        <w:bottom w:val="single" w:sz="4" w:space="4" w:color="22272B"/>
      </w:pBdr>
      <w:ind w:left="851" w:hanging="851"/>
    </w:pPr>
    <w:rPr>
      <w:rFonts w:ascii="Public Sans SemiBold" w:hAnsi="Public Sans SemiBold"/>
      <w:color w:val="22272B"/>
    </w:rPr>
  </w:style>
  <w:style w:type="paragraph" w:customStyle="1" w:styleId="81Heading2">
    <w:name w:val="8.1 Heading 2"/>
    <w:basedOn w:val="11Heading2"/>
    <w:next w:val="BodyText"/>
    <w:semiHidden/>
    <w:qFormat/>
    <w:locked/>
    <w:rsid w:val="003910F5"/>
    <w:pPr>
      <w:numPr>
        <w:numId w:val="12"/>
      </w:numPr>
      <w:pBdr>
        <w:bottom w:val="single" w:sz="4" w:space="4" w:color="22272B"/>
      </w:pBdr>
    </w:pPr>
    <w:rPr>
      <w:rFonts w:ascii="Public Sans SemiBold" w:hAnsi="Public Sans SemiBold"/>
      <w:color w:val="22272B"/>
    </w:rPr>
  </w:style>
  <w:style w:type="paragraph" w:customStyle="1" w:styleId="Chart7X">
    <w:name w:val="Chart 7.X"/>
    <w:basedOn w:val="Chart1X"/>
    <w:next w:val="Normal"/>
    <w:qFormat/>
    <w:locked/>
    <w:rsid w:val="00AC319F"/>
    <w:pPr>
      <w:numPr>
        <w:numId w:val="2"/>
      </w:numPr>
      <w:ind w:left="1418" w:hanging="1418"/>
    </w:pPr>
  </w:style>
  <w:style w:type="paragraph" w:customStyle="1" w:styleId="Box7XBoxHeading">
    <w:name w:val="Box 7.X: Box Heading"/>
    <w:basedOn w:val="Box1XBoxHeading"/>
    <w:next w:val="Normal"/>
    <w:qFormat/>
    <w:locked/>
    <w:rsid w:val="00B04630"/>
    <w:pPr>
      <w:numPr>
        <w:numId w:val="25"/>
      </w:numPr>
      <w:ind w:left="1134" w:hanging="1134"/>
    </w:pPr>
  </w:style>
  <w:style w:type="paragraph" w:customStyle="1" w:styleId="Table7X">
    <w:name w:val="Table 7.X"/>
    <w:basedOn w:val="Table1X"/>
    <w:next w:val="Normal"/>
    <w:qFormat/>
    <w:locked/>
    <w:rsid w:val="00BD3275"/>
    <w:pPr>
      <w:numPr>
        <w:numId w:val="3"/>
      </w:numPr>
    </w:pPr>
  </w:style>
  <w:style w:type="paragraph" w:customStyle="1" w:styleId="ChartEX">
    <w:name w:val="Chart E.X"/>
    <w:basedOn w:val="ChartA1X"/>
    <w:next w:val="Normal"/>
    <w:semiHidden/>
    <w:qFormat/>
    <w:locked/>
    <w:rsid w:val="003910F5"/>
    <w:pPr>
      <w:numPr>
        <w:numId w:val="44"/>
      </w:numPr>
    </w:pPr>
  </w:style>
  <w:style w:type="paragraph" w:customStyle="1" w:styleId="ChartA2X">
    <w:name w:val="Chart A2.X"/>
    <w:basedOn w:val="ChartA1X"/>
    <w:next w:val="Normal"/>
    <w:semiHidden/>
    <w:qFormat/>
    <w:locked/>
    <w:rsid w:val="003910F5"/>
    <w:pPr>
      <w:numPr>
        <w:numId w:val="37"/>
      </w:numPr>
    </w:pPr>
  </w:style>
  <w:style w:type="paragraph" w:customStyle="1" w:styleId="A22Heading2">
    <w:name w:val="A2.2 Heading 2"/>
    <w:basedOn w:val="11Heading2"/>
    <w:next w:val="BodyText"/>
    <w:semiHidden/>
    <w:qFormat/>
    <w:locked/>
    <w:rsid w:val="003910F5"/>
    <w:pPr>
      <w:numPr>
        <w:numId w:val="14"/>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3910F5"/>
    <w:pPr>
      <w:keepNext/>
      <w:keepLines/>
      <w:widowControl w:val="0"/>
      <w:numPr>
        <w:numId w:val="74"/>
      </w:numPr>
      <w:autoSpaceDE w:val="0"/>
      <w:autoSpaceDN w:val="0"/>
    </w:pPr>
    <w:rPr>
      <w:rFonts w:cs="Arial"/>
      <w:color w:val="57514D"/>
      <w:lang w:eastAsia="en-AU"/>
    </w:rPr>
  </w:style>
  <w:style w:type="paragraph" w:customStyle="1" w:styleId="TableA3X">
    <w:name w:val="Table A3.X"/>
    <w:basedOn w:val="TableA1X"/>
    <w:next w:val="Normal"/>
    <w:semiHidden/>
    <w:qFormat/>
    <w:locked/>
    <w:rsid w:val="003910F5"/>
    <w:pPr>
      <w:widowControl w:val="0"/>
      <w:numPr>
        <w:numId w:val="75"/>
      </w:numPr>
    </w:pPr>
    <w:rPr>
      <w:bCs w:val="0"/>
    </w:rPr>
  </w:style>
  <w:style w:type="paragraph" w:customStyle="1" w:styleId="A11Heading2">
    <w:name w:val="A1.1 Heading 2"/>
    <w:basedOn w:val="11Heading2"/>
    <w:next w:val="BodyText"/>
    <w:semiHidden/>
    <w:qFormat/>
    <w:locked/>
    <w:rsid w:val="003910F5"/>
    <w:pPr>
      <w:numPr>
        <w:numId w:val="13"/>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3910F5"/>
    <w:pPr>
      <w:numPr>
        <w:numId w:val="36"/>
      </w:numPr>
    </w:pPr>
    <w:rPr>
      <w:rFonts w:eastAsia="Tahoma" w:cs="Tahoma"/>
    </w:rPr>
  </w:style>
  <w:style w:type="paragraph" w:customStyle="1" w:styleId="ChartBX">
    <w:name w:val="Chart B.X"/>
    <w:basedOn w:val="ChartA1X"/>
    <w:next w:val="Normal"/>
    <w:semiHidden/>
    <w:qFormat/>
    <w:locked/>
    <w:rsid w:val="003910F5"/>
    <w:pPr>
      <w:numPr>
        <w:numId w:val="41"/>
      </w:numPr>
    </w:pPr>
  </w:style>
  <w:style w:type="paragraph" w:customStyle="1" w:styleId="ChartCX">
    <w:name w:val="Chart C.X"/>
    <w:basedOn w:val="ChartA1X"/>
    <w:next w:val="Normal"/>
    <w:semiHidden/>
    <w:qFormat/>
    <w:locked/>
    <w:rsid w:val="003910F5"/>
    <w:pPr>
      <w:numPr>
        <w:numId w:val="42"/>
      </w:numPr>
    </w:pPr>
  </w:style>
  <w:style w:type="paragraph" w:customStyle="1" w:styleId="ChartDX">
    <w:name w:val="Chart D.X"/>
    <w:basedOn w:val="ChartA1X"/>
    <w:next w:val="Normal"/>
    <w:semiHidden/>
    <w:qFormat/>
    <w:locked/>
    <w:rsid w:val="003910F5"/>
    <w:pPr>
      <w:numPr>
        <w:numId w:val="43"/>
      </w:numPr>
    </w:pPr>
  </w:style>
  <w:style w:type="paragraph" w:customStyle="1" w:styleId="TableA1X">
    <w:name w:val="Table A1.X"/>
    <w:basedOn w:val="Table1X"/>
    <w:next w:val="Normal"/>
    <w:semiHidden/>
    <w:qFormat/>
    <w:locked/>
    <w:rsid w:val="003910F5"/>
    <w:pPr>
      <w:numPr>
        <w:numId w:val="73"/>
      </w:numPr>
    </w:pPr>
    <w:rPr>
      <w:rFonts w:eastAsia="Tahoma" w:cs="Tahoma"/>
    </w:rPr>
  </w:style>
  <w:style w:type="paragraph" w:customStyle="1" w:styleId="TableBX">
    <w:name w:val="Table B.X"/>
    <w:basedOn w:val="TableA1X"/>
    <w:next w:val="Normal"/>
    <w:semiHidden/>
    <w:qFormat/>
    <w:locked/>
    <w:rsid w:val="003910F5"/>
    <w:pPr>
      <w:numPr>
        <w:numId w:val="76"/>
      </w:numPr>
    </w:pPr>
  </w:style>
  <w:style w:type="paragraph" w:customStyle="1" w:styleId="TableCX">
    <w:name w:val="Table C.X"/>
    <w:basedOn w:val="TableA1X"/>
    <w:next w:val="Normal"/>
    <w:semiHidden/>
    <w:qFormat/>
    <w:locked/>
    <w:rsid w:val="003910F5"/>
    <w:pPr>
      <w:numPr>
        <w:numId w:val="77"/>
      </w:numPr>
    </w:pPr>
  </w:style>
  <w:style w:type="paragraph" w:customStyle="1" w:styleId="TableDX">
    <w:name w:val="Table D.X"/>
    <w:basedOn w:val="TableA1X"/>
    <w:next w:val="Normal"/>
    <w:semiHidden/>
    <w:qFormat/>
    <w:locked/>
    <w:rsid w:val="003910F5"/>
    <w:pPr>
      <w:numPr>
        <w:numId w:val="78"/>
      </w:numPr>
    </w:pPr>
  </w:style>
  <w:style w:type="paragraph" w:customStyle="1" w:styleId="ChartA3X">
    <w:name w:val="Chart A3.X"/>
    <w:basedOn w:val="ChartA1X"/>
    <w:next w:val="Normal"/>
    <w:semiHidden/>
    <w:qFormat/>
    <w:locked/>
    <w:rsid w:val="003910F5"/>
    <w:pPr>
      <w:numPr>
        <w:numId w:val="38"/>
      </w:numPr>
    </w:pPr>
  </w:style>
  <w:style w:type="paragraph" w:customStyle="1" w:styleId="ChartFX">
    <w:name w:val="Chart F.X"/>
    <w:basedOn w:val="ChartA1X"/>
    <w:next w:val="Normal"/>
    <w:semiHidden/>
    <w:locked/>
    <w:rsid w:val="003910F5"/>
    <w:pPr>
      <w:numPr>
        <w:numId w:val="45"/>
      </w:numPr>
    </w:pPr>
  </w:style>
  <w:style w:type="paragraph" w:customStyle="1" w:styleId="61Heading2">
    <w:name w:val="6.1 Heading 2"/>
    <w:basedOn w:val="11Heading2"/>
    <w:next w:val="BodyText"/>
    <w:semiHidden/>
    <w:qFormat/>
    <w:locked/>
    <w:rsid w:val="003910F5"/>
    <w:pPr>
      <w:numPr>
        <w:numId w:val="10"/>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3910F5"/>
    <w:pPr>
      <w:numPr>
        <w:numId w:val="15"/>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3910F5"/>
    <w:pPr>
      <w:numPr>
        <w:numId w:val="16"/>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3910F5"/>
    <w:pPr>
      <w:numPr>
        <w:numId w:val="28"/>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3910F5"/>
    <w:pPr>
      <w:numPr>
        <w:numId w:val="46"/>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3910F5"/>
    <w:pPr>
      <w:numPr>
        <w:numId w:val="47"/>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3910F5"/>
    <w:pPr>
      <w:numPr>
        <w:numId w:val="48"/>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3910F5"/>
    <w:pPr>
      <w:numPr>
        <w:numId w:val="72"/>
      </w:numPr>
    </w:pPr>
  </w:style>
  <w:style w:type="paragraph" w:customStyle="1" w:styleId="ChartA4X">
    <w:name w:val="Chart A4.X"/>
    <w:basedOn w:val="ChartA1X"/>
    <w:next w:val="Normal"/>
    <w:semiHidden/>
    <w:qFormat/>
    <w:locked/>
    <w:rsid w:val="003910F5"/>
    <w:pPr>
      <w:numPr>
        <w:numId w:val="39"/>
      </w:numPr>
    </w:pPr>
  </w:style>
  <w:style w:type="paragraph" w:customStyle="1" w:styleId="ChartA5X">
    <w:name w:val="Chart A5.X"/>
    <w:basedOn w:val="ChartA1X"/>
    <w:next w:val="Normal"/>
    <w:semiHidden/>
    <w:qFormat/>
    <w:locked/>
    <w:rsid w:val="003910F5"/>
    <w:pPr>
      <w:numPr>
        <w:numId w:val="40"/>
      </w:numPr>
    </w:pPr>
  </w:style>
  <w:style w:type="paragraph" w:customStyle="1" w:styleId="Box8XBoxHeading">
    <w:name w:val="Box 8.X: Box Heading"/>
    <w:basedOn w:val="Box1XBoxHeading"/>
    <w:next w:val="Normal"/>
    <w:qFormat/>
    <w:locked/>
    <w:rsid w:val="003910F5"/>
    <w:pPr>
      <w:numPr>
        <w:numId w:val="26"/>
      </w:numPr>
    </w:pPr>
  </w:style>
  <w:style w:type="table" w:customStyle="1" w:styleId="Focusbox">
    <w:name w:val="Focus box"/>
    <w:basedOn w:val="TableNormal"/>
    <w:uiPriority w:val="99"/>
    <w:locked/>
    <w:rsid w:val="003910F5"/>
    <w:rPr>
      <w:rFonts w:ascii="Arial" w:hAnsi="Arial"/>
      <w:sz w:val="23"/>
    </w:rPr>
    <w:tblPr/>
    <w:tcPr>
      <w:shd w:val="pct5" w:color="auto" w:fill="auto"/>
    </w:tcPr>
  </w:style>
  <w:style w:type="paragraph" w:customStyle="1" w:styleId="Source">
    <w:name w:val="Source"/>
    <w:basedOn w:val="Normal"/>
    <w:next w:val="BodyText"/>
    <w:qFormat/>
    <w:rsid w:val="003910F5"/>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3B50A4"/>
    <w:rPr>
      <w:rFonts w:ascii="Public Sans" w:hAnsi="Public Sans" w:cs="Arial"/>
      <w:sz w:val="22"/>
      <w:lang w:val="en-US" w:eastAsia="en-US"/>
    </w:rPr>
  </w:style>
  <w:style w:type="paragraph" w:styleId="BalloonText">
    <w:name w:val="Balloon Text"/>
    <w:basedOn w:val="Normal"/>
    <w:link w:val="BalloonTextChar"/>
    <w:uiPriority w:val="99"/>
    <w:semiHidden/>
    <w:unhideWhenUsed/>
    <w:rsid w:val="00B647D8"/>
    <w:pPr>
      <w:widowControl w:val="0"/>
      <w:autoSpaceDE w:val="0"/>
      <w:autoSpaceDN w:val="0"/>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B647D8"/>
    <w:rPr>
      <w:rFonts w:ascii="Segoe UI" w:eastAsia="Arial" w:hAnsi="Segoe UI" w:cs="Segoe UI"/>
      <w:sz w:val="18"/>
      <w:szCs w:val="18"/>
      <w:lang w:val="en-US" w:eastAsia="en-US" w:bidi="en-US"/>
    </w:rPr>
  </w:style>
  <w:style w:type="character" w:styleId="CommentReference">
    <w:name w:val="annotation reference"/>
    <w:basedOn w:val="DefaultParagraphFont"/>
    <w:uiPriority w:val="99"/>
    <w:semiHidden/>
    <w:unhideWhenUsed/>
    <w:rsid w:val="00B647D8"/>
    <w:rPr>
      <w:sz w:val="16"/>
      <w:szCs w:val="16"/>
    </w:rPr>
  </w:style>
  <w:style w:type="paragraph" w:styleId="CommentSubject">
    <w:name w:val="annotation subject"/>
    <w:basedOn w:val="Normal"/>
    <w:next w:val="Normal"/>
    <w:link w:val="CommentSubjectChar"/>
    <w:uiPriority w:val="99"/>
    <w:semiHidden/>
    <w:unhideWhenUsed/>
    <w:rsid w:val="00FD2972"/>
    <w:pPr>
      <w:widowControl w:val="0"/>
      <w:autoSpaceDE w:val="0"/>
      <w:autoSpaceDN w:val="0"/>
    </w:pPr>
    <w:rPr>
      <w:rFonts w:ascii="Arial" w:eastAsia="Arial" w:hAnsi="Arial" w:cs="Arial"/>
      <w:b/>
      <w:bCs/>
      <w:lang w:bidi="en-US"/>
    </w:rPr>
  </w:style>
  <w:style w:type="character" w:customStyle="1" w:styleId="CommentSubjectChar">
    <w:name w:val="Comment Subject Char"/>
    <w:basedOn w:val="DefaultParagraphFont"/>
    <w:link w:val="CommentSubject"/>
    <w:uiPriority w:val="99"/>
    <w:semiHidden/>
    <w:rsid w:val="00FD2972"/>
    <w:rPr>
      <w:rFonts w:ascii="Arial" w:eastAsia="Arial" w:hAnsi="Arial" w:cs="Arial"/>
      <w:b/>
      <w:bCs/>
      <w:lang w:val="en-US" w:eastAsia="en-US" w:bidi="en-US"/>
    </w:rPr>
  </w:style>
  <w:style w:type="paragraph" w:styleId="Revision">
    <w:name w:val="Revision"/>
    <w:hidden/>
    <w:uiPriority w:val="99"/>
    <w:semiHidden/>
    <w:rsid w:val="00B647D8"/>
    <w:rPr>
      <w:rFonts w:ascii="Arial" w:eastAsia="Arial" w:hAnsi="Arial" w:cs="Arial"/>
      <w:sz w:val="22"/>
      <w:szCs w:val="22"/>
      <w:lang w:val="en-US" w:eastAsia="en-US" w:bidi="en-US"/>
    </w:rPr>
  </w:style>
  <w:style w:type="paragraph" w:customStyle="1" w:styleId="Table81">
    <w:name w:val="Table 8.1"/>
    <w:basedOn w:val="Normal"/>
    <w:semiHidden/>
    <w:qFormat/>
    <w:rsid w:val="00B647D8"/>
    <w:pPr>
      <w:spacing w:before="240" w:after="120"/>
      <w:ind w:left="360" w:hanging="360"/>
    </w:pPr>
    <w:rPr>
      <w:rFonts w:ascii="Arial" w:hAnsi="Arial"/>
      <w:i/>
      <w:color w:val="4F4F4F"/>
      <w:sz w:val="22"/>
      <w:lang w:val="en-AU"/>
    </w:rPr>
  </w:style>
  <w:style w:type="character" w:customStyle="1" w:styleId="Heading1Char">
    <w:name w:val="Heading 1 Char"/>
    <w:link w:val="Heading1"/>
    <w:rsid w:val="00016AE9"/>
    <w:rPr>
      <w:rFonts w:ascii="Public Sans SemiBold" w:hAnsi="Public Sans SemiBold"/>
      <w:caps/>
      <w:color w:val="002664"/>
      <w:kern w:val="28"/>
      <w:sz w:val="40"/>
      <w:szCs w:val="36"/>
      <w:lang w:eastAsia="en-US"/>
    </w:rPr>
  </w:style>
  <w:style w:type="character" w:customStyle="1" w:styleId="Heading4Char">
    <w:name w:val="Heading 4 Char"/>
    <w:link w:val="Heading4"/>
    <w:rsid w:val="00B647D8"/>
    <w:rPr>
      <w:rFonts w:ascii="Public Sans SemiBold" w:hAnsi="Public Sans SemiBold"/>
      <w:b/>
      <w:color w:val="22272B"/>
      <w:kern w:val="28"/>
      <w:sz w:val="24"/>
      <w:szCs w:val="36"/>
      <w:lang w:eastAsia="en-US"/>
    </w:rPr>
  </w:style>
  <w:style w:type="character" w:customStyle="1" w:styleId="Heading5Char">
    <w:name w:val="Heading 5 Char"/>
    <w:basedOn w:val="DefaultParagraphFont"/>
    <w:link w:val="Heading5"/>
    <w:rsid w:val="00274626"/>
    <w:rPr>
      <w:rFonts w:ascii="Public Sans SemiBold" w:hAnsi="Public Sans SemiBold"/>
      <w:i/>
      <w:color w:val="22272B"/>
      <w:kern w:val="28"/>
      <w:sz w:val="24"/>
      <w:szCs w:val="36"/>
      <w:lang w:eastAsia="en-US"/>
    </w:rPr>
  </w:style>
  <w:style w:type="table" w:customStyle="1" w:styleId="TableGrid1">
    <w:name w:val="Table Grid1"/>
    <w:basedOn w:val="TableNormal"/>
    <w:next w:val="TableGrid"/>
    <w:uiPriority w:val="59"/>
    <w:rsid w:val="00B647D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7X">
    <w:name w:val="Figure 7.X"/>
    <w:basedOn w:val="Figure1X"/>
    <w:next w:val="Normal"/>
    <w:qFormat/>
    <w:rsid w:val="008E24DE"/>
    <w:pPr>
      <w:numPr>
        <w:numId w:val="0"/>
      </w:numPr>
      <w:ind w:left="360" w:hanging="360"/>
    </w:pPr>
  </w:style>
  <w:style w:type="numbering" w:customStyle="1" w:styleId="BulletPoints">
    <w:name w:val="Bullet Points"/>
    <w:uiPriority w:val="99"/>
    <w:rsid w:val="0073085E"/>
    <w:pPr>
      <w:numPr>
        <w:numId w:val="1"/>
      </w:numPr>
    </w:pPr>
  </w:style>
  <w:style w:type="paragraph" w:styleId="Header">
    <w:name w:val="header"/>
    <w:basedOn w:val="Normal"/>
    <w:link w:val="HeaderChar"/>
    <w:uiPriority w:val="99"/>
    <w:semiHidden/>
    <w:rsid w:val="003910F5"/>
    <w:pPr>
      <w:tabs>
        <w:tab w:val="center" w:pos="4513"/>
        <w:tab w:val="right" w:pos="9026"/>
      </w:tabs>
    </w:pPr>
  </w:style>
  <w:style w:type="character" w:customStyle="1" w:styleId="HeaderChar">
    <w:name w:val="Header Char"/>
    <w:basedOn w:val="DefaultParagraphFont"/>
    <w:link w:val="Header"/>
    <w:uiPriority w:val="99"/>
    <w:semiHidden/>
    <w:rsid w:val="003910F5"/>
    <w:rPr>
      <w:lang w:val="en-US" w:eastAsia="en-US"/>
    </w:rPr>
  </w:style>
  <w:style w:type="paragraph" w:customStyle="1" w:styleId="Footnotestyle">
    <w:name w:val="Footnote style"/>
    <w:basedOn w:val="Normal"/>
    <w:next w:val="Normal"/>
    <w:qFormat/>
    <w:rsid w:val="003910F5"/>
    <w:pPr>
      <w:spacing w:before="40" w:after="40"/>
      <w:ind w:left="709" w:hanging="284"/>
    </w:pPr>
    <w:rPr>
      <w:rFonts w:ascii="Public Sans" w:hAnsi="Public Sans"/>
      <w:sz w:val="16"/>
    </w:rPr>
  </w:style>
  <w:style w:type="paragraph" w:styleId="Footer">
    <w:name w:val="footer"/>
    <w:basedOn w:val="Normal"/>
    <w:link w:val="FooterChar"/>
    <w:semiHidden/>
    <w:rsid w:val="003910F5"/>
    <w:pPr>
      <w:tabs>
        <w:tab w:val="center" w:pos="4513"/>
        <w:tab w:val="right" w:pos="9026"/>
      </w:tabs>
    </w:pPr>
  </w:style>
  <w:style w:type="character" w:customStyle="1" w:styleId="FooterChar">
    <w:name w:val="Footer Char"/>
    <w:basedOn w:val="DefaultParagraphFont"/>
    <w:link w:val="Footer"/>
    <w:semiHidden/>
    <w:rsid w:val="003910F5"/>
    <w:rPr>
      <w:lang w:val="en-US" w:eastAsia="en-US"/>
    </w:rPr>
  </w:style>
  <w:style w:type="paragraph" w:styleId="ListBullet">
    <w:name w:val="List Bullet"/>
    <w:basedOn w:val="Normal"/>
    <w:uiPriority w:val="99"/>
    <w:semiHidden/>
    <w:unhideWhenUsed/>
    <w:rsid w:val="00DD695A"/>
    <w:pPr>
      <w:numPr>
        <w:numId w:val="5"/>
      </w:numPr>
      <w:spacing w:after="160" w:line="252" w:lineRule="auto"/>
      <w:contextualSpacing/>
    </w:pPr>
    <w:rPr>
      <w:rFonts w:ascii="Calibri" w:eastAsiaTheme="minorHAnsi" w:hAnsi="Calibri" w:cs="Calibri"/>
      <w:sz w:val="22"/>
      <w:szCs w:val="22"/>
      <w:lang w:val="en-AU"/>
    </w:rPr>
  </w:style>
  <w:style w:type="paragraph" w:styleId="CommentText">
    <w:name w:val="annotation text"/>
    <w:basedOn w:val="Normal"/>
    <w:link w:val="CommentTextChar"/>
    <w:uiPriority w:val="99"/>
    <w:rsid w:val="00C3693E"/>
  </w:style>
  <w:style w:type="character" w:customStyle="1" w:styleId="CommentTextChar">
    <w:name w:val="Comment Text Char"/>
    <w:basedOn w:val="DefaultParagraphFont"/>
    <w:link w:val="CommentText"/>
    <w:uiPriority w:val="99"/>
    <w:rsid w:val="00DB6496"/>
    <w:rPr>
      <w:lang w:val="en-US" w:eastAsia="en-US"/>
    </w:rPr>
  </w:style>
  <w:style w:type="paragraph" w:customStyle="1" w:styleId="paragraph">
    <w:name w:val="paragraph"/>
    <w:basedOn w:val="Normal"/>
    <w:semiHidden/>
    <w:rsid w:val="00EA3D12"/>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semiHidden/>
    <w:rsid w:val="00EA3D12"/>
  </w:style>
  <w:style w:type="character" w:customStyle="1" w:styleId="eop">
    <w:name w:val="eop"/>
    <w:basedOn w:val="DefaultParagraphFont"/>
    <w:semiHidden/>
    <w:rsid w:val="00EA3D12"/>
  </w:style>
  <w:style w:type="paragraph" w:styleId="ListParagraph">
    <w:name w:val="List Paragraph"/>
    <w:basedOn w:val="Normal"/>
    <w:uiPriority w:val="34"/>
    <w:semiHidden/>
    <w:qFormat/>
    <w:rsid w:val="00EA3D12"/>
    <w:pPr>
      <w:ind w:left="720"/>
      <w:contextualSpacing/>
    </w:pPr>
  </w:style>
  <w:style w:type="character" w:styleId="Mention">
    <w:name w:val="Mention"/>
    <w:basedOn w:val="DefaultParagraphFont"/>
    <w:uiPriority w:val="99"/>
    <w:semiHidden/>
    <w:rsid w:val="00FF17A0"/>
    <w:rPr>
      <w:color w:val="2B579A"/>
      <w:shd w:val="clear" w:color="auto" w:fill="E1DFDD"/>
    </w:rPr>
  </w:style>
  <w:style w:type="paragraph" w:customStyle="1" w:styleId="B1Heading2">
    <w:name w:val="B.1 Heading 2"/>
    <w:basedOn w:val="11Heading2"/>
    <w:semiHidden/>
    <w:qFormat/>
    <w:locked/>
    <w:rsid w:val="001A786C"/>
    <w:pPr>
      <w:numPr>
        <w:numId w:val="17"/>
      </w:numPr>
      <w:pBdr>
        <w:bottom w:val="single" w:sz="4" w:space="4" w:color="22272B"/>
      </w:pBdr>
    </w:pPr>
    <w:rPr>
      <w:rFonts w:ascii="Public Sans SemiBold" w:eastAsia="Tahoma" w:hAnsi="Public Sans SemiBold" w:cs="Tahoma"/>
      <w:b w:val="0"/>
      <w:color w:val="22272B"/>
    </w:rPr>
  </w:style>
  <w:style w:type="paragraph" w:customStyle="1" w:styleId="Bullet3">
    <w:name w:val="Bullet 3"/>
    <w:basedOn w:val="Bullet2"/>
    <w:next w:val="BodyText"/>
    <w:qFormat/>
    <w:rsid w:val="00D93268"/>
    <w:pPr>
      <w:numPr>
        <w:numId w:val="27"/>
      </w:numPr>
    </w:pPr>
  </w:style>
  <w:style w:type="character" w:styleId="EndnoteReference">
    <w:name w:val="endnote reference"/>
    <w:semiHidden/>
    <w:rsid w:val="003910F5"/>
    <w:rPr>
      <w:i/>
      <w:sz w:val="16"/>
      <w:vertAlign w:val="superscript"/>
    </w:rPr>
  </w:style>
  <w:style w:type="paragraph" w:customStyle="1" w:styleId="Figure1X">
    <w:name w:val="Figure 1.X"/>
    <w:basedOn w:val="Table1X"/>
    <w:next w:val="Normal"/>
    <w:semiHidden/>
    <w:qFormat/>
    <w:rsid w:val="003910F5"/>
    <w:pPr>
      <w:numPr>
        <w:numId w:val="49"/>
      </w:numPr>
    </w:pPr>
  </w:style>
  <w:style w:type="paragraph" w:customStyle="1" w:styleId="Figure2X">
    <w:name w:val="Figure 2.X"/>
    <w:basedOn w:val="Figure1X"/>
    <w:next w:val="Normal"/>
    <w:semiHidden/>
    <w:qFormat/>
    <w:rsid w:val="003910F5"/>
    <w:pPr>
      <w:numPr>
        <w:numId w:val="50"/>
      </w:numPr>
    </w:pPr>
  </w:style>
  <w:style w:type="paragraph" w:customStyle="1" w:styleId="Figure3X">
    <w:name w:val="Figure 3.X"/>
    <w:basedOn w:val="Figure1X"/>
    <w:next w:val="Normal"/>
    <w:semiHidden/>
    <w:qFormat/>
    <w:rsid w:val="003910F5"/>
    <w:pPr>
      <w:numPr>
        <w:numId w:val="51"/>
      </w:numPr>
    </w:pPr>
  </w:style>
  <w:style w:type="paragraph" w:customStyle="1" w:styleId="Figure4X">
    <w:name w:val="Figure 4.X"/>
    <w:basedOn w:val="Figure1X"/>
    <w:next w:val="Normal"/>
    <w:semiHidden/>
    <w:qFormat/>
    <w:rsid w:val="003910F5"/>
    <w:pPr>
      <w:numPr>
        <w:numId w:val="52"/>
      </w:numPr>
    </w:pPr>
  </w:style>
  <w:style w:type="paragraph" w:customStyle="1" w:styleId="Figure5X">
    <w:name w:val="Figure 5.X"/>
    <w:basedOn w:val="Figure1X"/>
    <w:next w:val="Normal"/>
    <w:semiHidden/>
    <w:qFormat/>
    <w:rsid w:val="003910F5"/>
    <w:pPr>
      <w:numPr>
        <w:numId w:val="53"/>
      </w:numPr>
    </w:pPr>
  </w:style>
  <w:style w:type="paragraph" w:customStyle="1" w:styleId="Figure6X">
    <w:name w:val="Figure 6.X"/>
    <w:basedOn w:val="Figure1X"/>
    <w:next w:val="Normal"/>
    <w:semiHidden/>
    <w:qFormat/>
    <w:rsid w:val="003910F5"/>
    <w:pPr>
      <w:numPr>
        <w:numId w:val="54"/>
      </w:numPr>
    </w:pPr>
  </w:style>
  <w:style w:type="paragraph" w:customStyle="1" w:styleId="Figure8X">
    <w:name w:val="Figure 8.X"/>
    <w:basedOn w:val="Figure7X"/>
    <w:next w:val="Normal"/>
    <w:semiHidden/>
    <w:qFormat/>
    <w:rsid w:val="003910F5"/>
    <w:pPr>
      <w:numPr>
        <w:numId w:val="55"/>
      </w:numPr>
    </w:pPr>
  </w:style>
  <w:style w:type="paragraph" w:customStyle="1" w:styleId="FigureA1X">
    <w:name w:val="Figure A1.X"/>
    <w:basedOn w:val="Figure1X"/>
    <w:next w:val="Normal"/>
    <w:semiHidden/>
    <w:qFormat/>
    <w:rsid w:val="003910F5"/>
    <w:pPr>
      <w:numPr>
        <w:numId w:val="56"/>
      </w:numPr>
    </w:pPr>
  </w:style>
  <w:style w:type="paragraph" w:customStyle="1" w:styleId="FigureA2X">
    <w:name w:val="Figure A2.X"/>
    <w:basedOn w:val="Figure1X"/>
    <w:next w:val="Normal"/>
    <w:semiHidden/>
    <w:qFormat/>
    <w:rsid w:val="003910F5"/>
    <w:pPr>
      <w:numPr>
        <w:numId w:val="57"/>
      </w:numPr>
    </w:pPr>
  </w:style>
  <w:style w:type="paragraph" w:customStyle="1" w:styleId="FigureA3X">
    <w:name w:val="Figure A3.X"/>
    <w:basedOn w:val="Figure1X"/>
    <w:next w:val="Normal"/>
    <w:semiHidden/>
    <w:qFormat/>
    <w:rsid w:val="003910F5"/>
    <w:pPr>
      <w:numPr>
        <w:numId w:val="58"/>
      </w:numPr>
    </w:pPr>
  </w:style>
  <w:style w:type="paragraph" w:customStyle="1" w:styleId="FigureA4X">
    <w:name w:val="Figure A4.X"/>
    <w:basedOn w:val="Figure1X"/>
    <w:next w:val="Normal"/>
    <w:semiHidden/>
    <w:qFormat/>
    <w:rsid w:val="003910F5"/>
    <w:pPr>
      <w:numPr>
        <w:numId w:val="59"/>
      </w:numPr>
    </w:pPr>
  </w:style>
  <w:style w:type="paragraph" w:customStyle="1" w:styleId="FigureA5X">
    <w:name w:val="Figure A5.X"/>
    <w:basedOn w:val="Figure1X"/>
    <w:next w:val="Normal"/>
    <w:semiHidden/>
    <w:qFormat/>
    <w:rsid w:val="003910F5"/>
    <w:pPr>
      <w:numPr>
        <w:numId w:val="60"/>
      </w:numPr>
    </w:pPr>
  </w:style>
  <w:style w:type="paragraph" w:customStyle="1" w:styleId="FigureBX">
    <w:name w:val="Figure B.X"/>
    <w:basedOn w:val="Figure1X"/>
    <w:semiHidden/>
    <w:qFormat/>
    <w:rsid w:val="003910F5"/>
    <w:pPr>
      <w:numPr>
        <w:numId w:val="61"/>
      </w:numPr>
    </w:pPr>
  </w:style>
  <w:style w:type="paragraph" w:customStyle="1" w:styleId="FigureCX">
    <w:name w:val="Figure C.X"/>
    <w:basedOn w:val="Figure1X"/>
    <w:next w:val="Normal"/>
    <w:semiHidden/>
    <w:qFormat/>
    <w:rsid w:val="003910F5"/>
    <w:pPr>
      <w:numPr>
        <w:numId w:val="62"/>
      </w:numPr>
    </w:pPr>
  </w:style>
  <w:style w:type="paragraph" w:customStyle="1" w:styleId="FigureDX">
    <w:name w:val="Figure D.X"/>
    <w:basedOn w:val="Figure1X"/>
    <w:next w:val="Normal"/>
    <w:semiHidden/>
    <w:qFormat/>
    <w:rsid w:val="003910F5"/>
    <w:pPr>
      <w:numPr>
        <w:numId w:val="63"/>
      </w:numPr>
    </w:pPr>
  </w:style>
  <w:style w:type="paragraph" w:customStyle="1" w:styleId="FigureEX">
    <w:name w:val="Figure E.X"/>
    <w:basedOn w:val="Figure1X"/>
    <w:next w:val="Normal"/>
    <w:semiHidden/>
    <w:qFormat/>
    <w:rsid w:val="003910F5"/>
    <w:pPr>
      <w:numPr>
        <w:numId w:val="64"/>
      </w:numPr>
    </w:pPr>
  </w:style>
  <w:style w:type="paragraph" w:customStyle="1" w:styleId="FigureFX">
    <w:name w:val="Figure F.X"/>
    <w:basedOn w:val="Figure1X"/>
    <w:next w:val="Normal"/>
    <w:semiHidden/>
    <w:qFormat/>
    <w:rsid w:val="003910F5"/>
    <w:pPr>
      <w:numPr>
        <w:numId w:val="65"/>
      </w:numPr>
    </w:pPr>
  </w:style>
  <w:style w:type="paragraph" w:customStyle="1" w:styleId="Headinginbox">
    <w:name w:val="Heading in box"/>
    <w:basedOn w:val="BodyText"/>
    <w:next w:val="Normal"/>
    <w:qFormat/>
    <w:rsid w:val="00166CCC"/>
    <w:pPr>
      <w:framePr w:wrap="around" w:hAnchor="text"/>
      <w:spacing w:before="60" w:after="60"/>
    </w:pPr>
    <w:rPr>
      <w:rFonts w:ascii="Public Sans SemiBold" w:hAnsi="Public Sans SemiBold"/>
      <w:b/>
      <w:color w:val="002664"/>
    </w:rPr>
  </w:style>
  <w:style w:type="paragraph" w:customStyle="1" w:styleId="TableEX">
    <w:name w:val="Table E.X"/>
    <w:basedOn w:val="TableDX"/>
    <w:next w:val="BodyText"/>
    <w:semiHidden/>
    <w:qFormat/>
    <w:rsid w:val="003910F5"/>
    <w:pPr>
      <w:numPr>
        <w:numId w:val="79"/>
      </w:numPr>
    </w:pPr>
  </w:style>
  <w:style w:type="character" w:styleId="Hyperlink">
    <w:name w:val="Hyperlink"/>
    <w:basedOn w:val="DefaultParagraphFont"/>
    <w:uiPriority w:val="99"/>
    <w:unhideWhenUsed/>
    <w:rsid w:val="00A723E6"/>
    <w:rPr>
      <w:color w:val="0000FF" w:themeColor="hyperlink"/>
      <w:u w:val="single"/>
    </w:rPr>
  </w:style>
  <w:style w:type="character" w:styleId="UnresolvedMention">
    <w:name w:val="Unresolved Mention"/>
    <w:basedOn w:val="DefaultParagraphFont"/>
    <w:uiPriority w:val="99"/>
    <w:semiHidden/>
    <w:unhideWhenUsed/>
    <w:rsid w:val="00A723E6"/>
    <w:rPr>
      <w:color w:val="605E5C"/>
      <w:shd w:val="clear" w:color="auto" w:fill="E1DFDD"/>
    </w:rPr>
  </w:style>
  <w:style w:type="character" w:styleId="FollowedHyperlink">
    <w:name w:val="FollowedHyperlink"/>
    <w:basedOn w:val="DefaultParagraphFont"/>
    <w:semiHidden/>
    <w:unhideWhenUsed/>
    <w:rsid w:val="00A72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Joann Wilkie</DisplayName>
        <AccountId>66</AccountId>
        <AccountType/>
      </UserInfo>
      <UserInfo>
        <DisplayName>Melissa Power</DisplayName>
        <AccountId>17</AccountId>
        <AccountType/>
      </UserInfo>
      <UserInfo>
        <DisplayName>Laura Lombe</DisplayName>
        <AccountId>1185</AccountId>
        <AccountType/>
      </UserInfo>
      <UserInfo>
        <DisplayName>Peter Miller</DisplayName>
        <AccountId>97</AccountId>
        <AccountType/>
      </UserInfo>
      <UserInfo>
        <DisplayName>Steven Lecce</DisplayName>
        <AccountId>1033</AccountId>
        <AccountType/>
      </UserInfo>
      <UserInfo>
        <DisplayName>Alfred Ip</DisplayName>
        <AccountId>3127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AEA5-B2E8-4A92-A734-58077918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schemas.microsoft.com/office/2006/metadata/properties"/>
    <ds:schemaRef ds:uri="http://schemas.microsoft.com/office/infopath/2007/PartnerControls"/>
    <ds:schemaRef ds:uri="1c478e85-8130-4c67-8ee4-8bdf1c0e6049"/>
    <ds:schemaRef ds:uri="801a5968-9419-4033-b9de-7ffe8168468e"/>
    <ds:schemaRef ds:uri="http://purl.org/dc/elements/1.1/"/>
    <ds:schemaRef ds:uri="http://schemas.openxmlformats.org/package/2006/metadata/core-properties"/>
    <ds:schemaRef ds:uri="9f0ac7ce-5f57-4ea0-9af7-01d4f3f1ccae"/>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4026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2023-24 Budget Paper No. 1 - Budget Statement - Chapter 7 - Commercial Performance in the Broader Public Sector</vt:lpstr>
    </vt:vector>
  </TitlesOfParts>
  <Company>NSW Treasury</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Chapter 7 - Commercial Performance in the Broader Public Sector</dc:title>
  <dc:subject/>
  <dc:creator>NSWTreasury@nswgov.onmicrosoft.com</dc:creator>
  <cp:keywords/>
  <cp:lastModifiedBy>Francess Lavorato</cp:lastModifiedBy>
  <cp:revision>49</cp:revision>
  <cp:lastPrinted>2023-09-15T02:24:00Z</cp:lastPrinted>
  <dcterms:created xsi:type="dcterms:W3CDTF">2023-09-14T08:36:00Z</dcterms:created>
  <dcterms:modified xsi:type="dcterms:W3CDTF">2023-09-17T00:31:00Z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