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7FB87CEB" w:rsidR="00C626D7" w:rsidRPr="00A903EA" w:rsidRDefault="00FC602E" w:rsidP="000B3017">
      <w:pPr>
        <w:pStyle w:val="Heading1"/>
      </w:pPr>
      <w:r>
        <w:t>6</w:t>
      </w:r>
      <w:r w:rsidR="00262768" w:rsidRPr="00CA7632">
        <w:t>.</w:t>
      </w:r>
      <w:r w:rsidR="00262768" w:rsidRPr="00CA7632">
        <w:tab/>
      </w:r>
      <w:r w:rsidR="0000277D">
        <w:t>managing the state’s assets and liabilities</w:t>
      </w:r>
    </w:p>
    <w:tbl>
      <w:tblPr>
        <w:tblStyle w:val="Focusbox"/>
        <w:tblW w:w="0" w:type="auto"/>
        <w:tblLook w:val="04A0" w:firstRow="1" w:lastRow="0" w:firstColumn="1" w:lastColumn="0" w:noHBand="0" w:noVBand="1"/>
        <w:tblCaption w:val="6. MANAGING THE STATE’S ASSETS AND LIABILITIES - Focus box"/>
        <w:tblDescription w:val="6. MANAGING THE STATE’S ASSETS AND LIABILITIES - Focus box"/>
      </w:tblPr>
      <w:tblGrid>
        <w:gridCol w:w="9629"/>
      </w:tblGrid>
      <w:tr w:rsidR="009072BF" w14:paraId="54851DEA" w14:textId="77777777" w:rsidTr="009072BF">
        <w:tc>
          <w:tcPr>
            <w:tcW w:w="9629" w:type="dxa"/>
          </w:tcPr>
          <w:p w14:paraId="1A04E01C" w14:textId="1526F6E7" w:rsidR="005A2580" w:rsidRPr="008323E9" w:rsidRDefault="005A2580" w:rsidP="00506ED2">
            <w:pPr>
              <w:pStyle w:val="Bullet1"/>
            </w:pPr>
            <w:r>
              <w:t xml:space="preserve">The Government is </w:t>
            </w:r>
            <w:r w:rsidR="001F7613">
              <w:t>establishing</w:t>
            </w:r>
            <w:r w:rsidR="00267B01">
              <w:t xml:space="preserve"> </w:t>
            </w:r>
            <w:r w:rsidR="00310DEB">
              <w:t>fiscal principle</w:t>
            </w:r>
            <w:r w:rsidR="001F7613">
              <w:t>s</w:t>
            </w:r>
            <w:r w:rsidR="00310DEB">
              <w:t xml:space="preserve"> </w:t>
            </w:r>
            <w:r w:rsidR="00CD0DDD">
              <w:t xml:space="preserve">to </w:t>
            </w:r>
            <w:r w:rsidR="00BC6075">
              <w:t>help</w:t>
            </w:r>
            <w:r w:rsidR="00486904">
              <w:t xml:space="preserve"> support</w:t>
            </w:r>
            <w:r w:rsidR="00B47A8B">
              <w:t xml:space="preserve"> the S</w:t>
            </w:r>
            <w:r w:rsidR="00E033E7">
              <w:t xml:space="preserve">tate’s </w:t>
            </w:r>
            <w:r w:rsidR="001829FA">
              <w:t>balance sheet</w:t>
            </w:r>
            <w:r w:rsidR="00E033E7">
              <w:t xml:space="preserve">, </w:t>
            </w:r>
            <w:r w:rsidR="000C7DC5">
              <w:t>and</w:t>
            </w:r>
            <w:r w:rsidR="00E033E7">
              <w:t xml:space="preserve"> deliver essential services and infrastructure, while maintaining a strong credit </w:t>
            </w:r>
            <w:r w:rsidR="00E033E7" w:rsidRPr="008323E9">
              <w:t>rating.</w:t>
            </w:r>
          </w:p>
          <w:p w14:paraId="47E9EE23" w14:textId="4294EFE0" w:rsidR="003E591E" w:rsidRDefault="0F2F48EB" w:rsidP="00506ED2">
            <w:pPr>
              <w:pStyle w:val="Bullet1"/>
            </w:pPr>
            <w:r w:rsidRPr="008323E9">
              <w:t xml:space="preserve">This Budget </w:t>
            </w:r>
            <w:r w:rsidR="000107AC" w:rsidRPr="008323E9">
              <w:t>takes</w:t>
            </w:r>
            <w:r w:rsidRPr="008323E9">
              <w:t xml:space="preserve"> a more prudent and responsible</w:t>
            </w:r>
            <w:r w:rsidR="00365E15" w:rsidRPr="008323E9">
              <w:t xml:space="preserve"> </w:t>
            </w:r>
            <w:r w:rsidR="00465D37" w:rsidRPr="008323E9">
              <w:t xml:space="preserve">approach to </w:t>
            </w:r>
            <w:r w:rsidR="00365E15" w:rsidRPr="008323E9">
              <w:t>manag</w:t>
            </w:r>
            <w:r w:rsidR="00396CF1">
              <w:t>ing</w:t>
            </w:r>
            <w:r w:rsidR="00CE150A" w:rsidRPr="008323E9">
              <w:t xml:space="preserve"> the</w:t>
            </w:r>
            <w:r w:rsidR="001676FC" w:rsidRPr="008323E9">
              <w:t xml:space="preserve"> State’s assets and liabilities</w:t>
            </w:r>
            <w:r w:rsidR="00B9470B" w:rsidRPr="008323E9">
              <w:t>,</w:t>
            </w:r>
            <w:r w:rsidR="0074168E" w:rsidRPr="008323E9">
              <w:t xml:space="preserve"> considering more efficient approach</w:t>
            </w:r>
            <w:r w:rsidR="00D5020B" w:rsidRPr="008323E9">
              <w:t>es</w:t>
            </w:r>
            <w:r w:rsidR="0074168E" w:rsidRPr="008323E9">
              <w:t xml:space="preserve"> to certain State funds, including the</w:t>
            </w:r>
            <w:r w:rsidR="00E94EA9" w:rsidRPr="008323E9">
              <w:t xml:space="preserve"> NSW Generation</w:t>
            </w:r>
            <w:r w:rsidR="00491BE0">
              <w:t>s</w:t>
            </w:r>
            <w:r w:rsidR="00E94EA9" w:rsidRPr="008323E9">
              <w:t xml:space="preserve"> Fund (NGF</w:t>
            </w:r>
            <w:r w:rsidR="00506ED2">
              <w:t>)</w:t>
            </w:r>
            <w:r w:rsidR="004B0B7B" w:rsidRPr="008323E9">
              <w:t xml:space="preserve">. </w:t>
            </w:r>
            <w:r w:rsidR="00A435FD" w:rsidRPr="008323E9">
              <w:t>Further</w:t>
            </w:r>
            <w:r w:rsidR="00907C42">
              <w:t>more</w:t>
            </w:r>
            <w:r w:rsidR="00A435FD" w:rsidRPr="008323E9">
              <w:t>, t</w:t>
            </w:r>
            <w:r w:rsidRPr="008323E9">
              <w:t>he Government is slowing</w:t>
            </w:r>
            <w:r w:rsidR="00482691" w:rsidRPr="008323E9">
              <w:t xml:space="preserve"> </w:t>
            </w:r>
            <w:r w:rsidR="001B413A" w:rsidRPr="008323E9">
              <w:t xml:space="preserve">down the rapid growth in </w:t>
            </w:r>
            <w:r w:rsidR="02A27305" w:rsidRPr="008323E9">
              <w:t>gross debt to help take pressure</w:t>
            </w:r>
            <w:r w:rsidR="02A27305" w:rsidRPr="00E3112D">
              <w:t xml:space="preserve"> off </w:t>
            </w:r>
            <w:r w:rsidR="001B413A" w:rsidRPr="00E3112D">
              <w:t xml:space="preserve">the State’s </w:t>
            </w:r>
            <w:r w:rsidR="02A27305" w:rsidRPr="00E3112D">
              <w:t>interest expenses</w:t>
            </w:r>
            <w:r w:rsidR="00246220" w:rsidRPr="00E3112D">
              <w:t xml:space="preserve"> </w:t>
            </w:r>
            <w:r w:rsidR="001615FD">
              <w:t>in the current economic and fiscal climate</w:t>
            </w:r>
            <w:r w:rsidR="009165C8" w:rsidRPr="00E3112D">
              <w:t>.</w:t>
            </w:r>
            <w:r w:rsidR="00CB6E1C">
              <w:t xml:space="preserve"> </w:t>
            </w:r>
          </w:p>
          <w:p w14:paraId="77EFE31A" w14:textId="4BC43BCE" w:rsidR="00556164" w:rsidRPr="002A05B7" w:rsidRDefault="00B73BFD" w:rsidP="00506ED2">
            <w:pPr>
              <w:pStyle w:val="Bullet1"/>
            </w:pPr>
            <w:r w:rsidRPr="00E3112D">
              <w:t xml:space="preserve">Gross debt is </w:t>
            </w:r>
            <w:r w:rsidRPr="002A05B7">
              <w:t xml:space="preserve">projected to </w:t>
            </w:r>
            <w:r w:rsidR="00CB215C" w:rsidRPr="002A05B7">
              <w:t>grow to</w:t>
            </w:r>
            <w:r w:rsidRPr="002A05B7">
              <w:t xml:space="preserve"> $</w:t>
            </w:r>
            <w:r w:rsidR="00BA5DBD" w:rsidRPr="002A05B7">
              <w:t>17</w:t>
            </w:r>
            <w:r w:rsidR="00D2163F" w:rsidRPr="002A05B7">
              <w:t>3</w:t>
            </w:r>
            <w:r w:rsidR="00BA5DBD" w:rsidRPr="002A05B7">
              <w:t>.</w:t>
            </w:r>
            <w:r w:rsidR="00D2163F" w:rsidRPr="002A05B7">
              <w:t>4</w:t>
            </w:r>
            <w:r w:rsidRPr="002A05B7">
              <w:t xml:space="preserve"> billion</w:t>
            </w:r>
            <w:r w:rsidR="00CB215C" w:rsidRPr="002A05B7">
              <w:t xml:space="preserve"> by June 2026</w:t>
            </w:r>
            <w:r w:rsidRPr="002A05B7">
              <w:t>, $</w:t>
            </w:r>
            <w:r w:rsidR="005F0340" w:rsidRPr="002A05B7">
              <w:t>1</w:t>
            </w:r>
            <w:r w:rsidR="00E86041" w:rsidRPr="002A05B7">
              <w:t>4</w:t>
            </w:r>
            <w:r w:rsidR="005F0340" w:rsidRPr="002A05B7">
              <w:t>.</w:t>
            </w:r>
            <w:r w:rsidR="00E86041" w:rsidRPr="002A05B7">
              <w:t>8</w:t>
            </w:r>
            <w:r w:rsidRPr="002A05B7">
              <w:t xml:space="preserve"> billion lower than the previous projection in the 2023 Pre-election Budget Update. This is primarily driven by </w:t>
            </w:r>
            <w:r w:rsidR="0003294B" w:rsidRPr="002A05B7">
              <w:t xml:space="preserve">a temporary suspension </w:t>
            </w:r>
            <w:r w:rsidR="006D3419" w:rsidRPr="002A05B7">
              <w:t xml:space="preserve">of the </w:t>
            </w:r>
            <w:r w:rsidR="0003294B" w:rsidRPr="002A05B7">
              <w:t>contributions</w:t>
            </w:r>
            <w:r w:rsidR="00556164" w:rsidRPr="002A05B7">
              <w:t xml:space="preserve"> </w:t>
            </w:r>
            <w:r w:rsidR="006D3419" w:rsidRPr="002A05B7">
              <w:t>in</w:t>
            </w:r>
            <w:r w:rsidR="0003294B" w:rsidRPr="002A05B7">
              <w:t xml:space="preserve">to </w:t>
            </w:r>
            <w:r w:rsidR="00F27C92" w:rsidRPr="002A05B7">
              <w:t>the</w:t>
            </w:r>
            <w:r w:rsidR="001A4958" w:rsidRPr="002A05B7">
              <w:t xml:space="preserve"> </w:t>
            </w:r>
            <w:r w:rsidR="00506ED2">
              <w:t>NGF</w:t>
            </w:r>
            <w:r w:rsidR="0003294B" w:rsidRPr="002A05B7">
              <w:t xml:space="preserve"> and </w:t>
            </w:r>
            <w:r w:rsidR="00727F4E" w:rsidRPr="002A05B7">
              <w:t xml:space="preserve">the </w:t>
            </w:r>
            <w:r w:rsidR="00EA5D6E" w:rsidRPr="002A05B7">
              <w:t>restructuring</w:t>
            </w:r>
            <w:r w:rsidR="008F2B6D" w:rsidRPr="002A05B7">
              <w:t xml:space="preserve"> of the Transport Asset Holding Entity</w:t>
            </w:r>
            <w:r w:rsidR="001A4958" w:rsidRPr="002A05B7">
              <w:t xml:space="preserve"> (TAHE</w:t>
            </w:r>
            <w:r w:rsidR="00990853" w:rsidRPr="002A05B7">
              <w:t>)</w:t>
            </w:r>
            <w:r w:rsidR="00556164" w:rsidRPr="002A05B7">
              <w:t xml:space="preserve">. </w:t>
            </w:r>
          </w:p>
          <w:p w14:paraId="1715DDEB" w14:textId="382F7BF2" w:rsidR="009F6A38" w:rsidRPr="002A05B7" w:rsidRDefault="0016646D" w:rsidP="00506ED2">
            <w:pPr>
              <w:pStyle w:val="Bullet1"/>
            </w:pPr>
            <w:r w:rsidRPr="002A05B7">
              <w:t xml:space="preserve">Other factors supporting lower </w:t>
            </w:r>
            <w:r w:rsidR="00D7307F" w:rsidRPr="002A05B7">
              <w:t xml:space="preserve">gross debt than previously forecast include an updated infrastructure plan </w:t>
            </w:r>
            <w:r w:rsidR="00BC310F" w:rsidRPr="002A05B7">
              <w:t>and a focus on a return to an operating surplus</w:t>
            </w:r>
            <w:r w:rsidR="009F6A38" w:rsidRPr="002A05B7">
              <w:t xml:space="preserve"> (</w:t>
            </w:r>
            <w:r w:rsidR="00B411A1" w:rsidRPr="002A05B7">
              <w:t>aided by</w:t>
            </w:r>
            <w:r w:rsidR="009F6A38" w:rsidRPr="002A05B7">
              <w:t xml:space="preserve"> the Comprehensive Expenditure Review)</w:t>
            </w:r>
            <w:r w:rsidR="00BC310F" w:rsidRPr="002A05B7">
              <w:t xml:space="preserve">. </w:t>
            </w:r>
            <w:r w:rsidR="009F6A38" w:rsidRPr="002A05B7">
              <w:t>Net cash flows from operating activities are projected to return to surplus in 202</w:t>
            </w:r>
            <w:r w:rsidR="003829BE" w:rsidRPr="002A05B7">
              <w:t>3</w:t>
            </w:r>
            <w:r w:rsidR="009F6A38" w:rsidRPr="002A05B7">
              <w:t>-2</w:t>
            </w:r>
            <w:r w:rsidR="003829BE" w:rsidRPr="002A05B7">
              <w:t>4</w:t>
            </w:r>
            <w:r w:rsidR="009F6A38" w:rsidRPr="002A05B7">
              <w:t xml:space="preserve"> </w:t>
            </w:r>
            <w:r w:rsidR="009A78AD" w:rsidRPr="002A05B7">
              <w:t>and</w:t>
            </w:r>
            <w:r w:rsidR="009F6A38" w:rsidRPr="002A05B7">
              <w:t xml:space="preserve"> remain in surplus thereafter.</w:t>
            </w:r>
          </w:p>
          <w:p w14:paraId="09E99F87" w14:textId="30BCC085" w:rsidR="00E1071E" w:rsidRPr="002A05B7" w:rsidRDefault="00E848AA" w:rsidP="00506ED2">
            <w:pPr>
              <w:pStyle w:val="Bullet1"/>
            </w:pPr>
            <w:r w:rsidRPr="002A05B7">
              <w:t>N</w:t>
            </w:r>
            <w:r w:rsidR="00E1071E" w:rsidRPr="002A05B7">
              <w:t xml:space="preserve">et debt </w:t>
            </w:r>
            <w:r w:rsidRPr="002A05B7">
              <w:t>is projected</w:t>
            </w:r>
            <w:r w:rsidR="009F5EB6" w:rsidRPr="002A05B7">
              <w:t xml:space="preserve"> to peak at</w:t>
            </w:r>
            <w:r w:rsidR="00E1071E" w:rsidRPr="002A05B7">
              <w:t xml:space="preserve"> 1</w:t>
            </w:r>
            <w:r w:rsidRPr="002A05B7">
              <w:t>2</w:t>
            </w:r>
            <w:r w:rsidR="00E1071E" w:rsidRPr="002A05B7">
              <w:t>.</w:t>
            </w:r>
            <w:r w:rsidR="00E94EA9" w:rsidRPr="002A05B7">
              <w:t>6</w:t>
            </w:r>
            <w:r w:rsidR="00E1071E" w:rsidRPr="002A05B7">
              <w:t xml:space="preserve"> per cent of gross state product (GSP) by June 2027</w:t>
            </w:r>
            <w:r w:rsidR="00F83B76" w:rsidRPr="002A05B7">
              <w:t xml:space="preserve">. </w:t>
            </w:r>
            <w:r w:rsidR="005E52F0" w:rsidRPr="002A05B7">
              <w:t>It is</w:t>
            </w:r>
            <w:r w:rsidR="00803E94" w:rsidRPr="002A05B7">
              <w:t xml:space="preserve"> estimated to be</w:t>
            </w:r>
            <w:r w:rsidR="005E52F0" w:rsidRPr="002A05B7">
              <w:t xml:space="preserve"> 12.</w:t>
            </w:r>
            <w:r w:rsidR="00CD037D" w:rsidRPr="002A05B7">
              <w:t>5</w:t>
            </w:r>
            <w:r w:rsidR="005E52F0" w:rsidRPr="002A05B7">
              <w:t xml:space="preserve"> </w:t>
            </w:r>
            <w:r w:rsidR="004B3FB7" w:rsidRPr="002A05B7">
              <w:t xml:space="preserve">per cent </w:t>
            </w:r>
            <w:r w:rsidR="009F5EB6" w:rsidRPr="002A05B7">
              <w:t>by June 2026,</w:t>
            </w:r>
            <w:r w:rsidR="00E1071E" w:rsidRPr="002A05B7">
              <w:t xml:space="preserve"> </w:t>
            </w:r>
            <w:r w:rsidR="009F5EB6" w:rsidRPr="002A05B7">
              <w:t>1.</w:t>
            </w:r>
            <w:r w:rsidR="002A05B7" w:rsidRPr="002A05B7">
              <w:t>5</w:t>
            </w:r>
            <w:r w:rsidR="00E1071E" w:rsidRPr="002A05B7">
              <w:t> per cent belo</w:t>
            </w:r>
            <w:r w:rsidR="00803E94" w:rsidRPr="002A05B7">
              <w:t xml:space="preserve">w the projection </w:t>
            </w:r>
            <w:r w:rsidR="00E1071E" w:rsidRPr="002A05B7">
              <w:t xml:space="preserve">at the 2023 Pre-election Budget Update. </w:t>
            </w:r>
          </w:p>
          <w:p w14:paraId="56A35D53" w14:textId="068394EC" w:rsidR="009072BF" w:rsidRPr="002A05B7" w:rsidRDefault="00F67EB5" w:rsidP="00506ED2">
            <w:pPr>
              <w:pStyle w:val="Bullet1"/>
            </w:pPr>
            <w:r w:rsidRPr="002A05B7">
              <w:t>The State’s total assets w</w:t>
            </w:r>
            <w:r w:rsidR="00C62303" w:rsidRPr="002A05B7">
              <w:t>ere</w:t>
            </w:r>
            <w:r w:rsidRPr="002A05B7">
              <w:t xml:space="preserve"> $</w:t>
            </w:r>
            <w:r w:rsidR="00321985" w:rsidRPr="002A05B7">
              <w:t>574.3</w:t>
            </w:r>
            <w:r w:rsidRPr="002A05B7">
              <w:t xml:space="preserve"> billion at June 2023 and </w:t>
            </w:r>
            <w:r w:rsidR="00C62303" w:rsidRPr="002A05B7">
              <w:t>are</w:t>
            </w:r>
            <w:r w:rsidRPr="002A05B7">
              <w:t xml:space="preserve"> projected to grow to $</w:t>
            </w:r>
            <w:r w:rsidR="00321985" w:rsidRPr="002A05B7">
              <w:t>653.</w:t>
            </w:r>
            <w:r w:rsidR="00D21433" w:rsidRPr="002A05B7">
              <w:t>6</w:t>
            </w:r>
            <w:r w:rsidR="00C46114" w:rsidRPr="002A05B7">
              <w:t> </w:t>
            </w:r>
            <w:r w:rsidRPr="002A05B7">
              <w:t xml:space="preserve">billion by June 2027. </w:t>
            </w:r>
            <w:r w:rsidR="00472662" w:rsidRPr="002A05B7">
              <w:t xml:space="preserve">This </w:t>
            </w:r>
            <w:r w:rsidR="00916105" w:rsidRPr="002A05B7">
              <w:t xml:space="preserve">is </w:t>
            </w:r>
            <w:r w:rsidR="001623D4" w:rsidRPr="002A05B7">
              <w:t>one of</w:t>
            </w:r>
            <w:r w:rsidRPr="002A05B7">
              <w:t xml:space="preserve"> the </w:t>
            </w:r>
            <w:r w:rsidR="001623D4" w:rsidRPr="002A05B7">
              <w:t>benefits of</w:t>
            </w:r>
            <w:r w:rsidR="00916105" w:rsidRPr="002A05B7">
              <w:t xml:space="preserve"> </w:t>
            </w:r>
            <w:r w:rsidR="006F6538" w:rsidRPr="002A05B7">
              <w:t xml:space="preserve">retaining the </w:t>
            </w:r>
            <w:r w:rsidRPr="002A05B7">
              <w:t xml:space="preserve">State’s assets for </w:t>
            </w:r>
            <w:r w:rsidR="00E77E26" w:rsidRPr="002A05B7">
              <w:t xml:space="preserve">the </w:t>
            </w:r>
            <w:r w:rsidRPr="002A05B7">
              <w:t>people of New South Wales</w:t>
            </w:r>
            <w:r w:rsidR="00256B47" w:rsidRPr="002A05B7">
              <w:t>.</w:t>
            </w:r>
            <w:r w:rsidR="00477BF4" w:rsidRPr="002A05B7">
              <w:t xml:space="preserve"> </w:t>
            </w:r>
          </w:p>
          <w:p w14:paraId="779CC6D7" w14:textId="5704818C" w:rsidR="009072BF" w:rsidRDefault="0000501A" w:rsidP="00506ED2">
            <w:pPr>
              <w:pStyle w:val="Bullet1"/>
            </w:pPr>
            <w:r w:rsidRPr="002A05B7">
              <w:t>Net worth was $</w:t>
            </w:r>
            <w:r w:rsidR="002332F3" w:rsidRPr="002A05B7">
              <w:t>326.1</w:t>
            </w:r>
            <w:r w:rsidRPr="002A05B7">
              <w:t xml:space="preserve"> billion </w:t>
            </w:r>
            <w:r w:rsidR="00101723" w:rsidRPr="002A05B7">
              <w:t>at</w:t>
            </w:r>
            <w:r w:rsidRPr="002A05B7">
              <w:t xml:space="preserve"> June 2023 and is projected to grow to $</w:t>
            </w:r>
            <w:r w:rsidR="002332F3" w:rsidRPr="002A05B7">
              <w:t>34</w:t>
            </w:r>
            <w:r w:rsidR="00780A71" w:rsidRPr="002A05B7">
              <w:t>7</w:t>
            </w:r>
            <w:r w:rsidR="002332F3" w:rsidRPr="002A05B7">
              <w:t>.</w:t>
            </w:r>
            <w:r w:rsidR="00780A71" w:rsidRPr="002A05B7">
              <w:t>0</w:t>
            </w:r>
            <w:r w:rsidRPr="002A05B7">
              <w:t xml:space="preserve"> billion</w:t>
            </w:r>
            <w:r>
              <w:t xml:space="preserve"> by June</w:t>
            </w:r>
            <w:r w:rsidR="00A93AA7">
              <w:t> </w:t>
            </w:r>
            <w:r>
              <w:t>2027</w:t>
            </w:r>
            <w:r w:rsidR="00A6249D">
              <w:t>.</w:t>
            </w:r>
            <w:r w:rsidR="0084110D">
              <w:t xml:space="preserve"> This is supported in part by the State’s growing asset base.</w:t>
            </w:r>
          </w:p>
        </w:tc>
      </w:tr>
    </w:tbl>
    <w:p w14:paraId="0E21CADE" w14:textId="537D72AA" w:rsidR="00A607B6" w:rsidRPr="00B95392" w:rsidRDefault="006F6538" w:rsidP="000D3890">
      <w:pPr>
        <w:pStyle w:val="61Heading2"/>
      </w:pPr>
      <w:r>
        <w:t>Stabilis</w:t>
      </w:r>
      <w:r w:rsidR="004E4EA3">
        <w:t>ing</w:t>
      </w:r>
      <w:r w:rsidR="00284BDF">
        <w:t xml:space="preserve"> the State’s debt position</w:t>
      </w:r>
    </w:p>
    <w:p w14:paraId="6C3822A3" w14:textId="722DC458" w:rsidR="00EF49B2" w:rsidRPr="00A908C2" w:rsidRDefault="2FB39DB0" w:rsidP="00CE6D87">
      <w:pPr>
        <w:pStyle w:val="BodyText"/>
      </w:pPr>
      <w:r>
        <w:t>By stabilising its infrastructure p</w:t>
      </w:r>
      <w:r w:rsidR="00B3662F">
        <w:t>lan</w:t>
      </w:r>
      <w:r>
        <w:t xml:space="preserve"> through initiatives such as the Strategic Infrastructure Review and </w:t>
      </w:r>
      <w:r w:rsidR="009E55EF">
        <w:t>by letting some of the revenue uplift flow through to the bottom line</w:t>
      </w:r>
      <w:r>
        <w:t>, t</w:t>
      </w:r>
      <w:r w:rsidR="609568A3">
        <w:t>his Budget takes the first step</w:t>
      </w:r>
      <w:r w:rsidR="00E9035F" w:rsidRPr="00E9035F">
        <w:t xml:space="preserve"> </w:t>
      </w:r>
      <w:r w:rsidR="00E9035F">
        <w:t xml:space="preserve">towards stabilising the </w:t>
      </w:r>
      <w:r w:rsidR="00E9035F" w:rsidRPr="00A908C2">
        <w:t xml:space="preserve">State’s net debt below 14.0 per cent of GSP that was projected at </w:t>
      </w:r>
      <w:r w:rsidR="004F7012">
        <w:t xml:space="preserve">the </w:t>
      </w:r>
      <w:r w:rsidR="00CB170C">
        <w:t xml:space="preserve">2023 </w:t>
      </w:r>
      <w:r w:rsidR="00E9035F" w:rsidRPr="00A908C2">
        <w:t>P</w:t>
      </w:r>
      <w:r w:rsidR="00CB170C">
        <w:t xml:space="preserve">re-election </w:t>
      </w:r>
      <w:r w:rsidR="00E9035F" w:rsidRPr="00A908C2">
        <w:t>B</w:t>
      </w:r>
      <w:r w:rsidR="00343A1B">
        <w:t xml:space="preserve">udget </w:t>
      </w:r>
      <w:r w:rsidR="00E9035F" w:rsidRPr="00A908C2">
        <w:t>U</w:t>
      </w:r>
      <w:r w:rsidR="00343A1B">
        <w:t>pdate</w:t>
      </w:r>
      <w:r w:rsidR="609568A3" w:rsidRPr="00A908C2">
        <w:t xml:space="preserve">. </w:t>
      </w:r>
    </w:p>
    <w:p w14:paraId="2AAA7003" w14:textId="1A7CDE40" w:rsidR="00EF49B2" w:rsidRPr="00A908C2" w:rsidRDefault="7A2E7729" w:rsidP="00886370">
      <w:pPr>
        <w:pStyle w:val="BodyText"/>
      </w:pPr>
      <w:r>
        <w:t xml:space="preserve">The Strategic Infrastructure Review led by Ken </w:t>
      </w:r>
      <w:proofErr w:type="spellStart"/>
      <w:r>
        <w:t>Kan</w:t>
      </w:r>
      <w:r w:rsidR="00902717">
        <w:t>o</w:t>
      </w:r>
      <w:r>
        <w:t>fski</w:t>
      </w:r>
      <w:proofErr w:type="spellEnd"/>
      <w:r>
        <w:t xml:space="preserve"> </w:t>
      </w:r>
      <w:r w:rsidR="75D7B241">
        <w:t>was tasked with identifying infrastructure projects and programs that should no longer proceed or should be delayed or de-scoped, to get the State’s infrastructure pipeline back on stable footing</w:t>
      </w:r>
      <w:r w:rsidR="3E10FFB6">
        <w:t xml:space="preserve">. </w:t>
      </w:r>
    </w:p>
    <w:p w14:paraId="5CC42AF0" w14:textId="0B4E0488" w:rsidR="00EF49B2" w:rsidRPr="00B671B5" w:rsidRDefault="3E10FFB6" w:rsidP="00886370">
      <w:pPr>
        <w:pStyle w:val="BodyText"/>
      </w:pPr>
      <w:r w:rsidRPr="00A908C2">
        <w:t>The Government now projects the State’s infrastructure p</w:t>
      </w:r>
      <w:r w:rsidR="00B3662F" w:rsidRPr="00A908C2">
        <w:t>lan</w:t>
      </w:r>
      <w:r w:rsidRPr="00A908C2">
        <w:t xml:space="preserve"> will </w:t>
      </w:r>
      <w:r w:rsidR="00FF66A1">
        <w:t>be</w:t>
      </w:r>
      <w:r w:rsidR="59538767" w:rsidRPr="00A908C2">
        <w:t xml:space="preserve"> </w:t>
      </w:r>
      <w:r w:rsidR="00EB4C30" w:rsidRPr="00A908C2">
        <w:t xml:space="preserve">around 2 per cent of GSP </w:t>
      </w:r>
      <w:r w:rsidR="59538767" w:rsidRPr="00A908C2">
        <w:t>from 2026-27 onwards</w:t>
      </w:r>
      <w:r w:rsidR="00CF7FDD">
        <w:t xml:space="preserve"> down from its peak of 3.3 per cent in 20</w:t>
      </w:r>
      <w:r w:rsidR="00C01FC1">
        <w:t>19-20</w:t>
      </w:r>
      <w:r w:rsidR="055280DE" w:rsidRPr="00A908C2">
        <w:t>. This will allow the Government to replace its existing asset base in line with depreciation while supporting investment that will help grow the broader economy</w:t>
      </w:r>
      <w:r w:rsidRPr="00A908C2">
        <w:t>.</w:t>
      </w:r>
      <w:r w:rsidRPr="00B671B5">
        <w:t xml:space="preserve"> </w:t>
      </w:r>
    </w:p>
    <w:p w14:paraId="7E03E84C" w14:textId="5B9DA810" w:rsidR="00EF49B2" w:rsidRDefault="00C77CD7" w:rsidP="00886370">
      <w:pPr>
        <w:pStyle w:val="BodyText"/>
      </w:pPr>
      <w:r>
        <w:t xml:space="preserve">These measures contribute to </w:t>
      </w:r>
      <w:r w:rsidR="00EF3555">
        <w:t xml:space="preserve">the </w:t>
      </w:r>
      <w:r>
        <w:t xml:space="preserve">forecast for a </w:t>
      </w:r>
      <w:r w:rsidR="00606736">
        <w:t xml:space="preserve">gross </w:t>
      </w:r>
      <w:r w:rsidR="00606736" w:rsidRPr="002A05B7">
        <w:t xml:space="preserve">debt of </w:t>
      </w:r>
      <w:r w:rsidR="003B2642" w:rsidRPr="002A05B7">
        <w:t>$</w:t>
      </w:r>
      <w:r w:rsidR="003470AE" w:rsidRPr="002A05B7">
        <w:t>18</w:t>
      </w:r>
      <w:r w:rsidR="007454BB" w:rsidRPr="002A05B7">
        <w:t>6</w:t>
      </w:r>
      <w:r w:rsidR="003470AE" w:rsidRPr="002A05B7">
        <w:t>.</w:t>
      </w:r>
      <w:r w:rsidR="007454BB" w:rsidRPr="002A05B7">
        <w:t>7</w:t>
      </w:r>
      <w:r w:rsidR="52C4788A" w:rsidRPr="002A05B7">
        <w:t xml:space="preserve"> billion by June 202</w:t>
      </w:r>
      <w:r w:rsidR="00C04365" w:rsidRPr="002A05B7">
        <w:t>7</w:t>
      </w:r>
      <w:r w:rsidR="52C4788A" w:rsidRPr="002A05B7">
        <w:t xml:space="preserve">. </w:t>
      </w:r>
      <w:r w:rsidR="7418E5B2" w:rsidRPr="002A05B7">
        <w:t>This is also helping</w:t>
      </w:r>
      <w:r w:rsidR="76BA6B2D" w:rsidRPr="002A05B7">
        <w:t xml:space="preserve"> </w:t>
      </w:r>
      <w:r w:rsidR="00AE662D" w:rsidRPr="002A05B7">
        <w:t>stabili</w:t>
      </w:r>
      <w:r w:rsidR="00EF3555" w:rsidRPr="002A05B7">
        <w:t>se</w:t>
      </w:r>
      <w:r w:rsidR="00AE662D" w:rsidRPr="002A05B7">
        <w:t xml:space="preserve"> net debt to GSP</w:t>
      </w:r>
      <w:r w:rsidR="00FF5718" w:rsidRPr="002A05B7">
        <w:t xml:space="preserve"> </w:t>
      </w:r>
      <w:r w:rsidR="009975D1" w:rsidRPr="002A05B7">
        <w:t>a</w:t>
      </w:r>
      <w:r w:rsidR="00C67D79" w:rsidRPr="002A05B7">
        <w:t>round</w:t>
      </w:r>
      <w:r w:rsidR="009975D1" w:rsidRPr="002A05B7">
        <w:t xml:space="preserve"> 12.</w:t>
      </w:r>
      <w:r w:rsidR="007454BB" w:rsidRPr="002A05B7">
        <w:t>6</w:t>
      </w:r>
      <w:r w:rsidR="1EF10AFA" w:rsidRPr="002A05B7">
        <w:t xml:space="preserve"> per cent </w:t>
      </w:r>
      <w:r w:rsidR="00FF5718" w:rsidRPr="002A05B7">
        <w:t>by June 2027</w:t>
      </w:r>
      <w:r w:rsidR="000A267F">
        <w:t>.</w:t>
      </w:r>
    </w:p>
    <w:p w14:paraId="7B31CBDD" w14:textId="37F565BF" w:rsidR="00A607B6" w:rsidRPr="002A05B7" w:rsidRDefault="00A607B6" w:rsidP="00B95F25">
      <w:pPr>
        <w:pStyle w:val="Chart6X"/>
        <w:rPr>
          <w:szCs w:val="23"/>
        </w:rPr>
      </w:pPr>
      <w:r w:rsidRPr="002A05B7">
        <w:lastRenderedPageBreak/>
        <w:t>General government sector net debt</w:t>
      </w:r>
      <w:r w:rsidR="00E01382" w:rsidRPr="002A05B7">
        <w:rPr>
          <w:rStyle w:val="FootnoteReference"/>
        </w:rPr>
        <w:footnoteReference w:id="2"/>
      </w:r>
      <w:r w:rsidR="00A160FB" w:rsidRPr="002A05B7">
        <w:t xml:space="preserve">, gross </w:t>
      </w:r>
      <w:r w:rsidR="0093688D" w:rsidRPr="002A05B7">
        <w:t>debt and financial assets</w:t>
      </w:r>
    </w:p>
    <w:p w14:paraId="4066DEB0" w14:textId="39C07AB3" w:rsidR="00A607B6" w:rsidRPr="00453571" w:rsidRDefault="00404A89" w:rsidP="00A607B6">
      <w:pPr>
        <w:rPr>
          <w:lang w:val="en-AU"/>
        </w:rPr>
      </w:pPr>
      <w:r>
        <w:rPr>
          <w:noProof/>
        </w:rPr>
        <w:drawing>
          <wp:inline distT="0" distB="0" distL="0" distR="0" wp14:anchorId="2830022A" wp14:editId="335C5E85">
            <wp:extent cx="6120765" cy="2453005"/>
            <wp:effectExtent l="0" t="0" r="0" b="0"/>
            <wp:docPr id="1" name="Chart 1" descr="Chart 6.1: General government sector net debt , gross debt and financial assets">
              <a:extLst xmlns:a="http://schemas.openxmlformats.org/drawingml/2006/main">
                <a:ext uri="{FF2B5EF4-FFF2-40B4-BE49-F238E27FC236}">
                  <a16:creationId xmlns:a16="http://schemas.microsoft.com/office/drawing/2014/main" id="{5E78C8B8-470B-C71B-446E-7C6DCD604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79D416" w14:textId="77777777" w:rsidR="00A607B6" w:rsidRPr="00B95392" w:rsidRDefault="00A607B6" w:rsidP="000B0940">
      <w:pPr>
        <w:pStyle w:val="Heading3"/>
      </w:pPr>
      <w:r w:rsidRPr="00B95392">
        <w:t xml:space="preserve">Financial assets included in net </w:t>
      </w:r>
      <w:proofErr w:type="gramStart"/>
      <w:r w:rsidRPr="00B95392">
        <w:t>debt</w:t>
      </w:r>
      <w:proofErr w:type="gramEnd"/>
    </w:p>
    <w:p w14:paraId="4FA5B611" w14:textId="59384DDE" w:rsidR="00E3115D" w:rsidRDefault="00E3115D" w:rsidP="00886370">
      <w:pPr>
        <w:pStyle w:val="BodyText"/>
      </w:pPr>
      <w:r w:rsidRPr="00E3115D">
        <w:t xml:space="preserve">The State’s investment funds generate returns that can either be spent or reinvested to support policy aims. The investment </w:t>
      </w:r>
      <w:r w:rsidRPr="00DB43B8">
        <w:t xml:space="preserve">funds </w:t>
      </w:r>
      <w:r w:rsidR="00E9035F" w:rsidRPr="00DB43B8">
        <w:t xml:space="preserve">also </w:t>
      </w:r>
      <w:r w:rsidRPr="00DB43B8">
        <w:t xml:space="preserve">support the State’s fiscal position and, as financial assets, reduce the State’s net debt. It is </w:t>
      </w:r>
      <w:r w:rsidR="00C04365" w:rsidRPr="00DB43B8">
        <w:t xml:space="preserve">essential </w:t>
      </w:r>
      <w:r w:rsidRPr="00DB43B8">
        <w:t>to manage</w:t>
      </w:r>
      <w:r w:rsidRPr="00E3115D">
        <w:t xml:space="preserve"> the</w:t>
      </w:r>
      <w:r w:rsidR="00566A71">
        <w:t xml:space="preserve"> State’s assets</w:t>
      </w:r>
      <w:r w:rsidRPr="00E3115D">
        <w:t xml:space="preserve"> prudently and efficiently to ensure opportunities </w:t>
      </w:r>
      <w:r w:rsidR="002F464E">
        <w:t xml:space="preserve">are </w:t>
      </w:r>
      <w:r w:rsidR="00566A71">
        <w:t>maximised while risks</w:t>
      </w:r>
      <w:r w:rsidRPr="00E3115D">
        <w:t xml:space="preserve"> </w:t>
      </w:r>
      <w:r w:rsidR="00566A71">
        <w:t xml:space="preserve">are minimised. </w:t>
      </w:r>
    </w:p>
    <w:p w14:paraId="1B5A3264" w14:textId="02A50475" w:rsidR="004C4323" w:rsidRPr="000A2DF7" w:rsidRDefault="004C4323" w:rsidP="00886370">
      <w:pPr>
        <w:pStyle w:val="BodyText"/>
      </w:pPr>
      <w:r>
        <w:t xml:space="preserve">Financial assets included in the calculation of net debt </w:t>
      </w:r>
      <w:r w:rsidR="00310482" w:rsidRPr="002A05B7">
        <w:t>were</w:t>
      </w:r>
      <w:r w:rsidRPr="002A05B7">
        <w:t xml:space="preserve"> $</w:t>
      </w:r>
      <w:r w:rsidR="00E06D0B" w:rsidRPr="002A05B7">
        <w:t>58.0</w:t>
      </w:r>
      <w:r w:rsidRPr="002A05B7">
        <w:t xml:space="preserve"> billion at June 202</w:t>
      </w:r>
      <w:r w:rsidR="00B72E04" w:rsidRPr="002A05B7">
        <w:t>3</w:t>
      </w:r>
      <w:r w:rsidRPr="002A05B7">
        <w:t xml:space="preserve">, which </w:t>
      </w:r>
      <w:r w:rsidR="00310482" w:rsidRPr="002A05B7">
        <w:t>was</w:t>
      </w:r>
      <w:r w:rsidRPr="002A05B7">
        <w:t xml:space="preserve"> $</w:t>
      </w:r>
      <w:r w:rsidR="00E06D0B" w:rsidRPr="002A05B7">
        <w:t>7</w:t>
      </w:r>
      <w:r w:rsidR="00A62DC9" w:rsidRPr="002A05B7">
        <w:t>.</w:t>
      </w:r>
      <w:r w:rsidR="00E06D0B" w:rsidRPr="002A05B7">
        <w:t>7</w:t>
      </w:r>
      <w:r w:rsidRPr="002A05B7">
        <w:t xml:space="preserve"> billion </w:t>
      </w:r>
      <w:r w:rsidR="00A62DC9" w:rsidRPr="002A05B7">
        <w:t>higher</w:t>
      </w:r>
      <w:r w:rsidRPr="002A05B7">
        <w:t xml:space="preserve"> than projected at </w:t>
      </w:r>
      <w:r w:rsidR="00E45B37" w:rsidRPr="002A05B7">
        <w:t>the 2023 P</w:t>
      </w:r>
      <w:r w:rsidR="003B7177" w:rsidRPr="002A05B7">
        <w:t>re-election Budget Update</w:t>
      </w:r>
      <w:r w:rsidRPr="002A05B7">
        <w:t xml:space="preserve">. This is primarily driven by a </w:t>
      </w:r>
      <w:r w:rsidR="00A62DC9" w:rsidRPr="002A05B7">
        <w:t>higher</w:t>
      </w:r>
      <w:r w:rsidRPr="002A05B7">
        <w:t xml:space="preserve"> cash balance </w:t>
      </w:r>
      <w:r w:rsidR="002036FC" w:rsidRPr="002A05B7">
        <w:t>f</w:t>
      </w:r>
      <w:r w:rsidR="00BA4CD4" w:rsidRPr="002A05B7">
        <w:t>or</w:t>
      </w:r>
      <w:r w:rsidR="00F5388B" w:rsidRPr="002A05B7">
        <w:t xml:space="preserve"> payment</w:t>
      </w:r>
      <w:r w:rsidR="002036FC" w:rsidRPr="002A05B7">
        <w:t>s</w:t>
      </w:r>
      <w:r w:rsidR="00314F5D" w:rsidRPr="002A05B7">
        <w:t xml:space="preserve"> </w:t>
      </w:r>
      <w:proofErr w:type="gramStart"/>
      <w:r w:rsidR="00721B95" w:rsidRPr="002A05B7">
        <w:t>at</w:t>
      </w:r>
      <w:proofErr w:type="gramEnd"/>
      <w:r w:rsidR="00721B95" w:rsidRPr="002A05B7">
        <w:t xml:space="preserve"> June 2023</w:t>
      </w:r>
      <w:r w:rsidR="002E4768" w:rsidRPr="002A05B7">
        <w:t>.</w:t>
      </w:r>
      <w:r w:rsidRPr="002A05B7">
        <w:t xml:space="preserve"> These assets also include the State’s investment funds and other </w:t>
      </w:r>
      <w:r w:rsidR="00CA716C">
        <w:t xml:space="preserve">financial </w:t>
      </w:r>
      <w:r w:rsidRPr="002A05B7">
        <w:t>assets.</w:t>
      </w:r>
    </w:p>
    <w:p w14:paraId="154E2489" w14:textId="69EB7A32" w:rsidR="004008FF" w:rsidRDefault="00101B64" w:rsidP="00886370">
      <w:pPr>
        <w:pStyle w:val="BodyText"/>
      </w:pPr>
      <w:r>
        <w:t>T</w:t>
      </w:r>
      <w:r w:rsidR="00A32B7E" w:rsidRPr="000A2DF7">
        <w:t xml:space="preserve">he </w:t>
      </w:r>
      <w:r w:rsidR="00CC1AB1" w:rsidRPr="000A2DF7">
        <w:t xml:space="preserve">Government will temporarily suspend contributions to the </w:t>
      </w:r>
      <w:r w:rsidR="00506ED2">
        <w:t>NGF</w:t>
      </w:r>
      <w:r w:rsidR="00CC1AB1" w:rsidRPr="000A2DF7">
        <w:t xml:space="preserve"> in 2023-24</w:t>
      </w:r>
      <w:r w:rsidR="00A32B7E" w:rsidRPr="000A2DF7">
        <w:t xml:space="preserve">. </w:t>
      </w:r>
      <w:r w:rsidR="000A46FD" w:rsidRPr="000A2DF7">
        <w:t xml:space="preserve">Contributions </w:t>
      </w:r>
      <w:r w:rsidR="002D65BC" w:rsidRPr="000A2DF7">
        <w:t xml:space="preserve">are budgeted </w:t>
      </w:r>
      <w:r w:rsidR="006C603B" w:rsidRPr="000A2DF7">
        <w:t>to recommence</w:t>
      </w:r>
      <w:r w:rsidR="000A46FD" w:rsidRPr="000A2DF7">
        <w:t xml:space="preserve"> </w:t>
      </w:r>
      <w:r w:rsidR="002D65BC" w:rsidRPr="000A2DF7">
        <w:t xml:space="preserve">from 2024-25 to 2026-27, </w:t>
      </w:r>
      <w:r w:rsidR="006724FC">
        <w:t xml:space="preserve">while the Government considers further policy decisions, </w:t>
      </w:r>
      <w:r w:rsidR="00381475">
        <w:t xml:space="preserve">with the </w:t>
      </w:r>
      <w:r w:rsidR="00506ED2">
        <w:t>NGF</w:t>
      </w:r>
      <w:r w:rsidR="00381475">
        <w:t>’s</w:t>
      </w:r>
      <w:r w:rsidR="004E663E" w:rsidRPr="000A2DF7">
        <w:t xml:space="preserve"> balance projected to </w:t>
      </w:r>
      <w:r w:rsidR="00F75606">
        <w:t>grow from $16.0 billion at June</w:t>
      </w:r>
      <w:r w:rsidR="006724FC">
        <w:t> </w:t>
      </w:r>
      <w:r w:rsidR="00F75606">
        <w:t>2023 to</w:t>
      </w:r>
      <w:r w:rsidR="000A46FD" w:rsidRPr="000A2DF7">
        <w:t xml:space="preserve"> $</w:t>
      </w:r>
      <w:r w:rsidR="001C4B1B" w:rsidRPr="000A2DF7">
        <w:t>39.2</w:t>
      </w:r>
      <w:r w:rsidR="000A46FD" w:rsidRPr="000A2DF7">
        <w:t xml:space="preserve"> billion by June 2027</w:t>
      </w:r>
      <w:r w:rsidR="00206D50" w:rsidRPr="000A2DF7">
        <w:t>.</w:t>
      </w:r>
      <w:r w:rsidR="00206D50">
        <w:t xml:space="preserve"> </w:t>
      </w:r>
      <w:r w:rsidR="00381475">
        <w:t xml:space="preserve">The Government will also investigate how certain State funds </w:t>
      </w:r>
      <w:r w:rsidR="006B00FD">
        <w:t xml:space="preserve">could be more efficiently </w:t>
      </w:r>
      <w:r w:rsidR="00381475">
        <w:t>managed by TCorp to achieve better risk-adjusted returns.</w:t>
      </w:r>
      <w:r w:rsidR="00206D50">
        <w:t xml:space="preserve"> </w:t>
      </w:r>
    </w:p>
    <w:tbl>
      <w:tblPr>
        <w:tblpPr w:leftFromText="180" w:rightFromText="180" w:vertAnchor="text" w:horzAnchor="margin" w:tblpY="-59"/>
        <w:tblW w:w="9840" w:type="dxa"/>
        <w:shd w:val="clear" w:color="auto" w:fill="F2F2F2" w:themeFill="background1" w:themeFillShade="F2"/>
        <w:tblLayout w:type="fixed"/>
        <w:tblLook w:val="04A0" w:firstRow="1" w:lastRow="0" w:firstColumn="1" w:lastColumn="0" w:noHBand="0" w:noVBand="1"/>
        <w:tblCaption w:val="Box 6.1: Improving the management of the State’s investment funds"/>
        <w:tblDescription w:val="Box 6.1: Improving the management of the State’s investment funds"/>
      </w:tblPr>
      <w:tblGrid>
        <w:gridCol w:w="9840"/>
      </w:tblGrid>
      <w:tr w:rsidR="004008FF" w:rsidRPr="00B95392" w14:paraId="1F97CA5F" w14:textId="77777777" w:rsidTr="00D64AA4">
        <w:tc>
          <w:tcPr>
            <w:tcW w:w="9840" w:type="dxa"/>
            <w:shd w:val="clear" w:color="auto" w:fill="F2F2F2" w:themeFill="background1" w:themeFillShade="F2"/>
            <w:hideMark/>
          </w:tcPr>
          <w:p w14:paraId="26C2C9BF" w14:textId="41611CC1" w:rsidR="00DC6DC2" w:rsidRDefault="004008FF" w:rsidP="00BC72E7">
            <w:pPr>
              <w:pStyle w:val="Box6XBoxHeading"/>
              <w:framePr w:hSpace="0" w:wrap="auto" w:vAnchor="margin" w:hAnchor="text" w:yAlign="inline"/>
            </w:pPr>
            <w:r w:rsidRPr="0003377D">
              <w:lastRenderedPageBreak/>
              <w:t>Improving</w:t>
            </w:r>
            <w:r>
              <w:t xml:space="preserve"> the management of the State’s investment funds</w:t>
            </w:r>
          </w:p>
          <w:p w14:paraId="319E6BF5" w14:textId="0D7D8873" w:rsidR="007B5298" w:rsidRDefault="007B5298" w:rsidP="00886370">
            <w:pPr>
              <w:pStyle w:val="BodyText"/>
            </w:pPr>
            <w:r>
              <w:t xml:space="preserve">Over time, the </w:t>
            </w:r>
            <w:r w:rsidR="00326D00">
              <w:t>State</w:t>
            </w:r>
            <w:r>
              <w:t xml:space="preserve"> has set up various investment funds, each with </w:t>
            </w:r>
            <w:r w:rsidR="00E83436">
              <w:t>their</w:t>
            </w:r>
            <w:r>
              <w:t xml:space="preserve"> own specific legislated purpose. This includes funds such as the Treasury Managed Fund (</w:t>
            </w:r>
            <w:r w:rsidR="005A4B32">
              <w:t xml:space="preserve">TMF- </w:t>
            </w:r>
            <w:r>
              <w:t>the State’s self</w:t>
            </w:r>
            <w:r w:rsidR="0093369D">
              <w:noBreakHyphen/>
            </w:r>
            <w:r>
              <w:t xml:space="preserve">insurance fund), the </w:t>
            </w:r>
            <w:r w:rsidR="00506ED2">
              <w:t>NGF</w:t>
            </w:r>
            <w:r>
              <w:t xml:space="preserve">, </w:t>
            </w:r>
            <w:r w:rsidR="006761C3">
              <w:t xml:space="preserve">and </w:t>
            </w:r>
            <w:r>
              <w:t>the NSW Infrastructure Future Fund</w:t>
            </w:r>
            <w:r w:rsidR="006761C3">
              <w:t xml:space="preserve"> </w:t>
            </w:r>
            <w:r w:rsidR="005A4B32">
              <w:t xml:space="preserve">(NIFF) </w:t>
            </w:r>
            <w:r>
              <w:t xml:space="preserve">among others. </w:t>
            </w:r>
          </w:p>
          <w:p w14:paraId="6BBA9C62" w14:textId="60DD19CC" w:rsidR="003E79B2" w:rsidRDefault="008E197D" w:rsidP="00886370">
            <w:pPr>
              <w:pStyle w:val="BodyText"/>
            </w:pPr>
            <w:r>
              <w:t>Following an inquiry by the NSW Parliament’s Standing Committee on State Development</w:t>
            </w:r>
            <w:r w:rsidR="007F245A">
              <w:t>, t</w:t>
            </w:r>
            <w:r w:rsidR="00D2653C">
              <w:t>he Government will temporarily suspend contributions</w:t>
            </w:r>
            <w:r w:rsidR="001B0CD0">
              <w:t xml:space="preserve"> in 2023-24</w:t>
            </w:r>
            <w:r w:rsidR="00D2653C">
              <w:t xml:space="preserve"> to the </w:t>
            </w:r>
            <w:r w:rsidR="00506ED2">
              <w:t>NGF</w:t>
            </w:r>
            <w:r w:rsidR="00D2653C">
              <w:t xml:space="preserve">, reducing </w:t>
            </w:r>
            <w:r w:rsidR="00187AE7">
              <w:t xml:space="preserve">the State’s </w:t>
            </w:r>
            <w:r w:rsidR="00D2653C">
              <w:t>gross debt by $7.7 billion</w:t>
            </w:r>
            <w:r w:rsidR="005C6870">
              <w:t xml:space="preserve">. </w:t>
            </w:r>
            <w:r w:rsidR="0038262D">
              <w:t>C</w:t>
            </w:r>
            <w:r w:rsidR="00D2653C">
              <w:t>ontributions</w:t>
            </w:r>
            <w:r w:rsidR="0038262D">
              <w:t xml:space="preserve"> are</w:t>
            </w:r>
            <w:r w:rsidR="00D2653C">
              <w:t xml:space="preserve"> budgeted to recommence from 2024-25 to 2026-27</w:t>
            </w:r>
            <w:r w:rsidR="00A615B5">
              <w:t xml:space="preserve">. </w:t>
            </w:r>
            <w:r w:rsidR="00B54247">
              <w:t>During this time</w:t>
            </w:r>
            <w:r w:rsidR="0038262D">
              <w:t xml:space="preserve"> the Government </w:t>
            </w:r>
            <w:r w:rsidR="00B54247">
              <w:t xml:space="preserve">will </w:t>
            </w:r>
            <w:r w:rsidR="0038262D">
              <w:t xml:space="preserve">determine a more </w:t>
            </w:r>
            <w:r w:rsidR="00D26E27">
              <w:t>appropriate</w:t>
            </w:r>
            <w:r w:rsidR="0038262D">
              <w:t xml:space="preserve"> policy regarding contributions to</w:t>
            </w:r>
            <w:r w:rsidR="00C47C36">
              <w:t>,</w:t>
            </w:r>
            <w:r w:rsidR="0038262D">
              <w:t xml:space="preserve"> and debt retirement payments from, the </w:t>
            </w:r>
            <w:r w:rsidR="00506ED2">
              <w:t>NG</w:t>
            </w:r>
            <w:r w:rsidR="0090519C">
              <w:t>F</w:t>
            </w:r>
            <w:r w:rsidR="0038262D">
              <w:t xml:space="preserve"> </w:t>
            </w:r>
            <w:proofErr w:type="gramStart"/>
            <w:r w:rsidR="0038262D">
              <w:t xml:space="preserve">and </w:t>
            </w:r>
            <w:r w:rsidR="00D26E27">
              <w:t>also</w:t>
            </w:r>
            <w:proofErr w:type="gramEnd"/>
            <w:r w:rsidR="00D26E27">
              <w:t xml:space="preserve"> consider a more efficient approach to managing certain State funds, including the </w:t>
            </w:r>
            <w:r w:rsidR="0090519C">
              <w:t>NGF</w:t>
            </w:r>
            <w:r w:rsidR="00D2653C">
              <w:t xml:space="preserve">. </w:t>
            </w:r>
          </w:p>
          <w:p w14:paraId="717DEB65" w14:textId="495FCB6F" w:rsidR="005C6870" w:rsidRDefault="00D2653C" w:rsidP="00886370">
            <w:pPr>
              <w:pStyle w:val="BodyText"/>
            </w:pPr>
            <w:r>
              <w:t xml:space="preserve">The </w:t>
            </w:r>
            <w:r w:rsidR="0090519C">
              <w:t>NGF</w:t>
            </w:r>
            <w:r>
              <w:t xml:space="preserve"> balance is now projected to be around $55</w:t>
            </w:r>
            <w:r w:rsidR="00643306">
              <w:t>.0</w:t>
            </w:r>
            <w:r>
              <w:t xml:space="preserve"> billion by June 2032, compared to the $94</w:t>
            </w:r>
            <w:r w:rsidR="00C47C36">
              <w:t>.3</w:t>
            </w:r>
            <w:r>
              <w:t xml:space="preserve"> billion projected in the 2022-23 Budget. </w:t>
            </w:r>
            <w:r w:rsidR="005C6870">
              <w:t xml:space="preserve">This financially responsible approach to managing the </w:t>
            </w:r>
            <w:r w:rsidR="0090519C">
              <w:t>NGF</w:t>
            </w:r>
            <w:r w:rsidR="005C6870">
              <w:t xml:space="preserve"> will significantly reduce the potential impact to the State’s finances from investing a larger balance in volatile financial markets. </w:t>
            </w:r>
          </w:p>
          <w:p w14:paraId="29D179C1" w14:textId="4F278524" w:rsidR="007B5298" w:rsidRDefault="00D2653C" w:rsidP="00886370">
            <w:pPr>
              <w:pStyle w:val="BodyText"/>
            </w:pPr>
            <w:r>
              <w:t>The 2023-24 Budget also include</w:t>
            </w:r>
            <w:r w:rsidR="009A3CB5">
              <w:t>s</w:t>
            </w:r>
            <w:r>
              <w:t xml:space="preserve"> an underlying </w:t>
            </w:r>
            <w:r w:rsidR="009A3CB5">
              <w:t>b</w:t>
            </w:r>
            <w:r>
              <w:t xml:space="preserve">udget </w:t>
            </w:r>
            <w:r w:rsidR="009A3CB5">
              <w:t>r</w:t>
            </w:r>
            <w:r>
              <w:t xml:space="preserve">esult that excludes the </w:t>
            </w:r>
            <w:r w:rsidR="0090519C">
              <w:t>NGF</w:t>
            </w:r>
            <w:r>
              <w:t>’s net investment returns to provide a more transparent picture of the State’s finances</w:t>
            </w:r>
            <w:r w:rsidR="000857C5" w:rsidRPr="000F1E7F">
              <w:t xml:space="preserve"> </w:t>
            </w:r>
            <w:r w:rsidR="008B0AFD" w:rsidRPr="000F1E7F">
              <w:t xml:space="preserve">(see </w:t>
            </w:r>
            <w:r w:rsidR="00DC16B4" w:rsidRPr="000F1E7F">
              <w:t>C</w:t>
            </w:r>
            <w:r w:rsidR="00E83436" w:rsidRPr="000F1E7F">
              <w:t>hapter</w:t>
            </w:r>
            <w:r w:rsidR="001D6FF9" w:rsidRPr="000F1E7F">
              <w:t> </w:t>
            </w:r>
            <w:r w:rsidR="00B04982" w:rsidRPr="000F1E7F">
              <w:t>3</w:t>
            </w:r>
            <w:r w:rsidR="006C037C" w:rsidRPr="000F1E7F">
              <w:t xml:space="preserve"> Fiscal Strategy and Outlook</w:t>
            </w:r>
            <w:r w:rsidR="00B04982" w:rsidRPr="000F1E7F">
              <w:t xml:space="preserve">, </w:t>
            </w:r>
            <w:r w:rsidR="006C037C" w:rsidRPr="000F1E7F">
              <w:t>B</w:t>
            </w:r>
            <w:r w:rsidR="008B0AFD" w:rsidRPr="000F1E7F">
              <w:t>ox 3.1)</w:t>
            </w:r>
            <w:r w:rsidR="00D00D93" w:rsidRPr="000F1E7F">
              <w:t>.</w:t>
            </w:r>
          </w:p>
          <w:p w14:paraId="5DD84A63" w14:textId="0DA1D70E" w:rsidR="0EF8AF34" w:rsidRPr="007B5298" w:rsidRDefault="007B5298" w:rsidP="00886370">
            <w:pPr>
              <w:pStyle w:val="BodyText"/>
              <w:rPr>
                <w:highlight w:val="yellow"/>
              </w:rPr>
            </w:pPr>
            <w:r>
              <w:t>The Government will continue exploring options to manage the State’s financial assets prudently and efficiently. This will help ensure they remain fit-for-purpose to achiev</w:t>
            </w:r>
            <w:r w:rsidR="009A3CB5">
              <w:t>e</w:t>
            </w:r>
            <w:r>
              <w:t xml:space="preserve"> the Government’s policy aims over the long term without creating undue risk for the State’s finances and broader balance sheet.</w:t>
            </w:r>
            <w:r w:rsidR="00E24CBF">
              <w:t xml:space="preserve"> </w:t>
            </w:r>
          </w:p>
          <w:p w14:paraId="54EE8122" w14:textId="711BE0CE" w:rsidR="004008FF" w:rsidRPr="001F25C6" w:rsidRDefault="00ED69ED" w:rsidP="00886370">
            <w:pPr>
              <w:pStyle w:val="BodyText"/>
            </w:pPr>
            <w:r>
              <w:t xml:space="preserve">The major investment funds </w:t>
            </w:r>
            <w:r w:rsidR="00DF1789">
              <w:t xml:space="preserve">are presented in Table 6.1. </w:t>
            </w:r>
          </w:p>
          <w:p w14:paraId="12BD61AF" w14:textId="323F8641" w:rsidR="00E633F9" w:rsidRPr="0026601B" w:rsidRDefault="00E633F9" w:rsidP="00E633F9">
            <w:pPr>
              <w:pStyle w:val="Table6X"/>
            </w:pPr>
            <w:r>
              <w:t>NSW investment funds returns to</w:t>
            </w:r>
            <w:r w:rsidR="247388C0">
              <w:t xml:space="preserve"> </w:t>
            </w:r>
            <w:r w:rsidR="00504F03" w:rsidRPr="00504F03">
              <w:t>30 June</w:t>
            </w:r>
            <w:r w:rsidRPr="00504F03">
              <w:t xml:space="preserve"> 202</w:t>
            </w:r>
            <w:r w:rsidR="00B615A4" w:rsidRPr="00504F03">
              <w:t>3</w:t>
            </w:r>
          </w:p>
          <w:tbl>
            <w:tblPr>
              <w:tblW w:w="9586" w:type="dxa"/>
              <w:tblBorders>
                <w:bottom w:val="single" w:sz="4" w:space="0" w:color="auto"/>
              </w:tblBorders>
              <w:tblLayout w:type="fixed"/>
              <w:tblLook w:val="04A0" w:firstRow="1" w:lastRow="0" w:firstColumn="1" w:lastColumn="0" w:noHBand="0" w:noVBand="1"/>
              <w:tblCaption w:val="Table 6.1: NSW investment funds returns to 30 June 2023"/>
              <w:tblDescription w:val="Table 6.1: NSW investment funds returns to 30 June 2023"/>
            </w:tblPr>
            <w:tblGrid>
              <w:gridCol w:w="3742"/>
              <w:gridCol w:w="907"/>
              <w:gridCol w:w="1247"/>
              <w:gridCol w:w="1247"/>
              <w:gridCol w:w="1247"/>
              <w:gridCol w:w="1196"/>
            </w:tblGrid>
            <w:tr w:rsidR="005E63BB" w:rsidRPr="005E63BB" w14:paraId="5C79FA9F" w14:textId="77777777" w:rsidTr="008517F7">
              <w:trPr>
                <w:trHeight w:val="206"/>
              </w:trPr>
              <w:tc>
                <w:tcPr>
                  <w:tcW w:w="3742" w:type="dxa"/>
                  <w:shd w:val="clear" w:color="auto" w:fill="BFBFBF" w:themeFill="background1" w:themeFillShade="BF"/>
                  <w:vAlign w:val="center"/>
                  <w:hideMark/>
                </w:tcPr>
                <w:p w14:paraId="06593C43" w14:textId="77777777"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Fund</w:t>
                  </w:r>
                </w:p>
              </w:tc>
              <w:tc>
                <w:tcPr>
                  <w:tcW w:w="907" w:type="dxa"/>
                  <w:shd w:val="clear" w:color="auto" w:fill="BFBFBF" w:themeFill="background1" w:themeFillShade="BF"/>
                  <w:vAlign w:val="center"/>
                  <w:hideMark/>
                </w:tcPr>
                <w:p w14:paraId="286986F8" w14:textId="77777777"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Inception Date</w:t>
                  </w:r>
                </w:p>
              </w:tc>
              <w:tc>
                <w:tcPr>
                  <w:tcW w:w="1247" w:type="dxa"/>
                  <w:shd w:val="clear" w:color="auto" w:fill="BFBFBF" w:themeFill="background1" w:themeFillShade="BF"/>
                  <w:vAlign w:val="center"/>
                  <w:hideMark/>
                </w:tcPr>
                <w:p w14:paraId="04EC5721" w14:textId="4D50BF87"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 xml:space="preserve">Fund Balance </w:t>
                  </w:r>
                  <w:r w:rsidRPr="00453571">
                    <w:rPr>
                      <w:rFonts w:ascii="Public Sans" w:hAnsi="Public Sans" w:cs="Arial"/>
                      <w:sz w:val="16"/>
                      <w:szCs w:val="16"/>
                      <w:lang w:val="en-AU" w:eastAsia="en-AU"/>
                    </w:rPr>
                    <w:br/>
                    <w:t>$ billion</w:t>
                  </w:r>
                  <w:r w:rsidR="00723E8B" w:rsidRPr="00453571">
                    <w:rPr>
                      <w:rFonts w:ascii="Public Sans" w:hAnsi="Public Sans" w:cs="Arial"/>
                      <w:sz w:val="16"/>
                      <w:szCs w:val="16"/>
                      <w:vertAlign w:val="superscript"/>
                      <w:lang w:val="en-AU"/>
                    </w:rPr>
                    <w:t>(a)</w:t>
                  </w:r>
                </w:p>
              </w:tc>
              <w:tc>
                <w:tcPr>
                  <w:tcW w:w="1247" w:type="dxa"/>
                  <w:shd w:val="clear" w:color="auto" w:fill="BFBFBF" w:themeFill="background1" w:themeFillShade="BF"/>
                  <w:vAlign w:val="center"/>
                  <w:hideMark/>
                </w:tcPr>
                <w:p w14:paraId="79D74D0C" w14:textId="77777777"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 xml:space="preserve">Investment </w:t>
                  </w:r>
                  <w:r w:rsidRPr="00453571">
                    <w:rPr>
                      <w:rFonts w:ascii="Public Sans" w:hAnsi="Public Sans" w:cs="Arial"/>
                      <w:sz w:val="16"/>
                      <w:szCs w:val="16"/>
                      <w:lang w:val="en-AU" w:eastAsia="en-AU"/>
                    </w:rPr>
                    <w:br/>
                    <w:t>Objective</w:t>
                  </w:r>
                  <w:r w:rsidRPr="00453571">
                    <w:rPr>
                      <w:rFonts w:ascii="Public Sans" w:hAnsi="Public Sans" w:cs="Arial"/>
                      <w:sz w:val="16"/>
                      <w:szCs w:val="16"/>
                      <w:lang w:val="en-AU" w:eastAsia="en-AU"/>
                    </w:rPr>
                    <w:br/>
                    <w:t>%</w:t>
                  </w:r>
                </w:p>
              </w:tc>
              <w:tc>
                <w:tcPr>
                  <w:tcW w:w="1247" w:type="dxa"/>
                  <w:shd w:val="clear" w:color="auto" w:fill="BFBFBF" w:themeFill="background1" w:themeFillShade="BF"/>
                  <w:vAlign w:val="center"/>
                  <w:hideMark/>
                </w:tcPr>
                <w:p w14:paraId="53B3D12D" w14:textId="1ED78467" w:rsidR="00E633F9" w:rsidRPr="00453571" w:rsidRDefault="00897267" w:rsidP="008A54F4">
                  <w:pPr>
                    <w:framePr w:hSpace="180" w:wrap="around" w:vAnchor="text" w:hAnchor="margin" w:y="-59"/>
                    <w:ind w:left="-57" w:right="-57"/>
                    <w:jc w:val="center"/>
                    <w:rPr>
                      <w:rFonts w:ascii="Public Sans" w:hAnsi="Public Sans" w:cs="Arial"/>
                      <w:sz w:val="16"/>
                      <w:szCs w:val="16"/>
                      <w:lang w:val="en-AU" w:eastAsia="en-AU"/>
                    </w:rPr>
                  </w:pPr>
                  <w:r>
                    <w:rPr>
                      <w:rFonts w:ascii="Public Sans" w:hAnsi="Public Sans" w:cs="Arial"/>
                      <w:sz w:val="16"/>
                      <w:szCs w:val="16"/>
                      <w:lang w:val="en-AU" w:eastAsia="en-AU"/>
                    </w:rPr>
                    <w:t>FY2022-23</w:t>
                  </w:r>
                  <w:r w:rsidR="00E633F9" w:rsidRPr="00453571">
                    <w:rPr>
                      <w:rFonts w:ascii="Public Sans" w:hAnsi="Public Sans" w:cs="Arial"/>
                      <w:sz w:val="16"/>
                      <w:szCs w:val="16"/>
                      <w:lang w:val="en-AU" w:eastAsia="en-AU"/>
                    </w:rPr>
                    <w:t xml:space="preserve"> Returns </w:t>
                  </w:r>
                </w:p>
                <w:p w14:paraId="346C8317" w14:textId="3D932213"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w:t>
                  </w:r>
                </w:p>
              </w:tc>
              <w:tc>
                <w:tcPr>
                  <w:tcW w:w="1196" w:type="dxa"/>
                  <w:shd w:val="clear" w:color="auto" w:fill="BFBFBF" w:themeFill="background1" w:themeFillShade="BF"/>
                  <w:vAlign w:val="center"/>
                  <w:hideMark/>
                </w:tcPr>
                <w:p w14:paraId="41EDD7BB" w14:textId="0C672260" w:rsidR="00E633F9" w:rsidRPr="00453571" w:rsidRDefault="00E633F9" w:rsidP="008A54F4">
                  <w:pPr>
                    <w:framePr w:hSpace="180" w:wrap="around" w:vAnchor="text" w:hAnchor="margin" w:y="-59"/>
                    <w:ind w:left="-57" w:right="-57"/>
                    <w:jc w:val="center"/>
                    <w:rPr>
                      <w:rFonts w:ascii="Public Sans" w:hAnsi="Public Sans" w:cs="Arial"/>
                      <w:sz w:val="16"/>
                      <w:szCs w:val="16"/>
                      <w:lang w:val="en-AU" w:eastAsia="en-AU"/>
                    </w:rPr>
                  </w:pPr>
                  <w:r w:rsidRPr="00453571">
                    <w:rPr>
                      <w:rFonts w:ascii="Public Sans" w:hAnsi="Public Sans" w:cs="Arial"/>
                      <w:sz w:val="16"/>
                      <w:szCs w:val="16"/>
                      <w:lang w:val="en-AU" w:eastAsia="en-AU"/>
                    </w:rPr>
                    <w:t xml:space="preserve">Returns </w:t>
                  </w:r>
                  <w:r w:rsidRPr="00453571">
                    <w:rPr>
                      <w:rFonts w:ascii="Public Sans" w:hAnsi="Public Sans" w:cs="Arial"/>
                      <w:sz w:val="16"/>
                      <w:szCs w:val="16"/>
                      <w:lang w:val="en-AU" w:eastAsia="en-AU"/>
                    </w:rPr>
                    <w:br/>
                    <w:t xml:space="preserve">Since </w:t>
                  </w:r>
                  <w:r w:rsidRPr="00453571">
                    <w:rPr>
                      <w:rFonts w:ascii="Public Sans" w:hAnsi="Public Sans" w:cs="Arial"/>
                      <w:sz w:val="16"/>
                      <w:szCs w:val="16"/>
                      <w:lang w:val="en-AU" w:eastAsia="en-AU"/>
                    </w:rPr>
                    <w:br/>
                    <w:t>Inception</w:t>
                  </w:r>
                  <w:r w:rsidR="00E251A6" w:rsidRPr="00453571">
                    <w:rPr>
                      <w:rFonts w:ascii="Public Sans" w:hAnsi="Public Sans" w:cs="Arial"/>
                      <w:sz w:val="16"/>
                      <w:szCs w:val="16"/>
                      <w:vertAlign w:val="superscript"/>
                      <w:lang w:val="en-AU"/>
                    </w:rPr>
                    <w:t>(a)</w:t>
                  </w:r>
                  <w:r w:rsidRPr="00453571">
                    <w:rPr>
                      <w:rFonts w:ascii="Public Sans" w:hAnsi="Public Sans" w:cs="Arial"/>
                      <w:sz w:val="16"/>
                      <w:szCs w:val="16"/>
                      <w:lang w:val="en-AU" w:eastAsia="en-AU"/>
                    </w:rPr>
                    <w:br/>
                    <w:t>%</w:t>
                  </w:r>
                </w:p>
              </w:tc>
            </w:tr>
            <w:tr w:rsidR="005E63BB" w:rsidRPr="005E63BB" w14:paraId="17357FCE" w14:textId="77777777" w:rsidTr="00746262">
              <w:trPr>
                <w:trHeight w:val="206"/>
              </w:trPr>
              <w:tc>
                <w:tcPr>
                  <w:tcW w:w="3742" w:type="dxa"/>
                  <w:shd w:val="clear" w:color="auto" w:fill="auto"/>
                  <w:vAlign w:val="center"/>
                  <w:hideMark/>
                </w:tcPr>
                <w:p w14:paraId="4E908FDC" w14:textId="257BBD6A" w:rsidR="00E633F9" w:rsidRPr="00453571" w:rsidRDefault="00E633F9"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NSW Generations Fund </w:t>
                  </w:r>
                </w:p>
              </w:tc>
              <w:tc>
                <w:tcPr>
                  <w:tcW w:w="907" w:type="dxa"/>
                  <w:shd w:val="clear" w:color="auto" w:fill="auto"/>
                  <w:vAlign w:val="center"/>
                  <w:hideMark/>
                </w:tcPr>
                <w:p w14:paraId="1AEBCC8E"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Nov-18</w:t>
                  </w:r>
                </w:p>
              </w:tc>
              <w:tc>
                <w:tcPr>
                  <w:tcW w:w="1247" w:type="dxa"/>
                  <w:shd w:val="clear" w:color="auto" w:fill="auto"/>
                  <w:hideMark/>
                </w:tcPr>
                <w:p w14:paraId="6313310F" w14:textId="5AFCC0F2" w:rsidR="00E633F9" w:rsidRPr="00453571" w:rsidRDefault="00E633F9" w:rsidP="008A54F4">
                  <w:pPr>
                    <w:framePr w:hSpace="180" w:wrap="around" w:vAnchor="text" w:hAnchor="margin" w:y="-59"/>
                    <w:jc w:val="center"/>
                    <w:rPr>
                      <w:rFonts w:ascii="Public Sans" w:hAnsi="Public Sans" w:cs="Arial"/>
                      <w:sz w:val="16"/>
                      <w:szCs w:val="16"/>
                      <w:vertAlign w:val="superscript"/>
                      <w:lang w:val="en-AU" w:eastAsia="en-AU"/>
                    </w:rPr>
                  </w:pPr>
                  <w:r w:rsidRPr="00453571">
                    <w:rPr>
                      <w:rFonts w:ascii="Public Sans" w:hAnsi="Public Sans" w:cs="Arial"/>
                      <w:sz w:val="16"/>
                      <w:szCs w:val="16"/>
                      <w:lang w:val="en-AU"/>
                    </w:rPr>
                    <w:t>1</w:t>
                  </w:r>
                  <w:r w:rsidR="00897267">
                    <w:rPr>
                      <w:rFonts w:ascii="Public Sans" w:hAnsi="Public Sans" w:cs="Arial"/>
                      <w:sz w:val="16"/>
                      <w:szCs w:val="16"/>
                      <w:lang w:val="en-AU"/>
                    </w:rPr>
                    <w:t>6</w:t>
                  </w:r>
                  <w:r w:rsidRPr="00453571">
                    <w:rPr>
                      <w:rFonts w:ascii="Public Sans" w:hAnsi="Public Sans" w:cs="Arial"/>
                      <w:sz w:val="16"/>
                      <w:szCs w:val="16"/>
                      <w:lang w:val="en-AU"/>
                    </w:rPr>
                    <w:t>.</w:t>
                  </w:r>
                  <w:r w:rsidR="00897267">
                    <w:rPr>
                      <w:rFonts w:ascii="Public Sans" w:hAnsi="Public Sans" w:cs="Arial"/>
                      <w:sz w:val="16"/>
                      <w:szCs w:val="16"/>
                      <w:lang w:val="en-AU"/>
                    </w:rPr>
                    <w:t>0</w:t>
                  </w:r>
                  <w:r w:rsidRPr="00453571">
                    <w:rPr>
                      <w:rFonts w:ascii="Public Sans" w:hAnsi="Public Sans" w:cs="Arial"/>
                      <w:sz w:val="16"/>
                      <w:szCs w:val="16"/>
                      <w:vertAlign w:val="superscript"/>
                      <w:lang w:val="en-AU"/>
                    </w:rPr>
                    <w:t>(</w:t>
                  </w:r>
                  <w:r w:rsidR="00E251A6">
                    <w:rPr>
                      <w:rFonts w:ascii="Public Sans" w:hAnsi="Public Sans" w:cs="Arial"/>
                      <w:sz w:val="16"/>
                      <w:szCs w:val="16"/>
                      <w:vertAlign w:val="superscript"/>
                      <w:lang w:val="en-AU"/>
                    </w:rPr>
                    <w:t>b</w:t>
                  </w:r>
                  <w:r w:rsidRPr="00453571">
                    <w:rPr>
                      <w:rFonts w:ascii="Public Sans" w:hAnsi="Public Sans" w:cs="Arial"/>
                      <w:sz w:val="16"/>
                      <w:szCs w:val="16"/>
                      <w:vertAlign w:val="superscript"/>
                      <w:lang w:val="en-AU"/>
                    </w:rPr>
                    <w:t>)</w:t>
                  </w:r>
                </w:p>
              </w:tc>
              <w:tc>
                <w:tcPr>
                  <w:tcW w:w="1247" w:type="dxa"/>
                  <w:shd w:val="clear" w:color="auto" w:fill="auto"/>
                  <w:hideMark/>
                </w:tcPr>
                <w:p w14:paraId="724E059B" w14:textId="10B8A455"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CPI + 4.5</w:t>
                  </w:r>
                  <w:r w:rsidR="26D34B02" w:rsidRPr="00453571">
                    <w:rPr>
                      <w:rFonts w:ascii="Public Sans" w:hAnsi="Public Sans" w:cs="Arial"/>
                      <w:sz w:val="16"/>
                      <w:szCs w:val="16"/>
                      <w:vertAlign w:val="superscript"/>
                      <w:lang w:val="en-AU"/>
                    </w:rPr>
                    <w:t>(</w:t>
                  </w:r>
                  <w:r w:rsidR="00E251A6">
                    <w:rPr>
                      <w:rFonts w:ascii="Public Sans" w:hAnsi="Public Sans" w:cs="Arial"/>
                      <w:sz w:val="16"/>
                      <w:szCs w:val="16"/>
                      <w:vertAlign w:val="superscript"/>
                      <w:lang w:val="en-AU"/>
                    </w:rPr>
                    <w:t>c</w:t>
                  </w:r>
                  <w:r w:rsidR="26D34B02" w:rsidRPr="00453571">
                    <w:rPr>
                      <w:rFonts w:ascii="Public Sans" w:hAnsi="Public Sans" w:cs="Arial"/>
                      <w:sz w:val="16"/>
                      <w:szCs w:val="16"/>
                      <w:vertAlign w:val="superscript"/>
                      <w:lang w:val="en-AU"/>
                    </w:rPr>
                    <w:t>)</w:t>
                  </w:r>
                </w:p>
              </w:tc>
              <w:tc>
                <w:tcPr>
                  <w:tcW w:w="1247" w:type="dxa"/>
                  <w:shd w:val="clear" w:color="auto" w:fill="auto"/>
                  <w:hideMark/>
                </w:tcPr>
                <w:p w14:paraId="363A007F" w14:textId="726C013E" w:rsidR="00E633F9" w:rsidRPr="00453571" w:rsidRDefault="000F5AD2" w:rsidP="008A54F4">
                  <w:pPr>
                    <w:framePr w:hSpace="180" w:wrap="around" w:vAnchor="text" w:hAnchor="margin" w:y="-59"/>
                    <w:jc w:val="center"/>
                    <w:rPr>
                      <w:rFonts w:ascii="Public Sans" w:hAnsi="Public Sans" w:cs="Arial"/>
                      <w:sz w:val="16"/>
                      <w:szCs w:val="16"/>
                      <w:lang w:val="en-AU" w:eastAsia="en-AU"/>
                    </w:rPr>
                  </w:pPr>
                  <w:r>
                    <w:rPr>
                      <w:rFonts w:ascii="Public Sans" w:hAnsi="Public Sans" w:cs="Arial"/>
                      <w:sz w:val="16"/>
                      <w:szCs w:val="16"/>
                      <w:lang w:val="en-AU"/>
                    </w:rPr>
                    <w:t>8.9</w:t>
                  </w:r>
                </w:p>
              </w:tc>
              <w:tc>
                <w:tcPr>
                  <w:tcW w:w="1196" w:type="dxa"/>
                  <w:shd w:val="clear" w:color="auto" w:fill="auto"/>
                  <w:noWrap/>
                  <w:hideMark/>
                </w:tcPr>
                <w:p w14:paraId="6A31E545" w14:textId="0411354F" w:rsidR="00E633F9" w:rsidRPr="00453571" w:rsidRDefault="24B435B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6.4</w:t>
                  </w:r>
                </w:p>
              </w:tc>
            </w:tr>
            <w:tr w:rsidR="005E63BB" w:rsidRPr="005E63BB" w14:paraId="5742A1F5" w14:textId="77777777" w:rsidTr="00746262">
              <w:trPr>
                <w:trHeight w:val="206"/>
              </w:trPr>
              <w:tc>
                <w:tcPr>
                  <w:tcW w:w="3742" w:type="dxa"/>
                  <w:shd w:val="clear" w:color="auto" w:fill="auto"/>
                  <w:vAlign w:val="center"/>
                  <w:hideMark/>
                </w:tcPr>
                <w:p w14:paraId="7A74BF59" w14:textId="10BD5226" w:rsidR="00E633F9" w:rsidRPr="00453571" w:rsidRDefault="00E633F9"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NSW Infrastructure Future Fund </w:t>
                  </w:r>
                </w:p>
              </w:tc>
              <w:tc>
                <w:tcPr>
                  <w:tcW w:w="907" w:type="dxa"/>
                  <w:shd w:val="clear" w:color="auto" w:fill="auto"/>
                  <w:vAlign w:val="center"/>
                  <w:hideMark/>
                </w:tcPr>
                <w:p w14:paraId="6BDDBE67"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Dec-16</w:t>
                  </w:r>
                </w:p>
              </w:tc>
              <w:tc>
                <w:tcPr>
                  <w:tcW w:w="1247" w:type="dxa"/>
                  <w:shd w:val="clear" w:color="auto" w:fill="auto"/>
                  <w:hideMark/>
                </w:tcPr>
                <w:p w14:paraId="34DE6609" w14:textId="23D346AF" w:rsidR="00E633F9" w:rsidRPr="00453571" w:rsidRDefault="45002423"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7.</w:t>
                  </w:r>
                  <w:r w:rsidR="00897267">
                    <w:rPr>
                      <w:rFonts w:ascii="Public Sans" w:hAnsi="Public Sans" w:cs="Arial"/>
                      <w:sz w:val="16"/>
                      <w:szCs w:val="16"/>
                      <w:lang w:val="en-AU"/>
                    </w:rPr>
                    <w:t>4</w:t>
                  </w:r>
                </w:p>
              </w:tc>
              <w:tc>
                <w:tcPr>
                  <w:tcW w:w="1247" w:type="dxa"/>
                  <w:shd w:val="clear" w:color="auto" w:fill="auto"/>
                  <w:hideMark/>
                </w:tcPr>
                <w:p w14:paraId="52FD4168"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CPI + 2.0</w:t>
                  </w:r>
                </w:p>
              </w:tc>
              <w:tc>
                <w:tcPr>
                  <w:tcW w:w="1247" w:type="dxa"/>
                  <w:shd w:val="clear" w:color="auto" w:fill="auto"/>
                  <w:hideMark/>
                </w:tcPr>
                <w:p w14:paraId="58C32053" w14:textId="11A814D6" w:rsidR="00E633F9" w:rsidRPr="00453571" w:rsidRDefault="4264BF9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4.</w:t>
                  </w:r>
                  <w:r w:rsidR="000F5AD2">
                    <w:rPr>
                      <w:rFonts w:ascii="Public Sans" w:hAnsi="Public Sans" w:cs="Arial"/>
                      <w:sz w:val="16"/>
                      <w:szCs w:val="16"/>
                      <w:lang w:val="en-AU"/>
                    </w:rPr>
                    <w:t>8</w:t>
                  </w:r>
                </w:p>
              </w:tc>
              <w:tc>
                <w:tcPr>
                  <w:tcW w:w="1196" w:type="dxa"/>
                  <w:shd w:val="clear" w:color="auto" w:fill="auto"/>
                  <w:hideMark/>
                </w:tcPr>
                <w:p w14:paraId="50BBFF6C" w14:textId="167EEEC3" w:rsidR="00E633F9" w:rsidRPr="00453571" w:rsidRDefault="5100AFBE"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3.</w:t>
                  </w:r>
                  <w:r w:rsidR="000F5AD2">
                    <w:rPr>
                      <w:rFonts w:ascii="Public Sans" w:hAnsi="Public Sans" w:cs="Arial"/>
                      <w:sz w:val="16"/>
                      <w:szCs w:val="16"/>
                      <w:lang w:val="en-AU"/>
                    </w:rPr>
                    <w:t>8</w:t>
                  </w:r>
                </w:p>
              </w:tc>
            </w:tr>
            <w:tr w:rsidR="005E63BB" w:rsidRPr="005E63BB" w14:paraId="14BDF759" w14:textId="77777777" w:rsidTr="00746262">
              <w:trPr>
                <w:trHeight w:val="206"/>
              </w:trPr>
              <w:tc>
                <w:tcPr>
                  <w:tcW w:w="3742" w:type="dxa"/>
                  <w:shd w:val="clear" w:color="auto" w:fill="auto"/>
                  <w:vAlign w:val="center"/>
                  <w:hideMark/>
                </w:tcPr>
                <w:p w14:paraId="324C1809" w14:textId="04213EA1" w:rsidR="00E633F9" w:rsidRPr="00453571" w:rsidRDefault="00E633F9"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Social and Affordable Housing Fund </w:t>
                  </w:r>
                </w:p>
              </w:tc>
              <w:tc>
                <w:tcPr>
                  <w:tcW w:w="907" w:type="dxa"/>
                  <w:shd w:val="clear" w:color="auto" w:fill="auto"/>
                  <w:vAlign w:val="center"/>
                  <w:hideMark/>
                </w:tcPr>
                <w:p w14:paraId="2C42D78E"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Aug-17</w:t>
                  </w:r>
                </w:p>
              </w:tc>
              <w:tc>
                <w:tcPr>
                  <w:tcW w:w="1247" w:type="dxa"/>
                  <w:shd w:val="clear" w:color="auto" w:fill="auto"/>
                  <w:hideMark/>
                </w:tcPr>
                <w:p w14:paraId="1B54249A"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1.6</w:t>
                  </w:r>
                </w:p>
              </w:tc>
              <w:tc>
                <w:tcPr>
                  <w:tcW w:w="1247" w:type="dxa"/>
                  <w:shd w:val="clear" w:color="auto" w:fill="auto"/>
                  <w:hideMark/>
                </w:tcPr>
                <w:p w14:paraId="060CDC66"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CPI + 4.0</w:t>
                  </w:r>
                </w:p>
              </w:tc>
              <w:tc>
                <w:tcPr>
                  <w:tcW w:w="1247" w:type="dxa"/>
                  <w:shd w:val="clear" w:color="auto" w:fill="auto"/>
                  <w:hideMark/>
                </w:tcPr>
                <w:p w14:paraId="366FEE3A" w14:textId="1CEDF402" w:rsidR="00E633F9" w:rsidRPr="00453571" w:rsidRDefault="000F5AD2" w:rsidP="008A54F4">
                  <w:pPr>
                    <w:framePr w:hSpace="180" w:wrap="around" w:vAnchor="text" w:hAnchor="margin" w:y="-59"/>
                    <w:jc w:val="center"/>
                    <w:rPr>
                      <w:rFonts w:ascii="Public Sans" w:hAnsi="Public Sans" w:cs="Arial"/>
                      <w:sz w:val="16"/>
                      <w:szCs w:val="16"/>
                      <w:lang w:val="en-AU" w:eastAsia="en-AU"/>
                    </w:rPr>
                  </w:pPr>
                  <w:r>
                    <w:rPr>
                      <w:rFonts w:ascii="Public Sans" w:hAnsi="Public Sans" w:cs="Arial"/>
                      <w:sz w:val="16"/>
                      <w:szCs w:val="16"/>
                      <w:lang w:val="en-AU"/>
                    </w:rPr>
                    <w:t>9.2</w:t>
                  </w:r>
                </w:p>
              </w:tc>
              <w:tc>
                <w:tcPr>
                  <w:tcW w:w="1196" w:type="dxa"/>
                  <w:shd w:val="clear" w:color="auto" w:fill="auto"/>
                  <w:hideMark/>
                </w:tcPr>
                <w:p w14:paraId="7F12F13F" w14:textId="27808931"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6.</w:t>
                  </w:r>
                  <w:r w:rsidR="14016943" w:rsidRPr="00453571">
                    <w:rPr>
                      <w:rFonts w:ascii="Public Sans" w:hAnsi="Public Sans" w:cs="Arial"/>
                      <w:sz w:val="16"/>
                      <w:szCs w:val="16"/>
                      <w:lang w:val="en-AU"/>
                    </w:rPr>
                    <w:t>3</w:t>
                  </w:r>
                </w:p>
              </w:tc>
            </w:tr>
            <w:tr w:rsidR="005E63BB" w:rsidRPr="005E63BB" w14:paraId="5D8DE726" w14:textId="77777777" w:rsidTr="00746262">
              <w:trPr>
                <w:trHeight w:val="206"/>
              </w:trPr>
              <w:tc>
                <w:tcPr>
                  <w:tcW w:w="3742" w:type="dxa"/>
                  <w:shd w:val="clear" w:color="auto" w:fill="auto"/>
                  <w:vAlign w:val="center"/>
                  <w:hideMark/>
                </w:tcPr>
                <w:p w14:paraId="56C6D5BE" w14:textId="57A76D22" w:rsidR="00E633F9" w:rsidRPr="00453571" w:rsidRDefault="00E633F9"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Treasury Managed Fund </w:t>
                  </w:r>
                </w:p>
              </w:tc>
              <w:tc>
                <w:tcPr>
                  <w:tcW w:w="907" w:type="dxa"/>
                  <w:shd w:val="clear" w:color="auto" w:fill="auto"/>
                  <w:vAlign w:val="center"/>
                  <w:hideMark/>
                </w:tcPr>
                <w:p w14:paraId="2502ADA5"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Mar-99</w:t>
                  </w:r>
                </w:p>
              </w:tc>
              <w:tc>
                <w:tcPr>
                  <w:tcW w:w="1247" w:type="dxa"/>
                  <w:shd w:val="clear" w:color="auto" w:fill="auto"/>
                  <w:hideMark/>
                </w:tcPr>
                <w:p w14:paraId="72CC61B0" w14:textId="15E24889"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1</w:t>
                  </w:r>
                  <w:r w:rsidR="3090DCA6" w:rsidRPr="00453571">
                    <w:rPr>
                      <w:rFonts w:ascii="Public Sans" w:hAnsi="Public Sans" w:cs="Arial"/>
                      <w:sz w:val="16"/>
                      <w:szCs w:val="16"/>
                      <w:lang w:val="en-AU"/>
                    </w:rPr>
                    <w:t>4.</w:t>
                  </w:r>
                  <w:r w:rsidR="00897267">
                    <w:rPr>
                      <w:rFonts w:ascii="Public Sans" w:hAnsi="Public Sans" w:cs="Arial"/>
                      <w:sz w:val="16"/>
                      <w:szCs w:val="16"/>
                      <w:lang w:val="en-AU"/>
                    </w:rPr>
                    <w:t>9</w:t>
                  </w:r>
                </w:p>
              </w:tc>
              <w:tc>
                <w:tcPr>
                  <w:tcW w:w="1247" w:type="dxa"/>
                  <w:shd w:val="clear" w:color="auto" w:fill="auto"/>
                  <w:hideMark/>
                </w:tcPr>
                <w:p w14:paraId="25CC9978" w14:textId="77777777"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CPI + 3.5</w:t>
                  </w:r>
                </w:p>
              </w:tc>
              <w:tc>
                <w:tcPr>
                  <w:tcW w:w="1247" w:type="dxa"/>
                  <w:shd w:val="clear" w:color="auto" w:fill="auto"/>
                  <w:hideMark/>
                </w:tcPr>
                <w:p w14:paraId="3528663D" w14:textId="64F175CC" w:rsidR="00E633F9" w:rsidRPr="00453571" w:rsidRDefault="000F5AD2" w:rsidP="008A54F4">
                  <w:pPr>
                    <w:framePr w:hSpace="180" w:wrap="around" w:vAnchor="text" w:hAnchor="margin" w:y="-59"/>
                    <w:jc w:val="center"/>
                    <w:rPr>
                      <w:rFonts w:ascii="Public Sans" w:hAnsi="Public Sans" w:cs="Arial"/>
                      <w:sz w:val="16"/>
                      <w:szCs w:val="16"/>
                      <w:lang w:val="en-AU" w:eastAsia="en-AU"/>
                    </w:rPr>
                  </w:pPr>
                  <w:r>
                    <w:rPr>
                      <w:rFonts w:ascii="Public Sans" w:hAnsi="Public Sans" w:cs="Arial"/>
                      <w:sz w:val="16"/>
                      <w:szCs w:val="16"/>
                      <w:lang w:val="en-AU"/>
                    </w:rPr>
                    <w:t>9.6</w:t>
                  </w:r>
                </w:p>
              </w:tc>
              <w:tc>
                <w:tcPr>
                  <w:tcW w:w="1196" w:type="dxa"/>
                  <w:shd w:val="clear" w:color="auto" w:fill="auto"/>
                  <w:hideMark/>
                </w:tcPr>
                <w:p w14:paraId="69E6FD3C" w14:textId="7D742128" w:rsidR="00E633F9" w:rsidRPr="00453571" w:rsidRDefault="00E633F9"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rPr>
                    <w:t>6.</w:t>
                  </w:r>
                  <w:r w:rsidR="2999A3C9" w:rsidRPr="00453571">
                    <w:rPr>
                      <w:rFonts w:ascii="Public Sans" w:hAnsi="Public Sans" w:cs="Arial"/>
                      <w:sz w:val="16"/>
                      <w:szCs w:val="16"/>
                      <w:lang w:val="en-AU"/>
                    </w:rPr>
                    <w:t>7</w:t>
                  </w:r>
                </w:p>
              </w:tc>
            </w:tr>
            <w:tr w:rsidR="005E63BB" w:rsidRPr="005E63BB" w14:paraId="3B5797BC" w14:textId="77777777" w:rsidTr="00746262">
              <w:trPr>
                <w:trHeight w:val="206"/>
              </w:trPr>
              <w:tc>
                <w:tcPr>
                  <w:tcW w:w="3742" w:type="dxa"/>
                  <w:shd w:val="clear" w:color="auto" w:fill="auto"/>
                  <w:vAlign w:val="center"/>
                </w:tcPr>
                <w:p w14:paraId="308F9313" w14:textId="3E7FBA2E" w:rsidR="00334A88" w:rsidRPr="00453571" w:rsidRDefault="00334A88"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Snowy Hydro Legacy Fund </w:t>
                  </w:r>
                </w:p>
              </w:tc>
              <w:tc>
                <w:tcPr>
                  <w:tcW w:w="907" w:type="dxa"/>
                  <w:shd w:val="clear" w:color="auto" w:fill="auto"/>
                  <w:vAlign w:val="center"/>
                </w:tcPr>
                <w:p w14:paraId="0F0A1B8B" w14:textId="5A0FA02F" w:rsidR="00334A88" w:rsidRPr="00453571" w:rsidRDefault="00334A88"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Dec</w:t>
                  </w:r>
                  <w:r w:rsidR="00687046" w:rsidRPr="00453571">
                    <w:rPr>
                      <w:rFonts w:ascii="Public Sans" w:hAnsi="Public Sans" w:cs="Arial"/>
                      <w:sz w:val="16"/>
                      <w:szCs w:val="16"/>
                      <w:lang w:val="en-AU" w:eastAsia="en-AU"/>
                    </w:rPr>
                    <w:t>-21</w:t>
                  </w:r>
                </w:p>
              </w:tc>
              <w:tc>
                <w:tcPr>
                  <w:tcW w:w="1247" w:type="dxa"/>
                  <w:shd w:val="clear" w:color="auto" w:fill="auto"/>
                </w:tcPr>
                <w:p w14:paraId="11CF5C98" w14:textId="5A8F3BA0" w:rsidR="00334A88" w:rsidRPr="00453571" w:rsidRDefault="0068704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1.</w:t>
                  </w:r>
                  <w:r w:rsidR="00897267">
                    <w:rPr>
                      <w:rFonts w:ascii="Public Sans" w:hAnsi="Public Sans" w:cs="Arial"/>
                      <w:sz w:val="16"/>
                      <w:szCs w:val="16"/>
                      <w:lang w:val="en-AU"/>
                    </w:rPr>
                    <w:t>6</w:t>
                  </w:r>
                </w:p>
              </w:tc>
              <w:tc>
                <w:tcPr>
                  <w:tcW w:w="1247" w:type="dxa"/>
                  <w:shd w:val="clear" w:color="auto" w:fill="auto"/>
                </w:tcPr>
                <w:p w14:paraId="5B1FF66E" w14:textId="5F2482F9" w:rsidR="00334A88" w:rsidRPr="00453571" w:rsidRDefault="0068704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CPI+1.0</w:t>
                  </w:r>
                </w:p>
              </w:tc>
              <w:tc>
                <w:tcPr>
                  <w:tcW w:w="1247" w:type="dxa"/>
                  <w:shd w:val="clear" w:color="auto" w:fill="auto"/>
                </w:tcPr>
                <w:p w14:paraId="743DB12D" w14:textId="40BFBF0C" w:rsidR="00334A88" w:rsidRPr="00453571" w:rsidRDefault="0068704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6.</w:t>
                  </w:r>
                  <w:r w:rsidR="000F5AD2">
                    <w:rPr>
                      <w:rFonts w:ascii="Public Sans" w:hAnsi="Public Sans" w:cs="Arial"/>
                      <w:sz w:val="16"/>
                      <w:szCs w:val="16"/>
                      <w:lang w:val="en-AU"/>
                    </w:rPr>
                    <w:t>0</w:t>
                  </w:r>
                </w:p>
              </w:tc>
              <w:tc>
                <w:tcPr>
                  <w:tcW w:w="1196" w:type="dxa"/>
                  <w:shd w:val="clear" w:color="auto" w:fill="auto"/>
                </w:tcPr>
                <w:p w14:paraId="7DC2F5AB" w14:textId="240DEB59" w:rsidR="00334A88" w:rsidRPr="00453571" w:rsidRDefault="0068704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(2.</w:t>
                  </w:r>
                  <w:r w:rsidR="000F5AD2">
                    <w:rPr>
                      <w:rFonts w:ascii="Public Sans" w:hAnsi="Public Sans" w:cs="Arial"/>
                      <w:sz w:val="16"/>
                      <w:szCs w:val="16"/>
                      <w:lang w:val="en-AU"/>
                    </w:rPr>
                    <w:t>5</w:t>
                  </w:r>
                  <w:r w:rsidRPr="00453571">
                    <w:rPr>
                      <w:rFonts w:ascii="Public Sans" w:hAnsi="Public Sans" w:cs="Arial"/>
                      <w:sz w:val="16"/>
                      <w:szCs w:val="16"/>
                      <w:lang w:val="en-AU"/>
                    </w:rPr>
                    <w:t>)</w:t>
                  </w:r>
                </w:p>
              </w:tc>
            </w:tr>
            <w:tr w:rsidR="005E63BB" w:rsidRPr="005E63BB" w14:paraId="2480BBE2" w14:textId="77777777" w:rsidTr="00746262">
              <w:trPr>
                <w:trHeight w:val="206"/>
              </w:trPr>
              <w:tc>
                <w:tcPr>
                  <w:tcW w:w="3742" w:type="dxa"/>
                  <w:shd w:val="clear" w:color="auto" w:fill="auto"/>
                  <w:vAlign w:val="center"/>
                </w:tcPr>
                <w:p w14:paraId="1C27839D" w14:textId="7F74D420" w:rsidR="00CB66F1" w:rsidRPr="00453571" w:rsidRDefault="00522FC6" w:rsidP="008A54F4">
                  <w:pPr>
                    <w:framePr w:hSpace="180" w:wrap="around" w:vAnchor="text" w:hAnchor="margin" w:y="-59"/>
                    <w:rPr>
                      <w:rFonts w:ascii="Public Sans" w:hAnsi="Public Sans" w:cs="Arial"/>
                      <w:sz w:val="16"/>
                      <w:szCs w:val="16"/>
                      <w:lang w:val="en-AU" w:eastAsia="en-AU"/>
                    </w:rPr>
                  </w:pPr>
                  <w:r w:rsidRPr="00453571">
                    <w:rPr>
                      <w:rFonts w:ascii="Public Sans" w:hAnsi="Public Sans" w:cs="Arial"/>
                      <w:sz w:val="16"/>
                      <w:szCs w:val="16"/>
                      <w:lang w:val="en-AU" w:eastAsia="en-AU"/>
                    </w:rPr>
                    <w:t xml:space="preserve">Long Service Corporation Investment Fund </w:t>
                  </w:r>
                </w:p>
              </w:tc>
              <w:tc>
                <w:tcPr>
                  <w:tcW w:w="907" w:type="dxa"/>
                  <w:shd w:val="clear" w:color="auto" w:fill="auto"/>
                  <w:vAlign w:val="center"/>
                </w:tcPr>
                <w:p w14:paraId="32F0DF73" w14:textId="5AFD4AC5" w:rsidR="00CB66F1" w:rsidRPr="00453571" w:rsidRDefault="00522FC6" w:rsidP="008A54F4">
                  <w:pPr>
                    <w:framePr w:hSpace="180" w:wrap="around" w:vAnchor="text" w:hAnchor="margin" w:y="-59"/>
                    <w:jc w:val="center"/>
                    <w:rPr>
                      <w:rFonts w:ascii="Public Sans" w:hAnsi="Public Sans" w:cs="Arial"/>
                      <w:sz w:val="16"/>
                      <w:szCs w:val="16"/>
                      <w:lang w:val="en-AU" w:eastAsia="en-AU"/>
                    </w:rPr>
                  </w:pPr>
                  <w:r w:rsidRPr="00453571">
                    <w:rPr>
                      <w:rFonts w:ascii="Public Sans" w:hAnsi="Public Sans" w:cs="Arial"/>
                      <w:sz w:val="16"/>
                      <w:szCs w:val="16"/>
                      <w:lang w:val="en-AU" w:eastAsia="en-AU"/>
                    </w:rPr>
                    <w:t>Nov-13</w:t>
                  </w:r>
                </w:p>
              </w:tc>
              <w:tc>
                <w:tcPr>
                  <w:tcW w:w="1247" w:type="dxa"/>
                  <w:shd w:val="clear" w:color="auto" w:fill="auto"/>
                </w:tcPr>
                <w:p w14:paraId="5DB90835" w14:textId="0AC51E0E" w:rsidR="00CB66F1" w:rsidRPr="00453571" w:rsidRDefault="00522FC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2.2</w:t>
                  </w:r>
                </w:p>
              </w:tc>
              <w:tc>
                <w:tcPr>
                  <w:tcW w:w="1247" w:type="dxa"/>
                  <w:shd w:val="clear" w:color="auto" w:fill="auto"/>
                </w:tcPr>
                <w:p w14:paraId="1E7CB365" w14:textId="07B74C3A" w:rsidR="00CB66F1" w:rsidRPr="00453571" w:rsidRDefault="00522FC6"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AWOTE</w:t>
                  </w:r>
                  <w:r w:rsidR="00746262" w:rsidRPr="00453571">
                    <w:rPr>
                      <w:rFonts w:ascii="Public Sans" w:hAnsi="Public Sans" w:cs="Arial"/>
                      <w:sz w:val="16"/>
                      <w:szCs w:val="16"/>
                      <w:vertAlign w:val="superscript"/>
                      <w:lang w:val="en-AU"/>
                    </w:rPr>
                    <w:t>(</w:t>
                  </w:r>
                  <w:r w:rsidR="00E251A6">
                    <w:rPr>
                      <w:rFonts w:ascii="Public Sans" w:hAnsi="Public Sans" w:cs="Arial"/>
                      <w:sz w:val="16"/>
                      <w:szCs w:val="16"/>
                      <w:vertAlign w:val="superscript"/>
                      <w:lang w:val="en-AU"/>
                    </w:rPr>
                    <w:t>d</w:t>
                  </w:r>
                  <w:r w:rsidR="00746262" w:rsidRPr="00453571">
                    <w:rPr>
                      <w:rFonts w:ascii="Public Sans" w:hAnsi="Public Sans" w:cs="Arial"/>
                      <w:sz w:val="16"/>
                      <w:szCs w:val="16"/>
                      <w:vertAlign w:val="superscript"/>
                      <w:lang w:val="en-AU"/>
                    </w:rPr>
                    <w:t>)</w:t>
                  </w:r>
                  <w:r w:rsidRPr="00453571">
                    <w:rPr>
                      <w:rFonts w:ascii="Public Sans" w:hAnsi="Public Sans" w:cs="Arial"/>
                      <w:sz w:val="16"/>
                      <w:szCs w:val="16"/>
                      <w:lang w:val="en-AU"/>
                    </w:rPr>
                    <w:t>+1.0</w:t>
                  </w:r>
                </w:p>
              </w:tc>
              <w:tc>
                <w:tcPr>
                  <w:tcW w:w="1247" w:type="dxa"/>
                  <w:shd w:val="clear" w:color="auto" w:fill="auto"/>
                </w:tcPr>
                <w:p w14:paraId="30FAF0E0" w14:textId="494648CD" w:rsidR="00CB66F1" w:rsidRPr="00453571" w:rsidRDefault="000F5AD2" w:rsidP="008A54F4">
                  <w:pPr>
                    <w:framePr w:hSpace="180" w:wrap="around" w:vAnchor="text" w:hAnchor="margin" w:y="-59"/>
                    <w:jc w:val="center"/>
                    <w:rPr>
                      <w:rFonts w:ascii="Public Sans" w:hAnsi="Public Sans" w:cs="Arial"/>
                      <w:sz w:val="16"/>
                      <w:szCs w:val="16"/>
                      <w:lang w:val="en-AU"/>
                    </w:rPr>
                  </w:pPr>
                  <w:r>
                    <w:rPr>
                      <w:rFonts w:ascii="Public Sans" w:hAnsi="Public Sans" w:cs="Arial"/>
                      <w:sz w:val="16"/>
                      <w:szCs w:val="16"/>
                      <w:lang w:val="en-AU"/>
                    </w:rPr>
                    <w:t>6.6</w:t>
                  </w:r>
                </w:p>
              </w:tc>
              <w:tc>
                <w:tcPr>
                  <w:tcW w:w="1196" w:type="dxa"/>
                  <w:shd w:val="clear" w:color="auto" w:fill="auto"/>
                </w:tcPr>
                <w:p w14:paraId="25F78A48" w14:textId="40688510" w:rsidR="00CB66F1" w:rsidRPr="00453571" w:rsidRDefault="00F26463" w:rsidP="008A54F4">
                  <w:pPr>
                    <w:framePr w:hSpace="180" w:wrap="around" w:vAnchor="text" w:hAnchor="margin" w:y="-59"/>
                    <w:jc w:val="center"/>
                    <w:rPr>
                      <w:rFonts w:ascii="Public Sans" w:hAnsi="Public Sans" w:cs="Arial"/>
                      <w:sz w:val="16"/>
                      <w:szCs w:val="16"/>
                      <w:lang w:val="en-AU"/>
                    </w:rPr>
                  </w:pPr>
                  <w:r w:rsidRPr="00453571">
                    <w:rPr>
                      <w:rFonts w:ascii="Public Sans" w:hAnsi="Public Sans" w:cs="Arial"/>
                      <w:sz w:val="16"/>
                      <w:szCs w:val="16"/>
                      <w:lang w:val="en-AU"/>
                    </w:rPr>
                    <w:t>6.</w:t>
                  </w:r>
                  <w:r w:rsidR="000F5AD2">
                    <w:rPr>
                      <w:rFonts w:ascii="Public Sans" w:hAnsi="Public Sans" w:cs="Arial"/>
                      <w:sz w:val="16"/>
                      <w:szCs w:val="16"/>
                      <w:lang w:val="en-AU"/>
                    </w:rPr>
                    <w:t>2</w:t>
                  </w:r>
                </w:p>
              </w:tc>
            </w:tr>
          </w:tbl>
          <w:p w14:paraId="0B885E66" w14:textId="77777777" w:rsidR="00522903" w:rsidRPr="00453571" w:rsidRDefault="00522903" w:rsidP="00522903">
            <w:pPr>
              <w:rPr>
                <w:sz w:val="6"/>
                <w:szCs w:val="6"/>
                <w:lang w:val="en-AU"/>
              </w:rPr>
            </w:pPr>
          </w:p>
          <w:p w14:paraId="36A8311F" w14:textId="1DF3FC47" w:rsidR="00E251A6" w:rsidRDefault="00E251A6" w:rsidP="00522903">
            <w:pPr>
              <w:numPr>
                <w:ilvl w:val="0"/>
                <w:numId w:val="2"/>
              </w:numPr>
              <w:ind w:left="357" w:hanging="357"/>
              <w:rPr>
                <w:rFonts w:ascii="Public Sans" w:hAnsi="Public Sans" w:cs="Arial"/>
                <w:sz w:val="16"/>
                <w:szCs w:val="16"/>
                <w:lang w:val="en-AU"/>
              </w:rPr>
            </w:pPr>
            <w:r>
              <w:rPr>
                <w:rFonts w:ascii="Public Sans" w:hAnsi="Public Sans" w:cs="Arial"/>
                <w:sz w:val="16"/>
                <w:szCs w:val="16"/>
                <w:lang w:val="en-AU"/>
              </w:rPr>
              <w:t>To 30 June 2023.</w:t>
            </w:r>
          </w:p>
          <w:p w14:paraId="5CAB3E80" w14:textId="6B9E657C" w:rsidR="00E633F9" w:rsidRPr="00453571" w:rsidRDefault="00E633F9" w:rsidP="00522903">
            <w:pPr>
              <w:numPr>
                <w:ilvl w:val="0"/>
                <w:numId w:val="2"/>
              </w:numPr>
              <w:ind w:left="357" w:hanging="357"/>
              <w:rPr>
                <w:rFonts w:ascii="Public Sans" w:hAnsi="Public Sans" w:cs="Arial"/>
                <w:sz w:val="16"/>
                <w:szCs w:val="16"/>
                <w:lang w:val="en-AU"/>
              </w:rPr>
            </w:pPr>
            <w:r w:rsidRPr="00453571">
              <w:rPr>
                <w:rFonts w:ascii="Public Sans" w:hAnsi="Public Sans" w:cs="Arial"/>
                <w:sz w:val="16"/>
                <w:szCs w:val="16"/>
                <w:lang w:val="en-AU"/>
              </w:rPr>
              <w:t>This does not include cash set aside for debt retirement.</w:t>
            </w:r>
          </w:p>
          <w:p w14:paraId="432E90ED" w14:textId="07625E28" w:rsidR="00E633F9" w:rsidRPr="00453571" w:rsidRDefault="592F358D" w:rsidP="00C659C0">
            <w:pPr>
              <w:numPr>
                <w:ilvl w:val="0"/>
                <w:numId w:val="2"/>
              </w:numPr>
              <w:ind w:left="357" w:hanging="357"/>
              <w:rPr>
                <w:rFonts w:ascii="Public Sans" w:hAnsi="Public Sans" w:cs="Arial"/>
                <w:sz w:val="16"/>
                <w:szCs w:val="16"/>
                <w:lang w:val="en-AU"/>
              </w:rPr>
            </w:pPr>
            <w:r w:rsidRPr="00453571">
              <w:rPr>
                <w:rFonts w:ascii="Public Sans" w:hAnsi="Public Sans" w:cs="Arial"/>
                <w:sz w:val="16"/>
                <w:szCs w:val="16"/>
                <w:lang w:val="en-AU"/>
              </w:rPr>
              <w:t>CPI: Consumer Price Index</w:t>
            </w:r>
            <w:r w:rsidR="00504F03">
              <w:rPr>
                <w:rFonts w:ascii="Public Sans" w:hAnsi="Public Sans" w:cs="Arial"/>
                <w:sz w:val="16"/>
                <w:szCs w:val="16"/>
                <w:lang w:val="en-AU"/>
              </w:rPr>
              <w:t>.</w:t>
            </w:r>
          </w:p>
          <w:p w14:paraId="5CDCD9AE" w14:textId="4C021813" w:rsidR="00E633F9" w:rsidRPr="00504F03" w:rsidRDefault="592F358D" w:rsidP="00C659C0">
            <w:pPr>
              <w:numPr>
                <w:ilvl w:val="0"/>
                <w:numId w:val="2"/>
              </w:numPr>
              <w:ind w:left="357" w:hanging="357"/>
              <w:rPr>
                <w:lang w:val="en-AU"/>
              </w:rPr>
            </w:pPr>
            <w:r w:rsidRPr="00453571">
              <w:rPr>
                <w:rFonts w:ascii="Public Sans" w:hAnsi="Public Sans" w:cs="Arial"/>
                <w:sz w:val="16"/>
                <w:szCs w:val="16"/>
                <w:lang w:val="en-AU"/>
              </w:rPr>
              <w:t>AWOTE: Average Weekly Ordinary Time Earnings (AWOTE), this reflects increases in wage inflation</w:t>
            </w:r>
            <w:r w:rsidR="00504F03">
              <w:rPr>
                <w:rFonts w:ascii="Public Sans" w:hAnsi="Public Sans" w:cs="Arial"/>
                <w:sz w:val="16"/>
                <w:szCs w:val="16"/>
                <w:lang w:val="en-AU"/>
              </w:rPr>
              <w:t>.</w:t>
            </w:r>
          </w:p>
        </w:tc>
      </w:tr>
      <w:tr w:rsidR="006B0EC1" w:rsidRPr="00B95392" w14:paraId="01DB230C" w14:textId="77777777" w:rsidTr="00D64AA4">
        <w:tc>
          <w:tcPr>
            <w:tcW w:w="9840" w:type="dxa"/>
            <w:shd w:val="clear" w:color="auto" w:fill="F2F2F2" w:themeFill="background1" w:themeFillShade="F2"/>
          </w:tcPr>
          <w:p w14:paraId="0C67B6C4" w14:textId="77777777" w:rsidR="006B0EC1" w:rsidRPr="00453571" w:rsidRDefault="006B0EC1" w:rsidP="00592A73">
            <w:pPr>
              <w:rPr>
                <w:lang w:val="en-AU"/>
              </w:rPr>
            </w:pPr>
          </w:p>
        </w:tc>
      </w:tr>
    </w:tbl>
    <w:p w14:paraId="6A3B9081" w14:textId="77777777" w:rsidR="00DC6754" w:rsidRPr="00453571" w:rsidRDefault="00DC6754" w:rsidP="008C02D9">
      <w:pPr>
        <w:rPr>
          <w:lang w:val="en-AU"/>
        </w:rPr>
      </w:pPr>
    </w:p>
    <w:p w14:paraId="241C75CD" w14:textId="3E7120F6" w:rsidR="000D3890" w:rsidRPr="00204CB9" w:rsidRDefault="004C4323" w:rsidP="00886370">
      <w:pPr>
        <w:pStyle w:val="BodyText"/>
      </w:pPr>
      <w:r>
        <w:t xml:space="preserve">Financial assets at fair value are projected to grow to </w:t>
      </w:r>
      <w:r w:rsidRPr="00204CB9">
        <w:t>$</w:t>
      </w:r>
      <w:r w:rsidR="001659BF" w:rsidRPr="00204CB9">
        <w:t>69.6</w:t>
      </w:r>
      <w:r w:rsidRPr="00204CB9">
        <w:t xml:space="preserve"> billion by June 202</w:t>
      </w:r>
      <w:r w:rsidR="00B615A4" w:rsidRPr="00204CB9">
        <w:t>7</w:t>
      </w:r>
      <w:r w:rsidRPr="00204CB9">
        <w:t xml:space="preserve">, supported by </w:t>
      </w:r>
      <w:r w:rsidR="00E251A6" w:rsidRPr="00204CB9">
        <w:t xml:space="preserve">the </w:t>
      </w:r>
      <w:r w:rsidRPr="00204CB9">
        <w:t>growth in the State’s investment funds over the budget and forward estimates</w:t>
      </w:r>
      <w:r w:rsidR="003B7177" w:rsidRPr="00204CB9">
        <w:t>.</w:t>
      </w:r>
    </w:p>
    <w:p w14:paraId="596B054C" w14:textId="6DAC8DC3" w:rsidR="000D3890" w:rsidRDefault="00E878F8" w:rsidP="00886370">
      <w:pPr>
        <w:pStyle w:val="BodyText"/>
      </w:pPr>
      <w:r w:rsidRPr="00204CB9">
        <w:t xml:space="preserve">Other financial assets included in the calculation of net debt include cash and cash equivalents. </w:t>
      </w:r>
      <w:r w:rsidR="00271A29" w:rsidRPr="00204CB9">
        <w:t>C</w:t>
      </w:r>
      <w:r w:rsidRPr="00204CB9">
        <w:t xml:space="preserve">ash and cash equivalents </w:t>
      </w:r>
      <w:r w:rsidR="003812A3" w:rsidRPr="00204CB9">
        <w:t>totalled</w:t>
      </w:r>
      <w:r w:rsidR="00E45B37" w:rsidRPr="00204CB9">
        <w:t xml:space="preserve"> </w:t>
      </w:r>
      <w:r w:rsidRPr="00204CB9">
        <w:t>$</w:t>
      </w:r>
      <w:r w:rsidR="00470C8C" w:rsidRPr="00204CB9">
        <w:t>6</w:t>
      </w:r>
      <w:r w:rsidR="00E45B37" w:rsidRPr="00204CB9">
        <w:t>.</w:t>
      </w:r>
      <w:r w:rsidR="00470C8C" w:rsidRPr="00204CB9">
        <w:t>3</w:t>
      </w:r>
      <w:r w:rsidRPr="00204CB9">
        <w:t xml:space="preserve"> billion at June 202</w:t>
      </w:r>
      <w:r w:rsidR="00E45B37" w:rsidRPr="00204CB9">
        <w:t>3, $</w:t>
      </w:r>
      <w:r w:rsidR="00C27D87" w:rsidRPr="00204CB9">
        <w:t>6</w:t>
      </w:r>
      <w:r w:rsidR="00E45B37" w:rsidRPr="00204CB9">
        <w:t>.</w:t>
      </w:r>
      <w:r w:rsidR="00C27D87" w:rsidRPr="00204CB9">
        <w:t>1</w:t>
      </w:r>
      <w:r w:rsidR="00E45B37" w:rsidRPr="00204CB9">
        <w:t xml:space="preserve"> </w:t>
      </w:r>
      <w:r w:rsidR="00271A29" w:rsidRPr="00204CB9">
        <w:t xml:space="preserve">billion higher than </w:t>
      </w:r>
      <w:r w:rsidR="00842D80" w:rsidRPr="00204CB9">
        <w:t xml:space="preserve">projected in </w:t>
      </w:r>
      <w:r w:rsidR="00271A29" w:rsidRPr="00204CB9">
        <w:t xml:space="preserve">the 2023 </w:t>
      </w:r>
      <w:r w:rsidR="00450C02" w:rsidRPr="00204CB9">
        <w:t>Pre-election Budget Update</w:t>
      </w:r>
      <w:r w:rsidRPr="00204CB9">
        <w:t xml:space="preserve">. This </w:t>
      </w:r>
      <w:r w:rsidR="00E6594E" w:rsidRPr="00204CB9">
        <w:t xml:space="preserve">high cash balance </w:t>
      </w:r>
      <w:r w:rsidR="006A7B87" w:rsidRPr="00204CB9">
        <w:t>is</w:t>
      </w:r>
      <w:r w:rsidR="00E6594E" w:rsidRPr="00204CB9">
        <w:t xml:space="preserve"> to meet the cash payment</w:t>
      </w:r>
      <w:r w:rsidR="00107770" w:rsidRPr="00204CB9">
        <w:t>s</w:t>
      </w:r>
      <w:r w:rsidR="00E6594E" w:rsidRPr="00204CB9">
        <w:t xml:space="preserve"> in July 2023</w:t>
      </w:r>
      <w:r w:rsidR="003812A3" w:rsidRPr="00204CB9">
        <w:t>.</w:t>
      </w:r>
      <w:r w:rsidR="000961B4" w:rsidRPr="00204CB9">
        <w:t xml:space="preserve"> </w:t>
      </w:r>
      <w:r w:rsidR="00937650" w:rsidRPr="00204CB9">
        <w:t>Cash and cash equivalents will decrease to $</w:t>
      </w:r>
      <w:r w:rsidR="00107770" w:rsidRPr="00204CB9">
        <w:t>263 million</w:t>
      </w:r>
      <w:r w:rsidR="00937650" w:rsidRPr="00204CB9">
        <w:t xml:space="preserve"> by June</w:t>
      </w:r>
      <w:r w:rsidR="00A56B64" w:rsidRPr="00204CB9">
        <w:t> </w:t>
      </w:r>
      <w:r w:rsidR="00937650" w:rsidRPr="00204CB9">
        <w:t>2027</w:t>
      </w:r>
      <w:r w:rsidR="000723C8" w:rsidRPr="00204CB9">
        <w:t xml:space="preserve"> </w:t>
      </w:r>
      <w:r w:rsidR="00204102" w:rsidRPr="00204CB9">
        <w:t xml:space="preserve">in line with the more efficient management </w:t>
      </w:r>
      <w:r w:rsidR="00D62730" w:rsidRPr="00204CB9">
        <w:t>of the State’s cash balance</w:t>
      </w:r>
      <w:r w:rsidR="00937650" w:rsidRPr="00204CB9">
        <w:t>.</w:t>
      </w:r>
      <w:r w:rsidR="00442679" w:rsidRPr="00204CB9">
        <w:rPr>
          <w:rStyle w:val="FootnoteReference"/>
        </w:rPr>
        <w:footnoteReference w:id="3"/>
      </w:r>
    </w:p>
    <w:p w14:paraId="7649E8A3" w14:textId="77777777" w:rsidR="009A3CB5" w:rsidRDefault="009A3CB5">
      <w:pPr>
        <w:rPr>
          <w:rFonts w:ascii="Public Sans SemiBold" w:hAnsi="Public Sans SemiBold"/>
          <w:b/>
          <w:color w:val="22272B"/>
          <w:kern w:val="28"/>
          <w:sz w:val="26"/>
          <w:szCs w:val="36"/>
          <w:lang w:val="en-AU"/>
        </w:rPr>
      </w:pPr>
      <w:r w:rsidRPr="00453571">
        <w:rPr>
          <w:lang w:val="en-AU"/>
        </w:rPr>
        <w:br w:type="page"/>
      </w:r>
    </w:p>
    <w:p w14:paraId="0D97687F" w14:textId="08CB3200" w:rsidR="00A607B6" w:rsidRPr="00B95392" w:rsidRDefault="00A607B6" w:rsidP="00A607B6">
      <w:pPr>
        <w:pStyle w:val="Heading3"/>
      </w:pPr>
      <w:r w:rsidRPr="00B95392">
        <w:lastRenderedPageBreak/>
        <w:t xml:space="preserve">Financial liabilities included in net </w:t>
      </w:r>
      <w:proofErr w:type="gramStart"/>
      <w:r w:rsidRPr="00B95392">
        <w:t>debt</w:t>
      </w:r>
      <w:proofErr w:type="gramEnd"/>
      <w:r w:rsidRPr="00B95392">
        <w:t xml:space="preserve"> </w:t>
      </w:r>
    </w:p>
    <w:p w14:paraId="79A10CC3" w14:textId="09A1CBB3" w:rsidR="00D53BC9" w:rsidRPr="00204CB9" w:rsidRDefault="00D53BC9" w:rsidP="00886370">
      <w:pPr>
        <w:pStyle w:val="BodyText"/>
      </w:pPr>
      <w:r w:rsidRPr="0003377D">
        <w:t xml:space="preserve">Financial liabilities included in the calculation of net debt </w:t>
      </w:r>
      <w:r w:rsidR="001D5657">
        <w:t>were</w:t>
      </w:r>
      <w:r w:rsidRPr="0003377D">
        <w:t xml:space="preserve"> </w:t>
      </w:r>
      <w:r w:rsidRPr="00204CB9">
        <w:t>$</w:t>
      </w:r>
      <w:r w:rsidR="0081019C" w:rsidRPr="00204CB9">
        <w:t>132</w:t>
      </w:r>
      <w:r w:rsidR="00842D80" w:rsidRPr="00204CB9">
        <w:t>.</w:t>
      </w:r>
      <w:r w:rsidR="0081019C" w:rsidRPr="00204CB9">
        <w:t>9</w:t>
      </w:r>
      <w:r w:rsidRPr="00204CB9">
        <w:t xml:space="preserve"> billion at June 202</w:t>
      </w:r>
      <w:r w:rsidR="00842D80" w:rsidRPr="00204CB9">
        <w:t>3</w:t>
      </w:r>
      <w:r w:rsidRPr="00204CB9">
        <w:t>. These liabilities include borrowings (including leases), advances received</w:t>
      </w:r>
      <w:r w:rsidR="00AD2815" w:rsidRPr="00204CB9">
        <w:rPr>
          <w:rStyle w:val="FootnoteReference"/>
        </w:rPr>
        <w:footnoteReference w:id="4"/>
      </w:r>
      <w:r w:rsidRPr="00204CB9">
        <w:t>, and deposits held</w:t>
      </w:r>
      <w:r w:rsidR="005D57AF" w:rsidRPr="00204CB9">
        <w:rPr>
          <w:rStyle w:val="FootnoteReference"/>
        </w:rPr>
        <w:footnoteReference w:id="5"/>
      </w:r>
      <w:r w:rsidRPr="00204CB9">
        <w:t>.</w:t>
      </w:r>
    </w:p>
    <w:p w14:paraId="52C9BF07" w14:textId="1353C154" w:rsidR="006F6538" w:rsidRPr="0003377D" w:rsidRDefault="00842D80" w:rsidP="00886370">
      <w:pPr>
        <w:pStyle w:val="BodyText"/>
      </w:pPr>
      <w:r w:rsidRPr="00204CB9">
        <w:t>B</w:t>
      </w:r>
      <w:r w:rsidR="00D53BC9" w:rsidRPr="00204CB9">
        <w:t xml:space="preserve">orrowings at amortised cost </w:t>
      </w:r>
      <w:proofErr w:type="gramStart"/>
      <w:r w:rsidR="007D3683" w:rsidRPr="00204CB9">
        <w:t>at</w:t>
      </w:r>
      <w:proofErr w:type="gramEnd"/>
      <w:r w:rsidR="007D3683" w:rsidRPr="00204CB9">
        <w:t xml:space="preserve"> June 2023</w:t>
      </w:r>
      <w:r w:rsidR="00D53BC9" w:rsidRPr="00204CB9">
        <w:t xml:space="preserve"> ha</w:t>
      </w:r>
      <w:r w:rsidR="00BB4A44" w:rsidRPr="00204CB9">
        <w:t>ve</w:t>
      </w:r>
      <w:r w:rsidR="00D53BC9" w:rsidRPr="00204CB9">
        <w:t xml:space="preserve"> </w:t>
      </w:r>
      <w:r w:rsidR="004B3FF0" w:rsidRPr="00204CB9">
        <w:t>in</w:t>
      </w:r>
      <w:r w:rsidR="00D53BC9" w:rsidRPr="00204CB9">
        <w:t>creased by $</w:t>
      </w:r>
      <w:r w:rsidR="00FD18AB" w:rsidRPr="00204CB9">
        <w:t>3</w:t>
      </w:r>
      <w:r w:rsidRPr="00204CB9">
        <w:t>.</w:t>
      </w:r>
      <w:r w:rsidR="00FD18AB" w:rsidRPr="00204CB9">
        <w:t>4</w:t>
      </w:r>
      <w:r w:rsidR="00D53BC9" w:rsidRPr="00204CB9">
        <w:t xml:space="preserve"> billion</w:t>
      </w:r>
      <w:r w:rsidR="00D53BC9" w:rsidRPr="0003377D">
        <w:t xml:space="preserve"> since </w:t>
      </w:r>
      <w:r w:rsidRPr="0003377D">
        <w:t>the 2023</w:t>
      </w:r>
      <w:r w:rsidR="00756307">
        <w:t> </w:t>
      </w:r>
      <w:r w:rsidR="00450C02">
        <w:t>Pre</w:t>
      </w:r>
      <w:r w:rsidR="00D472F0">
        <w:noBreakHyphen/>
      </w:r>
      <w:r w:rsidR="00450C02">
        <w:t>election Budget Update</w:t>
      </w:r>
      <w:r w:rsidR="00D53BC9" w:rsidRPr="0003377D">
        <w:t xml:space="preserve">. This </w:t>
      </w:r>
      <w:r w:rsidR="004B3FF0">
        <w:t>in</w:t>
      </w:r>
      <w:r w:rsidR="00063A56">
        <w:t>crease</w:t>
      </w:r>
      <w:r w:rsidR="00D53BC9">
        <w:t xml:space="preserve"> </w:t>
      </w:r>
      <w:r w:rsidR="00B36538">
        <w:t>was</w:t>
      </w:r>
      <w:r w:rsidR="00D53BC9" w:rsidRPr="0003377D">
        <w:t xml:space="preserve"> primarily driven by a </w:t>
      </w:r>
      <w:r w:rsidR="00D53BC9" w:rsidRPr="00FE4AD0">
        <w:t>$</w:t>
      </w:r>
      <w:r w:rsidR="004B3FF0" w:rsidRPr="00FE4AD0">
        <w:t>5.0</w:t>
      </w:r>
      <w:r w:rsidR="00D53BC9" w:rsidRPr="0003377D">
        <w:t xml:space="preserve"> billion </w:t>
      </w:r>
      <w:r w:rsidR="004B3FF0" w:rsidRPr="00FE4AD0">
        <w:t>in</w:t>
      </w:r>
      <w:r w:rsidR="00D53BC9" w:rsidRPr="00FE4AD0">
        <w:t>crease</w:t>
      </w:r>
      <w:r w:rsidR="00D53BC9" w:rsidRPr="0003377D">
        <w:t xml:space="preserve"> in new borrowings in 202</w:t>
      </w:r>
      <w:r w:rsidRPr="0003377D">
        <w:t>2</w:t>
      </w:r>
      <w:r w:rsidR="00D53BC9" w:rsidRPr="0003377D">
        <w:t>-2</w:t>
      </w:r>
      <w:r w:rsidRPr="0003377D">
        <w:t>3</w:t>
      </w:r>
      <w:r w:rsidR="00B36538">
        <w:t xml:space="preserve"> due to </w:t>
      </w:r>
      <w:r w:rsidR="00681B50">
        <w:t xml:space="preserve">bringing forward </w:t>
      </w:r>
      <w:r w:rsidR="00B36538">
        <w:t xml:space="preserve">funding </w:t>
      </w:r>
      <w:r w:rsidR="00681B50">
        <w:t>required in</w:t>
      </w:r>
      <w:r w:rsidR="00B36538">
        <w:t xml:space="preserve"> the </w:t>
      </w:r>
      <w:r w:rsidR="00681B50">
        <w:t>next</w:t>
      </w:r>
      <w:r w:rsidR="007B059B">
        <w:t xml:space="preserve"> financial year</w:t>
      </w:r>
      <w:r w:rsidR="00B36538">
        <w:t>.</w:t>
      </w:r>
      <w:r w:rsidR="002A2EC3">
        <w:t xml:space="preserve"> </w:t>
      </w:r>
      <w:r w:rsidR="00EE6504">
        <w:t xml:space="preserve">This was one of </w:t>
      </w:r>
      <w:proofErr w:type="gramStart"/>
      <w:r w:rsidR="00EE6504">
        <w:t>a number of</w:t>
      </w:r>
      <w:proofErr w:type="gramEnd"/>
      <w:r w:rsidR="00EE6504">
        <w:t xml:space="preserve"> factors that has</w:t>
      </w:r>
      <w:r w:rsidR="00794C8A">
        <w:t xml:space="preserve"> reduce</w:t>
      </w:r>
      <w:r w:rsidR="00EE6504">
        <w:t>d</w:t>
      </w:r>
      <w:r w:rsidR="00517FF5">
        <w:t xml:space="preserve"> the </w:t>
      </w:r>
      <w:r w:rsidR="00794C8A">
        <w:t>2023-24</w:t>
      </w:r>
      <w:r w:rsidR="00517FF5">
        <w:t xml:space="preserve"> Crown</w:t>
      </w:r>
      <w:r w:rsidR="002F748C">
        <w:t>’s forecast</w:t>
      </w:r>
      <w:r w:rsidR="00517FF5">
        <w:t xml:space="preserve"> borrowings from $23.2</w:t>
      </w:r>
      <w:r w:rsidR="00872238">
        <w:t> </w:t>
      </w:r>
      <w:r w:rsidR="00517FF5">
        <w:t xml:space="preserve">billion at the 2023 Pre-election Budget Update </w:t>
      </w:r>
      <w:r w:rsidR="00517FF5" w:rsidRPr="00204CB9">
        <w:t>to $1</w:t>
      </w:r>
      <w:r w:rsidR="00204CB9" w:rsidRPr="00204CB9">
        <w:t>1</w:t>
      </w:r>
      <w:r w:rsidR="00517FF5" w:rsidRPr="00204CB9">
        <w:t>.</w:t>
      </w:r>
      <w:r w:rsidR="00204CB9" w:rsidRPr="00204CB9">
        <w:t>6</w:t>
      </w:r>
      <w:r w:rsidR="00517FF5" w:rsidRPr="00204CB9">
        <w:t xml:space="preserve"> billion</w:t>
      </w:r>
      <w:r w:rsidR="00517FF5">
        <w:t xml:space="preserve"> in this Budget</w:t>
      </w:r>
      <w:r w:rsidR="00794C8A">
        <w:t>.</w:t>
      </w:r>
    </w:p>
    <w:p w14:paraId="420797BA" w14:textId="7178693C" w:rsidR="00522903" w:rsidRPr="00292529" w:rsidRDefault="006F6538" w:rsidP="00886370">
      <w:pPr>
        <w:pStyle w:val="BodyText"/>
      </w:pPr>
      <w:r w:rsidRPr="00292529">
        <w:t xml:space="preserve">Key balance sheet movements since the 2023 Pre-election Budget Update </w:t>
      </w:r>
      <w:r w:rsidR="00315248" w:rsidRPr="00292529">
        <w:t xml:space="preserve">are shown </w:t>
      </w:r>
      <w:r w:rsidR="007D3683" w:rsidRPr="00292529">
        <w:t>in Table</w:t>
      </w:r>
      <w:r w:rsidR="00573554" w:rsidRPr="00292529">
        <w:t> </w:t>
      </w:r>
      <w:r w:rsidRPr="00292529">
        <w:t>6.</w:t>
      </w:r>
      <w:r w:rsidR="00BE4CD4" w:rsidRPr="00292529">
        <w:t>2</w:t>
      </w:r>
      <w:r w:rsidR="00315248" w:rsidRPr="00292529">
        <w:t xml:space="preserve">. </w:t>
      </w:r>
    </w:p>
    <w:p w14:paraId="34B2C367" w14:textId="77777777" w:rsidR="006F6538" w:rsidRPr="00292529" w:rsidRDefault="006F6538" w:rsidP="006F6538">
      <w:pPr>
        <w:pStyle w:val="Table6X"/>
      </w:pPr>
      <w:r w:rsidRPr="00292529">
        <w:t>Key balance sheet aggregates of the general government sector</w:t>
      </w:r>
    </w:p>
    <w:tbl>
      <w:tblPr>
        <w:tblW w:w="9639" w:type="dxa"/>
        <w:tblLayout w:type="fixed"/>
        <w:tblLook w:val="04A0" w:firstRow="1" w:lastRow="0" w:firstColumn="1" w:lastColumn="0" w:noHBand="0" w:noVBand="1"/>
        <w:tblCaption w:val="Table 6.2: Key balance sheet aggregates of the general government sector"/>
        <w:tblDescription w:val="Table 6.2: Key balance sheet aggregates of the general government sector"/>
      </w:tblPr>
      <w:tblGrid>
        <w:gridCol w:w="2694"/>
        <w:gridCol w:w="1157"/>
        <w:gridCol w:w="1158"/>
        <w:gridCol w:w="1157"/>
        <w:gridCol w:w="1158"/>
        <w:gridCol w:w="1157"/>
        <w:gridCol w:w="1158"/>
      </w:tblGrid>
      <w:tr w:rsidR="000F21D1" w:rsidRPr="000F21D1" w14:paraId="068119EC" w14:textId="77777777" w:rsidTr="008A54F4">
        <w:trPr>
          <w:trHeight w:val="283"/>
        </w:trPr>
        <w:tc>
          <w:tcPr>
            <w:tcW w:w="2694" w:type="dxa"/>
            <w:tcBorders>
              <w:top w:val="nil"/>
              <w:left w:val="nil"/>
              <w:bottom w:val="nil"/>
              <w:right w:val="nil"/>
            </w:tcBorders>
            <w:shd w:val="clear" w:color="auto" w:fill="EBEBEB"/>
            <w:noWrap/>
            <w:hideMark/>
          </w:tcPr>
          <w:p w14:paraId="48FF1265" w14:textId="77777777" w:rsidR="006F6538" w:rsidRPr="00453571" w:rsidRDefault="006F6538" w:rsidP="002B3B96">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 </w:t>
            </w:r>
          </w:p>
        </w:tc>
        <w:tc>
          <w:tcPr>
            <w:tcW w:w="1157" w:type="dxa"/>
            <w:tcBorders>
              <w:top w:val="nil"/>
              <w:left w:val="nil"/>
              <w:bottom w:val="nil"/>
              <w:right w:val="nil"/>
            </w:tcBorders>
            <w:shd w:val="clear" w:color="auto" w:fill="EBEBEB"/>
            <w:noWrap/>
            <w:vAlign w:val="bottom"/>
            <w:hideMark/>
          </w:tcPr>
          <w:p w14:paraId="7C718D92"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2022</w:t>
            </w:r>
          </w:p>
        </w:tc>
        <w:tc>
          <w:tcPr>
            <w:tcW w:w="1158" w:type="dxa"/>
            <w:tcBorders>
              <w:top w:val="nil"/>
              <w:left w:val="nil"/>
              <w:bottom w:val="nil"/>
              <w:right w:val="nil"/>
            </w:tcBorders>
            <w:shd w:val="clear" w:color="auto" w:fill="EBEBEB"/>
            <w:noWrap/>
            <w:vAlign w:val="bottom"/>
            <w:hideMark/>
          </w:tcPr>
          <w:p w14:paraId="2B5114EC"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2023</w:t>
            </w:r>
          </w:p>
        </w:tc>
        <w:tc>
          <w:tcPr>
            <w:tcW w:w="1157" w:type="dxa"/>
            <w:tcBorders>
              <w:top w:val="nil"/>
              <w:left w:val="nil"/>
              <w:bottom w:val="nil"/>
              <w:right w:val="nil"/>
            </w:tcBorders>
            <w:shd w:val="clear" w:color="auto" w:fill="EBEBEB"/>
            <w:noWrap/>
            <w:vAlign w:val="bottom"/>
            <w:hideMark/>
          </w:tcPr>
          <w:p w14:paraId="609C7760"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2024</w:t>
            </w:r>
          </w:p>
        </w:tc>
        <w:tc>
          <w:tcPr>
            <w:tcW w:w="1158" w:type="dxa"/>
            <w:tcBorders>
              <w:top w:val="nil"/>
              <w:left w:val="nil"/>
              <w:bottom w:val="nil"/>
              <w:right w:val="nil"/>
            </w:tcBorders>
            <w:shd w:val="clear" w:color="auto" w:fill="EBEBEB"/>
            <w:noWrap/>
            <w:vAlign w:val="bottom"/>
            <w:hideMark/>
          </w:tcPr>
          <w:p w14:paraId="6D9C8F50"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2025</w:t>
            </w:r>
          </w:p>
        </w:tc>
        <w:tc>
          <w:tcPr>
            <w:tcW w:w="1157" w:type="dxa"/>
            <w:tcBorders>
              <w:top w:val="nil"/>
              <w:left w:val="nil"/>
              <w:bottom w:val="nil"/>
              <w:right w:val="nil"/>
            </w:tcBorders>
            <w:shd w:val="clear" w:color="auto" w:fill="EBEBEB"/>
            <w:noWrap/>
            <w:vAlign w:val="bottom"/>
            <w:hideMark/>
          </w:tcPr>
          <w:p w14:paraId="2A32F06B"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2026</w:t>
            </w:r>
          </w:p>
        </w:tc>
        <w:tc>
          <w:tcPr>
            <w:tcW w:w="1158" w:type="dxa"/>
            <w:tcBorders>
              <w:top w:val="nil"/>
              <w:left w:val="nil"/>
              <w:bottom w:val="nil"/>
              <w:right w:val="nil"/>
            </w:tcBorders>
            <w:shd w:val="clear" w:color="auto" w:fill="EBEBEB"/>
            <w:noWrap/>
            <w:vAlign w:val="bottom"/>
            <w:hideMark/>
          </w:tcPr>
          <w:p w14:paraId="7F3DF230"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June 2027</w:t>
            </w:r>
          </w:p>
        </w:tc>
      </w:tr>
      <w:tr w:rsidR="000F21D1" w:rsidRPr="000F21D1" w14:paraId="323AC353" w14:textId="77777777" w:rsidTr="008A54F4">
        <w:trPr>
          <w:trHeight w:val="227"/>
        </w:trPr>
        <w:tc>
          <w:tcPr>
            <w:tcW w:w="2694" w:type="dxa"/>
            <w:tcBorders>
              <w:top w:val="nil"/>
              <w:left w:val="nil"/>
              <w:bottom w:val="nil"/>
              <w:right w:val="nil"/>
            </w:tcBorders>
            <w:shd w:val="clear" w:color="auto" w:fill="EBEBEB"/>
            <w:noWrap/>
          </w:tcPr>
          <w:p w14:paraId="21CC173A" w14:textId="77777777" w:rsidR="006F6538" w:rsidRPr="00453571" w:rsidRDefault="006F6538" w:rsidP="002B3B96">
            <w:pPr>
              <w:jc w:val="center"/>
              <w:rPr>
                <w:rFonts w:ascii="Public Sans" w:hAnsi="Public Sans" w:cs="Arial"/>
                <w:sz w:val="16"/>
                <w:szCs w:val="16"/>
                <w:lang w:val="en-AU" w:eastAsia="en-AU"/>
              </w:rPr>
            </w:pPr>
          </w:p>
        </w:tc>
        <w:tc>
          <w:tcPr>
            <w:tcW w:w="1157" w:type="dxa"/>
            <w:tcBorders>
              <w:top w:val="nil"/>
              <w:left w:val="nil"/>
              <w:bottom w:val="nil"/>
              <w:right w:val="nil"/>
            </w:tcBorders>
            <w:shd w:val="clear" w:color="auto" w:fill="EBEBEB"/>
            <w:noWrap/>
          </w:tcPr>
          <w:p w14:paraId="2DA3D128"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Actual</w:t>
            </w:r>
          </w:p>
        </w:tc>
        <w:tc>
          <w:tcPr>
            <w:tcW w:w="1158" w:type="dxa"/>
            <w:tcBorders>
              <w:top w:val="nil"/>
              <w:left w:val="nil"/>
              <w:bottom w:val="nil"/>
              <w:right w:val="nil"/>
            </w:tcBorders>
            <w:shd w:val="clear" w:color="auto" w:fill="EBEBEB"/>
            <w:noWrap/>
          </w:tcPr>
          <w:p w14:paraId="009BB125" w14:textId="21B6F028" w:rsidR="006F6538" w:rsidRPr="00453571" w:rsidRDefault="00175036"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 xml:space="preserve">Est. </w:t>
            </w:r>
            <w:r w:rsidR="006F6538" w:rsidRPr="00453571">
              <w:rPr>
                <w:rFonts w:ascii="Public Sans" w:hAnsi="Public Sans" w:cs="Arial"/>
                <w:sz w:val="16"/>
                <w:szCs w:val="16"/>
                <w:lang w:val="en-AU" w:eastAsia="en-AU"/>
              </w:rPr>
              <w:t>Actual</w:t>
            </w:r>
          </w:p>
        </w:tc>
        <w:tc>
          <w:tcPr>
            <w:tcW w:w="1157" w:type="dxa"/>
            <w:tcBorders>
              <w:top w:val="nil"/>
              <w:left w:val="nil"/>
              <w:right w:val="nil"/>
            </w:tcBorders>
            <w:shd w:val="clear" w:color="auto" w:fill="EBEBEB"/>
            <w:noWrap/>
          </w:tcPr>
          <w:p w14:paraId="6FE78219"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Budget</w:t>
            </w:r>
          </w:p>
        </w:tc>
        <w:tc>
          <w:tcPr>
            <w:tcW w:w="3473" w:type="dxa"/>
            <w:gridSpan w:val="3"/>
            <w:tcBorders>
              <w:top w:val="nil"/>
              <w:left w:val="nil"/>
              <w:right w:val="nil"/>
            </w:tcBorders>
            <w:shd w:val="clear" w:color="auto" w:fill="EBEBEB"/>
            <w:noWrap/>
          </w:tcPr>
          <w:p w14:paraId="1F76F8FD" w14:textId="77777777" w:rsidR="006F6538" w:rsidRPr="00453571" w:rsidRDefault="006F6538" w:rsidP="008A54F4">
            <w:pPr>
              <w:jc w:val="center"/>
              <w:rPr>
                <w:rFonts w:ascii="Public Sans" w:hAnsi="Public Sans" w:cs="Arial"/>
                <w:sz w:val="16"/>
                <w:szCs w:val="16"/>
                <w:lang w:val="en-AU" w:eastAsia="en-AU"/>
              </w:rPr>
            </w:pPr>
            <w:r w:rsidRPr="00453571">
              <w:rPr>
                <w:rFonts w:ascii="Public Sans" w:hAnsi="Public Sans" w:cs="Arial"/>
                <w:sz w:val="16"/>
                <w:szCs w:val="16"/>
                <w:lang w:val="en-AU" w:eastAsia="en-AU"/>
              </w:rPr>
              <w:t>Forward Estimates</w:t>
            </w:r>
          </w:p>
        </w:tc>
      </w:tr>
      <w:tr w:rsidR="006F6538" w:rsidRPr="000F21D1" w14:paraId="46885092" w14:textId="77777777" w:rsidTr="000F21D1">
        <w:trPr>
          <w:trHeight w:val="203"/>
        </w:trPr>
        <w:tc>
          <w:tcPr>
            <w:tcW w:w="2694" w:type="dxa"/>
            <w:tcBorders>
              <w:top w:val="nil"/>
              <w:left w:val="nil"/>
              <w:bottom w:val="nil"/>
              <w:right w:val="nil"/>
            </w:tcBorders>
            <w:shd w:val="clear" w:color="000000" w:fill="FFFFFF"/>
            <w:noWrap/>
            <w:vAlign w:val="center"/>
            <w:hideMark/>
          </w:tcPr>
          <w:p w14:paraId="13641096"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Total Assets ($m)</w:t>
            </w:r>
          </w:p>
        </w:tc>
        <w:tc>
          <w:tcPr>
            <w:tcW w:w="1157" w:type="dxa"/>
            <w:tcBorders>
              <w:top w:val="nil"/>
              <w:left w:val="nil"/>
              <w:bottom w:val="nil"/>
              <w:right w:val="nil"/>
            </w:tcBorders>
            <w:shd w:val="clear" w:color="000000" w:fill="FFFFFF"/>
            <w:noWrap/>
            <w:hideMark/>
          </w:tcPr>
          <w:p w14:paraId="00DCFE46" w14:textId="4CFEE48A"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510,549</w:t>
            </w:r>
          </w:p>
        </w:tc>
        <w:tc>
          <w:tcPr>
            <w:tcW w:w="1158" w:type="dxa"/>
            <w:tcBorders>
              <w:top w:val="nil"/>
              <w:left w:val="nil"/>
              <w:bottom w:val="nil"/>
              <w:right w:val="nil"/>
            </w:tcBorders>
            <w:shd w:val="clear" w:color="000000" w:fill="FFFFFF"/>
            <w:noWrap/>
            <w:hideMark/>
          </w:tcPr>
          <w:p w14:paraId="39136440" w14:textId="329BD28F"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574,325</w:t>
            </w:r>
          </w:p>
        </w:tc>
        <w:tc>
          <w:tcPr>
            <w:tcW w:w="1157" w:type="dxa"/>
            <w:tcBorders>
              <w:top w:val="nil"/>
              <w:left w:val="nil"/>
              <w:bottom w:val="nil"/>
              <w:right w:val="nil"/>
            </w:tcBorders>
            <w:shd w:val="pct5" w:color="000000" w:fill="auto"/>
            <w:noWrap/>
            <w:hideMark/>
          </w:tcPr>
          <w:p w14:paraId="37F9B428" w14:textId="7DF00D91"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584,</w:t>
            </w:r>
            <w:r w:rsidR="001D4820" w:rsidRPr="00965AC8">
              <w:rPr>
                <w:rFonts w:ascii="Public Sans" w:eastAsiaTheme="minorHAnsi" w:hAnsi="Public Sans" w:cs="Arial"/>
                <w:color w:val="000000"/>
                <w:sz w:val="16"/>
                <w:szCs w:val="16"/>
                <w:lang w:val="en-AU"/>
              </w:rPr>
              <w:t>618</w:t>
            </w:r>
          </w:p>
        </w:tc>
        <w:tc>
          <w:tcPr>
            <w:tcW w:w="1158" w:type="dxa"/>
            <w:tcBorders>
              <w:top w:val="nil"/>
              <w:left w:val="nil"/>
              <w:bottom w:val="nil"/>
              <w:right w:val="nil"/>
            </w:tcBorders>
            <w:shd w:val="pct5" w:color="000000" w:fill="auto"/>
            <w:noWrap/>
            <w:hideMark/>
          </w:tcPr>
          <w:p w14:paraId="01813DB9" w14:textId="69705375"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604,</w:t>
            </w:r>
            <w:r w:rsidR="001D4820" w:rsidRPr="00965AC8">
              <w:rPr>
                <w:rFonts w:ascii="Public Sans" w:eastAsiaTheme="minorHAnsi" w:hAnsi="Public Sans" w:cs="Arial"/>
                <w:color w:val="000000"/>
                <w:sz w:val="16"/>
                <w:szCs w:val="16"/>
                <w:lang w:val="en-AU"/>
              </w:rPr>
              <w:t>275</w:t>
            </w:r>
          </w:p>
        </w:tc>
        <w:tc>
          <w:tcPr>
            <w:tcW w:w="1157" w:type="dxa"/>
            <w:tcBorders>
              <w:top w:val="nil"/>
              <w:left w:val="nil"/>
              <w:bottom w:val="nil"/>
              <w:right w:val="nil"/>
            </w:tcBorders>
            <w:shd w:val="pct5" w:color="000000" w:fill="auto"/>
            <w:noWrap/>
            <w:hideMark/>
          </w:tcPr>
          <w:p w14:paraId="562997DB" w14:textId="1BBD3FEB"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632,</w:t>
            </w:r>
            <w:r w:rsidR="001D4820" w:rsidRPr="00965AC8">
              <w:rPr>
                <w:rFonts w:ascii="Public Sans" w:eastAsiaTheme="minorHAnsi" w:hAnsi="Public Sans" w:cs="Arial"/>
                <w:color w:val="000000"/>
                <w:sz w:val="16"/>
                <w:szCs w:val="16"/>
                <w:lang w:val="en-AU"/>
              </w:rPr>
              <w:t>355</w:t>
            </w:r>
          </w:p>
        </w:tc>
        <w:tc>
          <w:tcPr>
            <w:tcW w:w="1158" w:type="dxa"/>
            <w:tcBorders>
              <w:top w:val="nil"/>
              <w:left w:val="nil"/>
              <w:bottom w:val="nil"/>
              <w:right w:val="nil"/>
            </w:tcBorders>
            <w:shd w:val="pct5" w:color="000000" w:fill="auto"/>
            <w:noWrap/>
            <w:hideMark/>
          </w:tcPr>
          <w:p w14:paraId="14B38880" w14:textId="1ABAF4DE" w:rsidR="006F6538" w:rsidRPr="00965AC8" w:rsidRDefault="00BE3343"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653,</w:t>
            </w:r>
            <w:r w:rsidR="001D4820" w:rsidRPr="00965AC8">
              <w:rPr>
                <w:rFonts w:ascii="Public Sans" w:eastAsiaTheme="minorHAnsi" w:hAnsi="Public Sans" w:cs="Arial"/>
                <w:color w:val="000000"/>
                <w:sz w:val="16"/>
                <w:szCs w:val="16"/>
                <w:lang w:val="en-AU"/>
              </w:rPr>
              <w:t>603</w:t>
            </w:r>
          </w:p>
        </w:tc>
      </w:tr>
      <w:tr w:rsidR="006F6538" w:rsidRPr="000F21D1" w14:paraId="5CB1E5A8" w14:textId="77777777" w:rsidTr="000F21D1">
        <w:trPr>
          <w:trHeight w:val="203"/>
        </w:trPr>
        <w:tc>
          <w:tcPr>
            <w:tcW w:w="2694" w:type="dxa"/>
            <w:tcBorders>
              <w:top w:val="nil"/>
              <w:left w:val="nil"/>
              <w:bottom w:val="nil"/>
              <w:right w:val="nil"/>
            </w:tcBorders>
            <w:shd w:val="clear" w:color="000000" w:fill="FFFFFF"/>
            <w:noWrap/>
            <w:vAlign w:val="center"/>
            <w:hideMark/>
          </w:tcPr>
          <w:p w14:paraId="7687C21C" w14:textId="77777777" w:rsidR="006F6538" w:rsidRPr="00965AC8" w:rsidRDefault="006F6538" w:rsidP="002B3B96">
            <w:pPr>
              <w:ind w:firstLineChars="100" w:firstLine="160"/>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Financial Assets ($m)</w:t>
            </w:r>
          </w:p>
        </w:tc>
        <w:tc>
          <w:tcPr>
            <w:tcW w:w="1157" w:type="dxa"/>
            <w:tcBorders>
              <w:top w:val="nil"/>
              <w:left w:val="nil"/>
              <w:bottom w:val="nil"/>
              <w:right w:val="nil"/>
            </w:tcBorders>
            <w:shd w:val="clear" w:color="000000" w:fill="FFFFFF"/>
            <w:noWrap/>
            <w:hideMark/>
          </w:tcPr>
          <w:p w14:paraId="512E9A8A" w14:textId="6C0940AE"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193,513</w:t>
            </w:r>
          </w:p>
        </w:tc>
        <w:tc>
          <w:tcPr>
            <w:tcW w:w="1158" w:type="dxa"/>
            <w:tcBorders>
              <w:top w:val="nil"/>
              <w:left w:val="nil"/>
              <w:bottom w:val="nil"/>
              <w:right w:val="nil"/>
            </w:tcBorders>
            <w:shd w:val="clear" w:color="000000" w:fill="FFFFFF"/>
            <w:noWrap/>
            <w:hideMark/>
          </w:tcPr>
          <w:p w14:paraId="03EB8F68" w14:textId="66D7D105"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210,143</w:t>
            </w:r>
          </w:p>
        </w:tc>
        <w:tc>
          <w:tcPr>
            <w:tcW w:w="1157" w:type="dxa"/>
            <w:tcBorders>
              <w:top w:val="nil"/>
              <w:left w:val="nil"/>
              <w:bottom w:val="nil"/>
              <w:right w:val="nil"/>
            </w:tcBorders>
            <w:shd w:val="pct5" w:color="000000" w:fill="auto"/>
            <w:noWrap/>
            <w:hideMark/>
          </w:tcPr>
          <w:p w14:paraId="7EE93223" w14:textId="791F1A98"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203,</w:t>
            </w:r>
            <w:r w:rsidR="00F7333B" w:rsidRPr="00965AC8">
              <w:rPr>
                <w:rFonts w:ascii="Public Sans" w:eastAsiaTheme="minorHAnsi" w:hAnsi="Public Sans" w:cs="Arial"/>
                <w:color w:val="000000"/>
                <w:sz w:val="16"/>
                <w:szCs w:val="16"/>
                <w:lang w:val="en-AU"/>
              </w:rPr>
              <w:t>046</w:t>
            </w:r>
          </w:p>
        </w:tc>
        <w:tc>
          <w:tcPr>
            <w:tcW w:w="1158" w:type="dxa"/>
            <w:tcBorders>
              <w:top w:val="nil"/>
              <w:left w:val="nil"/>
              <w:bottom w:val="nil"/>
              <w:right w:val="nil"/>
            </w:tcBorders>
            <w:shd w:val="pct5" w:color="000000" w:fill="auto"/>
            <w:noWrap/>
            <w:hideMark/>
          </w:tcPr>
          <w:p w14:paraId="5335731B" w14:textId="3BF904E2"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208,</w:t>
            </w:r>
            <w:r w:rsidR="00F7333B" w:rsidRPr="00965AC8">
              <w:rPr>
                <w:rFonts w:ascii="Public Sans" w:eastAsiaTheme="minorHAnsi" w:hAnsi="Public Sans" w:cs="Arial"/>
                <w:color w:val="000000"/>
                <w:sz w:val="16"/>
                <w:szCs w:val="16"/>
                <w:lang w:val="en-AU"/>
              </w:rPr>
              <w:t>662</w:t>
            </w:r>
          </w:p>
        </w:tc>
        <w:tc>
          <w:tcPr>
            <w:tcW w:w="1157" w:type="dxa"/>
            <w:tcBorders>
              <w:top w:val="nil"/>
              <w:left w:val="nil"/>
              <w:bottom w:val="nil"/>
              <w:right w:val="nil"/>
            </w:tcBorders>
            <w:shd w:val="pct5" w:color="000000" w:fill="auto"/>
            <w:noWrap/>
            <w:hideMark/>
          </w:tcPr>
          <w:p w14:paraId="448DBF88" w14:textId="546CB27D"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225,</w:t>
            </w:r>
            <w:r w:rsidR="00F7333B" w:rsidRPr="00965AC8">
              <w:rPr>
                <w:rFonts w:ascii="Public Sans" w:eastAsiaTheme="minorHAnsi" w:hAnsi="Public Sans" w:cs="Arial"/>
                <w:color w:val="000000"/>
                <w:sz w:val="16"/>
                <w:szCs w:val="16"/>
                <w:lang w:val="en-AU"/>
              </w:rPr>
              <w:t>149</w:t>
            </w:r>
          </w:p>
        </w:tc>
        <w:tc>
          <w:tcPr>
            <w:tcW w:w="1158" w:type="dxa"/>
            <w:tcBorders>
              <w:top w:val="nil"/>
              <w:left w:val="nil"/>
              <w:bottom w:val="nil"/>
              <w:right w:val="nil"/>
            </w:tcBorders>
            <w:shd w:val="pct5" w:color="000000" w:fill="auto"/>
            <w:noWrap/>
            <w:hideMark/>
          </w:tcPr>
          <w:p w14:paraId="0CF98D64" w14:textId="7F80089D"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235,</w:t>
            </w:r>
            <w:r w:rsidR="00F7333B" w:rsidRPr="00965AC8">
              <w:rPr>
                <w:rFonts w:ascii="Public Sans" w:eastAsiaTheme="minorHAnsi" w:hAnsi="Public Sans" w:cs="Arial"/>
                <w:color w:val="000000"/>
                <w:sz w:val="16"/>
                <w:szCs w:val="16"/>
                <w:lang w:val="en-AU"/>
              </w:rPr>
              <w:t>824</w:t>
            </w:r>
          </w:p>
        </w:tc>
      </w:tr>
      <w:tr w:rsidR="006F6538" w:rsidRPr="000F21D1" w14:paraId="38BF2A57" w14:textId="77777777" w:rsidTr="000F21D1">
        <w:trPr>
          <w:trHeight w:val="203"/>
        </w:trPr>
        <w:tc>
          <w:tcPr>
            <w:tcW w:w="2694" w:type="dxa"/>
            <w:tcBorders>
              <w:top w:val="nil"/>
              <w:left w:val="nil"/>
              <w:bottom w:val="nil"/>
              <w:right w:val="nil"/>
            </w:tcBorders>
            <w:shd w:val="clear" w:color="000000" w:fill="FFFFFF"/>
            <w:noWrap/>
            <w:vAlign w:val="center"/>
            <w:hideMark/>
          </w:tcPr>
          <w:p w14:paraId="2FC43DF1" w14:textId="77777777" w:rsidR="006F6538" w:rsidRPr="00965AC8" w:rsidRDefault="006F6538" w:rsidP="002B3B96">
            <w:pPr>
              <w:ind w:firstLineChars="100" w:firstLine="160"/>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Non-Financial Assets ($m)</w:t>
            </w:r>
          </w:p>
        </w:tc>
        <w:tc>
          <w:tcPr>
            <w:tcW w:w="1157" w:type="dxa"/>
            <w:tcBorders>
              <w:top w:val="nil"/>
              <w:left w:val="nil"/>
              <w:bottom w:val="nil"/>
              <w:right w:val="nil"/>
            </w:tcBorders>
            <w:shd w:val="clear" w:color="000000" w:fill="FFFFFF"/>
            <w:noWrap/>
            <w:hideMark/>
          </w:tcPr>
          <w:p w14:paraId="16890D36" w14:textId="3B532759"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317,036</w:t>
            </w:r>
          </w:p>
        </w:tc>
        <w:tc>
          <w:tcPr>
            <w:tcW w:w="1158" w:type="dxa"/>
            <w:tcBorders>
              <w:top w:val="nil"/>
              <w:left w:val="nil"/>
              <w:bottom w:val="nil"/>
              <w:right w:val="nil"/>
            </w:tcBorders>
            <w:shd w:val="clear" w:color="000000" w:fill="FFFFFF"/>
            <w:noWrap/>
            <w:hideMark/>
          </w:tcPr>
          <w:p w14:paraId="22CC8F1C" w14:textId="237FED29"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364,183</w:t>
            </w:r>
          </w:p>
        </w:tc>
        <w:tc>
          <w:tcPr>
            <w:tcW w:w="1157" w:type="dxa"/>
            <w:tcBorders>
              <w:top w:val="nil"/>
              <w:left w:val="nil"/>
              <w:bottom w:val="nil"/>
              <w:right w:val="nil"/>
            </w:tcBorders>
            <w:shd w:val="pct5" w:color="000000" w:fill="auto"/>
            <w:noWrap/>
            <w:hideMark/>
          </w:tcPr>
          <w:p w14:paraId="1C9AEB62" w14:textId="62C68BAA"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381,572</w:t>
            </w:r>
          </w:p>
        </w:tc>
        <w:tc>
          <w:tcPr>
            <w:tcW w:w="1158" w:type="dxa"/>
            <w:tcBorders>
              <w:top w:val="nil"/>
              <w:left w:val="nil"/>
              <w:bottom w:val="nil"/>
              <w:right w:val="nil"/>
            </w:tcBorders>
            <w:shd w:val="pct5" w:color="000000" w:fill="auto"/>
            <w:noWrap/>
            <w:hideMark/>
          </w:tcPr>
          <w:p w14:paraId="7E44C9A4" w14:textId="00798288"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395,613</w:t>
            </w:r>
          </w:p>
        </w:tc>
        <w:tc>
          <w:tcPr>
            <w:tcW w:w="1157" w:type="dxa"/>
            <w:tcBorders>
              <w:top w:val="nil"/>
              <w:left w:val="nil"/>
              <w:bottom w:val="nil"/>
              <w:right w:val="nil"/>
            </w:tcBorders>
            <w:shd w:val="pct5" w:color="000000" w:fill="auto"/>
            <w:noWrap/>
            <w:hideMark/>
          </w:tcPr>
          <w:p w14:paraId="2FF89DE0" w14:textId="73E1EADF"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407,205</w:t>
            </w:r>
          </w:p>
        </w:tc>
        <w:tc>
          <w:tcPr>
            <w:tcW w:w="1158" w:type="dxa"/>
            <w:tcBorders>
              <w:top w:val="nil"/>
              <w:left w:val="nil"/>
              <w:bottom w:val="nil"/>
              <w:right w:val="nil"/>
            </w:tcBorders>
            <w:shd w:val="pct5" w:color="000000" w:fill="auto"/>
            <w:noWrap/>
            <w:hideMark/>
          </w:tcPr>
          <w:p w14:paraId="6FCD799B" w14:textId="3AA34C8E" w:rsidR="006F6538" w:rsidRPr="00965AC8" w:rsidRDefault="009D1A6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417,779</w:t>
            </w:r>
          </w:p>
        </w:tc>
      </w:tr>
      <w:tr w:rsidR="006F6538" w:rsidRPr="000F21D1" w14:paraId="54FE979B" w14:textId="77777777" w:rsidTr="000F21D1">
        <w:trPr>
          <w:trHeight w:val="203"/>
        </w:trPr>
        <w:tc>
          <w:tcPr>
            <w:tcW w:w="2694" w:type="dxa"/>
            <w:tcBorders>
              <w:top w:val="nil"/>
              <w:left w:val="nil"/>
              <w:bottom w:val="nil"/>
              <w:right w:val="nil"/>
            </w:tcBorders>
            <w:shd w:val="clear" w:color="000000" w:fill="FFFFFF"/>
            <w:noWrap/>
            <w:vAlign w:val="center"/>
            <w:hideMark/>
          </w:tcPr>
          <w:p w14:paraId="18C82F56" w14:textId="77777777" w:rsidR="006F6538" w:rsidRPr="00965AC8" w:rsidRDefault="006F6538" w:rsidP="002B3B96">
            <w:pPr>
              <w:ind w:firstLineChars="100" w:firstLine="160"/>
              <w:rPr>
                <w:rFonts w:ascii="Public Sans" w:hAnsi="Public Sans" w:cs="Arial"/>
                <w:color w:val="000000"/>
                <w:sz w:val="16"/>
                <w:szCs w:val="16"/>
                <w:lang w:val="en-AU" w:eastAsia="en-AU"/>
              </w:rPr>
            </w:pPr>
          </w:p>
        </w:tc>
        <w:tc>
          <w:tcPr>
            <w:tcW w:w="1157" w:type="dxa"/>
            <w:tcBorders>
              <w:top w:val="nil"/>
              <w:left w:val="nil"/>
              <w:bottom w:val="nil"/>
              <w:right w:val="nil"/>
            </w:tcBorders>
            <w:shd w:val="clear" w:color="000000" w:fill="FFFFFF"/>
            <w:noWrap/>
            <w:hideMark/>
          </w:tcPr>
          <w:p w14:paraId="52CCC704" w14:textId="77777777" w:rsidR="006F6538" w:rsidRPr="00965AC8" w:rsidRDefault="006F6538" w:rsidP="002B3B96">
            <w:pPr>
              <w:jc w:val="center"/>
              <w:rPr>
                <w:rFonts w:ascii="Public Sans" w:hAnsi="Public Sans" w:cs="Arial"/>
                <w:color w:val="000000"/>
                <w:sz w:val="16"/>
                <w:szCs w:val="16"/>
                <w:lang w:val="en-AU" w:eastAsia="en-AU"/>
              </w:rPr>
            </w:pPr>
          </w:p>
        </w:tc>
        <w:tc>
          <w:tcPr>
            <w:tcW w:w="1158" w:type="dxa"/>
            <w:tcBorders>
              <w:top w:val="nil"/>
              <w:left w:val="nil"/>
              <w:bottom w:val="nil"/>
              <w:right w:val="nil"/>
            </w:tcBorders>
            <w:shd w:val="clear" w:color="000000" w:fill="FFFFFF"/>
            <w:noWrap/>
            <w:hideMark/>
          </w:tcPr>
          <w:p w14:paraId="14FBB6F4"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17A66198"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64FACB79"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045CD733"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78B864C3" w14:textId="77777777" w:rsidR="006F6538" w:rsidRPr="00965AC8" w:rsidRDefault="006F6538" w:rsidP="002B3B96">
            <w:pPr>
              <w:jc w:val="center"/>
              <w:rPr>
                <w:rFonts w:ascii="Public Sans" w:eastAsiaTheme="minorHAnsi" w:hAnsi="Public Sans" w:cs="Arial"/>
                <w:color w:val="000000"/>
                <w:sz w:val="16"/>
                <w:szCs w:val="16"/>
                <w:lang w:val="en-AU"/>
              </w:rPr>
            </w:pPr>
          </w:p>
        </w:tc>
      </w:tr>
      <w:tr w:rsidR="006F6538" w:rsidRPr="000F21D1" w14:paraId="722051D5" w14:textId="77777777" w:rsidTr="000F21D1">
        <w:trPr>
          <w:trHeight w:val="203"/>
        </w:trPr>
        <w:tc>
          <w:tcPr>
            <w:tcW w:w="2694" w:type="dxa"/>
            <w:tcBorders>
              <w:top w:val="nil"/>
              <w:left w:val="nil"/>
              <w:bottom w:val="nil"/>
              <w:right w:val="nil"/>
            </w:tcBorders>
            <w:shd w:val="clear" w:color="000000" w:fill="FFFFFF"/>
            <w:noWrap/>
            <w:vAlign w:val="center"/>
            <w:hideMark/>
          </w:tcPr>
          <w:p w14:paraId="460AFE6F"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Total Liabilities ($m)</w:t>
            </w:r>
          </w:p>
        </w:tc>
        <w:tc>
          <w:tcPr>
            <w:tcW w:w="1157" w:type="dxa"/>
            <w:tcBorders>
              <w:top w:val="nil"/>
              <w:left w:val="nil"/>
              <w:bottom w:val="nil"/>
              <w:right w:val="nil"/>
            </w:tcBorders>
            <w:shd w:val="clear" w:color="000000" w:fill="FFFFFF"/>
            <w:noWrap/>
            <w:hideMark/>
          </w:tcPr>
          <w:p w14:paraId="2ECFBC18" w14:textId="0C4A95C8" w:rsidR="006F6538" w:rsidRPr="00965AC8" w:rsidRDefault="00DB298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223,828</w:t>
            </w:r>
          </w:p>
        </w:tc>
        <w:tc>
          <w:tcPr>
            <w:tcW w:w="1158" w:type="dxa"/>
            <w:tcBorders>
              <w:top w:val="nil"/>
              <w:left w:val="nil"/>
              <w:bottom w:val="nil"/>
              <w:right w:val="nil"/>
            </w:tcBorders>
            <w:shd w:val="clear" w:color="000000" w:fill="FFFFFF"/>
            <w:noWrap/>
            <w:hideMark/>
          </w:tcPr>
          <w:p w14:paraId="726FC167" w14:textId="3762F796" w:rsidR="006F6538" w:rsidRPr="00965AC8" w:rsidRDefault="00DB298F"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248,224</w:t>
            </w:r>
          </w:p>
        </w:tc>
        <w:tc>
          <w:tcPr>
            <w:tcW w:w="1157" w:type="dxa"/>
            <w:tcBorders>
              <w:top w:val="nil"/>
              <w:left w:val="nil"/>
              <w:bottom w:val="nil"/>
              <w:right w:val="nil"/>
            </w:tcBorders>
            <w:shd w:val="pct5" w:color="000000" w:fill="auto"/>
            <w:noWrap/>
            <w:hideMark/>
          </w:tcPr>
          <w:p w14:paraId="445B80B5" w14:textId="0CA823BE" w:rsidR="006F6538" w:rsidRPr="00965AC8" w:rsidRDefault="00F7333B"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264,011</w:t>
            </w:r>
          </w:p>
        </w:tc>
        <w:tc>
          <w:tcPr>
            <w:tcW w:w="1158" w:type="dxa"/>
            <w:tcBorders>
              <w:top w:val="nil"/>
              <w:left w:val="nil"/>
              <w:bottom w:val="nil"/>
              <w:right w:val="nil"/>
            </w:tcBorders>
            <w:shd w:val="pct5" w:color="000000" w:fill="auto"/>
            <w:noWrap/>
            <w:hideMark/>
          </w:tcPr>
          <w:p w14:paraId="05657600" w14:textId="471818E9" w:rsidR="006F6538" w:rsidRPr="00965AC8" w:rsidRDefault="00F7333B"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277,843</w:t>
            </w:r>
          </w:p>
        </w:tc>
        <w:tc>
          <w:tcPr>
            <w:tcW w:w="1157" w:type="dxa"/>
            <w:tcBorders>
              <w:top w:val="nil"/>
              <w:left w:val="nil"/>
              <w:bottom w:val="nil"/>
              <w:right w:val="nil"/>
            </w:tcBorders>
            <w:shd w:val="pct5" w:color="000000" w:fill="auto"/>
            <w:noWrap/>
            <w:hideMark/>
          </w:tcPr>
          <w:p w14:paraId="206C941A" w14:textId="1559FC8D" w:rsidR="006F6538" w:rsidRPr="00965AC8" w:rsidRDefault="00F7333B"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293,818</w:t>
            </w:r>
          </w:p>
        </w:tc>
        <w:tc>
          <w:tcPr>
            <w:tcW w:w="1158" w:type="dxa"/>
            <w:tcBorders>
              <w:top w:val="nil"/>
              <w:left w:val="nil"/>
              <w:bottom w:val="nil"/>
              <w:right w:val="nil"/>
            </w:tcBorders>
            <w:shd w:val="pct5" w:color="000000" w:fill="auto"/>
            <w:noWrap/>
            <w:hideMark/>
          </w:tcPr>
          <w:p w14:paraId="007A6278" w14:textId="337CD19E" w:rsidR="006F6538" w:rsidRPr="00965AC8" w:rsidRDefault="00F7333B"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306,566</w:t>
            </w:r>
          </w:p>
        </w:tc>
      </w:tr>
      <w:tr w:rsidR="006F6538" w:rsidRPr="000F21D1" w14:paraId="0BD41AD1" w14:textId="77777777" w:rsidTr="000F21D1">
        <w:trPr>
          <w:trHeight w:val="203"/>
        </w:trPr>
        <w:tc>
          <w:tcPr>
            <w:tcW w:w="2694" w:type="dxa"/>
            <w:tcBorders>
              <w:top w:val="nil"/>
              <w:left w:val="nil"/>
              <w:bottom w:val="nil"/>
              <w:right w:val="nil"/>
            </w:tcBorders>
            <w:shd w:val="clear" w:color="000000" w:fill="FFFFFF"/>
            <w:noWrap/>
            <w:vAlign w:val="center"/>
            <w:hideMark/>
          </w:tcPr>
          <w:p w14:paraId="5CF05A14" w14:textId="77777777" w:rsidR="006F6538" w:rsidRPr="00965AC8" w:rsidRDefault="006F6538" w:rsidP="002B3B96">
            <w:pPr>
              <w:rPr>
                <w:rFonts w:ascii="Public Sans" w:hAnsi="Public Sans" w:cs="Arial"/>
                <w:color w:val="000000"/>
                <w:sz w:val="16"/>
                <w:szCs w:val="16"/>
                <w:lang w:val="en-AU" w:eastAsia="en-AU"/>
              </w:rPr>
            </w:pPr>
          </w:p>
        </w:tc>
        <w:tc>
          <w:tcPr>
            <w:tcW w:w="1157" w:type="dxa"/>
            <w:tcBorders>
              <w:top w:val="nil"/>
              <w:left w:val="nil"/>
              <w:bottom w:val="nil"/>
              <w:right w:val="nil"/>
            </w:tcBorders>
            <w:shd w:val="clear" w:color="000000" w:fill="FFFFFF"/>
            <w:noWrap/>
            <w:hideMark/>
          </w:tcPr>
          <w:p w14:paraId="0BBCA6D5"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clear" w:color="000000" w:fill="FFFFFF"/>
            <w:noWrap/>
            <w:hideMark/>
          </w:tcPr>
          <w:p w14:paraId="5F58ECA1"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717ABF9E"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0D15F628"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1E91036C"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3C3D0420" w14:textId="77777777" w:rsidR="006F6538" w:rsidRPr="00965AC8" w:rsidRDefault="006F6538" w:rsidP="002B3B96">
            <w:pPr>
              <w:jc w:val="center"/>
              <w:rPr>
                <w:rFonts w:ascii="Public Sans" w:eastAsiaTheme="minorHAnsi" w:hAnsi="Public Sans" w:cs="Arial"/>
                <w:color w:val="000000"/>
                <w:sz w:val="16"/>
                <w:szCs w:val="16"/>
                <w:lang w:val="en-AU"/>
              </w:rPr>
            </w:pPr>
          </w:p>
        </w:tc>
      </w:tr>
      <w:tr w:rsidR="006F6538" w:rsidRPr="000F21D1" w14:paraId="4DD258A0" w14:textId="77777777" w:rsidTr="000F21D1">
        <w:trPr>
          <w:trHeight w:val="203"/>
        </w:trPr>
        <w:tc>
          <w:tcPr>
            <w:tcW w:w="2694" w:type="dxa"/>
            <w:tcBorders>
              <w:top w:val="nil"/>
              <w:left w:val="nil"/>
              <w:bottom w:val="nil"/>
              <w:right w:val="nil"/>
            </w:tcBorders>
            <w:shd w:val="clear" w:color="000000" w:fill="FFFFFF"/>
            <w:noWrap/>
            <w:vAlign w:val="center"/>
            <w:hideMark/>
          </w:tcPr>
          <w:p w14:paraId="63157993"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Net Worth ($m)</w:t>
            </w:r>
          </w:p>
        </w:tc>
        <w:tc>
          <w:tcPr>
            <w:tcW w:w="1157" w:type="dxa"/>
            <w:tcBorders>
              <w:top w:val="nil"/>
              <w:left w:val="nil"/>
              <w:bottom w:val="nil"/>
              <w:right w:val="nil"/>
            </w:tcBorders>
            <w:shd w:val="clear" w:color="000000" w:fill="FFFFFF"/>
            <w:noWrap/>
            <w:hideMark/>
          </w:tcPr>
          <w:p w14:paraId="49E5D857" w14:textId="0AFDF236" w:rsidR="006F6538" w:rsidRPr="00965AC8" w:rsidRDefault="007C2254"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286,722</w:t>
            </w:r>
          </w:p>
        </w:tc>
        <w:tc>
          <w:tcPr>
            <w:tcW w:w="1158" w:type="dxa"/>
            <w:tcBorders>
              <w:top w:val="nil"/>
              <w:left w:val="nil"/>
              <w:bottom w:val="nil"/>
              <w:right w:val="nil"/>
            </w:tcBorders>
            <w:shd w:val="clear" w:color="000000" w:fill="FFFFFF"/>
            <w:noWrap/>
            <w:hideMark/>
          </w:tcPr>
          <w:p w14:paraId="11A95694" w14:textId="01852DAD" w:rsidR="006F6538" w:rsidRPr="00965AC8" w:rsidRDefault="007C2254"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326,101</w:t>
            </w:r>
          </w:p>
        </w:tc>
        <w:tc>
          <w:tcPr>
            <w:tcW w:w="1157" w:type="dxa"/>
            <w:tcBorders>
              <w:top w:val="nil"/>
              <w:left w:val="nil"/>
              <w:bottom w:val="nil"/>
              <w:right w:val="nil"/>
            </w:tcBorders>
            <w:shd w:val="pct5" w:color="000000" w:fill="auto"/>
            <w:noWrap/>
            <w:hideMark/>
          </w:tcPr>
          <w:p w14:paraId="286B1E7E" w14:textId="484C321D"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320,606</w:t>
            </w:r>
          </w:p>
        </w:tc>
        <w:tc>
          <w:tcPr>
            <w:tcW w:w="1158" w:type="dxa"/>
            <w:tcBorders>
              <w:top w:val="nil"/>
              <w:left w:val="nil"/>
              <w:bottom w:val="nil"/>
              <w:right w:val="nil"/>
            </w:tcBorders>
            <w:shd w:val="pct5" w:color="000000" w:fill="auto"/>
            <w:noWrap/>
            <w:hideMark/>
          </w:tcPr>
          <w:p w14:paraId="307DA07D" w14:textId="50446364"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326,432</w:t>
            </w:r>
          </w:p>
        </w:tc>
        <w:tc>
          <w:tcPr>
            <w:tcW w:w="1157" w:type="dxa"/>
            <w:tcBorders>
              <w:top w:val="nil"/>
              <w:left w:val="nil"/>
              <w:bottom w:val="nil"/>
              <w:right w:val="nil"/>
            </w:tcBorders>
            <w:shd w:val="pct5" w:color="000000" w:fill="auto"/>
            <w:noWrap/>
            <w:hideMark/>
          </w:tcPr>
          <w:p w14:paraId="5E82B7A5" w14:textId="77C22503"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338,537</w:t>
            </w:r>
          </w:p>
        </w:tc>
        <w:tc>
          <w:tcPr>
            <w:tcW w:w="1158" w:type="dxa"/>
            <w:tcBorders>
              <w:top w:val="nil"/>
              <w:left w:val="nil"/>
              <w:bottom w:val="nil"/>
              <w:right w:val="nil"/>
            </w:tcBorders>
            <w:shd w:val="pct5" w:color="000000" w:fill="auto"/>
            <w:noWrap/>
            <w:hideMark/>
          </w:tcPr>
          <w:p w14:paraId="57CC25C8" w14:textId="63CD3A03"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347,037</w:t>
            </w:r>
          </w:p>
        </w:tc>
      </w:tr>
      <w:tr w:rsidR="006F6538" w:rsidRPr="000F21D1" w14:paraId="03F83106" w14:textId="77777777" w:rsidTr="000F21D1">
        <w:trPr>
          <w:trHeight w:val="233"/>
        </w:trPr>
        <w:tc>
          <w:tcPr>
            <w:tcW w:w="2694" w:type="dxa"/>
            <w:tcBorders>
              <w:top w:val="nil"/>
              <w:left w:val="nil"/>
              <w:bottom w:val="nil"/>
              <w:right w:val="nil"/>
            </w:tcBorders>
            <w:shd w:val="clear" w:color="000000" w:fill="FFFFFF"/>
            <w:noWrap/>
            <w:vAlign w:val="center"/>
            <w:hideMark/>
          </w:tcPr>
          <w:p w14:paraId="199ECC57"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Net Worth as a per cent of GSP</w:t>
            </w:r>
            <w:r w:rsidRPr="00965AC8">
              <w:rPr>
                <w:rFonts w:ascii="Public Sans" w:hAnsi="Public Sans" w:cs="Arial"/>
                <w:color w:val="000000"/>
                <w:sz w:val="16"/>
                <w:szCs w:val="16"/>
                <w:vertAlign w:val="superscript"/>
                <w:lang w:val="en-AU" w:eastAsia="en-AU"/>
              </w:rPr>
              <w:t>(a)</w:t>
            </w:r>
          </w:p>
        </w:tc>
        <w:tc>
          <w:tcPr>
            <w:tcW w:w="1157" w:type="dxa"/>
            <w:tcBorders>
              <w:top w:val="nil"/>
              <w:left w:val="nil"/>
              <w:bottom w:val="nil"/>
              <w:right w:val="nil"/>
            </w:tcBorders>
            <w:shd w:val="clear" w:color="auto" w:fill="auto"/>
            <w:noWrap/>
            <w:hideMark/>
          </w:tcPr>
          <w:p w14:paraId="7C11F3C1" w14:textId="5498BDC3" w:rsidR="006F6538" w:rsidRPr="00965AC8" w:rsidRDefault="00E50426"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41.1</w:t>
            </w:r>
          </w:p>
        </w:tc>
        <w:tc>
          <w:tcPr>
            <w:tcW w:w="1158" w:type="dxa"/>
            <w:tcBorders>
              <w:top w:val="nil"/>
              <w:left w:val="nil"/>
              <w:bottom w:val="nil"/>
              <w:right w:val="nil"/>
            </w:tcBorders>
            <w:shd w:val="clear" w:color="auto" w:fill="auto"/>
            <w:noWrap/>
            <w:hideMark/>
          </w:tcPr>
          <w:p w14:paraId="57C11E42" w14:textId="021B255B" w:rsidR="006F6538" w:rsidRPr="00965AC8" w:rsidRDefault="00E50426"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42.</w:t>
            </w:r>
            <w:r w:rsidR="00182490" w:rsidRPr="00965AC8">
              <w:rPr>
                <w:rFonts w:ascii="Public Sans" w:eastAsiaTheme="minorHAnsi" w:hAnsi="Public Sans" w:cs="Arial"/>
                <w:color w:val="000000"/>
                <w:sz w:val="16"/>
                <w:szCs w:val="16"/>
                <w:lang w:val="en-AU"/>
              </w:rPr>
              <w:t>5</w:t>
            </w:r>
          </w:p>
        </w:tc>
        <w:tc>
          <w:tcPr>
            <w:tcW w:w="1157" w:type="dxa"/>
            <w:tcBorders>
              <w:top w:val="nil"/>
              <w:left w:val="nil"/>
              <w:bottom w:val="nil"/>
              <w:right w:val="nil"/>
            </w:tcBorders>
            <w:shd w:val="pct5" w:color="000000" w:fill="auto"/>
            <w:noWrap/>
            <w:hideMark/>
          </w:tcPr>
          <w:p w14:paraId="26B2C097" w14:textId="3C6E6C39" w:rsidR="006F6538" w:rsidRPr="00965AC8" w:rsidRDefault="00965AC8"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40.4</w:t>
            </w:r>
          </w:p>
        </w:tc>
        <w:tc>
          <w:tcPr>
            <w:tcW w:w="1158" w:type="dxa"/>
            <w:tcBorders>
              <w:top w:val="nil"/>
              <w:left w:val="nil"/>
              <w:bottom w:val="nil"/>
              <w:right w:val="nil"/>
            </w:tcBorders>
            <w:shd w:val="pct5" w:color="000000" w:fill="auto"/>
            <w:noWrap/>
            <w:hideMark/>
          </w:tcPr>
          <w:p w14:paraId="329328F0" w14:textId="1330A7F2" w:rsidR="006F6538" w:rsidRPr="00965AC8" w:rsidRDefault="00965AC8"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39.7</w:t>
            </w:r>
          </w:p>
        </w:tc>
        <w:tc>
          <w:tcPr>
            <w:tcW w:w="1157" w:type="dxa"/>
            <w:tcBorders>
              <w:top w:val="nil"/>
              <w:left w:val="nil"/>
              <w:bottom w:val="nil"/>
              <w:right w:val="nil"/>
            </w:tcBorders>
            <w:shd w:val="pct5" w:color="000000" w:fill="auto"/>
            <w:noWrap/>
            <w:hideMark/>
          </w:tcPr>
          <w:p w14:paraId="52964EFC" w14:textId="2FFF2390" w:rsidR="006F6538" w:rsidRPr="00965AC8" w:rsidRDefault="00965AC8"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39.4</w:t>
            </w:r>
          </w:p>
        </w:tc>
        <w:tc>
          <w:tcPr>
            <w:tcW w:w="1158" w:type="dxa"/>
            <w:tcBorders>
              <w:top w:val="nil"/>
              <w:left w:val="nil"/>
              <w:bottom w:val="nil"/>
              <w:right w:val="nil"/>
            </w:tcBorders>
            <w:shd w:val="pct5" w:color="000000" w:fill="auto"/>
            <w:noWrap/>
            <w:hideMark/>
          </w:tcPr>
          <w:p w14:paraId="6B61048B" w14:textId="23D46C3A" w:rsidR="006F6538" w:rsidRPr="00965AC8" w:rsidRDefault="00965AC8"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38.5</w:t>
            </w:r>
          </w:p>
        </w:tc>
      </w:tr>
      <w:tr w:rsidR="006F6538" w:rsidRPr="000F21D1" w14:paraId="162689D0" w14:textId="77777777" w:rsidTr="000F21D1">
        <w:trPr>
          <w:trHeight w:val="203"/>
        </w:trPr>
        <w:tc>
          <w:tcPr>
            <w:tcW w:w="2694" w:type="dxa"/>
            <w:tcBorders>
              <w:top w:val="nil"/>
              <w:left w:val="nil"/>
              <w:bottom w:val="nil"/>
              <w:right w:val="nil"/>
            </w:tcBorders>
            <w:shd w:val="clear" w:color="000000" w:fill="FFFFFF"/>
            <w:noWrap/>
            <w:vAlign w:val="center"/>
            <w:hideMark/>
          </w:tcPr>
          <w:p w14:paraId="637D75A4" w14:textId="77777777" w:rsidR="006F6538" w:rsidRPr="00965AC8" w:rsidRDefault="006F6538" w:rsidP="002B3B96">
            <w:pPr>
              <w:rPr>
                <w:rFonts w:ascii="Public Sans" w:hAnsi="Public Sans" w:cs="Arial"/>
                <w:color w:val="000000"/>
                <w:sz w:val="16"/>
                <w:szCs w:val="16"/>
                <w:lang w:val="en-AU" w:eastAsia="en-AU"/>
              </w:rPr>
            </w:pPr>
          </w:p>
        </w:tc>
        <w:tc>
          <w:tcPr>
            <w:tcW w:w="1157" w:type="dxa"/>
            <w:tcBorders>
              <w:top w:val="nil"/>
              <w:left w:val="nil"/>
              <w:bottom w:val="nil"/>
              <w:right w:val="nil"/>
            </w:tcBorders>
            <w:shd w:val="clear" w:color="auto" w:fill="auto"/>
            <w:noWrap/>
            <w:hideMark/>
          </w:tcPr>
          <w:p w14:paraId="5F16F2D6"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clear" w:color="auto" w:fill="auto"/>
            <w:noWrap/>
            <w:hideMark/>
          </w:tcPr>
          <w:p w14:paraId="0E6EE8EB"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4FEA256F"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64AAF7A7"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hideMark/>
          </w:tcPr>
          <w:p w14:paraId="0DEBA3D4" w14:textId="77777777" w:rsidR="006F6538" w:rsidRPr="00965AC8" w:rsidRDefault="006F6538"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hideMark/>
          </w:tcPr>
          <w:p w14:paraId="23F8AD8C" w14:textId="77777777" w:rsidR="006F6538" w:rsidRPr="00965AC8" w:rsidRDefault="006F6538" w:rsidP="002B3B96">
            <w:pPr>
              <w:jc w:val="center"/>
              <w:rPr>
                <w:rFonts w:ascii="Public Sans" w:eastAsiaTheme="minorHAnsi" w:hAnsi="Public Sans" w:cs="Arial"/>
                <w:color w:val="000000"/>
                <w:sz w:val="16"/>
                <w:szCs w:val="16"/>
                <w:lang w:val="en-AU"/>
              </w:rPr>
            </w:pPr>
          </w:p>
        </w:tc>
      </w:tr>
      <w:tr w:rsidR="006F6538" w:rsidRPr="000F21D1" w14:paraId="795610D6" w14:textId="77777777" w:rsidTr="000F21D1">
        <w:trPr>
          <w:trHeight w:val="203"/>
        </w:trPr>
        <w:tc>
          <w:tcPr>
            <w:tcW w:w="2694" w:type="dxa"/>
            <w:tcBorders>
              <w:top w:val="nil"/>
              <w:left w:val="nil"/>
              <w:bottom w:val="nil"/>
              <w:right w:val="nil"/>
            </w:tcBorders>
            <w:shd w:val="clear" w:color="000000" w:fill="FFFFFF"/>
            <w:noWrap/>
            <w:vAlign w:val="center"/>
            <w:hideMark/>
          </w:tcPr>
          <w:p w14:paraId="5F819BA5"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Net Debt ($m)</w:t>
            </w:r>
          </w:p>
        </w:tc>
        <w:tc>
          <w:tcPr>
            <w:tcW w:w="1157" w:type="dxa"/>
            <w:tcBorders>
              <w:top w:val="nil"/>
              <w:left w:val="nil"/>
              <w:bottom w:val="nil"/>
              <w:right w:val="nil"/>
            </w:tcBorders>
            <w:shd w:val="clear" w:color="auto" w:fill="auto"/>
            <w:noWrap/>
            <w:hideMark/>
          </w:tcPr>
          <w:p w14:paraId="0A3CF3CB" w14:textId="6BED414F"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55,781</w:t>
            </w:r>
          </w:p>
        </w:tc>
        <w:tc>
          <w:tcPr>
            <w:tcW w:w="1158" w:type="dxa"/>
            <w:tcBorders>
              <w:top w:val="nil"/>
              <w:left w:val="nil"/>
              <w:bottom w:val="nil"/>
              <w:right w:val="nil"/>
            </w:tcBorders>
            <w:shd w:val="clear" w:color="auto" w:fill="auto"/>
            <w:noWrap/>
            <w:hideMark/>
          </w:tcPr>
          <w:p w14:paraId="5F6166F8" w14:textId="5298E6C8"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74,873</w:t>
            </w:r>
          </w:p>
        </w:tc>
        <w:tc>
          <w:tcPr>
            <w:tcW w:w="1157" w:type="dxa"/>
            <w:tcBorders>
              <w:top w:val="nil"/>
              <w:left w:val="nil"/>
              <w:bottom w:val="nil"/>
              <w:right w:val="nil"/>
            </w:tcBorders>
            <w:shd w:val="pct5" w:color="000000" w:fill="auto"/>
            <w:noWrap/>
            <w:hideMark/>
          </w:tcPr>
          <w:p w14:paraId="36B82916" w14:textId="2BA06F35"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92,624</w:t>
            </w:r>
          </w:p>
        </w:tc>
        <w:tc>
          <w:tcPr>
            <w:tcW w:w="1158" w:type="dxa"/>
            <w:tcBorders>
              <w:top w:val="nil"/>
              <w:left w:val="nil"/>
              <w:bottom w:val="nil"/>
              <w:right w:val="nil"/>
            </w:tcBorders>
            <w:shd w:val="pct5" w:color="000000" w:fill="auto"/>
            <w:noWrap/>
            <w:hideMark/>
          </w:tcPr>
          <w:p w14:paraId="520D0789" w14:textId="06F306B6"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100,974</w:t>
            </w:r>
          </w:p>
        </w:tc>
        <w:tc>
          <w:tcPr>
            <w:tcW w:w="1157" w:type="dxa"/>
            <w:tcBorders>
              <w:top w:val="nil"/>
              <w:left w:val="nil"/>
              <w:bottom w:val="nil"/>
              <w:right w:val="nil"/>
            </w:tcBorders>
            <w:shd w:val="pct5" w:color="000000" w:fill="auto"/>
            <w:noWrap/>
            <w:hideMark/>
          </w:tcPr>
          <w:p w14:paraId="58E6E4BD" w14:textId="4277FCE8"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107,815</w:t>
            </w:r>
          </w:p>
        </w:tc>
        <w:tc>
          <w:tcPr>
            <w:tcW w:w="1158" w:type="dxa"/>
            <w:tcBorders>
              <w:top w:val="nil"/>
              <w:left w:val="nil"/>
              <w:bottom w:val="nil"/>
              <w:right w:val="nil"/>
            </w:tcBorders>
            <w:shd w:val="pct5" w:color="000000" w:fill="auto"/>
            <w:noWrap/>
            <w:hideMark/>
          </w:tcPr>
          <w:p w14:paraId="2CE21BED" w14:textId="5726AC84" w:rsidR="006F6538" w:rsidRPr="00965AC8" w:rsidRDefault="00D07387"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113,571</w:t>
            </w:r>
          </w:p>
        </w:tc>
      </w:tr>
      <w:tr w:rsidR="006F6538" w:rsidRPr="000F21D1" w14:paraId="3C968CA5" w14:textId="77777777" w:rsidTr="00FE4AD0">
        <w:trPr>
          <w:trHeight w:val="203"/>
        </w:trPr>
        <w:tc>
          <w:tcPr>
            <w:tcW w:w="2694" w:type="dxa"/>
            <w:tcBorders>
              <w:top w:val="nil"/>
              <w:left w:val="nil"/>
              <w:bottom w:val="nil"/>
              <w:right w:val="nil"/>
            </w:tcBorders>
            <w:shd w:val="clear" w:color="000000" w:fill="FFFFFF"/>
            <w:noWrap/>
            <w:vAlign w:val="center"/>
            <w:hideMark/>
          </w:tcPr>
          <w:p w14:paraId="75D0D55B" w14:textId="77777777" w:rsidR="006F6538" w:rsidRPr="00965AC8" w:rsidRDefault="006F6538" w:rsidP="002B3B96">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Net Debt as a per cent of GSP</w:t>
            </w:r>
          </w:p>
        </w:tc>
        <w:tc>
          <w:tcPr>
            <w:tcW w:w="1157" w:type="dxa"/>
            <w:tcBorders>
              <w:top w:val="nil"/>
              <w:left w:val="nil"/>
              <w:bottom w:val="nil"/>
              <w:right w:val="nil"/>
            </w:tcBorders>
            <w:shd w:val="clear" w:color="auto" w:fill="auto"/>
            <w:noWrap/>
            <w:hideMark/>
          </w:tcPr>
          <w:p w14:paraId="6795E863" w14:textId="22D3EE2A" w:rsidR="006F6538" w:rsidRPr="00965AC8" w:rsidRDefault="006F6538"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8</w:t>
            </w:r>
            <w:r w:rsidR="00182490" w:rsidRPr="00965AC8">
              <w:rPr>
                <w:rFonts w:ascii="Public Sans" w:eastAsiaTheme="minorHAnsi" w:hAnsi="Public Sans" w:cs="Arial"/>
                <w:color w:val="000000"/>
                <w:sz w:val="16"/>
                <w:szCs w:val="16"/>
                <w:lang w:val="en-AU"/>
              </w:rPr>
              <w:t>.0</w:t>
            </w:r>
          </w:p>
        </w:tc>
        <w:tc>
          <w:tcPr>
            <w:tcW w:w="1158" w:type="dxa"/>
            <w:tcBorders>
              <w:top w:val="nil"/>
              <w:left w:val="nil"/>
              <w:bottom w:val="nil"/>
              <w:right w:val="nil"/>
            </w:tcBorders>
            <w:shd w:val="clear" w:color="auto" w:fill="auto"/>
            <w:noWrap/>
            <w:hideMark/>
          </w:tcPr>
          <w:p w14:paraId="7D010031" w14:textId="52594CA7"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9</w:t>
            </w:r>
            <w:r w:rsidR="006F6538" w:rsidRPr="00965AC8">
              <w:rPr>
                <w:rFonts w:ascii="Public Sans" w:eastAsiaTheme="minorHAnsi" w:hAnsi="Public Sans" w:cs="Arial"/>
                <w:color w:val="000000"/>
                <w:sz w:val="16"/>
                <w:szCs w:val="16"/>
                <w:lang w:val="en-AU"/>
              </w:rPr>
              <w:t>.8</w:t>
            </w:r>
          </w:p>
        </w:tc>
        <w:tc>
          <w:tcPr>
            <w:tcW w:w="1157" w:type="dxa"/>
            <w:tcBorders>
              <w:top w:val="nil"/>
              <w:left w:val="nil"/>
              <w:bottom w:val="nil"/>
              <w:right w:val="nil"/>
            </w:tcBorders>
            <w:shd w:val="pct5" w:color="000000" w:fill="auto"/>
            <w:noWrap/>
            <w:hideMark/>
          </w:tcPr>
          <w:p w14:paraId="2A715D06" w14:textId="46DE8B7E"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11.</w:t>
            </w:r>
            <w:r w:rsidR="007A4B54" w:rsidRPr="00965AC8">
              <w:rPr>
                <w:rFonts w:ascii="Public Sans" w:eastAsiaTheme="minorHAnsi" w:hAnsi="Public Sans" w:cs="Arial"/>
                <w:color w:val="000000"/>
                <w:sz w:val="16"/>
                <w:szCs w:val="16"/>
                <w:lang w:val="en-AU"/>
              </w:rPr>
              <w:t>7</w:t>
            </w:r>
          </w:p>
        </w:tc>
        <w:tc>
          <w:tcPr>
            <w:tcW w:w="1158" w:type="dxa"/>
            <w:tcBorders>
              <w:top w:val="nil"/>
              <w:left w:val="nil"/>
              <w:bottom w:val="nil"/>
              <w:right w:val="nil"/>
            </w:tcBorders>
            <w:shd w:val="pct5" w:color="000000" w:fill="auto"/>
            <w:noWrap/>
            <w:hideMark/>
          </w:tcPr>
          <w:p w14:paraId="5A0A8785" w14:textId="629A3F08"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12.</w:t>
            </w:r>
            <w:r w:rsidR="007A4B54" w:rsidRPr="00965AC8">
              <w:rPr>
                <w:rFonts w:ascii="Public Sans" w:eastAsiaTheme="minorHAnsi" w:hAnsi="Public Sans" w:cs="Arial"/>
                <w:color w:val="000000"/>
                <w:sz w:val="16"/>
                <w:szCs w:val="16"/>
                <w:lang w:val="en-AU"/>
              </w:rPr>
              <w:t>3</w:t>
            </w:r>
          </w:p>
        </w:tc>
        <w:tc>
          <w:tcPr>
            <w:tcW w:w="1157" w:type="dxa"/>
            <w:tcBorders>
              <w:top w:val="nil"/>
              <w:left w:val="nil"/>
              <w:bottom w:val="nil"/>
              <w:right w:val="nil"/>
            </w:tcBorders>
            <w:shd w:val="pct5" w:color="000000" w:fill="auto"/>
            <w:noWrap/>
            <w:hideMark/>
          </w:tcPr>
          <w:p w14:paraId="60FDD913" w14:textId="52710313"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12.</w:t>
            </w:r>
            <w:r w:rsidR="007A4B54" w:rsidRPr="00965AC8">
              <w:rPr>
                <w:rFonts w:ascii="Public Sans" w:eastAsiaTheme="minorHAnsi" w:hAnsi="Public Sans" w:cs="Arial"/>
                <w:color w:val="000000"/>
                <w:sz w:val="16"/>
                <w:szCs w:val="16"/>
                <w:lang w:val="en-AU"/>
              </w:rPr>
              <w:t>5</w:t>
            </w:r>
          </w:p>
        </w:tc>
        <w:tc>
          <w:tcPr>
            <w:tcW w:w="1158" w:type="dxa"/>
            <w:tcBorders>
              <w:top w:val="nil"/>
              <w:left w:val="nil"/>
              <w:bottom w:val="nil"/>
              <w:right w:val="nil"/>
            </w:tcBorders>
            <w:shd w:val="pct5" w:color="000000" w:fill="auto"/>
            <w:noWrap/>
            <w:hideMark/>
          </w:tcPr>
          <w:p w14:paraId="057D8CFE" w14:textId="548FE2B1" w:rsidR="006F6538" w:rsidRPr="00965AC8" w:rsidRDefault="00182490" w:rsidP="002B3B96">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12</w:t>
            </w:r>
            <w:r w:rsidR="006F6538" w:rsidRPr="00965AC8">
              <w:rPr>
                <w:rFonts w:ascii="Public Sans" w:eastAsiaTheme="minorHAnsi" w:hAnsi="Public Sans" w:cs="Arial"/>
                <w:color w:val="000000"/>
                <w:sz w:val="16"/>
                <w:szCs w:val="16"/>
                <w:lang w:val="en-AU"/>
              </w:rPr>
              <w:t>.</w:t>
            </w:r>
            <w:r w:rsidR="007A4B54" w:rsidRPr="00965AC8">
              <w:rPr>
                <w:rFonts w:ascii="Public Sans" w:eastAsiaTheme="minorHAnsi" w:hAnsi="Public Sans" w:cs="Arial"/>
                <w:color w:val="000000"/>
                <w:sz w:val="16"/>
                <w:szCs w:val="16"/>
                <w:lang w:val="en-AU"/>
              </w:rPr>
              <w:t>6</w:t>
            </w:r>
          </w:p>
        </w:tc>
      </w:tr>
      <w:tr w:rsidR="00A35C53" w:rsidRPr="00453571" w14:paraId="34E22927" w14:textId="77777777" w:rsidTr="00FE4AD0">
        <w:trPr>
          <w:trHeight w:val="203"/>
        </w:trPr>
        <w:tc>
          <w:tcPr>
            <w:tcW w:w="2694" w:type="dxa"/>
            <w:tcBorders>
              <w:top w:val="nil"/>
              <w:left w:val="nil"/>
              <w:bottom w:val="nil"/>
              <w:right w:val="nil"/>
            </w:tcBorders>
            <w:shd w:val="clear" w:color="000000" w:fill="FFFFFF"/>
            <w:noWrap/>
            <w:vAlign w:val="center"/>
          </w:tcPr>
          <w:p w14:paraId="55422CD1" w14:textId="77777777" w:rsidR="00A35C53" w:rsidRPr="00965AC8" w:rsidRDefault="00A35C53" w:rsidP="002B3B96">
            <w:pPr>
              <w:rPr>
                <w:rFonts w:ascii="Public Sans" w:hAnsi="Public Sans" w:cs="Arial"/>
                <w:color w:val="000000"/>
                <w:sz w:val="16"/>
                <w:szCs w:val="16"/>
                <w:lang w:val="en-AU" w:eastAsia="en-AU"/>
              </w:rPr>
            </w:pPr>
          </w:p>
        </w:tc>
        <w:tc>
          <w:tcPr>
            <w:tcW w:w="1157" w:type="dxa"/>
            <w:tcBorders>
              <w:top w:val="nil"/>
              <w:left w:val="nil"/>
              <w:bottom w:val="nil"/>
              <w:right w:val="nil"/>
            </w:tcBorders>
            <w:shd w:val="clear" w:color="auto" w:fill="auto"/>
            <w:noWrap/>
          </w:tcPr>
          <w:p w14:paraId="66BE272A" w14:textId="77777777" w:rsidR="00A35C53" w:rsidRPr="00965AC8" w:rsidRDefault="00A35C53"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clear" w:color="auto" w:fill="auto"/>
            <w:noWrap/>
          </w:tcPr>
          <w:p w14:paraId="27F15CE9" w14:textId="77777777" w:rsidR="00A35C53" w:rsidRPr="00965AC8" w:rsidRDefault="00A35C53"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tcPr>
          <w:p w14:paraId="71862AA3" w14:textId="77777777" w:rsidR="00A35C53" w:rsidRPr="00965AC8" w:rsidRDefault="00A35C53"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tcPr>
          <w:p w14:paraId="431EA0CE" w14:textId="77777777" w:rsidR="00A35C53" w:rsidRPr="00965AC8" w:rsidRDefault="00A35C53" w:rsidP="002B3B96">
            <w:pPr>
              <w:jc w:val="center"/>
              <w:rPr>
                <w:rFonts w:ascii="Public Sans" w:eastAsiaTheme="minorHAnsi" w:hAnsi="Public Sans" w:cs="Arial"/>
                <w:color w:val="000000"/>
                <w:sz w:val="16"/>
                <w:szCs w:val="16"/>
                <w:lang w:val="en-AU"/>
              </w:rPr>
            </w:pPr>
          </w:p>
        </w:tc>
        <w:tc>
          <w:tcPr>
            <w:tcW w:w="1157" w:type="dxa"/>
            <w:tcBorders>
              <w:top w:val="nil"/>
              <w:left w:val="nil"/>
              <w:bottom w:val="nil"/>
              <w:right w:val="nil"/>
            </w:tcBorders>
            <w:shd w:val="pct5" w:color="000000" w:fill="auto"/>
            <w:noWrap/>
          </w:tcPr>
          <w:p w14:paraId="090BE6C4" w14:textId="77777777" w:rsidR="00A35C53" w:rsidRPr="00965AC8" w:rsidRDefault="00A35C53" w:rsidP="002B3B96">
            <w:pPr>
              <w:jc w:val="center"/>
              <w:rPr>
                <w:rFonts w:ascii="Public Sans" w:eastAsiaTheme="minorHAnsi" w:hAnsi="Public Sans" w:cs="Arial"/>
                <w:color w:val="000000"/>
                <w:sz w:val="16"/>
                <w:szCs w:val="16"/>
                <w:lang w:val="en-AU"/>
              </w:rPr>
            </w:pPr>
          </w:p>
        </w:tc>
        <w:tc>
          <w:tcPr>
            <w:tcW w:w="1158" w:type="dxa"/>
            <w:tcBorders>
              <w:top w:val="nil"/>
              <w:left w:val="nil"/>
              <w:bottom w:val="nil"/>
              <w:right w:val="nil"/>
            </w:tcBorders>
            <w:shd w:val="pct5" w:color="000000" w:fill="auto"/>
            <w:noWrap/>
          </w:tcPr>
          <w:p w14:paraId="28A09E35" w14:textId="77777777" w:rsidR="00A35C53" w:rsidRPr="00965AC8" w:rsidRDefault="00A35C53" w:rsidP="002B3B96">
            <w:pPr>
              <w:jc w:val="center"/>
              <w:rPr>
                <w:rFonts w:ascii="Public Sans" w:eastAsiaTheme="minorHAnsi" w:hAnsi="Public Sans" w:cs="Arial"/>
                <w:color w:val="000000"/>
                <w:sz w:val="16"/>
                <w:szCs w:val="16"/>
                <w:lang w:val="en-AU"/>
              </w:rPr>
            </w:pPr>
          </w:p>
        </w:tc>
      </w:tr>
      <w:tr w:rsidR="00162C3B" w:rsidRPr="00453571" w14:paraId="15E9270B" w14:textId="77777777" w:rsidTr="00FE4AD0">
        <w:trPr>
          <w:trHeight w:val="203"/>
        </w:trPr>
        <w:tc>
          <w:tcPr>
            <w:tcW w:w="2694" w:type="dxa"/>
            <w:tcBorders>
              <w:top w:val="nil"/>
              <w:left w:val="nil"/>
              <w:bottom w:val="nil"/>
              <w:right w:val="nil"/>
            </w:tcBorders>
            <w:shd w:val="clear" w:color="000000" w:fill="FFFFFF"/>
            <w:noWrap/>
            <w:vAlign w:val="center"/>
          </w:tcPr>
          <w:p w14:paraId="3257A43A" w14:textId="336B1B27" w:rsidR="00162C3B" w:rsidRPr="00965AC8" w:rsidRDefault="00162C3B" w:rsidP="00162C3B">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Gross Debt ($m)</w:t>
            </w:r>
          </w:p>
        </w:tc>
        <w:tc>
          <w:tcPr>
            <w:tcW w:w="1157" w:type="dxa"/>
            <w:tcBorders>
              <w:top w:val="nil"/>
              <w:left w:val="nil"/>
              <w:bottom w:val="nil"/>
              <w:right w:val="nil"/>
            </w:tcBorders>
            <w:shd w:val="clear" w:color="auto" w:fill="auto"/>
            <w:noWrap/>
          </w:tcPr>
          <w:p w14:paraId="674423C7" w14:textId="742C2E62" w:rsidR="00162C3B" w:rsidRPr="00965AC8" w:rsidRDefault="00FC317B"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108,352</w:t>
            </w:r>
          </w:p>
        </w:tc>
        <w:tc>
          <w:tcPr>
            <w:tcW w:w="1158" w:type="dxa"/>
            <w:tcBorders>
              <w:top w:val="nil"/>
              <w:left w:val="nil"/>
              <w:bottom w:val="nil"/>
              <w:right w:val="nil"/>
            </w:tcBorders>
            <w:shd w:val="clear" w:color="auto" w:fill="auto"/>
            <w:noWrap/>
          </w:tcPr>
          <w:p w14:paraId="3C1D79E9" w14:textId="1BFAFA18" w:rsidR="00162C3B" w:rsidRPr="00965AC8" w:rsidRDefault="004C6914"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132,914</w:t>
            </w:r>
          </w:p>
        </w:tc>
        <w:tc>
          <w:tcPr>
            <w:tcW w:w="1157" w:type="dxa"/>
            <w:tcBorders>
              <w:top w:val="nil"/>
              <w:left w:val="nil"/>
              <w:bottom w:val="nil"/>
              <w:right w:val="nil"/>
            </w:tcBorders>
            <w:shd w:val="pct5" w:color="000000" w:fill="auto"/>
            <w:noWrap/>
          </w:tcPr>
          <w:p w14:paraId="51DAB9B5" w14:textId="25B9E0E3" w:rsidR="00162C3B" w:rsidRPr="00965AC8" w:rsidRDefault="009D6F45"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145,789</w:t>
            </w:r>
          </w:p>
        </w:tc>
        <w:tc>
          <w:tcPr>
            <w:tcW w:w="1158" w:type="dxa"/>
            <w:tcBorders>
              <w:top w:val="nil"/>
              <w:left w:val="nil"/>
              <w:bottom w:val="nil"/>
              <w:right w:val="nil"/>
            </w:tcBorders>
            <w:shd w:val="pct5" w:color="000000" w:fill="auto"/>
            <w:noWrap/>
          </w:tcPr>
          <w:p w14:paraId="4F133B55" w14:textId="6702A36C" w:rsidR="00162C3B" w:rsidRPr="00965AC8" w:rsidRDefault="009D6F45"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159,510</w:t>
            </w:r>
          </w:p>
        </w:tc>
        <w:tc>
          <w:tcPr>
            <w:tcW w:w="1157" w:type="dxa"/>
            <w:tcBorders>
              <w:top w:val="nil"/>
              <w:left w:val="nil"/>
              <w:bottom w:val="nil"/>
              <w:right w:val="nil"/>
            </w:tcBorders>
            <w:shd w:val="pct5" w:color="000000" w:fill="auto"/>
            <w:noWrap/>
          </w:tcPr>
          <w:p w14:paraId="2FD7F8E8" w14:textId="38BBF823" w:rsidR="00162C3B" w:rsidRPr="00965AC8" w:rsidRDefault="009D6F45"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173,373</w:t>
            </w:r>
          </w:p>
        </w:tc>
        <w:tc>
          <w:tcPr>
            <w:tcW w:w="1158" w:type="dxa"/>
            <w:tcBorders>
              <w:top w:val="nil"/>
              <w:left w:val="nil"/>
              <w:bottom w:val="nil"/>
              <w:right w:val="nil"/>
            </w:tcBorders>
            <w:shd w:val="pct5" w:color="000000" w:fill="auto"/>
            <w:noWrap/>
          </w:tcPr>
          <w:p w14:paraId="0B74ABA2" w14:textId="7A7C830C" w:rsidR="00162C3B" w:rsidRPr="00965AC8" w:rsidRDefault="009D6F45"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186,688</w:t>
            </w:r>
          </w:p>
        </w:tc>
      </w:tr>
      <w:tr w:rsidR="00162C3B" w:rsidRPr="00453571" w14:paraId="760C989D" w14:textId="77777777" w:rsidTr="000F21D1">
        <w:trPr>
          <w:trHeight w:val="203"/>
        </w:trPr>
        <w:tc>
          <w:tcPr>
            <w:tcW w:w="2694" w:type="dxa"/>
            <w:tcBorders>
              <w:top w:val="nil"/>
              <w:left w:val="nil"/>
              <w:bottom w:val="single" w:sz="4" w:space="0" w:color="auto"/>
              <w:right w:val="nil"/>
            </w:tcBorders>
            <w:shd w:val="clear" w:color="000000" w:fill="FFFFFF"/>
            <w:noWrap/>
            <w:vAlign w:val="center"/>
          </w:tcPr>
          <w:p w14:paraId="07955EA0" w14:textId="651DB247" w:rsidR="00162C3B" w:rsidRPr="00965AC8" w:rsidRDefault="00162C3B" w:rsidP="00162C3B">
            <w:pPr>
              <w:rPr>
                <w:rFonts w:ascii="Public Sans" w:hAnsi="Public Sans" w:cs="Arial"/>
                <w:color w:val="000000"/>
                <w:sz w:val="16"/>
                <w:szCs w:val="16"/>
                <w:lang w:val="en-AU" w:eastAsia="en-AU"/>
              </w:rPr>
            </w:pPr>
            <w:r w:rsidRPr="00965AC8">
              <w:rPr>
                <w:rFonts w:ascii="Public Sans" w:hAnsi="Public Sans" w:cs="Arial"/>
                <w:color w:val="000000"/>
                <w:sz w:val="16"/>
                <w:szCs w:val="16"/>
                <w:lang w:val="en-AU" w:eastAsia="en-AU"/>
              </w:rPr>
              <w:t>Gross Debt as a per cent of GSP</w:t>
            </w:r>
          </w:p>
        </w:tc>
        <w:tc>
          <w:tcPr>
            <w:tcW w:w="1157" w:type="dxa"/>
            <w:tcBorders>
              <w:top w:val="nil"/>
              <w:left w:val="nil"/>
              <w:bottom w:val="single" w:sz="4" w:space="0" w:color="auto"/>
              <w:right w:val="nil"/>
            </w:tcBorders>
            <w:shd w:val="clear" w:color="auto" w:fill="auto"/>
            <w:noWrap/>
          </w:tcPr>
          <w:p w14:paraId="085BD6AD" w14:textId="48D93E64" w:rsidR="00162C3B" w:rsidRPr="00965AC8" w:rsidRDefault="009F4492"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15.5</w:t>
            </w:r>
          </w:p>
        </w:tc>
        <w:tc>
          <w:tcPr>
            <w:tcW w:w="1158" w:type="dxa"/>
            <w:tcBorders>
              <w:top w:val="nil"/>
              <w:left w:val="nil"/>
              <w:bottom w:val="single" w:sz="4" w:space="0" w:color="auto"/>
              <w:right w:val="nil"/>
            </w:tcBorders>
            <w:shd w:val="clear" w:color="auto" w:fill="auto"/>
            <w:noWrap/>
          </w:tcPr>
          <w:p w14:paraId="46476751" w14:textId="48CA49BF" w:rsidR="00162C3B" w:rsidRPr="00965AC8" w:rsidRDefault="00975B78"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17.3</w:t>
            </w:r>
          </w:p>
        </w:tc>
        <w:tc>
          <w:tcPr>
            <w:tcW w:w="1157" w:type="dxa"/>
            <w:tcBorders>
              <w:top w:val="nil"/>
              <w:left w:val="nil"/>
              <w:bottom w:val="single" w:sz="4" w:space="0" w:color="auto"/>
              <w:right w:val="nil"/>
            </w:tcBorders>
            <w:shd w:val="pct5" w:color="000000" w:fill="auto"/>
            <w:noWrap/>
          </w:tcPr>
          <w:p w14:paraId="3C53584E" w14:textId="09DB9AB2" w:rsidR="00162C3B" w:rsidRPr="00965AC8" w:rsidRDefault="00975B78"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18.</w:t>
            </w:r>
            <w:r w:rsidR="007A4B54" w:rsidRPr="00965AC8">
              <w:rPr>
                <w:rFonts w:ascii="Public Sans" w:eastAsiaTheme="minorHAnsi" w:hAnsi="Public Sans" w:cs="Arial"/>
                <w:color w:val="000000"/>
                <w:sz w:val="16"/>
                <w:szCs w:val="16"/>
                <w:lang w:val="en-AU"/>
              </w:rPr>
              <w:t>4</w:t>
            </w:r>
          </w:p>
        </w:tc>
        <w:tc>
          <w:tcPr>
            <w:tcW w:w="1158" w:type="dxa"/>
            <w:tcBorders>
              <w:top w:val="nil"/>
              <w:left w:val="nil"/>
              <w:bottom w:val="single" w:sz="4" w:space="0" w:color="auto"/>
              <w:right w:val="nil"/>
            </w:tcBorders>
            <w:shd w:val="pct5" w:color="000000" w:fill="auto"/>
            <w:noWrap/>
          </w:tcPr>
          <w:p w14:paraId="646F85EB" w14:textId="4C76EFD5" w:rsidR="00162C3B" w:rsidRPr="00965AC8" w:rsidRDefault="00D46C35"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19.</w:t>
            </w:r>
            <w:r w:rsidR="007A4B54" w:rsidRPr="00965AC8">
              <w:rPr>
                <w:rFonts w:ascii="Public Sans" w:eastAsiaTheme="minorHAnsi" w:hAnsi="Public Sans" w:cs="Arial"/>
                <w:color w:val="000000"/>
                <w:sz w:val="16"/>
                <w:szCs w:val="16"/>
                <w:lang w:val="en-AU"/>
              </w:rPr>
              <w:t>4</w:t>
            </w:r>
          </w:p>
        </w:tc>
        <w:tc>
          <w:tcPr>
            <w:tcW w:w="1157" w:type="dxa"/>
            <w:tcBorders>
              <w:top w:val="nil"/>
              <w:left w:val="nil"/>
              <w:bottom w:val="single" w:sz="4" w:space="0" w:color="auto"/>
              <w:right w:val="nil"/>
            </w:tcBorders>
            <w:shd w:val="pct5" w:color="000000" w:fill="auto"/>
            <w:noWrap/>
          </w:tcPr>
          <w:p w14:paraId="2571838E" w14:textId="0F04F6A6" w:rsidR="00162C3B" w:rsidRPr="00965AC8" w:rsidRDefault="00F749A4"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20.</w:t>
            </w:r>
            <w:r w:rsidR="007A4B54" w:rsidRPr="00965AC8">
              <w:rPr>
                <w:rFonts w:ascii="Public Sans" w:eastAsiaTheme="minorHAnsi" w:hAnsi="Public Sans" w:cs="Arial"/>
                <w:color w:val="000000"/>
                <w:sz w:val="16"/>
                <w:szCs w:val="16"/>
                <w:lang w:val="en-AU"/>
              </w:rPr>
              <w:t>2</w:t>
            </w:r>
          </w:p>
        </w:tc>
        <w:tc>
          <w:tcPr>
            <w:tcW w:w="1158" w:type="dxa"/>
            <w:tcBorders>
              <w:top w:val="nil"/>
              <w:left w:val="nil"/>
              <w:bottom w:val="single" w:sz="4" w:space="0" w:color="auto"/>
              <w:right w:val="nil"/>
            </w:tcBorders>
            <w:shd w:val="pct5" w:color="000000" w:fill="auto"/>
            <w:noWrap/>
          </w:tcPr>
          <w:p w14:paraId="0ED0A9BE" w14:textId="2EF884A2" w:rsidR="00162C3B" w:rsidRPr="00965AC8" w:rsidRDefault="00F749A4" w:rsidP="00162C3B">
            <w:pPr>
              <w:jc w:val="center"/>
              <w:rPr>
                <w:rFonts w:ascii="Public Sans" w:eastAsiaTheme="minorHAnsi" w:hAnsi="Public Sans" w:cs="Arial"/>
                <w:color w:val="000000"/>
                <w:sz w:val="16"/>
                <w:szCs w:val="16"/>
                <w:lang w:val="en-AU"/>
              </w:rPr>
            </w:pPr>
            <w:r w:rsidRPr="00965AC8">
              <w:rPr>
                <w:rFonts w:ascii="Public Sans" w:eastAsiaTheme="minorHAnsi" w:hAnsi="Public Sans" w:cs="Arial"/>
                <w:color w:val="000000"/>
                <w:sz w:val="16"/>
                <w:szCs w:val="16"/>
                <w:lang w:val="en-AU"/>
              </w:rPr>
              <w:t>20.</w:t>
            </w:r>
            <w:r w:rsidR="007A4B54" w:rsidRPr="00965AC8">
              <w:rPr>
                <w:rFonts w:ascii="Public Sans" w:eastAsiaTheme="minorHAnsi" w:hAnsi="Public Sans" w:cs="Arial"/>
                <w:color w:val="000000"/>
                <w:sz w:val="16"/>
                <w:szCs w:val="16"/>
                <w:lang w:val="en-AU"/>
              </w:rPr>
              <w:t>7</w:t>
            </w:r>
          </w:p>
        </w:tc>
      </w:tr>
    </w:tbl>
    <w:p w14:paraId="769E5B66" w14:textId="26199DD9" w:rsidR="006F6538" w:rsidRPr="00453571" w:rsidRDefault="006F6538" w:rsidP="00254FEA">
      <w:pPr>
        <w:pStyle w:val="ListParagraph"/>
        <w:numPr>
          <w:ilvl w:val="0"/>
          <w:numId w:val="88"/>
        </w:numPr>
        <w:spacing w:before="120"/>
        <w:ind w:left="357" w:hanging="357"/>
        <w:rPr>
          <w:rFonts w:ascii="Public Sans" w:eastAsiaTheme="minorEastAsia" w:hAnsi="Public Sans" w:cs="Arial"/>
          <w:sz w:val="18"/>
          <w:szCs w:val="18"/>
        </w:rPr>
      </w:pPr>
      <w:r w:rsidRPr="00254FEA">
        <w:rPr>
          <w:rFonts w:ascii="Public Sans" w:hAnsi="Public Sans" w:cs="Arial"/>
          <w:sz w:val="17"/>
          <w:szCs w:val="17"/>
        </w:rPr>
        <w:t>Gross State Product (GSP) for N</w:t>
      </w:r>
      <w:r w:rsidR="00526E11" w:rsidRPr="00453571">
        <w:rPr>
          <w:rFonts w:ascii="Public Sans" w:hAnsi="Public Sans" w:cs="Arial"/>
          <w:i/>
          <w:sz w:val="18"/>
          <w:szCs w:val="18"/>
        </w:rPr>
        <w:t xml:space="preserve">ew </w:t>
      </w:r>
      <w:r w:rsidRPr="00453571">
        <w:rPr>
          <w:rFonts w:ascii="Public Sans" w:hAnsi="Public Sans" w:cs="Arial"/>
          <w:i/>
          <w:sz w:val="18"/>
          <w:szCs w:val="18"/>
        </w:rPr>
        <w:t>S</w:t>
      </w:r>
      <w:r w:rsidR="00526E11" w:rsidRPr="00453571">
        <w:rPr>
          <w:rFonts w:ascii="Public Sans" w:hAnsi="Public Sans" w:cs="Arial"/>
          <w:i/>
          <w:sz w:val="18"/>
          <w:szCs w:val="18"/>
        </w:rPr>
        <w:t xml:space="preserve">outh </w:t>
      </w:r>
      <w:r w:rsidRPr="00453571">
        <w:rPr>
          <w:rFonts w:ascii="Public Sans" w:hAnsi="Public Sans" w:cs="Arial"/>
          <w:i/>
          <w:sz w:val="18"/>
          <w:szCs w:val="18"/>
        </w:rPr>
        <w:t>W</w:t>
      </w:r>
      <w:r w:rsidR="00526E11" w:rsidRPr="00453571">
        <w:rPr>
          <w:rFonts w:ascii="Public Sans" w:hAnsi="Public Sans" w:cs="Arial"/>
          <w:i/>
          <w:sz w:val="18"/>
          <w:szCs w:val="18"/>
        </w:rPr>
        <w:t xml:space="preserve">ales </w:t>
      </w:r>
      <w:r w:rsidRPr="00453571">
        <w:rPr>
          <w:rFonts w:ascii="Public Sans" w:hAnsi="Public Sans" w:cs="Arial"/>
          <w:i/>
          <w:sz w:val="18"/>
          <w:szCs w:val="18"/>
        </w:rPr>
        <w:t>from June 2024 to June 2027 is forecast by NSW Treasury</w:t>
      </w:r>
      <w:r w:rsidRPr="00453571">
        <w:rPr>
          <w:rFonts w:ascii="Public Sans" w:hAnsi="Public Sans" w:cs="Arial"/>
          <w:sz w:val="18"/>
          <w:szCs w:val="18"/>
        </w:rPr>
        <w:t>.</w:t>
      </w:r>
    </w:p>
    <w:p w14:paraId="06E7613F" w14:textId="77777777" w:rsidR="00A965B2" w:rsidRPr="00453571" w:rsidRDefault="00A965B2" w:rsidP="00A965B2">
      <w:pPr>
        <w:rPr>
          <w:rFonts w:eastAsiaTheme="minorEastAsia"/>
          <w:lang w:val="en-AU"/>
        </w:rPr>
      </w:pPr>
    </w:p>
    <w:p w14:paraId="7387EE8B" w14:textId="0CAA1336" w:rsidR="005E0E7F" w:rsidRPr="00453571" w:rsidRDefault="00D54501" w:rsidP="00A607B6">
      <w:pPr>
        <w:rPr>
          <w:lang w:val="en-AU"/>
        </w:rPr>
      </w:pPr>
      <w:r w:rsidRPr="00453571">
        <w:rPr>
          <w:lang w:val="en-AU"/>
        </w:rPr>
        <w:br w:type="page"/>
      </w:r>
    </w:p>
    <w:tbl>
      <w:tblPr>
        <w:tblW w:w="9613" w:type="dxa"/>
        <w:shd w:val="pct5" w:color="auto" w:fill="auto"/>
        <w:tblLayout w:type="fixed"/>
        <w:tblLook w:val="04A0" w:firstRow="1" w:lastRow="0" w:firstColumn="1" w:lastColumn="0" w:noHBand="0" w:noVBand="1"/>
        <w:tblCaption w:val="Box 6.2: Interest expense affordability and refinancing risk"/>
        <w:tblDescription w:val="Box 6.2: Interest expense affordability and refinancing risk"/>
      </w:tblPr>
      <w:tblGrid>
        <w:gridCol w:w="9613"/>
      </w:tblGrid>
      <w:tr w:rsidR="00A607B6" w:rsidRPr="00B95392" w14:paraId="1F5CED83" w14:textId="77777777" w:rsidTr="005266EA">
        <w:tc>
          <w:tcPr>
            <w:tcW w:w="9613" w:type="dxa"/>
            <w:shd w:val="pct5" w:color="auto" w:fill="auto"/>
          </w:tcPr>
          <w:p w14:paraId="4E801B96" w14:textId="5741A9D7" w:rsidR="00A607B6" w:rsidRPr="00546712" w:rsidRDefault="00A607B6" w:rsidP="00BC72E7">
            <w:pPr>
              <w:pStyle w:val="Box6XBoxHeading"/>
              <w:framePr w:hSpace="0" w:wrap="auto" w:vAnchor="margin" w:hAnchor="text" w:yAlign="inline"/>
            </w:pPr>
            <w:r w:rsidRPr="00546712">
              <w:lastRenderedPageBreak/>
              <w:t xml:space="preserve">Interest </w:t>
            </w:r>
            <w:r w:rsidR="00AE4481">
              <w:t>expense</w:t>
            </w:r>
            <w:r w:rsidRPr="00546712">
              <w:t xml:space="preserve"> affordability and refinancing risk</w:t>
            </w:r>
          </w:p>
          <w:p w14:paraId="111E3BB1" w14:textId="790F3B40" w:rsidR="00E56791" w:rsidRPr="00965AC8" w:rsidRDefault="00CA63CD" w:rsidP="00886370">
            <w:pPr>
              <w:pStyle w:val="BodyText"/>
            </w:pPr>
            <w:r>
              <w:t>Gross debt is</w:t>
            </w:r>
            <w:r w:rsidR="00802900">
              <w:t xml:space="preserve"> expected</w:t>
            </w:r>
            <w:r w:rsidR="0076588B">
              <w:t xml:space="preserve"> to </w:t>
            </w:r>
            <w:r w:rsidR="00802900" w:rsidRPr="00965AC8">
              <w:t>reach</w:t>
            </w:r>
            <w:r w:rsidR="00C966B5" w:rsidRPr="00965AC8">
              <w:t xml:space="preserve"> $</w:t>
            </w:r>
            <w:r w:rsidR="00BE51AD" w:rsidRPr="00965AC8">
              <w:t>18</w:t>
            </w:r>
            <w:r w:rsidR="00BF6145" w:rsidRPr="00965AC8">
              <w:t>6</w:t>
            </w:r>
            <w:r w:rsidR="00BE51AD" w:rsidRPr="00965AC8">
              <w:t>.</w:t>
            </w:r>
            <w:r w:rsidR="00BF6145" w:rsidRPr="00965AC8">
              <w:t>7</w:t>
            </w:r>
            <w:r w:rsidR="00C966B5" w:rsidRPr="00965AC8">
              <w:t xml:space="preserve"> billion by June 2027</w:t>
            </w:r>
            <w:r w:rsidR="00846CF9" w:rsidRPr="00965AC8">
              <w:t xml:space="preserve"> and</w:t>
            </w:r>
            <w:r w:rsidR="00D40869" w:rsidRPr="00965AC8">
              <w:t xml:space="preserve"> </w:t>
            </w:r>
            <w:r w:rsidR="00394811" w:rsidRPr="00965AC8">
              <w:t xml:space="preserve">interest expense </w:t>
            </w:r>
            <w:r w:rsidR="00846CF9" w:rsidRPr="00965AC8">
              <w:t>is estimated to be $</w:t>
            </w:r>
            <w:r w:rsidR="00F967D0" w:rsidRPr="00965AC8">
              <w:t>7.0 billion</w:t>
            </w:r>
            <w:r w:rsidR="00E46DEC" w:rsidRPr="00965AC8">
              <w:t xml:space="preserve"> in 2026-27</w:t>
            </w:r>
            <w:r w:rsidR="008A0BD3" w:rsidRPr="00965AC8">
              <w:t>.</w:t>
            </w:r>
          </w:p>
          <w:p w14:paraId="3F3EB058" w14:textId="15D9E14C" w:rsidR="00D945FA" w:rsidRPr="00965AC8" w:rsidRDefault="000758BE" w:rsidP="00886370">
            <w:pPr>
              <w:pStyle w:val="BodyText"/>
            </w:pPr>
            <w:r w:rsidRPr="00965AC8">
              <w:t>Since January 2020</w:t>
            </w:r>
            <w:r w:rsidR="00D945FA" w:rsidRPr="00965AC8">
              <w:t xml:space="preserve">, TCorp 10-year bond yields have </w:t>
            </w:r>
            <w:r w:rsidR="00865B22" w:rsidRPr="00965AC8">
              <w:t>ranged</w:t>
            </w:r>
            <w:r w:rsidR="00D945FA" w:rsidRPr="00965AC8">
              <w:t xml:space="preserve"> from </w:t>
            </w:r>
            <w:r w:rsidR="00D80A04" w:rsidRPr="00965AC8">
              <w:t xml:space="preserve">a low of </w:t>
            </w:r>
            <w:r w:rsidR="00D945FA" w:rsidRPr="00965AC8">
              <w:t>around 1.0</w:t>
            </w:r>
            <w:r w:rsidR="00F81044" w:rsidRPr="00965AC8">
              <w:t> </w:t>
            </w:r>
            <w:r w:rsidR="00D945FA" w:rsidRPr="00965AC8">
              <w:t>per</w:t>
            </w:r>
            <w:r w:rsidR="00F81044" w:rsidRPr="00965AC8">
              <w:t> </w:t>
            </w:r>
            <w:r w:rsidR="00D945FA" w:rsidRPr="00965AC8">
              <w:t xml:space="preserve">cent (in November 2020) to </w:t>
            </w:r>
            <w:r w:rsidR="00603D92" w:rsidRPr="00965AC8">
              <w:t>approximately</w:t>
            </w:r>
            <w:r w:rsidR="00D945FA" w:rsidRPr="00965AC8">
              <w:t xml:space="preserve"> </w:t>
            </w:r>
            <w:r w:rsidR="0033363E" w:rsidRPr="00965AC8">
              <w:t>4.</w:t>
            </w:r>
            <w:r w:rsidR="00A67A01" w:rsidRPr="00965AC8">
              <w:t>7</w:t>
            </w:r>
            <w:r w:rsidR="00D945FA" w:rsidRPr="00965AC8">
              <w:t xml:space="preserve"> per cent </w:t>
            </w:r>
            <w:r w:rsidR="00F02011" w:rsidRPr="00965AC8">
              <w:t>on 1</w:t>
            </w:r>
            <w:r w:rsidR="00D945FA" w:rsidRPr="00965AC8">
              <w:t xml:space="preserve"> </w:t>
            </w:r>
            <w:r w:rsidR="0033363E" w:rsidRPr="00965AC8">
              <w:t>September</w:t>
            </w:r>
            <w:r w:rsidR="00D945FA" w:rsidRPr="00965AC8">
              <w:t xml:space="preserve"> 202</w:t>
            </w:r>
            <w:r w:rsidR="0033363E" w:rsidRPr="00965AC8">
              <w:t>3</w:t>
            </w:r>
            <w:r w:rsidR="00D945FA" w:rsidRPr="00965AC8">
              <w:t xml:space="preserve">. This is primarily due to </w:t>
            </w:r>
            <w:r w:rsidR="0033363E" w:rsidRPr="00965AC8">
              <w:t xml:space="preserve">the </w:t>
            </w:r>
            <w:r w:rsidR="00F1750D" w:rsidRPr="00965AC8">
              <w:t xml:space="preserve">rapid change in monetary policy </w:t>
            </w:r>
            <w:r w:rsidR="00244624" w:rsidRPr="00965AC8">
              <w:t xml:space="preserve">with </w:t>
            </w:r>
            <w:r w:rsidR="00F1750D" w:rsidRPr="00965AC8">
              <w:t>the</w:t>
            </w:r>
            <w:r w:rsidR="0033363E" w:rsidRPr="00965AC8">
              <w:t xml:space="preserve"> </w:t>
            </w:r>
            <w:r w:rsidR="00886370" w:rsidRPr="00965AC8">
              <w:t>RBA</w:t>
            </w:r>
            <w:r w:rsidR="0033363E" w:rsidRPr="00965AC8">
              <w:t xml:space="preserve"> rais</w:t>
            </w:r>
            <w:r w:rsidR="00244624" w:rsidRPr="00965AC8">
              <w:t>ing</w:t>
            </w:r>
            <w:r w:rsidR="0033363E" w:rsidRPr="00965AC8">
              <w:t xml:space="preserve"> its cash </w:t>
            </w:r>
            <w:r w:rsidR="000824F3" w:rsidRPr="00965AC8">
              <w:t>rate 12 times since May 2022</w:t>
            </w:r>
            <w:r w:rsidR="00886370" w:rsidRPr="00965AC8">
              <w:t>. T</w:t>
            </w:r>
            <w:r w:rsidR="00E65645" w:rsidRPr="00965AC8">
              <w:t xml:space="preserve">he cash rate </w:t>
            </w:r>
            <w:r w:rsidR="00AA50E2" w:rsidRPr="00965AC8">
              <w:t xml:space="preserve">is </w:t>
            </w:r>
            <w:r w:rsidR="00E65645" w:rsidRPr="00965AC8">
              <w:t xml:space="preserve">currently at </w:t>
            </w:r>
            <w:r w:rsidR="000824F3" w:rsidRPr="00965AC8">
              <w:t>4.1</w:t>
            </w:r>
            <w:r w:rsidR="00D21DB6" w:rsidRPr="00965AC8">
              <w:t> </w:t>
            </w:r>
            <w:r w:rsidR="00682307" w:rsidRPr="00965AC8">
              <w:t>per</w:t>
            </w:r>
            <w:r w:rsidR="00D21DB6" w:rsidRPr="00965AC8">
              <w:t> </w:t>
            </w:r>
            <w:r w:rsidR="00682307" w:rsidRPr="00965AC8">
              <w:t>cent</w:t>
            </w:r>
            <w:r w:rsidR="000824F3" w:rsidRPr="00965AC8">
              <w:t xml:space="preserve"> in September</w:t>
            </w:r>
            <w:r w:rsidR="00C24698" w:rsidRPr="00965AC8">
              <w:t> </w:t>
            </w:r>
            <w:r w:rsidR="000824F3" w:rsidRPr="00965AC8">
              <w:t>2023</w:t>
            </w:r>
            <w:r w:rsidR="00D945FA" w:rsidRPr="00965AC8">
              <w:t>.</w:t>
            </w:r>
          </w:p>
          <w:p w14:paraId="47ECBB92" w14:textId="4E85509E" w:rsidR="000D5AD3" w:rsidRDefault="000D5AD3" w:rsidP="00886370">
            <w:pPr>
              <w:pStyle w:val="BodyText"/>
            </w:pPr>
            <w:r w:rsidRPr="00965AC8">
              <w:t>The weighted average yield</w:t>
            </w:r>
            <w:r w:rsidR="00394F3E" w:rsidRPr="00965AC8">
              <w:t xml:space="preserve"> of the Crown debt portfolio rose from </w:t>
            </w:r>
            <w:r w:rsidR="00420EA9" w:rsidRPr="00965AC8">
              <w:t>2</w:t>
            </w:r>
            <w:r w:rsidR="00394F3E" w:rsidRPr="00965AC8">
              <w:t>.</w:t>
            </w:r>
            <w:r w:rsidR="00420EA9" w:rsidRPr="00965AC8">
              <w:t>1</w:t>
            </w:r>
            <w:r w:rsidR="004B543D" w:rsidRPr="00965AC8">
              <w:t xml:space="preserve"> per cent</w:t>
            </w:r>
            <w:r w:rsidR="00394F3E" w:rsidRPr="00965AC8">
              <w:t xml:space="preserve"> </w:t>
            </w:r>
            <w:proofErr w:type="gramStart"/>
            <w:r w:rsidR="00394F3E" w:rsidRPr="00965AC8">
              <w:t>at</w:t>
            </w:r>
            <w:proofErr w:type="gramEnd"/>
            <w:r w:rsidR="00394F3E" w:rsidRPr="00965AC8">
              <w:t xml:space="preserve"> 30</w:t>
            </w:r>
            <w:r w:rsidR="00F359E3" w:rsidRPr="00965AC8">
              <w:t> </w:t>
            </w:r>
            <w:r w:rsidR="00394F3E" w:rsidRPr="00965AC8">
              <w:t>June</w:t>
            </w:r>
            <w:r w:rsidR="00F359E3" w:rsidRPr="00965AC8">
              <w:t> </w:t>
            </w:r>
            <w:r w:rsidR="00394F3E" w:rsidRPr="00965AC8">
              <w:t xml:space="preserve">2022 to </w:t>
            </w:r>
            <w:r w:rsidR="00604074" w:rsidRPr="00965AC8">
              <w:t>2.9</w:t>
            </w:r>
            <w:r w:rsidR="004B543D" w:rsidRPr="00965AC8">
              <w:t xml:space="preserve"> per cent</w:t>
            </w:r>
            <w:r w:rsidR="00394F3E" w:rsidRPr="00965AC8">
              <w:t xml:space="preserve"> at 30 June 2023</w:t>
            </w:r>
            <w:r w:rsidR="004938B3" w:rsidRPr="00965AC8">
              <w:t xml:space="preserve">. This </w:t>
            </w:r>
            <w:r w:rsidR="000E407C" w:rsidRPr="00965AC8">
              <w:t>wa</w:t>
            </w:r>
            <w:r w:rsidR="004938B3" w:rsidRPr="00965AC8">
              <w:t>s</w:t>
            </w:r>
            <w:r w:rsidR="00394F3E" w:rsidRPr="00965AC8">
              <w:t xml:space="preserve"> driven by new borrowings and refinancing of existing debt at higher interest rates. </w:t>
            </w:r>
            <w:r w:rsidR="00EE5CC9" w:rsidRPr="00965AC8">
              <w:t>The weighted average yield of the portfolio is forecast to continue ris</w:t>
            </w:r>
            <w:r w:rsidR="00F12BC8" w:rsidRPr="00965AC8">
              <w:t>ing</w:t>
            </w:r>
            <w:r w:rsidR="00EE5CC9" w:rsidRPr="00965AC8">
              <w:t xml:space="preserve"> over the forward estimates period.</w:t>
            </w:r>
            <w:r>
              <w:t xml:space="preserve"> </w:t>
            </w:r>
          </w:p>
          <w:p w14:paraId="2D4F630A" w14:textId="78B5F297" w:rsidR="00A55605" w:rsidRPr="00965AC8" w:rsidRDefault="00D945FA" w:rsidP="00886370">
            <w:pPr>
              <w:pStyle w:val="BodyText"/>
            </w:pPr>
            <w:r>
              <w:t>The</w:t>
            </w:r>
            <w:r w:rsidRPr="00776ACA">
              <w:t xml:space="preserve"> Government’s interest expense as a percentage of revenue is estimated to be </w:t>
            </w:r>
            <w:r w:rsidR="008B4F0A" w:rsidRPr="00965AC8">
              <w:t>5.</w:t>
            </w:r>
            <w:r w:rsidR="00965AC8" w:rsidRPr="00965AC8">
              <w:t>3</w:t>
            </w:r>
            <w:r w:rsidR="00CB3D3E" w:rsidRPr="00965AC8">
              <w:t> </w:t>
            </w:r>
            <w:r w:rsidRPr="00965AC8">
              <w:t>per</w:t>
            </w:r>
            <w:r w:rsidR="00CB3D3E" w:rsidRPr="00965AC8">
              <w:t> </w:t>
            </w:r>
            <w:r w:rsidRPr="00965AC8">
              <w:t xml:space="preserve">cent </w:t>
            </w:r>
            <w:r w:rsidR="008B4F0A" w:rsidRPr="00965AC8">
              <w:t>in</w:t>
            </w:r>
            <w:r w:rsidRPr="00965AC8">
              <w:t xml:space="preserve"> 202</w:t>
            </w:r>
            <w:r w:rsidR="00EF5187" w:rsidRPr="00965AC8">
              <w:t>5</w:t>
            </w:r>
            <w:r w:rsidRPr="00965AC8">
              <w:t>-2</w:t>
            </w:r>
            <w:r w:rsidR="00EF5187" w:rsidRPr="00965AC8">
              <w:t>6</w:t>
            </w:r>
            <w:r w:rsidR="00CE07F5" w:rsidRPr="00965AC8">
              <w:t>. This</w:t>
            </w:r>
            <w:r w:rsidRPr="00965AC8">
              <w:t xml:space="preserve"> is </w:t>
            </w:r>
            <w:r w:rsidR="00E15010" w:rsidRPr="00965AC8">
              <w:t>below</w:t>
            </w:r>
            <w:r w:rsidRPr="00965AC8">
              <w:t xml:space="preserve"> </w:t>
            </w:r>
            <w:r w:rsidR="000B76EE" w:rsidRPr="00965AC8">
              <w:t>6.1</w:t>
            </w:r>
            <w:r w:rsidR="00DA78AE" w:rsidRPr="00965AC8">
              <w:t> </w:t>
            </w:r>
            <w:r w:rsidRPr="00965AC8">
              <w:t>per cent projected at the 202</w:t>
            </w:r>
            <w:r w:rsidR="001163E6" w:rsidRPr="00965AC8">
              <w:t>3</w:t>
            </w:r>
            <w:r w:rsidRPr="00965AC8">
              <w:t xml:space="preserve"> </w:t>
            </w:r>
            <w:r w:rsidR="00A40C9F" w:rsidRPr="00965AC8">
              <w:t>Pre-election Budget Update</w:t>
            </w:r>
            <w:r w:rsidRPr="00965AC8">
              <w:t xml:space="preserve"> (see</w:t>
            </w:r>
            <w:r w:rsidR="00BE1FDF" w:rsidRPr="00965AC8">
              <w:t> </w:t>
            </w:r>
            <w:r w:rsidRPr="00965AC8">
              <w:t>Chart 6.</w:t>
            </w:r>
            <w:r w:rsidR="005E0E7F" w:rsidRPr="00965AC8">
              <w:t>2</w:t>
            </w:r>
            <w:r w:rsidRPr="00965AC8">
              <w:t xml:space="preserve">). </w:t>
            </w:r>
            <w:r w:rsidR="00521FBD" w:rsidRPr="00965AC8">
              <w:t>Nevertheless,</w:t>
            </w:r>
            <w:r w:rsidR="009A3D3D" w:rsidRPr="00965AC8">
              <w:t xml:space="preserve"> interest expense</w:t>
            </w:r>
            <w:r w:rsidR="00521FBD" w:rsidRPr="00965AC8">
              <w:t>s continue to</w:t>
            </w:r>
            <w:r w:rsidR="009A3D3D" w:rsidRPr="00965AC8">
              <w:t xml:space="preserve"> place significant pressure on the Government’s operating </w:t>
            </w:r>
            <w:r w:rsidR="00832BE6" w:rsidRPr="00965AC8">
              <w:t>position</w:t>
            </w:r>
            <w:r w:rsidR="00635441" w:rsidRPr="00965A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art 6.4: Average yields have fallen as the average weighted life of debt has increased"/>
              <w:tblDescription w:val="Chart 6.4: Average yields have fallen as the average weighted life of debt has increased"/>
            </w:tblPr>
            <w:tblGrid>
              <w:gridCol w:w="9272"/>
            </w:tblGrid>
            <w:tr w:rsidR="00A607B6" w:rsidRPr="00B95392" w14:paraId="59700F1C" w14:textId="77777777" w:rsidTr="53614FB4">
              <w:trPr>
                <w:trHeight w:val="3708"/>
              </w:trPr>
              <w:tc>
                <w:tcPr>
                  <w:tcW w:w="9272" w:type="dxa"/>
                  <w:shd w:val="clear" w:color="auto" w:fill="auto"/>
                </w:tcPr>
                <w:p w14:paraId="37C672D8" w14:textId="0E941D1A" w:rsidR="00A607B6" w:rsidRPr="00965AC8" w:rsidRDefault="00A607B6" w:rsidP="003A0629">
                  <w:pPr>
                    <w:pStyle w:val="Chart6X"/>
                    <w:rPr>
                      <w:rFonts w:eastAsia="Arial"/>
                    </w:rPr>
                  </w:pPr>
                  <w:r w:rsidRPr="00965AC8">
                    <w:rPr>
                      <w:rFonts w:eastAsia="Arial"/>
                    </w:rPr>
                    <w:t xml:space="preserve">Interest </w:t>
                  </w:r>
                  <w:r w:rsidR="6FB14E99" w:rsidRPr="00965AC8">
                    <w:rPr>
                      <w:rFonts w:eastAsia="Arial"/>
                    </w:rPr>
                    <w:t>e</w:t>
                  </w:r>
                  <w:r w:rsidRPr="00965AC8">
                    <w:rPr>
                      <w:rFonts w:eastAsia="Arial"/>
                    </w:rPr>
                    <w:t xml:space="preserve">xpense to </w:t>
                  </w:r>
                  <w:r w:rsidR="4F67C6B2" w:rsidRPr="00965AC8">
                    <w:rPr>
                      <w:rFonts w:eastAsia="Arial"/>
                    </w:rPr>
                    <w:t>r</w:t>
                  </w:r>
                  <w:r w:rsidRPr="00965AC8">
                    <w:rPr>
                      <w:rFonts w:eastAsia="Arial"/>
                    </w:rPr>
                    <w:t xml:space="preserve">evenue - </w:t>
                  </w:r>
                  <w:r w:rsidR="00534F21" w:rsidRPr="00965AC8">
                    <w:rPr>
                      <w:rFonts w:eastAsia="Arial"/>
                    </w:rPr>
                    <w:t xml:space="preserve">2023 Pre-election </w:t>
                  </w:r>
                  <w:r w:rsidRPr="00965AC8">
                    <w:rPr>
                      <w:rFonts w:eastAsia="Arial"/>
                    </w:rPr>
                    <w:t xml:space="preserve">Budget </w:t>
                  </w:r>
                  <w:r w:rsidR="00534F21" w:rsidRPr="00965AC8">
                    <w:rPr>
                      <w:rFonts w:eastAsia="Arial"/>
                    </w:rPr>
                    <w:t xml:space="preserve">Update </w:t>
                  </w:r>
                  <w:r w:rsidRPr="00965AC8">
                    <w:rPr>
                      <w:rFonts w:eastAsia="Arial"/>
                    </w:rPr>
                    <w:t xml:space="preserve">vs </w:t>
                  </w:r>
                  <w:r w:rsidR="00534F21" w:rsidRPr="00965AC8">
                    <w:rPr>
                      <w:rFonts w:eastAsia="Arial"/>
                    </w:rPr>
                    <w:t>2023</w:t>
                  </w:r>
                  <w:r w:rsidR="00965AC8">
                    <w:rPr>
                      <w:rFonts w:eastAsia="Arial"/>
                    </w:rPr>
                    <w:noBreakHyphen/>
                  </w:r>
                  <w:r w:rsidR="00534F21" w:rsidRPr="00965AC8">
                    <w:rPr>
                      <w:rFonts w:eastAsia="Arial"/>
                    </w:rPr>
                    <w:t>24</w:t>
                  </w:r>
                  <w:r w:rsidR="00965AC8">
                    <w:rPr>
                      <w:rFonts w:eastAsia="Arial"/>
                    </w:rPr>
                    <w:t> </w:t>
                  </w:r>
                  <w:r w:rsidR="00534F21" w:rsidRPr="00965AC8">
                    <w:rPr>
                      <w:rFonts w:eastAsia="Arial"/>
                    </w:rPr>
                    <w:t>Budget</w:t>
                  </w:r>
                </w:p>
                <w:p w14:paraId="092920E5" w14:textId="504E7088" w:rsidR="00A607B6" w:rsidRPr="00453571" w:rsidRDefault="00063756" w:rsidP="000F21D1">
                  <w:pPr>
                    <w:rPr>
                      <w:rFonts w:eastAsia="Arial"/>
                      <w:lang w:val="en-AU"/>
                    </w:rPr>
                  </w:pPr>
                  <w:r w:rsidRPr="00965AC8">
                    <w:rPr>
                      <w:noProof/>
                    </w:rPr>
                    <w:drawing>
                      <wp:inline distT="0" distB="0" distL="0" distR="0" wp14:anchorId="6C3FE626" wp14:editId="158A1CC1">
                        <wp:extent cx="5750560" cy="2409190"/>
                        <wp:effectExtent l="0" t="0" r="0" b="0"/>
                        <wp:docPr id="6" name="Chart 6" descr="Chart 6.2: Interest expense to revenue - 2023 Pre-election Budget Update vs 2023 24 Budget">
                          <a:extLst xmlns:a="http://schemas.openxmlformats.org/drawingml/2006/main">
                            <a:ext uri="{FF2B5EF4-FFF2-40B4-BE49-F238E27FC236}">
                              <a16:creationId xmlns:a16="http://schemas.microsoft.com/office/drawing/2014/main" id="{D9685184-F894-43C4-AFF9-25A6C1E27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3B008E39" w14:textId="77777777" w:rsidR="00A607B6" w:rsidRPr="00453571" w:rsidRDefault="00A607B6" w:rsidP="00525D77">
            <w:pPr>
              <w:rPr>
                <w:rFonts w:eastAsia="Arial"/>
                <w:lang w:val="en-AU"/>
              </w:rPr>
            </w:pPr>
          </w:p>
        </w:tc>
      </w:tr>
    </w:tbl>
    <w:p w14:paraId="799215B6" w14:textId="311D8A0F" w:rsidR="00DC04E5" w:rsidRDefault="00DC04E5">
      <w:pPr>
        <w:rPr>
          <w:rFonts w:eastAsia="Arial Unicode MS"/>
          <w:lang w:val="en-AU"/>
        </w:rPr>
      </w:pPr>
    </w:p>
    <w:p w14:paraId="5166A7D2" w14:textId="1F397033" w:rsidR="00A607B6" w:rsidRPr="00B95392" w:rsidRDefault="00A607B6" w:rsidP="00A55605">
      <w:pPr>
        <w:pStyle w:val="61Heading2"/>
      </w:pPr>
      <w:r w:rsidRPr="00B95392">
        <w:rPr>
          <w:rFonts w:eastAsia="Arial Unicode MS"/>
        </w:rPr>
        <w:t xml:space="preserve">Net worth continues to </w:t>
      </w:r>
      <w:proofErr w:type="gramStart"/>
      <w:r w:rsidRPr="00B95392">
        <w:rPr>
          <w:rFonts w:eastAsia="Arial Unicode MS"/>
        </w:rPr>
        <w:t>grow</w:t>
      </w:r>
      <w:proofErr w:type="gramEnd"/>
      <w:r w:rsidRPr="00B95392">
        <w:t xml:space="preserve"> </w:t>
      </w:r>
    </w:p>
    <w:p w14:paraId="79462A1C" w14:textId="5C28CE95" w:rsidR="009955AC" w:rsidRPr="00965AC8" w:rsidRDefault="00350384" w:rsidP="00886370">
      <w:pPr>
        <w:pStyle w:val="BodyText"/>
      </w:pPr>
      <w:r>
        <w:t>G</w:t>
      </w:r>
      <w:r w:rsidR="009955AC">
        <w:t xml:space="preserve">eneral government sector net worth </w:t>
      </w:r>
      <w:r w:rsidR="001D5657">
        <w:t>was</w:t>
      </w:r>
      <w:r w:rsidR="00842D80">
        <w:t xml:space="preserve"> </w:t>
      </w:r>
      <w:r w:rsidR="009955AC" w:rsidRPr="00965AC8">
        <w:t>$</w:t>
      </w:r>
      <w:r w:rsidR="003A1B56" w:rsidRPr="00965AC8">
        <w:t>326</w:t>
      </w:r>
      <w:r w:rsidR="00F44A5B" w:rsidRPr="00965AC8">
        <w:t>.</w:t>
      </w:r>
      <w:r w:rsidR="00E412B4" w:rsidRPr="00965AC8">
        <w:t>1</w:t>
      </w:r>
      <w:r w:rsidR="009955AC" w:rsidRPr="00965AC8">
        <w:t xml:space="preserve"> billion </w:t>
      </w:r>
      <w:r w:rsidR="00C85F0C" w:rsidRPr="00965AC8">
        <w:t>at</w:t>
      </w:r>
      <w:r w:rsidR="009955AC" w:rsidRPr="00965AC8">
        <w:t xml:space="preserve"> June 202</w:t>
      </w:r>
      <w:r w:rsidRPr="00965AC8">
        <w:t>3, $</w:t>
      </w:r>
      <w:r w:rsidR="00E412B4" w:rsidRPr="00965AC8">
        <w:t>47.5</w:t>
      </w:r>
      <w:r w:rsidRPr="00965AC8">
        <w:t xml:space="preserve"> billion higher than the projection in the 2023 </w:t>
      </w:r>
      <w:r w:rsidR="00353E28" w:rsidRPr="00965AC8">
        <w:t>Pre-election Budget Update</w:t>
      </w:r>
      <w:r w:rsidR="009955AC" w:rsidRPr="00965AC8">
        <w:t xml:space="preserve">. This is </w:t>
      </w:r>
      <w:r w:rsidR="004F565A" w:rsidRPr="00965AC8">
        <w:t>mostly</w:t>
      </w:r>
      <w:r w:rsidR="009955AC" w:rsidRPr="00965AC8">
        <w:t xml:space="preserve"> driven by </w:t>
      </w:r>
      <w:r w:rsidR="007D75BE" w:rsidRPr="00965AC8">
        <w:t>a</w:t>
      </w:r>
      <w:r w:rsidR="00706ACA" w:rsidRPr="00965AC8">
        <w:t>n upward</w:t>
      </w:r>
      <w:r w:rsidR="007D75BE" w:rsidRPr="00965AC8">
        <w:t xml:space="preserve"> revaluation of the</w:t>
      </w:r>
      <w:r w:rsidR="00260EA4" w:rsidRPr="00965AC8">
        <w:t xml:space="preserve"> State’s</w:t>
      </w:r>
      <w:r w:rsidR="007D75BE" w:rsidRPr="00965AC8">
        <w:t xml:space="preserve"> non-financial assets</w:t>
      </w:r>
      <w:r w:rsidR="00260EA4" w:rsidRPr="00965AC8">
        <w:t xml:space="preserve"> and a </w:t>
      </w:r>
      <w:r w:rsidR="00DD68F5" w:rsidRPr="00965AC8">
        <w:t>better-than-expected operating position in 2022-23</w:t>
      </w:r>
      <w:r w:rsidR="009955AC" w:rsidRPr="00965AC8">
        <w:t xml:space="preserve">. </w:t>
      </w:r>
    </w:p>
    <w:p w14:paraId="6E15127A" w14:textId="6DD78BB2" w:rsidR="00A55605" w:rsidRDefault="009955AC" w:rsidP="00886370">
      <w:pPr>
        <w:pStyle w:val="BodyText"/>
      </w:pPr>
      <w:r w:rsidRPr="00965AC8">
        <w:t>From June 202</w:t>
      </w:r>
      <w:r w:rsidR="00E00E8A" w:rsidRPr="00965AC8">
        <w:t>3</w:t>
      </w:r>
      <w:r w:rsidRPr="00965AC8">
        <w:t xml:space="preserve"> to June 202</w:t>
      </w:r>
      <w:r w:rsidR="00350384" w:rsidRPr="00965AC8">
        <w:t>7,</w:t>
      </w:r>
      <w:r w:rsidRPr="00965AC8">
        <w:t xml:space="preserve"> net worth is </w:t>
      </w:r>
      <w:r w:rsidR="00FF6437" w:rsidRPr="00965AC8">
        <w:t>estimated</w:t>
      </w:r>
      <w:r w:rsidRPr="00965AC8">
        <w:t xml:space="preserve"> to increase by $</w:t>
      </w:r>
      <w:r w:rsidR="00744CCE" w:rsidRPr="00965AC8">
        <w:t>20.</w:t>
      </w:r>
      <w:r w:rsidR="002B1686" w:rsidRPr="00965AC8">
        <w:t>9</w:t>
      </w:r>
      <w:r w:rsidRPr="00965AC8">
        <w:t xml:space="preserve"> billion to $</w:t>
      </w:r>
      <w:r w:rsidR="002B1686" w:rsidRPr="00965AC8">
        <w:t>34</w:t>
      </w:r>
      <w:r w:rsidR="00744CCE" w:rsidRPr="00965AC8">
        <w:t>7</w:t>
      </w:r>
      <w:r w:rsidR="002B1686" w:rsidRPr="00965AC8">
        <w:t>.</w:t>
      </w:r>
      <w:r w:rsidR="00744CCE" w:rsidRPr="00965AC8">
        <w:t>0</w:t>
      </w:r>
      <w:r w:rsidR="00886935" w:rsidRPr="00965AC8">
        <w:t> </w:t>
      </w:r>
      <w:r w:rsidRPr="00965AC8">
        <w:t>billion (see Chart 6.</w:t>
      </w:r>
      <w:r w:rsidR="007A6F18" w:rsidRPr="00965AC8">
        <w:t>3</w:t>
      </w:r>
      <w:r w:rsidRPr="00965AC8">
        <w:t xml:space="preserve">). This increase is driven primarily by a </w:t>
      </w:r>
      <w:r w:rsidR="00494592">
        <w:t>forecast return to budget surpluses from 2024-25</w:t>
      </w:r>
      <w:r w:rsidR="007401FC">
        <w:t xml:space="preserve">, </w:t>
      </w:r>
      <w:r>
        <w:t xml:space="preserve">an increase in </w:t>
      </w:r>
      <w:r w:rsidR="005106C5" w:rsidRPr="002338D0">
        <w:t>the value of the</w:t>
      </w:r>
      <w:r w:rsidR="005106C5">
        <w:t xml:space="preserve"> equity </w:t>
      </w:r>
      <w:r>
        <w:t xml:space="preserve">investments in other public sector </w:t>
      </w:r>
      <w:r w:rsidRPr="00E1785F">
        <w:t xml:space="preserve">entities and the growth of the State’s </w:t>
      </w:r>
      <w:r w:rsidR="00204F5D" w:rsidRPr="00E1785F">
        <w:t>non-financial assets</w:t>
      </w:r>
      <w:r w:rsidRPr="00E1785F">
        <w:t>.</w:t>
      </w:r>
      <w:r w:rsidR="00204F5D" w:rsidRPr="00E1785F">
        <w:t xml:space="preserve"> </w:t>
      </w:r>
      <w:r w:rsidR="006D452C" w:rsidRPr="00E1785F">
        <w:t xml:space="preserve">This is </w:t>
      </w:r>
      <w:r w:rsidR="0011768C" w:rsidRPr="00E1785F">
        <w:t>strengthened by the Government’s prudent management of its balance sheet, without privatis</w:t>
      </w:r>
      <w:r w:rsidR="00193A3F" w:rsidRPr="00E1785F">
        <w:t>ation of public assets.</w:t>
      </w:r>
      <w:r w:rsidR="0011768C">
        <w:t xml:space="preserve"> </w:t>
      </w:r>
    </w:p>
    <w:p w14:paraId="1B527708" w14:textId="77777777" w:rsidR="00D54501" w:rsidRDefault="00D54501">
      <w:pPr>
        <w:rPr>
          <w:rFonts w:ascii="Public Sans" w:hAnsi="Public Sans" w:cs="Arial"/>
          <w:sz w:val="22"/>
          <w:lang w:val="en-AU"/>
        </w:rPr>
      </w:pPr>
      <w:r w:rsidRPr="00453571">
        <w:rPr>
          <w:lang w:val="en-AU"/>
        </w:rPr>
        <w:br w:type="page"/>
      </w:r>
    </w:p>
    <w:p w14:paraId="5A1AA50A" w14:textId="77777777" w:rsidR="00A607B6" w:rsidRPr="00965AC8" w:rsidRDefault="00A607B6" w:rsidP="00A607B6">
      <w:pPr>
        <w:pStyle w:val="Chart6X"/>
      </w:pPr>
      <w:r w:rsidRPr="00965AC8">
        <w:lastRenderedPageBreak/>
        <w:t xml:space="preserve">General government sector net worth to increase over the next four </w:t>
      </w:r>
      <w:proofErr w:type="gramStart"/>
      <w:r w:rsidRPr="00965AC8">
        <w:t>years</w:t>
      </w:r>
      <w:proofErr w:type="gramEnd"/>
    </w:p>
    <w:p w14:paraId="4B3A6645" w14:textId="7450C345" w:rsidR="00A607B6" w:rsidRPr="00453571" w:rsidRDefault="006771D2" w:rsidP="00A607B6">
      <w:pPr>
        <w:rPr>
          <w:lang w:val="en-AU"/>
        </w:rPr>
      </w:pPr>
      <w:r w:rsidRPr="006771D2">
        <w:rPr>
          <w:rFonts w:ascii="Public Sans" w:hAnsi="Public Sans"/>
          <w:noProof/>
        </w:rPr>
        <w:drawing>
          <wp:inline distT="0" distB="0" distL="0" distR="0" wp14:anchorId="59602A85" wp14:editId="55EB133E">
            <wp:extent cx="6120765" cy="2453005"/>
            <wp:effectExtent l="0" t="0" r="0" b="0"/>
            <wp:docPr id="8" name="Chart 8" descr="Chart 6.3: General government sector net worth to increase over the next four years">
              <a:extLst xmlns:a="http://schemas.openxmlformats.org/drawingml/2006/main">
                <a:ext uri="{FF2B5EF4-FFF2-40B4-BE49-F238E27FC236}">
                  <a16:creationId xmlns:a16="http://schemas.microsoft.com/office/drawing/2014/main" id="{93157A92-48AD-47A6-8061-97042EB86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7245A7" w14:textId="77777777" w:rsidR="00A607B6" w:rsidRPr="00B95392" w:rsidRDefault="00A607B6" w:rsidP="00A607B6">
      <w:pPr>
        <w:pStyle w:val="Heading3"/>
        <w:rPr>
          <w:rFonts w:eastAsia="Arial Unicode MS"/>
        </w:rPr>
      </w:pPr>
      <w:r w:rsidRPr="00B95392">
        <w:rPr>
          <w:rFonts w:eastAsia="Arial Unicode MS"/>
        </w:rPr>
        <w:t xml:space="preserve">Financial assets included in net </w:t>
      </w:r>
      <w:proofErr w:type="gramStart"/>
      <w:r w:rsidRPr="00B95392">
        <w:rPr>
          <w:rFonts w:eastAsia="Arial Unicode MS"/>
        </w:rPr>
        <w:t>worth</w:t>
      </w:r>
      <w:proofErr w:type="gramEnd"/>
    </w:p>
    <w:p w14:paraId="3EFBAC6B" w14:textId="041E5725" w:rsidR="00A061D9" w:rsidRPr="00965AC8" w:rsidRDefault="000914DA" w:rsidP="00886370">
      <w:pPr>
        <w:pStyle w:val="BodyText"/>
      </w:pPr>
      <w:bookmarkStart w:id="0" w:name="_Hlk514688603"/>
      <w:r>
        <w:t xml:space="preserve">The State’s total financial assets </w:t>
      </w:r>
      <w:r w:rsidR="002A13A9">
        <w:t>were</w:t>
      </w:r>
      <w:r>
        <w:t xml:space="preserve"> </w:t>
      </w:r>
      <w:r w:rsidRPr="00965AC8">
        <w:t>$</w:t>
      </w:r>
      <w:r w:rsidR="008C620E" w:rsidRPr="00965AC8">
        <w:t>210</w:t>
      </w:r>
      <w:r w:rsidR="00B21930" w:rsidRPr="00965AC8">
        <w:t>.</w:t>
      </w:r>
      <w:r w:rsidR="008C620E" w:rsidRPr="00965AC8">
        <w:t>1</w:t>
      </w:r>
      <w:r w:rsidRPr="00965AC8">
        <w:t xml:space="preserve"> billion at June 202</w:t>
      </w:r>
      <w:r w:rsidR="00B21930" w:rsidRPr="00965AC8">
        <w:t>3</w:t>
      </w:r>
      <w:r w:rsidR="00652AC1" w:rsidRPr="00965AC8">
        <w:rPr>
          <w:rStyle w:val="FootnoteReference"/>
        </w:rPr>
        <w:footnoteReference w:id="6"/>
      </w:r>
      <w:r w:rsidR="00EA0AB1" w:rsidRPr="00965AC8">
        <w:t>, $</w:t>
      </w:r>
      <w:r w:rsidR="008C620E" w:rsidRPr="00965AC8">
        <w:t>21</w:t>
      </w:r>
      <w:r w:rsidR="00AA1DD2" w:rsidRPr="00965AC8">
        <w:t>.6</w:t>
      </w:r>
      <w:r w:rsidR="00EA0AB1" w:rsidRPr="00965AC8">
        <w:t xml:space="preserve"> billion higher than the projection in the 2023 </w:t>
      </w:r>
      <w:r w:rsidR="00B4734C" w:rsidRPr="00965AC8">
        <w:t>Pre-election Budget Update</w:t>
      </w:r>
      <w:r w:rsidR="00EA0AB1" w:rsidRPr="00965AC8">
        <w:t xml:space="preserve">. </w:t>
      </w:r>
      <w:r w:rsidR="000672A1" w:rsidRPr="00965AC8">
        <w:t>This</w:t>
      </w:r>
      <w:r w:rsidR="007E478A" w:rsidRPr="00965AC8">
        <w:t xml:space="preserve"> is</w:t>
      </w:r>
      <w:r w:rsidR="00EA0AB1" w:rsidRPr="00965AC8">
        <w:t xml:space="preserve"> </w:t>
      </w:r>
      <w:r w:rsidR="004F565A" w:rsidRPr="00965AC8">
        <w:t>mainly</w:t>
      </w:r>
      <w:r w:rsidR="00EA0AB1" w:rsidRPr="00965AC8">
        <w:t xml:space="preserve"> driven by a $</w:t>
      </w:r>
      <w:r w:rsidR="00AA1DD2" w:rsidRPr="00965AC8">
        <w:t>11.5</w:t>
      </w:r>
      <w:r w:rsidR="00EA0AB1" w:rsidRPr="00965AC8">
        <w:t xml:space="preserve"> billion increase in equity investments in other public sector </w:t>
      </w:r>
      <w:r w:rsidR="00652AC1" w:rsidRPr="00965AC8">
        <w:t xml:space="preserve">entities </w:t>
      </w:r>
      <w:r w:rsidR="00AA1DD2" w:rsidRPr="00965AC8">
        <w:t xml:space="preserve">due to </w:t>
      </w:r>
      <w:r w:rsidR="00972DC3">
        <w:t xml:space="preserve">mostly </w:t>
      </w:r>
      <w:r w:rsidR="00AA1DD2" w:rsidRPr="00965AC8">
        <w:t>asset revaluation</w:t>
      </w:r>
      <w:r w:rsidR="00EA0AB1" w:rsidRPr="00965AC8">
        <w:t>.</w:t>
      </w:r>
      <w:r w:rsidR="00297C7A" w:rsidRPr="00965AC8">
        <w:t xml:space="preserve"> </w:t>
      </w:r>
    </w:p>
    <w:p w14:paraId="380A39BA" w14:textId="00448BB6" w:rsidR="000914DA" w:rsidRDefault="000914DA" w:rsidP="00886370">
      <w:pPr>
        <w:pStyle w:val="BodyText"/>
      </w:pPr>
      <w:r w:rsidRPr="00965AC8">
        <w:t>Financial assets are forecast to reach $</w:t>
      </w:r>
      <w:r w:rsidR="00E45393" w:rsidRPr="00965AC8">
        <w:t>235.</w:t>
      </w:r>
      <w:r w:rsidR="006A6279" w:rsidRPr="00965AC8">
        <w:t>8</w:t>
      </w:r>
      <w:r w:rsidRPr="00965AC8">
        <w:t xml:space="preserve"> billion by June 202</w:t>
      </w:r>
      <w:r w:rsidR="00B21930" w:rsidRPr="00965AC8">
        <w:t>7</w:t>
      </w:r>
      <w:r w:rsidR="00A67A01" w:rsidRPr="00965AC8">
        <w:t xml:space="preserve"> (see Chart 6.4)</w:t>
      </w:r>
      <w:r w:rsidR="00794651" w:rsidRPr="00965AC8">
        <w:t>,</w:t>
      </w:r>
      <w:r w:rsidRPr="00965AC8">
        <w:t xml:space="preserve"> driven by the </w:t>
      </w:r>
      <w:r w:rsidR="008A30D1" w:rsidRPr="00965AC8">
        <w:t>growth in</w:t>
      </w:r>
      <w:r w:rsidRPr="00965AC8">
        <w:t xml:space="preserve"> </w:t>
      </w:r>
      <w:r w:rsidR="00B21930" w:rsidRPr="00965AC8">
        <w:t>the</w:t>
      </w:r>
      <w:r w:rsidRPr="00965AC8">
        <w:t xml:space="preserve"> State’s investment funds.</w:t>
      </w:r>
    </w:p>
    <w:p w14:paraId="7D99E860" w14:textId="1A965D72" w:rsidR="00A607B6" w:rsidRPr="00B95392" w:rsidRDefault="00A607B6" w:rsidP="00A607B6">
      <w:pPr>
        <w:pStyle w:val="Chart6X"/>
      </w:pPr>
      <w:r w:rsidRPr="00B95392">
        <w:t xml:space="preserve">General government sector </w:t>
      </w:r>
      <w:bookmarkEnd w:id="0"/>
      <w:r w:rsidRPr="00B95392">
        <w:t xml:space="preserve">financial assets increasing over </w:t>
      </w:r>
      <w:proofErr w:type="gramStart"/>
      <w:r w:rsidRPr="00B95392">
        <w:t>time</w:t>
      </w:r>
      <w:proofErr w:type="gramEnd"/>
    </w:p>
    <w:p w14:paraId="1474B951" w14:textId="4E1E6520" w:rsidR="00A607B6" w:rsidRPr="00453571" w:rsidRDefault="00673678" w:rsidP="00A607B6">
      <w:pPr>
        <w:rPr>
          <w:lang w:val="en-AU"/>
        </w:rPr>
      </w:pPr>
      <w:r w:rsidRPr="00673678">
        <w:rPr>
          <w:rFonts w:ascii="Public Sans" w:hAnsi="Public Sans"/>
          <w:noProof/>
        </w:rPr>
        <w:drawing>
          <wp:inline distT="0" distB="0" distL="0" distR="0" wp14:anchorId="7F1A62F9" wp14:editId="05F03013">
            <wp:extent cx="6120765" cy="2453005"/>
            <wp:effectExtent l="0" t="0" r="0" b="0"/>
            <wp:docPr id="10" name="Chart 10" descr="Chart 6.4: General government sector financial assets increasing over time">
              <a:extLst xmlns:a="http://schemas.openxmlformats.org/drawingml/2006/main">
                <a:ext uri="{FF2B5EF4-FFF2-40B4-BE49-F238E27FC236}">
                  <a16:creationId xmlns:a16="http://schemas.microsoft.com/office/drawing/2014/main" id="{39C6C142-E255-4243-B4A4-7BA0E1056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52FA7D" w14:textId="2A3506B2" w:rsidR="00DC04E5" w:rsidRDefault="00DC04E5">
      <w:pPr>
        <w:rPr>
          <w:rFonts w:eastAsia="Arial Unicode MS"/>
          <w:lang w:val="en-AU"/>
        </w:rPr>
      </w:pPr>
    </w:p>
    <w:p w14:paraId="42578B8F" w14:textId="77777777" w:rsidR="00CB5018" w:rsidRDefault="00CB5018">
      <w:pPr>
        <w:rPr>
          <w:rFonts w:ascii="Public Sans SemiBold" w:eastAsia="Arial Unicode MS" w:hAnsi="Public Sans SemiBold"/>
          <w:b/>
          <w:color w:val="22272B"/>
          <w:kern w:val="28"/>
          <w:sz w:val="26"/>
          <w:szCs w:val="36"/>
          <w:lang w:val="en-AU"/>
        </w:rPr>
      </w:pPr>
      <w:r>
        <w:rPr>
          <w:rFonts w:eastAsia="Arial Unicode MS"/>
        </w:rPr>
        <w:br w:type="page"/>
      </w:r>
    </w:p>
    <w:p w14:paraId="5CF61770" w14:textId="3F4482B7" w:rsidR="00A607B6" w:rsidRPr="00B95392" w:rsidRDefault="00A607B6" w:rsidP="00A607B6">
      <w:pPr>
        <w:pStyle w:val="Heading3"/>
        <w:rPr>
          <w:rFonts w:eastAsia="Arial Unicode MS"/>
          <w:bCs/>
        </w:rPr>
      </w:pPr>
      <w:r w:rsidRPr="00B95392">
        <w:rPr>
          <w:rFonts w:eastAsia="Arial Unicode MS"/>
        </w:rPr>
        <w:lastRenderedPageBreak/>
        <w:t xml:space="preserve">Non-financial assets included in net </w:t>
      </w:r>
      <w:proofErr w:type="gramStart"/>
      <w:r w:rsidRPr="00B95392">
        <w:rPr>
          <w:rFonts w:eastAsia="Arial Unicode MS"/>
        </w:rPr>
        <w:t>worth</w:t>
      </w:r>
      <w:proofErr w:type="gramEnd"/>
    </w:p>
    <w:p w14:paraId="72C3310D" w14:textId="20F1F852" w:rsidR="006A2E1C" w:rsidRPr="00CE695D" w:rsidRDefault="006A2E1C" w:rsidP="00886370">
      <w:pPr>
        <w:pStyle w:val="BodyText"/>
      </w:pPr>
      <w:r w:rsidRPr="006A2E1C">
        <w:t xml:space="preserve">The State’s non-financial assets </w:t>
      </w:r>
      <w:r w:rsidR="001D5657">
        <w:t>were</w:t>
      </w:r>
      <w:r w:rsidRPr="006A2E1C">
        <w:t xml:space="preserve"> </w:t>
      </w:r>
      <w:r w:rsidRPr="00CE695D">
        <w:t>$</w:t>
      </w:r>
      <w:r w:rsidR="00075D4C" w:rsidRPr="00CE695D">
        <w:t>364.2</w:t>
      </w:r>
      <w:r w:rsidRPr="00CE695D">
        <w:t xml:space="preserve"> billion </w:t>
      </w:r>
      <w:r w:rsidR="009856FC" w:rsidRPr="00CE695D">
        <w:t>at</w:t>
      </w:r>
      <w:r w:rsidRPr="00CE695D">
        <w:t xml:space="preserve"> June 202</w:t>
      </w:r>
      <w:r w:rsidR="009856FC" w:rsidRPr="00CE695D">
        <w:t>3</w:t>
      </w:r>
      <w:r w:rsidRPr="00CE695D">
        <w:t xml:space="preserve"> ($</w:t>
      </w:r>
      <w:r w:rsidR="00075D4C" w:rsidRPr="00CE695D">
        <w:t>29.0</w:t>
      </w:r>
      <w:r w:rsidRPr="00CE695D">
        <w:t xml:space="preserve"> billion </w:t>
      </w:r>
      <w:r w:rsidR="00DB497A" w:rsidRPr="00CE695D">
        <w:t xml:space="preserve">higher than </w:t>
      </w:r>
      <w:r w:rsidR="00892B40" w:rsidRPr="00CE695D">
        <w:t>the 2023 Pre-election Budget Update</w:t>
      </w:r>
      <w:r w:rsidR="00D72074" w:rsidRPr="00CE695D">
        <w:t xml:space="preserve"> due to upwards revaluations </w:t>
      </w:r>
      <w:r w:rsidR="00312F44" w:rsidRPr="00CE695D">
        <w:t>to land and buildings and infrastructure systems</w:t>
      </w:r>
      <w:r w:rsidR="00540A40" w:rsidRPr="00CE695D">
        <w:t xml:space="preserve">). </w:t>
      </w:r>
      <w:r w:rsidR="00A817A0" w:rsidRPr="00CE695D">
        <w:t>Non-financial assets are</w:t>
      </w:r>
      <w:r w:rsidR="00CC3F2D" w:rsidRPr="00CE695D">
        <w:t xml:space="preserve"> estimated to grow to</w:t>
      </w:r>
      <w:r w:rsidRPr="00CE695D">
        <w:t xml:space="preserve"> $</w:t>
      </w:r>
      <w:r w:rsidR="00CC3F2D" w:rsidRPr="00CE695D">
        <w:t>417.8</w:t>
      </w:r>
      <w:r w:rsidRPr="00CE695D">
        <w:t xml:space="preserve"> billion by June 202</w:t>
      </w:r>
      <w:r w:rsidR="00DB497A" w:rsidRPr="00CE695D">
        <w:t>7</w:t>
      </w:r>
      <w:r w:rsidRPr="00CE695D">
        <w:t xml:space="preserve"> (see Chart 6.</w:t>
      </w:r>
      <w:r w:rsidR="00506A0E" w:rsidRPr="00CE695D">
        <w:t>5</w:t>
      </w:r>
      <w:r w:rsidRPr="00CE695D">
        <w:t>). This expected increase to June</w:t>
      </w:r>
      <w:r w:rsidR="00986521" w:rsidRPr="00CE695D">
        <w:t> </w:t>
      </w:r>
      <w:r w:rsidRPr="00CE695D">
        <w:t>202</w:t>
      </w:r>
      <w:r w:rsidR="00DB497A" w:rsidRPr="00CE695D">
        <w:t>7</w:t>
      </w:r>
      <w:r w:rsidRPr="00CE695D">
        <w:t xml:space="preserve"> is primarily due to:</w:t>
      </w:r>
    </w:p>
    <w:p w14:paraId="453DB12A" w14:textId="0AA6D572" w:rsidR="006A2E1C" w:rsidRPr="00CE695D" w:rsidRDefault="006A2E1C" w:rsidP="00506ED2">
      <w:pPr>
        <w:pStyle w:val="Bullet1"/>
      </w:pPr>
      <w:r w:rsidRPr="00CE695D">
        <w:t xml:space="preserve">a projected increase in the State’s productive infrastructure systems of </w:t>
      </w:r>
      <w:r w:rsidR="00DB497A" w:rsidRPr="00CE695D">
        <w:t>$</w:t>
      </w:r>
      <w:r w:rsidR="00E47070" w:rsidRPr="00CE695D">
        <w:t>38</w:t>
      </w:r>
      <w:r w:rsidR="00DB497A" w:rsidRPr="00CE695D">
        <w:t>.</w:t>
      </w:r>
      <w:r w:rsidR="00E47070" w:rsidRPr="00CE695D">
        <w:t>4</w:t>
      </w:r>
      <w:r w:rsidRPr="00CE695D">
        <w:t xml:space="preserve"> billion from June 2023 to June 202</w:t>
      </w:r>
      <w:r w:rsidR="00DB497A" w:rsidRPr="00CE695D">
        <w:t>7</w:t>
      </w:r>
      <w:r w:rsidR="00506A0E" w:rsidRPr="00CE695D">
        <w:t>,</w:t>
      </w:r>
      <w:r w:rsidRPr="00CE695D">
        <w:t xml:space="preserve"> driven by investment in public transport </w:t>
      </w:r>
      <w:proofErr w:type="gramStart"/>
      <w:r w:rsidRPr="00CE695D">
        <w:t>infrastructure</w:t>
      </w:r>
      <w:proofErr w:type="gramEnd"/>
    </w:p>
    <w:p w14:paraId="283D6BA7" w14:textId="2696E327" w:rsidR="00651296" w:rsidRPr="00CE695D" w:rsidRDefault="006A2E1C" w:rsidP="00506ED2">
      <w:pPr>
        <w:pStyle w:val="Bullet1"/>
      </w:pPr>
      <w:r w:rsidRPr="00CE695D">
        <w:t>a projected increase in the value of land and buildings, of $</w:t>
      </w:r>
      <w:r w:rsidR="00E47070" w:rsidRPr="00CE695D">
        <w:t>16</w:t>
      </w:r>
      <w:r w:rsidR="00B10E65" w:rsidRPr="00CE695D">
        <w:t>.</w:t>
      </w:r>
      <w:r w:rsidR="00E47070" w:rsidRPr="00CE695D">
        <w:t>2</w:t>
      </w:r>
      <w:r w:rsidRPr="00CE695D">
        <w:t xml:space="preserve"> billion from June</w:t>
      </w:r>
      <w:r w:rsidR="00506A0E" w:rsidRPr="00CE695D">
        <w:t> </w:t>
      </w:r>
      <w:r w:rsidRPr="00CE695D">
        <w:t>2023 to June 202</w:t>
      </w:r>
      <w:r w:rsidR="00DB497A" w:rsidRPr="00CE695D">
        <w:t>7</w:t>
      </w:r>
      <w:r w:rsidR="00506A0E" w:rsidRPr="00CE695D">
        <w:t>,</w:t>
      </w:r>
      <w:r w:rsidRPr="00CE695D">
        <w:t xml:space="preserve"> driven by investment in transport, schools, and hospitals.</w:t>
      </w:r>
    </w:p>
    <w:p w14:paraId="6968DD86" w14:textId="5984DCE9" w:rsidR="00A607B6" w:rsidRPr="00CE695D" w:rsidRDefault="00A607B6" w:rsidP="00651296">
      <w:pPr>
        <w:pStyle w:val="Chart6X"/>
        <w:rPr>
          <w:noProof/>
        </w:rPr>
      </w:pPr>
      <w:r w:rsidRPr="00CE695D">
        <w:t>General government sector non-financial assets growing over time due to infrastructure investment</w:t>
      </w:r>
      <w:r w:rsidR="00E11BCA" w:rsidRPr="00CE695D">
        <w:t xml:space="preserve"> and asset </w:t>
      </w:r>
      <w:proofErr w:type="gramStart"/>
      <w:r w:rsidR="00E11BCA" w:rsidRPr="00CE695D">
        <w:t>revaluation</w:t>
      </w:r>
      <w:proofErr w:type="gramEnd"/>
    </w:p>
    <w:p w14:paraId="77075975" w14:textId="5AD30346" w:rsidR="00A607B6" w:rsidRPr="00453571" w:rsidRDefault="00B6059C" w:rsidP="00A607B6">
      <w:pPr>
        <w:rPr>
          <w:lang w:val="en-AU"/>
        </w:rPr>
      </w:pPr>
      <w:r>
        <w:rPr>
          <w:noProof/>
        </w:rPr>
        <w:drawing>
          <wp:inline distT="0" distB="0" distL="0" distR="0" wp14:anchorId="6C318173" wp14:editId="7DEA189C">
            <wp:extent cx="6120765" cy="2315210"/>
            <wp:effectExtent l="0" t="0" r="0" b="0"/>
            <wp:docPr id="2" name="Chart 2" descr="Chart 6.5: General government sector non-financial assets growing over time due to infrastructure investment and asset revaluation">
              <a:extLst xmlns:a="http://schemas.openxmlformats.org/drawingml/2006/main">
                <a:ext uri="{FF2B5EF4-FFF2-40B4-BE49-F238E27FC236}">
                  <a16:creationId xmlns:a16="http://schemas.microsoft.com/office/drawing/2014/main" id="{2800F167-F3C6-4031-8F4A-E9E21CD76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FFE067" w14:textId="77777777" w:rsidR="00A607B6" w:rsidRPr="00B95392" w:rsidRDefault="00A607B6" w:rsidP="00A607B6">
      <w:pPr>
        <w:pStyle w:val="Heading3"/>
        <w:rPr>
          <w:bCs/>
          <w:iCs/>
        </w:rPr>
      </w:pPr>
      <w:r w:rsidRPr="00B95392">
        <w:t xml:space="preserve">Liabilities included in net </w:t>
      </w:r>
      <w:proofErr w:type="gramStart"/>
      <w:r w:rsidRPr="00B95392">
        <w:t>worth</w:t>
      </w:r>
      <w:proofErr w:type="gramEnd"/>
    </w:p>
    <w:p w14:paraId="03A76EF4" w14:textId="6DDBE0D6" w:rsidR="00651296" w:rsidRPr="00CE695D" w:rsidRDefault="007001D8" w:rsidP="00886370">
      <w:pPr>
        <w:pStyle w:val="BodyText"/>
      </w:pPr>
      <w:r w:rsidRPr="007001D8">
        <w:t xml:space="preserve">Total liabilities </w:t>
      </w:r>
      <w:r w:rsidR="0009149B">
        <w:t>we</w:t>
      </w:r>
      <w:r w:rsidRPr="007001D8">
        <w:t xml:space="preserve">re </w:t>
      </w:r>
      <w:r w:rsidR="00EA447E" w:rsidRPr="00CE695D">
        <w:t>$</w:t>
      </w:r>
      <w:r w:rsidR="006457AA" w:rsidRPr="00CE695D">
        <w:t>248.2</w:t>
      </w:r>
      <w:r w:rsidRPr="00CE695D">
        <w:t xml:space="preserve"> billion at June 202</w:t>
      </w:r>
      <w:r w:rsidR="00EA447E" w:rsidRPr="00CE695D">
        <w:t>3</w:t>
      </w:r>
      <w:r w:rsidRPr="00CE695D">
        <w:t xml:space="preserve"> and</w:t>
      </w:r>
      <w:r w:rsidR="00EA447E" w:rsidRPr="00CE695D">
        <w:t xml:space="preserve"> </w:t>
      </w:r>
      <w:r w:rsidR="00343950">
        <w:t xml:space="preserve">are </w:t>
      </w:r>
      <w:r w:rsidR="00EA447E" w:rsidRPr="00CE695D">
        <w:t>projected to</w:t>
      </w:r>
      <w:r w:rsidRPr="00CE695D">
        <w:t xml:space="preserve"> increase to $</w:t>
      </w:r>
      <w:r w:rsidR="006457AA" w:rsidRPr="00CE695D">
        <w:t>30</w:t>
      </w:r>
      <w:r w:rsidR="009A0D0C" w:rsidRPr="00CE695D">
        <w:t>6</w:t>
      </w:r>
      <w:r w:rsidR="006457AA" w:rsidRPr="00CE695D">
        <w:t>.</w:t>
      </w:r>
      <w:r w:rsidR="009A0D0C" w:rsidRPr="00CE695D">
        <w:t>6</w:t>
      </w:r>
      <w:r w:rsidR="00BC54E5">
        <w:t> </w:t>
      </w:r>
      <w:r w:rsidRPr="00CE695D">
        <w:t>billion by June 202</w:t>
      </w:r>
      <w:r w:rsidR="00EA447E" w:rsidRPr="00CE695D">
        <w:t>7</w:t>
      </w:r>
      <w:r w:rsidRPr="00CE695D">
        <w:t xml:space="preserve"> (see Chart 6.</w:t>
      </w:r>
      <w:r w:rsidR="00506A0E" w:rsidRPr="00CE695D">
        <w:t>6</w:t>
      </w:r>
      <w:r w:rsidRPr="00CE695D">
        <w:t xml:space="preserve">). This is predominately driven by the State’s increased borrowings to </w:t>
      </w:r>
      <w:r w:rsidR="0098139F" w:rsidRPr="00CE695D">
        <w:t>fund</w:t>
      </w:r>
      <w:r w:rsidRPr="00CE695D">
        <w:t xml:space="preserve"> the </w:t>
      </w:r>
      <w:r w:rsidR="0072188E" w:rsidRPr="00CE695D">
        <w:t xml:space="preserve">investment in </w:t>
      </w:r>
      <w:r w:rsidRPr="00CE695D">
        <w:t>infrastructure</w:t>
      </w:r>
      <w:r w:rsidR="00651296" w:rsidRPr="00CE695D">
        <w:t xml:space="preserve">. </w:t>
      </w:r>
    </w:p>
    <w:p w14:paraId="215D0500" w14:textId="77777777" w:rsidR="00A607B6" w:rsidRPr="00CE695D" w:rsidRDefault="00A607B6" w:rsidP="00A607B6">
      <w:pPr>
        <w:pStyle w:val="Chart6X"/>
      </w:pPr>
      <w:r w:rsidRPr="00CE695D">
        <w:t xml:space="preserve">Liabilities to increase over the forward </w:t>
      </w:r>
      <w:proofErr w:type="gramStart"/>
      <w:r w:rsidRPr="00CE695D">
        <w:t>estimates</w:t>
      </w:r>
      <w:proofErr w:type="gramEnd"/>
      <w:r w:rsidRPr="00CE695D">
        <w:t xml:space="preserve"> </w:t>
      </w:r>
    </w:p>
    <w:p w14:paraId="08958933" w14:textId="28B1CF00" w:rsidR="00A607B6" w:rsidRPr="00453571" w:rsidRDefault="00F9383E" w:rsidP="00A607B6">
      <w:pPr>
        <w:rPr>
          <w:lang w:val="en-AU"/>
        </w:rPr>
      </w:pPr>
      <w:r>
        <w:rPr>
          <w:noProof/>
        </w:rPr>
        <w:drawing>
          <wp:inline distT="0" distB="0" distL="0" distR="0" wp14:anchorId="485EECEB" wp14:editId="64FC75FE">
            <wp:extent cx="6120765" cy="2296160"/>
            <wp:effectExtent l="0" t="0" r="0" b="0"/>
            <wp:docPr id="13" name="Chart 13" descr="Chart 6.6: Liabilities to increase over the forward estimates ">
              <a:extLst xmlns:a="http://schemas.openxmlformats.org/drawingml/2006/main">
                <a:ext uri="{FF2B5EF4-FFF2-40B4-BE49-F238E27FC236}">
                  <a16:creationId xmlns:a16="http://schemas.microsoft.com/office/drawing/2014/main" id="{2D7AFECE-7F96-4E75-ADFD-E55F694A0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A791B9" w14:textId="405D620E" w:rsidR="009303A1" w:rsidRDefault="002A0B76" w:rsidP="00886370">
      <w:pPr>
        <w:pStyle w:val="BodyText"/>
      </w:pPr>
      <w:r>
        <w:t xml:space="preserve">Borrowings represent the largest liability category on the general </w:t>
      </w:r>
      <w:r w:rsidRPr="00CE695D">
        <w:t>government sector balance sheet</w:t>
      </w:r>
      <w:r w:rsidR="00A704BB" w:rsidRPr="00CE695D">
        <w:t>. They</w:t>
      </w:r>
      <w:r w:rsidRPr="00CE695D">
        <w:t xml:space="preserve"> are projected to increase over the forward estimates from $</w:t>
      </w:r>
      <w:r w:rsidR="003E475E" w:rsidRPr="00CE695D">
        <w:t>132</w:t>
      </w:r>
      <w:r w:rsidR="00EA447E" w:rsidRPr="00CE695D">
        <w:t>.</w:t>
      </w:r>
      <w:r w:rsidR="003E475E" w:rsidRPr="00CE695D">
        <w:t>1</w:t>
      </w:r>
      <w:r w:rsidR="00EA447E" w:rsidRPr="00CE695D">
        <w:t xml:space="preserve"> </w:t>
      </w:r>
      <w:r w:rsidRPr="00CE695D">
        <w:t>billion at June</w:t>
      </w:r>
      <w:r w:rsidR="00D97845" w:rsidRPr="00CE695D">
        <w:t> </w:t>
      </w:r>
      <w:r w:rsidRPr="00CE695D">
        <w:t>202</w:t>
      </w:r>
      <w:r w:rsidR="00EA447E" w:rsidRPr="00CE695D">
        <w:t>3</w:t>
      </w:r>
      <w:r w:rsidRPr="00CE695D">
        <w:t xml:space="preserve"> to $</w:t>
      </w:r>
      <w:r w:rsidR="003E475E" w:rsidRPr="00CE695D">
        <w:t>18</w:t>
      </w:r>
      <w:r w:rsidR="003F20F0" w:rsidRPr="00CE695D">
        <w:t>6</w:t>
      </w:r>
      <w:r w:rsidR="003E475E" w:rsidRPr="00CE695D">
        <w:t>.</w:t>
      </w:r>
      <w:r w:rsidR="003F20F0" w:rsidRPr="00CE695D">
        <w:t>0</w:t>
      </w:r>
      <w:r w:rsidRPr="00CE695D">
        <w:t xml:space="preserve"> billion by June 202</w:t>
      </w:r>
      <w:r w:rsidR="00EA447E" w:rsidRPr="00CE695D">
        <w:t>7</w:t>
      </w:r>
      <w:r w:rsidRPr="00CE695D">
        <w:t>.</w:t>
      </w:r>
      <w:r>
        <w:t xml:space="preserve"> </w:t>
      </w:r>
    </w:p>
    <w:p w14:paraId="1415E1E3" w14:textId="77777777" w:rsidR="00F01171" w:rsidRDefault="00F01171">
      <w:pPr>
        <w:rPr>
          <w:rFonts w:ascii="Public Sans" w:hAnsi="Public Sans" w:cs="Arial"/>
          <w:sz w:val="22"/>
          <w:lang w:val="en-AU"/>
        </w:rPr>
      </w:pPr>
      <w:r>
        <w:br w:type="page"/>
      </w:r>
    </w:p>
    <w:p w14:paraId="53A5A59C" w14:textId="78529538" w:rsidR="002A0B76" w:rsidRDefault="002A0B76" w:rsidP="00886370">
      <w:pPr>
        <w:pStyle w:val="BodyText"/>
      </w:pPr>
      <w:r>
        <w:lastRenderedPageBreak/>
        <w:t>TCorp is the State’s central borrowing authority and seeks to mitigate financing risk through diversification of funding sources and funding types. This includes the issuance of Green and Sustainability bonds through the NSW Sustainability Bond Programme</w:t>
      </w:r>
      <w:r w:rsidRPr="00CE695D">
        <w:t>,</w:t>
      </w:r>
      <w:r>
        <w:t xml:space="preserve"> lengthening the maturity profile and issuing different types of fixed interest instruments to appeal to a broader set of investors.</w:t>
      </w:r>
    </w:p>
    <w:p w14:paraId="1054FD97" w14:textId="76BD0152" w:rsidR="00D41DC7" w:rsidRPr="00CE695D" w:rsidRDefault="00D41DC7" w:rsidP="00886370">
      <w:pPr>
        <w:pStyle w:val="BodyText"/>
      </w:pPr>
      <w:r w:rsidRPr="00CE695D">
        <w:t>The second largest liability of the Government is its defined benefit superannuation liability</w:t>
      </w:r>
      <w:r w:rsidR="00067CE1" w:rsidRPr="00CE695D">
        <w:rPr>
          <w:rStyle w:val="FootnoteReference"/>
        </w:rPr>
        <w:footnoteReference w:id="7"/>
      </w:r>
      <w:r w:rsidR="002C2DE1" w:rsidRPr="00CE695D">
        <w:t>.</w:t>
      </w:r>
      <w:r w:rsidRPr="00CE695D">
        <w:t xml:space="preserve"> The liability was valued at $</w:t>
      </w:r>
      <w:r w:rsidR="003E475E" w:rsidRPr="00CE695D">
        <w:t>40</w:t>
      </w:r>
      <w:r w:rsidRPr="00CE695D">
        <w:t>.</w:t>
      </w:r>
      <w:r w:rsidR="003E475E" w:rsidRPr="00CE695D">
        <w:t>1</w:t>
      </w:r>
      <w:r w:rsidRPr="00CE695D">
        <w:t xml:space="preserve"> billion </w:t>
      </w:r>
      <w:r w:rsidR="002F5048" w:rsidRPr="00CE695D">
        <w:t>at</w:t>
      </w:r>
      <w:r w:rsidR="000E6775" w:rsidRPr="00CE695D">
        <w:t> </w:t>
      </w:r>
      <w:r w:rsidRPr="00CE695D">
        <w:t>June 2023 and is expected to decrease to $</w:t>
      </w:r>
      <w:r w:rsidR="003E475E" w:rsidRPr="00CE695D">
        <w:t>39.2</w:t>
      </w:r>
      <w:r w:rsidR="0024201A" w:rsidRPr="00CE695D">
        <w:t> </w:t>
      </w:r>
      <w:r w:rsidRPr="00CE695D">
        <w:t xml:space="preserve">billion by June 2027. </w:t>
      </w:r>
      <w:r w:rsidR="00086B6A" w:rsidRPr="00CE695D">
        <w:t>In this Budget, t</w:t>
      </w:r>
      <w:r w:rsidR="0001261C" w:rsidRPr="00CE695D">
        <w:t>he Government has adopted a</w:t>
      </w:r>
      <w:r w:rsidRPr="00CE695D">
        <w:t xml:space="preserve"> revised contribution </w:t>
      </w:r>
      <w:r w:rsidR="0001261C" w:rsidRPr="00CE695D">
        <w:t>profile</w:t>
      </w:r>
      <w:r w:rsidR="00592F4D" w:rsidRPr="00CE695D">
        <w:t>,</w:t>
      </w:r>
      <w:r w:rsidR="00FC09C0" w:rsidRPr="00CE695D">
        <w:t xml:space="preserve"> which is</w:t>
      </w:r>
      <w:r w:rsidR="00592F4D" w:rsidRPr="00CE695D">
        <w:t xml:space="preserve"> $1.</w:t>
      </w:r>
      <w:r w:rsidR="003706F4">
        <w:t>7</w:t>
      </w:r>
      <w:r w:rsidR="00592F4D" w:rsidRPr="00CE695D">
        <w:t xml:space="preserve"> billion</w:t>
      </w:r>
      <w:r w:rsidR="00FC09C0" w:rsidRPr="00CE695D">
        <w:t xml:space="preserve"> higher over the four years to 2026-27</w:t>
      </w:r>
      <w:r w:rsidR="00F1635F" w:rsidRPr="00CE695D">
        <w:t xml:space="preserve"> than the previous schedule</w:t>
      </w:r>
      <w:r w:rsidR="00FC09C0" w:rsidRPr="00CE695D">
        <w:t>.</w:t>
      </w:r>
      <w:r w:rsidR="00592F4D" w:rsidRPr="00CE695D">
        <w:t xml:space="preserve"> </w:t>
      </w:r>
      <w:r w:rsidR="00086B6A" w:rsidRPr="00CE695D">
        <w:t>A</w:t>
      </w:r>
      <w:r w:rsidRPr="00CE695D">
        <w:t xml:space="preserve">s a result, Treasury’s actuaries project that the Government is on track to fully fund its </w:t>
      </w:r>
      <w:r w:rsidR="00710E14" w:rsidRPr="00CE695D">
        <w:t xml:space="preserve">superannuation </w:t>
      </w:r>
      <w:r w:rsidRPr="00CE695D">
        <w:t>liabilities by 2040.</w:t>
      </w:r>
    </w:p>
    <w:p w14:paraId="76DAF12E" w14:textId="7FAEA473" w:rsidR="001E0D1E" w:rsidRDefault="00D65C2A" w:rsidP="00886370">
      <w:pPr>
        <w:pStyle w:val="BodyText"/>
      </w:pPr>
      <w:r w:rsidRPr="00CE695D">
        <w:t>Employee provisions, including long service leave, are projected to increase over the forward estimates from $</w:t>
      </w:r>
      <w:r w:rsidR="003679FC" w:rsidRPr="00CE695D">
        <w:t>25.4</w:t>
      </w:r>
      <w:r w:rsidRPr="00CE695D">
        <w:t xml:space="preserve"> billion </w:t>
      </w:r>
      <w:r w:rsidR="002F5048" w:rsidRPr="00CE695D">
        <w:t>at</w:t>
      </w:r>
      <w:r w:rsidRPr="00CE695D">
        <w:t xml:space="preserve"> June 202</w:t>
      </w:r>
      <w:r w:rsidR="005109E1" w:rsidRPr="00CE695D">
        <w:t>3</w:t>
      </w:r>
      <w:r w:rsidRPr="00CE695D">
        <w:t xml:space="preserve"> to $</w:t>
      </w:r>
      <w:r w:rsidR="003679FC" w:rsidRPr="00CE695D">
        <w:t>30.4</w:t>
      </w:r>
      <w:r w:rsidRPr="00CE695D">
        <w:t xml:space="preserve"> billion</w:t>
      </w:r>
      <w:r>
        <w:t xml:space="preserve"> </w:t>
      </w:r>
      <w:r w:rsidR="002F5048">
        <w:t>by</w:t>
      </w:r>
      <w:r>
        <w:t xml:space="preserve"> June 202</w:t>
      </w:r>
      <w:r w:rsidR="005109E1">
        <w:t>7</w:t>
      </w:r>
      <w:r>
        <w:t>.</w:t>
      </w:r>
      <w:r w:rsidR="00651296" w:rsidRPr="00DB3419">
        <w:t xml:space="preserve"> </w:t>
      </w:r>
    </w:p>
    <w:p w14:paraId="2C472BF8" w14:textId="7DBC5251" w:rsidR="007B3A7E" w:rsidRPr="00B95392" w:rsidRDefault="000510A3" w:rsidP="007B3A7E">
      <w:pPr>
        <w:pStyle w:val="61Heading2"/>
      </w:pPr>
      <w:r>
        <w:t>Managing the State’s cash</w:t>
      </w:r>
      <w:r w:rsidR="004D043E">
        <w:t xml:space="preserve"> </w:t>
      </w:r>
      <w:r>
        <w:t xml:space="preserve">flows </w:t>
      </w:r>
    </w:p>
    <w:p w14:paraId="48EF9F94" w14:textId="5141FFE5" w:rsidR="00834EBE" w:rsidRDefault="00E312EA" w:rsidP="00886370">
      <w:pPr>
        <w:pStyle w:val="BodyText"/>
      </w:pPr>
      <w:r>
        <w:t xml:space="preserve">The cash flow statement reports </w:t>
      </w:r>
      <w:r w:rsidR="007C6CF5">
        <w:t>two fiscal measures</w:t>
      </w:r>
      <w:r w:rsidR="0026040F">
        <w:t>, which are</w:t>
      </w:r>
      <w:r w:rsidR="007C6CF5">
        <w:t xml:space="preserve"> </w:t>
      </w:r>
      <w:r w:rsidR="000F4760">
        <w:t>the net increase in cash held</w:t>
      </w:r>
      <w:r w:rsidR="007C6CF5">
        <w:t xml:space="preserve"> and </w:t>
      </w:r>
      <w:r w:rsidR="000A56AF">
        <w:t>cash surplus</w:t>
      </w:r>
      <w:r w:rsidR="00972DC3">
        <w:t>/</w:t>
      </w:r>
      <w:r w:rsidR="008436E8">
        <w:t>(</w:t>
      </w:r>
      <w:r w:rsidR="000A56AF">
        <w:t>deficit</w:t>
      </w:r>
      <w:r w:rsidR="008436E8">
        <w:t>)</w:t>
      </w:r>
      <w:r w:rsidR="004B24BF">
        <w:t>.</w:t>
      </w:r>
      <w:r w:rsidR="005708A6">
        <w:t xml:space="preserve"> The net increase in cash held</w:t>
      </w:r>
      <w:r w:rsidR="00870542">
        <w:t xml:space="preserve"> </w:t>
      </w:r>
      <w:r w:rsidR="00EF10CC">
        <w:t xml:space="preserve">is the sum of net cash flows from </w:t>
      </w:r>
      <w:r w:rsidR="000903D0">
        <w:t>all</w:t>
      </w:r>
      <w:r w:rsidR="00E4388D">
        <w:t xml:space="preserve"> operating, investing</w:t>
      </w:r>
      <w:r w:rsidR="00D425AD">
        <w:t>,</w:t>
      </w:r>
      <w:r w:rsidR="00E4388D">
        <w:t xml:space="preserve"> and financing activities</w:t>
      </w:r>
      <w:r w:rsidR="00A21DF2">
        <w:t>.</w:t>
      </w:r>
      <w:r w:rsidR="00586591">
        <w:t xml:space="preserve"> </w:t>
      </w:r>
      <w:r w:rsidR="00834EBE">
        <w:t>Cash surplus</w:t>
      </w:r>
      <w:r w:rsidR="008436E8">
        <w:t>/</w:t>
      </w:r>
      <w:r w:rsidR="00834EBE">
        <w:t xml:space="preserve">(deficit) comprises net cash from operating activities, plus sales and less purchases of non-financial assets. </w:t>
      </w:r>
    </w:p>
    <w:p w14:paraId="7AF5E1B9" w14:textId="718577FF" w:rsidR="005F6B21" w:rsidRPr="00CB74E9" w:rsidRDefault="00555D34" w:rsidP="00886370">
      <w:pPr>
        <w:pStyle w:val="BodyText"/>
      </w:pPr>
      <w:r w:rsidRPr="006C4063">
        <w:t>This</w:t>
      </w:r>
      <w:r w:rsidR="00B105D7" w:rsidRPr="006C4063">
        <w:t xml:space="preserve"> Budget </w:t>
      </w:r>
      <w:r w:rsidR="00A622E2" w:rsidRPr="006C4063">
        <w:t>projects a</w:t>
      </w:r>
      <w:r w:rsidR="00F5264C" w:rsidRPr="006C4063">
        <w:t xml:space="preserve"> r</w:t>
      </w:r>
      <w:r w:rsidR="00D53802" w:rsidRPr="006C4063">
        <w:t>eturn to a</w:t>
      </w:r>
      <w:r w:rsidR="005A3BA6">
        <w:t xml:space="preserve"> net</w:t>
      </w:r>
      <w:r w:rsidR="00D53802" w:rsidRPr="006C4063">
        <w:t xml:space="preserve"> operating cash </w:t>
      </w:r>
      <w:r w:rsidR="0099599D" w:rsidRPr="003D4C7F">
        <w:t xml:space="preserve">surplus </w:t>
      </w:r>
      <w:r w:rsidR="00D53802" w:rsidRPr="003D4C7F">
        <w:t>in 2023-24</w:t>
      </w:r>
      <w:r w:rsidR="005A3BA6" w:rsidRPr="003D4C7F">
        <w:t>, e</w:t>
      </w:r>
      <w:r w:rsidR="000234A8" w:rsidRPr="003D4C7F">
        <w:t>stimated to be $</w:t>
      </w:r>
      <w:r w:rsidR="0009200F" w:rsidRPr="003D4C7F">
        <w:t>102 million</w:t>
      </w:r>
      <w:r w:rsidR="005A3BA6" w:rsidRPr="003D4C7F">
        <w:t>. This</w:t>
      </w:r>
      <w:r w:rsidR="00626343" w:rsidRPr="003D4C7F">
        <w:t xml:space="preserve"> indicates</w:t>
      </w:r>
      <w:r w:rsidR="00E65D06" w:rsidRPr="003D4C7F">
        <w:t xml:space="preserve"> that the Government </w:t>
      </w:r>
      <w:r w:rsidR="00EB3423" w:rsidRPr="003D4C7F">
        <w:t>will</w:t>
      </w:r>
      <w:r w:rsidR="00E65D06" w:rsidRPr="003D4C7F">
        <w:t xml:space="preserve"> not borrow </w:t>
      </w:r>
      <w:r w:rsidR="005A3BA6" w:rsidRPr="003D4C7F">
        <w:t xml:space="preserve">to fund </w:t>
      </w:r>
      <w:r w:rsidR="00E65D06" w:rsidRPr="003D4C7F">
        <w:t>its operations.</w:t>
      </w:r>
      <w:r w:rsidR="00626343" w:rsidRPr="003D4C7F">
        <w:t xml:space="preserve"> </w:t>
      </w:r>
      <w:r w:rsidR="00B53DFE" w:rsidRPr="003D4C7F">
        <w:t>Th</w:t>
      </w:r>
      <w:r w:rsidR="00983F22" w:rsidRPr="003D4C7F">
        <w:t>is</w:t>
      </w:r>
      <w:r w:rsidR="00B53DFE" w:rsidRPr="003D4C7F">
        <w:t xml:space="preserve"> </w:t>
      </w:r>
      <w:r w:rsidR="00CB74E9" w:rsidRPr="003D4C7F">
        <w:t xml:space="preserve">cash operating surplus is projected to </w:t>
      </w:r>
      <w:r w:rsidR="00896CAF" w:rsidRPr="003D4C7F">
        <w:t>increase</w:t>
      </w:r>
      <w:r w:rsidR="00BA4D54" w:rsidRPr="003D4C7F">
        <w:t xml:space="preserve"> to </w:t>
      </w:r>
      <w:r w:rsidR="002152A5" w:rsidRPr="003D4C7F">
        <w:t xml:space="preserve">$9.6 </w:t>
      </w:r>
      <w:r w:rsidR="00A97EA3" w:rsidRPr="003D4C7F">
        <w:t>billion</w:t>
      </w:r>
      <w:r w:rsidR="006F643D" w:rsidRPr="003D4C7F">
        <w:t xml:space="preserve"> in </w:t>
      </w:r>
      <w:r w:rsidR="002152A5" w:rsidRPr="003D4C7F">
        <w:t>2025-26</w:t>
      </w:r>
      <w:r w:rsidR="006F643D" w:rsidRPr="003D4C7F">
        <w:t>, which</w:t>
      </w:r>
      <w:r w:rsidR="006726B6" w:rsidRPr="003D4C7F">
        <w:t xml:space="preserve"> is $</w:t>
      </w:r>
      <w:r w:rsidR="002152A5" w:rsidRPr="003D4C7F">
        <w:t>1.8</w:t>
      </w:r>
      <w:r w:rsidR="006726B6" w:rsidRPr="003D4C7F">
        <w:t xml:space="preserve"> billion higher than the project</w:t>
      </w:r>
      <w:r w:rsidR="00C92579" w:rsidRPr="003D4C7F">
        <w:t>ion in the 2023 Pre-election Budget Update</w:t>
      </w:r>
      <w:r w:rsidR="009A6BD1" w:rsidRPr="003D4C7F">
        <w:t>. This is</w:t>
      </w:r>
      <w:r w:rsidR="00EE58DB" w:rsidRPr="003D4C7F">
        <w:t xml:space="preserve"> primarily driven by </w:t>
      </w:r>
      <w:r w:rsidR="001A1BB1" w:rsidRPr="003D4C7F">
        <w:t>more</w:t>
      </w:r>
      <w:r w:rsidR="00D17BA2" w:rsidRPr="003D4C7F">
        <w:t xml:space="preserve"> prudent management </w:t>
      </w:r>
      <w:r w:rsidR="00B23A86" w:rsidRPr="003D4C7F">
        <w:t xml:space="preserve">of </w:t>
      </w:r>
      <w:r w:rsidR="00D17BA2" w:rsidRPr="003D4C7F">
        <w:t>revenue</w:t>
      </w:r>
      <w:r w:rsidR="001A1BB1" w:rsidRPr="003D4C7F">
        <w:t>s (e.g.</w:t>
      </w:r>
      <w:r w:rsidR="00BE53E8" w:rsidRPr="003D4C7F">
        <w:t>,</w:t>
      </w:r>
      <w:r w:rsidR="001A1BB1" w:rsidRPr="003D4C7F">
        <w:t xml:space="preserve"> coal royalties)</w:t>
      </w:r>
      <w:r w:rsidR="008F114D" w:rsidRPr="003D4C7F">
        <w:t xml:space="preserve"> by allowing some of the revenue uplift to flow through to the State’s bottom line</w:t>
      </w:r>
      <w:r w:rsidR="005522A3" w:rsidRPr="003D4C7F">
        <w:t xml:space="preserve">, partially offset by the </w:t>
      </w:r>
      <w:r w:rsidR="00214E9C" w:rsidRPr="003D4C7F">
        <w:t>increase in</w:t>
      </w:r>
      <w:r w:rsidR="007E717C" w:rsidRPr="003D4C7F">
        <w:t xml:space="preserve"> Government’s</w:t>
      </w:r>
      <w:r w:rsidR="201A25A5" w:rsidRPr="003D4C7F">
        <w:t xml:space="preserve"> </w:t>
      </w:r>
      <w:r w:rsidR="00093134" w:rsidRPr="003D4C7F">
        <w:t xml:space="preserve">contribution </w:t>
      </w:r>
      <w:r w:rsidR="00787F3B" w:rsidRPr="003D4C7F">
        <w:t>profile</w:t>
      </w:r>
      <w:r w:rsidR="201A25A5" w:rsidRPr="003D4C7F">
        <w:t xml:space="preserve"> for </w:t>
      </w:r>
      <w:r w:rsidR="00093134" w:rsidRPr="003D4C7F">
        <w:t>the defi</w:t>
      </w:r>
      <w:r w:rsidR="00026B09" w:rsidRPr="003D4C7F">
        <w:t>ned superannuation liability</w:t>
      </w:r>
      <w:r w:rsidR="201A25A5" w:rsidRPr="003D4C7F">
        <w:t>.</w:t>
      </w:r>
      <w:r w:rsidR="201A25A5">
        <w:t xml:space="preserve"> </w:t>
      </w:r>
    </w:p>
    <w:p w14:paraId="08027E8A" w14:textId="6C02CA22" w:rsidR="00787F3B" w:rsidRPr="001F726D" w:rsidRDefault="00787F3B" w:rsidP="00886370">
      <w:pPr>
        <w:pStyle w:val="BodyText"/>
      </w:pPr>
      <w:r w:rsidRPr="00787F3B">
        <w:t xml:space="preserve">As the </w:t>
      </w:r>
      <w:r w:rsidR="00F04903">
        <w:t>S</w:t>
      </w:r>
      <w:r w:rsidRPr="00787F3B">
        <w:t>tate continues to invest in infrastructure such as the Sydney Metro project</w:t>
      </w:r>
      <w:r w:rsidR="00A922C7">
        <w:t>s</w:t>
      </w:r>
      <w:r w:rsidRPr="00787F3B">
        <w:t xml:space="preserve">, this results in net cash outflows from investments in non-financial assets. These are estimated to be a net cash outflow </w:t>
      </w:r>
      <w:r w:rsidRPr="003D4C7F">
        <w:t>of $</w:t>
      </w:r>
      <w:r w:rsidR="00766239" w:rsidRPr="003D4C7F">
        <w:t>17.0</w:t>
      </w:r>
      <w:r w:rsidRPr="003D4C7F">
        <w:t xml:space="preserve"> billion in 2023-24 and a total of $</w:t>
      </w:r>
      <w:r w:rsidR="00141FD2" w:rsidRPr="003D4C7F">
        <w:t>7</w:t>
      </w:r>
      <w:r w:rsidR="003D4C7F" w:rsidRPr="003D4C7F">
        <w:t>2</w:t>
      </w:r>
      <w:r w:rsidR="00141FD2" w:rsidRPr="003D4C7F">
        <w:t>.</w:t>
      </w:r>
      <w:r w:rsidR="003D4C7F" w:rsidRPr="003D4C7F">
        <w:t>0</w:t>
      </w:r>
      <w:r w:rsidRPr="003D4C7F">
        <w:t xml:space="preserve"> billion over the four years to 2026-27</w:t>
      </w:r>
      <w:r w:rsidR="008436E8">
        <w:t>.</w:t>
      </w:r>
    </w:p>
    <w:p w14:paraId="06FE0809" w14:textId="25D80850" w:rsidR="00E93F9C" w:rsidRPr="003D4C7F" w:rsidRDefault="0012482F" w:rsidP="00886370">
      <w:pPr>
        <w:pStyle w:val="BodyText"/>
      </w:pPr>
      <w:r w:rsidRPr="003D4C7F">
        <w:t>N</w:t>
      </w:r>
      <w:r w:rsidR="0075196E" w:rsidRPr="003D4C7F">
        <w:t xml:space="preserve">et cash </w:t>
      </w:r>
      <w:r w:rsidR="00D811EC" w:rsidRPr="003D4C7F">
        <w:t>flow</w:t>
      </w:r>
      <w:r w:rsidRPr="003D4C7F">
        <w:t>s</w:t>
      </w:r>
      <w:r w:rsidR="00D811EC" w:rsidRPr="003D4C7F">
        <w:t xml:space="preserve"> from inves</w:t>
      </w:r>
      <w:r w:rsidR="00523B57" w:rsidRPr="003D4C7F">
        <w:t xml:space="preserve">tments in financial assets for </w:t>
      </w:r>
      <w:r w:rsidR="00004D3F" w:rsidRPr="003D4C7F">
        <w:t xml:space="preserve">policy purposes </w:t>
      </w:r>
      <w:r w:rsidR="000F5736" w:rsidRPr="003D4C7F">
        <w:t>represents</w:t>
      </w:r>
      <w:r w:rsidR="00004D3F" w:rsidRPr="003D4C7F">
        <w:t xml:space="preserve"> net cash flows from </w:t>
      </w:r>
      <w:r w:rsidR="00F665BB" w:rsidRPr="003D4C7F">
        <w:t>disposal or return of equity</w:t>
      </w:r>
      <w:r w:rsidR="00E16BA9" w:rsidRPr="003D4C7F">
        <w:t>. This includes</w:t>
      </w:r>
      <w:r w:rsidR="00F665BB" w:rsidRPr="003D4C7F">
        <w:t xml:space="preserve"> net equity injections into</w:t>
      </w:r>
      <w:r w:rsidR="00266040" w:rsidRPr="003D4C7F">
        <w:t xml:space="preserve"> other pub</w:t>
      </w:r>
      <w:r w:rsidR="00DE52A9" w:rsidRPr="003D4C7F">
        <w:t xml:space="preserve">lic sector entities. </w:t>
      </w:r>
      <w:r w:rsidR="008E0485" w:rsidRPr="003D4C7F">
        <w:t xml:space="preserve">In this Budget, </w:t>
      </w:r>
      <w:r w:rsidR="003B3647" w:rsidRPr="003D4C7F">
        <w:t>this investment</w:t>
      </w:r>
      <w:r w:rsidR="00267F61" w:rsidRPr="003D4C7F">
        <w:t xml:space="preserve"> </w:t>
      </w:r>
      <w:r w:rsidR="003B3647" w:rsidRPr="003D4C7F">
        <w:t>is</w:t>
      </w:r>
      <w:r w:rsidR="00267F61" w:rsidRPr="003D4C7F">
        <w:t xml:space="preserve"> </w:t>
      </w:r>
      <w:r w:rsidR="003341D5" w:rsidRPr="003D4C7F">
        <w:t>estimated</w:t>
      </w:r>
      <w:r w:rsidR="00267F61" w:rsidRPr="003D4C7F">
        <w:t xml:space="preserve"> to be </w:t>
      </w:r>
      <w:r w:rsidR="003341D5" w:rsidRPr="003D4C7F">
        <w:t>$</w:t>
      </w:r>
      <w:r w:rsidR="00B13DB4" w:rsidRPr="003D4C7F">
        <w:t>170</w:t>
      </w:r>
      <w:r w:rsidR="003341D5" w:rsidRPr="003D4C7F">
        <w:t xml:space="preserve"> </w:t>
      </w:r>
      <w:r w:rsidR="0009200F" w:rsidRPr="003D4C7F">
        <w:t>million</w:t>
      </w:r>
      <w:r w:rsidR="007C3391" w:rsidRPr="003D4C7F">
        <w:t xml:space="preserve"> net cash </w:t>
      </w:r>
      <w:r w:rsidR="005745E9" w:rsidRPr="003D4C7F">
        <w:t>out</w:t>
      </w:r>
      <w:r w:rsidR="007C3391" w:rsidRPr="003D4C7F">
        <w:t>flows</w:t>
      </w:r>
      <w:r w:rsidR="003341D5" w:rsidRPr="003D4C7F">
        <w:t xml:space="preserve"> </w:t>
      </w:r>
      <w:r w:rsidR="0009200F" w:rsidRPr="003D4C7F">
        <w:t xml:space="preserve">in </w:t>
      </w:r>
      <w:r w:rsidR="008E35AA" w:rsidRPr="003D4C7F">
        <w:t>2023-24</w:t>
      </w:r>
      <w:r w:rsidR="003341D5" w:rsidRPr="003D4C7F">
        <w:t xml:space="preserve">, </w:t>
      </w:r>
      <w:r w:rsidR="009219E3" w:rsidRPr="003D4C7F">
        <w:t xml:space="preserve">compared to </w:t>
      </w:r>
      <w:r w:rsidR="003341D5" w:rsidRPr="003D4C7F">
        <w:t>$</w:t>
      </w:r>
      <w:r w:rsidR="005745E9" w:rsidRPr="003D4C7F">
        <w:t>2.3</w:t>
      </w:r>
      <w:r w:rsidR="003341D5" w:rsidRPr="003D4C7F">
        <w:t xml:space="preserve"> billion </w:t>
      </w:r>
      <w:r w:rsidR="00D40933" w:rsidRPr="003D4C7F">
        <w:t>net cash outflows projected</w:t>
      </w:r>
      <w:r w:rsidR="003341D5" w:rsidRPr="003D4C7F">
        <w:t xml:space="preserve"> in the 2023 </w:t>
      </w:r>
      <w:r w:rsidR="00FB5EBC" w:rsidRPr="003D4C7F">
        <w:br w:type="textWrapping" w:clear="all"/>
      </w:r>
      <w:r w:rsidR="003341D5" w:rsidRPr="003D4C7F">
        <w:t>Pre-election Budget Update</w:t>
      </w:r>
      <w:r w:rsidR="008E0485" w:rsidRPr="003D4C7F">
        <w:t xml:space="preserve">. </w:t>
      </w:r>
      <w:r w:rsidR="0071010E" w:rsidRPr="003D4C7F">
        <w:t xml:space="preserve">Previously, </w:t>
      </w:r>
      <w:r w:rsidR="00756215" w:rsidRPr="003D4C7F">
        <w:t xml:space="preserve">payments </w:t>
      </w:r>
      <w:r w:rsidR="005362E4" w:rsidRPr="003D4C7F">
        <w:t xml:space="preserve">to </w:t>
      </w:r>
      <w:r w:rsidR="002A4CB8" w:rsidRPr="003D4C7F">
        <w:t>TAHE</w:t>
      </w:r>
      <w:r w:rsidR="00C93055" w:rsidRPr="003D4C7F">
        <w:t xml:space="preserve"> </w:t>
      </w:r>
      <w:r w:rsidR="00756215" w:rsidRPr="003D4C7F">
        <w:t xml:space="preserve">were included in net cash flows from investments </w:t>
      </w:r>
      <w:r w:rsidR="00355F57" w:rsidRPr="003D4C7F">
        <w:t xml:space="preserve">in financial assets for policy purposes. </w:t>
      </w:r>
      <w:r w:rsidR="006971AB" w:rsidRPr="003D4C7F">
        <w:t xml:space="preserve">These payments have been reclassified </w:t>
      </w:r>
      <w:r w:rsidR="001C5561" w:rsidRPr="003D4C7F">
        <w:t>to</w:t>
      </w:r>
      <w:r w:rsidR="00C93055" w:rsidRPr="003D4C7F">
        <w:t xml:space="preserve"> cash </w:t>
      </w:r>
      <w:r w:rsidR="00E34E8B" w:rsidRPr="003D4C7F">
        <w:t>payment</w:t>
      </w:r>
      <w:r w:rsidR="008D2E11" w:rsidRPr="003D4C7F">
        <w:t>s</w:t>
      </w:r>
      <w:r w:rsidR="00C93055" w:rsidRPr="003D4C7F">
        <w:t xml:space="preserve"> </w:t>
      </w:r>
      <w:r w:rsidR="004A73CD" w:rsidRPr="003D4C7F">
        <w:t>from</w:t>
      </w:r>
      <w:r w:rsidR="00C93055" w:rsidRPr="003D4C7F">
        <w:t xml:space="preserve"> operating activities in line with the </w:t>
      </w:r>
      <w:r w:rsidR="00E34E8B" w:rsidRPr="003D4C7F">
        <w:t>a</w:t>
      </w:r>
      <w:r w:rsidR="00C93055" w:rsidRPr="003D4C7F">
        <w:t xml:space="preserve">ccounting </w:t>
      </w:r>
      <w:r w:rsidR="00E34E8B" w:rsidRPr="003D4C7F">
        <w:t>s</w:t>
      </w:r>
      <w:r w:rsidR="00C93055" w:rsidRPr="003D4C7F">
        <w:t>tandard.</w:t>
      </w:r>
      <w:r w:rsidR="00B76A38" w:rsidRPr="003D4C7F">
        <w:t xml:space="preserve">  </w:t>
      </w:r>
      <w:r w:rsidR="00333BF3" w:rsidRPr="003D4C7F">
        <w:t xml:space="preserve"> </w:t>
      </w:r>
    </w:p>
    <w:p w14:paraId="6921323A" w14:textId="3A5C9DF1" w:rsidR="0012482F" w:rsidRPr="003D4C7F" w:rsidRDefault="0012482F" w:rsidP="00886370">
      <w:pPr>
        <w:pStyle w:val="BodyText"/>
      </w:pPr>
      <w:r w:rsidRPr="003D4C7F">
        <w:t xml:space="preserve">Net cash flows from investments in financial assets for liquidity purposes include </w:t>
      </w:r>
      <w:r w:rsidR="004D2A1F" w:rsidRPr="003D4C7F">
        <w:t xml:space="preserve">the contributions </w:t>
      </w:r>
      <w:r w:rsidR="00E93F9C" w:rsidRPr="003D4C7F">
        <w:t xml:space="preserve">into </w:t>
      </w:r>
      <w:r w:rsidR="001B518A" w:rsidRPr="003D4C7F">
        <w:t xml:space="preserve">and </w:t>
      </w:r>
      <w:r w:rsidR="00A73702" w:rsidRPr="003D4C7F">
        <w:t>withdrawal</w:t>
      </w:r>
      <w:r w:rsidR="001B518A" w:rsidRPr="003D4C7F">
        <w:t xml:space="preserve"> from the </w:t>
      </w:r>
      <w:r w:rsidR="009E5BC2" w:rsidRPr="003D4C7F">
        <w:t xml:space="preserve">State’s </w:t>
      </w:r>
      <w:r w:rsidR="004D047D" w:rsidRPr="003D4C7F">
        <w:t>investment</w:t>
      </w:r>
      <w:r w:rsidR="009E5BC2" w:rsidRPr="003D4C7F">
        <w:t xml:space="preserve"> funds, such as the </w:t>
      </w:r>
      <w:r w:rsidR="00D6766C" w:rsidRPr="003D4C7F">
        <w:t>NGF</w:t>
      </w:r>
      <w:r w:rsidR="00155574" w:rsidRPr="003D4C7F">
        <w:t xml:space="preserve"> and NIFF</w:t>
      </w:r>
      <w:r w:rsidR="009E5BC2" w:rsidRPr="003D4C7F">
        <w:t xml:space="preserve">. In 2023-24, </w:t>
      </w:r>
      <w:r w:rsidR="00C32F7D" w:rsidRPr="003D4C7F">
        <w:t>p</w:t>
      </w:r>
      <w:r w:rsidR="00E51CE9" w:rsidRPr="003D4C7F">
        <w:t>ayment</w:t>
      </w:r>
      <w:r w:rsidR="00107235" w:rsidRPr="003D4C7F">
        <w:t xml:space="preserve"> for purchases of investment</w:t>
      </w:r>
      <w:r w:rsidR="00C32F7D" w:rsidRPr="003D4C7F">
        <w:t>s is $</w:t>
      </w:r>
      <w:r w:rsidR="00321920" w:rsidRPr="003D4C7F">
        <w:t>7</w:t>
      </w:r>
      <w:r w:rsidR="00C32F7D" w:rsidRPr="003D4C7F">
        <w:t>.</w:t>
      </w:r>
      <w:r w:rsidR="00321920" w:rsidRPr="003D4C7F">
        <w:t>0</w:t>
      </w:r>
      <w:r w:rsidR="00C32F7D" w:rsidRPr="003D4C7F">
        <w:t xml:space="preserve"> billion lower than </w:t>
      </w:r>
      <w:r w:rsidR="00F66167" w:rsidRPr="003D4C7F">
        <w:t>project</w:t>
      </w:r>
      <w:r w:rsidR="00F32F9D" w:rsidRPr="003D4C7F">
        <w:t xml:space="preserve">ed in </w:t>
      </w:r>
      <w:r w:rsidR="00C32F7D" w:rsidRPr="003D4C7F">
        <w:t>the 2023</w:t>
      </w:r>
      <w:r w:rsidR="00285F04" w:rsidRPr="003D4C7F">
        <w:t> </w:t>
      </w:r>
      <w:r w:rsidR="00C32F7D" w:rsidRPr="003D4C7F">
        <w:t>Pre</w:t>
      </w:r>
      <w:r w:rsidR="00B035D7" w:rsidRPr="003D4C7F">
        <w:noBreakHyphen/>
      </w:r>
      <w:r w:rsidR="00C32F7D" w:rsidRPr="003D4C7F">
        <w:t>election Budget Update</w:t>
      </w:r>
      <w:r w:rsidR="00301B3E" w:rsidRPr="003D4C7F">
        <w:t>. This was</w:t>
      </w:r>
      <w:r w:rsidR="007C29CA" w:rsidRPr="003D4C7F">
        <w:t xml:space="preserve"> led by the Government’s decision</w:t>
      </w:r>
      <w:r w:rsidR="00C32F7D" w:rsidRPr="003D4C7F">
        <w:t xml:space="preserve"> to </w:t>
      </w:r>
      <w:r w:rsidR="00F66167" w:rsidRPr="003D4C7F">
        <w:t xml:space="preserve">temporarily </w:t>
      </w:r>
      <w:r w:rsidR="007C29CA" w:rsidRPr="003D4C7F">
        <w:t xml:space="preserve">suspend </w:t>
      </w:r>
      <w:r w:rsidR="006B3B25" w:rsidRPr="003D4C7F">
        <w:t>contribution</w:t>
      </w:r>
      <w:r w:rsidR="00F32F9D" w:rsidRPr="003D4C7F">
        <w:t>s</w:t>
      </w:r>
      <w:r w:rsidR="006B3B25" w:rsidRPr="003D4C7F">
        <w:t xml:space="preserve"> </w:t>
      </w:r>
      <w:r w:rsidR="00D6766C" w:rsidRPr="003D4C7F">
        <w:t xml:space="preserve">into the </w:t>
      </w:r>
      <w:r w:rsidR="0090519C">
        <w:t>NGF</w:t>
      </w:r>
      <w:r w:rsidR="00F66167" w:rsidRPr="003D4C7F">
        <w:t xml:space="preserve"> in 2023-24</w:t>
      </w:r>
      <w:r w:rsidR="00C31A08" w:rsidRPr="003D4C7F">
        <w:t>,</w:t>
      </w:r>
      <w:r w:rsidR="0083510F" w:rsidRPr="003D4C7F">
        <w:t xml:space="preserve"> </w:t>
      </w:r>
      <w:r w:rsidR="00C31A08" w:rsidRPr="003D4C7F">
        <w:t>with c</w:t>
      </w:r>
      <w:r w:rsidR="0083510F" w:rsidRPr="003D4C7F">
        <w:t xml:space="preserve">ontributions </w:t>
      </w:r>
      <w:r w:rsidR="00331D45" w:rsidRPr="003D4C7F">
        <w:t>b</w:t>
      </w:r>
      <w:r w:rsidR="00C31A08" w:rsidRPr="003D4C7F">
        <w:t>udgeted</w:t>
      </w:r>
      <w:r w:rsidR="0083510F" w:rsidRPr="003D4C7F">
        <w:t xml:space="preserve"> </w:t>
      </w:r>
      <w:r w:rsidR="00CB690B" w:rsidRPr="003D4C7F">
        <w:t>from</w:t>
      </w:r>
      <w:r w:rsidR="0083510F" w:rsidRPr="003D4C7F">
        <w:t xml:space="preserve"> 2024-25</w:t>
      </w:r>
      <w:r w:rsidR="00CB690B" w:rsidRPr="003D4C7F">
        <w:t xml:space="preserve"> to 2026-27</w:t>
      </w:r>
      <w:r w:rsidR="006B3B25" w:rsidRPr="003D4C7F">
        <w:t>.</w:t>
      </w:r>
    </w:p>
    <w:p w14:paraId="16E30886" w14:textId="77777777" w:rsidR="00521436" w:rsidRDefault="00521436" w:rsidP="00886370">
      <w:pPr>
        <w:pStyle w:val="BodyText"/>
      </w:pPr>
    </w:p>
    <w:p w14:paraId="65F3694D" w14:textId="14E100A9" w:rsidR="00FE52A1" w:rsidRDefault="006B3B25" w:rsidP="00886370">
      <w:pPr>
        <w:pStyle w:val="BodyText"/>
      </w:pPr>
      <w:r w:rsidRPr="003D4C7F">
        <w:lastRenderedPageBreak/>
        <w:t>T</w:t>
      </w:r>
      <w:r w:rsidR="001623B3" w:rsidRPr="003D4C7F">
        <w:t>he</w:t>
      </w:r>
      <w:r w:rsidR="002614E7" w:rsidRPr="003D4C7F">
        <w:t xml:space="preserve"> </w:t>
      </w:r>
      <w:r w:rsidR="017F29E5" w:rsidRPr="003D4C7F">
        <w:t>g</w:t>
      </w:r>
      <w:r w:rsidR="31A915FB" w:rsidRPr="003D4C7F">
        <w:t xml:space="preserve">eneral </w:t>
      </w:r>
      <w:r w:rsidR="0E5EAA04" w:rsidRPr="003D4C7F">
        <w:t>g</w:t>
      </w:r>
      <w:r w:rsidR="31A915FB" w:rsidRPr="003D4C7F">
        <w:t xml:space="preserve">overnment </w:t>
      </w:r>
      <w:r w:rsidR="285E915A" w:rsidRPr="003D4C7F">
        <w:t>s</w:t>
      </w:r>
      <w:r w:rsidR="31A915FB" w:rsidRPr="003D4C7F">
        <w:t>ector</w:t>
      </w:r>
      <w:r w:rsidR="001623B3" w:rsidRPr="003D4C7F">
        <w:t xml:space="preserve"> cash deficit is estimated to be $</w:t>
      </w:r>
      <w:r w:rsidR="008F6506" w:rsidRPr="003D4C7F">
        <w:t>4</w:t>
      </w:r>
      <w:r w:rsidR="003D4C7F" w:rsidRPr="003D4C7F">
        <w:t>3.3</w:t>
      </w:r>
      <w:r w:rsidR="001623B3" w:rsidRPr="003D4C7F">
        <w:t xml:space="preserve"> billion</w:t>
      </w:r>
      <w:r>
        <w:t xml:space="preserve"> </w:t>
      </w:r>
      <w:r w:rsidR="00BC2B60">
        <w:t xml:space="preserve">over </w:t>
      </w:r>
      <w:r w:rsidR="00E17C0E">
        <w:t xml:space="preserve">the </w:t>
      </w:r>
      <w:r w:rsidR="00BC2B60">
        <w:t>four years</w:t>
      </w:r>
      <w:r w:rsidR="005502FB">
        <w:t xml:space="preserve"> to </w:t>
      </w:r>
      <w:r w:rsidR="00BC2B60">
        <w:t>2026-27</w:t>
      </w:r>
      <w:r w:rsidR="006A0E29">
        <w:t>. It</w:t>
      </w:r>
      <w:r w:rsidR="00880501">
        <w:t xml:space="preserve"> reflects</w:t>
      </w:r>
      <w:r w:rsidR="005502FB">
        <w:t xml:space="preserve"> the </w:t>
      </w:r>
      <w:r w:rsidR="00681748">
        <w:t>Government’s</w:t>
      </w:r>
      <w:r w:rsidR="005502FB">
        <w:t xml:space="preserve"> </w:t>
      </w:r>
      <w:r w:rsidR="001D4E98">
        <w:t xml:space="preserve">investment </w:t>
      </w:r>
      <w:r w:rsidR="00BC2B60">
        <w:t xml:space="preserve">in </w:t>
      </w:r>
      <w:r w:rsidR="006A0E29">
        <w:t>its infrastructure</w:t>
      </w:r>
      <w:r w:rsidR="005502FB">
        <w:t>.</w:t>
      </w:r>
      <w:r w:rsidR="0029511A">
        <w:t xml:space="preserve"> </w:t>
      </w:r>
      <w:r w:rsidR="007C448F">
        <w:t xml:space="preserve">This cash deficit </w:t>
      </w:r>
      <w:proofErr w:type="gramStart"/>
      <w:r w:rsidR="00FA6722">
        <w:t>has</w:t>
      </w:r>
      <w:r w:rsidR="003F7399">
        <w:t xml:space="preserve"> to</w:t>
      </w:r>
      <w:proofErr w:type="gramEnd"/>
      <w:r w:rsidR="003F7399">
        <w:t xml:space="preserve"> be</w:t>
      </w:r>
      <w:r w:rsidR="002A73C8">
        <w:t xml:space="preserve"> </w:t>
      </w:r>
      <w:r w:rsidR="003F7399">
        <w:t>largely funded</w:t>
      </w:r>
      <w:r w:rsidR="002A73C8">
        <w:t xml:space="preserve"> by new borrowings</w:t>
      </w:r>
      <w:r w:rsidR="0000258C">
        <w:t xml:space="preserve">, which </w:t>
      </w:r>
      <w:r w:rsidR="004E3153">
        <w:t>is the main driver of the increase in gross debt.</w:t>
      </w:r>
      <w:r w:rsidR="00306818">
        <w:t xml:space="preserve"> </w:t>
      </w:r>
      <w:r w:rsidR="00FC11F2">
        <w:t>The</w:t>
      </w:r>
      <w:r w:rsidR="00712DA9">
        <w:t xml:space="preserve"> cash deficit </w:t>
      </w:r>
      <w:r w:rsidR="00FC11F2">
        <w:t xml:space="preserve">has improved slightly since </w:t>
      </w:r>
      <w:r w:rsidR="009F4390">
        <w:t xml:space="preserve">the </w:t>
      </w:r>
      <w:r w:rsidR="00712DA9" w:rsidDel="00FC11F2">
        <w:t>2023 Pre-election Budget Update.</w:t>
      </w:r>
      <w:r w:rsidR="00FC11F2">
        <w:t xml:space="preserve"> </w:t>
      </w:r>
    </w:p>
    <w:p w14:paraId="7C1B876C" w14:textId="76B24DBB" w:rsidR="009A1370" w:rsidRPr="003D4C7F" w:rsidRDefault="170A399F" w:rsidP="00261710">
      <w:pPr>
        <w:pStyle w:val="Chart6X"/>
        <w:keepNext/>
      </w:pPr>
      <w:r w:rsidRPr="003D4C7F">
        <w:t xml:space="preserve">General </w:t>
      </w:r>
      <w:r w:rsidR="2915DB0C" w:rsidRPr="003D4C7F">
        <w:t>g</w:t>
      </w:r>
      <w:r w:rsidRPr="003D4C7F">
        <w:t xml:space="preserve">overnment </w:t>
      </w:r>
      <w:r w:rsidR="76237ED2" w:rsidRPr="003D4C7F">
        <w:t>s</w:t>
      </w:r>
      <w:r w:rsidRPr="003D4C7F">
        <w:t xml:space="preserve">ector </w:t>
      </w:r>
      <w:r w:rsidR="41A428A6" w:rsidRPr="003D4C7F">
        <w:t>c</w:t>
      </w:r>
      <w:r w:rsidR="56DA7BCA" w:rsidRPr="003D4C7F">
        <w:t xml:space="preserve">ash </w:t>
      </w:r>
      <w:r w:rsidR="2950FE71" w:rsidRPr="003D4C7F">
        <w:t>s</w:t>
      </w:r>
      <w:r w:rsidR="56DA7BCA" w:rsidRPr="003D4C7F">
        <w:t>urplus</w:t>
      </w:r>
      <w:r w:rsidRPr="003D4C7F">
        <w:t>/</w:t>
      </w:r>
      <w:r w:rsidR="004E7863">
        <w:t>(</w:t>
      </w:r>
      <w:r w:rsidR="0467F7FD" w:rsidRPr="003D4C7F">
        <w:t>d</w:t>
      </w:r>
      <w:r w:rsidRPr="003D4C7F">
        <w:t>eficits</w:t>
      </w:r>
      <w:r w:rsidR="004E7863">
        <w:t>)</w:t>
      </w:r>
      <w:r w:rsidR="00B16E6A" w:rsidRPr="003D4C7F">
        <w:t xml:space="preserve"> </w:t>
      </w:r>
    </w:p>
    <w:p w14:paraId="6E20876A" w14:textId="461B3FFB" w:rsidR="009A4EC5" w:rsidRPr="00FC38EF" w:rsidRDefault="00BD64DB" w:rsidP="00886370">
      <w:pPr>
        <w:pStyle w:val="BodyText"/>
      </w:pPr>
      <w:r>
        <w:rPr>
          <w:noProof/>
        </w:rPr>
        <w:drawing>
          <wp:inline distT="0" distB="0" distL="0" distR="0" wp14:anchorId="1E724E56" wp14:editId="18196884">
            <wp:extent cx="6120765" cy="2751455"/>
            <wp:effectExtent l="0" t="0" r="0" b="0"/>
            <wp:docPr id="17" name="Chart 17" descr="Chart 6.7: General government sector cash surplus/(deficits) ">
              <a:extLst xmlns:a="http://schemas.openxmlformats.org/drawingml/2006/main">
                <a:ext uri="{FF2B5EF4-FFF2-40B4-BE49-F238E27FC236}">
                  <a16:creationId xmlns:a16="http://schemas.microsoft.com/office/drawing/2014/main" id="{1D4EBCF7-39A5-4B62-BB41-A4F8FBD2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9A4EC5" w:rsidRPr="00FC38EF" w:rsidSect="00020DE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F0D0" w14:textId="77777777" w:rsidR="00CB2A60" w:rsidRDefault="00CB2A60">
      <w:r>
        <w:separator/>
      </w:r>
    </w:p>
  </w:endnote>
  <w:endnote w:type="continuationSeparator" w:id="0">
    <w:p w14:paraId="5F79682B" w14:textId="77777777" w:rsidR="00CB2A60" w:rsidRDefault="00CB2A60">
      <w:r>
        <w:continuationSeparator/>
      </w:r>
    </w:p>
  </w:endnote>
  <w:endnote w:type="continuationNotice" w:id="1">
    <w:p w14:paraId="7E940514" w14:textId="77777777" w:rsidR="00CB2A60" w:rsidRDefault="00CB2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F6F" w14:textId="67CD26DE" w:rsidR="0013173E" w:rsidRPr="00631FFC" w:rsidRDefault="00651296" w:rsidP="00631FFC">
    <w:pPr>
      <w:pBdr>
        <w:top w:val="single" w:sz="4" w:space="4" w:color="auto"/>
      </w:pBdr>
      <w:tabs>
        <w:tab w:val="right" w:pos="9639"/>
      </w:tabs>
      <w:rPr>
        <w:rFonts w:ascii="Public Sans" w:hAnsi="Public Sans" w:cs="Arial"/>
        <w:noProof/>
        <w:sz w:val="18"/>
        <w:szCs w:val="18"/>
      </w:rPr>
    </w:pPr>
    <w:r w:rsidRPr="00D12AC0">
      <w:rPr>
        <w:rFonts w:ascii="Public Sans" w:hAnsi="Public Sans" w:cs="Arial"/>
        <w:sz w:val="18"/>
        <w:szCs w:val="18"/>
      </w:rPr>
      <w:t>6</w:t>
    </w:r>
    <w:r w:rsidR="009E5213" w:rsidRPr="00D12AC0">
      <w:rPr>
        <w:rFonts w:ascii="Public Sans" w:hAnsi="Public Sans" w:cs="Arial"/>
        <w:sz w:val="18"/>
        <w:szCs w:val="18"/>
      </w:rPr>
      <w:t xml:space="preserve"> - </w:t>
    </w:r>
    <w:r w:rsidR="009E5213" w:rsidRPr="00D12AC0">
      <w:rPr>
        <w:rFonts w:ascii="Public Sans" w:hAnsi="Public Sans" w:cs="Arial"/>
        <w:sz w:val="18"/>
        <w:szCs w:val="18"/>
      </w:rPr>
      <w:fldChar w:fldCharType="begin"/>
    </w:r>
    <w:r w:rsidR="009E5213" w:rsidRPr="00D12AC0">
      <w:rPr>
        <w:rFonts w:ascii="Public Sans" w:hAnsi="Public Sans" w:cs="Arial"/>
        <w:sz w:val="18"/>
        <w:szCs w:val="18"/>
      </w:rPr>
      <w:instrText xml:space="preserve"> PAGE   \* MERGEFORMAT </w:instrText>
    </w:r>
    <w:r w:rsidR="009E5213" w:rsidRPr="00D12AC0">
      <w:rPr>
        <w:rFonts w:ascii="Public Sans" w:hAnsi="Public Sans" w:cs="Arial"/>
        <w:sz w:val="18"/>
        <w:szCs w:val="18"/>
      </w:rPr>
      <w:fldChar w:fldCharType="separate"/>
    </w:r>
    <w:r w:rsidR="009E5213" w:rsidRPr="00D12AC0">
      <w:rPr>
        <w:rFonts w:ascii="Public Sans" w:hAnsi="Public Sans" w:cs="Arial"/>
        <w:sz w:val="18"/>
        <w:szCs w:val="18"/>
      </w:rPr>
      <w:t>2</w:t>
    </w:r>
    <w:r w:rsidR="009E5213" w:rsidRPr="00D12AC0">
      <w:rPr>
        <w:rFonts w:ascii="Public Sans" w:hAnsi="Public Sans" w:cs="Arial"/>
        <w:noProof/>
        <w:sz w:val="18"/>
        <w:szCs w:val="18"/>
      </w:rPr>
      <w:fldChar w:fldCharType="end"/>
    </w:r>
    <w:r w:rsidR="009E5213" w:rsidRPr="00D12AC0">
      <w:rPr>
        <w:rFonts w:ascii="Public Sans" w:hAnsi="Public Sans" w:cs="Arial"/>
        <w:noProof/>
        <w:sz w:val="18"/>
        <w:szCs w:val="18"/>
      </w:rPr>
      <w:tab/>
    </w:r>
    <w:r w:rsidR="009E5213" w:rsidRPr="00D12AC0">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4F3" w14:textId="485D591C" w:rsidR="00D12AC0" w:rsidRPr="00631FFC" w:rsidRDefault="009E5213" w:rsidP="00631FFC">
    <w:pPr>
      <w:pBdr>
        <w:top w:val="single" w:sz="4" w:space="4" w:color="auto"/>
      </w:pBdr>
      <w:tabs>
        <w:tab w:val="right" w:pos="9639"/>
      </w:tabs>
      <w:rPr>
        <w:rFonts w:ascii="Public Sans" w:hAnsi="Public Sans" w:cs="Arial"/>
        <w:noProof/>
        <w:sz w:val="18"/>
        <w:szCs w:val="18"/>
      </w:rPr>
    </w:pPr>
    <w:r w:rsidRPr="00D12AC0">
      <w:rPr>
        <w:rFonts w:ascii="Public Sans" w:hAnsi="Public Sans" w:cs="Arial"/>
        <w:sz w:val="18"/>
        <w:szCs w:val="18"/>
      </w:rPr>
      <w:t>Budget Statement 2023-24</w:t>
    </w:r>
    <w:r w:rsidRPr="00D12AC0">
      <w:rPr>
        <w:rFonts w:ascii="Public Sans" w:hAnsi="Public Sans" w:cs="Arial"/>
        <w:sz w:val="18"/>
        <w:szCs w:val="18"/>
      </w:rPr>
      <w:tab/>
    </w:r>
    <w:r w:rsidR="00651296" w:rsidRPr="00D12AC0">
      <w:rPr>
        <w:rFonts w:ascii="Public Sans" w:hAnsi="Public Sans" w:cs="Arial"/>
        <w:sz w:val="18"/>
        <w:szCs w:val="18"/>
      </w:rPr>
      <w:t>6</w:t>
    </w:r>
    <w:r w:rsidRPr="00D12AC0">
      <w:rPr>
        <w:rFonts w:ascii="Public Sans" w:hAnsi="Public Sans" w:cs="Arial"/>
        <w:sz w:val="18"/>
        <w:szCs w:val="18"/>
      </w:rPr>
      <w:t xml:space="preserve"> - </w:t>
    </w:r>
    <w:r w:rsidRPr="00D12AC0">
      <w:rPr>
        <w:rFonts w:ascii="Public Sans" w:hAnsi="Public Sans" w:cs="Arial"/>
        <w:sz w:val="18"/>
        <w:szCs w:val="18"/>
      </w:rPr>
      <w:fldChar w:fldCharType="begin"/>
    </w:r>
    <w:r w:rsidRPr="00D12AC0">
      <w:rPr>
        <w:rFonts w:ascii="Public Sans" w:hAnsi="Public Sans" w:cs="Arial"/>
        <w:sz w:val="18"/>
        <w:szCs w:val="18"/>
      </w:rPr>
      <w:instrText xml:space="preserve"> PAGE   \* MERGEFORMAT </w:instrText>
    </w:r>
    <w:r w:rsidRPr="00D12AC0">
      <w:rPr>
        <w:rFonts w:ascii="Public Sans" w:hAnsi="Public Sans" w:cs="Arial"/>
        <w:sz w:val="18"/>
        <w:szCs w:val="18"/>
      </w:rPr>
      <w:fldChar w:fldCharType="separate"/>
    </w:r>
    <w:r w:rsidRPr="00D12AC0">
      <w:rPr>
        <w:rFonts w:ascii="Public Sans" w:hAnsi="Public Sans" w:cs="Arial"/>
        <w:sz w:val="18"/>
        <w:szCs w:val="18"/>
      </w:rPr>
      <w:t>1</w:t>
    </w:r>
    <w:r w:rsidRPr="00D12AC0">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AE9B" w14:textId="2C3BBBFC" w:rsidR="00BF0703" w:rsidRPr="00631FFC" w:rsidRDefault="00BF0703" w:rsidP="00631FFC">
    <w:pPr>
      <w:pBdr>
        <w:top w:val="single" w:sz="4" w:space="4" w:color="auto"/>
      </w:pBdr>
      <w:tabs>
        <w:tab w:val="right" w:pos="9639"/>
      </w:tabs>
      <w:rPr>
        <w:rFonts w:ascii="Public Sans" w:hAnsi="Public Sans" w:cs="Arial"/>
        <w:noProof/>
        <w:sz w:val="18"/>
        <w:szCs w:val="18"/>
      </w:rPr>
    </w:pPr>
    <w:bookmarkStart w:id="1" w:name="_Hlk140512670"/>
    <w:bookmarkStart w:id="2" w:name="_Hlk140512671"/>
    <w:r w:rsidRPr="00287482">
      <w:rPr>
        <w:rFonts w:ascii="Public Sans" w:hAnsi="Public Sans" w:cs="Arial"/>
        <w:sz w:val="18"/>
        <w:szCs w:val="18"/>
      </w:rPr>
      <w:t>Budget Statement 2023-24</w:t>
    </w:r>
    <w:r w:rsidRPr="00287482">
      <w:rPr>
        <w:rFonts w:ascii="Public Sans" w:hAnsi="Public Sans" w:cs="Arial"/>
        <w:sz w:val="18"/>
        <w:szCs w:val="18"/>
      </w:rPr>
      <w:tab/>
      <w:t xml:space="preserve">6 - </w:t>
    </w:r>
    <w:r w:rsidRPr="00287482">
      <w:rPr>
        <w:rFonts w:ascii="Public Sans" w:hAnsi="Public Sans" w:cs="Arial"/>
        <w:sz w:val="18"/>
        <w:szCs w:val="18"/>
      </w:rPr>
      <w:fldChar w:fldCharType="begin"/>
    </w:r>
    <w:r w:rsidRPr="00287482">
      <w:rPr>
        <w:rFonts w:ascii="Public Sans" w:hAnsi="Public Sans" w:cs="Arial"/>
        <w:sz w:val="18"/>
        <w:szCs w:val="18"/>
      </w:rPr>
      <w:instrText xml:space="preserve"> PAGE   \* MERGEFORMAT </w:instrText>
    </w:r>
    <w:r w:rsidRPr="00287482">
      <w:rPr>
        <w:rFonts w:ascii="Public Sans" w:hAnsi="Public Sans" w:cs="Arial"/>
        <w:sz w:val="18"/>
        <w:szCs w:val="18"/>
      </w:rPr>
      <w:fldChar w:fldCharType="separate"/>
    </w:r>
    <w:r w:rsidRPr="00287482">
      <w:rPr>
        <w:rFonts w:ascii="Public Sans" w:hAnsi="Public Sans" w:cs="Arial"/>
        <w:sz w:val="18"/>
        <w:szCs w:val="18"/>
      </w:rPr>
      <w:t>1</w:t>
    </w:r>
    <w:r w:rsidRPr="00287482">
      <w:rPr>
        <w:rFonts w:ascii="Public Sans" w:hAnsi="Public Sans" w:cs="Arial"/>
        <w:noProof/>
        <w:sz w:val="18"/>
        <w:szCs w:val="18"/>
      </w:rPr>
      <w:fldChar w:fldCharType="end"/>
    </w:r>
  </w:p>
  <w:bookmarkEnd w:id="1"/>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41CB" w14:textId="77777777" w:rsidR="00CB2A60" w:rsidRDefault="00CB2A60">
      <w:pPr>
        <w:spacing w:before="120"/>
      </w:pPr>
      <w:r>
        <w:separator/>
      </w:r>
    </w:p>
  </w:footnote>
  <w:footnote w:type="continuationSeparator" w:id="0">
    <w:p w14:paraId="1C8F1970" w14:textId="77777777" w:rsidR="00CB2A60" w:rsidRDefault="00CB2A60">
      <w:pPr>
        <w:spacing w:before="120"/>
      </w:pPr>
      <w:r>
        <w:continuationSeparator/>
      </w:r>
    </w:p>
  </w:footnote>
  <w:footnote w:type="continuationNotice" w:id="1">
    <w:p w14:paraId="0DF82A52" w14:textId="77777777" w:rsidR="00CB2A60" w:rsidRDefault="00CB2A60">
      <w:pPr>
        <w:rPr>
          <w:sz w:val="16"/>
        </w:rPr>
      </w:pPr>
    </w:p>
  </w:footnote>
  <w:footnote w:id="2">
    <w:p w14:paraId="5C4D30BE" w14:textId="790C1DB8" w:rsidR="00E01382" w:rsidRPr="006F22B9" w:rsidRDefault="00E01382" w:rsidP="006F22B9">
      <w:pPr>
        <w:pStyle w:val="FootnoteText"/>
        <w:ind w:hanging="283"/>
        <w:rPr>
          <w:rFonts w:ascii="Public Sans" w:hAnsi="Public Sans"/>
          <w:sz w:val="17"/>
          <w:szCs w:val="17"/>
          <w:lang w:val="en-AU"/>
        </w:rPr>
      </w:pPr>
      <w:r w:rsidRPr="006F22B9">
        <w:rPr>
          <w:rStyle w:val="FootnoteReference"/>
          <w:rFonts w:ascii="Public Sans" w:hAnsi="Public Sans"/>
          <w:sz w:val="17"/>
          <w:szCs w:val="17"/>
          <w:lang w:val="en-AU"/>
        </w:rPr>
        <w:footnoteRef/>
      </w:r>
      <w:r w:rsidRPr="006F22B9">
        <w:rPr>
          <w:rFonts w:ascii="Public Sans" w:hAnsi="Public Sans"/>
          <w:sz w:val="17"/>
          <w:szCs w:val="17"/>
          <w:lang w:val="en-AU"/>
        </w:rPr>
        <w:t xml:space="preserve"> </w:t>
      </w:r>
      <w:r w:rsidR="006F22B9">
        <w:rPr>
          <w:rFonts w:ascii="Public Sans" w:hAnsi="Public Sans"/>
          <w:sz w:val="17"/>
          <w:szCs w:val="17"/>
          <w:lang w:val="en-AU"/>
        </w:rPr>
        <w:tab/>
      </w:r>
      <w:r w:rsidRPr="006F22B9">
        <w:rPr>
          <w:rFonts w:ascii="Public Sans" w:hAnsi="Public Sans"/>
          <w:i w:val="0"/>
          <w:sz w:val="17"/>
          <w:szCs w:val="17"/>
          <w:lang w:val="en-AU"/>
        </w:rPr>
        <w:t xml:space="preserve">The estimates of </w:t>
      </w:r>
      <w:r w:rsidR="002B2638" w:rsidRPr="006F22B9">
        <w:rPr>
          <w:rFonts w:ascii="Public Sans" w:hAnsi="Public Sans"/>
          <w:i w:val="0"/>
          <w:sz w:val="17"/>
          <w:szCs w:val="17"/>
          <w:lang w:val="en-AU"/>
        </w:rPr>
        <w:t>n</w:t>
      </w:r>
      <w:r w:rsidRPr="006F22B9">
        <w:rPr>
          <w:rFonts w:ascii="Public Sans" w:hAnsi="Public Sans"/>
          <w:i w:val="0"/>
          <w:sz w:val="17"/>
          <w:szCs w:val="17"/>
          <w:lang w:val="en-AU"/>
        </w:rPr>
        <w:t xml:space="preserve">et </w:t>
      </w:r>
      <w:r w:rsidR="002B2638" w:rsidRPr="006F22B9">
        <w:rPr>
          <w:rFonts w:ascii="Public Sans" w:hAnsi="Public Sans"/>
          <w:i w:val="0"/>
          <w:sz w:val="17"/>
          <w:szCs w:val="17"/>
          <w:lang w:val="en-AU"/>
        </w:rPr>
        <w:t>d</w:t>
      </w:r>
      <w:r w:rsidRPr="006F22B9">
        <w:rPr>
          <w:rFonts w:ascii="Public Sans" w:hAnsi="Public Sans"/>
          <w:i w:val="0"/>
          <w:sz w:val="17"/>
          <w:szCs w:val="17"/>
          <w:lang w:val="en-AU"/>
        </w:rPr>
        <w:t xml:space="preserve">ebt </w:t>
      </w:r>
      <w:proofErr w:type="gramStart"/>
      <w:r w:rsidRPr="006F22B9">
        <w:rPr>
          <w:rFonts w:ascii="Public Sans" w:hAnsi="Public Sans"/>
          <w:i w:val="0"/>
          <w:sz w:val="17"/>
          <w:szCs w:val="17"/>
          <w:lang w:val="en-AU"/>
        </w:rPr>
        <w:t>at</w:t>
      </w:r>
      <w:proofErr w:type="gramEnd"/>
      <w:r w:rsidRPr="006F22B9">
        <w:rPr>
          <w:rFonts w:ascii="Public Sans" w:hAnsi="Public Sans"/>
          <w:i w:val="0"/>
          <w:sz w:val="17"/>
          <w:szCs w:val="17"/>
          <w:lang w:val="en-AU"/>
        </w:rPr>
        <w:t xml:space="preserve"> June 2025 and beyond do not include planned cash receipts of $1.6 billion in 2024</w:t>
      </w:r>
      <w:r w:rsidR="006F22B9">
        <w:rPr>
          <w:rFonts w:ascii="Public Sans" w:hAnsi="Public Sans"/>
          <w:i w:val="0"/>
          <w:sz w:val="17"/>
          <w:szCs w:val="17"/>
          <w:lang w:val="en-AU"/>
        </w:rPr>
        <w:noBreakHyphen/>
      </w:r>
      <w:r w:rsidRPr="006F22B9">
        <w:rPr>
          <w:rFonts w:ascii="Public Sans" w:hAnsi="Public Sans"/>
          <w:i w:val="0"/>
          <w:sz w:val="17"/>
          <w:szCs w:val="17"/>
          <w:lang w:val="en-AU"/>
        </w:rPr>
        <w:t>25 from the recycling of the investment for developing the Central West Orana transmission project. This is because the anticipated cash payment will form part of a larger service concession transaction which, in accord</w:t>
      </w:r>
      <w:r w:rsidR="00355C0E">
        <w:rPr>
          <w:rFonts w:ascii="Public Sans" w:hAnsi="Public Sans"/>
          <w:i w:val="0"/>
          <w:sz w:val="17"/>
          <w:szCs w:val="17"/>
          <w:lang w:val="en-AU"/>
        </w:rPr>
        <w:t>ance</w:t>
      </w:r>
      <w:r w:rsidRPr="006F22B9">
        <w:rPr>
          <w:rFonts w:ascii="Public Sans" w:hAnsi="Public Sans"/>
          <w:i w:val="0"/>
          <w:sz w:val="17"/>
          <w:szCs w:val="17"/>
          <w:lang w:val="en-AU"/>
        </w:rPr>
        <w:t xml:space="preserve"> with the budget policy for major asset transactions, will not be recognised until finalised.</w:t>
      </w:r>
    </w:p>
  </w:footnote>
  <w:footnote w:id="3">
    <w:p w14:paraId="1D81324D" w14:textId="36A5D787" w:rsidR="00442679" w:rsidRPr="00B972DC" w:rsidRDefault="00442679" w:rsidP="00B972DC">
      <w:pPr>
        <w:pStyle w:val="FootnoteText"/>
        <w:ind w:hanging="283"/>
        <w:rPr>
          <w:rFonts w:ascii="Public Sans" w:hAnsi="Public Sans"/>
          <w:sz w:val="17"/>
          <w:szCs w:val="17"/>
        </w:rPr>
      </w:pPr>
      <w:r w:rsidRPr="00B972DC">
        <w:rPr>
          <w:rStyle w:val="FootnoteReference"/>
          <w:rFonts w:ascii="Public Sans" w:hAnsi="Public Sans"/>
          <w:i w:val="0"/>
          <w:iCs/>
          <w:sz w:val="17"/>
          <w:szCs w:val="17"/>
        </w:rPr>
        <w:footnoteRef/>
      </w:r>
      <w:r w:rsidR="00B972DC" w:rsidRPr="00B972DC">
        <w:rPr>
          <w:rFonts w:ascii="Public Sans" w:hAnsi="Public Sans"/>
          <w:sz w:val="17"/>
          <w:szCs w:val="17"/>
        </w:rPr>
        <w:tab/>
      </w:r>
      <w:r w:rsidR="006A7B87" w:rsidRPr="00B972DC">
        <w:rPr>
          <w:rFonts w:ascii="Public Sans" w:hAnsi="Public Sans"/>
          <w:i w:val="0"/>
          <w:sz w:val="17"/>
          <w:szCs w:val="17"/>
        </w:rPr>
        <w:t>T</w:t>
      </w:r>
      <w:r w:rsidRPr="00B972DC">
        <w:rPr>
          <w:rFonts w:ascii="Public Sans" w:hAnsi="Public Sans"/>
          <w:i w:val="0"/>
          <w:sz w:val="17"/>
          <w:szCs w:val="17"/>
        </w:rPr>
        <w:t>he Government has</w:t>
      </w:r>
      <w:r w:rsidRPr="00B972DC" w:rsidDel="00D60947">
        <w:rPr>
          <w:rFonts w:ascii="Public Sans" w:hAnsi="Public Sans"/>
          <w:i w:val="0"/>
          <w:sz w:val="17"/>
          <w:szCs w:val="17"/>
        </w:rPr>
        <w:t xml:space="preserve"> </w:t>
      </w:r>
      <w:r w:rsidRPr="00B972DC">
        <w:rPr>
          <w:rFonts w:ascii="Public Sans" w:hAnsi="Public Sans"/>
          <w:i w:val="0"/>
          <w:sz w:val="17"/>
          <w:szCs w:val="17"/>
        </w:rPr>
        <w:t xml:space="preserve">good access to multiple sources of liquidity, which has allowed it to target a lower </w:t>
      </w:r>
      <w:r w:rsidR="006F2681" w:rsidRPr="00B972DC">
        <w:rPr>
          <w:rFonts w:ascii="Public Sans" w:hAnsi="Public Sans"/>
          <w:i w:val="0"/>
          <w:sz w:val="17"/>
          <w:szCs w:val="17"/>
        </w:rPr>
        <w:t>g</w:t>
      </w:r>
      <w:r w:rsidR="006A7B87" w:rsidRPr="00B972DC">
        <w:rPr>
          <w:rFonts w:ascii="Public Sans" w:hAnsi="Public Sans"/>
          <w:i w:val="0"/>
          <w:sz w:val="17"/>
          <w:szCs w:val="17"/>
        </w:rPr>
        <w:t xml:space="preserve">eneral </w:t>
      </w:r>
      <w:r w:rsidR="006F2681" w:rsidRPr="00B972DC">
        <w:rPr>
          <w:rFonts w:ascii="Public Sans" w:hAnsi="Public Sans"/>
          <w:i w:val="0"/>
          <w:sz w:val="17"/>
          <w:szCs w:val="17"/>
        </w:rPr>
        <w:t>g</w:t>
      </w:r>
      <w:r w:rsidR="006A7B87" w:rsidRPr="00B972DC">
        <w:rPr>
          <w:rFonts w:ascii="Public Sans" w:hAnsi="Public Sans"/>
          <w:i w:val="0"/>
          <w:sz w:val="17"/>
          <w:szCs w:val="17"/>
        </w:rPr>
        <w:t>overnment</w:t>
      </w:r>
      <w:r w:rsidRPr="00B972DC">
        <w:rPr>
          <w:rFonts w:ascii="Public Sans" w:hAnsi="Public Sans"/>
          <w:i w:val="0"/>
          <w:sz w:val="17"/>
          <w:szCs w:val="17"/>
        </w:rPr>
        <w:t xml:space="preserve"> cash balance than in previous </w:t>
      </w:r>
      <w:r w:rsidR="0070235F" w:rsidRPr="00B972DC">
        <w:rPr>
          <w:rFonts w:ascii="Public Sans" w:hAnsi="Public Sans"/>
          <w:i w:val="0"/>
          <w:sz w:val="17"/>
          <w:szCs w:val="17"/>
        </w:rPr>
        <w:t>budgets</w:t>
      </w:r>
      <w:r w:rsidRPr="00B972DC">
        <w:rPr>
          <w:rFonts w:ascii="Public Sans" w:hAnsi="Public Sans"/>
          <w:i w:val="0"/>
          <w:sz w:val="17"/>
          <w:szCs w:val="17"/>
        </w:rPr>
        <w:t>, without any material risk of a funding shortfall. This, in turn results in a lower borrowing requirement for the Budget year, consistent with the Government's objective of lowering the State's gross debt.</w:t>
      </w:r>
    </w:p>
  </w:footnote>
  <w:footnote w:id="4">
    <w:p w14:paraId="33EBAAF6" w14:textId="0C07CF32" w:rsidR="00AD2815" w:rsidRPr="006C0324" w:rsidRDefault="00AD2815" w:rsidP="00B972DC">
      <w:pPr>
        <w:spacing w:after="80"/>
        <w:ind w:left="709" w:hanging="283"/>
        <w:rPr>
          <w:rFonts w:ascii="Public Sans" w:hAnsi="Public Sans"/>
          <w:sz w:val="17"/>
          <w:szCs w:val="17"/>
          <w:lang w:val="en-AU"/>
        </w:rPr>
      </w:pPr>
      <w:r w:rsidRPr="006F22B9">
        <w:rPr>
          <w:rStyle w:val="FootnoteReference"/>
          <w:rFonts w:ascii="Public Sans" w:hAnsi="Public Sans"/>
          <w:sz w:val="17"/>
          <w:szCs w:val="17"/>
        </w:rPr>
        <w:footnoteRef/>
      </w:r>
      <w:r w:rsidR="006C0324" w:rsidRPr="006F22B9">
        <w:rPr>
          <w:rFonts w:ascii="Public Sans" w:hAnsi="Public Sans"/>
          <w:sz w:val="17"/>
          <w:szCs w:val="17"/>
        </w:rPr>
        <w:t xml:space="preserve"> </w:t>
      </w:r>
      <w:r w:rsidR="00B972DC">
        <w:rPr>
          <w:rFonts w:ascii="Public Sans" w:hAnsi="Public Sans"/>
          <w:sz w:val="17"/>
          <w:szCs w:val="17"/>
        </w:rPr>
        <w:tab/>
      </w:r>
      <w:r w:rsidR="005D57AF" w:rsidRPr="006C0324">
        <w:rPr>
          <w:rFonts w:ascii="Public Sans" w:hAnsi="Public Sans"/>
          <w:sz w:val="17"/>
          <w:szCs w:val="17"/>
        </w:rPr>
        <w:t>Advances</w:t>
      </w:r>
      <w:r w:rsidR="00333B07">
        <w:rPr>
          <w:rFonts w:ascii="Public Sans" w:hAnsi="Public Sans"/>
          <w:sz w:val="17"/>
          <w:szCs w:val="17"/>
        </w:rPr>
        <w:t xml:space="preserve"> </w:t>
      </w:r>
      <w:r w:rsidR="00D00ED8">
        <w:rPr>
          <w:rFonts w:ascii="Public Sans" w:hAnsi="Public Sans"/>
          <w:sz w:val="17"/>
          <w:szCs w:val="17"/>
        </w:rPr>
        <w:t>R</w:t>
      </w:r>
      <w:r w:rsidR="00F03381">
        <w:rPr>
          <w:rFonts w:ascii="Public Sans" w:hAnsi="Public Sans"/>
          <w:sz w:val="17"/>
          <w:szCs w:val="17"/>
        </w:rPr>
        <w:t xml:space="preserve">eceived are </w:t>
      </w:r>
      <w:r w:rsidR="001A2CC3">
        <w:rPr>
          <w:rFonts w:ascii="Public Sans" w:hAnsi="Public Sans"/>
          <w:sz w:val="17"/>
          <w:szCs w:val="17"/>
        </w:rPr>
        <w:t>advances a</w:t>
      </w:r>
      <w:r w:rsidR="00333B07">
        <w:rPr>
          <w:rFonts w:ascii="Public Sans" w:hAnsi="Public Sans"/>
          <w:sz w:val="17"/>
          <w:szCs w:val="17"/>
        </w:rPr>
        <w:t xml:space="preserve">nd loans made from the Australian </w:t>
      </w:r>
      <w:r w:rsidR="00F74D68">
        <w:rPr>
          <w:rFonts w:ascii="Public Sans" w:hAnsi="Public Sans"/>
          <w:sz w:val="17"/>
          <w:szCs w:val="17"/>
        </w:rPr>
        <w:t>Government in funding various approved projects</w:t>
      </w:r>
      <w:r w:rsidR="005D57AF" w:rsidRPr="006C0324">
        <w:rPr>
          <w:rFonts w:ascii="Public Sans" w:hAnsi="Public Sans"/>
          <w:sz w:val="17"/>
          <w:szCs w:val="17"/>
        </w:rPr>
        <w:t xml:space="preserve">. </w:t>
      </w:r>
      <w:r w:rsidR="001A2CC3">
        <w:rPr>
          <w:rFonts w:ascii="Public Sans" w:hAnsi="Public Sans"/>
          <w:sz w:val="17"/>
          <w:szCs w:val="17"/>
        </w:rPr>
        <w:t>Advances are loans motivated by government policy rather than liquidity management purposes</w:t>
      </w:r>
      <w:r w:rsidR="005D57AF" w:rsidRPr="006C0324">
        <w:rPr>
          <w:rFonts w:ascii="Public Sans" w:hAnsi="Public Sans"/>
          <w:sz w:val="17"/>
          <w:szCs w:val="17"/>
        </w:rPr>
        <w:t>.</w:t>
      </w:r>
    </w:p>
  </w:footnote>
  <w:footnote w:id="5">
    <w:p w14:paraId="1F1044C2" w14:textId="2AAB51D8" w:rsidR="005D57AF" w:rsidRPr="006C0324" w:rsidRDefault="005D57AF" w:rsidP="00B972DC">
      <w:pPr>
        <w:spacing w:after="80"/>
        <w:ind w:left="709" w:hanging="283"/>
        <w:rPr>
          <w:lang w:val="en-AU"/>
        </w:rPr>
      </w:pPr>
      <w:r w:rsidRPr="005D57AF">
        <w:rPr>
          <w:rStyle w:val="FootnoteReference"/>
          <w:rFonts w:ascii="Public Sans" w:hAnsi="Public Sans"/>
          <w:sz w:val="17"/>
          <w:szCs w:val="17"/>
        </w:rPr>
        <w:footnoteRef/>
      </w:r>
      <w:r w:rsidR="006C0324">
        <w:rPr>
          <w:rFonts w:ascii="Public Sans" w:hAnsi="Public Sans"/>
          <w:sz w:val="17"/>
          <w:szCs w:val="17"/>
        </w:rPr>
        <w:t xml:space="preserve"> </w:t>
      </w:r>
      <w:r w:rsidR="00B972DC">
        <w:rPr>
          <w:rFonts w:ascii="Public Sans" w:hAnsi="Public Sans"/>
          <w:sz w:val="17"/>
          <w:szCs w:val="17"/>
        </w:rPr>
        <w:tab/>
      </w:r>
      <w:r w:rsidRPr="006C0324">
        <w:rPr>
          <w:rFonts w:ascii="Public Sans" w:hAnsi="Public Sans"/>
          <w:sz w:val="17"/>
          <w:szCs w:val="17"/>
        </w:rPr>
        <w:t xml:space="preserve">Deposits </w:t>
      </w:r>
      <w:r w:rsidR="00D00ED8">
        <w:rPr>
          <w:rFonts w:ascii="Public Sans" w:hAnsi="Public Sans"/>
          <w:sz w:val="17"/>
          <w:szCs w:val="17"/>
        </w:rPr>
        <w:t>H</w:t>
      </w:r>
      <w:r w:rsidRPr="006C0324">
        <w:rPr>
          <w:rFonts w:ascii="Public Sans" w:hAnsi="Public Sans"/>
          <w:sz w:val="17"/>
          <w:szCs w:val="17"/>
        </w:rPr>
        <w:t xml:space="preserve">eld are </w:t>
      </w:r>
      <w:r w:rsidR="004C0835">
        <w:rPr>
          <w:rFonts w:ascii="Public Sans" w:hAnsi="Public Sans"/>
          <w:sz w:val="17"/>
          <w:szCs w:val="17"/>
        </w:rPr>
        <w:t>cash and deposits</w:t>
      </w:r>
      <w:r w:rsidR="00065862">
        <w:rPr>
          <w:rFonts w:ascii="Public Sans" w:hAnsi="Public Sans"/>
          <w:sz w:val="17"/>
          <w:szCs w:val="17"/>
        </w:rPr>
        <w:t xml:space="preserve"> held at banks and other financial institutions on behalf o</w:t>
      </w:r>
      <w:r w:rsidR="0045194C">
        <w:rPr>
          <w:rFonts w:ascii="Public Sans" w:hAnsi="Public Sans"/>
          <w:sz w:val="17"/>
          <w:szCs w:val="17"/>
        </w:rPr>
        <w:t>f</w:t>
      </w:r>
      <w:r w:rsidR="00065862">
        <w:rPr>
          <w:rFonts w:ascii="Public Sans" w:hAnsi="Public Sans"/>
          <w:sz w:val="17"/>
          <w:szCs w:val="17"/>
        </w:rPr>
        <w:t xml:space="preserve"> entities and individuals external to the State.</w:t>
      </w:r>
    </w:p>
  </w:footnote>
  <w:footnote w:id="6">
    <w:p w14:paraId="2EAE49AC" w14:textId="6854DBA6" w:rsidR="00652AC1" w:rsidRPr="00B972DC" w:rsidRDefault="00652AC1" w:rsidP="00B972DC">
      <w:pPr>
        <w:pStyle w:val="FootnoteText"/>
        <w:ind w:hanging="283"/>
        <w:rPr>
          <w:sz w:val="17"/>
          <w:szCs w:val="17"/>
          <w:lang w:val="en-AU"/>
        </w:rPr>
      </w:pPr>
      <w:r w:rsidRPr="006F22B9">
        <w:rPr>
          <w:rStyle w:val="FootnoteReference"/>
          <w:rFonts w:ascii="Public Sans" w:hAnsi="Public Sans"/>
          <w:i w:val="0"/>
          <w:iCs/>
          <w:sz w:val="17"/>
          <w:szCs w:val="17"/>
          <w:lang w:val="en-AU"/>
        </w:rPr>
        <w:footnoteRef/>
      </w:r>
      <w:r w:rsidRPr="00B972DC">
        <w:rPr>
          <w:rFonts w:ascii="Public Sans" w:hAnsi="Public Sans"/>
          <w:sz w:val="17"/>
          <w:szCs w:val="17"/>
          <w:lang w:val="en-AU"/>
        </w:rPr>
        <w:t xml:space="preserve"> </w:t>
      </w:r>
      <w:r w:rsidR="00B972DC" w:rsidRPr="00B972DC">
        <w:rPr>
          <w:rFonts w:ascii="Public Sans" w:hAnsi="Public Sans"/>
          <w:sz w:val="17"/>
          <w:szCs w:val="17"/>
          <w:lang w:val="en-AU"/>
        </w:rPr>
        <w:tab/>
      </w:r>
      <w:r w:rsidRPr="00B972DC">
        <w:rPr>
          <w:rFonts w:ascii="Public Sans" w:hAnsi="Public Sans"/>
          <w:i w:val="0"/>
          <w:sz w:val="17"/>
          <w:szCs w:val="17"/>
          <w:lang w:val="en-AU"/>
        </w:rPr>
        <w:t xml:space="preserve">The </w:t>
      </w:r>
      <w:r w:rsidR="000D3599" w:rsidRPr="00B972DC">
        <w:rPr>
          <w:rFonts w:ascii="Public Sans" w:hAnsi="Public Sans"/>
          <w:i w:val="0"/>
          <w:sz w:val="17"/>
          <w:szCs w:val="17"/>
          <w:lang w:val="en-AU"/>
        </w:rPr>
        <w:t>g</w:t>
      </w:r>
      <w:r w:rsidRPr="00B972DC">
        <w:rPr>
          <w:rFonts w:ascii="Public Sans" w:hAnsi="Public Sans"/>
          <w:i w:val="0"/>
          <w:sz w:val="17"/>
          <w:szCs w:val="17"/>
          <w:lang w:val="en-AU"/>
        </w:rPr>
        <w:t xml:space="preserve">eneral </w:t>
      </w:r>
      <w:r w:rsidR="000D3599" w:rsidRPr="00B972DC">
        <w:rPr>
          <w:rFonts w:ascii="Public Sans" w:hAnsi="Public Sans"/>
          <w:i w:val="0"/>
          <w:sz w:val="17"/>
          <w:szCs w:val="17"/>
          <w:lang w:val="en-AU"/>
        </w:rPr>
        <w:t>g</w:t>
      </w:r>
      <w:r w:rsidRPr="00B972DC">
        <w:rPr>
          <w:rFonts w:ascii="Public Sans" w:hAnsi="Public Sans"/>
          <w:i w:val="0"/>
          <w:sz w:val="17"/>
          <w:szCs w:val="17"/>
          <w:lang w:val="en-AU"/>
        </w:rPr>
        <w:t xml:space="preserve">overnment’s investments in other public sector entities include the carrying amount of net assets of the Transport Asset Holding Entity (TAHE). The carrying amount of TAHE’s net assets, as </w:t>
      </w:r>
      <w:proofErr w:type="gramStart"/>
      <w:r w:rsidRPr="00B972DC">
        <w:rPr>
          <w:rFonts w:ascii="Public Sans" w:hAnsi="Public Sans"/>
          <w:i w:val="0"/>
          <w:sz w:val="17"/>
          <w:szCs w:val="17"/>
          <w:lang w:val="en-AU"/>
        </w:rPr>
        <w:t>at</w:t>
      </w:r>
      <w:proofErr w:type="gramEnd"/>
      <w:r w:rsidRPr="00B972DC">
        <w:rPr>
          <w:rFonts w:ascii="Public Sans" w:hAnsi="Public Sans"/>
          <w:i w:val="0"/>
          <w:sz w:val="17"/>
          <w:szCs w:val="17"/>
          <w:lang w:val="en-AU"/>
        </w:rPr>
        <w:t xml:space="preserve"> 30</w:t>
      </w:r>
      <w:r w:rsidR="00CB5018" w:rsidRPr="00B972DC">
        <w:rPr>
          <w:rFonts w:ascii="Public Sans" w:hAnsi="Public Sans"/>
          <w:i w:val="0"/>
          <w:sz w:val="17"/>
          <w:szCs w:val="17"/>
          <w:lang w:val="en-AU"/>
        </w:rPr>
        <w:t> </w:t>
      </w:r>
      <w:r w:rsidRPr="00B972DC">
        <w:rPr>
          <w:rFonts w:ascii="Public Sans" w:hAnsi="Public Sans"/>
          <w:i w:val="0"/>
          <w:sz w:val="17"/>
          <w:szCs w:val="17"/>
          <w:lang w:val="en-AU"/>
        </w:rPr>
        <w:t>June</w:t>
      </w:r>
      <w:r w:rsidR="00CB5018" w:rsidRPr="00B972DC">
        <w:rPr>
          <w:rFonts w:ascii="Public Sans" w:hAnsi="Public Sans"/>
          <w:i w:val="0"/>
          <w:sz w:val="17"/>
          <w:szCs w:val="17"/>
          <w:lang w:val="en-AU"/>
        </w:rPr>
        <w:t> </w:t>
      </w:r>
      <w:r w:rsidRPr="00B972DC">
        <w:rPr>
          <w:rFonts w:ascii="Public Sans" w:hAnsi="Public Sans"/>
          <w:i w:val="0"/>
          <w:sz w:val="17"/>
          <w:szCs w:val="17"/>
          <w:lang w:val="en-AU"/>
        </w:rPr>
        <w:t xml:space="preserve">2023, includes property, plant and equipment measured using an income approach in accordance with </w:t>
      </w:r>
      <w:r w:rsidRPr="00B972DC">
        <w:rPr>
          <w:rFonts w:ascii="Public Sans" w:hAnsi="Public Sans"/>
          <w:sz w:val="17"/>
          <w:szCs w:val="17"/>
          <w:lang w:val="en-AU"/>
        </w:rPr>
        <w:t>TPP21-09 Valuation of Physical Non-Current Assets at Fair Value</w:t>
      </w:r>
      <w:r w:rsidRPr="00B972DC">
        <w:rPr>
          <w:rFonts w:ascii="Public Sans" w:hAnsi="Public Sans"/>
          <w:i w:val="0"/>
          <w:sz w:val="17"/>
          <w:szCs w:val="17"/>
          <w:lang w:val="en-AU"/>
        </w:rPr>
        <w:t xml:space="preserve"> and </w:t>
      </w:r>
      <w:r w:rsidRPr="00B972DC">
        <w:rPr>
          <w:rFonts w:ascii="Public Sans" w:hAnsi="Public Sans"/>
          <w:sz w:val="17"/>
          <w:szCs w:val="17"/>
          <w:lang w:val="en-AU"/>
        </w:rPr>
        <w:t>AASB 13 Fair Value Measurement</w:t>
      </w:r>
      <w:r w:rsidRPr="00B972DC">
        <w:rPr>
          <w:rFonts w:ascii="Public Sans" w:hAnsi="Public Sans"/>
          <w:i w:val="0"/>
          <w:sz w:val="17"/>
          <w:szCs w:val="17"/>
          <w:lang w:val="en-AU"/>
        </w:rPr>
        <w:t>. As a result of the Government’s ongoing review of TAHE’s future operating model, it is likely that there will be a change in the valuation approach from the income approach to current replacement cost (CRC) during 2023-24. A change in valuation approach to CRC is likely to lead to a materially higher fair value of TAHE’s property, plant and equipment that will be reflected in the future Budget estimates.</w:t>
      </w:r>
    </w:p>
  </w:footnote>
  <w:footnote w:id="7">
    <w:p w14:paraId="3462DE18" w14:textId="2CEB78B8" w:rsidR="00067CE1" w:rsidRPr="00D96CA5" w:rsidRDefault="00067CE1" w:rsidP="00341634">
      <w:pPr>
        <w:pStyle w:val="FootnoteText"/>
        <w:ind w:hanging="283"/>
        <w:rPr>
          <w:rFonts w:ascii="Public Sans" w:hAnsi="Public Sans"/>
          <w:lang w:val="en-AU"/>
        </w:rPr>
      </w:pPr>
      <w:r w:rsidRPr="006F22B9">
        <w:rPr>
          <w:rStyle w:val="FootnoteReference"/>
          <w:rFonts w:ascii="Public Sans" w:hAnsi="Public Sans"/>
          <w:i w:val="0"/>
          <w:iCs/>
          <w:sz w:val="18"/>
          <w:szCs w:val="22"/>
        </w:rPr>
        <w:footnoteRef/>
      </w:r>
      <w:r w:rsidRPr="00D96CA5">
        <w:rPr>
          <w:rFonts w:ascii="Public Sans" w:hAnsi="Public Sans"/>
          <w:sz w:val="18"/>
          <w:szCs w:val="22"/>
        </w:rPr>
        <w:t xml:space="preserve"> </w:t>
      </w:r>
      <w:r w:rsidR="00341634">
        <w:rPr>
          <w:rFonts w:ascii="Public Sans" w:hAnsi="Public Sans"/>
          <w:sz w:val="18"/>
          <w:szCs w:val="22"/>
        </w:rPr>
        <w:tab/>
      </w:r>
      <w:r w:rsidR="00B94C1D" w:rsidRPr="00F749A4">
        <w:rPr>
          <w:rFonts w:ascii="Public Sans" w:hAnsi="Public Sans"/>
          <w:i w:val="0"/>
          <w:sz w:val="17"/>
          <w:szCs w:val="17"/>
          <w:lang w:val="en-AU"/>
        </w:rPr>
        <w:t xml:space="preserve">The superannuation liability </w:t>
      </w:r>
      <w:r w:rsidRPr="00F749A4">
        <w:rPr>
          <w:rFonts w:ascii="Public Sans" w:hAnsi="Public Sans"/>
          <w:i w:val="0"/>
          <w:sz w:val="17"/>
          <w:szCs w:val="17"/>
          <w:lang w:val="en-AU"/>
        </w:rPr>
        <w:t xml:space="preserve">can be measured </w:t>
      </w:r>
      <w:r w:rsidR="0086518F">
        <w:rPr>
          <w:rFonts w:ascii="Public Sans" w:hAnsi="Public Sans"/>
          <w:i w:val="0"/>
          <w:sz w:val="17"/>
          <w:szCs w:val="17"/>
          <w:lang w:val="en-AU"/>
        </w:rPr>
        <w:t>using</w:t>
      </w:r>
      <w:r w:rsidRPr="00F749A4">
        <w:rPr>
          <w:rFonts w:ascii="Public Sans" w:hAnsi="Public Sans"/>
          <w:i w:val="0"/>
          <w:sz w:val="17"/>
          <w:szCs w:val="17"/>
          <w:lang w:val="en-AU"/>
        </w:rPr>
        <w:t xml:space="preserve"> two Australian Accounting Standards Board (AASB): </w:t>
      </w:r>
      <w:r w:rsidRPr="00ED5466">
        <w:rPr>
          <w:rFonts w:ascii="Public Sans" w:hAnsi="Public Sans"/>
          <w:iCs/>
          <w:sz w:val="17"/>
          <w:szCs w:val="17"/>
          <w:lang w:val="en-AU"/>
        </w:rPr>
        <w:t>AASB119 Employee Benefits</w:t>
      </w:r>
      <w:r w:rsidRPr="00F749A4">
        <w:rPr>
          <w:rFonts w:ascii="Public Sans" w:hAnsi="Public Sans"/>
          <w:i w:val="0"/>
          <w:sz w:val="17"/>
          <w:szCs w:val="17"/>
          <w:lang w:val="en-AU"/>
        </w:rPr>
        <w:t xml:space="preserve"> and </w:t>
      </w:r>
      <w:r w:rsidRPr="00ED5466">
        <w:rPr>
          <w:rFonts w:ascii="Public Sans" w:hAnsi="Public Sans"/>
          <w:iCs/>
          <w:sz w:val="17"/>
          <w:szCs w:val="17"/>
          <w:lang w:val="en-AU"/>
        </w:rPr>
        <w:t>AASB1056 Superannuation Entities</w:t>
      </w:r>
      <w:r w:rsidRPr="00F749A4">
        <w:rPr>
          <w:rFonts w:ascii="Public Sans" w:hAnsi="Public Sans"/>
          <w:i w:val="0"/>
          <w:sz w:val="17"/>
          <w:szCs w:val="17"/>
          <w:lang w:val="en-AU"/>
        </w:rPr>
        <w:t>.</w:t>
      </w:r>
      <w:r w:rsidRPr="00F749A4">
        <w:rPr>
          <w:rFonts w:ascii="Public Sans" w:hAnsi="Public Sans"/>
          <w:i w:val="0"/>
          <w:sz w:val="17"/>
          <w:szCs w:val="17"/>
        </w:rPr>
        <w:t xml:space="preserve"> The superannuation liability reported on the State’s balance sheet is the unfunded component of the liability and is governed by AASB119.</w:t>
      </w:r>
      <w:r w:rsidR="00B94C1D" w:rsidRPr="00F749A4">
        <w:rPr>
          <w:rFonts w:ascii="Public Sans" w:hAnsi="Public Sans"/>
          <w:i w:val="0"/>
          <w:sz w:val="17"/>
          <w:szCs w:val="17"/>
        </w:rPr>
        <w:t xml:space="preserve"> It should be noted that this Accounting Standard creates a larger and more volatile liability </w:t>
      </w:r>
      <w:r w:rsidR="00736855">
        <w:rPr>
          <w:rFonts w:ascii="Public Sans" w:hAnsi="Public Sans"/>
          <w:i w:val="0"/>
          <w:sz w:val="17"/>
          <w:szCs w:val="17"/>
        </w:rPr>
        <w:t xml:space="preserve">than under AASB1056 </w:t>
      </w:r>
      <w:r w:rsidR="00B94C1D" w:rsidRPr="00F749A4">
        <w:rPr>
          <w:rFonts w:ascii="Public Sans" w:hAnsi="Public Sans"/>
          <w:i w:val="0"/>
          <w:sz w:val="17"/>
          <w:szCs w:val="17"/>
        </w:rPr>
        <w:t>due to</w:t>
      </w:r>
      <w:r w:rsidR="00736855">
        <w:rPr>
          <w:rFonts w:ascii="Public Sans" w:hAnsi="Public Sans"/>
          <w:i w:val="0"/>
          <w:sz w:val="17"/>
          <w:szCs w:val="17"/>
        </w:rPr>
        <w:t xml:space="preserve"> the use of</w:t>
      </w:r>
      <w:r w:rsidR="0088016D">
        <w:rPr>
          <w:rFonts w:ascii="Public Sans" w:hAnsi="Public Sans"/>
          <w:i w:val="0"/>
          <w:sz w:val="17"/>
          <w:szCs w:val="17"/>
        </w:rPr>
        <w:t xml:space="preserve"> a</w:t>
      </w:r>
      <w:r w:rsidR="00B94C1D" w:rsidRPr="00F749A4">
        <w:rPr>
          <w:rFonts w:ascii="Public Sans" w:hAnsi="Public Sans"/>
          <w:i w:val="0"/>
          <w:sz w:val="17"/>
          <w:szCs w:val="17"/>
        </w:rPr>
        <w:t xml:space="preserve"> conservative valuation </w:t>
      </w:r>
      <w:r w:rsidR="0088016D">
        <w:rPr>
          <w:rFonts w:ascii="Public Sans" w:hAnsi="Public Sans"/>
          <w:i w:val="0"/>
          <w:sz w:val="17"/>
          <w:szCs w:val="17"/>
        </w:rPr>
        <w:t>discount rate</w:t>
      </w:r>
      <w:r w:rsidR="00B94C1D" w:rsidRPr="00F749A4">
        <w:rPr>
          <w:rFonts w:ascii="Public Sans" w:hAnsi="Public Sans"/>
          <w:i w:val="0"/>
          <w:sz w:val="17"/>
          <w:szCs w:val="17"/>
        </w:rPr>
        <w:t xml:space="preserve">. AASB1056 is the basis used when assessing the Government’s funding position. </w:t>
      </w:r>
      <w:r w:rsidR="0064255B">
        <w:rPr>
          <w:rFonts w:ascii="Public Sans" w:hAnsi="Public Sans"/>
          <w:i w:val="0"/>
          <w:sz w:val="17"/>
          <w:szCs w:val="17"/>
        </w:rPr>
        <w:t xml:space="preserve">The defined benefit superannuation liability has increased over the last year </w:t>
      </w:r>
      <w:r w:rsidR="00B94C1D" w:rsidRPr="00F749A4">
        <w:rPr>
          <w:rFonts w:ascii="Public Sans" w:hAnsi="Public Sans"/>
          <w:i w:val="0"/>
          <w:sz w:val="17"/>
          <w:szCs w:val="17"/>
        </w:rPr>
        <w:t>due to the high inflation experienced, given that pensions are linked to consumer price index (producing a net liability of $</w:t>
      </w:r>
      <w:r w:rsidR="005202E1">
        <w:rPr>
          <w:rFonts w:ascii="Public Sans" w:hAnsi="Public Sans"/>
          <w:i w:val="0"/>
          <w:sz w:val="17"/>
          <w:szCs w:val="17"/>
        </w:rPr>
        <w:t>19.8</w:t>
      </w:r>
      <w:r w:rsidR="0061505A">
        <w:rPr>
          <w:rFonts w:ascii="Public Sans" w:hAnsi="Public Sans"/>
          <w:i w:val="0"/>
          <w:sz w:val="17"/>
          <w:szCs w:val="17"/>
        </w:rPr>
        <w:t> </w:t>
      </w:r>
      <w:r w:rsidR="00B94C1D" w:rsidRPr="00F749A4">
        <w:rPr>
          <w:rFonts w:ascii="Public Sans" w:hAnsi="Public Sans"/>
          <w:i w:val="0"/>
          <w:sz w:val="17"/>
          <w:szCs w:val="17"/>
        </w:rPr>
        <w:t>billion as of 30 June 2023 under this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A324" w14:textId="77777777" w:rsidR="00A73E4F" w:rsidRPr="00287482" w:rsidRDefault="00A73E4F" w:rsidP="00A73E4F">
    <w:pPr>
      <w:pBdr>
        <w:bottom w:val="single" w:sz="4" w:space="4" w:color="auto"/>
      </w:pBdr>
      <w:rPr>
        <w:rFonts w:ascii="Public Sans" w:eastAsia="Calibri" w:hAnsi="Public Sans" w:cs="Arial"/>
        <w:sz w:val="18"/>
        <w:szCs w:val="18"/>
      </w:rPr>
    </w:pPr>
    <w:r w:rsidRPr="00287482">
      <w:rPr>
        <w:rFonts w:ascii="Public Sans" w:eastAsia="Calibri" w:hAnsi="Public Sans" w:cs="Arial"/>
        <w:sz w:val="18"/>
        <w:szCs w:val="18"/>
      </w:rPr>
      <w:t>Managing the State’s Assets and Liabilities</w:t>
    </w:r>
  </w:p>
  <w:p w14:paraId="439DB458" w14:textId="77777777" w:rsidR="009E5213" w:rsidRDefault="009E5213" w:rsidP="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CDEC" w14:textId="77777777" w:rsidR="00A73E4F" w:rsidRPr="0013173E" w:rsidRDefault="00A73E4F" w:rsidP="0013173E">
    <w:pPr>
      <w:pBdr>
        <w:bottom w:val="single" w:sz="4" w:space="4" w:color="auto"/>
      </w:pBdr>
      <w:jc w:val="right"/>
      <w:rPr>
        <w:rFonts w:ascii="Public Sans" w:eastAsia="Calibri" w:hAnsi="Public Sans" w:cs="Arial"/>
        <w:sz w:val="18"/>
        <w:szCs w:val="18"/>
      </w:rPr>
    </w:pPr>
    <w:r w:rsidRPr="0013173E">
      <w:rPr>
        <w:rFonts w:ascii="Public Sans" w:eastAsia="Calibri" w:hAnsi="Public Sans" w:cs="Arial"/>
        <w:sz w:val="18"/>
        <w:szCs w:val="18"/>
      </w:rPr>
      <w:t>Managing the State’s Assets and Liabilities</w:t>
    </w:r>
  </w:p>
  <w:p w14:paraId="08E06F2E" w14:textId="4C3DF83B" w:rsidR="009E5213" w:rsidRPr="00A73E4F" w:rsidRDefault="009E5213" w:rsidP="00A73E4F">
    <w:pPr>
      <w:jc w:val="right"/>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27DD" w14:textId="7D290177" w:rsidR="00AB2DCE" w:rsidRDefault="00AB2DCE"/>
</w:hdr>
</file>

<file path=word/intelligence2.xml><?xml version="1.0" encoding="utf-8"?>
<int2:intelligence xmlns:int2="http://schemas.microsoft.com/office/intelligence/2020/intelligence" xmlns:oel="http://schemas.microsoft.com/office/2019/extlst">
  <int2:observations>
    <int2:textHash int2:hashCode="NPAR3YUkE43O9B" int2:id="8v9CA7b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DCBA7C64"/>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A604FFE"/>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1E8AE97A"/>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33826B94"/>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9E186444"/>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0BE0E166"/>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77161D6E"/>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937B0C"/>
    <w:multiLevelType w:val="hybridMultilevel"/>
    <w:tmpl w:val="9D0A33D4"/>
    <w:lvl w:ilvl="0" w:tplc="F9C001CE">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4C0CEFA2"/>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48B8242A"/>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A331C"/>
    <w:multiLevelType w:val="hybridMultilevel"/>
    <w:tmpl w:val="FD4A84E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22266F"/>
    <w:multiLevelType w:val="hybridMultilevel"/>
    <w:tmpl w:val="58E8134A"/>
    <w:lvl w:ilvl="0" w:tplc="567EA7E6">
      <w:start w:val="1"/>
      <w:numFmt w:val="bullet"/>
      <w:lvlText w:val=""/>
      <w:lvlJc w:val="left"/>
      <w:pPr>
        <w:ind w:left="720" w:hanging="360"/>
      </w:pPr>
      <w:rPr>
        <w:rFonts w:ascii="Symbol" w:hAnsi="Symbol" w:hint="default"/>
        <w:sz w:val="17"/>
        <w:szCs w:val="1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5006D5"/>
    <w:multiLevelType w:val="hybridMultilevel"/>
    <w:tmpl w:val="A5DEE2FA"/>
    <w:lvl w:ilvl="0" w:tplc="1DEEB596">
      <w:start w:val="1"/>
      <w:numFmt w:val="lowerLetter"/>
      <w:lvlText w:val="(%1)"/>
      <w:lvlJc w:val="left"/>
      <w:pPr>
        <w:ind w:left="720" w:hanging="360"/>
      </w:pPr>
      <w:rPr>
        <w:rFonts w:ascii="Public Sans" w:hAnsi="Public Sans"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DE7142"/>
    <w:multiLevelType w:val="hybridMultilevel"/>
    <w:tmpl w:val="821E29A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856019"/>
    <w:multiLevelType w:val="hybridMultilevel"/>
    <w:tmpl w:val="6DF4C05E"/>
    <w:styleLink w:val="BulletPoints"/>
    <w:lvl w:ilvl="0" w:tplc="3A8EDC52">
      <w:start w:val="1"/>
      <w:numFmt w:val="bullet"/>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46FD5"/>
    <w:multiLevelType w:val="hybridMultilevel"/>
    <w:tmpl w:val="B130F346"/>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B35209"/>
    <w:multiLevelType w:val="hybridMultilevel"/>
    <w:tmpl w:val="D26280B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E73AFC"/>
    <w:multiLevelType w:val="hybridMultilevel"/>
    <w:tmpl w:val="7E84295C"/>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B327C4"/>
    <w:multiLevelType w:val="hybridMultilevel"/>
    <w:tmpl w:val="C4767CC6"/>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D55888"/>
    <w:multiLevelType w:val="hybridMultilevel"/>
    <w:tmpl w:val="66BA876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A618EB"/>
    <w:multiLevelType w:val="hybridMultilevel"/>
    <w:tmpl w:val="58E000CE"/>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B425B1"/>
    <w:multiLevelType w:val="hybridMultilevel"/>
    <w:tmpl w:val="15CEE72E"/>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02373E"/>
    <w:multiLevelType w:val="hybridMultilevel"/>
    <w:tmpl w:val="C2B41DF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5F00C6"/>
    <w:multiLevelType w:val="hybridMultilevel"/>
    <w:tmpl w:val="413888BE"/>
    <w:lvl w:ilvl="0" w:tplc="D05CD762">
      <w:start w:val="1"/>
      <w:numFmt w:val="decimal"/>
      <w:pStyle w:val="61Heading2"/>
      <w:lvlText w:val="6.%1"/>
      <w:lvlJc w:val="left"/>
      <w:pPr>
        <w:ind w:left="360" w:hanging="360"/>
      </w:pPr>
      <w:rPr>
        <w:rFonts w:ascii="Public Sans SemiBold" w:hAnsi="Public Sans SemiBold" w:hint="default"/>
        <w:b/>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7303A6"/>
    <w:multiLevelType w:val="hybridMultilevel"/>
    <w:tmpl w:val="07407720"/>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0"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1C3199"/>
    <w:multiLevelType w:val="hybridMultilevel"/>
    <w:tmpl w:val="92660004"/>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352F38"/>
    <w:multiLevelType w:val="hybridMultilevel"/>
    <w:tmpl w:val="DF763BD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795CAD"/>
    <w:multiLevelType w:val="hybridMultilevel"/>
    <w:tmpl w:val="DE944E8C"/>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FB1DA3"/>
    <w:multiLevelType w:val="hybridMultilevel"/>
    <w:tmpl w:val="20E2CD9C"/>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8" w15:restartNumberingAfterBreak="0">
    <w:nsid w:val="4D8E799A"/>
    <w:multiLevelType w:val="hybridMultilevel"/>
    <w:tmpl w:val="A832016A"/>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CA7ED8"/>
    <w:multiLevelType w:val="hybridMultilevel"/>
    <w:tmpl w:val="C00C2EF6"/>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0D536D6"/>
    <w:multiLevelType w:val="hybridMultilevel"/>
    <w:tmpl w:val="1220BF1A"/>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BD70C2"/>
    <w:multiLevelType w:val="hybridMultilevel"/>
    <w:tmpl w:val="1982DCAC"/>
    <w:lvl w:ilvl="0" w:tplc="98C650BE">
      <w:start w:val="1"/>
      <w:numFmt w:val="bullet"/>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36140"/>
    <w:multiLevelType w:val="hybridMultilevel"/>
    <w:tmpl w:val="3C68C796"/>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F164B4"/>
    <w:multiLevelType w:val="hybridMultilevel"/>
    <w:tmpl w:val="72386AD6"/>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D6282E"/>
    <w:multiLevelType w:val="hybridMultilevel"/>
    <w:tmpl w:val="08DC5E2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041D7B"/>
    <w:multiLevelType w:val="hybridMultilevel"/>
    <w:tmpl w:val="F2D6BE40"/>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6" w15:restartNumberingAfterBreak="0">
    <w:nsid w:val="599E5E30"/>
    <w:multiLevelType w:val="hybridMultilevel"/>
    <w:tmpl w:val="EA60254E"/>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414304"/>
    <w:multiLevelType w:val="hybridMultilevel"/>
    <w:tmpl w:val="43D49B10"/>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BD6814"/>
    <w:multiLevelType w:val="hybridMultilevel"/>
    <w:tmpl w:val="76145878"/>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75030"/>
    <w:multiLevelType w:val="hybridMultilevel"/>
    <w:tmpl w:val="0D6A15A0"/>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608000C"/>
    <w:multiLevelType w:val="hybridMultilevel"/>
    <w:tmpl w:val="A3CEA68E"/>
    <w:lvl w:ilvl="0" w:tplc="4848444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8095C94"/>
    <w:multiLevelType w:val="hybridMultilevel"/>
    <w:tmpl w:val="52BEBB06"/>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AD0A08"/>
    <w:multiLevelType w:val="hybridMultilevel"/>
    <w:tmpl w:val="D8F4A49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D633B70"/>
    <w:multiLevelType w:val="hybridMultilevel"/>
    <w:tmpl w:val="5248E9A6"/>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FA6ECC"/>
    <w:multiLevelType w:val="hybridMultilevel"/>
    <w:tmpl w:val="6902EFF0"/>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12603"/>
    <w:multiLevelType w:val="hybridMultilevel"/>
    <w:tmpl w:val="BB486A02"/>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543C04"/>
    <w:multiLevelType w:val="hybridMultilevel"/>
    <w:tmpl w:val="3B7C94EE"/>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B3043F"/>
    <w:multiLevelType w:val="hybridMultilevel"/>
    <w:tmpl w:val="7958C8D2"/>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1A1949"/>
    <w:multiLevelType w:val="hybridMultilevel"/>
    <w:tmpl w:val="BD949178"/>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A876093"/>
    <w:multiLevelType w:val="hybridMultilevel"/>
    <w:tmpl w:val="11FC3EA8"/>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6919CF"/>
    <w:multiLevelType w:val="hybridMultilevel"/>
    <w:tmpl w:val="3B6889E2"/>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58502F"/>
    <w:multiLevelType w:val="hybridMultilevel"/>
    <w:tmpl w:val="F4CE1240"/>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1"/>
  </w:num>
  <w:num w:numId="2" w16cid:durableId="2138717275">
    <w:abstractNumId w:val="17"/>
    <w:lvlOverride w:ilvl="0">
      <w:startOverride w:val="1"/>
    </w:lvlOverride>
  </w:num>
  <w:num w:numId="3" w16cid:durableId="1701660572">
    <w:abstractNumId w:val="0"/>
  </w:num>
  <w:num w:numId="4" w16cid:durableId="172381678">
    <w:abstractNumId w:val="58"/>
  </w:num>
  <w:num w:numId="5" w16cid:durableId="1646004301">
    <w:abstractNumId w:val="68"/>
  </w:num>
  <w:num w:numId="6" w16cid:durableId="1032463641">
    <w:abstractNumId w:val="44"/>
  </w:num>
  <w:num w:numId="7" w16cid:durableId="191456594">
    <w:abstractNumId w:val="27"/>
  </w:num>
  <w:num w:numId="8" w16cid:durableId="2145807113">
    <w:abstractNumId w:val="39"/>
  </w:num>
  <w:num w:numId="9" w16cid:durableId="1322005159">
    <w:abstractNumId w:val="38"/>
  </w:num>
  <w:num w:numId="10" w16cid:durableId="1668946344">
    <w:abstractNumId w:val="56"/>
  </w:num>
  <w:num w:numId="11" w16cid:durableId="1141459875">
    <w:abstractNumId w:val="31"/>
  </w:num>
  <w:num w:numId="12" w16cid:durableId="217398733">
    <w:abstractNumId w:val="4"/>
  </w:num>
  <w:num w:numId="13" w16cid:durableId="1010453182">
    <w:abstractNumId w:val="3"/>
  </w:num>
  <w:num w:numId="14" w16cid:durableId="247542902">
    <w:abstractNumId w:val="42"/>
  </w:num>
  <w:num w:numId="15" w16cid:durableId="1877934132">
    <w:abstractNumId w:val="70"/>
  </w:num>
  <w:num w:numId="16" w16cid:durableId="1263148139">
    <w:abstractNumId w:val="22"/>
  </w:num>
  <w:num w:numId="17" w16cid:durableId="592511066">
    <w:abstractNumId w:val="71"/>
  </w:num>
  <w:num w:numId="18" w16cid:durableId="341321829">
    <w:abstractNumId w:val="48"/>
  </w:num>
  <w:num w:numId="19" w16cid:durableId="1404528240">
    <w:abstractNumId w:val="47"/>
  </w:num>
  <w:num w:numId="20" w16cid:durableId="1237938770">
    <w:abstractNumId w:val="82"/>
  </w:num>
  <w:num w:numId="21" w16cid:durableId="246306224">
    <w:abstractNumId w:val="50"/>
  </w:num>
  <w:num w:numId="22" w16cid:durableId="2073231764">
    <w:abstractNumId w:val="72"/>
  </w:num>
  <w:num w:numId="23" w16cid:durableId="644890637">
    <w:abstractNumId w:val="1"/>
  </w:num>
  <w:num w:numId="24" w16cid:durableId="1166094124">
    <w:abstractNumId w:val="45"/>
  </w:num>
  <w:num w:numId="25" w16cid:durableId="1345323166">
    <w:abstractNumId w:val="36"/>
  </w:num>
  <w:num w:numId="26" w16cid:durableId="1424374510">
    <w:abstractNumId w:val="67"/>
  </w:num>
  <w:num w:numId="27" w16cid:durableId="2099786949">
    <w:abstractNumId w:val="21"/>
  </w:num>
  <w:num w:numId="28" w16cid:durableId="686829510">
    <w:abstractNumId w:val="51"/>
  </w:num>
  <w:num w:numId="29" w16cid:durableId="526330865">
    <w:abstractNumId w:val="29"/>
  </w:num>
  <w:num w:numId="30" w16cid:durableId="1987658281">
    <w:abstractNumId w:val="64"/>
  </w:num>
  <w:num w:numId="31" w16cid:durableId="1413162895">
    <w:abstractNumId w:val="37"/>
  </w:num>
  <w:num w:numId="32" w16cid:durableId="1915623689">
    <w:abstractNumId w:val="28"/>
  </w:num>
  <w:num w:numId="33" w16cid:durableId="398989468">
    <w:abstractNumId w:val="74"/>
  </w:num>
  <w:num w:numId="34" w16cid:durableId="649134897">
    <w:abstractNumId w:val="33"/>
  </w:num>
  <w:num w:numId="35" w16cid:durableId="452796334">
    <w:abstractNumId w:val="52"/>
  </w:num>
  <w:num w:numId="36" w16cid:durableId="824471220">
    <w:abstractNumId w:val="43"/>
  </w:num>
  <w:num w:numId="37" w16cid:durableId="1298025872">
    <w:abstractNumId w:val="81"/>
  </w:num>
  <w:num w:numId="38" w16cid:durableId="339815267">
    <w:abstractNumId w:val="59"/>
  </w:num>
  <w:num w:numId="39" w16cid:durableId="1038966433">
    <w:abstractNumId w:val="54"/>
  </w:num>
  <w:num w:numId="40" w16cid:durableId="1636763018">
    <w:abstractNumId w:val="2"/>
  </w:num>
  <w:num w:numId="41" w16cid:durableId="492261725">
    <w:abstractNumId w:val="35"/>
  </w:num>
  <w:num w:numId="42" w16cid:durableId="845751266">
    <w:abstractNumId w:val="46"/>
  </w:num>
  <w:num w:numId="43" w16cid:durableId="1211646444">
    <w:abstractNumId w:val="23"/>
  </w:num>
  <w:num w:numId="44" w16cid:durableId="1129473347">
    <w:abstractNumId w:val="18"/>
  </w:num>
  <w:num w:numId="45" w16cid:durableId="72092009">
    <w:abstractNumId w:val="9"/>
  </w:num>
  <w:num w:numId="46" w16cid:durableId="629481708">
    <w:abstractNumId w:val="53"/>
  </w:num>
  <w:num w:numId="47" w16cid:durableId="236401010">
    <w:abstractNumId w:val="77"/>
  </w:num>
  <w:num w:numId="48" w16cid:durableId="228080889">
    <w:abstractNumId w:val="86"/>
  </w:num>
  <w:num w:numId="49" w16cid:durableId="1708990371">
    <w:abstractNumId w:val="55"/>
  </w:num>
  <w:num w:numId="50" w16cid:durableId="233396080">
    <w:abstractNumId w:val="57"/>
  </w:num>
  <w:num w:numId="51" w16cid:durableId="392045307">
    <w:abstractNumId w:val="14"/>
  </w:num>
  <w:num w:numId="52" w16cid:durableId="1794978666">
    <w:abstractNumId w:val="83"/>
  </w:num>
  <w:num w:numId="53" w16cid:durableId="384912486">
    <w:abstractNumId w:val="79"/>
  </w:num>
  <w:num w:numId="54" w16cid:durableId="528764200">
    <w:abstractNumId w:val="60"/>
  </w:num>
  <w:num w:numId="55" w16cid:durableId="1034422776">
    <w:abstractNumId w:val="13"/>
  </w:num>
  <w:num w:numId="56" w16cid:durableId="616059943">
    <w:abstractNumId w:val="26"/>
  </w:num>
  <w:num w:numId="57" w16cid:durableId="718363063">
    <w:abstractNumId w:val="40"/>
  </w:num>
  <w:num w:numId="58" w16cid:durableId="220866152">
    <w:abstractNumId w:val="63"/>
  </w:num>
  <w:num w:numId="59" w16cid:durableId="399836929">
    <w:abstractNumId w:val="11"/>
  </w:num>
  <w:num w:numId="60" w16cid:durableId="1476528802">
    <w:abstractNumId w:val="66"/>
  </w:num>
  <w:num w:numId="61" w16cid:durableId="342561311">
    <w:abstractNumId w:val="80"/>
  </w:num>
  <w:num w:numId="62" w16cid:durableId="1540236941">
    <w:abstractNumId w:val="30"/>
  </w:num>
  <w:num w:numId="63" w16cid:durableId="990403843">
    <w:abstractNumId w:val="24"/>
  </w:num>
  <w:num w:numId="64" w16cid:durableId="2135754708">
    <w:abstractNumId w:val="19"/>
  </w:num>
  <w:num w:numId="65" w16cid:durableId="1979190461">
    <w:abstractNumId w:val="75"/>
  </w:num>
  <w:num w:numId="66" w16cid:durableId="1354956810">
    <w:abstractNumId w:val="6"/>
  </w:num>
  <w:num w:numId="67" w16cid:durableId="721095869">
    <w:abstractNumId w:val="84"/>
  </w:num>
  <w:num w:numId="68" w16cid:durableId="1351105093">
    <w:abstractNumId w:val="69"/>
  </w:num>
  <w:num w:numId="69" w16cid:durableId="850220336">
    <w:abstractNumId w:val="41"/>
  </w:num>
  <w:num w:numId="70" w16cid:durableId="1333948965">
    <w:abstractNumId w:val="61"/>
  </w:num>
  <w:num w:numId="71" w16cid:durableId="1454908441">
    <w:abstractNumId w:val="65"/>
  </w:num>
  <w:num w:numId="72" w16cid:durableId="2058384554">
    <w:abstractNumId w:val="49"/>
  </w:num>
  <w:num w:numId="73" w16cid:durableId="125204606">
    <w:abstractNumId w:val="78"/>
  </w:num>
  <w:num w:numId="74" w16cid:durableId="1458791525">
    <w:abstractNumId w:val="32"/>
  </w:num>
  <w:num w:numId="75" w16cid:durableId="581598080">
    <w:abstractNumId w:val="12"/>
  </w:num>
  <w:num w:numId="76" w16cid:durableId="1539661135">
    <w:abstractNumId w:val="25"/>
  </w:num>
  <w:num w:numId="77" w16cid:durableId="1613828198">
    <w:abstractNumId w:val="7"/>
  </w:num>
  <w:num w:numId="78" w16cid:durableId="50737947">
    <w:abstractNumId w:val="76"/>
  </w:num>
  <w:num w:numId="79" w16cid:durableId="1231307711">
    <w:abstractNumId w:val="20"/>
  </w:num>
  <w:num w:numId="80" w16cid:durableId="402029092">
    <w:abstractNumId w:val="34"/>
  </w:num>
  <w:num w:numId="81" w16cid:durableId="942884905">
    <w:abstractNumId w:val="5"/>
  </w:num>
  <w:num w:numId="82" w16cid:durableId="1473862872">
    <w:abstractNumId w:val="8"/>
  </w:num>
  <w:num w:numId="83" w16cid:durableId="1532374275">
    <w:abstractNumId w:val="85"/>
  </w:num>
  <w:num w:numId="84" w16cid:durableId="1277056408">
    <w:abstractNumId w:val="15"/>
  </w:num>
  <w:num w:numId="85" w16cid:durableId="203446220">
    <w:abstractNumId w:val="73"/>
  </w:num>
  <w:num w:numId="86" w16cid:durableId="8023260">
    <w:abstractNumId w:val="62"/>
  </w:num>
  <w:num w:numId="87" w16cid:durableId="452938814">
    <w:abstractNumId w:val="16"/>
  </w:num>
  <w:num w:numId="88" w16cid:durableId="1532259941">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258C"/>
    <w:rsid w:val="0000277D"/>
    <w:rsid w:val="00002B41"/>
    <w:rsid w:val="00002BAB"/>
    <w:rsid w:val="00003099"/>
    <w:rsid w:val="00004645"/>
    <w:rsid w:val="00004D3F"/>
    <w:rsid w:val="00004FF3"/>
    <w:rsid w:val="0000501A"/>
    <w:rsid w:val="00006EFB"/>
    <w:rsid w:val="00007C7B"/>
    <w:rsid w:val="00007F9E"/>
    <w:rsid w:val="000107AC"/>
    <w:rsid w:val="0001128A"/>
    <w:rsid w:val="0001261C"/>
    <w:rsid w:val="00014904"/>
    <w:rsid w:val="00014ED1"/>
    <w:rsid w:val="0001515B"/>
    <w:rsid w:val="00015165"/>
    <w:rsid w:val="00015AF6"/>
    <w:rsid w:val="00015C84"/>
    <w:rsid w:val="00016994"/>
    <w:rsid w:val="00016F37"/>
    <w:rsid w:val="00017B63"/>
    <w:rsid w:val="0002082D"/>
    <w:rsid w:val="00020DE7"/>
    <w:rsid w:val="000217CC"/>
    <w:rsid w:val="00023267"/>
    <w:rsid w:val="000234A8"/>
    <w:rsid w:val="000237C6"/>
    <w:rsid w:val="00023946"/>
    <w:rsid w:val="00023978"/>
    <w:rsid w:val="000239DC"/>
    <w:rsid w:val="000246D6"/>
    <w:rsid w:val="00024BDA"/>
    <w:rsid w:val="00024C82"/>
    <w:rsid w:val="00024F23"/>
    <w:rsid w:val="00026062"/>
    <w:rsid w:val="00026766"/>
    <w:rsid w:val="00026798"/>
    <w:rsid w:val="00026B09"/>
    <w:rsid w:val="00026E70"/>
    <w:rsid w:val="00026F56"/>
    <w:rsid w:val="00027A4D"/>
    <w:rsid w:val="000301ED"/>
    <w:rsid w:val="00030B11"/>
    <w:rsid w:val="0003195B"/>
    <w:rsid w:val="0003294B"/>
    <w:rsid w:val="0003377D"/>
    <w:rsid w:val="00033AA1"/>
    <w:rsid w:val="0003468B"/>
    <w:rsid w:val="0003597B"/>
    <w:rsid w:val="00036DE3"/>
    <w:rsid w:val="000372DF"/>
    <w:rsid w:val="00037D8C"/>
    <w:rsid w:val="00037DBE"/>
    <w:rsid w:val="000416F3"/>
    <w:rsid w:val="0004178B"/>
    <w:rsid w:val="00042732"/>
    <w:rsid w:val="000448E6"/>
    <w:rsid w:val="00045DFA"/>
    <w:rsid w:val="00046042"/>
    <w:rsid w:val="000504D7"/>
    <w:rsid w:val="000505E6"/>
    <w:rsid w:val="00050757"/>
    <w:rsid w:val="000510A3"/>
    <w:rsid w:val="000523D2"/>
    <w:rsid w:val="00052A65"/>
    <w:rsid w:val="00053A7B"/>
    <w:rsid w:val="00055144"/>
    <w:rsid w:val="00056149"/>
    <w:rsid w:val="00056489"/>
    <w:rsid w:val="000566C7"/>
    <w:rsid w:val="00056AD0"/>
    <w:rsid w:val="0005773F"/>
    <w:rsid w:val="0006039A"/>
    <w:rsid w:val="00060503"/>
    <w:rsid w:val="00060D9F"/>
    <w:rsid w:val="0006176E"/>
    <w:rsid w:val="00061E43"/>
    <w:rsid w:val="000636E2"/>
    <w:rsid w:val="00063756"/>
    <w:rsid w:val="00063A56"/>
    <w:rsid w:val="00063E98"/>
    <w:rsid w:val="000641C3"/>
    <w:rsid w:val="00064E3C"/>
    <w:rsid w:val="000655BF"/>
    <w:rsid w:val="00065862"/>
    <w:rsid w:val="000672A1"/>
    <w:rsid w:val="00067CE1"/>
    <w:rsid w:val="0007053E"/>
    <w:rsid w:val="00070C00"/>
    <w:rsid w:val="00070E27"/>
    <w:rsid w:val="000711A6"/>
    <w:rsid w:val="0007139F"/>
    <w:rsid w:val="00071949"/>
    <w:rsid w:val="000723C8"/>
    <w:rsid w:val="00073119"/>
    <w:rsid w:val="00074B79"/>
    <w:rsid w:val="00074DE3"/>
    <w:rsid w:val="000758BE"/>
    <w:rsid w:val="00075D4C"/>
    <w:rsid w:val="00076E9C"/>
    <w:rsid w:val="000800C8"/>
    <w:rsid w:val="000824F3"/>
    <w:rsid w:val="00083D38"/>
    <w:rsid w:val="00084813"/>
    <w:rsid w:val="0008504A"/>
    <w:rsid w:val="000851A6"/>
    <w:rsid w:val="000857C5"/>
    <w:rsid w:val="00086143"/>
    <w:rsid w:val="000868FA"/>
    <w:rsid w:val="00086B6A"/>
    <w:rsid w:val="0008743D"/>
    <w:rsid w:val="000903D0"/>
    <w:rsid w:val="000912CE"/>
    <w:rsid w:val="00091353"/>
    <w:rsid w:val="0009149B"/>
    <w:rsid w:val="000914DA"/>
    <w:rsid w:val="000914E8"/>
    <w:rsid w:val="00091CD8"/>
    <w:rsid w:val="0009200F"/>
    <w:rsid w:val="000929E2"/>
    <w:rsid w:val="00092ABC"/>
    <w:rsid w:val="00092ABD"/>
    <w:rsid w:val="00093134"/>
    <w:rsid w:val="0009325B"/>
    <w:rsid w:val="00093720"/>
    <w:rsid w:val="000938F1"/>
    <w:rsid w:val="00093F64"/>
    <w:rsid w:val="00095EA8"/>
    <w:rsid w:val="000961B4"/>
    <w:rsid w:val="00097D6D"/>
    <w:rsid w:val="000A0C41"/>
    <w:rsid w:val="000A14FD"/>
    <w:rsid w:val="000A1586"/>
    <w:rsid w:val="000A267F"/>
    <w:rsid w:val="000A2DF7"/>
    <w:rsid w:val="000A2FEF"/>
    <w:rsid w:val="000A343D"/>
    <w:rsid w:val="000A38CA"/>
    <w:rsid w:val="000A46FD"/>
    <w:rsid w:val="000A4D78"/>
    <w:rsid w:val="000A52B8"/>
    <w:rsid w:val="000A56AF"/>
    <w:rsid w:val="000A57FC"/>
    <w:rsid w:val="000A634F"/>
    <w:rsid w:val="000B0940"/>
    <w:rsid w:val="000B0E49"/>
    <w:rsid w:val="000B15E9"/>
    <w:rsid w:val="000B1F07"/>
    <w:rsid w:val="000B3017"/>
    <w:rsid w:val="000B3947"/>
    <w:rsid w:val="000B3EB5"/>
    <w:rsid w:val="000B438A"/>
    <w:rsid w:val="000B65C2"/>
    <w:rsid w:val="000B6B80"/>
    <w:rsid w:val="000B76EE"/>
    <w:rsid w:val="000B7896"/>
    <w:rsid w:val="000C0AC0"/>
    <w:rsid w:val="000C12C5"/>
    <w:rsid w:val="000C14FB"/>
    <w:rsid w:val="000C2E6A"/>
    <w:rsid w:val="000C43B2"/>
    <w:rsid w:val="000C4434"/>
    <w:rsid w:val="000C45DB"/>
    <w:rsid w:val="000C5418"/>
    <w:rsid w:val="000C66D6"/>
    <w:rsid w:val="000C7DC5"/>
    <w:rsid w:val="000C7E96"/>
    <w:rsid w:val="000D16FD"/>
    <w:rsid w:val="000D18D3"/>
    <w:rsid w:val="000D1F75"/>
    <w:rsid w:val="000D2424"/>
    <w:rsid w:val="000D2447"/>
    <w:rsid w:val="000D343E"/>
    <w:rsid w:val="000D3599"/>
    <w:rsid w:val="000D362D"/>
    <w:rsid w:val="000D3844"/>
    <w:rsid w:val="000D3890"/>
    <w:rsid w:val="000D395C"/>
    <w:rsid w:val="000D3BD3"/>
    <w:rsid w:val="000D5AD3"/>
    <w:rsid w:val="000D5B6A"/>
    <w:rsid w:val="000D6FD2"/>
    <w:rsid w:val="000D7051"/>
    <w:rsid w:val="000D73C9"/>
    <w:rsid w:val="000D7479"/>
    <w:rsid w:val="000E0148"/>
    <w:rsid w:val="000E0E98"/>
    <w:rsid w:val="000E19FC"/>
    <w:rsid w:val="000E1B03"/>
    <w:rsid w:val="000E2158"/>
    <w:rsid w:val="000E2851"/>
    <w:rsid w:val="000E3608"/>
    <w:rsid w:val="000E3828"/>
    <w:rsid w:val="000E407C"/>
    <w:rsid w:val="000E410A"/>
    <w:rsid w:val="000E6775"/>
    <w:rsid w:val="000E6CD9"/>
    <w:rsid w:val="000F0607"/>
    <w:rsid w:val="000F1D09"/>
    <w:rsid w:val="000F1DCC"/>
    <w:rsid w:val="000F1E7F"/>
    <w:rsid w:val="000F21D1"/>
    <w:rsid w:val="000F22E3"/>
    <w:rsid w:val="000F2A1F"/>
    <w:rsid w:val="000F2B83"/>
    <w:rsid w:val="000F2F12"/>
    <w:rsid w:val="000F3FDF"/>
    <w:rsid w:val="000F4760"/>
    <w:rsid w:val="000F54FE"/>
    <w:rsid w:val="000F5736"/>
    <w:rsid w:val="000F5AD2"/>
    <w:rsid w:val="000F5B3B"/>
    <w:rsid w:val="000F5D67"/>
    <w:rsid w:val="000F6CEB"/>
    <w:rsid w:val="000F7D22"/>
    <w:rsid w:val="00100782"/>
    <w:rsid w:val="001008F7"/>
    <w:rsid w:val="00101094"/>
    <w:rsid w:val="00101723"/>
    <w:rsid w:val="00101B64"/>
    <w:rsid w:val="00103236"/>
    <w:rsid w:val="0010336A"/>
    <w:rsid w:val="00104B69"/>
    <w:rsid w:val="00105906"/>
    <w:rsid w:val="00105B3C"/>
    <w:rsid w:val="00107235"/>
    <w:rsid w:val="001072C8"/>
    <w:rsid w:val="00107770"/>
    <w:rsid w:val="00111723"/>
    <w:rsid w:val="001120E6"/>
    <w:rsid w:val="001128CF"/>
    <w:rsid w:val="00113997"/>
    <w:rsid w:val="00113DAB"/>
    <w:rsid w:val="00114804"/>
    <w:rsid w:val="001163E6"/>
    <w:rsid w:val="00116966"/>
    <w:rsid w:val="0011768C"/>
    <w:rsid w:val="001179FB"/>
    <w:rsid w:val="00117BB1"/>
    <w:rsid w:val="00120357"/>
    <w:rsid w:val="001203C0"/>
    <w:rsid w:val="001209FE"/>
    <w:rsid w:val="00121260"/>
    <w:rsid w:val="00121456"/>
    <w:rsid w:val="00121473"/>
    <w:rsid w:val="00121E21"/>
    <w:rsid w:val="00122013"/>
    <w:rsid w:val="001241C8"/>
    <w:rsid w:val="0012456B"/>
    <w:rsid w:val="0012474C"/>
    <w:rsid w:val="0012482F"/>
    <w:rsid w:val="00124A9B"/>
    <w:rsid w:val="00130E18"/>
    <w:rsid w:val="0013173E"/>
    <w:rsid w:val="00131A14"/>
    <w:rsid w:val="00131B6E"/>
    <w:rsid w:val="00132717"/>
    <w:rsid w:val="00132803"/>
    <w:rsid w:val="00132B21"/>
    <w:rsid w:val="00132CD5"/>
    <w:rsid w:val="00134476"/>
    <w:rsid w:val="0013600A"/>
    <w:rsid w:val="001368C4"/>
    <w:rsid w:val="00141C43"/>
    <w:rsid w:val="00141FD2"/>
    <w:rsid w:val="00142B95"/>
    <w:rsid w:val="00143032"/>
    <w:rsid w:val="001448DA"/>
    <w:rsid w:val="001468C6"/>
    <w:rsid w:val="001503D0"/>
    <w:rsid w:val="001506EC"/>
    <w:rsid w:val="00151C4A"/>
    <w:rsid w:val="00152133"/>
    <w:rsid w:val="00152C14"/>
    <w:rsid w:val="0015351B"/>
    <w:rsid w:val="001536CD"/>
    <w:rsid w:val="001549D1"/>
    <w:rsid w:val="00154A09"/>
    <w:rsid w:val="00155574"/>
    <w:rsid w:val="0015577E"/>
    <w:rsid w:val="00155D56"/>
    <w:rsid w:val="00155DCB"/>
    <w:rsid w:val="00156AC2"/>
    <w:rsid w:val="00156E24"/>
    <w:rsid w:val="001570B6"/>
    <w:rsid w:val="00161359"/>
    <w:rsid w:val="001615FD"/>
    <w:rsid w:val="001621B4"/>
    <w:rsid w:val="001623B3"/>
    <w:rsid w:val="001623D4"/>
    <w:rsid w:val="00162990"/>
    <w:rsid w:val="00162C3B"/>
    <w:rsid w:val="00163992"/>
    <w:rsid w:val="00163C89"/>
    <w:rsid w:val="001643D6"/>
    <w:rsid w:val="00164E27"/>
    <w:rsid w:val="00165108"/>
    <w:rsid w:val="001659BF"/>
    <w:rsid w:val="00165E4A"/>
    <w:rsid w:val="00166014"/>
    <w:rsid w:val="0016646D"/>
    <w:rsid w:val="001676FC"/>
    <w:rsid w:val="001702B0"/>
    <w:rsid w:val="0017099D"/>
    <w:rsid w:val="0017109D"/>
    <w:rsid w:val="00172A0C"/>
    <w:rsid w:val="00172CDB"/>
    <w:rsid w:val="00173C77"/>
    <w:rsid w:val="00173ED3"/>
    <w:rsid w:val="00175036"/>
    <w:rsid w:val="00175568"/>
    <w:rsid w:val="00175CE3"/>
    <w:rsid w:val="0017618F"/>
    <w:rsid w:val="0017699B"/>
    <w:rsid w:val="00176DF1"/>
    <w:rsid w:val="00181587"/>
    <w:rsid w:val="00182490"/>
    <w:rsid w:val="001826C3"/>
    <w:rsid w:val="001829FA"/>
    <w:rsid w:val="001866F6"/>
    <w:rsid w:val="00186855"/>
    <w:rsid w:val="00186E0A"/>
    <w:rsid w:val="001872B0"/>
    <w:rsid w:val="0018783F"/>
    <w:rsid w:val="00187AAA"/>
    <w:rsid w:val="00187AE7"/>
    <w:rsid w:val="00187E00"/>
    <w:rsid w:val="00190286"/>
    <w:rsid w:val="00192EC0"/>
    <w:rsid w:val="00193453"/>
    <w:rsid w:val="001937FB"/>
    <w:rsid w:val="00193A3F"/>
    <w:rsid w:val="00193EA3"/>
    <w:rsid w:val="00194735"/>
    <w:rsid w:val="00195C0E"/>
    <w:rsid w:val="00195CC2"/>
    <w:rsid w:val="001961C9"/>
    <w:rsid w:val="0019631C"/>
    <w:rsid w:val="0019676F"/>
    <w:rsid w:val="001968CE"/>
    <w:rsid w:val="00196B5E"/>
    <w:rsid w:val="00197019"/>
    <w:rsid w:val="001A0E06"/>
    <w:rsid w:val="001A1BB1"/>
    <w:rsid w:val="001A28F5"/>
    <w:rsid w:val="001A2CC3"/>
    <w:rsid w:val="001A301E"/>
    <w:rsid w:val="001A4892"/>
    <w:rsid w:val="001A4958"/>
    <w:rsid w:val="001A55E2"/>
    <w:rsid w:val="001A65D7"/>
    <w:rsid w:val="001A6EBA"/>
    <w:rsid w:val="001A7301"/>
    <w:rsid w:val="001A7358"/>
    <w:rsid w:val="001A7674"/>
    <w:rsid w:val="001A77E4"/>
    <w:rsid w:val="001A794D"/>
    <w:rsid w:val="001A7FD6"/>
    <w:rsid w:val="001B0CD0"/>
    <w:rsid w:val="001B11B0"/>
    <w:rsid w:val="001B1345"/>
    <w:rsid w:val="001B1B5B"/>
    <w:rsid w:val="001B30DA"/>
    <w:rsid w:val="001B3205"/>
    <w:rsid w:val="001B413A"/>
    <w:rsid w:val="001B505F"/>
    <w:rsid w:val="001B518A"/>
    <w:rsid w:val="001B60DC"/>
    <w:rsid w:val="001B73C3"/>
    <w:rsid w:val="001B7D5C"/>
    <w:rsid w:val="001B7D99"/>
    <w:rsid w:val="001C051D"/>
    <w:rsid w:val="001C1D94"/>
    <w:rsid w:val="001C22FB"/>
    <w:rsid w:val="001C2516"/>
    <w:rsid w:val="001C2A9F"/>
    <w:rsid w:val="001C307A"/>
    <w:rsid w:val="001C43BA"/>
    <w:rsid w:val="001C4B1B"/>
    <w:rsid w:val="001C51C0"/>
    <w:rsid w:val="001C5561"/>
    <w:rsid w:val="001C5828"/>
    <w:rsid w:val="001C6181"/>
    <w:rsid w:val="001C7155"/>
    <w:rsid w:val="001C7532"/>
    <w:rsid w:val="001D0371"/>
    <w:rsid w:val="001D05BB"/>
    <w:rsid w:val="001D1D54"/>
    <w:rsid w:val="001D226D"/>
    <w:rsid w:val="001D35C5"/>
    <w:rsid w:val="001D3FE7"/>
    <w:rsid w:val="001D43E0"/>
    <w:rsid w:val="001D4820"/>
    <w:rsid w:val="001D49F7"/>
    <w:rsid w:val="001D4E98"/>
    <w:rsid w:val="001D5657"/>
    <w:rsid w:val="001D63BE"/>
    <w:rsid w:val="001D65E1"/>
    <w:rsid w:val="001D6FF9"/>
    <w:rsid w:val="001D7BB9"/>
    <w:rsid w:val="001E0D1E"/>
    <w:rsid w:val="001E10B9"/>
    <w:rsid w:val="001E149B"/>
    <w:rsid w:val="001E1C1C"/>
    <w:rsid w:val="001E2B83"/>
    <w:rsid w:val="001E307D"/>
    <w:rsid w:val="001E3884"/>
    <w:rsid w:val="001E3A1E"/>
    <w:rsid w:val="001E4215"/>
    <w:rsid w:val="001E4B9B"/>
    <w:rsid w:val="001E5BD8"/>
    <w:rsid w:val="001E5E89"/>
    <w:rsid w:val="001E70CF"/>
    <w:rsid w:val="001E74A4"/>
    <w:rsid w:val="001E7F4A"/>
    <w:rsid w:val="001F25C6"/>
    <w:rsid w:val="001F2651"/>
    <w:rsid w:val="001F30C2"/>
    <w:rsid w:val="001F3111"/>
    <w:rsid w:val="001F3313"/>
    <w:rsid w:val="001F4DC3"/>
    <w:rsid w:val="001F58F5"/>
    <w:rsid w:val="001F5FB7"/>
    <w:rsid w:val="001F62A0"/>
    <w:rsid w:val="001F62AB"/>
    <w:rsid w:val="001F726D"/>
    <w:rsid w:val="001F7613"/>
    <w:rsid w:val="001F7B03"/>
    <w:rsid w:val="001F7E91"/>
    <w:rsid w:val="001F7EA3"/>
    <w:rsid w:val="001F7F69"/>
    <w:rsid w:val="00202760"/>
    <w:rsid w:val="0020343D"/>
    <w:rsid w:val="002036FC"/>
    <w:rsid w:val="00204102"/>
    <w:rsid w:val="0020451E"/>
    <w:rsid w:val="00204645"/>
    <w:rsid w:val="00204CB9"/>
    <w:rsid w:val="00204DF0"/>
    <w:rsid w:val="00204F5D"/>
    <w:rsid w:val="002056A2"/>
    <w:rsid w:val="00206D50"/>
    <w:rsid w:val="00207B27"/>
    <w:rsid w:val="00211338"/>
    <w:rsid w:val="00211DB4"/>
    <w:rsid w:val="002126BE"/>
    <w:rsid w:val="00212945"/>
    <w:rsid w:val="00214700"/>
    <w:rsid w:val="002148DD"/>
    <w:rsid w:val="00214B53"/>
    <w:rsid w:val="00214E0B"/>
    <w:rsid w:val="00214E9C"/>
    <w:rsid w:val="002152A5"/>
    <w:rsid w:val="00217169"/>
    <w:rsid w:val="002171FA"/>
    <w:rsid w:val="002175F4"/>
    <w:rsid w:val="00220483"/>
    <w:rsid w:val="00221370"/>
    <w:rsid w:val="0022308F"/>
    <w:rsid w:val="00224C60"/>
    <w:rsid w:val="00226ED2"/>
    <w:rsid w:val="002321D6"/>
    <w:rsid w:val="0023241E"/>
    <w:rsid w:val="002332F3"/>
    <w:rsid w:val="00233503"/>
    <w:rsid w:val="00233881"/>
    <w:rsid w:val="002338D0"/>
    <w:rsid w:val="00236C70"/>
    <w:rsid w:val="00240141"/>
    <w:rsid w:val="002402B5"/>
    <w:rsid w:val="002411BA"/>
    <w:rsid w:val="0024201A"/>
    <w:rsid w:val="0024215A"/>
    <w:rsid w:val="00243FEC"/>
    <w:rsid w:val="00244624"/>
    <w:rsid w:val="0024514B"/>
    <w:rsid w:val="00246220"/>
    <w:rsid w:val="002465BE"/>
    <w:rsid w:val="0024667F"/>
    <w:rsid w:val="00246796"/>
    <w:rsid w:val="00247000"/>
    <w:rsid w:val="0025076D"/>
    <w:rsid w:val="0025090F"/>
    <w:rsid w:val="0025111E"/>
    <w:rsid w:val="002511E2"/>
    <w:rsid w:val="00251221"/>
    <w:rsid w:val="002517D6"/>
    <w:rsid w:val="00252174"/>
    <w:rsid w:val="002521AF"/>
    <w:rsid w:val="00252682"/>
    <w:rsid w:val="00252C95"/>
    <w:rsid w:val="00253A93"/>
    <w:rsid w:val="00254A56"/>
    <w:rsid w:val="00254FEA"/>
    <w:rsid w:val="002550F7"/>
    <w:rsid w:val="00255980"/>
    <w:rsid w:val="00255DCA"/>
    <w:rsid w:val="00256B47"/>
    <w:rsid w:val="0025783A"/>
    <w:rsid w:val="0025788B"/>
    <w:rsid w:val="0026040F"/>
    <w:rsid w:val="002604D8"/>
    <w:rsid w:val="00260EA4"/>
    <w:rsid w:val="002614E7"/>
    <w:rsid w:val="00261710"/>
    <w:rsid w:val="00261C57"/>
    <w:rsid w:val="00261E33"/>
    <w:rsid w:val="002626AF"/>
    <w:rsid w:val="00262768"/>
    <w:rsid w:val="0026303B"/>
    <w:rsid w:val="002630A3"/>
    <w:rsid w:val="00264B6A"/>
    <w:rsid w:val="002654E2"/>
    <w:rsid w:val="0026579B"/>
    <w:rsid w:val="00266038"/>
    <w:rsid w:val="00266040"/>
    <w:rsid w:val="00266BFC"/>
    <w:rsid w:val="00266DBF"/>
    <w:rsid w:val="002670FE"/>
    <w:rsid w:val="00267B01"/>
    <w:rsid w:val="00267F61"/>
    <w:rsid w:val="0027114B"/>
    <w:rsid w:val="002717CC"/>
    <w:rsid w:val="00271A29"/>
    <w:rsid w:val="00272851"/>
    <w:rsid w:val="002730D2"/>
    <w:rsid w:val="002741A9"/>
    <w:rsid w:val="00274989"/>
    <w:rsid w:val="00274D08"/>
    <w:rsid w:val="002759EF"/>
    <w:rsid w:val="002760B7"/>
    <w:rsid w:val="002762FB"/>
    <w:rsid w:val="00276599"/>
    <w:rsid w:val="00276943"/>
    <w:rsid w:val="002803DE"/>
    <w:rsid w:val="00280CAF"/>
    <w:rsid w:val="00281553"/>
    <w:rsid w:val="002817A9"/>
    <w:rsid w:val="00281A56"/>
    <w:rsid w:val="0028216E"/>
    <w:rsid w:val="002823D3"/>
    <w:rsid w:val="002835C2"/>
    <w:rsid w:val="002842DB"/>
    <w:rsid w:val="00284BDF"/>
    <w:rsid w:val="002852C7"/>
    <w:rsid w:val="002852D8"/>
    <w:rsid w:val="00285F04"/>
    <w:rsid w:val="00286D5E"/>
    <w:rsid w:val="00286F38"/>
    <w:rsid w:val="00287482"/>
    <w:rsid w:val="00287DBC"/>
    <w:rsid w:val="00287DC5"/>
    <w:rsid w:val="00291F28"/>
    <w:rsid w:val="00292529"/>
    <w:rsid w:val="00292C2C"/>
    <w:rsid w:val="002942FD"/>
    <w:rsid w:val="0029486E"/>
    <w:rsid w:val="00294AC7"/>
    <w:rsid w:val="00294B4C"/>
    <w:rsid w:val="0029511A"/>
    <w:rsid w:val="002958C1"/>
    <w:rsid w:val="00297BB2"/>
    <w:rsid w:val="00297C7A"/>
    <w:rsid w:val="002A0582"/>
    <w:rsid w:val="002A05B7"/>
    <w:rsid w:val="002A0B76"/>
    <w:rsid w:val="002A13A9"/>
    <w:rsid w:val="002A16CA"/>
    <w:rsid w:val="002A1E1A"/>
    <w:rsid w:val="002A23B2"/>
    <w:rsid w:val="002A2DC8"/>
    <w:rsid w:val="002A2EC3"/>
    <w:rsid w:val="002A332F"/>
    <w:rsid w:val="002A373D"/>
    <w:rsid w:val="002A44E0"/>
    <w:rsid w:val="002A4890"/>
    <w:rsid w:val="002A4CB8"/>
    <w:rsid w:val="002A594E"/>
    <w:rsid w:val="002A5FBC"/>
    <w:rsid w:val="002A73C8"/>
    <w:rsid w:val="002B0E96"/>
    <w:rsid w:val="002B142E"/>
    <w:rsid w:val="002B1686"/>
    <w:rsid w:val="002B17FB"/>
    <w:rsid w:val="002B183D"/>
    <w:rsid w:val="002B1AEB"/>
    <w:rsid w:val="002B2638"/>
    <w:rsid w:val="002B26D4"/>
    <w:rsid w:val="002B2700"/>
    <w:rsid w:val="002B2EFF"/>
    <w:rsid w:val="002B3B96"/>
    <w:rsid w:val="002B470B"/>
    <w:rsid w:val="002B48B5"/>
    <w:rsid w:val="002B49EE"/>
    <w:rsid w:val="002B5626"/>
    <w:rsid w:val="002B58F2"/>
    <w:rsid w:val="002B5B68"/>
    <w:rsid w:val="002B6D58"/>
    <w:rsid w:val="002B6D80"/>
    <w:rsid w:val="002B707E"/>
    <w:rsid w:val="002B7326"/>
    <w:rsid w:val="002B7374"/>
    <w:rsid w:val="002B7574"/>
    <w:rsid w:val="002B786A"/>
    <w:rsid w:val="002B787A"/>
    <w:rsid w:val="002C0CD6"/>
    <w:rsid w:val="002C0E29"/>
    <w:rsid w:val="002C0E2E"/>
    <w:rsid w:val="002C1410"/>
    <w:rsid w:val="002C1B42"/>
    <w:rsid w:val="002C2DE1"/>
    <w:rsid w:val="002C2FB1"/>
    <w:rsid w:val="002C32B5"/>
    <w:rsid w:val="002C34C5"/>
    <w:rsid w:val="002C58DE"/>
    <w:rsid w:val="002C5B7D"/>
    <w:rsid w:val="002C60E3"/>
    <w:rsid w:val="002C7837"/>
    <w:rsid w:val="002D03BE"/>
    <w:rsid w:val="002D197C"/>
    <w:rsid w:val="002D2376"/>
    <w:rsid w:val="002D3647"/>
    <w:rsid w:val="002D420C"/>
    <w:rsid w:val="002D484A"/>
    <w:rsid w:val="002D494D"/>
    <w:rsid w:val="002D55DB"/>
    <w:rsid w:val="002D5CDF"/>
    <w:rsid w:val="002D65BC"/>
    <w:rsid w:val="002D67BD"/>
    <w:rsid w:val="002D6AE5"/>
    <w:rsid w:val="002D6EEA"/>
    <w:rsid w:val="002D737B"/>
    <w:rsid w:val="002D7928"/>
    <w:rsid w:val="002D7BC0"/>
    <w:rsid w:val="002D7E02"/>
    <w:rsid w:val="002E0AA4"/>
    <w:rsid w:val="002E10B8"/>
    <w:rsid w:val="002E1887"/>
    <w:rsid w:val="002E2A2A"/>
    <w:rsid w:val="002E2F01"/>
    <w:rsid w:val="002E4768"/>
    <w:rsid w:val="002E5E50"/>
    <w:rsid w:val="002E6207"/>
    <w:rsid w:val="002E6459"/>
    <w:rsid w:val="002E64FF"/>
    <w:rsid w:val="002E6766"/>
    <w:rsid w:val="002E7118"/>
    <w:rsid w:val="002E74F7"/>
    <w:rsid w:val="002E768D"/>
    <w:rsid w:val="002F0458"/>
    <w:rsid w:val="002F07E2"/>
    <w:rsid w:val="002F0942"/>
    <w:rsid w:val="002F464E"/>
    <w:rsid w:val="002F4A2F"/>
    <w:rsid w:val="002F4EC0"/>
    <w:rsid w:val="002F5048"/>
    <w:rsid w:val="002F62CF"/>
    <w:rsid w:val="002F6949"/>
    <w:rsid w:val="002F748C"/>
    <w:rsid w:val="002F7DA0"/>
    <w:rsid w:val="00301B3E"/>
    <w:rsid w:val="00301D02"/>
    <w:rsid w:val="00302A33"/>
    <w:rsid w:val="00302D3D"/>
    <w:rsid w:val="00302D68"/>
    <w:rsid w:val="003033BE"/>
    <w:rsid w:val="0030480F"/>
    <w:rsid w:val="00305001"/>
    <w:rsid w:val="003054AA"/>
    <w:rsid w:val="00305CBF"/>
    <w:rsid w:val="00306183"/>
    <w:rsid w:val="003062BA"/>
    <w:rsid w:val="00306818"/>
    <w:rsid w:val="00306B48"/>
    <w:rsid w:val="00310225"/>
    <w:rsid w:val="00310482"/>
    <w:rsid w:val="00310DEB"/>
    <w:rsid w:val="003111BA"/>
    <w:rsid w:val="00311355"/>
    <w:rsid w:val="003123CD"/>
    <w:rsid w:val="00312C19"/>
    <w:rsid w:val="00312F44"/>
    <w:rsid w:val="0031305D"/>
    <w:rsid w:val="00313818"/>
    <w:rsid w:val="00313D56"/>
    <w:rsid w:val="00314F5D"/>
    <w:rsid w:val="00315248"/>
    <w:rsid w:val="0031527C"/>
    <w:rsid w:val="00315487"/>
    <w:rsid w:val="00315BA4"/>
    <w:rsid w:val="0031613A"/>
    <w:rsid w:val="003163B6"/>
    <w:rsid w:val="0031643B"/>
    <w:rsid w:val="003166F1"/>
    <w:rsid w:val="003177F6"/>
    <w:rsid w:val="00317811"/>
    <w:rsid w:val="00317CD9"/>
    <w:rsid w:val="00320936"/>
    <w:rsid w:val="00321920"/>
    <w:rsid w:val="00321985"/>
    <w:rsid w:val="00322899"/>
    <w:rsid w:val="00322976"/>
    <w:rsid w:val="00324450"/>
    <w:rsid w:val="003244FF"/>
    <w:rsid w:val="0032467C"/>
    <w:rsid w:val="00326D00"/>
    <w:rsid w:val="0032727D"/>
    <w:rsid w:val="003278C8"/>
    <w:rsid w:val="00327B99"/>
    <w:rsid w:val="00330162"/>
    <w:rsid w:val="003313AE"/>
    <w:rsid w:val="00331D45"/>
    <w:rsid w:val="00331F66"/>
    <w:rsid w:val="00332244"/>
    <w:rsid w:val="00332C37"/>
    <w:rsid w:val="00332C97"/>
    <w:rsid w:val="0033363E"/>
    <w:rsid w:val="00333B07"/>
    <w:rsid w:val="00333BF3"/>
    <w:rsid w:val="003341D5"/>
    <w:rsid w:val="003342F2"/>
    <w:rsid w:val="003344A7"/>
    <w:rsid w:val="00334590"/>
    <w:rsid w:val="00334A88"/>
    <w:rsid w:val="00335AD3"/>
    <w:rsid w:val="00335DF8"/>
    <w:rsid w:val="00335FFC"/>
    <w:rsid w:val="0033632A"/>
    <w:rsid w:val="00336F6E"/>
    <w:rsid w:val="003413D1"/>
    <w:rsid w:val="00341634"/>
    <w:rsid w:val="00343950"/>
    <w:rsid w:val="00343A1B"/>
    <w:rsid w:val="00343E6A"/>
    <w:rsid w:val="00345687"/>
    <w:rsid w:val="00346BBC"/>
    <w:rsid w:val="003470AE"/>
    <w:rsid w:val="00347568"/>
    <w:rsid w:val="003477BC"/>
    <w:rsid w:val="00347E8F"/>
    <w:rsid w:val="00350384"/>
    <w:rsid w:val="0035164D"/>
    <w:rsid w:val="003517FF"/>
    <w:rsid w:val="00351C5C"/>
    <w:rsid w:val="003522C6"/>
    <w:rsid w:val="00352FD7"/>
    <w:rsid w:val="00353AD6"/>
    <w:rsid w:val="00353E28"/>
    <w:rsid w:val="00353F85"/>
    <w:rsid w:val="00355658"/>
    <w:rsid w:val="00355660"/>
    <w:rsid w:val="003559F5"/>
    <w:rsid w:val="00355C0E"/>
    <w:rsid w:val="00355F57"/>
    <w:rsid w:val="00356182"/>
    <w:rsid w:val="00356A7B"/>
    <w:rsid w:val="00356AC5"/>
    <w:rsid w:val="003577D4"/>
    <w:rsid w:val="00357D64"/>
    <w:rsid w:val="003604DA"/>
    <w:rsid w:val="003624D2"/>
    <w:rsid w:val="00362BB1"/>
    <w:rsid w:val="003635C4"/>
    <w:rsid w:val="00363DB3"/>
    <w:rsid w:val="00364FD1"/>
    <w:rsid w:val="00365C2D"/>
    <w:rsid w:val="00365CC2"/>
    <w:rsid w:val="00365E15"/>
    <w:rsid w:val="003665E0"/>
    <w:rsid w:val="00366FD5"/>
    <w:rsid w:val="003677C0"/>
    <w:rsid w:val="003679FC"/>
    <w:rsid w:val="00367BBD"/>
    <w:rsid w:val="00367BE2"/>
    <w:rsid w:val="00370046"/>
    <w:rsid w:val="003706F4"/>
    <w:rsid w:val="00370A1A"/>
    <w:rsid w:val="003718F7"/>
    <w:rsid w:val="00371ABF"/>
    <w:rsid w:val="003723ED"/>
    <w:rsid w:val="00372EA3"/>
    <w:rsid w:val="003762AE"/>
    <w:rsid w:val="00376FD3"/>
    <w:rsid w:val="00381075"/>
    <w:rsid w:val="003812A3"/>
    <w:rsid w:val="00381475"/>
    <w:rsid w:val="003815CF"/>
    <w:rsid w:val="00381AFB"/>
    <w:rsid w:val="00382084"/>
    <w:rsid w:val="003822F3"/>
    <w:rsid w:val="0038238A"/>
    <w:rsid w:val="0038262D"/>
    <w:rsid w:val="003829BE"/>
    <w:rsid w:val="00382B85"/>
    <w:rsid w:val="00383FA5"/>
    <w:rsid w:val="00386947"/>
    <w:rsid w:val="00387D35"/>
    <w:rsid w:val="00391C62"/>
    <w:rsid w:val="00391D37"/>
    <w:rsid w:val="00391E35"/>
    <w:rsid w:val="003920CF"/>
    <w:rsid w:val="003922FA"/>
    <w:rsid w:val="0039471C"/>
    <w:rsid w:val="00394811"/>
    <w:rsid w:val="00394F3E"/>
    <w:rsid w:val="00395E0E"/>
    <w:rsid w:val="003963E5"/>
    <w:rsid w:val="00396B8C"/>
    <w:rsid w:val="00396CF1"/>
    <w:rsid w:val="00396EF1"/>
    <w:rsid w:val="003A0629"/>
    <w:rsid w:val="003A18CD"/>
    <w:rsid w:val="003A1B56"/>
    <w:rsid w:val="003A211D"/>
    <w:rsid w:val="003A4B5B"/>
    <w:rsid w:val="003A4E0F"/>
    <w:rsid w:val="003A4F81"/>
    <w:rsid w:val="003A5BD4"/>
    <w:rsid w:val="003A7879"/>
    <w:rsid w:val="003B06F1"/>
    <w:rsid w:val="003B1201"/>
    <w:rsid w:val="003B1585"/>
    <w:rsid w:val="003B18E0"/>
    <w:rsid w:val="003B20D5"/>
    <w:rsid w:val="003B25E3"/>
    <w:rsid w:val="003B2642"/>
    <w:rsid w:val="003B3647"/>
    <w:rsid w:val="003B3D10"/>
    <w:rsid w:val="003B4C77"/>
    <w:rsid w:val="003B65A8"/>
    <w:rsid w:val="003B6963"/>
    <w:rsid w:val="003B6DDD"/>
    <w:rsid w:val="003B7177"/>
    <w:rsid w:val="003C063E"/>
    <w:rsid w:val="003C094B"/>
    <w:rsid w:val="003C0BC0"/>
    <w:rsid w:val="003C151E"/>
    <w:rsid w:val="003C1A08"/>
    <w:rsid w:val="003C37CE"/>
    <w:rsid w:val="003C3A04"/>
    <w:rsid w:val="003C5263"/>
    <w:rsid w:val="003C624D"/>
    <w:rsid w:val="003C7470"/>
    <w:rsid w:val="003D17BA"/>
    <w:rsid w:val="003D1C96"/>
    <w:rsid w:val="003D1DE5"/>
    <w:rsid w:val="003D274F"/>
    <w:rsid w:val="003D41BB"/>
    <w:rsid w:val="003D49CB"/>
    <w:rsid w:val="003D4C7F"/>
    <w:rsid w:val="003D5ABF"/>
    <w:rsid w:val="003D5C7B"/>
    <w:rsid w:val="003D5C91"/>
    <w:rsid w:val="003D6220"/>
    <w:rsid w:val="003D6DC8"/>
    <w:rsid w:val="003D6E32"/>
    <w:rsid w:val="003D6E77"/>
    <w:rsid w:val="003D7A32"/>
    <w:rsid w:val="003D7C06"/>
    <w:rsid w:val="003E01A0"/>
    <w:rsid w:val="003E0D80"/>
    <w:rsid w:val="003E0EE5"/>
    <w:rsid w:val="003E1AA7"/>
    <w:rsid w:val="003E234C"/>
    <w:rsid w:val="003E475E"/>
    <w:rsid w:val="003E50DE"/>
    <w:rsid w:val="003E5333"/>
    <w:rsid w:val="003E5488"/>
    <w:rsid w:val="003E591E"/>
    <w:rsid w:val="003E59FF"/>
    <w:rsid w:val="003E6492"/>
    <w:rsid w:val="003E7559"/>
    <w:rsid w:val="003E79B2"/>
    <w:rsid w:val="003F067D"/>
    <w:rsid w:val="003F10A0"/>
    <w:rsid w:val="003F19E7"/>
    <w:rsid w:val="003F1AC0"/>
    <w:rsid w:val="003F20F0"/>
    <w:rsid w:val="003F2BE2"/>
    <w:rsid w:val="003F415B"/>
    <w:rsid w:val="003F533E"/>
    <w:rsid w:val="003F562C"/>
    <w:rsid w:val="003F5A16"/>
    <w:rsid w:val="003F6787"/>
    <w:rsid w:val="003F67B9"/>
    <w:rsid w:val="003F6B77"/>
    <w:rsid w:val="003F7399"/>
    <w:rsid w:val="004008FF"/>
    <w:rsid w:val="0040141D"/>
    <w:rsid w:val="004015BA"/>
    <w:rsid w:val="00401E9D"/>
    <w:rsid w:val="00401FE2"/>
    <w:rsid w:val="00402A10"/>
    <w:rsid w:val="00403826"/>
    <w:rsid w:val="00403EDB"/>
    <w:rsid w:val="00404A89"/>
    <w:rsid w:val="00405119"/>
    <w:rsid w:val="00407045"/>
    <w:rsid w:val="00407B5B"/>
    <w:rsid w:val="00410F90"/>
    <w:rsid w:val="00411706"/>
    <w:rsid w:val="0041371E"/>
    <w:rsid w:val="004149C8"/>
    <w:rsid w:val="00414FC9"/>
    <w:rsid w:val="00415420"/>
    <w:rsid w:val="004158CA"/>
    <w:rsid w:val="0041594D"/>
    <w:rsid w:val="00415EA4"/>
    <w:rsid w:val="0041652B"/>
    <w:rsid w:val="00416F57"/>
    <w:rsid w:val="00417C36"/>
    <w:rsid w:val="00420484"/>
    <w:rsid w:val="00420EA9"/>
    <w:rsid w:val="004222DC"/>
    <w:rsid w:val="00422BDF"/>
    <w:rsid w:val="004238F2"/>
    <w:rsid w:val="004254F3"/>
    <w:rsid w:val="00425CF5"/>
    <w:rsid w:val="00427E8F"/>
    <w:rsid w:val="00432C61"/>
    <w:rsid w:val="00433E52"/>
    <w:rsid w:val="00434A02"/>
    <w:rsid w:val="00436771"/>
    <w:rsid w:val="00437059"/>
    <w:rsid w:val="00440337"/>
    <w:rsid w:val="00442679"/>
    <w:rsid w:val="004434C7"/>
    <w:rsid w:val="00443951"/>
    <w:rsid w:val="00443AB2"/>
    <w:rsid w:val="0044481B"/>
    <w:rsid w:val="00444D1E"/>
    <w:rsid w:val="0044514D"/>
    <w:rsid w:val="0044581E"/>
    <w:rsid w:val="0044590F"/>
    <w:rsid w:val="004473BA"/>
    <w:rsid w:val="004508E3"/>
    <w:rsid w:val="00450C02"/>
    <w:rsid w:val="00451696"/>
    <w:rsid w:val="0045194C"/>
    <w:rsid w:val="0045225A"/>
    <w:rsid w:val="004527C2"/>
    <w:rsid w:val="00453015"/>
    <w:rsid w:val="00453571"/>
    <w:rsid w:val="00453E41"/>
    <w:rsid w:val="00454D77"/>
    <w:rsid w:val="004555D9"/>
    <w:rsid w:val="00455D85"/>
    <w:rsid w:val="00456FF0"/>
    <w:rsid w:val="0045713C"/>
    <w:rsid w:val="00460138"/>
    <w:rsid w:val="00461FA3"/>
    <w:rsid w:val="0046265D"/>
    <w:rsid w:val="00463767"/>
    <w:rsid w:val="00464A3E"/>
    <w:rsid w:val="00464B5E"/>
    <w:rsid w:val="004658AE"/>
    <w:rsid w:val="0046599B"/>
    <w:rsid w:val="00465D37"/>
    <w:rsid w:val="00466657"/>
    <w:rsid w:val="00466A05"/>
    <w:rsid w:val="0046783A"/>
    <w:rsid w:val="00470BD9"/>
    <w:rsid w:val="00470C8C"/>
    <w:rsid w:val="00471797"/>
    <w:rsid w:val="0047229F"/>
    <w:rsid w:val="0047237C"/>
    <w:rsid w:val="00472662"/>
    <w:rsid w:val="0047320B"/>
    <w:rsid w:val="004739DF"/>
    <w:rsid w:val="004746A2"/>
    <w:rsid w:val="00474ABB"/>
    <w:rsid w:val="00474F5E"/>
    <w:rsid w:val="00475090"/>
    <w:rsid w:val="00475712"/>
    <w:rsid w:val="0047586B"/>
    <w:rsid w:val="00475A10"/>
    <w:rsid w:val="00475FC7"/>
    <w:rsid w:val="00476219"/>
    <w:rsid w:val="00476422"/>
    <w:rsid w:val="00476506"/>
    <w:rsid w:val="00476C85"/>
    <w:rsid w:val="00476EE1"/>
    <w:rsid w:val="004778A4"/>
    <w:rsid w:val="00477BF4"/>
    <w:rsid w:val="004803B6"/>
    <w:rsid w:val="00480693"/>
    <w:rsid w:val="004808B9"/>
    <w:rsid w:val="00480EDC"/>
    <w:rsid w:val="00481845"/>
    <w:rsid w:val="00482691"/>
    <w:rsid w:val="00482D4C"/>
    <w:rsid w:val="00483484"/>
    <w:rsid w:val="00483984"/>
    <w:rsid w:val="00483E3D"/>
    <w:rsid w:val="00483FBF"/>
    <w:rsid w:val="00485248"/>
    <w:rsid w:val="00485332"/>
    <w:rsid w:val="004865C8"/>
    <w:rsid w:val="00486904"/>
    <w:rsid w:val="00486DDB"/>
    <w:rsid w:val="00487905"/>
    <w:rsid w:val="00487A1E"/>
    <w:rsid w:val="00487BC1"/>
    <w:rsid w:val="0049015D"/>
    <w:rsid w:val="00490170"/>
    <w:rsid w:val="0049031B"/>
    <w:rsid w:val="00491196"/>
    <w:rsid w:val="00491BE0"/>
    <w:rsid w:val="00491ECE"/>
    <w:rsid w:val="00491F7B"/>
    <w:rsid w:val="00492743"/>
    <w:rsid w:val="00492DA9"/>
    <w:rsid w:val="00493803"/>
    <w:rsid w:val="004938B3"/>
    <w:rsid w:val="0049445B"/>
    <w:rsid w:val="00494592"/>
    <w:rsid w:val="0049544F"/>
    <w:rsid w:val="004959D6"/>
    <w:rsid w:val="00495E40"/>
    <w:rsid w:val="0049621C"/>
    <w:rsid w:val="0049696F"/>
    <w:rsid w:val="00496B95"/>
    <w:rsid w:val="00496EFF"/>
    <w:rsid w:val="004A0007"/>
    <w:rsid w:val="004A03EE"/>
    <w:rsid w:val="004A0753"/>
    <w:rsid w:val="004A0A23"/>
    <w:rsid w:val="004A1C19"/>
    <w:rsid w:val="004A20D8"/>
    <w:rsid w:val="004A2C26"/>
    <w:rsid w:val="004A3A1F"/>
    <w:rsid w:val="004A41C0"/>
    <w:rsid w:val="004A41C3"/>
    <w:rsid w:val="004A46EA"/>
    <w:rsid w:val="004A4C7A"/>
    <w:rsid w:val="004A4D87"/>
    <w:rsid w:val="004A507F"/>
    <w:rsid w:val="004A5C33"/>
    <w:rsid w:val="004A73CD"/>
    <w:rsid w:val="004B0B7B"/>
    <w:rsid w:val="004B0C46"/>
    <w:rsid w:val="004B24BF"/>
    <w:rsid w:val="004B329C"/>
    <w:rsid w:val="004B32B8"/>
    <w:rsid w:val="004B3FB7"/>
    <w:rsid w:val="004B3FF0"/>
    <w:rsid w:val="004B4334"/>
    <w:rsid w:val="004B4E5A"/>
    <w:rsid w:val="004B543D"/>
    <w:rsid w:val="004B5EB2"/>
    <w:rsid w:val="004B671F"/>
    <w:rsid w:val="004C07E4"/>
    <w:rsid w:val="004C0835"/>
    <w:rsid w:val="004C0E58"/>
    <w:rsid w:val="004C11B1"/>
    <w:rsid w:val="004C198D"/>
    <w:rsid w:val="004C1A21"/>
    <w:rsid w:val="004C1FE8"/>
    <w:rsid w:val="004C317B"/>
    <w:rsid w:val="004C378C"/>
    <w:rsid w:val="004C4323"/>
    <w:rsid w:val="004C5092"/>
    <w:rsid w:val="004C6914"/>
    <w:rsid w:val="004C6F2C"/>
    <w:rsid w:val="004D043E"/>
    <w:rsid w:val="004D047D"/>
    <w:rsid w:val="004D0824"/>
    <w:rsid w:val="004D0CD6"/>
    <w:rsid w:val="004D1393"/>
    <w:rsid w:val="004D18CE"/>
    <w:rsid w:val="004D1B79"/>
    <w:rsid w:val="004D2A1F"/>
    <w:rsid w:val="004D3802"/>
    <w:rsid w:val="004D381D"/>
    <w:rsid w:val="004D39AD"/>
    <w:rsid w:val="004D3F45"/>
    <w:rsid w:val="004D460D"/>
    <w:rsid w:val="004D472B"/>
    <w:rsid w:val="004D4E52"/>
    <w:rsid w:val="004D7256"/>
    <w:rsid w:val="004D7DCD"/>
    <w:rsid w:val="004D7DD1"/>
    <w:rsid w:val="004E0400"/>
    <w:rsid w:val="004E0726"/>
    <w:rsid w:val="004E1B7F"/>
    <w:rsid w:val="004E3153"/>
    <w:rsid w:val="004E4843"/>
    <w:rsid w:val="004E4EA3"/>
    <w:rsid w:val="004E5172"/>
    <w:rsid w:val="004E6223"/>
    <w:rsid w:val="004E663E"/>
    <w:rsid w:val="004E7863"/>
    <w:rsid w:val="004F0563"/>
    <w:rsid w:val="004F074F"/>
    <w:rsid w:val="004F090B"/>
    <w:rsid w:val="004F1230"/>
    <w:rsid w:val="004F4A3F"/>
    <w:rsid w:val="004F5096"/>
    <w:rsid w:val="004F565A"/>
    <w:rsid w:val="004F5718"/>
    <w:rsid w:val="004F57D2"/>
    <w:rsid w:val="004F57DE"/>
    <w:rsid w:val="004F5C0D"/>
    <w:rsid w:val="004F6364"/>
    <w:rsid w:val="004F65A9"/>
    <w:rsid w:val="004F67D7"/>
    <w:rsid w:val="004F7012"/>
    <w:rsid w:val="00501487"/>
    <w:rsid w:val="00501A2B"/>
    <w:rsid w:val="00501D1F"/>
    <w:rsid w:val="00502529"/>
    <w:rsid w:val="0050291D"/>
    <w:rsid w:val="00502940"/>
    <w:rsid w:val="00502941"/>
    <w:rsid w:val="00502B4C"/>
    <w:rsid w:val="0050384F"/>
    <w:rsid w:val="00503BD9"/>
    <w:rsid w:val="00504788"/>
    <w:rsid w:val="00504F03"/>
    <w:rsid w:val="005055AE"/>
    <w:rsid w:val="00505753"/>
    <w:rsid w:val="00505AF3"/>
    <w:rsid w:val="00505FB6"/>
    <w:rsid w:val="005069F7"/>
    <w:rsid w:val="00506A0E"/>
    <w:rsid w:val="00506DE1"/>
    <w:rsid w:val="00506DF9"/>
    <w:rsid w:val="00506ED2"/>
    <w:rsid w:val="0051005B"/>
    <w:rsid w:val="00510665"/>
    <w:rsid w:val="005106C5"/>
    <w:rsid w:val="005109E1"/>
    <w:rsid w:val="00511248"/>
    <w:rsid w:val="00511BB7"/>
    <w:rsid w:val="00512603"/>
    <w:rsid w:val="005128CF"/>
    <w:rsid w:val="00513297"/>
    <w:rsid w:val="005133A2"/>
    <w:rsid w:val="005133A7"/>
    <w:rsid w:val="0051383F"/>
    <w:rsid w:val="00514029"/>
    <w:rsid w:val="00514397"/>
    <w:rsid w:val="00514C8A"/>
    <w:rsid w:val="00516A6A"/>
    <w:rsid w:val="00516D4E"/>
    <w:rsid w:val="005179C4"/>
    <w:rsid w:val="00517FF5"/>
    <w:rsid w:val="0052008F"/>
    <w:rsid w:val="005202E1"/>
    <w:rsid w:val="00520CBD"/>
    <w:rsid w:val="00521436"/>
    <w:rsid w:val="00521FBD"/>
    <w:rsid w:val="00522903"/>
    <w:rsid w:val="00522FC6"/>
    <w:rsid w:val="00523B57"/>
    <w:rsid w:val="00524D95"/>
    <w:rsid w:val="005256FB"/>
    <w:rsid w:val="00525D77"/>
    <w:rsid w:val="005266EA"/>
    <w:rsid w:val="00526E11"/>
    <w:rsid w:val="005272BE"/>
    <w:rsid w:val="0052783C"/>
    <w:rsid w:val="005304D3"/>
    <w:rsid w:val="005308BA"/>
    <w:rsid w:val="00531DCC"/>
    <w:rsid w:val="00532324"/>
    <w:rsid w:val="00532D03"/>
    <w:rsid w:val="00532F13"/>
    <w:rsid w:val="00533481"/>
    <w:rsid w:val="00534F21"/>
    <w:rsid w:val="005355AF"/>
    <w:rsid w:val="005362E4"/>
    <w:rsid w:val="00537150"/>
    <w:rsid w:val="00540A40"/>
    <w:rsid w:val="0054139E"/>
    <w:rsid w:val="00543006"/>
    <w:rsid w:val="00543437"/>
    <w:rsid w:val="00544463"/>
    <w:rsid w:val="00545956"/>
    <w:rsid w:val="005459E5"/>
    <w:rsid w:val="00545B85"/>
    <w:rsid w:val="00546071"/>
    <w:rsid w:val="00546712"/>
    <w:rsid w:val="00546804"/>
    <w:rsid w:val="005471DD"/>
    <w:rsid w:val="005502FB"/>
    <w:rsid w:val="005522A3"/>
    <w:rsid w:val="00552ADD"/>
    <w:rsid w:val="005541CC"/>
    <w:rsid w:val="0055460A"/>
    <w:rsid w:val="005551D8"/>
    <w:rsid w:val="00555700"/>
    <w:rsid w:val="00555D34"/>
    <w:rsid w:val="00556164"/>
    <w:rsid w:val="00556AE4"/>
    <w:rsid w:val="00556EFF"/>
    <w:rsid w:val="005575D8"/>
    <w:rsid w:val="00560FB0"/>
    <w:rsid w:val="0056259A"/>
    <w:rsid w:val="00563780"/>
    <w:rsid w:val="00563899"/>
    <w:rsid w:val="00564571"/>
    <w:rsid w:val="005659BE"/>
    <w:rsid w:val="00566A5E"/>
    <w:rsid w:val="00566A71"/>
    <w:rsid w:val="00566D15"/>
    <w:rsid w:val="00567ED5"/>
    <w:rsid w:val="00567ED6"/>
    <w:rsid w:val="00567F86"/>
    <w:rsid w:val="00570312"/>
    <w:rsid w:val="005708A6"/>
    <w:rsid w:val="005714D5"/>
    <w:rsid w:val="005718E7"/>
    <w:rsid w:val="00571C08"/>
    <w:rsid w:val="00573554"/>
    <w:rsid w:val="00574497"/>
    <w:rsid w:val="005745E9"/>
    <w:rsid w:val="005765D4"/>
    <w:rsid w:val="0057686C"/>
    <w:rsid w:val="005772DB"/>
    <w:rsid w:val="0057775C"/>
    <w:rsid w:val="00580588"/>
    <w:rsid w:val="00580926"/>
    <w:rsid w:val="00581AD8"/>
    <w:rsid w:val="00581E6E"/>
    <w:rsid w:val="00582A63"/>
    <w:rsid w:val="005839E7"/>
    <w:rsid w:val="00583D11"/>
    <w:rsid w:val="005841A8"/>
    <w:rsid w:val="005847D7"/>
    <w:rsid w:val="00584FFC"/>
    <w:rsid w:val="00585411"/>
    <w:rsid w:val="005859E8"/>
    <w:rsid w:val="00585FAA"/>
    <w:rsid w:val="0058616B"/>
    <w:rsid w:val="00586591"/>
    <w:rsid w:val="00586B89"/>
    <w:rsid w:val="00587652"/>
    <w:rsid w:val="005902E5"/>
    <w:rsid w:val="00590507"/>
    <w:rsid w:val="00590F51"/>
    <w:rsid w:val="00590FF5"/>
    <w:rsid w:val="005914B9"/>
    <w:rsid w:val="005919DF"/>
    <w:rsid w:val="005919E0"/>
    <w:rsid w:val="00592A73"/>
    <w:rsid w:val="00592F4D"/>
    <w:rsid w:val="00593153"/>
    <w:rsid w:val="005935C2"/>
    <w:rsid w:val="00594486"/>
    <w:rsid w:val="005945AE"/>
    <w:rsid w:val="005955F0"/>
    <w:rsid w:val="00596586"/>
    <w:rsid w:val="00596AB5"/>
    <w:rsid w:val="005A130A"/>
    <w:rsid w:val="005A1C25"/>
    <w:rsid w:val="005A1E29"/>
    <w:rsid w:val="005A2580"/>
    <w:rsid w:val="005A3BA6"/>
    <w:rsid w:val="005A4B32"/>
    <w:rsid w:val="005A4FFA"/>
    <w:rsid w:val="005A5BD6"/>
    <w:rsid w:val="005A5BE7"/>
    <w:rsid w:val="005A6143"/>
    <w:rsid w:val="005A6736"/>
    <w:rsid w:val="005A6BD4"/>
    <w:rsid w:val="005A7036"/>
    <w:rsid w:val="005A7CD8"/>
    <w:rsid w:val="005B1ED4"/>
    <w:rsid w:val="005B20CD"/>
    <w:rsid w:val="005B20D9"/>
    <w:rsid w:val="005B247C"/>
    <w:rsid w:val="005B27FD"/>
    <w:rsid w:val="005B389A"/>
    <w:rsid w:val="005B432C"/>
    <w:rsid w:val="005B528C"/>
    <w:rsid w:val="005B55D1"/>
    <w:rsid w:val="005B57B3"/>
    <w:rsid w:val="005B58A1"/>
    <w:rsid w:val="005B6E34"/>
    <w:rsid w:val="005B7022"/>
    <w:rsid w:val="005B717F"/>
    <w:rsid w:val="005B7224"/>
    <w:rsid w:val="005C0078"/>
    <w:rsid w:val="005C05B6"/>
    <w:rsid w:val="005C091A"/>
    <w:rsid w:val="005C113E"/>
    <w:rsid w:val="005C1149"/>
    <w:rsid w:val="005C117D"/>
    <w:rsid w:val="005C19EC"/>
    <w:rsid w:val="005C1D45"/>
    <w:rsid w:val="005C4C92"/>
    <w:rsid w:val="005C4EB2"/>
    <w:rsid w:val="005C6870"/>
    <w:rsid w:val="005C6DB8"/>
    <w:rsid w:val="005C70B5"/>
    <w:rsid w:val="005D0119"/>
    <w:rsid w:val="005D0753"/>
    <w:rsid w:val="005D0870"/>
    <w:rsid w:val="005D110C"/>
    <w:rsid w:val="005D1577"/>
    <w:rsid w:val="005D17C1"/>
    <w:rsid w:val="005D3667"/>
    <w:rsid w:val="005D3F31"/>
    <w:rsid w:val="005D521E"/>
    <w:rsid w:val="005D57AF"/>
    <w:rsid w:val="005D6F1D"/>
    <w:rsid w:val="005D7B77"/>
    <w:rsid w:val="005E0DFF"/>
    <w:rsid w:val="005E0E7F"/>
    <w:rsid w:val="005E125E"/>
    <w:rsid w:val="005E3085"/>
    <w:rsid w:val="005E4B40"/>
    <w:rsid w:val="005E4E6D"/>
    <w:rsid w:val="005E52F0"/>
    <w:rsid w:val="005E55B6"/>
    <w:rsid w:val="005E63BB"/>
    <w:rsid w:val="005E7A25"/>
    <w:rsid w:val="005F0340"/>
    <w:rsid w:val="005F0ABD"/>
    <w:rsid w:val="005F0F6B"/>
    <w:rsid w:val="005F1247"/>
    <w:rsid w:val="005F2369"/>
    <w:rsid w:val="005F291A"/>
    <w:rsid w:val="005F32D3"/>
    <w:rsid w:val="005F367A"/>
    <w:rsid w:val="005F5CCA"/>
    <w:rsid w:val="005F6495"/>
    <w:rsid w:val="005F6B21"/>
    <w:rsid w:val="005F6BC0"/>
    <w:rsid w:val="00600FAE"/>
    <w:rsid w:val="00602D46"/>
    <w:rsid w:val="00602E6C"/>
    <w:rsid w:val="00603590"/>
    <w:rsid w:val="00603D92"/>
    <w:rsid w:val="00604074"/>
    <w:rsid w:val="00605F61"/>
    <w:rsid w:val="006063AE"/>
    <w:rsid w:val="00606736"/>
    <w:rsid w:val="00607C49"/>
    <w:rsid w:val="00610426"/>
    <w:rsid w:val="00611C0A"/>
    <w:rsid w:val="00612207"/>
    <w:rsid w:val="006125D6"/>
    <w:rsid w:val="00612A54"/>
    <w:rsid w:val="00612E76"/>
    <w:rsid w:val="0061454F"/>
    <w:rsid w:val="006146B4"/>
    <w:rsid w:val="006146F9"/>
    <w:rsid w:val="0061505A"/>
    <w:rsid w:val="00615FA8"/>
    <w:rsid w:val="0061636A"/>
    <w:rsid w:val="00617052"/>
    <w:rsid w:val="006202A9"/>
    <w:rsid w:val="00620B4B"/>
    <w:rsid w:val="00620F84"/>
    <w:rsid w:val="00622048"/>
    <w:rsid w:val="006227DA"/>
    <w:rsid w:val="006229CB"/>
    <w:rsid w:val="0062428C"/>
    <w:rsid w:val="00625207"/>
    <w:rsid w:val="00626343"/>
    <w:rsid w:val="006265A9"/>
    <w:rsid w:val="00626716"/>
    <w:rsid w:val="00626CCE"/>
    <w:rsid w:val="00627009"/>
    <w:rsid w:val="00627167"/>
    <w:rsid w:val="00627AD3"/>
    <w:rsid w:val="00627DE7"/>
    <w:rsid w:val="00630E1C"/>
    <w:rsid w:val="00631465"/>
    <w:rsid w:val="006319ED"/>
    <w:rsid w:val="00631FFC"/>
    <w:rsid w:val="006324C2"/>
    <w:rsid w:val="00633147"/>
    <w:rsid w:val="00633BEE"/>
    <w:rsid w:val="00634BDD"/>
    <w:rsid w:val="0063535E"/>
    <w:rsid w:val="006353E8"/>
    <w:rsid w:val="00635441"/>
    <w:rsid w:val="00635A4A"/>
    <w:rsid w:val="00635BE6"/>
    <w:rsid w:val="00635DC2"/>
    <w:rsid w:val="0063628E"/>
    <w:rsid w:val="00641EF9"/>
    <w:rsid w:val="0064255B"/>
    <w:rsid w:val="00643306"/>
    <w:rsid w:val="0064350C"/>
    <w:rsid w:val="00643533"/>
    <w:rsid w:val="00644083"/>
    <w:rsid w:val="006457AA"/>
    <w:rsid w:val="00646A99"/>
    <w:rsid w:val="00646EC9"/>
    <w:rsid w:val="006500BF"/>
    <w:rsid w:val="006502CE"/>
    <w:rsid w:val="00650BFD"/>
    <w:rsid w:val="00651296"/>
    <w:rsid w:val="00651485"/>
    <w:rsid w:val="00652AC1"/>
    <w:rsid w:val="00653072"/>
    <w:rsid w:val="00654DB0"/>
    <w:rsid w:val="00655A90"/>
    <w:rsid w:val="00655AF4"/>
    <w:rsid w:val="00655DF4"/>
    <w:rsid w:val="00655EA0"/>
    <w:rsid w:val="00657EBF"/>
    <w:rsid w:val="0066130E"/>
    <w:rsid w:val="00662893"/>
    <w:rsid w:val="00663CA8"/>
    <w:rsid w:val="00664C6B"/>
    <w:rsid w:val="00664CD2"/>
    <w:rsid w:val="00664D4A"/>
    <w:rsid w:val="0066500A"/>
    <w:rsid w:val="00665F53"/>
    <w:rsid w:val="0066648C"/>
    <w:rsid w:val="006664C1"/>
    <w:rsid w:val="006665D7"/>
    <w:rsid w:val="00666EF5"/>
    <w:rsid w:val="0067011D"/>
    <w:rsid w:val="00670CA6"/>
    <w:rsid w:val="006724FC"/>
    <w:rsid w:val="00672549"/>
    <w:rsid w:val="006726B6"/>
    <w:rsid w:val="006730AF"/>
    <w:rsid w:val="00673678"/>
    <w:rsid w:val="00673904"/>
    <w:rsid w:val="00675F41"/>
    <w:rsid w:val="006761C3"/>
    <w:rsid w:val="006771D2"/>
    <w:rsid w:val="00677AC6"/>
    <w:rsid w:val="006802C0"/>
    <w:rsid w:val="00680C60"/>
    <w:rsid w:val="00681748"/>
    <w:rsid w:val="006817EF"/>
    <w:rsid w:val="00681AD3"/>
    <w:rsid w:val="00681B50"/>
    <w:rsid w:val="00682307"/>
    <w:rsid w:val="00683C46"/>
    <w:rsid w:val="00683EEB"/>
    <w:rsid w:val="00684794"/>
    <w:rsid w:val="006851D3"/>
    <w:rsid w:val="00685310"/>
    <w:rsid w:val="00685A98"/>
    <w:rsid w:val="00685FB7"/>
    <w:rsid w:val="00687046"/>
    <w:rsid w:val="00687413"/>
    <w:rsid w:val="006905D9"/>
    <w:rsid w:val="00690D4C"/>
    <w:rsid w:val="006918AC"/>
    <w:rsid w:val="00693883"/>
    <w:rsid w:val="00693CEC"/>
    <w:rsid w:val="00693DB1"/>
    <w:rsid w:val="00694559"/>
    <w:rsid w:val="00695C4D"/>
    <w:rsid w:val="0069691A"/>
    <w:rsid w:val="006971AB"/>
    <w:rsid w:val="00697B15"/>
    <w:rsid w:val="006A018F"/>
    <w:rsid w:val="006A0E29"/>
    <w:rsid w:val="006A17BB"/>
    <w:rsid w:val="006A17CD"/>
    <w:rsid w:val="006A2982"/>
    <w:rsid w:val="006A2E1C"/>
    <w:rsid w:val="006A3899"/>
    <w:rsid w:val="006A5923"/>
    <w:rsid w:val="006A5D54"/>
    <w:rsid w:val="006A6279"/>
    <w:rsid w:val="006A636E"/>
    <w:rsid w:val="006A6386"/>
    <w:rsid w:val="006A67ED"/>
    <w:rsid w:val="006A78AA"/>
    <w:rsid w:val="006A7B87"/>
    <w:rsid w:val="006B00FD"/>
    <w:rsid w:val="006B09E3"/>
    <w:rsid w:val="006B0EC1"/>
    <w:rsid w:val="006B1839"/>
    <w:rsid w:val="006B1A2B"/>
    <w:rsid w:val="006B2231"/>
    <w:rsid w:val="006B276A"/>
    <w:rsid w:val="006B2A0E"/>
    <w:rsid w:val="006B2DB1"/>
    <w:rsid w:val="006B3B25"/>
    <w:rsid w:val="006B3BA9"/>
    <w:rsid w:val="006B4052"/>
    <w:rsid w:val="006B5243"/>
    <w:rsid w:val="006C0324"/>
    <w:rsid w:val="006C037C"/>
    <w:rsid w:val="006C0943"/>
    <w:rsid w:val="006C09E6"/>
    <w:rsid w:val="006C0ACA"/>
    <w:rsid w:val="006C181C"/>
    <w:rsid w:val="006C1BC8"/>
    <w:rsid w:val="006C1DFF"/>
    <w:rsid w:val="006C4063"/>
    <w:rsid w:val="006C46A0"/>
    <w:rsid w:val="006C4EDA"/>
    <w:rsid w:val="006C5AEE"/>
    <w:rsid w:val="006C603B"/>
    <w:rsid w:val="006C6A0D"/>
    <w:rsid w:val="006C6ACF"/>
    <w:rsid w:val="006C6D03"/>
    <w:rsid w:val="006C7BBE"/>
    <w:rsid w:val="006D00C1"/>
    <w:rsid w:val="006D0BD7"/>
    <w:rsid w:val="006D272C"/>
    <w:rsid w:val="006D2A9E"/>
    <w:rsid w:val="006D3419"/>
    <w:rsid w:val="006D3E96"/>
    <w:rsid w:val="006D452C"/>
    <w:rsid w:val="006D4C87"/>
    <w:rsid w:val="006D722B"/>
    <w:rsid w:val="006D741E"/>
    <w:rsid w:val="006D7635"/>
    <w:rsid w:val="006D7802"/>
    <w:rsid w:val="006E028A"/>
    <w:rsid w:val="006E0DEA"/>
    <w:rsid w:val="006E1895"/>
    <w:rsid w:val="006E4482"/>
    <w:rsid w:val="006E4980"/>
    <w:rsid w:val="006E6E47"/>
    <w:rsid w:val="006E75F5"/>
    <w:rsid w:val="006F00E4"/>
    <w:rsid w:val="006F0786"/>
    <w:rsid w:val="006F1397"/>
    <w:rsid w:val="006F1704"/>
    <w:rsid w:val="006F1E98"/>
    <w:rsid w:val="006F22B9"/>
    <w:rsid w:val="006F2681"/>
    <w:rsid w:val="006F36B5"/>
    <w:rsid w:val="006F43B0"/>
    <w:rsid w:val="006F44A8"/>
    <w:rsid w:val="006F5CB4"/>
    <w:rsid w:val="006F6085"/>
    <w:rsid w:val="006F643D"/>
    <w:rsid w:val="006F6538"/>
    <w:rsid w:val="006F6A49"/>
    <w:rsid w:val="006F6C5B"/>
    <w:rsid w:val="006F7245"/>
    <w:rsid w:val="006F7D28"/>
    <w:rsid w:val="007001D8"/>
    <w:rsid w:val="00700443"/>
    <w:rsid w:val="00700FBA"/>
    <w:rsid w:val="0070235F"/>
    <w:rsid w:val="0070352C"/>
    <w:rsid w:val="00703887"/>
    <w:rsid w:val="00703D8B"/>
    <w:rsid w:val="00704659"/>
    <w:rsid w:val="00704744"/>
    <w:rsid w:val="00704916"/>
    <w:rsid w:val="00704CD4"/>
    <w:rsid w:val="00705FA0"/>
    <w:rsid w:val="00706ACA"/>
    <w:rsid w:val="00707130"/>
    <w:rsid w:val="00707728"/>
    <w:rsid w:val="00707DD7"/>
    <w:rsid w:val="00707EB2"/>
    <w:rsid w:val="0071010E"/>
    <w:rsid w:val="0071086C"/>
    <w:rsid w:val="00710B8D"/>
    <w:rsid w:val="00710E14"/>
    <w:rsid w:val="007120DE"/>
    <w:rsid w:val="00712DA9"/>
    <w:rsid w:val="007136B6"/>
    <w:rsid w:val="0071377F"/>
    <w:rsid w:val="00713E55"/>
    <w:rsid w:val="0071403C"/>
    <w:rsid w:val="007151FC"/>
    <w:rsid w:val="00715F25"/>
    <w:rsid w:val="0072059D"/>
    <w:rsid w:val="00721823"/>
    <w:rsid w:val="0072188E"/>
    <w:rsid w:val="00721A15"/>
    <w:rsid w:val="00721B95"/>
    <w:rsid w:val="00721EDD"/>
    <w:rsid w:val="00722F3E"/>
    <w:rsid w:val="007238A7"/>
    <w:rsid w:val="00723B57"/>
    <w:rsid w:val="00723E8B"/>
    <w:rsid w:val="00724062"/>
    <w:rsid w:val="00724092"/>
    <w:rsid w:val="00724589"/>
    <w:rsid w:val="0072528F"/>
    <w:rsid w:val="0072578E"/>
    <w:rsid w:val="00727F4E"/>
    <w:rsid w:val="00730415"/>
    <w:rsid w:val="00730869"/>
    <w:rsid w:val="00731272"/>
    <w:rsid w:val="007314A2"/>
    <w:rsid w:val="007314F5"/>
    <w:rsid w:val="00731CE1"/>
    <w:rsid w:val="0073206A"/>
    <w:rsid w:val="00734883"/>
    <w:rsid w:val="00734A86"/>
    <w:rsid w:val="00734E72"/>
    <w:rsid w:val="0073521C"/>
    <w:rsid w:val="0073527F"/>
    <w:rsid w:val="007355F5"/>
    <w:rsid w:val="00735C88"/>
    <w:rsid w:val="00735CA6"/>
    <w:rsid w:val="00736855"/>
    <w:rsid w:val="007401FC"/>
    <w:rsid w:val="00740381"/>
    <w:rsid w:val="0074168E"/>
    <w:rsid w:val="00741C5D"/>
    <w:rsid w:val="00741CEA"/>
    <w:rsid w:val="007422E3"/>
    <w:rsid w:val="007443D0"/>
    <w:rsid w:val="00744CCE"/>
    <w:rsid w:val="00745254"/>
    <w:rsid w:val="007454BB"/>
    <w:rsid w:val="00746262"/>
    <w:rsid w:val="00746E62"/>
    <w:rsid w:val="00747FFA"/>
    <w:rsid w:val="007503E6"/>
    <w:rsid w:val="00750C1E"/>
    <w:rsid w:val="0075196E"/>
    <w:rsid w:val="00751FAE"/>
    <w:rsid w:val="00751FB2"/>
    <w:rsid w:val="00755037"/>
    <w:rsid w:val="00756215"/>
    <w:rsid w:val="00756307"/>
    <w:rsid w:val="00757899"/>
    <w:rsid w:val="007605E4"/>
    <w:rsid w:val="00760DE5"/>
    <w:rsid w:val="00761419"/>
    <w:rsid w:val="0076151B"/>
    <w:rsid w:val="0076162C"/>
    <w:rsid w:val="00763667"/>
    <w:rsid w:val="00764011"/>
    <w:rsid w:val="00764419"/>
    <w:rsid w:val="00764CF9"/>
    <w:rsid w:val="0076588B"/>
    <w:rsid w:val="00765C9B"/>
    <w:rsid w:val="00766239"/>
    <w:rsid w:val="00766A13"/>
    <w:rsid w:val="00772A6B"/>
    <w:rsid w:val="007734B4"/>
    <w:rsid w:val="007737EE"/>
    <w:rsid w:val="00773B50"/>
    <w:rsid w:val="00773D72"/>
    <w:rsid w:val="0077504F"/>
    <w:rsid w:val="007769FA"/>
    <w:rsid w:val="00776ACA"/>
    <w:rsid w:val="00776C9F"/>
    <w:rsid w:val="007779EC"/>
    <w:rsid w:val="00777D90"/>
    <w:rsid w:val="00780292"/>
    <w:rsid w:val="00780461"/>
    <w:rsid w:val="00780A71"/>
    <w:rsid w:val="007813DE"/>
    <w:rsid w:val="00781A9C"/>
    <w:rsid w:val="00781BB0"/>
    <w:rsid w:val="00785141"/>
    <w:rsid w:val="0078588E"/>
    <w:rsid w:val="00785E01"/>
    <w:rsid w:val="007862D4"/>
    <w:rsid w:val="00786B65"/>
    <w:rsid w:val="00787649"/>
    <w:rsid w:val="00787F3B"/>
    <w:rsid w:val="007904E4"/>
    <w:rsid w:val="00790CA6"/>
    <w:rsid w:val="00790EF7"/>
    <w:rsid w:val="00791AF3"/>
    <w:rsid w:val="00792E6C"/>
    <w:rsid w:val="0079322F"/>
    <w:rsid w:val="00794651"/>
    <w:rsid w:val="00794C8A"/>
    <w:rsid w:val="00796279"/>
    <w:rsid w:val="00796927"/>
    <w:rsid w:val="00796B99"/>
    <w:rsid w:val="00797832"/>
    <w:rsid w:val="00797C36"/>
    <w:rsid w:val="00797F2D"/>
    <w:rsid w:val="007A019B"/>
    <w:rsid w:val="007A3186"/>
    <w:rsid w:val="007A4369"/>
    <w:rsid w:val="007A46C0"/>
    <w:rsid w:val="007A4B54"/>
    <w:rsid w:val="007A6F18"/>
    <w:rsid w:val="007A71E6"/>
    <w:rsid w:val="007A7731"/>
    <w:rsid w:val="007A77D8"/>
    <w:rsid w:val="007B037C"/>
    <w:rsid w:val="007B059B"/>
    <w:rsid w:val="007B08BF"/>
    <w:rsid w:val="007B2112"/>
    <w:rsid w:val="007B3215"/>
    <w:rsid w:val="007B3224"/>
    <w:rsid w:val="007B3412"/>
    <w:rsid w:val="007B3A7E"/>
    <w:rsid w:val="007B3B11"/>
    <w:rsid w:val="007B4D25"/>
    <w:rsid w:val="007B5298"/>
    <w:rsid w:val="007B65C4"/>
    <w:rsid w:val="007B6B78"/>
    <w:rsid w:val="007B6E52"/>
    <w:rsid w:val="007B7361"/>
    <w:rsid w:val="007B77C2"/>
    <w:rsid w:val="007B7A87"/>
    <w:rsid w:val="007B7C1C"/>
    <w:rsid w:val="007C0257"/>
    <w:rsid w:val="007C0634"/>
    <w:rsid w:val="007C12AC"/>
    <w:rsid w:val="007C1E68"/>
    <w:rsid w:val="007C2254"/>
    <w:rsid w:val="007C29CA"/>
    <w:rsid w:val="007C31D2"/>
    <w:rsid w:val="007C3391"/>
    <w:rsid w:val="007C35EA"/>
    <w:rsid w:val="007C37C6"/>
    <w:rsid w:val="007C3BEB"/>
    <w:rsid w:val="007C448F"/>
    <w:rsid w:val="007C5017"/>
    <w:rsid w:val="007C522D"/>
    <w:rsid w:val="007C5501"/>
    <w:rsid w:val="007C5C2D"/>
    <w:rsid w:val="007C5C74"/>
    <w:rsid w:val="007C6CF5"/>
    <w:rsid w:val="007C6CFD"/>
    <w:rsid w:val="007C7289"/>
    <w:rsid w:val="007D08E6"/>
    <w:rsid w:val="007D0B7D"/>
    <w:rsid w:val="007D1CBF"/>
    <w:rsid w:val="007D213F"/>
    <w:rsid w:val="007D242F"/>
    <w:rsid w:val="007D34A8"/>
    <w:rsid w:val="007D3683"/>
    <w:rsid w:val="007D55B0"/>
    <w:rsid w:val="007D5A64"/>
    <w:rsid w:val="007D5EF2"/>
    <w:rsid w:val="007D6A8F"/>
    <w:rsid w:val="007D75BE"/>
    <w:rsid w:val="007D7AA1"/>
    <w:rsid w:val="007E0E7F"/>
    <w:rsid w:val="007E1F68"/>
    <w:rsid w:val="007E2164"/>
    <w:rsid w:val="007E2527"/>
    <w:rsid w:val="007E2E63"/>
    <w:rsid w:val="007E369E"/>
    <w:rsid w:val="007E478A"/>
    <w:rsid w:val="007E547E"/>
    <w:rsid w:val="007E5C6B"/>
    <w:rsid w:val="007E717C"/>
    <w:rsid w:val="007F0963"/>
    <w:rsid w:val="007F0D83"/>
    <w:rsid w:val="007F165D"/>
    <w:rsid w:val="007F245A"/>
    <w:rsid w:val="007F2D78"/>
    <w:rsid w:val="007F2DE7"/>
    <w:rsid w:val="007F3B5B"/>
    <w:rsid w:val="007F40DD"/>
    <w:rsid w:val="007F4115"/>
    <w:rsid w:val="007F47B5"/>
    <w:rsid w:val="007F4FC1"/>
    <w:rsid w:val="007F648C"/>
    <w:rsid w:val="007F7811"/>
    <w:rsid w:val="00800CD5"/>
    <w:rsid w:val="00801D5F"/>
    <w:rsid w:val="00801D90"/>
    <w:rsid w:val="008026C3"/>
    <w:rsid w:val="00802900"/>
    <w:rsid w:val="00803B33"/>
    <w:rsid w:val="00803E94"/>
    <w:rsid w:val="008052A4"/>
    <w:rsid w:val="00806C49"/>
    <w:rsid w:val="00806C56"/>
    <w:rsid w:val="00807482"/>
    <w:rsid w:val="008074CE"/>
    <w:rsid w:val="00807787"/>
    <w:rsid w:val="00807C8C"/>
    <w:rsid w:val="0081019C"/>
    <w:rsid w:val="008178C7"/>
    <w:rsid w:val="00821156"/>
    <w:rsid w:val="00821D24"/>
    <w:rsid w:val="008221FA"/>
    <w:rsid w:val="008231DC"/>
    <w:rsid w:val="00823204"/>
    <w:rsid w:val="00823517"/>
    <w:rsid w:val="00823D67"/>
    <w:rsid w:val="00823ECF"/>
    <w:rsid w:val="00823FBC"/>
    <w:rsid w:val="008251C2"/>
    <w:rsid w:val="00825588"/>
    <w:rsid w:val="0082564D"/>
    <w:rsid w:val="00825E73"/>
    <w:rsid w:val="00826820"/>
    <w:rsid w:val="00827B51"/>
    <w:rsid w:val="00830034"/>
    <w:rsid w:val="0083057E"/>
    <w:rsid w:val="0083110E"/>
    <w:rsid w:val="0083158B"/>
    <w:rsid w:val="008323E9"/>
    <w:rsid w:val="00832BE6"/>
    <w:rsid w:val="00832E39"/>
    <w:rsid w:val="00834CE6"/>
    <w:rsid w:val="00834DB8"/>
    <w:rsid w:val="00834EBE"/>
    <w:rsid w:val="0083510F"/>
    <w:rsid w:val="008352F1"/>
    <w:rsid w:val="008353FB"/>
    <w:rsid w:val="008368FF"/>
    <w:rsid w:val="00837C37"/>
    <w:rsid w:val="008403C1"/>
    <w:rsid w:val="00840708"/>
    <w:rsid w:val="00840837"/>
    <w:rsid w:val="0084110D"/>
    <w:rsid w:val="00841B03"/>
    <w:rsid w:val="00841C03"/>
    <w:rsid w:val="00842D80"/>
    <w:rsid w:val="008432B9"/>
    <w:rsid w:val="008436E8"/>
    <w:rsid w:val="00843889"/>
    <w:rsid w:val="00843A1E"/>
    <w:rsid w:val="0084593E"/>
    <w:rsid w:val="008463BC"/>
    <w:rsid w:val="00846835"/>
    <w:rsid w:val="00846CF9"/>
    <w:rsid w:val="00846F97"/>
    <w:rsid w:val="00847A0C"/>
    <w:rsid w:val="00847D76"/>
    <w:rsid w:val="0085005A"/>
    <w:rsid w:val="008517F7"/>
    <w:rsid w:val="00851A53"/>
    <w:rsid w:val="008526D9"/>
    <w:rsid w:val="00853ECA"/>
    <w:rsid w:val="00855780"/>
    <w:rsid w:val="00855E97"/>
    <w:rsid w:val="0085668F"/>
    <w:rsid w:val="00856E83"/>
    <w:rsid w:val="008571AD"/>
    <w:rsid w:val="00857EA2"/>
    <w:rsid w:val="008608A0"/>
    <w:rsid w:val="008611ED"/>
    <w:rsid w:val="008614D3"/>
    <w:rsid w:val="00862274"/>
    <w:rsid w:val="0086253A"/>
    <w:rsid w:val="00863A38"/>
    <w:rsid w:val="00864093"/>
    <w:rsid w:val="00864107"/>
    <w:rsid w:val="008648C5"/>
    <w:rsid w:val="00864F06"/>
    <w:rsid w:val="0086518F"/>
    <w:rsid w:val="00865B22"/>
    <w:rsid w:val="00866D74"/>
    <w:rsid w:val="00866E22"/>
    <w:rsid w:val="00867B2A"/>
    <w:rsid w:val="0087033E"/>
    <w:rsid w:val="00870542"/>
    <w:rsid w:val="00870783"/>
    <w:rsid w:val="008712EE"/>
    <w:rsid w:val="00872238"/>
    <w:rsid w:val="00872AD8"/>
    <w:rsid w:val="00872F19"/>
    <w:rsid w:val="00873A63"/>
    <w:rsid w:val="008757BA"/>
    <w:rsid w:val="00877381"/>
    <w:rsid w:val="0087756F"/>
    <w:rsid w:val="008778AA"/>
    <w:rsid w:val="0088016D"/>
    <w:rsid w:val="008801B0"/>
    <w:rsid w:val="00880501"/>
    <w:rsid w:val="00880B18"/>
    <w:rsid w:val="00880B9D"/>
    <w:rsid w:val="00881290"/>
    <w:rsid w:val="00881F25"/>
    <w:rsid w:val="00882F0F"/>
    <w:rsid w:val="00883567"/>
    <w:rsid w:val="00885290"/>
    <w:rsid w:val="00885937"/>
    <w:rsid w:val="00886370"/>
    <w:rsid w:val="00886935"/>
    <w:rsid w:val="008871C3"/>
    <w:rsid w:val="00890203"/>
    <w:rsid w:val="008904EB"/>
    <w:rsid w:val="008907F3"/>
    <w:rsid w:val="00890877"/>
    <w:rsid w:val="008924A2"/>
    <w:rsid w:val="00892B40"/>
    <w:rsid w:val="008935AE"/>
    <w:rsid w:val="00893827"/>
    <w:rsid w:val="0089407E"/>
    <w:rsid w:val="00894769"/>
    <w:rsid w:val="00896CAF"/>
    <w:rsid w:val="00897267"/>
    <w:rsid w:val="00897C7A"/>
    <w:rsid w:val="008A0398"/>
    <w:rsid w:val="008A0BD3"/>
    <w:rsid w:val="008A30D1"/>
    <w:rsid w:val="008A32BC"/>
    <w:rsid w:val="008A3311"/>
    <w:rsid w:val="008A4BF1"/>
    <w:rsid w:val="008A4C28"/>
    <w:rsid w:val="008A4D16"/>
    <w:rsid w:val="008A54F4"/>
    <w:rsid w:val="008A55A2"/>
    <w:rsid w:val="008A56A8"/>
    <w:rsid w:val="008A60A9"/>
    <w:rsid w:val="008A61EF"/>
    <w:rsid w:val="008B0AFD"/>
    <w:rsid w:val="008B0BBE"/>
    <w:rsid w:val="008B1636"/>
    <w:rsid w:val="008B24F8"/>
    <w:rsid w:val="008B31A6"/>
    <w:rsid w:val="008B31BA"/>
    <w:rsid w:val="008B3211"/>
    <w:rsid w:val="008B3734"/>
    <w:rsid w:val="008B3CA0"/>
    <w:rsid w:val="008B43B7"/>
    <w:rsid w:val="008B4C3C"/>
    <w:rsid w:val="008B4F0A"/>
    <w:rsid w:val="008C02D9"/>
    <w:rsid w:val="008C0AA2"/>
    <w:rsid w:val="008C135A"/>
    <w:rsid w:val="008C1D5F"/>
    <w:rsid w:val="008C2464"/>
    <w:rsid w:val="008C4A16"/>
    <w:rsid w:val="008C5E7A"/>
    <w:rsid w:val="008C620E"/>
    <w:rsid w:val="008C7738"/>
    <w:rsid w:val="008C7ACC"/>
    <w:rsid w:val="008D0860"/>
    <w:rsid w:val="008D09A6"/>
    <w:rsid w:val="008D0F91"/>
    <w:rsid w:val="008D15BA"/>
    <w:rsid w:val="008D1A4F"/>
    <w:rsid w:val="008D2E11"/>
    <w:rsid w:val="008D2F52"/>
    <w:rsid w:val="008D3672"/>
    <w:rsid w:val="008D3924"/>
    <w:rsid w:val="008D3E83"/>
    <w:rsid w:val="008D4B95"/>
    <w:rsid w:val="008D524C"/>
    <w:rsid w:val="008D540D"/>
    <w:rsid w:val="008D5B25"/>
    <w:rsid w:val="008D7AD2"/>
    <w:rsid w:val="008D7C2A"/>
    <w:rsid w:val="008E0485"/>
    <w:rsid w:val="008E0D43"/>
    <w:rsid w:val="008E197D"/>
    <w:rsid w:val="008E1F3F"/>
    <w:rsid w:val="008E35AA"/>
    <w:rsid w:val="008E4232"/>
    <w:rsid w:val="008E4840"/>
    <w:rsid w:val="008E4AE7"/>
    <w:rsid w:val="008E50F0"/>
    <w:rsid w:val="008E5830"/>
    <w:rsid w:val="008E62DC"/>
    <w:rsid w:val="008E7EE4"/>
    <w:rsid w:val="008F0D5E"/>
    <w:rsid w:val="008F114D"/>
    <w:rsid w:val="008F12F9"/>
    <w:rsid w:val="008F2A02"/>
    <w:rsid w:val="008F2B6D"/>
    <w:rsid w:val="008F31CE"/>
    <w:rsid w:val="008F3400"/>
    <w:rsid w:val="008F38A6"/>
    <w:rsid w:val="008F43FC"/>
    <w:rsid w:val="008F56AE"/>
    <w:rsid w:val="008F6506"/>
    <w:rsid w:val="008F67FC"/>
    <w:rsid w:val="009000BA"/>
    <w:rsid w:val="0090017A"/>
    <w:rsid w:val="00901B97"/>
    <w:rsid w:val="00901E09"/>
    <w:rsid w:val="00902717"/>
    <w:rsid w:val="00902C05"/>
    <w:rsid w:val="009037E7"/>
    <w:rsid w:val="00904E42"/>
    <w:rsid w:val="0090519C"/>
    <w:rsid w:val="00905999"/>
    <w:rsid w:val="009059BA"/>
    <w:rsid w:val="009067A3"/>
    <w:rsid w:val="009072BF"/>
    <w:rsid w:val="00907C42"/>
    <w:rsid w:val="00911F61"/>
    <w:rsid w:val="009120AB"/>
    <w:rsid w:val="00912AE3"/>
    <w:rsid w:val="00913791"/>
    <w:rsid w:val="009149F1"/>
    <w:rsid w:val="00914CB1"/>
    <w:rsid w:val="009150F6"/>
    <w:rsid w:val="00916105"/>
    <w:rsid w:val="0091632B"/>
    <w:rsid w:val="009165C8"/>
    <w:rsid w:val="0091668D"/>
    <w:rsid w:val="00916711"/>
    <w:rsid w:val="00916C9E"/>
    <w:rsid w:val="00920347"/>
    <w:rsid w:val="00920485"/>
    <w:rsid w:val="0092158C"/>
    <w:rsid w:val="009219E3"/>
    <w:rsid w:val="009221A3"/>
    <w:rsid w:val="00923113"/>
    <w:rsid w:val="009233AB"/>
    <w:rsid w:val="0092545C"/>
    <w:rsid w:val="00925596"/>
    <w:rsid w:val="00925698"/>
    <w:rsid w:val="0092582C"/>
    <w:rsid w:val="00925BAD"/>
    <w:rsid w:val="00925C3A"/>
    <w:rsid w:val="00926341"/>
    <w:rsid w:val="00926806"/>
    <w:rsid w:val="009303A1"/>
    <w:rsid w:val="0093131C"/>
    <w:rsid w:val="009335CF"/>
    <w:rsid w:val="0093369D"/>
    <w:rsid w:val="0093489C"/>
    <w:rsid w:val="009355BB"/>
    <w:rsid w:val="00935744"/>
    <w:rsid w:val="00936159"/>
    <w:rsid w:val="00936497"/>
    <w:rsid w:val="0093688D"/>
    <w:rsid w:val="00936F5A"/>
    <w:rsid w:val="00937650"/>
    <w:rsid w:val="00937A39"/>
    <w:rsid w:val="009403D7"/>
    <w:rsid w:val="00943BCF"/>
    <w:rsid w:val="009455BD"/>
    <w:rsid w:val="00945675"/>
    <w:rsid w:val="00947082"/>
    <w:rsid w:val="00947432"/>
    <w:rsid w:val="00947AE0"/>
    <w:rsid w:val="00950FC6"/>
    <w:rsid w:val="00951681"/>
    <w:rsid w:val="00951A0E"/>
    <w:rsid w:val="00952A13"/>
    <w:rsid w:val="00952ACE"/>
    <w:rsid w:val="00952C8C"/>
    <w:rsid w:val="009532F2"/>
    <w:rsid w:val="009535FF"/>
    <w:rsid w:val="00953E1B"/>
    <w:rsid w:val="009543D7"/>
    <w:rsid w:val="009548AC"/>
    <w:rsid w:val="00955169"/>
    <w:rsid w:val="009556AC"/>
    <w:rsid w:val="0095631A"/>
    <w:rsid w:val="0095671F"/>
    <w:rsid w:val="00961C39"/>
    <w:rsid w:val="00961EAE"/>
    <w:rsid w:val="00962248"/>
    <w:rsid w:val="00962427"/>
    <w:rsid w:val="00962700"/>
    <w:rsid w:val="0096300A"/>
    <w:rsid w:val="00963920"/>
    <w:rsid w:val="00963A2F"/>
    <w:rsid w:val="00965AC8"/>
    <w:rsid w:val="00966B38"/>
    <w:rsid w:val="00967193"/>
    <w:rsid w:val="0097047C"/>
    <w:rsid w:val="00971A9F"/>
    <w:rsid w:val="00972BD8"/>
    <w:rsid w:val="00972DC3"/>
    <w:rsid w:val="00973A9B"/>
    <w:rsid w:val="009749D1"/>
    <w:rsid w:val="00974B20"/>
    <w:rsid w:val="00975B78"/>
    <w:rsid w:val="00975C3B"/>
    <w:rsid w:val="0097631F"/>
    <w:rsid w:val="00976B0B"/>
    <w:rsid w:val="009776CE"/>
    <w:rsid w:val="00977D05"/>
    <w:rsid w:val="0098031E"/>
    <w:rsid w:val="00980AC2"/>
    <w:rsid w:val="00980E7A"/>
    <w:rsid w:val="00980F00"/>
    <w:rsid w:val="0098137D"/>
    <w:rsid w:val="0098139F"/>
    <w:rsid w:val="00982749"/>
    <w:rsid w:val="009827FD"/>
    <w:rsid w:val="00982907"/>
    <w:rsid w:val="00982B77"/>
    <w:rsid w:val="00982C73"/>
    <w:rsid w:val="009833D5"/>
    <w:rsid w:val="009836A2"/>
    <w:rsid w:val="00983EEB"/>
    <w:rsid w:val="00983F22"/>
    <w:rsid w:val="0098405C"/>
    <w:rsid w:val="009845D0"/>
    <w:rsid w:val="009848B4"/>
    <w:rsid w:val="00984C49"/>
    <w:rsid w:val="009856FC"/>
    <w:rsid w:val="00985BD2"/>
    <w:rsid w:val="00986521"/>
    <w:rsid w:val="00986AC7"/>
    <w:rsid w:val="0098744C"/>
    <w:rsid w:val="00990853"/>
    <w:rsid w:val="00990D06"/>
    <w:rsid w:val="00993087"/>
    <w:rsid w:val="00994BDB"/>
    <w:rsid w:val="00994E5B"/>
    <w:rsid w:val="009955AC"/>
    <w:rsid w:val="0099599D"/>
    <w:rsid w:val="00995C4E"/>
    <w:rsid w:val="009975D1"/>
    <w:rsid w:val="009A036A"/>
    <w:rsid w:val="009A076E"/>
    <w:rsid w:val="009A0A04"/>
    <w:rsid w:val="009A0D0C"/>
    <w:rsid w:val="009A129B"/>
    <w:rsid w:val="009A1370"/>
    <w:rsid w:val="009A1E7B"/>
    <w:rsid w:val="009A1F8B"/>
    <w:rsid w:val="009A2685"/>
    <w:rsid w:val="009A31E5"/>
    <w:rsid w:val="009A372F"/>
    <w:rsid w:val="009A3CB5"/>
    <w:rsid w:val="009A3D3D"/>
    <w:rsid w:val="009A4D87"/>
    <w:rsid w:val="009A4EC5"/>
    <w:rsid w:val="009A545D"/>
    <w:rsid w:val="009A64A0"/>
    <w:rsid w:val="009A681A"/>
    <w:rsid w:val="009A6BD1"/>
    <w:rsid w:val="009A75F0"/>
    <w:rsid w:val="009A78AD"/>
    <w:rsid w:val="009B12CE"/>
    <w:rsid w:val="009B14B6"/>
    <w:rsid w:val="009B22A6"/>
    <w:rsid w:val="009B22FF"/>
    <w:rsid w:val="009B3FF3"/>
    <w:rsid w:val="009B4887"/>
    <w:rsid w:val="009B7C38"/>
    <w:rsid w:val="009C059E"/>
    <w:rsid w:val="009C080B"/>
    <w:rsid w:val="009C26FE"/>
    <w:rsid w:val="009C544A"/>
    <w:rsid w:val="009C629B"/>
    <w:rsid w:val="009C75BB"/>
    <w:rsid w:val="009C784C"/>
    <w:rsid w:val="009C7ABB"/>
    <w:rsid w:val="009D0C7F"/>
    <w:rsid w:val="009D0D9A"/>
    <w:rsid w:val="009D16E5"/>
    <w:rsid w:val="009D1A2E"/>
    <w:rsid w:val="009D1A6F"/>
    <w:rsid w:val="009D2E5C"/>
    <w:rsid w:val="009D3C6E"/>
    <w:rsid w:val="009D55AF"/>
    <w:rsid w:val="009D5E8C"/>
    <w:rsid w:val="009D643E"/>
    <w:rsid w:val="009D6F45"/>
    <w:rsid w:val="009D7ABE"/>
    <w:rsid w:val="009E0495"/>
    <w:rsid w:val="009E05DA"/>
    <w:rsid w:val="009E0D03"/>
    <w:rsid w:val="009E181F"/>
    <w:rsid w:val="009E3C9C"/>
    <w:rsid w:val="009E3DD6"/>
    <w:rsid w:val="009E4B13"/>
    <w:rsid w:val="009E5213"/>
    <w:rsid w:val="009E55EF"/>
    <w:rsid w:val="009E5B5F"/>
    <w:rsid w:val="009E5BC2"/>
    <w:rsid w:val="009E5CB4"/>
    <w:rsid w:val="009E6A09"/>
    <w:rsid w:val="009F1801"/>
    <w:rsid w:val="009F192A"/>
    <w:rsid w:val="009F4036"/>
    <w:rsid w:val="009F4116"/>
    <w:rsid w:val="009F4390"/>
    <w:rsid w:val="009F43B2"/>
    <w:rsid w:val="009F4492"/>
    <w:rsid w:val="009F5EB6"/>
    <w:rsid w:val="009F6139"/>
    <w:rsid w:val="009F6A38"/>
    <w:rsid w:val="009F6E1D"/>
    <w:rsid w:val="009F6F29"/>
    <w:rsid w:val="009F715D"/>
    <w:rsid w:val="009F7356"/>
    <w:rsid w:val="00A00291"/>
    <w:rsid w:val="00A00E2E"/>
    <w:rsid w:val="00A028A3"/>
    <w:rsid w:val="00A029D7"/>
    <w:rsid w:val="00A0394E"/>
    <w:rsid w:val="00A044D7"/>
    <w:rsid w:val="00A04AAB"/>
    <w:rsid w:val="00A04B9C"/>
    <w:rsid w:val="00A0512F"/>
    <w:rsid w:val="00A05D0E"/>
    <w:rsid w:val="00A061D9"/>
    <w:rsid w:val="00A0663A"/>
    <w:rsid w:val="00A075FC"/>
    <w:rsid w:val="00A0781A"/>
    <w:rsid w:val="00A07C05"/>
    <w:rsid w:val="00A10AE8"/>
    <w:rsid w:val="00A13485"/>
    <w:rsid w:val="00A13E82"/>
    <w:rsid w:val="00A14589"/>
    <w:rsid w:val="00A1464D"/>
    <w:rsid w:val="00A14BA3"/>
    <w:rsid w:val="00A15B35"/>
    <w:rsid w:val="00A15E0A"/>
    <w:rsid w:val="00A160FB"/>
    <w:rsid w:val="00A161B1"/>
    <w:rsid w:val="00A161C6"/>
    <w:rsid w:val="00A17D1F"/>
    <w:rsid w:val="00A20A44"/>
    <w:rsid w:val="00A21761"/>
    <w:rsid w:val="00A21DF2"/>
    <w:rsid w:val="00A2257B"/>
    <w:rsid w:val="00A23331"/>
    <w:rsid w:val="00A243AC"/>
    <w:rsid w:val="00A24C95"/>
    <w:rsid w:val="00A2515D"/>
    <w:rsid w:val="00A259DE"/>
    <w:rsid w:val="00A2685E"/>
    <w:rsid w:val="00A26C61"/>
    <w:rsid w:val="00A26F91"/>
    <w:rsid w:val="00A27A7D"/>
    <w:rsid w:val="00A27FE2"/>
    <w:rsid w:val="00A31CCC"/>
    <w:rsid w:val="00A320BC"/>
    <w:rsid w:val="00A32B7E"/>
    <w:rsid w:val="00A32E95"/>
    <w:rsid w:val="00A3311B"/>
    <w:rsid w:val="00A33153"/>
    <w:rsid w:val="00A3326D"/>
    <w:rsid w:val="00A33D13"/>
    <w:rsid w:val="00A34530"/>
    <w:rsid w:val="00A346D1"/>
    <w:rsid w:val="00A34F88"/>
    <w:rsid w:val="00A35923"/>
    <w:rsid w:val="00A35C53"/>
    <w:rsid w:val="00A36826"/>
    <w:rsid w:val="00A36FD9"/>
    <w:rsid w:val="00A4023D"/>
    <w:rsid w:val="00A40C9F"/>
    <w:rsid w:val="00A40CAB"/>
    <w:rsid w:val="00A41F13"/>
    <w:rsid w:val="00A424AF"/>
    <w:rsid w:val="00A42687"/>
    <w:rsid w:val="00A434BD"/>
    <w:rsid w:val="00A435FD"/>
    <w:rsid w:val="00A4377B"/>
    <w:rsid w:val="00A4546E"/>
    <w:rsid w:val="00A45D2C"/>
    <w:rsid w:val="00A46901"/>
    <w:rsid w:val="00A46A95"/>
    <w:rsid w:val="00A4782D"/>
    <w:rsid w:val="00A516E4"/>
    <w:rsid w:val="00A51771"/>
    <w:rsid w:val="00A51A01"/>
    <w:rsid w:val="00A51A28"/>
    <w:rsid w:val="00A51F38"/>
    <w:rsid w:val="00A532A5"/>
    <w:rsid w:val="00A53898"/>
    <w:rsid w:val="00A54040"/>
    <w:rsid w:val="00A55605"/>
    <w:rsid w:val="00A55E9A"/>
    <w:rsid w:val="00A56B64"/>
    <w:rsid w:val="00A57997"/>
    <w:rsid w:val="00A607B6"/>
    <w:rsid w:val="00A61519"/>
    <w:rsid w:val="00A615B5"/>
    <w:rsid w:val="00A622E2"/>
    <w:rsid w:val="00A6249D"/>
    <w:rsid w:val="00A62C1C"/>
    <w:rsid w:val="00A62DC9"/>
    <w:rsid w:val="00A632DE"/>
    <w:rsid w:val="00A63AB5"/>
    <w:rsid w:val="00A6418A"/>
    <w:rsid w:val="00A6439E"/>
    <w:rsid w:val="00A644B9"/>
    <w:rsid w:val="00A65BE7"/>
    <w:rsid w:val="00A65F3A"/>
    <w:rsid w:val="00A67112"/>
    <w:rsid w:val="00A674AA"/>
    <w:rsid w:val="00A67599"/>
    <w:rsid w:val="00A67A01"/>
    <w:rsid w:val="00A67D62"/>
    <w:rsid w:val="00A70317"/>
    <w:rsid w:val="00A70319"/>
    <w:rsid w:val="00A704BB"/>
    <w:rsid w:val="00A7110A"/>
    <w:rsid w:val="00A71D60"/>
    <w:rsid w:val="00A71F21"/>
    <w:rsid w:val="00A73702"/>
    <w:rsid w:val="00A73E4F"/>
    <w:rsid w:val="00A744DA"/>
    <w:rsid w:val="00A745CE"/>
    <w:rsid w:val="00A7472A"/>
    <w:rsid w:val="00A7547A"/>
    <w:rsid w:val="00A75C5E"/>
    <w:rsid w:val="00A75D7E"/>
    <w:rsid w:val="00A76E57"/>
    <w:rsid w:val="00A7707A"/>
    <w:rsid w:val="00A7763A"/>
    <w:rsid w:val="00A77FBD"/>
    <w:rsid w:val="00A802CD"/>
    <w:rsid w:val="00A8096E"/>
    <w:rsid w:val="00A817A0"/>
    <w:rsid w:val="00A8207C"/>
    <w:rsid w:val="00A83E37"/>
    <w:rsid w:val="00A853B7"/>
    <w:rsid w:val="00A8590C"/>
    <w:rsid w:val="00A85EFA"/>
    <w:rsid w:val="00A8757C"/>
    <w:rsid w:val="00A903EA"/>
    <w:rsid w:val="00A908C2"/>
    <w:rsid w:val="00A9209A"/>
    <w:rsid w:val="00A922C7"/>
    <w:rsid w:val="00A9244D"/>
    <w:rsid w:val="00A9302E"/>
    <w:rsid w:val="00A93AA7"/>
    <w:rsid w:val="00A93CE8"/>
    <w:rsid w:val="00A93FB2"/>
    <w:rsid w:val="00A944DE"/>
    <w:rsid w:val="00A94DA1"/>
    <w:rsid w:val="00A958B6"/>
    <w:rsid w:val="00A965B2"/>
    <w:rsid w:val="00A968F6"/>
    <w:rsid w:val="00A97EA3"/>
    <w:rsid w:val="00AA000D"/>
    <w:rsid w:val="00AA19A6"/>
    <w:rsid w:val="00AA1DD2"/>
    <w:rsid w:val="00AA2239"/>
    <w:rsid w:val="00AA267A"/>
    <w:rsid w:val="00AA3FB5"/>
    <w:rsid w:val="00AA4EB3"/>
    <w:rsid w:val="00AA50E2"/>
    <w:rsid w:val="00AA5193"/>
    <w:rsid w:val="00AA66A1"/>
    <w:rsid w:val="00AA69EE"/>
    <w:rsid w:val="00AA71C1"/>
    <w:rsid w:val="00AA7F83"/>
    <w:rsid w:val="00AB0E2B"/>
    <w:rsid w:val="00AB1AA9"/>
    <w:rsid w:val="00AB23D2"/>
    <w:rsid w:val="00AB2DCE"/>
    <w:rsid w:val="00AB320D"/>
    <w:rsid w:val="00AB420D"/>
    <w:rsid w:val="00AB4574"/>
    <w:rsid w:val="00AB488E"/>
    <w:rsid w:val="00AB5418"/>
    <w:rsid w:val="00AB6E89"/>
    <w:rsid w:val="00AB7DB2"/>
    <w:rsid w:val="00AC0590"/>
    <w:rsid w:val="00AC07E0"/>
    <w:rsid w:val="00AC1F64"/>
    <w:rsid w:val="00AC3357"/>
    <w:rsid w:val="00AC3EBF"/>
    <w:rsid w:val="00AC4109"/>
    <w:rsid w:val="00AC5BDA"/>
    <w:rsid w:val="00AC60AA"/>
    <w:rsid w:val="00AC64C5"/>
    <w:rsid w:val="00AC6582"/>
    <w:rsid w:val="00AC7EC1"/>
    <w:rsid w:val="00AD08C8"/>
    <w:rsid w:val="00AD0FB0"/>
    <w:rsid w:val="00AD276B"/>
    <w:rsid w:val="00AD2815"/>
    <w:rsid w:val="00AD3DA5"/>
    <w:rsid w:val="00AE05A6"/>
    <w:rsid w:val="00AE0D67"/>
    <w:rsid w:val="00AE0F03"/>
    <w:rsid w:val="00AE15AD"/>
    <w:rsid w:val="00AE31D8"/>
    <w:rsid w:val="00AE4481"/>
    <w:rsid w:val="00AE508A"/>
    <w:rsid w:val="00AE51B5"/>
    <w:rsid w:val="00AE5505"/>
    <w:rsid w:val="00AE56FA"/>
    <w:rsid w:val="00AE6375"/>
    <w:rsid w:val="00AE662D"/>
    <w:rsid w:val="00AF0967"/>
    <w:rsid w:val="00AF1078"/>
    <w:rsid w:val="00AF1C2A"/>
    <w:rsid w:val="00AF289F"/>
    <w:rsid w:val="00AF4B49"/>
    <w:rsid w:val="00AF4BDD"/>
    <w:rsid w:val="00AF53CF"/>
    <w:rsid w:val="00AF61C0"/>
    <w:rsid w:val="00AF6286"/>
    <w:rsid w:val="00AF676E"/>
    <w:rsid w:val="00AF6A78"/>
    <w:rsid w:val="00B013B6"/>
    <w:rsid w:val="00B0155D"/>
    <w:rsid w:val="00B01903"/>
    <w:rsid w:val="00B02111"/>
    <w:rsid w:val="00B035D7"/>
    <w:rsid w:val="00B04982"/>
    <w:rsid w:val="00B04FDE"/>
    <w:rsid w:val="00B0583F"/>
    <w:rsid w:val="00B05BDC"/>
    <w:rsid w:val="00B05D3E"/>
    <w:rsid w:val="00B068CA"/>
    <w:rsid w:val="00B105D7"/>
    <w:rsid w:val="00B1079E"/>
    <w:rsid w:val="00B10E65"/>
    <w:rsid w:val="00B11884"/>
    <w:rsid w:val="00B11939"/>
    <w:rsid w:val="00B12329"/>
    <w:rsid w:val="00B12951"/>
    <w:rsid w:val="00B12D92"/>
    <w:rsid w:val="00B13534"/>
    <w:rsid w:val="00B1385C"/>
    <w:rsid w:val="00B13D40"/>
    <w:rsid w:val="00B13DB4"/>
    <w:rsid w:val="00B13F41"/>
    <w:rsid w:val="00B1558E"/>
    <w:rsid w:val="00B16CA0"/>
    <w:rsid w:val="00B16E6A"/>
    <w:rsid w:val="00B204C8"/>
    <w:rsid w:val="00B205D9"/>
    <w:rsid w:val="00B21930"/>
    <w:rsid w:val="00B21D6E"/>
    <w:rsid w:val="00B2253E"/>
    <w:rsid w:val="00B2265B"/>
    <w:rsid w:val="00B2290C"/>
    <w:rsid w:val="00B22CE9"/>
    <w:rsid w:val="00B230E9"/>
    <w:rsid w:val="00B232CB"/>
    <w:rsid w:val="00B23A86"/>
    <w:rsid w:val="00B2413F"/>
    <w:rsid w:val="00B25220"/>
    <w:rsid w:val="00B252A6"/>
    <w:rsid w:val="00B26053"/>
    <w:rsid w:val="00B26DAF"/>
    <w:rsid w:val="00B30288"/>
    <w:rsid w:val="00B30303"/>
    <w:rsid w:val="00B31131"/>
    <w:rsid w:val="00B31364"/>
    <w:rsid w:val="00B32083"/>
    <w:rsid w:val="00B330DC"/>
    <w:rsid w:val="00B342FA"/>
    <w:rsid w:val="00B3452C"/>
    <w:rsid w:val="00B3585D"/>
    <w:rsid w:val="00B36538"/>
    <w:rsid w:val="00B3662F"/>
    <w:rsid w:val="00B374C4"/>
    <w:rsid w:val="00B374FB"/>
    <w:rsid w:val="00B37666"/>
    <w:rsid w:val="00B4018C"/>
    <w:rsid w:val="00B406B1"/>
    <w:rsid w:val="00B411A1"/>
    <w:rsid w:val="00B413C6"/>
    <w:rsid w:val="00B4245C"/>
    <w:rsid w:val="00B425D9"/>
    <w:rsid w:val="00B42A60"/>
    <w:rsid w:val="00B438CB"/>
    <w:rsid w:val="00B43E9B"/>
    <w:rsid w:val="00B4434A"/>
    <w:rsid w:val="00B4459B"/>
    <w:rsid w:val="00B44943"/>
    <w:rsid w:val="00B4734C"/>
    <w:rsid w:val="00B473D2"/>
    <w:rsid w:val="00B47A8B"/>
    <w:rsid w:val="00B47E03"/>
    <w:rsid w:val="00B50074"/>
    <w:rsid w:val="00B50CFA"/>
    <w:rsid w:val="00B52B0D"/>
    <w:rsid w:val="00B53DFE"/>
    <w:rsid w:val="00B53EED"/>
    <w:rsid w:val="00B54247"/>
    <w:rsid w:val="00B54CD0"/>
    <w:rsid w:val="00B555C2"/>
    <w:rsid w:val="00B56335"/>
    <w:rsid w:val="00B57702"/>
    <w:rsid w:val="00B6059C"/>
    <w:rsid w:val="00B61219"/>
    <w:rsid w:val="00B61351"/>
    <w:rsid w:val="00B615A4"/>
    <w:rsid w:val="00B62014"/>
    <w:rsid w:val="00B620BB"/>
    <w:rsid w:val="00B63268"/>
    <w:rsid w:val="00B64568"/>
    <w:rsid w:val="00B655C6"/>
    <w:rsid w:val="00B65CF0"/>
    <w:rsid w:val="00B663DB"/>
    <w:rsid w:val="00B671B5"/>
    <w:rsid w:val="00B67BC1"/>
    <w:rsid w:val="00B70713"/>
    <w:rsid w:val="00B70EC6"/>
    <w:rsid w:val="00B72E04"/>
    <w:rsid w:val="00B73BFD"/>
    <w:rsid w:val="00B73C46"/>
    <w:rsid w:val="00B746EC"/>
    <w:rsid w:val="00B75FA5"/>
    <w:rsid w:val="00B76A38"/>
    <w:rsid w:val="00B81205"/>
    <w:rsid w:val="00B82541"/>
    <w:rsid w:val="00B84784"/>
    <w:rsid w:val="00B8525A"/>
    <w:rsid w:val="00B855D7"/>
    <w:rsid w:val="00B86175"/>
    <w:rsid w:val="00B87B8B"/>
    <w:rsid w:val="00B90767"/>
    <w:rsid w:val="00B91B7B"/>
    <w:rsid w:val="00B9254D"/>
    <w:rsid w:val="00B92EFF"/>
    <w:rsid w:val="00B933FC"/>
    <w:rsid w:val="00B940CB"/>
    <w:rsid w:val="00B9470B"/>
    <w:rsid w:val="00B94740"/>
    <w:rsid w:val="00B94997"/>
    <w:rsid w:val="00B94C1D"/>
    <w:rsid w:val="00B95254"/>
    <w:rsid w:val="00B9544D"/>
    <w:rsid w:val="00B95F25"/>
    <w:rsid w:val="00B96077"/>
    <w:rsid w:val="00B96BB9"/>
    <w:rsid w:val="00B972DC"/>
    <w:rsid w:val="00B9742F"/>
    <w:rsid w:val="00BA0136"/>
    <w:rsid w:val="00BA09D6"/>
    <w:rsid w:val="00BA0DEE"/>
    <w:rsid w:val="00BA20B3"/>
    <w:rsid w:val="00BA2288"/>
    <w:rsid w:val="00BA241D"/>
    <w:rsid w:val="00BA259C"/>
    <w:rsid w:val="00BA25D9"/>
    <w:rsid w:val="00BA3E46"/>
    <w:rsid w:val="00BA3F46"/>
    <w:rsid w:val="00BA487A"/>
    <w:rsid w:val="00BA4CD4"/>
    <w:rsid w:val="00BA4D54"/>
    <w:rsid w:val="00BA4D83"/>
    <w:rsid w:val="00BA4EE1"/>
    <w:rsid w:val="00BA599F"/>
    <w:rsid w:val="00BA5DBD"/>
    <w:rsid w:val="00BA5F59"/>
    <w:rsid w:val="00BA62FC"/>
    <w:rsid w:val="00BA6FBD"/>
    <w:rsid w:val="00BA7072"/>
    <w:rsid w:val="00BA71AC"/>
    <w:rsid w:val="00BA75DD"/>
    <w:rsid w:val="00BA7811"/>
    <w:rsid w:val="00BA7A65"/>
    <w:rsid w:val="00BA7FEE"/>
    <w:rsid w:val="00BB0158"/>
    <w:rsid w:val="00BB04EA"/>
    <w:rsid w:val="00BB057B"/>
    <w:rsid w:val="00BB1B24"/>
    <w:rsid w:val="00BB1C0D"/>
    <w:rsid w:val="00BB26CA"/>
    <w:rsid w:val="00BB324E"/>
    <w:rsid w:val="00BB4A44"/>
    <w:rsid w:val="00BB4EB8"/>
    <w:rsid w:val="00BB5A66"/>
    <w:rsid w:val="00BB63C4"/>
    <w:rsid w:val="00BB6647"/>
    <w:rsid w:val="00BB6D8F"/>
    <w:rsid w:val="00BB7C99"/>
    <w:rsid w:val="00BC0447"/>
    <w:rsid w:val="00BC0901"/>
    <w:rsid w:val="00BC1A36"/>
    <w:rsid w:val="00BC2346"/>
    <w:rsid w:val="00BC2B60"/>
    <w:rsid w:val="00BC2D8B"/>
    <w:rsid w:val="00BC310F"/>
    <w:rsid w:val="00BC3687"/>
    <w:rsid w:val="00BC3955"/>
    <w:rsid w:val="00BC3FBB"/>
    <w:rsid w:val="00BC4075"/>
    <w:rsid w:val="00BC41D2"/>
    <w:rsid w:val="00BC54E5"/>
    <w:rsid w:val="00BC5FBB"/>
    <w:rsid w:val="00BC6075"/>
    <w:rsid w:val="00BC70EF"/>
    <w:rsid w:val="00BC72E7"/>
    <w:rsid w:val="00BD0807"/>
    <w:rsid w:val="00BD0B20"/>
    <w:rsid w:val="00BD1A9F"/>
    <w:rsid w:val="00BD341A"/>
    <w:rsid w:val="00BD353C"/>
    <w:rsid w:val="00BD4ABA"/>
    <w:rsid w:val="00BD562A"/>
    <w:rsid w:val="00BD64DB"/>
    <w:rsid w:val="00BE0088"/>
    <w:rsid w:val="00BE1317"/>
    <w:rsid w:val="00BE19A2"/>
    <w:rsid w:val="00BE1D89"/>
    <w:rsid w:val="00BE1FDF"/>
    <w:rsid w:val="00BE2CC9"/>
    <w:rsid w:val="00BE2F6C"/>
    <w:rsid w:val="00BE3343"/>
    <w:rsid w:val="00BE3980"/>
    <w:rsid w:val="00BE4CD4"/>
    <w:rsid w:val="00BE51AD"/>
    <w:rsid w:val="00BE53E8"/>
    <w:rsid w:val="00BE5946"/>
    <w:rsid w:val="00BE6029"/>
    <w:rsid w:val="00BE613E"/>
    <w:rsid w:val="00BE7385"/>
    <w:rsid w:val="00BE7B22"/>
    <w:rsid w:val="00BF0703"/>
    <w:rsid w:val="00BF0A5A"/>
    <w:rsid w:val="00BF16F2"/>
    <w:rsid w:val="00BF183F"/>
    <w:rsid w:val="00BF2EC0"/>
    <w:rsid w:val="00BF39FF"/>
    <w:rsid w:val="00BF471A"/>
    <w:rsid w:val="00BF4848"/>
    <w:rsid w:val="00BF6145"/>
    <w:rsid w:val="00C0067B"/>
    <w:rsid w:val="00C00C09"/>
    <w:rsid w:val="00C0137E"/>
    <w:rsid w:val="00C01FC1"/>
    <w:rsid w:val="00C02278"/>
    <w:rsid w:val="00C02709"/>
    <w:rsid w:val="00C02AE0"/>
    <w:rsid w:val="00C03A53"/>
    <w:rsid w:val="00C04365"/>
    <w:rsid w:val="00C056CE"/>
    <w:rsid w:val="00C05F12"/>
    <w:rsid w:val="00C1087F"/>
    <w:rsid w:val="00C11775"/>
    <w:rsid w:val="00C11D89"/>
    <w:rsid w:val="00C127E4"/>
    <w:rsid w:val="00C12976"/>
    <w:rsid w:val="00C13B43"/>
    <w:rsid w:val="00C1416C"/>
    <w:rsid w:val="00C147CD"/>
    <w:rsid w:val="00C15735"/>
    <w:rsid w:val="00C160C7"/>
    <w:rsid w:val="00C1619A"/>
    <w:rsid w:val="00C16635"/>
    <w:rsid w:val="00C20A4B"/>
    <w:rsid w:val="00C20B23"/>
    <w:rsid w:val="00C216C3"/>
    <w:rsid w:val="00C23021"/>
    <w:rsid w:val="00C23B32"/>
    <w:rsid w:val="00C24698"/>
    <w:rsid w:val="00C25186"/>
    <w:rsid w:val="00C25280"/>
    <w:rsid w:val="00C25288"/>
    <w:rsid w:val="00C25321"/>
    <w:rsid w:val="00C25CDF"/>
    <w:rsid w:val="00C279EB"/>
    <w:rsid w:val="00C27D0D"/>
    <w:rsid w:val="00C27D87"/>
    <w:rsid w:val="00C27F96"/>
    <w:rsid w:val="00C300C8"/>
    <w:rsid w:val="00C30AA5"/>
    <w:rsid w:val="00C30AC9"/>
    <w:rsid w:val="00C31A08"/>
    <w:rsid w:val="00C3207F"/>
    <w:rsid w:val="00C32F7D"/>
    <w:rsid w:val="00C34635"/>
    <w:rsid w:val="00C34AE5"/>
    <w:rsid w:val="00C34D17"/>
    <w:rsid w:val="00C3584E"/>
    <w:rsid w:val="00C35DBE"/>
    <w:rsid w:val="00C372EC"/>
    <w:rsid w:val="00C37611"/>
    <w:rsid w:val="00C404BA"/>
    <w:rsid w:val="00C4076F"/>
    <w:rsid w:val="00C4140B"/>
    <w:rsid w:val="00C41C2B"/>
    <w:rsid w:val="00C424BF"/>
    <w:rsid w:val="00C4419E"/>
    <w:rsid w:val="00C442D1"/>
    <w:rsid w:val="00C449E4"/>
    <w:rsid w:val="00C44A13"/>
    <w:rsid w:val="00C44FF9"/>
    <w:rsid w:val="00C45767"/>
    <w:rsid w:val="00C45C23"/>
    <w:rsid w:val="00C46114"/>
    <w:rsid w:val="00C46511"/>
    <w:rsid w:val="00C46916"/>
    <w:rsid w:val="00C4699F"/>
    <w:rsid w:val="00C46C2F"/>
    <w:rsid w:val="00C47C36"/>
    <w:rsid w:val="00C47C70"/>
    <w:rsid w:val="00C50187"/>
    <w:rsid w:val="00C5048A"/>
    <w:rsid w:val="00C51107"/>
    <w:rsid w:val="00C52B3F"/>
    <w:rsid w:val="00C5334E"/>
    <w:rsid w:val="00C5374D"/>
    <w:rsid w:val="00C550EB"/>
    <w:rsid w:val="00C56393"/>
    <w:rsid w:val="00C5654A"/>
    <w:rsid w:val="00C56D51"/>
    <w:rsid w:val="00C57CEE"/>
    <w:rsid w:val="00C60A78"/>
    <w:rsid w:val="00C61301"/>
    <w:rsid w:val="00C617AE"/>
    <w:rsid w:val="00C61C28"/>
    <w:rsid w:val="00C61ECB"/>
    <w:rsid w:val="00C62066"/>
    <w:rsid w:val="00C62303"/>
    <w:rsid w:val="00C626D7"/>
    <w:rsid w:val="00C62D05"/>
    <w:rsid w:val="00C63A6E"/>
    <w:rsid w:val="00C641A4"/>
    <w:rsid w:val="00C659C0"/>
    <w:rsid w:val="00C65D82"/>
    <w:rsid w:val="00C66F9C"/>
    <w:rsid w:val="00C6702B"/>
    <w:rsid w:val="00C67A4E"/>
    <w:rsid w:val="00C67D79"/>
    <w:rsid w:val="00C71510"/>
    <w:rsid w:val="00C71E81"/>
    <w:rsid w:val="00C72401"/>
    <w:rsid w:val="00C7306E"/>
    <w:rsid w:val="00C733C6"/>
    <w:rsid w:val="00C73966"/>
    <w:rsid w:val="00C75122"/>
    <w:rsid w:val="00C762B2"/>
    <w:rsid w:val="00C7670A"/>
    <w:rsid w:val="00C768A0"/>
    <w:rsid w:val="00C76A24"/>
    <w:rsid w:val="00C776AB"/>
    <w:rsid w:val="00C77A4B"/>
    <w:rsid w:val="00C77CD7"/>
    <w:rsid w:val="00C8029E"/>
    <w:rsid w:val="00C81410"/>
    <w:rsid w:val="00C81CB5"/>
    <w:rsid w:val="00C84A53"/>
    <w:rsid w:val="00C85F0C"/>
    <w:rsid w:val="00C86E1A"/>
    <w:rsid w:val="00C87287"/>
    <w:rsid w:val="00C872C3"/>
    <w:rsid w:val="00C87AEF"/>
    <w:rsid w:val="00C90C90"/>
    <w:rsid w:val="00C917FC"/>
    <w:rsid w:val="00C91D91"/>
    <w:rsid w:val="00C92579"/>
    <w:rsid w:val="00C92993"/>
    <w:rsid w:val="00C92CF7"/>
    <w:rsid w:val="00C92E1B"/>
    <w:rsid w:val="00C92E8A"/>
    <w:rsid w:val="00C93055"/>
    <w:rsid w:val="00C94977"/>
    <w:rsid w:val="00C95269"/>
    <w:rsid w:val="00C952F1"/>
    <w:rsid w:val="00C9546B"/>
    <w:rsid w:val="00C957DB"/>
    <w:rsid w:val="00C9604A"/>
    <w:rsid w:val="00C966B5"/>
    <w:rsid w:val="00C97C10"/>
    <w:rsid w:val="00C97D64"/>
    <w:rsid w:val="00CA0F86"/>
    <w:rsid w:val="00CA1202"/>
    <w:rsid w:val="00CA1AC0"/>
    <w:rsid w:val="00CA2438"/>
    <w:rsid w:val="00CA2B50"/>
    <w:rsid w:val="00CA3170"/>
    <w:rsid w:val="00CA3E1D"/>
    <w:rsid w:val="00CA3FBA"/>
    <w:rsid w:val="00CA43C9"/>
    <w:rsid w:val="00CA489C"/>
    <w:rsid w:val="00CA60FF"/>
    <w:rsid w:val="00CA63CD"/>
    <w:rsid w:val="00CA6C80"/>
    <w:rsid w:val="00CA716C"/>
    <w:rsid w:val="00CA7632"/>
    <w:rsid w:val="00CB0224"/>
    <w:rsid w:val="00CB0614"/>
    <w:rsid w:val="00CB0C68"/>
    <w:rsid w:val="00CB12D7"/>
    <w:rsid w:val="00CB1696"/>
    <w:rsid w:val="00CB170C"/>
    <w:rsid w:val="00CB215C"/>
    <w:rsid w:val="00CB2742"/>
    <w:rsid w:val="00CB2A60"/>
    <w:rsid w:val="00CB34C4"/>
    <w:rsid w:val="00CB3748"/>
    <w:rsid w:val="00CB374B"/>
    <w:rsid w:val="00CB3BDB"/>
    <w:rsid w:val="00CB3D3E"/>
    <w:rsid w:val="00CB5018"/>
    <w:rsid w:val="00CB5255"/>
    <w:rsid w:val="00CB535E"/>
    <w:rsid w:val="00CB5868"/>
    <w:rsid w:val="00CB65DE"/>
    <w:rsid w:val="00CB66F1"/>
    <w:rsid w:val="00CB690B"/>
    <w:rsid w:val="00CB6E1C"/>
    <w:rsid w:val="00CB7465"/>
    <w:rsid w:val="00CB74E9"/>
    <w:rsid w:val="00CC1AB1"/>
    <w:rsid w:val="00CC1E36"/>
    <w:rsid w:val="00CC271B"/>
    <w:rsid w:val="00CC2E7A"/>
    <w:rsid w:val="00CC32C8"/>
    <w:rsid w:val="00CC34B6"/>
    <w:rsid w:val="00CC3E7F"/>
    <w:rsid w:val="00CC3F2D"/>
    <w:rsid w:val="00CC4232"/>
    <w:rsid w:val="00CC53AF"/>
    <w:rsid w:val="00CC679D"/>
    <w:rsid w:val="00CD037D"/>
    <w:rsid w:val="00CD03DF"/>
    <w:rsid w:val="00CD0DDD"/>
    <w:rsid w:val="00CD246B"/>
    <w:rsid w:val="00CD2636"/>
    <w:rsid w:val="00CD29F9"/>
    <w:rsid w:val="00CD3CAA"/>
    <w:rsid w:val="00CD448F"/>
    <w:rsid w:val="00CD7EB7"/>
    <w:rsid w:val="00CE07F5"/>
    <w:rsid w:val="00CE0A62"/>
    <w:rsid w:val="00CE12BA"/>
    <w:rsid w:val="00CE150A"/>
    <w:rsid w:val="00CE1F39"/>
    <w:rsid w:val="00CE24BE"/>
    <w:rsid w:val="00CE2732"/>
    <w:rsid w:val="00CE4414"/>
    <w:rsid w:val="00CE5493"/>
    <w:rsid w:val="00CE695D"/>
    <w:rsid w:val="00CE6BFE"/>
    <w:rsid w:val="00CE6D87"/>
    <w:rsid w:val="00CE70D7"/>
    <w:rsid w:val="00CE7FDB"/>
    <w:rsid w:val="00CF0246"/>
    <w:rsid w:val="00CF03EF"/>
    <w:rsid w:val="00CF1D89"/>
    <w:rsid w:val="00CF1F27"/>
    <w:rsid w:val="00CF26A0"/>
    <w:rsid w:val="00CF2FD7"/>
    <w:rsid w:val="00CF3DE6"/>
    <w:rsid w:val="00CF46F1"/>
    <w:rsid w:val="00CF4A5B"/>
    <w:rsid w:val="00CF4FB7"/>
    <w:rsid w:val="00CF528A"/>
    <w:rsid w:val="00CF584C"/>
    <w:rsid w:val="00CF74D5"/>
    <w:rsid w:val="00CF7E20"/>
    <w:rsid w:val="00CF7E51"/>
    <w:rsid w:val="00CF7FDD"/>
    <w:rsid w:val="00D001F4"/>
    <w:rsid w:val="00D00D93"/>
    <w:rsid w:val="00D00ED8"/>
    <w:rsid w:val="00D02598"/>
    <w:rsid w:val="00D026E0"/>
    <w:rsid w:val="00D03DEA"/>
    <w:rsid w:val="00D04324"/>
    <w:rsid w:val="00D04356"/>
    <w:rsid w:val="00D05EF2"/>
    <w:rsid w:val="00D07266"/>
    <w:rsid w:val="00D07387"/>
    <w:rsid w:val="00D074E0"/>
    <w:rsid w:val="00D079D2"/>
    <w:rsid w:val="00D07B75"/>
    <w:rsid w:val="00D1073E"/>
    <w:rsid w:val="00D11048"/>
    <w:rsid w:val="00D121BC"/>
    <w:rsid w:val="00D12AC0"/>
    <w:rsid w:val="00D12EBD"/>
    <w:rsid w:val="00D13575"/>
    <w:rsid w:val="00D1390C"/>
    <w:rsid w:val="00D139CC"/>
    <w:rsid w:val="00D14C56"/>
    <w:rsid w:val="00D157F2"/>
    <w:rsid w:val="00D15A6B"/>
    <w:rsid w:val="00D17BA2"/>
    <w:rsid w:val="00D208E2"/>
    <w:rsid w:val="00D21433"/>
    <w:rsid w:val="00D2163F"/>
    <w:rsid w:val="00D21DB6"/>
    <w:rsid w:val="00D21E56"/>
    <w:rsid w:val="00D22627"/>
    <w:rsid w:val="00D23F3B"/>
    <w:rsid w:val="00D24115"/>
    <w:rsid w:val="00D25620"/>
    <w:rsid w:val="00D2653C"/>
    <w:rsid w:val="00D26E27"/>
    <w:rsid w:val="00D30A3A"/>
    <w:rsid w:val="00D315D2"/>
    <w:rsid w:val="00D31D76"/>
    <w:rsid w:val="00D32689"/>
    <w:rsid w:val="00D3289C"/>
    <w:rsid w:val="00D32B6F"/>
    <w:rsid w:val="00D32FAE"/>
    <w:rsid w:val="00D343F6"/>
    <w:rsid w:val="00D345FA"/>
    <w:rsid w:val="00D3461E"/>
    <w:rsid w:val="00D372DD"/>
    <w:rsid w:val="00D37938"/>
    <w:rsid w:val="00D37EEF"/>
    <w:rsid w:val="00D40869"/>
    <w:rsid w:val="00D40933"/>
    <w:rsid w:val="00D41691"/>
    <w:rsid w:val="00D41DC7"/>
    <w:rsid w:val="00D425AD"/>
    <w:rsid w:val="00D42817"/>
    <w:rsid w:val="00D42903"/>
    <w:rsid w:val="00D4335E"/>
    <w:rsid w:val="00D44346"/>
    <w:rsid w:val="00D44A06"/>
    <w:rsid w:val="00D44D0B"/>
    <w:rsid w:val="00D44D41"/>
    <w:rsid w:val="00D45BCE"/>
    <w:rsid w:val="00D469FE"/>
    <w:rsid w:val="00D46C35"/>
    <w:rsid w:val="00D472F0"/>
    <w:rsid w:val="00D4752A"/>
    <w:rsid w:val="00D47A63"/>
    <w:rsid w:val="00D47C00"/>
    <w:rsid w:val="00D5020B"/>
    <w:rsid w:val="00D50786"/>
    <w:rsid w:val="00D517A5"/>
    <w:rsid w:val="00D51FF7"/>
    <w:rsid w:val="00D52403"/>
    <w:rsid w:val="00D532F5"/>
    <w:rsid w:val="00D53714"/>
    <w:rsid w:val="00D53802"/>
    <w:rsid w:val="00D538C1"/>
    <w:rsid w:val="00D53BC9"/>
    <w:rsid w:val="00D54501"/>
    <w:rsid w:val="00D54C31"/>
    <w:rsid w:val="00D54F6A"/>
    <w:rsid w:val="00D55577"/>
    <w:rsid w:val="00D55DFE"/>
    <w:rsid w:val="00D564E2"/>
    <w:rsid w:val="00D5790E"/>
    <w:rsid w:val="00D60062"/>
    <w:rsid w:val="00D60947"/>
    <w:rsid w:val="00D62210"/>
    <w:rsid w:val="00D62730"/>
    <w:rsid w:val="00D63C44"/>
    <w:rsid w:val="00D647E6"/>
    <w:rsid w:val="00D648FE"/>
    <w:rsid w:val="00D64AA4"/>
    <w:rsid w:val="00D6521E"/>
    <w:rsid w:val="00D65C2A"/>
    <w:rsid w:val="00D65D46"/>
    <w:rsid w:val="00D661FD"/>
    <w:rsid w:val="00D6766C"/>
    <w:rsid w:val="00D67840"/>
    <w:rsid w:val="00D705EB"/>
    <w:rsid w:val="00D70CCD"/>
    <w:rsid w:val="00D71124"/>
    <w:rsid w:val="00D72074"/>
    <w:rsid w:val="00D7307F"/>
    <w:rsid w:val="00D7324D"/>
    <w:rsid w:val="00D73267"/>
    <w:rsid w:val="00D73874"/>
    <w:rsid w:val="00D73B23"/>
    <w:rsid w:val="00D73F79"/>
    <w:rsid w:val="00D74A5D"/>
    <w:rsid w:val="00D758CC"/>
    <w:rsid w:val="00D773F7"/>
    <w:rsid w:val="00D80138"/>
    <w:rsid w:val="00D80348"/>
    <w:rsid w:val="00D80350"/>
    <w:rsid w:val="00D80A04"/>
    <w:rsid w:val="00D80A41"/>
    <w:rsid w:val="00D811EC"/>
    <w:rsid w:val="00D81654"/>
    <w:rsid w:val="00D818BB"/>
    <w:rsid w:val="00D81984"/>
    <w:rsid w:val="00D81FC2"/>
    <w:rsid w:val="00D8276A"/>
    <w:rsid w:val="00D82FD2"/>
    <w:rsid w:val="00D839CC"/>
    <w:rsid w:val="00D84F26"/>
    <w:rsid w:val="00D85D7D"/>
    <w:rsid w:val="00D87AB0"/>
    <w:rsid w:val="00D911F7"/>
    <w:rsid w:val="00D91367"/>
    <w:rsid w:val="00D921BE"/>
    <w:rsid w:val="00D923EB"/>
    <w:rsid w:val="00D927BC"/>
    <w:rsid w:val="00D92D79"/>
    <w:rsid w:val="00D92F68"/>
    <w:rsid w:val="00D93652"/>
    <w:rsid w:val="00D945FA"/>
    <w:rsid w:val="00D94A3E"/>
    <w:rsid w:val="00D94CBD"/>
    <w:rsid w:val="00D965A9"/>
    <w:rsid w:val="00D969EA"/>
    <w:rsid w:val="00D96ADF"/>
    <w:rsid w:val="00D96B0E"/>
    <w:rsid w:val="00D96C35"/>
    <w:rsid w:val="00D96CA5"/>
    <w:rsid w:val="00D96D19"/>
    <w:rsid w:val="00D97834"/>
    <w:rsid w:val="00D97845"/>
    <w:rsid w:val="00DA308F"/>
    <w:rsid w:val="00DA3C81"/>
    <w:rsid w:val="00DA4F33"/>
    <w:rsid w:val="00DA6740"/>
    <w:rsid w:val="00DA7012"/>
    <w:rsid w:val="00DA71A4"/>
    <w:rsid w:val="00DA78AE"/>
    <w:rsid w:val="00DB012F"/>
    <w:rsid w:val="00DB0E2B"/>
    <w:rsid w:val="00DB298F"/>
    <w:rsid w:val="00DB3C47"/>
    <w:rsid w:val="00DB3FE4"/>
    <w:rsid w:val="00DB43B8"/>
    <w:rsid w:val="00DB497A"/>
    <w:rsid w:val="00DB4D82"/>
    <w:rsid w:val="00DB4F41"/>
    <w:rsid w:val="00DB5C09"/>
    <w:rsid w:val="00DB6959"/>
    <w:rsid w:val="00DB7342"/>
    <w:rsid w:val="00DB7556"/>
    <w:rsid w:val="00DB77F5"/>
    <w:rsid w:val="00DC04E5"/>
    <w:rsid w:val="00DC0CC6"/>
    <w:rsid w:val="00DC16B4"/>
    <w:rsid w:val="00DC18DD"/>
    <w:rsid w:val="00DC24E4"/>
    <w:rsid w:val="00DC2A61"/>
    <w:rsid w:val="00DC3382"/>
    <w:rsid w:val="00DC346B"/>
    <w:rsid w:val="00DC3CD9"/>
    <w:rsid w:val="00DC48EF"/>
    <w:rsid w:val="00DC5CC4"/>
    <w:rsid w:val="00DC62DA"/>
    <w:rsid w:val="00DC6611"/>
    <w:rsid w:val="00DC6754"/>
    <w:rsid w:val="00DC6DC2"/>
    <w:rsid w:val="00DC7238"/>
    <w:rsid w:val="00DC75C4"/>
    <w:rsid w:val="00DD0CAE"/>
    <w:rsid w:val="00DD1343"/>
    <w:rsid w:val="00DD1919"/>
    <w:rsid w:val="00DD2A6F"/>
    <w:rsid w:val="00DD40E3"/>
    <w:rsid w:val="00DD4198"/>
    <w:rsid w:val="00DD5888"/>
    <w:rsid w:val="00DD5B8E"/>
    <w:rsid w:val="00DD609D"/>
    <w:rsid w:val="00DD63D4"/>
    <w:rsid w:val="00DD65FA"/>
    <w:rsid w:val="00DD68F5"/>
    <w:rsid w:val="00DE036C"/>
    <w:rsid w:val="00DE085B"/>
    <w:rsid w:val="00DE0E29"/>
    <w:rsid w:val="00DE2544"/>
    <w:rsid w:val="00DE37AA"/>
    <w:rsid w:val="00DE3883"/>
    <w:rsid w:val="00DE4146"/>
    <w:rsid w:val="00DE4ADB"/>
    <w:rsid w:val="00DE52A9"/>
    <w:rsid w:val="00DE53CA"/>
    <w:rsid w:val="00DE59B2"/>
    <w:rsid w:val="00DE6279"/>
    <w:rsid w:val="00DE653A"/>
    <w:rsid w:val="00DE6BED"/>
    <w:rsid w:val="00DE6CAC"/>
    <w:rsid w:val="00DE7214"/>
    <w:rsid w:val="00DE73B8"/>
    <w:rsid w:val="00DF049E"/>
    <w:rsid w:val="00DF12AA"/>
    <w:rsid w:val="00DF15CA"/>
    <w:rsid w:val="00DF165E"/>
    <w:rsid w:val="00DF1789"/>
    <w:rsid w:val="00DF1F7B"/>
    <w:rsid w:val="00DF1FCE"/>
    <w:rsid w:val="00DF37E1"/>
    <w:rsid w:val="00DF3D1E"/>
    <w:rsid w:val="00DF5DB1"/>
    <w:rsid w:val="00DF7218"/>
    <w:rsid w:val="00E00040"/>
    <w:rsid w:val="00E00300"/>
    <w:rsid w:val="00E007C7"/>
    <w:rsid w:val="00E00E8A"/>
    <w:rsid w:val="00E00EB3"/>
    <w:rsid w:val="00E01382"/>
    <w:rsid w:val="00E0165A"/>
    <w:rsid w:val="00E02337"/>
    <w:rsid w:val="00E033E7"/>
    <w:rsid w:val="00E04A4D"/>
    <w:rsid w:val="00E06D0B"/>
    <w:rsid w:val="00E06E2F"/>
    <w:rsid w:val="00E07C2E"/>
    <w:rsid w:val="00E1003F"/>
    <w:rsid w:val="00E1071E"/>
    <w:rsid w:val="00E11BCA"/>
    <w:rsid w:val="00E13F3A"/>
    <w:rsid w:val="00E1449C"/>
    <w:rsid w:val="00E14F09"/>
    <w:rsid w:val="00E15010"/>
    <w:rsid w:val="00E157E5"/>
    <w:rsid w:val="00E15EC6"/>
    <w:rsid w:val="00E1605B"/>
    <w:rsid w:val="00E1668F"/>
    <w:rsid w:val="00E16BA9"/>
    <w:rsid w:val="00E17608"/>
    <w:rsid w:val="00E1785F"/>
    <w:rsid w:val="00E17C0E"/>
    <w:rsid w:val="00E21466"/>
    <w:rsid w:val="00E22773"/>
    <w:rsid w:val="00E232C7"/>
    <w:rsid w:val="00E23FBF"/>
    <w:rsid w:val="00E24672"/>
    <w:rsid w:val="00E24CBF"/>
    <w:rsid w:val="00E251A6"/>
    <w:rsid w:val="00E25F16"/>
    <w:rsid w:val="00E26777"/>
    <w:rsid w:val="00E269C7"/>
    <w:rsid w:val="00E27CFF"/>
    <w:rsid w:val="00E3009B"/>
    <w:rsid w:val="00E30782"/>
    <w:rsid w:val="00E30A6C"/>
    <w:rsid w:val="00E30CA2"/>
    <w:rsid w:val="00E3112D"/>
    <w:rsid w:val="00E3115D"/>
    <w:rsid w:val="00E312EA"/>
    <w:rsid w:val="00E3176B"/>
    <w:rsid w:val="00E32813"/>
    <w:rsid w:val="00E32B01"/>
    <w:rsid w:val="00E33E30"/>
    <w:rsid w:val="00E3456D"/>
    <w:rsid w:val="00E34E8B"/>
    <w:rsid w:val="00E350B8"/>
    <w:rsid w:val="00E35D3D"/>
    <w:rsid w:val="00E3619C"/>
    <w:rsid w:val="00E378C6"/>
    <w:rsid w:val="00E37FD0"/>
    <w:rsid w:val="00E412B4"/>
    <w:rsid w:val="00E417FA"/>
    <w:rsid w:val="00E417FE"/>
    <w:rsid w:val="00E41BA3"/>
    <w:rsid w:val="00E41F40"/>
    <w:rsid w:val="00E41FC2"/>
    <w:rsid w:val="00E42E91"/>
    <w:rsid w:val="00E43444"/>
    <w:rsid w:val="00E43754"/>
    <w:rsid w:val="00E4388D"/>
    <w:rsid w:val="00E4416C"/>
    <w:rsid w:val="00E45393"/>
    <w:rsid w:val="00E45B37"/>
    <w:rsid w:val="00E45F4C"/>
    <w:rsid w:val="00E46494"/>
    <w:rsid w:val="00E46DEC"/>
    <w:rsid w:val="00E47070"/>
    <w:rsid w:val="00E5004C"/>
    <w:rsid w:val="00E50423"/>
    <w:rsid w:val="00E50426"/>
    <w:rsid w:val="00E513A4"/>
    <w:rsid w:val="00E51CE9"/>
    <w:rsid w:val="00E52C81"/>
    <w:rsid w:val="00E53D74"/>
    <w:rsid w:val="00E5454B"/>
    <w:rsid w:val="00E545AD"/>
    <w:rsid w:val="00E54C3C"/>
    <w:rsid w:val="00E5514E"/>
    <w:rsid w:val="00E56424"/>
    <w:rsid w:val="00E56791"/>
    <w:rsid w:val="00E56859"/>
    <w:rsid w:val="00E56B8A"/>
    <w:rsid w:val="00E56D5A"/>
    <w:rsid w:val="00E570AE"/>
    <w:rsid w:val="00E615F2"/>
    <w:rsid w:val="00E622C2"/>
    <w:rsid w:val="00E62487"/>
    <w:rsid w:val="00E6312E"/>
    <w:rsid w:val="00E63264"/>
    <w:rsid w:val="00E633F9"/>
    <w:rsid w:val="00E63EE0"/>
    <w:rsid w:val="00E65645"/>
    <w:rsid w:val="00E6594E"/>
    <w:rsid w:val="00E65D06"/>
    <w:rsid w:val="00E67D94"/>
    <w:rsid w:val="00E7010A"/>
    <w:rsid w:val="00E70965"/>
    <w:rsid w:val="00E70A97"/>
    <w:rsid w:val="00E720C8"/>
    <w:rsid w:val="00E72DFA"/>
    <w:rsid w:val="00E739CD"/>
    <w:rsid w:val="00E749CB"/>
    <w:rsid w:val="00E74B20"/>
    <w:rsid w:val="00E75677"/>
    <w:rsid w:val="00E769CD"/>
    <w:rsid w:val="00E77913"/>
    <w:rsid w:val="00E77D94"/>
    <w:rsid w:val="00E77E26"/>
    <w:rsid w:val="00E77F2B"/>
    <w:rsid w:val="00E816C5"/>
    <w:rsid w:val="00E81920"/>
    <w:rsid w:val="00E823E4"/>
    <w:rsid w:val="00E82E13"/>
    <w:rsid w:val="00E83436"/>
    <w:rsid w:val="00E848AA"/>
    <w:rsid w:val="00E85364"/>
    <w:rsid w:val="00E8570E"/>
    <w:rsid w:val="00E86041"/>
    <w:rsid w:val="00E86B0E"/>
    <w:rsid w:val="00E87526"/>
    <w:rsid w:val="00E878F8"/>
    <w:rsid w:val="00E9035F"/>
    <w:rsid w:val="00E92B1E"/>
    <w:rsid w:val="00E93742"/>
    <w:rsid w:val="00E93C90"/>
    <w:rsid w:val="00E93F9C"/>
    <w:rsid w:val="00E94EA9"/>
    <w:rsid w:val="00E955CF"/>
    <w:rsid w:val="00E95843"/>
    <w:rsid w:val="00E958DB"/>
    <w:rsid w:val="00E95F23"/>
    <w:rsid w:val="00E97699"/>
    <w:rsid w:val="00E97EB1"/>
    <w:rsid w:val="00EA07DE"/>
    <w:rsid w:val="00EA0AB1"/>
    <w:rsid w:val="00EA1DC5"/>
    <w:rsid w:val="00EA2B5B"/>
    <w:rsid w:val="00EA2F84"/>
    <w:rsid w:val="00EA3D2B"/>
    <w:rsid w:val="00EA447E"/>
    <w:rsid w:val="00EA5588"/>
    <w:rsid w:val="00EA5D6E"/>
    <w:rsid w:val="00EA61DA"/>
    <w:rsid w:val="00EA6866"/>
    <w:rsid w:val="00EA6D74"/>
    <w:rsid w:val="00EA76D4"/>
    <w:rsid w:val="00EB0285"/>
    <w:rsid w:val="00EB05E4"/>
    <w:rsid w:val="00EB0A3C"/>
    <w:rsid w:val="00EB12B6"/>
    <w:rsid w:val="00EB1EFB"/>
    <w:rsid w:val="00EB2215"/>
    <w:rsid w:val="00EB2D22"/>
    <w:rsid w:val="00EB2EF8"/>
    <w:rsid w:val="00EB3423"/>
    <w:rsid w:val="00EB36DE"/>
    <w:rsid w:val="00EB4983"/>
    <w:rsid w:val="00EB4A73"/>
    <w:rsid w:val="00EB4C30"/>
    <w:rsid w:val="00EB64C9"/>
    <w:rsid w:val="00EC01E6"/>
    <w:rsid w:val="00EC0E1C"/>
    <w:rsid w:val="00EC2EC8"/>
    <w:rsid w:val="00EC3994"/>
    <w:rsid w:val="00EC4304"/>
    <w:rsid w:val="00EC4639"/>
    <w:rsid w:val="00EC491A"/>
    <w:rsid w:val="00EC51F1"/>
    <w:rsid w:val="00EC5E4C"/>
    <w:rsid w:val="00EC64B8"/>
    <w:rsid w:val="00ED03FE"/>
    <w:rsid w:val="00ED054D"/>
    <w:rsid w:val="00ED0C7A"/>
    <w:rsid w:val="00ED213D"/>
    <w:rsid w:val="00ED2B39"/>
    <w:rsid w:val="00ED4E33"/>
    <w:rsid w:val="00ED5466"/>
    <w:rsid w:val="00ED6010"/>
    <w:rsid w:val="00ED69ED"/>
    <w:rsid w:val="00ED6BBE"/>
    <w:rsid w:val="00ED76DF"/>
    <w:rsid w:val="00ED788F"/>
    <w:rsid w:val="00ED7AF2"/>
    <w:rsid w:val="00ED7C88"/>
    <w:rsid w:val="00EE02A7"/>
    <w:rsid w:val="00EE0340"/>
    <w:rsid w:val="00EE0DCC"/>
    <w:rsid w:val="00EE1203"/>
    <w:rsid w:val="00EE20F0"/>
    <w:rsid w:val="00EE2C26"/>
    <w:rsid w:val="00EE2DA7"/>
    <w:rsid w:val="00EE3597"/>
    <w:rsid w:val="00EE472B"/>
    <w:rsid w:val="00EE5044"/>
    <w:rsid w:val="00EE58DB"/>
    <w:rsid w:val="00EE5CC9"/>
    <w:rsid w:val="00EE5FF5"/>
    <w:rsid w:val="00EE6504"/>
    <w:rsid w:val="00EE775D"/>
    <w:rsid w:val="00EF07D0"/>
    <w:rsid w:val="00EF08FD"/>
    <w:rsid w:val="00EF0AC6"/>
    <w:rsid w:val="00EF0FE2"/>
    <w:rsid w:val="00EF10CC"/>
    <w:rsid w:val="00EF167C"/>
    <w:rsid w:val="00EF1ABF"/>
    <w:rsid w:val="00EF2396"/>
    <w:rsid w:val="00EF26E1"/>
    <w:rsid w:val="00EF3555"/>
    <w:rsid w:val="00EF3DA3"/>
    <w:rsid w:val="00EF408A"/>
    <w:rsid w:val="00EF49B2"/>
    <w:rsid w:val="00EF4B72"/>
    <w:rsid w:val="00EF5144"/>
    <w:rsid w:val="00EF5187"/>
    <w:rsid w:val="00EF52FC"/>
    <w:rsid w:val="00EF5A10"/>
    <w:rsid w:val="00EF5E79"/>
    <w:rsid w:val="00EF6A1B"/>
    <w:rsid w:val="00EF74C2"/>
    <w:rsid w:val="00F009E7"/>
    <w:rsid w:val="00F01171"/>
    <w:rsid w:val="00F011B4"/>
    <w:rsid w:val="00F02011"/>
    <w:rsid w:val="00F02496"/>
    <w:rsid w:val="00F02D7C"/>
    <w:rsid w:val="00F031B1"/>
    <w:rsid w:val="00F03381"/>
    <w:rsid w:val="00F03E38"/>
    <w:rsid w:val="00F03FD8"/>
    <w:rsid w:val="00F041B7"/>
    <w:rsid w:val="00F042C3"/>
    <w:rsid w:val="00F0451F"/>
    <w:rsid w:val="00F04903"/>
    <w:rsid w:val="00F06346"/>
    <w:rsid w:val="00F1121D"/>
    <w:rsid w:val="00F12BC8"/>
    <w:rsid w:val="00F13B20"/>
    <w:rsid w:val="00F157FD"/>
    <w:rsid w:val="00F15A05"/>
    <w:rsid w:val="00F1635F"/>
    <w:rsid w:val="00F169DB"/>
    <w:rsid w:val="00F172BC"/>
    <w:rsid w:val="00F1750D"/>
    <w:rsid w:val="00F17A1F"/>
    <w:rsid w:val="00F2053C"/>
    <w:rsid w:val="00F20C79"/>
    <w:rsid w:val="00F20FEC"/>
    <w:rsid w:val="00F21D75"/>
    <w:rsid w:val="00F2215E"/>
    <w:rsid w:val="00F22F47"/>
    <w:rsid w:val="00F23E8B"/>
    <w:rsid w:val="00F24063"/>
    <w:rsid w:val="00F241F0"/>
    <w:rsid w:val="00F24ED8"/>
    <w:rsid w:val="00F250C8"/>
    <w:rsid w:val="00F26209"/>
    <w:rsid w:val="00F2635C"/>
    <w:rsid w:val="00F26463"/>
    <w:rsid w:val="00F27C92"/>
    <w:rsid w:val="00F3053D"/>
    <w:rsid w:val="00F30E9B"/>
    <w:rsid w:val="00F31CCC"/>
    <w:rsid w:val="00F32012"/>
    <w:rsid w:val="00F32297"/>
    <w:rsid w:val="00F3260A"/>
    <w:rsid w:val="00F329CE"/>
    <w:rsid w:val="00F32F9D"/>
    <w:rsid w:val="00F334DA"/>
    <w:rsid w:val="00F348F6"/>
    <w:rsid w:val="00F350E3"/>
    <w:rsid w:val="00F359E3"/>
    <w:rsid w:val="00F35A3D"/>
    <w:rsid w:val="00F36A62"/>
    <w:rsid w:val="00F3745A"/>
    <w:rsid w:val="00F40B03"/>
    <w:rsid w:val="00F41A57"/>
    <w:rsid w:val="00F4365C"/>
    <w:rsid w:val="00F44531"/>
    <w:rsid w:val="00F44A5B"/>
    <w:rsid w:val="00F46836"/>
    <w:rsid w:val="00F46CD2"/>
    <w:rsid w:val="00F46CD7"/>
    <w:rsid w:val="00F50C1D"/>
    <w:rsid w:val="00F51935"/>
    <w:rsid w:val="00F51FCC"/>
    <w:rsid w:val="00F522A1"/>
    <w:rsid w:val="00F5264C"/>
    <w:rsid w:val="00F52C35"/>
    <w:rsid w:val="00F52CCE"/>
    <w:rsid w:val="00F52EC7"/>
    <w:rsid w:val="00F52EEA"/>
    <w:rsid w:val="00F5388B"/>
    <w:rsid w:val="00F539E4"/>
    <w:rsid w:val="00F5566F"/>
    <w:rsid w:val="00F55FD2"/>
    <w:rsid w:val="00F56517"/>
    <w:rsid w:val="00F56B14"/>
    <w:rsid w:val="00F56DF8"/>
    <w:rsid w:val="00F5748D"/>
    <w:rsid w:val="00F60949"/>
    <w:rsid w:val="00F61F77"/>
    <w:rsid w:val="00F636B1"/>
    <w:rsid w:val="00F63CF2"/>
    <w:rsid w:val="00F65C07"/>
    <w:rsid w:val="00F65CC2"/>
    <w:rsid w:val="00F66167"/>
    <w:rsid w:val="00F665BB"/>
    <w:rsid w:val="00F66AB1"/>
    <w:rsid w:val="00F66B53"/>
    <w:rsid w:val="00F66BE7"/>
    <w:rsid w:val="00F67063"/>
    <w:rsid w:val="00F6743A"/>
    <w:rsid w:val="00F67EB5"/>
    <w:rsid w:val="00F70B6A"/>
    <w:rsid w:val="00F70B82"/>
    <w:rsid w:val="00F70F95"/>
    <w:rsid w:val="00F716A8"/>
    <w:rsid w:val="00F7333B"/>
    <w:rsid w:val="00F73FE0"/>
    <w:rsid w:val="00F749A4"/>
    <w:rsid w:val="00F74D68"/>
    <w:rsid w:val="00F75606"/>
    <w:rsid w:val="00F7621D"/>
    <w:rsid w:val="00F762CB"/>
    <w:rsid w:val="00F76641"/>
    <w:rsid w:val="00F77785"/>
    <w:rsid w:val="00F77D72"/>
    <w:rsid w:val="00F80E00"/>
    <w:rsid w:val="00F81044"/>
    <w:rsid w:val="00F813DD"/>
    <w:rsid w:val="00F818AD"/>
    <w:rsid w:val="00F8194A"/>
    <w:rsid w:val="00F81BEB"/>
    <w:rsid w:val="00F81C79"/>
    <w:rsid w:val="00F8342B"/>
    <w:rsid w:val="00F835EA"/>
    <w:rsid w:val="00F83A0F"/>
    <w:rsid w:val="00F83B76"/>
    <w:rsid w:val="00F84BC3"/>
    <w:rsid w:val="00F84D90"/>
    <w:rsid w:val="00F84E94"/>
    <w:rsid w:val="00F85E4D"/>
    <w:rsid w:val="00F86359"/>
    <w:rsid w:val="00F86B34"/>
    <w:rsid w:val="00F87D0A"/>
    <w:rsid w:val="00F91C9B"/>
    <w:rsid w:val="00F923F5"/>
    <w:rsid w:val="00F92480"/>
    <w:rsid w:val="00F9383E"/>
    <w:rsid w:val="00F93D7A"/>
    <w:rsid w:val="00F94271"/>
    <w:rsid w:val="00F957FB"/>
    <w:rsid w:val="00F967D0"/>
    <w:rsid w:val="00F97681"/>
    <w:rsid w:val="00F97830"/>
    <w:rsid w:val="00FA065D"/>
    <w:rsid w:val="00FA0A29"/>
    <w:rsid w:val="00FA0CCF"/>
    <w:rsid w:val="00FA0F7E"/>
    <w:rsid w:val="00FA1786"/>
    <w:rsid w:val="00FA2E2C"/>
    <w:rsid w:val="00FA42A2"/>
    <w:rsid w:val="00FA4E31"/>
    <w:rsid w:val="00FA671C"/>
    <w:rsid w:val="00FA6722"/>
    <w:rsid w:val="00FA67F2"/>
    <w:rsid w:val="00FA68FB"/>
    <w:rsid w:val="00FA7241"/>
    <w:rsid w:val="00FA73A2"/>
    <w:rsid w:val="00FA7D25"/>
    <w:rsid w:val="00FA7D8E"/>
    <w:rsid w:val="00FB00D8"/>
    <w:rsid w:val="00FB07C9"/>
    <w:rsid w:val="00FB0B4F"/>
    <w:rsid w:val="00FB21E7"/>
    <w:rsid w:val="00FB2C0E"/>
    <w:rsid w:val="00FB348E"/>
    <w:rsid w:val="00FB4FBA"/>
    <w:rsid w:val="00FB58F3"/>
    <w:rsid w:val="00FB5EBC"/>
    <w:rsid w:val="00FB6C12"/>
    <w:rsid w:val="00FB7486"/>
    <w:rsid w:val="00FB7868"/>
    <w:rsid w:val="00FB7BB3"/>
    <w:rsid w:val="00FC027A"/>
    <w:rsid w:val="00FC04A6"/>
    <w:rsid w:val="00FC09C0"/>
    <w:rsid w:val="00FC0EAD"/>
    <w:rsid w:val="00FC11F2"/>
    <w:rsid w:val="00FC1D31"/>
    <w:rsid w:val="00FC317B"/>
    <w:rsid w:val="00FC38EF"/>
    <w:rsid w:val="00FC3D12"/>
    <w:rsid w:val="00FC4170"/>
    <w:rsid w:val="00FC461F"/>
    <w:rsid w:val="00FC602E"/>
    <w:rsid w:val="00FC6EE7"/>
    <w:rsid w:val="00FC7793"/>
    <w:rsid w:val="00FD00C1"/>
    <w:rsid w:val="00FD1244"/>
    <w:rsid w:val="00FD18AB"/>
    <w:rsid w:val="00FD251C"/>
    <w:rsid w:val="00FD45B4"/>
    <w:rsid w:val="00FD4C3C"/>
    <w:rsid w:val="00FD5105"/>
    <w:rsid w:val="00FD5658"/>
    <w:rsid w:val="00FD5C97"/>
    <w:rsid w:val="00FD6839"/>
    <w:rsid w:val="00FD707B"/>
    <w:rsid w:val="00FD74B9"/>
    <w:rsid w:val="00FD7759"/>
    <w:rsid w:val="00FE031F"/>
    <w:rsid w:val="00FE0E00"/>
    <w:rsid w:val="00FE0FC8"/>
    <w:rsid w:val="00FE1BCF"/>
    <w:rsid w:val="00FE1F26"/>
    <w:rsid w:val="00FE20BF"/>
    <w:rsid w:val="00FE26A0"/>
    <w:rsid w:val="00FE324A"/>
    <w:rsid w:val="00FE44FE"/>
    <w:rsid w:val="00FE49DD"/>
    <w:rsid w:val="00FE4AD0"/>
    <w:rsid w:val="00FE52A1"/>
    <w:rsid w:val="00FE55ED"/>
    <w:rsid w:val="00FE5726"/>
    <w:rsid w:val="00FF1261"/>
    <w:rsid w:val="00FF12BF"/>
    <w:rsid w:val="00FF146D"/>
    <w:rsid w:val="00FF155A"/>
    <w:rsid w:val="00FF1E60"/>
    <w:rsid w:val="00FF1FEA"/>
    <w:rsid w:val="00FF24A1"/>
    <w:rsid w:val="00FF3432"/>
    <w:rsid w:val="00FF36A4"/>
    <w:rsid w:val="00FF56EB"/>
    <w:rsid w:val="00FF5718"/>
    <w:rsid w:val="00FF5908"/>
    <w:rsid w:val="00FF5EBD"/>
    <w:rsid w:val="00FF6437"/>
    <w:rsid w:val="00FF66A1"/>
    <w:rsid w:val="00FF7F39"/>
    <w:rsid w:val="01756656"/>
    <w:rsid w:val="017F29E5"/>
    <w:rsid w:val="01D32000"/>
    <w:rsid w:val="020119A1"/>
    <w:rsid w:val="02A27305"/>
    <w:rsid w:val="02BA8BB1"/>
    <w:rsid w:val="02C7DF12"/>
    <w:rsid w:val="032DAF12"/>
    <w:rsid w:val="039C855B"/>
    <w:rsid w:val="041EB206"/>
    <w:rsid w:val="0467F7FD"/>
    <w:rsid w:val="055280DE"/>
    <w:rsid w:val="05B6F5F6"/>
    <w:rsid w:val="060CF494"/>
    <w:rsid w:val="06E497A6"/>
    <w:rsid w:val="07230D68"/>
    <w:rsid w:val="0809C2CE"/>
    <w:rsid w:val="087FA587"/>
    <w:rsid w:val="08C72FF6"/>
    <w:rsid w:val="08CBB524"/>
    <w:rsid w:val="0907C534"/>
    <w:rsid w:val="0A027893"/>
    <w:rsid w:val="0A2F55F2"/>
    <w:rsid w:val="0A4839CB"/>
    <w:rsid w:val="0A9B7639"/>
    <w:rsid w:val="0B089232"/>
    <w:rsid w:val="0B0A9485"/>
    <w:rsid w:val="0B2919B7"/>
    <w:rsid w:val="0B473E2D"/>
    <w:rsid w:val="0B574F2F"/>
    <w:rsid w:val="0B98F6B7"/>
    <w:rsid w:val="0BD794B2"/>
    <w:rsid w:val="0BF20BAF"/>
    <w:rsid w:val="0C360D12"/>
    <w:rsid w:val="0C47537C"/>
    <w:rsid w:val="0D1356FE"/>
    <w:rsid w:val="0D8B0D9B"/>
    <w:rsid w:val="0E5EAA04"/>
    <w:rsid w:val="0EF8AF34"/>
    <w:rsid w:val="0F1141BF"/>
    <w:rsid w:val="0F2F48EB"/>
    <w:rsid w:val="0F7E282B"/>
    <w:rsid w:val="0FA0DD0C"/>
    <w:rsid w:val="0FC7FF85"/>
    <w:rsid w:val="11112557"/>
    <w:rsid w:val="114780D3"/>
    <w:rsid w:val="11797A68"/>
    <w:rsid w:val="121068D8"/>
    <w:rsid w:val="1214490E"/>
    <w:rsid w:val="122C5C65"/>
    <w:rsid w:val="12B4277A"/>
    <w:rsid w:val="131F9FCC"/>
    <w:rsid w:val="13CBC04A"/>
    <w:rsid w:val="14016943"/>
    <w:rsid w:val="142AC4B4"/>
    <w:rsid w:val="1458A91D"/>
    <w:rsid w:val="149DB544"/>
    <w:rsid w:val="15047370"/>
    <w:rsid w:val="1536B2EA"/>
    <w:rsid w:val="154F34E5"/>
    <w:rsid w:val="157451AA"/>
    <w:rsid w:val="15D16CF7"/>
    <w:rsid w:val="163A1D1D"/>
    <w:rsid w:val="168470E1"/>
    <w:rsid w:val="16F89061"/>
    <w:rsid w:val="170A399F"/>
    <w:rsid w:val="171E05FF"/>
    <w:rsid w:val="174A9EDA"/>
    <w:rsid w:val="17BBF040"/>
    <w:rsid w:val="17FEC7B3"/>
    <w:rsid w:val="1822BD22"/>
    <w:rsid w:val="18734F83"/>
    <w:rsid w:val="18CAAC90"/>
    <w:rsid w:val="197B99A2"/>
    <w:rsid w:val="19EB6707"/>
    <w:rsid w:val="1A0AE394"/>
    <w:rsid w:val="1A37C51C"/>
    <w:rsid w:val="1A927E54"/>
    <w:rsid w:val="1AE7C3D2"/>
    <w:rsid w:val="1B605B3B"/>
    <w:rsid w:val="1BC48909"/>
    <w:rsid w:val="1CC85312"/>
    <w:rsid w:val="1CDCE7E8"/>
    <w:rsid w:val="1CE199A7"/>
    <w:rsid w:val="1D1D88B9"/>
    <w:rsid w:val="1D8ED119"/>
    <w:rsid w:val="1D95FE57"/>
    <w:rsid w:val="1E4B87F6"/>
    <w:rsid w:val="1E91A3D4"/>
    <w:rsid w:val="1EAA9327"/>
    <w:rsid w:val="1EF10AFA"/>
    <w:rsid w:val="1EF9053A"/>
    <w:rsid w:val="1FD02C8B"/>
    <w:rsid w:val="1FE48065"/>
    <w:rsid w:val="20081330"/>
    <w:rsid w:val="200D00C6"/>
    <w:rsid w:val="201A25A5"/>
    <w:rsid w:val="202A7E46"/>
    <w:rsid w:val="20D7D148"/>
    <w:rsid w:val="20E77C98"/>
    <w:rsid w:val="2175C82A"/>
    <w:rsid w:val="21C3198A"/>
    <w:rsid w:val="2211DBF3"/>
    <w:rsid w:val="223FCAFC"/>
    <w:rsid w:val="24029A69"/>
    <w:rsid w:val="242C53A8"/>
    <w:rsid w:val="24366B42"/>
    <w:rsid w:val="247388C0"/>
    <w:rsid w:val="249AB0B1"/>
    <w:rsid w:val="24B435B9"/>
    <w:rsid w:val="2545BC44"/>
    <w:rsid w:val="25CE0DBE"/>
    <w:rsid w:val="25F4AA41"/>
    <w:rsid w:val="261DDC8F"/>
    <w:rsid w:val="26B6EECE"/>
    <w:rsid w:val="26D0A79C"/>
    <w:rsid w:val="26D34B02"/>
    <w:rsid w:val="2732FAD9"/>
    <w:rsid w:val="27A4445D"/>
    <w:rsid w:val="27E90D4D"/>
    <w:rsid w:val="27F9212F"/>
    <w:rsid w:val="285C7222"/>
    <w:rsid w:val="285E915A"/>
    <w:rsid w:val="2915DB0C"/>
    <w:rsid w:val="2921D5D2"/>
    <w:rsid w:val="294A7D36"/>
    <w:rsid w:val="2950FE71"/>
    <w:rsid w:val="2967C8E0"/>
    <w:rsid w:val="2999A3C9"/>
    <w:rsid w:val="2A75236F"/>
    <w:rsid w:val="2A76F213"/>
    <w:rsid w:val="2AD53AF9"/>
    <w:rsid w:val="2ADE478A"/>
    <w:rsid w:val="2B466521"/>
    <w:rsid w:val="2BCA54CD"/>
    <w:rsid w:val="2BE2C75E"/>
    <w:rsid w:val="2BEBB103"/>
    <w:rsid w:val="2C3EB008"/>
    <w:rsid w:val="2C462EE6"/>
    <w:rsid w:val="2C9BF616"/>
    <w:rsid w:val="2D4DD0FF"/>
    <w:rsid w:val="2DFCCED9"/>
    <w:rsid w:val="2E3243CD"/>
    <w:rsid w:val="2E33C331"/>
    <w:rsid w:val="2E82996A"/>
    <w:rsid w:val="2EF5EBD9"/>
    <w:rsid w:val="2F0296EC"/>
    <w:rsid w:val="2FB39DB0"/>
    <w:rsid w:val="3090DCA6"/>
    <w:rsid w:val="309DA79C"/>
    <w:rsid w:val="30FD8C55"/>
    <w:rsid w:val="310986AB"/>
    <w:rsid w:val="3172D66A"/>
    <w:rsid w:val="31890DCA"/>
    <w:rsid w:val="31A915FB"/>
    <w:rsid w:val="31DCE2AB"/>
    <w:rsid w:val="3247B3DF"/>
    <w:rsid w:val="32A807D7"/>
    <w:rsid w:val="32DB3FEA"/>
    <w:rsid w:val="33E5226F"/>
    <w:rsid w:val="345A4CF2"/>
    <w:rsid w:val="34F695B3"/>
    <w:rsid w:val="351D01BE"/>
    <w:rsid w:val="35665F15"/>
    <w:rsid w:val="36314FFB"/>
    <w:rsid w:val="36390D20"/>
    <w:rsid w:val="36414AB4"/>
    <w:rsid w:val="36802F1E"/>
    <w:rsid w:val="3773F116"/>
    <w:rsid w:val="3776BE35"/>
    <w:rsid w:val="37809E93"/>
    <w:rsid w:val="37AA250F"/>
    <w:rsid w:val="37AF616D"/>
    <w:rsid w:val="37E8CFCF"/>
    <w:rsid w:val="37FBA94D"/>
    <w:rsid w:val="38A97F49"/>
    <w:rsid w:val="38C2C516"/>
    <w:rsid w:val="3964DCB2"/>
    <w:rsid w:val="39B0DE79"/>
    <w:rsid w:val="39C38905"/>
    <w:rsid w:val="39D686E8"/>
    <w:rsid w:val="39FDF4C4"/>
    <w:rsid w:val="3A2A8D9F"/>
    <w:rsid w:val="3A70F9AE"/>
    <w:rsid w:val="3AC27C54"/>
    <w:rsid w:val="3AF51BDD"/>
    <w:rsid w:val="3B936C31"/>
    <w:rsid w:val="3C04271A"/>
    <w:rsid w:val="3C1F5CE5"/>
    <w:rsid w:val="3CED4CA6"/>
    <w:rsid w:val="3D4DFFD9"/>
    <w:rsid w:val="3D4E3103"/>
    <w:rsid w:val="3DD07745"/>
    <w:rsid w:val="3E10FFB6"/>
    <w:rsid w:val="3E12E48E"/>
    <w:rsid w:val="3E69BBE1"/>
    <w:rsid w:val="3EB79B7A"/>
    <w:rsid w:val="3F08EB3D"/>
    <w:rsid w:val="3F1F87B6"/>
    <w:rsid w:val="3FFFA28D"/>
    <w:rsid w:val="4035B0F2"/>
    <w:rsid w:val="4132082E"/>
    <w:rsid w:val="41A428A6"/>
    <w:rsid w:val="41BDC15E"/>
    <w:rsid w:val="41C31199"/>
    <w:rsid w:val="4258529B"/>
    <w:rsid w:val="4264BF99"/>
    <w:rsid w:val="42A439F6"/>
    <w:rsid w:val="42B0D60A"/>
    <w:rsid w:val="42F5D930"/>
    <w:rsid w:val="43AEB7B3"/>
    <w:rsid w:val="43B4243B"/>
    <w:rsid w:val="440F22F1"/>
    <w:rsid w:val="441DE420"/>
    <w:rsid w:val="445F3CC3"/>
    <w:rsid w:val="449A844C"/>
    <w:rsid w:val="44C8E0C9"/>
    <w:rsid w:val="45002423"/>
    <w:rsid w:val="451EFB0B"/>
    <w:rsid w:val="457629EB"/>
    <w:rsid w:val="45AD09AF"/>
    <w:rsid w:val="45B4A5FF"/>
    <w:rsid w:val="45BC6689"/>
    <w:rsid w:val="463501D6"/>
    <w:rsid w:val="463F106A"/>
    <w:rsid w:val="4780D869"/>
    <w:rsid w:val="4790CD1E"/>
    <w:rsid w:val="4871F9D1"/>
    <w:rsid w:val="48C2978B"/>
    <w:rsid w:val="48D95BD6"/>
    <w:rsid w:val="494EE7AF"/>
    <w:rsid w:val="4952D82B"/>
    <w:rsid w:val="49F3FFC5"/>
    <w:rsid w:val="4A0312E6"/>
    <w:rsid w:val="4A857C45"/>
    <w:rsid w:val="4BDE1FF9"/>
    <w:rsid w:val="4BDF087A"/>
    <w:rsid w:val="4C6BF961"/>
    <w:rsid w:val="4CAC948C"/>
    <w:rsid w:val="4CF4CA18"/>
    <w:rsid w:val="4DC364A5"/>
    <w:rsid w:val="4EE72FA2"/>
    <w:rsid w:val="4F67C6B2"/>
    <w:rsid w:val="4FAC56E4"/>
    <w:rsid w:val="4FD0B713"/>
    <w:rsid w:val="4FE0273C"/>
    <w:rsid w:val="501F14A3"/>
    <w:rsid w:val="502766D0"/>
    <w:rsid w:val="5100AFBE"/>
    <w:rsid w:val="5107D085"/>
    <w:rsid w:val="51305FAE"/>
    <w:rsid w:val="52B56592"/>
    <w:rsid w:val="52C4788A"/>
    <w:rsid w:val="535B161B"/>
    <w:rsid w:val="53614FB4"/>
    <w:rsid w:val="53FEA74A"/>
    <w:rsid w:val="5403BB01"/>
    <w:rsid w:val="54121FB3"/>
    <w:rsid w:val="541E327D"/>
    <w:rsid w:val="546FBB25"/>
    <w:rsid w:val="54DB23D1"/>
    <w:rsid w:val="550B4881"/>
    <w:rsid w:val="5539B25C"/>
    <w:rsid w:val="554311AF"/>
    <w:rsid w:val="555634AB"/>
    <w:rsid w:val="55C97FEE"/>
    <w:rsid w:val="56DA7BCA"/>
    <w:rsid w:val="56F0D629"/>
    <w:rsid w:val="574B0303"/>
    <w:rsid w:val="57C1BDCC"/>
    <w:rsid w:val="59014E98"/>
    <w:rsid w:val="592F358D"/>
    <w:rsid w:val="59538767"/>
    <w:rsid w:val="595670C1"/>
    <w:rsid w:val="59E21E3B"/>
    <w:rsid w:val="59F57632"/>
    <w:rsid w:val="5A89C702"/>
    <w:rsid w:val="5C6B9F64"/>
    <w:rsid w:val="5C786492"/>
    <w:rsid w:val="5CFF0020"/>
    <w:rsid w:val="5D46EF50"/>
    <w:rsid w:val="5D500ACB"/>
    <w:rsid w:val="5D7CA3A6"/>
    <w:rsid w:val="5DA6310A"/>
    <w:rsid w:val="5FB60534"/>
    <w:rsid w:val="6041EB50"/>
    <w:rsid w:val="60424DF5"/>
    <w:rsid w:val="604A6F53"/>
    <w:rsid w:val="607AB3EF"/>
    <w:rsid w:val="609568A3"/>
    <w:rsid w:val="6099B964"/>
    <w:rsid w:val="609D79EB"/>
    <w:rsid w:val="618E15B0"/>
    <w:rsid w:val="61E63FB4"/>
    <w:rsid w:val="62641227"/>
    <w:rsid w:val="62A7997A"/>
    <w:rsid w:val="62CA5B67"/>
    <w:rsid w:val="62F90C2D"/>
    <w:rsid w:val="6351B894"/>
    <w:rsid w:val="6392819E"/>
    <w:rsid w:val="63A9BB5A"/>
    <w:rsid w:val="63B1433E"/>
    <w:rsid w:val="63E85955"/>
    <w:rsid w:val="64734A3E"/>
    <w:rsid w:val="64824882"/>
    <w:rsid w:val="648CF663"/>
    <w:rsid w:val="64E8F659"/>
    <w:rsid w:val="64F2B3F4"/>
    <w:rsid w:val="65173BA6"/>
    <w:rsid w:val="652632A3"/>
    <w:rsid w:val="655AD098"/>
    <w:rsid w:val="65774402"/>
    <w:rsid w:val="65D00559"/>
    <w:rsid w:val="65EE893F"/>
    <w:rsid w:val="66406753"/>
    <w:rsid w:val="6642E6E0"/>
    <w:rsid w:val="6652CEDD"/>
    <w:rsid w:val="679AC394"/>
    <w:rsid w:val="681E1918"/>
    <w:rsid w:val="68321BBD"/>
    <w:rsid w:val="68533249"/>
    <w:rsid w:val="68DC1517"/>
    <w:rsid w:val="69215D0F"/>
    <w:rsid w:val="6991EFBF"/>
    <w:rsid w:val="699E79FE"/>
    <w:rsid w:val="69EA4BBB"/>
    <w:rsid w:val="6A215FC8"/>
    <w:rsid w:val="6AC9CD74"/>
    <w:rsid w:val="6B1147C5"/>
    <w:rsid w:val="6BBAE9C5"/>
    <w:rsid w:val="6BD54AAF"/>
    <w:rsid w:val="6BD71117"/>
    <w:rsid w:val="6C7509CD"/>
    <w:rsid w:val="6CADAB05"/>
    <w:rsid w:val="6CF59DFA"/>
    <w:rsid w:val="6D37AC0E"/>
    <w:rsid w:val="6D88AFD6"/>
    <w:rsid w:val="6D917E0B"/>
    <w:rsid w:val="6E384528"/>
    <w:rsid w:val="6E44F80B"/>
    <w:rsid w:val="6ED5AD69"/>
    <w:rsid w:val="6EDF5677"/>
    <w:rsid w:val="6F62CE1B"/>
    <w:rsid w:val="6FB14E99"/>
    <w:rsid w:val="6FCD89C4"/>
    <w:rsid w:val="6FE5F5E5"/>
    <w:rsid w:val="70079ED0"/>
    <w:rsid w:val="7018D9A7"/>
    <w:rsid w:val="70AB4B88"/>
    <w:rsid w:val="70C89B63"/>
    <w:rsid w:val="710D98B9"/>
    <w:rsid w:val="71EC24C6"/>
    <w:rsid w:val="723945A9"/>
    <w:rsid w:val="7291A27E"/>
    <w:rsid w:val="72CC7AF4"/>
    <w:rsid w:val="73560A0F"/>
    <w:rsid w:val="73615099"/>
    <w:rsid w:val="7386C637"/>
    <w:rsid w:val="73AD061E"/>
    <w:rsid w:val="73CBEFF7"/>
    <w:rsid w:val="73DCD2EF"/>
    <w:rsid w:val="7418E5B2"/>
    <w:rsid w:val="75D7B241"/>
    <w:rsid w:val="76077B99"/>
    <w:rsid w:val="76237ED2"/>
    <w:rsid w:val="76351093"/>
    <w:rsid w:val="7698AACE"/>
    <w:rsid w:val="76A76AA6"/>
    <w:rsid w:val="76BA6B2D"/>
    <w:rsid w:val="76F00D53"/>
    <w:rsid w:val="77170137"/>
    <w:rsid w:val="779386F1"/>
    <w:rsid w:val="77D1056F"/>
    <w:rsid w:val="781F4EFF"/>
    <w:rsid w:val="787355B6"/>
    <w:rsid w:val="78A71BCF"/>
    <w:rsid w:val="78FE557F"/>
    <w:rsid w:val="790E55DA"/>
    <w:rsid w:val="7A2E7729"/>
    <w:rsid w:val="7A910932"/>
    <w:rsid w:val="7A93625A"/>
    <w:rsid w:val="7A9D7EAC"/>
    <w:rsid w:val="7B13D3D3"/>
    <w:rsid w:val="7B8393C7"/>
    <w:rsid w:val="7BA8D56A"/>
    <w:rsid w:val="7C876177"/>
    <w:rsid w:val="7CB8C66A"/>
    <w:rsid w:val="7CBAEABE"/>
    <w:rsid w:val="7D014D0B"/>
    <w:rsid w:val="7D6E2ED4"/>
    <w:rsid w:val="7E026D5A"/>
    <w:rsid w:val="7E3C71BC"/>
    <w:rsid w:val="7E4EACED"/>
    <w:rsid w:val="7E4FEDE9"/>
    <w:rsid w:val="7E5D46E4"/>
    <w:rsid w:val="7E9A3CAF"/>
    <w:rsid w:val="7F54F257"/>
    <w:rsid w:val="7F9CBE61"/>
    <w:rsid w:val="7FC876BA"/>
    <w:rsid w:val="7FF28B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1FFE29D1-6137-47D9-A6E8-CF9E879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lsdException w:name="Strong" w:semiHidden="1" w:qFormat="1"/>
    <w:lsdException w:name="Emphasis" w:semiHidden="1"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9B"/>
    <w:rPr>
      <w:lang w:val="en-US" w:eastAsia="en-US"/>
    </w:rPr>
  </w:style>
  <w:style w:type="paragraph" w:styleId="Heading1">
    <w:name w:val="heading 1"/>
    <w:basedOn w:val="Normal"/>
    <w:next w:val="BodyText"/>
    <w:link w:val="Heading1Char"/>
    <w:qFormat/>
    <w:locked/>
    <w:rsid w:val="003A0629"/>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3A0629"/>
    <w:pPr>
      <w:keepNext/>
      <w:widowControl w:val="0"/>
      <w:numPr>
        <w:numId w:val="71"/>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E14F09"/>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3A0629"/>
    <w:pPr>
      <w:outlineLvl w:val="3"/>
    </w:pPr>
    <w:rPr>
      <w:sz w:val="24"/>
    </w:rPr>
  </w:style>
  <w:style w:type="paragraph" w:styleId="Heading5">
    <w:name w:val="heading 5"/>
    <w:basedOn w:val="Heading4"/>
    <w:next w:val="BodyText"/>
    <w:link w:val="Heading5Char"/>
    <w:qFormat/>
    <w:locked/>
    <w:rsid w:val="006F6A49"/>
    <w:pPr>
      <w:spacing w:after="60"/>
      <w:outlineLvl w:val="4"/>
    </w:pPr>
    <w:rPr>
      <w:b w:val="0"/>
      <w:i/>
    </w:rPr>
  </w:style>
  <w:style w:type="paragraph" w:styleId="Heading6">
    <w:name w:val="heading 6"/>
    <w:basedOn w:val="Heading1"/>
    <w:next w:val="Normal"/>
    <w:link w:val="Heading6Char"/>
    <w:semiHidden/>
    <w:qFormat/>
    <w:rsid w:val="003A0629"/>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3A0629"/>
    <w:pPr>
      <w:spacing w:before="120"/>
      <w:ind w:left="425"/>
      <w:jc w:val="both"/>
      <w:outlineLvl w:val="6"/>
    </w:pPr>
    <w:rPr>
      <w:i w:val="0"/>
    </w:rPr>
  </w:style>
  <w:style w:type="paragraph" w:styleId="Heading8">
    <w:name w:val="heading 8"/>
    <w:basedOn w:val="Heading7"/>
    <w:next w:val="Normal"/>
    <w:link w:val="Heading8Char"/>
    <w:semiHidden/>
    <w:qFormat/>
    <w:rsid w:val="003A0629"/>
    <w:pPr>
      <w:outlineLvl w:val="7"/>
    </w:pPr>
    <w:rPr>
      <w:i/>
    </w:rPr>
  </w:style>
  <w:style w:type="paragraph" w:styleId="Heading9">
    <w:name w:val="heading 9"/>
    <w:basedOn w:val="Heading8"/>
    <w:next w:val="Normal"/>
    <w:link w:val="Heading9Char"/>
    <w:semiHidden/>
    <w:qFormat/>
    <w:rsid w:val="003A0629"/>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886370"/>
    <w:pPr>
      <w:spacing w:before="120" w:after="120"/>
    </w:pPr>
    <w:rPr>
      <w:rFonts w:ascii="Public Sans" w:hAnsi="Public Sans" w:cs="Arial"/>
      <w:sz w:val="22"/>
      <w:lang w:eastAsia="en-US"/>
    </w:rPr>
  </w:style>
  <w:style w:type="paragraph" w:customStyle="1" w:styleId="Bullet1">
    <w:name w:val="Bullet 1"/>
    <w:basedOn w:val="BodyText"/>
    <w:link w:val="Bullet1Char"/>
    <w:autoRedefine/>
    <w:qFormat/>
    <w:locked/>
    <w:rsid w:val="00506ED2"/>
    <w:pPr>
      <w:numPr>
        <w:numId w:val="26"/>
      </w:numPr>
      <w:ind w:left="284" w:hanging="284"/>
    </w:pPr>
    <w:rPr>
      <w:rFonts w:eastAsiaTheme="minorEastAsia"/>
      <w:szCs w:val="23"/>
      <w:lang w:eastAsia="en-AU"/>
    </w:rPr>
  </w:style>
  <w:style w:type="paragraph" w:styleId="NoSpacing">
    <w:name w:val="No Spacing"/>
    <w:basedOn w:val="Normal"/>
    <w:link w:val="NoSpacingChar"/>
    <w:semiHidden/>
    <w:qFormat/>
    <w:rsid w:val="003A0629"/>
  </w:style>
  <w:style w:type="paragraph" w:customStyle="1" w:styleId="Bullet2">
    <w:name w:val="Bullet 2"/>
    <w:basedOn w:val="Bullet1"/>
    <w:locked/>
    <w:rsid w:val="006F6A49"/>
    <w:pPr>
      <w:numPr>
        <w:numId w:val="0"/>
      </w:numPr>
      <w:tabs>
        <w:tab w:val="num" w:pos="785"/>
        <w:tab w:val="left" w:pos="851"/>
      </w:tabs>
      <w:ind w:left="785" w:hanging="360"/>
    </w:pPr>
  </w:style>
  <w:style w:type="character" w:customStyle="1" w:styleId="NoSpacingChar">
    <w:name w:val="No Spacing Char"/>
    <w:link w:val="NoSpacing"/>
    <w:semiHidden/>
    <w:rsid w:val="003A0629"/>
    <w:rPr>
      <w:lang w:val="en-US" w:eastAsia="en-US"/>
    </w:rPr>
  </w:style>
  <w:style w:type="paragraph" w:customStyle="1" w:styleId="Table1X">
    <w:name w:val="Table 1.X"/>
    <w:next w:val="Normal"/>
    <w:semiHidden/>
    <w:qFormat/>
    <w:locked/>
    <w:rsid w:val="003A0629"/>
    <w:pPr>
      <w:numPr>
        <w:numId w:val="32"/>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3A0629"/>
    <w:rPr>
      <w:vertAlign w:val="superscript"/>
    </w:rPr>
  </w:style>
  <w:style w:type="paragraph" w:styleId="FootnoteText">
    <w:name w:val="footnote text"/>
    <w:basedOn w:val="Normal"/>
    <w:link w:val="FootnoteTextChar"/>
    <w:semiHidden/>
    <w:rsid w:val="003A0629"/>
    <w:pPr>
      <w:spacing w:before="80" w:after="80"/>
      <w:ind w:left="709" w:hanging="142"/>
    </w:pPr>
    <w:rPr>
      <w:i/>
      <w:sz w:val="16"/>
    </w:rPr>
  </w:style>
  <w:style w:type="character" w:styleId="EndnoteReference">
    <w:name w:val="endnote reference"/>
    <w:semiHidden/>
    <w:rsid w:val="003A0629"/>
    <w:rPr>
      <w:i/>
      <w:sz w:val="16"/>
      <w:vertAlign w:val="superscript"/>
    </w:rPr>
  </w:style>
  <w:style w:type="paragraph" w:customStyle="1" w:styleId="21Heading2">
    <w:name w:val="2.1 Heading 2"/>
    <w:basedOn w:val="11Heading2"/>
    <w:next w:val="BodyText"/>
    <w:semiHidden/>
    <w:qFormat/>
    <w:locked/>
    <w:rsid w:val="003A0629"/>
    <w:pPr>
      <w:numPr>
        <w:numId w:val="5"/>
      </w:numPr>
    </w:pPr>
    <w:rPr>
      <w:b w:val="0"/>
    </w:rPr>
  </w:style>
  <w:style w:type="paragraph" w:customStyle="1" w:styleId="11Heading2">
    <w:name w:val="1.1 Heading 2"/>
    <w:basedOn w:val="Normal"/>
    <w:semiHidden/>
    <w:qFormat/>
    <w:locked/>
    <w:rsid w:val="00697B15"/>
    <w:pPr>
      <w:numPr>
        <w:numId w:val="4"/>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3A0629"/>
    <w:pPr>
      <w:keepLines/>
      <w:numPr>
        <w:numId w:val="33"/>
      </w:numPr>
    </w:pPr>
  </w:style>
  <w:style w:type="character" w:customStyle="1" w:styleId="Heading2Char">
    <w:name w:val="Heading 2 Char"/>
    <w:link w:val="Heading2"/>
    <w:semiHidden/>
    <w:rsid w:val="003A0629"/>
    <w:rPr>
      <w:rFonts w:ascii="Arial Bold" w:hAnsi="Arial Bold"/>
      <w:b/>
      <w:color w:val="008EBA"/>
      <w:kern w:val="28"/>
      <w:sz w:val="24"/>
      <w:szCs w:val="36"/>
      <w:lang w:eastAsia="en-US"/>
    </w:rPr>
  </w:style>
  <w:style w:type="table" w:styleId="TableGrid">
    <w:name w:val="Table Grid"/>
    <w:basedOn w:val="TableNormal"/>
    <w:rsid w:val="003A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14F09"/>
    <w:rPr>
      <w:rFonts w:ascii="Public Sans SemiBold" w:hAnsi="Public Sans SemiBold"/>
      <w:b/>
      <w:color w:val="22272B"/>
      <w:kern w:val="28"/>
      <w:sz w:val="26"/>
      <w:szCs w:val="36"/>
      <w:lang w:eastAsia="en-US"/>
    </w:rPr>
  </w:style>
  <w:style w:type="character" w:customStyle="1" w:styleId="Bullet1Char">
    <w:name w:val="Bullet 1 Char"/>
    <w:link w:val="Bullet1"/>
    <w:rsid w:val="00506ED2"/>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3A0629"/>
    <w:pPr>
      <w:numPr>
        <w:numId w:val="17"/>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semiHidden/>
    <w:qFormat/>
    <w:locked/>
    <w:rsid w:val="003A0629"/>
    <w:pPr>
      <w:numPr>
        <w:numId w:val="19"/>
      </w:numPr>
    </w:pPr>
  </w:style>
  <w:style w:type="paragraph" w:customStyle="1" w:styleId="Box6XBoxHeading">
    <w:name w:val="Box 6.X: Box Heading"/>
    <w:basedOn w:val="Box1XBoxHeading"/>
    <w:autoRedefine/>
    <w:qFormat/>
    <w:locked/>
    <w:rsid w:val="00BC72E7"/>
    <w:pPr>
      <w:keepLines/>
      <w:framePr w:hSpace="180" w:wrap="around" w:vAnchor="text" w:hAnchor="margin" w:y="-59"/>
      <w:widowControl w:val="0"/>
      <w:numPr>
        <w:numId w:val="22"/>
      </w:numPr>
      <w:ind w:left="1171" w:hanging="1171"/>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3A0629"/>
    <w:pPr>
      <w:numPr>
        <w:numId w:val="18"/>
      </w:numPr>
    </w:pPr>
  </w:style>
  <w:style w:type="paragraph" w:customStyle="1" w:styleId="Chart2X">
    <w:name w:val="Chart 2.X"/>
    <w:basedOn w:val="Chart1X"/>
    <w:next w:val="Normal"/>
    <w:semiHidden/>
    <w:locked/>
    <w:rsid w:val="003A0629"/>
    <w:pPr>
      <w:numPr>
        <w:numId w:val="34"/>
      </w:numPr>
    </w:pPr>
    <w:rPr>
      <w:color w:val="57514D"/>
    </w:rPr>
  </w:style>
  <w:style w:type="paragraph" w:customStyle="1" w:styleId="Table2X">
    <w:name w:val="Table 2.X"/>
    <w:basedOn w:val="Table1X"/>
    <w:next w:val="Normal"/>
    <w:semiHidden/>
    <w:qFormat/>
    <w:locked/>
    <w:rsid w:val="003A0629"/>
    <w:pPr>
      <w:numPr>
        <w:numId w:val="72"/>
      </w:numPr>
    </w:pPr>
    <w:rPr>
      <w:lang w:val="fr-FR"/>
    </w:rPr>
  </w:style>
  <w:style w:type="paragraph" w:customStyle="1" w:styleId="Table3X">
    <w:name w:val="Table 3.X"/>
    <w:basedOn w:val="Table1X"/>
    <w:next w:val="Normal"/>
    <w:semiHidden/>
    <w:locked/>
    <w:rsid w:val="003A0629"/>
    <w:pPr>
      <w:widowControl w:val="0"/>
      <w:numPr>
        <w:numId w:val="73"/>
      </w:numPr>
    </w:pPr>
    <w:rPr>
      <w:bCs w:val="0"/>
    </w:rPr>
  </w:style>
  <w:style w:type="paragraph" w:customStyle="1" w:styleId="TableFX">
    <w:name w:val="Table F.X"/>
    <w:basedOn w:val="TableA1X"/>
    <w:next w:val="Normal"/>
    <w:semiHidden/>
    <w:locked/>
    <w:rsid w:val="003A0629"/>
    <w:pPr>
      <w:widowControl w:val="0"/>
      <w:numPr>
        <w:numId w:val="86"/>
      </w:numPr>
      <w:tabs>
        <w:tab w:val="num" w:pos="360"/>
      </w:tabs>
    </w:pPr>
    <w:rPr>
      <w:bCs w:val="0"/>
      <w:color w:val="57514D"/>
    </w:rPr>
  </w:style>
  <w:style w:type="paragraph" w:customStyle="1" w:styleId="31Heading2">
    <w:name w:val="3.1 Heading 2"/>
    <w:basedOn w:val="11Heading2"/>
    <w:next w:val="BodyText"/>
    <w:semiHidden/>
    <w:qFormat/>
    <w:locked/>
    <w:rsid w:val="003A0629"/>
    <w:pPr>
      <w:numPr>
        <w:numId w:val="6"/>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3A0629"/>
    <w:pPr>
      <w:keepLines/>
      <w:widowControl w:val="0"/>
      <w:numPr>
        <w:numId w:val="23"/>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3A0629"/>
    <w:pPr>
      <w:numPr>
        <w:numId w:val="35"/>
      </w:numPr>
    </w:pPr>
  </w:style>
  <w:style w:type="paragraph" w:customStyle="1" w:styleId="41Heading2">
    <w:name w:val="4.1 Heading 2"/>
    <w:basedOn w:val="11Heading2"/>
    <w:next w:val="BodyText"/>
    <w:semiHidden/>
    <w:qFormat/>
    <w:locked/>
    <w:rsid w:val="003A0629"/>
    <w:pPr>
      <w:numPr>
        <w:numId w:val="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3A0629"/>
    <w:pPr>
      <w:numPr>
        <w:numId w:val="20"/>
      </w:numPr>
    </w:pPr>
    <w:rPr>
      <w:rFonts w:cs="Arial"/>
      <w:lang w:eastAsia="en-AU"/>
    </w:rPr>
  </w:style>
  <w:style w:type="paragraph" w:customStyle="1" w:styleId="Chart4X">
    <w:name w:val="Chart 4.X"/>
    <w:basedOn w:val="Chart1X"/>
    <w:next w:val="Normal"/>
    <w:semiHidden/>
    <w:locked/>
    <w:rsid w:val="003A0629"/>
    <w:pPr>
      <w:numPr>
        <w:numId w:val="36"/>
      </w:numPr>
    </w:pPr>
  </w:style>
  <w:style w:type="paragraph" w:customStyle="1" w:styleId="Table4X">
    <w:name w:val="Table 4.X"/>
    <w:basedOn w:val="Table1X"/>
    <w:next w:val="Normal"/>
    <w:semiHidden/>
    <w:locked/>
    <w:rsid w:val="003A0629"/>
    <w:pPr>
      <w:widowControl w:val="0"/>
      <w:numPr>
        <w:numId w:val="74"/>
      </w:numPr>
    </w:pPr>
    <w:rPr>
      <w:bCs w:val="0"/>
    </w:rPr>
  </w:style>
  <w:style w:type="paragraph" w:customStyle="1" w:styleId="51Heading2">
    <w:name w:val="5.1 Heading 2"/>
    <w:basedOn w:val="11Heading2"/>
    <w:next w:val="BodyText"/>
    <w:semiHidden/>
    <w:qFormat/>
    <w:locked/>
    <w:rsid w:val="003A0629"/>
    <w:pPr>
      <w:numPr>
        <w:numId w:val="8"/>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3A0629"/>
    <w:pPr>
      <w:numPr>
        <w:numId w:val="21"/>
      </w:numPr>
    </w:pPr>
  </w:style>
  <w:style w:type="paragraph" w:customStyle="1" w:styleId="Chart5X">
    <w:name w:val="Chart 5.X"/>
    <w:basedOn w:val="Chart1X"/>
    <w:next w:val="Normal"/>
    <w:semiHidden/>
    <w:locked/>
    <w:rsid w:val="003A0629"/>
    <w:pPr>
      <w:numPr>
        <w:numId w:val="37"/>
      </w:numPr>
    </w:pPr>
  </w:style>
  <w:style w:type="paragraph" w:customStyle="1" w:styleId="Table5X">
    <w:name w:val="Table 5.X"/>
    <w:basedOn w:val="Table1X"/>
    <w:next w:val="Normal"/>
    <w:semiHidden/>
    <w:locked/>
    <w:rsid w:val="003A0629"/>
    <w:pPr>
      <w:widowControl w:val="0"/>
      <w:numPr>
        <w:numId w:val="75"/>
      </w:numPr>
    </w:pPr>
    <w:rPr>
      <w:bCs w:val="0"/>
    </w:rPr>
  </w:style>
  <w:style w:type="paragraph" w:customStyle="1" w:styleId="Chart6X">
    <w:name w:val="Chart 6.X"/>
    <w:basedOn w:val="Chart1X"/>
    <w:next w:val="Normal"/>
    <w:qFormat/>
    <w:locked/>
    <w:rsid w:val="00F13B20"/>
    <w:pPr>
      <w:numPr>
        <w:numId w:val="38"/>
      </w:numPr>
      <w:ind w:left="1418" w:hanging="1418"/>
    </w:pPr>
  </w:style>
  <w:style w:type="paragraph" w:customStyle="1" w:styleId="Table6X">
    <w:name w:val="Table 6.X"/>
    <w:basedOn w:val="Table1X"/>
    <w:next w:val="Normal"/>
    <w:qFormat/>
    <w:locked/>
    <w:rsid w:val="00F13B20"/>
    <w:pPr>
      <w:widowControl w:val="0"/>
      <w:numPr>
        <w:numId w:val="76"/>
      </w:numPr>
      <w:ind w:left="1418" w:hanging="1418"/>
    </w:pPr>
    <w:rPr>
      <w:bCs w:val="0"/>
    </w:rPr>
  </w:style>
  <w:style w:type="paragraph" w:customStyle="1" w:styleId="71Heading2">
    <w:name w:val="7.1 Heading 2"/>
    <w:basedOn w:val="11Heading2"/>
    <w:next w:val="BodyText"/>
    <w:semiHidden/>
    <w:qFormat/>
    <w:locked/>
    <w:rsid w:val="003A0629"/>
    <w:pPr>
      <w:numPr>
        <w:numId w:val="1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3A0629"/>
    <w:pPr>
      <w:numPr>
        <w:numId w:val="11"/>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3A0629"/>
    <w:pPr>
      <w:numPr>
        <w:numId w:val="39"/>
      </w:numPr>
    </w:pPr>
  </w:style>
  <w:style w:type="paragraph" w:customStyle="1" w:styleId="Box7XBoxHeading">
    <w:name w:val="Box 7.X: Box Heading"/>
    <w:basedOn w:val="Box1XBoxHeading"/>
    <w:next w:val="Normal"/>
    <w:semiHidden/>
    <w:qFormat/>
    <w:locked/>
    <w:rsid w:val="003A0629"/>
    <w:pPr>
      <w:numPr>
        <w:numId w:val="24"/>
      </w:numPr>
    </w:pPr>
  </w:style>
  <w:style w:type="paragraph" w:customStyle="1" w:styleId="Table7X">
    <w:name w:val="Table 7.X"/>
    <w:basedOn w:val="Table1X"/>
    <w:next w:val="Normal"/>
    <w:semiHidden/>
    <w:qFormat/>
    <w:locked/>
    <w:rsid w:val="003A0629"/>
    <w:pPr>
      <w:numPr>
        <w:numId w:val="77"/>
      </w:numPr>
    </w:pPr>
  </w:style>
  <w:style w:type="paragraph" w:customStyle="1" w:styleId="ChartEX">
    <w:name w:val="Chart E.X"/>
    <w:basedOn w:val="ChartA1X"/>
    <w:next w:val="Normal"/>
    <w:semiHidden/>
    <w:qFormat/>
    <w:locked/>
    <w:rsid w:val="003A0629"/>
    <w:pPr>
      <w:numPr>
        <w:numId w:val="48"/>
      </w:numPr>
    </w:pPr>
  </w:style>
  <w:style w:type="paragraph" w:customStyle="1" w:styleId="ChartA2X">
    <w:name w:val="Chart A2.X"/>
    <w:basedOn w:val="ChartA1X"/>
    <w:next w:val="Normal"/>
    <w:semiHidden/>
    <w:qFormat/>
    <w:locked/>
    <w:rsid w:val="003A0629"/>
    <w:pPr>
      <w:numPr>
        <w:numId w:val="41"/>
      </w:numPr>
    </w:pPr>
  </w:style>
  <w:style w:type="paragraph" w:customStyle="1" w:styleId="A22Heading2">
    <w:name w:val="A2.2 Heading 2"/>
    <w:basedOn w:val="11Heading2"/>
    <w:next w:val="BodyText"/>
    <w:semiHidden/>
    <w:qFormat/>
    <w:locked/>
    <w:rsid w:val="003A0629"/>
    <w:pPr>
      <w:numPr>
        <w:numId w:val="13"/>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3A0629"/>
    <w:pPr>
      <w:keepNext/>
      <w:keepLines/>
      <w:widowControl w:val="0"/>
      <w:numPr>
        <w:numId w:val="80"/>
      </w:numPr>
      <w:autoSpaceDE w:val="0"/>
      <w:autoSpaceDN w:val="0"/>
    </w:pPr>
    <w:rPr>
      <w:rFonts w:cs="Arial"/>
      <w:color w:val="57514D"/>
      <w:lang w:eastAsia="en-AU"/>
    </w:rPr>
  </w:style>
  <w:style w:type="paragraph" w:customStyle="1" w:styleId="TableA3X">
    <w:name w:val="Table A3.X"/>
    <w:basedOn w:val="TableA1X"/>
    <w:next w:val="Normal"/>
    <w:semiHidden/>
    <w:qFormat/>
    <w:locked/>
    <w:rsid w:val="003A0629"/>
    <w:pPr>
      <w:widowControl w:val="0"/>
      <w:numPr>
        <w:numId w:val="81"/>
      </w:numPr>
    </w:pPr>
    <w:rPr>
      <w:bCs w:val="0"/>
    </w:rPr>
  </w:style>
  <w:style w:type="paragraph" w:customStyle="1" w:styleId="A11Heading2">
    <w:name w:val="A1.1 Heading 2"/>
    <w:basedOn w:val="11Heading2"/>
    <w:next w:val="BodyText"/>
    <w:semiHidden/>
    <w:qFormat/>
    <w:locked/>
    <w:rsid w:val="003A0629"/>
    <w:pPr>
      <w:numPr>
        <w:numId w:val="12"/>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3A0629"/>
    <w:pPr>
      <w:numPr>
        <w:numId w:val="16"/>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3A0629"/>
    <w:pPr>
      <w:numPr>
        <w:numId w:val="40"/>
      </w:numPr>
    </w:pPr>
    <w:rPr>
      <w:rFonts w:eastAsia="Tahoma" w:cs="Tahoma"/>
    </w:rPr>
  </w:style>
  <w:style w:type="paragraph" w:customStyle="1" w:styleId="ChartBX">
    <w:name w:val="Chart B.X"/>
    <w:basedOn w:val="ChartA1X"/>
    <w:next w:val="Normal"/>
    <w:semiHidden/>
    <w:qFormat/>
    <w:locked/>
    <w:rsid w:val="003A0629"/>
    <w:pPr>
      <w:numPr>
        <w:numId w:val="45"/>
      </w:numPr>
    </w:pPr>
  </w:style>
  <w:style w:type="paragraph" w:customStyle="1" w:styleId="ChartCX">
    <w:name w:val="Chart C.X"/>
    <w:basedOn w:val="ChartA1X"/>
    <w:next w:val="Normal"/>
    <w:semiHidden/>
    <w:qFormat/>
    <w:locked/>
    <w:rsid w:val="003A0629"/>
    <w:pPr>
      <w:numPr>
        <w:numId w:val="46"/>
      </w:numPr>
    </w:pPr>
  </w:style>
  <w:style w:type="paragraph" w:customStyle="1" w:styleId="ChartDX">
    <w:name w:val="Chart D.X"/>
    <w:basedOn w:val="ChartA1X"/>
    <w:next w:val="Normal"/>
    <w:semiHidden/>
    <w:qFormat/>
    <w:locked/>
    <w:rsid w:val="003A0629"/>
    <w:pPr>
      <w:numPr>
        <w:numId w:val="47"/>
      </w:numPr>
    </w:pPr>
  </w:style>
  <w:style w:type="paragraph" w:customStyle="1" w:styleId="TableA1X">
    <w:name w:val="Table A1.X"/>
    <w:basedOn w:val="Table1X"/>
    <w:next w:val="Normal"/>
    <w:semiHidden/>
    <w:qFormat/>
    <w:locked/>
    <w:rsid w:val="003A0629"/>
    <w:pPr>
      <w:numPr>
        <w:numId w:val="79"/>
      </w:numPr>
    </w:pPr>
    <w:rPr>
      <w:rFonts w:eastAsia="Tahoma" w:cs="Tahoma"/>
    </w:rPr>
  </w:style>
  <w:style w:type="paragraph" w:customStyle="1" w:styleId="TableBX">
    <w:name w:val="Table B.X"/>
    <w:basedOn w:val="TableA1X"/>
    <w:next w:val="Normal"/>
    <w:semiHidden/>
    <w:qFormat/>
    <w:locked/>
    <w:rsid w:val="003A0629"/>
    <w:pPr>
      <w:numPr>
        <w:numId w:val="82"/>
      </w:numPr>
    </w:pPr>
  </w:style>
  <w:style w:type="paragraph" w:customStyle="1" w:styleId="TableCX">
    <w:name w:val="Table C.X"/>
    <w:basedOn w:val="TableA1X"/>
    <w:next w:val="Normal"/>
    <w:semiHidden/>
    <w:qFormat/>
    <w:locked/>
    <w:rsid w:val="003A0629"/>
    <w:pPr>
      <w:numPr>
        <w:numId w:val="83"/>
      </w:numPr>
    </w:pPr>
  </w:style>
  <w:style w:type="paragraph" w:customStyle="1" w:styleId="TableDX">
    <w:name w:val="Table D.X"/>
    <w:basedOn w:val="TableA1X"/>
    <w:next w:val="Normal"/>
    <w:semiHidden/>
    <w:qFormat/>
    <w:locked/>
    <w:rsid w:val="003A0629"/>
    <w:pPr>
      <w:numPr>
        <w:numId w:val="84"/>
      </w:numPr>
    </w:pPr>
  </w:style>
  <w:style w:type="paragraph" w:customStyle="1" w:styleId="ChartA3X">
    <w:name w:val="Chart A3.X"/>
    <w:basedOn w:val="ChartA1X"/>
    <w:next w:val="Normal"/>
    <w:semiHidden/>
    <w:qFormat/>
    <w:locked/>
    <w:rsid w:val="003A0629"/>
    <w:pPr>
      <w:numPr>
        <w:numId w:val="42"/>
      </w:numPr>
    </w:pPr>
  </w:style>
  <w:style w:type="paragraph" w:customStyle="1" w:styleId="ChartFX">
    <w:name w:val="Chart F.X"/>
    <w:basedOn w:val="ChartA1X"/>
    <w:next w:val="Normal"/>
    <w:semiHidden/>
    <w:locked/>
    <w:rsid w:val="003A0629"/>
    <w:pPr>
      <w:numPr>
        <w:numId w:val="49"/>
      </w:numPr>
    </w:pPr>
  </w:style>
  <w:style w:type="paragraph" w:customStyle="1" w:styleId="61Heading2">
    <w:name w:val="6.1 Heading 2"/>
    <w:basedOn w:val="11Heading2"/>
    <w:next w:val="BodyText"/>
    <w:qFormat/>
    <w:locked/>
    <w:rsid w:val="00E14F09"/>
    <w:pPr>
      <w:numPr>
        <w:numId w:val="9"/>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3A0629"/>
    <w:pPr>
      <w:numPr>
        <w:numId w:val="14"/>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3A0629"/>
    <w:pPr>
      <w:numPr>
        <w:numId w:val="15"/>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3A0629"/>
    <w:pPr>
      <w:numPr>
        <w:numId w:val="31"/>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3A0629"/>
    <w:pPr>
      <w:numPr>
        <w:numId w:val="50"/>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3A0629"/>
    <w:pPr>
      <w:numPr>
        <w:numId w:val="51"/>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3A0629"/>
    <w:pPr>
      <w:numPr>
        <w:numId w:val="52"/>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3A0629"/>
    <w:pPr>
      <w:numPr>
        <w:numId w:val="78"/>
      </w:numPr>
    </w:pPr>
  </w:style>
  <w:style w:type="paragraph" w:customStyle="1" w:styleId="ChartA4X">
    <w:name w:val="Chart A4.X"/>
    <w:basedOn w:val="ChartA1X"/>
    <w:next w:val="Normal"/>
    <w:semiHidden/>
    <w:qFormat/>
    <w:locked/>
    <w:rsid w:val="003A0629"/>
    <w:pPr>
      <w:numPr>
        <w:numId w:val="43"/>
      </w:numPr>
    </w:pPr>
  </w:style>
  <w:style w:type="paragraph" w:customStyle="1" w:styleId="ChartA5X">
    <w:name w:val="Chart A5.X"/>
    <w:basedOn w:val="ChartA1X"/>
    <w:next w:val="Normal"/>
    <w:semiHidden/>
    <w:qFormat/>
    <w:locked/>
    <w:rsid w:val="003A0629"/>
    <w:pPr>
      <w:numPr>
        <w:numId w:val="44"/>
      </w:numPr>
    </w:pPr>
  </w:style>
  <w:style w:type="paragraph" w:customStyle="1" w:styleId="Box8XBoxHeading">
    <w:name w:val="Box 8.X: Box Heading"/>
    <w:basedOn w:val="Box1XBoxHeading"/>
    <w:next w:val="Normal"/>
    <w:semiHidden/>
    <w:qFormat/>
    <w:locked/>
    <w:rsid w:val="003A0629"/>
    <w:pPr>
      <w:numPr>
        <w:numId w:val="25"/>
      </w:numPr>
    </w:pPr>
  </w:style>
  <w:style w:type="table" w:customStyle="1" w:styleId="Focusbox">
    <w:name w:val="Focus box"/>
    <w:basedOn w:val="TableNormal"/>
    <w:uiPriority w:val="99"/>
    <w:locked/>
    <w:rsid w:val="003A0629"/>
    <w:rPr>
      <w:rFonts w:ascii="Arial" w:hAnsi="Arial"/>
      <w:sz w:val="23"/>
    </w:rPr>
    <w:tblPr/>
    <w:tcPr>
      <w:shd w:val="pct5" w:color="auto" w:fill="auto"/>
    </w:tcPr>
  </w:style>
  <w:style w:type="paragraph" w:customStyle="1" w:styleId="Source">
    <w:name w:val="Source"/>
    <w:basedOn w:val="Normal"/>
    <w:next w:val="BodyText"/>
    <w:qFormat/>
    <w:rsid w:val="003A0629"/>
    <w:pPr>
      <w:widowControl w:val="0"/>
    </w:pPr>
    <w:rPr>
      <w:rFonts w:ascii="Public Sans" w:hAnsi="Public Sans" w:cs="Arial"/>
      <w:i/>
      <w:noProof/>
      <w:color w:val="4F4F4F"/>
      <w:sz w:val="17"/>
      <w:szCs w:val="17"/>
      <w:lang w:eastAsia="en-AU"/>
    </w:rPr>
  </w:style>
  <w:style w:type="character" w:customStyle="1" w:styleId="Heading1Char">
    <w:name w:val="Heading 1 Char"/>
    <w:link w:val="Heading1"/>
    <w:rsid w:val="00B13F41"/>
    <w:rPr>
      <w:rFonts w:ascii="Public Sans SemiBold" w:hAnsi="Public Sans SemiBold"/>
      <w:caps/>
      <w:color w:val="002664"/>
      <w:kern w:val="28"/>
      <w:sz w:val="40"/>
      <w:szCs w:val="36"/>
      <w:lang w:eastAsia="en-US"/>
    </w:rPr>
  </w:style>
  <w:style w:type="character" w:customStyle="1" w:styleId="FootnoteTextChar">
    <w:name w:val="Footnote Text Char"/>
    <w:basedOn w:val="DefaultParagraphFont"/>
    <w:link w:val="FootnoteText"/>
    <w:semiHidden/>
    <w:rsid w:val="00A607B6"/>
    <w:rPr>
      <w:i/>
      <w:sz w:val="16"/>
      <w:lang w:val="en-US" w:eastAsia="en-US"/>
    </w:rPr>
  </w:style>
  <w:style w:type="character" w:customStyle="1" w:styleId="Heading4Char">
    <w:name w:val="Heading 4 Char"/>
    <w:link w:val="Heading4"/>
    <w:rsid w:val="00A607B6"/>
    <w:rPr>
      <w:rFonts w:ascii="Public Sans SemiBold" w:hAnsi="Public Sans SemiBold"/>
      <w:b/>
      <w:color w:val="22272B"/>
      <w:kern w:val="28"/>
      <w:sz w:val="24"/>
      <w:szCs w:val="36"/>
      <w:lang w:eastAsia="en-US"/>
    </w:rPr>
  </w:style>
  <w:style w:type="character" w:customStyle="1" w:styleId="Heading5Char">
    <w:name w:val="Heading 5 Char"/>
    <w:link w:val="Heading5"/>
    <w:rsid w:val="006F6A49"/>
    <w:rPr>
      <w:rFonts w:ascii="Public Sans SemiBold" w:hAnsi="Public Sans SemiBold"/>
      <w:i/>
      <w:color w:val="22272B"/>
      <w:kern w:val="28"/>
      <w:sz w:val="24"/>
      <w:szCs w:val="36"/>
      <w:lang w:eastAsia="en-US"/>
    </w:rPr>
  </w:style>
  <w:style w:type="character" w:customStyle="1" w:styleId="Heading6Char">
    <w:name w:val="Heading 6 Char"/>
    <w:link w:val="Heading6"/>
    <w:semiHidden/>
    <w:rsid w:val="00CE5493"/>
    <w:rPr>
      <w:b/>
      <w:i/>
      <w:color w:val="002664"/>
      <w:sz w:val="24"/>
      <w:szCs w:val="36"/>
      <w:lang w:eastAsia="en-US"/>
    </w:rPr>
  </w:style>
  <w:style w:type="character" w:customStyle="1" w:styleId="Heading7Char">
    <w:name w:val="Heading 7 Char"/>
    <w:link w:val="Heading7"/>
    <w:semiHidden/>
    <w:rsid w:val="00CE5493"/>
    <w:rPr>
      <w:rFonts w:ascii="Public Sans SemiBold" w:hAnsi="Public Sans SemiBold"/>
      <w:color w:val="22272B"/>
      <w:kern w:val="28"/>
      <w:sz w:val="23"/>
      <w:szCs w:val="36"/>
      <w:lang w:eastAsia="en-US"/>
    </w:rPr>
  </w:style>
  <w:style w:type="character" w:customStyle="1" w:styleId="Heading8Char">
    <w:name w:val="Heading 8 Char"/>
    <w:link w:val="Heading8"/>
    <w:semiHidden/>
    <w:rsid w:val="00CE5493"/>
    <w:rPr>
      <w:rFonts w:ascii="Public Sans SemiBold" w:hAnsi="Public Sans SemiBold"/>
      <w:i/>
      <w:color w:val="22272B"/>
      <w:kern w:val="28"/>
      <w:sz w:val="23"/>
      <w:szCs w:val="36"/>
      <w:lang w:eastAsia="en-US"/>
    </w:rPr>
  </w:style>
  <w:style w:type="character" w:customStyle="1" w:styleId="Heading9Char">
    <w:name w:val="Heading 9 Char"/>
    <w:link w:val="Heading9"/>
    <w:semiHidden/>
    <w:rsid w:val="00CE5493"/>
    <w:rPr>
      <w:rFonts w:ascii="Public Sans SemiBold" w:hAnsi="Public Sans SemiBold"/>
      <w:color w:val="22272B"/>
      <w:kern w:val="28"/>
      <w:sz w:val="23"/>
      <w:szCs w:val="36"/>
      <w:lang w:eastAsia="en-US"/>
    </w:rPr>
  </w:style>
  <w:style w:type="paragraph" w:customStyle="1" w:styleId="Style211HeadingBold">
    <w:name w:val="Style 2.1.1 Heading + Bold"/>
    <w:basedOn w:val="Normal"/>
    <w:semiHidden/>
    <w:rsid w:val="00A607B6"/>
    <w:rPr>
      <w:b/>
      <w:bCs/>
      <w:i/>
      <w:iCs/>
      <w:lang w:val="en-AU"/>
    </w:rPr>
  </w:style>
  <w:style w:type="paragraph" w:customStyle="1" w:styleId="StyleBoxHeadingLeft0Firstline0">
    <w:name w:val="Style Box Heading + Left:  0&quot; First line:  0&quot;"/>
    <w:basedOn w:val="Normal"/>
    <w:autoRedefine/>
    <w:semiHidden/>
    <w:rsid w:val="00A607B6"/>
    <w:pPr>
      <w:keepLines/>
      <w:framePr w:wrap="around" w:hAnchor="text"/>
      <w:tabs>
        <w:tab w:val="left" w:pos="567"/>
      </w:tabs>
      <w:spacing w:before="120" w:after="120" w:line="240" w:lineRule="atLeast"/>
    </w:pPr>
    <w:rPr>
      <w:rFonts w:ascii="Arial" w:eastAsia="Arial Unicode MS" w:hAnsi="Arial" w:cs="Arial"/>
      <w:b/>
      <w:color w:val="000000"/>
      <w:sz w:val="23"/>
      <w:szCs w:val="17"/>
      <w:lang w:val="en-AU" w:eastAsia="en-AU"/>
    </w:rPr>
  </w:style>
  <w:style w:type="paragraph" w:customStyle="1" w:styleId="StyleName">
    <w:name w:val="Style Name"/>
    <w:basedOn w:val="Normal"/>
    <w:semiHidden/>
    <w:rsid w:val="00A607B6"/>
    <w:pPr>
      <w:ind w:left="851" w:hanging="851"/>
      <w:jc w:val="center"/>
    </w:pPr>
    <w:rPr>
      <w:rFonts w:ascii="Arial" w:hAnsi="Arial"/>
      <w:b/>
      <w:i/>
      <w:color w:val="000000"/>
      <w:sz w:val="24"/>
      <w:lang w:val="en-GB" w:eastAsia="en-AU"/>
    </w:rPr>
  </w:style>
  <w:style w:type="paragraph" w:styleId="CommentSubject">
    <w:name w:val="annotation subject"/>
    <w:basedOn w:val="Normal"/>
    <w:next w:val="Normal"/>
    <w:link w:val="CommentSubjectChar"/>
    <w:uiPriority w:val="99"/>
    <w:semiHidden/>
    <w:unhideWhenUsed/>
    <w:rsid w:val="007B6E52"/>
    <w:rPr>
      <w:b/>
      <w:bCs/>
      <w:lang w:val="en-AU"/>
    </w:rPr>
  </w:style>
  <w:style w:type="character" w:customStyle="1" w:styleId="CommentSubjectChar">
    <w:name w:val="Comment Subject Char"/>
    <w:basedOn w:val="DefaultParagraphFont"/>
    <w:link w:val="CommentSubject"/>
    <w:uiPriority w:val="99"/>
    <w:semiHidden/>
    <w:rsid w:val="007B6E52"/>
    <w:rPr>
      <w:b/>
      <w:bCs/>
      <w:lang w:eastAsia="en-US"/>
    </w:rPr>
  </w:style>
  <w:style w:type="paragraph" w:styleId="Revision">
    <w:name w:val="Revision"/>
    <w:hidden/>
    <w:uiPriority w:val="99"/>
    <w:semiHidden/>
    <w:rsid w:val="00A607B6"/>
    <w:rPr>
      <w:lang w:val="en-US" w:eastAsia="en-US"/>
    </w:rPr>
  </w:style>
  <w:style w:type="paragraph" w:styleId="EndnoteText">
    <w:name w:val="endnote text"/>
    <w:basedOn w:val="Normal"/>
    <w:link w:val="EndnoteTextChar"/>
    <w:uiPriority w:val="99"/>
    <w:semiHidden/>
    <w:unhideWhenUsed/>
    <w:rsid w:val="00A607B6"/>
    <w:rPr>
      <w:lang w:val="en-AU"/>
    </w:rPr>
  </w:style>
  <w:style w:type="character" w:customStyle="1" w:styleId="EndnoteTextChar">
    <w:name w:val="Endnote Text Char"/>
    <w:basedOn w:val="DefaultParagraphFont"/>
    <w:link w:val="EndnoteText"/>
    <w:uiPriority w:val="99"/>
    <w:semiHidden/>
    <w:rsid w:val="00A607B6"/>
    <w:rPr>
      <w:lang w:eastAsia="en-US"/>
    </w:rPr>
  </w:style>
  <w:style w:type="table" w:customStyle="1" w:styleId="TableGrid0">
    <w:name w:val="TableGrid"/>
    <w:rsid w:val="00A607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607B6"/>
    <w:rPr>
      <w:rFonts w:asciiTheme="minorHAnsi"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886370"/>
    <w:rPr>
      <w:rFonts w:ascii="Public Sans" w:hAnsi="Public Sans" w:cs="Arial"/>
      <w:sz w:val="22"/>
      <w:lang w:eastAsia="en-US"/>
    </w:rPr>
  </w:style>
  <w:style w:type="character" w:styleId="FollowedHyperlink">
    <w:name w:val="FollowedHyperlink"/>
    <w:basedOn w:val="DefaultParagraphFont"/>
    <w:uiPriority w:val="99"/>
    <w:semiHidden/>
    <w:unhideWhenUsed/>
    <w:rsid w:val="00A607B6"/>
    <w:rPr>
      <w:color w:val="800080" w:themeColor="followedHyperlink"/>
      <w:u w:val="single"/>
    </w:rPr>
  </w:style>
  <w:style w:type="numbering" w:customStyle="1" w:styleId="BulletPoints">
    <w:name w:val="Bullet Points"/>
    <w:uiPriority w:val="99"/>
    <w:rsid w:val="0025783A"/>
    <w:pPr>
      <w:numPr>
        <w:numId w:val="1"/>
      </w:numPr>
    </w:pPr>
  </w:style>
  <w:style w:type="paragraph" w:customStyle="1" w:styleId="Figure6X">
    <w:name w:val="Figure 6.X"/>
    <w:basedOn w:val="Figure1X"/>
    <w:next w:val="Normal"/>
    <w:qFormat/>
    <w:rsid w:val="003A0629"/>
    <w:pPr>
      <w:numPr>
        <w:numId w:val="58"/>
      </w:numPr>
    </w:pPr>
  </w:style>
  <w:style w:type="paragraph" w:customStyle="1" w:styleId="Footnotestyle">
    <w:name w:val="Footnote style"/>
    <w:basedOn w:val="Normal"/>
    <w:next w:val="Normal"/>
    <w:qFormat/>
    <w:rsid w:val="003A0629"/>
    <w:pPr>
      <w:spacing w:before="40" w:after="40"/>
      <w:ind w:left="709" w:hanging="284"/>
    </w:pPr>
    <w:rPr>
      <w:rFonts w:ascii="Public Sans" w:hAnsi="Public Sans"/>
      <w:sz w:val="16"/>
    </w:rPr>
  </w:style>
  <w:style w:type="paragraph" w:styleId="Header">
    <w:name w:val="header"/>
    <w:basedOn w:val="Normal"/>
    <w:link w:val="HeaderChar"/>
    <w:uiPriority w:val="99"/>
    <w:semiHidden/>
    <w:rsid w:val="003A0629"/>
    <w:pPr>
      <w:tabs>
        <w:tab w:val="center" w:pos="4513"/>
        <w:tab w:val="right" w:pos="9026"/>
      </w:tabs>
    </w:pPr>
  </w:style>
  <w:style w:type="character" w:customStyle="1" w:styleId="HeaderChar">
    <w:name w:val="Header Char"/>
    <w:basedOn w:val="DefaultParagraphFont"/>
    <w:link w:val="Header"/>
    <w:uiPriority w:val="99"/>
    <w:semiHidden/>
    <w:rsid w:val="003A0629"/>
    <w:rPr>
      <w:lang w:val="en-US" w:eastAsia="en-US"/>
    </w:rPr>
  </w:style>
  <w:style w:type="paragraph" w:styleId="ListBullet">
    <w:name w:val="List Bullet"/>
    <w:basedOn w:val="Normal"/>
    <w:uiPriority w:val="99"/>
    <w:semiHidden/>
    <w:unhideWhenUsed/>
    <w:rsid w:val="007862D4"/>
    <w:pPr>
      <w:numPr>
        <w:numId w:val="3"/>
      </w:numPr>
      <w:spacing w:after="160" w:line="252" w:lineRule="auto"/>
      <w:contextualSpacing/>
    </w:pPr>
    <w:rPr>
      <w:rFonts w:ascii="Calibri" w:eastAsiaTheme="minorHAnsi" w:hAnsi="Calibri" w:cs="Calibri"/>
      <w:sz w:val="22"/>
      <w:szCs w:val="22"/>
      <w:lang w:val="en-AU"/>
    </w:rPr>
  </w:style>
  <w:style w:type="paragraph" w:customStyle="1" w:styleId="ListBullet1">
    <w:name w:val="List Bullet1"/>
    <w:basedOn w:val="Normal"/>
    <w:autoRedefine/>
    <w:semiHidden/>
    <w:rsid w:val="009A4EC5"/>
    <w:pPr>
      <w:tabs>
        <w:tab w:val="num" w:pos="454"/>
      </w:tabs>
      <w:spacing w:line="360" w:lineRule="auto"/>
      <w:ind w:left="454" w:hanging="454"/>
    </w:pPr>
    <w:rPr>
      <w:rFonts w:ascii="Arial" w:hAnsi="Arial"/>
      <w:sz w:val="28"/>
      <w:lang w:val="en-AU"/>
    </w:rPr>
  </w:style>
  <w:style w:type="character" w:styleId="CommentReference">
    <w:name w:val="annotation reference"/>
    <w:basedOn w:val="DefaultParagraphFont"/>
    <w:uiPriority w:val="99"/>
    <w:semiHidden/>
    <w:rsid w:val="00F3053D"/>
    <w:rPr>
      <w:sz w:val="16"/>
      <w:szCs w:val="16"/>
    </w:rPr>
  </w:style>
  <w:style w:type="paragraph" w:styleId="CommentText">
    <w:name w:val="annotation text"/>
    <w:basedOn w:val="Normal"/>
    <w:link w:val="CommentTextChar"/>
    <w:uiPriority w:val="99"/>
    <w:semiHidden/>
    <w:rsid w:val="00F3053D"/>
  </w:style>
  <w:style w:type="character" w:customStyle="1" w:styleId="CommentTextChar">
    <w:name w:val="Comment Text Char"/>
    <w:basedOn w:val="DefaultParagraphFont"/>
    <w:link w:val="CommentText"/>
    <w:uiPriority w:val="99"/>
    <w:semiHidden/>
    <w:rsid w:val="00F3053D"/>
    <w:rPr>
      <w:lang w:val="en-US" w:eastAsia="en-US"/>
    </w:rPr>
  </w:style>
  <w:style w:type="character" w:styleId="Mention">
    <w:name w:val="Mention"/>
    <w:basedOn w:val="DefaultParagraphFont"/>
    <w:uiPriority w:val="99"/>
    <w:semiHidden/>
    <w:rsid w:val="00F3053D"/>
    <w:rPr>
      <w:color w:val="2B579A"/>
      <w:shd w:val="clear" w:color="auto" w:fill="E1DFDD"/>
    </w:rPr>
  </w:style>
  <w:style w:type="paragraph" w:styleId="Footer">
    <w:name w:val="footer"/>
    <w:basedOn w:val="Normal"/>
    <w:link w:val="FooterChar"/>
    <w:semiHidden/>
    <w:rsid w:val="003A0629"/>
    <w:pPr>
      <w:tabs>
        <w:tab w:val="center" w:pos="4513"/>
        <w:tab w:val="right" w:pos="9026"/>
      </w:tabs>
    </w:pPr>
  </w:style>
  <w:style w:type="character" w:customStyle="1" w:styleId="FooterChar">
    <w:name w:val="Footer Char"/>
    <w:basedOn w:val="DefaultParagraphFont"/>
    <w:link w:val="Footer"/>
    <w:semiHidden/>
    <w:rsid w:val="003A0629"/>
    <w:rPr>
      <w:lang w:val="en-US" w:eastAsia="en-US"/>
    </w:rPr>
  </w:style>
  <w:style w:type="paragraph" w:customStyle="1" w:styleId="Bodytextnumbered">
    <w:name w:val="Body text numbered"/>
    <w:basedOn w:val="Heading1"/>
    <w:semiHidden/>
    <w:qFormat/>
    <w:rsid w:val="00246796"/>
    <w:pPr>
      <w:keepNext w:val="0"/>
      <w:tabs>
        <w:tab w:val="num" w:pos="360"/>
      </w:tabs>
      <w:spacing w:before="200" w:after="0" w:line="320" w:lineRule="atLeast"/>
      <w:ind w:left="454" w:hanging="454"/>
    </w:pPr>
    <w:rPr>
      <w:caps w:val="0"/>
      <w:color w:val="auto"/>
      <w:kern w:val="0"/>
      <w:sz w:val="22"/>
      <w:szCs w:val="22"/>
    </w:rPr>
  </w:style>
  <w:style w:type="character" w:customStyle="1" w:styleId="ui-provider">
    <w:name w:val="ui-provider"/>
    <w:basedOn w:val="DefaultParagraphFont"/>
    <w:semiHidden/>
    <w:rsid w:val="00246796"/>
  </w:style>
  <w:style w:type="character" w:customStyle="1" w:styleId="normaltextrun">
    <w:name w:val="normaltextrun"/>
    <w:basedOn w:val="DefaultParagraphFont"/>
    <w:semiHidden/>
    <w:rsid w:val="005C0078"/>
  </w:style>
  <w:style w:type="character" w:customStyle="1" w:styleId="eop">
    <w:name w:val="eop"/>
    <w:basedOn w:val="DefaultParagraphFont"/>
    <w:semiHidden/>
    <w:rsid w:val="005C0078"/>
  </w:style>
  <w:style w:type="paragraph" w:customStyle="1" w:styleId="Bullet3">
    <w:name w:val="Bullet 3"/>
    <w:basedOn w:val="Bullet2"/>
    <w:next w:val="BodyText"/>
    <w:qFormat/>
    <w:rsid w:val="00B413C6"/>
    <w:pPr>
      <w:numPr>
        <w:numId w:val="30"/>
      </w:numPr>
      <w:tabs>
        <w:tab w:val="clear" w:pos="851"/>
      </w:tabs>
    </w:pPr>
  </w:style>
  <w:style w:type="paragraph" w:customStyle="1" w:styleId="Figure1X">
    <w:name w:val="Figure 1.X"/>
    <w:basedOn w:val="Table1X"/>
    <w:next w:val="Normal"/>
    <w:semiHidden/>
    <w:qFormat/>
    <w:rsid w:val="003A0629"/>
    <w:pPr>
      <w:numPr>
        <w:numId w:val="53"/>
      </w:numPr>
    </w:pPr>
  </w:style>
  <w:style w:type="paragraph" w:customStyle="1" w:styleId="Figure2X">
    <w:name w:val="Figure 2.X"/>
    <w:basedOn w:val="Figure1X"/>
    <w:next w:val="Normal"/>
    <w:semiHidden/>
    <w:qFormat/>
    <w:rsid w:val="003A0629"/>
    <w:pPr>
      <w:numPr>
        <w:numId w:val="54"/>
      </w:numPr>
    </w:pPr>
  </w:style>
  <w:style w:type="paragraph" w:customStyle="1" w:styleId="Figure3X">
    <w:name w:val="Figure 3.X"/>
    <w:basedOn w:val="Figure1X"/>
    <w:next w:val="Normal"/>
    <w:semiHidden/>
    <w:qFormat/>
    <w:rsid w:val="003A0629"/>
    <w:pPr>
      <w:numPr>
        <w:numId w:val="55"/>
      </w:numPr>
    </w:pPr>
  </w:style>
  <w:style w:type="paragraph" w:customStyle="1" w:styleId="Figure4X">
    <w:name w:val="Figure 4.X"/>
    <w:basedOn w:val="Figure1X"/>
    <w:next w:val="Normal"/>
    <w:semiHidden/>
    <w:qFormat/>
    <w:rsid w:val="003A0629"/>
    <w:pPr>
      <w:numPr>
        <w:numId w:val="56"/>
      </w:numPr>
    </w:pPr>
  </w:style>
  <w:style w:type="paragraph" w:customStyle="1" w:styleId="Figure5X">
    <w:name w:val="Figure 5.X"/>
    <w:basedOn w:val="Figure1X"/>
    <w:next w:val="Normal"/>
    <w:semiHidden/>
    <w:qFormat/>
    <w:rsid w:val="003A0629"/>
    <w:pPr>
      <w:numPr>
        <w:numId w:val="57"/>
      </w:numPr>
    </w:pPr>
  </w:style>
  <w:style w:type="paragraph" w:customStyle="1" w:styleId="Figure7X">
    <w:name w:val="Figure 7.X"/>
    <w:basedOn w:val="Figure1X"/>
    <w:next w:val="Normal"/>
    <w:semiHidden/>
    <w:qFormat/>
    <w:rsid w:val="003A0629"/>
    <w:pPr>
      <w:numPr>
        <w:numId w:val="59"/>
      </w:numPr>
    </w:pPr>
  </w:style>
  <w:style w:type="paragraph" w:customStyle="1" w:styleId="Figure8X">
    <w:name w:val="Figure 8.X"/>
    <w:basedOn w:val="Figure7X"/>
    <w:next w:val="Normal"/>
    <w:semiHidden/>
    <w:qFormat/>
    <w:rsid w:val="00B413C6"/>
    <w:pPr>
      <w:numPr>
        <w:numId w:val="60"/>
      </w:numPr>
    </w:pPr>
  </w:style>
  <w:style w:type="paragraph" w:customStyle="1" w:styleId="FigureA1X">
    <w:name w:val="Figure A1.X"/>
    <w:basedOn w:val="Figure1X"/>
    <w:next w:val="Normal"/>
    <w:semiHidden/>
    <w:qFormat/>
    <w:rsid w:val="003A0629"/>
    <w:pPr>
      <w:numPr>
        <w:numId w:val="61"/>
      </w:numPr>
    </w:pPr>
  </w:style>
  <w:style w:type="paragraph" w:customStyle="1" w:styleId="FigureA2X">
    <w:name w:val="Figure A2.X"/>
    <w:basedOn w:val="Figure1X"/>
    <w:next w:val="Normal"/>
    <w:semiHidden/>
    <w:qFormat/>
    <w:rsid w:val="003A0629"/>
    <w:pPr>
      <w:numPr>
        <w:numId w:val="62"/>
      </w:numPr>
      <w:tabs>
        <w:tab w:val="num" w:pos="360"/>
      </w:tabs>
    </w:pPr>
  </w:style>
  <w:style w:type="paragraph" w:customStyle="1" w:styleId="FigureA3X">
    <w:name w:val="Figure A3.X"/>
    <w:basedOn w:val="Figure1X"/>
    <w:next w:val="Normal"/>
    <w:semiHidden/>
    <w:qFormat/>
    <w:rsid w:val="00B413C6"/>
    <w:pPr>
      <w:numPr>
        <w:numId w:val="63"/>
      </w:numPr>
    </w:pPr>
  </w:style>
  <w:style w:type="paragraph" w:customStyle="1" w:styleId="FigureA4X">
    <w:name w:val="Figure A4.X"/>
    <w:basedOn w:val="Figure1X"/>
    <w:next w:val="Normal"/>
    <w:semiHidden/>
    <w:qFormat/>
    <w:rsid w:val="003A0629"/>
    <w:pPr>
      <w:numPr>
        <w:numId w:val="64"/>
      </w:numPr>
    </w:pPr>
  </w:style>
  <w:style w:type="paragraph" w:customStyle="1" w:styleId="FigureA5X">
    <w:name w:val="Figure A5.X"/>
    <w:basedOn w:val="Figure1X"/>
    <w:next w:val="Normal"/>
    <w:semiHidden/>
    <w:qFormat/>
    <w:rsid w:val="00B413C6"/>
    <w:pPr>
      <w:numPr>
        <w:numId w:val="65"/>
      </w:numPr>
    </w:pPr>
  </w:style>
  <w:style w:type="paragraph" w:customStyle="1" w:styleId="FigureBX">
    <w:name w:val="Figure B.X"/>
    <w:basedOn w:val="Figure1X"/>
    <w:semiHidden/>
    <w:qFormat/>
    <w:rsid w:val="003A0629"/>
    <w:pPr>
      <w:numPr>
        <w:numId w:val="66"/>
      </w:numPr>
    </w:pPr>
  </w:style>
  <w:style w:type="paragraph" w:customStyle="1" w:styleId="FigureCX">
    <w:name w:val="Figure C.X"/>
    <w:basedOn w:val="Figure1X"/>
    <w:next w:val="Normal"/>
    <w:semiHidden/>
    <w:qFormat/>
    <w:rsid w:val="003A0629"/>
    <w:pPr>
      <w:numPr>
        <w:numId w:val="67"/>
      </w:numPr>
    </w:pPr>
  </w:style>
  <w:style w:type="paragraph" w:customStyle="1" w:styleId="FigureDX">
    <w:name w:val="Figure D.X"/>
    <w:basedOn w:val="Figure1X"/>
    <w:next w:val="Normal"/>
    <w:semiHidden/>
    <w:qFormat/>
    <w:rsid w:val="003A0629"/>
    <w:pPr>
      <w:numPr>
        <w:numId w:val="68"/>
      </w:numPr>
    </w:pPr>
  </w:style>
  <w:style w:type="paragraph" w:customStyle="1" w:styleId="FigureEX">
    <w:name w:val="Figure E.X"/>
    <w:basedOn w:val="Figure1X"/>
    <w:next w:val="Normal"/>
    <w:semiHidden/>
    <w:qFormat/>
    <w:rsid w:val="003A0629"/>
    <w:pPr>
      <w:numPr>
        <w:numId w:val="69"/>
      </w:numPr>
    </w:pPr>
  </w:style>
  <w:style w:type="paragraph" w:customStyle="1" w:styleId="FigureFX">
    <w:name w:val="Figure F.X"/>
    <w:basedOn w:val="Figure1X"/>
    <w:next w:val="Normal"/>
    <w:semiHidden/>
    <w:qFormat/>
    <w:rsid w:val="003A0629"/>
    <w:pPr>
      <w:numPr>
        <w:numId w:val="70"/>
      </w:numPr>
    </w:pPr>
  </w:style>
  <w:style w:type="paragraph" w:customStyle="1" w:styleId="Headinginbox">
    <w:name w:val="Heading in box"/>
    <w:basedOn w:val="BodyText"/>
    <w:next w:val="Normal"/>
    <w:qFormat/>
    <w:rsid w:val="003A0629"/>
    <w:rPr>
      <w:rFonts w:ascii="Public Sans SemiBold" w:hAnsi="Public Sans SemiBold"/>
      <w:b/>
      <w:color w:val="002664"/>
    </w:rPr>
  </w:style>
  <w:style w:type="paragraph" w:customStyle="1" w:styleId="TableEX">
    <w:name w:val="Table E.X"/>
    <w:basedOn w:val="TableDX"/>
    <w:next w:val="BodyText"/>
    <w:semiHidden/>
    <w:qFormat/>
    <w:rsid w:val="00B413C6"/>
    <w:pPr>
      <w:numPr>
        <w:numId w:val="85"/>
      </w:numPr>
    </w:pPr>
  </w:style>
  <w:style w:type="paragraph" w:styleId="ListParagraph">
    <w:name w:val="List Paragraph"/>
    <w:basedOn w:val="Normal"/>
    <w:uiPriority w:val="34"/>
    <w:qFormat/>
    <w:rsid w:val="005D57AF"/>
    <w:pPr>
      <w:ind w:left="720"/>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384">
      <w:bodyDiv w:val="1"/>
      <w:marLeft w:val="0"/>
      <w:marRight w:val="0"/>
      <w:marTop w:val="0"/>
      <w:marBottom w:val="0"/>
      <w:divBdr>
        <w:top w:val="none" w:sz="0" w:space="0" w:color="auto"/>
        <w:left w:val="none" w:sz="0" w:space="0" w:color="auto"/>
        <w:bottom w:val="none" w:sz="0" w:space="0" w:color="auto"/>
        <w:right w:val="none" w:sz="0" w:space="0" w:color="auto"/>
      </w:divBdr>
    </w:div>
    <w:div w:id="449666904">
      <w:bodyDiv w:val="1"/>
      <w:marLeft w:val="0"/>
      <w:marRight w:val="0"/>
      <w:marTop w:val="0"/>
      <w:marBottom w:val="0"/>
      <w:divBdr>
        <w:top w:val="none" w:sz="0" w:space="0" w:color="auto"/>
        <w:left w:val="none" w:sz="0" w:space="0" w:color="auto"/>
        <w:bottom w:val="none" w:sz="0" w:space="0" w:color="auto"/>
        <w:right w:val="none" w:sz="0" w:space="0" w:color="auto"/>
      </w:divBdr>
    </w:div>
    <w:div w:id="13528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nswgov.sharepoint.com/sites/TSY2019-20Budget/Shared%20Documents/General/2023-24%20Budget/01.%20Budget%20Paper%20No%201%20(Budget%20Statement)/06.%20Ch%206%20-%20Managing%20the%20State's%20Assets%20and%20Liabilities/Budget%20Papers%20Chapter%206%20-%20"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'[Budget Papers Chapter 6 - Charts and Table.xlsx]Chart 6.1 - Gross Debt'!$B$3</c:f>
              <c:strCache>
                <c:ptCount val="1"/>
                <c:pt idx="0">
                  <c:v>Gross Debt</c:v>
                </c:pt>
              </c:strCache>
            </c:strRef>
          </c:tx>
          <c:spPr>
            <a:solidFill>
              <a:srgbClr val="002664"/>
            </a:solidFill>
            <a:ln>
              <a:noFill/>
            </a:ln>
            <a:effectLst/>
          </c:spPr>
          <c:invertIfNegative val="0"/>
          <c:cat>
            <c:strRef>
              <c:f>'[Budget Papers Chapter 6 - Charts and Table.xlsx]Chart 6.1 - Gross Debt'!$C$2:$G$2</c:f>
              <c:strCache>
                <c:ptCount val="5"/>
                <c:pt idx="0">
                  <c:v>June 2023</c:v>
                </c:pt>
                <c:pt idx="1">
                  <c:v>June 2024</c:v>
                </c:pt>
                <c:pt idx="2">
                  <c:v>June 2025</c:v>
                </c:pt>
                <c:pt idx="3">
                  <c:v>June 2026</c:v>
                </c:pt>
                <c:pt idx="4">
                  <c:v>June 2027</c:v>
                </c:pt>
              </c:strCache>
            </c:strRef>
          </c:cat>
          <c:val>
            <c:numRef>
              <c:f>'[Budget Papers Chapter 6 - Charts and Table.xlsx]Chart 6.1 - Gross Debt'!$C$3:$G$3</c:f>
              <c:numCache>
                <c:formatCode>#,##0</c:formatCode>
                <c:ptCount val="5"/>
                <c:pt idx="0">
                  <c:v>-132914.31232971</c:v>
                </c:pt>
                <c:pt idx="1">
                  <c:v>-145788.76264521002</c:v>
                </c:pt>
                <c:pt idx="2">
                  <c:v>-159510.27365893</c:v>
                </c:pt>
                <c:pt idx="3">
                  <c:v>-173372.86772655998</c:v>
                </c:pt>
                <c:pt idx="4">
                  <c:v>-186687.69623151</c:v>
                </c:pt>
              </c:numCache>
            </c:numRef>
          </c:val>
          <c:extLst>
            <c:ext xmlns:c16="http://schemas.microsoft.com/office/drawing/2014/chart" uri="{C3380CC4-5D6E-409C-BE32-E72D297353CC}">
              <c16:uniqueId val="{00000000-F1DC-4B89-8661-CDBACF30C70B}"/>
            </c:ext>
          </c:extLst>
        </c:ser>
        <c:ser>
          <c:idx val="1"/>
          <c:order val="1"/>
          <c:tx>
            <c:strRef>
              <c:f>'[Budget Papers Chapter 6 - Charts and Table.xlsx]Chart 6.1 - Gross Debt'!$B$4</c:f>
              <c:strCache>
                <c:ptCount val="1"/>
                <c:pt idx="0">
                  <c:v>Financial Assets</c:v>
                </c:pt>
              </c:strCache>
            </c:strRef>
          </c:tx>
          <c:spPr>
            <a:solidFill>
              <a:schemeClr val="accent2"/>
            </a:solidFill>
            <a:ln>
              <a:noFill/>
            </a:ln>
            <a:effectLst/>
          </c:spPr>
          <c:invertIfNegative val="0"/>
          <c:cat>
            <c:strRef>
              <c:f>'[Budget Papers Chapter 6 - Charts and Table.xlsx]Chart 6.1 - Gross Debt'!$C$2:$G$2</c:f>
              <c:strCache>
                <c:ptCount val="5"/>
                <c:pt idx="0">
                  <c:v>June 2023</c:v>
                </c:pt>
                <c:pt idx="1">
                  <c:v>June 2024</c:v>
                </c:pt>
                <c:pt idx="2">
                  <c:v>June 2025</c:v>
                </c:pt>
                <c:pt idx="3">
                  <c:v>June 2026</c:v>
                </c:pt>
                <c:pt idx="4">
                  <c:v>June 2027</c:v>
                </c:pt>
              </c:strCache>
            </c:strRef>
          </c:cat>
          <c:val>
            <c:numRef>
              <c:f>'[Budget Papers Chapter 6 - Charts and Table.xlsx]Chart 6.1 - Gross Debt'!$C$4:$G$4</c:f>
              <c:numCache>
                <c:formatCode>#,##0</c:formatCode>
                <c:ptCount val="5"/>
                <c:pt idx="0">
                  <c:v>58041.371984621386</c:v>
                </c:pt>
                <c:pt idx="1">
                  <c:v>53165.038935930002</c:v>
                </c:pt>
                <c:pt idx="2">
                  <c:v>58536.36398906001</c:v>
                </c:pt>
                <c:pt idx="3">
                  <c:v>65558.045098199989</c:v>
                </c:pt>
                <c:pt idx="4">
                  <c:v>73116.434819129994</c:v>
                </c:pt>
              </c:numCache>
            </c:numRef>
          </c:val>
          <c:extLst>
            <c:ext xmlns:c16="http://schemas.microsoft.com/office/drawing/2014/chart" uri="{C3380CC4-5D6E-409C-BE32-E72D297353CC}">
              <c16:uniqueId val="{00000001-F1DC-4B89-8661-CDBACF30C70B}"/>
            </c:ext>
          </c:extLst>
        </c:ser>
        <c:dLbls>
          <c:showLegendKey val="0"/>
          <c:showVal val="0"/>
          <c:showCatName val="0"/>
          <c:showSerName val="0"/>
          <c:showPercent val="0"/>
          <c:showBubbleSize val="0"/>
        </c:dLbls>
        <c:gapWidth val="150"/>
        <c:overlap val="100"/>
        <c:axId val="235566800"/>
        <c:axId val="16435184"/>
      </c:barChart>
      <c:lineChart>
        <c:grouping val="standard"/>
        <c:varyColors val="0"/>
        <c:ser>
          <c:idx val="2"/>
          <c:order val="2"/>
          <c:tx>
            <c:strRef>
              <c:f>'[Budget Papers Chapter 6 - Charts and Table.xlsx]Chart 6.1 - Gross Debt'!$B$5</c:f>
              <c:strCache>
                <c:ptCount val="1"/>
                <c:pt idx="0">
                  <c:v>Net Debt</c:v>
                </c:pt>
              </c:strCache>
            </c:strRef>
          </c:tx>
          <c:spPr>
            <a:ln w="28575" cap="rnd">
              <a:solidFill>
                <a:schemeClr val="accent3"/>
              </a:solidFill>
              <a:round/>
            </a:ln>
            <a:effectLst/>
          </c:spPr>
          <c:marker>
            <c:symbol val="none"/>
          </c:marker>
          <c:cat>
            <c:strRef>
              <c:f>'[Budget Papers Chapter 6 - Charts and Table.xlsx]Chart 6.1 - Gross Debt'!$C$2:$G$2</c:f>
              <c:strCache>
                <c:ptCount val="5"/>
                <c:pt idx="0">
                  <c:v>June 2023</c:v>
                </c:pt>
                <c:pt idx="1">
                  <c:v>June 2024</c:v>
                </c:pt>
                <c:pt idx="2">
                  <c:v>June 2025</c:v>
                </c:pt>
                <c:pt idx="3">
                  <c:v>June 2026</c:v>
                </c:pt>
                <c:pt idx="4">
                  <c:v>June 2027</c:v>
                </c:pt>
              </c:strCache>
            </c:strRef>
          </c:cat>
          <c:val>
            <c:numRef>
              <c:f>'[Budget Papers Chapter 6 - Charts and Table.xlsx]Chart 6.1 - Gross Debt'!$C$5:$G$5</c:f>
              <c:numCache>
                <c:formatCode>#,##0</c:formatCode>
                <c:ptCount val="5"/>
                <c:pt idx="0">
                  <c:v>74872.940345088602</c:v>
                </c:pt>
                <c:pt idx="1">
                  <c:v>92623.723709280021</c:v>
                </c:pt>
                <c:pt idx="2">
                  <c:v>100973.90966986999</c:v>
                </c:pt>
                <c:pt idx="3">
                  <c:v>107814.82262835999</c:v>
                </c:pt>
                <c:pt idx="4">
                  <c:v>113571.26141238</c:v>
                </c:pt>
              </c:numCache>
            </c:numRef>
          </c:val>
          <c:smooth val="0"/>
          <c:extLst>
            <c:ext xmlns:c16="http://schemas.microsoft.com/office/drawing/2014/chart" uri="{C3380CC4-5D6E-409C-BE32-E72D297353CC}">
              <c16:uniqueId val="{00000002-F1DC-4B89-8661-CDBACF30C70B}"/>
            </c:ext>
          </c:extLst>
        </c:ser>
        <c:dLbls>
          <c:showLegendKey val="0"/>
          <c:showVal val="0"/>
          <c:showCatName val="0"/>
          <c:showSerName val="0"/>
          <c:showPercent val="0"/>
          <c:showBubbleSize val="0"/>
        </c:dLbls>
        <c:marker val="1"/>
        <c:smooth val="0"/>
        <c:axId val="235566800"/>
        <c:axId val="16435184"/>
      </c:lineChart>
      <c:catAx>
        <c:axId val="235566800"/>
        <c:scaling>
          <c:orientation val="minMax"/>
        </c:scaling>
        <c:delete val="0"/>
        <c:axPos val="b"/>
        <c:numFmt formatCode="General" sourceLinked="1"/>
        <c:majorTickMark val="none"/>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'[Budget Papers Chapter 6 - Charts and Table.xlsx]Chart 6.2 - Interest to Revenue'!$B$3</c:f>
              <c:strCache>
                <c:ptCount val="1"/>
                <c:pt idx="0">
                  <c:v>Actual</c:v>
                </c:pt>
              </c:strCache>
            </c:strRef>
          </c:tx>
          <c:spPr>
            <a:ln w="28575" cap="rnd">
              <a:solidFill>
                <a:schemeClr val="accent1"/>
              </a:solidFill>
              <a:round/>
            </a:ln>
            <a:effectLst/>
          </c:spPr>
          <c:marker>
            <c:symbol val="none"/>
          </c:marker>
          <c:cat>
            <c:strRef>
              <c:f>'[Budget Papers Chapter 6 - Charts and Table.xlsx]Chart 6.2 - Interest to Revenue'!$C$2:$Q$2</c:f>
              <c:strCache>
                <c:ptCount val="15"/>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pt idx="14">
                  <c:v>2026-27</c:v>
                </c:pt>
              </c:strCache>
            </c:strRef>
          </c:cat>
          <c:val>
            <c:numRef>
              <c:f>'[Budget Papers Chapter 6 - Charts and Table.xlsx]Chart 6.2 - Interest to Revenue'!$C$3:$Q$3</c:f>
              <c:numCache>
                <c:formatCode>0.0%</c:formatCode>
                <c:ptCount val="15"/>
                <c:pt idx="0">
                  <c:v>3.6920006652253451E-2</c:v>
                </c:pt>
                <c:pt idx="1">
                  <c:v>3.4073176274524657E-2</c:v>
                </c:pt>
                <c:pt idx="2">
                  <c:v>3.2219141876265851E-2</c:v>
                </c:pt>
                <c:pt idx="3">
                  <c:v>2.963827617667579E-2</c:v>
                </c:pt>
                <c:pt idx="4">
                  <c:v>2.7502271592930547E-2</c:v>
                </c:pt>
                <c:pt idx="5">
                  <c:v>2.2461324871082905E-2</c:v>
                </c:pt>
                <c:pt idx="6">
                  <c:v>2.2190925234217132E-2</c:v>
                </c:pt>
                <c:pt idx="7">
                  <c:v>2.5505252165366425E-2</c:v>
                </c:pt>
                <c:pt idx="8">
                  <c:v>2.4998578980276246E-2</c:v>
                </c:pt>
                <c:pt idx="9">
                  <c:v>2.4418761958139266E-2</c:v>
                </c:pt>
                <c:pt idx="10">
                  <c:v>3.9841643034985608E-2</c:v>
                </c:pt>
              </c:numCache>
            </c:numRef>
          </c:val>
          <c:smooth val="0"/>
          <c:extLst>
            <c:ext xmlns:c16="http://schemas.microsoft.com/office/drawing/2014/chart" uri="{C3380CC4-5D6E-409C-BE32-E72D297353CC}">
              <c16:uniqueId val="{00000000-06F3-4C78-A7FD-365E826534C3}"/>
            </c:ext>
          </c:extLst>
        </c:ser>
        <c:ser>
          <c:idx val="1"/>
          <c:order val="1"/>
          <c:tx>
            <c:strRef>
              <c:f>'[Budget Papers Chapter 6 - Charts and Table.xlsx]Chart 6.2 - Interest to Revenue'!$B$4</c:f>
              <c:strCache>
                <c:ptCount val="1"/>
                <c:pt idx="0">
                  <c:v>2023 Pre-election Budget Update</c:v>
                </c:pt>
              </c:strCache>
            </c:strRef>
          </c:tx>
          <c:spPr>
            <a:ln w="28575" cap="rnd">
              <a:solidFill>
                <a:schemeClr val="accent2"/>
              </a:solidFill>
              <a:prstDash val="dash"/>
              <a:round/>
            </a:ln>
            <a:effectLst/>
          </c:spPr>
          <c:marker>
            <c:symbol val="none"/>
          </c:marker>
          <c:cat>
            <c:strRef>
              <c:f>'[Budget Papers Chapter 6 - Charts and Table.xlsx]Chart 6.2 - Interest to Revenue'!$C$2:$Q$2</c:f>
              <c:strCache>
                <c:ptCount val="15"/>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pt idx="14">
                  <c:v>2026-27</c:v>
                </c:pt>
              </c:strCache>
            </c:strRef>
          </c:cat>
          <c:val>
            <c:numRef>
              <c:f>'[Budget Papers Chapter 6 - Charts and Table.xlsx]Chart 6.2 - Interest to Revenue'!$C$4:$Q$4</c:f>
              <c:numCache>
                <c:formatCode>General</c:formatCode>
                <c:ptCount val="15"/>
                <c:pt idx="9" formatCode="0.0%">
                  <c:v>2.4418761958139266E-2</c:v>
                </c:pt>
                <c:pt idx="10" formatCode="0.0%">
                  <c:v>4.2304237126017059E-2</c:v>
                </c:pt>
                <c:pt idx="11" formatCode="0.0%">
                  <c:v>5.2653960889018379E-2</c:v>
                </c:pt>
                <c:pt idx="12" formatCode="0.0%">
                  <c:v>5.6129711244024931E-2</c:v>
                </c:pt>
                <c:pt idx="13" formatCode="0.0%">
                  <c:v>6.0654661218288011E-2</c:v>
                </c:pt>
              </c:numCache>
            </c:numRef>
          </c:val>
          <c:smooth val="0"/>
          <c:extLst>
            <c:ext xmlns:c16="http://schemas.microsoft.com/office/drawing/2014/chart" uri="{C3380CC4-5D6E-409C-BE32-E72D297353CC}">
              <c16:uniqueId val="{00000001-06F3-4C78-A7FD-365E826534C3}"/>
            </c:ext>
          </c:extLst>
        </c:ser>
        <c:ser>
          <c:idx val="2"/>
          <c:order val="2"/>
          <c:tx>
            <c:strRef>
              <c:f>'[Budget Papers Chapter 6 - Charts and Table.xlsx]Chart 6.2 - Interest to Revenue'!$B$5</c:f>
              <c:strCache>
                <c:ptCount val="1"/>
                <c:pt idx="0">
                  <c:v>2023-24 Budget</c:v>
                </c:pt>
              </c:strCache>
            </c:strRef>
          </c:tx>
          <c:spPr>
            <a:ln w="28575" cap="rnd">
              <a:solidFill>
                <a:schemeClr val="accent3"/>
              </a:solidFill>
              <a:prstDash val="dash"/>
              <a:round/>
            </a:ln>
            <a:effectLst/>
          </c:spPr>
          <c:marker>
            <c:symbol val="none"/>
          </c:marker>
          <c:cat>
            <c:strRef>
              <c:f>'[Budget Papers Chapter 6 - Charts and Table.xlsx]Chart 6.2 - Interest to Revenue'!$C$2:$Q$2</c:f>
              <c:strCache>
                <c:ptCount val="15"/>
                <c:pt idx="0">
                  <c:v>2012-13</c:v>
                </c:pt>
                <c:pt idx="1">
                  <c:v>2013-14</c:v>
                </c:pt>
                <c:pt idx="2">
                  <c:v>2014-15</c:v>
                </c:pt>
                <c:pt idx="3">
                  <c:v>2015-16</c:v>
                </c:pt>
                <c:pt idx="4">
                  <c:v>2016-17</c:v>
                </c:pt>
                <c:pt idx="5">
                  <c:v>2017-18</c:v>
                </c:pt>
                <c:pt idx="6">
                  <c:v>2018-19</c:v>
                </c:pt>
                <c:pt idx="7">
                  <c:v>2019-20</c:v>
                </c:pt>
                <c:pt idx="8">
                  <c:v>2020-21</c:v>
                </c:pt>
                <c:pt idx="9">
                  <c:v>2021-22</c:v>
                </c:pt>
                <c:pt idx="10">
                  <c:v>2022-23</c:v>
                </c:pt>
                <c:pt idx="11">
                  <c:v>2023-24</c:v>
                </c:pt>
                <c:pt idx="12">
                  <c:v>2024-25</c:v>
                </c:pt>
                <c:pt idx="13">
                  <c:v>2025-26</c:v>
                </c:pt>
                <c:pt idx="14">
                  <c:v>2026-27</c:v>
                </c:pt>
              </c:strCache>
            </c:strRef>
          </c:cat>
          <c:val>
            <c:numRef>
              <c:f>'[Budget Papers Chapter 6 - Charts and Table.xlsx]Chart 6.2 - Interest to Revenue'!$C$5:$Q$5</c:f>
              <c:numCache>
                <c:formatCode>General</c:formatCode>
                <c:ptCount val="15"/>
                <c:pt idx="10" formatCode="0.0%">
                  <c:v>3.9843181590763034E-2</c:v>
                </c:pt>
                <c:pt idx="11" formatCode="0.0%">
                  <c:v>4.8952807744799591E-2</c:v>
                </c:pt>
                <c:pt idx="12" formatCode="0.0%">
                  <c:v>5.0295499879820731E-2</c:v>
                </c:pt>
                <c:pt idx="13" formatCode="0.0%">
                  <c:v>5.3144614742805976E-2</c:v>
                </c:pt>
                <c:pt idx="14" formatCode="0.0%">
                  <c:v>5.7395041884956623E-2</c:v>
                </c:pt>
              </c:numCache>
            </c:numRef>
          </c:val>
          <c:smooth val="0"/>
          <c:extLst>
            <c:ext xmlns:c16="http://schemas.microsoft.com/office/drawing/2014/chart" uri="{C3380CC4-5D6E-409C-BE32-E72D297353CC}">
              <c16:uniqueId val="{00000002-06F3-4C78-A7FD-365E826534C3}"/>
            </c:ext>
          </c:extLst>
        </c:ser>
        <c:dLbls>
          <c:showLegendKey val="0"/>
          <c:showVal val="0"/>
          <c:showCatName val="0"/>
          <c:showSerName val="0"/>
          <c:showPercent val="0"/>
          <c:showBubbleSize val="0"/>
        </c:dLbls>
        <c:smooth val="0"/>
        <c:axId val="235566800"/>
        <c:axId val="16435184"/>
      </c:lineChart>
      <c:catAx>
        <c:axId val="235566800"/>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max val="7.0000000000000007E-2"/>
          <c:min val="1.0000000000000002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of Revenue</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'[Budget Papers Chapter 6 - Charts and Table.xlsx]Chart 6.3 - Net Worth'!$B$3</c:f>
              <c:strCache>
                <c:ptCount val="1"/>
                <c:pt idx="0">
                  <c:v>Financial Assets</c:v>
                </c:pt>
              </c:strCache>
            </c:strRef>
          </c:tx>
          <c:spPr>
            <a:solidFill>
              <a:srgbClr val="0A7CB9"/>
            </a:solidFill>
            <a:ln>
              <a:noFill/>
            </a:ln>
            <a:effectLst/>
          </c:spPr>
          <c:invertIfNegative val="0"/>
          <c:cat>
            <c:strRef>
              <c:f>'[Budget Papers Chapter 6 - Charts and Table.xlsx]Chart 6.3 - Net Worth'!$C$2:$G$2</c:f>
              <c:strCache>
                <c:ptCount val="5"/>
                <c:pt idx="0">
                  <c:v>June 2023</c:v>
                </c:pt>
                <c:pt idx="1">
                  <c:v>June 2024</c:v>
                </c:pt>
                <c:pt idx="2">
                  <c:v>June 2025</c:v>
                </c:pt>
                <c:pt idx="3">
                  <c:v>June 2026</c:v>
                </c:pt>
                <c:pt idx="4">
                  <c:v>June 2027</c:v>
                </c:pt>
              </c:strCache>
            </c:strRef>
          </c:cat>
          <c:val>
            <c:numRef>
              <c:f>'[Budget Papers Chapter 6 - Charts and Table.xlsx]Chart 6.3 - Net Worth'!$C$3:$G$3</c:f>
              <c:numCache>
                <c:formatCode>#,##0</c:formatCode>
                <c:ptCount val="5"/>
                <c:pt idx="0">
                  <c:v>210142.66180070999</c:v>
                </c:pt>
                <c:pt idx="1">
                  <c:v>203045.56012248903</c:v>
                </c:pt>
                <c:pt idx="2">
                  <c:v>208662.22584621</c:v>
                </c:pt>
                <c:pt idx="3">
                  <c:v>225149.49878491001</c:v>
                </c:pt>
                <c:pt idx="4">
                  <c:v>235824.12924192002</c:v>
                </c:pt>
              </c:numCache>
            </c:numRef>
          </c:val>
          <c:extLst>
            <c:ext xmlns:c16="http://schemas.microsoft.com/office/drawing/2014/chart" uri="{C3380CC4-5D6E-409C-BE32-E72D297353CC}">
              <c16:uniqueId val="{00000000-D1EE-445F-A208-647BE4BF0377}"/>
            </c:ext>
          </c:extLst>
        </c:ser>
        <c:ser>
          <c:idx val="3"/>
          <c:order val="1"/>
          <c:tx>
            <c:strRef>
              <c:f>'[Budget Papers Chapter 6 - Charts and Table.xlsx]Chart 6.3 - Net Worth'!$B$4</c:f>
              <c:strCache>
                <c:ptCount val="1"/>
                <c:pt idx="0">
                  <c:v>Non-Financial Assets</c:v>
                </c:pt>
              </c:strCache>
            </c:strRef>
          </c:tx>
          <c:spPr>
            <a:solidFill>
              <a:srgbClr val="00ABE6"/>
            </a:solidFill>
            <a:ln>
              <a:noFill/>
            </a:ln>
            <a:effectLst/>
          </c:spPr>
          <c:invertIfNegative val="0"/>
          <c:cat>
            <c:strRef>
              <c:f>'[Budget Papers Chapter 6 - Charts and Table.xlsx]Chart 6.3 - Net Worth'!$C$2:$G$2</c:f>
              <c:strCache>
                <c:ptCount val="5"/>
                <c:pt idx="0">
                  <c:v>June 2023</c:v>
                </c:pt>
                <c:pt idx="1">
                  <c:v>June 2024</c:v>
                </c:pt>
                <c:pt idx="2">
                  <c:v>June 2025</c:v>
                </c:pt>
                <c:pt idx="3">
                  <c:v>June 2026</c:v>
                </c:pt>
                <c:pt idx="4">
                  <c:v>June 2027</c:v>
                </c:pt>
              </c:strCache>
            </c:strRef>
          </c:cat>
          <c:val>
            <c:numRef>
              <c:f>'[Budget Papers Chapter 6 - Charts and Table.xlsx]Chart 6.3 - Net Worth'!$C$4:$G$4</c:f>
              <c:numCache>
                <c:formatCode>#,##0</c:formatCode>
                <c:ptCount val="5"/>
                <c:pt idx="0">
                  <c:v>364182.64856227697</c:v>
                </c:pt>
                <c:pt idx="1">
                  <c:v>381572.00911493</c:v>
                </c:pt>
                <c:pt idx="2">
                  <c:v>395613.23381106998</c:v>
                </c:pt>
                <c:pt idx="3">
                  <c:v>407205.24486715003</c:v>
                </c:pt>
                <c:pt idx="4">
                  <c:v>417779.11795461999</c:v>
                </c:pt>
              </c:numCache>
            </c:numRef>
          </c:val>
          <c:extLst>
            <c:ext xmlns:c16="http://schemas.microsoft.com/office/drawing/2014/chart" uri="{C3380CC4-5D6E-409C-BE32-E72D297353CC}">
              <c16:uniqueId val="{00000001-D1EE-445F-A208-647BE4BF0377}"/>
            </c:ext>
          </c:extLst>
        </c:ser>
        <c:ser>
          <c:idx val="1"/>
          <c:order val="2"/>
          <c:tx>
            <c:strRef>
              <c:f>'[Budget Papers Chapter 6 - Charts and Table.xlsx]Chart 6.3 - Net Worth'!$B$5</c:f>
              <c:strCache>
                <c:ptCount val="1"/>
                <c:pt idx="0">
                  <c:v>Liabilities</c:v>
                </c:pt>
              </c:strCache>
            </c:strRef>
          </c:tx>
          <c:spPr>
            <a:solidFill>
              <a:srgbClr val="002060"/>
            </a:solidFill>
            <a:ln>
              <a:noFill/>
            </a:ln>
            <a:effectLst/>
          </c:spPr>
          <c:invertIfNegative val="0"/>
          <c:cat>
            <c:strRef>
              <c:f>'[Budget Papers Chapter 6 - Charts and Table.xlsx]Chart 6.3 - Net Worth'!$C$2:$G$2</c:f>
              <c:strCache>
                <c:ptCount val="5"/>
                <c:pt idx="0">
                  <c:v>June 2023</c:v>
                </c:pt>
                <c:pt idx="1">
                  <c:v>June 2024</c:v>
                </c:pt>
                <c:pt idx="2">
                  <c:v>June 2025</c:v>
                </c:pt>
                <c:pt idx="3">
                  <c:v>June 2026</c:v>
                </c:pt>
                <c:pt idx="4">
                  <c:v>June 2027</c:v>
                </c:pt>
              </c:strCache>
            </c:strRef>
          </c:cat>
          <c:val>
            <c:numRef>
              <c:f>'[Budget Papers Chapter 6 - Charts and Table.xlsx]Chart 6.3 - Net Worth'!$C$5:$G$5</c:f>
              <c:numCache>
                <c:formatCode>#,##0</c:formatCode>
                <c:ptCount val="5"/>
                <c:pt idx="0">
                  <c:v>-248224.14248564802</c:v>
                </c:pt>
                <c:pt idx="1">
                  <c:v>-264011.30953691801</c:v>
                </c:pt>
                <c:pt idx="2">
                  <c:v>-277843.290066146</c:v>
                </c:pt>
                <c:pt idx="3">
                  <c:v>-293817.72373258899</c:v>
                </c:pt>
                <c:pt idx="4">
                  <c:v>-306565.75329320697</c:v>
                </c:pt>
              </c:numCache>
            </c:numRef>
          </c:val>
          <c:extLst>
            <c:ext xmlns:c16="http://schemas.microsoft.com/office/drawing/2014/chart" uri="{C3380CC4-5D6E-409C-BE32-E72D297353CC}">
              <c16:uniqueId val="{00000002-D1EE-445F-A208-647BE4BF0377}"/>
            </c:ext>
          </c:extLst>
        </c:ser>
        <c:dLbls>
          <c:showLegendKey val="0"/>
          <c:showVal val="0"/>
          <c:showCatName val="0"/>
          <c:showSerName val="0"/>
          <c:showPercent val="0"/>
          <c:showBubbleSize val="0"/>
        </c:dLbls>
        <c:gapWidth val="150"/>
        <c:overlap val="100"/>
        <c:axId val="235566800"/>
        <c:axId val="16435184"/>
      </c:barChart>
      <c:lineChart>
        <c:grouping val="standard"/>
        <c:varyColors val="0"/>
        <c:ser>
          <c:idx val="2"/>
          <c:order val="3"/>
          <c:tx>
            <c:strRef>
              <c:f>'[Budget Papers Chapter 6 - Charts and Table.xlsx]Chart 6.3 - Net Worth'!$B$6</c:f>
              <c:strCache>
                <c:ptCount val="1"/>
                <c:pt idx="0">
                  <c:v>Net Worth</c:v>
                </c:pt>
              </c:strCache>
            </c:strRef>
          </c:tx>
          <c:spPr>
            <a:ln w="28575" cap="rnd">
              <a:solidFill>
                <a:schemeClr val="accent3"/>
              </a:solidFill>
              <a:round/>
            </a:ln>
            <a:effectLst/>
          </c:spPr>
          <c:marker>
            <c:symbol val="none"/>
          </c:marker>
          <c:cat>
            <c:strRef>
              <c:f>'[Budget Papers Chapter 6 - Charts and Table.xlsx]Chart 6.3 - Net Worth'!$C$2:$G$2</c:f>
              <c:strCache>
                <c:ptCount val="5"/>
                <c:pt idx="0">
                  <c:v>June 2023</c:v>
                </c:pt>
                <c:pt idx="1">
                  <c:v>June 2024</c:v>
                </c:pt>
                <c:pt idx="2">
                  <c:v>June 2025</c:v>
                </c:pt>
                <c:pt idx="3">
                  <c:v>June 2026</c:v>
                </c:pt>
                <c:pt idx="4">
                  <c:v>June 2027</c:v>
                </c:pt>
              </c:strCache>
            </c:strRef>
          </c:cat>
          <c:val>
            <c:numRef>
              <c:f>'[Budget Papers Chapter 6 - Charts and Table.xlsx]Chart 6.3 - Net Worth'!$C$6:$G$6</c:f>
              <c:numCache>
                <c:formatCode>#,##0</c:formatCode>
                <c:ptCount val="5"/>
                <c:pt idx="0">
                  <c:v>326101.167877339</c:v>
                </c:pt>
                <c:pt idx="1">
                  <c:v>320606.25970050099</c:v>
                </c:pt>
                <c:pt idx="2">
                  <c:v>326432.16959113395</c:v>
                </c:pt>
                <c:pt idx="3">
                  <c:v>338537.019919471</c:v>
                </c:pt>
                <c:pt idx="4">
                  <c:v>347037.49390333198</c:v>
                </c:pt>
              </c:numCache>
            </c:numRef>
          </c:val>
          <c:smooth val="0"/>
          <c:extLst>
            <c:ext xmlns:c16="http://schemas.microsoft.com/office/drawing/2014/chart" uri="{C3380CC4-5D6E-409C-BE32-E72D297353CC}">
              <c16:uniqueId val="{00000003-D1EE-445F-A208-647BE4BF0377}"/>
            </c:ext>
          </c:extLst>
        </c:ser>
        <c:dLbls>
          <c:showLegendKey val="0"/>
          <c:showVal val="0"/>
          <c:showCatName val="0"/>
          <c:showSerName val="0"/>
          <c:showPercent val="0"/>
          <c:showBubbleSize val="0"/>
        </c:dLbls>
        <c:marker val="1"/>
        <c:smooth val="0"/>
        <c:axId val="235566800"/>
        <c:axId val="16435184"/>
      </c:lineChart>
      <c:catAx>
        <c:axId val="23556680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'[Budget Papers Chapter 6 - Charts and Table.xlsx]Chart 6.4 - Financial Assets'!$B$5</c:f>
              <c:strCache>
                <c:ptCount val="1"/>
                <c:pt idx="0">
                  <c:v>Equity Investments</c:v>
                </c:pt>
              </c:strCache>
            </c:strRef>
          </c:tx>
          <c:spPr>
            <a:solidFill>
              <a:srgbClr val="002060"/>
            </a:solidFill>
            <a:ln>
              <a:noFill/>
            </a:ln>
            <a:effectLst/>
          </c:spPr>
          <c:invertIfNegative val="0"/>
          <c:cat>
            <c:strRef>
              <c:f>'[Budget Papers Chapter 6 - Charts and Table.xlsx]Chart 6.4 - Financial Assets'!$C$2:$G$2</c:f>
              <c:strCache>
                <c:ptCount val="5"/>
                <c:pt idx="0">
                  <c:v>June 2023</c:v>
                </c:pt>
                <c:pt idx="1">
                  <c:v>June 2024</c:v>
                </c:pt>
                <c:pt idx="2">
                  <c:v>June 2025</c:v>
                </c:pt>
                <c:pt idx="3">
                  <c:v>June 2026</c:v>
                </c:pt>
                <c:pt idx="4">
                  <c:v>June 2027</c:v>
                </c:pt>
              </c:strCache>
            </c:strRef>
          </c:cat>
          <c:val>
            <c:numRef>
              <c:f>'[Budget Papers Chapter 6 - Charts and Table.xlsx]Chart 6.4 - Financial Assets'!$C$5:$G$5</c:f>
              <c:numCache>
                <c:formatCode>#,##0</c:formatCode>
                <c:ptCount val="5"/>
                <c:pt idx="0">
                  <c:v>136239.67785546998</c:v>
                </c:pt>
                <c:pt idx="1">
                  <c:v>134721.961252329</c:v>
                </c:pt>
                <c:pt idx="2">
                  <c:v>134341.54618561</c:v>
                </c:pt>
                <c:pt idx="3">
                  <c:v>141195.43238129999</c:v>
                </c:pt>
                <c:pt idx="4">
                  <c:v>144370.64013758002</c:v>
                </c:pt>
              </c:numCache>
            </c:numRef>
          </c:val>
          <c:extLst>
            <c:ext xmlns:c16="http://schemas.microsoft.com/office/drawing/2014/chart" uri="{C3380CC4-5D6E-409C-BE32-E72D297353CC}">
              <c16:uniqueId val="{00000000-97DE-45C0-A3E2-50A811CE5910}"/>
            </c:ext>
          </c:extLst>
        </c:ser>
        <c:ser>
          <c:idx val="3"/>
          <c:order val="1"/>
          <c:tx>
            <c:strRef>
              <c:f>'[Budget Papers Chapter 6 - Charts and Table.xlsx]Chart 6.4 - Financial Assets'!$B$4</c:f>
              <c:strCache>
                <c:ptCount val="1"/>
                <c:pt idx="0">
                  <c:v>Financial Assets at Fair Value</c:v>
                </c:pt>
              </c:strCache>
            </c:strRef>
          </c:tx>
          <c:spPr>
            <a:solidFill>
              <a:srgbClr val="00ABE6"/>
            </a:solidFill>
            <a:ln>
              <a:noFill/>
            </a:ln>
            <a:effectLst/>
          </c:spPr>
          <c:invertIfNegative val="0"/>
          <c:cat>
            <c:strRef>
              <c:f>'[Budget Papers Chapter 6 - Charts and Table.xlsx]Chart 6.4 - Financial Assets'!$C$2:$G$2</c:f>
              <c:strCache>
                <c:ptCount val="5"/>
                <c:pt idx="0">
                  <c:v>June 2023</c:v>
                </c:pt>
                <c:pt idx="1">
                  <c:v>June 2024</c:v>
                </c:pt>
                <c:pt idx="2">
                  <c:v>June 2025</c:v>
                </c:pt>
                <c:pt idx="3">
                  <c:v>June 2026</c:v>
                </c:pt>
                <c:pt idx="4">
                  <c:v>June 2027</c:v>
                </c:pt>
              </c:strCache>
            </c:strRef>
          </c:cat>
          <c:val>
            <c:numRef>
              <c:f>'[Budget Papers Chapter 6 - Charts and Table.xlsx]Chart 6.4 - Financial Assets'!$C$4:$G$4</c:f>
              <c:numCache>
                <c:formatCode>#,##0</c:formatCode>
                <c:ptCount val="5"/>
                <c:pt idx="0">
                  <c:v>48383.028440189999</c:v>
                </c:pt>
                <c:pt idx="1">
                  <c:v>49392.57156086</c:v>
                </c:pt>
                <c:pt idx="2">
                  <c:v>54454.244812730001</c:v>
                </c:pt>
                <c:pt idx="3">
                  <c:v>61569.685362069999</c:v>
                </c:pt>
                <c:pt idx="4">
                  <c:v>69566.5887946</c:v>
                </c:pt>
              </c:numCache>
            </c:numRef>
          </c:val>
          <c:extLst>
            <c:ext xmlns:c16="http://schemas.microsoft.com/office/drawing/2014/chart" uri="{C3380CC4-5D6E-409C-BE32-E72D297353CC}">
              <c16:uniqueId val="{00000001-97DE-45C0-A3E2-50A811CE5910}"/>
            </c:ext>
          </c:extLst>
        </c:ser>
        <c:ser>
          <c:idx val="0"/>
          <c:order val="2"/>
          <c:tx>
            <c:strRef>
              <c:f>'[Budget Papers Chapter 6 - Charts and Table.xlsx]Chart 6.4 - Financial Assets'!$B$3</c:f>
              <c:strCache>
                <c:ptCount val="1"/>
                <c:pt idx="0">
                  <c:v>Receivables</c:v>
                </c:pt>
              </c:strCache>
            </c:strRef>
          </c:tx>
          <c:spPr>
            <a:solidFill>
              <a:srgbClr val="0A7CB9"/>
            </a:solidFill>
            <a:ln>
              <a:noFill/>
            </a:ln>
            <a:effectLst/>
          </c:spPr>
          <c:invertIfNegative val="0"/>
          <c:cat>
            <c:strRef>
              <c:f>'[Budget Papers Chapter 6 - Charts and Table.xlsx]Chart 6.4 - Financial Assets'!$C$2:$G$2</c:f>
              <c:strCache>
                <c:ptCount val="5"/>
                <c:pt idx="0">
                  <c:v>June 2023</c:v>
                </c:pt>
                <c:pt idx="1">
                  <c:v>June 2024</c:v>
                </c:pt>
                <c:pt idx="2">
                  <c:v>June 2025</c:v>
                </c:pt>
                <c:pt idx="3">
                  <c:v>June 2026</c:v>
                </c:pt>
                <c:pt idx="4">
                  <c:v>June 2027</c:v>
                </c:pt>
              </c:strCache>
            </c:strRef>
          </c:cat>
          <c:val>
            <c:numRef>
              <c:f>'[Budget Papers Chapter 6 - Charts and Table.xlsx]Chart 6.4 - Financial Assets'!$C$3:$G$3</c:f>
              <c:numCache>
                <c:formatCode>#,##0</c:formatCode>
                <c:ptCount val="5"/>
                <c:pt idx="0">
                  <c:v>12160.543708711999</c:v>
                </c:pt>
                <c:pt idx="1">
                  <c:v>11691.23505454</c:v>
                </c:pt>
                <c:pt idx="2">
                  <c:v>12223.996476120001</c:v>
                </c:pt>
                <c:pt idx="3">
                  <c:v>14771.946469530001</c:v>
                </c:pt>
                <c:pt idx="4">
                  <c:v>14617.08830084</c:v>
                </c:pt>
              </c:numCache>
            </c:numRef>
          </c:val>
          <c:extLst>
            <c:ext xmlns:c16="http://schemas.microsoft.com/office/drawing/2014/chart" uri="{C3380CC4-5D6E-409C-BE32-E72D297353CC}">
              <c16:uniqueId val="{00000002-97DE-45C0-A3E2-50A811CE5910}"/>
            </c:ext>
          </c:extLst>
        </c:ser>
        <c:ser>
          <c:idx val="2"/>
          <c:order val="3"/>
          <c:tx>
            <c:strRef>
              <c:f>'[Budget Papers Chapter 6 - Charts and Table.xlsx]Chart 6.4 - Financial Assets'!$B$6</c:f>
              <c:strCache>
                <c:ptCount val="1"/>
                <c:pt idx="0">
                  <c:v>Cash and Cash Equivalents</c:v>
                </c:pt>
              </c:strCache>
            </c:strRef>
          </c:tx>
          <c:spPr>
            <a:solidFill>
              <a:schemeClr val="accent3"/>
            </a:solidFill>
            <a:ln>
              <a:noFill/>
            </a:ln>
            <a:effectLst/>
          </c:spPr>
          <c:invertIfNegative val="0"/>
          <c:cat>
            <c:strRef>
              <c:f>'[Budget Papers Chapter 6 - Charts and Table.xlsx]Chart 6.4 - Financial Assets'!$C$2:$G$2</c:f>
              <c:strCache>
                <c:ptCount val="5"/>
                <c:pt idx="0">
                  <c:v>June 2023</c:v>
                </c:pt>
                <c:pt idx="1">
                  <c:v>June 2024</c:v>
                </c:pt>
                <c:pt idx="2">
                  <c:v>June 2025</c:v>
                </c:pt>
                <c:pt idx="3">
                  <c:v>June 2026</c:v>
                </c:pt>
                <c:pt idx="4">
                  <c:v>June 2027</c:v>
                </c:pt>
              </c:strCache>
            </c:strRef>
          </c:cat>
          <c:val>
            <c:numRef>
              <c:f>'[Budget Papers Chapter 6 - Charts and Table.xlsx]Chart 6.4 - Financial Assets'!$C$6:$G$6</c:f>
              <c:numCache>
                <c:formatCode>#,##0</c:formatCode>
                <c:ptCount val="5"/>
                <c:pt idx="0">
                  <c:v>6344.4138359600202</c:v>
                </c:pt>
                <c:pt idx="1">
                  <c:v>244.31913924999898</c:v>
                </c:pt>
                <c:pt idx="2">
                  <c:v>262.28253636000602</c:v>
                </c:pt>
                <c:pt idx="3">
                  <c:v>271.06825643999997</c:v>
                </c:pt>
                <c:pt idx="4">
                  <c:v>263.21293067999699</c:v>
                </c:pt>
              </c:numCache>
            </c:numRef>
          </c:val>
          <c:extLst>
            <c:ext xmlns:c16="http://schemas.microsoft.com/office/drawing/2014/chart" uri="{C3380CC4-5D6E-409C-BE32-E72D297353CC}">
              <c16:uniqueId val="{00000003-97DE-45C0-A3E2-50A811CE5910}"/>
            </c:ext>
          </c:extLst>
        </c:ser>
        <c:ser>
          <c:idx val="4"/>
          <c:order val="4"/>
          <c:tx>
            <c:strRef>
              <c:f>'[Budget Papers Chapter 6 - Charts and Table.xlsx]Chart 6.4 - Financial Assets'!$B$7</c:f>
              <c:strCache>
                <c:ptCount val="1"/>
                <c:pt idx="0">
                  <c:v>Other Financial Assets</c:v>
                </c:pt>
              </c:strCache>
            </c:strRef>
          </c:tx>
          <c:spPr>
            <a:solidFill>
              <a:schemeClr val="accent5"/>
            </a:solidFill>
            <a:ln>
              <a:noFill/>
            </a:ln>
            <a:effectLst/>
          </c:spPr>
          <c:invertIfNegative val="0"/>
          <c:cat>
            <c:strRef>
              <c:f>'[Budget Papers Chapter 6 - Charts and Table.xlsx]Chart 6.4 - Financial Assets'!$C$2:$G$2</c:f>
              <c:strCache>
                <c:ptCount val="5"/>
                <c:pt idx="0">
                  <c:v>June 2023</c:v>
                </c:pt>
                <c:pt idx="1">
                  <c:v>June 2024</c:v>
                </c:pt>
                <c:pt idx="2">
                  <c:v>June 2025</c:v>
                </c:pt>
                <c:pt idx="3">
                  <c:v>June 2026</c:v>
                </c:pt>
                <c:pt idx="4">
                  <c:v>June 2027</c:v>
                </c:pt>
              </c:strCache>
            </c:strRef>
          </c:cat>
          <c:val>
            <c:numRef>
              <c:f>'[Budget Papers Chapter 6 - Charts and Table.xlsx]Chart 6.4 - Financial Assets'!$C$7:$G$7</c:f>
              <c:numCache>
                <c:formatCode>#,##0</c:formatCode>
                <c:ptCount val="5"/>
                <c:pt idx="0">
                  <c:v>7014.9979603779793</c:v>
                </c:pt>
                <c:pt idx="1">
                  <c:v>6995.4731155100162</c:v>
                </c:pt>
                <c:pt idx="2">
                  <c:v>7380.1558353900036</c:v>
                </c:pt>
                <c:pt idx="3">
                  <c:v>7341.3663155700197</c:v>
                </c:pt>
                <c:pt idx="4">
                  <c:v>7006.5990782199951</c:v>
                </c:pt>
              </c:numCache>
            </c:numRef>
          </c:val>
          <c:extLst>
            <c:ext xmlns:c16="http://schemas.microsoft.com/office/drawing/2014/chart" uri="{C3380CC4-5D6E-409C-BE32-E72D297353CC}">
              <c16:uniqueId val="{00000004-97DE-45C0-A3E2-50A811CE5910}"/>
            </c:ext>
          </c:extLst>
        </c:ser>
        <c:dLbls>
          <c:showLegendKey val="0"/>
          <c:showVal val="0"/>
          <c:showCatName val="0"/>
          <c:showSerName val="0"/>
          <c:showPercent val="0"/>
          <c:showBubbleSize val="0"/>
        </c:dLbls>
        <c:gapWidth val="150"/>
        <c:overlap val="100"/>
        <c:axId val="235566800"/>
        <c:axId val="16435184"/>
      </c:barChart>
      <c:catAx>
        <c:axId val="23556680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'[Budget Papers Chapter 6 - Charts and Table.xlsx]Chart 6.5 - Non-Fin Assets'!$B$5</c:f>
              <c:strCache>
                <c:ptCount val="1"/>
                <c:pt idx="0">
                  <c:v>Infrastructure Systems</c:v>
                </c:pt>
              </c:strCache>
            </c:strRef>
          </c:tx>
          <c:spPr>
            <a:solidFill>
              <a:srgbClr val="002060"/>
            </a:solidFill>
            <a:ln>
              <a:noFill/>
            </a:ln>
            <a:effectLst/>
          </c:spPr>
          <c:invertIfNegative val="0"/>
          <c:cat>
            <c:strRef>
              <c:f>'[Budget Papers Chapter 6 - Charts and Table.xlsx]Chart 6.5 - Non-Fin Assets'!$C$2:$G$2</c:f>
              <c:strCache>
                <c:ptCount val="5"/>
                <c:pt idx="0">
                  <c:v>June 2023</c:v>
                </c:pt>
                <c:pt idx="1">
                  <c:v>June 2024</c:v>
                </c:pt>
                <c:pt idx="2">
                  <c:v>June 2025</c:v>
                </c:pt>
                <c:pt idx="3">
                  <c:v>June 2026</c:v>
                </c:pt>
                <c:pt idx="4">
                  <c:v>June 2027</c:v>
                </c:pt>
              </c:strCache>
            </c:strRef>
          </c:cat>
          <c:val>
            <c:numRef>
              <c:f>'[Budget Papers Chapter 6 - Charts and Table.xlsx]Chart 6.5 - Non-Fin Assets'!$C$5:$G$5</c:f>
              <c:numCache>
                <c:formatCode>#,##0</c:formatCode>
                <c:ptCount val="5"/>
                <c:pt idx="0">
                  <c:v>204161.56939070998</c:v>
                </c:pt>
                <c:pt idx="1">
                  <c:v>216251.80333145999</c:v>
                </c:pt>
                <c:pt idx="2">
                  <c:v>225260.54761563</c:v>
                </c:pt>
                <c:pt idx="3">
                  <c:v>233985.00117747</c:v>
                </c:pt>
                <c:pt idx="4">
                  <c:v>242533.56239501</c:v>
                </c:pt>
              </c:numCache>
            </c:numRef>
          </c:val>
          <c:extLst>
            <c:ext xmlns:c16="http://schemas.microsoft.com/office/drawing/2014/chart" uri="{C3380CC4-5D6E-409C-BE32-E72D297353CC}">
              <c16:uniqueId val="{00000000-EBDD-4B9F-95D9-309E20E80F17}"/>
            </c:ext>
          </c:extLst>
        </c:ser>
        <c:ser>
          <c:idx val="3"/>
          <c:order val="1"/>
          <c:tx>
            <c:strRef>
              <c:f>'[Budget Papers Chapter 6 - Charts and Table.xlsx]Chart 6.5 - Non-Fin Assets'!$B$4</c:f>
              <c:strCache>
                <c:ptCount val="1"/>
                <c:pt idx="0">
                  <c:v>Land and Buildings</c:v>
                </c:pt>
              </c:strCache>
            </c:strRef>
          </c:tx>
          <c:spPr>
            <a:solidFill>
              <a:srgbClr val="00ABE6"/>
            </a:solidFill>
            <a:ln>
              <a:noFill/>
            </a:ln>
            <a:effectLst/>
          </c:spPr>
          <c:invertIfNegative val="0"/>
          <c:cat>
            <c:strRef>
              <c:f>'[Budget Papers Chapter 6 - Charts and Table.xlsx]Chart 6.5 - Non-Fin Assets'!$C$2:$G$2</c:f>
              <c:strCache>
                <c:ptCount val="5"/>
                <c:pt idx="0">
                  <c:v>June 2023</c:v>
                </c:pt>
                <c:pt idx="1">
                  <c:v>June 2024</c:v>
                </c:pt>
                <c:pt idx="2">
                  <c:v>June 2025</c:v>
                </c:pt>
                <c:pt idx="3">
                  <c:v>June 2026</c:v>
                </c:pt>
                <c:pt idx="4">
                  <c:v>June 2027</c:v>
                </c:pt>
              </c:strCache>
            </c:strRef>
          </c:cat>
          <c:val>
            <c:numRef>
              <c:f>'[Budget Papers Chapter 6 - Charts and Table.xlsx]Chart 6.5 - Non-Fin Assets'!$C$4:$G$4</c:f>
              <c:numCache>
                <c:formatCode>#,##0</c:formatCode>
                <c:ptCount val="5"/>
                <c:pt idx="0">
                  <c:v>130360.12019499</c:v>
                </c:pt>
                <c:pt idx="1">
                  <c:v>134858.17154412001</c:v>
                </c:pt>
                <c:pt idx="2">
                  <c:v>140070.37289707002</c:v>
                </c:pt>
                <c:pt idx="3">
                  <c:v>143789.61124890999</c:v>
                </c:pt>
                <c:pt idx="4">
                  <c:v>146527.62982682997</c:v>
                </c:pt>
              </c:numCache>
            </c:numRef>
          </c:val>
          <c:extLst>
            <c:ext xmlns:c16="http://schemas.microsoft.com/office/drawing/2014/chart" uri="{C3380CC4-5D6E-409C-BE32-E72D297353CC}">
              <c16:uniqueId val="{00000001-EBDD-4B9F-95D9-309E20E80F17}"/>
            </c:ext>
          </c:extLst>
        </c:ser>
        <c:ser>
          <c:idx val="0"/>
          <c:order val="2"/>
          <c:tx>
            <c:strRef>
              <c:f>'[Budget Papers Chapter 6 - Charts and Table.xlsx]Chart 6.5 - Non-Fin Assets'!$B$3</c:f>
              <c:strCache>
                <c:ptCount val="1"/>
                <c:pt idx="0">
                  <c:v>Plant and Equipment</c:v>
                </c:pt>
              </c:strCache>
            </c:strRef>
          </c:tx>
          <c:spPr>
            <a:solidFill>
              <a:srgbClr val="0A7CB9"/>
            </a:solidFill>
            <a:ln>
              <a:noFill/>
            </a:ln>
            <a:effectLst/>
          </c:spPr>
          <c:invertIfNegative val="0"/>
          <c:cat>
            <c:strRef>
              <c:f>'[Budget Papers Chapter 6 - Charts and Table.xlsx]Chart 6.5 - Non-Fin Assets'!$C$2:$G$2</c:f>
              <c:strCache>
                <c:ptCount val="5"/>
                <c:pt idx="0">
                  <c:v>June 2023</c:v>
                </c:pt>
                <c:pt idx="1">
                  <c:v>June 2024</c:v>
                </c:pt>
                <c:pt idx="2">
                  <c:v>June 2025</c:v>
                </c:pt>
                <c:pt idx="3">
                  <c:v>June 2026</c:v>
                </c:pt>
                <c:pt idx="4">
                  <c:v>June 2027</c:v>
                </c:pt>
              </c:strCache>
            </c:strRef>
          </c:cat>
          <c:val>
            <c:numRef>
              <c:f>'[Budget Papers Chapter 6 - Charts and Table.xlsx]Chart 6.5 - Non-Fin Assets'!$C$3:$G$3</c:f>
              <c:numCache>
                <c:formatCode>#,##0</c:formatCode>
                <c:ptCount val="5"/>
                <c:pt idx="0">
                  <c:v>14894.491300950001</c:v>
                </c:pt>
                <c:pt idx="1">
                  <c:v>15096.5459276</c:v>
                </c:pt>
                <c:pt idx="2">
                  <c:v>14948.81315709</c:v>
                </c:pt>
                <c:pt idx="3">
                  <c:v>14640.262394290001</c:v>
                </c:pt>
                <c:pt idx="4">
                  <c:v>14060.954986979999</c:v>
                </c:pt>
              </c:numCache>
            </c:numRef>
          </c:val>
          <c:extLst>
            <c:ext xmlns:c16="http://schemas.microsoft.com/office/drawing/2014/chart" uri="{C3380CC4-5D6E-409C-BE32-E72D297353CC}">
              <c16:uniqueId val="{00000002-EBDD-4B9F-95D9-309E20E80F17}"/>
            </c:ext>
          </c:extLst>
        </c:ser>
        <c:ser>
          <c:idx val="2"/>
          <c:order val="3"/>
          <c:tx>
            <c:strRef>
              <c:f>'[Budget Papers Chapter 6 - Charts and Table.xlsx]Chart 6.5 - Non-Fin Assets'!$B$6</c:f>
              <c:strCache>
                <c:ptCount val="1"/>
                <c:pt idx="0">
                  <c:v>Intangibles</c:v>
                </c:pt>
              </c:strCache>
            </c:strRef>
          </c:tx>
          <c:spPr>
            <a:solidFill>
              <a:schemeClr val="accent3"/>
            </a:solidFill>
            <a:ln>
              <a:noFill/>
            </a:ln>
            <a:effectLst/>
          </c:spPr>
          <c:invertIfNegative val="0"/>
          <c:cat>
            <c:strRef>
              <c:f>'[Budget Papers Chapter 6 - Charts and Table.xlsx]Chart 6.5 - Non-Fin Assets'!$C$2:$G$2</c:f>
              <c:strCache>
                <c:ptCount val="5"/>
                <c:pt idx="0">
                  <c:v>June 2023</c:v>
                </c:pt>
                <c:pt idx="1">
                  <c:v>June 2024</c:v>
                </c:pt>
                <c:pt idx="2">
                  <c:v>June 2025</c:v>
                </c:pt>
                <c:pt idx="3">
                  <c:v>June 2026</c:v>
                </c:pt>
                <c:pt idx="4">
                  <c:v>June 2027</c:v>
                </c:pt>
              </c:strCache>
            </c:strRef>
          </c:cat>
          <c:val>
            <c:numRef>
              <c:f>'[Budget Papers Chapter 6 - Charts and Table.xlsx]Chart 6.5 - Non-Fin Assets'!$C$6:$G$6</c:f>
              <c:numCache>
                <c:formatCode>#,##0</c:formatCode>
                <c:ptCount val="5"/>
                <c:pt idx="0">
                  <c:v>5176.3372438699998</c:v>
                </c:pt>
                <c:pt idx="1">
                  <c:v>5471.7501608000002</c:v>
                </c:pt>
                <c:pt idx="2">
                  <c:v>5414.8724778000005</c:v>
                </c:pt>
                <c:pt idx="3">
                  <c:v>5133.6048680900003</c:v>
                </c:pt>
                <c:pt idx="4">
                  <c:v>4858.3785484399996</c:v>
                </c:pt>
              </c:numCache>
            </c:numRef>
          </c:val>
          <c:extLst>
            <c:ext xmlns:c16="http://schemas.microsoft.com/office/drawing/2014/chart" uri="{C3380CC4-5D6E-409C-BE32-E72D297353CC}">
              <c16:uniqueId val="{00000003-EBDD-4B9F-95D9-309E20E80F17}"/>
            </c:ext>
          </c:extLst>
        </c:ser>
        <c:ser>
          <c:idx val="4"/>
          <c:order val="4"/>
          <c:tx>
            <c:strRef>
              <c:f>'[Budget Papers Chapter 6 - Charts and Table.xlsx]Chart 6.5 - Non-Fin Assets'!$B$7</c:f>
              <c:strCache>
                <c:ptCount val="1"/>
                <c:pt idx="0">
                  <c:v>Other Non-Financial Assets</c:v>
                </c:pt>
              </c:strCache>
            </c:strRef>
          </c:tx>
          <c:spPr>
            <a:solidFill>
              <a:schemeClr val="accent5"/>
            </a:solidFill>
            <a:ln>
              <a:noFill/>
            </a:ln>
            <a:effectLst/>
          </c:spPr>
          <c:invertIfNegative val="0"/>
          <c:cat>
            <c:strRef>
              <c:f>'[Budget Papers Chapter 6 - Charts and Table.xlsx]Chart 6.5 - Non-Fin Assets'!$C$2:$G$2</c:f>
              <c:strCache>
                <c:ptCount val="5"/>
                <c:pt idx="0">
                  <c:v>June 2023</c:v>
                </c:pt>
                <c:pt idx="1">
                  <c:v>June 2024</c:v>
                </c:pt>
                <c:pt idx="2">
                  <c:v>June 2025</c:v>
                </c:pt>
                <c:pt idx="3">
                  <c:v>June 2026</c:v>
                </c:pt>
                <c:pt idx="4">
                  <c:v>June 2027</c:v>
                </c:pt>
              </c:strCache>
            </c:strRef>
          </c:cat>
          <c:val>
            <c:numRef>
              <c:f>'[Budget Papers Chapter 6 - Charts and Table.xlsx]Chart 6.5 - Non-Fin Assets'!$C$7:$G$7</c:f>
              <c:numCache>
                <c:formatCode>#,##0</c:formatCode>
                <c:ptCount val="5"/>
                <c:pt idx="0">
                  <c:v>9590.1304317569593</c:v>
                </c:pt>
                <c:pt idx="1">
                  <c:v>9893.7381509499974</c:v>
                </c:pt>
                <c:pt idx="2">
                  <c:v>9918.6276634800015</c:v>
                </c:pt>
                <c:pt idx="3">
                  <c:v>9656.7651783900219</c:v>
                </c:pt>
                <c:pt idx="4">
                  <c:v>9798.5921973600052</c:v>
                </c:pt>
              </c:numCache>
            </c:numRef>
          </c:val>
          <c:extLst>
            <c:ext xmlns:c16="http://schemas.microsoft.com/office/drawing/2014/chart" uri="{C3380CC4-5D6E-409C-BE32-E72D297353CC}">
              <c16:uniqueId val="{00000004-EBDD-4B9F-95D9-309E20E80F17}"/>
            </c:ext>
          </c:extLst>
        </c:ser>
        <c:dLbls>
          <c:showLegendKey val="0"/>
          <c:showVal val="0"/>
          <c:showCatName val="0"/>
          <c:showSerName val="0"/>
          <c:showPercent val="0"/>
          <c:showBubbleSize val="0"/>
        </c:dLbls>
        <c:gapWidth val="150"/>
        <c:overlap val="100"/>
        <c:axId val="235566800"/>
        <c:axId val="16435184"/>
      </c:barChart>
      <c:catAx>
        <c:axId val="23556680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'[Budget Papers Chapter 6 - Charts and Table.xlsx]Chart 6.6 - Liabilities'!$B$5</c:f>
              <c:strCache>
                <c:ptCount val="1"/>
                <c:pt idx="0">
                  <c:v>Borrowings</c:v>
                </c:pt>
              </c:strCache>
            </c:strRef>
          </c:tx>
          <c:spPr>
            <a:solidFill>
              <a:srgbClr val="002060"/>
            </a:solidFill>
            <a:ln>
              <a:noFill/>
            </a:ln>
            <a:effectLst/>
          </c:spPr>
          <c:invertIfNegative val="0"/>
          <c:cat>
            <c:strRef>
              <c:f>'[Budget Papers Chapter 6 - Charts and Table.xlsx]Chart 6.6 - Liabilities'!$C$2:$G$2</c:f>
              <c:strCache>
                <c:ptCount val="5"/>
                <c:pt idx="0">
                  <c:v>June 2023</c:v>
                </c:pt>
                <c:pt idx="1">
                  <c:v>June 2024</c:v>
                </c:pt>
                <c:pt idx="2">
                  <c:v>June 2025</c:v>
                </c:pt>
                <c:pt idx="3">
                  <c:v>June 2026</c:v>
                </c:pt>
                <c:pt idx="4">
                  <c:v>June 2027</c:v>
                </c:pt>
              </c:strCache>
            </c:strRef>
          </c:cat>
          <c:val>
            <c:numRef>
              <c:f>'[Budget Papers Chapter 6 - Charts and Table.xlsx]Chart 6.6 - Liabilities'!$C$5:$G$5</c:f>
              <c:numCache>
                <c:formatCode>#,##0</c:formatCode>
                <c:ptCount val="5"/>
                <c:pt idx="0">
                  <c:v>132095.81968684</c:v>
                </c:pt>
                <c:pt idx="1">
                  <c:v>145016.46643129003</c:v>
                </c:pt>
                <c:pt idx="2">
                  <c:v>158787.18542200001</c:v>
                </c:pt>
                <c:pt idx="3">
                  <c:v>172689.95658194998</c:v>
                </c:pt>
                <c:pt idx="4">
                  <c:v>186045.53700005999</c:v>
                </c:pt>
              </c:numCache>
            </c:numRef>
          </c:val>
          <c:extLst>
            <c:ext xmlns:c16="http://schemas.microsoft.com/office/drawing/2014/chart" uri="{C3380CC4-5D6E-409C-BE32-E72D297353CC}">
              <c16:uniqueId val="{00000000-B343-4040-82F5-B24B15A5AFDC}"/>
            </c:ext>
          </c:extLst>
        </c:ser>
        <c:ser>
          <c:idx val="3"/>
          <c:order val="1"/>
          <c:tx>
            <c:strRef>
              <c:f>'[Budget Papers Chapter 6 - Charts and Table.xlsx]Chart 6.6 - Liabilities'!$B$4</c:f>
              <c:strCache>
                <c:ptCount val="1"/>
                <c:pt idx="0">
                  <c:v>Superannuation Liabilities</c:v>
                </c:pt>
              </c:strCache>
            </c:strRef>
          </c:tx>
          <c:spPr>
            <a:solidFill>
              <a:srgbClr val="00ABE6"/>
            </a:solidFill>
            <a:ln>
              <a:noFill/>
            </a:ln>
            <a:effectLst/>
          </c:spPr>
          <c:invertIfNegative val="0"/>
          <c:cat>
            <c:strRef>
              <c:f>'[Budget Papers Chapter 6 - Charts and Table.xlsx]Chart 6.6 - Liabilities'!$C$2:$G$2</c:f>
              <c:strCache>
                <c:ptCount val="5"/>
                <c:pt idx="0">
                  <c:v>June 2023</c:v>
                </c:pt>
                <c:pt idx="1">
                  <c:v>June 2024</c:v>
                </c:pt>
                <c:pt idx="2">
                  <c:v>June 2025</c:v>
                </c:pt>
                <c:pt idx="3">
                  <c:v>June 2026</c:v>
                </c:pt>
                <c:pt idx="4">
                  <c:v>June 2027</c:v>
                </c:pt>
              </c:strCache>
            </c:strRef>
          </c:cat>
          <c:val>
            <c:numRef>
              <c:f>'[Budget Papers Chapter 6 - Charts and Table.xlsx]Chart 6.6 - Liabilities'!$C$4:$G$4</c:f>
              <c:numCache>
                <c:formatCode>#,##0</c:formatCode>
                <c:ptCount val="5"/>
                <c:pt idx="0">
                  <c:v>40804.228099300002</c:v>
                </c:pt>
                <c:pt idx="1">
                  <c:v>42686.006982057996</c:v>
                </c:pt>
                <c:pt idx="2">
                  <c:v>41630.6721551261</c:v>
                </c:pt>
                <c:pt idx="3">
                  <c:v>40460.609485189103</c:v>
                </c:pt>
                <c:pt idx="4">
                  <c:v>39182.968470697604</c:v>
                </c:pt>
              </c:numCache>
            </c:numRef>
          </c:val>
          <c:extLst>
            <c:ext xmlns:c16="http://schemas.microsoft.com/office/drawing/2014/chart" uri="{C3380CC4-5D6E-409C-BE32-E72D297353CC}">
              <c16:uniqueId val="{00000001-B343-4040-82F5-B24B15A5AFDC}"/>
            </c:ext>
          </c:extLst>
        </c:ser>
        <c:ser>
          <c:idx val="0"/>
          <c:order val="2"/>
          <c:tx>
            <c:strRef>
              <c:f>'[Budget Papers Chapter 6 - Charts and Table.xlsx]Chart 6.6 - Liabilities'!$B$3</c:f>
              <c:strCache>
                <c:ptCount val="1"/>
                <c:pt idx="0">
                  <c:v>Employee Provisions</c:v>
                </c:pt>
              </c:strCache>
            </c:strRef>
          </c:tx>
          <c:spPr>
            <a:solidFill>
              <a:srgbClr val="0A7CB9"/>
            </a:solidFill>
            <a:ln>
              <a:noFill/>
            </a:ln>
            <a:effectLst/>
          </c:spPr>
          <c:invertIfNegative val="0"/>
          <c:cat>
            <c:strRef>
              <c:f>'[Budget Papers Chapter 6 - Charts and Table.xlsx]Chart 6.6 - Liabilities'!$C$2:$G$2</c:f>
              <c:strCache>
                <c:ptCount val="5"/>
                <c:pt idx="0">
                  <c:v>June 2023</c:v>
                </c:pt>
                <c:pt idx="1">
                  <c:v>June 2024</c:v>
                </c:pt>
                <c:pt idx="2">
                  <c:v>June 2025</c:v>
                </c:pt>
                <c:pt idx="3">
                  <c:v>June 2026</c:v>
                </c:pt>
                <c:pt idx="4">
                  <c:v>June 2027</c:v>
                </c:pt>
              </c:strCache>
            </c:strRef>
          </c:cat>
          <c:val>
            <c:numRef>
              <c:f>'[Budget Papers Chapter 6 - Charts and Table.xlsx]Chart 6.6 - Liabilities'!$C$3:$G$3</c:f>
              <c:numCache>
                <c:formatCode>#,##0</c:formatCode>
                <c:ptCount val="5"/>
                <c:pt idx="0">
                  <c:v>25402.143771130002</c:v>
                </c:pt>
                <c:pt idx="1">
                  <c:v>27197.700795610002</c:v>
                </c:pt>
                <c:pt idx="2">
                  <c:v>28158.051682019999</c:v>
                </c:pt>
                <c:pt idx="3">
                  <c:v>29326.457125339999</c:v>
                </c:pt>
                <c:pt idx="4">
                  <c:v>30352.834434439999</c:v>
                </c:pt>
              </c:numCache>
            </c:numRef>
          </c:val>
          <c:extLst>
            <c:ext xmlns:c16="http://schemas.microsoft.com/office/drawing/2014/chart" uri="{C3380CC4-5D6E-409C-BE32-E72D297353CC}">
              <c16:uniqueId val="{00000002-B343-4040-82F5-B24B15A5AFDC}"/>
            </c:ext>
          </c:extLst>
        </c:ser>
        <c:ser>
          <c:idx val="2"/>
          <c:order val="3"/>
          <c:tx>
            <c:strRef>
              <c:f>'[Budget Papers Chapter 6 - Charts and Table.xlsx]Chart 6.6 - Liabilities'!$B$6</c:f>
              <c:strCache>
                <c:ptCount val="1"/>
                <c:pt idx="0">
                  <c:v>Payables</c:v>
                </c:pt>
              </c:strCache>
            </c:strRef>
          </c:tx>
          <c:spPr>
            <a:solidFill>
              <a:schemeClr val="accent3"/>
            </a:solidFill>
            <a:ln>
              <a:noFill/>
            </a:ln>
            <a:effectLst/>
          </c:spPr>
          <c:invertIfNegative val="0"/>
          <c:cat>
            <c:strRef>
              <c:f>'[Budget Papers Chapter 6 - Charts and Table.xlsx]Chart 6.6 - Liabilities'!$C$2:$G$2</c:f>
              <c:strCache>
                <c:ptCount val="5"/>
                <c:pt idx="0">
                  <c:v>June 2023</c:v>
                </c:pt>
                <c:pt idx="1">
                  <c:v>June 2024</c:v>
                </c:pt>
                <c:pt idx="2">
                  <c:v>June 2025</c:v>
                </c:pt>
                <c:pt idx="3">
                  <c:v>June 2026</c:v>
                </c:pt>
                <c:pt idx="4">
                  <c:v>June 2027</c:v>
                </c:pt>
              </c:strCache>
            </c:strRef>
          </c:cat>
          <c:val>
            <c:numRef>
              <c:f>'[Budget Papers Chapter 6 - Charts and Table.xlsx]Chart 6.6 - Liabilities'!$C$6:$G$6</c:f>
              <c:numCache>
                <c:formatCode>#,##0</c:formatCode>
                <c:ptCount val="5"/>
                <c:pt idx="0">
                  <c:v>9955.5045816263191</c:v>
                </c:pt>
                <c:pt idx="1">
                  <c:v>9875.8227153099997</c:v>
                </c:pt>
                <c:pt idx="2">
                  <c:v>9999.8070153400004</c:v>
                </c:pt>
                <c:pt idx="3">
                  <c:v>10142.60932005</c:v>
                </c:pt>
                <c:pt idx="4">
                  <c:v>10159.215543819999</c:v>
                </c:pt>
              </c:numCache>
            </c:numRef>
          </c:val>
          <c:extLst>
            <c:ext xmlns:c16="http://schemas.microsoft.com/office/drawing/2014/chart" uri="{C3380CC4-5D6E-409C-BE32-E72D297353CC}">
              <c16:uniqueId val="{00000003-B343-4040-82F5-B24B15A5AFDC}"/>
            </c:ext>
          </c:extLst>
        </c:ser>
        <c:ser>
          <c:idx val="4"/>
          <c:order val="4"/>
          <c:tx>
            <c:strRef>
              <c:f>'[Budget Papers Chapter 6 - Charts and Table.xlsx]Chart 6.6 - Liabilities'!$B$7</c:f>
              <c:strCache>
                <c:ptCount val="1"/>
                <c:pt idx="0">
                  <c:v>Other Liabilities</c:v>
                </c:pt>
              </c:strCache>
            </c:strRef>
          </c:tx>
          <c:spPr>
            <a:solidFill>
              <a:schemeClr val="accent5"/>
            </a:solidFill>
            <a:ln>
              <a:noFill/>
            </a:ln>
            <a:effectLst/>
          </c:spPr>
          <c:invertIfNegative val="0"/>
          <c:cat>
            <c:strRef>
              <c:f>'[Budget Papers Chapter 6 - Charts and Table.xlsx]Chart 6.6 - Liabilities'!$C$2:$G$2</c:f>
              <c:strCache>
                <c:ptCount val="5"/>
                <c:pt idx="0">
                  <c:v>June 2023</c:v>
                </c:pt>
                <c:pt idx="1">
                  <c:v>June 2024</c:v>
                </c:pt>
                <c:pt idx="2">
                  <c:v>June 2025</c:v>
                </c:pt>
                <c:pt idx="3">
                  <c:v>June 2026</c:v>
                </c:pt>
                <c:pt idx="4">
                  <c:v>June 2027</c:v>
                </c:pt>
              </c:strCache>
            </c:strRef>
          </c:cat>
          <c:val>
            <c:numRef>
              <c:f>'[Budget Papers Chapter 6 - Charts and Table.xlsx]Chart 6.6 - Liabilities'!$C$7:$G$7</c:f>
              <c:numCache>
                <c:formatCode>#,##0</c:formatCode>
                <c:ptCount val="5"/>
                <c:pt idx="0">
                  <c:v>39966.446346751676</c:v>
                </c:pt>
                <c:pt idx="1">
                  <c:v>39235.312612649985</c:v>
                </c:pt>
                <c:pt idx="2">
                  <c:v>39267.573791659903</c:v>
                </c:pt>
                <c:pt idx="3">
                  <c:v>41198.091220059898</c:v>
                </c:pt>
                <c:pt idx="4">
                  <c:v>40825.197844189359</c:v>
                </c:pt>
              </c:numCache>
            </c:numRef>
          </c:val>
          <c:extLst>
            <c:ext xmlns:c16="http://schemas.microsoft.com/office/drawing/2014/chart" uri="{C3380CC4-5D6E-409C-BE32-E72D297353CC}">
              <c16:uniqueId val="{00000004-B343-4040-82F5-B24B15A5AFDC}"/>
            </c:ext>
          </c:extLst>
        </c:ser>
        <c:dLbls>
          <c:showLegendKey val="0"/>
          <c:showVal val="0"/>
          <c:showCatName val="0"/>
          <c:showSerName val="0"/>
          <c:showPercent val="0"/>
          <c:showBubbleSize val="0"/>
        </c:dLbls>
        <c:gapWidth val="150"/>
        <c:overlap val="100"/>
        <c:axId val="235566800"/>
        <c:axId val="16435184"/>
      </c:barChart>
      <c:catAx>
        <c:axId val="23556680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'[Budget Papers Chapter 6 - Charts and Table.xlsx]Chart 6.8 - Cash Deficit'!$B$3</c:f>
              <c:strCache>
                <c:ptCount val="1"/>
                <c:pt idx="0">
                  <c:v>Net cash from operating activities</c:v>
                </c:pt>
              </c:strCache>
            </c:strRef>
          </c:tx>
          <c:spPr>
            <a:solidFill>
              <a:srgbClr val="002664"/>
            </a:solidFill>
            <a:ln>
              <a:noFill/>
            </a:ln>
            <a:effectLst/>
          </c:spPr>
          <c:invertIfNegative val="0"/>
          <c:cat>
            <c:strRef>
              <c:f>'[Budget Papers Chapter 6 - Charts and Table.xlsx]Chart 6.8 - Cash Deficit'!$C$2:$G$2</c:f>
              <c:strCache>
                <c:ptCount val="5"/>
                <c:pt idx="0">
                  <c:v>2022-23</c:v>
                </c:pt>
                <c:pt idx="1">
                  <c:v>2023-24</c:v>
                </c:pt>
                <c:pt idx="2">
                  <c:v>2024-25</c:v>
                </c:pt>
                <c:pt idx="3">
                  <c:v>2025-26</c:v>
                </c:pt>
                <c:pt idx="4">
                  <c:v>2026-27</c:v>
                </c:pt>
              </c:strCache>
            </c:strRef>
          </c:cat>
          <c:val>
            <c:numRef>
              <c:f>'[Budget Papers Chapter 6 - Charts and Table.xlsx]Chart 6.8 - Cash Deficit'!$C$3:$G$3</c:f>
              <c:numCache>
                <c:formatCode>#,##0</c:formatCode>
                <c:ptCount val="5"/>
                <c:pt idx="0">
                  <c:v>-419.60655588339699</c:v>
                </c:pt>
                <c:pt idx="1">
                  <c:v>102.04673751995901</c:v>
                </c:pt>
                <c:pt idx="2">
                  <c:v>9272.6103882502994</c:v>
                </c:pt>
                <c:pt idx="3">
                  <c:v>9644.0913047499416</c:v>
                </c:pt>
                <c:pt idx="4">
                  <c:v>9695.6932085697808</c:v>
                </c:pt>
              </c:numCache>
            </c:numRef>
          </c:val>
          <c:extLst>
            <c:ext xmlns:c16="http://schemas.microsoft.com/office/drawing/2014/chart" uri="{C3380CC4-5D6E-409C-BE32-E72D297353CC}">
              <c16:uniqueId val="{00000000-44F5-442F-83D9-9F822621CEA0}"/>
            </c:ext>
          </c:extLst>
        </c:ser>
        <c:ser>
          <c:idx val="1"/>
          <c:order val="1"/>
          <c:tx>
            <c:strRef>
              <c:f>'[Budget Papers Chapter 6 - Charts and Table.xlsx]Chart 6.8 - Cash Deficit'!$B$4</c:f>
              <c:strCache>
                <c:ptCount val="1"/>
                <c:pt idx="0">
                  <c:v>Net cash from investment in non-financial assets</c:v>
                </c:pt>
              </c:strCache>
            </c:strRef>
          </c:tx>
          <c:spPr>
            <a:solidFill>
              <a:schemeClr val="accent2"/>
            </a:solidFill>
            <a:ln>
              <a:noFill/>
            </a:ln>
            <a:effectLst/>
          </c:spPr>
          <c:invertIfNegative val="0"/>
          <c:cat>
            <c:strRef>
              <c:f>'[Budget Papers Chapter 6 - Charts and Table.xlsx]Chart 6.8 - Cash Deficit'!$C$2:$G$2</c:f>
              <c:strCache>
                <c:ptCount val="5"/>
                <c:pt idx="0">
                  <c:v>2022-23</c:v>
                </c:pt>
                <c:pt idx="1">
                  <c:v>2023-24</c:v>
                </c:pt>
                <c:pt idx="2">
                  <c:v>2024-25</c:v>
                </c:pt>
                <c:pt idx="3">
                  <c:v>2025-26</c:v>
                </c:pt>
                <c:pt idx="4">
                  <c:v>2026-27</c:v>
                </c:pt>
              </c:strCache>
            </c:strRef>
          </c:cat>
          <c:val>
            <c:numRef>
              <c:f>'[Budget Papers Chapter 6 - Charts and Table.xlsx]Chart 6.8 - Cash Deficit'!$C$4:$G$4</c:f>
              <c:numCache>
                <c:formatCode>#,##0</c:formatCode>
                <c:ptCount val="5"/>
                <c:pt idx="0">
                  <c:v>-21450.954716115601</c:v>
                </c:pt>
                <c:pt idx="1">
                  <c:v>-16949.883923900001</c:v>
                </c:pt>
                <c:pt idx="2">
                  <c:v>-18312.924252479999</c:v>
                </c:pt>
                <c:pt idx="3">
                  <c:v>-18738.915217919999</c:v>
                </c:pt>
                <c:pt idx="4">
                  <c:v>-18016.63438381</c:v>
                </c:pt>
              </c:numCache>
            </c:numRef>
          </c:val>
          <c:extLst>
            <c:ext xmlns:c16="http://schemas.microsoft.com/office/drawing/2014/chart" uri="{C3380CC4-5D6E-409C-BE32-E72D297353CC}">
              <c16:uniqueId val="{00000001-44F5-442F-83D9-9F822621CEA0}"/>
            </c:ext>
          </c:extLst>
        </c:ser>
        <c:dLbls>
          <c:showLegendKey val="0"/>
          <c:showVal val="0"/>
          <c:showCatName val="0"/>
          <c:showSerName val="0"/>
          <c:showPercent val="0"/>
          <c:showBubbleSize val="0"/>
        </c:dLbls>
        <c:gapWidth val="219"/>
        <c:axId val="235566800"/>
        <c:axId val="16435184"/>
      </c:barChart>
      <c:lineChart>
        <c:grouping val="standard"/>
        <c:varyColors val="0"/>
        <c:ser>
          <c:idx val="2"/>
          <c:order val="2"/>
          <c:tx>
            <c:strRef>
              <c:f>'[Budget Papers Chapter 6 - Charts and Table.xlsx]Chart 6.8 - Cash Deficit'!$B$5</c:f>
              <c:strCache>
                <c:ptCount val="1"/>
                <c:pt idx="0">
                  <c:v>Cash surplus/deficit</c:v>
                </c:pt>
              </c:strCache>
            </c:strRef>
          </c:tx>
          <c:spPr>
            <a:ln w="28575" cap="rnd">
              <a:solidFill>
                <a:schemeClr val="accent3"/>
              </a:solidFill>
              <a:round/>
            </a:ln>
            <a:effectLst/>
          </c:spPr>
          <c:marker>
            <c:symbol val="none"/>
          </c:marker>
          <c:cat>
            <c:strRef>
              <c:f>'[Budget Papers Chapter 6 - Charts and Table.xlsx]Chart 6.8 - Cash Deficit'!$C$2:$G$2</c:f>
              <c:strCache>
                <c:ptCount val="5"/>
                <c:pt idx="0">
                  <c:v>2022-23</c:v>
                </c:pt>
                <c:pt idx="1">
                  <c:v>2023-24</c:v>
                </c:pt>
                <c:pt idx="2">
                  <c:v>2024-25</c:v>
                </c:pt>
                <c:pt idx="3">
                  <c:v>2025-26</c:v>
                </c:pt>
                <c:pt idx="4">
                  <c:v>2026-27</c:v>
                </c:pt>
              </c:strCache>
            </c:strRef>
          </c:cat>
          <c:val>
            <c:numRef>
              <c:f>'[Budget Papers Chapter 6 - Charts and Table.xlsx]Chart 6.8 - Cash Deficit'!$C$5:$G$5</c:f>
              <c:numCache>
                <c:formatCode>#,##0</c:formatCode>
                <c:ptCount val="5"/>
                <c:pt idx="0">
                  <c:v>-21870.5612719989</c:v>
                </c:pt>
                <c:pt idx="1">
                  <c:v>-16847.837186379998</c:v>
                </c:pt>
                <c:pt idx="2">
                  <c:v>-9040.3138642296399</c:v>
                </c:pt>
                <c:pt idx="3">
                  <c:v>-9094.8239131700302</c:v>
                </c:pt>
                <c:pt idx="4">
                  <c:v>-8320.9411752401302</c:v>
                </c:pt>
              </c:numCache>
            </c:numRef>
          </c:val>
          <c:smooth val="0"/>
          <c:extLst>
            <c:ext xmlns:c16="http://schemas.microsoft.com/office/drawing/2014/chart" uri="{C3380CC4-5D6E-409C-BE32-E72D297353CC}">
              <c16:uniqueId val="{00000002-44F5-442F-83D9-9F822621CEA0}"/>
            </c:ext>
          </c:extLst>
        </c:ser>
        <c:dLbls>
          <c:showLegendKey val="0"/>
          <c:showVal val="0"/>
          <c:showCatName val="0"/>
          <c:showSerName val="0"/>
          <c:showPercent val="0"/>
          <c:showBubbleSize val="0"/>
        </c:dLbls>
        <c:marker val="1"/>
        <c:smooth val="0"/>
        <c:axId val="235566800"/>
        <c:axId val="16435184"/>
      </c:lineChart>
      <c:catAx>
        <c:axId val="23556680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435184"/>
        <c:crosses val="autoZero"/>
        <c:auto val="1"/>
        <c:lblAlgn val="ctr"/>
        <c:lblOffset val="100"/>
        <c:noMultiLvlLbl val="0"/>
      </c:catAx>
      <c:valAx>
        <c:axId val="16435184"/>
        <c:scaling>
          <c:orientation val="minMax"/>
          <c:max val="1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5566800"/>
        <c:crosses val="autoZero"/>
        <c:crossBetween val="between"/>
        <c:dispUnits>
          <c:builtInUnit val="thousands"/>
          <c:dispUnitsLbl>
            <c:layout>
              <c:manualLayout>
                <c:xMode val="edge"/>
                <c:yMode val="edge"/>
                <c:x val="2.276019035795572E-2"/>
                <c:y val="0.3384930384930384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Katherine Palmer</DisplayName>
        <AccountId>787</AccountId>
        <AccountType/>
      </UserInfo>
      <UserInfo>
        <DisplayName>Jun Wen</DisplayName>
        <AccountId>84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EE543B5C-64D5-4697-88A3-60BBC504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E9FD7-6E6C-41F1-AB66-B4A654C66101}">
  <ds:schemaRefs>
    <ds:schemaRef ds:uri="http://purl.org/dc/elements/1.1/"/>
    <ds:schemaRef ds:uri="http://schemas.microsoft.com/office/2006/documentManagement/types"/>
    <ds:schemaRef ds:uri="1c478e85-8130-4c67-8ee4-8bdf1c0e6049"/>
    <ds:schemaRef ds:uri="http://schemas.microsoft.com/office/2006/metadata/properties"/>
    <ds:schemaRef ds:uri="9f0ac7ce-5f57-4ea0-9af7-01d4f3f1ccae"/>
    <ds:schemaRef ds:uri="http://purl.org/dc/dcmitype/"/>
    <ds:schemaRef ds:uri="801a5968-9419-4033-b9de-7ffe8168468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2705</Words>
  <Characters>14361</Characters>
  <Application>Microsoft Office Word</Application>
  <DocSecurity>0</DocSecurity>
  <Lines>119</Lines>
  <Paragraphs>34</Paragraphs>
  <ScaleCrop>false</ScaleCrop>
  <Company>NSW Treasury</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Chapter 6 - Managing the State's Assets and Liabilities</dc:title>
  <dc:subject/>
  <dc:creator>NSWTreasury@nswgov.onmicrosoft.com</dc:creator>
  <cp:keywords/>
  <cp:lastModifiedBy>Francess Lavorato</cp:lastModifiedBy>
  <cp:revision>890</cp:revision>
  <cp:lastPrinted>2023-09-14T01:18:00Z</cp:lastPrinted>
  <dcterms:created xsi:type="dcterms:W3CDTF">2023-07-23T19:29:00Z</dcterms:created>
  <dcterms:modified xsi:type="dcterms:W3CDTF">2023-09-17T00:25:00Z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