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8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74B3" w14:textId="64BA75FC" w:rsidR="00A63D1D" w:rsidRPr="00676228" w:rsidRDefault="00123503" w:rsidP="00902A0F">
      <w:pPr>
        <w:pStyle w:val="Heading1"/>
        <w:tabs>
          <w:tab w:val="clear" w:pos="284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bookmarkStart w:id="0" w:name="_Toc516337850"/>
      <w:r>
        <w:rPr>
          <w:rFonts w:ascii="Public Sans SemiBold" w:hAnsi="Public Sans SemiBold"/>
          <w:color w:val="002664"/>
        </w:rPr>
        <w:t>2</w:t>
      </w:r>
      <w:r w:rsidR="00C11D1C" w:rsidRPr="00676228">
        <w:rPr>
          <w:rFonts w:ascii="Public Sans SemiBold" w:hAnsi="Public Sans SemiBold"/>
          <w:color w:val="002664"/>
        </w:rPr>
        <w:t xml:space="preserve">. </w:t>
      </w:r>
      <w:r w:rsidR="00A57A7A" w:rsidRPr="00676228">
        <w:rPr>
          <w:rFonts w:ascii="Public Sans SemiBold" w:hAnsi="Public Sans SemiBold"/>
          <w:color w:val="002664"/>
        </w:rPr>
        <w:tab/>
      </w:r>
      <w:bookmarkEnd w:id="0"/>
      <w:r w:rsidR="00676228">
        <w:rPr>
          <w:rFonts w:ascii="Public Sans SemiBold" w:hAnsi="Public Sans SemiBold"/>
          <w:color w:val="002664"/>
        </w:rPr>
        <w:t xml:space="preserve">cabinet </w:t>
      </w:r>
      <w:r w:rsidR="00775115">
        <w:rPr>
          <w:rFonts w:ascii="Public Sans SemiBold" w:hAnsi="Public Sans SemiBold"/>
          <w:color w:val="002664"/>
        </w:rPr>
        <w:t>office</w:t>
      </w:r>
    </w:p>
    <w:p w14:paraId="45154ECC" w14:textId="648D03F4" w:rsidR="00051529" w:rsidRPr="00892157" w:rsidRDefault="00B15CD4" w:rsidP="00D90A7D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bookmarkStart w:id="1" w:name="_Toc511756217"/>
      <w:bookmarkStart w:id="2" w:name="_Toc473722853"/>
      <w:bookmarkStart w:id="3" w:name="_Toc511769340"/>
      <w:bookmarkStart w:id="4" w:name="_Toc511768760"/>
      <w:r>
        <w:rPr>
          <w:rFonts w:ascii="Public Sans SemiBold" w:hAnsi="Public Sans SemiBold"/>
          <w:color w:val="22272B"/>
        </w:rPr>
        <w:t>2.</w:t>
      </w:r>
      <w:r w:rsidR="00512C0B" w:rsidRPr="00892157">
        <w:rPr>
          <w:rFonts w:ascii="Public Sans SemiBold" w:hAnsi="Public Sans SemiBold"/>
          <w:color w:val="22272B"/>
        </w:rPr>
        <w:t>1</w:t>
      </w:r>
      <w:r w:rsidR="00D90A7D">
        <w:rPr>
          <w:rFonts w:ascii="Public Sans SemiBold" w:hAnsi="Public Sans SemiBold"/>
          <w:color w:val="22272B"/>
        </w:rPr>
        <w:tab/>
      </w:r>
      <w:r w:rsidR="00051529" w:rsidRPr="00892157">
        <w:rPr>
          <w:rFonts w:ascii="Public Sans SemiBold" w:hAnsi="Public Sans SemiBold"/>
          <w:color w:val="22272B"/>
        </w:rPr>
        <w:t>Agency Expense Summary</w:t>
      </w:r>
      <w:bookmarkEnd w:id="1"/>
      <w:r w:rsidR="00051529" w:rsidRPr="00892157" w:rsidDel="00E54AF7">
        <w:rPr>
          <w:rFonts w:ascii="Public Sans SemiBold" w:hAnsi="Public Sans SemiBold"/>
          <w:color w:val="22272B"/>
        </w:rPr>
        <w:t xml:space="preserve"> </w:t>
      </w:r>
      <w:r w:rsidR="00A3698D" w:rsidRPr="00892157">
        <w:rPr>
          <w:rFonts w:ascii="Public Sans SemiBold" w:hAnsi="Public Sans SemiBold"/>
          <w:color w:val="22272B"/>
        </w:rPr>
        <w:t xml:space="preserve"> </w:t>
      </w:r>
    </w:p>
    <w:bookmarkEnd w:id="2"/>
    <w:bookmarkEnd w:id="3"/>
    <w:bookmarkEnd w:id="4"/>
    <w:p w14:paraId="461EC14F" w14:textId="77777777" w:rsidR="008F41A5" w:rsidRDefault="008F41A5" w:rsidP="008F41A5">
      <w:pPr>
        <w:rPr>
          <w:rFonts w:ascii="Arial" w:hAnsi="Arial" w:cs="Arial"/>
          <w:sz w:val="23"/>
          <w:szCs w:val="23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  <w:tblCaption w:val="2. Cabint Office - Agency Expense Summary"/>
        <w:tblDescription w:val="2. Cabint Office - Agency Expense Summary table&#10;&#10;"/>
      </w:tblPr>
      <w:tblGrid>
        <w:gridCol w:w="4046"/>
        <w:gridCol w:w="932"/>
        <w:gridCol w:w="932"/>
        <w:gridCol w:w="932"/>
        <w:gridCol w:w="932"/>
        <w:gridCol w:w="932"/>
        <w:gridCol w:w="933"/>
      </w:tblGrid>
      <w:tr w:rsidR="008F41A5" w14:paraId="43067561" w14:textId="77777777" w:rsidTr="00FE28E8">
        <w:trPr>
          <w:trHeight w:val="283"/>
        </w:trPr>
        <w:tc>
          <w:tcPr>
            <w:tcW w:w="4046" w:type="dxa"/>
            <w:vMerge w:val="restart"/>
            <w:shd w:val="clear" w:color="auto" w:fill="EBEBEB"/>
            <w:vAlign w:val="center"/>
            <w:hideMark/>
          </w:tcPr>
          <w:p w14:paraId="24EACFCA" w14:textId="6068D230" w:rsidR="008F41A5" w:rsidRPr="000B6479" w:rsidRDefault="001327A2">
            <w:pPr>
              <w:jc w:val="center"/>
              <w:rPr>
                <w:rFonts w:ascii="Public Sans" w:hAnsi="Public Sans"/>
                <w:b/>
                <w:bCs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Cabinet</w:t>
            </w:r>
            <w:r w:rsidR="009B6598">
              <w:rPr>
                <w:rFonts w:ascii="Public Sans" w:hAnsi="Public Sans" w:cs="Arial"/>
                <w:sz w:val="18"/>
                <w:szCs w:val="18"/>
              </w:rPr>
              <w:t xml:space="preserve"> Office</w:t>
            </w:r>
          </w:p>
        </w:tc>
        <w:tc>
          <w:tcPr>
            <w:tcW w:w="2796" w:type="dxa"/>
            <w:gridSpan w:val="3"/>
            <w:shd w:val="clear" w:color="auto" w:fill="EBEBEB"/>
            <w:vAlign w:val="bottom"/>
            <w:hideMark/>
          </w:tcPr>
          <w:p w14:paraId="5F3234EC" w14:textId="77777777" w:rsidR="008F41A5" w:rsidRPr="000B6479" w:rsidRDefault="008F41A5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Expenses</w:t>
            </w:r>
            <w:r w:rsidRPr="000B6479">
              <w:rPr>
                <w:rFonts w:ascii="Public Sans" w:hAnsi="Public Sans" w:cs="Arial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2797" w:type="dxa"/>
            <w:gridSpan w:val="3"/>
            <w:shd w:val="clear" w:color="auto" w:fill="EBEBEB"/>
            <w:vAlign w:val="bottom"/>
            <w:hideMark/>
          </w:tcPr>
          <w:p w14:paraId="242538F3" w14:textId="77777777" w:rsidR="008F41A5" w:rsidRPr="000B6479" w:rsidRDefault="008F41A5">
            <w:pPr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Capital Expenditure</w:t>
            </w:r>
          </w:p>
        </w:tc>
      </w:tr>
      <w:tr w:rsidR="008F41A5" w14:paraId="5F75FA07" w14:textId="77777777" w:rsidTr="6934AC01">
        <w:trPr>
          <w:trHeight w:val="255"/>
        </w:trPr>
        <w:tc>
          <w:tcPr>
            <w:tcW w:w="4046" w:type="dxa"/>
            <w:vMerge/>
            <w:vAlign w:val="center"/>
            <w:hideMark/>
          </w:tcPr>
          <w:p w14:paraId="69D1DF6E" w14:textId="77777777" w:rsidR="008F41A5" w:rsidRPr="000B6479" w:rsidRDefault="008F41A5">
            <w:pPr>
              <w:rPr>
                <w:rFonts w:ascii="Public Sans" w:hAnsi="Public Sans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3756CF5" w14:textId="57983E0B" w:rsidR="008F41A5" w:rsidRPr="000B6479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2022-23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AE1BF5B" w14:textId="29A32892" w:rsidR="008F41A5" w:rsidRPr="000B6479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2023-24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0176E36C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48FF6626" w14:textId="37EA826A" w:rsidR="008F41A5" w:rsidRPr="000B6479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2022-23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08FE9753" w14:textId="589F60CE" w:rsidR="008F41A5" w:rsidRPr="000B6479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2023-24</w:t>
            </w:r>
          </w:p>
        </w:tc>
        <w:tc>
          <w:tcPr>
            <w:tcW w:w="933" w:type="dxa"/>
            <w:shd w:val="clear" w:color="auto" w:fill="EBEBEB"/>
            <w:vAlign w:val="bottom"/>
            <w:hideMark/>
          </w:tcPr>
          <w:p w14:paraId="2A001017" w14:textId="57D33223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/>
                <w:sz w:val="18"/>
                <w:szCs w:val="18"/>
              </w:rPr>
            </w:pPr>
          </w:p>
        </w:tc>
      </w:tr>
      <w:tr w:rsidR="008F41A5" w14:paraId="15055C10" w14:textId="77777777" w:rsidTr="6934AC01">
        <w:trPr>
          <w:trHeight w:val="267"/>
        </w:trPr>
        <w:tc>
          <w:tcPr>
            <w:tcW w:w="4046" w:type="dxa"/>
            <w:vMerge/>
            <w:vAlign w:val="center"/>
            <w:hideMark/>
          </w:tcPr>
          <w:p w14:paraId="4C05B6CF" w14:textId="77777777" w:rsidR="008F41A5" w:rsidRPr="000B6479" w:rsidRDefault="008F41A5">
            <w:pPr>
              <w:rPr>
                <w:rFonts w:ascii="Public Sans" w:hAnsi="Public Sans"/>
                <w:b/>
                <w:bCs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1242FBFE" w14:textId="266FE977" w:rsidR="008F41A5" w:rsidRPr="000B6479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Est. Actual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2EC9FC1E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15D9D142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Change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603D99F5" w14:textId="7A9B38E8" w:rsidR="008F41A5" w:rsidRPr="000B6479" w:rsidRDefault="008023F2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Est. Actual</w:t>
            </w:r>
          </w:p>
        </w:tc>
        <w:tc>
          <w:tcPr>
            <w:tcW w:w="932" w:type="dxa"/>
            <w:shd w:val="clear" w:color="auto" w:fill="EBEBEB"/>
            <w:vAlign w:val="bottom"/>
            <w:hideMark/>
          </w:tcPr>
          <w:p w14:paraId="364822B2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Budget</w:t>
            </w:r>
          </w:p>
        </w:tc>
        <w:tc>
          <w:tcPr>
            <w:tcW w:w="933" w:type="dxa"/>
            <w:shd w:val="clear" w:color="auto" w:fill="EBEBEB"/>
            <w:vAlign w:val="bottom"/>
            <w:hideMark/>
          </w:tcPr>
          <w:p w14:paraId="0867E693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Change</w:t>
            </w:r>
          </w:p>
        </w:tc>
      </w:tr>
      <w:tr w:rsidR="008F41A5" w14:paraId="0DFA3E2D" w14:textId="77777777" w:rsidTr="00FE28E8">
        <w:trPr>
          <w:trHeight w:val="283"/>
        </w:trPr>
        <w:tc>
          <w:tcPr>
            <w:tcW w:w="4046" w:type="dxa"/>
            <w:shd w:val="clear" w:color="auto" w:fill="EBEBEB"/>
            <w:vAlign w:val="center"/>
            <w:hideMark/>
          </w:tcPr>
          <w:p w14:paraId="09A9904E" w14:textId="77777777" w:rsidR="008F41A5" w:rsidRPr="000B6479" w:rsidRDefault="008F41A5">
            <w:pPr>
              <w:jc w:val="center"/>
              <w:rPr>
                <w:rFonts w:ascii="Public Sans" w:hAnsi="Public Sans"/>
                <w:sz w:val="18"/>
                <w:szCs w:val="18"/>
              </w:rPr>
            </w:pPr>
            <w:r w:rsidRPr="000B6479">
              <w:rPr>
                <w:rFonts w:ascii="Public Sans" w:hAnsi="Public Sans"/>
                <w:sz w:val="18"/>
                <w:szCs w:val="18"/>
              </w:rPr>
              <w:t> </w:t>
            </w:r>
          </w:p>
        </w:tc>
        <w:tc>
          <w:tcPr>
            <w:tcW w:w="932" w:type="dxa"/>
            <w:shd w:val="clear" w:color="auto" w:fill="EBEBEB"/>
            <w:hideMark/>
          </w:tcPr>
          <w:p w14:paraId="4911C68B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49FAA3E7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2F6EB3DA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EBEBEB"/>
            <w:hideMark/>
          </w:tcPr>
          <w:p w14:paraId="44F6915B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EBEBEB"/>
            <w:hideMark/>
          </w:tcPr>
          <w:p w14:paraId="42331DC2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$m</w:t>
            </w:r>
          </w:p>
        </w:tc>
        <w:tc>
          <w:tcPr>
            <w:tcW w:w="933" w:type="dxa"/>
            <w:shd w:val="clear" w:color="auto" w:fill="EBEBEB"/>
            <w:hideMark/>
          </w:tcPr>
          <w:p w14:paraId="3E09832E" w14:textId="77777777" w:rsidR="008F41A5" w:rsidRPr="000B6479" w:rsidRDefault="008F41A5" w:rsidP="00D90A7D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</w:rPr>
              <w:t>%</w:t>
            </w:r>
          </w:p>
        </w:tc>
      </w:tr>
      <w:tr w:rsidR="00DE0A0D" w14:paraId="1076792E" w14:textId="77777777" w:rsidTr="2100DABB">
        <w:trPr>
          <w:trHeight w:val="320"/>
        </w:trPr>
        <w:tc>
          <w:tcPr>
            <w:tcW w:w="4046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42FFC3E" w14:textId="2FE03A30" w:rsidR="00DE0A0D" w:rsidRPr="000B6479" w:rsidRDefault="00DE0A0D" w:rsidP="00DE0A0D">
            <w:pPr>
              <w:spacing w:before="40" w:after="40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The Cabinet Office</w:t>
            </w:r>
            <w:r w:rsidRPr="000B6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(b)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4FECC3B1" w14:textId="1EFC66A6" w:rsidR="00DE0A0D" w:rsidRPr="008023F2" w:rsidRDefault="00DE0A0D" w:rsidP="00DE0A0D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491C5017" w14:textId="7A4EBF3A" w:rsidR="00DE0A0D" w:rsidRPr="008023F2" w:rsidRDefault="00DE0A0D" w:rsidP="00DE0A0D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93.5</w:t>
            </w:r>
          </w:p>
        </w:tc>
        <w:tc>
          <w:tcPr>
            <w:tcW w:w="932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5E3966AF" w14:textId="3A0B0404" w:rsidR="00DE0A0D" w:rsidRPr="008023F2" w:rsidRDefault="00DE0A0D" w:rsidP="00DE0A0D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5B2529BB" w14:textId="2E3FBA9F" w:rsidR="00DE0A0D" w:rsidRPr="008023F2" w:rsidRDefault="00DE0A0D" w:rsidP="00DE0A0D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3BBEC2D3" w14:textId="3A79F87E" w:rsidR="00DE0A0D" w:rsidRPr="008023F2" w:rsidRDefault="00DE0A0D" w:rsidP="00DE0A0D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2044F4F7" w14:textId="18B56C29" w:rsidR="00DE0A0D" w:rsidRPr="008023F2" w:rsidRDefault="00DE0A0D" w:rsidP="00DE0A0D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DE0A0D" w14:paraId="5A4F3817" w14:textId="77777777" w:rsidTr="2100DABB">
        <w:trPr>
          <w:trHeight w:val="290"/>
        </w:trPr>
        <w:tc>
          <w:tcPr>
            <w:tcW w:w="4046" w:type="dxa"/>
            <w:noWrap/>
            <w:vAlign w:val="bottom"/>
            <w:hideMark/>
          </w:tcPr>
          <w:p w14:paraId="2C139E32" w14:textId="56AC1C22" w:rsidR="00DE0A0D" w:rsidRPr="000B6479" w:rsidRDefault="00DE0A0D" w:rsidP="00DE0A0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7A8BEC2" w14:textId="59F535A2" w:rsidR="00DE0A0D" w:rsidRPr="006614D1" w:rsidRDefault="00DE0A0D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FAABCBD" w14:textId="53A5CF50" w:rsidR="00DE0A0D" w:rsidRPr="006614D1" w:rsidRDefault="00DE0A0D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8.7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4179B92" w14:textId="1B0F234E" w:rsidR="00DE0A0D" w:rsidRPr="006614D1" w:rsidRDefault="00DE0A0D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8B7DBBA" w14:textId="574A2E8A" w:rsidR="00DE0A0D" w:rsidRPr="006614D1" w:rsidRDefault="00DE0A0D" w:rsidP="00DE0A0D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0751E13" w14:textId="1D939EF5" w:rsidR="00DE0A0D" w:rsidRPr="006614D1" w:rsidRDefault="00DE0A0D" w:rsidP="00DE0A0D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80F9EE4" w14:textId="23B0ADCB" w:rsidR="00DE0A0D" w:rsidRPr="006614D1" w:rsidRDefault="00DE0A0D" w:rsidP="00DE0A0D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DE0A0D" w14:paraId="497E386F" w14:textId="77777777" w:rsidTr="00CB359F">
        <w:trPr>
          <w:trHeight w:val="340"/>
        </w:trPr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27AB17" w14:textId="6D13E740" w:rsidR="00DE0A0D" w:rsidRPr="000B6479" w:rsidRDefault="00DE0A0D" w:rsidP="00DE0A0D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Principal Department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B57F1" w14:textId="0E8888B6" w:rsidR="00DE0A0D" w:rsidRPr="006614D1" w:rsidRDefault="00DE0A0D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97012" w14:textId="2ECA28C0" w:rsidR="00DE0A0D" w:rsidRPr="006614D1" w:rsidRDefault="00DE0A0D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102.2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DD533C" w14:textId="1C8A172F" w:rsidR="00DE0A0D" w:rsidRPr="006614D1" w:rsidRDefault="00DE0A0D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EDF77" w14:textId="1CE7B622" w:rsidR="00DE0A0D" w:rsidRPr="006614D1" w:rsidRDefault="00DE0A0D" w:rsidP="00DE0A0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FBAB0" w14:textId="506C5306" w:rsidR="00DE0A0D" w:rsidRPr="006614D1" w:rsidRDefault="00DE0A0D" w:rsidP="00DE0A0D">
            <w:pPr>
              <w:ind w:left="-212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289BF57" w14:textId="19D69689" w:rsidR="00DE0A0D" w:rsidRPr="006614D1" w:rsidRDefault="00DE0A0D" w:rsidP="00DE0A0D">
            <w:pPr>
              <w:ind w:left="-208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…</w:t>
            </w:r>
          </w:p>
        </w:tc>
      </w:tr>
      <w:tr w:rsidR="00CB359F" w14:paraId="2CDC9095" w14:textId="77777777" w:rsidTr="00CB359F">
        <w:trPr>
          <w:trHeight w:val="290"/>
        </w:trPr>
        <w:tc>
          <w:tcPr>
            <w:tcW w:w="4046" w:type="dxa"/>
            <w:noWrap/>
            <w:vAlign w:val="bottom"/>
          </w:tcPr>
          <w:p w14:paraId="2FF5D204" w14:textId="7CF8E9F2" w:rsidR="00CB359F" w:rsidRPr="000B6479" w:rsidRDefault="00CB359F" w:rsidP="00A2240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Agencies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0486ABD6" w14:textId="77777777" w:rsidR="00CB359F" w:rsidRPr="006614D1" w:rsidRDefault="00CB359F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3D7AF60D" w14:textId="77777777" w:rsidR="00CB359F" w:rsidRPr="006614D1" w:rsidRDefault="00CB359F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14:paraId="313E2B3D" w14:textId="77777777" w:rsidR="00CB359F" w:rsidRPr="006614D1" w:rsidRDefault="00CB359F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390D86D2" w14:textId="77777777" w:rsidR="00CB359F" w:rsidRPr="006614D1" w:rsidRDefault="00CB359F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14:paraId="56FA00F4" w14:textId="77777777" w:rsidR="00CB359F" w:rsidRPr="006614D1" w:rsidRDefault="00CB359F" w:rsidP="00A22402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03623D" w14:textId="77777777" w:rsidR="00CB359F" w:rsidRPr="006614D1" w:rsidRDefault="00CB359F" w:rsidP="00A22402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345C22" w14:paraId="061F120C" w14:textId="77777777" w:rsidTr="00CB359F">
        <w:trPr>
          <w:trHeight w:val="290"/>
        </w:trPr>
        <w:tc>
          <w:tcPr>
            <w:tcW w:w="4046" w:type="dxa"/>
            <w:noWrap/>
            <w:vAlign w:val="bottom"/>
          </w:tcPr>
          <w:p w14:paraId="28F34D6E" w14:textId="2EB9D141" w:rsidR="00345C22" w:rsidRPr="000B6479" w:rsidRDefault="00CB359F" w:rsidP="00A2240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Agencies transferred from Premier</w:t>
            </w:r>
            <w:r w:rsidR="004642C6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’s Department</w:t>
            </w:r>
            <w:r w:rsidR="006E689A" w:rsidRPr="000B647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vertAlign w:val="superscript"/>
                <w:lang w:eastAsia="en-AU"/>
              </w:rPr>
              <w:t>(</w:t>
            </w:r>
            <w:r w:rsidR="00505C10" w:rsidRPr="000B647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vertAlign w:val="superscript"/>
                <w:lang w:eastAsia="en-AU"/>
              </w:rPr>
              <w:t>c</w:t>
            </w:r>
            <w:r w:rsidR="006E689A" w:rsidRPr="000B647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noWrap/>
            <w:vAlign w:val="bottom"/>
          </w:tcPr>
          <w:p w14:paraId="18EE3387" w14:textId="77777777" w:rsidR="00345C22" w:rsidRPr="006614D1" w:rsidRDefault="00345C22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noWrap/>
            <w:vAlign w:val="bottom"/>
          </w:tcPr>
          <w:p w14:paraId="053B8F39" w14:textId="77777777" w:rsidR="00345C22" w:rsidRPr="006614D1" w:rsidRDefault="00345C22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58F234A1" w14:textId="77777777" w:rsidR="00345C22" w:rsidRPr="006614D1" w:rsidRDefault="00345C22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noWrap/>
            <w:vAlign w:val="bottom"/>
          </w:tcPr>
          <w:p w14:paraId="5ED9E3CC" w14:textId="77777777" w:rsidR="00345C22" w:rsidRPr="006614D1" w:rsidRDefault="00345C22" w:rsidP="00A22402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noWrap/>
            <w:vAlign w:val="bottom"/>
          </w:tcPr>
          <w:p w14:paraId="6804E4BF" w14:textId="77777777" w:rsidR="00345C22" w:rsidRPr="006614D1" w:rsidRDefault="00345C22" w:rsidP="00A22402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EC852D9" w14:textId="77777777" w:rsidR="00345C22" w:rsidRPr="006614D1" w:rsidRDefault="00345C22" w:rsidP="00A22402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C04B9A" w14:paraId="2226AD5A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11E6BD99" w14:textId="27D2AE0F" w:rsidR="00C04B9A" w:rsidRPr="000B6479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Parliamentary Counsel's Office </w:t>
            </w: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C044017" w14:textId="02188303" w:rsidR="00C04B9A" w:rsidRPr="006614D1" w:rsidRDefault="00282903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10.9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A1BA453" w14:textId="428F1BF7" w:rsidR="00C04B9A" w:rsidRPr="006614D1" w:rsidRDefault="00282903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17BC232" w14:textId="46D8E4F4" w:rsidR="00C04B9A" w:rsidRPr="006614D1" w:rsidRDefault="00282903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3D5BAEE" w14:textId="50A93CDB" w:rsidR="00C04B9A" w:rsidRPr="006614D1" w:rsidRDefault="00282903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0</w:t>
            </w:r>
            <w:r w:rsidR="00F13B2D">
              <w:rPr>
                <w:rFonts w:ascii="Public Sans" w:hAnsi="Public Sans" w:cs="Arial"/>
                <w:sz w:val="18"/>
                <w:szCs w:val="18"/>
                <w:lang w:eastAsia="en-AU"/>
              </w:rPr>
              <w:t>.</w:t>
            </w:r>
            <w:r w:rsidR="00A40BF9">
              <w:rPr>
                <w:rFonts w:ascii="Public Sans" w:hAnsi="Public Sans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970E9DF" w14:textId="4788EB7E" w:rsidR="00C04B9A" w:rsidRPr="006614D1" w:rsidRDefault="00484AB5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0.9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BC8D1D5" w14:textId="4EB53EDE" w:rsidR="00C04B9A" w:rsidRPr="006614D1" w:rsidRDefault="007751AE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N/A</w:t>
            </w:r>
          </w:p>
        </w:tc>
      </w:tr>
      <w:tr w:rsidR="00C04B9A" w14:paraId="095A34F5" w14:textId="77777777" w:rsidTr="2100DABB">
        <w:trPr>
          <w:trHeight w:val="340"/>
        </w:trPr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1B21A2" w14:textId="06607733" w:rsidR="00C04B9A" w:rsidRPr="000B6479" w:rsidRDefault="00C04B9A" w:rsidP="00C04B9A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190B" w14:textId="74C286F2" w:rsidR="00C04B9A" w:rsidRPr="006614D1" w:rsidRDefault="00484AB5" w:rsidP="00C04B9A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10.9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BA8FE" w14:textId="6638C986" w:rsidR="00C04B9A" w:rsidRPr="006614D1" w:rsidRDefault="00484AB5" w:rsidP="00C04B9A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6EE4A0" w14:textId="3E7030AC" w:rsidR="00C04B9A" w:rsidRPr="006614D1" w:rsidRDefault="00484AB5" w:rsidP="00C04B9A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5AB7C" w14:textId="43DBFCCB" w:rsidR="00C04B9A" w:rsidRPr="006614D1" w:rsidRDefault="00286FA6" w:rsidP="00C04B9A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</w:t>
            </w:r>
            <w:r w:rsidR="00F13B2D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.</w:t>
            </w:r>
            <w:r w:rsidR="00A40BF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09A52" w14:textId="0BB22CF0" w:rsidR="00C04B9A" w:rsidRPr="006614D1" w:rsidRDefault="00286FA6" w:rsidP="00C04B9A">
            <w:pPr>
              <w:ind w:left="-212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0.9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BD39AB" w14:textId="1BF9D9D2" w:rsidR="00C04B9A" w:rsidRPr="006614D1" w:rsidRDefault="00620BD9" w:rsidP="00C04B9A">
            <w:pPr>
              <w:ind w:left="-208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N/A</w:t>
            </w:r>
          </w:p>
        </w:tc>
      </w:tr>
      <w:tr w:rsidR="00C04B9A" w14:paraId="68702FC8" w14:textId="77777777" w:rsidTr="2100DABB">
        <w:trPr>
          <w:trHeight w:val="104"/>
        </w:trPr>
        <w:tc>
          <w:tcPr>
            <w:tcW w:w="4046" w:type="dxa"/>
            <w:vAlign w:val="center"/>
            <w:hideMark/>
          </w:tcPr>
          <w:p w14:paraId="54E97151" w14:textId="77777777" w:rsidR="00C04B9A" w:rsidRPr="000B6479" w:rsidRDefault="00C04B9A" w:rsidP="00C04B9A">
            <w:pPr>
              <w:spacing w:before="40" w:after="40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Independent and Special Offices </w:t>
            </w:r>
          </w:p>
          <w:p w14:paraId="51513FDF" w14:textId="52473605" w:rsidR="00CB359F" w:rsidRPr="000B6479" w:rsidRDefault="00CB359F" w:rsidP="00C04B9A">
            <w:pPr>
              <w:spacing w:before="40" w:after="40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Agencies transferred from Premier</w:t>
            </w:r>
            <w:r w:rsidR="004642C6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’s Department</w:t>
            </w:r>
            <w:r w:rsidR="00505C10" w:rsidRPr="000B647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vertAlign w:val="superscript"/>
                <w:lang w:eastAsia="en-AU"/>
              </w:rPr>
              <w:t>(c</w:t>
            </w:r>
            <w:r w:rsidR="00A348C0" w:rsidRPr="000B647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</w:tcBorders>
            <w:noWrap/>
            <w:vAlign w:val="center"/>
          </w:tcPr>
          <w:p w14:paraId="350C24A1" w14:textId="77777777" w:rsidR="00C04B9A" w:rsidRPr="006614D1" w:rsidRDefault="00C04B9A" w:rsidP="00C04B9A">
            <w:pPr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2DE60D6E" w14:textId="77777777" w:rsidR="00C04B9A" w:rsidRPr="006614D1" w:rsidRDefault="00C04B9A" w:rsidP="00C04B9A">
            <w:pPr>
              <w:rPr>
                <w:rFonts w:ascii="Public Sans" w:hAnsi="Public Sans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D9DFFBD" w14:textId="6D770C23" w:rsidR="00C04B9A" w:rsidRPr="006614D1" w:rsidRDefault="00C04B9A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168DA23" w14:textId="77777777" w:rsidR="00C04B9A" w:rsidRPr="006614D1" w:rsidRDefault="00C04B9A" w:rsidP="00C04B9A">
            <w:pPr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0E8560E3" w14:textId="26F5C985" w:rsidR="00C04B9A" w:rsidRPr="006614D1" w:rsidRDefault="00C04B9A" w:rsidP="00C04B9A">
            <w:pPr>
              <w:rPr>
                <w:rFonts w:ascii="Public Sans" w:hAnsi="Public Sans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DE294B8" w14:textId="503DC9E4" w:rsidR="00C04B9A" w:rsidRPr="006614D1" w:rsidRDefault="00C04B9A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C04B9A" w14:paraId="3F2944E9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32E5FCCD" w14:textId="398A2875" w:rsidR="00C04B9A" w:rsidRPr="000B6479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Audit Office of New South Wales </w:t>
            </w: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C200297" w14:textId="41534CE4" w:rsidR="00C04B9A" w:rsidRPr="00FD0FB1" w:rsidRDefault="002808DD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0FB1">
              <w:rPr>
                <w:rFonts w:ascii="Public Sans" w:hAnsi="Public Sans" w:cs="Arial"/>
                <w:sz w:val="18"/>
                <w:szCs w:val="18"/>
                <w:lang w:eastAsia="en-AU"/>
              </w:rPr>
              <w:t>74.7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3102496" w14:textId="68D98D9B" w:rsidR="00C04B9A" w:rsidRPr="00FD0FB1" w:rsidRDefault="00FD0FB1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0FB1">
              <w:rPr>
                <w:rFonts w:ascii="Public Sans" w:hAnsi="Public Sans" w:cs="Arial"/>
                <w:sz w:val="18"/>
                <w:szCs w:val="18"/>
                <w:lang w:eastAsia="en-AU"/>
              </w:rPr>
              <w:t>82.5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D585E25" w14:textId="2E6B6691" w:rsidR="00C04B9A" w:rsidRPr="00FD0FB1" w:rsidRDefault="00FD0FB1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0FB1">
              <w:rPr>
                <w:rFonts w:ascii="Public Sans" w:hAnsi="Public Sans" w:cs="Arial"/>
                <w:sz w:val="18"/>
                <w:szCs w:val="18"/>
                <w:lang w:eastAsia="en-AU"/>
              </w:rPr>
              <w:t>10.4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2206824" w14:textId="3C5977F5" w:rsidR="00C04B9A" w:rsidRPr="00FD0FB1" w:rsidRDefault="00FD0FB1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0FB1">
              <w:rPr>
                <w:rFonts w:ascii="Public Sans" w:hAnsi="Public Sans" w:cs="Arial"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047F77C" w14:textId="5597980E" w:rsidR="00C04B9A" w:rsidRPr="00FD0FB1" w:rsidRDefault="00FD0FB1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0FB1">
              <w:rPr>
                <w:rFonts w:ascii="Public Sans" w:hAnsi="Public Sans" w:cs="Arial"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63EE11AF" w14:textId="67B48415" w:rsidR="00C04B9A" w:rsidRPr="00FD0FB1" w:rsidRDefault="00FD0FB1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FD0FB1">
              <w:rPr>
                <w:rFonts w:ascii="Public Sans" w:hAnsi="Public Sans" w:cs="Arial"/>
                <w:sz w:val="18"/>
                <w:szCs w:val="18"/>
                <w:lang w:eastAsia="en-AU"/>
              </w:rPr>
              <w:t>21.3</w:t>
            </w:r>
          </w:p>
        </w:tc>
      </w:tr>
      <w:tr w:rsidR="00C04B9A" w14:paraId="3529BC91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2D457ACF" w14:textId="10EBEBDC" w:rsidR="00C04B9A" w:rsidRPr="000B6479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Independent Commission Against Corruption </w:t>
            </w: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D851AB5" w14:textId="0DA59B0C" w:rsidR="00C04B9A" w:rsidRPr="006614D1" w:rsidRDefault="006E471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32.2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65E84D8" w14:textId="5A589C08" w:rsidR="00C04B9A" w:rsidRPr="006614D1" w:rsidRDefault="006E471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41.3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31B2C50" w14:textId="6A1918CD" w:rsidR="00C04B9A" w:rsidRPr="006614D1" w:rsidRDefault="006E471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28.4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47FA45F" w14:textId="72CE790E" w:rsidR="00C04B9A" w:rsidRPr="006614D1" w:rsidRDefault="00D20444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1.9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FD1A9E7" w14:textId="5F5C36C5" w:rsidR="00C04B9A" w:rsidRPr="006614D1" w:rsidRDefault="00D20444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596FE825" w14:textId="53E1DFF2" w:rsidR="00C04B9A" w:rsidRPr="006614D1" w:rsidRDefault="00D20444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27.9</w:t>
            </w:r>
          </w:p>
        </w:tc>
      </w:tr>
      <w:tr w:rsidR="00C04B9A" w14:paraId="67877D55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1D33DA73" w14:textId="4377AA1F" w:rsidR="00C04B9A" w:rsidRPr="000B6479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Law Enforcement Conduct Commission </w:t>
            </w: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9502419" w14:textId="7CD68D80" w:rsidR="00C04B9A" w:rsidRPr="006614D1" w:rsidRDefault="00D20444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24.1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285C75F" w14:textId="451698CB" w:rsidR="00C04B9A" w:rsidRPr="006614D1" w:rsidRDefault="00D20444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26.5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213E5DC2" w14:textId="1D869963" w:rsidR="00C04B9A" w:rsidRPr="006614D1" w:rsidRDefault="00D20444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10.1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09F9192" w14:textId="3BCCF489" w:rsidR="00C04B9A" w:rsidRPr="006614D1" w:rsidRDefault="00D20444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4A093C9" w14:textId="782F79DD" w:rsidR="00C04B9A" w:rsidRPr="006614D1" w:rsidRDefault="00D20444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1.1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F5268B4" w14:textId="34B3E586" w:rsidR="00C04B9A" w:rsidRPr="006614D1" w:rsidRDefault="00B7087B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8.1</w:t>
            </w:r>
          </w:p>
        </w:tc>
      </w:tr>
      <w:tr w:rsidR="00C04B9A" w14:paraId="074F4CF6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53E00BB5" w14:textId="01150462" w:rsidR="00C04B9A" w:rsidRPr="000B6479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New South Wales Electoral Commission </w:t>
            </w: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52DF2D3" w14:textId="2CDB4216" w:rsidR="00C04B9A" w:rsidRPr="006614D1" w:rsidRDefault="00B7087B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239.0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EC95AD9" w14:textId="0241B702" w:rsidR="00C04B9A" w:rsidRPr="006614D1" w:rsidRDefault="00B7087B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167.3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6DAF1AA2" w14:textId="1911AEE4" w:rsidR="00C04B9A" w:rsidRPr="006614D1" w:rsidRDefault="00B7087B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(30.0)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19DB6F4" w14:textId="3F7FE53A" w:rsidR="00C04B9A" w:rsidRPr="006614D1" w:rsidRDefault="00A70DD6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7.0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A80A374" w14:textId="7CAECD5A" w:rsidR="00C04B9A" w:rsidRPr="006614D1" w:rsidRDefault="00A70DD6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16.7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40B79E0" w14:textId="390C757A" w:rsidR="00C04B9A" w:rsidRPr="006614D1" w:rsidRDefault="00A70DD6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138.1</w:t>
            </w:r>
          </w:p>
        </w:tc>
      </w:tr>
      <w:tr w:rsidR="00C04B9A" w14:paraId="2700FCF9" w14:textId="77777777" w:rsidTr="00C9476E">
        <w:trPr>
          <w:trHeight w:val="290"/>
        </w:trPr>
        <w:tc>
          <w:tcPr>
            <w:tcW w:w="4046" w:type="dxa"/>
            <w:noWrap/>
            <w:vAlign w:val="bottom"/>
          </w:tcPr>
          <w:p w14:paraId="084830E5" w14:textId="3F24FA89" w:rsidR="00C04B9A" w:rsidRPr="000B6479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Ombudsman's Office </w:t>
            </w: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54886528" w14:textId="456DC594" w:rsidR="00C04B9A" w:rsidRPr="006614D1" w:rsidRDefault="00A70DD6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37.9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0F9D9091" w14:textId="3353E396" w:rsidR="00C04B9A" w:rsidRPr="006614D1" w:rsidRDefault="00A70DD6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53.8</w:t>
            </w:r>
          </w:p>
        </w:tc>
        <w:tc>
          <w:tcPr>
            <w:tcW w:w="932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2ABFC6C5" w14:textId="4324E0DC" w:rsidR="00C04B9A" w:rsidRPr="006614D1" w:rsidRDefault="00A70DD6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41.7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1A3940F8" w14:textId="580D5BD1" w:rsidR="00C04B9A" w:rsidRPr="006614D1" w:rsidRDefault="00A70DD6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1.2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217E35EC" w14:textId="391A84EE" w:rsidR="00C04B9A" w:rsidRPr="006614D1" w:rsidRDefault="00915B0E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933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01E771AF" w14:textId="36365516" w:rsidR="00C04B9A" w:rsidRPr="006614D1" w:rsidRDefault="00915B0E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44.6</w:t>
            </w:r>
          </w:p>
        </w:tc>
      </w:tr>
      <w:tr w:rsidR="00C9476E" w14:paraId="7FE667F6" w14:textId="77777777" w:rsidTr="00C9476E">
        <w:trPr>
          <w:trHeight w:val="290"/>
        </w:trPr>
        <w:tc>
          <w:tcPr>
            <w:tcW w:w="4046" w:type="dxa"/>
            <w:noWrap/>
            <w:vAlign w:val="bottom"/>
          </w:tcPr>
          <w:p w14:paraId="122788F9" w14:textId="4CE000C4" w:rsidR="00C9476E" w:rsidRPr="000B6479" w:rsidRDefault="00C9476E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Agencies transferred from Customer Service</w:t>
            </w:r>
          </w:p>
        </w:tc>
        <w:tc>
          <w:tcPr>
            <w:tcW w:w="932" w:type="dxa"/>
            <w:tcBorders>
              <w:top w:val="single" w:sz="4" w:space="0" w:color="FFFFFF" w:themeColor="background1"/>
              <w:left w:val="nil"/>
              <w:right w:val="nil"/>
            </w:tcBorders>
            <w:noWrap/>
            <w:vAlign w:val="bottom"/>
          </w:tcPr>
          <w:p w14:paraId="11BE7E12" w14:textId="77777777" w:rsidR="00C9476E" w:rsidRPr="006614D1" w:rsidRDefault="00C9476E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FFFFFF" w:themeColor="background1"/>
              <w:left w:val="nil"/>
              <w:right w:val="nil"/>
            </w:tcBorders>
            <w:noWrap/>
            <w:vAlign w:val="bottom"/>
          </w:tcPr>
          <w:p w14:paraId="53F72233" w14:textId="77777777" w:rsidR="00C9476E" w:rsidRPr="006614D1" w:rsidRDefault="00C9476E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FFFFFF" w:themeColor="background1"/>
              <w:left w:val="nil"/>
              <w:right w:val="single" w:sz="4" w:space="0" w:color="000000" w:themeColor="text1"/>
            </w:tcBorders>
            <w:vAlign w:val="bottom"/>
          </w:tcPr>
          <w:p w14:paraId="4AE7D811" w14:textId="77777777" w:rsidR="00C9476E" w:rsidRPr="006614D1" w:rsidRDefault="00C9476E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FFFFFF" w:themeColor="background1"/>
              <w:left w:val="nil"/>
              <w:right w:val="nil"/>
            </w:tcBorders>
            <w:noWrap/>
            <w:vAlign w:val="bottom"/>
          </w:tcPr>
          <w:p w14:paraId="3B58E057" w14:textId="77777777" w:rsidR="00C9476E" w:rsidRPr="006614D1" w:rsidRDefault="00C9476E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FFFFFF" w:themeColor="background1"/>
              <w:left w:val="nil"/>
              <w:right w:val="nil"/>
            </w:tcBorders>
            <w:noWrap/>
            <w:vAlign w:val="bottom"/>
          </w:tcPr>
          <w:p w14:paraId="5BA32D1D" w14:textId="77777777" w:rsidR="00C9476E" w:rsidRPr="006614D1" w:rsidRDefault="00C9476E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vAlign w:val="bottom"/>
          </w:tcPr>
          <w:p w14:paraId="1E06A4A1" w14:textId="77777777" w:rsidR="00C9476E" w:rsidRPr="006614D1" w:rsidRDefault="00C9476E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C04B9A" w14:paraId="6297B30A" w14:textId="77777777" w:rsidTr="00C9476E">
        <w:trPr>
          <w:trHeight w:val="290"/>
        </w:trPr>
        <w:tc>
          <w:tcPr>
            <w:tcW w:w="4046" w:type="dxa"/>
            <w:noWrap/>
            <w:vAlign w:val="bottom"/>
          </w:tcPr>
          <w:p w14:paraId="6BF5B15A" w14:textId="488A2F27" w:rsidR="00C04B9A" w:rsidRPr="000B6479" w:rsidRDefault="00C9476E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>Independent Pricing and Regulatory Tribunal</w:t>
            </w:r>
            <w:r w:rsidR="00810E78" w:rsidRPr="000B6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C6732C" w:rsidRPr="000B6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d</w:t>
            </w:r>
            <w:r w:rsidR="00810E78" w:rsidRPr="000B6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="005E031D" w:rsidRPr="000B6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5E031D" w:rsidRPr="002B20D1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A1B2D2" w14:textId="05F341C1" w:rsidR="00C04B9A" w:rsidRPr="006614D1" w:rsidRDefault="00CE4864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38.2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55F623" w14:textId="713AF6BF" w:rsidR="00C04B9A" w:rsidRPr="006614D1" w:rsidRDefault="00317FF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37.6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DD05A02" w14:textId="620FA130" w:rsidR="00C04B9A" w:rsidRPr="006614D1" w:rsidRDefault="00317FF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(1.4)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19C888" w14:textId="3DA9BFCB" w:rsidR="00C04B9A" w:rsidRPr="006614D1" w:rsidRDefault="00317FF2" w:rsidP="00C04B9A">
            <w:pPr>
              <w:spacing w:before="40" w:after="40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2EE006" w14:textId="2288D7BD" w:rsidR="00C04B9A" w:rsidRPr="006614D1" w:rsidRDefault="00317FF2" w:rsidP="00C04B9A">
            <w:pPr>
              <w:spacing w:before="40" w:after="40"/>
              <w:ind w:left="-212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E551F1F" w14:textId="54C30CD6" w:rsidR="00C04B9A" w:rsidRPr="006614D1" w:rsidRDefault="00317FF2" w:rsidP="00C04B9A">
            <w:pPr>
              <w:spacing w:before="40" w:after="40"/>
              <w:ind w:left="-208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 w:cs="Arial"/>
                <w:sz w:val="18"/>
                <w:szCs w:val="18"/>
                <w:lang w:eastAsia="en-AU"/>
              </w:rPr>
              <w:t>63.6</w:t>
            </w:r>
          </w:p>
        </w:tc>
      </w:tr>
      <w:tr w:rsidR="00C87DAA" w14:paraId="01F3F9D2" w14:textId="77777777" w:rsidTr="00D90A7D">
        <w:trPr>
          <w:trHeight w:val="340"/>
        </w:trPr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BC6B1C" w14:textId="75425975" w:rsidR="00C87DAA" w:rsidRPr="000B6479" w:rsidRDefault="00C87DAA" w:rsidP="00C87DAA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0B6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Independent and Special Offices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60145" w14:textId="783FBDBC" w:rsidR="00C87DAA" w:rsidRPr="006614D1" w:rsidRDefault="00C87DAA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/>
                <w:b/>
                <w:bCs/>
                <w:sz w:val="18"/>
                <w:szCs w:val="18"/>
              </w:rPr>
              <w:t>446.1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B5D59" w14:textId="405EDBF1" w:rsidR="00C87DAA" w:rsidRPr="006614D1" w:rsidRDefault="00C87DAA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/>
                <w:b/>
                <w:bCs/>
                <w:sz w:val="18"/>
                <w:szCs w:val="18"/>
              </w:rPr>
              <w:t>409.0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4922C2" w14:textId="12289621" w:rsidR="00C87DAA" w:rsidRPr="006614D1" w:rsidRDefault="00C87DAA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/>
                <w:b/>
                <w:bCs/>
                <w:sz w:val="18"/>
                <w:szCs w:val="18"/>
              </w:rPr>
              <w:t>(8.3)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73708" w14:textId="3A1420D8" w:rsidR="00C87DAA" w:rsidRPr="006614D1" w:rsidRDefault="00C87DAA" w:rsidP="00D90A7D">
            <w:pPr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/>
                <w:b/>
                <w:bCs/>
                <w:sz w:val="18"/>
                <w:szCs w:val="18"/>
              </w:rPr>
              <w:t>13.1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6FD7C" w14:textId="313CC26E" w:rsidR="00C87DAA" w:rsidRPr="006614D1" w:rsidRDefault="00C87DAA" w:rsidP="00D90A7D">
            <w:pPr>
              <w:ind w:left="-212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/>
                <w:b/>
                <w:bCs/>
                <w:sz w:val="18"/>
                <w:szCs w:val="18"/>
              </w:rPr>
              <w:t>24.4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872DC6" w14:textId="02FBC623" w:rsidR="00C87DAA" w:rsidRPr="006614D1" w:rsidRDefault="00C87DAA" w:rsidP="00D90A7D">
            <w:pPr>
              <w:ind w:left="-208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614D1">
              <w:rPr>
                <w:rFonts w:ascii="Public Sans" w:hAnsi="Public Sans"/>
                <w:b/>
                <w:bCs/>
                <w:sz w:val="18"/>
                <w:szCs w:val="18"/>
              </w:rPr>
              <w:t>86.1</w:t>
            </w:r>
          </w:p>
        </w:tc>
      </w:tr>
    </w:tbl>
    <w:p w14:paraId="07C3AE8E" w14:textId="77777777" w:rsidR="008F41A5" w:rsidRDefault="008F41A5" w:rsidP="008F41A5">
      <w:pPr>
        <w:rPr>
          <w:rFonts w:ascii="Arial" w:hAnsi="Arial" w:cs="Arial"/>
          <w:sz w:val="6"/>
          <w:szCs w:val="6"/>
          <w:lang w:eastAsia="en-AU"/>
        </w:rPr>
      </w:pPr>
      <w:bookmarkStart w:id="5" w:name="_Hlk10544930"/>
    </w:p>
    <w:p w14:paraId="790C3914" w14:textId="411C89BC" w:rsidR="008F41A5" w:rsidRPr="00D90A7D" w:rsidRDefault="008F41A5" w:rsidP="00276B3D">
      <w:pPr>
        <w:pStyle w:val="ListParagraph"/>
        <w:numPr>
          <w:ilvl w:val="0"/>
          <w:numId w:val="56"/>
        </w:numPr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This table shows expenses on an uneliminated basis.</w:t>
      </w:r>
    </w:p>
    <w:p w14:paraId="30FD6C1D" w14:textId="2F9A47FB" w:rsidR="00716716" w:rsidRPr="00D90A7D" w:rsidRDefault="00EE03B4" w:rsidP="007D520A">
      <w:pPr>
        <w:pStyle w:val="ListParagraph"/>
        <w:numPr>
          <w:ilvl w:val="0"/>
          <w:numId w:val="56"/>
        </w:numPr>
        <w:spacing w:after="0"/>
        <w:ind w:left="357" w:hanging="357"/>
        <w:contextualSpacing w:val="0"/>
        <w:rPr>
          <w:rFonts w:ascii="Public Sans" w:hAnsi="Public Sans" w:cs="Arial"/>
          <w:sz w:val="17"/>
          <w:szCs w:val="17"/>
          <w:lang w:eastAsia="en-AU"/>
        </w:rPr>
      </w:pPr>
      <w:r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The Cabinet Office was created as a new Principal Department </w:t>
      </w:r>
      <w:r w:rsidR="00426C38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with the parts transferred from the Premier’s Department</w:t>
      </w:r>
      <w:r w:rsidR="00E1325F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, per the </w:t>
      </w:r>
      <w:r w:rsidR="00E1325F" w:rsidRPr="00D90A7D">
        <w:rPr>
          <w:rFonts w:ascii="Public Sans" w:hAnsi="Public Sans" w:cs="Arial"/>
          <w:i/>
          <w:iCs/>
          <w:color w:val="000000"/>
          <w:sz w:val="17"/>
          <w:szCs w:val="17"/>
          <w:lang w:eastAsia="en-AU"/>
        </w:rPr>
        <w:t xml:space="preserve">Administrative Arrangements (Administrative Changes </w:t>
      </w:r>
      <w:r w:rsidR="00954250">
        <w:rPr>
          <w:rFonts w:ascii="Public Sans" w:hAnsi="Public Sans" w:cs="Arial"/>
          <w:i/>
          <w:iCs/>
          <w:color w:val="000000"/>
          <w:sz w:val="17"/>
          <w:szCs w:val="17"/>
          <w:lang w:eastAsia="en-AU"/>
        </w:rPr>
        <w:t>-</w:t>
      </w:r>
      <w:r w:rsidR="00E1325F" w:rsidRPr="00D90A7D">
        <w:rPr>
          <w:rFonts w:ascii="Public Sans" w:hAnsi="Public Sans" w:cs="Arial"/>
          <w:i/>
          <w:iCs/>
          <w:color w:val="000000"/>
          <w:sz w:val="17"/>
          <w:szCs w:val="17"/>
          <w:lang w:eastAsia="en-AU"/>
        </w:rPr>
        <w:t xml:space="preserve"> Miscellaneous) Order (No 4) 2023</w:t>
      </w:r>
      <w:r w:rsidR="00E1325F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, effective from 1 July 2023</w:t>
      </w:r>
      <w:r w:rsidR="00B466EE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. The following parts were transferred to </w:t>
      </w:r>
      <w:r w:rsidR="009B6598">
        <w:rPr>
          <w:rFonts w:ascii="Public Sans" w:hAnsi="Public Sans" w:cs="Arial"/>
          <w:color w:val="000000"/>
          <w:sz w:val="17"/>
          <w:szCs w:val="17"/>
          <w:lang w:eastAsia="en-AU"/>
        </w:rPr>
        <w:t>T</w:t>
      </w:r>
      <w:r w:rsidR="00B466EE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he Cabinet Offic</w:t>
      </w:r>
      <w:r w:rsidR="00F1239B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e</w:t>
      </w:r>
      <w:r w:rsidR="004A187A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: </w:t>
      </w:r>
      <w:r w:rsidR="006D09B4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O</w:t>
      </w:r>
      <w:r w:rsidR="00457B27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ffice of General Counsel</w:t>
      </w:r>
      <w:r w:rsidR="00F1239B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;</w:t>
      </w:r>
      <w:r w:rsidR="00457B27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 </w:t>
      </w:r>
      <w:r w:rsidR="006D09B4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Shaping Futures branch of the Community Engagement Group and </w:t>
      </w:r>
      <w:r w:rsidR="00457B27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Policy Group other than </w:t>
      </w:r>
      <w:proofErr w:type="spellStart"/>
      <w:r w:rsidR="00457B27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WestInvest</w:t>
      </w:r>
      <w:proofErr w:type="spellEnd"/>
      <w:r w:rsidR="00457B27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, Emergency Management branch, Women </w:t>
      </w:r>
      <w:proofErr w:type="gramStart"/>
      <w:r w:rsidR="00457B27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NSW</w:t>
      </w:r>
      <w:proofErr w:type="gramEnd"/>
      <w:r w:rsidR="00F1239B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 xml:space="preserve"> and Flood Inquiry Project Management Office</w:t>
      </w:r>
      <w:r w:rsidR="006D09B4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>.</w:t>
      </w:r>
      <w:r w:rsidR="00C87DAA" w:rsidRPr="00D90A7D">
        <w:rPr>
          <w:rFonts w:ascii="Public Sans" w:hAnsi="Public Sans" w:cs="Arial"/>
          <w:color w:val="000000"/>
          <w:sz w:val="17"/>
          <w:szCs w:val="17"/>
          <w:lang w:eastAsia="en-AU"/>
        </w:rPr>
        <w:tab/>
      </w:r>
    </w:p>
    <w:p w14:paraId="58E10129" w14:textId="395A74B3" w:rsidR="00FF49FD" w:rsidRPr="00D90A7D" w:rsidRDefault="004A1A3D" w:rsidP="007D520A">
      <w:pPr>
        <w:pStyle w:val="ListParagraph"/>
        <w:numPr>
          <w:ilvl w:val="0"/>
          <w:numId w:val="56"/>
        </w:numPr>
        <w:spacing w:after="0"/>
        <w:ind w:left="357" w:hanging="357"/>
        <w:contextualSpacing w:val="0"/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Parliamentary Counsel’s Office, Audit Office of New South Wales, Independent Commission Against Corruption, Law Enforcement Conduct Commission, New South Wales Electoral </w:t>
      </w:r>
      <w:proofErr w:type="gramStart"/>
      <w:r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Commission</w:t>
      </w:r>
      <w:proofErr w:type="gramEnd"/>
      <w:r w:rsidR="005A2C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 and the </w:t>
      </w:r>
      <w:r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Ombudsman’s Office </w:t>
      </w:r>
      <w:r w:rsidR="00237214"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were transferred from the Premier’s Department to </w:t>
      </w:r>
      <w:r w:rsidR="009B6598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T</w:t>
      </w:r>
      <w:r w:rsidR="00237214"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he Cabinet Office, effective 1 July 2023 per the NSW Governance Arrangements </w:t>
      </w:r>
      <w:r w:rsidR="00C45356"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Chart. </w:t>
      </w:r>
    </w:p>
    <w:p w14:paraId="6211AEE6" w14:textId="340E5142" w:rsidR="00C45356" w:rsidRPr="00D90A7D" w:rsidRDefault="00C45356" w:rsidP="007D520A">
      <w:pPr>
        <w:pStyle w:val="ListParagraph"/>
        <w:numPr>
          <w:ilvl w:val="0"/>
          <w:numId w:val="56"/>
        </w:numPr>
        <w:spacing w:after="0"/>
        <w:ind w:left="357" w:hanging="357"/>
        <w:contextualSpacing w:val="0"/>
        <w:rPr>
          <w:rFonts w:ascii="Public Sans" w:hAnsi="Public Sans" w:cs="Arial"/>
          <w:color w:val="000000"/>
          <w:sz w:val="17"/>
          <w:szCs w:val="17"/>
          <w:lang w:eastAsia="en-AU"/>
        </w:rPr>
      </w:pPr>
      <w:r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The Independent Pricing and Regulatory Tribunal </w:t>
      </w:r>
      <w:r w:rsidR="00AC526A"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(IPART) </w:t>
      </w:r>
      <w:r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was transferred from the Department of Customer Service</w:t>
      </w:r>
      <w:r w:rsidR="00AC526A"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 to the Department of Premier and Cabinet</w:t>
      </w:r>
      <w:r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, per the </w:t>
      </w:r>
      <w:r w:rsidR="00C33482" w:rsidRPr="00D90A7D">
        <w:rPr>
          <w:rFonts w:ascii="Public Sans" w:hAnsi="Public Sans" w:cs="Arial"/>
          <w:i/>
          <w:iCs/>
          <w:color w:val="000000" w:themeColor="text1"/>
          <w:sz w:val="17"/>
          <w:szCs w:val="17"/>
          <w:lang w:eastAsia="en-AU"/>
        </w:rPr>
        <w:t>Administrative Arrangements (Administrative Changes – Miscellaneous) Order (No 3) 2023</w:t>
      </w:r>
      <w:r w:rsidR="004C4829"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, effective 3 May 2023.</w:t>
      </w:r>
      <w:r w:rsidR="00AC526A"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 IPART was subsequently moved to </w:t>
      </w:r>
      <w:r w:rsidR="009B6598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>T</w:t>
      </w:r>
      <w:r w:rsidR="00AC526A" w:rsidRPr="00D90A7D">
        <w:rPr>
          <w:rFonts w:ascii="Public Sans" w:hAnsi="Public Sans" w:cs="Arial"/>
          <w:color w:val="000000" w:themeColor="text1"/>
          <w:sz w:val="17"/>
          <w:szCs w:val="17"/>
          <w:lang w:eastAsia="en-AU"/>
        </w:rPr>
        <w:t xml:space="preserve">he Cabinet Office per the NSW Governance Arrangements Chart, effective 1 July 2023. </w:t>
      </w:r>
    </w:p>
    <w:p w14:paraId="3D14CADE" w14:textId="77777777" w:rsidR="00F30687" w:rsidRPr="00D90A7D" w:rsidRDefault="00F30687" w:rsidP="008F41A5">
      <w:pPr>
        <w:pStyle w:val="ListParagraph"/>
        <w:ind w:left="360" w:hanging="360"/>
        <w:rPr>
          <w:rFonts w:ascii="Public Sans" w:hAnsi="Public Sans" w:cs="Arial"/>
          <w:color w:val="000000"/>
          <w:sz w:val="17"/>
          <w:szCs w:val="17"/>
        </w:rPr>
      </w:pPr>
    </w:p>
    <w:p w14:paraId="510DD881" w14:textId="13005687" w:rsidR="008F41A5" w:rsidRPr="00D90A7D" w:rsidRDefault="008F41A5" w:rsidP="008F41A5">
      <w:pPr>
        <w:pStyle w:val="ListParagraph"/>
        <w:ind w:left="360" w:hanging="360"/>
        <w:rPr>
          <w:rFonts w:ascii="Public Sans" w:hAnsi="Public Sans" w:cs="Arial"/>
          <w:color w:val="000000"/>
          <w:sz w:val="17"/>
          <w:szCs w:val="17"/>
        </w:rPr>
      </w:pPr>
      <w:r w:rsidRPr="00D90A7D">
        <w:rPr>
          <w:rFonts w:ascii="Public Sans" w:hAnsi="Public Sans" w:cs="Arial"/>
          <w:color w:val="000000"/>
          <w:sz w:val="17"/>
          <w:szCs w:val="17"/>
        </w:rPr>
        <w:t xml:space="preserve">Note: Some sub-totals in this table may not be exactly equal to the sum of agency totals due to rounding. </w:t>
      </w:r>
      <w:bookmarkEnd w:id="5"/>
    </w:p>
    <w:p w14:paraId="6FAA59D2" w14:textId="395BC162" w:rsidR="00036E9D" w:rsidRDefault="00036E9D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10168CD2" w14:textId="4C24FAF4" w:rsidR="00CA3064" w:rsidRDefault="00CA3064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41BC31FD" w14:textId="3582A878" w:rsidR="00D90A7D" w:rsidRDefault="00D90A7D">
      <w:pPr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br w:type="page"/>
      </w:r>
    </w:p>
    <w:p w14:paraId="0D0379E4" w14:textId="1B037C58" w:rsidR="00C14883" w:rsidRDefault="00B15CD4" w:rsidP="00D90A7D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>
        <w:rPr>
          <w:rFonts w:ascii="Public Sans SemiBold" w:hAnsi="Public Sans SemiBold"/>
          <w:color w:val="22272B"/>
        </w:rPr>
        <w:lastRenderedPageBreak/>
        <w:t>2</w:t>
      </w:r>
      <w:r w:rsidR="00E40DCB" w:rsidRPr="00892157">
        <w:rPr>
          <w:rFonts w:ascii="Public Sans SemiBold" w:hAnsi="Public Sans SemiBold"/>
          <w:color w:val="22272B"/>
        </w:rPr>
        <w:t xml:space="preserve">.2 </w:t>
      </w:r>
      <w:r w:rsidR="00D90A7D">
        <w:rPr>
          <w:rFonts w:ascii="Public Sans SemiBold" w:hAnsi="Public Sans SemiBold"/>
          <w:color w:val="22272B"/>
        </w:rPr>
        <w:tab/>
      </w:r>
      <w:r w:rsidR="00D02861" w:rsidRPr="00892157">
        <w:rPr>
          <w:rFonts w:ascii="Public Sans SemiBold" w:hAnsi="Public Sans SemiBold"/>
          <w:color w:val="22272B"/>
        </w:rPr>
        <w:t>Financial Statements</w:t>
      </w:r>
    </w:p>
    <w:p w14:paraId="72DE4165" w14:textId="77777777" w:rsidR="006438C9" w:rsidRDefault="006438C9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The Cabinet Office</w:t>
      </w:r>
    </w:p>
    <w:tbl>
      <w:tblPr>
        <w:tblW w:w="5234" w:type="pct"/>
        <w:tblLook w:val="04A0" w:firstRow="1" w:lastRow="0" w:firstColumn="1" w:lastColumn="0" w:noHBand="0" w:noVBand="1"/>
        <w:tblCaption w:val="2.2 Financial Statements - The Cabinet Office - Operating Statement"/>
        <w:tblDescription w:val="2.2 Financial Statements - The Cabinet Office - Operating Statement"/>
      </w:tblPr>
      <w:tblGrid>
        <w:gridCol w:w="6236"/>
        <w:gridCol w:w="1191"/>
        <w:gridCol w:w="165"/>
        <w:gridCol w:w="1031"/>
        <w:gridCol w:w="220"/>
        <w:gridCol w:w="973"/>
        <w:gridCol w:w="274"/>
      </w:tblGrid>
      <w:tr w:rsidR="006438C9" w14:paraId="5DBE54CF" w14:textId="77777777" w:rsidTr="00EC241E">
        <w:trPr>
          <w:trHeight w:val="405"/>
        </w:trPr>
        <w:tc>
          <w:tcPr>
            <w:tcW w:w="3090" w:type="pct"/>
            <w:shd w:val="clear" w:color="auto" w:fill="FFFFFF"/>
            <w:noWrap/>
            <w:vAlign w:val="bottom"/>
            <w:hideMark/>
          </w:tcPr>
          <w:p w14:paraId="537FC390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72" w:type="pct"/>
            <w:gridSpan w:val="2"/>
            <w:shd w:val="clear" w:color="auto" w:fill="FFFFFF"/>
            <w:noWrap/>
            <w:vAlign w:val="bottom"/>
            <w:hideMark/>
          </w:tcPr>
          <w:p w14:paraId="677E5F86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0" w:type="pct"/>
            <w:gridSpan w:val="2"/>
            <w:shd w:val="clear" w:color="auto" w:fill="FFFFFF"/>
            <w:noWrap/>
            <w:vAlign w:val="bottom"/>
            <w:hideMark/>
          </w:tcPr>
          <w:p w14:paraId="76238D50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8" w:type="pct"/>
            <w:gridSpan w:val="2"/>
            <w:shd w:val="clear" w:color="auto" w:fill="FFFFFF"/>
            <w:noWrap/>
            <w:vAlign w:val="bottom"/>
            <w:hideMark/>
          </w:tcPr>
          <w:p w14:paraId="4CF13D02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D517EE8" w14:textId="77777777" w:rsidTr="00EC241E">
        <w:trPr>
          <w:gridAfter w:val="1"/>
          <w:wAfter w:w="137" w:type="pct"/>
          <w:trHeight w:val="283"/>
        </w:trPr>
        <w:tc>
          <w:tcPr>
            <w:tcW w:w="3090" w:type="pct"/>
            <w:shd w:val="clear" w:color="auto" w:fill="EBEBEB"/>
            <w:vAlign w:val="center"/>
            <w:hideMark/>
          </w:tcPr>
          <w:p w14:paraId="69C8764B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3" w:type="pct"/>
            <w:gridSpan w:val="3"/>
            <w:shd w:val="clear" w:color="auto" w:fill="EBEBEB"/>
            <w:vAlign w:val="bottom"/>
            <w:hideMark/>
          </w:tcPr>
          <w:p w14:paraId="4A6F0711" w14:textId="77777777" w:rsidR="006438C9" w:rsidRPr="00537510" w:rsidRDefault="006438C9" w:rsidP="00EC241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590" w:type="pct"/>
            <w:gridSpan w:val="2"/>
            <w:shd w:val="clear" w:color="auto" w:fill="EBEBEB"/>
            <w:vAlign w:val="bottom"/>
            <w:hideMark/>
          </w:tcPr>
          <w:p w14:paraId="206EFFA1" w14:textId="77777777" w:rsidR="006438C9" w:rsidRPr="00537510" w:rsidRDefault="006438C9" w:rsidP="00EC241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2263EF80" w14:textId="77777777" w:rsidTr="00EC241E">
        <w:trPr>
          <w:gridAfter w:val="1"/>
          <w:wAfter w:w="136" w:type="pct"/>
          <w:trHeight w:val="225"/>
        </w:trPr>
        <w:tc>
          <w:tcPr>
            <w:tcW w:w="3090" w:type="pct"/>
            <w:shd w:val="clear" w:color="auto" w:fill="EBEBEB"/>
            <w:vAlign w:val="center"/>
            <w:hideMark/>
          </w:tcPr>
          <w:p w14:paraId="1A7E65B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shd w:val="clear" w:color="auto" w:fill="EBEBEB"/>
            <w:vAlign w:val="center"/>
            <w:hideMark/>
          </w:tcPr>
          <w:p w14:paraId="7E102837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93" w:type="pct"/>
            <w:gridSpan w:val="2"/>
            <w:shd w:val="clear" w:color="auto" w:fill="EBEBEB"/>
            <w:vAlign w:val="center"/>
            <w:hideMark/>
          </w:tcPr>
          <w:p w14:paraId="4CE3BBEB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591" w:type="pct"/>
            <w:gridSpan w:val="2"/>
            <w:shd w:val="clear" w:color="auto" w:fill="EBEBEB"/>
            <w:vAlign w:val="center"/>
            <w:hideMark/>
          </w:tcPr>
          <w:p w14:paraId="57ACFC9D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5C0DE61B" w14:textId="77777777" w:rsidTr="00EC241E">
        <w:trPr>
          <w:gridAfter w:val="1"/>
          <w:wAfter w:w="136" w:type="pct"/>
          <w:trHeight w:val="283"/>
        </w:trPr>
        <w:tc>
          <w:tcPr>
            <w:tcW w:w="3090" w:type="pct"/>
            <w:shd w:val="clear" w:color="auto" w:fill="EBEBEB"/>
            <w:vAlign w:val="center"/>
            <w:hideMark/>
          </w:tcPr>
          <w:p w14:paraId="6EE7BA8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shd w:val="clear" w:color="auto" w:fill="EBEBEB"/>
            <w:hideMark/>
          </w:tcPr>
          <w:p w14:paraId="4AEB62EC" w14:textId="77777777" w:rsidR="006438C9" w:rsidRPr="00537510" w:rsidRDefault="006438C9" w:rsidP="00EC241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3" w:type="pct"/>
            <w:gridSpan w:val="2"/>
            <w:shd w:val="clear" w:color="auto" w:fill="EBEBEB"/>
            <w:hideMark/>
          </w:tcPr>
          <w:p w14:paraId="433ED312" w14:textId="77777777" w:rsidR="006438C9" w:rsidRPr="00537510" w:rsidRDefault="006438C9" w:rsidP="00EC241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1" w:type="pct"/>
            <w:gridSpan w:val="2"/>
            <w:shd w:val="clear" w:color="auto" w:fill="EBEBEB"/>
            <w:hideMark/>
          </w:tcPr>
          <w:p w14:paraId="5C34437C" w14:textId="77777777" w:rsidR="006438C9" w:rsidRPr="00537510" w:rsidRDefault="006438C9" w:rsidP="00EC241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727D3DEC" w14:textId="77777777" w:rsidTr="00EC241E">
        <w:trPr>
          <w:gridAfter w:val="1"/>
          <w:wAfter w:w="136" w:type="pct"/>
          <w:trHeight w:val="225"/>
        </w:trPr>
        <w:tc>
          <w:tcPr>
            <w:tcW w:w="3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16F8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606018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53283A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3AF2B0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073BEC9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D8DD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F6EB0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A39D2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CF9AD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3721967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B03F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386C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7342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963B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41,771</w:t>
            </w:r>
          </w:p>
        </w:tc>
      </w:tr>
      <w:tr w:rsidR="006438C9" w:rsidRPr="00537510" w14:paraId="69CC2050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53C50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7B63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6E84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A96E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6696478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09BB1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1AE1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08B9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6D9A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45,300</w:t>
            </w:r>
          </w:p>
        </w:tc>
      </w:tr>
      <w:tr w:rsidR="006438C9" w:rsidRPr="00537510" w14:paraId="6EB298C3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FFFE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9E0A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BE09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4328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15,105</w:t>
            </w:r>
          </w:p>
        </w:tc>
      </w:tr>
      <w:tr w:rsidR="006438C9" w:rsidRPr="00537510" w14:paraId="20CA08DB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B747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0BEC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4545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4DC0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D2A2B03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28D4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1CC5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8AAE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232F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07CB49A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0F78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5673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65D8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F2A7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3EF712D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29599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5E503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392D5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8C719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F7DFDD5" w14:textId="77777777" w:rsidTr="00EC241E">
        <w:trPr>
          <w:gridAfter w:val="1"/>
          <w:wAfter w:w="136" w:type="pct"/>
          <w:trHeight w:val="340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D5765C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A706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8381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B6C7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102,176</w:t>
            </w:r>
          </w:p>
        </w:tc>
      </w:tr>
      <w:tr w:rsidR="006438C9" w:rsidRPr="00537510" w14:paraId="79AF2E95" w14:textId="77777777" w:rsidTr="00EC241E">
        <w:trPr>
          <w:gridAfter w:val="1"/>
          <w:wAfter w:w="136" w:type="pct"/>
          <w:trHeight w:val="225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FA8F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2351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ABA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174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F35BCBD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B136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400E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3776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7BFC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101,633</w:t>
            </w:r>
          </w:p>
        </w:tc>
      </w:tr>
      <w:tr w:rsidR="006438C9" w:rsidRPr="00537510" w14:paraId="293F7DB5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69160" w14:textId="3C0524F1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3ED3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0FD1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9996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CB05916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3C64872" w14:textId="77777777" w:rsidR="006438C9" w:rsidRPr="00537510" w:rsidRDefault="006438C9" w:rsidP="00EC241E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6000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BD26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291C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1,560</w:t>
            </w:r>
          </w:p>
        </w:tc>
      </w:tr>
      <w:tr w:rsidR="006438C9" w:rsidRPr="00537510" w14:paraId="2B15A3C6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6853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29D1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0BDF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575D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ADBE393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8BC6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043E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9232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7224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1,982</w:t>
            </w:r>
          </w:p>
        </w:tc>
      </w:tr>
      <w:tr w:rsidR="006438C9" w:rsidRPr="00537510" w14:paraId="36E3277D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6650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F9E1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056D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0F77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EEE1327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EBF4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CCA9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55E8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8EA3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B30807C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18A9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FCC3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ABE6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8A1B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85BDF60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DE5D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267BC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67A75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8B558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CD01BFD" w14:textId="77777777" w:rsidTr="00EC241E">
        <w:trPr>
          <w:gridAfter w:val="1"/>
          <w:wAfter w:w="136" w:type="pct"/>
          <w:trHeight w:val="340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5317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7F9B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4175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FEBA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105,176</w:t>
            </w:r>
          </w:p>
        </w:tc>
      </w:tr>
      <w:tr w:rsidR="006438C9" w:rsidRPr="00537510" w14:paraId="77CE56B3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EAD3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753C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5890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6B0E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BC50030" w14:textId="77777777" w:rsidTr="00B8068E">
        <w:trPr>
          <w:gridAfter w:val="1"/>
          <w:wAfter w:w="136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E112B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98539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CBC8E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E657D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3BA261A" w14:textId="77777777" w:rsidTr="00EC241E">
        <w:trPr>
          <w:gridAfter w:val="1"/>
          <w:wAfter w:w="136" w:type="pct"/>
          <w:trHeight w:val="340"/>
        </w:trPr>
        <w:tc>
          <w:tcPr>
            <w:tcW w:w="309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A521E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128D6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C7BD9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C1893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</w:tr>
    </w:tbl>
    <w:p w14:paraId="3754777B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E7880D3" w14:textId="77777777" w:rsidR="006438C9" w:rsidRDefault="006438C9" w:rsidP="006438C9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The Cabinet Office - Balance Sheet"/>
        <w:tblDescription w:val="2.2 Financial Statements - The Cabinet Office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7036B780" w14:textId="77777777" w:rsidTr="00D5628E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FF30202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8A0DB06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DFF35EA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72C44FCF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B9DCD53" w14:textId="77777777" w:rsidTr="00D5628E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E2A9AB7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437E4A01" w14:textId="77777777" w:rsidR="006438C9" w:rsidRPr="00537510" w:rsidRDefault="006438C9" w:rsidP="00B8068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5EE9D503" w14:textId="77777777" w:rsidR="006438C9" w:rsidRPr="00537510" w:rsidRDefault="006438C9" w:rsidP="00B8068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4F344423" w14:textId="77777777" w:rsidTr="00D5628E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FDABEF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05DC22EF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6934D635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B0A8F9D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1CC33908" w14:textId="77777777" w:rsidTr="00D5628E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326E53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2633EAB6" w14:textId="77777777" w:rsidR="006438C9" w:rsidRPr="00537510" w:rsidRDefault="006438C9" w:rsidP="00B8068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30C01465" w14:textId="77777777" w:rsidR="006438C9" w:rsidRPr="00537510" w:rsidRDefault="006438C9" w:rsidP="00B8068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53DB3D15" w14:textId="77777777" w:rsidR="006438C9" w:rsidRPr="00537510" w:rsidRDefault="006438C9" w:rsidP="00B8068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49984E6C" w14:textId="77777777" w:rsidTr="00D5628E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F98B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4154E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6402C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CA8D36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CF30C4D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55E1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F7CF4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D6D94A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5ABC3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6C0F42E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BD80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AD69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8119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87FF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3,000</w:t>
            </w:r>
          </w:p>
        </w:tc>
      </w:tr>
      <w:tr w:rsidR="006438C9" w:rsidRPr="00537510" w14:paraId="25C1894D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441F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3252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5182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C082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CF8B8B9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D0D3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1B4D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2F06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E3D0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122</w:t>
            </w:r>
          </w:p>
        </w:tc>
      </w:tr>
      <w:tr w:rsidR="006438C9" w:rsidRPr="00537510" w14:paraId="57B0D349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3500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0CBB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422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699A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67961E9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685E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B44A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5D02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F29F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4E728DB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E138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0848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9F2E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7A3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7827CFF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7614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AD2A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03AE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112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0AAB63B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23C8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98E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203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B30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64687B8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1DC5E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3E324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1B44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1FCE9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FED426D" w14:textId="77777777" w:rsidTr="00D5628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1958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152C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158C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6FAB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3,122</w:t>
            </w:r>
          </w:p>
        </w:tc>
      </w:tr>
      <w:tr w:rsidR="006438C9" w:rsidRPr="00537510" w14:paraId="5238FC3A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A4AC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3A5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CD73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9D4E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9B796BD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12F4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EF04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4FD5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867E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F00982C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E878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15E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5C0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458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358A2FB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ABCA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355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13CD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7DB6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044CFA0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1699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CFA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044B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943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D8710F3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E18E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D04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7FB6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50AA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0751480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1F10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951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8E9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671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A2C28D5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04C9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616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8F5D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CA1E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B47A895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74E43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26D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450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9E08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F9577AD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B3A8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194E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93F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625D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61696CB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CFCE5" w14:textId="4F40F9B1" w:rsidR="006438C9" w:rsidRPr="00537510" w:rsidRDefault="006438C9" w:rsidP="004A685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EA25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723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1005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86DC01F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3C26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5253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23D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A3A5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7CC2DAC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06A4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94FB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36B2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3A5C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5EB8C02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0D98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6EDA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8346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F1C3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167B0A0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66EA8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3F8FD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7ED6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3FF5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09C9912" w14:textId="77777777" w:rsidTr="00D5628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EFEC4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826E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92DD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0FE6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7FD9A0D" w14:textId="77777777" w:rsidTr="00D5628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A937B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CAF17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9D825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9D70D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3,122</w:t>
            </w:r>
          </w:p>
        </w:tc>
      </w:tr>
      <w:tr w:rsidR="006438C9" w:rsidRPr="00537510" w14:paraId="0DA92483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BD14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90BA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0E49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EC7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8D58FD8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A76E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14A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41DF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F867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E477DED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C0F7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8F77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B01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840B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D364166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6D7F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7398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5D47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5BC5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4B247EF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7B4F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5D8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8E4A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825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F30BF44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E5F7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1F2B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901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39BE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FAAB5DA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65F1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A782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F592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D60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07FDEB8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F51F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7A46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9F38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172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3,398</w:t>
            </w:r>
          </w:p>
        </w:tc>
      </w:tr>
      <w:tr w:rsidR="006438C9" w:rsidRPr="00537510" w14:paraId="0B118D67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FF59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E47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6EDB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9C25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23273AA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A5D5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8ACF6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43A09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4E2E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C845886" w14:textId="77777777" w:rsidTr="00D5628E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8C2B3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3548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F37B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9D59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3,398</w:t>
            </w:r>
          </w:p>
        </w:tc>
      </w:tr>
      <w:tr w:rsidR="006438C9" w:rsidRPr="00537510" w14:paraId="07407AEE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4F5E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9937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B87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8DDC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41E78F2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89DF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07AE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79A8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0FAB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417CAEC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2C68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761D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065E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2BDC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AD0004D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07FB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0BA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6F41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EDD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C92B65D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83B9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259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75BE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D71C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17D85D1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AC3C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6B49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BD1C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B00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2A71172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360E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8ECF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8577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F400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268</w:t>
            </w:r>
          </w:p>
        </w:tc>
      </w:tr>
      <w:tr w:rsidR="006438C9" w:rsidRPr="00537510" w14:paraId="3A0BDFAC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52D4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63E1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85D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482D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9CB341C" w14:textId="77777777" w:rsidTr="00D5628E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90AF7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A823D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75125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4D052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268</w:t>
            </w:r>
          </w:p>
        </w:tc>
      </w:tr>
      <w:tr w:rsidR="006438C9" w:rsidRPr="00537510" w14:paraId="23B7613F" w14:textId="77777777" w:rsidTr="00D5628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9ADD9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33549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40752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DA31D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3,666</w:t>
            </w:r>
          </w:p>
        </w:tc>
      </w:tr>
      <w:tr w:rsidR="006438C9" w:rsidRPr="00537510" w14:paraId="02869159" w14:textId="77777777" w:rsidTr="00D5628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1A7AB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E192C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C776E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2AAEF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(544)</w:t>
            </w:r>
          </w:p>
        </w:tc>
      </w:tr>
      <w:tr w:rsidR="006438C9" w:rsidRPr="00537510" w14:paraId="7E330C34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2BA7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8CE8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8440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757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56D2A03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8336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8004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EACA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28A3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(544)</w:t>
            </w:r>
          </w:p>
        </w:tc>
      </w:tr>
      <w:tr w:rsidR="006438C9" w:rsidRPr="00537510" w14:paraId="0C638F2A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17A4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BB5D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B51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27E4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7AFFBBF" w14:textId="77777777" w:rsidTr="00D5628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77ED2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D232D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F5EA2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24B7E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3518761" w14:textId="77777777" w:rsidTr="00D5628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59BEA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F3041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F021B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4A815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(544)</w:t>
            </w:r>
          </w:p>
        </w:tc>
      </w:tr>
    </w:tbl>
    <w:p w14:paraId="58F3AC85" w14:textId="77777777" w:rsidR="00234D53" w:rsidRPr="00234D53" w:rsidRDefault="00234D53">
      <w:pPr>
        <w:rPr>
          <w:rFonts w:asciiTheme="minorHAnsi" w:eastAsiaTheme="minorHAnsi" w:hAnsiTheme="minorHAnsi" w:cstheme="minorBidi"/>
          <w:sz w:val="2"/>
          <w:szCs w:val="2"/>
        </w:rPr>
      </w:pPr>
      <w:r w:rsidRPr="00234D53">
        <w:rPr>
          <w:rFonts w:asciiTheme="minorHAnsi" w:eastAsiaTheme="minorHAnsi" w:hAnsiTheme="minorHAnsi" w:cstheme="minorBidi"/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The Cabinet Office - Cash Flow Statement"/>
        <w:tblDescription w:val="2.2 Financial Statements - The Cabinet Office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2A814D77" w14:textId="77777777" w:rsidTr="003D67BB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49A20418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783D82B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808E674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187DBB26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EA686E6" w14:textId="77777777" w:rsidTr="003D67B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D858B9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47493D5B" w14:textId="77777777" w:rsidR="006438C9" w:rsidRPr="00537510" w:rsidRDefault="006438C9" w:rsidP="003D67B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5FC39E8E" w14:textId="77777777" w:rsidR="006438C9" w:rsidRPr="00537510" w:rsidRDefault="006438C9" w:rsidP="003D67B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5A91DCC5" w14:textId="77777777" w:rsidTr="003D67BB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592132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4FF6754C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CFEB72E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12C63FFF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2B2AC44D" w14:textId="77777777" w:rsidTr="003D67B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8CF682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37DC74CB" w14:textId="77777777" w:rsidR="006438C9" w:rsidRPr="00537510" w:rsidRDefault="006438C9" w:rsidP="003D67B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1F795F8C" w14:textId="77777777" w:rsidR="006438C9" w:rsidRPr="00537510" w:rsidRDefault="006438C9" w:rsidP="003D67B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0E53427F" w14:textId="77777777" w:rsidR="006438C9" w:rsidRPr="00537510" w:rsidRDefault="006438C9" w:rsidP="003D67B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6D469D03" w14:textId="77777777" w:rsidTr="003D67BB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9805C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7E20B7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B9D76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89A33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26044B7" w14:textId="77777777" w:rsidTr="003D67B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272D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FCEB4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DB446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DC3167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1CFE978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8E38B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E14C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FE2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0F19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40,210</w:t>
            </w:r>
          </w:p>
        </w:tc>
      </w:tr>
      <w:tr w:rsidR="006438C9" w:rsidRPr="00537510" w14:paraId="34946E31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C775D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BEB4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EAB8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67F7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3294589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41A9A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D66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BC7A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79E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15,105</w:t>
            </w:r>
          </w:p>
        </w:tc>
      </w:tr>
      <w:tr w:rsidR="006438C9" w:rsidRPr="00537510" w14:paraId="3C329AEC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D5DDA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6602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421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B907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C5857F4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E1A3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0789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EECC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E89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5CE7953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33227B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BE7F7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2C7CE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BF814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45,300</w:t>
            </w:r>
          </w:p>
        </w:tc>
      </w:tr>
      <w:tr w:rsidR="006438C9" w:rsidRPr="00537510" w14:paraId="545EC518" w14:textId="77777777" w:rsidTr="003D67B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112F67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5482D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2C7F3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187C2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100,616</w:t>
            </w:r>
          </w:p>
        </w:tc>
      </w:tr>
      <w:tr w:rsidR="006438C9" w:rsidRPr="00537510" w14:paraId="71E41DA8" w14:textId="77777777" w:rsidTr="003D67B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C120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0C1DA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DAC00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067C8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B6F7188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2B55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36F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9D7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0523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101,633</w:t>
            </w:r>
          </w:p>
        </w:tc>
      </w:tr>
      <w:tr w:rsidR="006438C9" w:rsidRPr="00537510" w14:paraId="07ABAA8C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34EF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A1EF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3E3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678F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F15CC06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A784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517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816C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FD2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20EE910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0D0B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3710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388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1211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A75EB8C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FDAC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83D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8C5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ADB8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4228B19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A113B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3E73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905B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CF8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1,982</w:t>
            </w:r>
          </w:p>
        </w:tc>
      </w:tr>
      <w:tr w:rsidR="006438C9" w:rsidRPr="00537510" w14:paraId="60FA47C2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F0CD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C1D8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6595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EB53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6795670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FBC5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9077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EFF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1F5A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75CC07B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5F9E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1E10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27A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41EC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DB9F243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511DE1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F409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1D0EE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D2600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2B3B199" w14:textId="77777777" w:rsidTr="003D67B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8FBD66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61A95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AABD7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34051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103,616</w:t>
            </w:r>
          </w:p>
        </w:tc>
      </w:tr>
      <w:tr w:rsidR="006438C9" w:rsidRPr="00537510" w14:paraId="535ADEF1" w14:textId="77777777" w:rsidTr="003D67BB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B1128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21682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A4FA6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2743A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</w:tr>
      <w:tr w:rsidR="006438C9" w:rsidRPr="00537510" w14:paraId="79CAA4AE" w14:textId="77777777" w:rsidTr="003D67B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7A0C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4F312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1E91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BF87D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E94BA4C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CB12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50E7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7E6D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F54C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38E5345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BEB9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B0FE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DBBE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F572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4189FA1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D669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597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8CC7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904C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04173EF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0C7D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E7F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E20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26AA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042D966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982A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6DB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4F2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F35E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ECF6081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ADDA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6CB2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B7A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854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91488D7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B626C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F9978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37C3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44B65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A80F638" w14:textId="77777777" w:rsidTr="003D67B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27A8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B4098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F450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72EF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6593D69" w14:textId="77777777" w:rsidTr="003D67B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2A94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D592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5343B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59B3F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C7AB3E6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5873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1FB7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7CE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9BFA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FABF405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461E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CFBF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A0D4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CA75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CEDC63D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D27A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60DB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961E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E94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B93D630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AFCE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6308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034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BEF3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C9AA6D7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CA96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CD1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B351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07BC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706FD08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FF5CA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921E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A058B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77626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FE6B8EB" w14:textId="77777777" w:rsidTr="003D67B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26002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E1001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CD01A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C4CC8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5AA1138" w14:textId="77777777" w:rsidTr="003D67BB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510ED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B28D7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E90B4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61A95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</w:tr>
      <w:tr w:rsidR="006438C9" w:rsidRPr="00537510" w14:paraId="4A4A207F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638E6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5ABEF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5CD06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B34A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91BFA11" w14:textId="77777777" w:rsidTr="003D67BB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D898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278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2F31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5B9F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098E7C4" w14:textId="77777777" w:rsidTr="003D67B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55470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91A94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17362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851C3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40E78DD" w14:textId="77777777" w:rsidTr="003D67B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00061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F5BF6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BC846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2FF67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3,000</w:t>
            </w:r>
          </w:p>
        </w:tc>
      </w:tr>
    </w:tbl>
    <w:p w14:paraId="70ABEE46" w14:textId="01A6DAD6" w:rsidR="006438C9" w:rsidRDefault="006438C9" w:rsidP="006438C9"/>
    <w:p w14:paraId="4C689CB4" w14:textId="77777777" w:rsidR="0073717E" w:rsidRDefault="0073717E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73717E" w:rsidSect="006614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pgNumType w:start="1"/>
          <w:cols w:space="720"/>
          <w:titlePg/>
          <w:docGrid w:linePitch="272"/>
        </w:sectPr>
      </w:pPr>
    </w:p>
    <w:p w14:paraId="0EE0DBF5" w14:textId="77777777" w:rsidR="006438C9" w:rsidRDefault="006438C9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Parliamentary Counsel's Office</w:t>
      </w:r>
    </w:p>
    <w:tbl>
      <w:tblPr>
        <w:tblW w:w="9814" w:type="dxa"/>
        <w:tblLook w:val="04A0" w:firstRow="1" w:lastRow="0" w:firstColumn="1" w:lastColumn="0" w:noHBand="0" w:noVBand="1"/>
        <w:tblCaption w:val="2.2 Financial Statements - Parliamentary Counsel's Office - Operating Statement"/>
        <w:tblDescription w:val="2.2 Financial Statements - Parliamentary Counsel's Office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390ABAEA" w14:textId="77777777" w:rsidTr="00234D53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3630877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9489B7D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181F795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1203DB8F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B22DA38" w14:textId="77777777" w:rsidTr="00234D5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BB1852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144E7427" w14:textId="77777777" w:rsidR="006438C9" w:rsidRPr="00537510" w:rsidRDefault="006438C9" w:rsidP="00234D5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0CAB232" w14:textId="77777777" w:rsidR="006438C9" w:rsidRPr="00537510" w:rsidRDefault="006438C9" w:rsidP="00234D5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23CEC49D" w14:textId="77777777" w:rsidTr="00234D5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31A56B6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447D38B8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2F5B1F4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6B89F93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579D495A" w14:textId="77777777" w:rsidTr="00234D53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E597867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96CD830" w14:textId="77777777" w:rsidR="006438C9" w:rsidRPr="00537510" w:rsidRDefault="006438C9" w:rsidP="00234D5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3FAEA24C" w14:textId="77777777" w:rsidR="006438C9" w:rsidRPr="00537510" w:rsidRDefault="006438C9" w:rsidP="00234D5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99516ED" w14:textId="77777777" w:rsidR="006438C9" w:rsidRPr="00537510" w:rsidRDefault="006438C9" w:rsidP="00234D53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539D8165" w14:textId="77777777" w:rsidTr="00234D5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3F7E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1B576D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F5D500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F94A21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BB8C500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9DC6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085A2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77F0C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5D9F6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FA63A14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A6CA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688A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9,191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6180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8,074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5CEA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9,527</w:t>
            </w:r>
          </w:p>
        </w:tc>
      </w:tr>
      <w:tr w:rsidR="006438C9" w:rsidRPr="00537510" w14:paraId="6E34F38B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F07C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B2B1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13FF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EBC9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E16EDA9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018C8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358B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1,678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051A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2,331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A71A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1,743</w:t>
            </w:r>
          </w:p>
        </w:tc>
      </w:tr>
      <w:tr w:rsidR="006438C9" w:rsidRPr="00537510" w14:paraId="6029D42B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825A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8D5B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C0F8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D329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913CD2B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D5A4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C20E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79EC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3161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8F135C1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2CFC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9C10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E610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C908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245</w:t>
            </w:r>
          </w:p>
        </w:tc>
      </w:tr>
      <w:tr w:rsidR="006438C9" w:rsidRPr="00537510" w14:paraId="1B48CDF4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7F51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36F1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9B47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D6E2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6438C9" w:rsidRPr="00537510" w14:paraId="688620C4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11CB0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A7A18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EC1F1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1A2F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F36BAF7" w14:textId="77777777" w:rsidTr="00234D5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A3F83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616D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11,489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8282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10,942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A24E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11,519</w:t>
            </w:r>
          </w:p>
        </w:tc>
      </w:tr>
      <w:tr w:rsidR="006438C9" w:rsidRPr="00537510" w14:paraId="1F7A2C0D" w14:textId="77777777" w:rsidTr="00234D5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F68A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F35A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9715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CEA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160967A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8BE5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AAFA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0DFD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8E2C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482220F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9AA4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6251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11,193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A694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10,430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6AFC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11,657</w:t>
            </w:r>
          </w:p>
        </w:tc>
      </w:tr>
      <w:tr w:rsidR="006438C9" w:rsidRPr="00537510" w14:paraId="4399A2EF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F617F46" w14:textId="77777777" w:rsidR="006438C9" w:rsidRPr="00537510" w:rsidRDefault="006438C9" w:rsidP="00234D53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C9AD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DE2A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C2C3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445</w:t>
            </w:r>
          </w:p>
        </w:tc>
      </w:tr>
      <w:tr w:rsidR="006438C9" w:rsidRPr="00537510" w14:paraId="409B1F9D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C79F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F31E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B121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0B5C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1B757FF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88F0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47E0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29A2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0569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6438C9" w:rsidRPr="00537510" w14:paraId="6F634CE2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7836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85E2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1F62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D488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94F7D1C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97A0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A549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C626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8B83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7A510A9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F42F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89C2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B544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C953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1ABB192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7CE74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C17E5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197B0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91425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B8493AE" w14:textId="77777777" w:rsidTr="00234D5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C7E1F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495D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11,625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58CD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10,759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9A46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12,109</w:t>
            </w:r>
          </w:p>
        </w:tc>
      </w:tr>
      <w:tr w:rsidR="006438C9" w:rsidRPr="00537510" w14:paraId="56709D0E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23DA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3CF1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B76C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85B3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AC687C8" w14:textId="77777777" w:rsidTr="00234D53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460BE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42C93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2E6DA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(46)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320A6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F3C0471" w14:textId="77777777" w:rsidTr="00234D5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53E67C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BE134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F6DB9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(234)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541F2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590</w:t>
            </w:r>
          </w:p>
        </w:tc>
      </w:tr>
    </w:tbl>
    <w:p w14:paraId="6C8344C1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02F19AED" w14:textId="77777777" w:rsidR="006438C9" w:rsidRDefault="006438C9" w:rsidP="006438C9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Parliamentary Counsel's Office - Balance Sheet"/>
        <w:tblDescription w:val="2.2 Financial Statements - Parliamentary Counsel's Office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6B5BFD57" w14:textId="77777777" w:rsidTr="007B5F94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9D11E7D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68B5138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9B79778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33AA1BF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EAFFFFE" w14:textId="77777777" w:rsidTr="007B5F94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312F47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4938FE1A" w14:textId="77777777" w:rsidR="006438C9" w:rsidRPr="00537510" w:rsidRDefault="006438C9" w:rsidP="007B5F9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A78FDDE" w14:textId="77777777" w:rsidR="006438C9" w:rsidRPr="00537510" w:rsidRDefault="006438C9" w:rsidP="007B5F9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7E6F2D7C" w14:textId="77777777" w:rsidTr="007B5F94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0FCA50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37535A1A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3B47482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CE669A2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1B215B4B" w14:textId="77777777" w:rsidTr="007B5F94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A30F2C0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12DD573E" w14:textId="77777777" w:rsidR="006438C9" w:rsidRPr="00537510" w:rsidRDefault="006438C9" w:rsidP="007B5F9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50688E6F" w14:textId="77777777" w:rsidR="006438C9" w:rsidRPr="00537510" w:rsidRDefault="006438C9" w:rsidP="007B5F9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562D18E8" w14:textId="77777777" w:rsidR="006438C9" w:rsidRPr="00537510" w:rsidRDefault="006438C9" w:rsidP="007B5F9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62197C3F" w14:textId="77777777" w:rsidTr="007B5F94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80C0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B198AB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3AC03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EC237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E4E07F9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06BE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F96AA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7D05F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5AE69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44C783E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4CDB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50C3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1B9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1,396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0B21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1,311</w:t>
            </w:r>
          </w:p>
        </w:tc>
      </w:tr>
      <w:tr w:rsidR="006438C9" w:rsidRPr="00537510" w14:paraId="0B28F24F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DA76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B31A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D498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9D8A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921E0F8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4754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4D2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C31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65B8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107</w:t>
            </w:r>
          </w:p>
        </w:tc>
      </w:tr>
      <w:tr w:rsidR="006438C9" w:rsidRPr="00537510" w14:paraId="508211FB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07A4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F330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599D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AAD9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A22F3D9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8B6C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7EB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32C4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572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C51AA75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18D2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1937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25AA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D65A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11F0A13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52ED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2838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CF6A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F8DC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345E65B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23B4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87AA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6B93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CCE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DE0F3D0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314B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5E7A4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86192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7F2CA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F0ED942" w14:textId="77777777" w:rsidTr="007B5F94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F630A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64CF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2893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1,511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6469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1,418</w:t>
            </w:r>
          </w:p>
        </w:tc>
      </w:tr>
      <w:tr w:rsidR="006438C9" w:rsidRPr="00537510" w14:paraId="19BE4312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1A0F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9752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04D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2980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683303B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FD8E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064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9C8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798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E69207B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E1AE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AF71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6322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DF0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C91667C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FF3E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D1AB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5EB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72C0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E9845C9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5574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1E3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08CF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DBE4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25D1008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A141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2E8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82DD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381F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C17F947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CEB0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2648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6A2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F4DC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E06CFF0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2E9F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5918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CACE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1F0F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53DF6C3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3F33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76F2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139D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59A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63360F9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0488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ADA3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1C6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972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495</w:t>
            </w:r>
          </w:p>
        </w:tc>
      </w:tr>
      <w:tr w:rsidR="006438C9" w:rsidRPr="00537510" w14:paraId="6BB8F4B4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BF83C" w14:textId="244CACB4" w:rsidR="006438C9" w:rsidRPr="00537510" w:rsidRDefault="006438C9" w:rsidP="004A685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F167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D0EF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42E1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3ED4A8A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0A11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1BBF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4B1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69CE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6A31A05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1721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1B9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942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BB6D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51C87C4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A149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40E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1,276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5F4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BFE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1,130</w:t>
            </w:r>
          </w:p>
        </w:tc>
      </w:tr>
      <w:tr w:rsidR="006438C9" w:rsidRPr="00537510" w14:paraId="2CF5D248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91396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53FE0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455C0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8AB0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189F44D" w14:textId="77777777" w:rsidTr="007B5F94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90EA7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0076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1,652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83C4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E3FF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1,626</w:t>
            </w:r>
          </w:p>
        </w:tc>
      </w:tr>
      <w:tr w:rsidR="006438C9" w:rsidRPr="00537510" w14:paraId="6C33B4DD" w14:textId="77777777" w:rsidTr="007B5F94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6DFF9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F2567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2,364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EBBF3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2,493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136C7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3,044</w:t>
            </w:r>
          </w:p>
        </w:tc>
      </w:tr>
      <w:tr w:rsidR="006438C9" w:rsidRPr="00537510" w14:paraId="700D6C68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E7A9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2F4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69B3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E5E8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BCC8198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4CC4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E0C2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3E7E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4D00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1D83D37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4715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C2D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B483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F27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168012F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13EC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2ED7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C50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354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11A3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315</w:t>
            </w:r>
          </w:p>
        </w:tc>
      </w:tr>
      <w:tr w:rsidR="006438C9" w:rsidRPr="00537510" w14:paraId="55B7AF8F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220F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6B89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41B3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4B8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16D97D0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6F34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055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7320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6D74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294AAA6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5B1F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87C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779B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54D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6E31940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36B5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A86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6AF6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462E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838</w:t>
            </w:r>
          </w:p>
        </w:tc>
      </w:tr>
      <w:tr w:rsidR="006438C9" w:rsidRPr="00537510" w14:paraId="0A6C0041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C843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9154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178A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EFCF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</w:t>
            </w:r>
          </w:p>
        </w:tc>
      </w:tr>
      <w:tr w:rsidR="006438C9" w:rsidRPr="00537510" w14:paraId="72DF7E05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273A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2B0CA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90633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3B0F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865D55F" w14:textId="77777777" w:rsidTr="007B5F94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F26E1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748B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1,299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E84A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1,212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4E80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1,173</w:t>
            </w:r>
          </w:p>
        </w:tc>
      </w:tr>
      <w:tr w:rsidR="006438C9" w:rsidRPr="00537510" w14:paraId="72B3383F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750F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ACB9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0EC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E78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4F4785C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1BB3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881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DA4E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BFF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E2F94BB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A2C2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BA52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AFD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E730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2037483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9A4D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4F2C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31BC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E81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EF80B03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9A3F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568B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02B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4651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6F10A2B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B472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4C3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967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35A0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563B30D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FEEB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677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D24A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4628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387</w:t>
            </w:r>
          </w:p>
        </w:tc>
      </w:tr>
      <w:tr w:rsidR="006438C9" w:rsidRPr="00537510" w14:paraId="25076BB0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8B86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87BC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23C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874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FFBFDE3" w14:textId="77777777" w:rsidTr="007B5F94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BAF53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5CF96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D8720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9C5F2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387</w:t>
            </w:r>
          </w:p>
        </w:tc>
      </w:tr>
      <w:tr w:rsidR="006438C9" w:rsidRPr="00537510" w14:paraId="192C4C71" w14:textId="77777777" w:rsidTr="007B5F94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47E4A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C9A6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5BA42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454F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1,560</w:t>
            </w:r>
          </w:p>
        </w:tc>
      </w:tr>
      <w:tr w:rsidR="006438C9" w:rsidRPr="00537510" w14:paraId="65AFCD8D" w14:textId="77777777" w:rsidTr="007B5F94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D542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134D5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8ADA4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E476D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1,484</w:t>
            </w:r>
          </w:p>
        </w:tc>
      </w:tr>
      <w:tr w:rsidR="006438C9" w:rsidRPr="00537510" w14:paraId="6E94D9FC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D83F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BC01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42E4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F6AE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5C775AE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B8FF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F7EB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C962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963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1,484</w:t>
            </w:r>
          </w:p>
        </w:tc>
      </w:tr>
      <w:tr w:rsidR="006438C9" w:rsidRPr="00537510" w14:paraId="5DAF4266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A797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1A6B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66D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228A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08E314A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931CD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56EF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3FE3C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1263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CD69C05" w14:textId="77777777" w:rsidTr="007B5F94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059E1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8F2A7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5C8A4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3142A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1,484</w:t>
            </w:r>
          </w:p>
        </w:tc>
      </w:tr>
    </w:tbl>
    <w:p w14:paraId="77B19A4A" w14:textId="77777777" w:rsidR="007B5F94" w:rsidRPr="007B5F94" w:rsidRDefault="007B5F94">
      <w:pPr>
        <w:rPr>
          <w:rFonts w:asciiTheme="minorHAnsi" w:eastAsiaTheme="minorHAnsi" w:hAnsiTheme="minorHAnsi" w:cstheme="minorBidi"/>
          <w:sz w:val="2"/>
          <w:szCs w:val="2"/>
        </w:rPr>
      </w:pPr>
      <w:r w:rsidRPr="007B5F94">
        <w:rPr>
          <w:rFonts w:asciiTheme="minorHAnsi" w:eastAsiaTheme="minorHAnsi" w:hAnsiTheme="minorHAnsi" w:cstheme="minorBidi"/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Parliamentary Counsel's Office -Cash Flow Statement"/>
        <w:tblDescription w:val="2.2 Financial Statements - Parliamentary Counsel's Office -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35944E54" w14:textId="77777777" w:rsidTr="007B5F94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69711E21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39DC71C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6EC3EF5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70382946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3240608" w14:textId="77777777" w:rsidTr="007B5F94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58DB593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787B7FB2" w14:textId="77777777" w:rsidR="006438C9" w:rsidRPr="00537510" w:rsidRDefault="006438C9" w:rsidP="007B5F9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4DED1D1" w14:textId="77777777" w:rsidR="006438C9" w:rsidRPr="00537510" w:rsidRDefault="006438C9" w:rsidP="007B5F9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7B9AC59B" w14:textId="77777777" w:rsidTr="007B5F94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808493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0ED4A19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5A4084CF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833F068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172769C1" w14:textId="77777777" w:rsidTr="007B5F94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B9BC703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222EBA19" w14:textId="77777777" w:rsidR="006438C9" w:rsidRPr="00537510" w:rsidRDefault="006438C9" w:rsidP="007B5F9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5A61C3B" w14:textId="77777777" w:rsidR="006438C9" w:rsidRPr="00537510" w:rsidRDefault="006438C9" w:rsidP="007B5F9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00960AC2" w14:textId="77777777" w:rsidR="006438C9" w:rsidRPr="00537510" w:rsidRDefault="006438C9" w:rsidP="007B5F94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1401F3BA" w14:textId="77777777" w:rsidTr="007B5F94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0CA3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2A485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25A46C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2177E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FEB8004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FD51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CF1890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EE4F83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6D3086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EE2A40C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ACC5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D992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8,765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9DA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7,977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4AAA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9,082</w:t>
            </w:r>
          </w:p>
        </w:tc>
      </w:tr>
      <w:tr w:rsidR="006438C9" w:rsidRPr="00537510" w14:paraId="452A78A8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C5E2B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54A3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C51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801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D825194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394A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BB44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FAB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FF26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5C88648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04240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A86E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5930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712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84CD6A5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41B5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AF39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FA6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189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3E9ECB1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D35560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7F311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1,805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8C45A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2,633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591E3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1,786</w:t>
            </w:r>
          </w:p>
        </w:tc>
      </w:tr>
      <w:tr w:rsidR="006438C9" w:rsidRPr="00537510" w14:paraId="76AA5A39" w14:textId="77777777" w:rsidTr="007B5F94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2A16AC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B48C3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10,571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3071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10,611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E5098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10,868</w:t>
            </w:r>
          </w:p>
        </w:tc>
      </w:tr>
      <w:tr w:rsidR="006438C9" w:rsidRPr="00537510" w14:paraId="1F68EE08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43E0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DCA68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ED58E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79095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3584ED4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07A0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73A1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B3C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DA9C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A5BECCA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4F2A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EEAF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11,193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97CF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10,430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D060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11,657</w:t>
            </w:r>
          </w:p>
        </w:tc>
      </w:tr>
      <w:tr w:rsidR="006438C9" w:rsidRPr="00537510" w14:paraId="3D3EC1D3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7E37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E1D2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141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E820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918D38B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E847C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D51C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80D9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F792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67D5397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862AB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E3EE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FABE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3DA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1D7A62F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CA2F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4D92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AF3D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9A7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</w:t>
            </w:r>
          </w:p>
        </w:tc>
      </w:tr>
      <w:tr w:rsidR="006438C9" w:rsidRPr="00537510" w14:paraId="16A256C1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F2E0A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6351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F65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DACF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F8715E7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6F2B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A57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AA8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2E0C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F5E0D7F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01B4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457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7477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DEE5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9D983B8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38A552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2AE8A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2BE21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8CCE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</w:t>
            </w:r>
          </w:p>
        </w:tc>
      </w:tr>
      <w:tr w:rsidR="006438C9" w:rsidRPr="00537510" w14:paraId="0680AA5B" w14:textId="77777777" w:rsidTr="007B5F94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9F178A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56DFF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11,208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DB414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10,480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650BC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11,672</w:t>
            </w:r>
          </w:p>
        </w:tc>
      </w:tr>
      <w:tr w:rsidR="006438C9" w:rsidRPr="00537510" w14:paraId="5F3EB31B" w14:textId="77777777" w:rsidTr="007B5F94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14243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BE7D4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D87C6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289DE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804</w:t>
            </w:r>
          </w:p>
        </w:tc>
      </w:tr>
      <w:tr w:rsidR="006438C9" w:rsidRPr="00537510" w14:paraId="431341BC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A0D3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8AD5B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35D7A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9ED30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97AC468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DA2F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287A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AA6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522F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A81EBF9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D947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6368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(80)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7D9C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(17)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B5C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(300)</w:t>
            </w:r>
          </w:p>
        </w:tc>
      </w:tr>
      <w:tr w:rsidR="006438C9" w:rsidRPr="00537510" w14:paraId="77534947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6681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4939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E37F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6804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D861F63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F18D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7BAB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26EB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F69A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0ACBC64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EF76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4F29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C81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205F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68A9F6E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3F70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7E7C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3EA2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AB5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F277FFF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12DFE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25844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(639)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516BD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A215B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(589)</w:t>
            </w:r>
          </w:p>
        </w:tc>
      </w:tr>
      <w:tr w:rsidR="006438C9" w:rsidRPr="00537510" w14:paraId="6011CBCE" w14:textId="77777777" w:rsidTr="007B5F94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6618C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D24F0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(719)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2EC89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D204E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(889)</w:t>
            </w:r>
          </w:p>
        </w:tc>
      </w:tr>
      <w:tr w:rsidR="006438C9" w:rsidRPr="00537510" w14:paraId="5CC0599E" w14:textId="77777777" w:rsidTr="007B5F94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49426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74486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096B2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60C70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0ABFD7E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AE8D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2CC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CFF6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ED2D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13D4654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88DC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3342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48C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E8CD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8A0A08A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FEFE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2BC8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7FB9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C64B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A42BC27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BA2B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E962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4500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F1D4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D5447FA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9071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134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183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3AA2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D898162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5A348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9E49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6B3D2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153B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4FA21C7" w14:textId="77777777" w:rsidTr="007B5F94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3548C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581E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C69BE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57739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6BB0004" w14:textId="77777777" w:rsidTr="007B5F94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EE928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77361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(82)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2879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(148)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F87C0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(85)</w:t>
            </w:r>
          </w:p>
        </w:tc>
      </w:tr>
      <w:tr w:rsidR="006438C9" w:rsidRPr="00537510" w14:paraId="1A044CBF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FC93B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BC7D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378C7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1,544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159BB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1,396</w:t>
            </w:r>
          </w:p>
        </w:tc>
      </w:tr>
      <w:tr w:rsidR="006438C9" w:rsidRPr="00537510" w14:paraId="35F134E3" w14:textId="77777777" w:rsidTr="007B5F94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0FFD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4E89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C269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0AB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244BAA8" w14:textId="77777777" w:rsidTr="007B5F9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86B75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354E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204E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60450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1269DC4" w14:textId="77777777" w:rsidTr="007B5F94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B9751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DE26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74B44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1,397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35270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1,311</w:t>
            </w:r>
          </w:p>
        </w:tc>
      </w:tr>
    </w:tbl>
    <w:p w14:paraId="217F55D3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D0C4F87" w14:textId="424A5CD8" w:rsidR="006438C9" w:rsidRDefault="006438C9" w:rsidP="006438C9"/>
    <w:p w14:paraId="792602E7" w14:textId="77777777" w:rsidR="0073717E" w:rsidRDefault="0073717E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73717E" w:rsidSect="00CA485A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C53B9A5" w14:textId="77777777" w:rsidR="006438C9" w:rsidRDefault="006438C9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Audit Office of New South Wales</w:t>
      </w:r>
    </w:p>
    <w:tbl>
      <w:tblPr>
        <w:tblW w:w="9814" w:type="dxa"/>
        <w:tblLook w:val="04A0" w:firstRow="1" w:lastRow="0" w:firstColumn="1" w:lastColumn="0" w:noHBand="0" w:noVBand="1"/>
        <w:tblCaption w:val="2.2 Financial Statements - Audit Office of New South Wales- Operating Statement"/>
        <w:tblDescription w:val="2.2 Financial Statements - Audit Office of New South Wales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0F6C5103" w14:textId="77777777" w:rsidTr="00015B0A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4305D358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189C018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C9B2C7D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58069418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6C95BB3" w14:textId="77777777" w:rsidTr="00015B0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96C8FF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4DBF98E" w14:textId="77777777" w:rsidR="006438C9" w:rsidRPr="00537510" w:rsidRDefault="006438C9" w:rsidP="00015B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6019BF8" w14:textId="77777777" w:rsidR="006438C9" w:rsidRPr="00537510" w:rsidRDefault="006438C9" w:rsidP="00015B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02D3D453" w14:textId="77777777" w:rsidTr="00015B0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5CFBD5D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DA082BC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1C439FE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4FF19AFE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5EC2B5E3" w14:textId="77777777" w:rsidTr="00015B0A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38523A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5B5C404" w14:textId="77777777" w:rsidR="006438C9" w:rsidRPr="00537510" w:rsidRDefault="006438C9" w:rsidP="00015B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592DB215" w14:textId="77777777" w:rsidR="006438C9" w:rsidRPr="00537510" w:rsidRDefault="006438C9" w:rsidP="00015B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4915A75F" w14:textId="77777777" w:rsidR="006438C9" w:rsidRPr="00537510" w:rsidRDefault="006438C9" w:rsidP="00015B0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1DB510CB" w14:textId="77777777" w:rsidTr="00015B0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89F2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8E8545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9B6355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3EA7B8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E995AB2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1F22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C34A5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07975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46A7A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C3F64F4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959F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E64B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45,177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B0C4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46,077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328C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50,288</w:t>
            </w:r>
          </w:p>
        </w:tc>
      </w:tr>
      <w:tr w:rsidR="006438C9" w:rsidRPr="00537510" w14:paraId="33B08C53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0D39C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2E1E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08F9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2652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1D9229E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4143C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9119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23,443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4DF3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25,898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4298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29,287</w:t>
            </w:r>
          </w:p>
        </w:tc>
      </w:tr>
      <w:tr w:rsidR="006438C9" w:rsidRPr="00537510" w14:paraId="1533309C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1B85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9397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DAD7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4858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A5B6CC0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C9CB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54D1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A08D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242D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501672B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7ED8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F029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44D4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2,505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65E0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2,692</w:t>
            </w:r>
          </w:p>
        </w:tc>
      </w:tr>
      <w:tr w:rsidR="006438C9" w:rsidRPr="00537510" w14:paraId="35271B2E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F9A7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48EE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B3A6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CD01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194</w:t>
            </w:r>
          </w:p>
        </w:tc>
      </w:tr>
      <w:tr w:rsidR="006438C9" w:rsidRPr="00537510" w14:paraId="2FF2484E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4A88F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75D3C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4A8E4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400AF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70071AD" w14:textId="77777777" w:rsidTr="00015B0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CC9B3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CA19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71,570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018A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74,703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F006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82,460</w:t>
            </w:r>
          </w:p>
        </w:tc>
      </w:tr>
      <w:tr w:rsidR="006438C9" w:rsidRPr="00537510" w14:paraId="2A9D28FD" w14:textId="77777777" w:rsidTr="00015B0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5BB0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5232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29C0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8CB5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DCF17F2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A32D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E815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572E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6B30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6438C9" w:rsidRPr="00537510" w14:paraId="79C22396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650D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73AB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461A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4634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F4079B8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7DC2E8D" w14:textId="77777777" w:rsidR="006438C9" w:rsidRPr="00537510" w:rsidRDefault="006438C9" w:rsidP="00015B0A">
            <w:pPr>
              <w:ind w:right="-38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290D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B7C1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4857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</w:t>
            </w:r>
          </w:p>
        </w:tc>
      </w:tr>
      <w:tr w:rsidR="006438C9" w:rsidRPr="00537510" w14:paraId="25E3F2A0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A8C1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D3F2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B704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E98A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3C7EA02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FAC6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6DCA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69,268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C446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73,646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899F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78,766</w:t>
            </w:r>
          </w:p>
        </w:tc>
      </w:tr>
      <w:tr w:rsidR="006438C9" w:rsidRPr="00537510" w14:paraId="331CD709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90E9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0A13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5EBA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E981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226E671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24EB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258C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5DC2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AE38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203</w:t>
            </w:r>
          </w:p>
        </w:tc>
      </w:tr>
      <w:tr w:rsidR="006438C9" w:rsidRPr="00537510" w14:paraId="5A4D5BCF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34C5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3ECB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DC74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3E17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73531B6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C7FC6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2BAE7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D13FB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86D8B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1,644</w:t>
            </w:r>
          </w:p>
        </w:tc>
      </w:tr>
      <w:tr w:rsidR="006438C9" w:rsidRPr="00537510" w14:paraId="79DADAD6" w14:textId="77777777" w:rsidTr="00015B0A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C0DA4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384E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71,039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D7B7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75,711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641E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80,671</w:t>
            </w:r>
          </w:p>
        </w:tc>
      </w:tr>
      <w:tr w:rsidR="006438C9" w:rsidRPr="00537510" w14:paraId="54CCEE21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A2C1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B55C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6E68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668B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7B41876" w14:textId="77777777" w:rsidTr="00015B0A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D84F2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61DCA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5B60D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9FE8D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F5D5D2F" w14:textId="77777777" w:rsidTr="00015B0A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1B1BB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02315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(531)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2AA60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2F22F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(1,789)</w:t>
            </w:r>
          </w:p>
        </w:tc>
      </w:tr>
    </w:tbl>
    <w:p w14:paraId="1BCCACCB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60D9D9F" w14:textId="77777777" w:rsidR="006438C9" w:rsidRDefault="006438C9" w:rsidP="006438C9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Audit Office of New South Wales- Balance Sheet"/>
        <w:tblDescription w:val="2.2 Financial Statements - Audit Office of New South Wales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4C78E1DB" w14:textId="77777777" w:rsidTr="000D1B18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364A73E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770BE20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B3AD233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4A9EE30A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14:paraId="503A5E17" w14:textId="77777777" w:rsidTr="000D1B1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47D65A0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9B08782" w14:textId="77777777" w:rsidR="006438C9" w:rsidRPr="00537510" w:rsidRDefault="006438C9" w:rsidP="000D1B1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44B8502" w14:textId="77777777" w:rsidR="006438C9" w:rsidRPr="00537510" w:rsidRDefault="006438C9" w:rsidP="000D1B1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14:paraId="0108460F" w14:textId="77777777" w:rsidTr="000D1B18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A38735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2ACD7E6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BE3547F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B2D399F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14:paraId="41180B91" w14:textId="77777777" w:rsidTr="000D1B1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57450E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4A501172" w14:textId="77777777" w:rsidR="006438C9" w:rsidRPr="00537510" w:rsidRDefault="006438C9" w:rsidP="000D1B1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CBA26D1" w14:textId="77777777" w:rsidR="006438C9" w:rsidRPr="00537510" w:rsidRDefault="006438C9" w:rsidP="000D1B1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0C70090E" w14:textId="77777777" w:rsidR="006438C9" w:rsidRPr="00537510" w:rsidRDefault="006438C9" w:rsidP="000D1B1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14:paraId="2D750ECE" w14:textId="77777777" w:rsidTr="000D1B18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09D5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208FAF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35033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C847BD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14:paraId="05A269EA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5B2F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6F0460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07802A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CC81F6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14:paraId="3C60C255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5DFE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C8C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12,225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BAE3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15,094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729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12,613</w:t>
            </w:r>
          </w:p>
        </w:tc>
      </w:tr>
      <w:tr w:rsidR="006438C9" w14:paraId="56467612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C025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24D5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E1A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5284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70E0A985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C785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084D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5,962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59FB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7,765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C5D3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7,765</w:t>
            </w:r>
          </w:p>
        </w:tc>
      </w:tr>
      <w:tr w:rsidR="006438C9" w14:paraId="5ADEB83A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4496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0D87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C7A2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659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7D14AD83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E64D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012F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3FBF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6576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4C34BCCE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16E4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0850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BC18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BE7B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0D6679DF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C119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A9C4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A16E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D5DD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2B2DB39B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E154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370F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9,967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210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9,159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BC9E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9,159</w:t>
            </w:r>
          </w:p>
        </w:tc>
      </w:tr>
      <w:tr w:rsidR="006438C9" w14:paraId="56FB2A91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50118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BE630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E9F9B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1D59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44E4D274" w14:textId="77777777" w:rsidTr="000D1B1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9CE35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9E18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28,153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D29E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32,018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CFEB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29,536</w:t>
            </w:r>
          </w:p>
        </w:tc>
      </w:tr>
      <w:tr w:rsidR="006438C9" w14:paraId="6A3F8CB7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A7E7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34CC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5B0E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F9D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14:paraId="7C7CC00F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62FC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4DE2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C7D9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A5BB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22A82CB2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0FE1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01E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3A20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BF16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53E556D4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7785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F722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A00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FF4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358C0502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0F72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681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FD37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F9B0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0D343D38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8FC0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ABF9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4CC2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925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4F1C3B00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D50A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B0EA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EC2B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FAA7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66D4E243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054D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31D1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FA73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DC03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14:paraId="512E59B9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9191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3EDF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C93B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C9B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51220254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4E12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E71E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2,657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58C8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3,770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C10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3,510</w:t>
            </w:r>
          </w:p>
        </w:tc>
      </w:tr>
      <w:tr w:rsidR="006438C9" w14:paraId="2460A0A5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02D21" w14:textId="524D0A59" w:rsidR="006438C9" w:rsidRPr="00537510" w:rsidRDefault="006438C9" w:rsidP="002958A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011F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D4B4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DBEE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4D0698B3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FAAC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7E0D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9BA0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2662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51E8DBA7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CE87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EE41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9,239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1FFE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9,238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42DA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7,720</w:t>
            </w:r>
          </w:p>
        </w:tc>
      </w:tr>
      <w:tr w:rsidR="006438C9" w14:paraId="42A4A5C9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F6A0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3C9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1,377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FE20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1,205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DFA3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2,116</w:t>
            </w:r>
          </w:p>
        </w:tc>
      </w:tr>
      <w:tr w:rsidR="006438C9" w14:paraId="1FC5555F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78E46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E980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695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7B649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CECE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790</w:t>
            </w:r>
          </w:p>
        </w:tc>
      </w:tr>
      <w:tr w:rsidR="006438C9" w14:paraId="24C9D665" w14:textId="77777777" w:rsidTr="000D1B1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8F18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5D37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13,968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DF11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15,003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5F08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14,136</w:t>
            </w:r>
          </w:p>
        </w:tc>
      </w:tr>
      <w:tr w:rsidR="006438C9" w14:paraId="13E8A86F" w14:textId="77777777" w:rsidTr="000D1B1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32A89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7BC3F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42,122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1A8DD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47,021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C11FA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43,673</w:t>
            </w:r>
          </w:p>
        </w:tc>
      </w:tr>
      <w:tr w:rsidR="006438C9" w14:paraId="1E57F062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25E7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F31F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D44D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70A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14:paraId="09910A0E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DB1F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082A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1368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5CE8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14:paraId="52CC194F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B7BF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FE4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AB65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2F8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768E02DE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3D89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83B6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2,521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C64B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3,282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1A40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3,282</w:t>
            </w:r>
          </w:p>
        </w:tc>
      </w:tr>
      <w:tr w:rsidR="006438C9" w14:paraId="3FE8AE29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1018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53E4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35BF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C370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4EDFDC08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E3CD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0540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36CA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CF92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7B5261B4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910F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BFF4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1,560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D78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1,698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860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1,729</w:t>
            </w:r>
          </w:p>
        </w:tc>
      </w:tr>
      <w:tr w:rsidR="006438C9" w14:paraId="68FBC3BB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B3CE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BAC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12,282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640E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12,634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4C7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12,634</w:t>
            </w:r>
          </w:p>
        </w:tc>
      </w:tr>
      <w:tr w:rsidR="006438C9" w14:paraId="21DFBAF0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0BF0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CCD6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FBC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298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7F3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298</w:t>
            </w:r>
          </w:p>
        </w:tc>
      </w:tr>
      <w:tr w:rsidR="006438C9" w14:paraId="6DE1B71B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35D7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F61EC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07DC7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A173B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1565BBEB" w14:textId="77777777" w:rsidTr="000D1B18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3A6F6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0D87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16,499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E79A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17,912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E86C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17,943</w:t>
            </w:r>
          </w:p>
        </w:tc>
      </w:tr>
      <w:tr w:rsidR="006438C9" w14:paraId="6D55432A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6D34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336E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D67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632B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14:paraId="031A058A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E9F8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B3F9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317D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73F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19803B1D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3231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6571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8ECF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8B6F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5790B3E7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8740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89FC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6E1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1D7C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2D1A27D6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29C5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5171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2B00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7057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39E877CD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702C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345F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8,269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F15B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8,574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15F0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6,984</w:t>
            </w:r>
          </w:p>
        </w:tc>
      </w:tr>
      <w:tr w:rsidR="006438C9" w14:paraId="163DB614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8B38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C74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1,190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3864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1,630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3F86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1,630</w:t>
            </w:r>
          </w:p>
        </w:tc>
      </w:tr>
      <w:tr w:rsidR="006438C9" w14:paraId="7CA1FE8C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EE04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DEE4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B86A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921C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6A9A5CFD" w14:textId="77777777" w:rsidTr="000D1B18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AF3B9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8DFE1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9,459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59003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10,204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AD5D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8,614</w:t>
            </w:r>
          </w:p>
        </w:tc>
      </w:tr>
      <w:tr w:rsidR="006438C9" w14:paraId="30338375" w14:textId="77777777" w:rsidTr="000D1B1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EE457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EC44E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25,958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1CBEE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28,116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D5052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26,557</w:t>
            </w:r>
          </w:p>
        </w:tc>
      </w:tr>
      <w:tr w:rsidR="006438C9" w14:paraId="1103474C" w14:textId="77777777" w:rsidTr="000D1B1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46F49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235EC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16,164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F83BD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18,906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1D1D8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17,116</w:t>
            </w:r>
          </w:p>
        </w:tc>
      </w:tr>
      <w:tr w:rsidR="006438C9" w14:paraId="298302B2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2F45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598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93B7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B47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14:paraId="5DE584C9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B309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501F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16,164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8BE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18,906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ADB2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17,116</w:t>
            </w:r>
          </w:p>
        </w:tc>
      </w:tr>
      <w:tr w:rsidR="006438C9" w14:paraId="292F16E1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4004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B04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913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5E06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4F1F7B3A" w14:textId="77777777" w:rsidTr="000D1B1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8D7D7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1251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D6728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4D86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14:paraId="3F1204E4" w14:textId="77777777" w:rsidTr="000D1B18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C751A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94A85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16,164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0A292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18,906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D9B56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17,116</w:t>
            </w:r>
          </w:p>
        </w:tc>
      </w:tr>
    </w:tbl>
    <w:p w14:paraId="432B4C4D" w14:textId="77777777" w:rsidR="000D1B18" w:rsidRPr="000D1B18" w:rsidRDefault="000D1B18">
      <w:pPr>
        <w:rPr>
          <w:rFonts w:asciiTheme="minorHAnsi" w:eastAsiaTheme="minorHAnsi" w:hAnsiTheme="minorHAnsi" w:cstheme="minorBidi"/>
          <w:sz w:val="8"/>
          <w:szCs w:val="8"/>
        </w:rPr>
      </w:pPr>
      <w:r w:rsidRPr="000D1B18">
        <w:rPr>
          <w:rFonts w:asciiTheme="minorHAnsi" w:eastAsiaTheme="minorHAnsi" w:hAnsiTheme="minorHAnsi" w:cstheme="minorBidi"/>
          <w:sz w:val="8"/>
          <w:szCs w:val="8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Audit Office of New South Wales- Cash Flow Statement"/>
        <w:tblDescription w:val="2.2 Financial Statements - Audit Office of New South Wales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533F6D59" w14:textId="77777777" w:rsidTr="00073BDB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4613F0F6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60FF526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D3C55DF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7EB72626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913C3DB" w14:textId="77777777" w:rsidTr="00073BD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352DEC0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5D384969" w14:textId="77777777" w:rsidR="006438C9" w:rsidRPr="00537510" w:rsidRDefault="006438C9" w:rsidP="000D1B1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53651CEE" w14:textId="77777777" w:rsidR="006438C9" w:rsidRPr="00537510" w:rsidRDefault="006438C9" w:rsidP="000D1B1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4BA6EEDF" w14:textId="77777777" w:rsidTr="00073BDB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64D89E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7AFC7CB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0D909A08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F71CBDE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5CC24764" w14:textId="77777777" w:rsidTr="00073BDB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E26B827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0E739387" w14:textId="77777777" w:rsidR="006438C9" w:rsidRPr="00537510" w:rsidRDefault="006438C9" w:rsidP="000D1B1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2EF4FFA" w14:textId="77777777" w:rsidR="006438C9" w:rsidRPr="00537510" w:rsidRDefault="006438C9" w:rsidP="000D1B1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1DBEA8F" w14:textId="77777777" w:rsidR="006438C9" w:rsidRPr="00537510" w:rsidRDefault="006438C9" w:rsidP="000D1B1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42D0864A" w14:textId="77777777" w:rsidTr="00073BDB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9B73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35DA4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03727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4C150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4796272" w14:textId="77777777" w:rsidTr="00073B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C944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9262DA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E74253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E8510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1D0A6EE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26E4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D82D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45,961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1654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45,619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6E8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50,171</w:t>
            </w:r>
          </w:p>
        </w:tc>
      </w:tr>
      <w:tr w:rsidR="006438C9" w:rsidRPr="00537510" w14:paraId="540D6644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0ABDC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E07F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5526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7C71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21CFC63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91F4A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2128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DAB2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C808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C5DE2E8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B475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CCBA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E2AA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6FFB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</w:tr>
      <w:tr w:rsidR="006438C9" w:rsidRPr="00537510" w14:paraId="3D0F9F38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6B1AD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B1A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36D9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11AD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B81F610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5BFD8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19601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20,232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87E92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25,809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079F9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29,080</w:t>
            </w:r>
          </w:p>
        </w:tc>
      </w:tr>
      <w:tr w:rsidR="006438C9" w:rsidRPr="00537510" w14:paraId="7D57F03C" w14:textId="77777777" w:rsidTr="00073B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C9A2F9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7DF82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66,397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A5FE3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71,631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17064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79,427</w:t>
            </w:r>
          </w:p>
        </w:tc>
      </w:tr>
      <w:tr w:rsidR="006438C9" w:rsidRPr="00537510" w14:paraId="04DA7D2E" w14:textId="77777777" w:rsidTr="00073B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81AF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1F689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FC7A8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F4F7F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6D4CFB8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10023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F21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5211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35EB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6438C9" w:rsidRPr="00537510" w14:paraId="79A1A458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1A5C0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0A3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7A1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B525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089948F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AC9A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674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5417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C4F4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10B8CDD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4F5E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ABB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4286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ECB5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17C9A63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7E65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C2D5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409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2CAD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821170D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B7A3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D71C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69,268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3475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73,945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4E98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78,766</w:t>
            </w:r>
          </w:p>
        </w:tc>
      </w:tr>
      <w:tr w:rsidR="006438C9" w:rsidRPr="00537510" w14:paraId="24F3C29E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E0A31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9C3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4C7C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1B1E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1D40BA2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DE1F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3A8C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E125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3453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203</w:t>
            </w:r>
          </w:p>
        </w:tc>
      </w:tr>
      <w:tr w:rsidR="006438C9" w:rsidRPr="00537510" w14:paraId="002911A7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EEA7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6B6C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F847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A2A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36F96F6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96E68B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17492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1,663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5E193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1,343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F90C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1,644</w:t>
            </w:r>
          </w:p>
        </w:tc>
      </w:tr>
      <w:tr w:rsidR="006438C9" w:rsidRPr="00537510" w14:paraId="7F45772C" w14:textId="77777777" w:rsidTr="00073B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FF2DF1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92307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70,983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5A551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75,745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7F49F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80,614</w:t>
            </w:r>
          </w:p>
        </w:tc>
      </w:tr>
      <w:tr w:rsidR="006438C9" w:rsidRPr="00537510" w14:paraId="7F5D9DA4" w14:textId="77777777" w:rsidTr="00073BDB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9C926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A67B8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4,585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DD401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4,114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F04A4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1,187</w:t>
            </w:r>
          </w:p>
        </w:tc>
      </w:tr>
      <w:tr w:rsidR="006438C9" w:rsidRPr="00537510" w14:paraId="092B216A" w14:textId="77777777" w:rsidTr="00073B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58A5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4956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7D6CA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BEE38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8A2B9EA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D86B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534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92AA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6994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B1CA311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33BB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6E9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7827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(1,266)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458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</w:tr>
      <w:tr w:rsidR="006438C9" w:rsidRPr="00537510" w14:paraId="654F2076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8B13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4913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377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C03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4BFC824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D3C5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097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283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5844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D80F19D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E0A0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4BA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F59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A454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E770C2C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1E3A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88D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E70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9052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0A80B9C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1AC29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A7BCB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(1,109)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FFE2F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(564)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B21A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(1,110)</w:t>
            </w:r>
          </w:p>
        </w:tc>
      </w:tr>
      <w:tr w:rsidR="006438C9" w:rsidRPr="00537510" w14:paraId="4BF16465" w14:textId="77777777" w:rsidTr="00073B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2416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2FAB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(2,219)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F7DA4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(1,829)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7C987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(2,220)</w:t>
            </w:r>
          </w:p>
        </w:tc>
      </w:tr>
      <w:tr w:rsidR="006438C9" w:rsidRPr="00537510" w14:paraId="39944BD6" w14:textId="77777777" w:rsidTr="00073BDB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550C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17E2B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606D5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4EFED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412CC83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E2BA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CA5F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8C75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3DB5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C45AD40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C75A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9C2F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(1,357)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91B8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(1,417)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2E3B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(1,448)</w:t>
            </w:r>
          </w:p>
        </w:tc>
      </w:tr>
      <w:tr w:rsidR="006438C9" w:rsidRPr="00537510" w14:paraId="7E7AC8D5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47A0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AD35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A4DD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891B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C69903F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78BC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A9A5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F49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45A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6C6B36F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F8AE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11E8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D13F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476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2DC295E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DE79B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F084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0D6CA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0D21F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A5BEAEB" w14:textId="77777777" w:rsidTr="00073B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2BB69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07C1B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(1,357)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A0815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(1,417)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8E04D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(1,448)</w:t>
            </w:r>
          </w:p>
        </w:tc>
      </w:tr>
      <w:tr w:rsidR="006438C9" w:rsidRPr="00537510" w14:paraId="6EA49F5A" w14:textId="77777777" w:rsidTr="00073BDB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50125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DB51D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DF899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AE093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(2,481)</w:t>
            </w:r>
          </w:p>
        </w:tc>
      </w:tr>
      <w:tr w:rsidR="006438C9" w:rsidRPr="00537510" w14:paraId="11C2907D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82431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55C6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11,216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B90F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14,227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9477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15,094</w:t>
            </w:r>
          </w:p>
        </w:tc>
      </w:tr>
      <w:tr w:rsidR="006438C9" w:rsidRPr="00537510" w14:paraId="1DD8BC55" w14:textId="77777777" w:rsidTr="00073BDB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DC46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5929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4A0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B7D0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45B2C6F" w14:textId="77777777" w:rsidTr="00073BDB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BDB83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51A7D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A0DF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A4C6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6F49602" w14:textId="77777777" w:rsidTr="00073BDB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C49D5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D474C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12,225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91119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15,094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5DC8F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12,613</w:t>
            </w:r>
          </w:p>
        </w:tc>
      </w:tr>
    </w:tbl>
    <w:p w14:paraId="302BAD7C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6AB30F6" w14:textId="44725B69" w:rsidR="006438C9" w:rsidRDefault="006438C9" w:rsidP="006438C9"/>
    <w:p w14:paraId="39D89253" w14:textId="77777777" w:rsidR="0073717E" w:rsidRDefault="0073717E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73717E" w:rsidSect="00D30438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08208B6" w14:textId="77777777" w:rsidR="006438C9" w:rsidRDefault="006438C9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Independent Commission Against Corruption</w:t>
      </w:r>
    </w:p>
    <w:tbl>
      <w:tblPr>
        <w:tblW w:w="9804" w:type="dxa"/>
        <w:tblLook w:val="04A0" w:firstRow="1" w:lastRow="0" w:firstColumn="1" w:lastColumn="0" w:noHBand="0" w:noVBand="1"/>
        <w:tblCaption w:val="2.2 Financial Statements - Independent Commission Against Corruption - Operating Statement"/>
        <w:tblDescription w:val="2.2 Financial Statements - Independent Commission Against Corruption - Operating Statement"/>
      </w:tblPr>
      <w:tblGrid>
        <w:gridCol w:w="6236"/>
        <w:gridCol w:w="1256"/>
        <w:gridCol w:w="1156"/>
        <w:gridCol w:w="1156"/>
      </w:tblGrid>
      <w:tr w:rsidR="006438C9" w14:paraId="2B16CE27" w14:textId="77777777" w:rsidTr="00592B20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795028F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A901CFE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55B4E51C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17C63CCA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687DC10" w14:textId="77777777" w:rsidTr="00592B20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4EF6D8F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104AD40E" w14:textId="77777777" w:rsidR="006438C9" w:rsidRPr="00537510" w:rsidRDefault="006438C9" w:rsidP="00592B2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21B5CD0B" w14:textId="77777777" w:rsidR="006438C9" w:rsidRPr="00537510" w:rsidRDefault="006438C9" w:rsidP="00592B2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320A1F20" w14:textId="77777777" w:rsidTr="00592B20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5122D13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155814E3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6F25F9EA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1EF181B7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200C3D3C" w14:textId="77777777" w:rsidTr="00592B20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958D9B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70A4A860" w14:textId="77777777" w:rsidR="006438C9" w:rsidRPr="00537510" w:rsidRDefault="006438C9" w:rsidP="00592B2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7DC70D8" w14:textId="77777777" w:rsidR="006438C9" w:rsidRPr="00537510" w:rsidRDefault="006438C9" w:rsidP="00592B2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5EE205FA" w14:textId="77777777" w:rsidR="006438C9" w:rsidRPr="00537510" w:rsidRDefault="006438C9" w:rsidP="00592B2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4E2D6808" w14:textId="77777777" w:rsidTr="00592B20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5F27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83F754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B43685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9C6077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AB8766B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CDA9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5AAAF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5DDD5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000B2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9F0BD42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3A78A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F033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C3E8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21,713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6F6A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28,108</w:t>
            </w:r>
          </w:p>
        </w:tc>
      </w:tr>
      <w:tr w:rsidR="006438C9" w:rsidRPr="00537510" w14:paraId="00E8559F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951FD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B158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6965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36D6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68D07E1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9626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087E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7,413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B35D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6,587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D291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9,403</w:t>
            </w:r>
          </w:p>
        </w:tc>
      </w:tr>
      <w:tr w:rsidR="006438C9" w:rsidRPr="00537510" w14:paraId="0C0F2B8A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41E0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FC8F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E1D0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B5E5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D7455FA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6113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055A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2071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6ABA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AB89263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31AA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279C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6532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00DA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3,508</w:t>
            </w:r>
          </w:p>
        </w:tc>
      </w:tr>
      <w:tr w:rsidR="006438C9" w:rsidRPr="00537510" w14:paraId="41F669E6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4CE2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6C25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A080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2C39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311</w:t>
            </w:r>
          </w:p>
        </w:tc>
      </w:tr>
      <w:tr w:rsidR="006438C9" w:rsidRPr="00537510" w14:paraId="6466B992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9619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30B65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CF159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7B5B3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FB00FE7" w14:textId="77777777" w:rsidTr="00592B20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EA148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1FD2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34,609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A461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32,186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EE62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41,330</w:t>
            </w:r>
          </w:p>
        </w:tc>
      </w:tr>
      <w:tr w:rsidR="006438C9" w:rsidRPr="00537510" w14:paraId="2570E4EC" w14:textId="77777777" w:rsidTr="00592B2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EF16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0BAA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4E97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D43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5A9EF5D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B054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662E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35,197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E6BA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30,084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3BC4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42,422</w:t>
            </w:r>
          </w:p>
        </w:tc>
      </w:tr>
      <w:tr w:rsidR="006438C9" w:rsidRPr="00537510" w14:paraId="165495BA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0B64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C8BA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5FCF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6D9F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C59DF31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600AE80" w14:textId="77777777" w:rsidR="006438C9" w:rsidRPr="00537510" w:rsidRDefault="006438C9" w:rsidP="00592B20">
            <w:pPr>
              <w:ind w:right="-38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34B9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82A6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EF0D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529</w:t>
            </w:r>
          </w:p>
        </w:tc>
      </w:tr>
      <w:tr w:rsidR="006438C9" w:rsidRPr="00537510" w14:paraId="4E3A89A3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4340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D4A4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7A68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BE12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2AF335A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F099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F820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C2BC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80D9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E884592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1CC1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EE09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A41E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F980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421</w:t>
            </w:r>
          </w:p>
        </w:tc>
      </w:tr>
      <w:tr w:rsidR="006438C9" w:rsidRPr="00537510" w14:paraId="5936BDF3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1C3A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B16A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03D8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688B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632230E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1F05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E040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CA8B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1C5E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F6FF381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77BEE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E3969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13C25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136E0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6438C9" w:rsidRPr="00537510" w14:paraId="34689045" w14:textId="77777777" w:rsidTr="00592B20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DD7F4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93B8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36,143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CCD3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30,899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9421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43,401</w:t>
            </w:r>
          </w:p>
        </w:tc>
      </w:tr>
      <w:tr w:rsidR="006438C9" w:rsidRPr="00537510" w14:paraId="70781874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377D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9459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FFE4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A179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AB05F72" w14:textId="77777777" w:rsidTr="00592B2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4F0C4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960C0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58506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11031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F70989D" w14:textId="77777777" w:rsidTr="00592B2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4A8D6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1E8A8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1,534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B5DB3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(1,287)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A7122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2,071</w:t>
            </w:r>
          </w:p>
        </w:tc>
      </w:tr>
    </w:tbl>
    <w:p w14:paraId="1D9BCA8E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CB66573" w14:textId="77777777" w:rsidR="006438C9" w:rsidRDefault="006438C9" w:rsidP="006438C9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Independent Commission Against Corruption - Balance Sheet"/>
        <w:tblDescription w:val="2.2 Financial Statements - Independent Commission Against Corruption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31042CA3" w14:textId="77777777" w:rsidTr="008C3B76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C5EF1FF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176C257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40A6371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D95A5BE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778D4BB" w14:textId="77777777" w:rsidTr="008C3B76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8312F0D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1E6C449" w14:textId="77777777" w:rsidR="006438C9" w:rsidRPr="00537510" w:rsidRDefault="006438C9" w:rsidP="008C3B7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D05180E" w14:textId="77777777" w:rsidR="006438C9" w:rsidRPr="00537510" w:rsidRDefault="006438C9" w:rsidP="008C3B7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36C7A5AC" w14:textId="77777777" w:rsidTr="008C3B76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1860FA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3F1468E4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0D08D536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6E83F0D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484CBDAB" w14:textId="77777777" w:rsidTr="008C3B76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42B8A0F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355C1B5F" w14:textId="77777777" w:rsidR="006438C9" w:rsidRPr="00537510" w:rsidRDefault="006438C9" w:rsidP="008C3B7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2992CEA6" w14:textId="77777777" w:rsidR="006438C9" w:rsidRPr="00537510" w:rsidRDefault="006438C9" w:rsidP="008C3B7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000E868F" w14:textId="77777777" w:rsidR="006438C9" w:rsidRPr="00537510" w:rsidRDefault="006438C9" w:rsidP="008C3B7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2F771CFE" w14:textId="77777777" w:rsidTr="008C3B76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518EC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69E80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F65923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C66756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842CE5F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0127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F04E8C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020DFF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DFF83C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1D878A9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3CB5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B7A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3,112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3441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713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72F2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1,643</w:t>
            </w:r>
          </w:p>
        </w:tc>
      </w:tr>
      <w:tr w:rsidR="006438C9" w:rsidRPr="00537510" w14:paraId="3C787AA1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9932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036D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57D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A269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32614CB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5364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0EA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2,110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5E2F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1,088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13DA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1,088</w:t>
            </w:r>
          </w:p>
        </w:tc>
      </w:tr>
      <w:tr w:rsidR="006438C9" w:rsidRPr="00537510" w14:paraId="0335A600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8784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B0F0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CC4E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ABC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29E506F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DFD5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D5E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01EA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5D02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D654EB7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0B95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34B1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4C7A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C869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EE33ED5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98AD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1059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072B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E710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C5CBDCB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E660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D86C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8E8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F062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8AD69FE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E9FF9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FF44C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FF83D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71328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D3F76BE" w14:textId="77777777" w:rsidTr="008C3B7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C8318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001D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5,222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3AF7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1,801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EFC3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2,731</w:t>
            </w:r>
          </w:p>
        </w:tc>
      </w:tr>
      <w:tr w:rsidR="006438C9" w:rsidRPr="00537510" w14:paraId="77DD8C0C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B34E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998F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E697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1C2D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1248A43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29A8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FE62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DDC6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C707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E8D7940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8E2C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221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92C2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F16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F68AEE6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158F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F48A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34D1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05E9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AA6C25D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A9FA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C557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770E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30A1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7204D07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B317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6821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9ABF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6BCA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D2EE61E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7D0D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3DD5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00C0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A612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576ED0E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F06E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7DAD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3B37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7AC3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0C10615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136E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54A9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C302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FBD6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E95EB01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3374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CB55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1,539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507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2,448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7E98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2,483</w:t>
            </w:r>
          </w:p>
        </w:tc>
      </w:tr>
      <w:tr w:rsidR="006438C9" w:rsidRPr="00537510" w14:paraId="621C6A8C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569D8" w14:textId="4CE85027" w:rsidR="006438C9" w:rsidRPr="00537510" w:rsidRDefault="006438C9" w:rsidP="002958A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A4D3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06D2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934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C928678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064D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A2A4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3F3D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DDB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37994DA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D623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EA4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7,204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1747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7,572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DBAF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5,401</w:t>
            </w:r>
          </w:p>
        </w:tc>
      </w:tr>
      <w:tr w:rsidR="006438C9" w:rsidRPr="00537510" w14:paraId="1427E38D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05F3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189B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1,428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DD97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483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BD6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1,595</w:t>
            </w:r>
          </w:p>
        </w:tc>
      </w:tr>
      <w:tr w:rsidR="006438C9" w:rsidRPr="00537510" w14:paraId="7B5AC303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5141F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5C348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575DA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AFD3B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37AE37E" w14:textId="77777777" w:rsidTr="008C3B7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F8439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71C9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10,171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0303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10,503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738C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9,479</w:t>
            </w:r>
          </w:p>
        </w:tc>
      </w:tr>
      <w:tr w:rsidR="006438C9" w:rsidRPr="00537510" w14:paraId="403FD895" w14:textId="77777777" w:rsidTr="008C3B7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763C8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FBF1A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15,392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71CCB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12,304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C73B6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12,210</w:t>
            </w:r>
          </w:p>
        </w:tc>
      </w:tr>
      <w:tr w:rsidR="006438C9" w:rsidRPr="00537510" w14:paraId="14FD1BFC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49C0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19DF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5F13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36E5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B551076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7493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1C0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ABEE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9C27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E8F4DEC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56D8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805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6D19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3779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191E95F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D127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9BD1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6EF3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787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514F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787</w:t>
            </w:r>
          </w:p>
        </w:tc>
      </w:tr>
      <w:tr w:rsidR="006438C9" w:rsidRPr="00537510" w14:paraId="49F03D56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2D0B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D788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4FB6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C7E2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BB1E31E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DFBA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C60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DD4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C5C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B512DD9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2A78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0BCC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2,165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711F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2,355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9B56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2,405</w:t>
            </w:r>
          </w:p>
        </w:tc>
      </w:tr>
      <w:tr w:rsidR="006438C9" w:rsidRPr="00537510" w14:paraId="68C6BF67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8BA5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28E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2,650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1A2F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2,910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6794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2,910</w:t>
            </w:r>
          </w:p>
        </w:tc>
      </w:tr>
      <w:tr w:rsidR="006438C9" w:rsidRPr="00537510" w14:paraId="66CAE4D9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9B7D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FBD9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9A3B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BB85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70FB193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A487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7B3C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CDB0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E9C3F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EEACB14" w14:textId="77777777" w:rsidTr="008C3B76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C1BE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691E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5,365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74A5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6,053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BDF8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6,102</w:t>
            </w:r>
          </w:p>
        </w:tc>
      </w:tr>
      <w:tr w:rsidR="006438C9" w:rsidRPr="00537510" w14:paraId="72017654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DAF5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C2D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9030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6D4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5FD733C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5765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AC5B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102C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591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9DE0AC6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ABAA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7B4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524F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7D8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D4C4C12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044E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0AFE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A1F0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4C95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E136CCD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F1CF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7F6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AFEA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82EA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FE83BC6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1D90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FB23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5,359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5C00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6,724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5902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4,509</w:t>
            </w:r>
          </w:p>
        </w:tc>
      </w:tr>
      <w:tr w:rsidR="006438C9" w:rsidRPr="00537510" w14:paraId="47431A00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A14B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884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1,225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541D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1,738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BCBB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1,738</w:t>
            </w:r>
          </w:p>
        </w:tc>
      </w:tr>
      <w:tr w:rsidR="006438C9" w:rsidRPr="00537510" w14:paraId="7A92A5FC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948C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96E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0DE3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AB65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43619AA" w14:textId="77777777" w:rsidTr="008C3B76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F6A82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9E113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6,584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0799D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8,462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68B2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6,247</w:t>
            </w:r>
          </w:p>
        </w:tc>
      </w:tr>
      <w:tr w:rsidR="006438C9" w:rsidRPr="00537510" w14:paraId="70D22022" w14:textId="77777777" w:rsidTr="008C3B7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8339D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4ED7F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11,949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BF866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14,514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930FC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12,349</w:t>
            </w:r>
          </w:p>
        </w:tc>
      </w:tr>
      <w:tr w:rsidR="006438C9" w:rsidRPr="00537510" w14:paraId="37133093" w14:textId="77777777" w:rsidTr="008C3B7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7B16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CEDD8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15FEC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(2,210)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B031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(139)</w:t>
            </w:r>
          </w:p>
        </w:tc>
      </w:tr>
      <w:tr w:rsidR="006438C9" w:rsidRPr="00537510" w14:paraId="03ADB4A2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B445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A1F7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4F78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81EA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9EDC806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75FE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6EB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3,443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4508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(2,210)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247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(139)</w:t>
            </w:r>
          </w:p>
        </w:tc>
      </w:tr>
      <w:tr w:rsidR="006438C9" w:rsidRPr="00537510" w14:paraId="4D8D09AD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F75C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741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005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6D1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C290E99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B9046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EB5D2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618AA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1192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3B10F80" w14:textId="77777777" w:rsidTr="008C3B76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1AD0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F75D7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C8ED4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(2,210)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448BB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(139)</w:t>
            </w:r>
          </w:p>
        </w:tc>
      </w:tr>
    </w:tbl>
    <w:p w14:paraId="0942A6F4" w14:textId="77777777" w:rsidR="008C3B76" w:rsidRPr="008C3B76" w:rsidRDefault="008C3B76">
      <w:pPr>
        <w:rPr>
          <w:rFonts w:asciiTheme="minorHAnsi" w:eastAsiaTheme="minorHAnsi" w:hAnsiTheme="minorHAnsi" w:cstheme="minorBidi"/>
          <w:sz w:val="6"/>
          <w:szCs w:val="6"/>
        </w:rPr>
      </w:pPr>
      <w:r w:rsidRPr="008C3B76">
        <w:rPr>
          <w:rFonts w:asciiTheme="minorHAnsi" w:eastAsiaTheme="minorHAnsi" w:hAnsiTheme="minorHAnsi" w:cstheme="minorBidi"/>
          <w:sz w:val="6"/>
          <w:szCs w:val="6"/>
        </w:rPr>
        <w:br w:type="page"/>
      </w:r>
    </w:p>
    <w:tbl>
      <w:tblPr>
        <w:tblW w:w="9804" w:type="dxa"/>
        <w:tblLook w:val="04A0" w:firstRow="1" w:lastRow="0" w:firstColumn="1" w:lastColumn="0" w:noHBand="0" w:noVBand="1"/>
        <w:tblCaption w:val="2.2 Financial Statements - Independent Commission Against Corruption - Cash Flow Statement"/>
        <w:tblDescription w:val="2.2 Financial Statements - Independent Commission Against Corruption - Cash Flow Statement"/>
      </w:tblPr>
      <w:tblGrid>
        <w:gridCol w:w="6236"/>
        <w:gridCol w:w="1256"/>
        <w:gridCol w:w="1156"/>
        <w:gridCol w:w="1156"/>
      </w:tblGrid>
      <w:tr w:rsidR="006438C9" w14:paraId="1E42062B" w14:textId="77777777" w:rsidTr="008C3B76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3C88404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E7D4EF0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084A43F4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shd w:val="clear" w:color="auto" w:fill="FFFFFF"/>
            <w:noWrap/>
            <w:vAlign w:val="bottom"/>
            <w:hideMark/>
          </w:tcPr>
          <w:p w14:paraId="241D974C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AB3438D" w14:textId="77777777" w:rsidTr="008C3B76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5F3650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2"/>
            <w:shd w:val="clear" w:color="auto" w:fill="EBEBEB"/>
            <w:vAlign w:val="bottom"/>
            <w:hideMark/>
          </w:tcPr>
          <w:p w14:paraId="4576B8D8" w14:textId="77777777" w:rsidR="006438C9" w:rsidRPr="00537510" w:rsidRDefault="006438C9" w:rsidP="008C3B7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56" w:type="dxa"/>
            <w:shd w:val="clear" w:color="auto" w:fill="EBEBEB"/>
            <w:vAlign w:val="bottom"/>
            <w:hideMark/>
          </w:tcPr>
          <w:p w14:paraId="769E1C5E" w14:textId="77777777" w:rsidR="006438C9" w:rsidRPr="00537510" w:rsidRDefault="006438C9" w:rsidP="008C3B7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0A3B8033" w14:textId="77777777" w:rsidTr="008C3B76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A334660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vAlign w:val="center"/>
            <w:hideMark/>
          </w:tcPr>
          <w:p w14:paraId="5C1F95A8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42BD447E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56" w:type="dxa"/>
            <w:shd w:val="clear" w:color="auto" w:fill="EBEBEB"/>
            <w:vAlign w:val="center"/>
            <w:hideMark/>
          </w:tcPr>
          <w:p w14:paraId="71F97647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614A0390" w14:textId="77777777" w:rsidTr="008C3B76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7B1E87D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shd w:val="clear" w:color="auto" w:fill="EBEBEB"/>
            <w:hideMark/>
          </w:tcPr>
          <w:p w14:paraId="6F30D395" w14:textId="77777777" w:rsidR="006438C9" w:rsidRPr="00537510" w:rsidRDefault="006438C9" w:rsidP="008C3B7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3F31E29B" w14:textId="77777777" w:rsidR="006438C9" w:rsidRPr="00537510" w:rsidRDefault="006438C9" w:rsidP="008C3B7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shd w:val="clear" w:color="auto" w:fill="EBEBEB"/>
            <w:hideMark/>
          </w:tcPr>
          <w:p w14:paraId="77CF284D" w14:textId="77777777" w:rsidR="006438C9" w:rsidRPr="00537510" w:rsidRDefault="006438C9" w:rsidP="008C3B7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5285B1B0" w14:textId="77777777" w:rsidTr="008C3B76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7933C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586286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C8A717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BEF33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1466DD6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EA0E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7084D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A4A60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828C20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E352493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065C8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DAEF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23,594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DA5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21,051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1570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27,580</w:t>
            </w:r>
          </w:p>
        </w:tc>
      </w:tr>
      <w:tr w:rsidR="006438C9" w:rsidRPr="00537510" w14:paraId="10211D36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9049A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279B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3247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9AB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16F3557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A6181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B773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A562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7B45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E2215C9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E377B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31A3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264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AAC5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311</w:t>
            </w:r>
          </w:p>
        </w:tc>
      </w:tr>
      <w:tr w:rsidR="006438C9" w:rsidRPr="00537510" w14:paraId="23A9DA9C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AC93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60CE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B117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966C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8E8FB20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345881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3431C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7,413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6705E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6,477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5B0C0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9,403</w:t>
            </w:r>
          </w:p>
        </w:tc>
      </w:tr>
      <w:tr w:rsidR="006438C9" w:rsidRPr="00537510" w14:paraId="66C7D5B4" w14:textId="77777777" w:rsidTr="008C3B7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F6D643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86A7C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31,170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E026A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27,967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38DEC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37,294</w:t>
            </w:r>
          </w:p>
        </w:tc>
      </w:tr>
      <w:tr w:rsidR="006438C9" w:rsidRPr="00537510" w14:paraId="7D63BD8F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E510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565B7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FEF43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EBA6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67B9E57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BFFB2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D4D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35,197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1CD8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30,084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6CB8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42,422</w:t>
            </w:r>
          </w:p>
        </w:tc>
      </w:tr>
      <w:tr w:rsidR="006438C9" w:rsidRPr="00537510" w14:paraId="5D9E426F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6395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267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872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C5F3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84C06FF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77AA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9732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4274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426A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0FEF423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54A2B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B0BE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4137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C0D8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C6E7301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8E09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D07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463D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76B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6FC6B21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ED2BD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793A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80BD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BFED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44E0017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68F7B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B27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6373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1D7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AA714AB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6666C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3FE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A0FD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F6F8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476C77C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0B08D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1CF3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6469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F0D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421</w:t>
            </w:r>
          </w:p>
        </w:tc>
      </w:tr>
      <w:tr w:rsidR="006438C9" w:rsidRPr="00537510" w14:paraId="24C4007A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CFB17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D919A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B8C3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30DE1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30</w:t>
            </w:r>
          </w:p>
        </w:tc>
      </w:tr>
      <w:tr w:rsidR="006438C9" w:rsidRPr="00537510" w14:paraId="00E1C51F" w14:textId="77777777" w:rsidTr="008C3B7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531B0B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13CD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35,637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C8587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30,270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F62B2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42,873</w:t>
            </w:r>
          </w:p>
        </w:tc>
      </w:tr>
      <w:tr w:rsidR="006438C9" w:rsidRPr="00537510" w14:paraId="484C2CD8" w14:textId="77777777" w:rsidTr="008C3B76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3DCD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C5F9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FB819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A83D7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5,579</w:t>
            </w:r>
          </w:p>
        </w:tc>
      </w:tr>
      <w:tr w:rsidR="006438C9" w:rsidRPr="00537510" w14:paraId="684BD829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1300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7CB3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085E2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101D9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3584027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0807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D8B2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0584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727A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379C447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1EAE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CF4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(769)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3BED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(1,709)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CC26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(414)</w:t>
            </w:r>
          </w:p>
        </w:tc>
      </w:tr>
      <w:tr w:rsidR="006438C9" w:rsidRPr="00537510" w14:paraId="0EE7CE7E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BA4B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BFB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679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E60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53B48E7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96C1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3E6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E8EF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0A5F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2072915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86F6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79A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16AB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7D79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E1B57C4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FC0F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A1E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376E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5F1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4AD49AA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02B67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1E0E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(400)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28C5B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(233)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3537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(2,070)</w:t>
            </w:r>
          </w:p>
        </w:tc>
      </w:tr>
      <w:tr w:rsidR="006438C9" w:rsidRPr="00537510" w14:paraId="49246692" w14:textId="77777777" w:rsidTr="008C3B7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EFEEE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ADD0B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(1,169)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CD56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(1,941)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045B0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(2,484)</w:t>
            </w:r>
          </w:p>
        </w:tc>
      </w:tr>
      <w:tr w:rsidR="006438C9" w:rsidRPr="00537510" w14:paraId="5A050C0F" w14:textId="77777777" w:rsidTr="008C3B7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FB8C6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E02D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33740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F7946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83D849B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C70B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D117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30AA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C39A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E45D0CF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4F13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6D30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(2,636)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B6E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(1,040)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E364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(2,165)</w:t>
            </w:r>
          </w:p>
        </w:tc>
      </w:tr>
      <w:tr w:rsidR="006438C9" w:rsidRPr="00537510" w14:paraId="33A175C2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86ED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004B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0E0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0463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9651721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F508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1BFC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6587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C585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757EE09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548F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E29B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32B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77A3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2C062FC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53C49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AA596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33CDB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6863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61FA641" w14:textId="77777777" w:rsidTr="008C3B7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A1FE9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B0C4A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(2,636)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75AE7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(1,040)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B3A72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(2,165)</w:t>
            </w:r>
          </w:p>
        </w:tc>
      </w:tr>
      <w:tr w:rsidR="006438C9" w:rsidRPr="00537510" w14:paraId="20B4170D" w14:textId="77777777" w:rsidTr="008C3B76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3A02D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8B321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0E7E1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(678)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08265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930</w:t>
            </w:r>
          </w:p>
        </w:tc>
      </w:tr>
      <w:tr w:rsidR="006438C9" w:rsidRPr="00537510" w14:paraId="252D58C1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E504B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F2ED1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2,450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7F95C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1,391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A1D32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713</w:t>
            </w:r>
          </w:p>
        </w:tc>
      </w:tr>
      <w:tr w:rsidR="006438C9" w:rsidRPr="00537510" w14:paraId="1DD7FFD5" w14:textId="77777777" w:rsidTr="008C3B76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2ADB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E47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5132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D955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3CC19F3" w14:textId="77777777" w:rsidTr="008C3B7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7E493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CAF38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EE7A1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CF67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C8E3A9F" w14:textId="77777777" w:rsidTr="008C3B7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0C5A0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6240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3,112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00A21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582B9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1,643</w:t>
            </w:r>
          </w:p>
        </w:tc>
      </w:tr>
    </w:tbl>
    <w:p w14:paraId="676BA0A7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6FF1E08" w14:textId="4157F87B" w:rsidR="006438C9" w:rsidRDefault="006438C9" w:rsidP="006438C9"/>
    <w:p w14:paraId="72299C24" w14:textId="77777777" w:rsidR="0073717E" w:rsidRDefault="0073717E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73717E" w:rsidSect="0050161E">
          <w:headerReference w:type="even" r:id="rId25"/>
          <w:headerReference w:type="default" r:id="rId26"/>
          <w:headerReference w:type="first" r:id="rId27"/>
          <w:footerReference w:type="first" r:id="rId28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42FD9F2" w14:textId="77777777" w:rsidR="006438C9" w:rsidRDefault="006438C9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Independent Pricing and Regulatory Tribunal</w:t>
      </w:r>
    </w:p>
    <w:tbl>
      <w:tblPr>
        <w:tblW w:w="9814" w:type="dxa"/>
        <w:tblLook w:val="04A0" w:firstRow="1" w:lastRow="0" w:firstColumn="1" w:lastColumn="0" w:noHBand="0" w:noVBand="1"/>
        <w:tblCaption w:val="2.2 Financial Statements - Independent Commission Against Corruption - Operating Statement"/>
        <w:tblDescription w:val="2.2 Financial Statements - Independent Commission Against Corruption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749D71CB" w14:textId="77777777" w:rsidTr="00F01739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AC8E5DD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8273E07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4837E37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038DDE7F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579B65B" w14:textId="77777777" w:rsidTr="00F0173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72379C6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70372AE" w14:textId="77777777" w:rsidR="006438C9" w:rsidRPr="00537510" w:rsidRDefault="006438C9" w:rsidP="00F0173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A533735" w14:textId="77777777" w:rsidR="006438C9" w:rsidRPr="00537510" w:rsidRDefault="006438C9" w:rsidP="00F0173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44FF16DF" w14:textId="77777777" w:rsidTr="00F01739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955B38D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27D5F0AE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557F0F7D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68204CE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20BF4F65" w14:textId="77777777" w:rsidTr="00F01739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91D402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4232FB86" w14:textId="77777777" w:rsidR="006438C9" w:rsidRPr="00537510" w:rsidRDefault="006438C9" w:rsidP="00F0173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38E817FA" w14:textId="77777777" w:rsidR="006438C9" w:rsidRPr="00537510" w:rsidRDefault="006438C9" w:rsidP="00F0173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AEC928F" w14:textId="77777777" w:rsidR="006438C9" w:rsidRPr="00537510" w:rsidRDefault="006438C9" w:rsidP="00F0173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030EA803" w14:textId="77777777" w:rsidTr="00F01739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5883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56A9F9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C39E0E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936ECF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3BA30AB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0200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E99B7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FD01E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401D8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84B14F3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9DB6D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3AD2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29,946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59E3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26,504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4361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28,670</w:t>
            </w:r>
          </w:p>
        </w:tc>
      </w:tr>
      <w:tr w:rsidR="006438C9" w:rsidRPr="00537510" w14:paraId="0AC0AD91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F81E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7234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23D8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E535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1EC4FDE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F4F8C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B665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10,667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2894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11,317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82E1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8,509</w:t>
            </w:r>
          </w:p>
        </w:tc>
      </w:tr>
      <w:tr w:rsidR="006438C9" w:rsidRPr="00537510" w14:paraId="1CA9AFF8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0BDA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7BC5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1B3F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2F55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A3F2CE0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06F8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3248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CEF0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B1B9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98FBD04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97B3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8F82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3A2F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EBDB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460</w:t>
            </w:r>
          </w:p>
        </w:tc>
      </w:tr>
      <w:tr w:rsidR="006438C9" w:rsidRPr="00537510" w14:paraId="03095265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2FF2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30D3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F3B4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2823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56BF4CB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AA8FD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5CBF7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2AF87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8B208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B41516D" w14:textId="77777777" w:rsidTr="00F0173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9B0576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D410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41,086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590F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38,168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786F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37,639</w:t>
            </w:r>
          </w:p>
        </w:tc>
      </w:tr>
      <w:tr w:rsidR="006438C9" w:rsidRPr="00537510" w14:paraId="34CA93D9" w14:textId="77777777" w:rsidTr="00F01739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D961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2F15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1E8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2288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37195DB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6B18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4EBF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38,485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C785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36,242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1316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33,935</w:t>
            </w:r>
          </w:p>
        </w:tc>
      </w:tr>
      <w:tr w:rsidR="006438C9" w:rsidRPr="00537510" w14:paraId="5D1CDC75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EF78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BEC4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577D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3C86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0292A6D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7424CB2" w14:textId="77777777" w:rsidR="006438C9" w:rsidRPr="00537510" w:rsidRDefault="006438C9" w:rsidP="00F01739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51A7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5EE5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835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69ED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334</w:t>
            </w:r>
          </w:p>
        </w:tc>
      </w:tr>
      <w:tr w:rsidR="006438C9" w:rsidRPr="00537510" w14:paraId="2AE74330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D5C8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3AB7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4E65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48A3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C8D5FB9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94EC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0B11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6960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72A4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1,516</w:t>
            </w:r>
          </w:p>
        </w:tc>
      </w:tr>
      <w:tr w:rsidR="006438C9" w:rsidRPr="00537510" w14:paraId="081ECDD1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E211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7290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D863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317A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D86E554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A793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9B00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24C4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58D9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C7CF81C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895D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845A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4B92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03B3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6FC881A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47346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B2DC9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C5600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1B7F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888EA4F" w14:textId="77777777" w:rsidTr="00F01739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FE3ED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C849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40,794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72BD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39,428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A67B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35,785</w:t>
            </w:r>
          </w:p>
        </w:tc>
      </w:tr>
      <w:tr w:rsidR="006438C9" w:rsidRPr="00537510" w14:paraId="75D32E69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1BFF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DB2A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BA7A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B9C9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5AEBB5D" w14:textId="77777777" w:rsidTr="00F01739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A85F0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51F37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F531D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8594E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3AED56D" w14:textId="77777777" w:rsidTr="00F01739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5696E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E81DF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(292)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37FB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1,260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D6DB7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(1,854)</w:t>
            </w:r>
          </w:p>
        </w:tc>
      </w:tr>
    </w:tbl>
    <w:p w14:paraId="553E84F9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A801E25" w14:textId="77777777" w:rsidR="006438C9" w:rsidRDefault="006438C9" w:rsidP="006438C9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Independent Commission Against Corruption - Operating Statement"/>
        <w:tblDescription w:val="2.2 Financial Statements - Independent Commission Against Corruption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111E7404" w14:textId="77777777" w:rsidTr="00063E5C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0115B8B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4F19EC4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46492AE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115BFDA6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3EA37CF" w14:textId="77777777" w:rsidTr="00063E5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855857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3EDC8B2" w14:textId="77777777" w:rsidR="006438C9" w:rsidRPr="00537510" w:rsidRDefault="006438C9" w:rsidP="00063E5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43943C9" w14:textId="77777777" w:rsidR="006438C9" w:rsidRPr="00537510" w:rsidRDefault="006438C9" w:rsidP="00063E5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3B3B8EB6" w14:textId="77777777" w:rsidTr="00063E5C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B6BC61C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09BE5B5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47C819CF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292F7DC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670FAEFE" w14:textId="77777777" w:rsidTr="00063E5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6DEA32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625CA23" w14:textId="77777777" w:rsidR="006438C9" w:rsidRPr="00537510" w:rsidRDefault="006438C9" w:rsidP="00063E5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2C878C2" w14:textId="77777777" w:rsidR="006438C9" w:rsidRPr="00537510" w:rsidRDefault="006438C9" w:rsidP="00063E5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5FCD6E5C" w14:textId="77777777" w:rsidR="006438C9" w:rsidRPr="00537510" w:rsidRDefault="006438C9" w:rsidP="00063E5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609E1D2E" w14:textId="77777777" w:rsidTr="00063E5C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9228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6DC61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54692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528AA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E0CCA0D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258DC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A7C006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7E605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42283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86E5E37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01DE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8F8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2,835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9983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7,360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117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5,788</w:t>
            </w:r>
          </w:p>
        </w:tc>
      </w:tr>
      <w:tr w:rsidR="006438C9" w:rsidRPr="00537510" w14:paraId="56F71D40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14C0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F9A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2B7F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9073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8B5F68C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A10A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D4F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875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0650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418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0631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418</w:t>
            </w:r>
          </w:p>
        </w:tc>
      </w:tr>
      <w:tr w:rsidR="006438C9" w:rsidRPr="00537510" w14:paraId="24C78502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00B2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812F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D1C2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DA60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EACA30F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65A1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C1A2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4EB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2B9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85F37D7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86C0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488C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024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0F1F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9964F56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E2C6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ABB5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1FAE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36B4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77C8F7B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E955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35E0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B1A5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D85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FFA0229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994F3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815EC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1ECC8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99C3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A76FD9C" w14:textId="77777777" w:rsidTr="00063E5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31EBE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41DC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3,710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7A78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7,778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3858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6,206</w:t>
            </w:r>
          </w:p>
        </w:tc>
      </w:tr>
      <w:tr w:rsidR="006438C9" w:rsidRPr="00537510" w14:paraId="62505CA5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C3AE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C01E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233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304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658681F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EFDF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270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01B8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CF5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B156E54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F5B6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27F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76A6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9A9D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820BCCE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6627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C097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3970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508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9F7CE64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7F41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CEF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D87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23E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EB07ED2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592F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4EA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E7E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2EC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E4A654D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E1C5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1746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C05A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2079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95C0FD2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D2A5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D3C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DEA8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BE1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D4DDA0E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7AA73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302B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B6FD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F14C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6272E64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3464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B90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8954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4867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222</w:t>
            </w:r>
          </w:p>
        </w:tc>
      </w:tr>
      <w:tr w:rsidR="006438C9" w:rsidRPr="006B351D" w14:paraId="3B8583F5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B7DC8" w14:textId="602C1D12" w:rsidR="006438C9" w:rsidRPr="00537510" w:rsidRDefault="006438C9" w:rsidP="006B351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53820" w14:textId="77777777" w:rsidR="006438C9" w:rsidRPr="00537510" w:rsidRDefault="006438C9" w:rsidP="00A071B9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6EEA0" w14:textId="77777777" w:rsidR="006438C9" w:rsidRPr="00537510" w:rsidRDefault="006438C9" w:rsidP="00A071B9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D6982" w14:textId="77777777" w:rsidR="006438C9" w:rsidRPr="00537510" w:rsidRDefault="006438C9" w:rsidP="00A071B9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ADAF265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41EC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D8AC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240B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8DA4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0D2639F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1D84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399A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A5E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575B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AF2E2C0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498B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26E2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9B72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281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4F25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21</w:t>
            </w:r>
          </w:p>
        </w:tc>
      </w:tr>
      <w:tr w:rsidR="006438C9" w:rsidRPr="00537510" w14:paraId="0944747D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F1E17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62E2C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3AD2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35E9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4ABE113" w14:textId="77777777" w:rsidTr="00063E5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3596E6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AA93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508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A994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6350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243</w:t>
            </w:r>
          </w:p>
        </w:tc>
      </w:tr>
      <w:tr w:rsidR="006438C9" w:rsidRPr="00537510" w14:paraId="67D0B864" w14:textId="77777777" w:rsidTr="00063E5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E63F7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1E7C7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4,218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A699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8,301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D295F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6,449</w:t>
            </w:r>
          </w:p>
        </w:tc>
      </w:tr>
      <w:tr w:rsidR="006438C9" w:rsidRPr="00537510" w14:paraId="2FC20238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EB7F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5085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E3B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6450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E1BCCEE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BE36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0B89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5890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8045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B520F53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1B74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1F41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DFE8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9872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72C96B9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2B32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09E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1,064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C46A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2,446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E520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2,446</w:t>
            </w:r>
          </w:p>
        </w:tc>
      </w:tr>
      <w:tr w:rsidR="006438C9" w:rsidRPr="00537510" w14:paraId="728DDA5D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F376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D88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9732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4C2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BD87154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F085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0A4E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26EC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0D2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D42DA91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08D8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2C1C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180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3724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2FBD8F4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7B3E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EA7B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2,575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449A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3,217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989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3,217</w:t>
            </w:r>
          </w:p>
        </w:tc>
      </w:tr>
      <w:tr w:rsidR="006438C9" w:rsidRPr="00537510" w14:paraId="47468D3A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EDC6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A84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6AD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35F9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DC9403B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4C97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D149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06FFB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8D462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33070A1" w14:textId="77777777" w:rsidTr="00063E5C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B1C6C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4056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3,639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122D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5,663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1FF0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5,663</w:t>
            </w:r>
          </w:p>
        </w:tc>
      </w:tr>
      <w:tr w:rsidR="006438C9" w:rsidRPr="00537510" w14:paraId="71AA389F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D8AD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4E08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5A9D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0F23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27194BD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B0E8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8C76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59D8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8C38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FB34810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4052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797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CD7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0AF5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9069D66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0752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AAC2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A8E3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D886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107951B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144E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DD6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41C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40CB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C096814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FE62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C58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CCEA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114D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A457D66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A974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ACB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ACA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36E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69</w:t>
            </w:r>
          </w:p>
        </w:tc>
      </w:tr>
      <w:tr w:rsidR="006438C9" w:rsidRPr="00537510" w14:paraId="7D466494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8B24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B5FA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13C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246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A832F62" w14:textId="77777777" w:rsidTr="00063E5C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8D741C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AC10D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0EEA8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4963B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69</w:t>
            </w:r>
          </w:p>
        </w:tc>
      </w:tr>
      <w:tr w:rsidR="006438C9" w:rsidRPr="00537510" w14:paraId="25F70C90" w14:textId="77777777" w:rsidTr="00063E5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BD9C9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2D2C7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0FA26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5,732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5324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5,732</w:t>
            </w:r>
          </w:p>
        </w:tc>
      </w:tr>
      <w:tr w:rsidR="006438C9" w:rsidRPr="00537510" w14:paraId="373FD7B2" w14:textId="77777777" w:rsidTr="00063E5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A9B57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3AF8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91E6A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4B2E6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717</w:t>
            </w:r>
          </w:p>
        </w:tc>
      </w:tr>
      <w:tr w:rsidR="006438C9" w:rsidRPr="00537510" w14:paraId="7101BE81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29CE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B4B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95CD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B0EC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A09C9C3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6442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0D4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4E7A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2,569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6B6A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717</w:t>
            </w:r>
          </w:p>
        </w:tc>
      </w:tr>
      <w:tr w:rsidR="006438C9" w:rsidRPr="00537510" w14:paraId="34A80D4C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DEDF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E27E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E35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321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4546A1D" w14:textId="77777777" w:rsidTr="00063E5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12F62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79EBF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5E4C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ADA30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876C100" w14:textId="77777777" w:rsidTr="00063E5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7785D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5688D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CD2E2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70338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717</w:t>
            </w:r>
          </w:p>
        </w:tc>
      </w:tr>
    </w:tbl>
    <w:p w14:paraId="089BB6F1" w14:textId="77777777" w:rsidR="00063E5C" w:rsidRPr="00063E5C" w:rsidRDefault="00063E5C">
      <w:pPr>
        <w:rPr>
          <w:rFonts w:asciiTheme="minorHAnsi" w:eastAsiaTheme="minorHAnsi" w:hAnsiTheme="minorHAnsi" w:cstheme="minorBidi"/>
          <w:sz w:val="14"/>
          <w:szCs w:val="14"/>
        </w:rPr>
      </w:pPr>
      <w:r w:rsidRPr="00063E5C">
        <w:rPr>
          <w:rFonts w:asciiTheme="minorHAnsi" w:eastAsiaTheme="minorHAnsi" w:hAnsiTheme="minorHAnsi" w:cstheme="minorBidi"/>
          <w:sz w:val="14"/>
          <w:szCs w:val="14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Independent Commission Against Corruption - Cash Flow Statement"/>
        <w:tblDescription w:val="2.2 Financial Statements - Independent Commission Against Corruption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57793D8D" w14:textId="77777777" w:rsidTr="004413E0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9E1EF99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BB1703D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12B9BB8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2101A73B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CAFE08E" w14:textId="77777777" w:rsidTr="004413E0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13B3020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6B216AA" w14:textId="77777777" w:rsidR="006438C9" w:rsidRPr="00537510" w:rsidRDefault="006438C9" w:rsidP="00063E5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91C45D5" w14:textId="77777777" w:rsidR="006438C9" w:rsidRPr="00537510" w:rsidRDefault="006438C9" w:rsidP="00063E5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4A1BD01B" w14:textId="77777777" w:rsidTr="004413E0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246A22C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6AC82BC0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C4366AE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0C6EA6A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58FE7A39" w14:textId="77777777" w:rsidTr="004413E0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80B6F5B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9BBBDD7" w14:textId="77777777" w:rsidR="006438C9" w:rsidRPr="00537510" w:rsidRDefault="006438C9" w:rsidP="00063E5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126EBB66" w14:textId="77777777" w:rsidR="006438C9" w:rsidRPr="00537510" w:rsidRDefault="006438C9" w:rsidP="00063E5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D17E6CF" w14:textId="77777777" w:rsidR="006438C9" w:rsidRPr="00537510" w:rsidRDefault="006438C9" w:rsidP="00063E5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06143EE0" w14:textId="77777777" w:rsidTr="004413E0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3D38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F7587B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0A507B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BE6AC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E21F5FF" w14:textId="77777777" w:rsidTr="004413E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CC94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82819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B2145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C2ED9A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0DD3836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73BA8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89E5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29,626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EF7E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25,121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9F8D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28,337</w:t>
            </w:r>
          </w:p>
        </w:tc>
      </w:tr>
      <w:tr w:rsidR="006438C9" w:rsidRPr="00537510" w14:paraId="3ED4533A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25F30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A79A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A8F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DED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FA4B690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9AD30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5F1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D32C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1E03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9B7E66B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C9EC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545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D614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972D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B5FAE0A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F6CD1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E4E8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6E77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A54B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4BBE7E2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A4A81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D29C1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10,667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BA9DE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11,967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48A3A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8,509</w:t>
            </w:r>
          </w:p>
        </w:tc>
      </w:tr>
      <w:tr w:rsidR="006438C9" w:rsidRPr="00537510" w14:paraId="0F15032C" w14:textId="77777777" w:rsidTr="004413E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BBA03F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FF4DE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40,294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5B850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37,088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0B6B0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36,845</w:t>
            </w:r>
          </w:p>
        </w:tc>
      </w:tr>
      <w:tr w:rsidR="006438C9" w:rsidRPr="00537510" w14:paraId="50AE3B3C" w14:textId="77777777" w:rsidTr="004413E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7617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D3BC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E898F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40454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F38161E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35E7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BC3C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38,485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1E31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36,242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1954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33,935</w:t>
            </w:r>
          </w:p>
        </w:tc>
      </w:tr>
      <w:tr w:rsidR="006438C9" w:rsidRPr="00537510" w14:paraId="23D80357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52A2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F0F4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A136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70C8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9DD2C63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4DCED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C2C0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2617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1BFE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C5D9B07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C8F68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6608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1C3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4C9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772D015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13D2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4B4D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9D57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E6B9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2D97E58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5871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BCE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1,211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776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1,286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3B23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1,516</w:t>
            </w:r>
          </w:p>
        </w:tc>
      </w:tr>
      <w:tr w:rsidR="006438C9" w:rsidRPr="00537510" w14:paraId="08942976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0A193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379A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F69D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D2D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2A842D1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7489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9AA7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C91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7B3C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B68FEB9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812E2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942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7AB5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4255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CFC7E0D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00FF0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44D19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2A49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2,063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56836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19FDCF6" w14:textId="77777777" w:rsidTr="004413E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7CC549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9786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40,475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7DF7F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40,490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9F918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35,451</w:t>
            </w:r>
          </w:p>
        </w:tc>
      </w:tr>
      <w:tr w:rsidR="006438C9" w:rsidRPr="00537510" w14:paraId="527ACFC3" w14:textId="77777777" w:rsidTr="004413E0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ECA42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63583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3D331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3,402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CE64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(1,394)</w:t>
            </w:r>
          </w:p>
        </w:tc>
      </w:tr>
      <w:tr w:rsidR="006438C9" w:rsidRPr="00537510" w14:paraId="28C1DFBD" w14:textId="77777777" w:rsidTr="004413E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15ED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20CA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02B3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B6CC2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A130A60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10FA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26A2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E8CD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E02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B701020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1DB4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5AA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B7E9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(110)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423D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(180)</w:t>
            </w:r>
          </w:p>
        </w:tc>
      </w:tr>
      <w:tr w:rsidR="006438C9" w:rsidRPr="00537510" w14:paraId="7D68BDE6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782B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EF10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0D8F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FF2F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8EC8871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A2E6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2AC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7A7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4DE2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639C7DF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B28F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EBA3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A6B7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A1A9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83B0FD3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5B3B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D521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2526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03FC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956B5A4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DB18C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51446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BA2EA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9BE96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B404A13" w14:textId="77777777" w:rsidTr="004413E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83338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5C07C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A21E9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(110)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7CC93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(180)</w:t>
            </w:r>
          </w:p>
        </w:tc>
      </w:tr>
      <w:tr w:rsidR="006438C9" w:rsidRPr="00537510" w14:paraId="452920CD" w14:textId="77777777" w:rsidTr="004413E0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6A7D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420DB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15163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0356E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8301F9B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C263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42D8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4854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A46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0B9AD12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9352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8193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B3D5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D635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5A52596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14D8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8F50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D45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A0A2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4D4342B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F98A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0ECA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2B6C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AC5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</w:tr>
      <w:tr w:rsidR="006438C9" w:rsidRPr="00537510" w14:paraId="4A9ED313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24C8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EE15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86C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7E7A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48639E7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145ED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8716E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8669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8EBA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7506E59" w14:textId="77777777" w:rsidTr="004413E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68579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F6164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C0648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DD494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</w:t>
            </w:r>
          </w:p>
        </w:tc>
      </w:tr>
      <w:tr w:rsidR="006438C9" w:rsidRPr="00537510" w14:paraId="12313515" w14:textId="77777777" w:rsidTr="004413E0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A6327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EAA28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69B75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3,292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AC25C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(1,572)</w:t>
            </w:r>
          </w:p>
        </w:tc>
      </w:tr>
      <w:tr w:rsidR="006438C9" w:rsidRPr="00537510" w14:paraId="15255C1C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CE238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367F2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2,572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BA194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4,068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694F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7,360</w:t>
            </w:r>
          </w:p>
        </w:tc>
      </w:tr>
      <w:tr w:rsidR="006438C9" w:rsidRPr="00537510" w14:paraId="3DED7FEB" w14:textId="77777777" w:rsidTr="004413E0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B4C1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3688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E9A4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254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A197EEB" w14:textId="77777777" w:rsidTr="004413E0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511CA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C635E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0E879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7510F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B447FA7" w14:textId="77777777" w:rsidTr="004413E0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26E25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C7510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2,835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7C060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7,360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012DB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5,788</w:t>
            </w:r>
          </w:p>
        </w:tc>
      </w:tr>
    </w:tbl>
    <w:p w14:paraId="6DE21B42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63C9AE8" w14:textId="60695C98" w:rsidR="006438C9" w:rsidRDefault="006438C9" w:rsidP="006438C9"/>
    <w:p w14:paraId="66E453A2" w14:textId="77777777" w:rsidR="0073717E" w:rsidRDefault="0073717E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73717E" w:rsidSect="0076577C">
          <w:headerReference w:type="even" r:id="rId29"/>
          <w:headerReference w:type="default" r:id="rId30"/>
          <w:headerReference w:type="first" r:id="rId31"/>
          <w:footerReference w:type="first" r:id="rId32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E0F675C" w14:textId="77777777" w:rsidR="006438C9" w:rsidRDefault="006438C9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Law Enforcement Conduct Commission</w:t>
      </w:r>
    </w:p>
    <w:tbl>
      <w:tblPr>
        <w:tblW w:w="9814" w:type="dxa"/>
        <w:tblLook w:val="04A0" w:firstRow="1" w:lastRow="0" w:firstColumn="1" w:lastColumn="0" w:noHBand="0" w:noVBand="1"/>
        <w:tblCaption w:val="2.2 Financial Statements - Law Enforcement Conduct Commission - Operating Statement"/>
        <w:tblDescription w:val="2.2 Financial Statements - Law Enforcement Conduct Commission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6A5EF899" w14:textId="77777777" w:rsidTr="00AB3D15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FFD0D4A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9F393B1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075D5E7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39BC845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5CC9943" w14:textId="77777777" w:rsidTr="00AB3D1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873F73F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73E11AC7" w14:textId="77777777" w:rsidR="006438C9" w:rsidRPr="00537510" w:rsidRDefault="006438C9" w:rsidP="00F13E6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1DCD3DE7" w14:textId="77777777" w:rsidR="006438C9" w:rsidRPr="00537510" w:rsidRDefault="006438C9" w:rsidP="00F13E6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0E0E67CD" w14:textId="77777777" w:rsidTr="00AB3D15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520911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D6AA220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7EDA9B2F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3805A21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39DB0B85" w14:textId="77777777" w:rsidTr="00AB3D15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9B0E5B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2694078" w14:textId="77777777" w:rsidR="006438C9" w:rsidRPr="00537510" w:rsidRDefault="006438C9" w:rsidP="00F13E6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4ADB3521" w14:textId="77777777" w:rsidR="006438C9" w:rsidRPr="00537510" w:rsidRDefault="006438C9" w:rsidP="00F13E6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5691FE71" w14:textId="77777777" w:rsidR="006438C9" w:rsidRPr="00537510" w:rsidRDefault="006438C9" w:rsidP="00F13E6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15166B72" w14:textId="77777777" w:rsidTr="00AB3D15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5B85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8CF4D0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988CED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63573D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6C4B2E4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4B54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4C305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E7BD5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56B75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42FA81A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F9B5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7092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18,963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7385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17,516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968A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20,670</w:t>
            </w:r>
          </w:p>
        </w:tc>
      </w:tr>
      <w:tr w:rsidR="006438C9" w:rsidRPr="00537510" w14:paraId="2D96D342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0CF7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35F1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4004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B4E4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5858B72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3602C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D3F9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2,698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E5CC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3,402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90F1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2,903</w:t>
            </w:r>
          </w:p>
        </w:tc>
      </w:tr>
      <w:tr w:rsidR="006438C9" w:rsidRPr="00537510" w14:paraId="6C97E0FD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3924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0271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8105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6DC8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B7DC39A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F4CF6" w14:textId="77777777" w:rsidR="006438C9" w:rsidRPr="00537510" w:rsidRDefault="006438C9" w:rsidP="00AB3D15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8475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6BE5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1A7C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9E2FCD9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5A3A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49DD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8A00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3,079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FA1E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2,904</w:t>
            </w:r>
          </w:p>
        </w:tc>
      </w:tr>
      <w:tr w:rsidR="006438C9" w:rsidRPr="00537510" w14:paraId="39373E94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AFA2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C9F6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B694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30AE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</w:t>
            </w:r>
          </w:p>
        </w:tc>
      </w:tr>
      <w:tr w:rsidR="006438C9" w:rsidRPr="00537510" w14:paraId="0C4DA3FB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687FB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97CE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39A4C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74221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351BD90" w14:textId="77777777" w:rsidTr="00AB3D1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9887D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EEFD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24,852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2A95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24,058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78A4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26,494</w:t>
            </w:r>
          </w:p>
        </w:tc>
      </w:tr>
      <w:tr w:rsidR="006438C9" w:rsidRPr="00537510" w14:paraId="4AAC08F5" w14:textId="77777777" w:rsidTr="00AB3D15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1EE0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4EBD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86F8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B280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BD52997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08C7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9E64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24,129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345D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A6D0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26,130</w:t>
            </w:r>
          </w:p>
        </w:tc>
      </w:tr>
      <w:tr w:rsidR="006438C9" w:rsidRPr="00537510" w14:paraId="30C99ADC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9585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F4E0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0905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E763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AA577FF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146A7F6" w14:textId="77777777" w:rsidR="006438C9" w:rsidRPr="00537510" w:rsidRDefault="006438C9" w:rsidP="009A3318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6717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696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CC28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809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02B2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734</w:t>
            </w:r>
          </w:p>
        </w:tc>
      </w:tr>
      <w:tr w:rsidR="006438C9" w:rsidRPr="00537510" w14:paraId="40FF5E83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96E3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71CF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FCEE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2631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6C93BD5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9B18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CCED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770B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CAE5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1A1F049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960E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64D0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54B8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0239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70</w:t>
            </w:r>
          </w:p>
        </w:tc>
      </w:tr>
      <w:tr w:rsidR="006438C9" w:rsidRPr="00537510" w14:paraId="3E891414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BDC6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2A0D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096D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7AE5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63BA3D6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42B7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564A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3396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D087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9A28213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092F5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6929D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76064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DB92F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</w:t>
            </w:r>
          </w:p>
        </w:tc>
      </w:tr>
      <w:tr w:rsidR="006438C9" w:rsidRPr="00537510" w14:paraId="3D3F37FE" w14:textId="77777777" w:rsidTr="00AB3D15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64D30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1130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24,974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4D38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24,099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4D5E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26,988</w:t>
            </w:r>
          </w:p>
        </w:tc>
      </w:tr>
      <w:tr w:rsidR="006438C9" w:rsidRPr="00537510" w14:paraId="414B46B1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3D7C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9B23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7391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6991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</w:tr>
      <w:tr w:rsidR="006438C9" w:rsidRPr="00537510" w14:paraId="2AEA1695" w14:textId="77777777" w:rsidTr="00AB3D15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E3D79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D23C7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66195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E7DBD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1C06A32" w14:textId="77777777" w:rsidTr="00AB3D15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712A8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79FD3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F44EB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7DC37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509</w:t>
            </w:r>
          </w:p>
        </w:tc>
      </w:tr>
    </w:tbl>
    <w:p w14:paraId="7DB6E251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C153BD4" w14:textId="77777777" w:rsidR="006438C9" w:rsidRDefault="006438C9" w:rsidP="006438C9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Law Enforcement Conduct Commission - Balance Sheet"/>
        <w:tblDescription w:val="2.2 Financial Statements - Law Enforcement Conduct Commission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0B0D20E1" w14:textId="77777777" w:rsidTr="005B4D8C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5A51E58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A89BFDB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191FCA5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5895EF60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82D5AA0" w14:textId="77777777" w:rsidTr="005B4D8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1B2FF0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1AED83BC" w14:textId="77777777" w:rsidR="006438C9" w:rsidRPr="00537510" w:rsidRDefault="006438C9" w:rsidP="005B4D8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4E389E2" w14:textId="77777777" w:rsidR="006438C9" w:rsidRPr="00537510" w:rsidRDefault="006438C9" w:rsidP="005B4D8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2D13E8F8" w14:textId="77777777" w:rsidTr="005B4D8C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EFA767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399F212C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28C87771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D9AF774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55ABE3A7" w14:textId="77777777" w:rsidTr="005B4D8C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FDD450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16AE6D66" w14:textId="77777777" w:rsidR="006438C9" w:rsidRPr="00537510" w:rsidRDefault="006438C9" w:rsidP="005B4D8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3CA790BC" w14:textId="77777777" w:rsidR="006438C9" w:rsidRPr="00537510" w:rsidRDefault="006438C9" w:rsidP="005B4D8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03685C5C" w14:textId="77777777" w:rsidR="006438C9" w:rsidRPr="00537510" w:rsidRDefault="006438C9" w:rsidP="005B4D8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52E92E7C" w14:textId="77777777" w:rsidTr="005B4D8C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95A4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19431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3089E7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2718A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8BDCCBF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91BE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9FF9A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39773B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9FB3B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8954677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4726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4FF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9324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9C77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362</w:t>
            </w:r>
          </w:p>
        </w:tc>
      </w:tr>
      <w:tr w:rsidR="006438C9" w:rsidRPr="00537510" w14:paraId="789538ED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D2C3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5B31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437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225E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B6D8E7F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5E1C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31E3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1,378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A905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1,301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08FE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1,208</w:t>
            </w:r>
          </w:p>
        </w:tc>
      </w:tr>
      <w:tr w:rsidR="006438C9" w:rsidRPr="00537510" w14:paraId="67C13D2E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0887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FE71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231F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439F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9A0CBEA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4F63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7448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D864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610D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C46038C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BB89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602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899B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DCCC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6D07549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30B7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BCCD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F25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D841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917BCCE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06E0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ABE5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5E73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476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8716378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B2DBC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A5B92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BC196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276C4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76B05CA" w14:textId="77777777" w:rsidTr="005B4D8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01A24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A38C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1,958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2229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1,648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59B1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1,570</w:t>
            </w:r>
          </w:p>
        </w:tc>
      </w:tr>
      <w:tr w:rsidR="006438C9" w:rsidRPr="00537510" w14:paraId="31B0A0BE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9E0B6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E872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39F5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47A9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4E2CF06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36C5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045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BE8E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2E0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E5D253A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CDAB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082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7083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3610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0242C15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9EEF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0A1B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7CC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5FC1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4AA7F59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C10E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1174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6E2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87EE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C52F475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4621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3971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7666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0679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E76CF5D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8F5D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CCC1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E800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22EB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4DEF522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DF50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F04D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A3F8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4863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3B045B1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ECF73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94E2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85D8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292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7D2D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231</w:t>
            </w:r>
          </w:p>
        </w:tc>
      </w:tr>
      <w:tr w:rsidR="006438C9" w:rsidRPr="00537510" w14:paraId="5D020CB3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E6AF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B8E5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2,213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10B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2,244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3E0C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1,972</w:t>
            </w:r>
          </w:p>
        </w:tc>
      </w:tr>
      <w:tr w:rsidR="006438C9" w:rsidRPr="00537510" w14:paraId="7D72346C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E1EE5" w14:textId="566513EB" w:rsidR="006438C9" w:rsidRPr="00537510" w:rsidRDefault="006438C9" w:rsidP="006B351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4184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5050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EF38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6D34CD8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2090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0F35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4010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7909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0344C49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7DFB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D98B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1,956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8714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1,976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EB7F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210</w:t>
            </w:r>
          </w:p>
        </w:tc>
      </w:tr>
      <w:tr w:rsidR="006438C9" w:rsidRPr="00537510" w14:paraId="32964F83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F3FE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40B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1,273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7A53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1,064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9636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1,359</w:t>
            </w:r>
          </w:p>
        </w:tc>
      </w:tr>
      <w:tr w:rsidR="006438C9" w:rsidRPr="00537510" w14:paraId="09F92FB7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75352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85B7F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0716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3B45F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B080A8C" w14:textId="77777777" w:rsidTr="005B4D8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A83E7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25EC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6,096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A236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5,575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CE19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3,771</w:t>
            </w:r>
          </w:p>
        </w:tc>
      </w:tr>
      <w:tr w:rsidR="006438C9" w:rsidRPr="00537510" w14:paraId="4100AF85" w14:textId="77777777" w:rsidTr="005B4D8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894D6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6BA9F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8,054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3FCA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7,223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E0C55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5,341</w:t>
            </w:r>
          </w:p>
        </w:tc>
      </w:tr>
      <w:tr w:rsidR="006438C9" w:rsidRPr="00537510" w14:paraId="729657FF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A4B4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67A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AF67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DD8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7761286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ABAC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B9E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3833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E38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07FD657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1490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AE9F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F1F9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CDDA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78909A1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E817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8FB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DE58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506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B787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506</w:t>
            </w:r>
          </w:p>
        </w:tc>
      </w:tr>
      <w:tr w:rsidR="006438C9" w:rsidRPr="00537510" w14:paraId="46F280C2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3395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B558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D32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A080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67A3AAA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25D4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06B1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9417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0A86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484C4D1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92FC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B8D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2,053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1498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2,321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DCE0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66</w:t>
            </w:r>
          </w:p>
        </w:tc>
      </w:tr>
      <w:tr w:rsidR="006438C9" w:rsidRPr="00537510" w14:paraId="284FD0DA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F789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1291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1,922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15B9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1,928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2ED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1,928</w:t>
            </w:r>
          </w:p>
        </w:tc>
      </w:tr>
      <w:tr w:rsidR="006438C9" w:rsidRPr="00537510" w14:paraId="02CCB89D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C0F7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B158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51A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47DD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9C262B4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31D2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122AE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04A03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82B7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D8FD5EC" w14:textId="77777777" w:rsidTr="005B4D8C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51520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4D10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4,237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4B8E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4,755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5BC2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2,500</w:t>
            </w:r>
          </w:p>
        </w:tc>
      </w:tr>
      <w:tr w:rsidR="006438C9" w:rsidRPr="00537510" w14:paraId="274C0C34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E899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12A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9252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37CE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250341C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CEFA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2751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2DFA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9E9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3A35841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BC95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837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5DDA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5135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F5FCB21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D8E2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4490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1CA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E556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8008C1B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081F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787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7423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499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3B07E40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BBE3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C94E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483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A1F3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D4A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(59)</w:t>
            </w:r>
          </w:p>
        </w:tc>
      </w:tr>
      <w:tr w:rsidR="006438C9" w:rsidRPr="00537510" w14:paraId="39F9B4DD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81DF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34A5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8379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8531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661</w:t>
            </w:r>
          </w:p>
        </w:tc>
      </w:tr>
      <w:tr w:rsidR="006438C9" w:rsidRPr="00537510" w14:paraId="15D62F84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C4BA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EA5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982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F1B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7BB57DD" w14:textId="77777777" w:rsidTr="005B4D8C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E9A91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09359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1,170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59D85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738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CC7BF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602</w:t>
            </w:r>
          </w:p>
        </w:tc>
      </w:tr>
      <w:tr w:rsidR="006438C9" w:rsidRPr="00537510" w14:paraId="24352A0A" w14:textId="77777777" w:rsidTr="005B4D8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26A38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C882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5,408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DF06C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5,493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148B6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3,102</w:t>
            </w:r>
          </w:p>
        </w:tc>
      </w:tr>
      <w:tr w:rsidR="006438C9" w:rsidRPr="00537510" w14:paraId="1570E304" w14:textId="77777777" w:rsidTr="005B4D8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9A94E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E4E0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38D8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283B2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2,239</w:t>
            </w:r>
          </w:p>
        </w:tc>
      </w:tr>
      <w:tr w:rsidR="006438C9" w:rsidRPr="00537510" w14:paraId="3A50CCEC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1C04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979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5D4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6A5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2F9DB55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2521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382A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2,646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86C7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1,730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6716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2,239</w:t>
            </w:r>
          </w:p>
        </w:tc>
      </w:tr>
      <w:tr w:rsidR="006438C9" w:rsidRPr="00537510" w14:paraId="51D571F2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00DF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49E8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1E30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E67E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B31CCD0" w14:textId="77777777" w:rsidTr="005B4D8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81270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C2464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0DEC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452F3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850B482" w14:textId="77777777" w:rsidTr="005B4D8C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8B346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675D3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70E1F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99EE1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2,239</w:t>
            </w:r>
          </w:p>
        </w:tc>
      </w:tr>
    </w:tbl>
    <w:p w14:paraId="63F2C4D8" w14:textId="77777777" w:rsidR="005B4D8C" w:rsidRPr="005B4D8C" w:rsidRDefault="005B4D8C">
      <w:pPr>
        <w:rPr>
          <w:rFonts w:asciiTheme="minorHAnsi" w:eastAsiaTheme="minorHAnsi" w:hAnsiTheme="minorHAnsi" w:cstheme="minorBidi"/>
          <w:sz w:val="12"/>
          <w:szCs w:val="12"/>
        </w:rPr>
      </w:pPr>
      <w:r w:rsidRPr="005B4D8C">
        <w:rPr>
          <w:rFonts w:asciiTheme="minorHAnsi" w:eastAsiaTheme="minorHAnsi" w:hAnsiTheme="minorHAnsi" w:cstheme="minorBidi"/>
          <w:sz w:val="12"/>
          <w:szCs w:val="1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Law Enforcement Conduct Commission - Cash Flow Statement"/>
        <w:tblDescription w:val="2.2 Financial Statements - Law Enforcement Conduct Commission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518312A4" w14:textId="77777777" w:rsidTr="008F2882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1A6A28A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0B64654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BB4AEDA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1DA4ACBA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D09CD35" w14:textId="77777777" w:rsidTr="008F28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C6F0AD3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AFF140C" w14:textId="77777777" w:rsidR="006438C9" w:rsidRPr="00537510" w:rsidRDefault="006438C9" w:rsidP="005B4D8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6B0F091" w14:textId="77777777" w:rsidR="006438C9" w:rsidRPr="00537510" w:rsidRDefault="006438C9" w:rsidP="005B4D8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0E0C8E40" w14:textId="77777777" w:rsidTr="008F288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C123E9F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2F947D6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004589C7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6C35124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1C193411" w14:textId="77777777" w:rsidTr="008F28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2B9E9A3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0144C5E2" w14:textId="77777777" w:rsidR="006438C9" w:rsidRPr="00537510" w:rsidRDefault="006438C9" w:rsidP="005B4D8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466818A6" w14:textId="77777777" w:rsidR="006438C9" w:rsidRPr="00537510" w:rsidRDefault="006438C9" w:rsidP="005B4D8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2867A94" w14:textId="77777777" w:rsidR="006438C9" w:rsidRPr="00537510" w:rsidRDefault="006438C9" w:rsidP="005B4D8C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10DACD61" w14:textId="77777777" w:rsidTr="008F288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F41C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BB1B5A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151E0A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2E5760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CA1FC56" w14:textId="77777777" w:rsidTr="008F28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5AB0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7DF1A6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AC2E3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74F32D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5255EEB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A33C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221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18,267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9F66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16,849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F178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19,936</w:t>
            </w:r>
          </w:p>
        </w:tc>
      </w:tr>
      <w:tr w:rsidR="006438C9" w:rsidRPr="00537510" w14:paraId="427D6511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739E8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55FA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2A8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0C6F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A171B3B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B22A1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C521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5B01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05E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52A023A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C961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649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D500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397F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17</w:t>
            </w:r>
          </w:p>
        </w:tc>
      </w:tr>
      <w:tr w:rsidR="006438C9" w:rsidRPr="00537510" w14:paraId="1E6DF55A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42B9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8DC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DDD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1B7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EE04976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6A4613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0F32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2,698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140BF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4,352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1CD9E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2,810</w:t>
            </w:r>
          </w:p>
        </w:tc>
      </w:tr>
      <w:tr w:rsidR="006438C9" w:rsidRPr="00537510" w14:paraId="27A9FCCD" w14:textId="77777777" w:rsidTr="008F28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6F05D7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3FD80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21,028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4E827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21,252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F002D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22,763</w:t>
            </w:r>
          </w:p>
        </w:tc>
      </w:tr>
      <w:tr w:rsidR="006438C9" w:rsidRPr="00537510" w14:paraId="3C41E30B" w14:textId="77777777" w:rsidTr="008F28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4004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9B089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A58B8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E6B1D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A555719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FF79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A001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24,129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37BC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23,100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15FC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26,130</w:t>
            </w:r>
          </w:p>
        </w:tc>
      </w:tr>
      <w:tr w:rsidR="006438C9" w:rsidRPr="00537510" w14:paraId="632751D0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B3E2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D84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8384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36AD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FB552DC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A74D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286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B113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0262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CE76195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8727A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C80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4E63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0FEB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BAC5738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7721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0917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9ED3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DD5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3160124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AF0B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1493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2875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DFB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6E8FBB4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67182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D613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859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58C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805533A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CF48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D5A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02A4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2E98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C25CCEE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6D60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D8AF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9A11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6BEE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70</w:t>
            </w:r>
          </w:p>
        </w:tc>
      </w:tr>
      <w:tr w:rsidR="006438C9" w:rsidRPr="00537510" w14:paraId="4E7C0E68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337E5C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83563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8FE1D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D8994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54</w:t>
            </w:r>
          </w:p>
        </w:tc>
      </w:tr>
      <w:tr w:rsidR="006438C9" w:rsidRPr="00537510" w14:paraId="799F7EE9" w14:textId="77777777" w:rsidTr="008F28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4183AD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6539C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24,277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67188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24,057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25EA6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26,254</w:t>
            </w:r>
          </w:p>
        </w:tc>
      </w:tr>
      <w:tr w:rsidR="006438C9" w:rsidRPr="00537510" w14:paraId="4D68C86A" w14:textId="77777777" w:rsidTr="008F28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D4A1B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4CA0B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BDEE4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2,805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6B38A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3,491</w:t>
            </w:r>
          </w:p>
        </w:tc>
      </w:tr>
      <w:tr w:rsidR="006438C9" w:rsidRPr="00537510" w14:paraId="2209C166" w14:textId="77777777" w:rsidTr="008F28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D665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AD188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9236C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4D2E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022AB07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D25D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0B2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AD6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21C4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</w:tr>
      <w:tr w:rsidR="006438C9" w:rsidRPr="00537510" w14:paraId="6FB2E3E5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7F4F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DCE9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(950)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B8AC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(910)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74A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(700)</w:t>
            </w:r>
          </w:p>
        </w:tc>
      </w:tr>
      <w:tr w:rsidR="006438C9" w:rsidRPr="00537510" w14:paraId="0B35899E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DAC3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4CD1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BCE2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0AB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804B909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D390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2B2F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78DC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62CE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7D34CC1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B6D6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1E2A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155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A62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51A801B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4754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43D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9513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E99A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5E0DB36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B141C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3480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(440)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42C89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(108)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15D6D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(400)</w:t>
            </w:r>
          </w:p>
        </w:tc>
      </w:tr>
      <w:tr w:rsidR="006438C9" w:rsidRPr="00537510" w14:paraId="1BA24F31" w14:textId="77777777" w:rsidTr="008F28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469B4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BFEBE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(1,375)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C8DE9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(948)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104E8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(1,085)</w:t>
            </w:r>
          </w:p>
        </w:tc>
      </w:tr>
      <w:tr w:rsidR="006438C9" w:rsidRPr="00537510" w14:paraId="3D0C384E" w14:textId="77777777" w:rsidTr="008F28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4C7B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2EAB2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697BD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C0E48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7F5BD50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8EEB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9CB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DE73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D1CC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F0EDDDD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C505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244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(2,161)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2DB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(2,200)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5223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(2,391)</w:t>
            </w:r>
          </w:p>
        </w:tc>
      </w:tr>
      <w:tr w:rsidR="006438C9" w:rsidRPr="00537510" w14:paraId="065BB545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25C7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26B1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349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ABB2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7AA17E6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5DE9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8845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90C3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760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A5B2061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3DAE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2800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757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C0F7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9D1C035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F5E74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B677E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23462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46AFC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1CAA3F8" w14:textId="77777777" w:rsidTr="008F28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7681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F185C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(2,161)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A64FC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(2,200)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4F646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(2,391)</w:t>
            </w:r>
          </w:p>
        </w:tc>
      </w:tr>
      <w:tr w:rsidR="006438C9" w:rsidRPr="00537510" w14:paraId="5A357D60" w14:textId="77777777" w:rsidTr="008F28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014CE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F0957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(287)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A28B4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(343)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C64AE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</w:t>
            </w:r>
          </w:p>
        </w:tc>
      </w:tr>
      <w:tr w:rsidR="006438C9" w:rsidRPr="00537510" w14:paraId="484AB579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17C1D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731EA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6BE18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B8EC3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347</w:t>
            </w:r>
          </w:p>
        </w:tc>
      </w:tr>
      <w:tr w:rsidR="006438C9" w:rsidRPr="00537510" w14:paraId="7F246D75" w14:textId="77777777" w:rsidTr="008F2882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0C55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F610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A8C9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002B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03DD8B4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8818F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319D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7BFF8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06783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5360509" w14:textId="77777777" w:rsidTr="008F28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AF304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DB16A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0152F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D7E9E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362</w:t>
            </w:r>
          </w:p>
        </w:tc>
      </w:tr>
    </w:tbl>
    <w:p w14:paraId="746BFF3C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E2BA03F" w14:textId="6337EB57" w:rsidR="006438C9" w:rsidRDefault="006438C9" w:rsidP="006438C9"/>
    <w:p w14:paraId="45121EE4" w14:textId="77777777" w:rsidR="0073717E" w:rsidRDefault="0073717E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73717E" w:rsidSect="000A01C0">
          <w:headerReference w:type="even" r:id="rId33"/>
          <w:headerReference w:type="default" r:id="rId34"/>
          <w:headerReference w:type="first" r:id="rId35"/>
          <w:footerReference w:type="first" r:id="rId36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1AAF900B" w14:textId="77777777" w:rsidR="006438C9" w:rsidRDefault="006438C9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New South Wales Electoral Commission</w:t>
      </w:r>
    </w:p>
    <w:tbl>
      <w:tblPr>
        <w:tblW w:w="9814" w:type="dxa"/>
        <w:tblLook w:val="04A0" w:firstRow="1" w:lastRow="0" w:firstColumn="1" w:lastColumn="0" w:noHBand="0" w:noVBand="1"/>
        <w:tblCaption w:val="2.2 Financial Statements - New South Wales Electoral Commission - Operating Statement"/>
        <w:tblDescription w:val="2.2 Financial Statements - New South Wales Electoral Commission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061D5A21" w14:textId="77777777" w:rsidTr="008F2882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C35B2E9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31D8856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F041019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09EA8C84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FD43AC9" w14:textId="77777777" w:rsidTr="008F28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F1763FA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2F634C4E" w14:textId="77777777" w:rsidR="006438C9" w:rsidRPr="00537510" w:rsidRDefault="006438C9" w:rsidP="008F28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0F73280D" w14:textId="77777777" w:rsidR="006438C9" w:rsidRPr="00537510" w:rsidRDefault="006438C9" w:rsidP="008F28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737E1680" w14:textId="77777777" w:rsidTr="008F288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BE0167A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ECAF78B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4B879CA9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2C91E154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22CB5FFE" w14:textId="77777777" w:rsidTr="008F2882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732152D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7632FBE" w14:textId="77777777" w:rsidR="006438C9" w:rsidRPr="00537510" w:rsidRDefault="006438C9" w:rsidP="008F28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32B8867" w14:textId="77777777" w:rsidR="006438C9" w:rsidRPr="00537510" w:rsidRDefault="006438C9" w:rsidP="008F28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81CC557" w14:textId="77777777" w:rsidR="006438C9" w:rsidRPr="00537510" w:rsidRDefault="006438C9" w:rsidP="008F288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5FA92115" w14:textId="77777777" w:rsidTr="008F288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E4E6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82383B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B40A79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029208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3D5A2AF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71D3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D880B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D0216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9DB27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91102D8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EC07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A1AC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119,296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208B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106,676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4B50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80,497</w:t>
            </w:r>
          </w:p>
        </w:tc>
      </w:tr>
      <w:tr w:rsidR="006438C9" w:rsidRPr="00537510" w14:paraId="29A6CB8F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6C85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0DAC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67D2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B3D9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49DACEA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BF088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78B7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14,249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E2A0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10,831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F013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23,960</w:t>
            </w:r>
          </w:p>
        </w:tc>
      </w:tr>
      <w:tr w:rsidR="006438C9" w:rsidRPr="00537510" w14:paraId="5773E067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F471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69B5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2209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9EFD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DECBB0F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4B79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321F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A2CD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5F09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A296773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10A6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84CE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10,610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C45E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7,950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2FAB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9,731</w:t>
            </w:r>
          </w:p>
        </w:tc>
      </w:tr>
      <w:tr w:rsidR="006438C9" w:rsidRPr="00537510" w14:paraId="05B8D447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261E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2741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C97C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6BBA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638</w:t>
            </w:r>
          </w:p>
        </w:tc>
      </w:tr>
      <w:tr w:rsidR="006438C9" w:rsidRPr="00537510" w14:paraId="5DDEEE97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45CF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6054C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101,246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A0AA8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112,813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BB209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52,491</w:t>
            </w:r>
          </w:p>
        </w:tc>
      </w:tr>
      <w:tr w:rsidR="006438C9" w:rsidRPr="00537510" w14:paraId="003C7F4A" w14:textId="77777777" w:rsidTr="008F28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74029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4AF6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246,028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ACE7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239,049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0DF8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167,318</w:t>
            </w:r>
          </w:p>
        </w:tc>
      </w:tr>
      <w:tr w:rsidR="006438C9" w:rsidRPr="00537510" w14:paraId="50341F20" w14:textId="77777777" w:rsidTr="008F288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BD84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5F87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8A9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09C9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8B21A3E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AF96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E91A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241,779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7689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245,225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48BC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167,812</w:t>
            </w:r>
          </w:p>
        </w:tc>
      </w:tr>
      <w:tr w:rsidR="006438C9" w:rsidRPr="00537510" w14:paraId="0330023A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5A00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90EC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8A0C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D3D9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831FDD9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3D22C08" w14:textId="77777777" w:rsidR="006438C9" w:rsidRPr="00537510" w:rsidRDefault="006438C9" w:rsidP="003B44F2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01B4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555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2701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4112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580</w:t>
            </w:r>
          </w:p>
        </w:tc>
      </w:tr>
      <w:tr w:rsidR="006438C9" w:rsidRPr="00537510" w14:paraId="4D368400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4460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F260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1B55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(1,205)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61D8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4A3E133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2DF4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D44A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F463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5380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4,325</w:t>
            </w:r>
          </w:p>
        </w:tc>
      </w:tr>
      <w:tr w:rsidR="006438C9" w:rsidRPr="00537510" w14:paraId="0E2328DC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34E4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DC1D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3,855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2581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4,401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9E49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4,950</w:t>
            </w:r>
          </w:p>
        </w:tc>
      </w:tr>
      <w:tr w:rsidR="006438C9" w:rsidRPr="00537510" w14:paraId="3F188C0B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335A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DDDD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49EA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852A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036F3D1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149A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271D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6227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5158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184678E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347FB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14E48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8EEBD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FACC8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6438C9" w:rsidRPr="00537510" w14:paraId="17D3ECA1" w14:textId="77777777" w:rsidTr="008F288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855B46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B581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247,633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FEF2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249,483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79CB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177,666</w:t>
            </w:r>
          </w:p>
        </w:tc>
      </w:tr>
      <w:tr w:rsidR="006438C9" w:rsidRPr="00537510" w14:paraId="12892CE1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99DA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2D0B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EA2C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8588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F222206" w14:textId="77777777" w:rsidTr="008F288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8B74B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08E36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07A66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(271)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869C2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AEA71DD" w14:textId="77777777" w:rsidTr="008F288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7FF21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76E86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1,605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F342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10,163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40899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10,348</w:t>
            </w:r>
          </w:p>
        </w:tc>
      </w:tr>
    </w:tbl>
    <w:p w14:paraId="6F1F2497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8CBB7FC" w14:textId="77777777" w:rsidR="006438C9" w:rsidRDefault="006438C9" w:rsidP="006438C9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New South Wales Electoral Commission - Balance Sheet"/>
        <w:tblDescription w:val="2.2 Financial Statements - New South Wales Electoral Commission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5EF177FB" w14:textId="77777777" w:rsidTr="006B351D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A5DED3A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062AA20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4258895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EF598BD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183A714" w14:textId="77777777" w:rsidTr="006B351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094B29F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139560D2" w14:textId="77777777" w:rsidR="006438C9" w:rsidRPr="00537510" w:rsidRDefault="006438C9" w:rsidP="003B44F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4B010DC" w14:textId="77777777" w:rsidR="006438C9" w:rsidRPr="00537510" w:rsidRDefault="006438C9" w:rsidP="003B44F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08EA78E5" w14:textId="77777777" w:rsidTr="006B351D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2AD9E5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99FE438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2602FACF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5B5C8F18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0E326C42" w14:textId="77777777" w:rsidTr="006B351D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62C8F4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168094F2" w14:textId="77777777" w:rsidR="006438C9" w:rsidRPr="00537510" w:rsidRDefault="006438C9" w:rsidP="003B44F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5DDEC3B5" w14:textId="77777777" w:rsidR="006438C9" w:rsidRPr="00537510" w:rsidRDefault="006438C9" w:rsidP="003B44F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4606CEA5" w14:textId="77777777" w:rsidR="006438C9" w:rsidRPr="00537510" w:rsidRDefault="006438C9" w:rsidP="003B44F2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0AD56314" w14:textId="77777777" w:rsidTr="006B351D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FCB1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CDE94C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7BE332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C7E62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E17FF12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6A1E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BCDD47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81AA8A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781706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2EB2888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130B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72B9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5,680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FCF1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23,058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7942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20,012</w:t>
            </w:r>
          </w:p>
        </w:tc>
      </w:tr>
      <w:tr w:rsidR="006438C9" w:rsidRPr="00537510" w14:paraId="56592F69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EC22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9FB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227F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490F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894DA86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CC26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A116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2,301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97FA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2,562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39D4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5,337</w:t>
            </w:r>
          </w:p>
        </w:tc>
      </w:tr>
      <w:tr w:rsidR="006438C9" w:rsidRPr="00537510" w14:paraId="65363CE3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00F9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2BD3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1CB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5F8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58</w:t>
            </w:r>
          </w:p>
        </w:tc>
      </w:tr>
      <w:tr w:rsidR="006438C9" w:rsidRPr="00537510" w14:paraId="01801412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AAB4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9A25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53A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C71A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145</w:t>
            </w:r>
          </w:p>
        </w:tc>
      </w:tr>
      <w:tr w:rsidR="006438C9" w:rsidRPr="00537510" w14:paraId="4F1FA189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E9D4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483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6B81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1A7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32D0566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4E86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5676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CB10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07F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D594947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4D82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5D9B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E112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3FC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4C5CB4C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5CF85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B1043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FC8D2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ECCD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C7085DD" w14:textId="77777777" w:rsidTr="006B351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14DF0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BEC4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8,074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41B2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25,823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1F92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25,552</w:t>
            </w:r>
          </w:p>
        </w:tc>
      </w:tr>
      <w:tr w:rsidR="006438C9" w:rsidRPr="00537510" w14:paraId="7CE8697B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C65A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5510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22F5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F067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575073C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39AD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8911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3B9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D79C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E7CB18A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330A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E8F2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670D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469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1193218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3F78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B4A8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648F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A59F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9B8AAB1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3776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82BC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3EDD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86A0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46ABB41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936D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8ED0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B19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F3E0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B524445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E6F1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80A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AB41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ABC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90E4765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2139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6398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A00A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7F63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D5D41BC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5C13D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308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ADFD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A10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F562164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F99D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DD76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1,106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E2FE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0EA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773</w:t>
            </w:r>
          </w:p>
        </w:tc>
      </w:tr>
      <w:tr w:rsidR="006438C9" w:rsidRPr="006B351D" w14:paraId="16A94DC1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BB1E5" w14:textId="2989D9AB" w:rsidR="006438C9" w:rsidRPr="00537510" w:rsidRDefault="006438C9" w:rsidP="006B351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4A3B7" w14:textId="77777777" w:rsidR="006438C9" w:rsidRPr="00537510" w:rsidRDefault="006438C9" w:rsidP="00517F5C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97154" w14:textId="77777777" w:rsidR="006438C9" w:rsidRPr="00537510" w:rsidRDefault="006438C9" w:rsidP="00517F5C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D9927" w14:textId="77777777" w:rsidR="006438C9" w:rsidRPr="00537510" w:rsidRDefault="006438C9" w:rsidP="00517F5C">
            <w:pPr>
              <w:ind w:firstLineChars="200" w:firstLine="36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FCE1953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89DC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901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F60F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7AC6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0C54823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E758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0410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26,246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B29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23,966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FD39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20,311</w:t>
            </w:r>
          </w:p>
        </w:tc>
      </w:tr>
      <w:tr w:rsidR="006438C9" w:rsidRPr="00537510" w14:paraId="25BB7004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D18F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49D8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24,434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CB7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23,482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C3F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34,275</w:t>
            </w:r>
          </w:p>
        </w:tc>
      </w:tr>
      <w:tr w:rsidR="006438C9" w:rsidRPr="00537510" w14:paraId="5BF70EA0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C518F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C87B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CEC1C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ED70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FCD04E1" w14:textId="77777777" w:rsidTr="006B351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F8FAC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85D6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51,786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5425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48,412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DF2E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55,360</w:t>
            </w:r>
          </w:p>
        </w:tc>
      </w:tr>
      <w:tr w:rsidR="006438C9" w:rsidRPr="00537510" w14:paraId="46D7E4ED" w14:textId="77777777" w:rsidTr="006B351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40E79C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02042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59,860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66BDC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74,234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8CA66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80,911</w:t>
            </w:r>
          </w:p>
        </w:tc>
      </w:tr>
      <w:tr w:rsidR="006438C9" w:rsidRPr="00537510" w14:paraId="03BB4726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6448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F75C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6873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D67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2B94CC4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540F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B0EF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ADB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14A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B00C5D9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2CFC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AA1B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AFD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F0E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BFED14A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2F8D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01B6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2,798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72D9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4,499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C82B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4,499</w:t>
            </w:r>
          </w:p>
        </w:tc>
      </w:tr>
      <w:tr w:rsidR="006438C9" w:rsidRPr="00537510" w14:paraId="6FBB7378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FC99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496A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4F3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FD1A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CACE467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9C77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515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3A02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3400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28E4078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3074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C048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3,666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70D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3,433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6927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3,210</w:t>
            </w:r>
          </w:p>
        </w:tc>
      </w:tr>
      <w:tr w:rsidR="006438C9" w:rsidRPr="00537510" w14:paraId="72F8C30A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BEF8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0967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3,522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81E5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5,063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150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5,063</w:t>
            </w:r>
          </w:p>
        </w:tc>
      </w:tr>
      <w:tr w:rsidR="006438C9" w:rsidRPr="00537510" w14:paraId="6AAFFABA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F405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4C84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365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481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B8AF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</w:tr>
      <w:tr w:rsidR="006438C9" w:rsidRPr="00537510" w14:paraId="4A7380B5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2A44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D561E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8DB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9CBF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A0246A0" w14:textId="77777777" w:rsidTr="006B351D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1D868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FD78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10,351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BCC4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12,997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98EA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12,774</w:t>
            </w:r>
          </w:p>
        </w:tc>
      </w:tr>
      <w:tr w:rsidR="006438C9" w:rsidRPr="00537510" w14:paraId="57C62224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C5D8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D42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8EA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BC80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028213C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8983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562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563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1FE5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3F0A336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FC06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5314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1658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2123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844E856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23E6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11C4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6E3B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A394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AE0B672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1F45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8C52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FCDD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7BFA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9AED6EA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41D8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D0C3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30,763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AB42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29,991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F41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26,543</w:t>
            </w:r>
          </w:p>
        </w:tc>
      </w:tr>
      <w:tr w:rsidR="006438C9" w:rsidRPr="00537510" w14:paraId="53FEBB3A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78CC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F6F0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2374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E93F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685</w:t>
            </w:r>
          </w:p>
        </w:tc>
      </w:tr>
      <w:tr w:rsidR="006438C9" w:rsidRPr="00537510" w14:paraId="601098A9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173C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2FB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75EC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BF48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B158BD6" w14:textId="77777777" w:rsidTr="006B351D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BD7F7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CF933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31,411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F1AB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30,677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C0BCB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27,229</w:t>
            </w:r>
          </w:p>
        </w:tc>
      </w:tr>
      <w:tr w:rsidR="006438C9" w:rsidRPr="00537510" w14:paraId="42CFB12F" w14:textId="77777777" w:rsidTr="006B351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236C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1D612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41,762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256A6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43,674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703C8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40,003</w:t>
            </w:r>
          </w:p>
        </w:tc>
      </w:tr>
      <w:tr w:rsidR="006438C9" w:rsidRPr="00537510" w14:paraId="1622AE24" w14:textId="77777777" w:rsidTr="006B351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CD284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8DE05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18,098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E523B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30,561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979B0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40,909</w:t>
            </w:r>
          </w:p>
        </w:tc>
      </w:tr>
      <w:tr w:rsidR="006438C9" w:rsidRPr="00537510" w14:paraId="68C17A79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F4BB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8342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6588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ECC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2FA661A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471E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2DE7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18,098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C9D5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30,561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D22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40,909</w:t>
            </w:r>
          </w:p>
        </w:tc>
      </w:tr>
      <w:tr w:rsidR="006438C9" w:rsidRPr="00537510" w14:paraId="012545CF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BC3D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50B7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681F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4CC7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73EAFDF" w14:textId="77777777" w:rsidTr="006B351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3BAE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54DF1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FE923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3B19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52D7DF2" w14:textId="77777777" w:rsidTr="006B351D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EDC50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AD185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18,098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8B268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30,561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52FFD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40,909</w:t>
            </w:r>
          </w:p>
        </w:tc>
      </w:tr>
    </w:tbl>
    <w:p w14:paraId="0EA7BC44" w14:textId="77777777" w:rsidR="00CD0B4E" w:rsidRPr="00CD0B4E" w:rsidRDefault="00CD0B4E">
      <w:pPr>
        <w:rPr>
          <w:rFonts w:asciiTheme="minorHAnsi" w:eastAsiaTheme="minorHAnsi" w:hAnsiTheme="minorHAnsi" w:cstheme="minorBidi"/>
          <w:sz w:val="10"/>
          <w:szCs w:val="10"/>
        </w:rPr>
      </w:pPr>
      <w:r w:rsidRPr="00CD0B4E">
        <w:rPr>
          <w:rFonts w:asciiTheme="minorHAnsi" w:eastAsiaTheme="minorHAnsi" w:hAnsiTheme="minorHAnsi" w:cstheme="minorBidi"/>
          <w:sz w:val="10"/>
          <w:szCs w:val="10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New South Wales Electoral Commission - Cash Flow Statement"/>
        <w:tblDescription w:val="2.2 Financial Statements - New South Wales Electoral Commission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06DCCCFD" w14:textId="77777777" w:rsidTr="00CD0B4E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1FB8D15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A602955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61E7F63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B09ED2E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EE364C8" w14:textId="77777777" w:rsidTr="00CD0B4E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FB0C02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1AC79100" w14:textId="77777777" w:rsidR="006438C9" w:rsidRPr="00537510" w:rsidRDefault="006438C9" w:rsidP="00CD0B4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75126CC3" w14:textId="77777777" w:rsidR="006438C9" w:rsidRPr="00537510" w:rsidRDefault="006438C9" w:rsidP="00CD0B4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46F05C3A" w14:textId="77777777" w:rsidTr="00CD0B4E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49E34E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45F8EFA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70FCF498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33405B03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18C0E40B" w14:textId="77777777" w:rsidTr="00CD0B4E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E0F0A9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217184D" w14:textId="77777777" w:rsidR="006438C9" w:rsidRPr="00537510" w:rsidRDefault="006438C9" w:rsidP="00CD0B4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B0C380E" w14:textId="77777777" w:rsidR="006438C9" w:rsidRPr="00537510" w:rsidRDefault="006438C9" w:rsidP="00CD0B4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ECF7B7B" w14:textId="77777777" w:rsidR="006438C9" w:rsidRPr="00537510" w:rsidRDefault="006438C9" w:rsidP="00CD0B4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38FF9063" w14:textId="77777777" w:rsidTr="00CD0B4E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942F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8B478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434C8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DA912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4B08B32" w14:textId="77777777" w:rsidTr="00CD0B4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2EC2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3B4C64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EE948F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C61215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27F5BF3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8AF4A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9979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118,741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8DF9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104,946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72B2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79,917</w:t>
            </w:r>
          </w:p>
        </w:tc>
      </w:tr>
      <w:tr w:rsidR="006438C9" w:rsidRPr="00537510" w14:paraId="58659432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7388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0057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F1E3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813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F392D8E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327F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20F5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375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2B00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A3F3C98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56F0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18CE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8461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528E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638</w:t>
            </w:r>
          </w:p>
        </w:tc>
      </w:tr>
      <w:tr w:rsidR="006438C9" w:rsidRPr="00537510" w14:paraId="10520C0B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49E22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3759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1EEC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21D7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E0A53DC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A4CE5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8D09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115,495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B9B19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134,020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DE525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67,852</w:t>
            </w:r>
          </w:p>
        </w:tc>
      </w:tr>
      <w:tr w:rsidR="006438C9" w:rsidRPr="00537510" w14:paraId="7C5FB6BF" w14:textId="77777777" w:rsidTr="00CD0B4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4000DA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6D948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234,863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E8812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239,730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B0454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148,407</w:t>
            </w:r>
          </w:p>
        </w:tc>
      </w:tr>
      <w:tr w:rsidR="006438C9" w:rsidRPr="00537510" w14:paraId="2548E188" w14:textId="77777777" w:rsidTr="00CD0B4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2AF6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40D41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1675E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B664E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1BD7C1D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0F76B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0BBF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241,779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86C9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245,225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BBA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167,812</w:t>
            </w:r>
          </w:p>
        </w:tc>
      </w:tr>
      <w:tr w:rsidR="006438C9" w:rsidRPr="00537510" w14:paraId="0C5C5CF3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F3B4D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2DFD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270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B9B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2C50A10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67CB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B59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D39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1311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DA03532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FBEF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DB13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480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70DF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81DAEE3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57EED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33A0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679D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(1,205)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DB9C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5730692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B03E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1425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1,444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A7E0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889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2F4B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4,325</w:t>
            </w:r>
          </w:p>
        </w:tc>
      </w:tr>
      <w:tr w:rsidR="006438C9" w:rsidRPr="00537510" w14:paraId="2DB4766E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FCCB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D020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3FBC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F83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AE7F365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024E3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40AE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241A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DEE3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640D240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12D80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B70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3,855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85EC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4,401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9B1A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4,950</w:t>
            </w:r>
          </w:p>
        </w:tc>
      </w:tr>
      <w:tr w:rsidR="006438C9" w:rsidRPr="00537510" w14:paraId="6D36A433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CE836A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94731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11183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11,823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DBF44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(11,375)</w:t>
            </w:r>
          </w:p>
        </w:tc>
      </w:tr>
      <w:tr w:rsidR="006438C9" w:rsidRPr="00537510" w14:paraId="07894E58" w14:textId="77777777" w:rsidTr="00CD0B4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462E03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60221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247,078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09005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261,133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5EA26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165,711</w:t>
            </w:r>
          </w:p>
        </w:tc>
      </w:tr>
      <w:tr w:rsidR="006438C9" w:rsidRPr="00537510" w14:paraId="63C2584F" w14:textId="77777777" w:rsidTr="00CD0B4E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8F4249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EECCD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12,215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34A07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21,403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FD62C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17,304</w:t>
            </w:r>
          </w:p>
        </w:tc>
      </w:tr>
      <w:tr w:rsidR="006438C9" w:rsidRPr="00537510" w14:paraId="49DF5170" w14:textId="77777777" w:rsidTr="00CD0B4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2B28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46D69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A3C6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0A014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EDBCB4B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4175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F724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F6D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8965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A8AFA67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2A75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A2C5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(483)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4C66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(409)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B1B8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(142)</w:t>
            </w:r>
          </w:p>
        </w:tc>
      </w:tr>
      <w:tr w:rsidR="006438C9" w:rsidRPr="00537510" w14:paraId="3366CE99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539C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570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7074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EB65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F0E9961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0A1F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3620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41E0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FCB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1B70B69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EF34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7F13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D9F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FA7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B723804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D958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D78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D77F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035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57C4B0D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DBC6A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6095F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(10,361)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64E4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(6,595)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A05F7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(16,525)</w:t>
            </w:r>
          </w:p>
        </w:tc>
      </w:tr>
      <w:tr w:rsidR="006438C9" w:rsidRPr="00537510" w14:paraId="4D629AD2" w14:textId="77777777" w:rsidTr="00CD0B4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58093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6748F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(10,844)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681E5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(7,004)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603F2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(16,667)</w:t>
            </w:r>
          </w:p>
        </w:tc>
      </w:tr>
      <w:tr w:rsidR="006438C9" w:rsidRPr="00537510" w14:paraId="1F8BB741" w14:textId="77777777" w:rsidTr="00CD0B4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A4F3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1DE48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D49F9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FBB64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D626726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1F1B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2965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DEB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94F4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09252AC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C046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2D1D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(3,652)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8214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(3,230)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2B12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(3,683)</w:t>
            </w:r>
          </w:p>
        </w:tc>
      </w:tr>
      <w:tr w:rsidR="006438C9" w:rsidRPr="00537510" w14:paraId="4752650B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A6AD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1E2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B34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158A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6D91E89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B2C3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B1B6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83DA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2F3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43ACEB0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51EE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0239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157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F63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7211018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18029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282DB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6F0E5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86DE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C043D33" w14:textId="77777777" w:rsidTr="00CD0B4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731E9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6977B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(3,652)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1D6A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(3,230)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33DF2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(3,683)</w:t>
            </w:r>
          </w:p>
        </w:tc>
      </w:tr>
      <w:tr w:rsidR="006438C9" w:rsidRPr="00537510" w14:paraId="78275ED0" w14:textId="77777777" w:rsidTr="00CD0B4E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ACA53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4A369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(2,281)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1C5CD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11,169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22DA8E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(3,046)</w:t>
            </w:r>
          </w:p>
        </w:tc>
      </w:tr>
      <w:tr w:rsidR="006438C9" w:rsidRPr="00537510" w14:paraId="62C31E44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6D3AB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7145C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7,961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8EED5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11,889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32DFD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23,058</w:t>
            </w:r>
          </w:p>
        </w:tc>
      </w:tr>
      <w:tr w:rsidR="006438C9" w:rsidRPr="00537510" w14:paraId="4BEF5888" w14:textId="77777777" w:rsidTr="00CD0B4E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CEFA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257B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C127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D839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52D14C3" w14:textId="77777777" w:rsidTr="00CD0B4E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24373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6722B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AB38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A50E9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5155A8A" w14:textId="77777777" w:rsidTr="00CD0B4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82643E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4C6B7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5,680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C3EFB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23,058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CF91B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20,012</w:t>
            </w:r>
          </w:p>
        </w:tc>
      </w:tr>
    </w:tbl>
    <w:p w14:paraId="4F3F4A28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A0CBB45" w14:textId="520AC527" w:rsidR="006438C9" w:rsidRDefault="006438C9" w:rsidP="006438C9"/>
    <w:p w14:paraId="734C52A0" w14:textId="77777777" w:rsidR="0073717E" w:rsidRDefault="0073717E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73717E" w:rsidSect="00F248BF">
          <w:headerReference w:type="even" r:id="rId37"/>
          <w:headerReference w:type="default" r:id="rId38"/>
          <w:headerReference w:type="first" r:id="rId39"/>
          <w:footerReference w:type="first" r:id="rId4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65791EA1" w14:textId="77777777" w:rsidR="006438C9" w:rsidRDefault="006438C9" w:rsidP="006438C9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Ombudsman's Office</w:t>
      </w:r>
    </w:p>
    <w:tbl>
      <w:tblPr>
        <w:tblW w:w="9814" w:type="dxa"/>
        <w:tblLook w:val="04A0" w:firstRow="1" w:lastRow="0" w:firstColumn="1" w:lastColumn="0" w:noHBand="0" w:noVBand="1"/>
        <w:tblCaption w:val="2.2 Financial Statements - Ombudsman's Office - Operating Statement"/>
        <w:tblDescription w:val="2.2 Financial Statements - Ombudsman's Office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0AD54D40" w14:textId="77777777" w:rsidTr="00D43428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298FB26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1E7D9E3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69EC7AF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745F65E7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792F831" w14:textId="77777777" w:rsidTr="00D4342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4014D5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0FFF7B1" w14:textId="77777777" w:rsidR="006438C9" w:rsidRPr="00537510" w:rsidRDefault="006438C9" w:rsidP="00D434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6CDFDEA" w14:textId="77777777" w:rsidR="006438C9" w:rsidRPr="00537510" w:rsidRDefault="006438C9" w:rsidP="00D434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74183285" w14:textId="77777777" w:rsidTr="00D43428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C481EC8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65D1B439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8FBD92E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30C797D2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09AB6A3A" w14:textId="77777777" w:rsidTr="00D43428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F57135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2A8E2110" w14:textId="77777777" w:rsidR="006438C9" w:rsidRPr="00537510" w:rsidRDefault="006438C9" w:rsidP="00D434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29973396" w14:textId="77777777" w:rsidR="006438C9" w:rsidRPr="00537510" w:rsidRDefault="006438C9" w:rsidP="00D434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8A2D3FD" w14:textId="77777777" w:rsidR="006438C9" w:rsidRPr="00537510" w:rsidRDefault="006438C9" w:rsidP="00D4342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0726F46A" w14:textId="77777777" w:rsidTr="00D43428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6FA5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8E3863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161FEE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D3D1DE" w14:textId="77777777" w:rsidR="006438C9" w:rsidRPr="00537510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8254E70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B33E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8374B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209EA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73BCF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A0F3F37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ED81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47CB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29,889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13F3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23,408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2E67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37,681</w:t>
            </w:r>
          </w:p>
        </w:tc>
      </w:tr>
      <w:tr w:rsidR="006438C9" w:rsidRPr="00537510" w14:paraId="261C3FA6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8E35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7647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50DF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6223D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C667C69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293B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9366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11,143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921B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11,311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EBBC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12,224</w:t>
            </w:r>
          </w:p>
        </w:tc>
      </w:tr>
      <w:tr w:rsidR="006438C9" w:rsidRPr="00537510" w14:paraId="61A123A8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FAE0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4DD6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E602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AB65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6C3D25E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1C2E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E7D0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EFAB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5066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C728AA7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A537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0C4A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6603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5F48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3,828</w:t>
            </w:r>
          </w:p>
        </w:tc>
      </w:tr>
      <w:tr w:rsidR="006438C9" w:rsidRPr="00537510" w14:paraId="007EB4D5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DF79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F59C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41AE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91A9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56</w:t>
            </w:r>
          </w:p>
        </w:tc>
      </w:tr>
      <w:tr w:rsidR="006438C9" w:rsidRPr="00537510" w14:paraId="60ECCF0C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EC00E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EBA09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CC42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E78C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6784443" w14:textId="77777777" w:rsidTr="00D4342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CFEE5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6E6B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44,549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E621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37,948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5AAD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53,789</w:t>
            </w:r>
          </w:p>
        </w:tc>
      </w:tr>
      <w:tr w:rsidR="006438C9" w:rsidRPr="00537510" w14:paraId="2936A8CD" w14:textId="77777777" w:rsidTr="00D4342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F9AB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FA9F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90F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BCB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07F5D28B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6827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8A9D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43,869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93C7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38,781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11EC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52,878</w:t>
            </w:r>
          </w:p>
        </w:tc>
      </w:tr>
      <w:tr w:rsidR="006438C9" w:rsidRPr="00537510" w14:paraId="1FA3EEB7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ADEB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EB924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18FC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61FF0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211E5F8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F09A29E" w14:textId="77777777" w:rsidR="006438C9" w:rsidRPr="00537510" w:rsidRDefault="006438C9" w:rsidP="00D43428">
            <w:pPr>
              <w:ind w:right="-38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073D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812D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676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7638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1,055</w:t>
            </w:r>
          </w:p>
        </w:tc>
      </w:tr>
      <w:tr w:rsidR="006438C9" w:rsidRPr="00537510" w14:paraId="0446AEA7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0303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66EA5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F8069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E3F7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06FC625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6E30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083B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B080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687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100FC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595</w:t>
            </w:r>
          </w:p>
        </w:tc>
      </w:tr>
      <w:tr w:rsidR="006438C9" w:rsidRPr="00537510" w14:paraId="187E6222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16A5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A1AF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A7EB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C9A76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A14EF81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76DD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DF0D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DBEE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25ADE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D001FA4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5279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DA6B2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0F3B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3D49B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FF45AD4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CAAE8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96EDC7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2CB89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B3709F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6438C9" w:rsidRPr="00537510" w14:paraId="49380909" w14:textId="77777777" w:rsidTr="00D4342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4D536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56ED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45,461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9C81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40,215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E8EC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54,529</w:t>
            </w:r>
          </w:p>
        </w:tc>
      </w:tr>
      <w:tr w:rsidR="006438C9" w:rsidRPr="00537510" w14:paraId="0BBAFFC7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F869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A62E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05BC3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CEB48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4F679A3" w14:textId="77777777" w:rsidTr="00D4342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F3335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052D0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9C5321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(4)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2E1C0A" w14:textId="77777777" w:rsidR="006438C9" w:rsidRPr="00537510" w:rsidRDefault="006438C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1BB16CE" w14:textId="77777777" w:rsidTr="00D4342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A5191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BF532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5DEE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2,282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A6092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740</w:t>
            </w:r>
          </w:p>
        </w:tc>
      </w:tr>
    </w:tbl>
    <w:p w14:paraId="6166C8A8" w14:textId="77777777" w:rsidR="006438C9" w:rsidRDefault="006438C9" w:rsidP="006438C9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F2CBD7B" w14:textId="77777777" w:rsidR="006438C9" w:rsidRDefault="006438C9" w:rsidP="006438C9">
      <w:r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2.2 Financial Statements - Ombudsman's Office - Cash Flow Statement"/>
        <w:tblDescription w:val="2.2 Financial Statements - Ombudsman's Office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6438C9" w14:paraId="4A9C9436" w14:textId="77777777" w:rsidTr="0073717E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26DF977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00825A5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398F580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E0ED8B5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4523079" w14:textId="77777777" w:rsidTr="00364F4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3EEAA37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2604EE94" w14:textId="77777777" w:rsidR="006438C9" w:rsidRPr="00537510" w:rsidRDefault="006438C9" w:rsidP="00364F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6415B24" w14:textId="77777777" w:rsidR="006438C9" w:rsidRPr="00537510" w:rsidRDefault="006438C9" w:rsidP="00364F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3A83F555" w14:textId="77777777" w:rsidTr="0073717E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01A54D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D36AA5B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55323980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2D4D88B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5620AFFD" w14:textId="77777777" w:rsidTr="0073717E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367977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82BB6E8" w14:textId="77777777" w:rsidR="006438C9" w:rsidRPr="00537510" w:rsidRDefault="006438C9" w:rsidP="00364F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014BF1D" w14:textId="77777777" w:rsidR="006438C9" w:rsidRPr="00537510" w:rsidRDefault="006438C9" w:rsidP="00364F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66F4BDC2" w14:textId="77777777" w:rsidR="006438C9" w:rsidRPr="00537510" w:rsidRDefault="006438C9" w:rsidP="00364F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4370B7C3" w14:textId="77777777" w:rsidTr="0073717E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C680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00D78C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59F65D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4D4C31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8A27526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6840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434E90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29E499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3385D7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B351983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5302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56A6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1,632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F3B7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4,910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94CD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4,562</w:t>
            </w:r>
          </w:p>
        </w:tc>
      </w:tr>
      <w:tr w:rsidR="006438C9" w:rsidRPr="00537510" w14:paraId="06F3F863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08EC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2607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C0FA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119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71C97EE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CB2E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7FF9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51C1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1,250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4AA0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1,250</w:t>
            </w:r>
          </w:p>
        </w:tc>
      </w:tr>
      <w:tr w:rsidR="006438C9" w:rsidRPr="00537510" w14:paraId="17D92F68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D4BD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280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FADE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F8B2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5D0BBD0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C680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F6D5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2A78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1DFB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F2366F5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1DAD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5B13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B700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5A47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66373CB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1BD6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C617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35F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C527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9201A29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E1C2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BA44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9AE3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CD12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E7340BD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9866B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A87F4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286F2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3C54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A83F8C5" w14:textId="77777777" w:rsidTr="0073717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875D9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E35E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2,539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6ED2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6,160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401B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5,812</w:t>
            </w:r>
          </w:p>
        </w:tc>
      </w:tr>
      <w:tr w:rsidR="006438C9" w:rsidRPr="00537510" w14:paraId="404E5C92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B652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3420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828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B5F2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30F67E75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21B1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70BB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93FB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D96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A1F81E6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E26F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ACBF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FBFE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321A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A00BE9B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73A3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1D5E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8E5E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88B9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418844A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D1F8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FEC2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3EAD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4FCF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5F1E2B3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7E38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060F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418E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B380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421D38E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2CBA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BFC0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1102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69AE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39399B1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DD28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2DD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43AB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CA49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7461764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BC470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BCB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6BD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5818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075C00E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C35E3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C282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1,109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CF5C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1,549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C863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924</w:t>
            </w:r>
          </w:p>
        </w:tc>
      </w:tr>
      <w:tr w:rsidR="006438C9" w:rsidRPr="00537510" w14:paraId="17A430A0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584EC" w14:textId="337F8171" w:rsidR="006438C9" w:rsidRPr="00537510" w:rsidRDefault="006438C9" w:rsidP="006B351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90F2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8091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185B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FF6157E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A2DD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E328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63F1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E1B9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82A868E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347A3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FE8E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2,841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75BC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2,816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7F9E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685</w:t>
            </w:r>
          </w:p>
        </w:tc>
      </w:tr>
      <w:tr w:rsidR="006438C9" w:rsidRPr="00537510" w14:paraId="036C7865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8D08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5785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2,449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616D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1,394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63AD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2,090</w:t>
            </w:r>
          </w:p>
        </w:tc>
      </w:tr>
      <w:tr w:rsidR="006438C9" w:rsidRPr="00537510" w14:paraId="0D8B7F9B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535AD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D09AA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CA13D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8262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2D99504" w14:textId="77777777" w:rsidTr="0073717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B18F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91299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6,399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B35C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5,758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ABDA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3,698</w:t>
            </w:r>
          </w:p>
        </w:tc>
      </w:tr>
      <w:tr w:rsidR="006438C9" w:rsidRPr="00537510" w14:paraId="39BDD5CF" w14:textId="77777777" w:rsidTr="0073717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3697E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6DCCB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8,938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53358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11,918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38D12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9,510</w:t>
            </w:r>
          </w:p>
        </w:tc>
      </w:tr>
      <w:tr w:rsidR="006438C9" w:rsidRPr="00537510" w14:paraId="0410B9C7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048F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BA1E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F6FB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D93E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191D9623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3B02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8BB9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1E61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44CA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6B1EABB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56CBF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99F6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5C96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B4B3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48F76D0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6C8A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D45E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1,262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06DF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1,721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760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1,721</w:t>
            </w:r>
          </w:p>
        </w:tc>
      </w:tr>
      <w:tr w:rsidR="006438C9" w:rsidRPr="00537510" w14:paraId="49CFD200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DB38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CEAB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5D39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3F30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72</w:t>
            </w:r>
          </w:p>
        </w:tc>
      </w:tr>
      <w:tr w:rsidR="006438C9" w:rsidRPr="00537510" w14:paraId="60F1491C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81E2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958F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7E32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282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C3821B4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EB10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95A8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3,148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33E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3,148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32F3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806</w:t>
            </w:r>
          </w:p>
        </w:tc>
      </w:tr>
      <w:tr w:rsidR="006438C9" w:rsidRPr="00537510" w14:paraId="2C2055F6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201D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D239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1,790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A4D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2,493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334E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2,493</w:t>
            </w:r>
          </w:p>
        </w:tc>
      </w:tr>
      <w:tr w:rsidR="006438C9" w:rsidRPr="00537510" w14:paraId="3A680BDF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E771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B741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15B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C230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6A6146C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C456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20312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0A74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2D731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5F3C942" w14:textId="77777777" w:rsidTr="0073717E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6A688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7B43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6,200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A7BC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7,435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B3F2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5,093</w:t>
            </w:r>
          </w:p>
        </w:tc>
      </w:tr>
      <w:tr w:rsidR="006438C9" w:rsidRPr="00537510" w14:paraId="791894F3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CEB5B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DB7A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A96D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8CF6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241B9DE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730E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AF2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DF6D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2AC8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892040F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4590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86A8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AFEE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2B40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CF56BE4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262CD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54AE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695F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42B1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50D603F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8EA90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B5CE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79B1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5189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C422352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259B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8424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484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806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CA42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6438C9" w:rsidRPr="00537510" w14:paraId="08893B2E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1A84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17B1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1,035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B1BC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1,011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4C07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1,011</w:t>
            </w:r>
          </w:p>
        </w:tc>
      </w:tr>
      <w:tr w:rsidR="006438C9" w:rsidRPr="00537510" w14:paraId="6597EDD0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FF6E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0CA2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8DF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AE38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D160419" w14:textId="77777777" w:rsidTr="0073717E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8B25BF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33DA6A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1,842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4F0007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1,818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C0FF7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1,012</w:t>
            </w:r>
          </w:p>
        </w:tc>
      </w:tr>
      <w:tr w:rsidR="006438C9" w:rsidRPr="00537510" w14:paraId="3857F8BE" w14:textId="77777777" w:rsidTr="0073717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A81B0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20F318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8,041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1AB19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9,252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1CC25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6,104</w:t>
            </w:r>
          </w:p>
        </w:tc>
      </w:tr>
      <w:tr w:rsidR="006438C9" w:rsidRPr="00537510" w14:paraId="4866ED4A" w14:textId="77777777" w:rsidTr="0073717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E5DE7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95285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390E5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E6C6D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3,406</w:t>
            </w:r>
          </w:p>
        </w:tc>
      </w:tr>
      <w:tr w:rsidR="006438C9" w:rsidRPr="00537510" w14:paraId="12F33B15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9F8F0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FECD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E1C9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CC6C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04B0183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E463C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928B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897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BC1C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2,666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6E70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3,406</w:t>
            </w:r>
          </w:p>
        </w:tc>
      </w:tr>
      <w:tr w:rsidR="006438C9" w:rsidRPr="00537510" w14:paraId="2AC5EA2E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6015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E3F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7696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3DE5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05B53C3" w14:textId="77777777" w:rsidTr="0073717E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B5A52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8CA23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38709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447C2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791269A" w14:textId="77777777" w:rsidTr="0073717E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91BC8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9BAD7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5B508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2,666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C324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3,406</w:t>
            </w:r>
          </w:p>
        </w:tc>
      </w:tr>
      <w:tr w:rsidR="006438C9" w14:paraId="66D57D17" w14:textId="77777777" w:rsidTr="00364F47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62D7D59" w14:textId="77777777" w:rsidR="006438C9" w:rsidRDefault="006438C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A2E949A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807A68C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488D1117" w14:textId="77777777" w:rsidR="006438C9" w:rsidRDefault="006438C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404B1DB5" w14:textId="77777777" w:rsidTr="00364F4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72CBE1D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7A862171" w14:textId="77777777" w:rsidR="006438C9" w:rsidRPr="00537510" w:rsidRDefault="006438C9" w:rsidP="00364F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06BDF420" w14:textId="77777777" w:rsidR="006438C9" w:rsidRPr="00537510" w:rsidRDefault="006438C9" w:rsidP="00364F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6438C9" w:rsidRPr="00537510" w14:paraId="299BBAD0" w14:textId="77777777" w:rsidTr="00364F47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CBF776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8558628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0408AC83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5BCEDA5B" w14:textId="77777777" w:rsidR="006438C9" w:rsidRPr="00537510" w:rsidRDefault="006438C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438C9" w:rsidRPr="00537510" w14:paraId="74C5560E" w14:textId="77777777" w:rsidTr="00364F4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65A8AAA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6A867213" w14:textId="77777777" w:rsidR="006438C9" w:rsidRPr="00537510" w:rsidRDefault="006438C9" w:rsidP="00364F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42D32655" w14:textId="77777777" w:rsidR="006438C9" w:rsidRPr="00537510" w:rsidRDefault="006438C9" w:rsidP="00364F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9726624" w14:textId="77777777" w:rsidR="006438C9" w:rsidRPr="00537510" w:rsidRDefault="006438C9" w:rsidP="00364F4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438C9" w:rsidRPr="00537510" w14:paraId="4FF6A126" w14:textId="77777777" w:rsidTr="00364F47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3554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6AE70C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2E8CE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E14A93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609352F9" w14:textId="77777777" w:rsidTr="00364F4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10E0A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D46A4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FEEF8E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38DD6C" w14:textId="77777777" w:rsidR="006438C9" w:rsidRPr="00537510" w:rsidRDefault="006438C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6BA0779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2F30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1FB7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28,881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970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21,860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A0D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36,626</w:t>
            </w:r>
          </w:p>
        </w:tc>
      </w:tr>
      <w:tr w:rsidR="006438C9" w:rsidRPr="00537510" w14:paraId="698A6FFC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D94F5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8595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82C6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B73E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D490FEC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6F52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8CF5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7DAC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0124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1FFF54B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48F13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1AA8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8336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96E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51</w:t>
            </w:r>
          </w:p>
        </w:tc>
      </w:tr>
      <w:tr w:rsidR="006438C9" w:rsidRPr="00537510" w14:paraId="0CC4C06A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1E86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EA7E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CB8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61B5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84F8874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165F1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4C267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11,148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6B926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12,715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DC024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12,229</w:t>
            </w:r>
          </w:p>
        </w:tc>
      </w:tr>
      <w:tr w:rsidR="006438C9" w:rsidRPr="00537510" w14:paraId="04A762BA" w14:textId="77777777" w:rsidTr="00364F47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3281E3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ADC0B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40,140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667B2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34,686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84FB3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48,906</w:t>
            </w:r>
          </w:p>
        </w:tc>
      </w:tr>
      <w:tr w:rsidR="006438C9" w:rsidRPr="00537510" w14:paraId="4D9601EC" w14:textId="77777777" w:rsidTr="00364F4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32DF2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86757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55BDF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663F4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77BC093D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49BFF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1304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43,869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5AE7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38,781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2FE8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52,878</w:t>
            </w:r>
          </w:p>
        </w:tc>
      </w:tr>
      <w:tr w:rsidR="006438C9" w:rsidRPr="00537510" w14:paraId="10FF8BBA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B54D6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249F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C79B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684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4D4CB95C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00742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33AA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E040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DD8A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4DF4027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FD797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E752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2177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AFB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703631E8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CE4B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03F4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8D3D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4F1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3CDC2400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586B1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D266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584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7A2D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703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F3FB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595</w:t>
            </w:r>
          </w:p>
        </w:tc>
      </w:tr>
      <w:tr w:rsidR="006438C9" w:rsidRPr="00537510" w14:paraId="36E5F690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DE9A4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92A0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DDBC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64D7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34E358A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0B09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3AD6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F4D3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2DF5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B02D64E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8C66E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10E8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71D1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409A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0F2E667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E46699" w14:textId="77777777" w:rsidR="006438C9" w:rsidRPr="00537510" w:rsidRDefault="006438C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40C38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9960D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1,560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23FECD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6438C9" w:rsidRPr="00537510" w14:paraId="38EA66C7" w14:textId="77777777" w:rsidTr="00364F47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7DAE80" w14:textId="77777777" w:rsidR="006438C9" w:rsidRPr="00537510" w:rsidRDefault="006438C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9C170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44,453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2B50A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41,044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C2B6C5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53,474</w:t>
            </w:r>
          </w:p>
        </w:tc>
      </w:tr>
      <w:tr w:rsidR="006438C9" w:rsidRPr="00537510" w14:paraId="7E97809D" w14:textId="77777777" w:rsidTr="00364F47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75B78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0DE08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6C5164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6,358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7B772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4,568</w:t>
            </w:r>
          </w:p>
        </w:tc>
      </w:tr>
      <w:tr w:rsidR="006438C9" w:rsidRPr="00537510" w14:paraId="216DB58C" w14:textId="77777777" w:rsidTr="00364F4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DF8A1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A7FA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309C1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E0F04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5BD654C1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A7DB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5EF1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1E06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ABF35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A4F834B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E6946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9714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(210)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AA7B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(495)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2422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(210)</w:t>
            </w:r>
          </w:p>
        </w:tc>
      </w:tr>
      <w:tr w:rsidR="006438C9" w:rsidRPr="00537510" w14:paraId="25DDB55A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C9A8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1156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F84AF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20D1C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7E6ED56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310C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8001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7F24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6870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47747CA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BD54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116B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1979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05FC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9645F7C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9B27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0BE9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CCA2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2FF9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48FA2A7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AFD5CA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A973A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(1,930)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C5F21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(727)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E5D10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(1,558)</w:t>
            </w:r>
          </w:p>
        </w:tc>
      </w:tr>
      <w:tr w:rsidR="006438C9" w:rsidRPr="00537510" w14:paraId="20AEB23D" w14:textId="77777777" w:rsidTr="00364F47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5F963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139D7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(2,140)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8DC3DD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(1,203)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FCE0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(1,768)</w:t>
            </w:r>
          </w:p>
        </w:tc>
      </w:tr>
      <w:tr w:rsidR="006438C9" w:rsidRPr="00537510" w14:paraId="1021000F" w14:textId="77777777" w:rsidTr="00364F4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898A3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04943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B5A94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2C4A0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438C9" w:rsidRPr="00537510" w14:paraId="21874DF5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BE955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3505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D4FF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1084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2E396D8C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67264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F3D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(2,939)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BC7B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(2,939)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89D5B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(3,148)</w:t>
            </w:r>
          </w:p>
        </w:tc>
      </w:tr>
      <w:tr w:rsidR="006438C9" w:rsidRPr="00537510" w14:paraId="56DB0E48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C6442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F197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1F362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2ACC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C469880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FBECB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7350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A521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C229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953AC9E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52417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66C0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B5B67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E58DA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0780F6AB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11E1F8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16C640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C0795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FAD9C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1E44E846" w14:textId="77777777" w:rsidTr="00364F47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83B604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AA4A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(2,939)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BA5AA0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(2,939)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33976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(3,148)</w:t>
            </w:r>
          </w:p>
        </w:tc>
      </w:tr>
      <w:tr w:rsidR="006438C9" w:rsidRPr="00537510" w14:paraId="28E9B15B" w14:textId="77777777" w:rsidTr="00364F47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8F7755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E1D0AC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(766)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0F1353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6543DF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(348)</w:t>
            </w:r>
          </w:p>
        </w:tc>
      </w:tr>
      <w:tr w:rsidR="006438C9" w:rsidRPr="00537510" w14:paraId="3EE657F9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45C6C1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E693A9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2,398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BB810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2,693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52B493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4,910</w:t>
            </w:r>
          </w:p>
        </w:tc>
      </w:tr>
      <w:tr w:rsidR="006438C9" w:rsidRPr="00537510" w14:paraId="3564EE04" w14:textId="77777777" w:rsidTr="00364F47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9CCDE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51938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5588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11A91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50542A74" w14:textId="77777777" w:rsidTr="00364F47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0BD1E9" w14:textId="77777777" w:rsidR="006438C9" w:rsidRPr="00537510" w:rsidRDefault="006438C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80DC44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8F0A06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80629E" w14:textId="77777777" w:rsidR="006438C9" w:rsidRPr="00537510" w:rsidRDefault="006438C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438C9" w:rsidRPr="00537510" w14:paraId="61428BEA" w14:textId="77777777" w:rsidTr="00364F47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ED82ED" w14:textId="77777777" w:rsidR="006438C9" w:rsidRPr="00537510" w:rsidRDefault="006438C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C48F51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1,632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BB12BB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4,910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CA76F6" w14:textId="77777777" w:rsidR="006438C9" w:rsidRPr="00537510" w:rsidRDefault="006438C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37510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4,562</w:t>
            </w:r>
          </w:p>
        </w:tc>
      </w:tr>
    </w:tbl>
    <w:p w14:paraId="645C0805" w14:textId="4C642C26" w:rsidR="00B50D38" w:rsidRPr="004C320C" w:rsidRDefault="00B50D38" w:rsidP="004C320C">
      <w:pPr>
        <w:spacing w:before="360"/>
      </w:pPr>
    </w:p>
    <w:sectPr w:rsidR="00B50D38" w:rsidRPr="004C320C" w:rsidSect="00A454B3">
      <w:headerReference w:type="even" r:id="rId41"/>
      <w:headerReference w:type="default" r:id="rId42"/>
      <w:headerReference w:type="first" r:id="rId43"/>
      <w:footerReference w:type="first" r:id="rId44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5BD7" w14:textId="77777777" w:rsidR="00E93D6B" w:rsidRDefault="00E93D6B">
      <w:r>
        <w:separator/>
      </w:r>
    </w:p>
    <w:p w14:paraId="53F5122F" w14:textId="77777777" w:rsidR="00E93D6B" w:rsidRDefault="00E93D6B"/>
  </w:endnote>
  <w:endnote w:type="continuationSeparator" w:id="0">
    <w:p w14:paraId="2F247F97" w14:textId="77777777" w:rsidR="00E93D6B" w:rsidRDefault="00E93D6B">
      <w:r>
        <w:continuationSeparator/>
      </w:r>
    </w:p>
    <w:p w14:paraId="263FA364" w14:textId="77777777" w:rsidR="00E93D6B" w:rsidRDefault="00E93D6B"/>
  </w:endnote>
  <w:endnote w:type="continuationNotice" w:id="1">
    <w:p w14:paraId="33E93753" w14:textId="77777777" w:rsidR="00E93D6B" w:rsidRDefault="00E93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34C4" w14:textId="3DD9E3E8" w:rsidR="001E09D9" w:rsidRPr="00095256" w:rsidRDefault="001E09D9" w:rsidP="00095256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  <w:t>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 xml:space="preserve"> 2023-24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FC9A" w14:textId="4F409589" w:rsidR="007915CF" w:rsidRPr="00095256" w:rsidRDefault="001E09D9" w:rsidP="00095256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 xml:space="preserve"> 2023-24</w:t>
    </w:r>
    <w:r w:rsidRPr="005C5F04">
      <w:rPr>
        <w:rFonts w:ascii="Public Sans" w:hAnsi="Public Sans"/>
        <w:szCs w:val="18"/>
      </w:rPr>
      <w:tab/>
    </w: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5C5F04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14E" w14:textId="3C06B95C" w:rsidR="00322550" w:rsidRPr="005C5F04" w:rsidRDefault="005E3E00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Agency</w:t>
    </w:r>
    <w:r w:rsidR="00044353" w:rsidRPr="005C5F04">
      <w:rPr>
        <w:rFonts w:ascii="Public Sans" w:hAnsi="Public Sans"/>
        <w:szCs w:val="18"/>
      </w:rPr>
      <w:t xml:space="preserve"> Financial Statements</w:t>
    </w:r>
    <w:r w:rsidR="0034008D">
      <w:rPr>
        <w:rFonts w:ascii="Public Sans" w:hAnsi="Public Sans"/>
        <w:szCs w:val="18"/>
      </w:rPr>
      <w:t xml:space="preserve"> 2023-24</w:t>
    </w:r>
    <w:r w:rsidR="00BA696A" w:rsidRPr="005C5F04">
      <w:rPr>
        <w:rFonts w:ascii="Public Sans" w:hAnsi="Public Sans"/>
        <w:szCs w:val="18"/>
      </w:rPr>
      <w:tab/>
    </w:r>
    <w:r w:rsidR="00B15CD4">
      <w:rPr>
        <w:rFonts w:ascii="Public Sans" w:hAnsi="Public Sans"/>
        <w:szCs w:val="18"/>
      </w:rPr>
      <w:t>2</w:t>
    </w:r>
    <w:r w:rsidR="00BA696A" w:rsidRPr="005C5F04">
      <w:rPr>
        <w:rFonts w:ascii="Public Sans" w:hAnsi="Public Sans"/>
        <w:szCs w:val="18"/>
      </w:rPr>
      <w:t xml:space="preserve"> - </w:t>
    </w:r>
    <w:r w:rsidR="00BA696A" w:rsidRPr="005C5F04">
      <w:rPr>
        <w:rFonts w:ascii="Public Sans" w:hAnsi="Public Sans"/>
        <w:szCs w:val="18"/>
      </w:rPr>
      <w:fldChar w:fldCharType="begin"/>
    </w:r>
    <w:r w:rsidR="00BA696A" w:rsidRPr="005C5F04">
      <w:rPr>
        <w:rFonts w:ascii="Public Sans" w:hAnsi="Public Sans"/>
        <w:szCs w:val="18"/>
      </w:rPr>
      <w:instrText xml:space="preserve"> PAGE  \* MERGEFORMAT </w:instrText>
    </w:r>
    <w:r w:rsidR="00BA696A" w:rsidRPr="005C5F04">
      <w:rPr>
        <w:rFonts w:ascii="Public Sans" w:hAnsi="Public Sans"/>
        <w:szCs w:val="18"/>
      </w:rPr>
      <w:fldChar w:fldCharType="separate"/>
    </w:r>
    <w:r w:rsidR="00BA696A" w:rsidRPr="005C5F04">
      <w:rPr>
        <w:rFonts w:ascii="Public Sans" w:hAnsi="Public Sans"/>
        <w:szCs w:val="18"/>
      </w:rPr>
      <w:t>23</w:t>
    </w:r>
    <w:r w:rsidR="00BA696A" w:rsidRPr="005C5F04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79B6" w14:textId="11E839A1" w:rsidR="00CF16B6" w:rsidRPr="005C5F04" w:rsidRDefault="00CF16B6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8</w:t>
    </w:r>
    <w:r w:rsidRPr="005C5F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  <w:t>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 xml:space="preserve"> 2023-24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0A49" w14:textId="4354C613" w:rsidR="0050161E" w:rsidRPr="005C5F04" w:rsidRDefault="0050161E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 xml:space="preserve"> 2023-24</w:t>
    </w:r>
    <w:r>
      <w:rPr>
        <w:rFonts w:ascii="Public Sans" w:hAnsi="Public Sans"/>
        <w:szCs w:val="18"/>
      </w:rPr>
      <w:tab/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11</w:t>
    </w:r>
    <w:r w:rsidRPr="005C5F04">
      <w:rPr>
        <w:rFonts w:ascii="Public Sans" w:hAnsi="Public Sans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0B0F" w14:textId="7DB00551" w:rsidR="0076577C" w:rsidRPr="005C5F04" w:rsidRDefault="0076577C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14</w:t>
    </w:r>
    <w:r w:rsidRPr="005C5F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  <w:t>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 xml:space="preserve"> 2023-24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325A" w14:textId="5072D50A" w:rsidR="000A01C0" w:rsidRPr="005C5F04" w:rsidRDefault="000A01C0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 xml:space="preserve"> 2023-24</w:t>
    </w:r>
    <w:r w:rsidR="00EE25CC">
      <w:rPr>
        <w:rFonts w:ascii="Public Sans" w:hAnsi="Public Sans"/>
        <w:szCs w:val="18"/>
      </w:rPr>
      <w:tab/>
      <w:t>2</w:t>
    </w:r>
    <w:r w:rsidR="00EE25CC" w:rsidRPr="005C5F04">
      <w:rPr>
        <w:rFonts w:ascii="Public Sans" w:hAnsi="Public Sans"/>
        <w:szCs w:val="18"/>
      </w:rPr>
      <w:t xml:space="preserve"> - </w:t>
    </w:r>
    <w:r w:rsidR="00EE25CC" w:rsidRPr="005C5F04">
      <w:rPr>
        <w:rFonts w:ascii="Public Sans" w:hAnsi="Public Sans"/>
        <w:szCs w:val="18"/>
      </w:rPr>
      <w:fldChar w:fldCharType="begin"/>
    </w:r>
    <w:r w:rsidR="00EE25CC" w:rsidRPr="005C5F04">
      <w:rPr>
        <w:rFonts w:ascii="Public Sans" w:hAnsi="Public Sans"/>
        <w:szCs w:val="18"/>
      </w:rPr>
      <w:instrText xml:space="preserve"> PAGE  \* MERGEFORMAT </w:instrText>
    </w:r>
    <w:r w:rsidR="00EE25CC" w:rsidRPr="005C5F04">
      <w:rPr>
        <w:rFonts w:ascii="Public Sans" w:hAnsi="Public Sans"/>
        <w:szCs w:val="18"/>
      </w:rPr>
      <w:fldChar w:fldCharType="separate"/>
    </w:r>
    <w:r w:rsidR="00EE25CC">
      <w:rPr>
        <w:rFonts w:ascii="Public Sans" w:hAnsi="Public Sans"/>
        <w:szCs w:val="18"/>
      </w:rPr>
      <w:t>17</w:t>
    </w:r>
    <w:r w:rsidR="00EE25CC" w:rsidRPr="005C5F04">
      <w:rPr>
        <w:rFonts w:ascii="Public Sans" w:hAnsi="Public Sans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D483" w14:textId="3B048FD9" w:rsidR="00F248BF" w:rsidRPr="005C5F04" w:rsidRDefault="00F248BF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20</w:t>
    </w:r>
    <w:r w:rsidRPr="005C5F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  <w:t>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 xml:space="preserve"> 2023-24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D6E9" w14:textId="73557A73" w:rsidR="00A454B3" w:rsidRPr="005C5F04" w:rsidRDefault="00A454B3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 xml:space="preserve"> 2023-24</w:t>
    </w:r>
    <w:r>
      <w:rPr>
        <w:rFonts w:ascii="Public Sans" w:hAnsi="Public Sans"/>
        <w:szCs w:val="18"/>
      </w:rPr>
      <w:tab/>
      <w:t>2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23</w:t>
    </w:r>
    <w:r w:rsidRPr="005C5F04">
      <w:rPr>
        <w:rFonts w:ascii="Public Sans" w:hAnsi="Public Sans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9514" w14:textId="77777777" w:rsidR="00E93D6B" w:rsidRDefault="00E93D6B">
      <w:pPr>
        <w:spacing w:before="120"/>
      </w:pPr>
      <w:r>
        <w:separator/>
      </w:r>
    </w:p>
    <w:p w14:paraId="12DC02F3" w14:textId="77777777" w:rsidR="00E93D6B" w:rsidRDefault="00E93D6B"/>
  </w:footnote>
  <w:footnote w:type="continuationSeparator" w:id="0">
    <w:p w14:paraId="01CBAA2D" w14:textId="77777777" w:rsidR="00E93D6B" w:rsidRDefault="00E93D6B">
      <w:pPr>
        <w:spacing w:before="120"/>
      </w:pPr>
      <w:r>
        <w:continuationSeparator/>
      </w:r>
    </w:p>
    <w:p w14:paraId="7D4C2E0D" w14:textId="77777777" w:rsidR="00E93D6B" w:rsidRDefault="00E93D6B"/>
  </w:footnote>
  <w:footnote w:type="continuationNotice" w:id="1">
    <w:p w14:paraId="172B41F7" w14:textId="77777777" w:rsidR="00E93D6B" w:rsidRDefault="00E93D6B">
      <w:pPr>
        <w:rPr>
          <w:sz w:val="16"/>
        </w:rPr>
      </w:pPr>
    </w:p>
    <w:p w14:paraId="718E6F7A" w14:textId="77777777" w:rsidR="00E93D6B" w:rsidRDefault="00E93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9EA6" w14:textId="04F59D06" w:rsidR="00BA696A" w:rsidRPr="00892157" w:rsidRDefault="006E2DF7" w:rsidP="00BA696A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 xml:space="preserve">The </w:t>
    </w:r>
    <w:r w:rsidR="00892157" w:rsidRPr="00892157">
      <w:rPr>
        <w:rFonts w:ascii="Public Sans" w:hAnsi="Public Sans"/>
        <w:sz w:val="18"/>
        <w:szCs w:val="18"/>
      </w:rPr>
      <w:t>Cabinet</w:t>
    </w:r>
    <w:r>
      <w:rPr>
        <w:rFonts w:ascii="Public Sans" w:hAnsi="Public Sans"/>
        <w:sz w:val="18"/>
        <w:szCs w:val="18"/>
      </w:rPr>
      <w:t xml:space="preserve"> Office</w:t>
    </w:r>
    <w:r w:rsidR="00892157" w:rsidRPr="00892157">
      <w:rPr>
        <w:rFonts w:ascii="Public Sans" w:hAnsi="Public Sans"/>
        <w:sz w:val="18"/>
        <w:szCs w:val="18"/>
      </w:rPr>
      <w:t xml:space="preserve"> </w:t>
    </w:r>
  </w:p>
  <w:p w14:paraId="3CB5AAF4" w14:textId="77777777" w:rsidR="00322550" w:rsidRPr="00103DEE" w:rsidRDefault="00322550" w:rsidP="0090360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6458" w14:textId="77777777" w:rsidR="0050161E" w:rsidRPr="00892157" w:rsidRDefault="0050161E" w:rsidP="0050161E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Commission Against Corruption</w:t>
    </w:r>
  </w:p>
  <w:p w14:paraId="7F4BEA02" w14:textId="77777777" w:rsidR="0050161E" w:rsidRPr="00103DEE" w:rsidRDefault="0050161E" w:rsidP="0090360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1E4A" w14:textId="77777777" w:rsidR="00AF79A0" w:rsidRPr="00892157" w:rsidRDefault="00AF79A0" w:rsidP="00AF79A0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Commission Against Corruption</w:t>
    </w:r>
  </w:p>
  <w:p w14:paraId="379A83C5" w14:textId="77777777" w:rsidR="00AF79A0" w:rsidRDefault="00AF79A0" w:rsidP="00BF16F2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2718" w14:textId="1E5656AF" w:rsidR="00CF16B6" w:rsidRPr="00892157" w:rsidRDefault="00CF16B6" w:rsidP="00CF16B6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</w:t>
    </w:r>
    <w:r w:rsidR="0050161E">
      <w:rPr>
        <w:rFonts w:ascii="Public Sans" w:hAnsi="Public Sans"/>
        <w:sz w:val="18"/>
        <w:szCs w:val="18"/>
      </w:rPr>
      <w:t>ependent Commission Against Corruption</w:t>
    </w:r>
  </w:p>
  <w:p w14:paraId="15FCAFC5" w14:textId="77777777" w:rsidR="00CF16B6" w:rsidRPr="004E542C" w:rsidRDefault="00CF16B6" w:rsidP="004E542C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B300" w14:textId="77777777" w:rsidR="0076577C" w:rsidRPr="00892157" w:rsidRDefault="0076577C" w:rsidP="0076577C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Pricing and Regulatory Tribunal</w:t>
    </w:r>
  </w:p>
  <w:p w14:paraId="14B5EB76" w14:textId="77777777" w:rsidR="0076577C" w:rsidRPr="0076577C" w:rsidRDefault="0076577C" w:rsidP="0076577C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57E8" w14:textId="77777777" w:rsidR="0076577C" w:rsidRPr="00892157" w:rsidRDefault="0076577C" w:rsidP="0076577C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Pricing and Regulatory Tribunal</w:t>
    </w:r>
  </w:p>
  <w:p w14:paraId="4F071F49" w14:textId="77777777" w:rsidR="0076577C" w:rsidRDefault="0076577C" w:rsidP="00BF16F2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F11B" w14:textId="58E9F848" w:rsidR="00AF79A0" w:rsidRPr="00892157" w:rsidRDefault="00AF79A0" w:rsidP="00AF79A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Independent Pricing and Regulatory Tribunal</w:t>
    </w:r>
  </w:p>
  <w:p w14:paraId="7BE94B15" w14:textId="77777777" w:rsidR="00AF79A0" w:rsidRPr="004E542C" w:rsidRDefault="00AF79A0" w:rsidP="004E542C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EB9E" w14:textId="77777777" w:rsidR="000A01C0" w:rsidRPr="00892157" w:rsidRDefault="000A01C0" w:rsidP="000A01C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Law Enforcement Conduct Commission</w:t>
    </w:r>
  </w:p>
  <w:p w14:paraId="6577A0FA" w14:textId="77777777" w:rsidR="000A01C0" w:rsidRPr="0076577C" w:rsidRDefault="000A01C0" w:rsidP="0076577C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90B8" w14:textId="4F914507" w:rsidR="00EE25CC" w:rsidRDefault="00EE25CC" w:rsidP="00EE25CC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Public Sans" w:hAnsi="Public Sans"/>
        <w:sz w:val="18"/>
        <w:szCs w:val="18"/>
      </w:rPr>
      <w:t>Law Enforcement Conduct Commission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602B" w14:textId="4D131FA3" w:rsidR="0076577C" w:rsidRPr="00892157" w:rsidRDefault="000A01C0" w:rsidP="0076577C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Law Enforcement Conduct Commission</w:t>
    </w:r>
  </w:p>
  <w:p w14:paraId="70FF1893" w14:textId="77777777" w:rsidR="0076577C" w:rsidRPr="004E542C" w:rsidRDefault="0076577C" w:rsidP="004E542C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CE47" w14:textId="77777777" w:rsidR="00F248BF" w:rsidRPr="00892157" w:rsidRDefault="00F248BF" w:rsidP="00F248BF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Electoral Commission</w:t>
    </w:r>
  </w:p>
  <w:p w14:paraId="414A057D" w14:textId="77777777" w:rsidR="00F248BF" w:rsidRPr="0076577C" w:rsidRDefault="00F248BF" w:rsidP="00765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31D3" w14:textId="77777777" w:rsidR="006E2DF7" w:rsidRPr="00892157" w:rsidRDefault="006E2DF7" w:rsidP="006E2DF7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 xml:space="preserve">The </w:t>
    </w:r>
    <w:r w:rsidRPr="00892157">
      <w:rPr>
        <w:rFonts w:ascii="Public Sans" w:hAnsi="Public Sans"/>
        <w:sz w:val="18"/>
        <w:szCs w:val="18"/>
      </w:rPr>
      <w:t>Cabinet</w:t>
    </w:r>
    <w:r>
      <w:rPr>
        <w:rFonts w:ascii="Public Sans" w:hAnsi="Public Sans"/>
        <w:sz w:val="18"/>
        <w:szCs w:val="18"/>
      </w:rPr>
      <w:t xml:space="preserve"> Office</w:t>
    </w:r>
    <w:r w:rsidRPr="00892157">
      <w:rPr>
        <w:rFonts w:ascii="Public Sans" w:hAnsi="Public Sans"/>
        <w:sz w:val="18"/>
        <w:szCs w:val="18"/>
      </w:rPr>
      <w:t xml:space="preserve"> </w:t>
    </w:r>
  </w:p>
  <w:p w14:paraId="264475E6" w14:textId="77777777" w:rsidR="00322550" w:rsidRDefault="00322550" w:rsidP="00BF16F2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95F8" w14:textId="77777777" w:rsidR="00F248BF" w:rsidRPr="00892157" w:rsidRDefault="00F248BF" w:rsidP="00F248BF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Electoral Commission</w:t>
    </w:r>
  </w:p>
  <w:p w14:paraId="75809E1D" w14:textId="1AF4982C" w:rsidR="00F248BF" w:rsidRPr="00F248BF" w:rsidRDefault="00F248BF" w:rsidP="00F248BF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74C0" w14:textId="4E5A67DF" w:rsidR="00EE25CC" w:rsidRPr="00892157" w:rsidRDefault="00F248BF" w:rsidP="00EE25CC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New South Wales Electoral Commission</w:t>
    </w:r>
  </w:p>
  <w:p w14:paraId="3956E84E" w14:textId="77777777" w:rsidR="00EE25CC" w:rsidRPr="004E542C" w:rsidRDefault="00EE25CC" w:rsidP="004E542C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4A11" w14:textId="77777777" w:rsidR="00A454B3" w:rsidRPr="00892157" w:rsidRDefault="00A454B3" w:rsidP="00A454B3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Ombudsman’s Office</w:t>
    </w:r>
  </w:p>
  <w:p w14:paraId="5ACD2E35" w14:textId="77777777" w:rsidR="00A454B3" w:rsidRPr="0076577C" w:rsidRDefault="00A454B3" w:rsidP="0076577C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0A24" w14:textId="77777777" w:rsidR="00A454B3" w:rsidRPr="00892157" w:rsidRDefault="00A454B3" w:rsidP="00A454B3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Ombudsman’s Office</w:t>
    </w:r>
  </w:p>
  <w:p w14:paraId="104811F0" w14:textId="77777777" w:rsidR="00A454B3" w:rsidRPr="00F248BF" w:rsidRDefault="00A454B3" w:rsidP="00F248BF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BB6A" w14:textId="1399ED3B" w:rsidR="00F248BF" w:rsidRPr="00892157" w:rsidRDefault="00A454B3" w:rsidP="00F248BF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Ombudsman’s Office</w:t>
    </w:r>
  </w:p>
  <w:p w14:paraId="206893D2" w14:textId="77777777" w:rsidR="00F248BF" w:rsidRPr="004E542C" w:rsidRDefault="00F248BF" w:rsidP="004E54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6F65" w14:textId="77777777" w:rsidR="00322550" w:rsidRPr="004E542C" w:rsidRDefault="00322550" w:rsidP="004E54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A9E9" w14:textId="77777777" w:rsidR="00CA485A" w:rsidRPr="00892157" w:rsidRDefault="00CA485A" w:rsidP="00CA485A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Parliamentary Counsel’s Office</w:t>
    </w:r>
  </w:p>
  <w:p w14:paraId="45BE3470" w14:textId="77777777" w:rsidR="00CA485A" w:rsidRPr="00103DEE" w:rsidRDefault="00CA485A" w:rsidP="009036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837B" w14:textId="77777777" w:rsidR="00D30438" w:rsidRPr="00892157" w:rsidRDefault="00D30438" w:rsidP="00D30438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Parliamentary Counsel’s Office</w:t>
    </w:r>
  </w:p>
  <w:p w14:paraId="15494E61" w14:textId="77777777" w:rsidR="00D30438" w:rsidRDefault="00D30438" w:rsidP="00BF16F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98B2" w14:textId="55330025" w:rsidR="00CA485A" w:rsidRPr="00892157" w:rsidRDefault="00CA485A" w:rsidP="00CA485A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Parliamentary Counsel’s Office</w:t>
    </w:r>
  </w:p>
  <w:p w14:paraId="15BC294F" w14:textId="77777777" w:rsidR="00CA485A" w:rsidRPr="004E542C" w:rsidRDefault="00CA485A" w:rsidP="004E542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9CBF" w14:textId="77777777" w:rsidR="00CF16B6" w:rsidRPr="00892157" w:rsidRDefault="00CF16B6" w:rsidP="00CF16B6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Audit Office of New South Wales</w:t>
    </w:r>
  </w:p>
  <w:p w14:paraId="790113C2" w14:textId="77777777" w:rsidR="00CF16B6" w:rsidRPr="00103DEE" w:rsidRDefault="00CF16B6" w:rsidP="0090360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04B6" w14:textId="77777777" w:rsidR="00CF16B6" w:rsidRPr="00892157" w:rsidRDefault="00CF16B6" w:rsidP="00CF16B6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Audit Office of New South Wales</w:t>
    </w:r>
  </w:p>
  <w:p w14:paraId="4757263B" w14:textId="77777777" w:rsidR="00CF16B6" w:rsidRDefault="00CF16B6" w:rsidP="00BF16F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D0C6" w14:textId="764C4CB7" w:rsidR="00D30438" w:rsidRPr="00892157" w:rsidRDefault="00D30438" w:rsidP="00D30438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Audit Office of New South Wales</w:t>
    </w:r>
  </w:p>
  <w:p w14:paraId="30D81266" w14:textId="77777777" w:rsidR="00D30438" w:rsidRPr="004E542C" w:rsidRDefault="00D30438" w:rsidP="004E5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882"/>
    <w:multiLevelType w:val="singleLevel"/>
    <w:tmpl w:val="34949644"/>
    <w:lvl w:ilvl="0">
      <w:start w:val="1"/>
      <w:numFmt w:val="bullet"/>
      <w:pStyle w:val="Bullet3"/>
      <w:lvlText w:val=""/>
      <w:lvlJc w:val="left"/>
      <w:pPr>
        <w:ind w:left="1097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A31B06"/>
    <w:multiLevelType w:val="hybridMultilevel"/>
    <w:tmpl w:val="B8C00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4B8B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1710D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5D5AE2"/>
    <w:multiLevelType w:val="hybridMultilevel"/>
    <w:tmpl w:val="CF325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83B21"/>
    <w:multiLevelType w:val="hybridMultilevel"/>
    <w:tmpl w:val="4D80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F45"/>
    <w:multiLevelType w:val="multilevel"/>
    <w:tmpl w:val="0728C2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997D07"/>
    <w:multiLevelType w:val="hybridMultilevel"/>
    <w:tmpl w:val="6DA01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1F4"/>
    <w:multiLevelType w:val="hybridMultilevel"/>
    <w:tmpl w:val="38FEB4E2"/>
    <w:lvl w:ilvl="0" w:tplc="F76A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3"/>
        <w:szCs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585"/>
    <w:multiLevelType w:val="hybridMultilevel"/>
    <w:tmpl w:val="E842EC56"/>
    <w:lvl w:ilvl="0" w:tplc="8D940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D262D"/>
    <w:multiLevelType w:val="hybridMultilevel"/>
    <w:tmpl w:val="B3BE155C"/>
    <w:lvl w:ilvl="0" w:tplc="C472F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66B74"/>
    <w:multiLevelType w:val="hybridMultilevel"/>
    <w:tmpl w:val="39ACDCD6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572FC4"/>
    <w:multiLevelType w:val="hybridMultilevel"/>
    <w:tmpl w:val="74F8D2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75E81"/>
    <w:multiLevelType w:val="hybridMultilevel"/>
    <w:tmpl w:val="97E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19DA"/>
    <w:multiLevelType w:val="hybridMultilevel"/>
    <w:tmpl w:val="0CF0BAFE"/>
    <w:lvl w:ilvl="0" w:tplc="34307762">
      <w:start w:val="1"/>
      <w:numFmt w:val="decimal"/>
      <w:lvlText w:val="8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C6FA5"/>
    <w:multiLevelType w:val="hybridMultilevel"/>
    <w:tmpl w:val="63485E7C"/>
    <w:lvl w:ilvl="0" w:tplc="2EAA7CE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35BA"/>
    <w:multiLevelType w:val="hybridMultilevel"/>
    <w:tmpl w:val="2780C3D6"/>
    <w:lvl w:ilvl="0" w:tplc="9C2CCA02">
      <w:start w:val="1"/>
      <w:numFmt w:val="decimal"/>
      <w:pStyle w:val="StyleTable9XLeft0cmFirstline0cm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3BC9"/>
    <w:multiLevelType w:val="hybridMultilevel"/>
    <w:tmpl w:val="A0F6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944FB"/>
    <w:multiLevelType w:val="hybridMultilevel"/>
    <w:tmpl w:val="96863882"/>
    <w:lvl w:ilvl="0" w:tplc="69EE618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41EAED2">
      <w:numFmt w:val="decimal"/>
      <w:lvlText w:val=""/>
      <w:lvlJc w:val="left"/>
    </w:lvl>
    <w:lvl w:ilvl="2" w:tplc="1B9A60FE">
      <w:numFmt w:val="decimal"/>
      <w:lvlText w:val=""/>
      <w:lvlJc w:val="left"/>
    </w:lvl>
    <w:lvl w:ilvl="3" w:tplc="6A4E903C">
      <w:numFmt w:val="decimal"/>
      <w:lvlText w:val=""/>
      <w:lvlJc w:val="left"/>
    </w:lvl>
    <w:lvl w:ilvl="4" w:tplc="F23A5A2A">
      <w:numFmt w:val="decimal"/>
      <w:lvlText w:val=""/>
      <w:lvlJc w:val="left"/>
    </w:lvl>
    <w:lvl w:ilvl="5" w:tplc="82021462">
      <w:numFmt w:val="decimal"/>
      <w:lvlText w:val=""/>
      <w:lvlJc w:val="left"/>
    </w:lvl>
    <w:lvl w:ilvl="6" w:tplc="53C63424">
      <w:numFmt w:val="decimal"/>
      <w:lvlText w:val=""/>
      <w:lvlJc w:val="left"/>
    </w:lvl>
    <w:lvl w:ilvl="7" w:tplc="9E800374">
      <w:numFmt w:val="decimal"/>
      <w:lvlText w:val=""/>
      <w:lvlJc w:val="left"/>
    </w:lvl>
    <w:lvl w:ilvl="8" w:tplc="EE0AB28A">
      <w:numFmt w:val="decimal"/>
      <w:lvlText w:val=""/>
      <w:lvlJc w:val="left"/>
    </w:lvl>
  </w:abstractNum>
  <w:abstractNum w:abstractNumId="22" w15:restartNumberingAfterBreak="0">
    <w:nsid w:val="41B87A07"/>
    <w:multiLevelType w:val="multilevel"/>
    <w:tmpl w:val="651A308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C01251"/>
    <w:multiLevelType w:val="hybridMultilevel"/>
    <w:tmpl w:val="D48201DE"/>
    <w:lvl w:ilvl="0" w:tplc="2C2E6254">
      <w:start w:val="1"/>
      <w:numFmt w:val="decimal"/>
      <w:pStyle w:val="51Heading2"/>
      <w:lvlText w:val="5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5636C"/>
    <w:multiLevelType w:val="hybridMultilevel"/>
    <w:tmpl w:val="CEA2D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DB0493"/>
    <w:multiLevelType w:val="hybridMultilevel"/>
    <w:tmpl w:val="59EC33A0"/>
    <w:lvl w:ilvl="0" w:tplc="5650B538">
      <w:start w:val="1"/>
      <w:numFmt w:val="decimal"/>
      <w:pStyle w:val="Chart9X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74E5C"/>
    <w:multiLevelType w:val="hybridMultilevel"/>
    <w:tmpl w:val="B5A4DCEA"/>
    <w:lvl w:ilvl="0" w:tplc="620CF230">
      <w:start w:val="1"/>
      <w:numFmt w:val="decimal"/>
      <w:pStyle w:val="StyleChart9XLeft0cmHanging063cm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94EE8"/>
    <w:multiLevelType w:val="hybridMultilevel"/>
    <w:tmpl w:val="C1E64BFC"/>
    <w:lvl w:ilvl="0" w:tplc="1CAE7E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301A0E"/>
    <w:multiLevelType w:val="multilevel"/>
    <w:tmpl w:val="D6506F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522501"/>
    <w:multiLevelType w:val="hybridMultilevel"/>
    <w:tmpl w:val="8E86374C"/>
    <w:lvl w:ilvl="0" w:tplc="ABB6CEDE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14295"/>
    <w:multiLevelType w:val="multilevel"/>
    <w:tmpl w:val="1310D476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D60B42"/>
    <w:multiLevelType w:val="hybridMultilevel"/>
    <w:tmpl w:val="43B28858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4820B2F"/>
    <w:multiLevelType w:val="hybridMultilevel"/>
    <w:tmpl w:val="97700732"/>
    <w:lvl w:ilvl="0" w:tplc="966EA404">
      <w:start w:val="1"/>
      <w:numFmt w:val="decimal"/>
      <w:pStyle w:val="Table9X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766F1"/>
    <w:multiLevelType w:val="hybridMultilevel"/>
    <w:tmpl w:val="A006AB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46601E"/>
    <w:multiLevelType w:val="hybridMultilevel"/>
    <w:tmpl w:val="7534B5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E83517"/>
    <w:multiLevelType w:val="hybridMultilevel"/>
    <w:tmpl w:val="CB60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04692"/>
    <w:multiLevelType w:val="hybridMultilevel"/>
    <w:tmpl w:val="B606A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82B76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FE3409"/>
    <w:multiLevelType w:val="hybridMultilevel"/>
    <w:tmpl w:val="25F0F45E"/>
    <w:lvl w:ilvl="0" w:tplc="F18C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C5B4E"/>
    <w:multiLevelType w:val="hybridMultilevel"/>
    <w:tmpl w:val="15081D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3984">
    <w:abstractNumId w:val="11"/>
  </w:num>
  <w:num w:numId="2" w16cid:durableId="54623938">
    <w:abstractNumId w:val="27"/>
  </w:num>
  <w:num w:numId="3" w16cid:durableId="853686040">
    <w:abstractNumId w:val="0"/>
  </w:num>
  <w:num w:numId="4" w16cid:durableId="1942372574">
    <w:abstractNumId w:val="21"/>
  </w:num>
  <w:num w:numId="5" w16cid:durableId="1313414909">
    <w:abstractNumId w:val="1"/>
  </w:num>
  <w:num w:numId="6" w16cid:durableId="2054848015">
    <w:abstractNumId w:val="26"/>
  </w:num>
  <w:num w:numId="7" w16cid:durableId="882474854">
    <w:abstractNumId w:val="16"/>
  </w:num>
  <w:num w:numId="8" w16cid:durableId="577401262">
    <w:abstractNumId w:val="19"/>
  </w:num>
  <w:num w:numId="9" w16cid:durableId="2108309613">
    <w:abstractNumId w:val="35"/>
  </w:num>
  <w:num w:numId="10" w16cid:durableId="1453984463">
    <w:abstractNumId w:val="28"/>
  </w:num>
  <w:num w:numId="11" w16cid:durableId="231231709">
    <w:abstractNumId w:val="25"/>
  </w:num>
  <w:num w:numId="12" w16cid:durableId="1540625946">
    <w:abstractNumId w:val="41"/>
  </w:num>
  <w:num w:numId="13" w16cid:durableId="267465875">
    <w:abstractNumId w:val="10"/>
  </w:num>
  <w:num w:numId="14" w16cid:durableId="747001534">
    <w:abstractNumId w:val="30"/>
  </w:num>
  <w:num w:numId="15" w16cid:durableId="371275552">
    <w:abstractNumId w:val="11"/>
  </w:num>
  <w:num w:numId="16" w16cid:durableId="394940205">
    <w:abstractNumId w:val="2"/>
  </w:num>
  <w:num w:numId="17" w16cid:durableId="758991579">
    <w:abstractNumId w:val="8"/>
  </w:num>
  <w:num w:numId="18" w16cid:durableId="1445418907">
    <w:abstractNumId w:val="6"/>
  </w:num>
  <w:num w:numId="19" w16cid:durableId="1863779312">
    <w:abstractNumId w:val="39"/>
  </w:num>
  <w:num w:numId="20" w16cid:durableId="62876869">
    <w:abstractNumId w:val="20"/>
  </w:num>
  <w:num w:numId="21" w16cid:durableId="914826564">
    <w:abstractNumId w:val="36"/>
  </w:num>
  <w:num w:numId="22" w16cid:durableId="1574513103">
    <w:abstractNumId w:val="38"/>
  </w:num>
  <w:num w:numId="23" w16cid:durableId="1106654595">
    <w:abstractNumId w:val="33"/>
  </w:num>
  <w:num w:numId="24" w16cid:durableId="435443397">
    <w:abstractNumId w:val="3"/>
  </w:num>
  <w:num w:numId="25" w16cid:durableId="2068215546">
    <w:abstractNumId w:val="32"/>
  </w:num>
  <w:num w:numId="26" w16cid:durableId="2019504651">
    <w:abstractNumId w:val="15"/>
  </w:num>
  <w:num w:numId="27" w16cid:durableId="1573933575">
    <w:abstractNumId w:val="9"/>
  </w:num>
  <w:num w:numId="28" w16cid:durableId="239406747">
    <w:abstractNumId w:val="14"/>
  </w:num>
  <w:num w:numId="29" w16cid:durableId="1755544791">
    <w:abstractNumId w:val="42"/>
  </w:num>
  <w:num w:numId="30" w16cid:durableId="1505508736">
    <w:abstractNumId w:val="34"/>
  </w:num>
  <w:num w:numId="31" w16cid:durableId="730924495">
    <w:abstractNumId w:val="13"/>
  </w:num>
  <w:num w:numId="32" w16cid:durableId="2122187449">
    <w:abstractNumId w:val="29"/>
  </w:num>
  <w:num w:numId="33" w16cid:durableId="1997831103">
    <w:abstractNumId w:val="7"/>
  </w:num>
  <w:num w:numId="34" w16cid:durableId="680934105">
    <w:abstractNumId w:val="25"/>
  </w:num>
  <w:num w:numId="35" w16cid:durableId="1191142165">
    <w:abstractNumId w:val="18"/>
  </w:num>
  <w:num w:numId="36" w16cid:durableId="2093350979">
    <w:abstractNumId w:val="5"/>
  </w:num>
  <w:num w:numId="37" w16cid:durableId="562375215">
    <w:abstractNumId w:val="37"/>
  </w:num>
  <w:num w:numId="38" w16cid:durableId="224338019">
    <w:abstractNumId w:val="40"/>
  </w:num>
  <w:num w:numId="39" w16cid:durableId="774864437">
    <w:abstractNumId w:val="4"/>
  </w:num>
  <w:num w:numId="40" w16cid:durableId="1243104157">
    <w:abstractNumId w:val="24"/>
  </w:num>
  <w:num w:numId="41" w16cid:durableId="1628925047">
    <w:abstractNumId w:val="12"/>
  </w:num>
  <w:num w:numId="42" w16cid:durableId="1296595434">
    <w:abstractNumId w:val="23"/>
  </w:num>
  <w:num w:numId="43" w16cid:durableId="804783888">
    <w:abstractNumId w:val="23"/>
  </w:num>
  <w:num w:numId="44" w16cid:durableId="916868407">
    <w:abstractNumId w:val="23"/>
  </w:num>
  <w:num w:numId="45" w16cid:durableId="1393892085">
    <w:abstractNumId w:val="23"/>
  </w:num>
  <w:num w:numId="46" w16cid:durableId="100997339">
    <w:abstractNumId w:val="23"/>
  </w:num>
  <w:num w:numId="47" w16cid:durableId="1973245644">
    <w:abstractNumId w:val="23"/>
  </w:num>
  <w:num w:numId="48" w16cid:durableId="14814968">
    <w:abstractNumId w:val="23"/>
  </w:num>
  <w:num w:numId="49" w16cid:durableId="1552378676">
    <w:abstractNumId w:val="31"/>
  </w:num>
  <w:num w:numId="50" w16cid:durableId="554858041">
    <w:abstractNumId w:val="22"/>
  </w:num>
  <w:num w:numId="51" w16cid:durableId="2092854079">
    <w:abstractNumId w:val="16"/>
  </w:num>
  <w:num w:numId="52" w16cid:durableId="1165246599">
    <w:abstractNumId w:val="16"/>
  </w:num>
  <w:num w:numId="53" w16cid:durableId="1906331791">
    <w:abstractNumId w:val="16"/>
  </w:num>
  <w:num w:numId="54" w16cid:durableId="516509524">
    <w:abstractNumId w:val="16"/>
  </w:num>
  <w:num w:numId="55" w16cid:durableId="1429737656">
    <w:abstractNumId w:val="16"/>
  </w:num>
  <w:num w:numId="56" w16cid:durableId="1333289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79942805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C"/>
    <w:rsid w:val="00000CC4"/>
    <w:rsid w:val="000011A4"/>
    <w:rsid w:val="0000153D"/>
    <w:rsid w:val="00002780"/>
    <w:rsid w:val="00002D00"/>
    <w:rsid w:val="0000336C"/>
    <w:rsid w:val="0000390C"/>
    <w:rsid w:val="00004BD4"/>
    <w:rsid w:val="0000557E"/>
    <w:rsid w:val="0000563D"/>
    <w:rsid w:val="000058BF"/>
    <w:rsid w:val="000062D8"/>
    <w:rsid w:val="00006B69"/>
    <w:rsid w:val="00006B98"/>
    <w:rsid w:val="00006BD9"/>
    <w:rsid w:val="00010048"/>
    <w:rsid w:val="000103C4"/>
    <w:rsid w:val="000112F0"/>
    <w:rsid w:val="00011670"/>
    <w:rsid w:val="00011C2E"/>
    <w:rsid w:val="00012B44"/>
    <w:rsid w:val="00012BB1"/>
    <w:rsid w:val="000131F9"/>
    <w:rsid w:val="0001360B"/>
    <w:rsid w:val="00013613"/>
    <w:rsid w:val="000137A0"/>
    <w:rsid w:val="000137BE"/>
    <w:rsid w:val="00013998"/>
    <w:rsid w:val="00013D32"/>
    <w:rsid w:val="00015B0A"/>
    <w:rsid w:val="00016D3D"/>
    <w:rsid w:val="000172EF"/>
    <w:rsid w:val="00020181"/>
    <w:rsid w:val="000204FE"/>
    <w:rsid w:val="000208C5"/>
    <w:rsid w:val="00022027"/>
    <w:rsid w:val="00022724"/>
    <w:rsid w:val="00022AB7"/>
    <w:rsid w:val="000230DC"/>
    <w:rsid w:val="00024F3C"/>
    <w:rsid w:val="00025CCE"/>
    <w:rsid w:val="000268BC"/>
    <w:rsid w:val="00026EA6"/>
    <w:rsid w:val="000275F2"/>
    <w:rsid w:val="00027B6D"/>
    <w:rsid w:val="00027D94"/>
    <w:rsid w:val="00027FAD"/>
    <w:rsid w:val="0003042F"/>
    <w:rsid w:val="00030D3A"/>
    <w:rsid w:val="00031272"/>
    <w:rsid w:val="00034463"/>
    <w:rsid w:val="000344F7"/>
    <w:rsid w:val="00035818"/>
    <w:rsid w:val="00035B59"/>
    <w:rsid w:val="00036C3B"/>
    <w:rsid w:val="00036E99"/>
    <w:rsid w:val="00036E9D"/>
    <w:rsid w:val="00037A05"/>
    <w:rsid w:val="000407A1"/>
    <w:rsid w:val="00041374"/>
    <w:rsid w:val="00042507"/>
    <w:rsid w:val="00042751"/>
    <w:rsid w:val="000428F2"/>
    <w:rsid w:val="00042B58"/>
    <w:rsid w:val="000434CD"/>
    <w:rsid w:val="00044353"/>
    <w:rsid w:val="000448F2"/>
    <w:rsid w:val="000452A2"/>
    <w:rsid w:val="000454D4"/>
    <w:rsid w:val="00045523"/>
    <w:rsid w:val="00045719"/>
    <w:rsid w:val="00045E59"/>
    <w:rsid w:val="00046271"/>
    <w:rsid w:val="00046755"/>
    <w:rsid w:val="00046A93"/>
    <w:rsid w:val="00046C09"/>
    <w:rsid w:val="00047CD3"/>
    <w:rsid w:val="00047D16"/>
    <w:rsid w:val="00050511"/>
    <w:rsid w:val="000507F3"/>
    <w:rsid w:val="00050C23"/>
    <w:rsid w:val="00051133"/>
    <w:rsid w:val="00051529"/>
    <w:rsid w:val="00052403"/>
    <w:rsid w:val="0005266A"/>
    <w:rsid w:val="000532B6"/>
    <w:rsid w:val="00053D74"/>
    <w:rsid w:val="000549F3"/>
    <w:rsid w:val="00054FD7"/>
    <w:rsid w:val="0005587A"/>
    <w:rsid w:val="00056ACB"/>
    <w:rsid w:val="00056CBE"/>
    <w:rsid w:val="000604F4"/>
    <w:rsid w:val="00060BF4"/>
    <w:rsid w:val="00062DA6"/>
    <w:rsid w:val="0006337F"/>
    <w:rsid w:val="00063E5C"/>
    <w:rsid w:val="0006416A"/>
    <w:rsid w:val="0006478A"/>
    <w:rsid w:val="0006545A"/>
    <w:rsid w:val="00065C91"/>
    <w:rsid w:val="000678A6"/>
    <w:rsid w:val="000678FF"/>
    <w:rsid w:val="0007034A"/>
    <w:rsid w:val="00070955"/>
    <w:rsid w:val="000713EC"/>
    <w:rsid w:val="000717AB"/>
    <w:rsid w:val="00071D80"/>
    <w:rsid w:val="000721F0"/>
    <w:rsid w:val="00072CCF"/>
    <w:rsid w:val="00072E0C"/>
    <w:rsid w:val="000736EA"/>
    <w:rsid w:val="00073817"/>
    <w:rsid w:val="00073BDB"/>
    <w:rsid w:val="00073F5D"/>
    <w:rsid w:val="0007452F"/>
    <w:rsid w:val="00074BE9"/>
    <w:rsid w:val="0007518D"/>
    <w:rsid w:val="000754C4"/>
    <w:rsid w:val="00075D94"/>
    <w:rsid w:val="000766BD"/>
    <w:rsid w:val="0007684A"/>
    <w:rsid w:val="000768C4"/>
    <w:rsid w:val="00076C61"/>
    <w:rsid w:val="00077049"/>
    <w:rsid w:val="000777B1"/>
    <w:rsid w:val="00080650"/>
    <w:rsid w:val="00081083"/>
    <w:rsid w:val="00082BCE"/>
    <w:rsid w:val="00082D80"/>
    <w:rsid w:val="000836AF"/>
    <w:rsid w:val="00083871"/>
    <w:rsid w:val="000841A9"/>
    <w:rsid w:val="000841C3"/>
    <w:rsid w:val="0008460F"/>
    <w:rsid w:val="000846F6"/>
    <w:rsid w:val="00084BE5"/>
    <w:rsid w:val="00084F97"/>
    <w:rsid w:val="00085DC0"/>
    <w:rsid w:val="00085E3C"/>
    <w:rsid w:val="00086F9C"/>
    <w:rsid w:val="00087DB9"/>
    <w:rsid w:val="000902B2"/>
    <w:rsid w:val="00090B97"/>
    <w:rsid w:val="0009106A"/>
    <w:rsid w:val="000910E0"/>
    <w:rsid w:val="00091A1E"/>
    <w:rsid w:val="00092D2C"/>
    <w:rsid w:val="00093824"/>
    <w:rsid w:val="000942C8"/>
    <w:rsid w:val="000944C8"/>
    <w:rsid w:val="00094E99"/>
    <w:rsid w:val="00094F44"/>
    <w:rsid w:val="00095256"/>
    <w:rsid w:val="0009586B"/>
    <w:rsid w:val="000958E7"/>
    <w:rsid w:val="00095A1A"/>
    <w:rsid w:val="000961BC"/>
    <w:rsid w:val="0009699C"/>
    <w:rsid w:val="000971D0"/>
    <w:rsid w:val="00097AD6"/>
    <w:rsid w:val="00097B2F"/>
    <w:rsid w:val="00097DB8"/>
    <w:rsid w:val="000A01C0"/>
    <w:rsid w:val="000A0984"/>
    <w:rsid w:val="000A0FB2"/>
    <w:rsid w:val="000A191C"/>
    <w:rsid w:val="000A1B83"/>
    <w:rsid w:val="000A30C4"/>
    <w:rsid w:val="000A35A1"/>
    <w:rsid w:val="000A3CC2"/>
    <w:rsid w:val="000A447E"/>
    <w:rsid w:val="000A5209"/>
    <w:rsid w:val="000A53AE"/>
    <w:rsid w:val="000A5CCD"/>
    <w:rsid w:val="000A5DF6"/>
    <w:rsid w:val="000A6034"/>
    <w:rsid w:val="000A6E33"/>
    <w:rsid w:val="000A7C28"/>
    <w:rsid w:val="000A7DBB"/>
    <w:rsid w:val="000B0292"/>
    <w:rsid w:val="000B0683"/>
    <w:rsid w:val="000B122C"/>
    <w:rsid w:val="000B2082"/>
    <w:rsid w:val="000B2293"/>
    <w:rsid w:val="000B3785"/>
    <w:rsid w:val="000B3D09"/>
    <w:rsid w:val="000B4AF2"/>
    <w:rsid w:val="000B4B0F"/>
    <w:rsid w:val="000B4CBA"/>
    <w:rsid w:val="000B4F3F"/>
    <w:rsid w:val="000B4F67"/>
    <w:rsid w:val="000B5C8D"/>
    <w:rsid w:val="000B6479"/>
    <w:rsid w:val="000B6504"/>
    <w:rsid w:val="000B6DE7"/>
    <w:rsid w:val="000B6EEF"/>
    <w:rsid w:val="000B72F3"/>
    <w:rsid w:val="000B7882"/>
    <w:rsid w:val="000C0405"/>
    <w:rsid w:val="000C0935"/>
    <w:rsid w:val="000C240A"/>
    <w:rsid w:val="000C243C"/>
    <w:rsid w:val="000C303F"/>
    <w:rsid w:val="000C3E98"/>
    <w:rsid w:val="000C404A"/>
    <w:rsid w:val="000C4364"/>
    <w:rsid w:val="000C4BC0"/>
    <w:rsid w:val="000C57C1"/>
    <w:rsid w:val="000C6AB2"/>
    <w:rsid w:val="000C71CE"/>
    <w:rsid w:val="000C7F0B"/>
    <w:rsid w:val="000D011C"/>
    <w:rsid w:val="000D0187"/>
    <w:rsid w:val="000D02E7"/>
    <w:rsid w:val="000D06DE"/>
    <w:rsid w:val="000D07D1"/>
    <w:rsid w:val="000D0C50"/>
    <w:rsid w:val="000D14D7"/>
    <w:rsid w:val="000D1B18"/>
    <w:rsid w:val="000D210D"/>
    <w:rsid w:val="000D2202"/>
    <w:rsid w:val="000D33F3"/>
    <w:rsid w:val="000D42BA"/>
    <w:rsid w:val="000D4D76"/>
    <w:rsid w:val="000D576C"/>
    <w:rsid w:val="000D593A"/>
    <w:rsid w:val="000D63B1"/>
    <w:rsid w:val="000D6531"/>
    <w:rsid w:val="000D6C23"/>
    <w:rsid w:val="000D7E7B"/>
    <w:rsid w:val="000E058B"/>
    <w:rsid w:val="000E0CE7"/>
    <w:rsid w:val="000E2539"/>
    <w:rsid w:val="000E25FA"/>
    <w:rsid w:val="000E2640"/>
    <w:rsid w:val="000E323E"/>
    <w:rsid w:val="000E3FC9"/>
    <w:rsid w:val="000E514A"/>
    <w:rsid w:val="000E7FD4"/>
    <w:rsid w:val="000F026C"/>
    <w:rsid w:val="000F10D8"/>
    <w:rsid w:val="000F1305"/>
    <w:rsid w:val="000F20EA"/>
    <w:rsid w:val="000F3C82"/>
    <w:rsid w:val="000F3EDD"/>
    <w:rsid w:val="000F4519"/>
    <w:rsid w:val="000F4EF5"/>
    <w:rsid w:val="000F58A3"/>
    <w:rsid w:val="000F778C"/>
    <w:rsid w:val="000F7891"/>
    <w:rsid w:val="00100311"/>
    <w:rsid w:val="00100E58"/>
    <w:rsid w:val="001015AE"/>
    <w:rsid w:val="00102578"/>
    <w:rsid w:val="00103CCD"/>
    <w:rsid w:val="00103DEE"/>
    <w:rsid w:val="00104543"/>
    <w:rsid w:val="001046CE"/>
    <w:rsid w:val="001056E3"/>
    <w:rsid w:val="00105C6C"/>
    <w:rsid w:val="00107CFB"/>
    <w:rsid w:val="00107F9E"/>
    <w:rsid w:val="00110182"/>
    <w:rsid w:val="00111328"/>
    <w:rsid w:val="00111430"/>
    <w:rsid w:val="00112005"/>
    <w:rsid w:val="001128C8"/>
    <w:rsid w:val="00113177"/>
    <w:rsid w:val="00114F1A"/>
    <w:rsid w:val="00116AA6"/>
    <w:rsid w:val="00116C43"/>
    <w:rsid w:val="00116E87"/>
    <w:rsid w:val="0011724E"/>
    <w:rsid w:val="00117307"/>
    <w:rsid w:val="001173F3"/>
    <w:rsid w:val="001178D7"/>
    <w:rsid w:val="00117962"/>
    <w:rsid w:val="00117989"/>
    <w:rsid w:val="0012048E"/>
    <w:rsid w:val="00120BBD"/>
    <w:rsid w:val="00120CFE"/>
    <w:rsid w:val="00120F1E"/>
    <w:rsid w:val="001214B6"/>
    <w:rsid w:val="001215F7"/>
    <w:rsid w:val="00122506"/>
    <w:rsid w:val="00123056"/>
    <w:rsid w:val="00123503"/>
    <w:rsid w:val="001243DB"/>
    <w:rsid w:val="001243F8"/>
    <w:rsid w:val="00124E5A"/>
    <w:rsid w:val="001251F3"/>
    <w:rsid w:val="0012537E"/>
    <w:rsid w:val="00125E8A"/>
    <w:rsid w:val="00125F61"/>
    <w:rsid w:val="00126A0F"/>
    <w:rsid w:val="001302F1"/>
    <w:rsid w:val="00130624"/>
    <w:rsid w:val="0013074C"/>
    <w:rsid w:val="00131395"/>
    <w:rsid w:val="0013163F"/>
    <w:rsid w:val="00131DCD"/>
    <w:rsid w:val="001327A2"/>
    <w:rsid w:val="00132908"/>
    <w:rsid w:val="00132949"/>
    <w:rsid w:val="00132E3E"/>
    <w:rsid w:val="001333B3"/>
    <w:rsid w:val="0013461F"/>
    <w:rsid w:val="00135783"/>
    <w:rsid w:val="00135F5D"/>
    <w:rsid w:val="00136486"/>
    <w:rsid w:val="00136629"/>
    <w:rsid w:val="00136981"/>
    <w:rsid w:val="00136DCF"/>
    <w:rsid w:val="0013739A"/>
    <w:rsid w:val="00137483"/>
    <w:rsid w:val="0013756F"/>
    <w:rsid w:val="0013769F"/>
    <w:rsid w:val="001401AD"/>
    <w:rsid w:val="00140766"/>
    <w:rsid w:val="00143E5D"/>
    <w:rsid w:val="0014431C"/>
    <w:rsid w:val="001474D2"/>
    <w:rsid w:val="00147B34"/>
    <w:rsid w:val="001510BF"/>
    <w:rsid w:val="00151102"/>
    <w:rsid w:val="001519BF"/>
    <w:rsid w:val="00151A85"/>
    <w:rsid w:val="00152205"/>
    <w:rsid w:val="00152B5A"/>
    <w:rsid w:val="00152C05"/>
    <w:rsid w:val="00152E23"/>
    <w:rsid w:val="0015395F"/>
    <w:rsid w:val="00153F5F"/>
    <w:rsid w:val="00153FE8"/>
    <w:rsid w:val="0015414B"/>
    <w:rsid w:val="001545F2"/>
    <w:rsid w:val="001566A1"/>
    <w:rsid w:val="00156821"/>
    <w:rsid w:val="00157603"/>
    <w:rsid w:val="001578B5"/>
    <w:rsid w:val="00157DF8"/>
    <w:rsid w:val="00161C47"/>
    <w:rsid w:val="00161F22"/>
    <w:rsid w:val="00162C96"/>
    <w:rsid w:val="00163106"/>
    <w:rsid w:val="001637A3"/>
    <w:rsid w:val="001638F4"/>
    <w:rsid w:val="0016538E"/>
    <w:rsid w:val="001657A9"/>
    <w:rsid w:val="00166B62"/>
    <w:rsid w:val="00166DA0"/>
    <w:rsid w:val="0016718B"/>
    <w:rsid w:val="001675BC"/>
    <w:rsid w:val="001677AC"/>
    <w:rsid w:val="00167AE6"/>
    <w:rsid w:val="0017162B"/>
    <w:rsid w:val="00173B9E"/>
    <w:rsid w:val="00173BEF"/>
    <w:rsid w:val="00174E05"/>
    <w:rsid w:val="00175B02"/>
    <w:rsid w:val="001763D8"/>
    <w:rsid w:val="001765B9"/>
    <w:rsid w:val="00177689"/>
    <w:rsid w:val="00177798"/>
    <w:rsid w:val="001779BB"/>
    <w:rsid w:val="00177A80"/>
    <w:rsid w:val="00177B24"/>
    <w:rsid w:val="00180DA3"/>
    <w:rsid w:val="00180E9A"/>
    <w:rsid w:val="00181522"/>
    <w:rsid w:val="00181EE8"/>
    <w:rsid w:val="001821A2"/>
    <w:rsid w:val="00182DB9"/>
    <w:rsid w:val="00183DF0"/>
    <w:rsid w:val="00185F56"/>
    <w:rsid w:val="00187E36"/>
    <w:rsid w:val="00187F18"/>
    <w:rsid w:val="00190019"/>
    <w:rsid w:val="0019270D"/>
    <w:rsid w:val="001930BD"/>
    <w:rsid w:val="0019529B"/>
    <w:rsid w:val="0019582D"/>
    <w:rsid w:val="001965B4"/>
    <w:rsid w:val="00197035"/>
    <w:rsid w:val="00197081"/>
    <w:rsid w:val="001972AD"/>
    <w:rsid w:val="0019777D"/>
    <w:rsid w:val="001A0484"/>
    <w:rsid w:val="001A048B"/>
    <w:rsid w:val="001A0D01"/>
    <w:rsid w:val="001A1131"/>
    <w:rsid w:val="001A1D28"/>
    <w:rsid w:val="001A2559"/>
    <w:rsid w:val="001A2E33"/>
    <w:rsid w:val="001A3CCE"/>
    <w:rsid w:val="001A4636"/>
    <w:rsid w:val="001A6C68"/>
    <w:rsid w:val="001A6F4D"/>
    <w:rsid w:val="001B043C"/>
    <w:rsid w:val="001B053D"/>
    <w:rsid w:val="001B0F76"/>
    <w:rsid w:val="001B2815"/>
    <w:rsid w:val="001B3B9C"/>
    <w:rsid w:val="001B48B5"/>
    <w:rsid w:val="001B49FE"/>
    <w:rsid w:val="001B4CDD"/>
    <w:rsid w:val="001B6054"/>
    <w:rsid w:val="001B6077"/>
    <w:rsid w:val="001B6671"/>
    <w:rsid w:val="001B78C2"/>
    <w:rsid w:val="001C0B83"/>
    <w:rsid w:val="001C1F26"/>
    <w:rsid w:val="001C2595"/>
    <w:rsid w:val="001C2B8F"/>
    <w:rsid w:val="001C430B"/>
    <w:rsid w:val="001C4361"/>
    <w:rsid w:val="001C452D"/>
    <w:rsid w:val="001C4810"/>
    <w:rsid w:val="001C5558"/>
    <w:rsid w:val="001C6032"/>
    <w:rsid w:val="001C6253"/>
    <w:rsid w:val="001C652C"/>
    <w:rsid w:val="001C721E"/>
    <w:rsid w:val="001C79B6"/>
    <w:rsid w:val="001C7E02"/>
    <w:rsid w:val="001D0150"/>
    <w:rsid w:val="001D13A6"/>
    <w:rsid w:val="001D13CD"/>
    <w:rsid w:val="001D14B0"/>
    <w:rsid w:val="001D1A45"/>
    <w:rsid w:val="001D283A"/>
    <w:rsid w:val="001D2A82"/>
    <w:rsid w:val="001D3D6A"/>
    <w:rsid w:val="001D3F91"/>
    <w:rsid w:val="001D4D68"/>
    <w:rsid w:val="001D50DC"/>
    <w:rsid w:val="001D5B3D"/>
    <w:rsid w:val="001D5C0D"/>
    <w:rsid w:val="001D6B1C"/>
    <w:rsid w:val="001D6ED7"/>
    <w:rsid w:val="001D6F2B"/>
    <w:rsid w:val="001D744E"/>
    <w:rsid w:val="001D74CB"/>
    <w:rsid w:val="001D76E9"/>
    <w:rsid w:val="001D7962"/>
    <w:rsid w:val="001D7F2A"/>
    <w:rsid w:val="001E009F"/>
    <w:rsid w:val="001E044B"/>
    <w:rsid w:val="001E047B"/>
    <w:rsid w:val="001E059E"/>
    <w:rsid w:val="001E09D9"/>
    <w:rsid w:val="001E0AA4"/>
    <w:rsid w:val="001E2086"/>
    <w:rsid w:val="001E2714"/>
    <w:rsid w:val="001E3428"/>
    <w:rsid w:val="001E35CA"/>
    <w:rsid w:val="001E431A"/>
    <w:rsid w:val="001E555A"/>
    <w:rsid w:val="001E572F"/>
    <w:rsid w:val="001E5C06"/>
    <w:rsid w:val="001E6089"/>
    <w:rsid w:val="001E6D2D"/>
    <w:rsid w:val="001F0849"/>
    <w:rsid w:val="001F11BA"/>
    <w:rsid w:val="001F1231"/>
    <w:rsid w:val="001F1432"/>
    <w:rsid w:val="001F2A42"/>
    <w:rsid w:val="001F347E"/>
    <w:rsid w:val="001F36EF"/>
    <w:rsid w:val="001F3ACE"/>
    <w:rsid w:val="001F3BA5"/>
    <w:rsid w:val="001F4F6C"/>
    <w:rsid w:val="001F5AFD"/>
    <w:rsid w:val="001F6B31"/>
    <w:rsid w:val="001F70A9"/>
    <w:rsid w:val="001F7C01"/>
    <w:rsid w:val="00200A1D"/>
    <w:rsid w:val="00201870"/>
    <w:rsid w:val="00201890"/>
    <w:rsid w:val="002021D6"/>
    <w:rsid w:val="00202471"/>
    <w:rsid w:val="00202BC2"/>
    <w:rsid w:val="00203035"/>
    <w:rsid w:val="00203B96"/>
    <w:rsid w:val="00204857"/>
    <w:rsid w:val="002049C9"/>
    <w:rsid w:val="00204B3A"/>
    <w:rsid w:val="00205424"/>
    <w:rsid w:val="00205FDF"/>
    <w:rsid w:val="00206156"/>
    <w:rsid w:val="002064C2"/>
    <w:rsid w:val="0020740E"/>
    <w:rsid w:val="00207BE8"/>
    <w:rsid w:val="002101D7"/>
    <w:rsid w:val="002104DA"/>
    <w:rsid w:val="00211278"/>
    <w:rsid w:val="00211BC8"/>
    <w:rsid w:val="00211E2C"/>
    <w:rsid w:val="002137A8"/>
    <w:rsid w:val="00213E75"/>
    <w:rsid w:val="00214980"/>
    <w:rsid w:val="0021579B"/>
    <w:rsid w:val="002158B5"/>
    <w:rsid w:val="00215CEC"/>
    <w:rsid w:val="0021621C"/>
    <w:rsid w:val="002167DB"/>
    <w:rsid w:val="002174DB"/>
    <w:rsid w:val="00217988"/>
    <w:rsid w:val="0022072E"/>
    <w:rsid w:val="0022076C"/>
    <w:rsid w:val="0022136E"/>
    <w:rsid w:val="002213CE"/>
    <w:rsid w:val="00221C9B"/>
    <w:rsid w:val="00222696"/>
    <w:rsid w:val="00222D11"/>
    <w:rsid w:val="0022343E"/>
    <w:rsid w:val="0022345A"/>
    <w:rsid w:val="00223937"/>
    <w:rsid w:val="00224786"/>
    <w:rsid w:val="00224A9C"/>
    <w:rsid w:val="002251B3"/>
    <w:rsid w:val="002259A3"/>
    <w:rsid w:val="00225A82"/>
    <w:rsid w:val="00225B36"/>
    <w:rsid w:val="00225BD3"/>
    <w:rsid w:val="0022666B"/>
    <w:rsid w:val="00227B9B"/>
    <w:rsid w:val="00227F62"/>
    <w:rsid w:val="00230302"/>
    <w:rsid w:val="0023031D"/>
    <w:rsid w:val="00230F87"/>
    <w:rsid w:val="00232C6C"/>
    <w:rsid w:val="00232FF4"/>
    <w:rsid w:val="00233792"/>
    <w:rsid w:val="00234D53"/>
    <w:rsid w:val="00234E83"/>
    <w:rsid w:val="00235213"/>
    <w:rsid w:val="00235BF3"/>
    <w:rsid w:val="00236818"/>
    <w:rsid w:val="00236A86"/>
    <w:rsid w:val="00236EA3"/>
    <w:rsid w:val="00237214"/>
    <w:rsid w:val="00237795"/>
    <w:rsid w:val="00237CF7"/>
    <w:rsid w:val="00237D03"/>
    <w:rsid w:val="00240767"/>
    <w:rsid w:val="0024083F"/>
    <w:rsid w:val="00241518"/>
    <w:rsid w:val="00241DE4"/>
    <w:rsid w:val="002424C0"/>
    <w:rsid w:val="002428C0"/>
    <w:rsid w:val="00242906"/>
    <w:rsid w:val="00242F22"/>
    <w:rsid w:val="002431DB"/>
    <w:rsid w:val="002433C5"/>
    <w:rsid w:val="00243E49"/>
    <w:rsid w:val="00243F38"/>
    <w:rsid w:val="002447D7"/>
    <w:rsid w:val="00245801"/>
    <w:rsid w:val="00245DE1"/>
    <w:rsid w:val="002466F2"/>
    <w:rsid w:val="00247724"/>
    <w:rsid w:val="002507B9"/>
    <w:rsid w:val="00251593"/>
    <w:rsid w:val="00253147"/>
    <w:rsid w:val="00253698"/>
    <w:rsid w:val="00253FCB"/>
    <w:rsid w:val="00254178"/>
    <w:rsid w:val="0025447E"/>
    <w:rsid w:val="002544CE"/>
    <w:rsid w:val="002546B5"/>
    <w:rsid w:val="00254853"/>
    <w:rsid w:val="00254F73"/>
    <w:rsid w:val="0025503E"/>
    <w:rsid w:val="00255371"/>
    <w:rsid w:val="0025564E"/>
    <w:rsid w:val="0025574D"/>
    <w:rsid w:val="0025656E"/>
    <w:rsid w:val="00256770"/>
    <w:rsid w:val="00256CC6"/>
    <w:rsid w:val="00256DC4"/>
    <w:rsid w:val="00256DD1"/>
    <w:rsid w:val="00257C24"/>
    <w:rsid w:val="00257D6D"/>
    <w:rsid w:val="00261D2E"/>
    <w:rsid w:val="00261DE3"/>
    <w:rsid w:val="0026307F"/>
    <w:rsid w:val="0026396E"/>
    <w:rsid w:val="00265303"/>
    <w:rsid w:val="00265F02"/>
    <w:rsid w:val="0026735B"/>
    <w:rsid w:val="002674CB"/>
    <w:rsid w:val="002702A6"/>
    <w:rsid w:val="0027039F"/>
    <w:rsid w:val="0027061C"/>
    <w:rsid w:val="00271529"/>
    <w:rsid w:val="00271AE9"/>
    <w:rsid w:val="00271F95"/>
    <w:rsid w:val="00272057"/>
    <w:rsid w:val="002721C7"/>
    <w:rsid w:val="00272D6E"/>
    <w:rsid w:val="0027361D"/>
    <w:rsid w:val="00273C5F"/>
    <w:rsid w:val="00273E23"/>
    <w:rsid w:val="0027479E"/>
    <w:rsid w:val="00274DC4"/>
    <w:rsid w:val="002756B0"/>
    <w:rsid w:val="00276B3D"/>
    <w:rsid w:val="00276BA0"/>
    <w:rsid w:val="00277BFC"/>
    <w:rsid w:val="002808DD"/>
    <w:rsid w:val="0028099F"/>
    <w:rsid w:val="0028166A"/>
    <w:rsid w:val="002818DB"/>
    <w:rsid w:val="00281CE6"/>
    <w:rsid w:val="00281F11"/>
    <w:rsid w:val="00282903"/>
    <w:rsid w:val="00282978"/>
    <w:rsid w:val="00282B14"/>
    <w:rsid w:val="00282FE8"/>
    <w:rsid w:val="00283B70"/>
    <w:rsid w:val="00283C03"/>
    <w:rsid w:val="002851DD"/>
    <w:rsid w:val="002859CD"/>
    <w:rsid w:val="00286506"/>
    <w:rsid w:val="0028696A"/>
    <w:rsid w:val="00286CB6"/>
    <w:rsid w:val="00286FA6"/>
    <w:rsid w:val="00286FBE"/>
    <w:rsid w:val="0028746B"/>
    <w:rsid w:val="00287E25"/>
    <w:rsid w:val="002908AF"/>
    <w:rsid w:val="00292764"/>
    <w:rsid w:val="002929EA"/>
    <w:rsid w:val="00292DFA"/>
    <w:rsid w:val="00292FE9"/>
    <w:rsid w:val="00294A8B"/>
    <w:rsid w:val="00294E26"/>
    <w:rsid w:val="00294FC6"/>
    <w:rsid w:val="0029540F"/>
    <w:rsid w:val="002958AA"/>
    <w:rsid w:val="002958B9"/>
    <w:rsid w:val="00296A1F"/>
    <w:rsid w:val="0029751C"/>
    <w:rsid w:val="00297D3C"/>
    <w:rsid w:val="00297E23"/>
    <w:rsid w:val="002A079C"/>
    <w:rsid w:val="002A099F"/>
    <w:rsid w:val="002A108B"/>
    <w:rsid w:val="002A17D9"/>
    <w:rsid w:val="002A1A86"/>
    <w:rsid w:val="002A21B5"/>
    <w:rsid w:val="002A2448"/>
    <w:rsid w:val="002A245F"/>
    <w:rsid w:val="002A24A8"/>
    <w:rsid w:val="002A41F8"/>
    <w:rsid w:val="002A4E56"/>
    <w:rsid w:val="002A557E"/>
    <w:rsid w:val="002A5C6B"/>
    <w:rsid w:val="002A69AA"/>
    <w:rsid w:val="002A6BC9"/>
    <w:rsid w:val="002A7086"/>
    <w:rsid w:val="002A7171"/>
    <w:rsid w:val="002A7256"/>
    <w:rsid w:val="002A77C0"/>
    <w:rsid w:val="002A7F18"/>
    <w:rsid w:val="002B076C"/>
    <w:rsid w:val="002B095B"/>
    <w:rsid w:val="002B152E"/>
    <w:rsid w:val="002B20D1"/>
    <w:rsid w:val="002B2235"/>
    <w:rsid w:val="002B285D"/>
    <w:rsid w:val="002B29B8"/>
    <w:rsid w:val="002B2C9C"/>
    <w:rsid w:val="002B2E4D"/>
    <w:rsid w:val="002B302C"/>
    <w:rsid w:val="002B3F89"/>
    <w:rsid w:val="002B4268"/>
    <w:rsid w:val="002B44E7"/>
    <w:rsid w:val="002B46B1"/>
    <w:rsid w:val="002B6DF3"/>
    <w:rsid w:val="002B70F2"/>
    <w:rsid w:val="002B7BD8"/>
    <w:rsid w:val="002C1162"/>
    <w:rsid w:val="002C1AC0"/>
    <w:rsid w:val="002C1D76"/>
    <w:rsid w:val="002C1F7F"/>
    <w:rsid w:val="002C22A7"/>
    <w:rsid w:val="002C4248"/>
    <w:rsid w:val="002C43C6"/>
    <w:rsid w:val="002C43F2"/>
    <w:rsid w:val="002C54F2"/>
    <w:rsid w:val="002C5E01"/>
    <w:rsid w:val="002C6CDE"/>
    <w:rsid w:val="002D084B"/>
    <w:rsid w:val="002D098B"/>
    <w:rsid w:val="002D0CC0"/>
    <w:rsid w:val="002D1237"/>
    <w:rsid w:val="002D187A"/>
    <w:rsid w:val="002D1CAD"/>
    <w:rsid w:val="002D1DFA"/>
    <w:rsid w:val="002D1FDE"/>
    <w:rsid w:val="002D24F6"/>
    <w:rsid w:val="002D265B"/>
    <w:rsid w:val="002D2AD6"/>
    <w:rsid w:val="002D3129"/>
    <w:rsid w:val="002D3A88"/>
    <w:rsid w:val="002D3CFF"/>
    <w:rsid w:val="002D41D5"/>
    <w:rsid w:val="002D462B"/>
    <w:rsid w:val="002D4B70"/>
    <w:rsid w:val="002D5091"/>
    <w:rsid w:val="002D5B53"/>
    <w:rsid w:val="002D6892"/>
    <w:rsid w:val="002D7145"/>
    <w:rsid w:val="002D7855"/>
    <w:rsid w:val="002E0566"/>
    <w:rsid w:val="002E07E9"/>
    <w:rsid w:val="002E1352"/>
    <w:rsid w:val="002E190E"/>
    <w:rsid w:val="002E20C2"/>
    <w:rsid w:val="002E24BC"/>
    <w:rsid w:val="002E27DB"/>
    <w:rsid w:val="002E295B"/>
    <w:rsid w:val="002E399E"/>
    <w:rsid w:val="002E3C60"/>
    <w:rsid w:val="002E3D4D"/>
    <w:rsid w:val="002E3F9D"/>
    <w:rsid w:val="002E40A7"/>
    <w:rsid w:val="002E536B"/>
    <w:rsid w:val="002E5BFE"/>
    <w:rsid w:val="002E6051"/>
    <w:rsid w:val="002E6355"/>
    <w:rsid w:val="002E639B"/>
    <w:rsid w:val="002E718E"/>
    <w:rsid w:val="002E7210"/>
    <w:rsid w:val="002E7B2B"/>
    <w:rsid w:val="002F0169"/>
    <w:rsid w:val="002F12AC"/>
    <w:rsid w:val="002F18EA"/>
    <w:rsid w:val="002F2064"/>
    <w:rsid w:val="002F2630"/>
    <w:rsid w:val="002F265C"/>
    <w:rsid w:val="002F2A6F"/>
    <w:rsid w:val="002F4199"/>
    <w:rsid w:val="002F48A2"/>
    <w:rsid w:val="002F48D2"/>
    <w:rsid w:val="002F546A"/>
    <w:rsid w:val="002F56C9"/>
    <w:rsid w:val="002F575C"/>
    <w:rsid w:val="002F7502"/>
    <w:rsid w:val="002F778E"/>
    <w:rsid w:val="002F785B"/>
    <w:rsid w:val="002F7906"/>
    <w:rsid w:val="002F7A9F"/>
    <w:rsid w:val="00300057"/>
    <w:rsid w:val="00300080"/>
    <w:rsid w:val="00300DA0"/>
    <w:rsid w:val="0030107E"/>
    <w:rsid w:val="00302E7E"/>
    <w:rsid w:val="00303357"/>
    <w:rsid w:val="00303565"/>
    <w:rsid w:val="00304663"/>
    <w:rsid w:val="00305938"/>
    <w:rsid w:val="00305C64"/>
    <w:rsid w:val="00310711"/>
    <w:rsid w:val="0031162A"/>
    <w:rsid w:val="0031274B"/>
    <w:rsid w:val="00314F23"/>
    <w:rsid w:val="00315807"/>
    <w:rsid w:val="00315911"/>
    <w:rsid w:val="0031616F"/>
    <w:rsid w:val="0031690B"/>
    <w:rsid w:val="003173F3"/>
    <w:rsid w:val="003174C1"/>
    <w:rsid w:val="00317FF2"/>
    <w:rsid w:val="0032011B"/>
    <w:rsid w:val="00321027"/>
    <w:rsid w:val="00321B17"/>
    <w:rsid w:val="003222F1"/>
    <w:rsid w:val="00322550"/>
    <w:rsid w:val="00322A26"/>
    <w:rsid w:val="00322EDB"/>
    <w:rsid w:val="00323783"/>
    <w:rsid w:val="003240DC"/>
    <w:rsid w:val="00324524"/>
    <w:rsid w:val="00324591"/>
    <w:rsid w:val="00324785"/>
    <w:rsid w:val="00325240"/>
    <w:rsid w:val="00325853"/>
    <w:rsid w:val="00325969"/>
    <w:rsid w:val="00325ADC"/>
    <w:rsid w:val="00325FFB"/>
    <w:rsid w:val="00326AED"/>
    <w:rsid w:val="00327840"/>
    <w:rsid w:val="00327ADB"/>
    <w:rsid w:val="0033021A"/>
    <w:rsid w:val="00330A20"/>
    <w:rsid w:val="00332221"/>
    <w:rsid w:val="00332441"/>
    <w:rsid w:val="00332B5B"/>
    <w:rsid w:val="00333215"/>
    <w:rsid w:val="0033387B"/>
    <w:rsid w:val="00333E9E"/>
    <w:rsid w:val="003352B6"/>
    <w:rsid w:val="00336255"/>
    <w:rsid w:val="00336667"/>
    <w:rsid w:val="00337C43"/>
    <w:rsid w:val="0034008D"/>
    <w:rsid w:val="00340B42"/>
    <w:rsid w:val="003413B0"/>
    <w:rsid w:val="00341759"/>
    <w:rsid w:val="003418D6"/>
    <w:rsid w:val="0034320E"/>
    <w:rsid w:val="00343297"/>
    <w:rsid w:val="003435A6"/>
    <w:rsid w:val="00343AA5"/>
    <w:rsid w:val="00343EAD"/>
    <w:rsid w:val="00344E92"/>
    <w:rsid w:val="0034584F"/>
    <w:rsid w:val="00345C22"/>
    <w:rsid w:val="00345D5E"/>
    <w:rsid w:val="00347BC3"/>
    <w:rsid w:val="00350403"/>
    <w:rsid w:val="003508BE"/>
    <w:rsid w:val="003508E5"/>
    <w:rsid w:val="0035092E"/>
    <w:rsid w:val="003517D3"/>
    <w:rsid w:val="00351A33"/>
    <w:rsid w:val="00351E79"/>
    <w:rsid w:val="00351FFE"/>
    <w:rsid w:val="00352D89"/>
    <w:rsid w:val="00352E8E"/>
    <w:rsid w:val="0035342E"/>
    <w:rsid w:val="00353449"/>
    <w:rsid w:val="003545DF"/>
    <w:rsid w:val="00355F34"/>
    <w:rsid w:val="0035675C"/>
    <w:rsid w:val="003625BD"/>
    <w:rsid w:val="00363A6B"/>
    <w:rsid w:val="00363D73"/>
    <w:rsid w:val="00364750"/>
    <w:rsid w:val="00364F47"/>
    <w:rsid w:val="003658B5"/>
    <w:rsid w:val="00365BB2"/>
    <w:rsid w:val="00366CDC"/>
    <w:rsid w:val="00366E3F"/>
    <w:rsid w:val="00367A82"/>
    <w:rsid w:val="003702C1"/>
    <w:rsid w:val="00370F0C"/>
    <w:rsid w:val="00371106"/>
    <w:rsid w:val="0037145A"/>
    <w:rsid w:val="00371A7F"/>
    <w:rsid w:val="00371FA3"/>
    <w:rsid w:val="00372259"/>
    <w:rsid w:val="00372E3F"/>
    <w:rsid w:val="00373018"/>
    <w:rsid w:val="00373E8B"/>
    <w:rsid w:val="00373F4D"/>
    <w:rsid w:val="003755B9"/>
    <w:rsid w:val="0037591B"/>
    <w:rsid w:val="00375E42"/>
    <w:rsid w:val="0037640A"/>
    <w:rsid w:val="00376480"/>
    <w:rsid w:val="003768D8"/>
    <w:rsid w:val="00376B31"/>
    <w:rsid w:val="00377059"/>
    <w:rsid w:val="00380469"/>
    <w:rsid w:val="00380A78"/>
    <w:rsid w:val="00380FB3"/>
    <w:rsid w:val="00381127"/>
    <w:rsid w:val="00381B1F"/>
    <w:rsid w:val="00381DA2"/>
    <w:rsid w:val="00381DBA"/>
    <w:rsid w:val="0038267D"/>
    <w:rsid w:val="00382BAF"/>
    <w:rsid w:val="003832AA"/>
    <w:rsid w:val="0038347D"/>
    <w:rsid w:val="003834E5"/>
    <w:rsid w:val="00384973"/>
    <w:rsid w:val="00385602"/>
    <w:rsid w:val="0038563B"/>
    <w:rsid w:val="00385750"/>
    <w:rsid w:val="00385753"/>
    <w:rsid w:val="00385FF2"/>
    <w:rsid w:val="003864B4"/>
    <w:rsid w:val="003866BA"/>
    <w:rsid w:val="003878D2"/>
    <w:rsid w:val="003912BC"/>
    <w:rsid w:val="003915F7"/>
    <w:rsid w:val="00391970"/>
    <w:rsid w:val="0039260A"/>
    <w:rsid w:val="00392877"/>
    <w:rsid w:val="003953BE"/>
    <w:rsid w:val="00395407"/>
    <w:rsid w:val="003956AD"/>
    <w:rsid w:val="003956D8"/>
    <w:rsid w:val="003960B0"/>
    <w:rsid w:val="0039613E"/>
    <w:rsid w:val="003973F9"/>
    <w:rsid w:val="00397E1D"/>
    <w:rsid w:val="003A1446"/>
    <w:rsid w:val="003A1863"/>
    <w:rsid w:val="003A1C09"/>
    <w:rsid w:val="003A4444"/>
    <w:rsid w:val="003A4848"/>
    <w:rsid w:val="003A4B8D"/>
    <w:rsid w:val="003A596C"/>
    <w:rsid w:val="003A5ABE"/>
    <w:rsid w:val="003A5ED9"/>
    <w:rsid w:val="003A6E4E"/>
    <w:rsid w:val="003A7592"/>
    <w:rsid w:val="003A7A13"/>
    <w:rsid w:val="003A7F12"/>
    <w:rsid w:val="003B0117"/>
    <w:rsid w:val="003B2D99"/>
    <w:rsid w:val="003B346D"/>
    <w:rsid w:val="003B37DE"/>
    <w:rsid w:val="003B3D6F"/>
    <w:rsid w:val="003B44F2"/>
    <w:rsid w:val="003B50D7"/>
    <w:rsid w:val="003B5257"/>
    <w:rsid w:val="003B5E3E"/>
    <w:rsid w:val="003B5F60"/>
    <w:rsid w:val="003B607A"/>
    <w:rsid w:val="003B7C26"/>
    <w:rsid w:val="003C000A"/>
    <w:rsid w:val="003C00CA"/>
    <w:rsid w:val="003C0C60"/>
    <w:rsid w:val="003C0FF5"/>
    <w:rsid w:val="003C12FF"/>
    <w:rsid w:val="003C21CA"/>
    <w:rsid w:val="003C26DC"/>
    <w:rsid w:val="003C32DC"/>
    <w:rsid w:val="003C3554"/>
    <w:rsid w:val="003C376F"/>
    <w:rsid w:val="003C391D"/>
    <w:rsid w:val="003C46BC"/>
    <w:rsid w:val="003C4A05"/>
    <w:rsid w:val="003C4B1C"/>
    <w:rsid w:val="003C4CE3"/>
    <w:rsid w:val="003C53E7"/>
    <w:rsid w:val="003C5440"/>
    <w:rsid w:val="003C6647"/>
    <w:rsid w:val="003C6B88"/>
    <w:rsid w:val="003C74EA"/>
    <w:rsid w:val="003C7A0B"/>
    <w:rsid w:val="003D0375"/>
    <w:rsid w:val="003D05C7"/>
    <w:rsid w:val="003D0F8F"/>
    <w:rsid w:val="003D19B2"/>
    <w:rsid w:val="003D202B"/>
    <w:rsid w:val="003D2C7F"/>
    <w:rsid w:val="003D2EA2"/>
    <w:rsid w:val="003D3697"/>
    <w:rsid w:val="003D3D02"/>
    <w:rsid w:val="003D3ED9"/>
    <w:rsid w:val="003D404C"/>
    <w:rsid w:val="003D4870"/>
    <w:rsid w:val="003D4D5A"/>
    <w:rsid w:val="003D5997"/>
    <w:rsid w:val="003D5A8F"/>
    <w:rsid w:val="003D60BE"/>
    <w:rsid w:val="003D67BB"/>
    <w:rsid w:val="003D68E6"/>
    <w:rsid w:val="003D712D"/>
    <w:rsid w:val="003D74B5"/>
    <w:rsid w:val="003E0029"/>
    <w:rsid w:val="003E00A5"/>
    <w:rsid w:val="003E042E"/>
    <w:rsid w:val="003E07CE"/>
    <w:rsid w:val="003E092B"/>
    <w:rsid w:val="003E0E1A"/>
    <w:rsid w:val="003E20CE"/>
    <w:rsid w:val="003E2605"/>
    <w:rsid w:val="003E2B17"/>
    <w:rsid w:val="003E2E41"/>
    <w:rsid w:val="003E3DE3"/>
    <w:rsid w:val="003E3E94"/>
    <w:rsid w:val="003E4850"/>
    <w:rsid w:val="003E4E3F"/>
    <w:rsid w:val="003E5045"/>
    <w:rsid w:val="003E70E7"/>
    <w:rsid w:val="003E754E"/>
    <w:rsid w:val="003E7D44"/>
    <w:rsid w:val="003F13D0"/>
    <w:rsid w:val="003F1A11"/>
    <w:rsid w:val="003F1A75"/>
    <w:rsid w:val="003F4080"/>
    <w:rsid w:val="003F434A"/>
    <w:rsid w:val="003F566F"/>
    <w:rsid w:val="003F6C5A"/>
    <w:rsid w:val="003F7147"/>
    <w:rsid w:val="003F7B82"/>
    <w:rsid w:val="00401116"/>
    <w:rsid w:val="00401F4E"/>
    <w:rsid w:val="00402C59"/>
    <w:rsid w:val="00403148"/>
    <w:rsid w:val="00403D42"/>
    <w:rsid w:val="00404CE4"/>
    <w:rsid w:val="004058A8"/>
    <w:rsid w:val="00407B6C"/>
    <w:rsid w:val="00407D74"/>
    <w:rsid w:val="00412EB5"/>
    <w:rsid w:val="00414146"/>
    <w:rsid w:val="00415AF3"/>
    <w:rsid w:val="004160E5"/>
    <w:rsid w:val="004162E1"/>
    <w:rsid w:val="004163AF"/>
    <w:rsid w:val="00416557"/>
    <w:rsid w:val="004179D7"/>
    <w:rsid w:val="00417BEB"/>
    <w:rsid w:val="00417F17"/>
    <w:rsid w:val="0042043C"/>
    <w:rsid w:val="00421A76"/>
    <w:rsid w:val="00422F00"/>
    <w:rsid w:val="0042450D"/>
    <w:rsid w:val="00425053"/>
    <w:rsid w:val="004263AE"/>
    <w:rsid w:val="00426C38"/>
    <w:rsid w:val="0042701C"/>
    <w:rsid w:val="004271EA"/>
    <w:rsid w:val="0043036C"/>
    <w:rsid w:val="00430B88"/>
    <w:rsid w:val="00430EF0"/>
    <w:rsid w:val="00432532"/>
    <w:rsid w:val="00432F58"/>
    <w:rsid w:val="00435885"/>
    <w:rsid w:val="004408D1"/>
    <w:rsid w:val="004413E0"/>
    <w:rsid w:val="0044169F"/>
    <w:rsid w:val="004417D2"/>
    <w:rsid w:val="004423A6"/>
    <w:rsid w:val="004436F0"/>
    <w:rsid w:val="004442CA"/>
    <w:rsid w:val="0044438C"/>
    <w:rsid w:val="0044449D"/>
    <w:rsid w:val="004453A6"/>
    <w:rsid w:val="00445CEA"/>
    <w:rsid w:val="0044607C"/>
    <w:rsid w:val="00447945"/>
    <w:rsid w:val="00447A94"/>
    <w:rsid w:val="00447D14"/>
    <w:rsid w:val="0045033D"/>
    <w:rsid w:val="00450915"/>
    <w:rsid w:val="00450A7E"/>
    <w:rsid w:val="00450C93"/>
    <w:rsid w:val="00451762"/>
    <w:rsid w:val="0045224C"/>
    <w:rsid w:val="00452570"/>
    <w:rsid w:val="004527AC"/>
    <w:rsid w:val="00452C88"/>
    <w:rsid w:val="00453749"/>
    <w:rsid w:val="004537A2"/>
    <w:rsid w:val="00453A07"/>
    <w:rsid w:val="004545D4"/>
    <w:rsid w:val="00455096"/>
    <w:rsid w:val="00456704"/>
    <w:rsid w:val="004569A4"/>
    <w:rsid w:val="00456B2F"/>
    <w:rsid w:val="00457B27"/>
    <w:rsid w:val="00461376"/>
    <w:rsid w:val="00463400"/>
    <w:rsid w:val="00463E59"/>
    <w:rsid w:val="004642C6"/>
    <w:rsid w:val="00464A65"/>
    <w:rsid w:val="00464D00"/>
    <w:rsid w:val="004661D8"/>
    <w:rsid w:val="004665FC"/>
    <w:rsid w:val="00466B64"/>
    <w:rsid w:val="00467A41"/>
    <w:rsid w:val="00467E18"/>
    <w:rsid w:val="004700F7"/>
    <w:rsid w:val="0047129A"/>
    <w:rsid w:val="00472C58"/>
    <w:rsid w:val="004730DA"/>
    <w:rsid w:val="004735A2"/>
    <w:rsid w:val="00474735"/>
    <w:rsid w:val="0047493E"/>
    <w:rsid w:val="004756E6"/>
    <w:rsid w:val="00475F8E"/>
    <w:rsid w:val="0047602E"/>
    <w:rsid w:val="00476754"/>
    <w:rsid w:val="004768D8"/>
    <w:rsid w:val="00476D1A"/>
    <w:rsid w:val="0047757A"/>
    <w:rsid w:val="00477ECC"/>
    <w:rsid w:val="00477F75"/>
    <w:rsid w:val="0048158A"/>
    <w:rsid w:val="00481CDE"/>
    <w:rsid w:val="00482250"/>
    <w:rsid w:val="00483F56"/>
    <w:rsid w:val="00484014"/>
    <w:rsid w:val="0048472B"/>
    <w:rsid w:val="00484AB5"/>
    <w:rsid w:val="00485509"/>
    <w:rsid w:val="004856BA"/>
    <w:rsid w:val="0048593B"/>
    <w:rsid w:val="00485A0B"/>
    <w:rsid w:val="00485D49"/>
    <w:rsid w:val="00486AC9"/>
    <w:rsid w:val="0048798A"/>
    <w:rsid w:val="0049030B"/>
    <w:rsid w:val="0049098A"/>
    <w:rsid w:val="00491B07"/>
    <w:rsid w:val="00492A05"/>
    <w:rsid w:val="00492F87"/>
    <w:rsid w:val="00494E24"/>
    <w:rsid w:val="00494EF6"/>
    <w:rsid w:val="00495006"/>
    <w:rsid w:val="00495E54"/>
    <w:rsid w:val="0049748F"/>
    <w:rsid w:val="00497BB0"/>
    <w:rsid w:val="00497BC0"/>
    <w:rsid w:val="004A08F2"/>
    <w:rsid w:val="004A187A"/>
    <w:rsid w:val="004A1A3D"/>
    <w:rsid w:val="004A2046"/>
    <w:rsid w:val="004A2C5D"/>
    <w:rsid w:val="004A3C00"/>
    <w:rsid w:val="004A43A5"/>
    <w:rsid w:val="004A6856"/>
    <w:rsid w:val="004A6F78"/>
    <w:rsid w:val="004A6FFF"/>
    <w:rsid w:val="004A7133"/>
    <w:rsid w:val="004A74F2"/>
    <w:rsid w:val="004A754D"/>
    <w:rsid w:val="004A7B1A"/>
    <w:rsid w:val="004A7E73"/>
    <w:rsid w:val="004B0B45"/>
    <w:rsid w:val="004B1F0F"/>
    <w:rsid w:val="004B2CAA"/>
    <w:rsid w:val="004B2D4B"/>
    <w:rsid w:val="004B30D7"/>
    <w:rsid w:val="004B3162"/>
    <w:rsid w:val="004B343F"/>
    <w:rsid w:val="004B3D78"/>
    <w:rsid w:val="004B4033"/>
    <w:rsid w:val="004B416D"/>
    <w:rsid w:val="004B50E1"/>
    <w:rsid w:val="004B52A8"/>
    <w:rsid w:val="004B5E3D"/>
    <w:rsid w:val="004B6321"/>
    <w:rsid w:val="004B635B"/>
    <w:rsid w:val="004B739B"/>
    <w:rsid w:val="004B73F3"/>
    <w:rsid w:val="004B75B5"/>
    <w:rsid w:val="004B7D4E"/>
    <w:rsid w:val="004B7E45"/>
    <w:rsid w:val="004C039F"/>
    <w:rsid w:val="004C1C09"/>
    <w:rsid w:val="004C2386"/>
    <w:rsid w:val="004C296B"/>
    <w:rsid w:val="004C30CD"/>
    <w:rsid w:val="004C320C"/>
    <w:rsid w:val="004C36EA"/>
    <w:rsid w:val="004C3BC1"/>
    <w:rsid w:val="004C3DBD"/>
    <w:rsid w:val="004C4638"/>
    <w:rsid w:val="004C4829"/>
    <w:rsid w:val="004C54A3"/>
    <w:rsid w:val="004C598A"/>
    <w:rsid w:val="004C6A4D"/>
    <w:rsid w:val="004C6AAF"/>
    <w:rsid w:val="004C737D"/>
    <w:rsid w:val="004C7996"/>
    <w:rsid w:val="004D006C"/>
    <w:rsid w:val="004D0E8B"/>
    <w:rsid w:val="004D1794"/>
    <w:rsid w:val="004D189C"/>
    <w:rsid w:val="004D26E6"/>
    <w:rsid w:val="004D375B"/>
    <w:rsid w:val="004D513D"/>
    <w:rsid w:val="004D52F9"/>
    <w:rsid w:val="004D6049"/>
    <w:rsid w:val="004D64B6"/>
    <w:rsid w:val="004D6E7E"/>
    <w:rsid w:val="004D7A2A"/>
    <w:rsid w:val="004D7A9E"/>
    <w:rsid w:val="004E1D16"/>
    <w:rsid w:val="004E2174"/>
    <w:rsid w:val="004E24CE"/>
    <w:rsid w:val="004E258B"/>
    <w:rsid w:val="004E2A7C"/>
    <w:rsid w:val="004E3083"/>
    <w:rsid w:val="004E36CF"/>
    <w:rsid w:val="004E3AEC"/>
    <w:rsid w:val="004E41FA"/>
    <w:rsid w:val="004E43F7"/>
    <w:rsid w:val="004E468B"/>
    <w:rsid w:val="004E529E"/>
    <w:rsid w:val="004E542C"/>
    <w:rsid w:val="004E6430"/>
    <w:rsid w:val="004E780D"/>
    <w:rsid w:val="004F04E9"/>
    <w:rsid w:val="004F1372"/>
    <w:rsid w:val="004F1778"/>
    <w:rsid w:val="004F17ED"/>
    <w:rsid w:val="004F187D"/>
    <w:rsid w:val="004F1E21"/>
    <w:rsid w:val="004F2482"/>
    <w:rsid w:val="004F3152"/>
    <w:rsid w:val="004F347E"/>
    <w:rsid w:val="004F4617"/>
    <w:rsid w:val="004F48CD"/>
    <w:rsid w:val="005014EA"/>
    <w:rsid w:val="0050161E"/>
    <w:rsid w:val="00501AC7"/>
    <w:rsid w:val="00501EF0"/>
    <w:rsid w:val="00503454"/>
    <w:rsid w:val="005048DC"/>
    <w:rsid w:val="005053F5"/>
    <w:rsid w:val="0050541D"/>
    <w:rsid w:val="00505C10"/>
    <w:rsid w:val="00505F59"/>
    <w:rsid w:val="00506011"/>
    <w:rsid w:val="00506BD7"/>
    <w:rsid w:val="00506F45"/>
    <w:rsid w:val="00507722"/>
    <w:rsid w:val="00507E30"/>
    <w:rsid w:val="00510B4C"/>
    <w:rsid w:val="00510B73"/>
    <w:rsid w:val="00510F02"/>
    <w:rsid w:val="005115C8"/>
    <w:rsid w:val="00511642"/>
    <w:rsid w:val="005117A8"/>
    <w:rsid w:val="0051191A"/>
    <w:rsid w:val="00511B00"/>
    <w:rsid w:val="00512560"/>
    <w:rsid w:val="00512C0B"/>
    <w:rsid w:val="00512EB4"/>
    <w:rsid w:val="00513433"/>
    <w:rsid w:val="00513C76"/>
    <w:rsid w:val="00513F3C"/>
    <w:rsid w:val="005176C4"/>
    <w:rsid w:val="00517CC1"/>
    <w:rsid w:val="00517D4B"/>
    <w:rsid w:val="00517F5C"/>
    <w:rsid w:val="00520572"/>
    <w:rsid w:val="00520F98"/>
    <w:rsid w:val="0052261B"/>
    <w:rsid w:val="005226CF"/>
    <w:rsid w:val="00522A76"/>
    <w:rsid w:val="00522DBB"/>
    <w:rsid w:val="005232AA"/>
    <w:rsid w:val="0052374D"/>
    <w:rsid w:val="00523B01"/>
    <w:rsid w:val="00523D6C"/>
    <w:rsid w:val="00523DB6"/>
    <w:rsid w:val="005254DD"/>
    <w:rsid w:val="005256B7"/>
    <w:rsid w:val="0052577D"/>
    <w:rsid w:val="005270DE"/>
    <w:rsid w:val="00527ADC"/>
    <w:rsid w:val="00527D03"/>
    <w:rsid w:val="00530B62"/>
    <w:rsid w:val="00531AC9"/>
    <w:rsid w:val="00531B1B"/>
    <w:rsid w:val="00533316"/>
    <w:rsid w:val="005344A6"/>
    <w:rsid w:val="00534909"/>
    <w:rsid w:val="00535235"/>
    <w:rsid w:val="00535BC2"/>
    <w:rsid w:val="0053612A"/>
    <w:rsid w:val="005366B3"/>
    <w:rsid w:val="0053704A"/>
    <w:rsid w:val="00537510"/>
    <w:rsid w:val="00537A79"/>
    <w:rsid w:val="00537F34"/>
    <w:rsid w:val="00537FD6"/>
    <w:rsid w:val="00540289"/>
    <w:rsid w:val="00540777"/>
    <w:rsid w:val="005420DE"/>
    <w:rsid w:val="00542751"/>
    <w:rsid w:val="00543616"/>
    <w:rsid w:val="00543EE5"/>
    <w:rsid w:val="00545073"/>
    <w:rsid w:val="00545CD8"/>
    <w:rsid w:val="00545E98"/>
    <w:rsid w:val="00546167"/>
    <w:rsid w:val="00546C8D"/>
    <w:rsid w:val="00546CE0"/>
    <w:rsid w:val="005470FB"/>
    <w:rsid w:val="0054776F"/>
    <w:rsid w:val="00547AA7"/>
    <w:rsid w:val="005500F3"/>
    <w:rsid w:val="005507EA"/>
    <w:rsid w:val="005508B1"/>
    <w:rsid w:val="00551285"/>
    <w:rsid w:val="005513C6"/>
    <w:rsid w:val="005519D5"/>
    <w:rsid w:val="00551D51"/>
    <w:rsid w:val="00551E1F"/>
    <w:rsid w:val="005538A7"/>
    <w:rsid w:val="005539A4"/>
    <w:rsid w:val="005541CC"/>
    <w:rsid w:val="00554368"/>
    <w:rsid w:val="00554E92"/>
    <w:rsid w:val="00555309"/>
    <w:rsid w:val="005571DA"/>
    <w:rsid w:val="00557668"/>
    <w:rsid w:val="00557686"/>
    <w:rsid w:val="00557932"/>
    <w:rsid w:val="005579B2"/>
    <w:rsid w:val="00557E83"/>
    <w:rsid w:val="005601B7"/>
    <w:rsid w:val="00560876"/>
    <w:rsid w:val="00561271"/>
    <w:rsid w:val="00561321"/>
    <w:rsid w:val="00561A01"/>
    <w:rsid w:val="00562281"/>
    <w:rsid w:val="0056520F"/>
    <w:rsid w:val="005656C4"/>
    <w:rsid w:val="00565869"/>
    <w:rsid w:val="0056690E"/>
    <w:rsid w:val="00566962"/>
    <w:rsid w:val="005675FC"/>
    <w:rsid w:val="00570DA0"/>
    <w:rsid w:val="00571971"/>
    <w:rsid w:val="00572D92"/>
    <w:rsid w:val="00572F85"/>
    <w:rsid w:val="00573433"/>
    <w:rsid w:val="00573743"/>
    <w:rsid w:val="00574A81"/>
    <w:rsid w:val="00575776"/>
    <w:rsid w:val="00576E6B"/>
    <w:rsid w:val="0058096A"/>
    <w:rsid w:val="00580D3F"/>
    <w:rsid w:val="00581DA9"/>
    <w:rsid w:val="00581EF8"/>
    <w:rsid w:val="005833EA"/>
    <w:rsid w:val="005835B4"/>
    <w:rsid w:val="005835E5"/>
    <w:rsid w:val="00583FB9"/>
    <w:rsid w:val="00585BBC"/>
    <w:rsid w:val="0058600B"/>
    <w:rsid w:val="00586147"/>
    <w:rsid w:val="0058688F"/>
    <w:rsid w:val="00587529"/>
    <w:rsid w:val="0058767C"/>
    <w:rsid w:val="00591195"/>
    <w:rsid w:val="00591AAA"/>
    <w:rsid w:val="00592210"/>
    <w:rsid w:val="00592B20"/>
    <w:rsid w:val="00593455"/>
    <w:rsid w:val="005944DA"/>
    <w:rsid w:val="00594E21"/>
    <w:rsid w:val="005951F1"/>
    <w:rsid w:val="00595361"/>
    <w:rsid w:val="00595561"/>
    <w:rsid w:val="00595CDE"/>
    <w:rsid w:val="005974A6"/>
    <w:rsid w:val="005978E2"/>
    <w:rsid w:val="005A0196"/>
    <w:rsid w:val="005A0D5C"/>
    <w:rsid w:val="005A118C"/>
    <w:rsid w:val="005A14D6"/>
    <w:rsid w:val="005A1503"/>
    <w:rsid w:val="005A1D54"/>
    <w:rsid w:val="005A1EAF"/>
    <w:rsid w:val="005A2641"/>
    <w:rsid w:val="005A2C7D"/>
    <w:rsid w:val="005A35D5"/>
    <w:rsid w:val="005A363C"/>
    <w:rsid w:val="005A3FBA"/>
    <w:rsid w:val="005A4C4B"/>
    <w:rsid w:val="005A509F"/>
    <w:rsid w:val="005A5B77"/>
    <w:rsid w:val="005A62BC"/>
    <w:rsid w:val="005A6990"/>
    <w:rsid w:val="005A6AE9"/>
    <w:rsid w:val="005A6F8A"/>
    <w:rsid w:val="005A79C9"/>
    <w:rsid w:val="005A7BD5"/>
    <w:rsid w:val="005A7C2E"/>
    <w:rsid w:val="005B0819"/>
    <w:rsid w:val="005B0992"/>
    <w:rsid w:val="005B0E39"/>
    <w:rsid w:val="005B14AF"/>
    <w:rsid w:val="005B18F5"/>
    <w:rsid w:val="005B2832"/>
    <w:rsid w:val="005B2BB1"/>
    <w:rsid w:val="005B3B2E"/>
    <w:rsid w:val="005B4B3D"/>
    <w:rsid w:val="005B4D3A"/>
    <w:rsid w:val="005B4D8C"/>
    <w:rsid w:val="005B6305"/>
    <w:rsid w:val="005B691B"/>
    <w:rsid w:val="005B738F"/>
    <w:rsid w:val="005B7572"/>
    <w:rsid w:val="005C02E3"/>
    <w:rsid w:val="005C0B66"/>
    <w:rsid w:val="005C171C"/>
    <w:rsid w:val="005C1F1A"/>
    <w:rsid w:val="005C2926"/>
    <w:rsid w:val="005C294A"/>
    <w:rsid w:val="005C2C6D"/>
    <w:rsid w:val="005C5F04"/>
    <w:rsid w:val="005C6756"/>
    <w:rsid w:val="005C6E31"/>
    <w:rsid w:val="005C78A8"/>
    <w:rsid w:val="005C78B0"/>
    <w:rsid w:val="005D0299"/>
    <w:rsid w:val="005D0CFC"/>
    <w:rsid w:val="005D4780"/>
    <w:rsid w:val="005D4F31"/>
    <w:rsid w:val="005D50C9"/>
    <w:rsid w:val="005D63C4"/>
    <w:rsid w:val="005D7EDD"/>
    <w:rsid w:val="005E0086"/>
    <w:rsid w:val="005E031D"/>
    <w:rsid w:val="005E0758"/>
    <w:rsid w:val="005E0F91"/>
    <w:rsid w:val="005E1785"/>
    <w:rsid w:val="005E1B41"/>
    <w:rsid w:val="005E1C19"/>
    <w:rsid w:val="005E1E6A"/>
    <w:rsid w:val="005E1F1B"/>
    <w:rsid w:val="005E263B"/>
    <w:rsid w:val="005E29F2"/>
    <w:rsid w:val="005E2E12"/>
    <w:rsid w:val="005E3E00"/>
    <w:rsid w:val="005E4160"/>
    <w:rsid w:val="005E4893"/>
    <w:rsid w:val="005E49E1"/>
    <w:rsid w:val="005E52F4"/>
    <w:rsid w:val="005E532C"/>
    <w:rsid w:val="005E6349"/>
    <w:rsid w:val="005E690B"/>
    <w:rsid w:val="005E770B"/>
    <w:rsid w:val="005E7E95"/>
    <w:rsid w:val="005F2868"/>
    <w:rsid w:val="005F2CB7"/>
    <w:rsid w:val="005F5077"/>
    <w:rsid w:val="005F6098"/>
    <w:rsid w:val="005F6130"/>
    <w:rsid w:val="005F6670"/>
    <w:rsid w:val="005F7054"/>
    <w:rsid w:val="005F7446"/>
    <w:rsid w:val="005F7794"/>
    <w:rsid w:val="005F7B60"/>
    <w:rsid w:val="00600630"/>
    <w:rsid w:val="006017B2"/>
    <w:rsid w:val="0060193A"/>
    <w:rsid w:val="00601F2A"/>
    <w:rsid w:val="00602AC8"/>
    <w:rsid w:val="00602F58"/>
    <w:rsid w:val="0060315A"/>
    <w:rsid w:val="00605B00"/>
    <w:rsid w:val="00605CFE"/>
    <w:rsid w:val="0060618C"/>
    <w:rsid w:val="00606367"/>
    <w:rsid w:val="00606515"/>
    <w:rsid w:val="00606D66"/>
    <w:rsid w:val="00607A83"/>
    <w:rsid w:val="0061114E"/>
    <w:rsid w:val="0061136E"/>
    <w:rsid w:val="00611CE7"/>
    <w:rsid w:val="00612625"/>
    <w:rsid w:val="006139D5"/>
    <w:rsid w:val="006146FC"/>
    <w:rsid w:val="00614F99"/>
    <w:rsid w:val="006155D2"/>
    <w:rsid w:val="006156CF"/>
    <w:rsid w:val="006159D7"/>
    <w:rsid w:val="0061639C"/>
    <w:rsid w:val="00616727"/>
    <w:rsid w:val="00617A36"/>
    <w:rsid w:val="00620BD9"/>
    <w:rsid w:val="00621393"/>
    <w:rsid w:val="00621ABC"/>
    <w:rsid w:val="00622AFA"/>
    <w:rsid w:val="00622B8E"/>
    <w:rsid w:val="00622F9C"/>
    <w:rsid w:val="00623002"/>
    <w:rsid w:val="006230AC"/>
    <w:rsid w:val="00623190"/>
    <w:rsid w:val="006231C8"/>
    <w:rsid w:val="00624927"/>
    <w:rsid w:val="006252B9"/>
    <w:rsid w:val="006260F8"/>
    <w:rsid w:val="0062741C"/>
    <w:rsid w:val="006300DB"/>
    <w:rsid w:val="006303AD"/>
    <w:rsid w:val="00630A73"/>
    <w:rsid w:val="00630AD1"/>
    <w:rsid w:val="006310EE"/>
    <w:rsid w:val="00631810"/>
    <w:rsid w:val="006325AD"/>
    <w:rsid w:val="00632C75"/>
    <w:rsid w:val="006347BA"/>
    <w:rsid w:val="006360C8"/>
    <w:rsid w:val="00636849"/>
    <w:rsid w:val="00636FE5"/>
    <w:rsid w:val="00640E35"/>
    <w:rsid w:val="00641C49"/>
    <w:rsid w:val="00641F0F"/>
    <w:rsid w:val="00643856"/>
    <w:rsid w:val="006438C9"/>
    <w:rsid w:val="00643EC6"/>
    <w:rsid w:val="006448C3"/>
    <w:rsid w:val="00644958"/>
    <w:rsid w:val="00645FD8"/>
    <w:rsid w:val="0064638F"/>
    <w:rsid w:val="0064649D"/>
    <w:rsid w:val="00646723"/>
    <w:rsid w:val="00646C86"/>
    <w:rsid w:val="00646E5A"/>
    <w:rsid w:val="006472C7"/>
    <w:rsid w:val="00650D8A"/>
    <w:rsid w:val="0065207A"/>
    <w:rsid w:val="00652AD5"/>
    <w:rsid w:val="00652C2C"/>
    <w:rsid w:val="00653D40"/>
    <w:rsid w:val="00654302"/>
    <w:rsid w:val="006549BE"/>
    <w:rsid w:val="006567D9"/>
    <w:rsid w:val="0065691A"/>
    <w:rsid w:val="0065742C"/>
    <w:rsid w:val="0065784B"/>
    <w:rsid w:val="00657CB1"/>
    <w:rsid w:val="00657F13"/>
    <w:rsid w:val="00660177"/>
    <w:rsid w:val="00660DB8"/>
    <w:rsid w:val="006614D1"/>
    <w:rsid w:val="00661A7C"/>
    <w:rsid w:val="00661EFD"/>
    <w:rsid w:val="0066225A"/>
    <w:rsid w:val="00662685"/>
    <w:rsid w:val="00662E8C"/>
    <w:rsid w:val="006630E8"/>
    <w:rsid w:val="0066350E"/>
    <w:rsid w:val="00663BB1"/>
    <w:rsid w:val="00663FA6"/>
    <w:rsid w:val="006648EC"/>
    <w:rsid w:val="00664A03"/>
    <w:rsid w:val="00664F8E"/>
    <w:rsid w:val="00666C01"/>
    <w:rsid w:val="00666EA0"/>
    <w:rsid w:val="00666F67"/>
    <w:rsid w:val="00667450"/>
    <w:rsid w:val="00667485"/>
    <w:rsid w:val="0067023B"/>
    <w:rsid w:val="00670B88"/>
    <w:rsid w:val="00670D9A"/>
    <w:rsid w:val="006719F5"/>
    <w:rsid w:val="00671AE3"/>
    <w:rsid w:val="00671F16"/>
    <w:rsid w:val="0067250E"/>
    <w:rsid w:val="00672C78"/>
    <w:rsid w:val="0067327D"/>
    <w:rsid w:val="00675336"/>
    <w:rsid w:val="00676228"/>
    <w:rsid w:val="00677C4E"/>
    <w:rsid w:val="00680150"/>
    <w:rsid w:val="00680320"/>
    <w:rsid w:val="006804E4"/>
    <w:rsid w:val="00680E2D"/>
    <w:rsid w:val="00681B78"/>
    <w:rsid w:val="00681C2E"/>
    <w:rsid w:val="006823BA"/>
    <w:rsid w:val="00682E29"/>
    <w:rsid w:val="00682EA4"/>
    <w:rsid w:val="0068348C"/>
    <w:rsid w:val="006846C3"/>
    <w:rsid w:val="00684B8A"/>
    <w:rsid w:val="00684E90"/>
    <w:rsid w:val="00685883"/>
    <w:rsid w:val="00685FA3"/>
    <w:rsid w:val="006863BF"/>
    <w:rsid w:val="006866F2"/>
    <w:rsid w:val="00686E6E"/>
    <w:rsid w:val="00686EC3"/>
    <w:rsid w:val="0068748C"/>
    <w:rsid w:val="00687599"/>
    <w:rsid w:val="00687790"/>
    <w:rsid w:val="00690292"/>
    <w:rsid w:val="00690D66"/>
    <w:rsid w:val="00690E25"/>
    <w:rsid w:val="00690F38"/>
    <w:rsid w:val="006913A2"/>
    <w:rsid w:val="0069195F"/>
    <w:rsid w:val="0069239B"/>
    <w:rsid w:val="00692A03"/>
    <w:rsid w:val="00694A81"/>
    <w:rsid w:val="006950B3"/>
    <w:rsid w:val="006958D6"/>
    <w:rsid w:val="006959FF"/>
    <w:rsid w:val="00696165"/>
    <w:rsid w:val="0069620B"/>
    <w:rsid w:val="00696559"/>
    <w:rsid w:val="00696A00"/>
    <w:rsid w:val="00696EA9"/>
    <w:rsid w:val="006A04C3"/>
    <w:rsid w:val="006A0B09"/>
    <w:rsid w:val="006A13AE"/>
    <w:rsid w:val="006A1516"/>
    <w:rsid w:val="006A1796"/>
    <w:rsid w:val="006A21F4"/>
    <w:rsid w:val="006A2DB8"/>
    <w:rsid w:val="006A2E25"/>
    <w:rsid w:val="006A527F"/>
    <w:rsid w:val="006A541A"/>
    <w:rsid w:val="006A645F"/>
    <w:rsid w:val="006B1035"/>
    <w:rsid w:val="006B129B"/>
    <w:rsid w:val="006B12F5"/>
    <w:rsid w:val="006B2779"/>
    <w:rsid w:val="006B279E"/>
    <w:rsid w:val="006B31D9"/>
    <w:rsid w:val="006B351D"/>
    <w:rsid w:val="006B3B40"/>
    <w:rsid w:val="006B4DF0"/>
    <w:rsid w:val="006B6237"/>
    <w:rsid w:val="006B6A9A"/>
    <w:rsid w:val="006C0B12"/>
    <w:rsid w:val="006C1252"/>
    <w:rsid w:val="006C1BE1"/>
    <w:rsid w:val="006C1E88"/>
    <w:rsid w:val="006C20FD"/>
    <w:rsid w:val="006C21D2"/>
    <w:rsid w:val="006C2550"/>
    <w:rsid w:val="006C268E"/>
    <w:rsid w:val="006C2950"/>
    <w:rsid w:val="006C3048"/>
    <w:rsid w:val="006C403F"/>
    <w:rsid w:val="006C40C5"/>
    <w:rsid w:val="006C420A"/>
    <w:rsid w:val="006C450A"/>
    <w:rsid w:val="006C45EA"/>
    <w:rsid w:val="006C4AB5"/>
    <w:rsid w:val="006C529C"/>
    <w:rsid w:val="006C5ACA"/>
    <w:rsid w:val="006C71A2"/>
    <w:rsid w:val="006C7786"/>
    <w:rsid w:val="006D09B4"/>
    <w:rsid w:val="006D1C16"/>
    <w:rsid w:val="006D2509"/>
    <w:rsid w:val="006D2F6F"/>
    <w:rsid w:val="006D30A8"/>
    <w:rsid w:val="006D3FFF"/>
    <w:rsid w:val="006D5570"/>
    <w:rsid w:val="006D569B"/>
    <w:rsid w:val="006D5BEC"/>
    <w:rsid w:val="006D706F"/>
    <w:rsid w:val="006D73DA"/>
    <w:rsid w:val="006D7B1F"/>
    <w:rsid w:val="006D7C5C"/>
    <w:rsid w:val="006E0205"/>
    <w:rsid w:val="006E0530"/>
    <w:rsid w:val="006E1906"/>
    <w:rsid w:val="006E1B16"/>
    <w:rsid w:val="006E27A0"/>
    <w:rsid w:val="006E2C0E"/>
    <w:rsid w:val="006E2DF7"/>
    <w:rsid w:val="006E408A"/>
    <w:rsid w:val="006E4342"/>
    <w:rsid w:val="006E4445"/>
    <w:rsid w:val="006E4564"/>
    <w:rsid w:val="006E4712"/>
    <w:rsid w:val="006E4769"/>
    <w:rsid w:val="006E488C"/>
    <w:rsid w:val="006E4DD7"/>
    <w:rsid w:val="006E4F27"/>
    <w:rsid w:val="006E4FC9"/>
    <w:rsid w:val="006E5D67"/>
    <w:rsid w:val="006E689A"/>
    <w:rsid w:val="006E69E0"/>
    <w:rsid w:val="006F00D1"/>
    <w:rsid w:val="006F00D8"/>
    <w:rsid w:val="006F252A"/>
    <w:rsid w:val="006F2ADF"/>
    <w:rsid w:val="006F3722"/>
    <w:rsid w:val="006F3E43"/>
    <w:rsid w:val="006F4192"/>
    <w:rsid w:val="006F4A2D"/>
    <w:rsid w:val="006F50C6"/>
    <w:rsid w:val="006F5372"/>
    <w:rsid w:val="006F5BEA"/>
    <w:rsid w:val="006F6DF0"/>
    <w:rsid w:val="006F7653"/>
    <w:rsid w:val="006F76AB"/>
    <w:rsid w:val="006F7A2E"/>
    <w:rsid w:val="006F7E18"/>
    <w:rsid w:val="007010F6"/>
    <w:rsid w:val="007019E8"/>
    <w:rsid w:val="00701BDC"/>
    <w:rsid w:val="0070278F"/>
    <w:rsid w:val="00702929"/>
    <w:rsid w:val="00702B3D"/>
    <w:rsid w:val="007038BF"/>
    <w:rsid w:val="00703C4D"/>
    <w:rsid w:val="00703DA5"/>
    <w:rsid w:val="00703F00"/>
    <w:rsid w:val="00705DAE"/>
    <w:rsid w:val="007066AC"/>
    <w:rsid w:val="00707439"/>
    <w:rsid w:val="00707ABD"/>
    <w:rsid w:val="0071072A"/>
    <w:rsid w:val="00711752"/>
    <w:rsid w:val="00711B8D"/>
    <w:rsid w:val="00712DFE"/>
    <w:rsid w:val="007133F2"/>
    <w:rsid w:val="00713D8C"/>
    <w:rsid w:val="00714BE8"/>
    <w:rsid w:val="00714BFC"/>
    <w:rsid w:val="007152CE"/>
    <w:rsid w:val="0071552B"/>
    <w:rsid w:val="00715EF6"/>
    <w:rsid w:val="00716716"/>
    <w:rsid w:val="00716A15"/>
    <w:rsid w:val="00717610"/>
    <w:rsid w:val="0072038D"/>
    <w:rsid w:val="00720558"/>
    <w:rsid w:val="00721635"/>
    <w:rsid w:val="00721677"/>
    <w:rsid w:val="0072205B"/>
    <w:rsid w:val="0072234A"/>
    <w:rsid w:val="00722B64"/>
    <w:rsid w:val="00723063"/>
    <w:rsid w:val="007234C3"/>
    <w:rsid w:val="00723977"/>
    <w:rsid w:val="00723BE6"/>
    <w:rsid w:val="007247B6"/>
    <w:rsid w:val="00724C15"/>
    <w:rsid w:val="0072519E"/>
    <w:rsid w:val="007252ED"/>
    <w:rsid w:val="007253E5"/>
    <w:rsid w:val="00725F74"/>
    <w:rsid w:val="00726F2F"/>
    <w:rsid w:val="007270EC"/>
    <w:rsid w:val="0072714E"/>
    <w:rsid w:val="007276A4"/>
    <w:rsid w:val="007279C3"/>
    <w:rsid w:val="00730FBB"/>
    <w:rsid w:val="007313CA"/>
    <w:rsid w:val="007329F0"/>
    <w:rsid w:val="00733C98"/>
    <w:rsid w:val="0073444A"/>
    <w:rsid w:val="00734BDD"/>
    <w:rsid w:val="00735F47"/>
    <w:rsid w:val="00736221"/>
    <w:rsid w:val="0073623C"/>
    <w:rsid w:val="00736319"/>
    <w:rsid w:val="0073649A"/>
    <w:rsid w:val="0073684A"/>
    <w:rsid w:val="00736DC7"/>
    <w:rsid w:val="0073717E"/>
    <w:rsid w:val="007373D5"/>
    <w:rsid w:val="00737ADB"/>
    <w:rsid w:val="00740299"/>
    <w:rsid w:val="007405F3"/>
    <w:rsid w:val="00740856"/>
    <w:rsid w:val="0074141E"/>
    <w:rsid w:val="007415CB"/>
    <w:rsid w:val="0074225F"/>
    <w:rsid w:val="00742297"/>
    <w:rsid w:val="007422AA"/>
    <w:rsid w:val="00742A17"/>
    <w:rsid w:val="00743183"/>
    <w:rsid w:val="00744695"/>
    <w:rsid w:val="00745059"/>
    <w:rsid w:val="007451E5"/>
    <w:rsid w:val="007468B4"/>
    <w:rsid w:val="00746A63"/>
    <w:rsid w:val="00746CAE"/>
    <w:rsid w:val="007474AD"/>
    <w:rsid w:val="00747542"/>
    <w:rsid w:val="007502D8"/>
    <w:rsid w:val="00751DBB"/>
    <w:rsid w:val="007546AE"/>
    <w:rsid w:val="0075602E"/>
    <w:rsid w:val="00757337"/>
    <w:rsid w:val="007573D1"/>
    <w:rsid w:val="00757483"/>
    <w:rsid w:val="007578CC"/>
    <w:rsid w:val="007578D7"/>
    <w:rsid w:val="00757FF7"/>
    <w:rsid w:val="0076136B"/>
    <w:rsid w:val="0076244F"/>
    <w:rsid w:val="00762B8C"/>
    <w:rsid w:val="007633DC"/>
    <w:rsid w:val="00763ECE"/>
    <w:rsid w:val="00763F01"/>
    <w:rsid w:val="007641D6"/>
    <w:rsid w:val="00764A10"/>
    <w:rsid w:val="0076577C"/>
    <w:rsid w:val="007664EB"/>
    <w:rsid w:val="007670A4"/>
    <w:rsid w:val="007676FE"/>
    <w:rsid w:val="007709CA"/>
    <w:rsid w:val="00770BB7"/>
    <w:rsid w:val="00771090"/>
    <w:rsid w:val="007714CB"/>
    <w:rsid w:val="00771CCB"/>
    <w:rsid w:val="0077216A"/>
    <w:rsid w:val="00772800"/>
    <w:rsid w:val="00773726"/>
    <w:rsid w:val="00774204"/>
    <w:rsid w:val="00774642"/>
    <w:rsid w:val="00775115"/>
    <w:rsid w:val="007751AE"/>
    <w:rsid w:val="007752DC"/>
    <w:rsid w:val="00775A7F"/>
    <w:rsid w:val="00775F74"/>
    <w:rsid w:val="00775F86"/>
    <w:rsid w:val="007772B0"/>
    <w:rsid w:val="007775EF"/>
    <w:rsid w:val="00780009"/>
    <w:rsid w:val="00780363"/>
    <w:rsid w:val="007804AB"/>
    <w:rsid w:val="00781688"/>
    <w:rsid w:val="00781792"/>
    <w:rsid w:val="007817A5"/>
    <w:rsid w:val="00781FA9"/>
    <w:rsid w:val="00782597"/>
    <w:rsid w:val="00783EF5"/>
    <w:rsid w:val="007842C8"/>
    <w:rsid w:val="00785C15"/>
    <w:rsid w:val="00786D2E"/>
    <w:rsid w:val="0078768B"/>
    <w:rsid w:val="00787B82"/>
    <w:rsid w:val="00787E50"/>
    <w:rsid w:val="00790255"/>
    <w:rsid w:val="007908EA"/>
    <w:rsid w:val="007909B1"/>
    <w:rsid w:val="007915CF"/>
    <w:rsid w:val="00791EAB"/>
    <w:rsid w:val="0079342D"/>
    <w:rsid w:val="00794037"/>
    <w:rsid w:val="007943D1"/>
    <w:rsid w:val="00795088"/>
    <w:rsid w:val="007957A6"/>
    <w:rsid w:val="00795AB5"/>
    <w:rsid w:val="00795F7D"/>
    <w:rsid w:val="00796A01"/>
    <w:rsid w:val="00796F72"/>
    <w:rsid w:val="007979B4"/>
    <w:rsid w:val="00797E60"/>
    <w:rsid w:val="007A0568"/>
    <w:rsid w:val="007A05A0"/>
    <w:rsid w:val="007A0843"/>
    <w:rsid w:val="007A219B"/>
    <w:rsid w:val="007A2471"/>
    <w:rsid w:val="007A2B37"/>
    <w:rsid w:val="007A3244"/>
    <w:rsid w:val="007A34FD"/>
    <w:rsid w:val="007A3719"/>
    <w:rsid w:val="007A488E"/>
    <w:rsid w:val="007A4AAB"/>
    <w:rsid w:val="007A4E89"/>
    <w:rsid w:val="007A51CD"/>
    <w:rsid w:val="007A51E4"/>
    <w:rsid w:val="007A641C"/>
    <w:rsid w:val="007A738E"/>
    <w:rsid w:val="007A79B8"/>
    <w:rsid w:val="007B00A1"/>
    <w:rsid w:val="007B1639"/>
    <w:rsid w:val="007B1822"/>
    <w:rsid w:val="007B3851"/>
    <w:rsid w:val="007B3EBE"/>
    <w:rsid w:val="007B4648"/>
    <w:rsid w:val="007B4CBC"/>
    <w:rsid w:val="007B5011"/>
    <w:rsid w:val="007B5D89"/>
    <w:rsid w:val="007B5F94"/>
    <w:rsid w:val="007B66AF"/>
    <w:rsid w:val="007B6C10"/>
    <w:rsid w:val="007B7455"/>
    <w:rsid w:val="007B763E"/>
    <w:rsid w:val="007B7797"/>
    <w:rsid w:val="007B79FB"/>
    <w:rsid w:val="007C00AF"/>
    <w:rsid w:val="007C07EE"/>
    <w:rsid w:val="007C0980"/>
    <w:rsid w:val="007C0EFD"/>
    <w:rsid w:val="007C119A"/>
    <w:rsid w:val="007C12E0"/>
    <w:rsid w:val="007C1B72"/>
    <w:rsid w:val="007C2845"/>
    <w:rsid w:val="007C4C02"/>
    <w:rsid w:val="007C4F2C"/>
    <w:rsid w:val="007C5BE6"/>
    <w:rsid w:val="007C60B2"/>
    <w:rsid w:val="007C62F8"/>
    <w:rsid w:val="007C64FD"/>
    <w:rsid w:val="007C70EB"/>
    <w:rsid w:val="007C70ED"/>
    <w:rsid w:val="007D01F6"/>
    <w:rsid w:val="007D1018"/>
    <w:rsid w:val="007D29DB"/>
    <w:rsid w:val="007D375A"/>
    <w:rsid w:val="007D3909"/>
    <w:rsid w:val="007D3EF4"/>
    <w:rsid w:val="007D48B7"/>
    <w:rsid w:val="007D4CEC"/>
    <w:rsid w:val="007D520A"/>
    <w:rsid w:val="007D669F"/>
    <w:rsid w:val="007D6DA5"/>
    <w:rsid w:val="007D6FA9"/>
    <w:rsid w:val="007E03E3"/>
    <w:rsid w:val="007E0BFB"/>
    <w:rsid w:val="007E1164"/>
    <w:rsid w:val="007E1F57"/>
    <w:rsid w:val="007E2285"/>
    <w:rsid w:val="007E25CE"/>
    <w:rsid w:val="007E364A"/>
    <w:rsid w:val="007E3F61"/>
    <w:rsid w:val="007E5318"/>
    <w:rsid w:val="007E5A21"/>
    <w:rsid w:val="007E5C7F"/>
    <w:rsid w:val="007E6E6A"/>
    <w:rsid w:val="007E7355"/>
    <w:rsid w:val="007E7515"/>
    <w:rsid w:val="007E7C9E"/>
    <w:rsid w:val="007E7FFC"/>
    <w:rsid w:val="007F14DC"/>
    <w:rsid w:val="007F2028"/>
    <w:rsid w:val="007F2F16"/>
    <w:rsid w:val="007F30E7"/>
    <w:rsid w:val="007F3FC5"/>
    <w:rsid w:val="007F4450"/>
    <w:rsid w:val="007F4B72"/>
    <w:rsid w:val="007F5D4F"/>
    <w:rsid w:val="00800041"/>
    <w:rsid w:val="00800452"/>
    <w:rsid w:val="00800623"/>
    <w:rsid w:val="0080104F"/>
    <w:rsid w:val="00801A71"/>
    <w:rsid w:val="008023F2"/>
    <w:rsid w:val="00802702"/>
    <w:rsid w:val="00802FB8"/>
    <w:rsid w:val="008032F2"/>
    <w:rsid w:val="00804E99"/>
    <w:rsid w:val="00805312"/>
    <w:rsid w:val="0080566A"/>
    <w:rsid w:val="008060D4"/>
    <w:rsid w:val="00806B5D"/>
    <w:rsid w:val="00806E13"/>
    <w:rsid w:val="008078ED"/>
    <w:rsid w:val="008079D6"/>
    <w:rsid w:val="00807DAE"/>
    <w:rsid w:val="00807FB6"/>
    <w:rsid w:val="008102E4"/>
    <w:rsid w:val="00810E78"/>
    <w:rsid w:val="00810F5A"/>
    <w:rsid w:val="00811984"/>
    <w:rsid w:val="00812BB0"/>
    <w:rsid w:val="00812C69"/>
    <w:rsid w:val="008139AB"/>
    <w:rsid w:val="0081448A"/>
    <w:rsid w:val="00815C5C"/>
    <w:rsid w:val="00816002"/>
    <w:rsid w:val="00816454"/>
    <w:rsid w:val="00816952"/>
    <w:rsid w:val="00817041"/>
    <w:rsid w:val="0081718C"/>
    <w:rsid w:val="00817B6C"/>
    <w:rsid w:val="008201C3"/>
    <w:rsid w:val="008202CA"/>
    <w:rsid w:val="008206E6"/>
    <w:rsid w:val="00820E4E"/>
    <w:rsid w:val="00822969"/>
    <w:rsid w:val="00822E3A"/>
    <w:rsid w:val="008230CF"/>
    <w:rsid w:val="00823161"/>
    <w:rsid w:val="00823E24"/>
    <w:rsid w:val="00824E43"/>
    <w:rsid w:val="00824E8C"/>
    <w:rsid w:val="00824FA4"/>
    <w:rsid w:val="00825F00"/>
    <w:rsid w:val="00826434"/>
    <w:rsid w:val="008267B5"/>
    <w:rsid w:val="00826AF2"/>
    <w:rsid w:val="00826DBC"/>
    <w:rsid w:val="008270AD"/>
    <w:rsid w:val="008278A3"/>
    <w:rsid w:val="00827D18"/>
    <w:rsid w:val="0083031C"/>
    <w:rsid w:val="00831240"/>
    <w:rsid w:val="0083460E"/>
    <w:rsid w:val="00834980"/>
    <w:rsid w:val="00834A97"/>
    <w:rsid w:val="00835EE9"/>
    <w:rsid w:val="00836F1F"/>
    <w:rsid w:val="008373F1"/>
    <w:rsid w:val="00840351"/>
    <w:rsid w:val="00840BAF"/>
    <w:rsid w:val="00841255"/>
    <w:rsid w:val="00842B5B"/>
    <w:rsid w:val="00843648"/>
    <w:rsid w:val="00843DFE"/>
    <w:rsid w:val="00846CD6"/>
    <w:rsid w:val="00850BDB"/>
    <w:rsid w:val="00850D70"/>
    <w:rsid w:val="00851A85"/>
    <w:rsid w:val="008520B8"/>
    <w:rsid w:val="008525BC"/>
    <w:rsid w:val="00853D6D"/>
    <w:rsid w:val="00854ADC"/>
    <w:rsid w:val="0085512A"/>
    <w:rsid w:val="0085569F"/>
    <w:rsid w:val="00856F04"/>
    <w:rsid w:val="0085713D"/>
    <w:rsid w:val="00857B44"/>
    <w:rsid w:val="008601DD"/>
    <w:rsid w:val="00860BC1"/>
    <w:rsid w:val="00862358"/>
    <w:rsid w:val="008623BA"/>
    <w:rsid w:val="0086333D"/>
    <w:rsid w:val="00863394"/>
    <w:rsid w:val="00865778"/>
    <w:rsid w:val="00867BFB"/>
    <w:rsid w:val="00870EE6"/>
    <w:rsid w:val="008713D9"/>
    <w:rsid w:val="00871B37"/>
    <w:rsid w:val="00872E5B"/>
    <w:rsid w:val="008734A4"/>
    <w:rsid w:val="008736D8"/>
    <w:rsid w:val="00874134"/>
    <w:rsid w:val="008742C4"/>
    <w:rsid w:val="00874DEE"/>
    <w:rsid w:val="00875632"/>
    <w:rsid w:val="00875BD9"/>
    <w:rsid w:val="0087740D"/>
    <w:rsid w:val="008774A4"/>
    <w:rsid w:val="0087792A"/>
    <w:rsid w:val="0087798E"/>
    <w:rsid w:val="00880AF0"/>
    <w:rsid w:val="00881299"/>
    <w:rsid w:val="008815F2"/>
    <w:rsid w:val="00883223"/>
    <w:rsid w:val="00883653"/>
    <w:rsid w:val="00883712"/>
    <w:rsid w:val="00885AFA"/>
    <w:rsid w:val="00887078"/>
    <w:rsid w:val="00887620"/>
    <w:rsid w:val="00890529"/>
    <w:rsid w:val="00890546"/>
    <w:rsid w:val="00891F16"/>
    <w:rsid w:val="00892157"/>
    <w:rsid w:val="00892536"/>
    <w:rsid w:val="00892652"/>
    <w:rsid w:val="00892EAF"/>
    <w:rsid w:val="008938AA"/>
    <w:rsid w:val="00894572"/>
    <w:rsid w:val="00894E39"/>
    <w:rsid w:val="0089581D"/>
    <w:rsid w:val="00895AA3"/>
    <w:rsid w:val="00895AF5"/>
    <w:rsid w:val="0089629A"/>
    <w:rsid w:val="0089631E"/>
    <w:rsid w:val="008966D9"/>
    <w:rsid w:val="00896CCE"/>
    <w:rsid w:val="00896E7A"/>
    <w:rsid w:val="00897C65"/>
    <w:rsid w:val="008A2F05"/>
    <w:rsid w:val="008A36F4"/>
    <w:rsid w:val="008A3DEB"/>
    <w:rsid w:val="008A4A64"/>
    <w:rsid w:val="008A5D07"/>
    <w:rsid w:val="008A6A2D"/>
    <w:rsid w:val="008A6E87"/>
    <w:rsid w:val="008A6EFC"/>
    <w:rsid w:val="008A7469"/>
    <w:rsid w:val="008A7BEB"/>
    <w:rsid w:val="008B12C5"/>
    <w:rsid w:val="008B163D"/>
    <w:rsid w:val="008B1C96"/>
    <w:rsid w:val="008B1E53"/>
    <w:rsid w:val="008B256C"/>
    <w:rsid w:val="008B2C82"/>
    <w:rsid w:val="008B33AF"/>
    <w:rsid w:val="008B3ED4"/>
    <w:rsid w:val="008B4A6E"/>
    <w:rsid w:val="008B4E75"/>
    <w:rsid w:val="008B572B"/>
    <w:rsid w:val="008B5FCA"/>
    <w:rsid w:val="008B74C0"/>
    <w:rsid w:val="008B7666"/>
    <w:rsid w:val="008C0ED0"/>
    <w:rsid w:val="008C1DAD"/>
    <w:rsid w:val="008C3B76"/>
    <w:rsid w:val="008C3F19"/>
    <w:rsid w:val="008C4136"/>
    <w:rsid w:val="008C4AEE"/>
    <w:rsid w:val="008C4FEC"/>
    <w:rsid w:val="008C6024"/>
    <w:rsid w:val="008C6912"/>
    <w:rsid w:val="008D0935"/>
    <w:rsid w:val="008D0D06"/>
    <w:rsid w:val="008D0F72"/>
    <w:rsid w:val="008D1D19"/>
    <w:rsid w:val="008D1E47"/>
    <w:rsid w:val="008D1E70"/>
    <w:rsid w:val="008D2370"/>
    <w:rsid w:val="008D2AE4"/>
    <w:rsid w:val="008D3D9B"/>
    <w:rsid w:val="008D3F7D"/>
    <w:rsid w:val="008D4452"/>
    <w:rsid w:val="008D4A48"/>
    <w:rsid w:val="008D6355"/>
    <w:rsid w:val="008D638B"/>
    <w:rsid w:val="008D7837"/>
    <w:rsid w:val="008E0163"/>
    <w:rsid w:val="008E0856"/>
    <w:rsid w:val="008E0CA9"/>
    <w:rsid w:val="008E0F25"/>
    <w:rsid w:val="008E1021"/>
    <w:rsid w:val="008E1122"/>
    <w:rsid w:val="008E245C"/>
    <w:rsid w:val="008E2531"/>
    <w:rsid w:val="008E2552"/>
    <w:rsid w:val="008E27AA"/>
    <w:rsid w:val="008E333E"/>
    <w:rsid w:val="008E4429"/>
    <w:rsid w:val="008E4627"/>
    <w:rsid w:val="008E5750"/>
    <w:rsid w:val="008E5FB4"/>
    <w:rsid w:val="008E7055"/>
    <w:rsid w:val="008E715A"/>
    <w:rsid w:val="008E7188"/>
    <w:rsid w:val="008E749D"/>
    <w:rsid w:val="008E7BB8"/>
    <w:rsid w:val="008F0A8C"/>
    <w:rsid w:val="008F0E74"/>
    <w:rsid w:val="008F2882"/>
    <w:rsid w:val="008F2DB3"/>
    <w:rsid w:val="008F33B4"/>
    <w:rsid w:val="008F3FB6"/>
    <w:rsid w:val="008F4121"/>
    <w:rsid w:val="008F41A5"/>
    <w:rsid w:val="008F4461"/>
    <w:rsid w:val="008F4987"/>
    <w:rsid w:val="008F4CD9"/>
    <w:rsid w:val="008F54ED"/>
    <w:rsid w:val="009009F9"/>
    <w:rsid w:val="00900DDD"/>
    <w:rsid w:val="00901BF5"/>
    <w:rsid w:val="00901F03"/>
    <w:rsid w:val="00902215"/>
    <w:rsid w:val="00902A0F"/>
    <w:rsid w:val="00902FA7"/>
    <w:rsid w:val="0090328D"/>
    <w:rsid w:val="0090355F"/>
    <w:rsid w:val="0090360E"/>
    <w:rsid w:val="00903A50"/>
    <w:rsid w:val="00904199"/>
    <w:rsid w:val="009048D6"/>
    <w:rsid w:val="0090575D"/>
    <w:rsid w:val="00905EF5"/>
    <w:rsid w:val="0090613C"/>
    <w:rsid w:val="009063A6"/>
    <w:rsid w:val="009063AE"/>
    <w:rsid w:val="00906ECE"/>
    <w:rsid w:val="00907424"/>
    <w:rsid w:val="00907F88"/>
    <w:rsid w:val="00907FB8"/>
    <w:rsid w:val="00910239"/>
    <w:rsid w:val="00910FEF"/>
    <w:rsid w:val="0091102C"/>
    <w:rsid w:val="009112A5"/>
    <w:rsid w:val="009119E9"/>
    <w:rsid w:val="00911BC6"/>
    <w:rsid w:val="00911CA8"/>
    <w:rsid w:val="0091269A"/>
    <w:rsid w:val="009127DE"/>
    <w:rsid w:val="009136DB"/>
    <w:rsid w:val="009143D7"/>
    <w:rsid w:val="00914E1E"/>
    <w:rsid w:val="00915450"/>
    <w:rsid w:val="009156F4"/>
    <w:rsid w:val="00915940"/>
    <w:rsid w:val="00915B0E"/>
    <w:rsid w:val="00916BE7"/>
    <w:rsid w:val="009205C8"/>
    <w:rsid w:val="009208D3"/>
    <w:rsid w:val="00920F9F"/>
    <w:rsid w:val="009212C3"/>
    <w:rsid w:val="00921351"/>
    <w:rsid w:val="009220AC"/>
    <w:rsid w:val="0092261C"/>
    <w:rsid w:val="00922B8A"/>
    <w:rsid w:val="00923ACD"/>
    <w:rsid w:val="00923C33"/>
    <w:rsid w:val="0092401F"/>
    <w:rsid w:val="009251CB"/>
    <w:rsid w:val="00927103"/>
    <w:rsid w:val="0093121B"/>
    <w:rsid w:val="009314AA"/>
    <w:rsid w:val="009318A8"/>
    <w:rsid w:val="009325CD"/>
    <w:rsid w:val="00933AD5"/>
    <w:rsid w:val="00933F15"/>
    <w:rsid w:val="0093405B"/>
    <w:rsid w:val="0093415B"/>
    <w:rsid w:val="0093416C"/>
    <w:rsid w:val="00934B8C"/>
    <w:rsid w:val="0093776E"/>
    <w:rsid w:val="00937EA8"/>
    <w:rsid w:val="00941686"/>
    <w:rsid w:val="00941765"/>
    <w:rsid w:val="00941F01"/>
    <w:rsid w:val="00941F04"/>
    <w:rsid w:val="0094259A"/>
    <w:rsid w:val="0094267D"/>
    <w:rsid w:val="00942A91"/>
    <w:rsid w:val="00942A9B"/>
    <w:rsid w:val="009448B5"/>
    <w:rsid w:val="00945287"/>
    <w:rsid w:val="00945F06"/>
    <w:rsid w:val="00945FE2"/>
    <w:rsid w:val="009460E7"/>
    <w:rsid w:val="00946502"/>
    <w:rsid w:val="0094658F"/>
    <w:rsid w:val="00952F3F"/>
    <w:rsid w:val="00953168"/>
    <w:rsid w:val="009533F6"/>
    <w:rsid w:val="00953549"/>
    <w:rsid w:val="00954250"/>
    <w:rsid w:val="00954AB9"/>
    <w:rsid w:val="009553C0"/>
    <w:rsid w:val="00955962"/>
    <w:rsid w:val="0095644F"/>
    <w:rsid w:val="009564D5"/>
    <w:rsid w:val="00956898"/>
    <w:rsid w:val="00956B79"/>
    <w:rsid w:val="00956BBC"/>
    <w:rsid w:val="00956D8A"/>
    <w:rsid w:val="0095743E"/>
    <w:rsid w:val="00957621"/>
    <w:rsid w:val="009603D2"/>
    <w:rsid w:val="00960C97"/>
    <w:rsid w:val="00961902"/>
    <w:rsid w:val="009622F9"/>
    <w:rsid w:val="00962CA4"/>
    <w:rsid w:val="00963059"/>
    <w:rsid w:val="00963B4F"/>
    <w:rsid w:val="00964ABC"/>
    <w:rsid w:val="009650CF"/>
    <w:rsid w:val="0096688A"/>
    <w:rsid w:val="00966AD4"/>
    <w:rsid w:val="0096731B"/>
    <w:rsid w:val="0096791A"/>
    <w:rsid w:val="00970E92"/>
    <w:rsid w:val="00971158"/>
    <w:rsid w:val="00971403"/>
    <w:rsid w:val="009715F6"/>
    <w:rsid w:val="00972074"/>
    <w:rsid w:val="00972588"/>
    <w:rsid w:val="009728A1"/>
    <w:rsid w:val="009729D4"/>
    <w:rsid w:val="00973223"/>
    <w:rsid w:val="00973F50"/>
    <w:rsid w:val="009741BA"/>
    <w:rsid w:val="0097529B"/>
    <w:rsid w:val="009753E4"/>
    <w:rsid w:val="00976BB5"/>
    <w:rsid w:val="009779C7"/>
    <w:rsid w:val="009804EB"/>
    <w:rsid w:val="00981923"/>
    <w:rsid w:val="00981D10"/>
    <w:rsid w:val="00982539"/>
    <w:rsid w:val="00982AA6"/>
    <w:rsid w:val="00982F5B"/>
    <w:rsid w:val="00983D20"/>
    <w:rsid w:val="00984247"/>
    <w:rsid w:val="009847F4"/>
    <w:rsid w:val="00984DA8"/>
    <w:rsid w:val="00985684"/>
    <w:rsid w:val="00985774"/>
    <w:rsid w:val="00986C31"/>
    <w:rsid w:val="009902C4"/>
    <w:rsid w:val="009906B7"/>
    <w:rsid w:val="00990ABC"/>
    <w:rsid w:val="00991C88"/>
    <w:rsid w:val="00992134"/>
    <w:rsid w:val="009927D4"/>
    <w:rsid w:val="009929B6"/>
    <w:rsid w:val="00992F28"/>
    <w:rsid w:val="00992FC4"/>
    <w:rsid w:val="00993558"/>
    <w:rsid w:val="0099574A"/>
    <w:rsid w:val="009958DE"/>
    <w:rsid w:val="009961EF"/>
    <w:rsid w:val="009A0027"/>
    <w:rsid w:val="009A0351"/>
    <w:rsid w:val="009A049B"/>
    <w:rsid w:val="009A1DCE"/>
    <w:rsid w:val="009A1F76"/>
    <w:rsid w:val="009A1FC0"/>
    <w:rsid w:val="009A3039"/>
    <w:rsid w:val="009A3318"/>
    <w:rsid w:val="009A3709"/>
    <w:rsid w:val="009A38A0"/>
    <w:rsid w:val="009A4137"/>
    <w:rsid w:val="009A45BB"/>
    <w:rsid w:val="009A48EC"/>
    <w:rsid w:val="009A4A2D"/>
    <w:rsid w:val="009A4D8F"/>
    <w:rsid w:val="009A5684"/>
    <w:rsid w:val="009A5C61"/>
    <w:rsid w:val="009A6951"/>
    <w:rsid w:val="009A6AF1"/>
    <w:rsid w:val="009A6FE7"/>
    <w:rsid w:val="009B2917"/>
    <w:rsid w:val="009B2FE8"/>
    <w:rsid w:val="009B3900"/>
    <w:rsid w:val="009B3ACE"/>
    <w:rsid w:val="009B3F0F"/>
    <w:rsid w:val="009B4F49"/>
    <w:rsid w:val="009B4FA4"/>
    <w:rsid w:val="009B5F1B"/>
    <w:rsid w:val="009B6598"/>
    <w:rsid w:val="009B65D8"/>
    <w:rsid w:val="009B706C"/>
    <w:rsid w:val="009B7E4D"/>
    <w:rsid w:val="009C1500"/>
    <w:rsid w:val="009C197E"/>
    <w:rsid w:val="009C1FF1"/>
    <w:rsid w:val="009C2A34"/>
    <w:rsid w:val="009C32F7"/>
    <w:rsid w:val="009C3944"/>
    <w:rsid w:val="009C40FF"/>
    <w:rsid w:val="009C561E"/>
    <w:rsid w:val="009C6FA6"/>
    <w:rsid w:val="009C7579"/>
    <w:rsid w:val="009C7869"/>
    <w:rsid w:val="009C7DB8"/>
    <w:rsid w:val="009D0233"/>
    <w:rsid w:val="009D04A8"/>
    <w:rsid w:val="009D0BE3"/>
    <w:rsid w:val="009D0D15"/>
    <w:rsid w:val="009D0DF7"/>
    <w:rsid w:val="009D0E05"/>
    <w:rsid w:val="009D1C7F"/>
    <w:rsid w:val="009D2F8F"/>
    <w:rsid w:val="009D2FFF"/>
    <w:rsid w:val="009D393A"/>
    <w:rsid w:val="009D7CF5"/>
    <w:rsid w:val="009E0AED"/>
    <w:rsid w:val="009E1C6D"/>
    <w:rsid w:val="009E2280"/>
    <w:rsid w:val="009E2383"/>
    <w:rsid w:val="009E24D7"/>
    <w:rsid w:val="009E25D7"/>
    <w:rsid w:val="009E2614"/>
    <w:rsid w:val="009E2EBB"/>
    <w:rsid w:val="009E2F5B"/>
    <w:rsid w:val="009E3105"/>
    <w:rsid w:val="009E41F3"/>
    <w:rsid w:val="009E558A"/>
    <w:rsid w:val="009E5918"/>
    <w:rsid w:val="009E6731"/>
    <w:rsid w:val="009E6AEA"/>
    <w:rsid w:val="009E6E42"/>
    <w:rsid w:val="009E714B"/>
    <w:rsid w:val="009E7B11"/>
    <w:rsid w:val="009F0ACE"/>
    <w:rsid w:val="009F13CD"/>
    <w:rsid w:val="009F1AE3"/>
    <w:rsid w:val="009F23DF"/>
    <w:rsid w:val="009F2C65"/>
    <w:rsid w:val="009F2FA4"/>
    <w:rsid w:val="009F395A"/>
    <w:rsid w:val="009F3B7B"/>
    <w:rsid w:val="009F402B"/>
    <w:rsid w:val="009F4929"/>
    <w:rsid w:val="009F4BA6"/>
    <w:rsid w:val="009F4E3C"/>
    <w:rsid w:val="009F512E"/>
    <w:rsid w:val="009F5E12"/>
    <w:rsid w:val="009F60C8"/>
    <w:rsid w:val="00A00E73"/>
    <w:rsid w:val="00A0106E"/>
    <w:rsid w:val="00A02F02"/>
    <w:rsid w:val="00A037F7"/>
    <w:rsid w:val="00A03836"/>
    <w:rsid w:val="00A05958"/>
    <w:rsid w:val="00A059ED"/>
    <w:rsid w:val="00A05A9D"/>
    <w:rsid w:val="00A05DE1"/>
    <w:rsid w:val="00A071B9"/>
    <w:rsid w:val="00A076D5"/>
    <w:rsid w:val="00A07D3D"/>
    <w:rsid w:val="00A10BB1"/>
    <w:rsid w:val="00A112DB"/>
    <w:rsid w:val="00A116C1"/>
    <w:rsid w:val="00A117F4"/>
    <w:rsid w:val="00A12D83"/>
    <w:rsid w:val="00A141C1"/>
    <w:rsid w:val="00A14978"/>
    <w:rsid w:val="00A16295"/>
    <w:rsid w:val="00A16511"/>
    <w:rsid w:val="00A16568"/>
    <w:rsid w:val="00A16831"/>
    <w:rsid w:val="00A1720B"/>
    <w:rsid w:val="00A20D89"/>
    <w:rsid w:val="00A20F9C"/>
    <w:rsid w:val="00A21D62"/>
    <w:rsid w:val="00A21F20"/>
    <w:rsid w:val="00A22402"/>
    <w:rsid w:val="00A2271A"/>
    <w:rsid w:val="00A2402E"/>
    <w:rsid w:val="00A247BB"/>
    <w:rsid w:val="00A25218"/>
    <w:rsid w:val="00A25AEB"/>
    <w:rsid w:val="00A2639D"/>
    <w:rsid w:val="00A2691A"/>
    <w:rsid w:val="00A277C7"/>
    <w:rsid w:val="00A278D9"/>
    <w:rsid w:val="00A318E6"/>
    <w:rsid w:val="00A32AC3"/>
    <w:rsid w:val="00A32ECD"/>
    <w:rsid w:val="00A32FAA"/>
    <w:rsid w:val="00A333C2"/>
    <w:rsid w:val="00A33659"/>
    <w:rsid w:val="00A339CF"/>
    <w:rsid w:val="00A33B28"/>
    <w:rsid w:val="00A33B7B"/>
    <w:rsid w:val="00A33CA2"/>
    <w:rsid w:val="00A34454"/>
    <w:rsid w:val="00A348C0"/>
    <w:rsid w:val="00A34BEC"/>
    <w:rsid w:val="00A35FD7"/>
    <w:rsid w:val="00A36563"/>
    <w:rsid w:val="00A3698D"/>
    <w:rsid w:val="00A36FD7"/>
    <w:rsid w:val="00A37EEE"/>
    <w:rsid w:val="00A402A1"/>
    <w:rsid w:val="00A40925"/>
    <w:rsid w:val="00A40BF9"/>
    <w:rsid w:val="00A41705"/>
    <w:rsid w:val="00A42183"/>
    <w:rsid w:val="00A42689"/>
    <w:rsid w:val="00A44065"/>
    <w:rsid w:val="00A45487"/>
    <w:rsid w:val="00A454B3"/>
    <w:rsid w:val="00A459FE"/>
    <w:rsid w:val="00A46498"/>
    <w:rsid w:val="00A467EA"/>
    <w:rsid w:val="00A46802"/>
    <w:rsid w:val="00A469FD"/>
    <w:rsid w:val="00A46CE1"/>
    <w:rsid w:val="00A478A6"/>
    <w:rsid w:val="00A47D92"/>
    <w:rsid w:val="00A47E91"/>
    <w:rsid w:val="00A50A15"/>
    <w:rsid w:val="00A511F8"/>
    <w:rsid w:val="00A51978"/>
    <w:rsid w:val="00A53046"/>
    <w:rsid w:val="00A54B49"/>
    <w:rsid w:val="00A57152"/>
    <w:rsid w:val="00A57A7A"/>
    <w:rsid w:val="00A57A90"/>
    <w:rsid w:val="00A60EDD"/>
    <w:rsid w:val="00A617BC"/>
    <w:rsid w:val="00A61CE6"/>
    <w:rsid w:val="00A6339E"/>
    <w:rsid w:val="00A63D1D"/>
    <w:rsid w:val="00A657EF"/>
    <w:rsid w:val="00A65CD5"/>
    <w:rsid w:val="00A65CFC"/>
    <w:rsid w:val="00A66144"/>
    <w:rsid w:val="00A668EE"/>
    <w:rsid w:val="00A6740A"/>
    <w:rsid w:val="00A67AE3"/>
    <w:rsid w:val="00A700FF"/>
    <w:rsid w:val="00A70DD6"/>
    <w:rsid w:val="00A71486"/>
    <w:rsid w:val="00A7188F"/>
    <w:rsid w:val="00A72FE3"/>
    <w:rsid w:val="00A7309D"/>
    <w:rsid w:val="00A73F08"/>
    <w:rsid w:val="00A74BF2"/>
    <w:rsid w:val="00A7507E"/>
    <w:rsid w:val="00A77A5C"/>
    <w:rsid w:val="00A80346"/>
    <w:rsid w:val="00A83B26"/>
    <w:rsid w:val="00A83BCC"/>
    <w:rsid w:val="00A855D5"/>
    <w:rsid w:val="00A85819"/>
    <w:rsid w:val="00A85B6E"/>
    <w:rsid w:val="00A86492"/>
    <w:rsid w:val="00A864E9"/>
    <w:rsid w:val="00A869B9"/>
    <w:rsid w:val="00A87EC6"/>
    <w:rsid w:val="00A91822"/>
    <w:rsid w:val="00A91A60"/>
    <w:rsid w:val="00A92995"/>
    <w:rsid w:val="00A93995"/>
    <w:rsid w:val="00A93A0D"/>
    <w:rsid w:val="00A94268"/>
    <w:rsid w:val="00A94A9D"/>
    <w:rsid w:val="00A94E08"/>
    <w:rsid w:val="00A95762"/>
    <w:rsid w:val="00A957F6"/>
    <w:rsid w:val="00A96105"/>
    <w:rsid w:val="00A96171"/>
    <w:rsid w:val="00A9644A"/>
    <w:rsid w:val="00A96E2D"/>
    <w:rsid w:val="00A97A23"/>
    <w:rsid w:val="00A97BC7"/>
    <w:rsid w:val="00A97EB9"/>
    <w:rsid w:val="00AA0105"/>
    <w:rsid w:val="00AA11DD"/>
    <w:rsid w:val="00AA1C88"/>
    <w:rsid w:val="00AA21DF"/>
    <w:rsid w:val="00AA23A0"/>
    <w:rsid w:val="00AA23A7"/>
    <w:rsid w:val="00AA23DA"/>
    <w:rsid w:val="00AA2577"/>
    <w:rsid w:val="00AA2A0A"/>
    <w:rsid w:val="00AA2C8C"/>
    <w:rsid w:val="00AA2DC8"/>
    <w:rsid w:val="00AA2F20"/>
    <w:rsid w:val="00AA33C4"/>
    <w:rsid w:val="00AA3641"/>
    <w:rsid w:val="00AA4E6B"/>
    <w:rsid w:val="00AA5602"/>
    <w:rsid w:val="00AA58A5"/>
    <w:rsid w:val="00AA58BC"/>
    <w:rsid w:val="00AA58F5"/>
    <w:rsid w:val="00AA6326"/>
    <w:rsid w:val="00AA6650"/>
    <w:rsid w:val="00AA74C2"/>
    <w:rsid w:val="00AB0112"/>
    <w:rsid w:val="00AB05C7"/>
    <w:rsid w:val="00AB063C"/>
    <w:rsid w:val="00AB08F3"/>
    <w:rsid w:val="00AB0B00"/>
    <w:rsid w:val="00AB0C5B"/>
    <w:rsid w:val="00AB3A6B"/>
    <w:rsid w:val="00AB3D0B"/>
    <w:rsid w:val="00AB3D15"/>
    <w:rsid w:val="00AB437C"/>
    <w:rsid w:val="00AB475F"/>
    <w:rsid w:val="00AB4882"/>
    <w:rsid w:val="00AB48F0"/>
    <w:rsid w:val="00AB5727"/>
    <w:rsid w:val="00AB58A9"/>
    <w:rsid w:val="00AB69F7"/>
    <w:rsid w:val="00AB73A7"/>
    <w:rsid w:val="00AC0029"/>
    <w:rsid w:val="00AC1776"/>
    <w:rsid w:val="00AC178A"/>
    <w:rsid w:val="00AC1905"/>
    <w:rsid w:val="00AC310C"/>
    <w:rsid w:val="00AC3A4D"/>
    <w:rsid w:val="00AC3A64"/>
    <w:rsid w:val="00AC4492"/>
    <w:rsid w:val="00AC526A"/>
    <w:rsid w:val="00AC5794"/>
    <w:rsid w:val="00AC6973"/>
    <w:rsid w:val="00AC75FB"/>
    <w:rsid w:val="00AC7C70"/>
    <w:rsid w:val="00AD0F34"/>
    <w:rsid w:val="00AD2A1B"/>
    <w:rsid w:val="00AD2A45"/>
    <w:rsid w:val="00AD2FEA"/>
    <w:rsid w:val="00AD3193"/>
    <w:rsid w:val="00AD3AAA"/>
    <w:rsid w:val="00AD4D8C"/>
    <w:rsid w:val="00AD565F"/>
    <w:rsid w:val="00AD5A9A"/>
    <w:rsid w:val="00AD620C"/>
    <w:rsid w:val="00AD6E56"/>
    <w:rsid w:val="00AD784F"/>
    <w:rsid w:val="00AD7BDB"/>
    <w:rsid w:val="00AD7F80"/>
    <w:rsid w:val="00AE059B"/>
    <w:rsid w:val="00AE05EB"/>
    <w:rsid w:val="00AE0EF0"/>
    <w:rsid w:val="00AE1A72"/>
    <w:rsid w:val="00AE1D4D"/>
    <w:rsid w:val="00AE2096"/>
    <w:rsid w:val="00AE3631"/>
    <w:rsid w:val="00AE36E2"/>
    <w:rsid w:val="00AE449E"/>
    <w:rsid w:val="00AE48E9"/>
    <w:rsid w:val="00AE6212"/>
    <w:rsid w:val="00AE6772"/>
    <w:rsid w:val="00AE731C"/>
    <w:rsid w:val="00AE79C9"/>
    <w:rsid w:val="00AF0702"/>
    <w:rsid w:val="00AF0800"/>
    <w:rsid w:val="00AF199B"/>
    <w:rsid w:val="00AF19E5"/>
    <w:rsid w:val="00AF2005"/>
    <w:rsid w:val="00AF2531"/>
    <w:rsid w:val="00AF3346"/>
    <w:rsid w:val="00AF3856"/>
    <w:rsid w:val="00AF4753"/>
    <w:rsid w:val="00AF74E1"/>
    <w:rsid w:val="00AF79A0"/>
    <w:rsid w:val="00AF7D38"/>
    <w:rsid w:val="00B0044D"/>
    <w:rsid w:val="00B01CA8"/>
    <w:rsid w:val="00B01E5D"/>
    <w:rsid w:val="00B0203A"/>
    <w:rsid w:val="00B020B3"/>
    <w:rsid w:val="00B0388D"/>
    <w:rsid w:val="00B038F7"/>
    <w:rsid w:val="00B03B09"/>
    <w:rsid w:val="00B03B0B"/>
    <w:rsid w:val="00B040F4"/>
    <w:rsid w:val="00B04602"/>
    <w:rsid w:val="00B04E5D"/>
    <w:rsid w:val="00B05270"/>
    <w:rsid w:val="00B052BA"/>
    <w:rsid w:val="00B055B9"/>
    <w:rsid w:val="00B06C9F"/>
    <w:rsid w:val="00B07063"/>
    <w:rsid w:val="00B07B91"/>
    <w:rsid w:val="00B103C0"/>
    <w:rsid w:val="00B108CC"/>
    <w:rsid w:val="00B1172C"/>
    <w:rsid w:val="00B11846"/>
    <w:rsid w:val="00B1192F"/>
    <w:rsid w:val="00B11C8A"/>
    <w:rsid w:val="00B124DB"/>
    <w:rsid w:val="00B1337E"/>
    <w:rsid w:val="00B13A0E"/>
    <w:rsid w:val="00B1499D"/>
    <w:rsid w:val="00B14A0C"/>
    <w:rsid w:val="00B15060"/>
    <w:rsid w:val="00B15ACC"/>
    <w:rsid w:val="00B15CD4"/>
    <w:rsid w:val="00B16B7C"/>
    <w:rsid w:val="00B16BDC"/>
    <w:rsid w:val="00B16C8D"/>
    <w:rsid w:val="00B17134"/>
    <w:rsid w:val="00B1752F"/>
    <w:rsid w:val="00B175FB"/>
    <w:rsid w:val="00B20864"/>
    <w:rsid w:val="00B20D27"/>
    <w:rsid w:val="00B20E15"/>
    <w:rsid w:val="00B20E85"/>
    <w:rsid w:val="00B223B5"/>
    <w:rsid w:val="00B2293D"/>
    <w:rsid w:val="00B23048"/>
    <w:rsid w:val="00B233DB"/>
    <w:rsid w:val="00B233EE"/>
    <w:rsid w:val="00B24C79"/>
    <w:rsid w:val="00B24E2A"/>
    <w:rsid w:val="00B25099"/>
    <w:rsid w:val="00B264B6"/>
    <w:rsid w:val="00B27805"/>
    <w:rsid w:val="00B27864"/>
    <w:rsid w:val="00B30DAD"/>
    <w:rsid w:val="00B31314"/>
    <w:rsid w:val="00B31BAC"/>
    <w:rsid w:val="00B323DE"/>
    <w:rsid w:val="00B32637"/>
    <w:rsid w:val="00B32B40"/>
    <w:rsid w:val="00B34316"/>
    <w:rsid w:val="00B35A34"/>
    <w:rsid w:val="00B35D0C"/>
    <w:rsid w:val="00B36B24"/>
    <w:rsid w:val="00B40082"/>
    <w:rsid w:val="00B40445"/>
    <w:rsid w:val="00B4080D"/>
    <w:rsid w:val="00B40842"/>
    <w:rsid w:val="00B408F1"/>
    <w:rsid w:val="00B408F7"/>
    <w:rsid w:val="00B4096A"/>
    <w:rsid w:val="00B40D11"/>
    <w:rsid w:val="00B42EB4"/>
    <w:rsid w:val="00B4409F"/>
    <w:rsid w:val="00B45782"/>
    <w:rsid w:val="00B466EE"/>
    <w:rsid w:val="00B50CEA"/>
    <w:rsid w:val="00B50D38"/>
    <w:rsid w:val="00B528C9"/>
    <w:rsid w:val="00B52E4D"/>
    <w:rsid w:val="00B53E1C"/>
    <w:rsid w:val="00B540D2"/>
    <w:rsid w:val="00B541A8"/>
    <w:rsid w:val="00B55BBC"/>
    <w:rsid w:val="00B56265"/>
    <w:rsid w:val="00B56AEB"/>
    <w:rsid w:val="00B571D5"/>
    <w:rsid w:val="00B60AF4"/>
    <w:rsid w:val="00B61731"/>
    <w:rsid w:val="00B621E8"/>
    <w:rsid w:val="00B628E0"/>
    <w:rsid w:val="00B6305E"/>
    <w:rsid w:val="00B63A4C"/>
    <w:rsid w:val="00B63A82"/>
    <w:rsid w:val="00B64A85"/>
    <w:rsid w:val="00B650ED"/>
    <w:rsid w:val="00B6664E"/>
    <w:rsid w:val="00B67398"/>
    <w:rsid w:val="00B67E6D"/>
    <w:rsid w:val="00B70076"/>
    <w:rsid w:val="00B70197"/>
    <w:rsid w:val="00B7087B"/>
    <w:rsid w:val="00B71081"/>
    <w:rsid w:val="00B71130"/>
    <w:rsid w:val="00B7123A"/>
    <w:rsid w:val="00B71A5A"/>
    <w:rsid w:val="00B72289"/>
    <w:rsid w:val="00B722FB"/>
    <w:rsid w:val="00B73E28"/>
    <w:rsid w:val="00B74202"/>
    <w:rsid w:val="00B74771"/>
    <w:rsid w:val="00B75147"/>
    <w:rsid w:val="00B75673"/>
    <w:rsid w:val="00B76A57"/>
    <w:rsid w:val="00B770F0"/>
    <w:rsid w:val="00B7787E"/>
    <w:rsid w:val="00B800EA"/>
    <w:rsid w:val="00B80209"/>
    <w:rsid w:val="00B8068E"/>
    <w:rsid w:val="00B8252B"/>
    <w:rsid w:val="00B8273F"/>
    <w:rsid w:val="00B83231"/>
    <w:rsid w:val="00B835DD"/>
    <w:rsid w:val="00B83BA7"/>
    <w:rsid w:val="00B842E5"/>
    <w:rsid w:val="00B84540"/>
    <w:rsid w:val="00B8500D"/>
    <w:rsid w:val="00B8543D"/>
    <w:rsid w:val="00B857D3"/>
    <w:rsid w:val="00B85AAA"/>
    <w:rsid w:val="00B86CAF"/>
    <w:rsid w:val="00B87326"/>
    <w:rsid w:val="00B904FE"/>
    <w:rsid w:val="00B90840"/>
    <w:rsid w:val="00B90AE7"/>
    <w:rsid w:val="00B91144"/>
    <w:rsid w:val="00B9201E"/>
    <w:rsid w:val="00B922E6"/>
    <w:rsid w:val="00B9261D"/>
    <w:rsid w:val="00B92A4A"/>
    <w:rsid w:val="00B92A7A"/>
    <w:rsid w:val="00B932E3"/>
    <w:rsid w:val="00B93332"/>
    <w:rsid w:val="00B94013"/>
    <w:rsid w:val="00B941C4"/>
    <w:rsid w:val="00B94A34"/>
    <w:rsid w:val="00B956D4"/>
    <w:rsid w:val="00B97D70"/>
    <w:rsid w:val="00BA0BCC"/>
    <w:rsid w:val="00BA11C7"/>
    <w:rsid w:val="00BA1547"/>
    <w:rsid w:val="00BA154B"/>
    <w:rsid w:val="00BA1639"/>
    <w:rsid w:val="00BA236B"/>
    <w:rsid w:val="00BA2963"/>
    <w:rsid w:val="00BA29C8"/>
    <w:rsid w:val="00BA2B02"/>
    <w:rsid w:val="00BA358A"/>
    <w:rsid w:val="00BA437B"/>
    <w:rsid w:val="00BA5738"/>
    <w:rsid w:val="00BA6219"/>
    <w:rsid w:val="00BA6322"/>
    <w:rsid w:val="00BA696A"/>
    <w:rsid w:val="00BA73B9"/>
    <w:rsid w:val="00BA7432"/>
    <w:rsid w:val="00BA7F16"/>
    <w:rsid w:val="00BB000B"/>
    <w:rsid w:val="00BB1973"/>
    <w:rsid w:val="00BB1DF4"/>
    <w:rsid w:val="00BB2007"/>
    <w:rsid w:val="00BB2109"/>
    <w:rsid w:val="00BB2B2F"/>
    <w:rsid w:val="00BB2CCB"/>
    <w:rsid w:val="00BB39AF"/>
    <w:rsid w:val="00BB4F00"/>
    <w:rsid w:val="00BB7012"/>
    <w:rsid w:val="00BB74D3"/>
    <w:rsid w:val="00BB77F7"/>
    <w:rsid w:val="00BC1DBC"/>
    <w:rsid w:val="00BC2455"/>
    <w:rsid w:val="00BC24B9"/>
    <w:rsid w:val="00BC267C"/>
    <w:rsid w:val="00BC287D"/>
    <w:rsid w:val="00BC2DF1"/>
    <w:rsid w:val="00BC489B"/>
    <w:rsid w:val="00BC5231"/>
    <w:rsid w:val="00BC5BDC"/>
    <w:rsid w:val="00BC6723"/>
    <w:rsid w:val="00BC6A3F"/>
    <w:rsid w:val="00BC6AA9"/>
    <w:rsid w:val="00BC7598"/>
    <w:rsid w:val="00BC793F"/>
    <w:rsid w:val="00BC7C37"/>
    <w:rsid w:val="00BD0E6D"/>
    <w:rsid w:val="00BD1243"/>
    <w:rsid w:val="00BD1715"/>
    <w:rsid w:val="00BD23D9"/>
    <w:rsid w:val="00BD250F"/>
    <w:rsid w:val="00BD259F"/>
    <w:rsid w:val="00BD3744"/>
    <w:rsid w:val="00BD3B7A"/>
    <w:rsid w:val="00BD3C3C"/>
    <w:rsid w:val="00BD3CAF"/>
    <w:rsid w:val="00BD4EBE"/>
    <w:rsid w:val="00BD4F5C"/>
    <w:rsid w:val="00BD5319"/>
    <w:rsid w:val="00BD5508"/>
    <w:rsid w:val="00BD57A2"/>
    <w:rsid w:val="00BD5E51"/>
    <w:rsid w:val="00BD5E72"/>
    <w:rsid w:val="00BD636E"/>
    <w:rsid w:val="00BD6A99"/>
    <w:rsid w:val="00BD7764"/>
    <w:rsid w:val="00BD79EA"/>
    <w:rsid w:val="00BD7CEE"/>
    <w:rsid w:val="00BD7D0A"/>
    <w:rsid w:val="00BD7F7E"/>
    <w:rsid w:val="00BE015C"/>
    <w:rsid w:val="00BE01C8"/>
    <w:rsid w:val="00BE0EBB"/>
    <w:rsid w:val="00BE1D03"/>
    <w:rsid w:val="00BE1E66"/>
    <w:rsid w:val="00BE2C54"/>
    <w:rsid w:val="00BE33FF"/>
    <w:rsid w:val="00BE3964"/>
    <w:rsid w:val="00BE411E"/>
    <w:rsid w:val="00BE46B2"/>
    <w:rsid w:val="00BE4C49"/>
    <w:rsid w:val="00BE581C"/>
    <w:rsid w:val="00BE6018"/>
    <w:rsid w:val="00BE6377"/>
    <w:rsid w:val="00BE719F"/>
    <w:rsid w:val="00BF0165"/>
    <w:rsid w:val="00BF0959"/>
    <w:rsid w:val="00BF16F2"/>
    <w:rsid w:val="00BF1E9A"/>
    <w:rsid w:val="00BF256B"/>
    <w:rsid w:val="00BF2B7D"/>
    <w:rsid w:val="00BF2E88"/>
    <w:rsid w:val="00BF3E86"/>
    <w:rsid w:val="00BF53C5"/>
    <w:rsid w:val="00BF5807"/>
    <w:rsid w:val="00C0019F"/>
    <w:rsid w:val="00C00964"/>
    <w:rsid w:val="00C02000"/>
    <w:rsid w:val="00C02F2B"/>
    <w:rsid w:val="00C02F53"/>
    <w:rsid w:val="00C03757"/>
    <w:rsid w:val="00C03F0A"/>
    <w:rsid w:val="00C04B9A"/>
    <w:rsid w:val="00C04E68"/>
    <w:rsid w:val="00C058DE"/>
    <w:rsid w:val="00C05DBE"/>
    <w:rsid w:val="00C05E05"/>
    <w:rsid w:val="00C06002"/>
    <w:rsid w:val="00C06C26"/>
    <w:rsid w:val="00C06F86"/>
    <w:rsid w:val="00C07751"/>
    <w:rsid w:val="00C1003E"/>
    <w:rsid w:val="00C1007A"/>
    <w:rsid w:val="00C102F0"/>
    <w:rsid w:val="00C11D1C"/>
    <w:rsid w:val="00C130D0"/>
    <w:rsid w:val="00C13309"/>
    <w:rsid w:val="00C139D0"/>
    <w:rsid w:val="00C13C41"/>
    <w:rsid w:val="00C142E4"/>
    <w:rsid w:val="00C14679"/>
    <w:rsid w:val="00C14883"/>
    <w:rsid w:val="00C14C34"/>
    <w:rsid w:val="00C15479"/>
    <w:rsid w:val="00C15C9D"/>
    <w:rsid w:val="00C15EBE"/>
    <w:rsid w:val="00C162A5"/>
    <w:rsid w:val="00C16B00"/>
    <w:rsid w:val="00C16E17"/>
    <w:rsid w:val="00C1732E"/>
    <w:rsid w:val="00C17346"/>
    <w:rsid w:val="00C1739F"/>
    <w:rsid w:val="00C175C6"/>
    <w:rsid w:val="00C17B11"/>
    <w:rsid w:val="00C17C2E"/>
    <w:rsid w:val="00C17F74"/>
    <w:rsid w:val="00C200D3"/>
    <w:rsid w:val="00C2081B"/>
    <w:rsid w:val="00C20981"/>
    <w:rsid w:val="00C20A08"/>
    <w:rsid w:val="00C20A24"/>
    <w:rsid w:val="00C21DF0"/>
    <w:rsid w:val="00C2353D"/>
    <w:rsid w:val="00C2395F"/>
    <w:rsid w:val="00C25654"/>
    <w:rsid w:val="00C25905"/>
    <w:rsid w:val="00C25BAF"/>
    <w:rsid w:val="00C25E1B"/>
    <w:rsid w:val="00C26B9C"/>
    <w:rsid w:val="00C26D33"/>
    <w:rsid w:val="00C3041F"/>
    <w:rsid w:val="00C30F5D"/>
    <w:rsid w:val="00C31202"/>
    <w:rsid w:val="00C3256B"/>
    <w:rsid w:val="00C33482"/>
    <w:rsid w:val="00C34329"/>
    <w:rsid w:val="00C34C7C"/>
    <w:rsid w:val="00C355D6"/>
    <w:rsid w:val="00C3612D"/>
    <w:rsid w:val="00C36EC6"/>
    <w:rsid w:val="00C37DDB"/>
    <w:rsid w:val="00C40496"/>
    <w:rsid w:val="00C420BC"/>
    <w:rsid w:val="00C42B56"/>
    <w:rsid w:val="00C434A1"/>
    <w:rsid w:val="00C45356"/>
    <w:rsid w:val="00C47A86"/>
    <w:rsid w:val="00C5040D"/>
    <w:rsid w:val="00C51007"/>
    <w:rsid w:val="00C52538"/>
    <w:rsid w:val="00C52604"/>
    <w:rsid w:val="00C54431"/>
    <w:rsid w:val="00C54A63"/>
    <w:rsid w:val="00C55066"/>
    <w:rsid w:val="00C550A3"/>
    <w:rsid w:val="00C55552"/>
    <w:rsid w:val="00C55754"/>
    <w:rsid w:val="00C56811"/>
    <w:rsid w:val="00C56B3B"/>
    <w:rsid w:val="00C578FB"/>
    <w:rsid w:val="00C615CF"/>
    <w:rsid w:val="00C623D4"/>
    <w:rsid w:val="00C635C4"/>
    <w:rsid w:val="00C637C3"/>
    <w:rsid w:val="00C64349"/>
    <w:rsid w:val="00C6705C"/>
    <w:rsid w:val="00C6732C"/>
    <w:rsid w:val="00C67BA8"/>
    <w:rsid w:val="00C71F75"/>
    <w:rsid w:val="00C725D3"/>
    <w:rsid w:val="00C7337D"/>
    <w:rsid w:val="00C74A8F"/>
    <w:rsid w:val="00C75071"/>
    <w:rsid w:val="00C760B9"/>
    <w:rsid w:val="00C7655E"/>
    <w:rsid w:val="00C7719E"/>
    <w:rsid w:val="00C7736D"/>
    <w:rsid w:val="00C77A2A"/>
    <w:rsid w:val="00C77A51"/>
    <w:rsid w:val="00C77AE7"/>
    <w:rsid w:val="00C77E38"/>
    <w:rsid w:val="00C800CC"/>
    <w:rsid w:val="00C80B66"/>
    <w:rsid w:val="00C8128D"/>
    <w:rsid w:val="00C81334"/>
    <w:rsid w:val="00C81CE1"/>
    <w:rsid w:val="00C82577"/>
    <w:rsid w:val="00C82665"/>
    <w:rsid w:val="00C82712"/>
    <w:rsid w:val="00C82AB8"/>
    <w:rsid w:val="00C8371E"/>
    <w:rsid w:val="00C845B0"/>
    <w:rsid w:val="00C84B24"/>
    <w:rsid w:val="00C85240"/>
    <w:rsid w:val="00C852B0"/>
    <w:rsid w:val="00C855E8"/>
    <w:rsid w:val="00C8605F"/>
    <w:rsid w:val="00C86178"/>
    <w:rsid w:val="00C87DAA"/>
    <w:rsid w:val="00C87E46"/>
    <w:rsid w:val="00C903B2"/>
    <w:rsid w:val="00C91A8A"/>
    <w:rsid w:val="00C91B1A"/>
    <w:rsid w:val="00C928E0"/>
    <w:rsid w:val="00C9451B"/>
    <w:rsid w:val="00C9476E"/>
    <w:rsid w:val="00C94884"/>
    <w:rsid w:val="00C948BA"/>
    <w:rsid w:val="00C94B12"/>
    <w:rsid w:val="00C95504"/>
    <w:rsid w:val="00C9558D"/>
    <w:rsid w:val="00C96175"/>
    <w:rsid w:val="00C96292"/>
    <w:rsid w:val="00C96F3F"/>
    <w:rsid w:val="00CA075E"/>
    <w:rsid w:val="00CA0792"/>
    <w:rsid w:val="00CA0CCC"/>
    <w:rsid w:val="00CA1219"/>
    <w:rsid w:val="00CA1AAB"/>
    <w:rsid w:val="00CA1DA5"/>
    <w:rsid w:val="00CA205A"/>
    <w:rsid w:val="00CA2EF7"/>
    <w:rsid w:val="00CA3064"/>
    <w:rsid w:val="00CA485A"/>
    <w:rsid w:val="00CA5648"/>
    <w:rsid w:val="00CA593D"/>
    <w:rsid w:val="00CA5954"/>
    <w:rsid w:val="00CA5A68"/>
    <w:rsid w:val="00CA5B3C"/>
    <w:rsid w:val="00CA5DFA"/>
    <w:rsid w:val="00CA6B96"/>
    <w:rsid w:val="00CA760A"/>
    <w:rsid w:val="00CA796C"/>
    <w:rsid w:val="00CB04D7"/>
    <w:rsid w:val="00CB09B5"/>
    <w:rsid w:val="00CB0B7D"/>
    <w:rsid w:val="00CB3324"/>
    <w:rsid w:val="00CB359F"/>
    <w:rsid w:val="00CB38FE"/>
    <w:rsid w:val="00CB3AB8"/>
    <w:rsid w:val="00CB4A06"/>
    <w:rsid w:val="00CB4B43"/>
    <w:rsid w:val="00CB535D"/>
    <w:rsid w:val="00CB538D"/>
    <w:rsid w:val="00CB64EB"/>
    <w:rsid w:val="00CB6F19"/>
    <w:rsid w:val="00CB79C2"/>
    <w:rsid w:val="00CC0D61"/>
    <w:rsid w:val="00CC1070"/>
    <w:rsid w:val="00CC31CB"/>
    <w:rsid w:val="00CC3662"/>
    <w:rsid w:val="00CC3CF7"/>
    <w:rsid w:val="00CC5E19"/>
    <w:rsid w:val="00CC7A8D"/>
    <w:rsid w:val="00CD0B4E"/>
    <w:rsid w:val="00CD0D85"/>
    <w:rsid w:val="00CD21BD"/>
    <w:rsid w:val="00CD22E1"/>
    <w:rsid w:val="00CD24BE"/>
    <w:rsid w:val="00CD2EDA"/>
    <w:rsid w:val="00CD3802"/>
    <w:rsid w:val="00CD3BD7"/>
    <w:rsid w:val="00CD3C25"/>
    <w:rsid w:val="00CD3C76"/>
    <w:rsid w:val="00CD3D02"/>
    <w:rsid w:val="00CD44C1"/>
    <w:rsid w:val="00CD4785"/>
    <w:rsid w:val="00CD5A6D"/>
    <w:rsid w:val="00CD5D27"/>
    <w:rsid w:val="00CD6571"/>
    <w:rsid w:val="00CE0527"/>
    <w:rsid w:val="00CE0887"/>
    <w:rsid w:val="00CE0AF8"/>
    <w:rsid w:val="00CE0EDD"/>
    <w:rsid w:val="00CE17CD"/>
    <w:rsid w:val="00CE1CB1"/>
    <w:rsid w:val="00CE23B9"/>
    <w:rsid w:val="00CE270B"/>
    <w:rsid w:val="00CE38AD"/>
    <w:rsid w:val="00CE4864"/>
    <w:rsid w:val="00CE4A3D"/>
    <w:rsid w:val="00CE4E5B"/>
    <w:rsid w:val="00CE51E2"/>
    <w:rsid w:val="00CE7131"/>
    <w:rsid w:val="00CF0082"/>
    <w:rsid w:val="00CF0EDA"/>
    <w:rsid w:val="00CF16B6"/>
    <w:rsid w:val="00CF27A3"/>
    <w:rsid w:val="00CF3FAF"/>
    <w:rsid w:val="00CF43D8"/>
    <w:rsid w:val="00CF4879"/>
    <w:rsid w:val="00CF4AD6"/>
    <w:rsid w:val="00CF5074"/>
    <w:rsid w:val="00CF58E1"/>
    <w:rsid w:val="00CF61FC"/>
    <w:rsid w:val="00CF6BA0"/>
    <w:rsid w:val="00CF73ED"/>
    <w:rsid w:val="00CF75B2"/>
    <w:rsid w:val="00CF77BE"/>
    <w:rsid w:val="00D0025B"/>
    <w:rsid w:val="00D00D41"/>
    <w:rsid w:val="00D012B1"/>
    <w:rsid w:val="00D02861"/>
    <w:rsid w:val="00D029D8"/>
    <w:rsid w:val="00D032F2"/>
    <w:rsid w:val="00D037C0"/>
    <w:rsid w:val="00D0394F"/>
    <w:rsid w:val="00D04AF7"/>
    <w:rsid w:val="00D04B2B"/>
    <w:rsid w:val="00D05574"/>
    <w:rsid w:val="00D06193"/>
    <w:rsid w:val="00D07656"/>
    <w:rsid w:val="00D10659"/>
    <w:rsid w:val="00D1093B"/>
    <w:rsid w:val="00D10A78"/>
    <w:rsid w:val="00D10E9A"/>
    <w:rsid w:val="00D11214"/>
    <w:rsid w:val="00D11521"/>
    <w:rsid w:val="00D11CA1"/>
    <w:rsid w:val="00D1200C"/>
    <w:rsid w:val="00D142CF"/>
    <w:rsid w:val="00D148C2"/>
    <w:rsid w:val="00D14BC6"/>
    <w:rsid w:val="00D153B7"/>
    <w:rsid w:val="00D17E59"/>
    <w:rsid w:val="00D202B0"/>
    <w:rsid w:val="00D20444"/>
    <w:rsid w:val="00D20D1D"/>
    <w:rsid w:val="00D21DC9"/>
    <w:rsid w:val="00D21FEF"/>
    <w:rsid w:val="00D23F59"/>
    <w:rsid w:val="00D24117"/>
    <w:rsid w:val="00D2539E"/>
    <w:rsid w:val="00D2589A"/>
    <w:rsid w:val="00D26337"/>
    <w:rsid w:val="00D26D7E"/>
    <w:rsid w:val="00D27228"/>
    <w:rsid w:val="00D27C37"/>
    <w:rsid w:val="00D27D89"/>
    <w:rsid w:val="00D27E80"/>
    <w:rsid w:val="00D30438"/>
    <w:rsid w:val="00D30C97"/>
    <w:rsid w:val="00D30EAD"/>
    <w:rsid w:val="00D31107"/>
    <w:rsid w:val="00D32924"/>
    <w:rsid w:val="00D329FB"/>
    <w:rsid w:val="00D32B95"/>
    <w:rsid w:val="00D32D36"/>
    <w:rsid w:val="00D33377"/>
    <w:rsid w:val="00D335B7"/>
    <w:rsid w:val="00D33716"/>
    <w:rsid w:val="00D3471D"/>
    <w:rsid w:val="00D356A2"/>
    <w:rsid w:val="00D357D0"/>
    <w:rsid w:val="00D36270"/>
    <w:rsid w:val="00D3677C"/>
    <w:rsid w:val="00D37053"/>
    <w:rsid w:val="00D37E87"/>
    <w:rsid w:val="00D40A7D"/>
    <w:rsid w:val="00D40D96"/>
    <w:rsid w:val="00D40FAA"/>
    <w:rsid w:val="00D41FF7"/>
    <w:rsid w:val="00D422A8"/>
    <w:rsid w:val="00D427E1"/>
    <w:rsid w:val="00D42C30"/>
    <w:rsid w:val="00D42C9A"/>
    <w:rsid w:val="00D43388"/>
    <w:rsid w:val="00D43428"/>
    <w:rsid w:val="00D44FDA"/>
    <w:rsid w:val="00D45215"/>
    <w:rsid w:val="00D45733"/>
    <w:rsid w:val="00D461DF"/>
    <w:rsid w:val="00D46846"/>
    <w:rsid w:val="00D46CF9"/>
    <w:rsid w:val="00D477B1"/>
    <w:rsid w:val="00D47D28"/>
    <w:rsid w:val="00D500DD"/>
    <w:rsid w:val="00D50EE1"/>
    <w:rsid w:val="00D510C0"/>
    <w:rsid w:val="00D51C5F"/>
    <w:rsid w:val="00D52673"/>
    <w:rsid w:val="00D5292D"/>
    <w:rsid w:val="00D52F6D"/>
    <w:rsid w:val="00D53496"/>
    <w:rsid w:val="00D534FE"/>
    <w:rsid w:val="00D544FE"/>
    <w:rsid w:val="00D5468A"/>
    <w:rsid w:val="00D55F93"/>
    <w:rsid w:val="00D5628E"/>
    <w:rsid w:val="00D60097"/>
    <w:rsid w:val="00D607B1"/>
    <w:rsid w:val="00D60F2F"/>
    <w:rsid w:val="00D61130"/>
    <w:rsid w:val="00D61232"/>
    <w:rsid w:val="00D61B2F"/>
    <w:rsid w:val="00D6296F"/>
    <w:rsid w:val="00D63D08"/>
    <w:rsid w:val="00D64023"/>
    <w:rsid w:val="00D67794"/>
    <w:rsid w:val="00D7040E"/>
    <w:rsid w:val="00D70DAB"/>
    <w:rsid w:val="00D70E99"/>
    <w:rsid w:val="00D72542"/>
    <w:rsid w:val="00D73980"/>
    <w:rsid w:val="00D74A5D"/>
    <w:rsid w:val="00D74A76"/>
    <w:rsid w:val="00D74A86"/>
    <w:rsid w:val="00D74B0D"/>
    <w:rsid w:val="00D75050"/>
    <w:rsid w:val="00D75557"/>
    <w:rsid w:val="00D759F3"/>
    <w:rsid w:val="00D76867"/>
    <w:rsid w:val="00D76972"/>
    <w:rsid w:val="00D776EC"/>
    <w:rsid w:val="00D802F7"/>
    <w:rsid w:val="00D8049B"/>
    <w:rsid w:val="00D810E6"/>
    <w:rsid w:val="00D81FCC"/>
    <w:rsid w:val="00D84734"/>
    <w:rsid w:val="00D861B7"/>
    <w:rsid w:val="00D87B58"/>
    <w:rsid w:val="00D90A7D"/>
    <w:rsid w:val="00D90B17"/>
    <w:rsid w:val="00D90B33"/>
    <w:rsid w:val="00D9150D"/>
    <w:rsid w:val="00D92260"/>
    <w:rsid w:val="00D9237C"/>
    <w:rsid w:val="00D928B4"/>
    <w:rsid w:val="00D93097"/>
    <w:rsid w:val="00D93BDB"/>
    <w:rsid w:val="00D954D0"/>
    <w:rsid w:val="00D95522"/>
    <w:rsid w:val="00D957A4"/>
    <w:rsid w:val="00D95862"/>
    <w:rsid w:val="00D958E8"/>
    <w:rsid w:val="00D9650F"/>
    <w:rsid w:val="00D97614"/>
    <w:rsid w:val="00D9779C"/>
    <w:rsid w:val="00D97AC9"/>
    <w:rsid w:val="00D97DF0"/>
    <w:rsid w:val="00DA0462"/>
    <w:rsid w:val="00DA048A"/>
    <w:rsid w:val="00DA0F1E"/>
    <w:rsid w:val="00DA171C"/>
    <w:rsid w:val="00DA1969"/>
    <w:rsid w:val="00DA1A72"/>
    <w:rsid w:val="00DA3F4F"/>
    <w:rsid w:val="00DA43EB"/>
    <w:rsid w:val="00DA51AE"/>
    <w:rsid w:val="00DA616D"/>
    <w:rsid w:val="00DA61CB"/>
    <w:rsid w:val="00DA6EC8"/>
    <w:rsid w:val="00DA739F"/>
    <w:rsid w:val="00DA747C"/>
    <w:rsid w:val="00DA7869"/>
    <w:rsid w:val="00DA7A54"/>
    <w:rsid w:val="00DA7C12"/>
    <w:rsid w:val="00DB0507"/>
    <w:rsid w:val="00DB0540"/>
    <w:rsid w:val="00DB07A8"/>
    <w:rsid w:val="00DB082E"/>
    <w:rsid w:val="00DB091B"/>
    <w:rsid w:val="00DB125E"/>
    <w:rsid w:val="00DB1928"/>
    <w:rsid w:val="00DB2044"/>
    <w:rsid w:val="00DB3211"/>
    <w:rsid w:val="00DB3610"/>
    <w:rsid w:val="00DB391C"/>
    <w:rsid w:val="00DB4451"/>
    <w:rsid w:val="00DB478C"/>
    <w:rsid w:val="00DB5480"/>
    <w:rsid w:val="00DB57A2"/>
    <w:rsid w:val="00DB707E"/>
    <w:rsid w:val="00DB7388"/>
    <w:rsid w:val="00DB7B71"/>
    <w:rsid w:val="00DC1BBF"/>
    <w:rsid w:val="00DC1C66"/>
    <w:rsid w:val="00DC201E"/>
    <w:rsid w:val="00DC22C9"/>
    <w:rsid w:val="00DC2A3E"/>
    <w:rsid w:val="00DC30EA"/>
    <w:rsid w:val="00DC4318"/>
    <w:rsid w:val="00DC4583"/>
    <w:rsid w:val="00DC4BCF"/>
    <w:rsid w:val="00DC4C73"/>
    <w:rsid w:val="00DC52D5"/>
    <w:rsid w:val="00DC5C87"/>
    <w:rsid w:val="00DC5CC9"/>
    <w:rsid w:val="00DC7131"/>
    <w:rsid w:val="00DD0028"/>
    <w:rsid w:val="00DD0B8B"/>
    <w:rsid w:val="00DD0ED4"/>
    <w:rsid w:val="00DD15FA"/>
    <w:rsid w:val="00DD1A23"/>
    <w:rsid w:val="00DD2537"/>
    <w:rsid w:val="00DD27BA"/>
    <w:rsid w:val="00DD3C80"/>
    <w:rsid w:val="00DD4019"/>
    <w:rsid w:val="00DD47FF"/>
    <w:rsid w:val="00DD4F1B"/>
    <w:rsid w:val="00DD4F44"/>
    <w:rsid w:val="00DD5A1E"/>
    <w:rsid w:val="00DD6565"/>
    <w:rsid w:val="00DD6FDE"/>
    <w:rsid w:val="00DD7AB2"/>
    <w:rsid w:val="00DD7AB7"/>
    <w:rsid w:val="00DE0938"/>
    <w:rsid w:val="00DE0A0D"/>
    <w:rsid w:val="00DE0B09"/>
    <w:rsid w:val="00DE11B9"/>
    <w:rsid w:val="00DE15CD"/>
    <w:rsid w:val="00DE1F41"/>
    <w:rsid w:val="00DE1FAC"/>
    <w:rsid w:val="00DE243F"/>
    <w:rsid w:val="00DE2F8D"/>
    <w:rsid w:val="00DE3018"/>
    <w:rsid w:val="00DE3BAB"/>
    <w:rsid w:val="00DE3EF9"/>
    <w:rsid w:val="00DE4F9A"/>
    <w:rsid w:val="00DE559B"/>
    <w:rsid w:val="00DE6678"/>
    <w:rsid w:val="00DE6D74"/>
    <w:rsid w:val="00DE7567"/>
    <w:rsid w:val="00DF047D"/>
    <w:rsid w:val="00DF0761"/>
    <w:rsid w:val="00DF114C"/>
    <w:rsid w:val="00DF15CE"/>
    <w:rsid w:val="00DF18BD"/>
    <w:rsid w:val="00DF1E82"/>
    <w:rsid w:val="00DF1F50"/>
    <w:rsid w:val="00DF2A41"/>
    <w:rsid w:val="00DF500E"/>
    <w:rsid w:val="00DF53C8"/>
    <w:rsid w:val="00DF64C3"/>
    <w:rsid w:val="00DF6BA6"/>
    <w:rsid w:val="00DF6E60"/>
    <w:rsid w:val="00DF7310"/>
    <w:rsid w:val="00DF7539"/>
    <w:rsid w:val="00DF7A8C"/>
    <w:rsid w:val="00E0019C"/>
    <w:rsid w:val="00E004F8"/>
    <w:rsid w:val="00E010EE"/>
    <w:rsid w:val="00E01453"/>
    <w:rsid w:val="00E01A10"/>
    <w:rsid w:val="00E021A3"/>
    <w:rsid w:val="00E027C2"/>
    <w:rsid w:val="00E02FA6"/>
    <w:rsid w:val="00E03D6D"/>
    <w:rsid w:val="00E03DE8"/>
    <w:rsid w:val="00E04286"/>
    <w:rsid w:val="00E04A33"/>
    <w:rsid w:val="00E04F92"/>
    <w:rsid w:val="00E05253"/>
    <w:rsid w:val="00E059A8"/>
    <w:rsid w:val="00E06021"/>
    <w:rsid w:val="00E0719F"/>
    <w:rsid w:val="00E07915"/>
    <w:rsid w:val="00E106F4"/>
    <w:rsid w:val="00E1149A"/>
    <w:rsid w:val="00E124F2"/>
    <w:rsid w:val="00E131C3"/>
    <w:rsid w:val="00E1325F"/>
    <w:rsid w:val="00E13278"/>
    <w:rsid w:val="00E13928"/>
    <w:rsid w:val="00E13A1A"/>
    <w:rsid w:val="00E1423E"/>
    <w:rsid w:val="00E1432C"/>
    <w:rsid w:val="00E14DB1"/>
    <w:rsid w:val="00E15593"/>
    <w:rsid w:val="00E15DF1"/>
    <w:rsid w:val="00E1650D"/>
    <w:rsid w:val="00E173EF"/>
    <w:rsid w:val="00E176BB"/>
    <w:rsid w:val="00E207AD"/>
    <w:rsid w:val="00E21019"/>
    <w:rsid w:val="00E21CF0"/>
    <w:rsid w:val="00E254B6"/>
    <w:rsid w:val="00E25A03"/>
    <w:rsid w:val="00E25D6A"/>
    <w:rsid w:val="00E25F58"/>
    <w:rsid w:val="00E26DAE"/>
    <w:rsid w:val="00E2770D"/>
    <w:rsid w:val="00E27E2C"/>
    <w:rsid w:val="00E30455"/>
    <w:rsid w:val="00E3085C"/>
    <w:rsid w:val="00E327AB"/>
    <w:rsid w:val="00E328E7"/>
    <w:rsid w:val="00E3407B"/>
    <w:rsid w:val="00E3417A"/>
    <w:rsid w:val="00E34404"/>
    <w:rsid w:val="00E36306"/>
    <w:rsid w:val="00E403B4"/>
    <w:rsid w:val="00E40CA1"/>
    <w:rsid w:val="00E40DCB"/>
    <w:rsid w:val="00E40E7E"/>
    <w:rsid w:val="00E41239"/>
    <w:rsid w:val="00E41D31"/>
    <w:rsid w:val="00E41D72"/>
    <w:rsid w:val="00E421FC"/>
    <w:rsid w:val="00E42757"/>
    <w:rsid w:val="00E4291F"/>
    <w:rsid w:val="00E42A7E"/>
    <w:rsid w:val="00E42E08"/>
    <w:rsid w:val="00E42F99"/>
    <w:rsid w:val="00E432F7"/>
    <w:rsid w:val="00E437BF"/>
    <w:rsid w:val="00E451EE"/>
    <w:rsid w:val="00E45E11"/>
    <w:rsid w:val="00E467D0"/>
    <w:rsid w:val="00E47127"/>
    <w:rsid w:val="00E503AB"/>
    <w:rsid w:val="00E50CB2"/>
    <w:rsid w:val="00E52F1A"/>
    <w:rsid w:val="00E532D9"/>
    <w:rsid w:val="00E53945"/>
    <w:rsid w:val="00E5437A"/>
    <w:rsid w:val="00E54678"/>
    <w:rsid w:val="00E547A4"/>
    <w:rsid w:val="00E54A67"/>
    <w:rsid w:val="00E54F7C"/>
    <w:rsid w:val="00E55461"/>
    <w:rsid w:val="00E5688B"/>
    <w:rsid w:val="00E56ABA"/>
    <w:rsid w:val="00E5717E"/>
    <w:rsid w:val="00E57280"/>
    <w:rsid w:val="00E61659"/>
    <w:rsid w:val="00E617DF"/>
    <w:rsid w:val="00E621EE"/>
    <w:rsid w:val="00E62C18"/>
    <w:rsid w:val="00E62C78"/>
    <w:rsid w:val="00E63145"/>
    <w:rsid w:val="00E63659"/>
    <w:rsid w:val="00E63E4A"/>
    <w:rsid w:val="00E6424E"/>
    <w:rsid w:val="00E642EA"/>
    <w:rsid w:val="00E64515"/>
    <w:rsid w:val="00E645A5"/>
    <w:rsid w:val="00E6471B"/>
    <w:rsid w:val="00E653AF"/>
    <w:rsid w:val="00E65DB8"/>
    <w:rsid w:val="00E6604C"/>
    <w:rsid w:val="00E668DE"/>
    <w:rsid w:val="00E67650"/>
    <w:rsid w:val="00E67906"/>
    <w:rsid w:val="00E71305"/>
    <w:rsid w:val="00E713B6"/>
    <w:rsid w:val="00E71C33"/>
    <w:rsid w:val="00E72BA5"/>
    <w:rsid w:val="00E72F17"/>
    <w:rsid w:val="00E733F1"/>
    <w:rsid w:val="00E7357C"/>
    <w:rsid w:val="00E735B2"/>
    <w:rsid w:val="00E747E5"/>
    <w:rsid w:val="00E74AA1"/>
    <w:rsid w:val="00E754BB"/>
    <w:rsid w:val="00E7567C"/>
    <w:rsid w:val="00E75E16"/>
    <w:rsid w:val="00E81866"/>
    <w:rsid w:val="00E81E98"/>
    <w:rsid w:val="00E8224A"/>
    <w:rsid w:val="00E8262B"/>
    <w:rsid w:val="00E82693"/>
    <w:rsid w:val="00E835CF"/>
    <w:rsid w:val="00E838F6"/>
    <w:rsid w:val="00E841DB"/>
    <w:rsid w:val="00E848D5"/>
    <w:rsid w:val="00E84C3C"/>
    <w:rsid w:val="00E84E48"/>
    <w:rsid w:val="00E85349"/>
    <w:rsid w:val="00E85938"/>
    <w:rsid w:val="00E86001"/>
    <w:rsid w:val="00E87324"/>
    <w:rsid w:val="00E8798C"/>
    <w:rsid w:val="00E9103F"/>
    <w:rsid w:val="00E9117B"/>
    <w:rsid w:val="00E91356"/>
    <w:rsid w:val="00E918AD"/>
    <w:rsid w:val="00E92440"/>
    <w:rsid w:val="00E92E01"/>
    <w:rsid w:val="00E93AF8"/>
    <w:rsid w:val="00E93D6B"/>
    <w:rsid w:val="00E9406B"/>
    <w:rsid w:val="00E94262"/>
    <w:rsid w:val="00E948CB"/>
    <w:rsid w:val="00E949E8"/>
    <w:rsid w:val="00E94DBA"/>
    <w:rsid w:val="00E951C5"/>
    <w:rsid w:val="00E95CE1"/>
    <w:rsid w:val="00E967C8"/>
    <w:rsid w:val="00E96CF7"/>
    <w:rsid w:val="00E96E71"/>
    <w:rsid w:val="00E9704C"/>
    <w:rsid w:val="00EA07A2"/>
    <w:rsid w:val="00EA07E6"/>
    <w:rsid w:val="00EA1734"/>
    <w:rsid w:val="00EA1CB4"/>
    <w:rsid w:val="00EA22F4"/>
    <w:rsid w:val="00EA275F"/>
    <w:rsid w:val="00EA2AB3"/>
    <w:rsid w:val="00EA2D43"/>
    <w:rsid w:val="00EA34F1"/>
    <w:rsid w:val="00EA39A6"/>
    <w:rsid w:val="00EA4082"/>
    <w:rsid w:val="00EA4FF5"/>
    <w:rsid w:val="00EA5210"/>
    <w:rsid w:val="00EA5233"/>
    <w:rsid w:val="00EA5920"/>
    <w:rsid w:val="00EA66C8"/>
    <w:rsid w:val="00EA6D2A"/>
    <w:rsid w:val="00EA6F8E"/>
    <w:rsid w:val="00EA727A"/>
    <w:rsid w:val="00EB0416"/>
    <w:rsid w:val="00EB096A"/>
    <w:rsid w:val="00EB0B55"/>
    <w:rsid w:val="00EB1065"/>
    <w:rsid w:val="00EB1245"/>
    <w:rsid w:val="00EB14BA"/>
    <w:rsid w:val="00EB1528"/>
    <w:rsid w:val="00EB18CC"/>
    <w:rsid w:val="00EB21D7"/>
    <w:rsid w:val="00EB2421"/>
    <w:rsid w:val="00EB2680"/>
    <w:rsid w:val="00EB308A"/>
    <w:rsid w:val="00EB32E4"/>
    <w:rsid w:val="00EB359A"/>
    <w:rsid w:val="00EB3937"/>
    <w:rsid w:val="00EB5235"/>
    <w:rsid w:val="00EB5776"/>
    <w:rsid w:val="00EB61D4"/>
    <w:rsid w:val="00EB6430"/>
    <w:rsid w:val="00EB652D"/>
    <w:rsid w:val="00EB6607"/>
    <w:rsid w:val="00EB6931"/>
    <w:rsid w:val="00EB7184"/>
    <w:rsid w:val="00EC03C8"/>
    <w:rsid w:val="00EC0E98"/>
    <w:rsid w:val="00EC116C"/>
    <w:rsid w:val="00EC1431"/>
    <w:rsid w:val="00EC1B3F"/>
    <w:rsid w:val="00EC1DA4"/>
    <w:rsid w:val="00EC20CC"/>
    <w:rsid w:val="00EC23D8"/>
    <w:rsid w:val="00EC241E"/>
    <w:rsid w:val="00EC275F"/>
    <w:rsid w:val="00EC28A7"/>
    <w:rsid w:val="00EC306F"/>
    <w:rsid w:val="00EC31DF"/>
    <w:rsid w:val="00EC394A"/>
    <w:rsid w:val="00EC3CE4"/>
    <w:rsid w:val="00EC4555"/>
    <w:rsid w:val="00EC468B"/>
    <w:rsid w:val="00EC72A0"/>
    <w:rsid w:val="00ED0703"/>
    <w:rsid w:val="00ED0902"/>
    <w:rsid w:val="00ED1D9B"/>
    <w:rsid w:val="00ED2005"/>
    <w:rsid w:val="00ED42DC"/>
    <w:rsid w:val="00ED44AF"/>
    <w:rsid w:val="00ED4B9D"/>
    <w:rsid w:val="00ED5057"/>
    <w:rsid w:val="00ED6190"/>
    <w:rsid w:val="00ED6459"/>
    <w:rsid w:val="00ED6E46"/>
    <w:rsid w:val="00EE03B4"/>
    <w:rsid w:val="00EE08A6"/>
    <w:rsid w:val="00EE0DB6"/>
    <w:rsid w:val="00EE1626"/>
    <w:rsid w:val="00EE18DA"/>
    <w:rsid w:val="00EE1DF4"/>
    <w:rsid w:val="00EE25CC"/>
    <w:rsid w:val="00EE3230"/>
    <w:rsid w:val="00EE3537"/>
    <w:rsid w:val="00EE4167"/>
    <w:rsid w:val="00EE4246"/>
    <w:rsid w:val="00EE4D6C"/>
    <w:rsid w:val="00EE5677"/>
    <w:rsid w:val="00EE5B42"/>
    <w:rsid w:val="00EE68A1"/>
    <w:rsid w:val="00EE734D"/>
    <w:rsid w:val="00EE75D5"/>
    <w:rsid w:val="00EE7A54"/>
    <w:rsid w:val="00EE7DF5"/>
    <w:rsid w:val="00EE7ECA"/>
    <w:rsid w:val="00EF0173"/>
    <w:rsid w:val="00EF10D6"/>
    <w:rsid w:val="00EF1580"/>
    <w:rsid w:val="00EF1809"/>
    <w:rsid w:val="00EF1E5E"/>
    <w:rsid w:val="00EF2777"/>
    <w:rsid w:val="00EF2DAB"/>
    <w:rsid w:val="00EF3A12"/>
    <w:rsid w:val="00EF3E6F"/>
    <w:rsid w:val="00EF58D8"/>
    <w:rsid w:val="00EF5C79"/>
    <w:rsid w:val="00EF6CA8"/>
    <w:rsid w:val="00EF7C53"/>
    <w:rsid w:val="00EF7D3D"/>
    <w:rsid w:val="00F001E6"/>
    <w:rsid w:val="00F003FC"/>
    <w:rsid w:val="00F014EC"/>
    <w:rsid w:val="00F01739"/>
    <w:rsid w:val="00F0196D"/>
    <w:rsid w:val="00F0239C"/>
    <w:rsid w:val="00F02AD6"/>
    <w:rsid w:val="00F03A97"/>
    <w:rsid w:val="00F03E03"/>
    <w:rsid w:val="00F03F63"/>
    <w:rsid w:val="00F04AFB"/>
    <w:rsid w:val="00F050F3"/>
    <w:rsid w:val="00F0515E"/>
    <w:rsid w:val="00F051F3"/>
    <w:rsid w:val="00F05388"/>
    <w:rsid w:val="00F05C6F"/>
    <w:rsid w:val="00F06479"/>
    <w:rsid w:val="00F0649C"/>
    <w:rsid w:val="00F06C30"/>
    <w:rsid w:val="00F06DE4"/>
    <w:rsid w:val="00F10D21"/>
    <w:rsid w:val="00F11691"/>
    <w:rsid w:val="00F1239B"/>
    <w:rsid w:val="00F127A8"/>
    <w:rsid w:val="00F12B48"/>
    <w:rsid w:val="00F13B2D"/>
    <w:rsid w:val="00F13B93"/>
    <w:rsid w:val="00F13E60"/>
    <w:rsid w:val="00F15423"/>
    <w:rsid w:val="00F15955"/>
    <w:rsid w:val="00F1638E"/>
    <w:rsid w:val="00F16CD6"/>
    <w:rsid w:val="00F17037"/>
    <w:rsid w:val="00F17242"/>
    <w:rsid w:val="00F17AB1"/>
    <w:rsid w:val="00F20857"/>
    <w:rsid w:val="00F20FA2"/>
    <w:rsid w:val="00F21843"/>
    <w:rsid w:val="00F21995"/>
    <w:rsid w:val="00F2268C"/>
    <w:rsid w:val="00F229F2"/>
    <w:rsid w:val="00F248BF"/>
    <w:rsid w:val="00F249E9"/>
    <w:rsid w:val="00F24A09"/>
    <w:rsid w:val="00F26A08"/>
    <w:rsid w:val="00F27E13"/>
    <w:rsid w:val="00F27E79"/>
    <w:rsid w:val="00F30380"/>
    <w:rsid w:val="00F30687"/>
    <w:rsid w:val="00F30E69"/>
    <w:rsid w:val="00F31A51"/>
    <w:rsid w:val="00F31EDA"/>
    <w:rsid w:val="00F32E24"/>
    <w:rsid w:val="00F33172"/>
    <w:rsid w:val="00F331AC"/>
    <w:rsid w:val="00F3378B"/>
    <w:rsid w:val="00F34103"/>
    <w:rsid w:val="00F349A7"/>
    <w:rsid w:val="00F36803"/>
    <w:rsid w:val="00F36A2A"/>
    <w:rsid w:val="00F36C49"/>
    <w:rsid w:val="00F36F5B"/>
    <w:rsid w:val="00F37ACF"/>
    <w:rsid w:val="00F40B58"/>
    <w:rsid w:val="00F414C4"/>
    <w:rsid w:val="00F41733"/>
    <w:rsid w:val="00F420B5"/>
    <w:rsid w:val="00F42119"/>
    <w:rsid w:val="00F428CC"/>
    <w:rsid w:val="00F42D32"/>
    <w:rsid w:val="00F43A94"/>
    <w:rsid w:val="00F44684"/>
    <w:rsid w:val="00F447DF"/>
    <w:rsid w:val="00F44A4F"/>
    <w:rsid w:val="00F4501E"/>
    <w:rsid w:val="00F50D28"/>
    <w:rsid w:val="00F50DB8"/>
    <w:rsid w:val="00F51148"/>
    <w:rsid w:val="00F51768"/>
    <w:rsid w:val="00F51C26"/>
    <w:rsid w:val="00F51DD5"/>
    <w:rsid w:val="00F54207"/>
    <w:rsid w:val="00F54885"/>
    <w:rsid w:val="00F54970"/>
    <w:rsid w:val="00F54A2D"/>
    <w:rsid w:val="00F54E74"/>
    <w:rsid w:val="00F55385"/>
    <w:rsid w:val="00F55F7E"/>
    <w:rsid w:val="00F56480"/>
    <w:rsid w:val="00F568E1"/>
    <w:rsid w:val="00F5769D"/>
    <w:rsid w:val="00F578B0"/>
    <w:rsid w:val="00F57C26"/>
    <w:rsid w:val="00F60749"/>
    <w:rsid w:val="00F61919"/>
    <w:rsid w:val="00F61D1C"/>
    <w:rsid w:val="00F641E5"/>
    <w:rsid w:val="00F64692"/>
    <w:rsid w:val="00F64A3B"/>
    <w:rsid w:val="00F64AA8"/>
    <w:rsid w:val="00F65A92"/>
    <w:rsid w:val="00F65ADC"/>
    <w:rsid w:val="00F65C08"/>
    <w:rsid w:val="00F663B1"/>
    <w:rsid w:val="00F66B56"/>
    <w:rsid w:val="00F67913"/>
    <w:rsid w:val="00F70D63"/>
    <w:rsid w:val="00F71281"/>
    <w:rsid w:val="00F7132A"/>
    <w:rsid w:val="00F719F3"/>
    <w:rsid w:val="00F7257D"/>
    <w:rsid w:val="00F7269D"/>
    <w:rsid w:val="00F72DDE"/>
    <w:rsid w:val="00F72DF4"/>
    <w:rsid w:val="00F73071"/>
    <w:rsid w:val="00F7343D"/>
    <w:rsid w:val="00F74E64"/>
    <w:rsid w:val="00F75423"/>
    <w:rsid w:val="00F765AE"/>
    <w:rsid w:val="00F76753"/>
    <w:rsid w:val="00F768C8"/>
    <w:rsid w:val="00F76B83"/>
    <w:rsid w:val="00F76B99"/>
    <w:rsid w:val="00F77130"/>
    <w:rsid w:val="00F77473"/>
    <w:rsid w:val="00F7757C"/>
    <w:rsid w:val="00F77800"/>
    <w:rsid w:val="00F80945"/>
    <w:rsid w:val="00F80D74"/>
    <w:rsid w:val="00F80E08"/>
    <w:rsid w:val="00F81286"/>
    <w:rsid w:val="00F8196A"/>
    <w:rsid w:val="00F82D3E"/>
    <w:rsid w:val="00F82D8B"/>
    <w:rsid w:val="00F83BA3"/>
    <w:rsid w:val="00F83E4B"/>
    <w:rsid w:val="00F84606"/>
    <w:rsid w:val="00F84AC8"/>
    <w:rsid w:val="00F84FFD"/>
    <w:rsid w:val="00F853AC"/>
    <w:rsid w:val="00F85F7E"/>
    <w:rsid w:val="00F8683A"/>
    <w:rsid w:val="00F86DAD"/>
    <w:rsid w:val="00F87D35"/>
    <w:rsid w:val="00F87FE2"/>
    <w:rsid w:val="00F91298"/>
    <w:rsid w:val="00F9159E"/>
    <w:rsid w:val="00F91F0B"/>
    <w:rsid w:val="00F922A0"/>
    <w:rsid w:val="00F92B67"/>
    <w:rsid w:val="00F92FEC"/>
    <w:rsid w:val="00F93366"/>
    <w:rsid w:val="00F9361E"/>
    <w:rsid w:val="00F93AF8"/>
    <w:rsid w:val="00F93E9F"/>
    <w:rsid w:val="00F944AD"/>
    <w:rsid w:val="00F95194"/>
    <w:rsid w:val="00F95215"/>
    <w:rsid w:val="00F95CE9"/>
    <w:rsid w:val="00F96011"/>
    <w:rsid w:val="00F96454"/>
    <w:rsid w:val="00F96EA5"/>
    <w:rsid w:val="00F97245"/>
    <w:rsid w:val="00F978A9"/>
    <w:rsid w:val="00F97EA6"/>
    <w:rsid w:val="00FA2007"/>
    <w:rsid w:val="00FA2385"/>
    <w:rsid w:val="00FA2A62"/>
    <w:rsid w:val="00FA2ABC"/>
    <w:rsid w:val="00FA3AB5"/>
    <w:rsid w:val="00FA4759"/>
    <w:rsid w:val="00FA4A24"/>
    <w:rsid w:val="00FA4B99"/>
    <w:rsid w:val="00FA4EF5"/>
    <w:rsid w:val="00FA515B"/>
    <w:rsid w:val="00FB0728"/>
    <w:rsid w:val="00FB16A6"/>
    <w:rsid w:val="00FB19FB"/>
    <w:rsid w:val="00FB1C4E"/>
    <w:rsid w:val="00FB249D"/>
    <w:rsid w:val="00FB2979"/>
    <w:rsid w:val="00FB2EDE"/>
    <w:rsid w:val="00FB2F76"/>
    <w:rsid w:val="00FB41E3"/>
    <w:rsid w:val="00FB4358"/>
    <w:rsid w:val="00FB4651"/>
    <w:rsid w:val="00FB468D"/>
    <w:rsid w:val="00FB46A2"/>
    <w:rsid w:val="00FB4D43"/>
    <w:rsid w:val="00FB58CE"/>
    <w:rsid w:val="00FB5A8E"/>
    <w:rsid w:val="00FB5C49"/>
    <w:rsid w:val="00FB5CFF"/>
    <w:rsid w:val="00FB752F"/>
    <w:rsid w:val="00FC0484"/>
    <w:rsid w:val="00FC0E9A"/>
    <w:rsid w:val="00FC117B"/>
    <w:rsid w:val="00FC2BF9"/>
    <w:rsid w:val="00FC4149"/>
    <w:rsid w:val="00FC48A8"/>
    <w:rsid w:val="00FC5C6B"/>
    <w:rsid w:val="00FC64FC"/>
    <w:rsid w:val="00FC6F3B"/>
    <w:rsid w:val="00FC715C"/>
    <w:rsid w:val="00FC77DE"/>
    <w:rsid w:val="00FD02D9"/>
    <w:rsid w:val="00FD0C4F"/>
    <w:rsid w:val="00FD0DD7"/>
    <w:rsid w:val="00FD0E7B"/>
    <w:rsid w:val="00FD0FB1"/>
    <w:rsid w:val="00FD1E5D"/>
    <w:rsid w:val="00FD1E8D"/>
    <w:rsid w:val="00FD1F1E"/>
    <w:rsid w:val="00FD22D5"/>
    <w:rsid w:val="00FD2466"/>
    <w:rsid w:val="00FD27C8"/>
    <w:rsid w:val="00FD3136"/>
    <w:rsid w:val="00FD3716"/>
    <w:rsid w:val="00FD485C"/>
    <w:rsid w:val="00FD48D8"/>
    <w:rsid w:val="00FD58E7"/>
    <w:rsid w:val="00FD60BC"/>
    <w:rsid w:val="00FD7762"/>
    <w:rsid w:val="00FD7A99"/>
    <w:rsid w:val="00FD7B2E"/>
    <w:rsid w:val="00FE02CE"/>
    <w:rsid w:val="00FE1CCF"/>
    <w:rsid w:val="00FE20D5"/>
    <w:rsid w:val="00FE28E8"/>
    <w:rsid w:val="00FE2A76"/>
    <w:rsid w:val="00FE2AD1"/>
    <w:rsid w:val="00FE2D46"/>
    <w:rsid w:val="00FE2EF6"/>
    <w:rsid w:val="00FE36D4"/>
    <w:rsid w:val="00FE4826"/>
    <w:rsid w:val="00FE6838"/>
    <w:rsid w:val="00FF0EDB"/>
    <w:rsid w:val="00FF134B"/>
    <w:rsid w:val="00FF16B5"/>
    <w:rsid w:val="00FF17A3"/>
    <w:rsid w:val="00FF1B51"/>
    <w:rsid w:val="00FF201A"/>
    <w:rsid w:val="00FF244B"/>
    <w:rsid w:val="00FF3684"/>
    <w:rsid w:val="00FF3E27"/>
    <w:rsid w:val="00FF3F49"/>
    <w:rsid w:val="00FF4630"/>
    <w:rsid w:val="00FF49FD"/>
    <w:rsid w:val="00FF50C3"/>
    <w:rsid w:val="00FF5B10"/>
    <w:rsid w:val="00FF5BD7"/>
    <w:rsid w:val="00FF5CDA"/>
    <w:rsid w:val="00FF5DAD"/>
    <w:rsid w:val="00FF5DBE"/>
    <w:rsid w:val="00FF6562"/>
    <w:rsid w:val="00FF71B7"/>
    <w:rsid w:val="00FF753B"/>
    <w:rsid w:val="00FF77E3"/>
    <w:rsid w:val="2100DABB"/>
    <w:rsid w:val="41376222"/>
    <w:rsid w:val="5D855DA1"/>
    <w:rsid w:val="5FF81430"/>
    <w:rsid w:val="643AD04B"/>
    <w:rsid w:val="6934AC01"/>
    <w:rsid w:val="6985CE19"/>
    <w:rsid w:val="75EC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0192"/>
  <w15:docId w15:val="{AAA30E5E-8D93-4304-8657-8175D0AF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A7A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57A7A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D22D5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755B9"/>
    <w:p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3"/>
    </w:rPr>
  </w:style>
  <w:style w:type="paragraph" w:styleId="Heading4">
    <w:name w:val="heading 4"/>
    <w:basedOn w:val="Heading3"/>
    <w:next w:val="Normal"/>
    <w:link w:val="Heading4Char"/>
    <w:qFormat/>
    <w:rsid w:val="00FD22D5"/>
    <w:pPr>
      <w:spacing w:line="320" w:lineRule="exact"/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qFormat/>
    <w:rsid w:val="00A57A7A"/>
    <w:pPr>
      <w:spacing w:after="60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A57A7A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A57A7A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A57A7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A57A7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7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7A7A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755B9"/>
    <w:rPr>
      <w:rFonts w:ascii="Arial Bold" w:hAnsi="Arial Bold"/>
      <w:b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221C9B"/>
    <w:pPr>
      <w:spacing w:before="160" w:after="100" w:line="240" w:lineRule="atLeast"/>
    </w:pPr>
    <w:rPr>
      <w:rFonts w:ascii="Arial" w:hAnsi="Arial" w:cs="Arial"/>
      <w:sz w:val="23"/>
      <w:szCs w:val="23"/>
      <w:lang w:eastAsia="en-US"/>
    </w:rPr>
  </w:style>
  <w:style w:type="character" w:customStyle="1" w:styleId="BodyTextChar">
    <w:name w:val="Body Text Char"/>
    <w:link w:val="BodyText"/>
    <w:rsid w:val="00221C9B"/>
    <w:rPr>
      <w:rFonts w:ascii="Arial" w:hAnsi="Arial" w:cs="Arial"/>
      <w:sz w:val="23"/>
      <w:szCs w:val="23"/>
      <w:lang w:eastAsia="en-US"/>
    </w:rPr>
  </w:style>
  <w:style w:type="paragraph" w:customStyle="1" w:styleId="BodyText-Box">
    <w:name w:val="Body Text - Box"/>
    <w:basedOn w:val="BodyText"/>
    <w:autoRedefine/>
    <w:rsid w:val="00A57A7A"/>
    <w:pPr>
      <w:tabs>
        <w:tab w:val="left" w:pos="567"/>
      </w:tabs>
      <w:spacing w:before="120" w:after="120" w:line="240" w:lineRule="auto"/>
      <w:ind w:right="-143"/>
    </w:pPr>
    <w:rPr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A57A7A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A57A7A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A57A7A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A57A7A"/>
    <w:pPr>
      <w:tabs>
        <w:tab w:val="clear" w:pos="1418"/>
      </w:tabs>
      <w:spacing w:before="80" w:after="60" w:line="276" w:lineRule="auto"/>
      <w:ind w:left="0" w:firstLine="0"/>
    </w:pPr>
    <w:rPr>
      <w:rFonts w:cs="Arial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257C24"/>
    <w:pPr>
      <w:numPr>
        <w:numId w:val="49"/>
      </w:numPr>
      <w:spacing w:before="120" w:after="80"/>
      <w:ind w:left="357" w:hanging="357"/>
    </w:pPr>
    <w:rPr>
      <w:szCs w:val="20"/>
    </w:rPr>
  </w:style>
  <w:style w:type="character" w:customStyle="1" w:styleId="Bullet1Char">
    <w:name w:val="Bullet 1 Char"/>
    <w:link w:val="Bullet1"/>
    <w:rsid w:val="00257C24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A57A7A"/>
    <w:pPr>
      <w:spacing w:before="100" w:after="60" w:line="240" w:lineRule="exact"/>
    </w:pPr>
    <w:rPr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A57A7A"/>
    <w:pPr>
      <w:ind w:left="425"/>
    </w:pPr>
  </w:style>
  <w:style w:type="paragraph" w:customStyle="1" w:styleId="Bullet2">
    <w:name w:val="Bullet 2"/>
    <w:basedOn w:val="Bullet1"/>
    <w:rsid w:val="0035092E"/>
    <w:pPr>
      <w:numPr>
        <w:numId w:val="2"/>
      </w:numPr>
      <w:tabs>
        <w:tab w:val="left" w:pos="851"/>
      </w:tabs>
      <w:spacing w:before="80" w:after="40"/>
      <w:ind w:left="714" w:hanging="357"/>
    </w:pPr>
  </w:style>
  <w:style w:type="paragraph" w:customStyle="1" w:styleId="Bullet2innumberedlist">
    <w:name w:val="Bullet 2 in numbered list"/>
    <w:basedOn w:val="Bullet2"/>
    <w:rsid w:val="00A57A7A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A57A7A"/>
    <w:pPr>
      <w:ind w:left="851"/>
    </w:pPr>
  </w:style>
  <w:style w:type="paragraph" w:customStyle="1" w:styleId="Bullet3">
    <w:name w:val="Bullet 3"/>
    <w:basedOn w:val="Bullet2"/>
    <w:rsid w:val="00D461DF"/>
    <w:pPr>
      <w:numPr>
        <w:numId w:val="3"/>
      </w:numPr>
      <w:tabs>
        <w:tab w:val="clear" w:pos="851"/>
      </w:tabs>
      <w:ind w:left="1094" w:hanging="357"/>
    </w:pPr>
  </w:style>
  <w:style w:type="paragraph" w:customStyle="1" w:styleId="Bullet3Paragraph">
    <w:name w:val="Bullet 3 Paragraph"/>
    <w:basedOn w:val="Bullet2Paragraph"/>
    <w:rsid w:val="00A57A7A"/>
    <w:pPr>
      <w:ind w:left="1276"/>
    </w:pPr>
  </w:style>
  <w:style w:type="character" w:customStyle="1" w:styleId="Heading8Char">
    <w:name w:val="Heading 8 Char"/>
    <w:link w:val="Heading8"/>
    <w:rsid w:val="00A57A7A"/>
    <w:rPr>
      <w:rFonts w:ascii="Arial Bold" w:hAnsi="Arial Bold"/>
      <w:i/>
      <w:kern w:val="28"/>
      <w:sz w:val="23"/>
      <w:szCs w:val="36"/>
      <w:lang w:eastAsia="en-US"/>
    </w:rPr>
  </w:style>
  <w:style w:type="paragraph" w:customStyle="1" w:styleId="Bullet4">
    <w:name w:val="Bullet 4"/>
    <w:basedOn w:val="Bullet3"/>
    <w:rsid w:val="00A57A7A"/>
    <w:pPr>
      <w:numPr>
        <w:numId w:val="4"/>
      </w:numPr>
    </w:pPr>
  </w:style>
  <w:style w:type="paragraph" w:customStyle="1" w:styleId="Bullet4Paragraph">
    <w:name w:val="Bullet 4 Paragraph"/>
    <w:basedOn w:val="Bullet3Paragraph"/>
    <w:rsid w:val="00A57A7A"/>
    <w:pPr>
      <w:ind w:left="1701"/>
    </w:pPr>
  </w:style>
  <w:style w:type="paragraph" w:customStyle="1" w:styleId="ChapterHeadingStyle">
    <w:name w:val="Chapter Heading Style"/>
    <w:basedOn w:val="Normal"/>
    <w:rsid w:val="00A57A7A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9X">
    <w:name w:val="Chart 9.X"/>
    <w:basedOn w:val="Normal"/>
    <w:next w:val="Normal"/>
    <w:rsid w:val="006D5570"/>
    <w:pPr>
      <w:keepLines/>
      <w:widowControl w:val="0"/>
      <w:numPr>
        <w:numId w:val="11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A57A7A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A57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A7A"/>
  </w:style>
  <w:style w:type="character" w:customStyle="1" w:styleId="CommentTextChar">
    <w:name w:val="Comment Text Char"/>
    <w:link w:val="CommentText"/>
    <w:uiPriority w:val="99"/>
    <w:rsid w:val="00A57A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57A7A"/>
    <w:rPr>
      <w:b/>
      <w:bCs/>
    </w:rPr>
  </w:style>
  <w:style w:type="character" w:customStyle="1" w:styleId="CommentSubjectChar">
    <w:name w:val="Comment Subject Char"/>
    <w:link w:val="CommentSubject"/>
    <w:rsid w:val="00A57A7A"/>
    <w:rPr>
      <w:b/>
      <w:bCs/>
      <w:lang w:eastAsia="en-US"/>
    </w:rPr>
  </w:style>
  <w:style w:type="character" w:styleId="EndnoteReference">
    <w:name w:val="endnote reference"/>
    <w:rsid w:val="00A57A7A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A57A7A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A57A7A"/>
    <w:rPr>
      <w:rFonts w:ascii="Arial" w:hAnsi="Arial"/>
      <w:sz w:val="18"/>
      <w:lang w:eastAsia="en-US"/>
    </w:rPr>
  </w:style>
  <w:style w:type="character" w:styleId="FootnoteReference">
    <w:name w:val="footnote reference"/>
    <w:rsid w:val="00A57A7A"/>
    <w:rPr>
      <w:vertAlign w:val="superscript"/>
    </w:rPr>
  </w:style>
  <w:style w:type="paragraph" w:styleId="FootnoteText">
    <w:name w:val="footnote text"/>
    <w:basedOn w:val="Normal"/>
    <w:link w:val="FootnoteTextChar"/>
    <w:rsid w:val="00A57A7A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A57A7A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A57A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A7A"/>
    <w:rPr>
      <w:lang w:eastAsia="en-US"/>
    </w:rPr>
  </w:style>
  <w:style w:type="paragraph" w:customStyle="1" w:styleId="HeaderHeading">
    <w:name w:val="Header Heading"/>
    <w:basedOn w:val="Normal"/>
    <w:rsid w:val="00A57A7A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A57A7A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customStyle="1" w:styleId="Heading4Char">
    <w:name w:val="Heading 4 Char"/>
    <w:link w:val="Heading4"/>
    <w:rsid w:val="00FD22D5"/>
    <w:rPr>
      <w:rFonts w:ascii="Arial Bold" w:hAnsi="Arial Bold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A57A7A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A57A7A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A57A7A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A57A7A"/>
    <w:rPr>
      <w:rFonts w:ascii="Arial Bold" w:hAnsi="Arial Bold"/>
      <w:kern w:val="28"/>
      <w:sz w:val="23"/>
      <w:szCs w:val="36"/>
      <w:lang w:eastAsia="en-US"/>
    </w:rPr>
  </w:style>
  <w:style w:type="character" w:styleId="Hyperlink">
    <w:name w:val="Hyperlink"/>
    <w:uiPriority w:val="99"/>
    <w:rsid w:val="00A57A7A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A57A7A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A57A7A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A57A7A"/>
  </w:style>
  <w:style w:type="character" w:customStyle="1" w:styleId="NoSpacingChar">
    <w:name w:val="No Spacing Char"/>
    <w:link w:val="NoSpacing"/>
    <w:rsid w:val="00A57A7A"/>
    <w:rPr>
      <w:lang w:eastAsia="en-US"/>
    </w:rPr>
  </w:style>
  <w:style w:type="paragraph" w:customStyle="1" w:styleId="Object">
    <w:name w:val="Object"/>
    <w:basedOn w:val="Normal"/>
    <w:next w:val="Normal"/>
    <w:rsid w:val="00A57A7A"/>
    <w:pPr>
      <w:jc w:val="center"/>
    </w:pPr>
  </w:style>
  <w:style w:type="paragraph" w:customStyle="1" w:styleId="ObjectFootnote">
    <w:name w:val="Object Footnote"/>
    <w:basedOn w:val="Object"/>
    <w:next w:val="Normal"/>
    <w:rsid w:val="00A57A7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A57A7A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A57A7A"/>
    <w:pPr>
      <w:ind w:left="709" w:hanging="283"/>
    </w:pPr>
  </w:style>
  <w:style w:type="character" w:styleId="PageNumber">
    <w:name w:val="page number"/>
    <w:rsid w:val="00A57A7A"/>
  </w:style>
  <w:style w:type="paragraph" w:styleId="Quote">
    <w:name w:val="Quote"/>
    <w:basedOn w:val="Normal"/>
    <w:next w:val="Normal"/>
    <w:link w:val="QuoteChar"/>
    <w:uiPriority w:val="29"/>
    <w:qFormat/>
    <w:rsid w:val="00A57A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57A7A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A57A7A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A57A7A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A57A7A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9X">
    <w:name w:val="Table 9.X"/>
    <w:basedOn w:val="Normal"/>
    <w:next w:val="Normal"/>
    <w:rsid w:val="00D954D0"/>
    <w:pPr>
      <w:widowControl w:val="0"/>
      <w:numPr>
        <w:numId w:val="9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A57A7A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A57A7A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A57A7A"/>
    <w:pPr>
      <w:keepNext/>
      <w:keepLines/>
      <w:numPr>
        <w:numId w:val="6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A57A7A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A57A7A"/>
    <w:rPr>
      <w:color w:val="808080"/>
      <w:shd w:val="clear" w:color="auto" w:fill="E6E6E6"/>
    </w:rPr>
  </w:style>
  <w:style w:type="paragraph" w:customStyle="1" w:styleId="Table5X">
    <w:name w:val="Table 5.X"/>
    <w:basedOn w:val="Normal"/>
    <w:next w:val="Normal"/>
    <w:rsid w:val="005C0B66"/>
    <w:pPr>
      <w:widowControl w:val="0"/>
      <w:tabs>
        <w:tab w:val="left" w:pos="1304"/>
      </w:tabs>
      <w:spacing w:before="360" w:after="120"/>
      <w:ind w:left="360" w:hanging="360"/>
    </w:pPr>
    <w:rPr>
      <w:rFonts w:ascii="Arial" w:hAnsi="Arial"/>
      <w:bCs/>
      <w:i/>
      <w:color w:val="4F4F4F"/>
      <w:kern w:val="28"/>
      <w:sz w:val="22"/>
      <w:szCs w:val="22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character" w:customStyle="1" w:styleId="Heading2Char">
    <w:name w:val="Heading 2 Char"/>
    <w:link w:val="Heading2"/>
    <w:rsid w:val="00FD22D5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1Char">
    <w:name w:val="Heading 1 Char"/>
    <w:link w:val="Heading1"/>
    <w:rsid w:val="00A57A7A"/>
    <w:rPr>
      <w:rFonts w:ascii="Arial" w:hAnsi="Arial"/>
      <w:caps/>
      <w:color w:val="1D3278"/>
      <w:kern w:val="28"/>
      <w:sz w:val="40"/>
      <w:szCs w:val="36"/>
      <w:lang w:eastAsia="en-US"/>
    </w:rPr>
  </w:style>
  <w:style w:type="paragraph" w:customStyle="1" w:styleId="StyleTable9XLeft0cmFirstline0cm">
    <w:name w:val="Style Table 9.X + Left:  0 cm First line:  0 cm"/>
    <w:basedOn w:val="Table9X"/>
    <w:rsid w:val="00D26D7E"/>
    <w:pPr>
      <w:numPr>
        <w:numId w:val="8"/>
      </w:num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Chart9XLeft0cmHanging063cm">
    <w:name w:val="Style Chart 9.X + Left:  0 cm Hanging:  0.63 cm"/>
    <w:basedOn w:val="Chart9X"/>
    <w:rsid w:val="00D954D0"/>
    <w:pPr>
      <w:numPr>
        <w:numId w:val="10"/>
      </w:numPr>
    </w:pPr>
    <w:rPr>
      <w:bCs w:val="0"/>
      <w:iCs/>
      <w:szCs w:val="20"/>
    </w:rPr>
  </w:style>
  <w:style w:type="paragraph" w:customStyle="1" w:styleId="StyleChart9XLeft0cmFirstline0cm">
    <w:name w:val="Style Chart 9.X + Left:  0 cm First line:  0 cm"/>
    <w:basedOn w:val="Chart9X"/>
    <w:rsid w:val="002D1FDE"/>
    <w:p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Arial9ptBoldCustomColorRGB37169225Firstline">
    <w:name w:val="Style Arial 9 pt Bold Custom Color(RGB(37169225)) First line:..."/>
    <w:basedOn w:val="Normal"/>
    <w:rsid w:val="00027FAD"/>
    <w:pPr>
      <w:ind w:firstLineChars="100" w:firstLine="181"/>
    </w:pPr>
    <w:rPr>
      <w:rFonts w:ascii="Arial Bold" w:hAnsi="Arial Bold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027FAD"/>
    <w:pPr>
      <w:jc w:val="right"/>
    </w:pPr>
    <w:rPr>
      <w:rFonts w:ascii="Arial Bold" w:hAnsi="Arial Bold"/>
      <w:b/>
      <w:bCs/>
      <w:color w:val="00ABE6"/>
      <w:sz w:val="18"/>
    </w:rPr>
  </w:style>
  <w:style w:type="character" w:customStyle="1" w:styleId="StyleArial9ptBoldCustomColorRGB37169225">
    <w:name w:val="Style Arial 9 pt Bold Custom Color(RGB(37169225))"/>
    <w:basedOn w:val="DefaultParagraphFont"/>
    <w:rsid w:val="00027FAD"/>
    <w:rPr>
      <w:rFonts w:ascii="Arial Bold" w:hAnsi="Arial Bold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7817A5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StyleArial9ptBoldCustomColorRGB0171230">
    <w:name w:val="Style Arial 9 pt Bold Custom Color(RGB(0171230))"/>
    <w:basedOn w:val="DefaultParagraphFont"/>
    <w:rsid w:val="003E7D44"/>
    <w:rPr>
      <w:rFonts w:ascii="Arial" w:hAnsi="Arial"/>
      <w:b/>
      <w:bCs/>
      <w:color w:val="00ABE6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D5570"/>
    <w:pPr>
      <w:keepLines/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5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55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5570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112005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06B69"/>
    <w:rPr>
      <w:b/>
      <w:bCs/>
    </w:rPr>
  </w:style>
  <w:style w:type="paragraph" w:customStyle="1" w:styleId="51Heading2">
    <w:name w:val="5.1 Heading 2"/>
    <w:basedOn w:val="Normal"/>
    <w:qFormat/>
    <w:rsid w:val="00D52673"/>
    <w:pPr>
      <w:numPr>
        <w:numId w:val="42"/>
      </w:numPr>
      <w:pBdr>
        <w:bottom w:val="single" w:sz="4" w:space="4" w:color="00ABE6"/>
      </w:pBdr>
      <w:spacing w:before="240" w:after="100"/>
      <w:ind w:left="357" w:hanging="357"/>
    </w:pPr>
    <w:rPr>
      <w:rFonts w:ascii="Arial" w:hAnsi="Arial"/>
      <w:b/>
      <w:color w:val="00ABE6"/>
      <w:sz w:val="28"/>
    </w:rPr>
  </w:style>
  <w:style w:type="character" w:styleId="UnresolvedMention">
    <w:name w:val="Unresolved Mention"/>
    <w:basedOn w:val="DefaultParagraphFont"/>
    <w:uiPriority w:val="99"/>
    <w:unhideWhenUsed/>
    <w:rsid w:val="00733C9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3C98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0C4364"/>
    <w:pPr>
      <w:spacing w:before="100" w:beforeAutospacing="1" w:after="100" w:afterAutospacing="1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5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15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9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9" Type="http://schemas.openxmlformats.org/officeDocument/2006/relationships/header" Target="header21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42" Type="http://schemas.openxmlformats.org/officeDocument/2006/relationships/header" Target="header2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37" Type="http://schemas.openxmlformats.org/officeDocument/2006/relationships/header" Target="header19.xml"/><Relationship Id="rId40" Type="http://schemas.openxmlformats.org/officeDocument/2006/relationships/footer" Target="footer8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5.xml"/><Relationship Id="rId44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43" Type="http://schemas.openxmlformats.org/officeDocument/2006/relationships/header" Target="header24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46" Type="http://schemas.openxmlformats.org/officeDocument/2006/relationships/theme" Target="theme/theme1.xml"/><Relationship Id="rId20" Type="http://schemas.openxmlformats.org/officeDocument/2006/relationships/header" Target="header6.xml"/><Relationship Id="rId41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metadata xmlns="http://www.objective.com/ecm/document/metadata/A8F43476EB784464BFCC994945052FE7" version="1.0.0">
  <systemFields>
    <field name="Objective-Id">
      <value order="0">A4329809</value>
    </field>
    <field name="Objective-Title">
      <value order="0">05 PRINTER FINAL  - Premier and Cabinet BP3 chapter</value>
    </field>
    <field name="Objective-Description">
      <value order="0"/>
    </field>
    <field name="Objective-CreationStamp">
      <value order="0">2019-06-07T23:11:05Z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2019-06-11T08:07:10Z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vA7634742</value>
    </field>
    <field name="Objective-Version">
      <value order="0">7.1</value>
    </field>
    <field name="Objective-VersionNumber">
      <value order="0">8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0FAAD9B-B744-4E87-8106-663EC2489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E845C-326A-4A49-9B41-32BAAE186987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987dd7b-ad3b-4fa3-93b7-f1b6a40c259c"/>
    <ds:schemaRef ds:uri="http://schemas.microsoft.com/office/2006/documentManagement/types"/>
    <ds:schemaRef ds:uri="9f0ac7ce-5f57-4ea0-9af7-01d4f3f1ccae"/>
    <ds:schemaRef ds:uri="be10ce44-c66e-469b-8f9a-44f6cf8d73cc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C37513-71D6-423B-889E-C109230F11A6}"/>
</file>

<file path=customXml/itemProps4.xml><?xml version="1.0" encoding="utf-8"?>
<ds:datastoreItem xmlns:ds="http://schemas.openxmlformats.org/officeDocument/2006/customXml" ds:itemID="{B6395FFA-6FDC-4EF9-A66C-74FC0F9AAB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25</Pages>
  <Words>6401</Words>
  <Characters>36088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-02 Cabinet</vt:lpstr>
    </vt:vector>
  </TitlesOfParts>
  <Company>NSW Treasury</Company>
  <LinksUpToDate>false</LinksUpToDate>
  <CharactersWithSpaces>42405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- Budget Paper No. 2 - Agency Financial Statements - 02 Cabinet</dc:title>
  <dc:subject/>
  <dc:creator>The Treasury</dc:creator>
  <cp:keywords>The Treasury</cp:keywords>
  <dc:description/>
  <cp:lastModifiedBy>Francess Lavorato</cp:lastModifiedBy>
  <cp:revision>192</cp:revision>
  <cp:lastPrinted>2020-11-04T08:18:00Z</cp:lastPrinted>
  <dcterms:created xsi:type="dcterms:W3CDTF">2022-06-10T20:12:00Z</dcterms:created>
  <dcterms:modified xsi:type="dcterms:W3CDTF">2023-09-16T05:57:00Z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A4329809</vt:lpwstr>
  </property>
  <property fmtid="{D5CDD505-2E9C-101B-9397-08002B2CF9AE}" pid="4" name="Objective-Title">
    <vt:lpwstr>05 PRINTER FINAL  - Premier and Cabinet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2019-06-11T08:07:10Z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Approval Status">
    <vt:lpwstr>Never Submitted</vt:lpwstr>
  </property>
  <property fmtid="{D5CDD505-2E9C-101B-9397-08002B2CF9AE}" pid="34" name="Objective-Document Type">
    <vt:lpwstr>Financials (FIN)</vt:lpwstr>
  </property>
  <property fmtid="{D5CDD505-2E9C-101B-9397-08002B2CF9AE}" pid="35" name="Objective-Sensitivity Label">
    <vt:lpwstr>NSW Government</vt:lpwstr>
  </property>
  <property fmtid="{D5CDD505-2E9C-101B-9397-08002B2CF9AE}" pid="36" name="Objective-Approval History">
    <vt:lpwstr/>
  </property>
  <property fmtid="{D5CDD505-2E9C-101B-9397-08002B2CF9AE}" pid="37" name="Objective-Print and Dispatch Instructions">
    <vt:lpwstr/>
  </property>
  <property fmtid="{D5CDD505-2E9C-101B-9397-08002B2CF9AE}" pid="38" name="Objective-Submitted By">
    <vt:lpwstr/>
  </property>
  <property fmtid="{D5CDD505-2E9C-101B-9397-08002B2CF9AE}" pid="39" name="Objective-Approval Due">
    <vt:lpwstr/>
  </property>
  <property fmtid="{D5CDD505-2E9C-101B-9397-08002B2CF9AE}" pid="40" name="Objective-Current Approver">
    <vt:lpwstr/>
  </property>
  <property fmtid="{D5CDD505-2E9C-101B-9397-08002B2CF9AE}" pid="41" name="Objective-Document Tag(s)">
    <vt:lpwstr/>
  </property>
  <property fmtid="{D5CDD505-2E9C-101B-9397-08002B2CF9AE}" pid="42" name="Objective-Print and Dispatch Approach">
    <vt:lpwstr/>
  </property>
  <property fmtid="{D5CDD505-2E9C-101B-9397-08002B2CF9AE}" pid="43" name="Objective-Approval Date">
    <vt:lpwstr/>
  </property>
  <property fmtid="{D5CDD505-2E9C-101B-9397-08002B2CF9AE}" pid="44" name="Objective-Sensitivity Label [system]">
    <vt:lpwstr>NSW Government</vt:lpwstr>
  </property>
  <property fmtid="{D5CDD505-2E9C-101B-9397-08002B2CF9AE}" pid="45" name="Objective-Document Type [system]">
    <vt:lpwstr>Financials (FIN)</vt:lpwstr>
  </property>
  <property fmtid="{D5CDD505-2E9C-101B-9397-08002B2CF9AE}" pid="46" name="Objective-Approval Status [system]">
    <vt:lpwstr>Never Submitted</vt:lpwstr>
  </property>
  <property fmtid="{D5CDD505-2E9C-101B-9397-08002B2CF9AE}" pid="47" name="Objective-Approval Due [system]">
    <vt:lpwstr/>
  </property>
  <property fmtid="{D5CDD505-2E9C-101B-9397-08002B2CF9AE}" pid="48" name="Objective-Approval Date [system]">
    <vt:lpwstr/>
  </property>
  <property fmtid="{D5CDD505-2E9C-101B-9397-08002B2CF9AE}" pid="49" name="Objective-Submitted By [system]">
    <vt:lpwstr/>
  </property>
  <property fmtid="{D5CDD505-2E9C-101B-9397-08002B2CF9AE}" pid="50" name="Objective-Current Approver [system]">
    <vt:lpwstr/>
  </property>
  <property fmtid="{D5CDD505-2E9C-101B-9397-08002B2CF9AE}" pid="51" name="Objective-Approval History [system]">
    <vt:lpwstr/>
  </property>
  <property fmtid="{D5CDD505-2E9C-101B-9397-08002B2CF9AE}" pid="52" name="Objective-Print and Dispatch Approach [system]">
    <vt:lpwstr/>
  </property>
  <property fmtid="{D5CDD505-2E9C-101B-9397-08002B2CF9AE}" pid="53" name="Objective-Print and Dispatch Instructions [system]">
    <vt:lpwstr/>
  </property>
  <property fmtid="{D5CDD505-2E9C-101B-9397-08002B2CF9AE}" pid="54" name="Objective-Document Tag(s) [system]">
    <vt:lpwstr/>
  </property>
  <property fmtid="{D5CDD505-2E9C-101B-9397-08002B2CF9AE}" pid="55" name="_DocHome">
    <vt:i4>-1783126090</vt:i4>
  </property>
  <property fmtid="{D5CDD505-2E9C-101B-9397-08002B2CF9AE}" pid="56" name="Objective-Shared By">
    <vt:lpwstr/>
  </property>
  <property fmtid="{D5CDD505-2E9C-101B-9397-08002B2CF9AE}" pid="57" name="Objective-Shared By [system]">
    <vt:lpwstr/>
  </property>
  <property fmtid="{D5CDD505-2E9C-101B-9397-08002B2CF9AE}" pid="58" name="ContentTypeId">
    <vt:lpwstr>0x010100F02F16F1AFBDE54EBD2685E90FE1922F</vt:lpwstr>
  </property>
  <property fmtid="{D5CDD505-2E9C-101B-9397-08002B2CF9AE}" pid="59" name="MediaServiceImageTags">
    <vt:lpwstr/>
  </property>
</Properties>
</file>