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C0784" w14:textId="4FA74386" w:rsidR="003D1D64" w:rsidRPr="00F8221C" w:rsidRDefault="009E41F4" w:rsidP="0044454B">
      <w:pPr>
        <w:pStyle w:val="BP3Heading1"/>
        <w:spacing w:after="400"/>
        <w:ind w:left="851" w:hanging="851"/>
      </w:pPr>
      <w:r w:rsidRPr="009175A7">
        <w:t>OVERVIEW</w:t>
      </w:r>
      <w:r w:rsidR="00BC36D0" w:rsidRPr="00F8221C">
        <w:t xml:space="preserve"> </w:t>
      </w:r>
    </w:p>
    <w:tbl>
      <w:tblPr>
        <w:tblW w:w="9639" w:type="dxa"/>
        <w:shd w:val="clear" w:color="auto" w:fill="F2F2F2" w:themeFill="background1" w:themeFillShade="F2"/>
        <w:tblLook w:val="04A0" w:firstRow="1" w:lastRow="0" w:firstColumn="1" w:lastColumn="0" w:noHBand="0" w:noVBand="1"/>
      </w:tblPr>
      <w:tblGrid>
        <w:gridCol w:w="9639"/>
      </w:tblGrid>
      <w:tr w:rsidR="00493ADF" w:rsidRPr="00A1397D" w14:paraId="280FB1B3" w14:textId="77777777" w:rsidTr="002465E6">
        <w:trPr>
          <w:trHeight w:val="95"/>
        </w:trPr>
        <w:tc>
          <w:tcPr>
            <w:tcW w:w="9639" w:type="dxa"/>
            <w:shd w:val="clear" w:color="auto" w:fill="F2F2F2" w:themeFill="background1" w:themeFillShade="F2"/>
          </w:tcPr>
          <w:p w14:paraId="5AC33A2A" w14:textId="0821F25E" w:rsidR="00A607E0" w:rsidRPr="00114D41" w:rsidRDefault="002D37CD" w:rsidP="00B22119">
            <w:pPr>
              <w:pStyle w:val="BP3BodyText"/>
            </w:pPr>
            <w:bookmarkStart w:id="0" w:name="_Hlk514493407"/>
            <w:bookmarkStart w:id="1" w:name="_Toc481587875"/>
            <w:r w:rsidRPr="00114D41">
              <w:t xml:space="preserve">The </w:t>
            </w:r>
            <w:r w:rsidR="0012111A" w:rsidRPr="00114D41">
              <w:t>2023-24</w:t>
            </w:r>
            <w:r w:rsidRPr="00114D41">
              <w:t xml:space="preserve"> Budget</w:t>
            </w:r>
            <w:r w:rsidR="00FB6CAA" w:rsidRPr="00114D41">
              <w:t xml:space="preserve"> provides for </w:t>
            </w:r>
            <w:r w:rsidR="006276E5" w:rsidRPr="00114D41">
              <w:t xml:space="preserve">a </w:t>
            </w:r>
            <w:r w:rsidR="0012111A" w:rsidRPr="00114D41">
              <w:t>$</w:t>
            </w:r>
            <w:r w:rsidR="002E6E26">
              <w:t>116.5</w:t>
            </w:r>
            <w:r w:rsidR="00A95A66" w:rsidRPr="00114D41">
              <w:t xml:space="preserve"> billion</w:t>
            </w:r>
            <w:r w:rsidR="00FB6CAA" w:rsidRPr="00114D41">
              <w:t xml:space="preserve"> </w:t>
            </w:r>
            <w:r w:rsidR="00995AAE" w:rsidRPr="00114D41">
              <w:t>investment</w:t>
            </w:r>
            <w:r w:rsidR="00CC1B76" w:rsidRPr="00114D41">
              <w:t xml:space="preserve"> </w:t>
            </w:r>
            <w:r w:rsidR="00947187">
              <w:t xml:space="preserve">in public </w:t>
            </w:r>
            <w:r w:rsidR="00FB6CAA" w:rsidRPr="00114D41">
              <w:t xml:space="preserve">infrastructure </w:t>
            </w:r>
            <w:r w:rsidR="00E857B6" w:rsidRPr="00114D41" w:rsidDel="001E16A7">
              <w:t xml:space="preserve">over </w:t>
            </w:r>
            <w:r w:rsidR="004D6A8F" w:rsidRPr="00114D41">
              <w:t>four</w:t>
            </w:r>
            <w:r w:rsidR="00E857B6" w:rsidRPr="00114D41" w:rsidDel="001E16A7">
              <w:t xml:space="preserve"> years</w:t>
            </w:r>
            <w:r w:rsidR="00FB6CAA" w:rsidRPr="00114D41" w:rsidDel="001E16A7">
              <w:t xml:space="preserve"> </w:t>
            </w:r>
            <w:r w:rsidR="0012111A" w:rsidRPr="00114D41">
              <w:t xml:space="preserve">to deliver </w:t>
            </w:r>
            <w:r w:rsidR="00947187">
              <w:t>new schools</w:t>
            </w:r>
            <w:r w:rsidR="00510CF3">
              <w:t xml:space="preserve">, </w:t>
            </w:r>
            <w:proofErr w:type="gramStart"/>
            <w:r w:rsidR="00947187">
              <w:t>hospitals</w:t>
            </w:r>
            <w:proofErr w:type="gramEnd"/>
            <w:r w:rsidR="00510CF3">
              <w:t xml:space="preserve"> and transpo</w:t>
            </w:r>
            <w:r w:rsidR="000A2B73">
              <w:t>rt projects</w:t>
            </w:r>
            <w:r w:rsidR="00B41F6D">
              <w:t>,</w:t>
            </w:r>
            <w:r w:rsidR="0012111A" w:rsidRPr="00114D41">
              <w:t xml:space="preserve"> and </w:t>
            </w:r>
            <w:r w:rsidR="00E22153" w:rsidRPr="00114D41">
              <w:t>catalyse</w:t>
            </w:r>
            <w:r w:rsidR="000A4B32" w:rsidRPr="00114D41">
              <w:t xml:space="preserve"> housing</w:t>
            </w:r>
            <w:r w:rsidR="00872506" w:rsidRPr="00114D41">
              <w:t xml:space="preserve"> supply</w:t>
            </w:r>
            <w:r w:rsidR="00714B9C" w:rsidRPr="00114D41">
              <w:t>.</w:t>
            </w:r>
          </w:p>
          <w:p w14:paraId="61301927" w14:textId="393F4B65" w:rsidR="00ED15D3" w:rsidRPr="005D268D" w:rsidRDefault="00A90052" w:rsidP="00B22119">
            <w:pPr>
              <w:pStyle w:val="BP3BodyText"/>
            </w:pPr>
            <w:r>
              <w:t>The infrastructure program has been targeted to</w:t>
            </w:r>
            <w:r w:rsidR="0002321A">
              <w:t>ward</w:t>
            </w:r>
            <w:r>
              <w:t xml:space="preserve"> essential services</w:t>
            </w:r>
            <w:r w:rsidR="00B2307B">
              <w:t xml:space="preserve"> through the Essential Infrastructure Plan</w:t>
            </w:r>
            <w:r>
              <w:t xml:space="preserve">, </w:t>
            </w:r>
            <w:r w:rsidR="00A11D7A">
              <w:t xml:space="preserve">with </w:t>
            </w:r>
            <w:r w:rsidR="0022768E">
              <w:t>additional funding for</w:t>
            </w:r>
            <w:r>
              <w:t xml:space="preserve"> new school</w:t>
            </w:r>
            <w:r w:rsidR="0052716B">
              <w:t>s</w:t>
            </w:r>
            <w:r>
              <w:t>, hospital</w:t>
            </w:r>
            <w:r w:rsidR="0052716B">
              <w:t>s</w:t>
            </w:r>
            <w:r>
              <w:t xml:space="preserve">, </w:t>
            </w:r>
            <w:proofErr w:type="gramStart"/>
            <w:r>
              <w:t>transport</w:t>
            </w:r>
            <w:proofErr w:type="gramEnd"/>
            <w:r>
              <w:t xml:space="preserve"> and </w:t>
            </w:r>
            <w:r w:rsidR="00314B12">
              <w:t xml:space="preserve">clean </w:t>
            </w:r>
            <w:r>
              <w:t xml:space="preserve">energy projects </w:t>
            </w:r>
            <w:r w:rsidR="004D743C">
              <w:t>across the State.</w:t>
            </w:r>
            <w:r>
              <w:t xml:space="preserve"> </w:t>
            </w:r>
            <w:r w:rsidR="001736B8">
              <w:t>The Essential Infrastructure plan</w:t>
            </w:r>
            <w:r w:rsidR="00C14F85" w:rsidRPr="001422F6">
              <w:t xml:space="preserve"> </w:t>
            </w:r>
            <w:r w:rsidR="00D96FF1" w:rsidRPr="001422F6">
              <w:t xml:space="preserve">is being </w:t>
            </w:r>
            <w:r w:rsidR="001736B8">
              <w:t>delivered</w:t>
            </w:r>
            <w:r w:rsidR="00C14F85" w:rsidRPr="001422F6">
              <w:t xml:space="preserve"> without privatising any public assets.</w:t>
            </w:r>
          </w:p>
          <w:tbl>
            <w:tblPr>
              <w:tblW w:w="8789" w:type="dxa"/>
              <w:tblLook w:val="04A0" w:firstRow="1" w:lastRow="0" w:firstColumn="1" w:lastColumn="0" w:noHBand="0" w:noVBand="1"/>
            </w:tblPr>
            <w:tblGrid>
              <w:gridCol w:w="1397"/>
              <w:gridCol w:w="2998"/>
              <w:gridCol w:w="1417"/>
              <w:gridCol w:w="2977"/>
            </w:tblGrid>
            <w:tr w:rsidR="005D155F" w:rsidRPr="00AD0FC4" w14:paraId="0B8BC3AE" w14:textId="77777777" w:rsidTr="00483755">
              <w:tc>
                <w:tcPr>
                  <w:tcW w:w="8789" w:type="dxa"/>
                  <w:gridSpan w:val="4"/>
                  <w:tcBorders>
                    <w:top w:val="nil"/>
                    <w:left w:val="nil"/>
                    <w:bottom w:val="nil"/>
                    <w:right w:val="nil"/>
                  </w:tcBorders>
                </w:tcPr>
                <w:p w14:paraId="1BCC66AD" w14:textId="0C1126A0" w:rsidR="005D155F" w:rsidRPr="007F33D2" w:rsidRDefault="005D155F" w:rsidP="005D155F">
                  <w:pPr>
                    <w:jc w:val="center"/>
                    <w:rPr>
                      <w:rFonts w:ascii="Public Sans" w:hAnsi="Public Sans"/>
                      <w:color w:val="006AB5" w:themeColor="accent1"/>
                      <w:sz w:val="40"/>
                      <w:szCs w:val="40"/>
                    </w:rPr>
                  </w:pPr>
                  <w:r w:rsidRPr="007F33D2">
                    <w:rPr>
                      <w:rFonts w:ascii="Public Sans" w:hAnsi="Public Sans" w:cs="Arial"/>
                      <w:color w:val="002664" w:themeColor="text2"/>
                      <w:sz w:val="40"/>
                      <w:szCs w:val="40"/>
                    </w:rPr>
                    <w:t>$</w:t>
                  </w:r>
                  <w:r w:rsidR="002E6E26">
                    <w:rPr>
                      <w:rFonts w:ascii="Public Sans" w:hAnsi="Public Sans" w:cs="Arial"/>
                      <w:color w:val="002664" w:themeColor="text2"/>
                      <w:sz w:val="40"/>
                      <w:szCs w:val="40"/>
                    </w:rPr>
                    <w:t>116.5</w:t>
                  </w:r>
                  <w:r w:rsidRPr="007F33D2">
                    <w:rPr>
                      <w:rFonts w:ascii="Public Sans" w:hAnsi="Public Sans" w:cs="Arial"/>
                      <w:color w:val="002664" w:themeColor="text2"/>
                      <w:sz w:val="40"/>
                      <w:szCs w:val="40"/>
                    </w:rPr>
                    <w:t xml:space="preserve"> billion </w:t>
                  </w:r>
                  <w:r w:rsidR="00AA58C9">
                    <w:rPr>
                      <w:rFonts w:ascii="Public Sans" w:hAnsi="Public Sans" w:cs="Arial"/>
                      <w:color w:val="002664" w:themeColor="text2"/>
                      <w:sz w:val="40"/>
                      <w:szCs w:val="40"/>
                    </w:rPr>
                    <w:t>Essential Infrastructure Plan</w:t>
                  </w:r>
                </w:p>
              </w:tc>
            </w:tr>
            <w:tr w:rsidR="005D155F" w:rsidRPr="00AD0FC4" w14:paraId="4AF6A820" w14:textId="77777777" w:rsidTr="00483755">
              <w:trPr>
                <w:trHeight w:val="69"/>
              </w:trPr>
              <w:tc>
                <w:tcPr>
                  <w:tcW w:w="1397" w:type="dxa"/>
                  <w:tcBorders>
                    <w:top w:val="nil"/>
                    <w:left w:val="nil"/>
                    <w:bottom w:val="nil"/>
                    <w:right w:val="nil"/>
                  </w:tcBorders>
                  <w:vAlign w:val="center"/>
                </w:tcPr>
                <w:p w14:paraId="0BDEB2F8" w14:textId="77777777" w:rsidR="005D155F" w:rsidRPr="00AD0FC4" w:rsidRDefault="005D155F" w:rsidP="005D155F">
                  <w:pPr>
                    <w:spacing w:before="100" w:beforeAutospacing="1" w:after="100" w:afterAutospacing="1"/>
                    <w:jc w:val="center"/>
                    <w:rPr>
                      <w:rFonts w:ascii="Arial" w:hAnsi="Arial" w:cs="Arial"/>
                      <w:noProof/>
                      <w:color w:val="90CEF0" w:themeColor="accent2"/>
                    </w:rPr>
                  </w:pPr>
                </w:p>
              </w:tc>
              <w:tc>
                <w:tcPr>
                  <w:tcW w:w="2998" w:type="dxa"/>
                  <w:tcBorders>
                    <w:top w:val="nil"/>
                    <w:left w:val="nil"/>
                    <w:bottom w:val="nil"/>
                    <w:right w:val="nil"/>
                  </w:tcBorders>
                </w:tcPr>
                <w:p w14:paraId="798495E1" w14:textId="77777777" w:rsidR="005D155F" w:rsidRPr="00AD0FC4" w:rsidRDefault="005D155F" w:rsidP="005D155F">
                  <w:pPr>
                    <w:spacing w:before="100" w:beforeAutospacing="1" w:after="100" w:afterAutospacing="1"/>
                    <w:jc w:val="center"/>
                    <w:rPr>
                      <w:rFonts w:ascii="Arial" w:hAnsi="Arial" w:cs="Arial"/>
                      <w:noProof/>
                      <w:color w:val="90CEF0" w:themeColor="accent2"/>
                    </w:rPr>
                  </w:pPr>
                </w:p>
              </w:tc>
              <w:tc>
                <w:tcPr>
                  <w:tcW w:w="1417" w:type="dxa"/>
                  <w:tcBorders>
                    <w:top w:val="nil"/>
                    <w:left w:val="nil"/>
                    <w:bottom w:val="nil"/>
                    <w:right w:val="nil"/>
                  </w:tcBorders>
                  <w:vAlign w:val="center"/>
                </w:tcPr>
                <w:p w14:paraId="6E76C502" w14:textId="77777777" w:rsidR="005D155F" w:rsidRPr="00AD0FC4" w:rsidRDefault="005D155F" w:rsidP="005D155F">
                  <w:pPr>
                    <w:spacing w:before="100" w:beforeAutospacing="1" w:after="100" w:afterAutospacing="1"/>
                    <w:jc w:val="center"/>
                    <w:rPr>
                      <w:rFonts w:ascii="Arial" w:hAnsi="Arial" w:cs="Arial"/>
                      <w:noProof/>
                      <w:color w:val="90CEF0" w:themeColor="accent2"/>
                    </w:rPr>
                  </w:pPr>
                </w:p>
              </w:tc>
              <w:tc>
                <w:tcPr>
                  <w:tcW w:w="2977" w:type="dxa"/>
                  <w:tcBorders>
                    <w:top w:val="nil"/>
                    <w:left w:val="nil"/>
                    <w:bottom w:val="nil"/>
                    <w:right w:val="nil"/>
                  </w:tcBorders>
                </w:tcPr>
                <w:p w14:paraId="5D70C9B2" w14:textId="77777777" w:rsidR="005D155F" w:rsidRPr="00AD0FC4" w:rsidRDefault="005D155F" w:rsidP="005D155F">
                  <w:pPr>
                    <w:spacing w:before="100" w:beforeAutospacing="1" w:after="100" w:afterAutospacing="1"/>
                    <w:jc w:val="center"/>
                    <w:rPr>
                      <w:rFonts w:ascii="Arial" w:hAnsi="Arial" w:cs="Arial"/>
                      <w:noProof/>
                      <w:color w:val="90CEF0" w:themeColor="accent2"/>
                    </w:rPr>
                  </w:pPr>
                </w:p>
              </w:tc>
            </w:tr>
            <w:tr w:rsidR="005D155F" w:rsidRPr="007F33D2" w14:paraId="5AAB823B" w14:textId="77777777" w:rsidTr="00E40AE0">
              <w:trPr>
                <w:trHeight w:val="1763"/>
              </w:trPr>
              <w:tc>
                <w:tcPr>
                  <w:tcW w:w="1397" w:type="dxa"/>
                  <w:tcBorders>
                    <w:top w:val="nil"/>
                    <w:left w:val="single" w:sz="4" w:space="0" w:color="006AB5" w:themeColor="accent1"/>
                    <w:bottom w:val="nil"/>
                    <w:right w:val="nil"/>
                  </w:tcBorders>
                  <w:vAlign w:val="center"/>
                </w:tcPr>
                <w:p w14:paraId="739CB421" w14:textId="1CD3CE3B" w:rsidR="005D155F" w:rsidRPr="007F33D2" w:rsidRDefault="003E7F4B" w:rsidP="005D155F">
                  <w:pPr>
                    <w:jc w:val="center"/>
                    <w:rPr>
                      <w:rFonts w:ascii="Public Sans" w:hAnsi="Public Sans" w:cs="Arial"/>
                    </w:rPr>
                  </w:pPr>
                  <w:r w:rsidRPr="007F33D2">
                    <w:rPr>
                      <w:rFonts w:ascii="Public Sans" w:hAnsi="Public Sans" w:cs="Arial"/>
                      <w:noProof/>
                      <w:color w:val="90CEF0" w:themeColor="accent2"/>
                    </w:rPr>
                    <w:drawing>
                      <wp:inline distT="0" distB="0" distL="0" distR="0" wp14:anchorId="049B6017" wp14:editId="57C1FDBD">
                        <wp:extent cx="749809" cy="74980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1">
                                  <a:extLst>
                                    <a:ext uri="{28A0092B-C50C-407E-A947-70E740481C1C}">
                                      <a14:useLocalDpi xmlns:a14="http://schemas.microsoft.com/office/drawing/2010/main" val="0"/>
                                    </a:ext>
                                  </a:extLst>
                                </a:blip>
                                <a:stretch>
                                  <a:fillRect/>
                                </a:stretch>
                              </pic:blipFill>
                              <pic:spPr>
                                <a:xfrm>
                                  <a:off x="0" y="0"/>
                                  <a:ext cx="749809" cy="749809"/>
                                </a:xfrm>
                                <a:prstGeom prst="rect">
                                  <a:avLst/>
                                </a:prstGeom>
                              </pic:spPr>
                            </pic:pic>
                          </a:graphicData>
                        </a:graphic>
                      </wp:inline>
                    </w:drawing>
                  </w:r>
                </w:p>
              </w:tc>
              <w:tc>
                <w:tcPr>
                  <w:tcW w:w="2998" w:type="dxa"/>
                  <w:tcBorders>
                    <w:top w:val="nil"/>
                    <w:left w:val="nil"/>
                    <w:bottom w:val="nil"/>
                    <w:right w:val="single" w:sz="4" w:space="0" w:color="006AB5" w:themeColor="accent1"/>
                  </w:tcBorders>
                </w:tcPr>
                <w:p w14:paraId="48301C05" w14:textId="090384F8" w:rsidR="003E7F4B" w:rsidRPr="007F33D2" w:rsidRDefault="003E7F4B" w:rsidP="003E7F4B">
                  <w:pPr>
                    <w:pStyle w:val="BP3BodyText"/>
                  </w:pPr>
                  <w:r w:rsidRPr="007F33D2">
                    <w:t>Hospitals and health facilities</w:t>
                  </w:r>
                  <w:r w:rsidRPr="007F33D2">
                    <w:rPr>
                      <w:vertAlign w:val="superscript"/>
                    </w:rPr>
                    <w:t>1</w:t>
                  </w:r>
                </w:p>
                <w:p w14:paraId="326158D8" w14:textId="58207147" w:rsidR="005D155F" w:rsidRPr="007F33D2" w:rsidRDefault="005D155F" w:rsidP="005D155F">
                  <w:pPr>
                    <w:rPr>
                      <w:rFonts w:ascii="Public Sans" w:hAnsi="Public Sans" w:cs="Arial"/>
                    </w:rPr>
                  </w:pPr>
                  <w:r w:rsidRPr="007F33D2">
                    <w:rPr>
                      <w:rFonts w:ascii="Public Sans" w:hAnsi="Public Sans" w:cs="Arial"/>
                      <w:color w:val="002664" w:themeColor="text2"/>
                      <w:sz w:val="40"/>
                      <w:szCs w:val="40"/>
                    </w:rPr>
                    <w:t>$</w:t>
                  </w:r>
                  <w:r w:rsidR="00DC7F3A">
                    <w:rPr>
                      <w:rFonts w:ascii="Public Sans" w:hAnsi="Public Sans" w:cs="Arial"/>
                      <w:color w:val="002664" w:themeColor="text2"/>
                      <w:sz w:val="40"/>
                      <w:szCs w:val="40"/>
                    </w:rPr>
                    <w:t>13.8</w:t>
                  </w:r>
                  <w:r w:rsidRPr="007F33D2">
                    <w:rPr>
                      <w:rFonts w:ascii="Public Sans" w:hAnsi="Public Sans" w:cs="Arial"/>
                      <w:color w:val="002664" w:themeColor="text2"/>
                      <w:sz w:val="40"/>
                      <w:szCs w:val="40"/>
                    </w:rPr>
                    <w:t xml:space="preserve"> billion</w:t>
                  </w:r>
                </w:p>
              </w:tc>
              <w:tc>
                <w:tcPr>
                  <w:tcW w:w="1417" w:type="dxa"/>
                  <w:tcBorders>
                    <w:top w:val="nil"/>
                    <w:left w:val="single" w:sz="4" w:space="0" w:color="006AB5" w:themeColor="accent1"/>
                    <w:bottom w:val="nil"/>
                    <w:right w:val="nil"/>
                  </w:tcBorders>
                  <w:vAlign w:val="center"/>
                </w:tcPr>
                <w:p w14:paraId="5B9A1795" w14:textId="087F804C" w:rsidR="005D155F" w:rsidRPr="007F33D2" w:rsidRDefault="003E7F4B" w:rsidP="005D155F">
                  <w:pPr>
                    <w:jc w:val="center"/>
                    <w:rPr>
                      <w:rFonts w:ascii="Public Sans" w:hAnsi="Public Sans" w:cs="Arial"/>
                    </w:rPr>
                  </w:pPr>
                  <w:r w:rsidRPr="007F33D2">
                    <w:rPr>
                      <w:rFonts w:ascii="Public Sans" w:hAnsi="Public Sans" w:cs="Arial"/>
                      <w:noProof/>
                      <w:color w:val="90CEF0" w:themeColor="accent2"/>
                    </w:rPr>
                    <w:drawing>
                      <wp:inline distT="0" distB="0" distL="0" distR="0" wp14:anchorId="1E698DA6" wp14:editId="526BC8F5">
                        <wp:extent cx="749809" cy="74980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2">
                                  <a:extLst>
                                    <a:ext uri="{28A0092B-C50C-407E-A947-70E740481C1C}">
                                      <a14:useLocalDpi xmlns:a14="http://schemas.microsoft.com/office/drawing/2010/main" val="0"/>
                                    </a:ext>
                                  </a:extLst>
                                </a:blip>
                                <a:stretch>
                                  <a:fillRect/>
                                </a:stretch>
                              </pic:blipFill>
                              <pic:spPr>
                                <a:xfrm>
                                  <a:off x="0" y="0"/>
                                  <a:ext cx="749809" cy="749809"/>
                                </a:xfrm>
                                <a:prstGeom prst="rect">
                                  <a:avLst/>
                                </a:prstGeom>
                              </pic:spPr>
                            </pic:pic>
                          </a:graphicData>
                        </a:graphic>
                      </wp:inline>
                    </w:drawing>
                  </w:r>
                </w:p>
              </w:tc>
              <w:tc>
                <w:tcPr>
                  <w:tcW w:w="2977" w:type="dxa"/>
                  <w:tcBorders>
                    <w:top w:val="nil"/>
                    <w:left w:val="nil"/>
                    <w:bottom w:val="nil"/>
                    <w:right w:val="nil"/>
                  </w:tcBorders>
                </w:tcPr>
                <w:p w14:paraId="0C094CED" w14:textId="77777777" w:rsidR="003E7F4B" w:rsidRPr="007F33D2" w:rsidRDefault="003E7F4B" w:rsidP="003E7F4B">
                  <w:pPr>
                    <w:pStyle w:val="BP3BodyText"/>
                  </w:pPr>
                  <w:r w:rsidRPr="007F33D2">
                    <w:t>Schools and educational facilities</w:t>
                  </w:r>
                </w:p>
                <w:p w14:paraId="06BB4DFC" w14:textId="35EB97E2" w:rsidR="005D155F" w:rsidRPr="007F33D2" w:rsidRDefault="005D155F" w:rsidP="005D155F">
                  <w:pPr>
                    <w:rPr>
                      <w:rFonts w:ascii="Public Sans" w:hAnsi="Public Sans" w:cs="Arial"/>
                      <w:sz w:val="36"/>
                      <w:szCs w:val="36"/>
                    </w:rPr>
                  </w:pPr>
                  <w:r w:rsidRPr="007F33D2">
                    <w:rPr>
                      <w:rFonts w:ascii="Public Sans" w:hAnsi="Public Sans" w:cs="Arial"/>
                      <w:color w:val="002664" w:themeColor="text2"/>
                      <w:sz w:val="40"/>
                      <w:szCs w:val="40"/>
                    </w:rPr>
                    <w:t>$</w:t>
                  </w:r>
                  <w:r w:rsidR="00DC7F3A">
                    <w:rPr>
                      <w:rFonts w:ascii="Public Sans" w:hAnsi="Public Sans" w:cs="Arial"/>
                      <w:color w:val="002664" w:themeColor="text2"/>
                      <w:sz w:val="40"/>
                      <w:szCs w:val="40"/>
                    </w:rPr>
                    <w:t>9.8</w:t>
                  </w:r>
                  <w:r w:rsidRPr="007F33D2">
                    <w:rPr>
                      <w:rFonts w:ascii="Public Sans" w:hAnsi="Public Sans" w:cs="Arial"/>
                      <w:color w:val="002664" w:themeColor="text2"/>
                      <w:sz w:val="40"/>
                      <w:szCs w:val="40"/>
                    </w:rPr>
                    <w:t xml:space="preserve"> billion</w:t>
                  </w:r>
                </w:p>
              </w:tc>
            </w:tr>
            <w:tr w:rsidR="005D155F" w:rsidRPr="007F33D2" w14:paraId="193A20C8" w14:textId="77777777" w:rsidTr="00483755">
              <w:trPr>
                <w:trHeight w:val="69"/>
              </w:trPr>
              <w:tc>
                <w:tcPr>
                  <w:tcW w:w="1397" w:type="dxa"/>
                  <w:tcBorders>
                    <w:top w:val="nil"/>
                    <w:left w:val="nil"/>
                    <w:bottom w:val="nil"/>
                    <w:right w:val="nil"/>
                  </w:tcBorders>
                  <w:vAlign w:val="center"/>
                </w:tcPr>
                <w:p w14:paraId="00AFE86E" w14:textId="77777777" w:rsidR="005D155F" w:rsidRPr="007F33D2" w:rsidRDefault="005D155F" w:rsidP="005D155F">
                  <w:pPr>
                    <w:spacing w:before="100" w:beforeAutospacing="1" w:after="100" w:afterAutospacing="1"/>
                    <w:jc w:val="center"/>
                    <w:rPr>
                      <w:rFonts w:ascii="Public Sans" w:hAnsi="Public Sans" w:cs="Arial"/>
                      <w:noProof/>
                      <w:color w:val="90CEF0" w:themeColor="accent2"/>
                    </w:rPr>
                  </w:pPr>
                </w:p>
              </w:tc>
              <w:tc>
                <w:tcPr>
                  <w:tcW w:w="2998" w:type="dxa"/>
                  <w:tcBorders>
                    <w:top w:val="nil"/>
                    <w:left w:val="nil"/>
                    <w:bottom w:val="nil"/>
                    <w:right w:val="nil"/>
                  </w:tcBorders>
                </w:tcPr>
                <w:p w14:paraId="77747303" w14:textId="77777777" w:rsidR="005D155F" w:rsidRPr="007F33D2" w:rsidRDefault="005D155F" w:rsidP="0025545C">
                  <w:pPr>
                    <w:pStyle w:val="BP3BoxText"/>
                  </w:pPr>
                </w:p>
              </w:tc>
              <w:tc>
                <w:tcPr>
                  <w:tcW w:w="1417" w:type="dxa"/>
                  <w:tcBorders>
                    <w:top w:val="nil"/>
                    <w:left w:val="nil"/>
                    <w:bottom w:val="nil"/>
                    <w:right w:val="nil"/>
                  </w:tcBorders>
                </w:tcPr>
                <w:p w14:paraId="496D3CFE" w14:textId="77777777" w:rsidR="005D155F" w:rsidRPr="007F33D2" w:rsidRDefault="005D155F" w:rsidP="005D155F">
                  <w:pPr>
                    <w:spacing w:before="100" w:beforeAutospacing="1" w:after="100" w:afterAutospacing="1"/>
                    <w:rPr>
                      <w:rFonts w:ascii="Public Sans" w:hAnsi="Public Sans" w:cs="Arial"/>
                    </w:rPr>
                  </w:pPr>
                </w:p>
              </w:tc>
              <w:tc>
                <w:tcPr>
                  <w:tcW w:w="2977" w:type="dxa"/>
                  <w:tcBorders>
                    <w:top w:val="nil"/>
                    <w:left w:val="nil"/>
                    <w:bottom w:val="nil"/>
                    <w:right w:val="nil"/>
                  </w:tcBorders>
                </w:tcPr>
                <w:p w14:paraId="7EC9A7DF" w14:textId="77777777" w:rsidR="005D155F" w:rsidRPr="007F33D2" w:rsidRDefault="005D155F" w:rsidP="005D155F">
                  <w:pPr>
                    <w:spacing w:before="100" w:beforeAutospacing="1" w:after="100" w:afterAutospacing="1"/>
                    <w:rPr>
                      <w:rFonts w:ascii="Public Sans" w:hAnsi="Public Sans" w:cs="Arial"/>
                    </w:rPr>
                  </w:pPr>
                </w:p>
              </w:tc>
            </w:tr>
            <w:tr w:rsidR="005D155F" w:rsidRPr="007F33D2" w14:paraId="1B9AB696" w14:textId="77777777" w:rsidTr="005C3D3C">
              <w:trPr>
                <w:trHeight w:val="1695"/>
              </w:trPr>
              <w:tc>
                <w:tcPr>
                  <w:tcW w:w="1397" w:type="dxa"/>
                  <w:tcBorders>
                    <w:top w:val="nil"/>
                    <w:left w:val="single" w:sz="4" w:space="0" w:color="006AB5" w:themeColor="accent1"/>
                    <w:bottom w:val="nil"/>
                    <w:right w:val="nil"/>
                  </w:tcBorders>
                  <w:vAlign w:val="center"/>
                </w:tcPr>
                <w:p w14:paraId="66085B6A" w14:textId="7E153A65" w:rsidR="005D155F" w:rsidRPr="007F33D2" w:rsidRDefault="003E7F4B" w:rsidP="005D155F">
                  <w:pPr>
                    <w:jc w:val="center"/>
                    <w:rPr>
                      <w:rFonts w:ascii="Public Sans" w:hAnsi="Public Sans" w:cs="Arial"/>
                    </w:rPr>
                  </w:pPr>
                  <w:r w:rsidRPr="007F33D2">
                    <w:rPr>
                      <w:rFonts w:ascii="Public Sans" w:hAnsi="Public Sans" w:cs="Arial"/>
                      <w:noProof/>
                      <w:color w:val="90CEF0" w:themeColor="accent2"/>
                    </w:rPr>
                    <w:drawing>
                      <wp:inline distT="0" distB="0" distL="0" distR="0" wp14:anchorId="0F6E369F" wp14:editId="1232240B">
                        <wp:extent cx="749300" cy="749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749300" cy="749300"/>
                                </a:xfrm>
                                <a:prstGeom prst="rect">
                                  <a:avLst/>
                                </a:prstGeom>
                              </pic:spPr>
                            </pic:pic>
                          </a:graphicData>
                        </a:graphic>
                      </wp:inline>
                    </w:drawing>
                  </w:r>
                </w:p>
              </w:tc>
              <w:tc>
                <w:tcPr>
                  <w:tcW w:w="2998" w:type="dxa"/>
                  <w:tcBorders>
                    <w:top w:val="nil"/>
                    <w:left w:val="nil"/>
                    <w:bottom w:val="nil"/>
                    <w:right w:val="single" w:sz="4" w:space="0" w:color="006AB5" w:themeColor="accent1"/>
                  </w:tcBorders>
                </w:tcPr>
                <w:p w14:paraId="289D68E7" w14:textId="17113459" w:rsidR="003E7F4B" w:rsidRPr="007F33D2" w:rsidRDefault="003E7F4B" w:rsidP="003E7F4B">
                  <w:pPr>
                    <w:pStyle w:val="BP3BodyText"/>
                  </w:pPr>
                  <w:r w:rsidRPr="007F33D2">
                    <w:t xml:space="preserve">Transport </w:t>
                  </w:r>
                </w:p>
                <w:p w14:paraId="5127C3BB" w14:textId="28EC63F0" w:rsidR="005D155F" w:rsidRPr="007F33D2" w:rsidRDefault="005D155F" w:rsidP="005D155F">
                  <w:pPr>
                    <w:rPr>
                      <w:rFonts w:ascii="Public Sans" w:hAnsi="Public Sans" w:cs="Arial"/>
                    </w:rPr>
                  </w:pPr>
                  <w:r w:rsidRPr="007F33D2">
                    <w:rPr>
                      <w:rFonts w:ascii="Public Sans" w:hAnsi="Public Sans" w:cs="Arial"/>
                      <w:color w:val="002664" w:themeColor="text2"/>
                      <w:sz w:val="40"/>
                      <w:szCs w:val="40"/>
                    </w:rPr>
                    <w:t>$</w:t>
                  </w:r>
                  <w:r w:rsidR="00D960C5">
                    <w:rPr>
                      <w:rFonts w:ascii="Public Sans" w:hAnsi="Public Sans" w:cs="Arial"/>
                      <w:color w:val="002664" w:themeColor="text2"/>
                      <w:sz w:val="40"/>
                      <w:szCs w:val="40"/>
                    </w:rPr>
                    <w:t>72.</w:t>
                  </w:r>
                  <w:r w:rsidR="008E331B">
                    <w:rPr>
                      <w:rFonts w:ascii="Public Sans" w:hAnsi="Public Sans" w:cs="Arial"/>
                      <w:color w:val="002664" w:themeColor="text2"/>
                      <w:sz w:val="40"/>
                      <w:szCs w:val="40"/>
                    </w:rPr>
                    <w:t>3</w:t>
                  </w:r>
                  <w:r w:rsidRPr="007F33D2">
                    <w:rPr>
                      <w:rFonts w:ascii="Public Sans" w:hAnsi="Public Sans" w:cs="Arial"/>
                      <w:color w:val="002664" w:themeColor="text2"/>
                      <w:sz w:val="40"/>
                      <w:szCs w:val="40"/>
                    </w:rPr>
                    <w:t xml:space="preserve"> billion</w:t>
                  </w:r>
                </w:p>
              </w:tc>
              <w:tc>
                <w:tcPr>
                  <w:tcW w:w="1417" w:type="dxa"/>
                  <w:tcBorders>
                    <w:top w:val="nil"/>
                    <w:left w:val="single" w:sz="4" w:space="0" w:color="006AB5" w:themeColor="accent1"/>
                    <w:bottom w:val="nil"/>
                    <w:right w:val="nil"/>
                  </w:tcBorders>
                  <w:vAlign w:val="center"/>
                </w:tcPr>
                <w:p w14:paraId="7D8CB964" w14:textId="01359DBB" w:rsidR="005D155F" w:rsidRPr="007F33D2" w:rsidRDefault="00E26D83" w:rsidP="005D155F">
                  <w:pPr>
                    <w:rPr>
                      <w:rFonts w:ascii="Public Sans" w:hAnsi="Public Sans" w:cs="Arial"/>
                    </w:rPr>
                  </w:pPr>
                  <w:r>
                    <w:rPr>
                      <w:rFonts w:ascii="Public Sans" w:hAnsi="Public Sans" w:cs="Arial"/>
                      <w:noProof/>
                    </w:rPr>
                    <w:drawing>
                      <wp:inline distT="0" distB="0" distL="0" distR="0" wp14:anchorId="00F0C629" wp14:editId="41EEDEEF">
                        <wp:extent cx="758954" cy="749809"/>
                        <wp:effectExtent l="0" t="0" r="3175" b="0"/>
                        <wp:docPr id="8" name="Picture 8" descr="A light bulb with a lightning bolt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light bulb with a lightning bolt in the middl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758954" cy="749809"/>
                                </a:xfrm>
                                <a:prstGeom prst="rect">
                                  <a:avLst/>
                                </a:prstGeom>
                              </pic:spPr>
                            </pic:pic>
                          </a:graphicData>
                        </a:graphic>
                      </wp:inline>
                    </w:drawing>
                  </w:r>
                </w:p>
              </w:tc>
              <w:tc>
                <w:tcPr>
                  <w:tcW w:w="2977" w:type="dxa"/>
                  <w:tcBorders>
                    <w:top w:val="nil"/>
                    <w:left w:val="nil"/>
                    <w:bottom w:val="nil"/>
                    <w:right w:val="nil"/>
                  </w:tcBorders>
                </w:tcPr>
                <w:p w14:paraId="5BDA97F6" w14:textId="50A5114B" w:rsidR="003E7F4B" w:rsidRPr="007F33D2" w:rsidRDefault="00BE5FDE" w:rsidP="003E7F4B">
                  <w:pPr>
                    <w:pStyle w:val="BP3BodyText"/>
                  </w:pPr>
                  <w:r>
                    <w:t>E</w:t>
                  </w:r>
                  <w:r w:rsidR="003E7F4B">
                    <w:t>nergy infrastructure</w:t>
                  </w:r>
                </w:p>
                <w:p w14:paraId="1AB13714" w14:textId="710A5F01" w:rsidR="005D155F" w:rsidRPr="007F33D2" w:rsidRDefault="003E7F4B" w:rsidP="005D155F">
                  <w:pPr>
                    <w:rPr>
                      <w:rFonts w:ascii="Public Sans" w:hAnsi="Public Sans" w:cs="Arial"/>
                    </w:rPr>
                  </w:pPr>
                  <w:r w:rsidRPr="007F33D2">
                    <w:rPr>
                      <w:rFonts w:ascii="Public Sans" w:hAnsi="Public Sans" w:cs="Arial"/>
                      <w:color w:val="002664" w:themeColor="text2"/>
                      <w:sz w:val="40"/>
                      <w:szCs w:val="40"/>
                    </w:rPr>
                    <w:t>$</w:t>
                  </w:r>
                  <w:r w:rsidR="002A1754">
                    <w:rPr>
                      <w:rFonts w:ascii="Public Sans" w:hAnsi="Public Sans" w:cs="Arial"/>
                      <w:color w:val="002664" w:themeColor="text2"/>
                      <w:sz w:val="40"/>
                      <w:szCs w:val="40"/>
                    </w:rPr>
                    <w:t>3.6</w:t>
                  </w:r>
                  <w:r w:rsidRPr="007F33D2">
                    <w:rPr>
                      <w:rFonts w:ascii="Public Sans" w:hAnsi="Public Sans" w:cs="Arial"/>
                      <w:color w:val="002664" w:themeColor="text2"/>
                      <w:sz w:val="40"/>
                      <w:szCs w:val="40"/>
                    </w:rPr>
                    <w:t xml:space="preserve"> billion</w:t>
                  </w:r>
                </w:p>
              </w:tc>
            </w:tr>
          </w:tbl>
          <w:bookmarkEnd w:id="0"/>
          <w:p w14:paraId="754E523D" w14:textId="1046F41D" w:rsidR="00B63F31" w:rsidRDefault="003725D7" w:rsidP="00AB3BB3">
            <w:pPr>
              <w:pStyle w:val="BP3BodyText"/>
            </w:pPr>
            <w:r>
              <w:t xml:space="preserve">The 2023-24 Budget </w:t>
            </w:r>
            <w:r w:rsidRPr="00251644">
              <w:t xml:space="preserve">balances </w:t>
            </w:r>
            <w:r w:rsidR="00732787" w:rsidRPr="00251644">
              <w:t>what is</w:t>
            </w:r>
            <w:r w:rsidR="005715D1" w:rsidRPr="00251644">
              <w:t xml:space="preserve"> fair and responsible</w:t>
            </w:r>
            <w:r w:rsidR="00732787" w:rsidRPr="00251644">
              <w:t xml:space="preserve"> </w:t>
            </w:r>
            <w:r w:rsidR="0022768E">
              <w:t xml:space="preserve">with meeting the </w:t>
            </w:r>
            <w:r w:rsidR="00A061C9">
              <w:t>needs of growing communities</w:t>
            </w:r>
            <w:r w:rsidR="004F1BBD">
              <w:t xml:space="preserve"> </w:t>
            </w:r>
            <w:r w:rsidR="00732787" w:rsidRPr="00251644">
              <w:t>to achieve</w:t>
            </w:r>
            <w:r w:rsidR="00732787">
              <w:t xml:space="preserve"> this </w:t>
            </w:r>
            <w:r w:rsidR="008029C8">
              <w:t>critical</w:t>
            </w:r>
            <w:r w:rsidR="00C67262">
              <w:t xml:space="preserve"> </w:t>
            </w:r>
            <w:r w:rsidR="00732787">
              <w:t>infrastructure investment.</w:t>
            </w:r>
            <w:r w:rsidR="007F7648" w:rsidRPr="00114D41">
              <w:t xml:space="preserve"> </w:t>
            </w:r>
            <w:r w:rsidR="008C0AD3" w:rsidRPr="00114D41">
              <w:t xml:space="preserve">Key recommendations from the Strategic Infrastructure Review are being implemented to </w:t>
            </w:r>
            <w:r w:rsidR="00A061C9">
              <w:t xml:space="preserve">stabilise the infrastructure program and </w:t>
            </w:r>
            <w:r w:rsidR="008C0AD3" w:rsidRPr="00114D41">
              <w:t>support a</w:t>
            </w:r>
            <w:r w:rsidR="00732787">
              <w:t xml:space="preserve"> renewed focus</w:t>
            </w:r>
            <w:r w:rsidR="008C0AD3" w:rsidRPr="00114D41">
              <w:t xml:space="preserve"> </w:t>
            </w:r>
            <w:r w:rsidR="00123008">
              <w:t xml:space="preserve">on </w:t>
            </w:r>
            <w:r w:rsidR="008C0AD3" w:rsidRPr="00114D41">
              <w:t xml:space="preserve">infrastructure </w:t>
            </w:r>
            <w:r w:rsidR="00BB6518">
              <w:t>that supports essential services</w:t>
            </w:r>
            <w:r w:rsidR="00A061C9">
              <w:t>.</w:t>
            </w:r>
          </w:p>
          <w:p w14:paraId="71097723" w14:textId="5CED8AE1" w:rsidR="00AB3BB3" w:rsidRDefault="00AE4A4E" w:rsidP="00AB3BB3">
            <w:pPr>
              <w:pStyle w:val="BP3BodyText"/>
            </w:pPr>
            <w:r>
              <w:t xml:space="preserve">The Government is directing </w:t>
            </w:r>
            <w:r w:rsidR="00C67262">
              <w:t>much needed</w:t>
            </w:r>
            <w:r>
              <w:t xml:space="preserve"> fund</w:t>
            </w:r>
            <w:r w:rsidR="00367EA3">
              <w:t>ing</w:t>
            </w:r>
            <w:r>
              <w:t xml:space="preserve"> toward</w:t>
            </w:r>
            <w:r w:rsidR="00367EA3">
              <w:t>s</w:t>
            </w:r>
            <w:r>
              <w:t xml:space="preserve"> </w:t>
            </w:r>
            <w:r w:rsidR="008F13DC">
              <w:t xml:space="preserve">essential schools and hospitals. </w:t>
            </w:r>
            <w:r w:rsidR="00AB3BB3">
              <w:t xml:space="preserve">This is demonstrated through </w:t>
            </w:r>
            <w:r w:rsidR="002010F4">
              <w:t xml:space="preserve">a </w:t>
            </w:r>
            <w:r w:rsidR="003B05DF">
              <w:t xml:space="preserve">new </w:t>
            </w:r>
            <w:r w:rsidR="002010F4">
              <w:t>$1.</w:t>
            </w:r>
            <w:r w:rsidR="0016186B">
              <w:t>4</w:t>
            </w:r>
            <w:r w:rsidR="002010F4">
              <w:t xml:space="preserve"> billion </w:t>
            </w:r>
            <w:r w:rsidR="00D3784F">
              <w:t xml:space="preserve">investment </w:t>
            </w:r>
            <w:r w:rsidR="0016186B">
              <w:t>over four years</w:t>
            </w:r>
            <w:r w:rsidR="00D3784F">
              <w:t xml:space="preserve"> </w:t>
            </w:r>
            <w:r w:rsidR="002010F4">
              <w:t xml:space="preserve">to support the planning and delivery of </w:t>
            </w:r>
            <w:r w:rsidR="00BF55F7">
              <w:t>34</w:t>
            </w:r>
            <w:r w:rsidR="002010F4">
              <w:t xml:space="preserve"> new and upgraded schools</w:t>
            </w:r>
            <w:r w:rsidR="00D3784F">
              <w:t xml:space="preserve"> and</w:t>
            </w:r>
            <w:r w:rsidR="002010F4">
              <w:t xml:space="preserve"> </w:t>
            </w:r>
            <w:r w:rsidR="00BD501E">
              <w:t>over $1.4 billion</w:t>
            </w:r>
            <w:r w:rsidR="009310D9">
              <w:t xml:space="preserve"> over four years</w:t>
            </w:r>
            <w:r w:rsidR="00BD501E">
              <w:t xml:space="preserve"> </w:t>
            </w:r>
            <w:r w:rsidR="005C1A99">
              <w:t xml:space="preserve">in new funding </w:t>
            </w:r>
            <w:r w:rsidR="00785091">
              <w:t>for hospitals and health facilities</w:t>
            </w:r>
            <w:r w:rsidR="00D3784F">
              <w:t xml:space="preserve">. </w:t>
            </w:r>
          </w:p>
          <w:p w14:paraId="12A7E5AC" w14:textId="1347DCA3" w:rsidR="00FB3431" w:rsidRPr="00114D41" w:rsidRDefault="00FB3431" w:rsidP="00AB3BB3">
            <w:pPr>
              <w:pStyle w:val="BP3BodyText"/>
            </w:pPr>
            <w:r>
              <w:t xml:space="preserve">There is also a strong focus on regional NSW with </w:t>
            </w:r>
            <w:r w:rsidR="004B3E53">
              <w:t>a</w:t>
            </w:r>
            <w:r w:rsidR="003C6913">
              <w:t xml:space="preserve"> $</w:t>
            </w:r>
            <w:r w:rsidR="004B3E53">
              <w:t>3.8 billion investment over four</w:t>
            </w:r>
            <w:r w:rsidR="007E02B4">
              <w:t xml:space="preserve"> </w:t>
            </w:r>
            <w:r w:rsidR="004B3E53">
              <w:t>years</w:t>
            </w:r>
            <w:r w:rsidR="003C6913">
              <w:t xml:space="preserve"> in regional</w:t>
            </w:r>
            <w:r>
              <w:t xml:space="preserve"> h</w:t>
            </w:r>
            <w:r w:rsidR="004B3E53">
              <w:t>ealth facilities</w:t>
            </w:r>
            <w:r w:rsidR="004D0E8C">
              <w:t xml:space="preserve"> and a</w:t>
            </w:r>
            <w:r w:rsidR="003F1B76">
              <w:t xml:space="preserve"> </w:t>
            </w:r>
            <w:r w:rsidR="004926F6">
              <w:t>$1.4 billion</w:t>
            </w:r>
            <w:r w:rsidR="00DD7DAB">
              <w:t xml:space="preserve"> </w:t>
            </w:r>
            <w:r>
              <w:t xml:space="preserve">investment </w:t>
            </w:r>
            <w:r w:rsidR="000B772D">
              <w:t>over four years</w:t>
            </w:r>
            <w:r>
              <w:t xml:space="preserve"> in regional schools</w:t>
            </w:r>
            <w:r w:rsidR="004D0E8C">
              <w:t>.</w:t>
            </w:r>
            <w:r w:rsidR="00DA5A16">
              <w:t xml:space="preserve"> In addition, </w:t>
            </w:r>
            <w:r w:rsidR="00BC4ADC">
              <w:t xml:space="preserve">over </w:t>
            </w:r>
            <w:r w:rsidR="003401F8">
              <w:t>30</w:t>
            </w:r>
            <w:r>
              <w:t xml:space="preserve"> per cent of new Restart NSW reservations </w:t>
            </w:r>
            <w:r w:rsidR="00432B47">
              <w:t>will be spent on</w:t>
            </w:r>
            <w:r>
              <w:t xml:space="preserve"> projects </w:t>
            </w:r>
            <w:r w:rsidR="0094636A">
              <w:t xml:space="preserve">and programs </w:t>
            </w:r>
            <w:r>
              <w:t xml:space="preserve">in the regions. </w:t>
            </w:r>
          </w:p>
          <w:p w14:paraId="776991EA" w14:textId="4805466D" w:rsidR="00206DA5" w:rsidRPr="0093412C" w:rsidRDefault="0005629D" w:rsidP="00B22119">
            <w:pPr>
              <w:pStyle w:val="BP3BodyText"/>
            </w:pPr>
            <w:r w:rsidRPr="0093412C">
              <w:t>The Government</w:t>
            </w:r>
            <w:r w:rsidR="00A5284E" w:rsidRPr="0093412C">
              <w:t xml:space="preserve">’s </w:t>
            </w:r>
            <w:r w:rsidR="00714B9C" w:rsidRPr="0093412C">
              <w:t xml:space="preserve">infrastructure </w:t>
            </w:r>
            <w:r w:rsidR="00FB3431">
              <w:t>program is the beginning of a new era of responsible long</w:t>
            </w:r>
            <w:r w:rsidR="00884182">
              <w:noBreakHyphen/>
            </w:r>
            <w:r w:rsidR="00FB3431">
              <w:t xml:space="preserve">term investment to rebuild essential services that support quality of life for all people in New South Wales. </w:t>
            </w:r>
          </w:p>
        </w:tc>
      </w:tr>
      <w:bookmarkEnd w:id="1"/>
    </w:tbl>
    <w:p w14:paraId="2394A490" w14:textId="77777777" w:rsidR="003F0AAD" w:rsidRDefault="003F0AAD" w:rsidP="00426790">
      <w:pPr>
        <w:tabs>
          <w:tab w:val="left" w:pos="2835"/>
        </w:tabs>
        <w:ind w:right="6804"/>
        <w:rPr>
          <w:rFonts w:ascii="Calibri" w:hAnsi="Calibri" w:cs="Calibri"/>
          <w:strike/>
          <w:sz w:val="17"/>
          <w:szCs w:val="17"/>
          <w:lang w:val="en-AU"/>
        </w:rPr>
      </w:pPr>
    </w:p>
    <w:p w14:paraId="15F1A60F" w14:textId="77777777" w:rsidR="003F0AAD" w:rsidRDefault="003F0AAD" w:rsidP="00426790">
      <w:pPr>
        <w:tabs>
          <w:tab w:val="left" w:pos="2835"/>
        </w:tabs>
        <w:ind w:right="6804"/>
        <w:rPr>
          <w:rFonts w:ascii="Calibri" w:hAnsi="Calibri" w:cs="Calibri"/>
          <w:strike/>
          <w:sz w:val="17"/>
          <w:szCs w:val="17"/>
          <w:lang w:val="en-AU"/>
        </w:rPr>
      </w:pPr>
    </w:p>
    <w:p w14:paraId="23C2568C" w14:textId="77777777" w:rsidR="003F0AAD" w:rsidRDefault="003F0AAD" w:rsidP="00426790">
      <w:pPr>
        <w:tabs>
          <w:tab w:val="left" w:pos="2835"/>
        </w:tabs>
        <w:ind w:right="6804"/>
        <w:rPr>
          <w:rFonts w:ascii="Calibri" w:hAnsi="Calibri" w:cs="Calibri"/>
          <w:strike/>
          <w:sz w:val="17"/>
          <w:szCs w:val="17"/>
          <w:lang w:val="en-AU"/>
        </w:rPr>
      </w:pPr>
    </w:p>
    <w:p w14:paraId="30E0C704" w14:textId="77777777" w:rsidR="003F0AAD" w:rsidRDefault="003F0AAD" w:rsidP="00426790">
      <w:pPr>
        <w:tabs>
          <w:tab w:val="left" w:pos="2835"/>
        </w:tabs>
        <w:ind w:right="6804"/>
        <w:rPr>
          <w:rFonts w:ascii="Calibri" w:hAnsi="Calibri" w:cs="Calibri"/>
          <w:strike/>
          <w:sz w:val="17"/>
          <w:szCs w:val="17"/>
          <w:lang w:val="en-AU"/>
        </w:rPr>
      </w:pPr>
    </w:p>
    <w:p w14:paraId="471CF4A8" w14:textId="717F049C" w:rsidR="00A12D62" w:rsidRDefault="00C511EF" w:rsidP="00426790">
      <w:pPr>
        <w:tabs>
          <w:tab w:val="left" w:pos="2835"/>
        </w:tabs>
        <w:ind w:right="6804"/>
        <w:rPr>
          <w:rFonts w:ascii="Arial" w:hAnsi="Arial" w:cs="Arial"/>
          <w:sz w:val="17"/>
          <w:szCs w:val="17"/>
          <w:vertAlign w:val="superscript"/>
          <w:lang w:val="en-AU"/>
        </w:rPr>
      </w:pPr>
      <w:r w:rsidRPr="00A1397D">
        <w:rPr>
          <w:rFonts w:ascii="Calibri" w:hAnsi="Calibri" w:cs="Calibri"/>
          <w:strike/>
          <w:sz w:val="17"/>
          <w:szCs w:val="17"/>
          <w:lang w:val="en-AU"/>
        </w:rPr>
        <w:tab/>
      </w:r>
    </w:p>
    <w:p w14:paraId="67B2055E" w14:textId="6F8BBAF5" w:rsidR="00443E23" w:rsidRPr="000D5BD6" w:rsidRDefault="001662A0" w:rsidP="00044D06">
      <w:pPr>
        <w:spacing w:before="40" w:after="40"/>
        <w:ind w:left="709" w:hanging="284"/>
        <w:rPr>
          <w:rFonts w:ascii="Public Sans" w:hAnsi="Public Sans"/>
          <w:sz w:val="17"/>
          <w:szCs w:val="17"/>
        </w:rPr>
      </w:pPr>
      <w:r w:rsidRPr="00D26D34">
        <w:rPr>
          <w:rFonts w:ascii="Public Sans" w:hAnsi="Public Sans" w:cs="Arial"/>
          <w:sz w:val="17"/>
          <w:szCs w:val="17"/>
          <w:vertAlign w:val="superscript"/>
          <w:lang w:val="en-AU"/>
        </w:rPr>
        <w:t>1</w:t>
      </w:r>
      <w:r w:rsidRPr="007A77B5">
        <w:rPr>
          <w:rFonts w:ascii="Public Sans" w:hAnsi="Public Sans" w:cs="Arial"/>
          <w:sz w:val="16"/>
          <w:szCs w:val="16"/>
          <w:lang w:val="en-AU"/>
        </w:rPr>
        <w:tab/>
      </w:r>
      <w:r w:rsidR="00535EC4" w:rsidRPr="000D5BD6">
        <w:rPr>
          <w:rFonts w:ascii="Public Sans" w:hAnsi="Public Sans"/>
          <w:sz w:val="17"/>
          <w:szCs w:val="17"/>
        </w:rPr>
        <w:t xml:space="preserve">Health Capital Expenditure includes capital expensing amounts. Further information is provided at footnote </w:t>
      </w:r>
      <w:r w:rsidR="003E16CA">
        <w:rPr>
          <w:rFonts w:ascii="Public Sans" w:hAnsi="Public Sans"/>
          <w:sz w:val="17"/>
          <w:szCs w:val="17"/>
        </w:rPr>
        <w:t>(</w:t>
      </w:r>
      <w:r w:rsidR="00535EC4" w:rsidRPr="000D5BD6">
        <w:rPr>
          <w:rFonts w:ascii="Public Sans" w:hAnsi="Public Sans"/>
          <w:sz w:val="17"/>
          <w:szCs w:val="17"/>
        </w:rPr>
        <w:t>c) of Table</w:t>
      </w:r>
      <w:r w:rsidR="003943A4" w:rsidRPr="000D5BD6">
        <w:rPr>
          <w:rFonts w:ascii="Public Sans" w:hAnsi="Public Sans"/>
          <w:sz w:val="17"/>
          <w:szCs w:val="17"/>
        </w:rPr>
        <w:t xml:space="preserve"> </w:t>
      </w:r>
      <w:r w:rsidR="00535EC4" w:rsidRPr="000D5BD6">
        <w:rPr>
          <w:rFonts w:ascii="Public Sans" w:hAnsi="Public Sans"/>
          <w:sz w:val="17"/>
          <w:szCs w:val="17"/>
        </w:rPr>
        <w:t>1.2</w:t>
      </w:r>
    </w:p>
    <w:tbl>
      <w:tblPr>
        <w:tblW w:w="9634" w:type="dxa"/>
        <w:tblInd w:w="5" w:type="dxa"/>
        <w:shd w:val="clear" w:color="auto" w:fill="F2F2F2" w:themeFill="background1" w:themeFillShade="F2"/>
        <w:tblLook w:val="04A0" w:firstRow="1" w:lastRow="0" w:firstColumn="1" w:lastColumn="0" w:noHBand="0" w:noVBand="1"/>
      </w:tblPr>
      <w:tblGrid>
        <w:gridCol w:w="9634"/>
      </w:tblGrid>
      <w:tr w:rsidR="002465E6" w14:paraId="3CC7AC24" w14:textId="77777777" w:rsidTr="005C2EDF">
        <w:trPr>
          <w:trHeight w:val="3742"/>
        </w:trPr>
        <w:tc>
          <w:tcPr>
            <w:tcW w:w="9634" w:type="dxa"/>
            <w:tcBorders>
              <w:top w:val="nil"/>
              <w:left w:val="nil"/>
              <w:bottom w:val="nil"/>
              <w:right w:val="nil"/>
            </w:tcBorders>
            <w:shd w:val="clear" w:color="auto" w:fill="F2F2F2" w:themeFill="background1" w:themeFillShade="F2"/>
          </w:tcPr>
          <w:p w14:paraId="44DDE8F1" w14:textId="7A8221F2" w:rsidR="002465E6" w:rsidRDefault="002465E6" w:rsidP="002465E6">
            <w:pPr>
              <w:pStyle w:val="BP3Chartx"/>
            </w:pPr>
            <w:r>
              <w:lastRenderedPageBreak/>
              <w:t>Health capital expenditure 2015-16 to 2026-27</w:t>
            </w:r>
          </w:p>
          <w:p w14:paraId="55266398" w14:textId="405E38AF" w:rsidR="002465E6" w:rsidRPr="00CF7CAD" w:rsidRDefault="001440D8" w:rsidP="005C2EDF">
            <w:pPr>
              <w:rPr>
                <w:bCs/>
                <w:color w:val="790013"/>
                <w:szCs w:val="22"/>
              </w:rPr>
            </w:pPr>
            <w:r>
              <w:rPr>
                <w:noProof/>
              </w:rPr>
              <w:drawing>
                <wp:inline distT="0" distB="0" distL="0" distR="0" wp14:anchorId="01166C61" wp14:editId="6B908529">
                  <wp:extent cx="6120765" cy="2693035"/>
                  <wp:effectExtent l="0" t="0" r="0" b="0"/>
                  <wp:docPr id="23" name="Chart 23" descr="Chart 1.1:  Health capital expenditure 2015-16 to 2026-27">
                    <a:extLst xmlns:a="http://schemas.openxmlformats.org/drawingml/2006/main">
                      <a:ext uri="{FF2B5EF4-FFF2-40B4-BE49-F238E27FC236}">
                        <a16:creationId xmlns:a16="http://schemas.microsoft.com/office/drawing/2014/main" id="{5F891D8B-7B2E-46AA-828E-04EEA07564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2C7E4F" w14:paraId="11F1C989" w14:textId="77777777" w:rsidTr="00AA5A18">
        <w:trPr>
          <w:trHeight w:val="3742"/>
        </w:trPr>
        <w:tc>
          <w:tcPr>
            <w:tcW w:w="9634" w:type="dxa"/>
            <w:tcBorders>
              <w:top w:val="nil"/>
              <w:left w:val="nil"/>
              <w:bottom w:val="nil"/>
              <w:right w:val="nil"/>
            </w:tcBorders>
            <w:shd w:val="clear" w:color="auto" w:fill="F2F2F2" w:themeFill="background1" w:themeFillShade="F2"/>
          </w:tcPr>
          <w:p w14:paraId="6AFEF17A" w14:textId="767167E4" w:rsidR="002C7E4F" w:rsidRDefault="002C7E4F" w:rsidP="002465E6">
            <w:pPr>
              <w:pStyle w:val="BP3Chartx"/>
            </w:pPr>
            <w:r>
              <w:t xml:space="preserve">Education </w:t>
            </w:r>
            <w:r w:rsidR="006E155D">
              <w:t xml:space="preserve">and skills </w:t>
            </w:r>
            <w:r>
              <w:t>capital expenditure 2015-16 to 2026-27</w:t>
            </w:r>
          </w:p>
          <w:p w14:paraId="27AF7A41" w14:textId="03496F02" w:rsidR="002C7E4F" w:rsidDel="006F4FF7" w:rsidRDefault="00AA5A18" w:rsidP="005C2EDF">
            <w:pPr>
              <w:pStyle w:val="BP3Chartx"/>
              <w:numPr>
                <w:ilvl w:val="0"/>
                <w:numId w:val="0"/>
              </w:numPr>
            </w:pPr>
            <w:r>
              <w:rPr>
                <w:noProof/>
              </w:rPr>
              <w:drawing>
                <wp:inline distT="0" distB="0" distL="0" distR="0" wp14:anchorId="33345E71" wp14:editId="53ACEAC0">
                  <wp:extent cx="6120765" cy="2668270"/>
                  <wp:effectExtent l="0" t="0" r="0" b="0"/>
                  <wp:docPr id="25" name="Chart 25" descr="Chart 1.2:  Education and skills capital expenditure 2015-16 to 2026-27">
                    <a:extLst xmlns:a="http://schemas.openxmlformats.org/drawingml/2006/main">
                      <a:ext uri="{FF2B5EF4-FFF2-40B4-BE49-F238E27FC236}">
                        <a16:creationId xmlns:a16="http://schemas.microsoft.com/office/drawing/2014/main" id="{B9588D58-E687-491F-BAC8-3BA7CD1886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14:paraId="31ABF59D" w14:textId="0998CF1E" w:rsidR="003E7707" w:rsidRDefault="003E7707" w:rsidP="00D26D34">
      <w:pPr>
        <w:rPr>
          <w:rFonts w:ascii="Public Sans SemiBold" w:hAnsi="Public Sans SemiBold"/>
          <w:color w:val="22272B"/>
          <w:sz w:val="28"/>
          <w:lang w:val="en-AU"/>
        </w:rPr>
      </w:pPr>
    </w:p>
    <w:p w14:paraId="23F3FE75" w14:textId="77777777" w:rsidR="001D1E66" w:rsidRDefault="001D1E66">
      <w:pPr>
        <w:rPr>
          <w:rFonts w:ascii="Public Sans SemiBold" w:hAnsi="Public Sans SemiBold"/>
          <w:b/>
          <w:color w:val="22272B"/>
          <w:sz w:val="28"/>
          <w:lang w:val="en-AU"/>
        </w:rPr>
      </w:pPr>
      <w:r>
        <w:br w:type="page"/>
      </w:r>
    </w:p>
    <w:p w14:paraId="59A65FAC" w14:textId="6119558D" w:rsidR="00175897" w:rsidRPr="0025545C" w:rsidRDefault="00C17117" w:rsidP="005C2EDF">
      <w:pPr>
        <w:pStyle w:val="BP3Heading2"/>
      </w:pPr>
      <w:r w:rsidRPr="0025545C">
        <w:lastRenderedPageBreak/>
        <w:t xml:space="preserve">The </w:t>
      </w:r>
      <w:r w:rsidR="0033247C">
        <w:t>Essential Infrastructure Plan</w:t>
      </w:r>
      <w:r w:rsidRPr="0025545C">
        <w:t xml:space="preserve"> </w:t>
      </w:r>
    </w:p>
    <w:p w14:paraId="38513C81" w14:textId="582A8E7E" w:rsidR="00805941" w:rsidRDefault="00805941" w:rsidP="00E71F42">
      <w:pPr>
        <w:pStyle w:val="BP3BodyText"/>
      </w:pPr>
      <w:r w:rsidRPr="00805941">
        <w:t xml:space="preserve">The 2023-24 Budget includes new funding to rebuild essential services and catalyse new housing supply </w:t>
      </w:r>
      <w:r w:rsidR="008735B6">
        <w:t>through</w:t>
      </w:r>
      <w:r w:rsidRPr="00805941">
        <w:t xml:space="preserve"> the </w:t>
      </w:r>
      <w:r w:rsidR="00565F10">
        <w:t>Essential</w:t>
      </w:r>
      <w:r w:rsidRPr="00805941">
        <w:t xml:space="preserve"> Infrastructure </w:t>
      </w:r>
      <w:r w:rsidR="00565F10">
        <w:t>Plan.</w:t>
      </w:r>
      <w:r w:rsidRPr="00805941">
        <w:t xml:space="preserve"> By balancing what is </w:t>
      </w:r>
      <w:r w:rsidR="00FD63BD">
        <w:t xml:space="preserve">fair </w:t>
      </w:r>
      <w:r w:rsidRPr="00805941">
        <w:t xml:space="preserve">and sustainable, this Budget delivers a </w:t>
      </w:r>
      <w:r w:rsidR="00197C6A">
        <w:t>significant</w:t>
      </w:r>
      <w:r w:rsidRPr="00805941">
        <w:t xml:space="preserve"> investment in schools, hospitals</w:t>
      </w:r>
      <w:r w:rsidR="003E2EC4">
        <w:t>,</w:t>
      </w:r>
      <w:r w:rsidRPr="00805941">
        <w:t xml:space="preserve"> and </w:t>
      </w:r>
      <w:r w:rsidR="00391CA5">
        <w:t xml:space="preserve">other </w:t>
      </w:r>
      <w:r w:rsidRPr="00805941">
        <w:t>infrastructure without privatising public assets.</w:t>
      </w:r>
    </w:p>
    <w:p w14:paraId="5777A1E4" w14:textId="77777777" w:rsidR="00E92060" w:rsidRDefault="00A079AA" w:rsidP="00494BFF">
      <w:pPr>
        <w:pStyle w:val="BP3BodyText"/>
      </w:pPr>
      <w:r>
        <w:t>A sustained high level</w:t>
      </w:r>
      <w:r w:rsidR="0050115D">
        <w:t xml:space="preserve"> of</w:t>
      </w:r>
      <w:r w:rsidR="00E91BC9">
        <w:t xml:space="preserve"> </w:t>
      </w:r>
      <w:r w:rsidR="00CF1183">
        <w:t>infrastructure investment across the country</w:t>
      </w:r>
      <w:r w:rsidR="00C707C3">
        <w:t xml:space="preserve"> is presenting challenges to both </w:t>
      </w:r>
      <w:r w:rsidR="00DF7D6C">
        <w:t xml:space="preserve">project </w:t>
      </w:r>
      <w:r w:rsidR="007F4758">
        <w:t>deliverability</w:t>
      </w:r>
      <w:r w:rsidR="00DF7D6C">
        <w:t xml:space="preserve"> and affordability.</w:t>
      </w:r>
      <w:r w:rsidR="00EE491A">
        <w:t xml:space="preserve"> </w:t>
      </w:r>
      <w:r w:rsidR="006F6DDB">
        <w:t>Local and global supply constraints for key materials, including timber, metals and steel</w:t>
      </w:r>
      <w:r w:rsidR="00DF1EDE">
        <w:t xml:space="preserve">, alongside high freight costs and skilled trade shortages </w:t>
      </w:r>
      <w:r w:rsidR="00CF390B">
        <w:t>means more competition for these scarce resources, driving</w:t>
      </w:r>
      <w:r w:rsidR="00DF1EDE">
        <w:t xml:space="preserve"> cost </w:t>
      </w:r>
      <w:r w:rsidR="005A45D4">
        <w:t>escalation</w:t>
      </w:r>
      <w:r w:rsidR="005F02EB">
        <w:t xml:space="preserve">. A </w:t>
      </w:r>
      <w:r w:rsidR="00604F0C">
        <w:t>rise in the number</w:t>
      </w:r>
      <w:r w:rsidR="005F02EB">
        <w:t xml:space="preserve"> of</w:t>
      </w:r>
      <w:r w:rsidR="00287BE3">
        <w:t xml:space="preserve"> large and complex</w:t>
      </w:r>
      <w:r w:rsidR="005F02EB">
        <w:t xml:space="preserve"> megaprojects</w:t>
      </w:r>
      <w:r w:rsidR="00DF1EDE">
        <w:t xml:space="preserve"> </w:t>
      </w:r>
      <w:r w:rsidR="00287BE3">
        <w:t>is also challenging the construction sectors capacity to deliver</w:t>
      </w:r>
      <w:r w:rsidR="00576028">
        <w:t>.</w:t>
      </w:r>
      <w:r w:rsidR="00F5154F">
        <w:t xml:space="preserve"> </w:t>
      </w:r>
    </w:p>
    <w:p w14:paraId="7A55B391" w14:textId="4B016BBD" w:rsidR="00E91BC9" w:rsidRDefault="00C94228" w:rsidP="00494BFF">
      <w:pPr>
        <w:pStyle w:val="BP3BodyText"/>
      </w:pPr>
      <w:r>
        <w:t xml:space="preserve">In </w:t>
      </w:r>
      <w:r w:rsidR="00C57B36">
        <w:t>acknowledg</w:t>
      </w:r>
      <w:r w:rsidR="00A91FF5">
        <w:t>ing</w:t>
      </w:r>
      <w:r>
        <w:t xml:space="preserve"> these challenges, the Government has rebalanced the infrastructure program</w:t>
      </w:r>
      <w:r w:rsidR="007567CB">
        <w:t>.</w:t>
      </w:r>
      <w:r w:rsidR="001133AC">
        <w:t xml:space="preserve"> Funding for new projects </w:t>
      </w:r>
      <w:r w:rsidR="00E92060">
        <w:t xml:space="preserve">has been </w:t>
      </w:r>
      <w:r w:rsidR="007B6099">
        <w:t xml:space="preserve">partially offset through deferring lower priority </w:t>
      </w:r>
      <w:r w:rsidR="005373B2">
        <w:t xml:space="preserve">projects and </w:t>
      </w:r>
      <w:r w:rsidR="007B6099">
        <w:t>programs, based on the advice of the independent Strategic Infrastructure Review</w:t>
      </w:r>
      <w:r w:rsidR="00EC28E2">
        <w:t>.</w:t>
      </w:r>
      <w:r>
        <w:t xml:space="preserve"> </w:t>
      </w:r>
    </w:p>
    <w:p w14:paraId="4C112049" w14:textId="60C1EA9B" w:rsidR="004C2B77" w:rsidRDefault="00D122D9" w:rsidP="00494BFF">
      <w:pPr>
        <w:pStyle w:val="BP3BodyText"/>
      </w:pPr>
      <w:r>
        <w:t xml:space="preserve">The Budget </w:t>
      </w:r>
      <w:r w:rsidR="00822769">
        <w:t>includes</w:t>
      </w:r>
      <w:r w:rsidR="00DB70A6">
        <w:t xml:space="preserve"> </w:t>
      </w:r>
      <w:r>
        <w:t>$</w:t>
      </w:r>
      <w:r w:rsidR="00AE685C">
        <w:t>116.5</w:t>
      </w:r>
      <w:r>
        <w:t xml:space="preserve"> billion </w:t>
      </w:r>
      <w:r w:rsidR="001F7FC3">
        <w:t>in capital expenditure</w:t>
      </w:r>
      <w:r>
        <w:t xml:space="preserve"> over the four years </w:t>
      </w:r>
      <w:r w:rsidR="00010D8C">
        <w:t xml:space="preserve">to </w:t>
      </w:r>
      <w:r w:rsidR="00522F22">
        <w:t>2026-27</w:t>
      </w:r>
      <w:r w:rsidR="00AF2F3A">
        <w:t xml:space="preserve"> for </w:t>
      </w:r>
      <w:r w:rsidR="005D66F6">
        <w:t>essential infrastructure projects.</w:t>
      </w:r>
      <w:r w:rsidR="00AF2F3A">
        <w:t xml:space="preserve"> </w:t>
      </w:r>
      <w:r w:rsidR="00420E13" w:rsidRPr="008D2630">
        <w:t>The average</w:t>
      </w:r>
      <w:r w:rsidR="00A4250A">
        <w:t xml:space="preserve"> estimated</w:t>
      </w:r>
      <w:r w:rsidR="00420E13" w:rsidRPr="008D2630">
        <w:t xml:space="preserve"> infrastructure investment of </w:t>
      </w:r>
      <w:r w:rsidR="00803FAF">
        <w:br/>
      </w:r>
      <w:r w:rsidR="00420E13" w:rsidRPr="002574B2">
        <w:t>$</w:t>
      </w:r>
      <w:r w:rsidR="00AE685C">
        <w:t>29.1</w:t>
      </w:r>
      <w:r w:rsidR="00420E13" w:rsidRPr="002574B2">
        <w:t xml:space="preserve"> billion per annum over four years is </w:t>
      </w:r>
      <w:r w:rsidR="00993419">
        <w:t>13.8</w:t>
      </w:r>
      <w:r w:rsidR="00420E13">
        <w:t xml:space="preserve"> per cent higher than the average four</w:t>
      </w:r>
      <w:r w:rsidR="00E07CDD">
        <w:t>-</w:t>
      </w:r>
      <w:r w:rsidR="00420E13">
        <w:t xml:space="preserve">year investment </w:t>
      </w:r>
      <w:r w:rsidR="0086006E">
        <w:t>of $</w:t>
      </w:r>
      <w:r w:rsidR="00614F64">
        <w:t>25.</w:t>
      </w:r>
      <w:r w:rsidR="00444DD8">
        <w:t>6</w:t>
      </w:r>
      <w:r w:rsidR="00522F22">
        <w:t xml:space="preserve"> </w:t>
      </w:r>
      <w:r w:rsidR="0086006E">
        <w:t xml:space="preserve">billion </w:t>
      </w:r>
      <w:r w:rsidR="00614F64">
        <w:t>across</w:t>
      </w:r>
      <w:r w:rsidR="00420E13">
        <w:t xml:space="preserve"> the </w:t>
      </w:r>
      <w:r w:rsidR="00614F64">
        <w:t>four years</w:t>
      </w:r>
      <w:r w:rsidR="00365425">
        <w:t xml:space="preserve"> 2019-20 to </w:t>
      </w:r>
      <w:r w:rsidR="00522F22">
        <w:t xml:space="preserve">2022-23. </w:t>
      </w:r>
      <w:r w:rsidR="004C2B77" w:rsidRPr="0027578E">
        <w:t>Chart 1.</w:t>
      </w:r>
      <w:r w:rsidR="00E36A82">
        <w:t>3</w:t>
      </w:r>
      <w:r w:rsidR="004C2B77" w:rsidRPr="0027578E">
        <w:t xml:space="preserve"> shows the </w:t>
      </w:r>
      <w:r w:rsidR="00B8093A">
        <w:t>projected</w:t>
      </w:r>
      <w:r w:rsidR="004C2B77" w:rsidRPr="0027578E">
        <w:t xml:space="preserve"> growth in the State’s capital program from </w:t>
      </w:r>
      <w:r w:rsidR="00CA0C95">
        <w:t>2011-12</w:t>
      </w:r>
      <w:r w:rsidR="005C5EB1">
        <w:t xml:space="preserve"> to 2026-27</w:t>
      </w:r>
      <w:r w:rsidR="00C22065">
        <w:t>.</w:t>
      </w:r>
      <w:r w:rsidR="004C2B77" w:rsidRPr="0027578E">
        <w:t xml:space="preserve"> </w:t>
      </w:r>
    </w:p>
    <w:p w14:paraId="59BF2FA4" w14:textId="4878CCDB" w:rsidR="004F4C11" w:rsidRPr="005A73DC" w:rsidRDefault="004C2B77" w:rsidP="00487FFB">
      <w:pPr>
        <w:pStyle w:val="BP3Chartx"/>
      </w:pPr>
      <w:r w:rsidRPr="005A73DC">
        <w:t xml:space="preserve">Infrastructure program from </w:t>
      </w:r>
      <w:r w:rsidR="00CA0C95" w:rsidRPr="005A73DC">
        <w:t>2011-12</w:t>
      </w:r>
      <w:r w:rsidR="00736EBE" w:rsidRPr="005A73DC">
        <w:t xml:space="preserve"> to</w:t>
      </w:r>
      <w:r w:rsidR="00522F22" w:rsidRPr="005A73DC">
        <w:t xml:space="preserve"> 2026-27</w:t>
      </w:r>
      <w:r w:rsidR="00736EBE" w:rsidRPr="005A73DC">
        <w:t xml:space="preserve"> </w:t>
      </w:r>
    </w:p>
    <w:p w14:paraId="126F0AAA" w14:textId="68D823B2" w:rsidR="004C2B77" w:rsidRDefault="00A429DA" w:rsidP="005C2EDF">
      <w:pPr>
        <w:ind w:left="-28"/>
        <w:jc w:val="center"/>
      </w:pPr>
      <w:r>
        <w:rPr>
          <w:noProof/>
        </w:rPr>
        <mc:AlternateContent>
          <mc:Choice Requires="wps">
            <w:drawing>
              <wp:anchor distT="0" distB="0" distL="114300" distR="114300" simplePos="0" relativeHeight="251658243" behindDoc="0" locked="0" layoutInCell="1" allowOverlap="1" wp14:anchorId="515CD1D0" wp14:editId="27A03F6E">
                <wp:simplePos x="0" y="0"/>
                <wp:positionH relativeFrom="margin">
                  <wp:posOffset>4821873</wp:posOffset>
                </wp:positionH>
                <wp:positionV relativeFrom="paragraph">
                  <wp:posOffset>222885</wp:posOffset>
                </wp:positionV>
                <wp:extent cx="1181100" cy="273050"/>
                <wp:effectExtent l="0" t="0" r="0" b="0"/>
                <wp:wrapNone/>
                <wp:docPr id="13" name="Text Box 13">
                  <a:extLst xmlns:a="http://schemas.openxmlformats.org/drawingml/2006/main">
                    <a:ext uri="{FF2B5EF4-FFF2-40B4-BE49-F238E27FC236}">
                      <a16:creationId xmlns:a16="http://schemas.microsoft.com/office/drawing/2014/main" id="{DDF13749-3E93-4BC9-A900-7BE921AEC609}"/>
                    </a:ext>
                  </a:extLst>
                </wp:docPr>
                <wp:cNvGraphicFramePr/>
                <a:graphic xmlns:a="http://schemas.openxmlformats.org/drawingml/2006/main">
                  <a:graphicData uri="http://schemas.microsoft.com/office/word/2010/wordprocessingShape">
                    <wps:wsp>
                      <wps:cNvSpPr txBox="1"/>
                      <wps:spPr>
                        <a:xfrm>
                          <a:off x="0" y="0"/>
                          <a:ext cx="1181100" cy="2730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B41E1B9" w14:textId="475AFA6E" w:rsidR="005E07A0" w:rsidRDefault="005E07A0" w:rsidP="005E07A0">
                            <w:pPr>
                              <w:jc w:val="center"/>
                              <w:rPr>
                                <w:rFonts w:ascii="Arial" w:hAnsi="Arial" w:cs="Arial"/>
                                <w:b/>
                                <w:bCs/>
                                <w:color w:val="000000"/>
                                <w:sz w:val="14"/>
                                <w:szCs w:val="14"/>
                              </w:rPr>
                            </w:pPr>
                            <w:r>
                              <w:rPr>
                                <w:rFonts w:ascii="Arial" w:hAnsi="Arial" w:cs="Arial"/>
                                <w:b/>
                                <w:bCs/>
                                <w:color w:val="000000"/>
                                <w:sz w:val="14"/>
                                <w:szCs w:val="14"/>
                              </w:rPr>
                              <w:t>Average: $</w:t>
                            </w:r>
                            <w:r w:rsidR="005A73DC">
                              <w:rPr>
                                <w:rFonts w:ascii="Arial" w:hAnsi="Arial" w:cs="Arial"/>
                                <w:b/>
                                <w:bCs/>
                                <w:color w:val="000000"/>
                                <w:sz w:val="14"/>
                                <w:szCs w:val="14"/>
                              </w:rPr>
                              <w:t>29.1</w:t>
                            </w:r>
                            <w:r>
                              <w:rPr>
                                <w:rFonts w:ascii="Arial" w:hAnsi="Arial" w:cs="Arial"/>
                                <w:b/>
                                <w:bCs/>
                                <w:color w:val="000000"/>
                                <w:sz w:val="14"/>
                                <w:szCs w:val="14"/>
                              </w:rPr>
                              <w:t xml:space="preserve"> billion</w:t>
                            </w:r>
                          </w:p>
                        </w:txbxContent>
                      </wps:txbx>
                      <wps:bodyPr vertOverflow="clip" horzOverflow="clip" wrap="square" rtlCol="0" anchor="ctr"/>
                    </wps:wsp>
                  </a:graphicData>
                </a:graphic>
              </wp:anchor>
            </w:drawing>
          </mc:Choice>
          <mc:Fallback>
            <w:pict>
              <v:shapetype w14:anchorId="515CD1D0" id="_x0000_t202" coordsize="21600,21600" o:spt="202" path="m,l,21600r21600,l21600,xe">
                <v:stroke joinstyle="miter"/>
                <v:path gradientshapeok="t" o:connecttype="rect"/>
              </v:shapetype>
              <v:shape id="Text Box 13" o:spid="_x0000_s1026" type="#_x0000_t202" style="position:absolute;left:0;text-align:left;margin-left:379.7pt;margin-top:17.55pt;width:93pt;height:21.5pt;z-index:251658243;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" filled="f" stroked="f">
                <v:textbox>
                  <w:txbxContent>
                    <w:p w14:paraId="4B41E1B9" w14:textId="475AFA6E" w:rsidR="005E07A0" w:rsidRDefault="005E07A0" w:rsidP="005E07A0">
                      <w:pPr>
                        <w:jc w:val="center"/>
                        <w:rPr>
                          <w:rFonts w:ascii="Arial" w:hAnsi="Arial" w:cs="Arial"/>
                          <w:b/>
                          <w:bCs/>
                          <w:color w:val="000000"/>
                          <w:sz w:val="14"/>
                          <w:szCs w:val="14"/>
                        </w:rPr>
                      </w:pPr>
                      <w:r>
                        <w:rPr>
                          <w:rFonts w:ascii="Arial" w:hAnsi="Arial" w:cs="Arial"/>
                          <w:b/>
                          <w:bCs/>
                          <w:color w:val="000000"/>
                          <w:sz w:val="14"/>
                          <w:szCs w:val="14"/>
                        </w:rPr>
                        <w:t>Average: $</w:t>
                      </w:r>
                      <w:r w:rsidR="005A73DC">
                        <w:rPr>
                          <w:rFonts w:ascii="Arial" w:hAnsi="Arial" w:cs="Arial"/>
                          <w:b/>
                          <w:bCs/>
                          <w:color w:val="000000"/>
                          <w:sz w:val="14"/>
                          <w:szCs w:val="14"/>
                        </w:rPr>
                        <w:t>29.1</w:t>
                      </w:r>
                      <w:r>
                        <w:rPr>
                          <w:rFonts w:ascii="Arial" w:hAnsi="Arial" w:cs="Arial"/>
                          <w:b/>
                          <w:bCs/>
                          <w:color w:val="000000"/>
                          <w:sz w:val="14"/>
                          <w:szCs w:val="14"/>
                        </w:rPr>
                        <w:t xml:space="preserve"> billion</w:t>
                      </w:r>
                    </w:p>
                  </w:txbxContent>
                </v:textbox>
                <w10:wrap anchorx="margin"/>
              </v:shape>
            </w:pict>
          </mc:Fallback>
        </mc:AlternateContent>
      </w:r>
      <w:r w:rsidR="00156AE8">
        <w:rPr>
          <w:noProof/>
        </w:rPr>
        <mc:AlternateContent>
          <mc:Choice Requires="wps">
            <w:drawing>
              <wp:anchor distT="0" distB="0" distL="114300" distR="114300" simplePos="0" relativeHeight="251658241" behindDoc="0" locked="0" layoutInCell="1" allowOverlap="1" wp14:anchorId="760347A7" wp14:editId="46DE5AF3">
                <wp:simplePos x="0" y="0"/>
                <wp:positionH relativeFrom="column">
                  <wp:posOffset>2040890</wp:posOffset>
                </wp:positionH>
                <wp:positionV relativeFrom="paragraph">
                  <wp:posOffset>1114107</wp:posOffset>
                </wp:positionV>
                <wp:extent cx="1191682" cy="249766"/>
                <wp:effectExtent l="0" t="0" r="0" b="0"/>
                <wp:wrapNone/>
                <wp:docPr id="11" name="Text Box 11">
                  <a:extLst xmlns:a="http://schemas.openxmlformats.org/drawingml/2006/main">
                    <a:ext uri="{FF2B5EF4-FFF2-40B4-BE49-F238E27FC236}">
                      <a16:creationId xmlns:a16="http://schemas.microsoft.com/office/drawing/2014/main" id="{AE479B47-4A2F-4491-B59D-EC22B3A00D5E}"/>
                    </a:ext>
                  </a:extLst>
                </wp:docPr>
                <wp:cNvGraphicFramePr/>
                <a:graphic xmlns:a="http://schemas.openxmlformats.org/drawingml/2006/main">
                  <a:graphicData uri="http://schemas.microsoft.com/office/word/2010/wordprocessingShape">
                    <wps:wsp>
                      <wps:cNvSpPr txBox="1"/>
                      <wps:spPr>
                        <a:xfrm>
                          <a:off x="0" y="0"/>
                          <a:ext cx="1191682" cy="249766"/>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D337E3F" w14:textId="77777777" w:rsidR="005E07A0" w:rsidRDefault="005E07A0" w:rsidP="005E07A0">
                            <w:pPr>
                              <w:jc w:val="center"/>
                              <w:rPr>
                                <w:rFonts w:ascii="Arial" w:hAnsi="Arial" w:cs="Arial"/>
                                <w:b/>
                                <w:bCs/>
                                <w:color w:val="000000"/>
                                <w:sz w:val="14"/>
                                <w:szCs w:val="14"/>
                              </w:rPr>
                            </w:pPr>
                            <w:r>
                              <w:rPr>
                                <w:rFonts w:ascii="Arial" w:hAnsi="Arial" w:cs="Arial"/>
                                <w:b/>
                                <w:bCs/>
                                <w:color w:val="000000"/>
                                <w:sz w:val="14"/>
                                <w:szCs w:val="14"/>
                              </w:rPr>
                              <w:t>Average: $18.5 billion</w:t>
                            </w:r>
                          </w:p>
                        </w:txbxContent>
                      </wps:txbx>
                      <wps:bodyPr vertOverflow="clip" horzOverflow="clip" wrap="square" rtlCol="0" anchor="ctr"/>
                    </wps:wsp>
                  </a:graphicData>
                </a:graphic>
              </wp:anchor>
            </w:drawing>
          </mc:Choice>
          <mc:Fallback>
            <w:pict>
              <v:shape w14:anchorId="760347A7" id="Text Box 11" o:spid="_x0000_s1027" type="#_x0000_t202" style="position:absolute;left:0;text-align:left;margin-left:160.7pt;margin-top:87.7pt;width:93.85pt;height:19.6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" filled="f" stroked="f">
                <v:textbox>
                  <w:txbxContent>
                    <w:p w14:paraId="4D337E3F" w14:textId="77777777" w:rsidR="005E07A0" w:rsidRDefault="005E07A0" w:rsidP="005E07A0">
                      <w:pPr>
                        <w:jc w:val="center"/>
                        <w:rPr>
                          <w:rFonts w:ascii="Arial" w:hAnsi="Arial" w:cs="Arial"/>
                          <w:b/>
                          <w:bCs/>
                          <w:color w:val="000000"/>
                          <w:sz w:val="14"/>
                          <w:szCs w:val="14"/>
                        </w:rPr>
                      </w:pPr>
                      <w:r>
                        <w:rPr>
                          <w:rFonts w:ascii="Arial" w:hAnsi="Arial" w:cs="Arial"/>
                          <w:b/>
                          <w:bCs/>
                          <w:color w:val="000000"/>
                          <w:sz w:val="14"/>
                          <w:szCs w:val="14"/>
                        </w:rPr>
                        <w:t>Average: $18.5 billion</w:t>
                      </w:r>
                    </w:p>
                  </w:txbxContent>
                </v:textbox>
              </v:shape>
            </w:pict>
          </mc:Fallback>
        </mc:AlternateContent>
      </w:r>
      <w:r w:rsidR="005A73DC">
        <w:rPr>
          <w:noProof/>
        </w:rPr>
        <mc:AlternateContent>
          <mc:Choice Requires="wps">
            <w:drawing>
              <wp:anchor distT="0" distB="0" distL="114300" distR="114300" simplePos="0" relativeHeight="251658242" behindDoc="0" locked="0" layoutInCell="1" allowOverlap="1" wp14:anchorId="27D5014C" wp14:editId="151E0A62">
                <wp:simplePos x="0" y="0"/>
                <wp:positionH relativeFrom="column">
                  <wp:posOffset>3369573</wp:posOffset>
                </wp:positionH>
                <wp:positionV relativeFrom="paragraph">
                  <wp:posOffset>602196</wp:posOffset>
                </wp:positionV>
                <wp:extent cx="1282699" cy="256117"/>
                <wp:effectExtent l="0" t="0" r="0" b="0"/>
                <wp:wrapNone/>
                <wp:docPr id="12" name="Text Box 12">
                  <a:extLst xmlns:a="http://schemas.openxmlformats.org/drawingml/2006/main">
                    <a:ext uri="{FF2B5EF4-FFF2-40B4-BE49-F238E27FC236}">
                      <a16:creationId xmlns:a16="http://schemas.microsoft.com/office/drawing/2014/main" id="{03EA2DE1-05EC-4F14-9A9B-DBADF0A0D968}"/>
                    </a:ext>
                  </a:extLst>
                </wp:docPr>
                <wp:cNvGraphicFramePr/>
                <a:graphic xmlns:a="http://schemas.openxmlformats.org/drawingml/2006/main">
                  <a:graphicData uri="http://schemas.microsoft.com/office/word/2010/wordprocessingShape">
                    <wps:wsp>
                      <wps:cNvSpPr txBox="1"/>
                      <wps:spPr>
                        <a:xfrm>
                          <a:off x="0" y="0"/>
                          <a:ext cx="1282699" cy="256117"/>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77D410A" w14:textId="17ABFD2D" w:rsidR="005E07A0" w:rsidRDefault="005E07A0" w:rsidP="005E07A0">
                            <w:pPr>
                              <w:jc w:val="center"/>
                              <w:rPr>
                                <w:rFonts w:ascii="Arial" w:hAnsi="Arial" w:cs="Arial"/>
                                <w:b/>
                                <w:bCs/>
                                <w:color w:val="000000"/>
                                <w:sz w:val="14"/>
                                <w:szCs w:val="14"/>
                              </w:rPr>
                            </w:pPr>
                            <w:r>
                              <w:rPr>
                                <w:rFonts w:ascii="Arial" w:hAnsi="Arial" w:cs="Arial"/>
                                <w:b/>
                                <w:bCs/>
                                <w:color w:val="000000"/>
                                <w:sz w:val="14"/>
                                <w:szCs w:val="14"/>
                              </w:rPr>
                              <w:t>Average: $25.</w:t>
                            </w:r>
                            <w:r w:rsidR="005A73DC">
                              <w:rPr>
                                <w:rFonts w:ascii="Arial" w:hAnsi="Arial" w:cs="Arial"/>
                                <w:b/>
                                <w:bCs/>
                                <w:color w:val="000000"/>
                                <w:sz w:val="14"/>
                                <w:szCs w:val="14"/>
                              </w:rPr>
                              <w:t>6</w:t>
                            </w:r>
                            <w:r>
                              <w:rPr>
                                <w:rFonts w:ascii="Arial" w:hAnsi="Arial" w:cs="Arial"/>
                                <w:b/>
                                <w:bCs/>
                                <w:color w:val="000000"/>
                                <w:sz w:val="14"/>
                                <w:szCs w:val="14"/>
                              </w:rPr>
                              <w:t xml:space="preserve"> billion</w:t>
                            </w:r>
                          </w:p>
                        </w:txbxContent>
                      </wps:txbx>
                      <wps:bodyPr vertOverflow="clip" horzOverflow="clip" wrap="square" rtlCol="0" anchor="ctr"/>
                    </wps:wsp>
                  </a:graphicData>
                </a:graphic>
              </wp:anchor>
            </w:drawing>
          </mc:Choice>
          <mc:Fallback>
            <w:pict>
              <v:shape w14:anchorId="27D5014C" id="Text Box 12" o:spid="_x0000_s1028" type="#_x0000_t202" style="position:absolute;left:0;text-align:left;margin-left:265.3pt;margin-top:47.4pt;width:101pt;height:20.1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" filled="f" stroked="f">
                <v:textbox>
                  <w:txbxContent>
                    <w:p w14:paraId="677D410A" w14:textId="17ABFD2D" w:rsidR="005E07A0" w:rsidRDefault="005E07A0" w:rsidP="005E07A0">
                      <w:pPr>
                        <w:jc w:val="center"/>
                        <w:rPr>
                          <w:rFonts w:ascii="Arial" w:hAnsi="Arial" w:cs="Arial"/>
                          <w:b/>
                          <w:bCs/>
                          <w:color w:val="000000"/>
                          <w:sz w:val="14"/>
                          <w:szCs w:val="14"/>
                        </w:rPr>
                      </w:pPr>
                      <w:r>
                        <w:rPr>
                          <w:rFonts w:ascii="Arial" w:hAnsi="Arial" w:cs="Arial"/>
                          <w:b/>
                          <w:bCs/>
                          <w:color w:val="000000"/>
                          <w:sz w:val="14"/>
                          <w:szCs w:val="14"/>
                        </w:rPr>
                        <w:t>Average: $25.</w:t>
                      </w:r>
                      <w:r w:rsidR="005A73DC">
                        <w:rPr>
                          <w:rFonts w:ascii="Arial" w:hAnsi="Arial" w:cs="Arial"/>
                          <w:b/>
                          <w:bCs/>
                          <w:color w:val="000000"/>
                          <w:sz w:val="14"/>
                          <w:szCs w:val="14"/>
                        </w:rPr>
                        <w:t>6</w:t>
                      </w:r>
                      <w:r>
                        <w:rPr>
                          <w:rFonts w:ascii="Arial" w:hAnsi="Arial" w:cs="Arial"/>
                          <w:b/>
                          <w:bCs/>
                          <w:color w:val="000000"/>
                          <w:sz w:val="14"/>
                          <w:szCs w:val="14"/>
                        </w:rPr>
                        <w:t xml:space="preserve"> billion</w:t>
                      </w:r>
                    </w:p>
                  </w:txbxContent>
                </v:textbox>
              </v:shape>
            </w:pict>
          </mc:Fallback>
        </mc:AlternateContent>
      </w:r>
      <w:r w:rsidR="005A73DC">
        <w:rPr>
          <w:noProof/>
        </w:rPr>
        <mc:AlternateContent>
          <mc:Choice Requires="wps">
            <w:drawing>
              <wp:anchor distT="0" distB="0" distL="114300" distR="114300" simplePos="0" relativeHeight="251658240" behindDoc="0" locked="0" layoutInCell="1" allowOverlap="1" wp14:anchorId="2816BD10" wp14:editId="5CF22C0F">
                <wp:simplePos x="0" y="0"/>
                <wp:positionH relativeFrom="column">
                  <wp:posOffset>611397</wp:posOffset>
                </wp:positionH>
                <wp:positionV relativeFrom="paragraph">
                  <wp:posOffset>1480113</wp:posOffset>
                </wp:positionV>
                <wp:extent cx="1291166" cy="222250"/>
                <wp:effectExtent l="0" t="0" r="0" b="6350"/>
                <wp:wrapNone/>
                <wp:docPr id="10" name="Text Box 10">
                  <a:extLst xmlns:a="http://schemas.openxmlformats.org/drawingml/2006/main">
                    <a:ext uri="{FF2B5EF4-FFF2-40B4-BE49-F238E27FC236}">
                      <a16:creationId xmlns:a16="http://schemas.microsoft.com/office/drawing/2014/main" id="{3D5B1A15-BE2C-D25B-2345-5CF76D875EBA}"/>
                    </a:ext>
                  </a:extLst>
                </wp:docPr>
                <wp:cNvGraphicFramePr/>
                <a:graphic xmlns:a="http://schemas.openxmlformats.org/drawingml/2006/main">
                  <a:graphicData uri="http://schemas.microsoft.com/office/word/2010/wordprocessingShape">
                    <wps:wsp>
                      <wps:cNvSpPr txBox="1"/>
                      <wps:spPr>
                        <a:xfrm>
                          <a:off x="0" y="0"/>
                          <a:ext cx="1291166" cy="2222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C24E87E" w14:textId="77777777" w:rsidR="005E07A0" w:rsidRDefault="005E07A0" w:rsidP="005E07A0">
                            <w:pPr>
                              <w:jc w:val="center"/>
                              <w:rPr>
                                <w:rFonts w:ascii="Arial" w:hAnsi="Arial" w:cs="Arial"/>
                                <w:b/>
                                <w:bCs/>
                                <w:color w:val="000000"/>
                                <w:sz w:val="14"/>
                                <w:szCs w:val="14"/>
                              </w:rPr>
                            </w:pPr>
                            <w:r>
                              <w:rPr>
                                <w:rFonts w:ascii="Arial" w:hAnsi="Arial" w:cs="Arial"/>
                                <w:b/>
                                <w:bCs/>
                                <w:color w:val="000000"/>
                                <w:sz w:val="14"/>
                                <w:szCs w:val="14"/>
                              </w:rPr>
                              <w:t>Average: $13.6 billion</w:t>
                            </w:r>
                          </w:p>
                        </w:txbxContent>
                      </wps:txbx>
                      <wps:bodyPr vertOverflow="clip" horzOverflow="clip" wrap="square" rtlCol="0" anchor="ctr"/>
                    </wps:wsp>
                  </a:graphicData>
                </a:graphic>
              </wp:anchor>
            </w:drawing>
          </mc:Choice>
          <mc:Fallback>
            <w:pict>
              <v:shape w14:anchorId="2816BD10" id="Text Box 10" o:spid="_x0000_s1029" type="#_x0000_t202" style="position:absolute;left:0;text-align:left;margin-left:48.15pt;margin-top:116.55pt;width:101.65pt;height:1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" filled="f" stroked="f">
                <v:textbox>
                  <w:txbxContent>
                    <w:p w14:paraId="4C24E87E" w14:textId="77777777" w:rsidR="005E07A0" w:rsidRDefault="005E07A0" w:rsidP="005E07A0">
                      <w:pPr>
                        <w:jc w:val="center"/>
                        <w:rPr>
                          <w:rFonts w:ascii="Arial" w:hAnsi="Arial" w:cs="Arial"/>
                          <w:b/>
                          <w:bCs/>
                          <w:color w:val="000000"/>
                          <w:sz w:val="14"/>
                          <w:szCs w:val="14"/>
                        </w:rPr>
                      </w:pPr>
                      <w:r>
                        <w:rPr>
                          <w:rFonts w:ascii="Arial" w:hAnsi="Arial" w:cs="Arial"/>
                          <w:b/>
                          <w:bCs/>
                          <w:color w:val="000000"/>
                          <w:sz w:val="14"/>
                          <w:szCs w:val="14"/>
                        </w:rPr>
                        <w:t>Average: $13.6 billion</w:t>
                      </w:r>
                    </w:p>
                  </w:txbxContent>
                </v:textbox>
              </v:shape>
            </w:pict>
          </mc:Fallback>
        </mc:AlternateContent>
      </w:r>
      <w:r w:rsidR="005A73DC">
        <w:rPr>
          <w:noProof/>
        </w:rPr>
        <w:drawing>
          <wp:inline distT="0" distB="0" distL="0" distR="0" wp14:anchorId="1A9AD063" wp14:editId="29451006">
            <wp:extent cx="6310546" cy="3312160"/>
            <wp:effectExtent l="0" t="0" r="0" b="0"/>
            <wp:docPr id="1" name="Chart 1" descr="Chart 1.3:  Infrastructure program from 2011-12 to 2026-27 ">
              <a:extLst xmlns:a="http://schemas.openxmlformats.org/drawingml/2006/main">
                <a:ext uri="{FF2B5EF4-FFF2-40B4-BE49-F238E27FC236}">
                  <a16:creationId xmlns:a16="http://schemas.microsoft.com/office/drawing/2014/main" id="{37692A56-752F-4C2A-A514-D6554BAB92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387C995" w14:textId="77777777" w:rsidR="005C372D" w:rsidRDefault="005C372D">
      <w:r>
        <w:br w:type="page"/>
      </w:r>
    </w:p>
    <w:tbl>
      <w:tblPr>
        <w:tblW w:w="9715" w:type="dxa"/>
        <w:shd w:val="clear" w:color="auto" w:fill="F2F2F2" w:themeFill="background1" w:themeFillShade="F2"/>
        <w:tblLayout w:type="fixed"/>
        <w:tblCellMar>
          <w:left w:w="0" w:type="dxa"/>
          <w:right w:w="0" w:type="dxa"/>
        </w:tblCellMar>
        <w:tblLook w:val="04A0" w:firstRow="1" w:lastRow="0" w:firstColumn="1" w:lastColumn="0" w:noHBand="0" w:noVBand="1"/>
        <w:tblCaption w:val="Box 1.1: Health and Education infrastructure commitments "/>
        <w:tblDescription w:val="Box 1.1: Health and Education infrastructure commitments "/>
      </w:tblPr>
      <w:tblGrid>
        <w:gridCol w:w="9715"/>
      </w:tblGrid>
      <w:tr w:rsidR="00CB509F" w:rsidRPr="00A1397D" w14:paraId="08F6F80F" w14:textId="77777777" w:rsidTr="006D5A8E">
        <w:trPr>
          <w:trHeight w:val="707"/>
        </w:trPr>
        <w:tc>
          <w:tcPr>
            <w:tcW w:w="9715" w:type="dxa"/>
            <w:shd w:val="clear" w:color="auto" w:fill="F2F2F2" w:themeFill="background1" w:themeFillShade="F2"/>
            <w:tcMar>
              <w:top w:w="0" w:type="dxa"/>
              <w:left w:w="108" w:type="dxa"/>
              <w:bottom w:w="0" w:type="dxa"/>
              <w:right w:w="108" w:type="dxa"/>
            </w:tcMar>
          </w:tcPr>
          <w:p w14:paraId="19DA11E9" w14:textId="726F9455" w:rsidR="00CB509F" w:rsidRPr="00461E1C" w:rsidRDefault="00CB509F" w:rsidP="00D53243">
            <w:pPr>
              <w:pStyle w:val="BP3Boxx"/>
            </w:pPr>
            <w:r w:rsidRPr="32B3554B">
              <w:rPr>
                <w:highlight w:val="yellow"/>
              </w:rPr>
              <w:lastRenderedPageBreak/>
              <w:br w:type="page"/>
            </w:r>
            <w:r w:rsidR="002318CF">
              <w:t>Health and Education infrastructure</w:t>
            </w:r>
            <w:r w:rsidRPr="00461E1C">
              <w:t xml:space="preserve"> commitments </w:t>
            </w:r>
          </w:p>
          <w:p w14:paraId="5DEDCE44" w14:textId="3D9A698E" w:rsidR="00CB509F" w:rsidRDefault="00CB509F" w:rsidP="006D5A8E">
            <w:pPr>
              <w:pStyle w:val="BP3BodyText"/>
            </w:pPr>
            <w:r w:rsidRPr="00461E1C">
              <w:t xml:space="preserve">The 2023-24 Budget includes new </w:t>
            </w:r>
            <w:r w:rsidR="00F77DBD">
              <w:t>funding</w:t>
            </w:r>
            <w:r w:rsidRPr="00461E1C">
              <w:t xml:space="preserve"> to deliver on the Government’s </w:t>
            </w:r>
            <w:r w:rsidR="00EC28E2">
              <w:t>commitment</w:t>
            </w:r>
            <w:r w:rsidR="003B3F24">
              <w:t xml:space="preserve"> </w:t>
            </w:r>
            <w:r w:rsidR="000D48D0">
              <w:t xml:space="preserve">to </w:t>
            </w:r>
            <w:r w:rsidR="00464676">
              <w:t>new and upgraded</w:t>
            </w:r>
            <w:r w:rsidRPr="00461E1C">
              <w:t xml:space="preserve"> schools and hospitals that are </w:t>
            </w:r>
            <w:r>
              <w:t xml:space="preserve">the foundation of our vital education and health services. </w:t>
            </w:r>
          </w:p>
          <w:p w14:paraId="5D33358F" w14:textId="7BE32494" w:rsidR="008945B7" w:rsidRDefault="00A16770" w:rsidP="006D5A8E">
            <w:pPr>
              <w:pStyle w:val="BP3BodyText"/>
            </w:pPr>
            <w:r>
              <w:t xml:space="preserve">By redirecting funds from low priorities, the 2023-24 Budget increases </w:t>
            </w:r>
            <w:r w:rsidR="00A53A28">
              <w:t>the</w:t>
            </w:r>
            <w:r>
              <w:t xml:space="preserve"> </w:t>
            </w:r>
            <w:proofErr w:type="gramStart"/>
            <w:r w:rsidR="00581BC4">
              <w:t>four</w:t>
            </w:r>
            <w:r w:rsidR="00E673AE">
              <w:t xml:space="preserve"> </w:t>
            </w:r>
            <w:r w:rsidR="00581BC4">
              <w:t>year</w:t>
            </w:r>
            <w:proofErr w:type="gramEnd"/>
            <w:r w:rsidR="00581BC4">
              <w:t xml:space="preserve"> </w:t>
            </w:r>
            <w:r w:rsidR="004B6D5D">
              <w:t>infrastructure investment</w:t>
            </w:r>
            <w:r w:rsidR="005F4088">
              <w:t xml:space="preserve"> on hospitals and health facilities by </w:t>
            </w:r>
            <w:r w:rsidR="009E1113">
              <w:t>15.6</w:t>
            </w:r>
            <w:r w:rsidR="005F4088">
              <w:t xml:space="preserve"> per cent and </w:t>
            </w:r>
            <w:r w:rsidR="0046133B">
              <w:t xml:space="preserve">education facilities by </w:t>
            </w:r>
            <w:r w:rsidR="009E1113">
              <w:t>6.6</w:t>
            </w:r>
            <w:r w:rsidR="00E673AE">
              <w:t> </w:t>
            </w:r>
            <w:r w:rsidR="0046133B">
              <w:t>per cent compared to the four</w:t>
            </w:r>
            <w:r w:rsidR="00980CE5">
              <w:t xml:space="preserve"> </w:t>
            </w:r>
            <w:r w:rsidR="0046133B">
              <w:t xml:space="preserve">year </w:t>
            </w:r>
            <w:r w:rsidR="00A53A28">
              <w:t>forecast</w:t>
            </w:r>
            <w:r w:rsidR="00B57323">
              <w:t xml:space="preserve"> announced</w:t>
            </w:r>
            <w:r w:rsidR="008945B7">
              <w:t xml:space="preserve"> in the 2022-23 Budget</w:t>
            </w:r>
            <w:r w:rsidR="0056065C">
              <w:rPr>
                <w:rStyle w:val="FootnoteReference"/>
              </w:rPr>
              <w:footnoteReference w:id="2"/>
            </w:r>
            <w:r w:rsidR="008945B7" w:rsidRPr="004D7E8A">
              <w:t xml:space="preserve">. </w:t>
            </w:r>
          </w:p>
          <w:p w14:paraId="070EF081" w14:textId="04EBBEC1" w:rsidR="00CB509F" w:rsidRDefault="00CB509F" w:rsidP="006D5A8E">
            <w:pPr>
              <w:pStyle w:val="BP3BodyText"/>
            </w:pPr>
            <w:r>
              <w:t xml:space="preserve">New funding has been allocated for </w:t>
            </w:r>
            <w:r w:rsidR="00F176AB">
              <w:t>h</w:t>
            </w:r>
            <w:r>
              <w:t>ospitals</w:t>
            </w:r>
            <w:r w:rsidR="00F176AB">
              <w:t xml:space="preserve"> and health facilities</w:t>
            </w:r>
            <w:r>
              <w:t xml:space="preserve"> including: </w:t>
            </w:r>
            <w:r w:rsidR="0046133B">
              <w:t xml:space="preserve"> </w:t>
            </w:r>
          </w:p>
          <w:p w14:paraId="4CA6B6B0" w14:textId="1BD3E7ED" w:rsidR="00DC3A39" w:rsidRDefault="00DC3A39" w:rsidP="00843768">
            <w:pPr>
              <w:pStyle w:val="BP3Bullet1"/>
            </w:pPr>
            <w:r>
              <w:t xml:space="preserve">more than doubling the funding for the new Rouse Hill Hospital, from $300.0 million to $700.0 million, to expand the facility and include an Emergency Department, maternity and women’s health services and a day surgery </w:t>
            </w:r>
            <w:proofErr w:type="gramStart"/>
            <w:r>
              <w:t>unit</w:t>
            </w:r>
            <w:proofErr w:type="gramEnd"/>
          </w:p>
          <w:p w14:paraId="632D4A9F" w14:textId="5AA3EC88" w:rsidR="00CB509F" w:rsidRDefault="00CB509F" w:rsidP="00843768">
            <w:pPr>
              <w:pStyle w:val="BP3Bullet1"/>
            </w:pPr>
            <w:r>
              <w:t xml:space="preserve">$550.0 million for the Fairfield Hospital </w:t>
            </w:r>
            <w:r w:rsidR="00812ECE">
              <w:t>Redevelopment</w:t>
            </w:r>
            <w:r>
              <w:t xml:space="preserve"> to deliver more medical and rehabilitation bed</w:t>
            </w:r>
            <w:r w:rsidR="00AD2306">
              <w:t>s</w:t>
            </w:r>
            <w:r>
              <w:t xml:space="preserve"> and increase the </w:t>
            </w:r>
            <w:r w:rsidR="004A202D">
              <w:t xml:space="preserve">capacity of </w:t>
            </w:r>
            <w:r w:rsidR="0046375D">
              <w:t xml:space="preserve">emergency and critical care </w:t>
            </w:r>
            <w:proofErr w:type="gramStart"/>
            <w:r w:rsidR="0046375D">
              <w:t>services</w:t>
            </w:r>
            <w:proofErr w:type="gramEnd"/>
          </w:p>
          <w:p w14:paraId="05CC39EA" w14:textId="72B695BF" w:rsidR="00931933" w:rsidRDefault="00931933" w:rsidP="00843768">
            <w:pPr>
              <w:pStyle w:val="BP3Bullet1"/>
            </w:pPr>
            <w:r>
              <w:t xml:space="preserve">$538.0 million for a major redevelopment of Albury Wodonga Regional Hospital to improve patient safety and increase the capability and responsiveness of the health service to meet future health </w:t>
            </w:r>
            <w:proofErr w:type="gramStart"/>
            <w:r>
              <w:t>needs</w:t>
            </w:r>
            <w:proofErr w:type="gramEnd"/>
          </w:p>
          <w:p w14:paraId="6DF3F180" w14:textId="4C32D4AA" w:rsidR="00CB509F" w:rsidRDefault="00CB509F" w:rsidP="00554656">
            <w:pPr>
              <w:pStyle w:val="BP3Bullet1"/>
            </w:pPr>
            <w:r>
              <w:t xml:space="preserve">$350.0 million for </w:t>
            </w:r>
            <w:r w:rsidR="00010D8C">
              <w:t>the</w:t>
            </w:r>
            <w:r>
              <w:t xml:space="preserve"> Canterbury Hospital </w:t>
            </w:r>
            <w:r w:rsidR="00597487">
              <w:t>Redevelopment</w:t>
            </w:r>
            <w:r>
              <w:t xml:space="preserve"> to ensure the facility is able to respond to the health needs of the growing local </w:t>
            </w:r>
            <w:proofErr w:type="gramStart"/>
            <w:r>
              <w:t>community</w:t>
            </w:r>
            <w:proofErr w:type="gramEnd"/>
          </w:p>
          <w:p w14:paraId="799794C2" w14:textId="755A0FBB" w:rsidR="00CB509F" w:rsidRDefault="00CB509F" w:rsidP="00843768">
            <w:pPr>
              <w:pStyle w:val="BP3Bullet1"/>
            </w:pPr>
            <w:r>
              <w:t>$120.0 million</w:t>
            </w:r>
            <w:r w:rsidR="0043489C">
              <w:t xml:space="preserve"> for </w:t>
            </w:r>
            <w:r w:rsidR="00931933">
              <w:t>an expansion</w:t>
            </w:r>
            <w:r>
              <w:t xml:space="preserve"> </w:t>
            </w:r>
            <w:r w:rsidR="00931933">
              <w:t xml:space="preserve">of </w:t>
            </w:r>
            <w:r>
              <w:t>Blacktown and Mount Druitt Hospital</w:t>
            </w:r>
            <w:r w:rsidR="00793AB8">
              <w:t>s</w:t>
            </w:r>
            <w:r>
              <w:t xml:space="preserve"> to increase bed capacity.</w:t>
            </w:r>
          </w:p>
          <w:p w14:paraId="4732C6B8" w14:textId="45B2F38F" w:rsidR="00CB509F" w:rsidRDefault="00DE57E6" w:rsidP="006D5A8E">
            <w:pPr>
              <w:pStyle w:val="BP3BodyText"/>
            </w:pPr>
            <w:r>
              <w:t>$1.</w:t>
            </w:r>
            <w:r w:rsidR="0024672E">
              <w:t>4</w:t>
            </w:r>
            <w:r>
              <w:t xml:space="preserve"> billion</w:t>
            </w:r>
            <w:r w:rsidR="00CB509F">
              <w:t xml:space="preserve"> </w:t>
            </w:r>
            <w:r w:rsidR="00546801">
              <w:t xml:space="preserve">in new funding </w:t>
            </w:r>
            <w:r w:rsidR="0024672E">
              <w:t>over four years</w:t>
            </w:r>
            <w:r w:rsidR="00546801">
              <w:t xml:space="preserve"> </w:t>
            </w:r>
            <w:r w:rsidR="00CB509F">
              <w:t xml:space="preserve">has also been allocated to support the planning and delivery of </w:t>
            </w:r>
            <w:r w:rsidR="0024672E">
              <w:t>34</w:t>
            </w:r>
            <w:r w:rsidR="00CB509F">
              <w:t xml:space="preserve"> new and upgraded schools. This investment will target the replacement of </w:t>
            </w:r>
            <w:proofErr w:type="spellStart"/>
            <w:r w:rsidR="00CB509F">
              <w:t>demountables</w:t>
            </w:r>
            <w:proofErr w:type="spellEnd"/>
            <w:r w:rsidR="00CB509F">
              <w:t xml:space="preserve"> and meet the needs of growing communities by providing additional classrooms. </w:t>
            </w:r>
            <w:r w:rsidR="00CF09A3">
              <w:t>P</w:t>
            </w:r>
            <w:r w:rsidR="00CB509F">
              <w:t>rojects being delivered include:</w:t>
            </w:r>
          </w:p>
          <w:p w14:paraId="01FE5E95" w14:textId="6A77E454" w:rsidR="00CB509F" w:rsidRDefault="00D026B4" w:rsidP="00C77163">
            <w:pPr>
              <w:pStyle w:val="BP3Bullet1"/>
              <w:numPr>
                <w:ilvl w:val="0"/>
                <w:numId w:val="9"/>
              </w:numPr>
              <w:ind w:left="284" w:hanging="284"/>
            </w:pPr>
            <w:r>
              <w:t xml:space="preserve">a </w:t>
            </w:r>
            <w:r w:rsidR="000D437D">
              <w:t>n</w:t>
            </w:r>
            <w:r w:rsidR="00CB509F">
              <w:t xml:space="preserve">ew primary school </w:t>
            </w:r>
            <w:r w:rsidR="00BA3A43">
              <w:t xml:space="preserve">will be built near </w:t>
            </w:r>
            <w:r w:rsidR="00CB509F">
              <w:t>Sydney Olympic Park</w:t>
            </w:r>
            <w:r w:rsidR="00BA3A43">
              <w:rPr>
                <w:rStyle w:val="ui-provider"/>
                <w:rFonts w:eastAsia="Times New Roman"/>
              </w:rPr>
              <w:t xml:space="preserve"> and planning will commence for three new primary schools at </w:t>
            </w:r>
            <w:proofErr w:type="spellStart"/>
            <w:r w:rsidR="00BA3A43">
              <w:rPr>
                <w:rStyle w:val="ui-provider"/>
                <w:rFonts w:eastAsia="Times New Roman"/>
              </w:rPr>
              <w:t>Huntlee</w:t>
            </w:r>
            <w:proofErr w:type="spellEnd"/>
            <w:r w:rsidR="00BA3A43">
              <w:rPr>
                <w:rStyle w:val="ui-provider"/>
                <w:rFonts w:eastAsia="Times New Roman"/>
              </w:rPr>
              <w:t xml:space="preserve">, West </w:t>
            </w:r>
            <w:proofErr w:type="gramStart"/>
            <w:r w:rsidR="00BA3A43">
              <w:rPr>
                <w:rStyle w:val="ui-provider"/>
                <w:rFonts w:eastAsia="Times New Roman"/>
              </w:rPr>
              <w:t>Dapto</w:t>
            </w:r>
            <w:proofErr w:type="gramEnd"/>
            <w:r w:rsidR="00BA3A43">
              <w:rPr>
                <w:rStyle w:val="ui-provider"/>
                <w:rFonts w:eastAsia="Times New Roman"/>
              </w:rPr>
              <w:t xml:space="preserve"> and Calderwood</w:t>
            </w:r>
          </w:p>
          <w:p w14:paraId="167F3686" w14:textId="0B3F89D4" w:rsidR="00CB509F" w:rsidRDefault="000D437D" w:rsidP="00C77163">
            <w:pPr>
              <w:pStyle w:val="BP3Bullet1"/>
              <w:numPr>
                <w:ilvl w:val="0"/>
                <w:numId w:val="9"/>
              </w:numPr>
              <w:ind w:left="284" w:hanging="284"/>
            </w:pPr>
            <w:r>
              <w:t>n</w:t>
            </w:r>
            <w:r w:rsidR="00CB509F">
              <w:t xml:space="preserve">ew high schools at Medowie, </w:t>
            </w:r>
            <w:proofErr w:type="spellStart"/>
            <w:r w:rsidR="00CB509F">
              <w:t>Googong</w:t>
            </w:r>
            <w:proofErr w:type="spellEnd"/>
            <w:r w:rsidR="00CB509F">
              <w:t>, Jordan Springs</w:t>
            </w:r>
            <w:r w:rsidR="001D2EB4">
              <w:t xml:space="preserve">, </w:t>
            </w:r>
            <w:r w:rsidR="00CB509F">
              <w:t xml:space="preserve">Melrose </w:t>
            </w:r>
            <w:proofErr w:type="gramStart"/>
            <w:r w:rsidR="00CB509F">
              <w:t>Park</w:t>
            </w:r>
            <w:proofErr w:type="gramEnd"/>
            <w:r w:rsidR="001D2EB4">
              <w:t xml:space="preserve"> and </w:t>
            </w:r>
            <w:proofErr w:type="spellStart"/>
            <w:r w:rsidR="001D2EB4">
              <w:t>Gledswood</w:t>
            </w:r>
            <w:proofErr w:type="spellEnd"/>
            <w:r w:rsidR="001D2EB4">
              <w:t>/Gregory Hills</w:t>
            </w:r>
          </w:p>
          <w:p w14:paraId="295B7598" w14:textId="45C30F29" w:rsidR="00CB509F" w:rsidRPr="00461E1C" w:rsidRDefault="000D437D" w:rsidP="00C77163">
            <w:pPr>
              <w:pStyle w:val="BP3Bullet1"/>
              <w:numPr>
                <w:ilvl w:val="0"/>
                <w:numId w:val="9"/>
              </w:numPr>
              <w:ind w:left="284" w:hanging="284"/>
            </w:pPr>
            <w:r>
              <w:t>u</w:t>
            </w:r>
            <w:r w:rsidR="00CB509F">
              <w:t xml:space="preserve">pgrades to </w:t>
            </w:r>
            <w:r w:rsidR="00EF40C9">
              <w:t>Northmead</w:t>
            </w:r>
            <w:r w:rsidR="00CB509F">
              <w:t xml:space="preserve"> Public School, The Ponds High School, </w:t>
            </w:r>
            <w:r w:rsidR="002C1717">
              <w:t>Kingswood</w:t>
            </w:r>
            <w:r w:rsidR="00CB509F">
              <w:t xml:space="preserve"> Public School, Katoomba High School, Jerrabomberra High </w:t>
            </w:r>
            <w:proofErr w:type="gramStart"/>
            <w:r w:rsidR="00CB509F">
              <w:t>School</w:t>
            </w:r>
            <w:proofErr w:type="gramEnd"/>
            <w:r w:rsidR="00CB509F">
              <w:t xml:space="preserve"> and </w:t>
            </w:r>
            <w:r w:rsidR="00DD50E0">
              <w:t>Eagle Vale</w:t>
            </w:r>
            <w:r w:rsidR="00CB509F">
              <w:t xml:space="preserve"> High School. </w:t>
            </w:r>
          </w:p>
          <w:p w14:paraId="34BB1A91" w14:textId="24CB3FBB" w:rsidR="0094649E" w:rsidRPr="006D2C0F" w:rsidRDefault="00C81B8B" w:rsidP="00A501E8">
            <w:pPr>
              <w:pStyle w:val="BP3BodyText"/>
            </w:pPr>
            <w:r>
              <w:t>This significant</w:t>
            </w:r>
            <w:r w:rsidR="00CB509F">
              <w:t xml:space="preserve"> health and education investment </w:t>
            </w:r>
            <w:r>
              <w:t xml:space="preserve">is </w:t>
            </w:r>
            <w:r w:rsidR="00A65E8C">
              <w:t xml:space="preserve">the foundation </w:t>
            </w:r>
            <w:r>
              <w:t>of the Government’s plan to rebuild essential services.</w:t>
            </w:r>
            <w:r w:rsidR="00CB509F">
              <w:t xml:space="preserve"> </w:t>
            </w:r>
          </w:p>
        </w:tc>
      </w:tr>
    </w:tbl>
    <w:p w14:paraId="39B8C714" w14:textId="77777777" w:rsidR="006F5F93" w:rsidRPr="005C2EDF" w:rsidRDefault="006F5F93" w:rsidP="005C2EDF">
      <w:pPr>
        <w:rPr>
          <w:sz w:val="4"/>
          <w:szCs w:val="4"/>
        </w:rPr>
      </w:pPr>
    </w:p>
    <w:p w14:paraId="519BFA0B" w14:textId="77777777" w:rsidR="003E7707" w:rsidRDefault="003E7707">
      <w:pPr>
        <w:rPr>
          <w:rFonts w:ascii="Public Sans" w:eastAsia="Arial" w:hAnsi="Public Sans" w:cs="Arial"/>
          <w:color w:val="000000" w:themeColor="text1"/>
          <w:sz w:val="22"/>
          <w:szCs w:val="23"/>
          <w:lang w:val="en-AU"/>
        </w:rPr>
      </w:pPr>
      <w:r>
        <w:br w:type="page"/>
      </w:r>
    </w:p>
    <w:p w14:paraId="242CC346" w14:textId="4BE4BD40" w:rsidR="00175897" w:rsidRDefault="006F5FF2" w:rsidP="00494BFF">
      <w:pPr>
        <w:pStyle w:val="BP3BodyText"/>
        <w:rPr>
          <w:vertAlign w:val="superscript"/>
        </w:rPr>
      </w:pPr>
      <w:r>
        <w:lastRenderedPageBreak/>
        <w:t xml:space="preserve">Significant projects </w:t>
      </w:r>
      <w:r w:rsidR="00D43853">
        <w:t>continuing or commencing deliver</w:t>
      </w:r>
      <w:r w:rsidR="00992AB8">
        <w:t>y</w:t>
      </w:r>
      <w:r>
        <w:t xml:space="preserve"> as part of the </w:t>
      </w:r>
      <w:r w:rsidR="00113590">
        <w:t>2023-24</w:t>
      </w:r>
      <w:r>
        <w:t xml:space="preserve"> Budget </w:t>
      </w:r>
      <w:r w:rsidR="00F535F6">
        <w:t>are detailed below.</w:t>
      </w:r>
      <w:r w:rsidR="007E2B68" w:rsidRPr="00C72BEE">
        <w:rPr>
          <w:sz w:val="23"/>
          <w:vertAlign w:val="superscript"/>
        </w:rPr>
        <w:footnoteReference w:id="3"/>
      </w:r>
      <w:r w:rsidR="00812D76" w:rsidRPr="00C72BEE">
        <w:rPr>
          <w:vertAlign w:val="superscript"/>
        </w:rPr>
        <w:t>:</w:t>
      </w:r>
    </w:p>
    <w:p w14:paraId="08D8EF5D" w14:textId="11B07CD3" w:rsidR="0058195D" w:rsidRPr="00B03F8D" w:rsidRDefault="005C3690" w:rsidP="00595245">
      <w:pPr>
        <w:pStyle w:val="BP3BodyText"/>
        <w:rPr>
          <w:b/>
        </w:rPr>
      </w:pPr>
      <w:r w:rsidRPr="00595245">
        <w:rPr>
          <w:b/>
        </w:rPr>
        <w:t>$</w:t>
      </w:r>
      <w:r w:rsidR="00A47A93" w:rsidRPr="00B03F8D">
        <w:rPr>
          <w:b/>
        </w:rPr>
        <w:t>72.</w:t>
      </w:r>
      <w:r w:rsidR="009B2F71" w:rsidRPr="00B03F8D">
        <w:rPr>
          <w:b/>
        </w:rPr>
        <w:t>3</w:t>
      </w:r>
      <w:r w:rsidRPr="00B03F8D">
        <w:rPr>
          <w:b/>
        </w:rPr>
        <w:t xml:space="preserve"> billion for transport and </w:t>
      </w:r>
      <w:r w:rsidR="008E2257" w:rsidRPr="00B03F8D">
        <w:rPr>
          <w:b/>
        </w:rPr>
        <w:t>infrastructure</w:t>
      </w:r>
      <w:r w:rsidR="00367723" w:rsidRPr="00B03F8D">
        <w:rPr>
          <w:b/>
        </w:rPr>
        <w:t>, including:</w:t>
      </w:r>
    </w:p>
    <w:p w14:paraId="386ECFD6" w14:textId="3725AA49" w:rsidR="005F5993" w:rsidRPr="00595245" w:rsidRDefault="006E4A1E" w:rsidP="002B4A90">
      <w:pPr>
        <w:pStyle w:val="BP3Bullet1"/>
      </w:pPr>
      <w:r>
        <w:t>$</w:t>
      </w:r>
      <w:r w:rsidR="00A9261D">
        <w:t>13.7</w:t>
      </w:r>
      <w:r>
        <w:t xml:space="preserve"> billion over four years for Sydney Metro West</w:t>
      </w:r>
      <w:r w:rsidR="00396532">
        <w:rPr>
          <w:rStyle w:val="FootnoteReference"/>
        </w:rPr>
        <w:footnoteReference w:id="4"/>
      </w:r>
    </w:p>
    <w:p w14:paraId="2A9E58FB" w14:textId="2BB535D0" w:rsidR="00595245" w:rsidRPr="00595245" w:rsidRDefault="00EA680E" w:rsidP="002B4A90">
      <w:pPr>
        <w:pStyle w:val="BP3Bullet1"/>
      </w:pPr>
      <w:r>
        <w:t>$7.</w:t>
      </w:r>
      <w:r w:rsidR="00A9261D">
        <w:t>9</w:t>
      </w:r>
      <w:r>
        <w:t xml:space="preserve"> billion</w:t>
      </w:r>
      <w:r w:rsidR="00D24C2F">
        <w:t xml:space="preserve"> over four years</w:t>
      </w:r>
      <w:r>
        <w:t xml:space="preserve"> for Sydney Metro – Western Sydney Airport</w:t>
      </w:r>
      <w:r w:rsidR="005F1605">
        <w:rPr>
          <w:vertAlign w:val="superscript"/>
        </w:rPr>
        <w:t>4</w:t>
      </w:r>
    </w:p>
    <w:p w14:paraId="7AF13D8B" w14:textId="1ABD3A4F" w:rsidR="00595245" w:rsidRDefault="00D24C2F" w:rsidP="002B4A90">
      <w:pPr>
        <w:pStyle w:val="BP3Bullet1"/>
      </w:pPr>
      <w:r>
        <w:t>$4.</w:t>
      </w:r>
      <w:r w:rsidR="001727BE">
        <w:t>7</w:t>
      </w:r>
      <w:r>
        <w:t xml:space="preserve"> billion over </w:t>
      </w:r>
      <w:r w:rsidRPr="002B4A90">
        <w:t>four</w:t>
      </w:r>
      <w:r>
        <w:t xml:space="preserve"> years for the Western Harbour Tunnel Upgrade</w:t>
      </w:r>
    </w:p>
    <w:p w14:paraId="32257A11" w14:textId="4882B72D" w:rsidR="00E30081" w:rsidRDefault="00E30081" w:rsidP="002B4A90">
      <w:pPr>
        <w:pStyle w:val="BP3Bullet1"/>
      </w:pPr>
      <w:r>
        <w:t>$</w:t>
      </w:r>
      <w:r w:rsidR="00A9261D">
        <w:t>3.3</w:t>
      </w:r>
      <w:r>
        <w:t xml:space="preserve"> billion over four </w:t>
      </w:r>
      <w:r w:rsidRPr="002B4A90">
        <w:t>years</w:t>
      </w:r>
      <w:r>
        <w:t xml:space="preserve"> for Sydney Metro City </w:t>
      </w:r>
      <w:r w:rsidR="0003358B">
        <w:t xml:space="preserve">and </w:t>
      </w:r>
      <w:r w:rsidR="00E363A9">
        <w:t>Southwest</w:t>
      </w:r>
      <w:r w:rsidR="005F1605">
        <w:rPr>
          <w:vertAlign w:val="superscript"/>
        </w:rPr>
        <w:t>4</w:t>
      </w:r>
    </w:p>
    <w:p w14:paraId="3F9F8883" w14:textId="50658BF5" w:rsidR="00930E32" w:rsidRDefault="00930E32" w:rsidP="009908A9">
      <w:pPr>
        <w:pStyle w:val="BP3Bullet1"/>
      </w:pPr>
      <w:r>
        <w:t>$</w:t>
      </w:r>
      <w:r w:rsidR="00A21A95">
        <w:t>3.0</w:t>
      </w:r>
      <w:r>
        <w:t xml:space="preserve"> billion over four years for </w:t>
      </w:r>
      <w:r w:rsidR="00671DA0">
        <w:t>Connecting</w:t>
      </w:r>
      <w:r>
        <w:t xml:space="preserve"> Sydney Roads </w:t>
      </w:r>
    </w:p>
    <w:p w14:paraId="0261D140" w14:textId="13633727" w:rsidR="002D3EAB" w:rsidRDefault="002D3EAB" w:rsidP="009908A9">
      <w:pPr>
        <w:pStyle w:val="BP3Bullet1"/>
      </w:pPr>
      <w:r>
        <w:t xml:space="preserve">$532.7 million over four years for the Newell </w:t>
      </w:r>
      <w:r w:rsidR="008B4A72">
        <w:t>Corridor</w:t>
      </w:r>
      <w:r>
        <w:t xml:space="preserve"> Upgrade</w:t>
      </w:r>
    </w:p>
    <w:p w14:paraId="48D2CE71" w14:textId="31B54B62" w:rsidR="00C556CA" w:rsidRPr="00595245" w:rsidRDefault="00C556CA" w:rsidP="009908A9">
      <w:pPr>
        <w:pStyle w:val="BP3Bullet1"/>
      </w:pPr>
      <w:r>
        <w:t>$</w:t>
      </w:r>
      <w:r w:rsidR="003352AF">
        <w:t>46.6</w:t>
      </w:r>
      <w:r>
        <w:t xml:space="preserve"> million over four years for the Regional Road</w:t>
      </w:r>
      <w:r w:rsidR="003352AF">
        <w:t>s</w:t>
      </w:r>
      <w:r>
        <w:t xml:space="preserve"> Fund</w:t>
      </w:r>
      <w:r w:rsidR="00D522FC">
        <w:t xml:space="preserve"> (as part of a total </w:t>
      </w:r>
      <w:r w:rsidR="00222164">
        <w:t xml:space="preserve">$334.0 million </w:t>
      </w:r>
      <w:r w:rsidR="00B5348C">
        <w:t>investment)</w:t>
      </w:r>
    </w:p>
    <w:p w14:paraId="27C0D5D4" w14:textId="5762C4E6" w:rsidR="00F74A6A" w:rsidRPr="00595245" w:rsidRDefault="00F74A6A" w:rsidP="009908A9">
      <w:pPr>
        <w:pStyle w:val="BP3Bullet1"/>
      </w:pPr>
      <w:r>
        <w:t>$43.0 million over four years for Parramatta Class ferries</w:t>
      </w:r>
      <w:r w:rsidR="009908A9">
        <w:t>.</w:t>
      </w:r>
    </w:p>
    <w:p w14:paraId="7EA04CE1" w14:textId="2A404410" w:rsidR="00E011B1" w:rsidRPr="00B03F8D" w:rsidRDefault="00994DB0" w:rsidP="00595245">
      <w:pPr>
        <w:pStyle w:val="BP3BodyText"/>
        <w:rPr>
          <w:b/>
        </w:rPr>
      </w:pPr>
      <w:r w:rsidRPr="00595245">
        <w:rPr>
          <w:b/>
        </w:rPr>
        <w:t>$</w:t>
      </w:r>
      <w:r w:rsidR="00A47A93" w:rsidRPr="00B03F8D">
        <w:rPr>
          <w:b/>
        </w:rPr>
        <w:t>13.8</w:t>
      </w:r>
      <w:r w:rsidR="00113590" w:rsidRPr="00B03F8D">
        <w:rPr>
          <w:b/>
        </w:rPr>
        <w:t xml:space="preserve"> </w:t>
      </w:r>
      <w:r w:rsidR="004A654D" w:rsidRPr="00B03F8D">
        <w:rPr>
          <w:b/>
        </w:rPr>
        <w:t xml:space="preserve">billion </w:t>
      </w:r>
      <w:r w:rsidR="00D66C01" w:rsidRPr="00B03F8D">
        <w:rPr>
          <w:b/>
        </w:rPr>
        <w:t>for</w:t>
      </w:r>
      <w:r w:rsidR="00175897" w:rsidRPr="00B03F8D">
        <w:rPr>
          <w:b/>
        </w:rPr>
        <w:t xml:space="preserve"> health infrastructure</w:t>
      </w:r>
      <w:r w:rsidR="00260C33" w:rsidRPr="005F1605">
        <w:rPr>
          <w:b/>
          <w:vertAlign w:val="superscript"/>
        </w:rPr>
        <w:footnoteReference w:id="5"/>
      </w:r>
      <w:r w:rsidR="005A564C" w:rsidRPr="005F1605">
        <w:rPr>
          <w:b/>
          <w:vertAlign w:val="superscript"/>
        </w:rPr>
        <w:t xml:space="preserve"> </w:t>
      </w:r>
      <w:r w:rsidR="004E7546" w:rsidRPr="00B03F8D">
        <w:rPr>
          <w:b/>
        </w:rPr>
        <w:t>to plan and deliver</w:t>
      </w:r>
      <w:r w:rsidR="002C0362" w:rsidRPr="00B03F8D">
        <w:rPr>
          <w:b/>
        </w:rPr>
        <w:t xml:space="preserve"> </w:t>
      </w:r>
      <w:r w:rsidR="00BA5C61" w:rsidRPr="00B03F8D">
        <w:rPr>
          <w:b/>
        </w:rPr>
        <w:t xml:space="preserve">new and upgraded </w:t>
      </w:r>
      <w:r w:rsidR="00591737" w:rsidRPr="00B03F8D">
        <w:rPr>
          <w:b/>
        </w:rPr>
        <w:t xml:space="preserve">hospital builds, </w:t>
      </w:r>
      <w:r w:rsidR="00BF11CF" w:rsidRPr="00B03F8D">
        <w:rPr>
          <w:b/>
        </w:rPr>
        <w:t>including</w:t>
      </w:r>
      <w:r w:rsidR="00175897" w:rsidRPr="00B03F8D">
        <w:rPr>
          <w:b/>
        </w:rPr>
        <w:t>:</w:t>
      </w:r>
    </w:p>
    <w:p w14:paraId="4FFCAD6A" w14:textId="3DC86CA3" w:rsidR="00595245" w:rsidRDefault="006E1CEB" w:rsidP="00EB50DC">
      <w:pPr>
        <w:pStyle w:val="BP3Bullet1"/>
      </w:pPr>
      <w:r>
        <w:t>$1.3 billion for</w:t>
      </w:r>
      <w:r w:rsidR="00EC6A2C">
        <w:t xml:space="preserve"> the new</w:t>
      </w:r>
      <w:r>
        <w:t xml:space="preserve"> Bankstown Hospital</w:t>
      </w:r>
    </w:p>
    <w:p w14:paraId="12F674E1" w14:textId="4D9E56A9" w:rsidR="00595245" w:rsidRDefault="00FA067E" w:rsidP="00EB50DC">
      <w:pPr>
        <w:pStyle w:val="BP3Bullet1"/>
      </w:pPr>
      <w:r>
        <w:t xml:space="preserve">$1.0 billion for the </w:t>
      </w:r>
      <w:r w:rsidRPr="00FA067E">
        <w:t>Nepean Hospital and Integrated Ambulatory Services Stage 1 and 2</w:t>
      </w:r>
    </w:p>
    <w:p w14:paraId="276339DE" w14:textId="1183BC69" w:rsidR="003A096F" w:rsidRDefault="003A096F" w:rsidP="00EB50DC">
      <w:pPr>
        <w:pStyle w:val="BP3Bullet1"/>
      </w:pPr>
      <w:r>
        <w:t>$740.0 million for the Liverpool Health and Academic Precinct</w:t>
      </w:r>
    </w:p>
    <w:p w14:paraId="4118CCBD" w14:textId="36E3B89E" w:rsidR="00595245" w:rsidRDefault="00585411" w:rsidP="00EB50DC">
      <w:pPr>
        <w:pStyle w:val="BP3Bullet1"/>
      </w:pPr>
      <w:r>
        <w:t>$</w:t>
      </w:r>
      <w:r w:rsidR="005C320D">
        <w:t>669.8</w:t>
      </w:r>
      <w:r w:rsidR="005D39A5">
        <w:t xml:space="preserve"> million for the </w:t>
      </w:r>
      <w:proofErr w:type="spellStart"/>
      <w:r w:rsidR="005D39A5">
        <w:t>Statewide</w:t>
      </w:r>
      <w:proofErr w:type="spellEnd"/>
      <w:r w:rsidR="005D39A5">
        <w:t xml:space="preserve"> Mental Health Infrastructure Program </w:t>
      </w:r>
    </w:p>
    <w:p w14:paraId="3A3F1D90" w14:textId="1B294546" w:rsidR="00260E66" w:rsidRPr="00595245" w:rsidRDefault="003A096F" w:rsidP="00EB50DC">
      <w:pPr>
        <w:pStyle w:val="BP3Bullet1"/>
      </w:pPr>
      <w:r>
        <w:t>$438.0 million for the Shoalhaven Hospital Redevelopment</w:t>
      </w:r>
      <w:r w:rsidR="00EB50DC">
        <w:t>.</w:t>
      </w:r>
    </w:p>
    <w:p w14:paraId="456A9AF6" w14:textId="35CAED52" w:rsidR="006E784A" w:rsidRPr="00B03F8D" w:rsidRDefault="006B2EA9" w:rsidP="00595245">
      <w:pPr>
        <w:pStyle w:val="BP3BodyText"/>
        <w:rPr>
          <w:b/>
        </w:rPr>
      </w:pPr>
      <w:r w:rsidRPr="00595245">
        <w:rPr>
          <w:b/>
        </w:rPr>
        <w:t>$</w:t>
      </w:r>
      <w:r w:rsidR="00A47A93" w:rsidRPr="00B03F8D">
        <w:rPr>
          <w:b/>
        </w:rPr>
        <w:t>9.8</w:t>
      </w:r>
      <w:r w:rsidRPr="00B03F8D">
        <w:rPr>
          <w:b/>
        </w:rPr>
        <w:t xml:space="preserve"> billion </w:t>
      </w:r>
      <w:r w:rsidR="00D66C01" w:rsidRPr="00B03F8D">
        <w:rPr>
          <w:b/>
        </w:rPr>
        <w:t>for</w:t>
      </w:r>
      <w:r w:rsidR="00175897" w:rsidRPr="00B03F8D">
        <w:rPr>
          <w:b/>
        </w:rPr>
        <w:t xml:space="preserve"> education</w:t>
      </w:r>
      <w:r w:rsidR="00032E2A" w:rsidRPr="00B03F8D">
        <w:rPr>
          <w:b/>
        </w:rPr>
        <w:t xml:space="preserve"> and skills</w:t>
      </w:r>
      <w:r w:rsidR="005B7D8E" w:rsidRPr="00B03F8D">
        <w:rPr>
          <w:b/>
        </w:rPr>
        <w:t xml:space="preserve"> </w:t>
      </w:r>
      <w:r w:rsidR="00175897" w:rsidRPr="00B03F8D">
        <w:rPr>
          <w:b/>
        </w:rPr>
        <w:t>infrastructure, including</w:t>
      </w:r>
      <w:r w:rsidR="006E784A" w:rsidRPr="00B03F8D">
        <w:rPr>
          <w:b/>
        </w:rPr>
        <w:t>:</w:t>
      </w:r>
    </w:p>
    <w:p w14:paraId="1C1C1DC9" w14:textId="423DF5B3" w:rsidR="00E455A2" w:rsidRDefault="00E455A2" w:rsidP="00D1672C">
      <w:pPr>
        <w:pStyle w:val="BP3Bullet1"/>
      </w:pPr>
      <w:r>
        <w:t xml:space="preserve">$767.1 million </w:t>
      </w:r>
      <w:r w:rsidR="0082014D">
        <w:t xml:space="preserve">for </w:t>
      </w:r>
      <w:r w:rsidR="002513CE">
        <w:t>four</w:t>
      </w:r>
      <w:r w:rsidR="0082014D">
        <w:t xml:space="preserve"> new primary schools and 10 new high schools</w:t>
      </w:r>
      <w:r w:rsidR="009A4EFF">
        <w:t>.</w:t>
      </w:r>
    </w:p>
    <w:p w14:paraId="5F763DCF" w14:textId="587C7F99" w:rsidR="002731FC" w:rsidRPr="00F572F2" w:rsidRDefault="00646116" w:rsidP="002731FC">
      <w:pPr>
        <w:pStyle w:val="BP3BodyText"/>
        <w:rPr>
          <w:b/>
          <w:bCs/>
        </w:rPr>
      </w:pPr>
      <w:r w:rsidRPr="00B03F8D">
        <w:rPr>
          <w:b/>
        </w:rPr>
        <w:t>$</w:t>
      </w:r>
      <w:r w:rsidR="00A47A93" w:rsidRPr="00B03F8D">
        <w:rPr>
          <w:b/>
        </w:rPr>
        <w:t>3.6</w:t>
      </w:r>
      <w:r w:rsidR="00F572F2">
        <w:rPr>
          <w:b/>
          <w:bCs/>
        </w:rPr>
        <w:t xml:space="preserve"> billion </w:t>
      </w:r>
      <w:r w:rsidR="0088525F">
        <w:rPr>
          <w:b/>
          <w:bCs/>
        </w:rPr>
        <w:t>to support the clean energy transition</w:t>
      </w:r>
      <w:r w:rsidR="00F93323">
        <w:rPr>
          <w:b/>
          <w:bCs/>
        </w:rPr>
        <w:t>,</w:t>
      </w:r>
      <w:r w:rsidR="002731FC" w:rsidRPr="00F572F2">
        <w:rPr>
          <w:b/>
          <w:bCs/>
        </w:rPr>
        <w:t xml:space="preserve"> including:</w:t>
      </w:r>
    </w:p>
    <w:p w14:paraId="4013CC80" w14:textId="63F42E2A" w:rsidR="002731FC" w:rsidRDefault="00F572F2" w:rsidP="00D1672C">
      <w:pPr>
        <w:pStyle w:val="BP3Bullet1"/>
      </w:pPr>
      <w:r w:rsidRPr="00907F62">
        <w:t>$</w:t>
      </w:r>
      <w:r w:rsidR="00BE53FD">
        <w:t>3.5</w:t>
      </w:r>
      <w:r w:rsidRPr="00907F62">
        <w:t xml:space="preserve"> billion </w:t>
      </w:r>
      <w:r w:rsidR="00F408E6">
        <w:t xml:space="preserve">over four years </w:t>
      </w:r>
      <w:r w:rsidRPr="00907F62">
        <w:t>for the Transmission Acceleration Facility</w:t>
      </w:r>
    </w:p>
    <w:p w14:paraId="25BCA2D2" w14:textId="3C900DB0" w:rsidR="00DB64C8" w:rsidRPr="00907F62" w:rsidRDefault="00DB64C8" w:rsidP="00D1672C">
      <w:pPr>
        <w:pStyle w:val="BP3Bullet1"/>
      </w:pPr>
      <w:r>
        <w:t xml:space="preserve">$1.0 billion reserved in Restart NSW </w:t>
      </w:r>
      <w:r w:rsidR="00696E35">
        <w:t>for the Energy Security Corporation</w:t>
      </w:r>
    </w:p>
    <w:p w14:paraId="59777633" w14:textId="6C749D54" w:rsidR="00F572F2" w:rsidRPr="00907F62" w:rsidRDefault="00F572F2" w:rsidP="00D1672C">
      <w:pPr>
        <w:pStyle w:val="BP3Bullet1"/>
      </w:pPr>
      <w:r w:rsidRPr="00907F62">
        <w:t>$</w:t>
      </w:r>
      <w:r w:rsidR="004F595F">
        <w:t>95.5</w:t>
      </w:r>
      <w:r w:rsidRPr="00907F62">
        <w:t xml:space="preserve"> million </w:t>
      </w:r>
      <w:r w:rsidR="00F408E6">
        <w:t xml:space="preserve">over four years </w:t>
      </w:r>
      <w:r w:rsidRPr="00907F62">
        <w:t>for Zero and Low Emission Ve</w:t>
      </w:r>
      <w:r w:rsidR="00907F62" w:rsidRPr="00907F62">
        <w:t>hicle Reform</w:t>
      </w:r>
      <w:r w:rsidR="00D1672C">
        <w:t>.</w:t>
      </w:r>
    </w:p>
    <w:p w14:paraId="7C0C4817" w14:textId="1122F3CE" w:rsidR="00E30081" w:rsidRPr="005C6E4A" w:rsidRDefault="00E30081" w:rsidP="00E30081">
      <w:pPr>
        <w:pStyle w:val="BP3BodyText"/>
        <w:rPr>
          <w:b/>
        </w:rPr>
      </w:pPr>
      <w:r w:rsidRPr="005C6E4A">
        <w:rPr>
          <w:b/>
        </w:rPr>
        <w:t xml:space="preserve">Investment in </w:t>
      </w:r>
      <w:r w:rsidR="00A85221" w:rsidRPr="005C6E4A">
        <w:rPr>
          <w:b/>
        </w:rPr>
        <w:t>social housing and enabling infrastructure</w:t>
      </w:r>
      <w:r w:rsidR="00F93323">
        <w:rPr>
          <w:b/>
        </w:rPr>
        <w:t>, including</w:t>
      </w:r>
      <w:r w:rsidRPr="005C6E4A">
        <w:rPr>
          <w:b/>
        </w:rPr>
        <w:t>:</w:t>
      </w:r>
    </w:p>
    <w:p w14:paraId="126F637E" w14:textId="1AD08151" w:rsidR="00805314" w:rsidRDefault="00805314" w:rsidP="00D1672C">
      <w:pPr>
        <w:pStyle w:val="BP3Bullet1"/>
      </w:pPr>
      <w:r>
        <w:t xml:space="preserve">$610.1 million </w:t>
      </w:r>
      <w:r w:rsidR="00E3285B">
        <w:t xml:space="preserve">for </w:t>
      </w:r>
      <w:r w:rsidR="00493EA2">
        <w:t xml:space="preserve">an increase of around </w:t>
      </w:r>
      <w:r w:rsidR="00B76A49">
        <w:t xml:space="preserve">1,500 permanent social housing dwellings </w:t>
      </w:r>
      <w:r w:rsidR="00E12BEF">
        <w:t xml:space="preserve">as part of the </w:t>
      </w:r>
      <w:r w:rsidR="00E91CA1">
        <w:t>Australian Government</w:t>
      </w:r>
      <w:r w:rsidR="00B76A49">
        <w:t xml:space="preserve"> </w:t>
      </w:r>
      <w:r w:rsidR="00E12BEF">
        <w:t>funded</w:t>
      </w:r>
      <w:r w:rsidR="00E3285B">
        <w:t xml:space="preserve"> Social Housing Accelerator Agreement</w:t>
      </w:r>
    </w:p>
    <w:p w14:paraId="0E1AF583" w14:textId="1FFD5FB0" w:rsidR="00E30081" w:rsidRPr="009151EF" w:rsidRDefault="00A85221" w:rsidP="00D1672C">
      <w:pPr>
        <w:pStyle w:val="BP3Bullet1"/>
      </w:pPr>
      <w:r w:rsidRPr="009151EF">
        <w:lastRenderedPageBreak/>
        <w:t>$400</w:t>
      </w:r>
      <w:r w:rsidR="003543D7">
        <w:t>.0</w:t>
      </w:r>
      <w:r w:rsidRPr="009151EF">
        <w:t xml:space="preserve"> million </w:t>
      </w:r>
      <w:r w:rsidR="009151EF">
        <w:t xml:space="preserve">reserved within Restart NSW for the </w:t>
      </w:r>
      <w:r w:rsidRPr="009151EF">
        <w:t>Housing Infrastructure Fund</w:t>
      </w:r>
      <w:r w:rsidR="00D1672C">
        <w:t>.</w:t>
      </w:r>
    </w:p>
    <w:p w14:paraId="659F8B84" w14:textId="3BD1D820" w:rsidR="00ED1504" w:rsidRDefault="00210D0E" w:rsidP="00C74D49">
      <w:pPr>
        <w:pStyle w:val="BP3BodyText"/>
      </w:pPr>
      <w:bookmarkStart w:id="2" w:name="_Hlk8754325"/>
      <w:bookmarkStart w:id="3" w:name="_Hlk516526617"/>
      <w:r w:rsidRPr="004E7282">
        <w:t xml:space="preserve">Chapter 2 of this </w:t>
      </w:r>
      <w:r w:rsidRPr="004E7282">
        <w:rPr>
          <w:i/>
        </w:rPr>
        <w:t>Infrastructure Statement</w:t>
      </w:r>
      <w:r w:rsidRPr="004E7282">
        <w:t xml:space="preserve"> provides further details on infrastructure projects the Government is delivering. </w:t>
      </w:r>
    </w:p>
    <w:p w14:paraId="38237DCF" w14:textId="67D45ECC" w:rsidR="00504D1C" w:rsidRPr="00C74D49" w:rsidRDefault="00504D1C" w:rsidP="00504D1C"/>
    <w:tbl>
      <w:tblPr>
        <w:tblW w:w="9606" w:type="dxa"/>
        <w:shd w:val="clear" w:color="auto" w:fill="F2F2F2" w:themeFill="background1" w:themeFillShade="F2"/>
        <w:tblLayout w:type="fixed"/>
        <w:tblCellMar>
          <w:left w:w="0" w:type="dxa"/>
          <w:right w:w="0" w:type="dxa"/>
        </w:tblCellMar>
        <w:tblLook w:val="04A0" w:firstRow="1" w:lastRow="0" w:firstColumn="1" w:lastColumn="0" w:noHBand="0" w:noVBand="1"/>
        <w:tblCaption w:val="Box1.2:Aligning housing and infrastructure delivery"/>
        <w:tblDescription w:val="Box1.2: Aligning housing and infrastructure delivery"/>
      </w:tblPr>
      <w:tblGrid>
        <w:gridCol w:w="9606"/>
      </w:tblGrid>
      <w:tr w:rsidR="00CB509F" w:rsidRPr="00A1397D" w14:paraId="2DB5C379" w14:textId="77777777" w:rsidTr="006D5A8E">
        <w:trPr>
          <w:trHeight w:val="2721"/>
        </w:trPr>
        <w:tc>
          <w:tcPr>
            <w:tcW w:w="9606" w:type="dxa"/>
            <w:shd w:val="clear" w:color="auto" w:fill="F2F2F2" w:themeFill="background1" w:themeFillShade="F2"/>
            <w:tcMar>
              <w:top w:w="0" w:type="dxa"/>
              <w:left w:w="108" w:type="dxa"/>
              <w:bottom w:w="0" w:type="dxa"/>
              <w:right w:w="108" w:type="dxa"/>
            </w:tcMar>
          </w:tcPr>
          <w:p w14:paraId="38D17BFE" w14:textId="5908C2C8" w:rsidR="00CB509F" w:rsidRPr="00621F67" w:rsidRDefault="00CB509F" w:rsidP="00D53243">
            <w:pPr>
              <w:pStyle w:val="BP3Boxx"/>
            </w:pPr>
            <w:bookmarkStart w:id="4" w:name="_Hlk8719257"/>
            <w:r w:rsidRPr="32B3554B">
              <w:rPr>
                <w:highlight w:val="yellow"/>
              </w:rPr>
              <w:br w:type="page"/>
            </w:r>
            <w:r>
              <w:t>Aligning housing and infrastructure delivery</w:t>
            </w:r>
          </w:p>
          <w:p w14:paraId="680BE9EF" w14:textId="4580D5D6" w:rsidR="003702BB" w:rsidRDefault="00227D38">
            <w:pPr>
              <w:pStyle w:val="BP3BodyText"/>
            </w:pPr>
            <w:r>
              <w:t xml:space="preserve">Housing affordability and availability is the biggest single pressure </w:t>
            </w:r>
            <w:r w:rsidR="002F0F01">
              <w:t xml:space="preserve">facing the people of New South Wales, with mortgage payments and rent the largest expense for most households. </w:t>
            </w:r>
          </w:p>
          <w:p w14:paraId="3A83080E" w14:textId="6B48EF29" w:rsidR="00D55689" w:rsidRDefault="00CB509F">
            <w:pPr>
              <w:pStyle w:val="BP3BodyText"/>
            </w:pPr>
            <w:r>
              <w:t>New South Wales is experiencing an unprecedented housing crisis, dri</w:t>
            </w:r>
            <w:r w:rsidR="00010D8C">
              <w:t>ven</w:t>
            </w:r>
            <w:r>
              <w:t xml:space="preserve"> by higher interest rates, escalating rental costs and an insufficient supply of social and affordable housing. </w:t>
            </w:r>
          </w:p>
          <w:p w14:paraId="467910D6" w14:textId="41F90DFF" w:rsidR="002F0F01" w:rsidRDefault="008304B5" w:rsidP="00D16EC8">
            <w:pPr>
              <w:pStyle w:val="BP3BodyText"/>
            </w:pPr>
            <w:r>
              <w:t xml:space="preserve">Between the start of 2020 and May 2023, dwelling prices have grown 27.6 per cent in Greater Sydney, 33.2 per cent in Western Sydney, and 47.6 per cent in the Regions. In comparison, median rents have grown by 18.9 per cent in Greater Sydney, 21.8 per cent in Western Sydney, and 34.6 per cent in the Regions. </w:t>
            </w:r>
          </w:p>
          <w:p w14:paraId="11B4E051" w14:textId="066EAC8B" w:rsidR="00CB509F" w:rsidRDefault="00CB509F" w:rsidP="006D5A8E">
            <w:pPr>
              <w:pStyle w:val="BP3BodyText"/>
            </w:pPr>
            <w:r>
              <w:t xml:space="preserve">Infrastructure is a key enabler of increased housing supply, with timely provision critical to supporting housing delivery and creating communities that meet the needs of residents for years to come. </w:t>
            </w:r>
          </w:p>
          <w:p w14:paraId="36F87EA0" w14:textId="0121307A" w:rsidR="00EF7DDD" w:rsidRDefault="00EF7DDD" w:rsidP="006D5A8E">
            <w:pPr>
              <w:pStyle w:val="BP3BodyText"/>
            </w:pPr>
            <w:r>
              <w:t>The Government is committed to increasing housing supply to support the State’s growing population and to help alleviate the housing affordability crisis</w:t>
            </w:r>
            <w:r w:rsidR="003E2F7A">
              <w:t>.</w:t>
            </w:r>
          </w:p>
          <w:p w14:paraId="630E49A2" w14:textId="7A985352" w:rsidR="00CB509F" w:rsidRDefault="00CB509F" w:rsidP="006D5A8E">
            <w:pPr>
              <w:pStyle w:val="BP3BodyText"/>
              <w:rPr>
                <w:szCs w:val="22"/>
              </w:rPr>
            </w:pPr>
            <w:r>
              <w:t>In its first two months, the Government introduced the new Housing and Productivity Contribution (the HAP</w:t>
            </w:r>
            <w:r w:rsidR="00EF7DDD">
              <w:t>)</w:t>
            </w:r>
            <w:r>
              <w:t xml:space="preserve"> to support housing and productivity in key growth areas </w:t>
            </w:r>
            <w:r w:rsidR="00FA158D">
              <w:t>of</w:t>
            </w:r>
            <w:r>
              <w:t xml:space="preserve"> New South Wales. The HAP will help deliver essential state infrastructure such as roads, public transport and regional open space in Sydney, Illawarra-Shoalhaven, </w:t>
            </w:r>
            <w:r w:rsidR="001F309E">
              <w:t xml:space="preserve">the </w:t>
            </w:r>
            <w:r>
              <w:t xml:space="preserve">Lower </w:t>
            </w:r>
            <w:proofErr w:type="gramStart"/>
            <w:r>
              <w:t>Hunter</w:t>
            </w:r>
            <w:proofErr w:type="gramEnd"/>
            <w:r>
              <w:t xml:space="preserve"> and the Central Coast.</w:t>
            </w:r>
          </w:p>
          <w:p w14:paraId="44A29BE9" w14:textId="255CBF23" w:rsidR="00CB509F" w:rsidRDefault="00CB509F" w:rsidP="006D5A8E">
            <w:pPr>
              <w:pStyle w:val="BP3BodyText"/>
            </w:pPr>
            <w:r>
              <w:rPr>
                <w:szCs w:val="22"/>
              </w:rPr>
              <w:t xml:space="preserve">New reservations have also been created in the Restart NSW Fund to support the delivery of enabling infrastructure in priority areas, with $400.0 million </w:t>
            </w:r>
            <w:r w:rsidR="000C3441">
              <w:rPr>
                <w:szCs w:val="22"/>
              </w:rPr>
              <w:t xml:space="preserve">set aside </w:t>
            </w:r>
            <w:r>
              <w:rPr>
                <w:szCs w:val="22"/>
              </w:rPr>
              <w:t>for the Housing Infrastructure Fund.</w:t>
            </w:r>
            <w:r w:rsidR="0096536F">
              <w:rPr>
                <w:szCs w:val="22"/>
              </w:rPr>
              <w:t xml:space="preserve"> </w:t>
            </w:r>
            <w:r>
              <w:rPr>
                <w:szCs w:val="22"/>
              </w:rPr>
              <w:t xml:space="preserve">An additional $9.1 million has </w:t>
            </w:r>
            <w:r w:rsidR="00C73F2D">
              <w:rPr>
                <w:szCs w:val="22"/>
              </w:rPr>
              <w:t xml:space="preserve">also </w:t>
            </w:r>
            <w:r w:rsidR="00C05FF9">
              <w:rPr>
                <w:szCs w:val="22"/>
              </w:rPr>
              <w:t xml:space="preserve">allocated to </w:t>
            </w:r>
            <w:r w:rsidR="00C05FF9" w:rsidRPr="00C05FF9">
              <w:t>assess housing supply opportunities across government-owned sites, with 30</w:t>
            </w:r>
            <w:r w:rsidR="00C05FF9" w:rsidRPr="00C05FF9">
              <w:rPr>
                <w:rFonts w:ascii="Times New Roman" w:hAnsi="Times New Roman" w:cs="Times New Roman"/>
              </w:rPr>
              <w:t> </w:t>
            </w:r>
            <w:r w:rsidR="00C05FF9" w:rsidRPr="00C05FF9">
              <w:t>per</w:t>
            </w:r>
            <w:r w:rsidR="00C05FF9" w:rsidRPr="00C05FF9">
              <w:rPr>
                <w:rFonts w:ascii="Times New Roman" w:hAnsi="Times New Roman" w:cs="Times New Roman"/>
              </w:rPr>
              <w:t> </w:t>
            </w:r>
            <w:r w:rsidR="00C05FF9" w:rsidRPr="00C05FF9">
              <w:t xml:space="preserve">cent of surplus government land to be set aside for social, </w:t>
            </w:r>
            <w:proofErr w:type="gramStart"/>
            <w:r w:rsidR="00C05FF9" w:rsidRPr="00C05FF9">
              <w:t>affordable</w:t>
            </w:r>
            <w:proofErr w:type="gramEnd"/>
            <w:r w:rsidR="00C05FF9" w:rsidRPr="00C05FF9">
              <w:t xml:space="preserve"> and universal housing.</w:t>
            </w:r>
          </w:p>
          <w:p w14:paraId="6F4DE2A8" w14:textId="30730795" w:rsidR="00740292" w:rsidRPr="00740292" w:rsidRDefault="00740292" w:rsidP="006D5A8E">
            <w:pPr>
              <w:pStyle w:val="BP3BodyText"/>
            </w:pPr>
            <w:r>
              <w:t xml:space="preserve">New public transport infrastructure is being directed to support new housing that is well connected to neighbouring communities and jobs. </w:t>
            </w:r>
          </w:p>
          <w:p w14:paraId="2D4418CE" w14:textId="79AAFFD6" w:rsidR="00CB509F" w:rsidRDefault="00CB509F" w:rsidP="006D5A8E">
            <w:pPr>
              <w:pStyle w:val="BP3BodyText"/>
              <w:rPr>
                <w:szCs w:val="22"/>
              </w:rPr>
            </w:pPr>
            <w:r>
              <w:rPr>
                <w:szCs w:val="22"/>
              </w:rPr>
              <w:t xml:space="preserve">The </w:t>
            </w:r>
            <w:r w:rsidR="0096536F">
              <w:rPr>
                <w:szCs w:val="22"/>
              </w:rPr>
              <w:t>2023-24 Budget</w:t>
            </w:r>
            <w:r>
              <w:rPr>
                <w:szCs w:val="22"/>
              </w:rPr>
              <w:t xml:space="preserve"> also </w:t>
            </w:r>
            <w:r w:rsidR="0096536F">
              <w:rPr>
                <w:szCs w:val="22"/>
              </w:rPr>
              <w:t xml:space="preserve">includes a </w:t>
            </w:r>
            <w:r w:rsidR="00740292">
              <w:rPr>
                <w:szCs w:val="22"/>
              </w:rPr>
              <w:t>new</w:t>
            </w:r>
            <w:r w:rsidR="0096536F">
              <w:rPr>
                <w:szCs w:val="22"/>
              </w:rPr>
              <w:t xml:space="preserve"> </w:t>
            </w:r>
            <w:r>
              <w:rPr>
                <w:szCs w:val="22"/>
              </w:rPr>
              <w:t>investment in social and affordable housing</w:t>
            </w:r>
            <w:r w:rsidR="00CE4FE5">
              <w:rPr>
                <w:szCs w:val="22"/>
              </w:rPr>
              <w:t>. S</w:t>
            </w:r>
            <w:r>
              <w:rPr>
                <w:szCs w:val="22"/>
              </w:rPr>
              <w:t>ee</w:t>
            </w:r>
            <w:r w:rsidR="00E007B4">
              <w:rPr>
                <w:szCs w:val="22"/>
              </w:rPr>
              <w:t> </w:t>
            </w:r>
            <w:r>
              <w:rPr>
                <w:szCs w:val="22"/>
              </w:rPr>
              <w:t xml:space="preserve">Box </w:t>
            </w:r>
            <w:r w:rsidR="00F75B06">
              <w:rPr>
                <w:szCs w:val="22"/>
              </w:rPr>
              <w:t>1.3</w:t>
            </w:r>
            <w:r w:rsidR="00CE4FE5">
              <w:rPr>
                <w:szCs w:val="22"/>
              </w:rPr>
              <w:t xml:space="preserve"> of this </w:t>
            </w:r>
            <w:r w:rsidR="00697963">
              <w:rPr>
                <w:szCs w:val="22"/>
              </w:rPr>
              <w:t>b</w:t>
            </w:r>
            <w:r w:rsidR="00CE4FE5">
              <w:rPr>
                <w:szCs w:val="22"/>
              </w:rPr>
              <w:t xml:space="preserve">udget </w:t>
            </w:r>
            <w:r w:rsidR="00697963">
              <w:rPr>
                <w:szCs w:val="22"/>
              </w:rPr>
              <w:t>p</w:t>
            </w:r>
            <w:r w:rsidR="00CE4FE5">
              <w:rPr>
                <w:szCs w:val="22"/>
              </w:rPr>
              <w:t>aper</w:t>
            </w:r>
            <w:r>
              <w:rPr>
                <w:szCs w:val="22"/>
              </w:rPr>
              <w:t xml:space="preserve"> for further information. </w:t>
            </w:r>
          </w:p>
          <w:p w14:paraId="2878648A" w14:textId="04484F60" w:rsidR="00CB509F" w:rsidRPr="00463029" w:rsidRDefault="00CB509F" w:rsidP="006D5A8E">
            <w:pPr>
              <w:pStyle w:val="BP3BodyText"/>
              <w:rPr>
                <w:szCs w:val="22"/>
              </w:rPr>
            </w:pPr>
            <w:r>
              <w:rPr>
                <w:szCs w:val="22"/>
              </w:rPr>
              <w:t xml:space="preserve">These initiatives will help ensure that NSW has the homes needed for a growing population. </w:t>
            </w:r>
          </w:p>
        </w:tc>
      </w:tr>
    </w:tbl>
    <w:p w14:paraId="701AC905" w14:textId="77777777" w:rsidR="00767CA7" w:rsidRDefault="00767CA7" w:rsidP="0066218B">
      <w:pPr>
        <w:pStyle w:val="BP3Heading3"/>
      </w:pPr>
    </w:p>
    <w:p w14:paraId="3883CA65" w14:textId="77777777" w:rsidR="00767CA7" w:rsidRDefault="00767CA7">
      <w:pPr>
        <w:rPr>
          <w:rFonts w:ascii="Public Sans SemiBold" w:eastAsia="Yu Gothic Light" w:hAnsi="Public Sans SemiBold" w:cs="Yu Gothic Light"/>
          <w:b/>
          <w:color w:val="22272B"/>
          <w:kern w:val="28"/>
          <w:sz w:val="26"/>
          <w:szCs w:val="26"/>
          <w:lang w:val="en-AU"/>
        </w:rPr>
      </w:pPr>
      <w:r>
        <w:br w:type="page"/>
      </w:r>
    </w:p>
    <w:p w14:paraId="6C30C83C" w14:textId="4E9EADF1" w:rsidR="006730AE" w:rsidRPr="002027A3" w:rsidRDefault="006730AE" w:rsidP="0066218B">
      <w:pPr>
        <w:pStyle w:val="BP3Heading3"/>
      </w:pPr>
      <w:r w:rsidRPr="002027A3">
        <w:lastRenderedPageBreak/>
        <w:t xml:space="preserve">Delivering for regional </w:t>
      </w:r>
      <w:bookmarkEnd w:id="4"/>
      <w:r w:rsidR="003A7AC8" w:rsidRPr="002027A3">
        <w:t>communities</w:t>
      </w:r>
    </w:p>
    <w:p w14:paraId="07017B7C" w14:textId="0E6382CB" w:rsidR="006730AE" w:rsidRPr="00EA3CFF" w:rsidRDefault="00704B3B" w:rsidP="00494BFF">
      <w:pPr>
        <w:pStyle w:val="BP3BodyText"/>
      </w:pPr>
      <w:r>
        <w:t xml:space="preserve">The </w:t>
      </w:r>
      <w:r w:rsidR="00BB2EEA">
        <w:t>2023-24</w:t>
      </w:r>
      <w:r>
        <w:t xml:space="preserve"> Budget </w:t>
      </w:r>
      <w:r w:rsidR="00B12FF9">
        <w:t>deliver</w:t>
      </w:r>
      <w:r w:rsidR="000A1416">
        <w:t>s</w:t>
      </w:r>
      <w:r>
        <w:t xml:space="preserve"> infrastructure in regional and rural NSW. </w:t>
      </w:r>
      <w:r w:rsidR="00CC2FC7">
        <w:t>Important</w:t>
      </w:r>
      <w:r w:rsidR="00835563">
        <w:t xml:space="preserve"> projects being delivered for regional communities include:</w:t>
      </w:r>
    </w:p>
    <w:p w14:paraId="76F5F183" w14:textId="0880C74F" w:rsidR="00A7437E" w:rsidRDefault="00A7437E" w:rsidP="009C075E">
      <w:pPr>
        <w:pStyle w:val="BP3Bullet1"/>
      </w:pPr>
      <w:r>
        <w:t xml:space="preserve">$1.5 billion over four years for </w:t>
      </w:r>
      <w:r w:rsidR="00D33295">
        <w:t xml:space="preserve">the </w:t>
      </w:r>
      <w:r w:rsidR="00D33295" w:rsidRPr="00D33295">
        <w:t>Pacific Motorway (M1) to Raymond Terrace and Hexham Straight Widening</w:t>
      </w:r>
      <w:r w:rsidR="00B25EB4">
        <w:t xml:space="preserve"> </w:t>
      </w:r>
      <w:r w:rsidR="008726CC">
        <w:t xml:space="preserve">to </w:t>
      </w:r>
      <w:r w:rsidR="0002148E">
        <w:t>connect</w:t>
      </w:r>
      <w:r w:rsidR="006A7D49">
        <w:t xml:space="preserve"> the M1 Pacific Motorway and the Pacific Highway</w:t>
      </w:r>
      <w:r w:rsidR="008726CC">
        <w:t xml:space="preserve"> </w:t>
      </w:r>
    </w:p>
    <w:p w14:paraId="02FCBC53" w14:textId="6CAB5220" w:rsidR="004C4648" w:rsidRDefault="004C4648" w:rsidP="009C075E">
      <w:pPr>
        <w:pStyle w:val="BP3Bullet1"/>
      </w:pPr>
      <w:r>
        <w:t>$1.</w:t>
      </w:r>
      <w:r w:rsidR="006008E7">
        <w:t>3</w:t>
      </w:r>
      <w:r>
        <w:t xml:space="preserve"> billion over four years for the Coffs Harbour Bypass</w:t>
      </w:r>
      <w:r w:rsidR="004F4CCF">
        <w:t xml:space="preserve"> to improve connectivity</w:t>
      </w:r>
      <w:r w:rsidR="00040756">
        <w:t xml:space="preserve"> and safety for local and interstate </w:t>
      </w:r>
      <w:proofErr w:type="gramStart"/>
      <w:r w:rsidR="00040756">
        <w:t>motorists</w:t>
      </w:r>
      <w:proofErr w:type="gramEnd"/>
    </w:p>
    <w:p w14:paraId="30B84B51" w14:textId="02F3871E" w:rsidR="00E142D2" w:rsidRDefault="009F4837" w:rsidP="009C075E">
      <w:pPr>
        <w:pStyle w:val="BP3Bullet1"/>
      </w:pPr>
      <w:r>
        <w:t>$263.8 million for the Grafton Base Hospital</w:t>
      </w:r>
      <w:r w:rsidR="00040926">
        <w:t xml:space="preserve"> Redevelopment</w:t>
      </w:r>
      <w:r w:rsidR="008F68A3">
        <w:t xml:space="preserve"> to support </w:t>
      </w:r>
      <w:r w:rsidR="00447FF6">
        <w:t>timely</w:t>
      </w:r>
      <w:r w:rsidR="008F68A3">
        <w:t xml:space="preserve"> access to health</w:t>
      </w:r>
      <w:r w:rsidR="00447FF6">
        <w:t>care and improve patient outcomes</w:t>
      </w:r>
      <w:r w:rsidR="003A0486">
        <w:t xml:space="preserve"> in the </w:t>
      </w:r>
      <w:proofErr w:type="gramStart"/>
      <w:r w:rsidR="003A0486">
        <w:t>region</w:t>
      </w:r>
      <w:proofErr w:type="gramEnd"/>
    </w:p>
    <w:p w14:paraId="1CE93DD1" w14:textId="2A9F9157" w:rsidR="0090092C" w:rsidRDefault="00E34D0E" w:rsidP="009C075E">
      <w:pPr>
        <w:pStyle w:val="BP3Bullet1"/>
      </w:pPr>
      <w:r>
        <w:t>$260.0 million for the Eurobodalla Regional Hospital Redevelopment</w:t>
      </w:r>
      <w:r w:rsidR="00FD7581">
        <w:t xml:space="preserve"> to deliver a sustainable, </w:t>
      </w:r>
      <w:proofErr w:type="gramStart"/>
      <w:r w:rsidR="00FD7581">
        <w:t>modern</w:t>
      </w:r>
      <w:proofErr w:type="gramEnd"/>
      <w:r w:rsidR="00FD7581">
        <w:t xml:space="preserve"> and </w:t>
      </w:r>
      <w:r w:rsidR="00DB44F0">
        <w:t>purpose-built</w:t>
      </w:r>
      <w:r w:rsidR="00FD7581">
        <w:t xml:space="preserve"> facility </w:t>
      </w:r>
      <w:r w:rsidR="00964AB9">
        <w:t xml:space="preserve">with level 4 capacity </w:t>
      </w:r>
      <w:r w:rsidR="00FD7581">
        <w:t xml:space="preserve">to </w:t>
      </w:r>
      <w:r w:rsidR="000D72A5">
        <w:t xml:space="preserve">meet </w:t>
      </w:r>
      <w:r w:rsidR="00FD7581">
        <w:t>the needs of the Eurobodalla Shire</w:t>
      </w:r>
    </w:p>
    <w:p w14:paraId="77B5259D" w14:textId="64A32FB4" w:rsidR="001E77DF" w:rsidRDefault="001E77DF" w:rsidP="009C075E">
      <w:pPr>
        <w:pStyle w:val="BP3Bullet1"/>
      </w:pPr>
      <w:r>
        <w:t xml:space="preserve">$222.0 million for new and upgraded schools in regional areas including </w:t>
      </w:r>
      <w:proofErr w:type="spellStart"/>
      <w:r>
        <w:t>Googong</w:t>
      </w:r>
      <w:proofErr w:type="spellEnd"/>
      <w:r>
        <w:t xml:space="preserve"> Public School, Medowie High School, Jerrabomberra High </w:t>
      </w:r>
      <w:proofErr w:type="gramStart"/>
      <w:r>
        <w:t>School</w:t>
      </w:r>
      <w:proofErr w:type="gramEnd"/>
      <w:r>
        <w:t xml:space="preserve"> and Vincentia High School </w:t>
      </w:r>
    </w:p>
    <w:p w14:paraId="23754C2C" w14:textId="0FF5D000" w:rsidR="00074C92" w:rsidRDefault="00074C92" w:rsidP="009C075E">
      <w:pPr>
        <w:pStyle w:val="BP3Bullet1"/>
      </w:pPr>
      <w:r>
        <w:t xml:space="preserve">$200.0 million for the Bathurst Hospital Redevelopment </w:t>
      </w:r>
      <w:r w:rsidR="003F3AA2">
        <w:t xml:space="preserve">which will ensure the local community and wider Central West region have access to high quality health </w:t>
      </w:r>
      <w:proofErr w:type="gramStart"/>
      <w:r w:rsidR="003F3AA2">
        <w:t>care</w:t>
      </w:r>
      <w:proofErr w:type="gramEnd"/>
    </w:p>
    <w:p w14:paraId="28775015" w14:textId="35CE3F5E" w:rsidR="00040926" w:rsidRDefault="00040926" w:rsidP="009C075E">
      <w:pPr>
        <w:pStyle w:val="BP3Bullet1"/>
      </w:pPr>
      <w:r>
        <w:t>$100.0 million over four years for the Bells Line of Road Upgrade program</w:t>
      </w:r>
      <w:r w:rsidR="00B54770">
        <w:t xml:space="preserve"> to enable a safer journey on the scenic route between the Blue Mountains and Richmond </w:t>
      </w:r>
    </w:p>
    <w:p w14:paraId="63326C9F" w14:textId="07A77FC4" w:rsidR="006A2CB1" w:rsidRDefault="006A2CB1" w:rsidP="009C075E">
      <w:pPr>
        <w:pStyle w:val="BP3Bullet1"/>
      </w:pPr>
      <w:r>
        <w:t>$100.0 million</w:t>
      </w:r>
      <w:r w:rsidR="00B84FA3">
        <w:t xml:space="preserve"> </w:t>
      </w:r>
      <w:r w:rsidR="00F26DE6">
        <w:t xml:space="preserve">reserved within Restart NSW </w:t>
      </w:r>
      <w:r w:rsidR="00A76FAD">
        <w:t xml:space="preserve">for the </w:t>
      </w:r>
      <w:r w:rsidR="008B2EAA">
        <w:t xml:space="preserve">regional component of the </w:t>
      </w:r>
      <w:r w:rsidR="00A76FAD">
        <w:t>Housing Infrastructure Fund</w:t>
      </w:r>
      <w:r w:rsidR="008B2EAA">
        <w:t>,</w:t>
      </w:r>
      <w:r w:rsidR="00A76FAD">
        <w:t xml:space="preserve"> </w:t>
      </w:r>
      <w:r w:rsidR="000D72A5">
        <w:t xml:space="preserve">to provide the enabling infrastructure required </w:t>
      </w:r>
      <w:r w:rsidR="00CB534D">
        <w:t>for additional housing</w:t>
      </w:r>
      <w:r w:rsidR="001E19EC">
        <w:t xml:space="preserve"> in the regions</w:t>
      </w:r>
      <w:r w:rsidR="00C052AA">
        <w:t>.</w:t>
      </w:r>
    </w:p>
    <w:bookmarkEnd w:id="2"/>
    <w:bookmarkEnd w:id="3"/>
    <w:p w14:paraId="578F684C" w14:textId="6AA4151D" w:rsidR="009545BA" w:rsidRDefault="00515C26" w:rsidP="00494BFF">
      <w:pPr>
        <w:pStyle w:val="BP3BodyText"/>
        <w:rPr>
          <w:i/>
        </w:rPr>
      </w:pPr>
      <w:r w:rsidRPr="0005077A">
        <w:t xml:space="preserve">For more </w:t>
      </w:r>
      <w:r w:rsidR="00FB754B">
        <w:t xml:space="preserve">detailed </w:t>
      </w:r>
      <w:r w:rsidRPr="0005077A">
        <w:t xml:space="preserve">information </w:t>
      </w:r>
      <w:r w:rsidR="002475B3">
        <w:t xml:space="preserve">on the Government’s </w:t>
      </w:r>
      <w:r w:rsidR="00246BDE">
        <w:t>investment in regional areas,</w:t>
      </w:r>
      <w:r w:rsidR="00FB754B">
        <w:t xml:space="preserve"> </w:t>
      </w:r>
      <w:r w:rsidRPr="0005077A">
        <w:t>see the</w:t>
      </w:r>
      <w:r w:rsidR="00BF62B7" w:rsidRPr="0005077A">
        <w:t xml:space="preserve"> </w:t>
      </w:r>
      <w:r w:rsidR="00435E09" w:rsidRPr="00435E09">
        <w:rPr>
          <w:i/>
          <w:iCs/>
        </w:rPr>
        <w:t>Our</w:t>
      </w:r>
      <w:r w:rsidR="00C052AA">
        <w:rPr>
          <w:i/>
          <w:iCs/>
        </w:rPr>
        <w:t> </w:t>
      </w:r>
      <w:proofErr w:type="gramStart"/>
      <w:r w:rsidR="00435E09" w:rsidRPr="00435E09">
        <w:rPr>
          <w:i/>
          <w:iCs/>
        </w:rPr>
        <w:t>plan</w:t>
      </w:r>
      <w:proofErr w:type="gramEnd"/>
      <w:r w:rsidR="00435E09" w:rsidRPr="00435E09">
        <w:rPr>
          <w:i/>
          <w:iCs/>
        </w:rPr>
        <w:t xml:space="preserve"> for </w:t>
      </w:r>
      <w:r w:rsidR="00BF62B7" w:rsidRPr="0005077A">
        <w:rPr>
          <w:i/>
        </w:rPr>
        <w:t>Regional NSW</w:t>
      </w:r>
      <w:r w:rsidRPr="0005077A">
        <w:t xml:space="preserve"> </w:t>
      </w:r>
      <w:r w:rsidR="00BF62B7" w:rsidRPr="0005077A">
        <w:t>budget publication.</w:t>
      </w:r>
      <w:r w:rsidR="00BF62B7">
        <w:rPr>
          <w:i/>
        </w:rPr>
        <w:t xml:space="preserve"> </w:t>
      </w:r>
    </w:p>
    <w:p w14:paraId="59065ED1" w14:textId="77777777" w:rsidR="00767CA7" w:rsidRDefault="00767CA7">
      <w:pPr>
        <w:rPr>
          <w:rFonts w:ascii="Public Sans" w:eastAsia="Arial" w:hAnsi="Public Sans" w:cs="Arial"/>
          <w:i/>
          <w:color w:val="000000" w:themeColor="text1"/>
          <w:sz w:val="22"/>
          <w:szCs w:val="23"/>
          <w:lang w:val="en-AU"/>
        </w:rPr>
      </w:pPr>
      <w:r>
        <w:rPr>
          <w:i/>
        </w:rPr>
        <w:br w:type="page"/>
      </w:r>
    </w:p>
    <w:tbl>
      <w:tblPr>
        <w:tblW w:w="9629" w:type="dxa"/>
        <w:tblInd w:w="5" w:type="dxa"/>
        <w:shd w:val="clear" w:color="auto" w:fill="F2F2F2" w:themeFill="background1" w:themeFillShade="F2"/>
        <w:tblLook w:val="04A0" w:firstRow="1" w:lastRow="0" w:firstColumn="1" w:lastColumn="0" w:noHBand="0" w:noVBand="1"/>
        <w:tblCaption w:val="Box 1.3: Building more social and affordable housing "/>
        <w:tblDescription w:val="Box 1.3: Building more social and affordable housing "/>
      </w:tblPr>
      <w:tblGrid>
        <w:gridCol w:w="9629"/>
      </w:tblGrid>
      <w:tr w:rsidR="000A7329" w14:paraId="08CAAAD7" w14:textId="77777777" w:rsidTr="006D5A8E">
        <w:tc>
          <w:tcPr>
            <w:tcW w:w="9629" w:type="dxa"/>
            <w:tcBorders>
              <w:top w:val="nil"/>
              <w:left w:val="nil"/>
              <w:bottom w:val="nil"/>
              <w:right w:val="nil"/>
            </w:tcBorders>
            <w:shd w:val="clear" w:color="auto" w:fill="F2F2F2" w:themeFill="background1" w:themeFillShade="F2"/>
          </w:tcPr>
          <w:p w14:paraId="35AE1FD0" w14:textId="3222DC91" w:rsidR="000A7329" w:rsidRPr="000A7329" w:rsidRDefault="00964AB9" w:rsidP="006637C4">
            <w:pPr>
              <w:pStyle w:val="BP3Boxx"/>
            </w:pPr>
            <w:r>
              <w:lastRenderedPageBreak/>
              <w:t>Building</w:t>
            </w:r>
            <w:r w:rsidR="000A7329" w:rsidRPr="000A7329">
              <w:t xml:space="preserve"> </w:t>
            </w:r>
            <w:r w:rsidR="00911A2F">
              <w:t>more</w:t>
            </w:r>
            <w:r w:rsidR="000A7329" w:rsidRPr="000A7329">
              <w:t xml:space="preserve"> social and affordable housing</w:t>
            </w:r>
            <w:r>
              <w:t xml:space="preserve"> </w:t>
            </w:r>
          </w:p>
          <w:p w14:paraId="3F3F855A" w14:textId="41B30728" w:rsidR="00A95FAD" w:rsidRDefault="000A7329" w:rsidP="006D5A8E">
            <w:pPr>
              <w:pStyle w:val="BP3BodyText"/>
              <w:rPr>
                <w:bCs/>
                <w:color w:val="auto"/>
                <w:szCs w:val="22"/>
              </w:rPr>
            </w:pPr>
            <w:r w:rsidRPr="00F0260D">
              <w:rPr>
                <w:bCs/>
                <w:color w:val="auto"/>
                <w:szCs w:val="22"/>
              </w:rPr>
              <w:t>Th</w:t>
            </w:r>
            <w:r>
              <w:rPr>
                <w:bCs/>
                <w:color w:val="auto"/>
                <w:szCs w:val="22"/>
              </w:rPr>
              <w:t>e</w:t>
            </w:r>
            <w:r w:rsidRPr="00F0260D">
              <w:rPr>
                <w:bCs/>
                <w:color w:val="auto"/>
                <w:szCs w:val="22"/>
              </w:rPr>
              <w:t xml:space="preserve"> 2023-24 Budget </w:t>
            </w:r>
            <w:r>
              <w:rPr>
                <w:bCs/>
                <w:color w:val="auto"/>
                <w:szCs w:val="22"/>
              </w:rPr>
              <w:t>includes</w:t>
            </w:r>
            <w:r w:rsidRPr="00F0260D">
              <w:rPr>
                <w:bCs/>
                <w:color w:val="auto"/>
                <w:szCs w:val="22"/>
              </w:rPr>
              <w:t xml:space="preserve"> additional funding to deliver more social and affordable </w:t>
            </w:r>
            <w:r>
              <w:rPr>
                <w:bCs/>
                <w:color w:val="auto"/>
                <w:szCs w:val="22"/>
              </w:rPr>
              <w:t xml:space="preserve">housing, providing homes for key workers and </w:t>
            </w:r>
            <w:r w:rsidRPr="00F0260D">
              <w:rPr>
                <w:bCs/>
                <w:color w:val="auto"/>
                <w:szCs w:val="22"/>
              </w:rPr>
              <w:t>vulnerable</w:t>
            </w:r>
            <w:r>
              <w:rPr>
                <w:bCs/>
                <w:color w:val="auto"/>
                <w:szCs w:val="22"/>
              </w:rPr>
              <w:t xml:space="preserve"> members of the</w:t>
            </w:r>
            <w:r w:rsidRPr="00F0260D">
              <w:rPr>
                <w:bCs/>
                <w:color w:val="auto"/>
                <w:szCs w:val="22"/>
              </w:rPr>
              <w:t xml:space="preserve"> community. </w:t>
            </w:r>
            <w:r w:rsidR="00A04718" w:rsidRPr="00007222">
              <w:rPr>
                <w:color w:val="auto"/>
              </w:rPr>
              <w:t>More social and affordable homes are needed urgently, to address a decade of underinvestment and ensure that everyone has a safe and affordable place to call home.</w:t>
            </w:r>
          </w:p>
          <w:p w14:paraId="74074554" w14:textId="35B6C20F" w:rsidR="000A7329" w:rsidRPr="00F0260D" w:rsidRDefault="000A7329" w:rsidP="006D5A8E">
            <w:pPr>
              <w:pStyle w:val="BP3BodyText"/>
              <w:rPr>
                <w:bCs/>
                <w:color w:val="auto"/>
                <w:szCs w:val="22"/>
              </w:rPr>
            </w:pPr>
            <w:r w:rsidRPr="00F0260D">
              <w:rPr>
                <w:bCs/>
                <w:color w:val="auto"/>
                <w:szCs w:val="22"/>
              </w:rPr>
              <w:t>Th</w:t>
            </w:r>
            <w:r>
              <w:rPr>
                <w:bCs/>
                <w:color w:val="auto"/>
                <w:szCs w:val="22"/>
              </w:rPr>
              <w:t>is</w:t>
            </w:r>
            <w:r w:rsidRPr="00F0260D">
              <w:rPr>
                <w:bCs/>
                <w:color w:val="auto"/>
                <w:szCs w:val="22"/>
              </w:rPr>
              <w:t xml:space="preserve"> investment will help tackle the State’s housing crisis</w:t>
            </w:r>
            <w:r>
              <w:rPr>
                <w:bCs/>
                <w:color w:val="auto"/>
                <w:szCs w:val="22"/>
              </w:rPr>
              <w:t xml:space="preserve"> and assist New South Wales in meeting it</w:t>
            </w:r>
            <w:r w:rsidRPr="00F0260D">
              <w:rPr>
                <w:bCs/>
                <w:color w:val="auto"/>
                <w:szCs w:val="22"/>
              </w:rPr>
              <w:t>s commitments under the National Housing Accord</w:t>
            </w:r>
            <w:r>
              <w:rPr>
                <w:bCs/>
                <w:color w:val="auto"/>
                <w:szCs w:val="22"/>
              </w:rPr>
              <w:t xml:space="preserve"> to build more homes</w:t>
            </w:r>
            <w:r w:rsidRPr="00F0260D">
              <w:rPr>
                <w:bCs/>
                <w:color w:val="auto"/>
                <w:szCs w:val="22"/>
              </w:rPr>
              <w:t>.</w:t>
            </w:r>
          </w:p>
          <w:p w14:paraId="55FB8E64" w14:textId="6F7DAE6A" w:rsidR="000A7329" w:rsidRPr="00F0260D" w:rsidRDefault="000A7329" w:rsidP="006D5A8E">
            <w:pPr>
              <w:pStyle w:val="BP3BodyText"/>
              <w:rPr>
                <w:bCs/>
                <w:color w:val="auto"/>
                <w:szCs w:val="22"/>
              </w:rPr>
            </w:pPr>
            <w:r w:rsidRPr="00F0260D">
              <w:rPr>
                <w:bCs/>
                <w:color w:val="auto"/>
                <w:szCs w:val="22"/>
              </w:rPr>
              <w:t>The Budget includes</w:t>
            </w:r>
            <w:r w:rsidR="00800D70">
              <w:rPr>
                <w:rStyle w:val="FootnoteReference"/>
                <w:bCs/>
                <w:color w:val="auto"/>
                <w:szCs w:val="22"/>
              </w:rPr>
              <w:footnoteReference w:id="6"/>
            </w:r>
          </w:p>
          <w:p w14:paraId="2E927B4E" w14:textId="3D5B190B" w:rsidR="000A7329" w:rsidRPr="00F0260D" w:rsidRDefault="000A7329" w:rsidP="00592ED6">
            <w:pPr>
              <w:pStyle w:val="BP3Bullet1"/>
            </w:pPr>
            <w:r w:rsidRPr="00F0260D">
              <w:t xml:space="preserve">$610.1 million </w:t>
            </w:r>
            <w:r w:rsidR="009C2284">
              <w:t>from</w:t>
            </w:r>
            <w:r w:rsidRPr="00F0260D">
              <w:t xml:space="preserve"> the </w:t>
            </w:r>
            <w:r w:rsidR="00E91CA1">
              <w:t>Australian</w:t>
            </w:r>
            <w:r w:rsidRPr="00F0260D">
              <w:t xml:space="preserve"> Government under the Social Housing Accelerator Agreement to deliver a permanent increase of around 1,500 social </w:t>
            </w:r>
            <w:r w:rsidR="00390FB1">
              <w:t>homes</w:t>
            </w:r>
            <w:r w:rsidRPr="00F0260D">
              <w:t xml:space="preserve"> over the next five years</w:t>
            </w:r>
            <w:r w:rsidR="00390FB1">
              <w:t xml:space="preserve">, in partnership with </w:t>
            </w:r>
            <w:r w:rsidR="00472BE5">
              <w:t xml:space="preserve">community housing </w:t>
            </w:r>
            <w:proofErr w:type="gramStart"/>
            <w:r w:rsidR="00472BE5">
              <w:t>providers</w:t>
            </w:r>
            <w:proofErr w:type="gramEnd"/>
          </w:p>
          <w:p w14:paraId="2709EA62" w14:textId="4A81D279" w:rsidR="007D6C82" w:rsidRDefault="000A7329" w:rsidP="00592ED6">
            <w:pPr>
              <w:pStyle w:val="BP3Bullet1"/>
            </w:pPr>
            <w:r>
              <w:t xml:space="preserve">$300.0 million in reinvested dividends </w:t>
            </w:r>
            <w:r w:rsidR="00CD5917">
              <w:t>to</w:t>
            </w:r>
            <w:r>
              <w:t xml:space="preserve"> enable </w:t>
            </w:r>
            <w:proofErr w:type="spellStart"/>
            <w:r>
              <w:t>Landcom</w:t>
            </w:r>
            <w:proofErr w:type="spellEnd"/>
            <w:r>
              <w:t xml:space="preserve"> to deliver </w:t>
            </w:r>
            <w:r w:rsidR="007D6C82" w:rsidRPr="007D6C82">
              <w:t>an additional 1,40</w:t>
            </w:r>
            <w:r w:rsidR="006C70D5">
              <w:t>9 </w:t>
            </w:r>
            <w:r w:rsidR="007D6C82" w:rsidRPr="007D6C82">
              <w:t>affordable homes and 3,288 market homes to 2039-40</w:t>
            </w:r>
          </w:p>
          <w:p w14:paraId="0F4BC78E" w14:textId="4B9BE6D2" w:rsidR="000A7329" w:rsidRPr="00F0260D" w:rsidRDefault="000A7329" w:rsidP="00592ED6">
            <w:pPr>
              <w:pStyle w:val="BP3Bullet1"/>
            </w:pPr>
            <w:r w:rsidRPr="00F0260D">
              <w:t xml:space="preserve">$70.0 million interest-free debt financing for NSW Land and Housing Corporation (LAHC) to </w:t>
            </w:r>
            <w:r w:rsidR="00234A29" w:rsidRPr="00234A29">
              <w:t>accelerate the delivery of</w:t>
            </w:r>
            <w:r w:rsidRPr="00F0260D">
              <w:t xml:space="preserve"> social</w:t>
            </w:r>
            <w:r w:rsidR="00234A29" w:rsidRPr="00234A29">
              <w:t xml:space="preserve">, </w:t>
            </w:r>
            <w:proofErr w:type="gramStart"/>
            <w:r w:rsidRPr="00F0260D">
              <w:t>affordable</w:t>
            </w:r>
            <w:proofErr w:type="gramEnd"/>
            <w:r w:rsidRPr="00F0260D">
              <w:t xml:space="preserve"> </w:t>
            </w:r>
            <w:r w:rsidR="00234A29" w:rsidRPr="00234A29">
              <w:t xml:space="preserve">and private </w:t>
            </w:r>
            <w:r w:rsidRPr="00F0260D">
              <w:t xml:space="preserve">homes </w:t>
            </w:r>
            <w:r w:rsidR="00234A29" w:rsidRPr="00234A29">
              <w:t>primarily in regional New South Wales</w:t>
            </w:r>
          </w:p>
          <w:p w14:paraId="69333966" w14:textId="4C629557" w:rsidR="000A7329" w:rsidRPr="00F0260D" w:rsidRDefault="000A7329" w:rsidP="00592ED6">
            <w:pPr>
              <w:pStyle w:val="BP3Bullet1"/>
            </w:pPr>
            <w:r w:rsidRPr="00F0260D">
              <w:t xml:space="preserve">$60.0 million for </w:t>
            </w:r>
            <w:proofErr w:type="spellStart"/>
            <w:r w:rsidRPr="00F0260D">
              <w:t>Landcom</w:t>
            </w:r>
            <w:proofErr w:type="spellEnd"/>
            <w:r w:rsidRPr="00F0260D">
              <w:t xml:space="preserve"> to deliver around 100 build-to-rent </w:t>
            </w:r>
            <w:r w:rsidR="00472BE5">
              <w:t>homes</w:t>
            </w:r>
            <w:r w:rsidRPr="00F0260D">
              <w:t xml:space="preserve"> on the South</w:t>
            </w:r>
            <w:r>
              <w:t> </w:t>
            </w:r>
            <w:r w:rsidRPr="00F0260D">
              <w:t xml:space="preserve">Coast and Northern Rivers, </w:t>
            </w:r>
            <w:r>
              <w:t>targeting</w:t>
            </w:r>
            <w:r w:rsidRPr="00F0260D">
              <w:t xml:space="preserve"> 20 per cent affordable rental </w:t>
            </w:r>
            <w:proofErr w:type="gramStart"/>
            <w:r w:rsidRPr="00F0260D">
              <w:t>housing</w:t>
            </w:r>
            <w:proofErr w:type="gramEnd"/>
            <w:r>
              <w:t xml:space="preserve"> </w:t>
            </w:r>
          </w:p>
          <w:p w14:paraId="2D92B84B" w14:textId="0BA5B048" w:rsidR="00000B19" w:rsidRPr="00000B19" w:rsidRDefault="00000B19" w:rsidP="00592ED6">
            <w:pPr>
              <w:pStyle w:val="BP3Bullet1"/>
            </w:pPr>
            <w:r w:rsidRPr="00000B19">
              <w:t xml:space="preserve">$35.0 million to LAHC to support critical maintenance of State-owned social </w:t>
            </w:r>
            <w:proofErr w:type="gramStart"/>
            <w:r w:rsidRPr="00000B19">
              <w:t>homes</w:t>
            </w:r>
            <w:proofErr w:type="gramEnd"/>
            <w:r w:rsidRPr="00000B19">
              <w:t xml:space="preserve"> </w:t>
            </w:r>
          </w:p>
          <w:p w14:paraId="6D2DDB57" w14:textId="7D2F916C" w:rsidR="000A7329" w:rsidRPr="00F0260D" w:rsidRDefault="000A7329" w:rsidP="00592ED6">
            <w:pPr>
              <w:pStyle w:val="BP3Bullet1"/>
            </w:pPr>
            <w:r w:rsidRPr="00F0260D">
              <w:t>$20.0 million</w:t>
            </w:r>
            <w:r w:rsidR="51BCB5FF">
              <w:t xml:space="preserve"> reserved in</w:t>
            </w:r>
            <w:r w:rsidRPr="00F0260D">
              <w:t xml:space="preserve"> </w:t>
            </w:r>
            <w:r w:rsidR="00517944">
              <w:t xml:space="preserve">Restart NSW </w:t>
            </w:r>
            <w:r w:rsidRPr="00F0260D">
              <w:t>to deliver residential accommodation for those with long</w:t>
            </w:r>
            <w:r w:rsidR="00B263EE">
              <w:noBreakHyphen/>
            </w:r>
            <w:r w:rsidRPr="00F0260D">
              <w:t xml:space="preserve">standing mental health </w:t>
            </w:r>
            <w:r w:rsidR="00AD7F40">
              <w:t>challenges</w:t>
            </w:r>
            <w:r w:rsidRPr="00F0260D">
              <w:t xml:space="preserve">, in partnership with </w:t>
            </w:r>
            <w:r w:rsidR="008C2D1F">
              <w:t>T</w:t>
            </w:r>
            <w:r w:rsidRPr="00F0260D">
              <w:t>he Haven</w:t>
            </w:r>
            <w:r w:rsidR="001127E2">
              <w:t> </w:t>
            </w:r>
            <w:r w:rsidRPr="00F0260D">
              <w:t>Foundation</w:t>
            </w:r>
          </w:p>
          <w:p w14:paraId="6D0E3ECD" w14:textId="1A5DC4AA" w:rsidR="00ED372A" w:rsidRPr="00F0260D" w:rsidRDefault="000A7329" w:rsidP="00592ED6">
            <w:pPr>
              <w:pStyle w:val="BP3Bullet1"/>
            </w:pPr>
            <w:r w:rsidRPr="00F0260D">
              <w:t xml:space="preserve">$10.0 million for LAHC to pilot the delivery of modular social homes and investigate </w:t>
            </w:r>
            <w:r w:rsidR="00550DC1">
              <w:t>how off-site man</w:t>
            </w:r>
            <w:r w:rsidR="00B263EE">
              <w:t>ufacturing</w:t>
            </w:r>
            <w:r w:rsidRPr="00F0260D">
              <w:t xml:space="preserve"> can </w:t>
            </w:r>
            <w:r w:rsidR="00B263EE">
              <w:t>deliver</w:t>
            </w:r>
            <w:r w:rsidRPr="00F0260D">
              <w:t xml:space="preserve"> more homes </w:t>
            </w:r>
            <w:r w:rsidR="00A9116F">
              <w:t>sooner</w:t>
            </w:r>
            <w:r w:rsidR="007C59DB">
              <w:t>.</w:t>
            </w:r>
          </w:p>
          <w:p w14:paraId="68173B9C" w14:textId="224486D6" w:rsidR="009E4613" w:rsidRDefault="009E4613">
            <w:pPr>
              <w:pStyle w:val="BP3BodyText"/>
              <w:rPr>
                <w:bCs/>
                <w:color w:val="auto"/>
                <w:szCs w:val="22"/>
              </w:rPr>
            </w:pPr>
            <w:r>
              <w:rPr>
                <w:bCs/>
                <w:color w:val="auto"/>
                <w:szCs w:val="22"/>
              </w:rPr>
              <w:t xml:space="preserve">The Government </w:t>
            </w:r>
            <w:r w:rsidR="001C3372">
              <w:rPr>
                <w:bCs/>
                <w:color w:val="auto"/>
                <w:szCs w:val="22"/>
              </w:rPr>
              <w:t>is also</w:t>
            </w:r>
            <w:r w:rsidRPr="009E4613">
              <w:rPr>
                <w:bCs/>
                <w:color w:val="auto"/>
                <w:szCs w:val="22"/>
              </w:rPr>
              <w:t xml:space="preserve"> establish</w:t>
            </w:r>
            <w:r w:rsidR="004359A1">
              <w:rPr>
                <w:bCs/>
                <w:color w:val="auto"/>
                <w:szCs w:val="22"/>
              </w:rPr>
              <w:t>ing</w:t>
            </w:r>
            <w:r w:rsidRPr="009E4613">
              <w:rPr>
                <w:bCs/>
                <w:color w:val="auto"/>
                <w:szCs w:val="22"/>
              </w:rPr>
              <w:t xml:space="preserve"> Homes NSW to deliver better outcomes for social housing tenants, deliver more affordable and social housing, and reduce homelessness</w:t>
            </w:r>
            <w:r w:rsidR="00605EC6">
              <w:rPr>
                <w:bCs/>
                <w:color w:val="auto"/>
                <w:szCs w:val="22"/>
              </w:rPr>
              <w:t>.</w:t>
            </w:r>
          </w:p>
          <w:p w14:paraId="54E8F9F9" w14:textId="1CFDAB35" w:rsidR="000A7329" w:rsidRPr="00CF7CAD" w:rsidRDefault="000A7329" w:rsidP="006D5A8E">
            <w:pPr>
              <w:pStyle w:val="BP3BodyText"/>
              <w:rPr>
                <w:bCs/>
                <w:color w:val="790013"/>
                <w:szCs w:val="22"/>
              </w:rPr>
            </w:pPr>
            <w:r w:rsidRPr="00F0260D">
              <w:rPr>
                <w:bCs/>
                <w:color w:val="auto"/>
                <w:szCs w:val="22"/>
              </w:rPr>
              <w:t xml:space="preserve">These investments are in addition to </w:t>
            </w:r>
            <w:r w:rsidR="004359A1">
              <w:rPr>
                <w:bCs/>
                <w:color w:val="auto"/>
                <w:szCs w:val="22"/>
              </w:rPr>
              <w:t xml:space="preserve">initiatives </w:t>
            </w:r>
            <w:r w:rsidRPr="00F0260D">
              <w:rPr>
                <w:bCs/>
                <w:color w:val="auto"/>
                <w:szCs w:val="22"/>
              </w:rPr>
              <w:t xml:space="preserve">to accelerate private market housing </w:t>
            </w:r>
            <w:r w:rsidRPr="00F75B06">
              <w:rPr>
                <w:bCs/>
                <w:color w:val="auto"/>
                <w:szCs w:val="22"/>
              </w:rPr>
              <w:t xml:space="preserve">supply, detailed in </w:t>
            </w:r>
            <w:r w:rsidRPr="00AD03A7">
              <w:rPr>
                <w:szCs w:val="22"/>
              </w:rPr>
              <w:t>Box 1.</w:t>
            </w:r>
            <w:r w:rsidR="00F75B06" w:rsidRPr="00F75B06">
              <w:rPr>
                <w:szCs w:val="22"/>
              </w:rPr>
              <w:t>2</w:t>
            </w:r>
            <w:r w:rsidRPr="00F75B06">
              <w:rPr>
                <w:bCs/>
                <w:color w:val="auto"/>
                <w:szCs w:val="22"/>
              </w:rPr>
              <w:t>.</w:t>
            </w:r>
          </w:p>
        </w:tc>
      </w:tr>
    </w:tbl>
    <w:p w14:paraId="18BFA8CA" w14:textId="70EDF6F6" w:rsidR="00D05818" w:rsidRDefault="00D05818" w:rsidP="00C56154">
      <w:pPr>
        <w:pStyle w:val="BP3BodyText"/>
        <w:rPr>
          <w:i/>
        </w:rPr>
      </w:pPr>
      <w:r>
        <w:rPr>
          <w:i/>
        </w:rPr>
        <w:br w:type="page"/>
      </w:r>
    </w:p>
    <w:p w14:paraId="222779C1" w14:textId="543C230A" w:rsidR="006851C5" w:rsidRPr="00B30E7A" w:rsidRDefault="00E66D0E" w:rsidP="00C25339">
      <w:pPr>
        <w:pStyle w:val="BP3Heading2"/>
      </w:pPr>
      <w:r>
        <w:lastRenderedPageBreak/>
        <w:t xml:space="preserve">Strategic Infrastructure Review </w:t>
      </w:r>
      <w:bookmarkStart w:id="5" w:name="_Hlk11140559"/>
    </w:p>
    <w:p w14:paraId="3E403E5D" w14:textId="33CAEA61" w:rsidR="0082466B" w:rsidRDefault="00A403A0" w:rsidP="00494BFF">
      <w:pPr>
        <w:pStyle w:val="BP3BodyText"/>
      </w:pPr>
      <w:r w:rsidRPr="7DA68279">
        <w:t xml:space="preserve">In April 2023, the Government commissioned </w:t>
      </w:r>
      <w:r w:rsidR="00D16D56">
        <w:t>an independent expert,</w:t>
      </w:r>
      <w:r w:rsidRPr="7DA68279">
        <w:t xml:space="preserve"> Mr Ken </w:t>
      </w:r>
      <w:proofErr w:type="spellStart"/>
      <w:r w:rsidRPr="7DA68279">
        <w:t>Kanofski</w:t>
      </w:r>
      <w:proofErr w:type="spellEnd"/>
      <w:r w:rsidR="00D7077B">
        <w:t>,</w:t>
      </w:r>
      <w:r w:rsidRPr="7DA68279">
        <w:t xml:space="preserve"> to undertake a review </w:t>
      </w:r>
      <w:r w:rsidR="00330123" w:rsidRPr="00330123">
        <w:t xml:space="preserve">of the State’s Infrastructure program </w:t>
      </w:r>
      <w:r w:rsidRPr="7DA68279">
        <w:t xml:space="preserve">– </w:t>
      </w:r>
      <w:r w:rsidRPr="00330123">
        <w:t>the Strategic Infrastructure Review</w:t>
      </w:r>
      <w:r w:rsidR="00330123" w:rsidRPr="00330123">
        <w:t>.</w:t>
      </w:r>
      <w:r w:rsidR="005516B9">
        <w:t xml:space="preserve"> The Review </w:t>
      </w:r>
      <w:r w:rsidR="000C61E1">
        <w:t xml:space="preserve">was </w:t>
      </w:r>
      <w:r w:rsidR="00330123" w:rsidRPr="00330123">
        <w:t>commissioned in response to significant challenges facing the NSW infrastructure program, driven by substantial cost escalation, the ongoing impacts of COVID</w:t>
      </w:r>
      <w:r w:rsidR="001D1AF9">
        <w:noBreakHyphen/>
      </w:r>
      <w:r w:rsidR="00330123" w:rsidRPr="00330123">
        <w:t xml:space="preserve">19 and the need for a fairer distribution of investment. </w:t>
      </w:r>
    </w:p>
    <w:p w14:paraId="42E0B578" w14:textId="64842381" w:rsidR="00044896" w:rsidRDefault="00044896" w:rsidP="00494BFF">
      <w:pPr>
        <w:pStyle w:val="BP3BodyText"/>
      </w:pPr>
      <w:r w:rsidRPr="00044896">
        <w:t>The construction industry’s capacity to deliver is being challenged by the scale of investment not just in N</w:t>
      </w:r>
      <w:r w:rsidR="001D1AF9">
        <w:t xml:space="preserve">ew </w:t>
      </w:r>
      <w:r w:rsidRPr="00044896">
        <w:t>S</w:t>
      </w:r>
      <w:r w:rsidR="001D1AF9">
        <w:t xml:space="preserve">outh </w:t>
      </w:r>
      <w:r w:rsidRPr="00044896">
        <w:t>W</w:t>
      </w:r>
      <w:r w:rsidR="001D1AF9">
        <w:t>ales</w:t>
      </w:r>
      <w:r w:rsidRPr="00044896">
        <w:t>, but across Australia and globally, while supply chains issues and skills shortages continue to be an issue.</w:t>
      </w:r>
    </w:p>
    <w:p w14:paraId="432BDDF7" w14:textId="0C26591C" w:rsidR="00777FE9" w:rsidRDefault="009E2DD0" w:rsidP="00494BFF">
      <w:pPr>
        <w:pStyle w:val="BP3BodyText"/>
      </w:pPr>
      <w:r w:rsidRPr="009E2DD0">
        <w:t>Projects are experiencing delays more often, leading to an increase in capital slippage. Additional funding has had to be provided to projects, such as the Sydney Metro City and Southwest, to ensure they can be completed following multiple occurrences of cost escalation (see Box 1.4 for further information).</w:t>
      </w:r>
    </w:p>
    <w:p w14:paraId="435CA622" w14:textId="7AEA8AB9" w:rsidR="004C36B2" w:rsidRDefault="004C36B2" w:rsidP="00494BFF">
      <w:pPr>
        <w:pStyle w:val="BP3BodyText"/>
      </w:pPr>
      <w:r w:rsidRPr="004C36B2">
        <w:t xml:space="preserve">Increasing infrastructure delivery costs are having a direct impact on the State’s debt levels. </w:t>
      </w:r>
      <w:r w:rsidR="0076789E">
        <w:t>A</w:t>
      </w:r>
      <w:r w:rsidRPr="004C36B2" w:rsidDel="0076789E">
        <w:t xml:space="preserve"> </w:t>
      </w:r>
      <w:r w:rsidRPr="004C36B2">
        <w:t>return to a more sustainable infrastructure investment is a key step in stabilising the Government’s debt position.</w:t>
      </w:r>
    </w:p>
    <w:p w14:paraId="24FA05B0" w14:textId="12D8C65C" w:rsidR="007776D2" w:rsidRPr="007B1745" w:rsidRDefault="000926B6" w:rsidP="002027A3">
      <w:pPr>
        <w:pStyle w:val="BP3Heading3"/>
      </w:pPr>
      <w:r w:rsidRPr="007B1745">
        <w:t xml:space="preserve">Strategic Infrastructure Review </w:t>
      </w:r>
      <w:r w:rsidR="000212B2">
        <w:t>–</w:t>
      </w:r>
      <w:r w:rsidRPr="007B1745">
        <w:t xml:space="preserve"> Findings</w:t>
      </w:r>
    </w:p>
    <w:p w14:paraId="1F2FE41E" w14:textId="4342432D" w:rsidR="00177967" w:rsidRDefault="00177967" w:rsidP="00177967">
      <w:pPr>
        <w:pStyle w:val="BP3BodyText"/>
      </w:pPr>
      <w:r>
        <w:t>The Review was tasked with identifying infrastructure projects and programs that should no longer proceed</w:t>
      </w:r>
      <w:r w:rsidR="00B36A61">
        <w:t>,</w:t>
      </w:r>
      <w:r>
        <w:t xml:space="preserve"> or should be delayed or de-scoped, to get the State’s infrastructure pipeline back on stable footing.</w:t>
      </w:r>
    </w:p>
    <w:p w14:paraId="76DEA70E" w14:textId="775EF8FF" w:rsidR="00177967" w:rsidRDefault="00177967" w:rsidP="00177967">
      <w:pPr>
        <w:pStyle w:val="BP3BodyText"/>
      </w:pPr>
      <w:r>
        <w:t xml:space="preserve">Following the Review, the Government has agreed to delay or descope projects worth more than $2.5 billion, including: </w:t>
      </w:r>
    </w:p>
    <w:p w14:paraId="56BBB3F4" w14:textId="616A3732" w:rsidR="00177967" w:rsidRDefault="003A7D5A" w:rsidP="00177967">
      <w:pPr>
        <w:pStyle w:val="BP3Bullet1"/>
      </w:pPr>
      <w:r>
        <w:t xml:space="preserve">the </w:t>
      </w:r>
      <w:r w:rsidR="00177967">
        <w:t xml:space="preserve">Great Western Highway Duplication </w:t>
      </w:r>
    </w:p>
    <w:p w14:paraId="79F378D2" w14:textId="32880A72" w:rsidR="00177967" w:rsidRDefault="00531270" w:rsidP="00177967">
      <w:pPr>
        <w:pStyle w:val="BP3Bullet1"/>
      </w:pPr>
      <w:r>
        <w:t>Ultimo Powerhouse Museum</w:t>
      </w:r>
    </w:p>
    <w:p w14:paraId="0C6F00AF" w14:textId="11C17121" w:rsidR="00177967" w:rsidRDefault="00F22B52" w:rsidP="00177967">
      <w:pPr>
        <w:pStyle w:val="BP3Bullet1"/>
      </w:pPr>
      <w:r>
        <w:t xml:space="preserve">the </w:t>
      </w:r>
      <w:r w:rsidR="00177967">
        <w:t xml:space="preserve">Fast Rail Program </w:t>
      </w:r>
    </w:p>
    <w:p w14:paraId="782E3EDF" w14:textId="7C0068D1" w:rsidR="00177967" w:rsidRDefault="00177967" w:rsidP="00177967">
      <w:pPr>
        <w:pStyle w:val="BP3Bullet1"/>
      </w:pPr>
      <w:proofErr w:type="spellStart"/>
      <w:r>
        <w:t>Wyangala</w:t>
      </w:r>
      <w:proofErr w:type="spellEnd"/>
      <w:r>
        <w:t xml:space="preserve"> Dam </w:t>
      </w:r>
      <w:r w:rsidR="00AE60E5">
        <w:t xml:space="preserve">Wall Raising </w:t>
      </w:r>
      <w:r>
        <w:t xml:space="preserve">and </w:t>
      </w:r>
      <w:r w:rsidR="00AE60E5">
        <w:t xml:space="preserve">the </w:t>
      </w:r>
      <w:r>
        <w:t>New Dungowan Dam</w:t>
      </w:r>
      <w:r w:rsidR="00AE60E5">
        <w:t xml:space="preserve"> and pipeline augmentation</w:t>
      </w:r>
      <w:r w:rsidR="000212B2">
        <w:t>.</w:t>
      </w:r>
      <w:r>
        <w:t xml:space="preserve"> </w:t>
      </w:r>
    </w:p>
    <w:p w14:paraId="1ED1F4C9" w14:textId="64889AA3" w:rsidR="00177967" w:rsidRDefault="00177967" w:rsidP="00177967">
      <w:pPr>
        <w:pStyle w:val="BP3BodyText"/>
      </w:pPr>
      <w:r>
        <w:t xml:space="preserve">As a result of reprioritising funding, the Government has been able to increase investment in new and upgraded schools, </w:t>
      </w:r>
      <w:proofErr w:type="gramStart"/>
      <w:r>
        <w:t>hospitals</w:t>
      </w:r>
      <w:proofErr w:type="gramEnd"/>
      <w:r>
        <w:t xml:space="preserve"> and public transport infrastructure </w:t>
      </w:r>
      <w:r w:rsidRPr="009D44FC">
        <w:t xml:space="preserve">without </w:t>
      </w:r>
      <w:r w:rsidRPr="00745F32">
        <w:t>the privati</w:t>
      </w:r>
      <w:r w:rsidR="002A6575">
        <w:t>s</w:t>
      </w:r>
      <w:r w:rsidRPr="00745F32">
        <w:t>ation of public assets.</w:t>
      </w:r>
      <w:r>
        <w:t xml:space="preserve"> </w:t>
      </w:r>
    </w:p>
    <w:p w14:paraId="15B40DDA" w14:textId="3DE19FA1" w:rsidR="00177967" w:rsidRDefault="00177967" w:rsidP="00177967">
      <w:pPr>
        <w:pStyle w:val="BP3BodyText"/>
      </w:pPr>
      <w:r>
        <w:t xml:space="preserve">The Review </w:t>
      </w:r>
      <w:r w:rsidR="00DF724D">
        <w:t xml:space="preserve">also </w:t>
      </w:r>
      <w:r>
        <w:t xml:space="preserve">recommended more coordinated decision making for future infrastructure investment, stronger central </w:t>
      </w:r>
      <w:proofErr w:type="gramStart"/>
      <w:r>
        <w:t>oversight</w:t>
      </w:r>
      <w:proofErr w:type="gramEnd"/>
      <w:r>
        <w:t xml:space="preserve"> and coordination of the infrastructure program, and to strengthen the alignment between infrastructure planning and housing completions. </w:t>
      </w:r>
    </w:p>
    <w:p w14:paraId="1C5620D7" w14:textId="679DDAC2" w:rsidR="001266D2" w:rsidRDefault="00177967" w:rsidP="00561D11">
      <w:pPr>
        <w:pStyle w:val="BP3BodyText"/>
      </w:pPr>
      <w:r>
        <w:t xml:space="preserve">The </w:t>
      </w:r>
      <w:bookmarkStart w:id="6" w:name="_Hlk9522916"/>
      <w:bookmarkEnd w:id="5"/>
      <w:r w:rsidR="003E03E4">
        <w:t xml:space="preserve">Government will </w:t>
      </w:r>
      <w:r>
        <w:t>review and streamline the business case and planning processes to</w:t>
      </w:r>
      <w:r w:rsidR="00AE5232">
        <w:t xml:space="preserve"> </w:t>
      </w:r>
      <w:r w:rsidR="00317420">
        <w:t xml:space="preserve">ensure that </w:t>
      </w:r>
      <w:r w:rsidR="00AE5232">
        <w:t>the State’s</w:t>
      </w:r>
      <w:r w:rsidR="00317420">
        <w:t xml:space="preserve"> finite resources are being directed toward developing the highest priority proposals that demonstrate strong value for money</w:t>
      </w:r>
      <w:r>
        <w:t>.</w:t>
      </w:r>
    </w:p>
    <w:p w14:paraId="4720E9DE" w14:textId="77777777" w:rsidR="001278AC" w:rsidRDefault="001278AC">
      <w:pPr>
        <w:rPr>
          <w:rFonts w:ascii="Public Sans" w:eastAsia="Arial" w:hAnsi="Public Sans" w:cs="Arial"/>
          <w:color w:val="000000" w:themeColor="text1"/>
          <w:sz w:val="22"/>
          <w:szCs w:val="23"/>
          <w:lang w:val="en-AU"/>
        </w:rPr>
      </w:pPr>
      <w:r>
        <w:br w:type="page"/>
      </w:r>
    </w:p>
    <w:tbl>
      <w:tblPr>
        <w:tblW w:w="9715" w:type="dxa"/>
        <w:shd w:val="clear" w:color="auto" w:fill="F2F2F2" w:themeFill="background1" w:themeFillShade="F2"/>
        <w:tblLayout w:type="fixed"/>
        <w:tblCellMar>
          <w:left w:w="0" w:type="dxa"/>
          <w:right w:w="0" w:type="dxa"/>
        </w:tblCellMar>
        <w:tblLook w:val="04A0" w:firstRow="1" w:lastRow="0" w:firstColumn="1" w:lastColumn="0" w:noHBand="0" w:noVBand="1"/>
        <w:tblCaption w:val=" Box1.4: Sydney Metro Review "/>
        <w:tblDescription w:val=" Box1.4: Sydney Metro Review "/>
      </w:tblPr>
      <w:tblGrid>
        <w:gridCol w:w="9715"/>
      </w:tblGrid>
      <w:tr w:rsidR="00A4694B" w:rsidRPr="00A1397D" w14:paraId="64CE8E56" w14:textId="77777777" w:rsidTr="00DC317B">
        <w:trPr>
          <w:trHeight w:val="707"/>
        </w:trPr>
        <w:tc>
          <w:tcPr>
            <w:tcW w:w="9715" w:type="dxa"/>
            <w:shd w:val="clear" w:color="auto" w:fill="F2F2F2" w:themeFill="background1" w:themeFillShade="F2"/>
            <w:tcMar>
              <w:top w:w="0" w:type="dxa"/>
              <w:left w:w="108" w:type="dxa"/>
              <w:bottom w:w="0" w:type="dxa"/>
              <w:right w:w="108" w:type="dxa"/>
            </w:tcMar>
            <w:vAlign w:val="center"/>
          </w:tcPr>
          <w:p w14:paraId="62B05277" w14:textId="1BBBB332" w:rsidR="00A4694B" w:rsidRPr="00461E1C" w:rsidRDefault="00A4694B" w:rsidP="00D53243">
            <w:pPr>
              <w:pStyle w:val="BP3Boxx"/>
            </w:pPr>
            <w:r w:rsidRPr="32B3554B">
              <w:rPr>
                <w:highlight w:val="yellow"/>
              </w:rPr>
              <w:lastRenderedPageBreak/>
              <w:br w:type="page"/>
            </w:r>
            <w:r>
              <w:t>Sydney Metro Review</w:t>
            </w:r>
            <w:r w:rsidRPr="00461E1C">
              <w:t xml:space="preserve"> </w:t>
            </w:r>
          </w:p>
          <w:p w14:paraId="49A41D1D" w14:textId="2C9ACBE2" w:rsidR="003D6484" w:rsidRDefault="003D6484" w:rsidP="003D6484">
            <w:pPr>
              <w:pStyle w:val="BP3BodyText"/>
            </w:pPr>
            <w:r w:rsidRPr="003D6484">
              <w:t xml:space="preserve">In April 2023, the Government announced a comprehensive review into the Sydney Metro project, the Sydney Metro Review, conducted by independent experts Mr Mike </w:t>
            </w:r>
            <w:proofErr w:type="spellStart"/>
            <w:r w:rsidRPr="003D6484">
              <w:t>Mrdak</w:t>
            </w:r>
            <w:proofErr w:type="spellEnd"/>
            <w:r w:rsidRPr="003D6484">
              <w:t xml:space="preserve"> and Amanda </w:t>
            </w:r>
            <w:proofErr w:type="spellStart"/>
            <w:r w:rsidRPr="003D6484">
              <w:t>Yeates</w:t>
            </w:r>
            <w:proofErr w:type="spellEnd"/>
            <w:r w:rsidRPr="003D6484">
              <w:t xml:space="preserve">. </w:t>
            </w:r>
            <w:r w:rsidR="00840AA4">
              <w:t>The Review considers all</w:t>
            </w:r>
            <w:r w:rsidRPr="003D6484">
              <w:t xml:space="preserve"> Sydney Metro projects in delivery including:</w:t>
            </w:r>
          </w:p>
          <w:p w14:paraId="0CF269AC" w14:textId="61F9DD1A" w:rsidR="00292CC5" w:rsidRDefault="00D44431" w:rsidP="00776B9A">
            <w:pPr>
              <w:pStyle w:val="BP3Bullet1"/>
            </w:pPr>
            <w:r>
              <w:t>Sydney Metro West</w:t>
            </w:r>
          </w:p>
          <w:p w14:paraId="27EFE3F8" w14:textId="0122E6CE" w:rsidR="00D44431" w:rsidRDefault="00D44431" w:rsidP="00776B9A">
            <w:pPr>
              <w:pStyle w:val="BP3Bullet1"/>
            </w:pPr>
            <w:r>
              <w:t xml:space="preserve">Sydney Metro </w:t>
            </w:r>
            <w:r w:rsidR="007116A5">
              <w:t xml:space="preserve">- </w:t>
            </w:r>
            <w:r>
              <w:t>Western Sydney Airport</w:t>
            </w:r>
          </w:p>
          <w:p w14:paraId="1F33CE35" w14:textId="2CC7EFF8" w:rsidR="00D44431" w:rsidRDefault="00F103E8" w:rsidP="00EA527F">
            <w:pPr>
              <w:pStyle w:val="BP3Bullet1"/>
            </w:pPr>
            <w:r>
              <w:t>Sydney Metro City and Southwest</w:t>
            </w:r>
            <w:r w:rsidR="00426387">
              <w:t>.</w:t>
            </w:r>
            <w:r>
              <w:t xml:space="preserve"> </w:t>
            </w:r>
          </w:p>
          <w:p w14:paraId="36CB0FF5" w14:textId="4B9BD94E" w:rsidR="00864CA5" w:rsidRDefault="00E5034E" w:rsidP="00BD1E29">
            <w:pPr>
              <w:pStyle w:val="BP3BodyText"/>
            </w:pPr>
            <w:r>
              <w:t>Due to ongoing cost and delivery challenges</w:t>
            </w:r>
            <w:r w:rsidR="00840AA4">
              <w:t>, t</w:t>
            </w:r>
            <w:r w:rsidR="00864CA5" w:rsidRPr="00864CA5">
              <w:t xml:space="preserve">he Sydney Metro Review </w:t>
            </w:r>
            <w:r w:rsidR="00523AF6">
              <w:t>is to</w:t>
            </w:r>
            <w:r w:rsidR="00864CA5" w:rsidRPr="00864CA5">
              <w:t xml:space="preserve"> examine value for money, delivery models, project governance and passenger impacts. It </w:t>
            </w:r>
            <w:r w:rsidR="004149AA">
              <w:t xml:space="preserve">is </w:t>
            </w:r>
            <w:r w:rsidR="00840AA4">
              <w:t>evaluating</w:t>
            </w:r>
            <w:r w:rsidR="00864CA5" w:rsidRPr="00864CA5">
              <w:t xml:space="preserve"> the delivery of Sydney Metro to date, the current state of progress against delivery targets and mak</w:t>
            </w:r>
            <w:r w:rsidR="00604F6B">
              <w:t>ing</w:t>
            </w:r>
            <w:r w:rsidR="00864CA5" w:rsidRPr="00864CA5">
              <w:t xml:space="preserve"> recommendations for getting the maximum value out of the project and better integration with the wider transport network. </w:t>
            </w:r>
          </w:p>
          <w:p w14:paraId="2097DFE5" w14:textId="213E614F" w:rsidR="00F47091" w:rsidRDefault="00F47091" w:rsidP="00DC317B">
            <w:pPr>
              <w:pStyle w:val="BP3BodyText"/>
            </w:pPr>
            <w:r w:rsidRPr="00E4299C">
              <w:t xml:space="preserve">The </w:t>
            </w:r>
            <w:r w:rsidR="004E3D39">
              <w:t>R</w:t>
            </w:r>
            <w:r w:rsidRPr="00E4299C">
              <w:t>eview is expected to have several crucial recommendations, including opportunities where Sydney Metro could make a stronger contribution to delivering broader government social and economic objectives.</w:t>
            </w:r>
          </w:p>
          <w:p w14:paraId="16B0955D" w14:textId="6443EDE8" w:rsidR="00A36010" w:rsidRDefault="00A36010" w:rsidP="00BD1E29">
            <w:pPr>
              <w:pStyle w:val="BP3BodyText"/>
            </w:pPr>
            <w:r w:rsidRPr="00A36010">
              <w:t xml:space="preserve">The Review’s Interim Report was released on 1 August 2023, with the findings focused on overall budget pressures and key decisions for the 2023-24 Budget. In line with the findings of the Interim Report, </w:t>
            </w:r>
            <w:r w:rsidR="00F86D3F">
              <w:t>the Government all</w:t>
            </w:r>
            <w:r w:rsidR="00D50974">
              <w:t>ocated</w:t>
            </w:r>
            <w:r w:rsidRPr="00A36010">
              <w:t xml:space="preserve"> an additional $1.0 billion to Sydney Metro City and Southwest to ensure </w:t>
            </w:r>
            <w:r w:rsidR="000C68ED">
              <w:t xml:space="preserve">the project </w:t>
            </w:r>
            <w:r w:rsidRPr="00A36010">
              <w:t xml:space="preserve">can be delivered </w:t>
            </w:r>
            <w:r w:rsidR="00DB57EE">
              <w:t>despite</w:t>
            </w:r>
            <w:r w:rsidRPr="00A36010">
              <w:t xml:space="preserve"> cost escalation and </w:t>
            </w:r>
            <w:r w:rsidR="00DB57EE">
              <w:t>time delays.</w:t>
            </w:r>
            <w:r w:rsidRPr="00A36010">
              <w:t xml:space="preserve"> </w:t>
            </w:r>
          </w:p>
          <w:p w14:paraId="5EA46BF5" w14:textId="7127DBC7" w:rsidR="00725D2D" w:rsidRPr="006D2C0F" w:rsidRDefault="001C7BBF" w:rsidP="00BD1E29">
            <w:pPr>
              <w:pStyle w:val="BP3BodyText"/>
            </w:pPr>
            <w:r>
              <w:t xml:space="preserve">Final findings and recommendations will be tabled by the end of 2023 for consideration by </w:t>
            </w:r>
            <w:r w:rsidR="004E3D39">
              <w:t>the Government</w:t>
            </w:r>
            <w:r>
              <w:t xml:space="preserve">. </w:t>
            </w:r>
          </w:p>
        </w:tc>
      </w:tr>
    </w:tbl>
    <w:p w14:paraId="4B4018C5" w14:textId="5B1E05B7" w:rsidR="00A33734" w:rsidRPr="00930E7C" w:rsidRDefault="00A33734" w:rsidP="00C25339">
      <w:pPr>
        <w:pStyle w:val="BP3Heading2"/>
      </w:pPr>
      <w:r w:rsidRPr="00930E7C">
        <w:t>Four-year capital program</w:t>
      </w:r>
    </w:p>
    <w:p w14:paraId="36B99054" w14:textId="3BB8315E" w:rsidR="00AB7EEE" w:rsidRDefault="00A33734" w:rsidP="00494BFF">
      <w:pPr>
        <w:pStyle w:val="BP3BodyText"/>
      </w:pPr>
      <w:r w:rsidRPr="00C15E70">
        <w:t xml:space="preserve">The Government’s capital </w:t>
      </w:r>
      <w:r w:rsidR="005904FE">
        <w:t>investment</w:t>
      </w:r>
      <w:r w:rsidR="005904FE" w:rsidRPr="00C15E70">
        <w:t xml:space="preserve"> </w:t>
      </w:r>
      <w:r w:rsidRPr="00C15E70">
        <w:t xml:space="preserve">program is forecast to </w:t>
      </w:r>
      <w:r w:rsidRPr="001F5B7D">
        <w:t>be $</w:t>
      </w:r>
      <w:r w:rsidR="00727FEA">
        <w:t>116.5</w:t>
      </w:r>
      <w:r w:rsidRPr="001F5B7D">
        <w:t xml:space="preserve"> billion</w:t>
      </w:r>
      <w:r w:rsidRPr="00C15E70">
        <w:t xml:space="preserve"> over </w:t>
      </w:r>
      <w:r w:rsidR="003E1A16">
        <w:t>the</w:t>
      </w:r>
      <w:r w:rsidRPr="00C15E70">
        <w:t xml:space="preserve"> four years to </w:t>
      </w:r>
      <w:r w:rsidR="00E92ABD">
        <w:t>2026-27</w:t>
      </w:r>
      <w:r w:rsidR="00E51F39">
        <w:t xml:space="preserve">. </w:t>
      </w:r>
      <w:r w:rsidRPr="00C15E70">
        <w:t xml:space="preserve">Table 1.1 provides a reconciliation of capital expenditure between the </w:t>
      </w:r>
      <w:r w:rsidR="00460735">
        <w:br/>
      </w:r>
      <w:r w:rsidR="003E1A16">
        <w:t>2023</w:t>
      </w:r>
      <w:r w:rsidR="00AF6ED6">
        <w:t> </w:t>
      </w:r>
      <w:r w:rsidR="00F977A2">
        <w:t>Pre-</w:t>
      </w:r>
      <w:r w:rsidR="00B17C40">
        <w:t>e</w:t>
      </w:r>
      <w:r w:rsidR="00F977A2">
        <w:t xml:space="preserve">lection Budget Update </w:t>
      </w:r>
      <w:r w:rsidRPr="00C15E70">
        <w:t xml:space="preserve">and </w:t>
      </w:r>
      <w:r w:rsidR="00347D22" w:rsidRPr="00C15E70">
        <w:t xml:space="preserve">the </w:t>
      </w:r>
      <w:r w:rsidR="0030762B">
        <w:t>2023-24</w:t>
      </w:r>
      <w:r w:rsidRPr="00C15E70">
        <w:t> </w:t>
      </w:r>
      <w:r w:rsidR="00347D22" w:rsidRPr="00C15E70">
        <w:t>Budget</w:t>
      </w:r>
      <w:r w:rsidRPr="00C15E70">
        <w:t>.</w:t>
      </w:r>
    </w:p>
    <w:p w14:paraId="3B2A7276" w14:textId="21275775" w:rsidR="00D53A4A" w:rsidRDefault="001037BC" w:rsidP="00494BFF">
      <w:pPr>
        <w:pStyle w:val="BP3BodyText"/>
      </w:pPr>
      <w:r>
        <w:t xml:space="preserve">The </w:t>
      </w:r>
      <w:r w:rsidR="00AA03E4">
        <w:t xml:space="preserve">timing </w:t>
      </w:r>
      <w:r w:rsidR="00A33734" w:rsidRPr="00C15E70">
        <w:t xml:space="preserve">and </w:t>
      </w:r>
      <w:r w:rsidR="0071447B" w:rsidRPr="00C15E70">
        <w:t xml:space="preserve">cost of </w:t>
      </w:r>
      <w:r w:rsidR="008016D9">
        <w:t>infrastructure projects</w:t>
      </w:r>
      <w:r w:rsidR="0071447B" w:rsidRPr="00C15E70">
        <w:t xml:space="preserve"> </w:t>
      </w:r>
      <w:r>
        <w:t xml:space="preserve">can often change </w:t>
      </w:r>
      <w:r w:rsidR="00DF7EF7">
        <w:t>due to</w:t>
      </w:r>
      <w:r>
        <w:t xml:space="preserve"> factors</w:t>
      </w:r>
      <w:r w:rsidR="0071447B" w:rsidRPr="00C15E70">
        <w:t xml:space="preserve"> outside </w:t>
      </w:r>
      <w:r w:rsidR="006A4348">
        <w:t xml:space="preserve">the control of </w:t>
      </w:r>
      <w:r w:rsidR="0003664A">
        <w:t>g</w:t>
      </w:r>
      <w:r w:rsidR="0071447B" w:rsidRPr="00C15E70">
        <w:t>overnment</w:t>
      </w:r>
      <w:r w:rsidR="006A4348">
        <w:t>.</w:t>
      </w:r>
      <w:r w:rsidR="0071447B" w:rsidRPr="00C15E70">
        <w:t xml:space="preserve"> </w:t>
      </w:r>
      <w:r w:rsidR="00A31349">
        <w:t>Examples</w:t>
      </w:r>
      <w:r w:rsidR="006A4348">
        <w:t xml:space="preserve"> of this</w:t>
      </w:r>
      <w:r w:rsidR="00A31349">
        <w:t xml:space="preserve"> </w:t>
      </w:r>
      <w:r w:rsidR="00A44690">
        <w:t>include changes</w:t>
      </w:r>
      <w:r w:rsidR="0071447B" w:rsidRPr="00C15E70">
        <w:t xml:space="preserve"> </w:t>
      </w:r>
      <w:r w:rsidR="00815BEF">
        <w:t>in</w:t>
      </w:r>
      <w:r w:rsidR="00815BEF" w:rsidRPr="00C15E70">
        <w:t xml:space="preserve"> </w:t>
      </w:r>
      <w:r w:rsidR="0071447B" w:rsidRPr="00C15E70">
        <w:t xml:space="preserve">economic conditions, variations to </w:t>
      </w:r>
      <w:r w:rsidR="00B17C40">
        <w:t>Australian</w:t>
      </w:r>
      <w:r w:rsidR="0071447B" w:rsidRPr="00C15E70">
        <w:t xml:space="preserve"> Government grants</w:t>
      </w:r>
      <w:r w:rsidR="0071447B" w:rsidRPr="00C40490">
        <w:t xml:space="preserve"> </w:t>
      </w:r>
      <w:r w:rsidR="0098732B" w:rsidRPr="00C40490">
        <w:t xml:space="preserve">and </w:t>
      </w:r>
      <w:r w:rsidR="0071447B" w:rsidRPr="00C40490">
        <w:t>accounting and technical adjustments (including accounting standard changes)</w:t>
      </w:r>
      <w:r w:rsidR="00E014C2" w:rsidRPr="00C40490">
        <w:t xml:space="preserve">. </w:t>
      </w:r>
    </w:p>
    <w:p w14:paraId="17316A1A" w14:textId="5B2D3E24" w:rsidR="005D3377" w:rsidRDefault="0053562E" w:rsidP="00494BFF">
      <w:pPr>
        <w:pStyle w:val="BP3BodyText"/>
      </w:pPr>
      <w:r>
        <w:t>Variation</w:t>
      </w:r>
      <w:r w:rsidR="009A1A3C" w:rsidRPr="00987598">
        <w:t xml:space="preserve"> estimates </w:t>
      </w:r>
      <w:r w:rsidR="00916BED">
        <w:t>also</w:t>
      </w:r>
      <w:r w:rsidR="0046682E" w:rsidRPr="00987598">
        <w:t xml:space="preserve"> </w:t>
      </w:r>
      <w:proofErr w:type="gramStart"/>
      <w:r w:rsidR="0046682E" w:rsidRPr="00987598">
        <w:t>take into account</w:t>
      </w:r>
      <w:proofErr w:type="gramEnd"/>
      <w:r w:rsidR="0046682E" w:rsidRPr="00987598">
        <w:t xml:space="preserve"> central adjustments for capital slippage</w:t>
      </w:r>
      <w:r w:rsidR="00031E56">
        <w:t>,</w:t>
      </w:r>
      <w:r w:rsidR="0046682E" w:rsidRPr="00987598">
        <w:t xml:space="preserve"> as informed by historical data.</w:t>
      </w:r>
      <w:r w:rsidR="0046682E">
        <w:t xml:space="preserve"> </w:t>
      </w:r>
      <w:r w:rsidR="00166E2A">
        <w:t xml:space="preserve">Capital slippage occurs when </w:t>
      </w:r>
      <w:r w:rsidR="00262EFC">
        <w:t xml:space="preserve">there are </w:t>
      </w:r>
      <w:r w:rsidR="00094B17">
        <w:t xml:space="preserve">delays in spending </w:t>
      </w:r>
      <w:r w:rsidR="00262EFC">
        <w:t xml:space="preserve">compared to </w:t>
      </w:r>
      <w:r w:rsidR="00F977A2">
        <w:t>a</w:t>
      </w:r>
      <w:r w:rsidR="00262EFC">
        <w:t xml:space="preserve"> project</w:t>
      </w:r>
      <w:r w:rsidR="00F977A2">
        <w:t>’</w:t>
      </w:r>
      <w:r w:rsidR="00262EFC">
        <w:t xml:space="preserve">s </w:t>
      </w:r>
      <w:r w:rsidR="00465370">
        <w:t xml:space="preserve">forecast </w:t>
      </w:r>
      <w:r w:rsidR="007337B5">
        <w:t>profile.</w:t>
      </w:r>
      <w:r w:rsidR="00C82936">
        <w:t xml:space="preserve"> This </w:t>
      </w:r>
      <w:r w:rsidR="00465370">
        <w:t>requir</w:t>
      </w:r>
      <w:r w:rsidR="00C82936">
        <w:t>es</w:t>
      </w:r>
      <w:r w:rsidR="007337B5">
        <w:t xml:space="preserve"> the</w:t>
      </w:r>
      <w:r w:rsidR="00465370">
        <w:t xml:space="preserve"> expenditure to instead be spent in future years</w:t>
      </w:r>
      <w:r w:rsidR="00B0058E">
        <w:t xml:space="preserve">. </w:t>
      </w:r>
    </w:p>
    <w:p w14:paraId="2DBB4211" w14:textId="7D52E836" w:rsidR="00492E0D" w:rsidRDefault="00DC37DB" w:rsidP="00494BFF">
      <w:pPr>
        <w:pStyle w:val="BP3BodyText"/>
      </w:pPr>
      <w:r w:rsidRPr="004E3945">
        <w:t xml:space="preserve">Table 1.1 shows that </w:t>
      </w:r>
      <w:r w:rsidRPr="004F22F2">
        <w:t xml:space="preserve">capital expenditure has increased from </w:t>
      </w:r>
      <w:r w:rsidRPr="00513BB8">
        <w:t>$</w:t>
      </w:r>
      <w:r w:rsidR="00C9084F">
        <w:t>27.3</w:t>
      </w:r>
      <w:r w:rsidRPr="006E3051">
        <w:t xml:space="preserve"> billion in </w:t>
      </w:r>
      <w:r w:rsidR="00882C26">
        <w:br w:type="textWrapping" w:clear="all"/>
      </w:r>
      <w:r w:rsidR="0030762B">
        <w:t>2022-23</w:t>
      </w:r>
      <w:r w:rsidRPr="006E3051">
        <w:t xml:space="preserve"> to </w:t>
      </w:r>
      <w:r w:rsidRPr="00513BB8">
        <w:t>$</w:t>
      </w:r>
      <w:r w:rsidR="00C9084F">
        <w:t>29.9</w:t>
      </w:r>
      <w:r>
        <w:t> </w:t>
      </w:r>
      <w:r w:rsidRPr="00A1397D">
        <w:t>billion</w:t>
      </w:r>
      <w:r>
        <w:t xml:space="preserve"> in </w:t>
      </w:r>
      <w:r w:rsidR="0030762B">
        <w:t>2023-24</w:t>
      </w:r>
      <w:r w:rsidRPr="00A1397D">
        <w:t xml:space="preserve">. </w:t>
      </w:r>
      <w:r w:rsidR="00321759" w:rsidRPr="001422F6">
        <w:t>D</w:t>
      </w:r>
      <w:r w:rsidRPr="001422F6">
        <w:t>rivers of this increase</w:t>
      </w:r>
      <w:r w:rsidR="0078385F" w:rsidRPr="001422F6">
        <w:t xml:space="preserve"> </w:t>
      </w:r>
      <w:r w:rsidR="00464209">
        <w:t xml:space="preserve">include </w:t>
      </w:r>
      <w:r w:rsidR="00BC14AF">
        <w:t>new funding of $</w:t>
      </w:r>
      <w:r w:rsidR="003C32CA">
        <w:t>1.4</w:t>
      </w:r>
      <w:r w:rsidR="00882C26" w:rsidRPr="00042D2C">
        <w:t> </w:t>
      </w:r>
      <w:r w:rsidR="00BC14AF">
        <w:t xml:space="preserve">billion for health facilities </w:t>
      </w:r>
      <w:r w:rsidR="00AE306A">
        <w:t>over four</w:t>
      </w:r>
      <w:r w:rsidR="0003664A">
        <w:t xml:space="preserve"> </w:t>
      </w:r>
      <w:r w:rsidR="00AE306A">
        <w:t xml:space="preserve">years </w:t>
      </w:r>
      <w:r w:rsidR="00BC14AF">
        <w:t>and $</w:t>
      </w:r>
      <w:r w:rsidR="007C29A6">
        <w:t>1.4 billion</w:t>
      </w:r>
      <w:r w:rsidR="00C4317D">
        <w:t xml:space="preserve"> </w:t>
      </w:r>
      <w:r w:rsidR="004323D4">
        <w:t xml:space="preserve">in new funding </w:t>
      </w:r>
      <w:r w:rsidR="00125FDB">
        <w:t xml:space="preserve">over four years </w:t>
      </w:r>
      <w:r w:rsidR="004323D4">
        <w:t>for</w:t>
      </w:r>
      <w:r w:rsidR="00125FDB">
        <w:t xml:space="preserve"> new and upgraded school</w:t>
      </w:r>
      <w:r w:rsidR="00E96A57">
        <w:t>s</w:t>
      </w:r>
      <w:r w:rsidR="00B953BF">
        <w:t xml:space="preserve">. </w:t>
      </w:r>
    </w:p>
    <w:p w14:paraId="23E1483C" w14:textId="77777777" w:rsidR="00185DE6" w:rsidRDefault="00185DE6">
      <w:pPr>
        <w:rPr>
          <w:rFonts w:ascii="Public Sans" w:eastAsia="Arial" w:hAnsi="Public Sans" w:cs="Arial"/>
          <w:color w:val="000000" w:themeColor="text1"/>
          <w:sz w:val="22"/>
          <w:szCs w:val="23"/>
          <w:lang w:val="en-AU"/>
        </w:rPr>
      </w:pPr>
      <w:r>
        <w:br w:type="page"/>
      </w:r>
    </w:p>
    <w:p w14:paraId="17D7B41B" w14:textId="610010BB" w:rsidR="00826981" w:rsidRPr="006B2D17" w:rsidRDefault="00A33734" w:rsidP="00055511">
      <w:pPr>
        <w:pStyle w:val="BP3TableHeading"/>
      </w:pPr>
      <w:r w:rsidRPr="006B2D17">
        <w:lastRenderedPageBreak/>
        <w:t xml:space="preserve">Capital expenditure </w:t>
      </w:r>
      <w:proofErr w:type="gramStart"/>
      <w:r w:rsidRPr="006B2D17">
        <w:t>reconciliation</w:t>
      </w:r>
      <w:proofErr w:type="gramEnd"/>
    </w:p>
    <w:tbl>
      <w:tblPr>
        <w:tblW w:w="9639" w:type="dxa"/>
        <w:tblLayout w:type="fixed"/>
        <w:tblLook w:val="04A0" w:firstRow="1" w:lastRow="0" w:firstColumn="1" w:lastColumn="0" w:noHBand="0" w:noVBand="1"/>
        <w:tblCaption w:val="Table 1.1: Capital expenditure reconciliation"/>
        <w:tblDescription w:val="Table 1.1: Capital expenditure reconciliation"/>
      </w:tblPr>
      <w:tblGrid>
        <w:gridCol w:w="1678"/>
        <w:gridCol w:w="1678"/>
        <w:gridCol w:w="1322"/>
        <w:gridCol w:w="1134"/>
        <w:gridCol w:w="1313"/>
        <w:gridCol w:w="1257"/>
        <w:gridCol w:w="1257"/>
      </w:tblGrid>
      <w:tr w:rsidR="00C37351" w:rsidRPr="00C37351" w14:paraId="1629A581" w14:textId="77777777" w:rsidTr="005C2EDF">
        <w:trPr>
          <w:trHeight w:val="283"/>
        </w:trPr>
        <w:tc>
          <w:tcPr>
            <w:tcW w:w="1678" w:type="dxa"/>
            <w:tcBorders>
              <w:top w:val="nil"/>
              <w:left w:val="nil"/>
              <w:right w:val="nil"/>
            </w:tcBorders>
            <w:shd w:val="clear" w:color="auto" w:fill="EBEBEB"/>
            <w:vAlign w:val="center"/>
            <w:hideMark/>
          </w:tcPr>
          <w:p w14:paraId="221A2F47" w14:textId="77777777" w:rsidR="00C37351" w:rsidRPr="00905BF6" w:rsidRDefault="00C37351" w:rsidP="00C37351">
            <w:pPr>
              <w:jc w:val="center"/>
              <w:rPr>
                <w:rFonts w:ascii="Arial" w:hAnsi="Arial" w:cs="Arial"/>
                <w:sz w:val="18"/>
                <w:szCs w:val="18"/>
                <w:lang w:val="en-AU" w:eastAsia="en-AU"/>
              </w:rPr>
            </w:pPr>
            <w:r w:rsidRPr="00905BF6">
              <w:rPr>
                <w:rFonts w:ascii="Arial" w:hAnsi="Arial" w:cs="Arial"/>
                <w:sz w:val="18"/>
                <w:szCs w:val="18"/>
                <w:lang w:val="en-AU" w:eastAsia="en-AU"/>
              </w:rPr>
              <w:t> </w:t>
            </w:r>
          </w:p>
        </w:tc>
        <w:tc>
          <w:tcPr>
            <w:tcW w:w="1678" w:type="dxa"/>
            <w:tcBorders>
              <w:top w:val="nil"/>
              <w:left w:val="nil"/>
              <w:right w:val="nil"/>
            </w:tcBorders>
            <w:shd w:val="clear" w:color="auto" w:fill="EBEBEB"/>
            <w:vAlign w:val="center"/>
            <w:hideMark/>
          </w:tcPr>
          <w:p w14:paraId="61946B8A" w14:textId="77777777" w:rsidR="00C37351" w:rsidRPr="00905BF6" w:rsidRDefault="00C37351" w:rsidP="00C37351">
            <w:pPr>
              <w:jc w:val="center"/>
              <w:rPr>
                <w:rFonts w:ascii="Arial" w:hAnsi="Arial" w:cs="Arial"/>
                <w:sz w:val="18"/>
                <w:szCs w:val="18"/>
                <w:lang w:val="en-AU" w:eastAsia="en-AU"/>
              </w:rPr>
            </w:pPr>
            <w:r w:rsidRPr="00905BF6">
              <w:rPr>
                <w:rFonts w:ascii="Arial" w:hAnsi="Arial" w:cs="Arial"/>
                <w:sz w:val="18"/>
                <w:szCs w:val="18"/>
                <w:lang w:val="en-AU" w:eastAsia="en-AU"/>
              </w:rPr>
              <w:t> </w:t>
            </w:r>
          </w:p>
        </w:tc>
        <w:tc>
          <w:tcPr>
            <w:tcW w:w="1322" w:type="dxa"/>
            <w:tcBorders>
              <w:top w:val="nil"/>
              <w:left w:val="nil"/>
              <w:right w:val="nil"/>
            </w:tcBorders>
            <w:shd w:val="clear" w:color="auto" w:fill="EBEBEB"/>
            <w:vAlign w:val="bottom"/>
            <w:hideMark/>
          </w:tcPr>
          <w:p w14:paraId="15EE888B" w14:textId="14957BC0" w:rsidR="00C37351" w:rsidRPr="005C2EDF" w:rsidRDefault="00477E60" w:rsidP="00BD6A4B">
            <w:pPr>
              <w:jc w:val="center"/>
              <w:rPr>
                <w:rFonts w:ascii="Arial" w:hAnsi="Arial" w:cs="Arial"/>
                <w:sz w:val="18"/>
                <w:szCs w:val="18"/>
                <w:lang w:val="en-AU" w:eastAsia="en-AU"/>
              </w:rPr>
            </w:pPr>
            <w:r w:rsidRPr="005C2EDF">
              <w:rPr>
                <w:rFonts w:ascii="Arial" w:hAnsi="Arial" w:cs="Arial"/>
                <w:sz w:val="18"/>
                <w:szCs w:val="18"/>
                <w:lang w:val="en-AU" w:eastAsia="en-AU"/>
              </w:rPr>
              <w:t>2022-23</w:t>
            </w:r>
          </w:p>
        </w:tc>
        <w:tc>
          <w:tcPr>
            <w:tcW w:w="1134" w:type="dxa"/>
            <w:tcBorders>
              <w:top w:val="nil"/>
              <w:left w:val="nil"/>
              <w:right w:val="nil"/>
            </w:tcBorders>
            <w:shd w:val="clear" w:color="auto" w:fill="EBEBEB"/>
            <w:vAlign w:val="bottom"/>
            <w:hideMark/>
          </w:tcPr>
          <w:p w14:paraId="7AF8F630" w14:textId="6708F315" w:rsidR="00C37351" w:rsidRPr="005C2EDF" w:rsidRDefault="00477E60" w:rsidP="00BD6A4B">
            <w:pPr>
              <w:jc w:val="center"/>
              <w:rPr>
                <w:rFonts w:ascii="Arial" w:hAnsi="Arial" w:cs="Arial"/>
                <w:sz w:val="18"/>
                <w:szCs w:val="18"/>
                <w:lang w:val="en-AU" w:eastAsia="en-AU"/>
              </w:rPr>
            </w:pPr>
            <w:r w:rsidRPr="005C2EDF">
              <w:rPr>
                <w:rFonts w:ascii="Arial" w:hAnsi="Arial" w:cs="Arial"/>
                <w:sz w:val="18"/>
                <w:szCs w:val="18"/>
                <w:lang w:val="en-AU" w:eastAsia="en-AU"/>
              </w:rPr>
              <w:t>2023-24</w:t>
            </w:r>
          </w:p>
        </w:tc>
        <w:tc>
          <w:tcPr>
            <w:tcW w:w="1313" w:type="dxa"/>
            <w:tcBorders>
              <w:top w:val="nil"/>
              <w:left w:val="nil"/>
              <w:right w:val="nil"/>
            </w:tcBorders>
            <w:shd w:val="clear" w:color="auto" w:fill="EBEBEB"/>
            <w:vAlign w:val="bottom"/>
            <w:hideMark/>
          </w:tcPr>
          <w:p w14:paraId="3C098A65" w14:textId="6FA04A92" w:rsidR="00C37351" w:rsidRPr="005C2EDF" w:rsidRDefault="00477E60" w:rsidP="00BD6A4B">
            <w:pPr>
              <w:jc w:val="center"/>
              <w:rPr>
                <w:rFonts w:ascii="Arial" w:hAnsi="Arial" w:cs="Arial"/>
                <w:sz w:val="18"/>
                <w:szCs w:val="18"/>
                <w:lang w:val="en-AU" w:eastAsia="en-AU"/>
              </w:rPr>
            </w:pPr>
            <w:r w:rsidRPr="005C2EDF">
              <w:rPr>
                <w:rFonts w:ascii="Arial" w:hAnsi="Arial" w:cs="Arial"/>
                <w:sz w:val="18"/>
                <w:szCs w:val="18"/>
                <w:lang w:val="en-AU" w:eastAsia="en-AU"/>
              </w:rPr>
              <w:t>2024-25</w:t>
            </w:r>
          </w:p>
        </w:tc>
        <w:tc>
          <w:tcPr>
            <w:tcW w:w="1257" w:type="dxa"/>
            <w:tcBorders>
              <w:top w:val="nil"/>
              <w:left w:val="nil"/>
              <w:right w:val="nil"/>
            </w:tcBorders>
            <w:shd w:val="clear" w:color="auto" w:fill="EBEBEB"/>
            <w:vAlign w:val="bottom"/>
            <w:hideMark/>
          </w:tcPr>
          <w:p w14:paraId="550F2160" w14:textId="59C89374" w:rsidR="00C37351" w:rsidRPr="005C2EDF" w:rsidRDefault="00477E60" w:rsidP="00BD6A4B">
            <w:pPr>
              <w:jc w:val="center"/>
              <w:rPr>
                <w:rFonts w:ascii="Arial" w:hAnsi="Arial" w:cs="Arial"/>
                <w:sz w:val="18"/>
                <w:szCs w:val="18"/>
                <w:lang w:val="en-AU" w:eastAsia="en-AU"/>
              </w:rPr>
            </w:pPr>
            <w:r w:rsidRPr="005C2EDF">
              <w:rPr>
                <w:rFonts w:ascii="Arial" w:hAnsi="Arial" w:cs="Arial"/>
                <w:sz w:val="18"/>
                <w:szCs w:val="18"/>
                <w:lang w:val="en-AU" w:eastAsia="en-AU"/>
              </w:rPr>
              <w:t>2025-26</w:t>
            </w:r>
          </w:p>
        </w:tc>
        <w:tc>
          <w:tcPr>
            <w:tcW w:w="1257" w:type="dxa"/>
            <w:tcBorders>
              <w:top w:val="nil"/>
              <w:left w:val="nil"/>
              <w:right w:val="nil"/>
            </w:tcBorders>
            <w:shd w:val="clear" w:color="auto" w:fill="EBEBEB"/>
            <w:vAlign w:val="bottom"/>
            <w:hideMark/>
          </w:tcPr>
          <w:p w14:paraId="4080542A" w14:textId="68838D24" w:rsidR="00C37351" w:rsidRPr="005C2EDF" w:rsidRDefault="00477E60" w:rsidP="00BD6A4B">
            <w:pPr>
              <w:jc w:val="center"/>
              <w:rPr>
                <w:rFonts w:ascii="Arial" w:hAnsi="Arial" w:cs="Arial"/>
                <w:sz w:val="18"/>
                <w:szCs w:val="18"/>
                <w:lang w:val="en-AU" w:eastAsia="en-AU"/>
              </w:rPr>
            </w:pPr>
            <w:r w:rsidRPr="005C2EDF">
              <w:rPr>
                <w:rFonts w:ascii="Arial" w:hAnsi="Arial" w:cs="Arial"/>
                <w:sz w:val="18"/>
                <w:szCs w:val="18"/>
                <w:lang w:val="en-AU" w:eastAsia="en-AU"/>
              </w:rPr>
              <w:t>2026-27</w:t>
            </w:r>
          </w:p>
        </w:tc>
      </w:tr>
      <w:tr w:rsidR="007E0984" w:rsidRPr="00C37351" w14:paraId="49B266CD" w14:textId="77777777" w:rsidTr="005C2EDF">
        <w:trPr>
          <w:trHeight w:val="227"/>
        </w:trPr>
        <w:tc>
          <w:tcPr>
            <w:tcW w:w="1678" w:type="dxa"/>
            <w:tcBorders>
              <w:top w:val="nil"/>
              <w:left w:val="nil"/>
              <w:right w:val="nil"/>
            </w:tcBorders>
            <w:shd w:val="clear" w:color="auto" w:fill="EBEBEB"/>
            <w:vAlign w:val="center"/>
          </w:tcPr>
          <w:p w14:paraId="62CE808E" w14:textId="77777777" w:rsidR="007E0984" w:rsidRPr="00905BF6" w:rsidRDefault="007E0984" w:rsidP="00C37351">
            <w:pPr>
              <w:jc w:val="center"/>
              <w:rPr>
                <w:rFonts w:ascii="Arial" w:hAnsi="Arial" w:cs="Arial"/>
                <w:sz w:val="18"/>
                <w:szCs w:val="18"/>
                <w:lang w:val="en-AU" w:eastAsia="en-AU"/>
              </w:rPr>
            </w:pPr>
          </w:p>
        </w:tc>
        <w:tc>
          <w:tcPr>
            <w:tcW w:w="1678" w:type="dxa"/>
            <w:tcBorders>
              <w:top w:val="nil"/>
              <w:left w:val="nil"/>
              <w:right w:val="nil"/>
            </w:tcBorders>
            <w:shd w:val="clear" w:color="auto" w:fill="EBEBEB"/>
            <w:vAlign w:val="center"/>
          </w:tcPr>
          <w:p w14:paraId="2726C5C4" w14:textId="77777777" w:rsidR="007E0984" w:rsidRPr="00905BF6" w:rsidRDefault="007E0984" w:rsidP="00C37351">
            <w:pPr>
              <w:jc w:val="center"/>
              <w:rPr>
                <w:rFonts w:ascii="Arial" w:hAnsi="Arial" w:cs="Arial"/>
                <w:sz w:val="18"/>
                <w:szCs w:val="18"/>
                <w:lang w:val="en-AU" w:eastAsia="en-AU"/>
              </w:rPr>
            </w:pPr>
          </w:p>
        </w:tc>
        <w:tc>
          <w:tcPr>
            <w:tcW w:w="1322" w:type="dxa"/>
            <w:tcBorders>
              <w:top w:val="nil"/>
              <w:left w:val="nil"/>
              <w:right w:val="nil"/>
            </w:tcBorders>
            <w:shd w:val="clear" w:color="auto" w:fill="EBEBEB"/>
            <w:vAlign w:val="bottom"/>
          </w:tcPr>
          <w:p w14:paraId="157DC58D" w14:textId="08AA0F0F" w:rsidR="007E0984" w:rsidRPr="005C2EDF" w:rsidRDefault="00477E60" w:rsidP="00C37351">
            <w:pPr>
              <w:jc w:val="center"/>
              <w:rPr>
                <w:rFonts w:ascii="Arial" w:hAnsi="Arial" w:cs="Arial"/>
                <w:sz w:val="18"/>
                <w:szCs w:val="18"/>
                <w:lang w:val="en-AU" w:eastAsia="en-AU"/>
              </w:rPr>
            </w:pPr>
            <w:r w:rsidRPr="005C2EDF">
              <w:rPr>
                <w:rFonts w:ascii="Arial" w:hAnsi="Arial" w:cs="Arial"/>
                <w:sz w:val="18"/>
                <w:szCs w:val="18"/>
                <w:lang w:val="en-AU" w:eastAsia="en-AU"/>
              </w:rPr>
              <w:t>Est Actual</w:t>
            </w:r>
          </w:p>
        </w:tc>
        <w:tc>
          <w:tcPr>
            <w:tcW w:w="1134" w:type="dxa"/>
            <w:tcBorders>
              <w:top w:val="nil"/>
              <w:left w:val="nil"/>
              <w:right w:val="nil"/>
            </w:tcBorders>
            <w:shd w:val="clear" w:color="auto" w:fill="EBEBEB"/>
            <w:vAlign w:val="bottom"/>
          </w:tcPr>
          <w:p w14:paraId="1510616E" w14:textId="67B49813" w:rsidR="007E0984" w:rsidRPr="005C2EDF" w:rsidRDefault="007E0984" w:rsidP="00C37351">
            <w:pPr>
              <w:jc w:val="center"/>
              <w:rPr>
                <w:rFonts w:ascii="Arial" w:hAnsi="Arial" w:cs="Arial"/>
                <w:sz w:val="18"/>
                <w:szCs w:val="18"/>
                <w:lang w:val="en-AU" w:eastAsia="en-AU"/>
              </w:rPr>
            </w:pPr>
            <w:r w:rsidRPr="005C2EDF">
              <w:rPr>
                <w:rFonts w:ascii="Arial" w:hAnsi="Arial" w:cs="Arial"/>
                <w:sz w:val="18"/>
                <w:szCs w:val="18"/>
                <w:lang w:val="en-AU" w:eastAsia="en-AU"/>
              </w:rPr>
              <w:t>Budget</w:t>
            </w:r>
          </w:p>
        </w:tc>
        <w:tc>
          <w:tcPr>
            <w:tcW w:w="3827" w:type="dxa"/>
            <w:gridSpan w:val="3"/>
            <w:tcBorders>
              <w:top w:val="nil"/>
              <w:left w:val="nil"/>
              <w:right w:val="nil"/>
            </w:tcBorders>
            <w:shd w:val="clear" w:color="auto" w:fill="EBEBEB"/>
            <w:vAlign w:val="bottom"/>
          </w:tcPr>
          <w:p w14:paraId="097E348B" w14:textId="6CA46E84" w:rsidR="007E0984" w:rsidRPr="005C2EDF" w:rsidRDefault="007E0984" w:rsidP="00C37351">
            <w:pPr>
              <w:jc w:val="center"/>
              <w:rPr>
                <w:rFonts w:ascii="Arial" w:hAnsi="Arial" w:cs="Arial"/>
                <w:sz w:val="18"/>
                <w:szCs w:val="18"/>
                <w:lang w:val="en-AU" w:eastAsia="en-AU"/>
              </w:rPr>
            </w:pPr>
            <w:r w:rsidRPr="005C2EDF">
              <w:rPr>
                <w:rFonts w:ascii="Arial" w:hAnsi="Arial" w:cs="Arial"/>
                <w:sz w:val="18"/>
                <w:szCs w:val="18"/>
                <w:lang w:val="en-AU" w:eastAsia="en-AU"/>
              </w:rPr>
              <w:t>Forward Estimates</w:t>
            </w:r>
          </w:p>
        </w:tc>
      </w:tr>
      <w:tr w:rsidR="00C37351" w:rsidRPr="00C37351" w14:paraId="44311EDA" w14:textId="77777777" w:rsidTr="005C2EDF">
        <w:trPr>
          <w:trHeight w:val="283"/>
        </w:trPr>
        <w:tc>
          <w:tcPr>
            <w:tcW w:w="1678" w:type="dxa"/>
            <w:tcBorders>
              <w:top w:val="nil"/>
              <w:left w:val="nil"/>
              <w:right w:val="nil"/>
            </w:tcBorders>
            <w:shd w:val="clear" w:color="auto" w:fill="EBEBEB"/>
            <w:vAlign w:val="center"/>
            <w:hideMark/>
          </w:tcPr>
          <w:p w14:paraId="56BEFBF6" w14:textId="77777777" w:rsidR="00C37351" w:rsidRPr="00905BF6" w:rsidRDefault="00C37351" w:rsidP="00C37351">
            <w:pPr>
              <w:jc w:val="center"/>
              <w:rPr>
                <w:rFonts w:ascii="Arial" w:hAnsi="Arial" w:cs="Arial"/>
                <w:sz w:val="18"/>
                <w:szCs w:val="18"/>
                <w:lang w:val="en-AU" w:eastAsia="en-AU"/>
              </w:rPr>
            </w:pPr>
            <w:r w:rsidRPr="00905BF6">
              <w:rPr>
                <w:rFonts w:ascii="Arial" w:hAnsi="Arial" w:cs="Arial"/>
                <w:sz w:val="18"/>
                <w:szCs w:val="18"/>
                <w:lang w:val="en-AU" w:eastAsia="en-AU"/>
              </w:rPr>
              <w:t> </w:t>
            </w:r>
          </w:p>
        </w:tc>
        <w:tc>
          <w:tcPr>
            <w:tcW w:w="1678" w:type="dxa"/>
            <w:tcBorders>
              <w:top w:val="nil"/>
              <w:left w:val="nil"/>
              <w:right w:val="nil"/>
            </w:tcBorders>
            <w:shd w:val="clear" w:color="auto" w:fill="EBEBEB"/>
            <w:vAlign w:val="center"/>
            <w:hideMark/>
          </w:tcPr>
          <w:p w14:paraId="77D4EBBF" w14:textId="77777777" w:rsidR="00C37351" w:rsidRPr="00905BF6" w:rsidRDefault="00C37351" w:rsidP="00C37351">
            <w:pPr>
              <w:jc w:val="center"/>
              <w:rPr>
                <w:rFonts w:ascii="Arial" w:hAnsi="Arial" w:cs="Arial"/>
                <w:sz w:val="18"/>
                <w:szCs w:val="18"/>
                <w:lang w:val="en-AU" w:eastAsia="en-AU"/>
              </w:rPr>
            </w:pPr>
            <w:r w:rsidRPr="00905BF6">
              <w:rPr>
                <w:rFonts w:ascii="Arial" w:hAnsi="Arial" w:cs="Arial"/>
                <w:sz w:val="18"/>
                <w:szCs w:val="18"/>
                <w:lang w:val="en-AU" w:eastAsia="en-AU"/>
              </w:rPr>
              <w:t> </w:t>
            </w:r>
          </w:p>
        </w:tc>
        <w:tc>
          <w:tcPr>
            <w:tcW w:w="1322" w:type="dxa"/>
            <w:tcBorders>
              <w:top w:val="nil"/>
              <w:left w:val="nil"/>
              <w:right w:val="nil"/>
            </w:tcBorders>
            <w:shd w:val="clear" w:color="auto" w:fill="EBEBEB"/>
            <w:hideMark/>
          </w:tcPr>
          <w:p w14:paraId="3E65075B" w14:textId="77777777" w:rsidR="00C37351" w:rsidRPr="005C2EDF" w:rsidRDefault="00C37351" w:rsidP="00C37351">
            <w:pPr>
              <w:jc w:val="center"/>
              <w:rPr>
                <w:rFonts w:ascii="Arial" w:hAnsi="Arial" w:cs="Arial"/>
                <w:sz w:val="18"/>
                <w:szCs w:val="18"/>
                <w:lang w:val="en-AU" w:eastAsia="en-AU"/>
              </w:rPr>
            </w:pPr>
            <w:r w:rsidRPr="005C2EDF">
              <w:rPr>
                <w:rFonts w:ascii="Arial" w:hAnsi="Arial" w:cs="Arial"/>
                <w:sz w:val="18"/>
                <w:szCs w:val="18"/>
                <w:lang w:val="en-AU" w:eastAsia="en-AU"/>
              </w:rPr>
              <w:t>$m</w:t>
            </w:r>
          </w:p>
        </w:tc>
        <w:tc>
          <w:tcPr>
            <w:tcW w:w="1134" w:type="dxa"/>
            <w:tcBorders>
              <w:top w:val="nil"/>
              <w:left w:val="nil"/>
              <w:right w:val="nil"/>
            </w:tcBorders>
            <w:shd w:val="clear" w:color="auto" w:fill="EBEBEB"/>
            <w:hideMark/>
          </w:tcPr>
          <w:p w14:paraId="44D80965" w14:textId="77777777" w:rsidR="00C37351" w:rsidRPr="005C2EDF" w:rsidRDefault="00C37351" w:rsidP="00C37351">
            <w:pPr>
              <w:jc w:val="center"/>
              <w:rPr>
                <w:rFonts w:ascii="Arial" w:hAnsi="Arial" w:cs="Arial"/>
                <w:sz w:val="18"/>
                <w:szCs w:val="18"/>
                <w:lang w:val="en-AU" w:eastAsia="en-AU"/>
              </w:rPr>
            </w:pPr>
            <w:r w:rsidRPr="005C2EDF">
              <w:rPr>
                <w:rFonts w:ascii="Arial" w:hAnsi="Arial" w:cs="Arial"/>
                <w:sz w:val="18"/>
                <w:szCs w:val="18"/>
                <w:lang w:val="en-AU" w:eastAsia="en-AU"/>
              </w:rPr>
              <w:t>$m</w:t>
            </w:r>
          </w:p>
        </w:tc>
        <w:tc>
          <w:tcPr>
            <w:tcW w:w="1313" w:type="dxa"/>
            <w:tcBorders>
              <w:top w:val="nil"/>
              <w:left w:val="nil"/>
              <w:right w:val="nil"/>
            </w:tcBorders>
            <w:shd w:val="clear" w:color="auto" w:fill="EBEBEB"/>
            <w:hideMark/>
          </w:tcPr>
          <w:p w14:paraId="2EED51A4" w14:textId="77777777" w:rsidR="00C37351" w:rsidRPr="005C2EDF" w:rsidRDefault="00C37351" w:rsidP="00C37351">
            <w:pPr>
              <w:jc w:val="center"/>
              <w:rPr>
                <w:rFonts w:ascii="Arial" w:hAnsi="Arial" w:cs="Arial"/>
                <w:sz w:val="18"/>
                <w:szCs w:val="18"/>
                <w:lang w:val="en-AU" w:eastAsia="en-AU"/>
              </w:rPr>
            </w:pPr>
            <w:r w:rsidRPr="005C2EDF">
              <w:rPr>
                <w:rFonts w:ascii="Arial" w:hAnsi="Arial" w:cs="Arial"/>
                <w:sz w:val="18"/>
                <w:szCs w:val="18"/>
                <w:lang w:val="en-AU" w:eastAsia="en-AU"/>
              </w:rPr>
              <w:t>$m</w:t>
            </w:r>
          </w:p>
        </w:tc>
        <w:tc>
          <w:tcPr>
            <w:tcW w:w="1257" w:type="dxa"/>
            <w:tcBorders>
              <w:top w:val="nil"/>
              <w:left w:val="nil"/>
              <w:right w:val="nil"/>
            </w:tcBorders>
            <w:shd w:val="clear" w:color="auto" w:fill="EBEBEB"/>
            <w:hideMark/>
          </w:tcPr>
          <w:p w14:paraId="6161D445" w14:textId="77777777" w:rsidR="00C37351" w:rsidRPr="005C2EDF" w:rsidRDefault="00C37351" w:rsidP="00C37351">
            <w:pPr>
              <w:jc w:val="center"/>
              <w:rPr>
                <w:rFonts w:ascii="Arial" w:hAnsi="Arial" w:cs="Arial"/>
                <w:sz w:val="18"/>
                <w:szCs w:val="18"/>
                <w:lang w:val="en-AU" w:eastAsia="en-AU"/>
              </w:rPr>
            </w:pPr>
            <w:r w:rsidRPr="005C2EDF">
              <w:rPr>
                <w:rFonts w:ascii="Arial" w:hAnsi="Arial" w:cs="Arial"/>
                <w:sz w:val="18"/>
                <w:szCs w:val="18"/>
                <w:lang w:val="en-AU" w:eastAsia="en-AU"/>
              </w:rPr>
              <w:t>$m</w:t>
            </w:r>
          </w:p>
        </w:tc>
        <w:tc>
          <w:tcPr>
            <w:tcW w:w="1257" w:type="dxa"/>
            <w:tcBorders>
              <w:top w:val="nil"/>
              <w:left w:val="nil"/>
              <w:right w:val="nil"/>
            </w:tcBorders>
            <w:shd w:val="clear" w:color="auto" w:fill="EBEBEB"/>
            <w:hideMark/>
          </w:tcPr>
          <w:p w14:paraId="01195727" w14:textId="77777777" w:rsidR="00C37351" w:rsidRPr="005C2EDF" w:rsidRDefault="00C37351" w:rsidP="00C37351">
            <w:pPr>
              <w:jc w:val="center"/>
              <w:rPr>
                <w:rFonts w:ascii="Arial" w:hAnsi="Arial" w:cs="Arial"/>
                <w:sz w:val="18"/>
                <w:szCs w:val="18"/>
                <w:lang w:val="en-AU" w:eastAsia="en-AU"/>
              </w:rPr>
            </w:pPr>
            <w:r w:rsidRPr="005C2EDF">
              <w:rPr>
                <w:rFonts w:ascii="Arial" w:hAnsi="Arial" w:cs="Arial"/>
                <w:sz w:val="18"/>
                <w:szCs w:val="18"/>
                <w:lang w:val="en-AU" w:eastAsia="en-AU"/>
              </w:rPr>
              <w:t>$m</w:t>
            </w:r>
          </w:p>
        </w:tc>
      </w:tr>
      <w:tr w:rsidR="00320052" w:rsidRPr="00320052" w14:paraId="267150D4" w14:textId="77777777" w:rsidTr="00090EF0">
        <w:trPr>
          <w:trHeight w:val="363"/>
        </w:trPr>
        <w:tc>
          <w:tcPr>
            <w:tcW w:w="3356" w:type="dxa"/>
            <w:gridSpan w:val="2"/>
            <w:tcBorders>
              <w:top w:val="single" w:sz="4" w:space="0" w:color="auto"/>
              <w:left w:val="nil"/>
              <w:bottom w:val="single" w:sz="4" w:space="0" w:color="auto"/>
              <w:right w:val="nil"/>
            </w:tcBorders>
            <w:shd w:val="clear" w:color="auto" w:fill="auto"/>
            <w:noWrap/>
            <w:vAlign w:val="center"/>
            <w:hideMark/>
          </w:tcPr>
          <w:p w14:paraId="2B796711" w14:textId="31AB29AD" w:rsidR="00C37351" w:rsidRPr="008C76BB" w:rsidRDefault="00C37351" w:rsidP="005C2EDF">
            <w:pPr>
              <w:ind w:right="-154"/>
              <w:rPr>
                <w:rFonts w:ascii="Arial" w:hAnsi="Arial" w:cs="Arial"/>
                <w:b/>
                <w:bCs/>
                <w:sz w:val="18"/>
                <w:szCs w:val="18"/>
                <w:lang w:val="en-AU" w:eastAsia="en-AU"/>
              </w:rPr>
            </w:pPr>
            <w:r w:rsidRPr="008C76BB">
              <w:rPr>
                <w:rFonts w:ascii="Arial" w:hAnsi="Arial" w:cs="Arial"/>
                <w:b/>
                <w:bCs/>
                <w:sz w:val="18"/>
                <w:szCs w:val="18"/>
                <w:lang w:val="en-AU" w:eastAsia="en-AU"/>
              </w:rPr>
              <w:t xml:space="preserve">Capital </w:t>
            </w:r>
            <w:r w:rsidR="002121B2" w:rsidRPr="008C76BB">
              <w:rPr>
                <w:rFonts w:ascii="Arial" w:hAnsi="Arial" w:cs="Arial"/>
                <w:b/>
                <w:bCs/>
                <w:sz w:val="18"/>
                <w:szCs w:val="18"/>
                <w:lang w:val="en-AU" w:eastAsia="en-AU"/>
              </w:rPr>
              <w:t>–</w:t>
            </w:r>
            <w:r w:rsidRPr="008C76BB">
              <w:rPr>
                <w:rFonts w:ascii="Arial" w:hAnsi="Arial" w:cs="Arial"/>
                <w:b/>
                <w:bCs/>
                <w:sz w:val="18"/>
                <w:szCs w:val="18"/>
                <w:lang w:val="en-AU" w:eastAsia="en-AU"/>
              </w:rPr>
              <w:t xml:space="preserve"> </w:t>
            </w:r>
            <w:r w:rsidR="0049728B">
              <w:rPr>
                <w:rFonts w:ascii="Arial" w:hAnsi="Arial" w:cs="Arial"/>
                <w:b/>
                <w:bCs/>
                <w:sz w:val="18"/>
                <w:szCs w:val="18"/>
                <w:lang w:val="en-AU" w:eastAsia="en-AU"/>
              </w:rPr>
              <w:t>2023 Pre-</w:t>
            </w:r>
            <w:r w:rsidR="00AC1695">
              <w:rPr>
                <w:rFonts w:ascii="Arial" w:hAnsi="Arial" w:cs="Arial"/>
                <w:b/>
                <w:bCs/>
                <w:sz w:val="18"/>
                <w:szCs w:val="18"/>
                <w:lang w:val="en-AU" w:eastAsia="en-AU"/>
              </w:rPr>
              <w:t>e</w:t>
            </w:r>
            <w:r w:rsidR="0049728B">
              <w:rPr>
                <w:rFonts w:ascii="Arial" w:hAnsi="Arial" w:cs="Arial"/>
                <w:b/>
                <w:bCs/>
                <w:sz w:val="18"/>
                <w:szCs w:val="18"/>
                <w:lang w:val="en-AU" w:eastAsia="en-AU"/>
              </w:rPr>
              <w:t>lection Budget Update</w:t>
            </w:r>
          </w:p>
        </w:tc>
        <w:tc>
          <w:tcPr>
            <w:tcW w:w="1322" w:type="dxa"/>
            <w:tcBorders>
              <w:top w:val="single" w:sz="4" w:space="0" w:color="auto"/>
              <w:left w:val="nil"/>
              <w:bottom w:val="single" w:sz="4" w:space="0" w:color="auto"/>
              <w:right w:val="nil"/>
            </w:tcBorders>
            <w:shd w:val="clear" w:color="auto" w:fill="auto"/>
            <w:noWrap/>
            <w:vAlign w:val="center"/>
            <w:hideMark/>
          </w:tcPr>
          <w:p w14:paraId="6B73BC42" w14:textId="10FAD4DA" w:rsidR="00C37351" w:rsidRPr="008C76BB" w:rsidRDefault="00E41DB8" w:rsidP="008269A5">
            <w:pPr>
              <w:ind w:right="57"/>
              <w:jc w:val="right"/>
              <w:rPr>
                <w:rFonts w:ascii="Arial" w:hAnsi="Arial" w:cs="Arial"/>
                <w:b/>
                <w:sz w:val="18"/>
                <w:szCs w:val="18"/>
                <w:lang w:val="en-AU" w:eastAsia="en-AU"/>
              </w:rPr>
            </w:pPr>
            <w:r>
              <w:rPr>
                <w:rFonts w:ascii="Arial" w:hAnsi="Arial" w:cs="Arial"/>
                <w:b/>
                <w:sz w:val="18"/>
                <w:szCs w:val="18"/>
                <w:lang w:val="en-AU" w:eastAsia="en-AU"/>
              </w:rPr>
              <w:t>29,795</w:t>
            </w:r>
          </w:p>
        </w:tc>
        <w:tc>
          <w:tcPr>
            <w:tcW w:w="1134" w:type="dxa"/>
            <w:tcBorders>
              <w:top w:val="single" w:sz="4" w:space="0" w:color="auto"/>
              <w:left w:val="nil"/>
              <w:bottom w:val="single" w:sz="4" w:space="0" w:color="auto"/>
              <w:right w:val="nil"/>
            </w:tcBorders>
            <w:shd w:val="pct5" w:color="auto" w:fill="auto"/>
            <w:noWrap/>
            <w:vAlign w:val="center"/>
            <w:hideMark/>
          </w:tcPr>
          <w:p w14:paraId="520A1BF3" w14:textId="5BFF4BDA" w:rsidR="00C37351" w:rsidRPr="008C76BB" w:rsidRDefault="00E41DB8" w:rsidP="008269A5">
            <w:pPr>
              <w:ind w:right="57"/>
              <w:jc w:val="right"/>
              <w:rPr>
                <w:rFonts w:ascii="Arial" w:hAnsi="Arial" w:cs="Arial"/>
                <w:b/>
                <w:sz w:val="18"/>
                <w:szCs w:val="18"/>
                <w:lang w:val="en-AU" w:eastAsia="en-AU"/>
              </w:rPr>
            </w:pPr>
            <w:r>
              <w:rPr>
                <w:rFonts w:ascii="Arial" w:hAnsi="Arial" w:cs="Arial"/>
                <w:b/>
                <w:sz w:val="18"/>
                <w:szCs w:val="18"/>
                <w:lang w:val="en-AU" w:eastAsia="en-AU"/>
              </w:rPr>
              <w:t>29,858</w:t>
            </w:r>
          </w:p>
        </w:tc>
        <w:tc>
          <w:tcPr>
            <w:tcW w:w="1313" w:type="dxa"/>
            <w:tcBorders>
              <w:top w:val="single" w:sz="4" w:space="0" w:color="auto"/>
              <w:left w:val="nil"/>
              <w:bottom w:val="single" w:sz="4" w:space="0" w:color="auto"/>
              <w:right w:val="nil"/>
            </w:tcBorders>
            <w:shd w:val="pct5" w:color="auto" w:fill="auto"/>
            <w:noWrap/>
            <w:vAlign w:val="center"/>
            <w:hideMark/>
          </w:tcPr>
          <w:p w14:paraId="68DF0960" w14:textId="27DC616B" w:rsidR="00C37351" w:rsidRPr="008C76BB" w:rsidRDefault="006A3BE7" w:rsidP="008269A5">
            <w:pPr>
              <w:ind w:right="57"/>
              <w:jc w:val="right"/>
              <w:rPr>
                <w:rFonts w:ascii="Arial" w:hAnsi="Arial" w:cs="Arial"/>
                <w:b/>
                <w:sz w:val="18"/>
                <w:szCs w:val="18"/>
                <w:lang w:val="en-AU" w:eastAsia="en-AU"/>
              </w:rPr>
            </w:pPr>
            <w:r>
              <w:rPr>
                <w:rFonts w:ascii="Arial" w:hAnsi="Arial" w:cs="Arial"/>
                <w:b/>
                <w:sz w:val="18"/>
                <w:szCs w:val="18"/>
                <w:lang w:val="en-AU" w:eastAsia="en-AU"/>
              </w:rPr>
              <w:t>29,875</w:t>
            </w:r>
          </w:p>
        </w:tc>
        <w:tc>
          <w:tcPr>
            <w:tcW w:w="1257" w:type="dxa"/>
            <w:tcBorders>
              <w:top w:val="single" w:sz="4" w:space="0" w:color="auto"/>
              <w:left w:val="nil"/>
              <w:bottom w:val="single" w:sz="4" w:space="0" w:color="auto"/>
              <w:right w:val="nil"/>
            </w:tcBorders>
            <w:shd w:val="pct5" w:color="auto" w:fill="auto"/>
            <w:noWrap/>
            <w:vAlign w:val="center"/>
            <w:hideMark/>
          </w:tcPr>
          <w:p w14:paraId="4F778862" w14:textId="64E31F03" w:rsidR="00C37351" w:rsidRPr="008C76BB" w:rsidRDefault="006A3BE7" w:rsidP="008269A5">
            <w:pPr>
              <w:ind w:right="57"/>
              <w:jc w:val="right"/>
              <w:rPr>
                <w:rFonts w:ascii="Arial" w:hAnsi="Arial" w:cs="Arial"/>
                <w:b/>
                <w:sz w:val="18"/>
                <w:szCs w:val="18"/>
                <w:lang w:val="en-AU" w:eastAsia="en-AU"/>
              </w:rPr>
            </w:pPr>
            <w:r>
              <w:rPr>
                <w:rFonts w:ascii="Arial" w:hAnsi="Arial" w:cs="Arial"/>
                <w:b/>
                <w:sz w:val="18"/>
                <w:szCs w:val="18"/>
                <w:lang w:val="en-AU" w:eastAsia="en-AU"/>
              </w:rPr>
              <w:t>27,390</w:t>
            </w:r>
          </w:p>
        </w:tc>
        <w:tc>
          <w:tcPr>
            <w:tcW w:w="1257" w:type="dxa"/>
            <w:tcBorders>
              <w:top w:val="single" w:sz="4" w:space="0" w:color="auto"/>
              <w:left w:val="nil"/>
              <w:bottom w:val="single" w:sz="4" w:space="0" w:color="auto"/>
              <w:right w:val="nil"/>
            </w:tcBorders>
            <w:shd w:val="pct5" w:color="auto" w:fill="auto"/>
            <w:noWrap/>
            <w:vAlign w:val="center"/>
            <w:hideMark/>
          </w:tcPr>
          <w:p w14:paraId="37B7EFA5" w14:textId="794617D8" w:rsidR="00C37351" w:rsidRPr="008C76BB" w:rsidRDefault="005E2360" w:rsidP="008269A5">
            <w:pPr>
              <w:ind w:right="57"/>
              <w:jc w:val="right"/>
              <w:rPr>
                <w:rFonts w:ascii="Arial" w:hAnsi="Arial" w:cs="Arial"/>
                <w:b/>
                <w:sz w:val="18"/>
                <w:szCs w:val="18"/>
                <w:lang w:val="en-AU" w:eastAsia="en-AU"/>
              </w:rPr>
            </w:pPr>
            <w:r w:rsidRPr="008C76BB">
              <w:rPr>
                <w:rFonts w:ascii="Arial" w:hAnsi="Arial" w:cs="Arial"/>
                <w:b/>
                <w:sz w:val="18"/>
                <w:szCs w:val="18"/>
                <w:lang w:val="en-AU" w:eastAsia="en-AU"/>
              </w:rPr>
              <w:t>N/A</w:t>
            </w:r>
          </w:p>
        </w:tc>
      </w:tr>
      <w:tr w:rsidR="00C37351" w:rsidRPr="00C37351" w14:paraId="75894724" w14:textId="77777777" w:rsidTr="00090EF0">
        <w:trPr>
          <w:trHeight w:val="363"/>
        </w:trPr>
        <w:tc>
          <w:tcPr>
            <w:tcW w:w="3356" w:type="dxa"/>
            <w:gridSpan w:val="2"/>
            <w:tcBorders>
              <w:top w:val="nil"/>
              <w:left w:val="nil"/>
              <w:bottom w:val="nil"/>
              <w:right w:val="nil"/>
            </w:tcBorders>
            <w:shd w:val="clear" w:color="auto" w:fill="auto"/>
            <w:noWrap/>
            <w:vAlign w:val="center"/>
            <w:hideMark/>
          </w:tcPr>
          <w:p w14:paraId="573F6412" w14:textId="03D890E5" w:rsidR="00C37351" w:rsidRPr="00B9773E" w:rsidRDefault="00C71B7E" w:rsidP="008269A5">
            <w:pPr>
              <w:ind w:right="57"/>
              <w:rPr>
                <w:rFonts w:ascii="Arial" w:hAnsi="Arial" w:cs="Arial"/>
                <w:bCs/>
                <w:sz w:val="18"/>
                <w:szCs w:val="18"/>
                <w:lang w:val="en-AU" w:eastAsia="en-AU"/>
              </w:rPr>
            </w:pPr>
            <w:r>
              <w:rPr>
                <w:rFonts w:ascii="Arial" w:hAnsi="Arial" w:cs="Arial"/>
                <w:bCs/>
                <w:sz w:val="18"/>
                <w:szCs w:val="18"/>
                <w:lang w:val="en-AU" w:eastAsia="en-AU"/>
              </w:rPr>
              <w:t>Variations since 2023 Pre-election Budget Update</w:t>
            </w:r>
          </w:p>
        </w:tc>
        <w:tc>
          <w:tcPr>
            <w:tcW w:w="1322" w:type="dxa"/>
            <w:tcBorders>
              <w:top w:val="nil"/>
              <w:left w:val="nil"/>
              <w:bottom w:val="nil"/>
              <w:right w:val="nil"/>
            </w:tcBorders>
            <w:shd w:val="clear" w:color="auto" w:fill="auto"/>
            <w:noWrap/>
            <w:vAlign w:val="center"/>
            <w:hideMark/>
          </w:tcPr>
          <w:p w14:paraId="35EEEE51" w14:textId="33973543" w:rsidR="00C37351" w:rsidRPr="008C76BB" w:rsidRDefault="00D112EA" w:rsidP="008269A5">
            <w:pPr>
              <w:ind w:right="57"/>
              <w:jc w:val="right"/>
              <w:rPr>
                <w:rFonts w:ascii="Arial" w:hAnsi="Arial" w:cs="Arial"/>
                <w:sz w:val="18"/>
                <w:szCs w:val="18"/>
                <w:lang w:val="en-AU" w:eastAsia="en-AU"/>
              </w:rPr>
            </w:pPr>
            <w:r>
              <w:rPr>
                <w:rFonts w:ascii="Arial" w:hAnsi="Arial" w:cs="Arial"/>
                <w:sz w:val="18"/>
                <w:szCs w:val="18"/>
                <w:lang w:val="en-AU" w:eastAsia="en-AU"/>
              </w:rPr>
              <w:t>(2</w:t>
            </w:r>
            <w:r w:rsidR="00DA7CCF">
              <w:rPr>
                <w:rFonts w:ascii="Arial" w:hAnsi="Arial" w:cs="Arial"/>
                <w:sz w:val="18"/>
                <w:szCs w:val="18"/>
                <w:lang w:val="en-AU" w:eastAsia="en-AU"/>
              </w:rPr>
              <w:t>,453)</w:t>
            </w:r>
          </w:p>
        </w:tc>
        <w:tc>
          <w:tcPr>
            <w:tcW w:w="1134" w:type="dxa"/>
            <w:tcBorders>
              <w:top w:val="nil"/>
              <w:left w:val="nil"/>
              <w:bottom w:val="nil"/>
              <w:right w:val="nil"/>
            </w:tcBorders>
            <w:shd w:val="pct5" w:color="auto" w:fill="auto"/>
            <w:noWrap/>
            <w:vAlign w:val="center"/>
            <w:hideMark/>
          </w:tcPr>
          <w:p w14:paraId="2A3962DB" w14:textId="7B9474DA" w:rsidR="00C37351" w:rsidRPr="008C76BB" w:rsidRDefault="00DA7CCF" w:rsidP="008269A5">
            <w:pPr>
              <w:ind w:right="57"/>
              <w:jc w:val="right"/>
              <w:rPr>
                <w:rFonts w:ascii="Arial" w:hAnsi="Arial" w:cs="Arial"/>
                <w:sz w:val="18"/>
                <w:szCs w:val="18"/>
                <w:lang w:val="en-AU" w:eastAsia="en-AU"/>
              </w:rPr>
            </w:pPr>
            <w:r>
              <w:rPr>
                <w:rFonts w:ascii="Arial" w:hAnsi="Arial" w:cs="Arial"/>
                <w:sz w:val="18"/>
                <w:szCs w:val="18"/>
                <w:lang w:val="en-AU" w:eastAsia="en-AU"/>
              </w:rPr>
              <w:t>8</w:t>
            </w:r>
          </w:p>
        </w:tc>
        <w:tc>
          <w:tcPr>
            <w:tcW w:w="1313" w:type="dxa"/>
            <w:tcBorders>
              <w:top w:val="nil"/>
              <w:left w:val="nil"/>
              <w:bottom w:val="nil"/>
              <w:right w:val="nil"/>
            </w:tcBorders>
            <w:shd w:val="pct5" w:color="auto" w:fill="auto"/>
            <w:noWrap/>
            <w:vAlign w:val="center"/>
            <w:hideMark/>
          </w:tcPr>
          <w:p w14:paraId="769245B2" w14:textId="5A42C1A2" w:rsidR="00C37351" w:rsidRPr="008C76BB" w:rsidRDefault="00F9398C" w:rsidP="008269A5">
            <w:pPr>
              <w:ind w:right="57"/>
              <w:jc w:val="right"/>
              <w:rPr>
                <w:rFonts w:ascii="Arial" w:hAnsi="Arial" w:cs="Arial"/>
                <w:sz w:val="18"/>
                <w:szCs w:val="18"/>
                <w:lang w:val="en-AU" w:eastAsia="en-AU"/>
              </w:rPr>
            </w:pPr>
            <w:r>
              <w:rPr>
                <w:rFonts w:ascii="Arial" w:hAnsi="Arial" w:cs="Arial"/>
                <w:sz w:val="18"/>
                <w:szCs w:val="18"/>
                <w:lang w:val="en-AU" w:eastAsia="en-AU"/>
              </w:rPr>
              <w:t>1,409</w:t>
            </w:r>
          </w:p>
        </w:tc>
        <w:tc>
          <w:tcPr>
            <w:tcW w:w="1257" w:type="dxa"/>
            <w:tcBorders>
              <w:top w:val="nil"/>
              <w:left w:val="nil"/>
              <w:bottom w:val="nil"/>
              <w:right w:val="nil"/>
            </w:tcBorders>
            <w:shd w:val="pct5" w:color="auto" w:fill="auto"/>
            <w:noWrap/>
            <w:vAlign w:val="center"/>
            <w:hideMark/>
          </w:tcPr>
          <w:p w14:paraId="6488AB35" w14:textId="0961819F" w:rsidR="00C37351" w:rsidRPr="008C76BB" w:rsidRDefault="00F9398C" w:rsidP="008269A5">
            <w:pPr>
              <w:ind w:right="57"/>
              <w:jc w:val="right"/>
              <w:rPr>
                <w:rFonts w:ascii="Arial" w:hAnsi="Arial" w:cs="Arial"/>
                <w:sz w:val="18"/>
                <w:szCs w:val="18"/>
                <w:lang w:val="en-AU" w:eastAsia="en-AU"/>
              </w:rPr>
            </w:pPr>
            <w:r>
              <w:rPr>
                <w:rFonts w:ascii="Arial" w:hAnsi="Arial" w:cs="Arial"/>
                <w:sz w:val="18"/>
                <w:szCs w:val="18"/>
                <w:lang w:val="en-AU" w:eastAsia="en-AU"/>
              </w:rPr>
              <w:t>953</w:t>
            </w:r>
          </w:p>
        </w:tc>
        <w:tc>
          <w:tcPr>
            <w:tcW w:w="1257" w:type="dxa"/>
            <w:tcBorders>
              <w:top w:val="nil"/>
              <w:left w:val="nil"/>
              <w:bottom w:val="nil"/>
              <w:right w:val="nil"/>
            </w:tcBorders>
            <w:shd w:val="pct5" w:color="auto" w:fill="auto"/>
            <w:noWrap/>
            <w:vAlign w:val="center"/>
            <w:hideMark/>
          </w:tcPr>
          <w:p w14:paraId="6A1CFFAC" w14:textId="491B6F7A" w:rsidR="00C37351" w:rsidRPr="008C76BB" w:rsidRDefault="00F9398C" w:rsidP="008269A5">
            <w:pPr>
              <w:ind w:right="57"/>
              <w:jc w:val="right"/>
              <w:rPr>
                <w:rFonts w:ascii="Arial" w:hAnsi="Arial" w:cs="Arial"/>
                <w:sz w:val="18"/>
                <w:szCs w:val="18"/>
                <w:lang w:val="en-AU" w:eastAsia="en-AU"/>
              </w:rPr>
            </w:pPr>
            <w:proofErr w:type="spellStart"/>
            <w:proofErr w:type="gramStart"/>
            <w:r>
              <w:rPr>
                <w:rFonts w:ascii="Arial" w:hAnsi="Arial" w:cs="Arial"/>
                <w:sz w:val="18"/>
                <w:szCs w:val="18"/>
                <w:lang w:val="en-AU" w:eastAsia="en-AU"/>
              </w:rPr>
              <w:t>n.a</w:t>
            </w:r>
            <w:proofErr w:type="spellEnd"/>
            <w:proofErr w:type="gramEnd"/>
          </w:p>
        </w:tc>
      </w:tr>
      <w:tr w:rsidR="00320052" w:rsidRPr="00320052" w14:paraId="0BDC072C" w14:textId="77777777" w:rsidTr="00090EF0">
        <w:trPr>
          <w:trHeight w:val="379"/>
        </w:trPr>
        <w:tc>
          <w:tcPr>
            <w:tcW w:w="3356" w:type="dxa"/>
            <w:gridSpan w:val="2"/>
            <w:tcBorders>
              <w:top w:val="single" w:sz="4" w:space="0" w:color="auto"/>
              <w:left w:val="nil"/>
              <w:bottom w:val="single" w:sz="4" w:space="0" w:color="auto"/>
              <w:right w:val="nil"/>
            </w:tcBorders>
            <w:shd w:val="clear" w:color="auto" w:fill="auto"/>
            <w:noWrap/>
            <w:vAlign w:val="center"/>
            <w:hideMark/>
          </w:tcPr>
          <w:p w14:paraId="512A7F3F" w14:textId="660E08C9" w:rsidR="00C37351" w:rsidRPr="008C76BB" w:rsidRDefault="00C37351" w:rsidP="00C37351">
            <w:pPr>
              <w:rPr>
                <w:rFonts w:ascii="Arial" w:hAnsi="Arial" w:cs="Arial"/>
                <w:b/>
                <w:bCs/>
                <w:sz w:val="18"/>
                <w:szCs w:val="18"/>
                <w:lang w:val="en-AU" w:eastAsia="en-AU"/>
              </w:rPr>
            </w:pPr>
            <w:r w:rsidRPr="008C76BB">
              <w:rPr>
                <w:rFonts w:ascii="Arial" w:hAnsi="Arial" w:cs="Arial"/>
                <w:b/>
                <w:bCs/>
                <w:sz w:val="18"/>
                <w:szCs w:val="18"/>
                <w:lang w:val="en-AU" w:eastAsia="en-AU"/>
              </w:rPr>
              <w:t xml:space="preserve">Capital </w:t>
            </w:r>
            <w:r w:rsidR="002121B2" w:rsidRPr="008C76BB">
              <w:rPr>
                <w:rFonts w:ascii="Arial" w:hAnsi="Arial" w:cs="Arial"/>
                <w:b/>
                <w:bCs/>
                <w:sz w:val="18"/>
                <w:szCs w:val="18"/>
                <w:lang w:val="en-AU" w:eastAsia="en-AU"/>
              </w:rPr>
              <w:t>–</w:t>
            </w:r>
            <w:r w:rsidRPr="008C76BB">
              <w:rPr>
                <w:rFonts w:ascii="Arial" w:hAnsi="Arial" w:cs="Arial"/>
                <w:b/>
                <w:bCs/>
                <w:sz w:val="18"/>
                <w:szCs w:val="18"/>
                <w:lang w:val="en-AU" w:eastAsia="en-AU"/>
              </w:rPr>
              <w:t xml:space="preserve"> </w:t>
            </w:r>
            <w:r w:rsidR="00BF7BB4">
              <w:rPr>
                <w:rFonts w:ascii="Arial" w:hAnsi="Arial" w:cs="Arial"/>
                <w:b/>
                <w:bCs/>
                <w:sz w:val="18"/>
                <w:szCs w:val="18"/>
                <w:lang w:val="en-AU" w:eastAsia="en-AU"/>
              </w:rPr>
              <w:t>2023-24</w:t>
            </w:r>
            <w:r w:rsidRPr="008C76BB">
              <w:rPr>
                <w:rFonts w:ascii="Arial" w:hAnsi="Arial" w:cs="Arial"/>
                <w:b/>
                <w:bCs/>
                <w:sz w:val="18"/>
                <w:szCs w:val="18"/>
                <w:lang w:val="en-AU" w:eastAsia="en-AU"/>
              </w:rPr>
              <w:t xml:space="preserve"> Budget</w:t>
            </w:r>
          </w:p>
        </w:tc>
        <w:tc>
          <w:tcPr>
            <w:tcW w:w="1322" w:type="dxa"/>
            <w:tcBorders>
              <w:top w:val="single" w:sz="4" w:space="0" w:color="auto"/>
              <w:left w:val="nil"/>
              <w:bottom w:val="single" w:sz="4" w:space="0" w:color="auto"/>
              <w:right w:val="nil"/>
            </w:tcBorders>
            <w:shd w:val="clear" w:color="auto" w:fill="auto"/>
            <w:noWrap/>
            <w:vAlign w:val="center"/>
            <w:hideMark/>
          </w:tcPr>
          <w:p w14:paraId="666085C7" w14:textId="2E024D95" w:rsidR="00C37351" w:rsidRPr="008C76BB" w:rsidRDefault="007F49FA" w:rsidP="008269A5">
            <w:pPr>
              <w:ind w:right="57"/>
              <w:jc w:val="right"/>
              <w:rPr>
                <w:rFonts w:ascii="Arial" w:hAnsi="Arial" w:cs="Arial"/>
                <w:b/>
                <w:sz w:val="18"/>
                <w:szCs w:val="18"/>
                <w:lang w:val="en-AU" w:eastAsia="en-AU"/>
              </w:rPr>
            </w:pPr>
            <w:r>
              <w:rPr>
                <w:rFonts w:ascii="Arial" w:hAnsi="Arial" w:cs="Arial"/>
                <w:b/>
                <w:sz w:val="18"/>
                <w:szCs w:val="18"/>
                <w:lang w:val="en-AU" w:eastAsia="en-AU"/>
              </w:rPr>
              <w:t>27,341</w:t>
            </w:r>
          </w:p>
        </w:tc>
        <w:tc>
          <w:tcPr>
            <w:tcW w:w="1134" w:type="dxa"/>
            <w:tcBorders>
              <w:top w:val="single" w:sz="4" w:space="0" w:color="auto"/>
              <w:left w:val="nil"/>
              <w:bottom w:val="single" w:sz="4" w:space="0" w:color="auto"/>
              <w:right w:val="nil"/>
            </w:tcBorders>
            <w:shd w:val="pct5" w:color="auto" w:fill="auto"/>
            <w:noWrap/>
            <w:vAlign w:val="center"/>
            <w:hideMark/>
          </w:tcPr>
          <w:p w14:paraId="1FF900BB" w14:textId="28F1807E" w:rsidR="00C37351" w:rsidRPr="008C76BB" w:rsidRDefault="00207E0C" w:rsidP="008269A5">
            <w:pPr>
              <w:ind w:right="57"/>
              <w:jc w:val="right"/>
              <w:rPr>
                <w:rFonts w:ascii="Arial" w:hAnsi="Arial" w:cs="Arial"/>
                <w:b/>
                <w:sz w:val="18"/>
                <w:szCs w:val="18"/>
                <w:lang w:val="en-AU" w:eastAsia="en-AU"/>
              </w:rPr>
            </w:pPr>
            <w:r>
              <w:rPr>
                <w:rFonts w:ascii="Arial" w:hAnsi="Arial" w:cs="Arial"/>
                <w:b/>
                <w:sz w:val="18"/>
                <w:szCs w:val="18"/>
                <w:lang w:val="en-AU" w:eastAsia="en-AU"/>
              </w:rPr>
              <w:t>29,865</w:t>
            </w:r>
          </w:p>
        </w:tc>
        <w:tc>
          <w:tcPr>
            <w:tcW w:w="1313" w:type="dxa"/>
            <w:tcBorders>
              <w:top w:val="single" w:sz="4" w:space="0" w:color="auto"/>
              <w:left w:val="nil"/>
              <w:bottom w:val="single" w:sz="4" w:space="0" w:color="auto"/>
              <w:right w:val="nil"/>
            </w:tcBorders>
            <w:shd w:val="pct5" w:color="auto" w:fill="auto"/>
            <w:noWrap/>
            <w:vAlign w:val="center"/>
            <w:hideMark/>
          </w:tcPr>
          <w:p w14:paraId="2E9DCCD1" w14:textId="01225023" w:rsidR="00C37351" w:rsidRPr="008C76BB" w:rsidRDefault="00207E0C" w:rsidP="008269A5">
            <w:pPr>
              <w:ind w:right="57"/>
              <w:jc w:val="right"/>
              <w:rPr>
                <w:rFonts w:ascii="Arial" w:hAnsi="Arial" w:cs="Arial"/>
                <w:b/>
                <w:sz w:val="18"/>
                <w:szCs w:val="18"/>
                <w:lang w:val="en-AU" w:eastAsia="en-AU"/>
              </w:rPr>
            </w:pPr>
            <w:r>
              <w:rPr>
                <w:rFonts w:ascii="Arial" w:hAnsi="Arial" w:cs="Arial"/>
                <w:b/>
                <w:sz w:val="18"/>
                <w:szCs w:val="18"/>
                <w:lang w:val="en-AU" w:eastAsia="en-AU"/>
              </w:rPr>
              <w:t>31,284</w:t>
            </w:r>
          </w:p>
        </w:tc>
        <w:tc>
          <w:tcPr>
            <w:tcW w:w="1257" w:type="dxa"/>
            <w:tcBorders>
              <w:top w:val="single" w:sz="4" w:space="0" w:color="auto"/>
              <w:left w:val="nil"/>
              <w:bottom w:val="single" w:sz="4" w:space="0" w:color="auto"/>
              <w:right w:val="nil"/>
            </w:tcBorders>
            <w:shd w:val="pct5" w:color="auto" w:fill="auto"/>
            <w:noWrap/>
            <w:vAlign w:val="center"/>
            <w:hideMark/>
          </w:tcPr>
          <w:p w14:paraId="76C74151" w14:textId="4C845E05" w:rsidR="00C37351" w:rsidRPr="008C76BB" w:rsidRDefault="00207E0C" w:rsidP="008269A5">
            <w:pPr>
              <w:ind w:right="57"/>
              <w:jc w:val="right"/>
              <w:rPr>
                <w:rFonts w:ascii="Arial" w:hAnsi="Arial" w:cs="Arial"/>
                <w:b/>
                <w:sz w:val="18"/>
                <w:szCs w:val="18"/>
                <w:lang w:val="en-AU" w:eastAsia="en-AU"/>
              </w:rPr>
            </w:pPr>
            <w:r>
              <w:rPr>
                <w:rFonts w:ascii="Arial" w:hAnsi="Arial" w:cs="Arial"/>
                <w:b/>
                <w:sz w:val="18"/>
                <w:szCs w:val="18"/>
                <w:lang w:val="en-AU" w:eastAsia="en-AU"/>
              </w:rPr>
              <w:t>28,342</w:t>
            </w:r>
          </w:p>
        </w:tc>
        <w:tc>
          <w:tcPr>
            <w:tcW w:w="1257" w:type="dxa"/>
            <w:tcBorders>
              <w:top w:val="single" w:sz="4" w:space="0" w:color="auto"/>
              <w:left w:val="nil"/>
              <w:bottom w:val="single" w:sz="4" w:space="0" w:color="auto"/>
              <w:right w:val="nil"/>
            </w:tcBorders>
            <w:shd w:val="pct5" w:color="auto" w:fill="auto"/>
            <w:noWrap/>
            <w:vAlign w:val="center"/>
            <w:hideMark/>
          </w:tcPr>
          <w:p w14:paraId="5521C6FF" w14:textId="534BCF2F" w:rsidR="00C37351" w:rsidRPr="008C76BB" w:rsidRDefault="00C9084F" w:rsidP="008269A5">
            <w:pPr>
              <w:ind w:right="57"/>
              <w:jc w:val="right"/>
              <w:rPr>
                <w:rFonts w:ascii="Arial" w:hAnsi="Arial" w:cs="Arial"/>
                <w:b/>
                <w:sz w:val="18"/>
                <w:szCs w:val="18"/>
                <w:lang w:val="en-AU" w:eastAsia="en-AU"/>
              </w:rPr>
            </w:pPr>
            <w:r>
              <w:rPr>
                <w:rFonts w:ascii="Arial" w:hAnsi="Arial" w:cs="Arial"/>
                <w:b/>
                <w:sz w:val="18"/>
                <w:szCs w:val="18"/>
                <w:lang w:val="en-AU" w:eastAsia="en-AU"/>
              </w:rPr>
              <w:t>27,043</w:t>
            </w:r>
          </w:p>
        </w:tc>
      </w:tr>
    </w:tbl>
    <w:p w14:paraId="3BBBB59E" w14:textId="77777777" w:rsidR="00C37351" w:rsidRPr="00353CA5" w:rsidRDefault="00C37351" w:rsidP="0036689C">
      <w:pPr>
        <w:rPr>
          <w:rFonts w:ascii="Calibri" w:hAnsi="Calibri" w:cs="Calibri"/>
          <w:sz w:val="6"/>
          <w:szCs w:val="6"/>
        </w:rPr>
      </w:pPr>
    </w:p>
    <w:p w14:paraId="3D528DCE" w14:textId="633C8775" w:rsidR="00867996" w:rsidRPr="00FF4594" w:rsidRDefault="005F6F7A" w:rsidP="002027A3">
      <w:pPr>
        <w:pStyle w:val="BP3Heading3"/>
      </w:pPr>
      <w:r w:rsidRPr="00FF4594">
        <w:t>Breakdown of the capital program</w:t>
      </w:r>
    </w:p>
    <w:p w14:paraId="30B8F71E" w14:textId="2D10B4AF" w:rsidR="00EE62FF" w:rsidRDefault="00A33734" w:rsidP="00494BFF">
      <w:pPr>
        <w:pStyle w:val="BP3BodyText"/>
      </w:pPr>
      <w:r w:rsidRPr="00A1397D">
        <w:t>Table 1.</w:t>
      </w:r>
      <w:r w:rsidR="008C03DC">
        <w:t>2</w:t>
      </w:r>
      <w:r w:rsidR="007433B9">
        <w:t xml:space="preserve"> details the breakdown of capital expenditure by</w:t>
      </w:r>
      <w:r w:rsidR="0030762B">
        <w:t xml:space="preserve"> </w:t>
      </w:r>
      <w:r w:rsidR="002925E7">
        <w:t>agency group</w:t>
      </w:r>
      <w:r w:rsidRPr="00A1397D">
        <w:t>.</w:t>
      </w:r>
      <w:r w:rsidR="00A85015" w:rsidRPr="00A1397D">
        <w:t xml:space="preserve"> </w:t>
      </w:r>
      <w:proofErr w:type="gramStart"/>
      <w:r w:rsidR="009D7F58">
        <w:t>The majority of</w:t>
      </w:r>
      <w:proofErr w:type="gramEnd"/>
      <w:r w:rsidR="009D7F58">
        <w:t xml:space="preserve"> the program is comprised of the</w:t>
      </w:r>
      <w:r w:rsidRPr="00A1397D">
        <w:t xml:space="preserve"> </w:t>
      </w:r>
      <w:r w:rsidR="0083156F">
        <w:t>Government’s</w:t>
      </w:r>
      <w:r w:rsidRPr="00A1397D">
        <w:t xml:space="preserve"> investment in </w:t>
      </w:r>
      <w:r w:rsidR="00675264">
        <w:t xml:space="preserve">transport infrastructure, </w:t>
      </w:r>
      <w:r w:rsidR="009D7F58">
        <w:t>which includes large scale</w:t>
      </w:r>
      <w:r w:rsidR="00675264">
        <w:t xml:space="preserve"> projects such as Sydney Metro </w:t>
      </w:r>
      <w:r w:rsidR="00191754">
        <w:t>City and South</w:t>
      </w:r>
      <w:r w:rsidR="00E32E9F">
        <w:t>w</w:t>
      </w:r>
      <w:r w:rsidR="00191754">
        <w:t>est</w:t>
      </w:r>
      <w:r w:rsidR="00264D3A">
        <w:t xml:space="preserve"> and</w:t>
      </w:r>
      <w:r w:rsidR="008F28CA">
        <w:t xml:space="preserve"> </w:t>
      </w:r>
      <w:r w:rsidR="00E95793">
        <w:t xml:space="preserve">the </w:t>
      </w:r>
      <w:r w:rsidR="00675264">
        <w:t xml:space="preserve">Western </w:t>
      </w:r>
      <w:r w:rsidR="00E95793">
        <w:t>Harbour Tunnel</w:t>
      </w:r>
      <w:r w:rsidRPr="00C15E70">
        <w:t>. The</w:t>
      </w:r>
      <w:r w:rsidR="009D7F58">
        <w:t xml:space="preserve"> </w:t>
      </w:r>
      <w:r w:rsidR="00B1447B">
        <w:t>program also includes</w:t>
      </w:r>
      <w:r w:rsidRPr="00C15E70" w:rsidDel="00B1447B">
        <w:t xml:space="preserve"> </w:t>
      </w:r>
      <w:r w:rsidR="00446C0E">
        <w:t xml:space="preserve">a </w:t>
      </w:r>
      <w:r w:rsidR="001422F6" w:rsidRPr="001422F6">
        <w:t>significant</w:t>
      </w:r>
      <w:r w:rsidR="00446C0E" w:rsidRPr="001422F6">
        <w:t xml:space="preserve"> </w:t>
      </w:r>
      <w:r w:rsidR="00AA522C" w:rsidRPr="001422F6">
        <w:t>investment</w:t>
      </w:r>
      <w:r w:rsidR="00E06C32">
        <w:t xml:space="preserve"> in </w:t>
      </w:r>
      <w:r w:rsidR="00A85015" w:rsidRPr="00C15E70">
        <w:t>H</w:t>
      </w:r>
      <w:r w:rsidRPr="00C15E70">
        <w:t xml:space="preserve">ealth and </w:t>
      </w:r>
      <w:r w:rsidR="00A85015" w:rsidRPr="00C15E70">
        <w:t>E</w:t>
      </w:r>
      <w:r w:rsidRPr="00C15E70">
        <w:t xml:space="preserve">ducation </w:t>
      </w:r>
      <w:r w:rsidR="00B1447B">
        <w:t xml:space="preserve">infrastructure </w:t>
      </w:r>
      <w:r w:rsidRPr="00C15E70">
        <w:t xml:space="preserve">over the four years to </w:t>
      </w:r>
      <w:r w:rsidR="0030762B">
        <w:t>2026-27</w:t>
      </w:r>
      <w:r w:rsidR="00343F42">
        <w:t>.</w:t>
      </w:r>
      <w:r w:rsidR="002A6189">
        <w:t xml:space="preserve"> </w:t>
      </w:r>
    </w:p>
    <w:p w14:paraId="64B02D7D" w14:textId="607805EB" w:rsidR="002A6189" w:rsidRDefault="002A6189" w:rsidP="00494BFF">
      <w:pPr>
        <w:pStyle w:val="BP3BodyText"/>
      </w:pPr>
      <w:r>
        <w:t xml:space="preserve">More information on individual agency capital </w:t>
      </w:r>
      <w:r w:rsidR="00E82239">
        <w:t>programs</w:t>
      </w:r>
      <w:r>
        <w:t xml:space="preserve"> is provided </w:t>
      </w:r>
      <w:r w:rsidR="0030762B">
        <w:t>in Chapter 2.</w:t>
      </w:r>
    </w:p>
    <w:p w14:paraId="5133946C" w14:textId="6B6838DD" w:rsidR="009C3790" w:rsidRPr="00135F2A" w:rsidRDefault="00E6054E" w:rsidP="00055511">
      <w:pPr>
        <w:pStyle w:val="BP3TableHeading"/>
      </w:pPr>
      <w:r>
        <w:t>Non-financial public sector</w:t>
      </w:r>
      <w:r w:rsidR="00F733B9" w:rsidRPr="00135F2A">
        <w:t xml:space="preserve"> </w:t>
      </w:r>
      <w:r w:rsidR="00A33734" w:rsidRPr="00443719">
        <w:t>capital</w:t>
      </w:r>
      <w:r w:rsidR="00A33734" w:rsidRPr="00135F2A">
        <w:t xml:space="preserve"> spending by </w:t>
      </w:r>
      <w:r w:rsidR="0066015B">
        <w:t>agency group</w:t>
      </w:r>
      <w:r w:rsidR="00CC4B6D" w:rsidRPr="00135F2A">
        <w:rPr>
          <w:vertAlign w:val="superscript"/>
        </w:rPr>
        <w:t>(a)</w:t>
      </w:r>
      <w:r w:rsidR="00D87A07" w:rsidRPr="00135F2A">
        <w:rPr>
          <w:vertAlign w:val="superscript"/>
        </w:rPr>
        <w:t xml:space="preserve"> </w:t>
      </w:r>
    </w:p>
    <w:tbl>
      <w:tblPr>
        <w:tblW w:w="9639" w:type="dxa"/>
        <w:tblLayout w:type="fixed"/>
        <w:tblLook w:val="04A0" w:firstRow="1" w:lastRow="0" w:firstColumn="1" w:lastColumn="0" w:noHBand="0" w:noVBand="1"/>
        <w:tblCaption w:val="Table 1.2: Non-financial public sector capital spending by agency group(a) "/>
        <w:tblDescription w:val="Table 1.2: Non-financial public sector capital spending by agency group(a) "/>
      </w:tblPr>
      <w:tblGrid>
        <w:gridCol w:w="3106"/>
        <w:gridCol w:w="1147"/>
        <w:gridCol w:w="1055"/>
        <w:gridCol w:w="37"/>
        <w:gridCol w:w="1096"/>
        <w:gridCol w:w="24"/>
        <w:gridCol w:w="1111"/>
        <w:gridCol w:w="9"/>
        <w:gridCol w:w="1120"/>
        <w:gridCol w:w="934"/>
      </w:tblGrid>
      <w:tr w:rsidR="004D0A57" w:rsidRPr="00FC0F4B" w14:paraId="78B6568A" w14:textId="77777777" w:rsidTr="005C2EDF">
        <w:trPr>
          <w:trHeight w:val="283"/>
        </w:trPr>
        <w:tc>
          <w:tcPr>
            <w:tcW w:w="3106" w:type="dxa"/>
            <w:tcBorders>
              <w:top w:val="nil"/>
              <w:left w:val="nil"/>
              <w:bottom w:val="nil"/>
              <w:right w:val="nil"/>
            </w:tcBorders>
            <w:shd w:val="clear" w:color="auto" w:fill="EBEBEB"/>
            <w:noWrap/>
            <w:vAlign w:val="bottom"/>
            <w:hideMark/>
          </w:tcPr>
          <w:p w14:paraId="08547A4C" w14:textId="77777777" w:rsidR="004D0A57" w:rsidRPr="009175A7" w:rsidRDefault="004D0A57" w:rsidP="008C5D92">
            <w:pPr>
              <w:keepNext/>
              <w:keepLines/>
              <w:jc w:val="center"/>
              <w:rPr>
                <w:rFonts w:ascii="Arial" w:hAnsi="Arial" w:cs="Arial"/>
                <w:b/>
                <w:bCs/>
                <w:sz w:val="18"/>
                <w:szCs w:val="18"/>
                <w:lang w:val="en-AU" w:eastAsia="en-AU"/>
              </w:rPr>
            </w:pPr>
            <w:r w:rsidRPr="009175A7">
              <w:rPr>
                <w:rFonts w:ascii="Arial" w:hAnsi="Arial" w:cs="Arial"/>
                <w:b/>
                <w:bCs/>
                <w:sz w:val="18"/>
                <w:szCs w:val="18"/>
                <w:lang w:val="en-AU" w:eastAsia="en-AU"/>
              </w:rPr>
              <w:t> </w:t>
            </w:r>
          </w:p>
        </w:tc>
        <w:tc>
          <w:tcPr>
            <w:tcW w:w="1147" w:type="dxa"/>
            <w:tcBorders>
              <w:top w:val="nil"/>
              <w:left w:val="nil"/>
              <w:bottom w:val="nil"/>
              <w:right w:val="nil"/>
            </w:tcBorders>
            <w:shd w:val="clear" w:color="auto" w:fill="EBEBEB"/>
            <w:noWrap/>
            <w:vAlign w:val="bottom"/>
            <w:hideMark/>
          </w:tcPr>
          <w:p w14:paraId="2BE45C0D" w14:textId="7BC6B61D" w:rsidR="004D0A57" w:rsidRPr="005C2EDF" w:rsidRDefault="00D4393A" w:rsidP="001B0206">
            <w:pPr>
              <w:keepNext/>
              <w:keepLines/>
              <w:jc w:val="center"/>
              <w:rPr>
                <w:rFonts w:ascii="Arial" w:hAnsi="Arial" w:cs="Arial"/>
                <w:sz w:val="18"/>
                <w:szCs w:val="18"/>
                <w:lang w:val="en-AU" w:eastAsia="en-AU"/>
              </w:rPr>
            </w:pPr>
            <w:r w:rsidRPr="005C2EDF">
              <w:rPr>
                <w:rFonts w:ascii="Arial" w:hAnsi="Arial" w:cs="Arial"/>
                <w:sz w:val="18"/>
                <w:szCs w:val="18"/>
                <w:lang w:val="en-AU" w:eastAsia="en-AU"/>
              </w:rPr>
              <w:t>2023-24</w:t>
            </w:r>
          </w:p>
        </w:tc>
        <w:tc>
          <w:tcPr>
            <w:tcW w:w="1055" w:type="dxa"/>
            <w:tcBorders>
              <w:top w:val="nil"/>
              <w:left w:val="nil"/>
              <w:bottom w:val="nil"/>
              <w:right w:val="nil"/>
            </w:tcBorders>
            <w:shd w:val="clear" w:color="auto" w:fill="EBEBEB"/>
            <w:noWrap/>
            <w:vAlign w:val="bottom"/>
            <w:hideMark/>
          </w:tcPr>
          <w:p w14:paraId="72AC192A" w14:textId="62CF71F5" w:rsidR="004D0A57" w:rsidRPr="005C2EDF" w:rsidRDefault="00D4393A" w:rsidP="001B0206">
            <w:pPr>
              <w:keepNext/>
              <w:keepLines/>
              <w:jc w:val="center"/>
              <w:rPr>
                <w:rFonts w:ascii="Arial" w:hAnsi="Arial" w:cs="Arial"/>
                <w:sz w:val="18"/>
                <w:szCs w:val="18"/>
                <w:lang w:val="en-AU" w:eastAsia="en-AU"/>
              </w:rPr>
            </w:pPr>
            <w:r w:rsidRPr="005C2EDF">
              <w:rPr>
                <w:rFonts w:ascii="Arial" w:hAnsi="Arial" w:cs="Arial"/>
                <w:sz w:val="18"/>
                <w:szCs w:val="18"/>
                <w:lang w:val="en-AU" w:eastAsia="en-AU"/>
              </w:rPr>
              <w:t>2024-25</w:t>
            </w:r>
          </w:p>
        </w:tc>
        <w:tc>
          <w:tcPr>
            <w:tcW w:w="1133" w:type="dxa"/>
            <w:gridSpan w:val="2"/>
            <w:tcBorders>
              <w:top w:val="nil"/>
              <w:left w:val="nil"/>
              <w:bottom w:val="nil"/>
              <w:right w:val="nil"/>
            </w:tcBorders>
            <w:shd w:val="clear" w:color="auto" w:fill="EBEBEB"/>
            <w:noWrap/>
            <w:vAlign w:val="bottom"/>
            <w:hideMark/>
          </w:tcPr>
          <w:p w14:paraId="4F4E542C" w14:textId="1F672DD6" w:rsidR="004D0A57" w:rsidRPr="005C2EDF" w:rsidRDefault="00D4393A" w:rsidP="001B0206">
            <w:pPr>
              <w:keepNext/>
              <w:keepLines/>
              <w:jc w:val="center"/>
              <w:rPr>
                <w:rFonts w:ascii="Arial" w:hAnsi="Arial" w:cs="Arial"/>
                <w:sz w:val="18"/>
                <w:szCs w:val="18"/>
                <w:lang w:val="en-AU" w:eastAsia="en-AU"/>
              </w:rPr>
            </w:pPr>
            <w:r w:rsidRPr="005C2EDF">
              <w:rPr>
                <w:rFonts w:ascii="Arial" w:hAnsi="Arial" w:cs="Arial"/>
                <w:sz w:val="18"/>
                <w:szCs w:val="18"/>
                <w:lang w:val="en-AU" w:eastAsia="en-AU"/>
              </w:rPr>
              <w:t>2025-26</w:t>
            </w:r>
          </w:p>
        </w:tc>
        <w:tc>
          <w:tcPr>
            <w:tcW w:w="1135" w:type="dxa"/>
            <w:gridSpan w:val="2"/>
            <w:tcBorders>
              <w:top w:val="nil"/>
              <w:left w:val="nil"/>
              <w:bottom w:val="nil"/>
              <w:right w:val="nil"/>
            </w:tcBorders>
            <w:shd w:val="clear" w:color="auto" w:fill="EBEBEB"/>
            <w:noWrap/>
            <w:vAlign w:val="bottom"/>
            <w:hideMark/>
          </w:tcPr>
          <w:p w14:paraId="0AFFF5D4" w14:textId="0B166F50" w:rsidR="004D0A57" w:rsidRPr="005C2EDF" w:rsidRDefault="00D4393A" w:rsidP="001B0206">
            <w:pPr>
              <w:keepNext/>
              <w:keepLines/>
              <w:jc w:val="center"/>
              <w:rPr>
                <w:rFonts w:ascii="Arial" w:hAnsi="Arial" w:cs="Arial"/>
                <w:sz w:val="18"/>
                <w:szCs w:val="18"/>
                <w:lang w:val="en-AU" w:eastAsia="en-AU"/>
              </w:rPr>
            </w:pPr>
            <w:r w:rsidRPr="005C2EDF">
              <w:rPr>
                <w:rFonts w:ascii="Arial" w:hAnsi="Arial" w:cs="Arial"/>
                <w:sz w:val="18"/>
                <w:szCs w:val="18"/>
                <w:lang w:val="en-AU" w:eastAsia="en-AU"/>
              </w:rPr>
              <w:t>202</w:t>
            </w:r>
            <w:r w:rsidR="004B2C77">
              <w:rPr>
                <w:rFonts w:ascii="Arial" w:hAnsi="Arial" w:cs="Arial"/>
                <w:sz w:val="18"/>
                <w:szCs w:val="18"/>
                <w:lang w:val="en-AU" w:eastAsia="en-AU"/>
              </w:rPr>
              <w:t>6</w:t>
            </w:r>
            <w:r w:rsidRPr="005C2EDF">
              <w:rPr>
                <w:rFonts w:ascii="Arial" w:hAnsi="Arial" w:cs="Arial"/>
                <w:sz w:val="18"/>
                <w:szCs w:val="18"/>
                <w:lang w:val="en-AU" w:eastAsia="en-AU"/>
              </w:rPr>
              <w:t>-2</w:t>
            </w:r>
            <w:r w:rsidR="004B2C77">
              <w:rPr>
                <w:rFonts w:ascii="Arial" w:hAnsi="Arial" w:cs="Arial"/>
                <w:sz w:val="18"/>
                <w:szCs w:val="18"/>
                <w:lang w:val="en-AU" w:eastAsia="en-AU"/>
              </w:rPr>
              <w:t>7</w:t>
            </w:r>
          </w:p>
        </w:tc>
        <w:tc>
          <w:tcPr>
            <w:tcW w:w="2063" w:type="dxa"/>
            <w:gridSpan w:val="3"/>
            <w:vMerge w:val="restart"/>
            <w:tcBorders>
              <w:top w:val="nil"/>
              <w:left w:val="nil"/>
              <w:bottom w:val="nil"/>
              <w:right w:val="nil"/>
            </w:tcBorders>
            <w:shd w:val="clear" w:color="auto" w:fill="EBEBEB"/>
            <w:noWrap/>
            <w:vAlign w:val="bottom"/>
            <w:hideMark/>
          </w:tcPr>
          <w:p w14:paraId="18867154" w14:textId="142B1201" w:rsidR="004D0A57" w:rsidRPr="005C2EDF" w:rsidRDefault="004D0A57" w:rsidP="001B0206">
            <w:pPr>
              <w:keepNext/>
              <w:keepLines/>
              <w:jc w:val="center"/>
              <w:rPr>
                <w:rFonts w:ascii="Arial" w:hAnsi="Arial" w:cs="Arial"/>
                <w:sz w:val="18"/>
                <w:szCs w:val="18"/>
                <w:lang w:val="en-AU" w:eastAsia="en-AU"/>
              </w:rPr>
            </w:pPr>
            <w:r w:rsidRPr="005C2EDF">
              <w:rPr>
                <w:rFonts w:ascii="Arial" w:hAnsi="Arial" w:cs="Arial"/>
                <w:sz w:val="18"/>
                <w:szCs w:val="18"/>
                <w:lang w:val="en-AU" w:eastAsia="en-AU"/>
              </w:rPr>
              <w:t>Four</w:t>
            </w:r>
            <w:r w:rsidR="00E07CDD" w:rsidRPr="005C2EDF">
              <w:rPr>
                <w:rFonts w:ascii="Arial" w:hAnsi="Arial" w:cs="Arial"/>
                <w:sz w:val="18"/>
                <w:szCs w:val="18"/>
                <w:lang w:val="en-AU" w:eastAsia="en-AU"/>
              </w:rPr>
              <w:t>-</w:t>
            </w:r>
            <w:r w:rsidRPr="005C2EDF">
              <w:rPr>
                <w:rFonts w:ascii="Arial" w:hAnsi="Arial" w:cs="Arial"/>
                <w:sz w:val="18"/>
                <w:szCs w:val="18"/>
                <w:lang w:val="en-AU" w:eastAsia="en-AU"/>
              </w:rPr>
              <w:t>year total</w:t>
            </w:r>
          </w:p>
        </w:tc>
      </w:tr>
      <w:tr w:rsidR="004D0A57" w:rsidRPr="00FC0F4B" w14:paraId="724B8BB7" w14:textId="77777777" w:rsidTr="005C2EDF">
        <w:trPr>
          <w:trHeight w:val="254"/>
        </w:trPr>
        <w:tc>
          <w:tcPr>
            <w:tcW w:w="3106" w:type="dxa"/>
            <w:tcBorders>
              <w:top w:val="nil"/>
              <w:left w:val="nil"/>
              <w:right w:val="nil"/>
            </w:tcBorders>
            <w:shd w:val="clear" w:color="auto" w:fill="EBEBEB"/>
            <w:noWrap/>
            <w:vAlign w:val="bottom"/>
            <w:hideMark/>
          </w:tcPr>
          <w:p w14:paraId="0622E0BA" w14:textId="77777777" w:rsidR="004D0A57" w:rsidRPr="009175A7" w:rsidRDefault="004D0A57" w:rsidP="008C5D92">
            <w:pPr>
              <w:keepNext/>
              <w:keepLines/>
              <w:jc w:val="center"/>
              <w:rPr>
                <w:rFonts w:ascii="Arial" w:hAnsi="Arial" w:cs="Arial"/>
                <w:b/>
                <w:bCs/>
                <w:sz w:val="18"/>
                <w:szCs w:val="18"/>
                <w:lang w:val="en-AU" w:eastAsia="en-AU"/>
              </w:rPr>
            </w:pPr>
            <w:r w:rsidRPr="009175A7">
              <w:rPr>
                <w:rFonts w:ascii="Arial" w:hAnsi="Arial" w:cs="Arial"/>
                <w:b/>
                <w:bCs/>
                <w:sz w:val="18"/>
                <w:szCs w:val="18"/>
                <w:lang w:val="en-AU" w:eastAsia="en-AU"/>
              </w:rPr>
              <w:t> </w:t>
            </w:r>
          </w:p>
        </w:tc>
        <w:tc>
          <w:tcPr>
            <w:tcW w:w="1147" w:type="dxa"/>
            <w:tcBorders>
              <w:top w:val="nil"/>
              <w:left w:val="nil"/>
              <w:right w:val="nil"/>
            </w:tcBorders>
            <w:shd w:val="clear" w:color="auto" w:fill="EBEBEB"/>
            <w:noWrap/>
            <w:vAlign w:val="center"/>
            <w:hideMark/>
          </w:tcPr>
          <w:p w14:paraId="0313E4F7" w14:textId="77777777" w:rsidR="004D0A57" w:rsidRPr="005C2EDF" w:rsidRDefault="004D0A57" w:rsidP="001B0206">
            <w:pPr>
              <w:keepNext/>
              <w:keepLines/>
              <w:jc w:val="center"/>
              <w:rPr>
                <w:rFonts w:ascii="Arial" w:hAnsi="Arial" w:cs="Arial"/>
                <w:sz w:val="18"/>
                <w:szCs w:val="18"/>
                <w:lang w:val="en-AU" w:eastAsia="en-AU"/>
              </w:rPr>
            </w:pPr>
            <w:r w:rsidRPr="005C2EDF">
              <w:rPr>
                <w:rFonts w:ascii="Arial" w:hAnsi="Arial" w:cs="Arial"/>
                <w:sz w:val="18"/>
                <w:szCs w:val="18"/>
                <w:lang w:val="en-AU" w:eastAsia="en-AU"/>
              </w:rPr>
              <w:t>Budget</w:t>
            </w:r>
          </w:p>
        </w:tc>
        <w:tc>
          <w:tcPr>
            <w:tcW w:w="3323" w:type="dxa"/>
            <w:gridSpan w:val="5"/>
            <w:tcBorders>
              <w:top w:val="nil"/>
              <w:left w:val="nil"/>
              <w:right w:val="nil"/>
            </w:tcBorders>
            <w:shd w:val="clear" w:color="auto" w:fill="EBEBEB"/>
            <w:noWrap/>
            <w:vAlign w:val="center"/>
            <w:hideMark/>
          </w:tcPr>
          <w:p w14:paraId="2D437D59" w14:textId="77777777" w:rsidR="004D0A57" w:rsidRPr="005C2EDF" w:rsidRDefault="004D0A57" w:rsidP="001B0206">
            <w:pPr>
              <w:keepNext/>
              <w:keepLines/>
              <w:jc w:val="center"/>
              <w:rPr>
                <w:rFonts w:ascii="Arial" w:hAnsi="Arial" w:cs="Arial"/>
                <w:sz w:val="18"/>
                <w:szCs w:val="18"/>
                <w:lang w:val="en-AU" w:eastAsia="en-AU"/>
              </w:rPr>
            </w:pPr>
            <w:r w:rsidRPr="005C2EDF">
              <w:rPr>
                <w:rFonts w:ascii="Arial" w:hAnsi="Arial" w:cs="Arial"/>
                <w:sz w:val="18"/>
                <w:szCs w:val="18"/>
                <w:lang w:val="en-AU" w:eastAsia="en-AU"/>
              </w:rPr>
              <w:t>Forward Estimates</w:t>
            </w:r>
          </w:p>
        </w:tc>
        <w:tc>
          <w:tcPr>
            <w:tcW w:w="2063" w:type="dxa"/>
            <w:gridSpan w:val="3"/>
            <w:vMerge/>
            <w:tcBorders>
              <w:top w:val="nil"/>
              <w:left w:val="nil"/>
              <w:right w:val="nil"/>
            </w:tcBorders>
            <w:shd w:val="clear" w:color="auto" w:fill="EBEBEB"/>
            <w:vAlign w:val="center"/>
            <w:hideMark/>
          </w:tcPr>
          <w:p w14:paraId="112C79DB" w14:textId="77777777" w:rsidR="004D0A57" w:rsidRPr="005C2EDF" w:rsidRDefault="004D0A57" w:rsidP="008C5D92">
            <w:pPr>
              <w:keepNext/>
              <w:keepLines/>
              <w:rPr>
                <w:rFonts w:ascii="Arial" w:hAnsi="Arial" w:cs="Arial"/>
                <w:sz w:val="18"/>
                <w:szCs w:val="18"/>
                <w:lang w:val="en-AU" w:eastAsia="en-AU"/>
              </w:rPr>
            </w:pPr>
          </w:p>
        </w:tc>
      </w:tr>
      <w:tr w:rsidR="004D0A57" w:rsidRPr="00FC0F4B" w14:paraId="6E6874AE" w14:textId="77777777" w:rsidTr="005C2EDF">
        <w:trPr>
          <w:trHeight w:val="317"/>
        </w:trPr>
        <w:tc>
          <w:tcPr>
            <w:tcW w:w="3106" w:type="dxa"/>
            <w:tcBorders>
              <w:top w:val="nil"/>
              <w:left w:val="nil"/>
              <w:bottom w:val="nil"/>
              <w:right w:val="nil"/>
            </w:tcBorders>
            <w:shd w:val="clear" w:color="auto" w:fill="EBEBEB"/>
            <w:noWrap/>
            <w:hideMark/>
          </w:tcPr>
          <w:p w14:paraId="573BDE6B" w14:textId="77777777" w:rsidR="004D0A57" w:rsidRPr="009175A7" w:rsidRDefault="004D0A57" w:rsidP="008C5D92">
            <w:pPr>
              <w:keepNext/>
              <w:keepLines/>
              <w:jc w:val="center"/>
              <w:rPr>
                <w:rFonts w:ascii="Arial" w:hAnsi="Arial" w:cs="Arial"/>
                <w:b/>
                <w:bCs/>
                <w:sz w:val="18"/>
                <w:szCs w:val="18"/>
                <w:lang w:val="en-AU" w:eastAsia="en-AU"/>
              </w:rPr>
            </w:pPr>
          </w:p>
        </w:tc>
        <w:tc>
          <w:tcPr>
            <w:tcW w:w="1147" w:type="dxa"/>
            <w:tcBorders>
              <w:top w:val="nil"/>
              <w:left w:val="nil"/>
              <w:right w:val="nil"/>
            </w:tcBorders>
            <w:shd w:val="clear" w:color="auto" w:fill="EBEBEB"/>
            <w:noWrap/>
            <w:hideMark/>
          </w:tcPr>
          <w:p w14:paraId="2ED0A14A" w14:textId="77777777" w:rsidR="004D0A57" w:rsidRPr="005C2EDF" w:rsidRDefault="004D0A57" w:rsidP="001B0206">
            <w:pPr>
              <w:keepNext/>
              <w:keepLines/>
              <w:jc w:val="center"/>
              <w:rPr>
                <w:rFonts w:ascii="Arial" w:hAnsi="Arial" w:cs="Arial"/>
                <w:sz w:val="18"/>
                <w:szCs w:val="18"/>
                <w:lang w:val="en-AU" w:eastAsia="en-AU"/>
              </w:rPr>
            </w:pPr>
            <w:r w:rsidRPr="005C2EDF">
              <w:rPr>
                <w:rFonts w:ascii="Arial" w:hAnsi="Arial" w:cs="Arial"/>
                <w:sz w:val="18"/>
                <w:szCs w:val="18"/>
                <w:lang w:val="en-AU" w:eastAsia="en-AU"/>
              </w:rPr>
              <w:t>$m</w:t>
            </w:r>
          </w:p>
        </w:tc>
        <w:tc>
          <w:tcPr>
            <w:tcW w:w="1092" w:type="dxa"/>
            <w:gridSpan w:val="2"/>
            <w:tcBorders>
              <w:top w:val="nil"/>
              <w:left w:val="nil"/>
              <w:right w:val="nil"/>
            </w:tcBorders>
            <w:shd w:val="clear" w:color="auto" w:fill="EBEBEB"/>
            <w:noWrap/>
            <w:hideMark/>
          </w:tcPr>
          <w:p w14:paraId="14C85560" w14:textId="77777777" w:rsidR="004D0A57" w:rsidRPr="005C2EDF" w:rsidRDefault="004D0A57" w:rsidP="001B0206">
            <w:pPr>
              <w:keepNext/>
              <w:keepLines/>
              <w:jc w:val="center"/>
              <w:rPr>
                <w:rFonts w:ascii="Arial" w:hAnsi="Arial" w:cs="Arial"/>
                <w:sz w:val="18"/>
                <w:szCs w:val="18"/>
                <w:lang w:val="en-AU" w:eastAsia="en-AU"/>
              </w:rPr>
            </w:pPr>
            <w:r w:rsidRPr="005C2EDF">
              <w:rPr>
                <w:rFonts w:ascii="Arial" w:hAnsi="Arial" w:cs="Arial"/>
                <w:sz w:val="18"/>
                <w:szCs w:val="18"/>
                <w:lang w:val="en-AU" w:eastAsia="en-AU"/>
              </w:rPr>
              <w:t>$m</w:t>
            </w:r>
          </w:p>
        </w:tc>
        <w:tc>
          <w:tcPr>
            <w:tcW w:w="1120" w:type="dxa"/>
            <w:gridSpan w:val="2"/>
            <w:tcBorders>
              <w:top w:val="nil"/>
              <w:left w:val="nil"/>
              <w:right w:val="nil"/>
            </w:tcBorders>
            <w:shd w:val="clear" w:color="auto" w:fill="EBEBEB"/>
            <w:noWrap/>
            <w:hideMark/>
          </w:tcPr>
          <w:p w14:paraId="647FEDE8" w14:textId="77777777" w:rsidR="004D0A57" w:rsidRPr="005C2EDF" w:rsidRDefault="004D0A57" w:rsidP="001B0206">
            <w:pPr>
              <w:keepNext/>
              <w:keepLines/>
              <w:jc w:val="center"/>
              <w:rPr>
                <w:rFonts w:ascii="Arial" w:hAnsi="Arial" w:cs="Arial"/>
                <w:sz w:val="18"/>
                <w:szCs w:val="18"/>
                <w:lang w:val="en-AU" w:eastAsia="en-AU"/>
              </w:rPr>
            </w:pPr>
            <w:r w:rsidRPr="005C2EDF">
              <w:rPr>
                <w:rFonts w:ascii="Arial" w:hAnsi="Arial" w:cs="Arial"/>
                <w:sz w:val="18"/>
                <w:szCs w:val="18"/>
                <w:lang w:val="en-AU" w:eastAsia="en-AU"/>
              </w:rPr>
              <w:t>$m</w:t>
            </w:r>
          </w:p>
        </w:tc>
        <w:tc>
          <w:tcPr>
            <w:tcW w:w="1120" w:type="dxa"/>
            <w:gridSpan w:val="2"/>
            <w:tcBorders>
              <w:top w:val="nil"/>
              <w:left w:val="nil"/>
              <w:right w:val="nil"/>
            </w:tcBorders>
            <w:shd w:val="clear" w:color="auto" w:fill="EBEBEB"/>
            <w:noWrap/>
            <w:hideMark/>
          </w:tcPr>
          <w:p w14:paraId="1AD6D9AA" w14:textId="77777777" w:rsidR="004D0A57" w:rsidRPr="005C2EDF" w:rsidRDefault="004D0A57" w:rsidP="001B0206">
            <w:pPr>
              <w:keepNext/>
              <w:keepLines/>
              <w:jc w:val="center"/>
              <w:rPr>
                <w:rFonts w:ascii="Arial" w:hAnsi="Arial" w:cs="Arial"/>
                <w:sz w:val="18"/>
                <w:szCs w:val="18"/>
                <w:lang w:val="en-AU" w:eastAsia="en-AU"/>
              </w:rPr>
            </w:pPr>
            <w:r w:rsidRPr="005C2EDF">
              <w:rPr>
                <w:rFonts w:ascii="Arial" w:hAnsi="Arial" w:cs="Arial"/>
                <w:sz w:val="18"/>
                <w:szCs w:val="18"/>
                <w:lang w:val="en-AU" w:eastAsia="en-AU"/>
              </w:rPr>
              <w:t>$m</w:t>
            </w:r>
          </w:p>
        </w:tc>
        <w:tc>
          <w:tcPr>
            <w:tcW w:w="1120" w:type="dxa"/>
            <w:tcBorders>
              <w:top w:val="nil"/>
              <w:left w:val="nil"/>
              <w:bottom w:val="nil"/>
              <w:right w:val="nil"/>
            </w:tcBorders>
            <w:shd w:val="clear" w:color="auto" w:fill="EBEBEB"/>
            <w:noWrap/>
            <w:hideMark/>
          </w:tcPr>
          <w:p w14:paraId="3F691651" w14:textId="77777777" w:rsidR="004D0A57" w:rsidRPr="005C2EDF" w:rsidRDefault="004D0A57" w:rsidP="001B0206">
            <w:pPr>
              <w:keepNext/>
              <w:keepLines/>
              <w:jc w:val="center"/>
              <w:rPr>
                <w:rFonts w:ascii="Arial" w:hAnsi="Arial" w:cs="Arial"/>
                <w:sz w:val="18"/>
                <w:szCs w:val="18"/>
                <w:lang w:val="en-AU" w:eastAsia="en-AU"/>
              </w:rPr>
            </w:pPr>
            <w:r w:rsidRPr="005C2EDF">
              <w:rPr>
                <w:rFonts w:ascii="Arial" w:hAnsi="Arial" w:cs="Arial"/>
                <w:sz w:val="18"/>
                <w:szCs w:val="18"/>
                <w:lang w:val="en-AU" w:eastAsia="en-AU"/>
              </w:rPr>
              <w:t>$m</w:t>
            </w:r>
          </w:p>
        </w:tc>
        <w:tc>
          <w:tcPr>
            <w:tcW w:w="934" w:type="dxa"/>
            <w:tcBorders>
              <w:top w:val="nil"/>
              <w:left w:val="nil"/>
              <w:bottom w:val="nil"/>
              <w:right w:val="nil"/>
            </w:tcBorders>
            <w:shd w:val="clear" w:color="auto" w:fill="EBEBEB"/>
            <w:noWrap/>
            <w:hideMark/>
          </w:tcPr>
          <w:p w14:paraId="3D89E6CF" w14:textId="77777777" w:rsidR="004D0A57" w:rsidRPr="005C2EDF" w:rsidRDefault="004D0A57" w:rsidP="001B0206">
            <w:pPr>
              <w:keepNext/>
              <w:keepLines/>
              <w:jc w:val="center"/>
              <w:rPr>
                <w:rFonts w:ascii="Arial" w:hAnsi="Arial" w:cs="Arial"/>
                <w:sz w:val="18"/>
                <w:szCs w:val="18"/>
                <w:lang w:val="en-AU" w:eastAsia="en-AU"/>
              </w:rPr>
            </w:pPr>
            <w:r w:rsidRPr="005C2EDF">
              <w:rPr>
                <w:rFonts w:ascii="Arial" w:hAnsi="Arial" w:cs="Arial"/>
                <w:sz w:val="18"/>
                <w:szCs w:val="18"/>
                <w:lang w:val="en-AU" w:eastAsia="en-AU"/>
              </w:rPr>
              <w:t>%</w:t>
            </w:r>
          </w:p>
        </w:tc>
      </w:tr>
      <w:tr w:rsidR="00B377BC" w:rsidRPr="00FC0F4B" w14:paraId="50A7CF77" w14:textId="77777777" w:rsidTr="00D61A83">
        <w:trPr>
          <w:trHeight w:val="317"/>
        </w:trPr>
        <w:tc>
          <w:tcPr>
            <w:tcW w:w="3106" w:type="dxa"/>
            <w:tcBorders>
              <w:top w:val="nil"/>
              <w:left w:val="nil"/>
              <w:bottom w:val="nil"/>
              <w:right w:val="nil"/>
            </w:tcBorders>
            <w:shd w:val="clear" w:color="auto" w:fill="auto"/>
            <w:noWrap/>
            <w:vAlign w:val="center"/>
            <w:hideMark/>
          </w:tcPr>
          <w:p w14:paraId="38511D1D" w14:textId="462939F8" w:rsidR="00B377BC" w:rsidRPr="00FC0F4B" w:rsidRDefault="00B377BC" w:rsidP="00B377BC">
            <w:pPr>
              <w:keepNext/>
              <w:keepLines/>
              <w:rPr>
                <w:rFonts w:ascii="Arial" w:hAnsi="Arial" w:cs="Arial"/>
                <w:color w:val="000000"/>
                <w:sz w:val="18"/>
                <w:szCs w:val="18"/>
                <w:lang w:val="en-AU" w:eastAsia="en-AU"/>
              </w:rPr>
            </w:pPr>
            <w:r w:rsidRPr="00FC0F4B">
              <w:rPr>
                <w:rFonts w:ascii="Arial" w:hAnsi="Arial" w:cs="Arial"/>
                <w:color w:val="000000"/>
                <w:sz w:val="18"/>
                <w:szCs w:val="18"/>
                <w:lang w:val="en-AU" w:eastAsia="en-AU"/>
              </w:rPr>
              <w:t>Transport</w:t>
            </w:r>
            <w:r w:rsidR="00A552F3" w:rsidRPr="00B83055">
              <w:rPr>
                <w:rFonts w:ascii="Arial" w:hAnsi="Arial" w:cs="Arial"/>
                <w:color w:val="000000"/>
                <w:sz w:val="18"/>
                <w:szCs w:val="18"/>
                <w:vertAlign w:val="superscript"/>
                <w:lang w:val="en-AU" w:eastAsia="en-AU"/>
              </w:rPr>
              <w:t>(b)</w:t>
            </w:r>
            <w:r w:rsidR="00A552F3">
              <w:rPr>
                <w:rFonts w:ascii="Arial" w:hAnsi="Arial" w:cs="Arial"/>
                <w:color w:val="000000"/>
                <w:sz w:val="18"/>
                <w:szCs w:val="18"/>
                <w:lang w:val="en-AU" w:eastAsia="en-AU"/>
              </w:rPr>
              <w:t xml:space="preserve"> </w:t>
            </w:r>
          </w:p>
        </w:tc>
        <w:tc>
          <w:tcPr>
            <w:tcW w:w="1147" w:type="dxa"/>
            <w:tcBorders>
              <w:left w:val="nil"/>
              <w:bottom w:val="nil"/>
              <w:right w:val="nil"/>
            </w:tcBorders>
            <w:shd w:val="clear" w:color="auto" w:fill="auto"/>
            <w:noWrap/>
            <w:vAlign w:val="center"/>
            <w:hideMark/>
          </w:tcPr>
          <w:p w14:paraId="1AD6BC93" w14:textId="5075A5A8" w:rsidR="00B377BC" w:rsidRPr="00FC0F4B" w:rsidRDefault="00B94ACC" w:rsidP="008269A5">
            <w:pPr>
              <w:keepNext/>
              <w:keepLines/>
              <w:ind w:right="113"/>
              <w:jc w:val="right"/>
              <w:rPr>
                <w:rFonts w:ascii="Arial" w:hAnsi="Arial" w:cs="Arial"/>
                <w:color w:val="000000"/>
                <w:sz w:val="18"/>
                <w:szCs w:val="18"/>
                <w:lang w:val="en-AU" w:eastAsia="en-AU"/>
              </w:rPr>
            </w:pPr>
            <w:r>
              <w:rPr>
                <w:rFonts w:ascii="Arial" w:hAnsi="Arial" w:cs="Arial"/>
                <w:sz w:val="18"/>
                <w:szCs w:val="18"/>
              </w:rPr>
              <w:t>19,263</w:t>
            </w:r>
          </w:p>
        </w:tc>
        <w:tc>
          <w:tcPr>
            <w:tcW w:w="1092" w:type="dxa"/>
            <w:gridSpan w:val="2"/>
            <w:tcBorders>
              <w:left w:val="nil"/>
              <w:bottom w:val="nil"/>
              <w:right w:val="nil"/>
            </w:tcBorders>
            <w:shd w:val="clear" w:color="auto" w:fill="auto"/>
            <w:noWrap/>
            <w:vAlign w:val="center"/>
            <w:hideMark/>
          </w:tcPr>
          <w:p w14:paraId="3B0D217A" w14:textId="31C0EF39" w:rsidR="00B377BC" w:rsidRPr="00FC0F4B" w:rsidRDefault="00B94ACC" w:rsidP="008269A5">
            <w:pPr>
              <w:keepNext/>
              <w:keepLines/>
              <w:ind w:right="113"/>
              <w:jc w:val="right"/>
              <w:rPr>
                <w:rFonts w:ascii="Arial" w:hAnsi="Arial" w:cs="Arial"/>
                <w:color w:val="000000"/>
                <w:sz w:val="18"/>
                <w:szCs w:val="18"/>
                <w:lang w:val="en-AU" w:eastAsia="en-AU"/>
              </w:rPr>
            </w:pPr>
            <w:r>
              <w:rPr>
                <w:rFonts w:ascii="Arial" w:hAnsi="Arial" w:cs="Arial"/>
                <w:sz w:val="18"/>
                <w:szCs w:val="18"/>
              </w:rPr>
              <w:t>20,820</w:t>
            </w:r>
          </w:p>
        </w:tc>
        <w:tc>
          <w:tcPr>
            <w:tcW w:w="1120" w:type="dxa"/>
            <w:gridSpan w:val="2"/>
            <w:tcBorders>
              <w:left w:val="nil"/>
              <w:bottom w:val="nil"/>
              <w:right w:val="nil"/>
            </w:tcBorders>
            <w:shd w:val="clear" w:color="auto" w:fill="auto"/>
            <w:noWrap/>
            <w:vAlign w:val="center"/>
            <w:hideMark/>
          </w:tcPr>
          <w:p w14:paraId="01CA2981" w14:textId="3F58C4F2" w:rsidR="00B377BC" w:rsidRPr="00FC0F4B" w:rsidRDefault="00B94ACC" w:rsidP="008269A5">
            <w:pPr>
              <w:keepNext/>
              <w:keepLines/>
              <w:ind w:right="113"/>
              <w:jc w:val="right"/>
              <w:rPr>
                <w:rFonts w:ascii="Arial" w:hAnsi="Arial" w:cs="Arial"/>
                <w:color w:val="000000"/>
                <w:sz w:val="18"/>
                <w:szCs w:val="18"/>
                <w:lang w:val="en-AU" w:eastAsia="en-AU"/>
              </w:rPr>
            </w:pPr>
            <w:r>
              <w:rPr>
                <w:rFonts w:ascii="Arial" w:hAnsi="Arial" w:cs="Arial"/>
                <w:sz w:val="18"/>
                <w:szCs w:val="18"/>
              </w:rPr>
              <w:t>17,839</w:t>
            </w:r>
          </w:p>
        </w:tc>
        <w:tc>
          <w:tcPr>
            <w:tcW w:w="1120" w:type="dxa"/>
            <w:gridSpan w:val="2"/>
            <w:tcBorders>
              <w:left w:val="nil"/>
              <w:bottom w:val="nil"/>
              <w:right w:val="nil"/>
            </w:tcBorders>
            <w:shd w:val="clear" w:color="auto" w:fill="auto"/>
            <w:noWrap/>
            <w:vAlign w:val="center"/>
            <w:hideMark/>
          </w:tcPr>
          <w:p w14:paraId="43A6E7B8" w14:textId="435DC9A2" w:rsidR="00B377BC" w:rsidRPr="00FC0F4B" w:rsidRDefault="00B94ACC" w:rsidP="008269A5">
            <w:pPr>
              <w:keepNext/>
              <w:keepLines/>
              <w:ind w:right="113"/>
              <w:jc w:val="right"/>
              <w:rPr>
                <w:rFonts w:ascii="Arial" w:hAnsi="Arial" w:cs="Arial"/>
                <w:color w:val="000000"/>
                <w:sz w:val="18"/>
                <w:szCs w:val="18"/>
                <w:lang w:val="en-AU" w:eastAsia="en-AU"/>
              </w:rPr>
            </w:pPr>
            <w:r>
              <w:rPr>
                <w:rFonts w:ascii="Arial" w:hAnsi="Arial" w:cs="Arial"/>
                <w:sz w:val="18"/>
                <w:szCs w:val="18"/>
              </w:rPr>
              <w:t>14,383</w:t>
            </w:r>
          </w:p>
        </w:tc>
        <w:tc>
          <w:tcPr>
            <w:tcW w:w="1120" w:type="dxa"/>
            <w:tcBorders>
              <w:top w:val="nil"/>
              <w:left w:val="nil"/>
              <w:bottom w:val="nil"/>
              <w:right w:val="nil"/>
            </w:tcBorders>
            <w:shd w:val="clear" w:color="auto" w:fill="auto"/>
            <w:noWrap/>
            <w:vAlign w:val="center"/>
            <w:hideMark/>
          </w:tcPr>
          <w:p w14:paraId="75145DFA" w14:textId="642A75FB" w:rsidR="00B377BC" w:rsidRPr="00FC0F4B" w:rsidRDefault="00B94ACC" w:rsidP="008269A5">
            <w:pPr>
              <w:keepNext/>
              <w:keepLines/>
              <w:ind w:right="113"/>
              <w:jc w:val="right"/>
              <w:rPr>
                <w:rFonts w:ascii="Arial" w:hAnsi="Arial" w:cs="Arial"/>
                <w:color w:val="000000"/>
                <w:sz w:val="18"/>
                <w:szCs w:val="18"/>
                <w:lang w:val="en-AU" w:eastAsia="en-AU"/>
              </w:rPr>
            </w:pPr>
            <w:r>
              <w:rPr>
                <w:rFonts w:ascii="Arial" w:hAnsi="Arial" w:cs="Arial"/>
                <w:sz w:val="18"/>
                <w:szCs w:val="18"/>
              </w:rPr>
              <w:t>72,306</w:t>
            </w:r>
          </w:p>
        </w:tc>
        <w:tc>
          <w:tcPr>
            <w:tcW w:w="934" w:type="dxa"/>
            <w:tcBorders>
              <w:top w:val="nil"/>
              <w:left w:val="nil"/>
              <w:bottom w:val="nil"/>
              <w:right w:val="nil"/>
            </w:tcBorders>
            <w:shd w:val="clear" w:color="auto" w:fill="auto"/>
            <w:noWrap/>
            <w:vAlign w:val="center"/>
            <w:hideMark/>
          </w:tcPr>
          <w:p w14:paraId="29663263" w14:textId="68410679" w:rsidR="00B377BC" w:rsidRPr="00FC0F4B" w:rsidRDefault="005C1411" w:rsidP="008269A5">
            <w:pPr>
              <w:keepNext/>
              <w:keepLines/>
              <w:ind w:right="113"/>
              <w:jc w:val="right"/>
              <w:rPr>
                <w:rFonts w:ascii="Arial" w:hAnsi="Arial" w:cs="Arial"/>
                <w:color w:val="000000"/>
                <w:sz w:val="18"/>
                <w:szCs w:val="18"/>
                <w:lang w:val="en-AU" w:eastAsia="en-AU"/>
              </w:rPr>
            </w:pPr>
            <w:r>
              <w:rPr>
                <w:rFonts w:ascii="Arial" w:hAnsi="Arial" w:cs="Arial"/>
                <w:sz w:val="18"/>
                <w:szCs w:val="18"/>
              </w:rPr>
              <w:t>62.0</w:t>
            </w:r>
          </w:p>
        </w:tc>
      </w:tr>
      <w:tr w:rsidR="00977ED1" w:rsidRPr="00FC0F4B" w14:paraId="5336FF15" w14:textId="77777777" w:rsidTr="00D61A83">
        <w:trPr>
          <w:trHeight w:val="317"/>
        </w:trPr>
        <w:tc>
          <w:tcPr>
            <w:tcW w:w="3106" w:type="dxa"/>
            <w:tcBorders>
              <w:top w:val="nil"/>
              <w:left w:val="nil"/>
              <w:bottom w:val="nil"/>
              <w:right w:val="nil"/>
            </w:tcBorders>
            <w:shd w:val="clear" w:color="auto" w:fill="auto"/>
            <w:noWrap/>
            <w:vAlign w:val="center"/>
            <w:hideMark/>
          </w:tcPr>
          <w:p w14:paraId="50CED75B" w14:textId="494B8FF2" w:rsidR="00977ED1" w:rsidRPr="00FC0F4B" w:rsidRDefault="00977ED1" w:rsidP="00977ED1">
            <w:pPr>
              <w:keepNext/>
              <w:keepLines/>
              <w:rPr>
                <w:rFonts w:ascii="Arial" w:hAnsi="Arial" w:cs="Arial"/>
                <w:color w:val="000000"/>
                <w:sz w:val="18"/>
                <w:szCs w:val="18"/>
                <w:lang w:val="en-AU" w:eastAsia="en-AU"/>
              </w:rPr>
            </w:pPr>
            <w:r w:rsidRPr="00FC0F4B">
              <w:rPr>
                <w:rFonts w:ascii="Arial" w:hAnsi="Arial" w:cs="Arial"/>
                <w:color w:val="000000"/>
                <w:sz w:val="18"/>
                <w:szCs w:val="18"/>
                <w:lang w:val="en-AU" w:eastAsia="en-AU"/>
              </w:rPr>
              <w:t>Health</w:t>
            </w:r>
            <w:r w:rsidRPr="00FC0F4B">
              <w:rPr>
                <w:rFonts w:ascii="Arial" w:hAnsi="Arial" w:cs="Arial"/>
                <w:color w:val="000000"/>
                <w:sz w:val="18"/>
                <w:szCs w:val="18"/>
                <w:vertAlign w:val="superscript"/>
                <w:lang w:val="en-AU" w:eastAsia="en-AU"/>
              </w:rPr>
              <w:t>(</w:t>
            </w:r>
            <w:r>
              <w:rPr>
                <w:rFonts w:ascii="Arial" w:hAnsi="Arial" w:cs="Arial"/>
                <w:color w:val="000000"/>
                <w:sz w:val="18"/>
                <w:szCs w:val="18"/>
                <w:vertAlign w:val="superscript"/>
                <w:lang w:val="en-AU" w:eastAsia="en-AU"/>
              </w:rPr>
              <w:t>c)</w:t>
            </w:r>
          </w:p>
        </w:tc>
        <w:tc>
          <w:tcPr>
            <w:tcW w:w="1147" w:type="dxa"/>
            <w:tcBorders>
              <w:top w:val="nil"/>
              <w:left w:val="nil"/>
              <w:bottom w:val="nil"/>
              <w:right w:val="nil"/>
            </w:tcBorders>
            <w:shd w:val="clear" w:color="auto" w:fill="auto"/>
            <w:noWrap/>
            <w:vAlign w:val="center"/>
            <w:hideMark/>
          </w:tcPr>
          <w:p w14:paraId="2A2890B5" w14:textId="39CFD23A" w:rsidR="00977ED1" w:rsidRPr="00977ED1" w:rsidRDefault="0036127F" w:rsidP="00977ED1">
            <w:pPr>
              <w:keepNext/>
              <w:keepLines/>
              <w:ind w:right="113"/>
              <w:jc w:val="right"/>
              <w:rPr>
                <w:rFonts w:ascii="Arial" w:hAnsi="Arial" w:cs="Arial"/>
                <w:sz w:val="18"/>
                <w:szCs w:val="18"/>
              </w:rPr>
            </w:pPr>
            <w:r>
              <w:rPr>
                <w:rFonts w:ascii="Arial" w:hAnsi="Arial" w:cs="Arial"/>
                <w:sz w:val="18"/>
                <w:szCs w:val="18"/>
              </w:rPr>
              <w:t>3,307</w:t>
            </w:r>
          </w:p>
        </w:tc>
        <w:tc>
          <w:tcPr>
            <w:tcW w:w="1092" w:type="dxa"/>
            <w:gridSpan w:val="2"/>
            <w:tcBorders>
              <w:top w:val="nil"/>
              <w:left w:val="nil"/>
              <w:bottom w:val="nil"/>
              <w:right w:val="nil"/>
            </w:tcBorders>
            <w:shd w:val="clear" w:color="auto" w:fill="auto"/>
            <w:noWrap/>
            <w:vAlign w:val="center"/>
            <w:hideMark/>
          </w:tcPr>
          <w:p w14:paraId="714430A4" w14:textId="76299C1C" w:rsidR="00977ED1" w:rsidRPr="00977ED1" w:rsidRDefault="0036127F" w:rsidP="00977ED1">
            <w:pPr>
              <w:keepNext/>
              <w:keepLines/>
              <w:ind w:right="113"/>
              <w:jc w:val="right"/>
              <w:rPr>
                <w:rFonts w:ascii="Arial" w:hAnsi="Arial" w:cs="Arial"/>
                <w:sz w:val="18"/>
                <w:szCs w:val="18"/>
              </w:rPr>
            </w:pPr>
            <w:r>
              <w:rPr>
                <w:rFonts w:ascii="Arial" w:hAnsi="Arial" w:cs="Arial"/>
                <w:sz w:val="18"/>
                <w:szCs w:val="18"/>
              </w:rPr>
              <w:t>3,571</w:t>
            </w:r>
          </w:p>
        </w:tc>
        <w:tc>
          <w:tcPr>
            <w:tcW w:w="1120" w:type="dxa"/>
            <w:gridSpan w:val="2"/>
            <w:tcBorders>
              <w:top w:val="nil"/>
              <w:left w:val="nil"/>
              <w:bottom w:val="nil"/>
              <w:right w:val="nil"/>
            </w:tcBorders>
            <w:shd w:val="clear" w:color="auto" w:fill="auto"/>
            <w:noWrap/>
            <w:vAlign w:val="center"/>
            <w:hideMark/>
          </w:tcPr>
          <w:p w14:paraId="600AE8F4" w14:textId="590398F3" w:rsidR="00977ED1" w:rsidRPr="00977ED1" w:rsidRDefault="0036127F" w:rsidP="00977ED1">
            <w:pPr>
              <w:keepNext/>
              <w:keepLines/>
              <w:ind w:right="113"/>
              <w:jc w:val="right"/>
              <w:rPr>
                <w:rFonts w:ascii="Arial" w:hAnsi="Arial" w:cs="Arial"/>
                <w:sz w:val="18"/>
                <w:szCs w:val="18"/>
              </w:rPr>
            </w:pPr>
            <w:r>
              <w:rPr>
                <w:rFonts w:ascii="Arial" w:hAnsi="Arial" w:cs="Arial"/>
                <w:sz w:val="18"/>
                <w:szCs w:val="18"/>
              </w:rPr>
              <w:t>3,146</w:t>
            </w:r>
          </w:p>
        </w:tc>
        <w:tc>
          <w:tcPr>
            <w:tcW w:w="1120" w:type="dxa"/>
            <w:gridSpan w:val="2"/>
            <w:tcBorders>
              <w:top w:val="nil"/>
              <w:left w:val="nil"/>
              <w:bottom w:val="nil"/>
              <w:right w:val="nil"/>
            </w:tcBorders>
            <w:shd w:val="clear" w:color="auto" w:fill="auto"/>
            <w:noWrap/>
            <w:vAlign w:val="center"/>
            <w:hideMark/>
          </w:tcPr>
          <w:p w14:paraId="1D97CFB4" w14:textId="0639F1DB" w:rsidR="00977ED1" w:rsidRPr="00977ED1" w:rsidRDefault="0036127F" w:rsidP="00977ED1">
            <w:pPr>
              <w:keepNext/>
              <w:keepLines/>
              <w:ind w:right="113"/>
              <w:jc w:val="right"/>
              <w:rPr>
                <w:rFonts w:ascii="Arial" w:hAnsi="Arial" w:cs="Arial"/>
                <w:sz w:val="18"/>
                <w:szCs w:val="18"/>
              </w:rPr>
            </w:pPr>
            <w:r>
              <w:rPr>
                <w:rFonts w:ascii="Arial" w:hAnsi="Arial" w:cs="Arial"/>
                <w:sz w:val="18"/>
                <w:szCs w:val="18"/>
              </w:rPr>
              <w:t>3,171</w:t>
            </w:r>
          </w:p>
        </w:tc>
        <w:tc>
          <w:tcPr>
            <w:tcW w:w="1120" w:type="dxa"/>
            <w:tcBorders>
              <w:top w:val="nil"/>
              <w:left w:val="nil"/>
              <w:bottom w:val="nil"/>
              <w:right w:val="nil"/>
            </w:tcBorders>
            <w:shd w:val="clear" w:color="auto" w:fill="auto"/>
            <w:noWrap/>
            <w:vAlign w:val="center"/>
            <w:hideMark/>
          </w:tcPr>
          <w:p w14:paraId="6407F7EB" w14:textId="3CA60734" w:rsidR="00977ED1" w:rsidRPr="00977ED1" w:rsidRDefault="0036127F" w:rsidP="00977ED1">
            <w:pPr>
              <w:keepNext/>
              <w:keepLines/>
              <w:ind w:right="113"/>
              <w:jc w:val="right"/>
              <w:rPr>
                <w:rFonts w:ascii="Arial" w:hAnsi="Arial" w:cs="Arial"/>
                <w:sz w:val="18"/>
                <w:szCs w:val="18"/>
              </w:rPr>
            </w:pPr>
            <w:r>
              <w:rPr>
                <w:rFonts w:ascii="Arial" w:hAnsi="Arial" w:cs="Arial"/>
                <w:sz w:val="18"/>
                <w:szCs w:val="18"/>
              </w:rPr>
              <w:t>13,195</w:t>
            </w:r>
          </w:p>
        </w:tc>
        <w:tc>
          <w:tcPr>
            <w:tcW w:w="934" w:type="dxa"/>
            <w:tcBorders>
              <w:top w:val="nil"/>
              <w:left w:val="nil"/>
              <w:bottom w:val="nil"/>
              <w:right w:val="nil"/>
            </w:tcBorders>
            <w:shd w:val="clear" w:color="auto" w:fill="auto"/>
            <w:noWrap/>
            <w:vAlign w:val="center"/>
            <w:hideMark/>
          </w:tcPr>
          <w:p w14:paraId="20BECFCF" w14:textId="7A2EA788" w:rsidR="00977ED1" w:rsidRPr="00977ED1" w:rsidRDefault="0036127F" w:rsidP="00977ED1">
            <w:pPr>
              <w:keepNext/>
              <w:keepLines/>
              <w:ind w:right="113"/>
              <w:jc w:val="right"/>
              <w:rPr>
                <w:rFonts w:ascii="Arial" w:hAnsi="Arial" w:cs="Arial"/>
                <w:sz w:val="18"/>
                <w:szCs w:val="18"/>
              </w:rPr>
            </w:pPr>
            <w:r>
              <w:rPr>
                <w:rFonts w:ascii="Arial" w:hAnsi="Arial" w:cs="Arial"/>
                <w:sz w:val="18"/>
                <w:szCs w:val="18"/>
              </w:rPr>
              <w:t>11.3</w:t>
            </w:r>
          </w:p>
        </w:tc>
      </w:tr>
      <w:tr w:rsidR="00977ED1" w:rsidRPr="00FC0F4B" w14:paraId="168B1F38" w14:textId="77777777" w:rsidTr="00D61A83">
        <w:trPr>
          <w:trHeight w:val="317"/>
        </w:trPr>
        <w:tc>
          <w:tcPr>
            <w:tcW w:w="3106" w:type="dxa"/>
            <w:tcBorders>
              <w:top w:val="nil"/>
              <w:left w:val="nil"/>
              <w:bottom w:val="nil"/>
              <w:right w:val="nil"/>
            </w:tcBorders>
            <w:shd w:val="clear" w:color="auto" w:fill="auto"/>
            <w:noWrap/>
            <w:vAlign w:val="center"/>
            <w:hideMark/>
          </w:tcPr>
          <w:p w14:paraId="7FE49C05" w14:textId="77777777" w:rsidR="00977ED1" w:rsidRPr="00FC0F4B" w:rsidRDefault="00977ED1" w:rsidP="00977ED1">
            <w:pPr>
              <w:keepNext/>
              <w:keepLines/>
              <w:rPr>
                <w:rFonts w:ascii="Arial" w:hAnsi="Arial" w:cs="Arial"/>
                <w:color w:val="000000"/>
                <w:sz w:val="18"/>
                <w:szCs w:val="18"/>
                <w:lang w:val="en-AU" w:eastAsia="en-AU"/>
              </w:rPr>
            </w:pPr>
            <w:r w:rsidRPr="00FC0F4B">
              <w:rPr>
                <w:rFonts w:ascii="Arial" w:hAnsi="Arial" w:cs="Arial"/>
                <w:color w:val="000000"/>
                <w:sz w:val="18"/>
                <w:szCs w:val="18"/>
                <w:lang w:val="en-AU" w:eastAsia="en-AU"/>
              </w:rPr>
              <w:t>Education and Skills</w:t>
            </w:r>
          </w:p>
        </w:tc>
        <w:tc>
          <w:tcPr>
            <w:tcW w:w="1147" w:type="dxa"/>
            <w:tcBorders>
              <w:top w:val="nil"/>
              <w:left w:val="nil"/>
              <w:bottom w:val="nil"/>
              <w:right w:val="nil"/>
            </w:tcBorders>
            <w:shd w:val="clear" w:color="auto" w:fill="auto"/>
            <w:noWrap/>
            <w:vAlign w:val="center"/>
            <w:hideMark/>
          </w:tcPr>
          <w:p w14:paraId="00427264" w14:textId="403A4C38" w:rsidR="00977ED1" w:rsidRPr="00977ED1" w:rsidRDefault="0036127F" w:rsidP="00977ED1">
            <w:pPr>
              <w:keepNext/>
              <w:keepLines/>
              <w:ind w:right="113"/>
              <w:jc w:val="right"/>
              <w:rPr>
                <w:rFonts w:ascii="Arial" w:hAnsi="Arial" w:cs="Arial"/>
                <w:sz w:val="18"/>
                <w:szCs w:val="18"/>
              </w:rPr>
            </w:pPr>
            <w:r>
              <w:rPr>
                <w:rFonts w:ascii="Arial" w:hAnsi="Arial" w:cs="Arial"/>
                <w:sz w:val="18"/>
                <w:szCs w:val="18"/>
              </w:rPr>
              <w:t>2,829</w:t>
            </w:r>
          </w:p>
        </w:tc>
        <w:tc>
          <w:tcPr>
            <w:tcW w:w="1092" w:type="dxa"/>
            <w:gridSpan w:val="2"/>
            <w:tcBorders>
              <w:top w:val="nil"/>
              <w:left w:val="nil"/>
              <w:bottom w:val="nil"/>
              <w:right w:val="nil"/>
            </w:tcBorders>
            <w:shd w:val="clear" w:color="auto" w:fill="auto"/>
            <w:noWrap/>
            <w:vAlign w:val="center"/>
            <w:hideMark/>
          </w:tcPr>
          <w:p w14:paraId="102B2280" w14:textId="7455901D" w:rsidR="00977ED1" w:rsidRPr="00977ED1" w:rsidRDefault="00EF263D" w:rsidP="00977ED1">
            <w:pPr>
              <w:keepNext/>
              <w:keepLines/>
              <w:ind w:right="113"/>
              <w:jc w:val="right"/>
              <w:rPr>
                <w:rFonts w:ascii="Arial" w:hAnsi="Arial" w:cs="Arial"/>
                <w:sz w:val="18"/>
                <w:szCs w:val="18"/>
              </w:rPr>
            </w:pPr>
            <w:r>
              <w:rPr>
                <w:rFonts w:ascii="Arial" w:hAnsi="Arial" w:cs="Arial"/>
                <w:sz w:val="18"/>
                <w:szCs w:val="18"/>
              </w:rPr>
              <w:t>2,538</w:t>
            </w:r>
          </w:p>
        </w:tc>
        <w:tc>
          <w:tcPr>
            <w:tcW w:w="1120" w:type="dxa"/>
            <w:gridSpan w:val="2"/>
            <w:tcBorders>
              <w:top w:val="nil"/>
              <w:left w:val="nil"/>
              <w:bottom w:val="nil"/>
              <w:right w:val="nil"/>
            </w:tcBorders>
            <w:shd w:val="clear" w:color="auto" w:fill="auto"/>
            <w:noWrap/>
            <w:vAlign w:val="center"/>
            <w:hideMark/>
          </w:tcPr>
          <w:p w14:paraId="61D73681" w14:textId="4CCF819B" w:rsidR="00977ED1" w:rsidRPr="00977ED1" w:rsidRDefault="00EF263D" w:rsidP="00977ED1">
            <w:pPr>
              <w:keepNext/>
              <w:keepLines/>
              <w:ind w:right="113"/>
              <w:jc w:val="right"/>
              <w:rPr>
                <w:rFonts w:ascii="Arial" w:hAnsi="Arial" w:cs="Arial"/>
                <w:sz w:val="18"/>
                <w:szCs w:val="18"/>
              </w:rPr>
            </w:pPr>
            <w:r>
              <w:rPr>
                <w:rFonts w:ascii="Arial" w:hAnsi="Arial" w:cs="Arial"/>
                <w:sz w:val="18"/>
                <w:szCs w:val="18"/>
              </w:rPr>
              <w:t>2,426</w:t>
            </w:r>
          </w:p>
        </w:tc>
        <w:tc>
          <w:tcPr>
            <w:tcW w:w="1120" w:type="dxa"/>
            <w:gridSpan w:val="2"/>
            <w:tcBorders>
              <w:top w:val="nil"/>
              <w:left w:val="nil"/>
              <w:bottom w:val="nil"/>
              <w:right w:val="nil"/>
            </w:tcBorders>
            <w:shd w:val="clear" w:color="auto" w:fill="auto"/>
            <w:noWrap/>
            <w:vAlign w:val="center"/>
            <w:hideMark/>
          </w:tcPr>
          <w:p w14:paraId="1852EF4E" w14:textId="5AF63B78" w:rsidR="00977ED1" w:rsidRPr="00977ED1" w:rsidRDefault="00EF263D" w:rsidP="00977ED1">
            <w:pPr>
              <w:keepNext/>
              <w:keepLines/>
              <w:ind w:right="113"/>
              <w:jc w:val="right"/>
              <w:rPr>
                <w:rFonts w:ascii="Arial" w:hAnsi="Arial" w:cs="Arial"/>
                <w:sz w:val="18"/>
                <w:szCs w:val="18"/>
              </w:rPr>
            </w:pPr>
            <w:r>
              <w:rPr>
                <w:rFonts w:ascii="Arial" w:hAnsi="Arial" w:cs="Arial"/>
                <w:sz w:val="18"/>
                <w:szCs w:val="18"/>
              </w:rPr>
              <w:t>2,007</w:t>
            </w:r>
          </w:p>
        </w:tc>
        <w:tc>
          <w:tcPr>
            <w:tcW w:w="1120" w:type="dxa"/>
            <w:tcBorders>
              <w:top w:val="nil"/>
              <w:left w:val="nil"/>
              <w:bottom w:val="nil"/>
              <w:right w:val="nil"/>
            </w:tcBorders>
            <w:shd w:val="clear" w:color="auto" w:fill="auto"/>
            <w:noWrap/>
            <w:vAlign w:val="center"/>
            <w:hideMark/>
          </w:tcPr>
          <w:p w14:paraId="40B3335E" w14:textId="7F7BFF6D" w:rsidR="00977ED1" w:rsidRPr="00977ED1" w:rsidRDefault="00505A14" w:rsidP="00977ED1">
            <w:pPr>
              <w:keepNext/>
              <w:keepLines/>
              <w:ind w:right="113"/>
              <w:jc w:val="right"/>
              <w:rPr>
                <w:rFonts w:ascii="Arial" w:hAnsi="Arial" w:cs="Arial"/>
                <w:sz w:val="18"/>
                <w:szCs w:val="18"/>
              </w:rPr>
            </w:pPr>
            <w:r>
              <w:rPr>
                <w:rFonts w:ascii="Arial" w:hAnsi="Arial" w:cs="Arial"/>
                <w:sz w:val="18"/>
                <w:szCs w:val="18"/>
              </w:rPr>
              <w:t>9,799</w:t>
            </w:r>
          </w:p>
        </w:tc>
        <w:tc>
          <w:tcPr>
            <w:tcW w:w="934" w:type="dxa"/>
            <w:tcBorders>
              <w:top w:val="nil"/>
              <w:left w:val="nil"/>
              <w:bottom w:val="nil"/>
              <w:right w:val="nil"/>
            </w:tcBorders>
            <w:shd w:val="clear" w:color="auto" w:fill="auto"/>
            <w:noWrap/>
            <w:vAlign w:val="center"/>
            <w:hideMark/>
          </w:tcPr>
          <w:p w14:paraId="35C6612F" w14:textId="2EC862CD" w:rsidR="00977ED1" w:rsidRPr="00977ED1" w:rsidRDefault="00505A14" w:rsidP="00977ED1">
            <w:pPr>
              <w:keepNext/>
              <w:keepLines/>
              <w:ind w:right="113"/>
              <w:jc w:val="right"/>
              <w:rPr>
                <w:rFonts w:ascii="Arial" w:hAnsi="Arial" w:cs="Arial"/>
                <w:sz w:val="18"/>
                <w:szCs w:val="18"/>
              </w:rPr>
            </w:pPr>
            <w:r>
              <w:rPr>
                <w:rFonts w:ascii="Arial" w:hAnsi="Arial" w:cs="Arial"/>
                <w:sz w:val="18"/>
                <w:szCs w:val="18"/>
              </w:rPr>
              <w:t>8.4</w:t>
            </w:r>
          </w:p>
        </w:tc>
      </w:tr>
      <w:tr w:rsidR="003C1EB2" w:rsidRPr="00FC0F4B" w14:paraId="0E65419F" w14:textId="77777777" w:rsidTr="00D61A83">
        <w:trPr>
          <w:trHeight w:val="317"/>
        </w:trPr>
        <w:tc>
          <w:tcPr>
            <w:tcW w:w="3106" w:type="dxa"/>
            <w:tcBorders>
              <w:top w:val="nil"/>
              <w:left w:val="nil"/>
              <w:bottom w:val="nil"/>
              <w:right w:val="nil"/>
            </w:tcBorders>
            <w:shd w:val="clear" w:color="auto" w:fill="auto"/>
            <w:noWrap/>
            <w:vAlign w:val="center"/>
          </w:tcPr>
          <w:p w14:paraId="37537A83" w14:textId="2CCDB0B4" w:rsidR="003C1EB2" w:rsidRDefault="006C3DFF" w:rsidP="00D61A83">
            <w:pPr>
              <w:keepNext/>
              <w:keepLines/>
              <w:rPr>
                <w:rFonts w:ascii="Arial" w:hAnsi="Arial" w:cs="Arial"/>
                <w:color w:val="000000"/>
                <w:sz w:val="18"/>
                <w:szCs w:val="18"/>
                <w:lang w:val="en-AU" w:eastAsia="en-AU"/>
              </w:rPr>
            </w:pPr>
            <w:r>
              <w:rPr>
                <w:rFonts w:ascii="Arial" w:hAnsi="Arial" w:cs="Arial"/>
                <w:color w:val="000000"/>
                <w:sz w:val="18"/>
                <w:szCs w:val="18"/>
                <w:lang w:val="en-AU" w:eastAsia="en-AU"/>
              </w:rPr>
              <w:t>Environment and Planning</w:t>
            </w:r>
          </w:p>
        </w:tc>
        <w:tc>
          <w:tcPr>
            <w:tcW w:w="1147" w:type="dxa"/>
            <w:tcBorders>
              <w:top w:val="nil"/>
              <w:left w:val="nil"/>
              <w:bottom w:val="nil"/>
              <w:right w:val="nil"/>
            </w:tcBorders>
            <w:shd w:val="clear" w:color="auto" w:fill="auto"/>
            <w:noWrap/>
            <w:vAlign w:val="center"/>
          </w:tcPr>
          <w:p w14:paraId="188FB30F" w14:textId="3C9C8D35" w:rsidR="003C1EB2" w:rsidRDefault="003C1EB2" w:rsidP="00D61A83">
            <w:pPr>
              <w:keepNext/>
              <w:keepLines/>
              <w:ind w:right="113"/>
              <w:jc w:val="right"/>
              <w:rPr>
                <w:rFonts w:ascii="Arial" w:hAnsi="Arial" w:cs="Arial"/>
                <w:sz w:val="18"/>
                <w:szCs w:val="18"/>
              </w:rPr>
            </w:pPr>
            <w:r>
              <w:rPr>
                <w:rFonts w:ascii="Arial" w:hAnsi="Arial" w:cs="Arial"/>
                <w:sz w:val="18"/>
                <w:szCs w:val="18"/>
              </w:rPr>
              <w:t>1,</w:t>
            </w:r>
            <w:r w:rsidR="0061050E">
              <w:rPr>
                <w:rFonts w:ascii="Arial" w:hAnsi="Arial" w:cs="Arial"/>
                <w:sz w:val="18"/>
                <w:szCs w:val="18"/>
              </w:rPr>
              <w:t>844</w:t>
            </w:r>
          </w:p>
        </w:tc>
        <w:tc>
          <w:tcPr>
            <w:tcW w:w="1092" w:type="dxa"/>
            <w:gridSpan w:val="2"/>
            <w:tcBorders>
              <w:top w:val="nil"/>
              <w:left w:val="nil"/>
              <w:bottom w:val="nil"/>
              <w:right w:val="nil"/>
            </w:tcBorders>
            <w:shd w:val="clear" w:color="auto" w:fill="auto"/>
            <w:noWrap/>
            <w:vAlign w:val="center"/>
          </w:tcPr>
          <w:p w14:paraId="5BD4F427" w14:textId="7903A446" w:rsidR="003C1EB2" w:rsidRDefault="003C1EB2" w:rsidP="00D61A83">
            <w:pPr>
              <w:keepNext/>
              <w:keepLines/>
              <w:ind w:right="113"/>
              <w:jc w:val="right"/>
              <w:rPr>
                <w:rFonts w:ascii="Arial" w:hAnsi="Arial" w:cs="Arial"/>
                <w:sz w:val="18"/>
                <w:szCs w:val="18"/>
              </w:rPr>
            </w:pPr>
            <w:r>
              <w:rPr>
                <w:rFonts w:ascii="Arial" w:hAnsi="Arial" w:cs="Arial"/>
                <w:sz w:val="18"/>
                <w:szCs w:val="18"/>
              </w:rPr>
              <w:t>1,389</w:t>
            </w:r>
          </w:p>
        </w:tc>
        <w:tc>
          <w:tcPr>
            <w:tcW w:w="1120" w:type="dxa"/>
            <w:gridSpan w:val="2"/>
            <w:tcBorders>
              <w:top w:val="nil"/>
              <w:left w:val="nil"/>
              <w:bottom w:val="nil"/>
              <w:right w:val="nil"/>
            </w:tcBorders>
            <w:shd w:val="clear" w:color="auto" w:fill="auto"/>
            <w:noWrap/>
            <w:vAlign w:val="center"/>
          </w:tcPr>
          <w:p w14:paraId="13A774BB" w14:textId="32C979F8" w:rsidR="003C1EB2" w:rsidRDefault="00595BBA" w:rsidP="00D61A83">
            <w:pPr>
              <w:keepNext/>
              <w:keepLines/>
              <w:ind w:right="113"/>
              <w:jc w:val="right"/>
              <w:rPr>
                <w:rFonts w:ascii="Arial" w:hAnsi="Arial" w:cs="Arial"/>
                <w:sz w:val="18"/>
                <w:szCs w:val="18"/>
              </w:rPr>
            </w:pPr>
            <w:r>
              <w:rPr>
                <w:rFonts w:ascii="Arial" w:hAnsi="Arial" w:cs="Arial"/>
                <w:sz w:val="18"/>
                <w:szCs w:val="18"/>
              </w:rPr>
              <w:t>849</w:t>
            </w:r>
          </w:p>
        </w:tc>
        <w:tc>
          <w:tcPr>
            <w:tcW w:w="1120" w:type="dxa"/>
            <w:gridSpan w:val="2"/>
            <w:tcBorders>
              <w:top w:val="nil"/>
              <w:left w:val="nil"/>
              <w:bottom w:val="nil"/>
              <w:right w:val="nil"/>
            </w:tcBorders>
            <w:shd w:val="clear" w:color="auto" w:fill="auto"/>
            <w:noWrap/>
            <w:vAlign w:val="center"/>
          </w:tcPr>
          <w:p w14:paraId="1A35E761" w14:textId="4A47C21B" w:rsidR="003C1EB2" w:rsidRDefault="00820BEA" w:rsidP="00D61A83">
            <w:pPr>
              <w:keepNext/>
              <w:keepLines/>
              <w:ind w:right="113"/>
              <w:jc w:val="right"/>
              <w:rPr>
                <w:rFonts w:ascii="Arial" w:hAnsi="Arial" w:cs="Arial"/>
                <w:sz w:val="18"/>
                <w:szCs w:val="18"/>
              </w:rPr>
            </w:pPr>
            <w:r>
              <w:rPr>
                <w:rFonts w:ascii="Arial" w:hAnsi="Arial" w:cs="Arial"/>
                <w:sz w:val="18"/>
                <w:szCs w:val="18"/>
              </w:rPr>
              <w:t>602</w:t>
            </w:r>
          </w:p>
        </w:tc>
        <w:tc>
          <w:tcPr>
            <w:tcW w:w="1120" w:type="dxa"/>
            <w:tcBorders>
              <w:top w:val="nil"/>
              <w:left w:val="nil"/>
              <w:bottom w:val="nil"/>
              <w:right w:val="nil"/>
            </w:tcBorders>
            <w:shd w:val="clear" w:color="auto" w:fill="auto"/>
            <w:noWrap/>
            <w:vAlign w:val="center"/>
          </w:tcPr>
          <w:p w14:paraId="20FA259E" w14:textId="74C359CF" w:rsidR="003C1EB2" w:rsidRDefault="001300AC" w:rsidP="00D61A83">
            <w:pPr>
              <w:keepNext/>
              <w:keepLines/>
              <w:ind w:right="113"/>
              <w:jc w:val="right"/>
              <w:rPr>
                <w:rFonts w:ascii="Arial" w:hAnsi="Arial" w:cs="Arial"/>
                <w:sz w:val="18"/>
                <w:szCs w:val="18"/>
              </w:rPr>
            </w:pPr>
            <w:r>
              <w:rPr>
                <w:rFonts w:ascii="Arial" w:hAnsi="Arial" w:cs="Arial"/>
                <w:sz w:val="18"/>
                <w:szCs w:val="18"/>
              </w:rPr>
              <w:t>4,684</w:t>
            </w:r>
          </w:p>
        </w:tc>
        <w:tc>
          <w:tcPr>
            <w:tcW w:w="934" w:type="dxa"/>
            <w:tcBorders>
              <w:top w:val="nil"/>
              <w:left w:val="nil"/>
              <w:bottom w:val="nil"/>
              <w:right w:val="nil"/>
            </w:tcBorders>
            <w:shd w:val="clear" w:color="auto" w:fill="auto"/>
            <w:noWrap/>
            <w:vAlign w:val="center"/>
          </w:tcPr>
          <w:p w14:paraId="3781ECC6" w14:textId="2ACD6A8F" w:rsidR="003C1EB2" w:rsidRDefault="001300AC" w:rsidP="00D61A83">
            <w:pPr>
              <w:keepNext/>
              <w:keepLines/>
              <w:ind w:right="113"/>
              <w:jc w:val="right"/>
              <w:rPr>
                <w:rFonts w:ascii="Arial" w:hAnsi="Arial" w:cs="Arial"/>
                <w:sz w:val="18"/>
                <w:szCs w:val="18"/>
              </w:rPr>
            </w:pPr>
            <w:r>
              <w:rPr>
                <w:rFonts w:ascii="Arial" w:hAnsi="Arial" w:cs="Arial"/>
                <w:sz w:val="18"/>
                <w:szCs w:val="18"/>
              </w:rPr>
              <w:t>4.0</w:t>
            </w:r>
          </w:p>
        </w:tc>
      </w:tr>
      <w:tr w:rsidR="003C1EB2" w:rsidRPr="00FC0F4B" w14:paraId="69EC6FE3" w14:textId="77777777" w:rsidTr="00D61A83">
        <w:trPr>
          <w:trHeight w:val="317"/>
        </w:trPr>
        <w:tc>
          <w:tcPr>
            <w:tcW w:w="3106" w:type="dxa"/>
            <w:tcBorders>
              <w:top w:val="nil"/>
              <w:left w:val="nil"/>
              <w:bottom w:val="nil"/>
              <w:right w:val="nil"/>
            </w:tcBorders>
            <w:shd w:val="clear" w:color="auto" w:fill="auto"/>
            <w:noWrap/>
            <w:vAlign w:val="center"/>
          </w:tcPr>
          <w:p w14:paraId="177D5614" w14:textId="7F87EA45" w:rsidR="003C1EB2" w:rsidRPr="00FC0F4B" w:rsidRDefault="003C1EB2" w:rsidP="00D61A83">
            <w:pPr>
              <w:keepNext/>
              <w:keepLines/>
              <w:rPr>
                <w:rFonts w:ascii="Arial" w:hAnsi="Arial" w:cs="Arial"/>
                <w:color w:val="000000"/>
                <w:sz w:val="18"/>
                <w:szCs w:val="18"/>
                <w:lang w:val="en-AU" w:eastAsia="en-AU"/>
              </w:rPr>
            </w:pPr>
            <w:r>
              <w:rPr>
                <w:rFonts w:ascii="Arial" w:hAnsi="Arial" w:cs="Arial"/>
                <w:color w:val="000000"/>
                <w:sz w:val="18"/>
                <w:szCs w:val="18"/>
                <w:lang w:val="en-AU" w:eastAsia="en-AU"/>
              </w:rPr>
              <w:t xml:space="preserve">Treasury </w:t>
            </w:r>
            <w:r w:rsidR="00F946D2">
              <w:rPr>
                <w:rFonts w:ascii="Arial" w:hAnsi="Arial" w:cs="Arial"/>
                <w:color w:val="000000"/>
                <w:sz w:val="18"/>
                <w:szCs w:val="18"/>
                <w:lang w:val="en-AU" w:eastAsia="en-AU"/>
              </w:rPr>
              <w:t xml:space="preserve">(including </w:t>
            </w:r>
            <w:r w:rsidR="00DC317B">
              <w:rPr>
                <w:rFonts w:ascii="Arial" w:hAnsi="Arial" w:cs="Arial"/>
                <w:color w:val="000000"/>
                <w:sz w:val="18"/>
                <w:szCs w:val="18"/>
                <w:lang w:val="en-AU" w:eastAsia="en-AU"/>
              </w:rPr>
              <w:t>Office of Energy and Climate Change)</w:t>
            </w:r>
          </w:p>
        </w:tc>
        <w:tc>
          <w:tcPr>
            <w:tcW w:w="1147" w:type="dxa"/>
            <w:tcBorders>
              <w:top w:val="nil"/>
              <w:left w:val="nil"/>
              <w:bottom w:val="nil"/>
              <w:right w:val="nil"/>
            </w:tcBorders>
            <w:shd w:val="clear" w:color="auto" w:fill="auto"/>
            <w:noWrap/>
            <w:vAlign w:val="center"/>
          </w:tcPr>
          <w:p w14:paraId="3E5C0280" w14:textId="22085678" w:rsidR="003C1EB2" w:rsidRDefault="003C1EB2" w:rsidP="00D61A83">
            <w:pPr>
              <w:keepNext/>
              <w:keepLines/>
              <w:ind w:right="113"/>
              <w:jc w:val="right"/>
              <w:rPr>
                <w:rFonts w:ascii="Arial" w:hAnsi="Arial" w:cs="Arial"/>
                <w:sz w:val="18"/>
                <w:szCs w:val="18"/>
              </w:rPr>
            </w:pPr>
            <w:r>
              <w:rPr>
                <w:rFonts w:ascii="Arial" w:hAnsi="Arial" w:cs="Arial"/>
                <w:sz w:val="18"/>
                <w:szCs w:val="18"/>
              </w:rPr>
              <w:t>1,770</w:t>
            </w:r>
          </w:p>
        </w:tc>
        <w:tc>
          <w:tcPr>
            <w:tcW w:w="1092" w:type="dxa"/>
            <w:gridSpan w:val="2"/>
            <w:tcBorders>
              <w:top w:val="nil"/>
              <w:left w:val="nil"/>
              <w:bottom w:val="nil"/>
              <w:right w:val="nil"/>
            </w:tcBorders>
            <w:shd w:val="clear" w:color="auto" w:fill="auto"/>
            <w:noWrap/>
            <w:vAlign w:val="center"/>
          </w:tcPr>
          <w:p w14:paraId="6AD8BC0B" w14:textId="34EA0F63" w:rsidR="003C1EB2" w:rsidRDefault="003C1EB2" w:rsidP="00D61A83">
            <w:pPr>
              <w:keepNext/>
              <w:keepLines/>
              <w:ind w:right="113"/>
              <w:jc w:val="right"/>
              <w:rPr>
                <w:rFonts w:ascii="Arial" w:hAnsi="Arial" w:cs="Arial"/>
                <w:sz w:val="18"/>
                <w:szCs w:val="18"/>
              </w:rPr>
            </w:pPr>
            <w:r>
              <w:rPr>
                <w:rFonts w:ascii="Arial" w:hAnsi="Arial" w:cs="Arial"/>
                <w:sz w:val="18"/>
                <w:szCs w:val="18"/>
              </w:rPr>
              <w:t>1,707</w:t>
            </w:r>
          </w:p>
        </w:tc>
        <w:tc>
          <w:tcPr>
            <w:tcW w:w="1120" w:type="dxa"/>
            <w:gridSpan w:val="2"/>
            <w:tcBorders>
              <w:top w:val="nil"/>
              <w:left w:val="nil"/>
              <w:bottom w:val="nil"/>
              <w:right w:val="nil"/>
            </w:tcBorders>
            <w:shd w:val="clear" w:color="auto" w:fill="auto"/>
            <w:noWrap/>
            <w:vAlign w:val="center"/>
          </w:tcPr>
          <w:p w14:paraId="17B2E025" w14:textId="125D21FC" w:rsidR="003C1EB2" w:rsidRDefault="003C1EB2" w:rsidP="00D61A83">
            <w:pPr>
              <w:keepNext/>
              <w:keepLines/>
              <w:ind w:right="113"/>
              <w:jc w:val="right"/>
              <w:rPr>
                <w:rFonts w:ascii="Arial" w:hAnsi="Arial" w:cs="Arial"/>
                <w:sz w:val="18"/>
                <w:szCs w:val="18"/>
              </w:rPr>
            </w:pPr>
            <w:r>
              <w:rPr>
                <w:rFonts w:ascii="Arial" w:hAnsi="Arial" w:cs="Arial"/>
                <w:sz w:val="18"/>
                <w:szCs w:val="18"/>
              </w:rPr>
              <w:t>535</w:t>
            </w:r>
          </w:p>
        </w:tc>
        <w:tc>
          <w:tcPr>
            <w:tcW w:w="1120" w:type="dxa"/>
            <w:gridSpan w:val="2"/>
            <w:tcBorders>
              <w:top w:val="nil"/>
              <w:left w:val="nil"/>
              <w:bottom w:val="nil"/>
              <w:right w:val="nil"/>
            </w:tcBorders>
            <w:shd w:val="clear" w:color="auto" w:fill="auto"/>
            <w:noWrap/>
            <w:vAlign w:val="center"/>
          </w:tcPr>
          <w:p w14:paraId="444D9F84" w14:textId="19ED6BEF" w:rsidR="003C1EB2" w:rsidRDefault="003C1EB2" w:rsidP="00D61A83">
            <w:pPr>
              <w:keepNext/>
              <w:keepLines/>
              <w:ind w:right="113"/>
              <w:jc w:val="right"/>
              <w:rPr>
                <w:rFonts w:ascii="Arial" w:hAnsi="Arial" w:cs="Arial"/>
                <w:sz w:val="18"/>
                <w:szCs w:val="18"/>
              </w:rPr>
            </w:pPr>
            <w:r>
              <w:rPr>
                <w:rFonts w:ascii="Arial" w:hAnsi="Arial" w:cs="Arial"/>
                <w:sz w:val="18"/>
                <w:szCs w:val="18"/>
              </w:rPr>
              <w:t>456</w:t>
            </w:r>
          </w:p>
        </w:tc>
        <w:tc>
          <w:tcPr>
            <w:tcW w:w="1120" w:type="dxa"/>
            <w:tcBorders>
              <w:top w:val="nil"/>
              <w:left w:val="nil"/>
              <w:bottom w:val="nil"/>
              <w:right w:val="nil"/>
            </w:tcBorders>
            <w:shd w:val="clear" w:color="auto" w:fill="auto"/>
            <w:noWrap/>
            <w:vAlign w:val="center"/>
          </w:tcPr>
          <w:p w14:paraId="70ED6E01" w14:textId="445269D2" w:rsidR="003C1EB2" w:rsidRDefault="003C1EB2" w:rsidP="00D61A83">
            <w:pPr>
              <w:keepNext/>
              <w:keepLines/>
              <w:ind w:right="113"/>
              <w:jc w:val="right"/>
              <w:rPr>
                <w:rFonts w:ascii="Arial" w:hAnsi="Arial" w:cs="Arial"/>
                <w:sz w:val="18"/>
                <w:szCs w:val="18"/>
              </w:rPr>
            </w:pPr>
            <w:r>
              <w:rPr>
                <w:rFonts w:ascii="Arial" w:hAnsi="Arial" w:cs="Arial"/>
                <w:sz w:val="18"/>
                <w:szCs w:val="18"/>
              </w:rPr>
              <w:t>4,468</w:t>
            </w:r>
          </w:p>
        </w:tc>
        <w:tc>
          <w:tcPr>
            <w:tcW w:w="934" w:type="dxa"/>
            <w:tcBorders>
              <w:top w:val="nil"/>
              <w:left w:val="nil"/>
              <w:bottom w:val="nil"/>
              <w:right w:val="nil"/>
            </w:tcBorders>
            <w:shd w:val="clear" w:color="auto" w:fill="auto"/>
            <w:noWrap/>
            <w:vAlign w:val="center"/>
          </w:tcPr>
          <w:p w14:paraId="5FA22182" w14:textId="28B26765" w:rsidR="003C1EB2" w:rsidRDefault="003C1EB2" w:rsidP="00D61A83">
            <w:pPr>
              <w:keepNext/>
              <w:keepLines/>
              <w:ind w:right="113"/>
              <w:jc w:val="right"/>
              <w:rPr>
                <w:rFonts w:ascii="Arial" w:hAnsi="Arial" w:cs="Arial"/>
                <w:sz w:val="18"/>
                <w:szCs w:val="18"/>
              </w:rPr>
            </w:pPr>
            <w:r>
              <w:rPr>
                <w:rFonts w:ascii="Arial" w:hAnsi="Arial" w:cs="Arial"/>
                <w:sz w:val="18"/>
                <w:szCs w:val="18"/>
              </w:rPr>
              <w:t>3.8</w:t>
            </w:r>
          </w:p>
        </w:tc>
      </w:tr>
      <w:tr w:rsidR="002933CC" w:rsidRPr="00FC0F4B" w14:paraId="06A83506" w14:textId="77777777" w:rsidTr="00D61A83">
        <w:trPr>
          <w:trHeight w:val="317"/>
        </w:trPr>
        <w:tc>
          <w:tcPr>
            <w:tcW w:w="3106" w:type="dxa"/>
            <w:tcBorders>
              <w:top w:val="nil"/>
              <w:left w:val="nil"/>
              <w:bottom w:val="nil"/>
              <w:right w:val="nil"/>
            </w:tcBorders>
            <w:shd w:val="clear" w:color="auto" w:fill="auto"/>
            <w:noWrap/>
            <w:vAlign w:val="center"/>
          </w:tcPr>
          <w:p w14:paraId="6287B881" w14:textId="468F921A" w:rsidR="002933CC" w:rsidRPr="00FC0F4B" w:rsidRDefault="003C1EB2" w:rsidP="002933CC">
            <w:pPr>
              <w:keepNext/>
              <w:keepLines/>
              <w:rPr>
                <w:rFonts w:ascii="Arial" w:hAnsi="Arial" w:cs="Arial"/>
                <w:color w:val="000000"/>
                <w:sz w:val="18"/>
                <w:szCs w:val="18"/>
                <w:lang w:val="en-AU" w:eastAsia="en-AU"/>
              </w:rPr>
            </w:pPr>
            <w:r w:rsidRPr="00FC0F4B">
              <w:rPr>
                <w:rFonts w:ascii="Arial" w:hAnsi="Arial" w:cs="Arial"/>
                <w:color w:val="000000"/>
                <w:sz w:val="18"/>
                <w:szCs w:val="18"/>
                <w:lang w:val="en-AU" w:eastAsia="en-AU"/>
              </w:rPr>
              <w:t>Communities</w:t>
            </w:r>
            <w:r w:rsidR="00F02DD0">
              <w:rPr>
                <w:rFonts w:ascii="Arial" w:hAnsi="Arial" w:cs="Arial"/>
                <w:color w:val="000000"/>
                <w:sz w:val="18"/>
                <w:szCs w:val="18"/>
                <w:lang w:val="en-AU" w:eastAsia="en-AU"/>
              </w:rPr>
              <w:t xml:space="preserve"> and Justice</w:t>
            </w:r>
          </w:p>
        </w:tc>
        <w:tc>
          <w:tcPr>
            <w:tcW w:w="1147" w:type="dxa"/>
            <w:tcBorders>
              <w:top w:val="nil"/>
              <w:left w:val="nil"/>
              <w:bottom w:val="nil"/>
              <w:right w:val="nil"/>
            </w:tcBorders>
            <w:shd w:val="clear" w:color="auto" w:fill="auto"/>
            <w:noWrap/>
            <w:vAlign w:val="center"/>
          </w:tcPr>
          <w:p w14:paraId="0BBE2846" w14:textId="57F81FB0" w:rsidR="002933CC" w:rsidDel="0081650C" w:rsidRDefault="003C1EB2" w:rsidP="00FA2EC8">
            <w:pPr>
              <w:keepNext/>
              <w:keepLines/>
              <w:ind w:right="113"/>
              <w:jc w:val="right"/>
              <w:rPr>
                <w:rFonts w:ascii="Arial" w:hAnsi="Arial" w:cs="Arial"/>
                <w:sz w:val="18"/>
                <w:szCs w:val="18"/>
              </w:rPr>
            </w:pPr>
            <w:r>
              <w:rPr>
                <w:rFonts w:ascii="Arial" w:hAnsi="Arial" w:cs="Arial"/>
                <w:sz w:val="18"/>
                <w:szCs w:val="18"/>
              </w:rPr>
              <w:t>848</w:t>
            </w:r>
          </w:p>
        </w:tc>
        <w:tc>
          <w:tcPr>
            <w:tcW w:w="1092" w:type="dxa"/>
            <w:gridSpan w:val="2"/>
            <w:tcBorders>
              <w:top w:val="nil"/>
              <w:left w:val="nil"/>
              <w:bottom w:val="nil"/>
              <w:right w:val="nil"/>
            </w:tcBorders>
            <w:shd w:val="clear" w:color="auto" w:fill="auto"/>
            <w:noWrap/>
            <w:vAlign w:val="center"/>
          </w:tcPr>
          <w:p w14:paraId="191BBF21" w14:textId="2C9C4F94" w:rsidR="002933CC" w:rsidDel="0081650C" w:rsidRDefault="003C1EB2">
            <w:pPr>
              <w:keepNext/>
              <w:keepLines/>
              <w:ind w:right="113"/>
              <w:jc w:val="right"/>
              <w:rPr>
                <w:rFonts w:ascii="Arial" w:hAnsi="Arial" w:cs="Arial"/>
                <w:sz w:val="18"/>
                <w:szCs w:val="18"/>
              </w:rPr>
            </w:pPr>
            <w:r>
              <w:rPr>
                <w:rFonts w:ascii="Arial" w:hAnsi="Arial" w:cs="Arial"/>
                <w:sz w:val="18"/>
                <w:szCs w:val="18"/>
              </w:rPr>
              <w:t>699</w:t>
            </w:r>
          </w:p>
        </w:tc>
        <w:tc>
          <w:tcPr>
            <w:tcW w:w="1120" w:type="dxa"/>
            <w:gridSpan w:val="2"/>
            <w:tcBorders>
              <w:top w:val="nil"/>
              <w:left w:val="nil"/>
              <w:bottom w:val="nil"/>
              <w:right w:val="nil"/>
            </w:tcBorders>
            <w:shd w:val="clear" w:color="auto" w:fill="auto"/>
            <w:noWrap/>
            <w:vAlign w:val="center"/>
          </w:tcPr>
          <w:p w14:paraId="58800338" w14:textId="06091419" w:rsidR="002933CC" w:rsidDel="0081650C" w:rsidRDefault="003C1EB2">
            <w:pPr>
              <w:keepNext/>
              <w:keepLines/>
              <w:ind w:right="113"/>
              <w:jc w:val="right"/>
              <w:rPr>
                <w:rFonts w:ascii="Arial" w:hAnsi="Arial" w:cs="Arial"/>
                <w:sz w:val="18"/>
                <w:szCs w:val="18"/>
              </w:rPr>
            </w:pPr>
            <w:r>
              <w:rPr>
                <w:rFonts w:ascii="Arial" w:hAnsi="Arial" w:cs="Arial"/>
                <w:sz w:val="18"/>
                <w:szCs w:val="18"/>
              </w:rPr>
              <w:t>589</w:t>
            </w:r>
          </w:p>
        </w:tc>
        <w:tc>
          <w:tcPr>
            <w:tcW w:w="1120" w:type="dxa"/>
            <w:gridSpan w:val="2"/>
            <w:tcBorders>
              <w:top w:val="nil"/>
              <w:left w:val="nil"/>
              <w:bottom w:val="nil"/>
              <w:right w:val="nil"/>
            </w:tcBorders>
            <w:shd w:val="clear" w:color="auto" w:fill="auto"/>
            <w:noWrap/>
            <w:vAlign w:val="center"/>
          </w:tcPr>
          <w:p w14:paraId="420857F5" w14:textId="70A34F1C" w:rsidR="002933CC" w:rsidDel="0081650C" w:rsidRDefault="003C1EB2">
            <w:pPr>
              <w:keepNext/>
              <w:keepLines/>
              <w:ind w:right="113"/>
              <w:jc w:val="right"/>
              <w:rPr>
                <w:rFonts w:ascii="Arial" w:hAnsi="Arial" w:cs="Arial"/>
                <w:sz w:val="18"/>
                <w:szCs w:val="18"/>
              </w:rPr>
            </w:pPr>
            <w:r>
              <w:rPr>
                <w:rFonts w:ascii="Arial" w:hAnsi="Arial" w:cs="Arial"/>
                <w:sz w:val="18"/>
                <w:szCs w:val="18"/>
              </w:rPr>
              <w:t>54</w:t>
            </w:r>
            <w:r w:rsidR="00FA5D84">
              <w:rPr>
                <w:rFonts w:ascii="Arial" w:hAnsi="Arial" w:cs="Arial"/>
                <w:sz w:val="18"/>
                <w:szCs w:val="18"/>
              </w:rPr>
              <w:t>3</w:t>
            </w:r>
          </w:p>
        </w:tc>
        <w:tc>
          <w:tcPr>
            <w:tcW w:w="1120" w:type="dxa"/>
            <w:tcBorders>
              <w:top w:val="nil"/>
              <w:left w:val="nil"/>
              <w:bottom w:val="nil"/>
              <w:right w:val="nil"/>
            </w:tcBorders>
            <w:shd w:val="clear" w:color="auto" w:fill="auto"/>
            <w:noWrap/>
            <w:vAlign w:val="center"/>
          </w:tcPr>
          <w:p w14:paraId="552318F6" w14:textId="441EC9CD" w:rsidR="002933CC" w:rsidDel="0081650C" w:rsidRDefault="003C1EB2">
            <w:pPr>
              <w:keepNext/>
              <w:keepLines/>
              <w:ind w:right="113"/>
              <w:jc w:val="right"/>
              <w:rPr>
                <w:rFonts w:ascii="Arial" w:hAnsi="Arial" w:cs="Arial"/>
                <w:sz w:val="18"/>
                <w:szCs w:val="18"/>
              </w:rPr>
            </w:pPr>
            <w:r>
              <w:rPr>
                <w:rFonts w:ascii="Arial" w:hAnsi="Arial" w:cs="Arial"/>
                <w:sz w:val="18"/>
                <w:szCs w:val="18"/>
              </w:rPr>
              <w:t>2,6</w:t>
            </w:r>
            <w:r w:rsidR="00FA5D84">
              <w:rPr>
                <w:rFonts w:ascii="Arial" w:hAnsi="Arial" w:cs="Arial"/>
                <w:sz w:val="18"/>
                <w:szCs w:val="18"/>
              </w:rPr>
              <w:t>79</w:t>
            </w:r>
          </w:p>
        </w:tc>
        <w:tc>
          <w:tcPr>
            <w:tcW w:w="934" w:type="dxa"/>
            <w:tcBorders>
              <w:top w:val="nil"/>
              <w:left w:val="nil"/>
              <w:bottom w:val="nil"/>
              <w:right w:val="nil"/>
            </w:tcBorders>
            <w:shd w:val="clear" w:color="auto" w:fill="auto"/>
            <w:noWrap/>
            <w:vAlign w:val="center"/>
          </w:tcPr>
          <w:p w14:paraId="3E816FBB" w14:textId="4825CF45" w:rsidR="002933CC" w:rsidDel="008E683E" w:rsidRDefault="003C1EB2">
            <w:pPr>
              <w:keepNext/>
              <w:keepLines/>
              <w:ind w:right="113"/>
              <w:jc w:val="right"/>
              <w:rPr>
                <w:rFonts w:ascii="Arial" w:hAnsi="Arial" w:cs="Arial"/>
                <w:sz w:val="18"/>
                <w:szCs w:val="18"/>
              </w:rPr>
            </w:pPr>
            <w:r>
              <w:rPr>
                <w:rFonts w:ascii="Arial" w:hAnsi="Arial" w:cs="Arial"/>
                <w:sz w:val="18"/>
                <w:szCs w:val="18"/>
              </w:rPr>
              <w:t>2.3</w:t>
            </w:r>
          </w:p>
        </w:tc>
      </w:tr>
      <w:tr w:rsidR="00977ED1" w:rsidRPr="00FC0F4B" w14:paraId="7BD87AC5" w14:textId="77777777" w:rsidTr="00D61A83">
        <w:trPr>
          <w:trHeight w:val="317"/>
        </w:trPr>
        <w:tc>
          <w:tcPr>
            <w:tcW w:w="3106" w:type="dxa"/>
            <w:tcBorders>
              <w:top w:val="nil"/>
              <w:left w:val="nil"/>
              <w:bottom w:val="nil"/>
              <w:right w:val="nil"/>
            </w:tcBorders>
            <w:shd w:val="clear" w:color="auto" w:fill="auto"/>
            <w:noWrap/>
            <w:vAlign w:val="center"/>
            <w:hideMark/>
          </w:tcPr>
          <w:p w14:paraId="72396455" w14:textId="64F0C4EF" w:rsidR="00977ED1" w:rsidRPr="00FC0F4B" w:rsidRDefault="003C1EB2" w:rsidP="00977ED1">
            <w:pPr>
              <w:keepNext/>
              <w:keepLines/>
              <w:rPr>
                <w:rFonts w:ascii="Arial" w:hAnsi="Arial" w:cs="Arial"/>
                <w:color w:val="000000"/>
                <w:sz w:val="18"/>
                <w:szCs w:val="18"/>
                <w:lang w:val="en-AU" w:eastAsia="en-AU"/>
              </w:rPr>
            </w:pPr>
            <w:r>
              <w:rPr>
                <w:rFonts w:ascii="Arial" w:hAnsi="Arial" w:cs="Arial"/>
                <w:color w:val="000000"/>
                <w:sz w:val="18"/>
                <w:szCs w:val="18"/>
                <w:lang w:val="en-AU" w:eastAsia="en-AU"/>
              </w:rPr>
              <w:t>Customer Service</w:t>
            </w:r>
          </w:p>
        </w:tc>
        <w:tc>
          <w:tcPr>
            <w:tcW w:w="1147" w:type="dxa"/>
            <w:tcBorders>
              <w:top w:val="nil"/>
              <w:left w:val="nil"/>
              <w:bottom w:val="nil"/>
              <w:right w:val="nil"/>
            </w:tcBorders>
            <w:shd w:val="clear" w:color="auto" w:fill="auto"/>
            <w:noWrap/>
            <w:vAlign w:val="center"/>
            <w:hideMark/>
          </w:tcPr>
          <w:p w14:paraId="1ECB0B8A" w14:textId="74B0DBB3" w:rsidR="00977ED1" w:rsidRPr="00977ED1" w:rsidRDefault="003C1EB2" w:rsidP="00977ED1">
            <w:pPr>
              <w:keepNext/>
              <w:keepLines/>
              <w:ind w:right="113"/>
              <w:jc w:val="right"/>
              <w:rPr>
                <w:rFonts w:ascii="Arial" w:hAnsi="Arial" w:cs="Arial"/>
                <w:sz w:val="18"/>
                <w:szCs w:val="18"/>
              </w:rPr>
            </w:pPr>
            <w:r>
              <w:rPr>
                <w:rFonts w:ascii="Arial" w:hAnsi="Arial" w:cs="Arial"/>
                <w:sz w:val="18"/>
                <w:szCs w:val="18"/>
              </w:rPr>
              <w:t>480</w:t>
            </w:r>
          </w:p>
        </w:tc>
        <w:tc>
          <w:tcPr>
            <w:tcW w:w="1092" w:type="dxa"/>
            <w:gridSpan w:val="2"/>
            <w:tcBorders>
              <w:top w:val="nil"/>
              <w:left w:val="nil"/>
              <w:bottom w:val="nil"/>
              <w:right w:val="nil"/>
            </w:tcBorders>
            <w:shd w:val="clear" w:color="auto" w:fill="auto"/>
            <w:noWrap/>
            <w:vAlign w:val="center"/>
            <w:hideMark/>
          </w:tcPr>
          <w:p w14:paraId="6E866DF1" w14:textId="7714070F" w:rsidR="00977ED1" w:rsidRPr="00977ED1" w:rsidRDefault="003C1EB2" w:rsidP="00977ED1">
            <w:pPr>
              <w:keepNext/>
              <w:keepLines/>
              <w:ind w:right="113"/>
              <w:jc w:val="right"/>
              <w:rPr>
                <w:rFonts w:ascii="Arial" w:hAnsi="Arial" w:cs="Arial"/>
                <w:sz w:val="18"/>
                <w:szCs w:val="18"/>
              </w:rPr>
            </w:pPr>
            <w:r>
              <w:rPr>
                <w:rFonts w:ascii="Arial" w:hAnsi="Arial" w:cs="Arial"/>
                <w:sz w:val="18"/>
                <w:szCs w:val="18"/>
              </w:rPr>
              <w:t>333</w:t>
            </w:r>
          </w:p>
        </w:tc>
        <w:tc>
          <w:tcPr>
            <w:tcW w:w="1120" w:type="dxa"/>
            <w:gridSpan w:val="2"/>
            <w:tcBorders>
              <w:top w:val="nil"/>
              <w:left w:val="nil"/>
              <w:bottom w:val="nil"/>
              <w:right w:val="nil"/>
            </w:tcBorders>
            <w:shd w:val="clear" w:color="auto" w:fill="auto"/>
            <w:noWrap/>
            <w:vAlign w:val="center"/>
            <w:hideMark/>
          </w:tcPr>
          <w:p w14:paraId="3634BB53" w14:textId="30704290" w:rsidR="00977ED1" w:rsidRPr="00977ED1" w:rsidRDefault="003C1EB2" w:rsidP="00977ED1">
            <w:pPr>
              <w:keepNext/>
              <w:keepLines/>
              <w:ind w:right="113"/>
              <w:jc w:val="right"/>
              <w:rPr>
                <w:rFonts w:ascii="Arial" w:hAnsi="Arial" w:cs="Arial"/>
                <w:sz w:val="18"/>
                <w:szCs w:val="18"/>
              </w:rPr>
            </w:pPr>
            <w:r>
              <w:rPr>
                <w:rFonts w:ascii="Arial" w:hAnsi="Arial" w:cs="Arial"/>
                <w:sz w:val="18"/>
                <w:szCs w:val="18"/>
              </w:rPr>
              <w:t>305</w:t>
            </w:r>
          </w:p>
        </w:tc>
        <w:tc>
          <w:tcPr>
            <w:tcW w:w="1120" w:type="dxa"/>
            <w:gridSpan w:val="2"/>
            <w:tcBorders>
              <w:top w:val="nil"/>
              <w:left w:val="nil"/>
              <w:bottom w:val="nil"/>
              <w:right w:val="nil"/>
            </w:tcBorders>
            <w:shd w:val="clear" w:color="auto" w:fill="auto"/>
            <w:noWrap/>
            <w:vAlign w:val="center"/>
            <w:hideMark/>
          </w:tcPr>
          <w:p w14:paraId="200333E6" w14:textId="364E39CD" w:rsidR="00977ED1" w:rsidRPr="00977ED1" w:rsidRDefault="003C1EB2" w:rsidP="00977ED1">
            <w:pPr>
              <w:keepNext/>
              <w:keepLines/>
              <w:ind w:right="113"/>
              <w:jc w:val="right"/>
              <w:rPr>
                <w:rFonts w:ascii="Arial" w:hAnsi="Arial" w:cs="Arial"/>
                <w:sz w:val="18"/>
                <w:szCs w:val="18"/>
              </w:rPr>
            </w:pPr>
            <w:r>
              <w:rPr>
                <w:rFonts w:ascii="Arial" w:hAnsi="Arial" w:cs="Arial"/>
                <w:sz w:val="18"/>
                <w:szCs w:val="18"/>
              </w:rPr>
              <w:t>109</w:t>
            </w:r>
          </w:p>
        </w:tc>
        <w:tc>
          <w:tcPr>
            <w:tcW w:w="1120" w:type="dxa"/>
            <w:tcBorders>
              <w:top w:val="nil"/>
              <w:left w:val="nil"/>
              <w:bottom w:val="nil"/>
              <w:right w:val="nil"/>
            </w:tcBorders>
            <w:shd w:val="clear" w:color="auto" w:fill="auto"/>
            <w:noWrap/>
            <w:vAlign w:val="center"/>
            <w:hideMark/>
          </w:tcPr>
          <w:p w14:paraId="35EAC2BE" w14:textId="5D23EDB5" w:rsidR="00977ED1" w:rsidRPr="00977ED1" w:rsidRDefault="003C1EB2" w:rsidP="00977ED1">
            <w:pPr>
              <w:keepNext/>
              <w:keepLines/>
              <w:ind w:right="113"/>
              <w:jc w:val="right"/>
              <w:rPr>
                <w:rFonts w:ascii="Arial" w:hAnsi="Arial" w:cs="Arial"/>
                <w:sz w:val="18"/>
                <w:szCs w:val="18"/>
              </w:rPr>
            </w:pPr>
            <w:r>
              <w:rPr>
                <w:rFonts w:ascii="Arial" w:hAnsi="Arial" w:cs="Arial"/>
                <w:sz w:val="18"/>
                <w:szCs w:val="18"/>
              </w:rPr>
              <w:t>1,227</w:t>
            </w:r>
          </w:p>
        </w:tc>
        <w:tc>
          <w:tcPr>
            <w:tcW w:w="934" w:type="dxa"/>
            <w:tcBorders>
              <w:top w:val="nil"/>
              <w:left w:val="nil"/>
              <w:bottom w:val="nil"/>
              <w:right w:val="nil"/>
            </w:tcBorders>
            <w:shd w:val="clear" w:color="auto" w:fill="auto"/>
            <w:noWrap/>
            <w:vAlign w:val="center"/>
            <w:hideMark/>
          </w:tcPr>
          <w:p w14:paraId="0A3DB1BE" w14:textId="61CD22E4" w:rsidR="00977ED1" w:rsidRPr="00977ED1" w:rsidRDefault="003C1EB2" w:rsidP="00977ED1">
            <w:pPr>
              <w:keepNext/>
              <w:keepLines/>
              <w:ind w:right="113"/>
              <w:jc w:val="right"/>
              <w:rPr>
                <w:rFonts w:ascii="Arial" w:hAnsi="Arial" w:cs="Arial"/>
                <w:sz w:val="18"/>
                <w:szCs w:val="18"/>
              </w:rPr>
            </w:pPr>
            <w:r>
              <w:rPr>
                <w:rFonts w:ascii="Arial" w:hAnsi="Arial" w:cs="Arial"/>
                <w:sz w:val="18"/>
                <w:szCs w:val="18"/>
              </w:rPr>
              <w:t>1.1</w:t>
            </w:r>
          </w:p>
        </w:tc>
      </w:tr>
      <w:tr w:rsidR="003C1EB2" w:rsidRPr="00FC0F4B" w14:paraId="537CDD62" w14:textId="77777777" w:rsidTr="00D61A83">
        <w:trPr>
          <w:trHeight w:val="317"/>
        </w:trPr>
        <w:tc>
          <w:tcPr>
            <w:tcW w:w="3106" w:type="dxa"/>
            <w:tcBorders>
              <w:top w:val="nil"/>
              <w:left w:val="nil"/>
              <w:bottom w:val="nil"/>
              <w:right w:val="nil"/>
            </w:tcBorders>
            <w:shd w:val="clear" w:color="auto" w:fill="auto"/>
            <w:noWrap/>
            <w:vAlign w:val="center"/>
          </w:tcPr>
          <w:p w14:paraId="628A721E" w14:textId="1ED92D5C" w:rsidR="003C1EB2" w:rsidRDefault="006263FA" w:rsidP="00D61A83">
            <w:pPr>
              <w:keepNext/>
              <w:keepLines/>
              <w:rPr>
                <w:rFonts w:ascii="Arial" w:hAnsi="Arial" w:cs="Arial"/>
                <w:color w:val="000000"/>
                <w:sz w:val="18"/>
                <w:szCs w:val="18"/>
                <w:lang w:val="en-AU" w:eastAsia="en-AU"/>
              </w:rPr>
            </w:pPr>
            <w:r>
              <w:rPr>
                <w:rFonts w:ascii="Arial" w:hAnsi="Arial" w:cs="Arial"/>
                <w:color w:val="000000"/>
                <w:sz w:val="18"/>
                <w:szCs w:val="18"/>
                <w:lang w:val="en-AU" w:eastAsia="en-AU"/>
              </w:rPr>
              <w:t>Jobs and Tourism</w:t>
            </w:r>
          </w:p>
        </w:tc>
        <w:tc>
          <w:tcPr>
            <w:tcW w:w="1147" w:type="dxa"/>
            <w:tcBorders>
              <w:top w:val="nil"/>
              <w:left w:val="nil"/>
              <w:bottom w:val="nil"/>
              <w:right w:val="nil"/>
            </w:tcBorders>
            <w:shd w:val="clear" w:color="auto" w:fill="auto"/>
            <w:noWrap/>
            <w:vAlign w:val="center"/>
          </w:tcPr>
          <w:p w14:paraId="7448E653" w14:textId="040BCBBA" w:rsidR="003C1EB2" w:rsidRDefault="003C1EB2" w:rsidP="00D61A83">
            <w:pPr>
              <w:keepNext/>
              <w:keepLines/>
              <w:ind w:right="113"/>
              <w:jc w:val="right"/>
              <w:rPr>
                <w:rFonts w:ascii="Arial" w:hAnsi="Arial" w:cs="Arial"/>
                <w:sz w:val="18"/>
                <w:szCs w:val="18"/>
              </w:rPr>
            </w:pPr>
            <w:r>
              <w:rPr>
                <w:rFonts w:ascii="Arial" w:hAnsi="Arial" w:cs="Arial"/>
                <w:sz w:val="18"/>
                <w:szCs w:val="18"/>
              </w:rPr>
              <w:t>513</w:t>
            </w:r>
          </w:p>
        </w:tc>
        <w:tc>
          <w:tcPr>
            <w:tcW w:w="1092" w:type="dxa"/>
            <w:gridSpan w:val="2"/>
            <w:tcBorders>
              <w:top w:val="nil"/>
              <w:left w:val="nil"/>
              <w:bottom w:val="nil"/>
              <w:right w:val="nil"/>
            </w:tcBorders>
            <w:shd w:val="clear" w:color="auto" w:fill="auto"/>
            <w:noWrap/>
            <w:vAlign w:val="center"/>
          </w:tcPr>
          <w:p w14:paraId="2BB900E7" w14:textId="56CD9BE0" w:rsidR="003C1EB2" w:rsidRDefault="003C1EB2" w:rsidP="00D61A83">
            <w:pPr>
              <w:keepNext/>
              <w:keepLines/>
              <w:ind w:right="113"/>
              <w:jc w:val="right"/>
              <w:rPr>
                <w:rFonts w:ascii="Arial" w:hAnsi="Arial" w:cs="Arial"/>
                <w:sz w:val="18"/>
                <w:szCs w:val="18"/>
              </w:rPr>
            </w:pPr>
            <w:r>
              <w:rPr>
                <w:rFonts w:ascii="Arial" w:hAnsi="Arial" w:cs="Arial"/>
                <w:sz w:val="18"/>
                <w:szCs w:val="18"/>
              </w:rPr>
              <w:t>271</w:t>
            </w:r>
          </w:p>
        </w:tc>
        <w:tc>
          <w:tcPr>
            <w:tcW w:w="1120" w:type="dxa"/>
            <w:gridSpan w:val="2"/>
            <w:tcBorders>
              <w:top w:val="nil"/>
              <w:left w:val="nil"/>
              <w:bottom w:val="nil"/>
              <w:right w:val="nil"/>
            </w:tcBorders>
            <w:shd w:val="clear" w:color="auto" w:fill="auto"/>
            <w:noWrap/>
            <w:vAlign w:val="center"/>
          </w:tcPr>
          <w:p w14:paraId="73647668" w14:textId="7610A8E4" w:rsidR="003C1EB2" w:rsidRDefault="003C1EB2" w:rsidP="00D61A83">
            <w:pPr>
              <w:keepNext/>
              <w:keepLines/>
              <w:ind w:right="113"/>
              <w:jc w:val="right"/>
              <w:rPr>
                <w:rFonts w:ascii="Arial" w:hAnsi="Arial" w:cs="Arial"/>
                <w:sz w:val="18"/>
                <w:szCs w:val="18"/>
              </w:rPr>
            </w:pPr>
            <w:r>
              <w:rPr>
                <w:rFonts w:ascii="Arial" w:hAnsi="Arial" w:cs="Arial"/>
                <w:sz w:val="18"/>
                <w:szCs w:val="18"/>
              </w:rPr>
              <w:t>97</w:t>
            </w:r>
          </w:p>
        </w:tc>
        <w:tc>
          <w:tcPr>
            <w:tcW w:w="1120" w:type="dxa"/>
            <w:gridSpan w:val="2"/>
            <w:tcBorders>
              <w:top w:val="nil"/>
              <w:left w:val="nil"/>
              <w:bottom w:val="nil"/>
              <w:right w:val="nil"/>
            </w:tcBorders>
            <w:shd w:val="clear" w:color="auto" w:fill="auto"/>
            <w:noWrap/>
            <w:vAlign w:val="center"/>
          </w:tcPr>
          <w:p w14:paraId="701F6179" w14:textId="52B44B65" w:rsidR="003C1EB2" w:rsidRDefault="003C1EB2" w:rsidP="00D61A83">
            <w:pPr>
              <w:keepNext/>
              <w:keepLines/>
              <w:ind w:right="113"/>
              <w:jc w:val="right"/>
              <w:rPr>
                <w:rFonts w:ascii="Arial" w:hAnsi="Arial" w:cs="Arial"/>
                <w:sz w:val="18"/>
                <w:szCs w:val="18"/>
              </w:rPr>
            </w:pPr>
            <w:r>
              <w:rPr>
                <w:rFonts w:ascii="Arial" w:hAnsi="Arial" w:cs="Arial"/>
                <w:sz w:val="18"/>
                <w:szCs w:val="18"/>
              </w:rPr>
              <w:t>64</w:t>
            </w:r>
          </w:p>
        </w:tc>
        <w:tc>
          <w:tcPr>
            <w:tcW w:w="1120" w:type="dxa"/>
            <w:tcBorders>
              <w:top w:val="nil"/>
              <w:left w:val="nil"/>
              <w:bottom w:val="nil"/>
              <w:right w:val="nil"/>
            </w:tcBorders>
            <w:shd w:val="clear" w:color="auto" w:fill="auto"/>
            <w:noWrap/>
            <w:vAlign w:val="center"/>
          </w:tcPr>
          <w:p w14:paraId="7EEB5C29" w14:textId="1B6264ED" w:rsidR="003C1EB2" w:rsidRDefault="003C1EB2" w:rsidP="00D61A83">
            <w:pPr>
              <w:keepNext/>
              <w:keepLines/>
              <w:ind w:right="113"/>
              <w:jc w:val="right"/>
              <w:rPr>
                <w:rFonts w:ascii="Arial" w:hAnsi="Arial" w:cs="Arial"/>
                <w:sz w:val="18"/>
                <w:szCs w:val="18"/>
              </w:rPr>
            </w:pPr>
            <w:r>
              <w:rPr>
                <w:rFonts w:ascii="Arial" w:hAnsi="Arial" w:cs="Arial"/>
                <w:sz w:val="18"/>
                <w:szCs w:val="18"/>
              </w:rPr>
              <w:t>944</w:t>
            </w:r>
          </w:p>
        </w:tc>
        <w:tc>
          <w:tcPr>
            <w:tcW w:w="934" w:type="dxa"/>
            <w:tcBorders>
              <w:top w:val="nil"/>
              <w:left w:val="nil"/>
              <w:bottom w:val="nil"/>
              <w:right w:val="nil"/>
            </w:tcBorders>
            <w:shd w:val="clear" w:color="auto" w:fill="auto"/>
            <w:noWrap/>
            <w:vAlign w:val="center"/>
          </w:tcPr>
          <w:p w14:paraId="263B7ED1" w14:textId="65EAC0CB" w:rsidR="003C1EB2" w:rsidRDefault="003C1EB2" w:rsidP="00D61A83">
            <w:pPr>
              <w:keepNext/>
              <w:keepLines/>
              <w:ind w:right="113"/>
              <w:jc w:val="right"/>
              <w:rPr>
                <w:rFonts w:ascii="Arial" w:hAnsi="Arial" w:cs="Arial"/>
                <w:sz w:val="18"/>
                <w:szCs w:val="18"/>
              </w:rPr>
            </w:pPr>
            <w:r>
              <w:rPr>
                <w:rFonts w:ascii="Arial" w:hAnsi="Arial" w:cs="Arial"/>
                <w:sz w:val="18"/>
                <w:szCs w:val="18"/>
              </w:rPr>
              <w:t>0.8</w:t>
            </w:r>
          </w:p>
        </w:tc>
      </w:tr>
      <w:tr w:rsidR="00977ED1" w:rsidRPr="00FC0F4B" w14:paraId="4E7330CB" w14:textId="77777777" w:rsidTr="00D61A83">
        <w:trPr>
          <w:trHeight w:val="317"/>
        </w:trPr>
        <w:tc>
          <w:tcPr>
            <w:tcW w:w="3106" w:type="dxa"/>
            <w:tcBorders>
              <w:top w:val="nil"/>
              <w:left w:val="nil"/>
              <w:bottom w:val="nil"/>
              <w:right w:val="nil"/>
            </w:tcBorders>
            <w:shd w:val="clear" w:color="auto" w:fill="auto"/>
            <w:noWrap/>
            <w:vAlign w:val="center"/>
            <w:hideMark/>
          </w:tcPr>
          <w:p w14:paraId="3AEAD2F9" w14:textId="7EEA31F7" w:rsidR="00977ED1" w:rsidRPr="00FC0F4B" w:rsidRDefault="003C1EB2" w:rsidP="00977ED1">
            <w:pPr>
              <w:keepNext/>
              <w:keepLines/>
              <w:rPr>
                <w:rFonts w:ascii="Arial" w:hAnsi="Arial" w:cs="Arial"/>
                <w:color w:val="000000"/>
                <w:sz w:val="18"/>
                <w:szCs w:val="18"/>
                <w:lang w:val="en-AU" w:eastAsia="en-AU"/>
              </w:rPr>
            </w:pPr>
            <w:r>
              <w:rPr>
                <w:rFonts w:ascii="Arial" w:hAnsi="Arial" w:cs="Arial"/>
                <w:color w:val="000000"/>
                <w:sz w:val="18"/>
                <w:szCs w:val="18"/>
                <w:lang w:val="en-AU" w:eastAsia="en-AU"/>
              </w:rPr>
              <w:t>Regional NSW</w:t>
            </w:r>
          </w:p>
        </w:tc>
        <w:tc>
          <w:tcPr>
            <w:tcW w:w="1147" w:type="dxa"/>
            <w:tcBorders>
              <w:top w:val="nil"/>
              <w:left w:val="nil"/>
              <w:bottom w:val="nil"/>
              <w:right w:val="nil"/>
            </w:tcBorders>
            <w:shd w:val="clear" w:color="auto" w:fill="auto"/>
            <w:noWrap/>
            <w:vAlign w:val="center"/>
            <w:hideMark/>
          </w:tcPr>
          <w:p w14:paraId="5DAC7A97" w14:textId="12F1F89B" w:rsidR="00977ED1" w:rsidRPr="00977ED1" w:rsidRDefault="00E66647" w:rsidP="00977ED1">
            <w:pPr>
              <w:keepNext/>
              <w:keepLines/>
              <w:ind w:right="113"/>
              <w:jc w:val="right"/>
              <w:rPr>
                <w:rFonts w:ascii="Arial" w:hAnsi="Arial" w:cs="Arial"/>
                <w:sz w:val="18"/>
                <w:szCs w:val="18"/>
              </w:rPr>
            </w:pPr>
            <w:r>
              <w:rPr>
                <w:rFonts w:ascii="Arial" w:hAnsi="Arial" w:cs="Arial"/>
                <w:sz w:val="18"/>
                <w:szCs w:val="18"/>
              </w:rPr>
              <w:t>334</w:t>
            </w:r>
          </w:p>
        </w:tc>
        <w:tc>
          <w:tcPr>
            <w:tcW w:w="1092" w:type="dxa"/>
            <w:gridSpan w:val="2"/>
            <w:tcBorders>
              <w:top w:val="nil"/>
              <w:left w:val="nil"/>
              <w:bottom w:val="nil"/>
              <w:right w:val="nil"/>
            </w:tcBorders>
            <w:shd w:val="clear" w:color="auto" w:fill="auto"/>
            <w:noWrap/>
            <w:vAlign w:val="center"/>
            <w:hideMark/>
          </w:tcPr>
          <w:p w14:paraId="3CE7CE6B" w14:textId="011ADD63" w:rsidR="00977ED1" w:rsidRPr="00977ED1" w:rsidRDefault="003C1EB2" w:rsidP="00977ED1">
            <w:pPr>
              <w:keepNext/>
              <w:keepLines/>
              <w:ind w:right="113"/>
              <w:jc w:val="right"/>
              <w:rPr>
                <w:rFonts w:ascii="Arial" w:hAnsi="Arial" w:cs="Arial"/>
                <w:sz w:val="18"/>
                <w:szCs w:val="18"/>
              </w:rPr>
            </w:pPr>
            <w:r>
              <w:rPr>
                <w:rFonts w:ascii="Arial" w:hAnsi="Arial" w:cs="Arial"/>
                <w:sz w:val="18"/>
                <w:szCs w:val="18"/>
              </w:rPr>
              <w:t>229</w:t>
            </w:r>
          </w:p>
        </w:tc>
        <w:tc>
          <w:tcPr>
            <w:tcW w:w="1120" w:type="dxa"/>
            <w:gridSpan w:val="2"/>
            <w:tcBorders>
              <w:top w:val="nil"/>
              <w:left w:val="nil"/>
              <w:bottom w:val="nil"/>
              <w:right w:val="nil"/>
            </w:tcBorders>
            <w:shd w:val="clear" w:color="auto" w:fill="auto"/>
            <w:noWrap/>
            <w:vAlign w:val="center"/>
            <w:hideMark/>
          </w:tcPr>
          <w:p w14:paraId="23E6B75D" w14:textId="22F9B09A" w:rsidR="00977ED1" w:rsidRPr="00977ED1" w:rsidRDefault="003C1EB2" w:rsidP="00977ED1">
            <w:pPr>
              <w:keepNext/>
              <w:keepLines/>
              <w:ind w:right="113"/>
              <w:jc w:val="right"/>
              <w:rPr>
                <w:rFonts w:ascii="Arial" w:hAnsi="Arial" w:cs="Arial"/>
                <w:sz w:val="18"/>
                <w:szCs w:val="18"/>
              </w:rPr>
            </w:pPr>
            <w:r>
              <w:rPr>
                <w:rFonts w:ascii="Arial" w:hAnsi="Arial" w:cs="Arial"/>
                <w:sz w:val="18"/>
                <w:szCs w:val="18"/>
              </w:rPr>
              <w:t>65</w:t>
            </w:r>
          </w:p>
        </w:tc>
        <w:tc>
          <w:tcPr>
            <w:tcW w:w="1120" w:type="dxa"/>
            <w:gridSpan w:val="2"/>
            <w:tcBorders>
              <w:top w:val="nil"/>
              <w:left w:val="nil"/>
              <w:bottom w:val="nil"/>
              <w:right w:val="nil"/>
            </w:tcBorders>
            <w:shd w:val="clear" w:color="auto" w:fill="auto"/>
            <w:noWrap/>
            <w:vAlign w:val="center"/>
            <w:hideMark/>
          </w:tcPr>
          <w:p w14:paraId="6515321D" w14:textId="670594D9" w:rsidR="00977ED1" w:rsidRPr="00977ED1" w:rsidRDefault="003C1EB2" w:rsidP="00977ED1">
            <w:pPr>
              <w:keepNext/>
              <w:keepLines/>
              <w:ind w:right="113"/>
              <w:jc w:val="right"/>
              <w:rPr>
                <w:rFonts w:ascii="Arial" w:hAnsi="Arial" w:cs="Arial"/>
                <w:sz w:val="18"/>
                <w:szCs w:val="18"/>
              </w:rPr>
            </w:pPr>
            <w:r>
              <w:rPr>
                <w:rFonts w:ascii="Arial" w:hAnsi="Arial" w:cs="Arial"/>
                <w:sz w:val="18"/>
                <w:szCs w:val="18"/>
              </w:rPr>
              <w:t>23</w:t>
            </w:r>
          </w:p>
        </w:tc>
        <w:tc>
          <w:tcPr>
            <w:tcW w:w="1120" w:type="dxa"/>
            <w:tcBorders>
              <w:top w:val="nil"/>
              <w:left w:val="nil"/>
              <w:bottom w:val="nil"/>
              <w:right w:val="nil"/>
            </w:tcBorders>
            <w:shd w:val="clear" w:color="auto" w:fill="auto"/>
            <w:noWrap/>
            <w:vAlign w:val="center"/>
            <w:hideMark/>
          </w:tcPr>
          <w:p w14:paraId="79307FBD" w14:textId="13361996" w:rsidR="00977ED1" w:rsidRPr="00977ED1" w:rsidRDefault="00E66647" w:rsidP="00977ED1">
            <w:pPr>
              <w:keepNext/>
              <w:keepLines/>
              <w:ind w:right="113"/>
              <w:jc w:val="right"/>
              <w:rPr>
                <w:rFonts w:ascii="Arial" w:hAnsi="Arial" w:cs="Arial"/>
                <w:sz w:val="18"/>
                <w:szCs w:val="18"/>
              </w:rPr>
            </w:pPr>
            <w:r>
              <w:rPr>
                <w:rFonts w:ascii="Arial" w:hAnsi="Arial" w:cs="Arial"/>
                <w:sz w:val="18"/>
                <w:szCs w:val="18"/>
              </w:rPr>
              <w:t>652</w:t>
            </w:r>
          </w:p>
        </w:tc>
        <w:tc>
          <w:tcPr>
            <w:tcW w:w="934" w:type="dxa"/>
            <w:tcBorders>
              <w:top w:val="nil"/>
              <w:left w:val="nil"/>
              <w:bottom w:val="nil"/>
              <w:right w:val="nil"/>
            </w:tcBorders>
            <w:shd w:val="clear" w:color="auto" w:fill="auto"/>
            <w:noWrap/>
            <w:vAlign w:val="center"/>
            <w:hideMark/>
          </w:tcPr>
          <w:p w14:paraId="54A16381" w14:textId="5B0369DA" w:rsidR="00977ED1" w:rsidRPr="00977ED1" w:rsidRDefault="00E66647" w:rsidP="00977ED1">
            <w:pPr>
              <w:keepNext/>
              <w:keepLines/>
              <w:ind w:right="113"/>
              <w:jc w:val="right"/>
              <w:rPr>
                <w:rFonts w:ascii="Arial" w:hAnsi="Arial" w:cs="Arial"/>
                <w:sz w:val="18"/>
                <w:szCs w:val="18"/>
              </w:rPr>
            </w:pPr>
            <w:r>
              <w:rPr>
                <w:rFonts w:ascii="Arial" w:hAnsi="Arial" w:cs="Arial"/>
                <w:sz w:val="18"/>
                <w:szCs w:val="18"/>
              </w:rPr>
              <w:t>0.6</w:t>
            </w:r>
          </w:p>
        </w:tc>
      </w:tr>
      <w:tr w:rsidR="00977ED1" w:rsidRPr="00FC0F4B" w14:paraId="5DD459D0" w14:textId="77777777" w:rsidTr="00D61A83">
        <w:trPr>
          <w:trHeight w:val="317"/>
        </w:trPr>
        <w:tc>
          <w:tcPr>
            <w:tcW w:w="3106" w:type="dxa"/>
            <w:tcBorders>
              <w:top w:val="nil"/>
              <w:left w:val="nil"/>
              <w:bottom w:val="nil"/>
              <w:right w:val="nil"/>
            </w:tcBorders>
            <w:shd w:val="clear" w:color="auto" w:fill="auto"/>
            <w:noWrap/>
            <w:vAlign w:val="center"/>
            <w:hideMark/>
          </w:tcPr>
          <w:p w14:paraId="591E9519" w14:textId="086F8C0C" w:rsidR="00977ED1" w:rsidRPr="00FC0F4B" w:rsidRDefault="003C1EB2" w:rsidP="00977ED1">
            <w:pPr>
              <w:keepNext/>
              <w:keepLines/>
              <w:rPr>
                <w:rFonts w:ascii="Arial" w:hAnsi="Arial" w:cs="Arial"/>
                <w:color w:val="000000"/>
                <w:sz w:val="18"/>
                <w:szCs w:val="18"/>
                <w:lang w:val="en-AU" w:eastAsia="en-AU"/>
              </w:rPr>
            </w:pPr>
            <w:r w:rsidRPr="00FC0F4B">
              <w:rPr>
                <w:rFonts w:ascii="Arial" w:hAnsi="Arial" w:cs="Arial"/>
                <w:color w:val="000000"/>
                <w:sz w:val="18"/>
                <w:szCs w:val="18"/>
                <w:lang w:val="en-AU" w:eastAsia="en-AU"/>
              </w:rPr>
              <w:t>Other</w:t>
            </w:r>
            <w:r w:rsidRPr="00FC0F4B">
              <w:rPr>
                <w:rFonts w:ascii="Arial" w:hAnsi="Arial" w:cs="Arial"/>
                <w:color w:val="000000"/>
                <w:sz w:val="18"/>
                <w:szCs w:val="18"/>
                <w:vertAlign w:val="superscript"/>
                <w:lang w:val="en-AU" w:eastAsia="en-AU"/>
              </w:rPr>
              <w:t>(</w:t>
            </w:r>
            <w:r>
              <w:rPr>
                <w:rFonts w:ascii="Arial" w:hAnsi="Arial" w:cs="Arial"/>
                <w:color w:val="000000"/>
                <w:sz w:val="18"/>
                <w:szCs w:val="18"/>
                <w:vertAlign w:val="superscript"/>
                <w:lang w:val="en-AU" w:eastAsia="en-AU"/>
              </w:rPr>
              <w:t>d</w:t>
            </w:r>
            <w:r w:rsidRPr="00FC0F4B">
              <w:rPr>
                <w:rFonts w:ascii="Arial" w:hAnsi="Arial" w:cs="Arial"/>
                <w:color w:val="000000"/>
                <w:sz w:val="18"/>
                <w:szCs w:val="18"/>
                <w:vertAlign w:val="superscript"/>
                <w:lang w:val="en-AU" w:eastAsia="en-AU"/>
              </w:rPr>
              <w:t>)</w:t>
            </w:r>
          </w:p>
        </w:tc>
        <w:tc>
          <w:tcPr>
            <w:tcW w:w="1147" w:type="dxa"/>
            <w:tcBorders>
              <w:top w:val="nil"/>
              <w:left w:val="nil"/>
              <w:bottom w:val="single" w:sz="4" w:space="0" w:color="auto"/>
              <w:right w:val="nil"/>
            </w:tcBorders>
            <w:shd w:val="clear" w:color="auto" w:fill="auto"/>
            <w:noWrap/>
            <w:vAlign w:val="center"/>
            <w:hideMark/>
          </w:tcPr>
          <w:p w14:paraId="054ABE92" w14:textId="03673BFD" w:rsidR="00977ED1" w:rsidRPr="00977ED1" w:rsidRDefault="003C1EB2" w:rsidP="00977ED1">
            <w:pPr>
              <w:keepNext/>
              <w:keepLines/>
              <w:ind w:right="113"/>
              <w:jc w:val="right"/>
              <w:rPr>
                <w:rFonts w:ascii="Arial" w:hAnsi="Arial" w:cs="Arial"/>
                <w:sz w:val="18"/>
                <w:szCs w:val="18"/>
              </w:rPr>
            </w:pPr>
            <w:r>
              <w:rPr>
                <w:rFonts w:ascii="Arial" w:hAnsi="Arial" w:cs="Arial"/>
                <w:sz w:val="18"/>
                <w:szCs w:val="18"/>
              </w:rPr>
              <w:t>(1,324)</w:t>
            </w:r>
          </w:p>
        </w:tc>
        <w:tc>
          <w:tcPr>
            <w:tcW w:w="1092" w:type="dxa"/>
            <w:gridSpan w:val="2"/>
            <w:tcBorders>
              <w:top w:val="nil"/>
              <w:left w:val="nil"/>
              <w:bottom w:val="single" w:sz="4" w:space="0" w:color="auto"/>
              <w:right w:val="nil"/>
            </w:tcBorders>
            <w:shd w:val="clear" w:color="auto" w:fill="auto"/>
            <w:noWrap/>
            <w:vAlign w:val="center"/>
            <w:hideMark/>
          </w:tcPr>
          <w:p w14:paraId="1F7D9C64" w14:textId="670D07C6" w:rsidR="00977ED1" w:rsidRPr="00977ED1" w:rsidRDefault="003C1EB2" w:rsidP="00977ED1">
            <w:pPr>
              <w:keepNext/>
              <w:keepLines/>
              <w:ind w:right="113"/>
              <w:jc w:val="right"/>
              <w:rPr>
                <w:rFonts w:ascii="Arial" w:hAnsi="Arial" w:cs="Arial"/>
                <w:sz w:val="18"/>
                <w:szCs w:val="18"/>
              </w:rPr>
            </w:pPr>
            <w:r>
              <w:rPr>
                <w:rFonts w:ascii="Arial" w:hAnsi="Arial" w:cs="Arial"/>
                <w:sz w:val="18"/>
                <w:szCs w:val="18"/>
              </w:rPr>
              <w:t>(272)</w:t>
            </w:r>
          </w:p>
        </w:tc>
        <w:tc>
          <w:tcPr>
            <w:tcW w:w="1120" w:type="dxa"/>
            <w:gridSpan w:val="2"/>
            <w:tcBorders>
              <w:top w:val="nil"/>
              <w:left w:val="nil"/>
              <w:bottom w:val="single" w:sz="4" w:space="0" w:color="auto"/>
              <w:right w:val="nil"/>
            </w:tcBorders>
            <w:shd w:val="clear" w:color="auto" w:fill="auto"/>
            <w:noWrap/>
            <w:vAlign w:val="center"/>
            <w:hideMark/>
          </w:tcPr>
          <w:p w14:paraId="30E56865" w14:textId="0C32CB0C" w:rsidR="00977ED1" w:rsidRPr="00977ED1" w:rsidRDefault="003C1EB2" w:rsidP="00977ED1">
            <w:pPr>
              <w:keepNext/>
              <w:keepLines/>
              <w:ind w:right="113"/>
              <w:jc w:val="right"/>
              <w:rPr>
                <w:rFonts w:ascii="Arial" w:hAnsi="Arial" w:cs="Arial"/>
                <w:sz w:val="18"/>
                <w:szCs w:val="18"/>
              </w:rPr>
            </w:pPr>
            <w:r>
              <w:rPr>
                <w:rFonts w:ascii="Arial" w:hAnsi="Arial" w:cs="Arial"/>
                <w:sz w:val="18"/>
                <w:szCs w:val="18"/>
              </w:rPr>
              <w:t>2,492</w:t>
            </w:r>
          </w:p>
        </w:tc>
        <w:tc>
          <w:tcPr>
            <w:tcW w:w="1120" w:type="dxa"/>
            <w:gridSpan w:val="2"/>
            <w:tcBorders>
              <w:top w:val="nil"/>
              <w:left w:val="nil"/>
              <w:bottom w:val="single" w:sz="4" w:space="0" w:color="auto"/>
              <w:right w:val="nil"/>
            </w:tcBorders>
            <w:shd w:val="clear" w:color="auto" w:fill="auto"/>
            <w:noWrap/>
            <w:vAlign w:val="center"/>
            <w:hideMark/>
          </w:tcPr>
          <w:p w14:paraId="6BE2A9C7" w14:textId="0CADD5E7" w:rsidR="00977ED1" w:rsidRPr="00977ED1" w:rsidRDefault="003C1EB2" w:rsidP="00977ED1">
            <w:pPr>
              <w:keepNext/>
              <w:keepLines/>
              <w:ind w:right="113"/>
              <w:jc w:val="right"/>
              <w:rPr>
                <w:rFonts w:ascii="Arial" w:hAnsi="Arial" w:cs="Arial"/>
                <w:sz w:val="18"/>
                <w:szCs w:val="18"/>
              </w:rPr>
            </w:pPr>
            <w:r>
              <w:rPr>
                <w:rFonts w:ascii="Arial" w:hAnsi="Arial" w:cs="Arial"/>
                <w:sz w:val="18"/>
                <w:szCs w:val="18"/>
              </w:rPr>
              <w:t>5,68</w:t>
            </w:r>
            <w:r w:rsidR="001F58A8">
              <w:rPr>
                <w:rFonts w:ascii="Arial" w:hAnsi="Arial" w:cs="Arial"/>
                <w:sz w:val="18"/>
                <w:szCs w:val="18"/>
              </w:rPr>
              <w:t>5</w:t>
            </w:r>
          </w:p>
        </w:tc>
        <w:tc>
          <w:tcPr>
            <w:tcW w:w="1120" w:type="dxa"/>
            <w:tcBorders>
              <w:top w:val="nil"/>
              <w:left w:val="nil"/>
              <w:bottom w:val="nil"/>
              <w:right w:val="nil"/>
            </w:tcBorders>
            <w:shd w:val="clear" w:color="auto" w:fill="auto"/>
            <w:noWrap/>
            <w:vAlign w:val="center"/>
            <w:hideMark/>
          </w:tcPr>
          <w:p w14:paraId="7198353F" w14:textId="1EE720FD" w:rsidR="00977ED1" w:rsidRPr="00977ED1" w:rsidRDefault="003C1EB2" w:rsidP="00977ED1">
            <w:pPr>
              <w:keepNext/>
              <w:keepLines/>
              <w:ind w:right="113"/>
              <w:jc w:val="right"/>
              <w:rPr>
                <w:rFonts w:ascii="Arial" w:hAnsi="Arial" w:cs="Arial"/>
                <w:sz w:val="18"/>
                <w:szCs w:val="18"/>
              </w:rPr>
            </w:pPr>
            <w:r>
              <w:rPr>
                <w:rFonts w:ascii="Arial" w:hAnsi="Arial" w:cs="Arial"/>
                <w:sz w:val="18"/>
                <w:szCs w:val="18"/>
              </w:rPr>
              <w:t>6,580</w:t>
            </w:r>
          </w:p>
        </w:tc>
        <w:tc>
          <w:tcPr>
            <w:tcW w:w="934" w:type="dxa"/>
            <w:tcBorders>
              <w:top w:val="nil"/>
              <w:left w:val="nil"/>
              <w:bottom w:val="nil"/>
              <w:right w:val="nil"/>
            </w:tcBorders>
            <w:shd w:val="clear" w:color="auto" w:fill="auto"/>
            <w:noWrap/>
            <w:vAlign w:val="center"/>
            <w:hideMark/>
          </w:tcPr>
          <w:p w14:paraId="773F98C3" w14:textId="4AA799CD" w:rsidR="00977ED1" w:rsidRPr="00977ED1" w:rsidRDefault="003C1EB2" w:rsidP="00977ED1">
            <w:pPr>
              <w:keepNext/>
              <w:keepLines/>
              <w:ind w:right="113"/>
              <w:jc w:val="right"/>
              <w:rPr>
                <w:rFonts w:ascii="Arial" w:hAnsi="Arial" w:cs="Arial"/>
                <w:sz w:val="18"/>
                <w:szCs w:val="18"/>
              </w:rPr>
            </w:pPr>
            <w:r>
              <w:rPr>
                <w:rFonts w:ascii="Arial" w:hAnsi="Arial" w:cs="Arial"/>
                <w:sz w:val="18"/>
                <w:szCs w:val="18"/>
              </w:rPr>
              <w:t>5.6</w:t>
            </w:r>
          </w:p>
        </w:tc>
      </w:tr>
      <w:tr w:rsidR="00977ED1" w:rsidRPr="00FC0F4B" w14:paraId="1C6B8BF1" w14:textId="77777777">
        <w:trPr>
          <w:trHeight w:val="317"/>
        </w:trPr>
        <w:tc>
          <w:tcPr>
            <w:tcW w:w="3106" w:type="dxa"/>
            <w:tcBorders>
              <w:top w:val="single" w:sz="4" w:space="0" w:color="auto"/>
              <w:left w:val="nil"/>
              <w:bottom w:val="single" w:sz="4" w:space="0" w:color="auto"/>
              <w:right w:val="nil"/>
            </w:tcBorders>
            <w:shd w:val="clear" w:color="auto" w:fill="auto"/>
            <w:noWrap/>
            <w:vAlign w:val="center"/>
            <w:hideMark/>
          </w:tcPr>
          <w:p w14:paraId="36866CD6" w14:textId="74AE9C81" w:rsidR="00977ED1" w:rsidRPr="00FC0F4B" w:rsidRDefault="003C1EB2" w:rsidP="00977ED1">
            <w:pPr>
              <w:keepNext/>
              <w:keepLines/>
              <w:rPr>
                <w:rFonts w:ascii="Arial" w:hAnsi="Arial" w:cs="Arial"/>
                <w:color w:val="000000"/>
                <w:sz w:val="18"/>
                <w:szCs w:val="18"/>
                <w:lang w:val="en-AU" w:eastAsia="en-AU"/>
              </w:rPr>
            </w:pPr>
            <w:r w:rsidRPr="009175A7">
              <w:rPr>
                <w:rFonts w:ascii="Arial" w:hAnsi="Arial" w:cs="Arial"/>
                <w:b/>
                <w:bCs/>
                <w:sz w:val="18"/>
                <w:szCs w:val="18"/>
                <w:lang w:val="en-AU" w:eastAsia="en-AU"/>
              </w:rPr>
              <w:t>Total</w:t>
            </w:r>
            <w:r w:rsidRPr="009175A7">
              <w:rPr>
                <w:rFonts w:ascii="Arial" w:hAnsi="Arial" w:cs="Arial"/>
                <w:b/>
                <w:bCs/>
                <w:sz w:val="18"/>
                <w:szCs w:val="18"/>
                <w:vertAlign w:val="superscript"/>
                <w:lang w:val="en-AU" w:eastAsia="en-AU"/>
              </w:rPr>
              <w:t>(e)</w:t>
            </w:r>
          </w:p>
        </w:tc>
        <w:tc>
          <w:tcPr>
            <w:tcW w:w="1147" w:type="dxa"/>
            <w:tcBorders>
              <w:top w:val="single" w:sz="4" w:space="0" w:color="auto"/>
              <w:left w:val="nil"/>
              <w:bottom w:val="single" w:sz="4" w:space="0" w:color="auto"/>
              <w:right w:val="nil"/>
            </w:tcBorders>
            <w:shd w:val="clear" w:color="auto" w:fill="auto"/>
            <w:noWrap/>
            <w:vAlign w:val="center"/>
            <w:hideMark/>
          </w:tcPr>
          <w:p w14:paraId="5E0A1346" w14:textId="2B074E10" w:rsidR="00977ED1" w:rsidRPr="00977ED1" w:rsidRDefault="003C1EB2" w:rsidP="00977ED1">
            <w:pPr>
              <w:keepNext/>
              <w:keepLines/>
              <w:ind w:right="113"/>
              <w:jc w:val="right"/>
              <w:rPr>
                <w:rFonts w:ascii="Arial" w:hAnsi="Arial" w:cs="Arial"/>
                <w:sz w:val="18"/>
                <w:szCs w:val="18"/>
              </w:rPr>
            </w:pPr>
            <w:r>
              <w:rPr>
                <w:rFonts w:ascii="Arial" w:hAnsi="Arial" w:cs="Arial"/>
                <w:sz w:val="18"/>
                <w:szCs w:val="18"/>
              </w:rPr>
              <w:t>29,865</w:t>
            </w:r>
          </w:p>
        </w:tc>
        <w:tc>
          <w:tcPr>
            <w:tcW w:w="1092" w:type="dxa"/>
            <w:gridSpan w:val="2"/>
            <w:tcBorders>
              <w:top w:val="single" w:sz="4" w:space="0" w:color="auto"/>
              <w:left w:val="nil"/>
              <w:bottom w:val="single" w:sz="4" w:space="0" w:color="auto"/>
              <w:right w:val="nil"/>
            </w:tcBorders>
            <w:shd w:val="clear" w:color="auto" w:fill="auto"/>
            <w:noWrap/>
            <w:vAlign w:val="center"/>
            <w:hideMark/>
          </w:tcPr>
          <w:p w14:paraId="439253D9" w14:textId="12C094D1" w:rsidR="00977ED1" w:rsidRPr="00977ED1" w:rsidRDefault="003C1EB2" w:rsidP="00977ED1">
            <w:pPr>
              <w:keepNext/>
              <w:keepLines/>
              <w:ind w:right="113"/>
              <w:jc w:val="right"/>
              <w:rPr>
                <w:rFonts w:ascii="Arial" w:hAnsi="Arial" w:cs="Arial"/>
                <w:sz w:val="18"/>
                <w:szCs w:val="18"/>
              </w:rPr>
            </w:pPr>
            <w:r>
              <w:rPr>
                <w:rFonts w:ascii="Arial" w:hAnsi="Arial" w:cs="Arial"/>
                <w:sz w:val="18"/>
                <w:szCs w:val="18"/>
              </w:rPr>
              <w:t>31,284</w:t>
            </w:r>
          </w:p>
        </w:tc>
        <w:tc>
          <w:tcPr>
            <w:tcW w:w="1120" w:type="dxa"/>
            <w:gridSpan w:val="2"/>
            <w:tcBorders>
              <w:top w:val="single" w:sz="4" w:space="0" w:color="auto"/>
              <w:left w:val="nil"/>
              <w:bottom w:val="single" w:sz="4" w:space="0" w:color="auto"/>
              <w:right w:val="nil"/>
            </w:tcBorders>
            <w:shd w:val="clear" w:color="auto" w:fill="auto"/>
            <w:noWrap/>
            <w:vAlign w:val="center"/>
            <w:hideMark/>
          </w:tcPr>
          <w:p w14:paraId="5FA7897E" w14:textId="56A096F5" w:rsidR="00977ED1" w:rsidRPr="00977ED1" w:rsidRDefault="003C1EB2" w:rsidP="00977ED1">
            <w:pPr>
              <w:keepNext/>
              <w:keepLines/>
              <w:ind w:right="113"/>
              <w:jc w:val="right"/>
              <w:rPr>
                <w:rFonts w:ascii="Arial" w:hAnsi="Arial" w:cs="Arial"/>
                <w:sz w:val="18"/>
                <w:szCs w:val="18"/>
              </w:rPr>
            </w:pPr>
            <w:r>
              <w:rPr>
                <w:rFonts w:ascii="Arial" w:hAnsi="Arial" w:cs="Arial"/>
                <w:sz w:val="18"/>
                <w:szCs w:val="18"/>
              </w:rPr>
              <w:t>28,342</w:t>
            </w:r>
          </w:p>
        </w:tc>
        <w:tc>
          <w:tcPr>
            <w:tcW w:w="1120" w:type="dxa"/>
            <w:gridSpan w:val="2"/>
            <w:tcBorders>
              <w:top w:val="single" w:sz="4" w:space="0" w:color="auto"/>
              <w:left w:val="nil"/>
              <w:bottom w:val="single" w:sz="4" w:space="0" w:color="auto"/>
              <w:right w:val="nil"/>
            </w:tcBorders>
            <w:shd w:val="clear" w:color="auto" w:fill="auto"/>
            <w:noWrap/>
            <w:vAlign w:val="center"/>
            <w:hideMark/>
          </w:tcPr>
          <w:p w14:paraId="39528290" w14:textId="56CC55CC" w:rsidR="00977ED1" w:rsidRPr="00977ED1" w:rsidRDefault="003C1EB2" w:rsidP="00977ED1">
            <w:pPr>
              <w:keepNext/>
              <w:keepLines/>
              <w:ind w:right="113"/>
              <w:jc w:val="right"/>
              <w:rPr>
                <w:rFonts w:ascii="Arial" w:hAnsi="Arial" w:cs="Arial"/>
                <w:sz w:val="18"/>
                <w:szCs w:val="18"/>
              </w:rPr>
            </w:pPr>
            <w:r>
              <w:rPr>
                <w:rFonts w:ascii="Arial" w:hAnsi="Arial" w:cs="Arial"/>
                <w:sz w:val="18"/>
                <w:szCs w:val="18"/>
              </w:rPr>
              <w:t>27,043</w:t>
            </w:r>
          </w:p>
        </w:tc>
        <w:tc>
          <w:tcPr>
            <w:tcW w:w="1120" w:type="dxa"/>
            <w:tcBorders>
              <w:top w:val="single" w:sz="4" w:space="0" w:color="auto"/>
              <w:left w:val="nil"/>
              <w:bottom w:val="single" w:sz="4" w:space="0" w:color="auto"/>
              <w:right w:val="nil"/>
            </w:tcBorders>
            <w:shd w:val="clear" w:color="auto" w:fill="FFFFFF" w:themeFill="background1"/>
            <w:noWrap/>
            <w:vAlign w:val="center"/>
            <w:hideMark/>
          </w:tcPr>
          <w:p w14:paraId="2D679559" w14:textId="5BF6EAAF" w:rsidR="00977ED1" w:rsidRPr="00977ED1" w:rsidRDefault="003C1EB2" w:rsidP="00977ED1">
            <w:pPr>
              <w:keepNext/>
              <w:keepLines/>
              <w:ind w:right="113"/>
              <w:jc w:val="right"/>
              <w:rPr>
                <w:rFonts w:ascii="Arial" w:hAnsi="Arial" w:cs="Arial"/>
                <w:sz w:val="18"/>
                <w:szCs w:val="18"/>
              </w:rPr>
            </w:pPr>
            <w:r>
              <w:rPr>
                <w:rFonts w:ascii="Arial" w:hAnsi="Arial" w:cs="Arial"/>
                <w:sz w:val="18"/>
                <w:szCs w:val="18"/>
              </w:rPr>
              <w:t>116,535</w:t>
            </w:r>
          </w:p>
        </w:tc>
        <w:tc>
          <w:tcPr>
            <w:tcW w:w="934" w:type="dxa"/>
            <w:tcBorders>
              <w:top w:val="single" w:sz="4" w:space="0" w:color="auto"/>
              <w:left w:val="nil"/>
              <w:bottom w:val="single" w:sz="4" w:space="0" w:color="auto"/>
              <w:right w:val="nil"/>
            </w:tcBorders>
            <w:shd w:val="clear" w:color="auto" w:fill="auto"/>
            <w:noWrap/>
            <w:vAlign w:val="center"/>
            <w:hideMark/>
          </w:tcPr>
          <w:p w14:paraId="79D9324C" w14:textId="5CFF3B50" w:rsidR="00977ED1" w:rsidRPr="00977ED1" w:rsidRDefault="003C1EB2" w:rsidP="00977ED1">
            <w:pPr>
              <w:keepNext/>
              <w:keepLines/>
              <w:ind w:right="113"/>
              <w:jc w:val="right"/>
              <w:rPr>
                <w:rFonts w:ascii="Arial" w:hAnsi="Arial" w:cs="Arial"/>
                <w:sz w:val="18"/>
                <w:szCs w:val="18"/>
              </w:rPr>
            </w:pPr>
            <w:r>
              <w:rPr>
                <w:rFonts w:ascii="Arial" w:hAnsi="Arial" w:cs="Arial"/>
                <w:sz w:val="18"/>
                <w:szCs w:val="18"/>
              </w:rPr>
              <w:t>100.0</w:t>
            </w:r>
          </w:p>
        </w:tc>
      </w:tr>
    </w:tbl>
    <w:p w14:paraId="16AD9AE0" w14:textId="77777777" w:rsidR="00A33734" w:rsidRPr="00A1397D" w:rsidRDefault="00A33734" w:rsidP="00340805">
      <w:pPr>
        <w:ind w:left="363"/>
        <w:rPr>
          <w:rFonts w:ascii="Calibri" w:hAnsi="Calibri" w:cs="Calibri"/>
          <w:sz w:val="4"/>
        </w:rPr>
      </w:pPr>
    </w:p>
    <w:p w14:paraId="51CDFD33" w14:textId="4782C872" w:rsidR="00BC6297" w:rsidRPr="007943AE" w:rsidRDefault="00BC6297" w:rsidP="00AC1695">
      <w:pPr>
        <w:pStyle w:val="BP3Footnote"/>
        <w:numPr>
          <w:ilvl w:val="0"/>
          <w:numId w:val="11"/>
        </w:numPr>
        <w:spacing w:before="20" w:after="20"/>
        <w:ind w:left="363" w:hanging="357"/>
        <w:rPr>
          <w:i/>
          <w:szCs w:val="16"/>
        </w:rPr>
      </w:pPr>
      <w:r w:rsidRPr="00013070">
        <w:t xml:space="preserve">Numbers represented in the table are on an eliminated Government Sector basis. This table does not </w:t>
      </w:r>
      <w:r w:rsidR="00257607" w:rsidRPr="005C2EDF">
        <w:rPr>
          <w:szCs w:val="16"/>
        </w:rPr>
        <w:t xml:space="preserve">align </w:t>
      </w:r>
      <w:r w:rsidRPr="005C2EDF">
        <w:rPr>
          <w:szCs w:val="16"/>
        </w:rPr>
        <w:t>with individual agenc</w:t>
      </w:r>
      <w:r w:rsidR="004D058C" w:rsidRPr="005C2EDF">
        <w:rPr>
          <w:szCs w:val="16"/>
        </w:rPr>
        <w:t>y</w:t>
      </w:r>
      <w:r w:rsidRPr="005C2EDF">
        <w:rPr>
          <w:szCs w:val="16"/>
        </w:rPr>
        <w:t xml:space="preserve"> reporting</w:t>
      </w:r>
      <w:r w:rsidR="002D6F04" w:rsidRPr="005C2EDF">
        <w:rPr>
          <w:szCs w:val="16"/>
        </w:rPr>
        <w:t xml:space="preserve"> elsewhere in these Budget Papers</w:t>
      </w:r>
      <w:r w:rsidRPr="005C2EDF">
        <w:rPr>
          <w:szCs w:val="16"/>
        </w:rPr>
        <w:t xml:space="preserve"> which is done on a</w:t>
      </w:r>
      <w:r w:rsidR="005D7461" w:rsidRPr="005C2EDF">
        <w:rPr>
          <w:szCs w:val="16"/>
        </w:rPr>
        <w:t>n</w:t>
      </w:r>
      <w:r w:rsidRPr="005C2EDF">
        <w:rPr>
          <w:szCs w:val="16"/>
        </w:rPr>
        <w:t xml:space="preserve"> uneliminated basis.</w:t>
      </w:r>
    </w:p>
    <w:p w14:paraId="49B515D7" w14:textId="255CFB7C" w:rsidR="00162BE2" w:rsidRPr="00E4299C" w:rsidRDefault="004F685D" w:rsidP="00E4299C">
      <w:pPr>
        <w:pStyle w:val="BP3Footnote"/>
        <w:numPr>
          <w:ilvl w:val="0"/>
          <w:numId w:val="11"/>
        </w:numPr>
        <w:spacing w:before="20" w:after="20"/>
        <w:ind w:left="363" w:hanging="357"/>
      </w:pPr>
      <w:r w:rsidRPr="00013070">
        <w:t xml:space="preserve">Includes Transport </w:t>
      </w:r>
      <w:r w:rsidRPr="002C023D">
        <w:rPr>
          <w:szCs w:val="16"/>
        </w:rPr>
        <w:t>PNFC agencies</w:t>
      </w:r>
      <w:r w:rsidR="000D5731" w:rsidRPr="00E4299C">
        <w:t>.</w:t>
      </w:r>
    </w:p>
    <w:p w14:paraId="062A4216" w14:textId="3F515BF0" w:rsidR="00A33734" w:rsidRPr="00013070" w:rsidRDefault="00A33734" w:rsidP="00E4299C">
      <w:pPr>
        <w:pStyle w:val="BP3Footnote"/>
        <w:numPr>
          <w:ilvl w:val="0"/>
          <w:numId w:val="11"/>
        </w:numPr>
        <w:spacing w:before="20" w:after="20"/>
        <w:ind w:left="363" w:hanging="357"/>
      </w:pPr>
      <w:bookmarkStart w:id="7" w:name="_Hlk515907559"/>
      <w:r w:rsidRPr="00013070">
        <w:t xml:space="preserve">Health </w:t>
      </w:r>
      <w:r w:rsidR="00FD1CB3" w:rsidRPr="00013070">
        <w:t>uneliminated</w:t>
      </w:r>
      <w:r w:rsidRPr="00013070">
        <w:t xml:space="preserve"> spending on capital is </w:t>
      </w:r>
      <w:r w:rsidR="00F7369B" w:rsidRPr="00013070">
        <w:t xml:space="preserve">forecast </w:t>
      </w:r>
      <w:r w:rsidRPr="00013070">
        <w:t>to total $</w:t>
      </w:r>
      <w:r w:rsidR="006B1D0D" w:rsidRPr="00F6605F">
        <w:t>13.8</w:t>
      </w:r>
      <w:r w:rsidR="003C0365" w:rsidRPr="00013070">
        <w:t xml:space="preserve"> </w:t>
      </w:r>
      <w:r w:rsidRPr="00013070">
        <w:t xml:space="preserve">billion over the four years to </w:t>
      </w:r>
      <w:r w:rsidR="00210A9F">
        <w:t>2026-27</w:t>
      </w:r>
      <w:r w:rsidRPr="00013070">
        <w:t>. Table 1.</w:t>
      </w:r>
      <w:r w:rsidR="00FB6A10" w:rsidRPr="00013070">
        <w:t xml:space="preserve">2 </w:t>
      </w:r>
      <w:r w:rsidRPr="00013070">
        <w:t>does not include $</w:t>
      </w:r>
      <w:r w:rsidR="00F65AF7" w:rsidRPr="00013070">
        <w:t>137.0</w:t>
      </w:r>
      <w:r w:rsidR="0041000E" w:rsidRPr="00013070">
        <w:t xml:space="preserve"> </w:t>
      </w:r>
      <w:r w:rsidRPr="00013070">
        <w:t xml:space="preserve">million in </w:t>
      </w:r>
      <w:r w:rsidR="0041000E" w:rsidRPr="00013070">
        <w:t>2023-24</w:t>
      </w:r>
      <w:r w:rsidRPr="00013070">
        <w:t>, $</w:t>
      </w:r>
      <w:r w:rsidR="00F65AF7" w:rsidRPr="00013070">
        <w:t>166.0</w:t>
      </w:r>
      <w:r w:rsidR="009F2537" w:rsidRPr="00013070">
        <w:t> </w:t>
      </w:r>
      <w:r w:rsidRPr="00013070">
        <w:t xml:space="preserve">million in </w:t>
      </w:r>
      <w:r w:rsidR="0041000E" w:rsidRPr="00013070">
        <w:t>2024-25</w:t>
      </w:r>
      <w:r w:rsidRPr="00013070">
        <w:t>, $</w:t>
      </w:r>
      <w:r w:rsidR="000C6866">
        <w:t>14</w:t>
      </w:r>
      <w:r w:rsidR="00D9288A">
        <w:t>1.0</w:t>
      </w:r>
      <w:r w:rsidR="009F2537" w:rsidRPr="00013070">
        <w:t> </w:t>
      </w:r>
      <w:r w:rsidRPr="00013070">
        <w:t xml:space="preserve">million in </w:t>
      </w:r>
      <w:r w:rsidR="00004C99">
        <w:t>2025-26</w:t>
      </w:r>
      <w:r w:rsidRPr="00013070">
        <w:t xml:space="preserve"> and $</w:t>
      </w:r>
      <w:r w:rsidR="00004C99">
        <w:t>117.1</w:t>
      </w:r>
      <w:r w:rsidR="009F2537" w:rsidRPr="00013070">
        <w:t xml:space="preserve"> </w:t>
      </w:r>
      <w:r w:rsidRPr="00013070">
        <w:t xml:space="preserve">million in </w:t>
      </w:r>
      <w:r w:rsidR="00004C99">
        <w:t>2026-27</w:t>
      </w:r>
      <w:r w:rsidRPr="00013070">
        <w:t xml:space="preserve"> for</w:t>
      </w:r>
      <w:r w:rsidR="00577F8B" w:rsidRPr="00013070">
        <w:t xml:space="preserve"> minor capital spending</w:t>
      </w:r>
      <w:r w:rsidRPr="00013070">
        <w:t xml:space="preserve"> </w:t>
      </w:r>
      <w:r w:rsidR="00577F8B" w:rsidRPr="00013070">
        <w:t>for</w:t>
      </w:r>
      <w:r w:rsidRPr="00013070">
        <w:t xml:space="preserve"> the construction of health capital projects which fall below </w:t>
      </w:r>
      <w:r w:rsidR="003E1476" w:rsidRPr="00013070">
        <w:t xml:space="preserve">a </w:t>
      </w:r>
      <w:proofErr w:type="spellStart"/>
      <w:r w:rsidRPr="00013070">
        <w:t>capitalisation</w:t>
      </w:r>
      <w:proofErr w:type="spellEnd"/>
      <w:r w:rsidRPr="00013070">
        <w:t xml:space="preserve"> threshold and </w:t>
      </w:r>
      <w:r w:rsidR="00CB7E00" w:rsidRPr="00013070">
        <w:t xml:space="preserve">are </w:t>
      </w:r>
      <w:r w:rsidRPr="00013070">
        <w:t xml:space="preserve">not </w:t>
      </w:r>
      <w:r w:rsidR="003E1476" w:rsidRPr="00013070">
        <w:t xml:space="preserve">reported </w:t>
      </w:r>
      <w:r w:rsidRPr="00013070">
        <w:t>as capital expenditur</w:t>
      </w:r>
      <w:r w:rsidR="00F7369B" w:rsidRPr="00013070">
        <w:t>e</w:t>
      </w:r>
      <w:r w:rsidR="00F60D11" w:rsidRPr="00013070">
        <w:t>.</w:t>
      </w:r>
      <w:r w:rsidR="00F2086A" w:rsidRPr="00013070">
        <w:t xml:space="preserve"> </w:t>
      </w:r>
    </w:p>
    <w:p w14:paraId="7F7A4260" w14:textId="0B0DDA4C" w:rsidR="00162BE2" w:rsidRPr="00041515" w:rsidRDefault="001B04A7" w:rsidP="00E4299C">
      <w:pPr>
        <w:pStyle w:val="BP3Footnote"/>
        <w:numPr>
          <w:ilvl w:val="0"/>
          <w:numId w:val="11"/>
        </w:numPr>
        <w:spacing w:before="20" w:after="20"/>
        <w:ind w:left="363" w:hanging="357"/>
        <w:rPr>
          <w:szCs w:val="16"/>
        </w:rPr>
      </w:pPr>
      <w:r w:rsidRPr="00013070">
        <w:t>C</w:t>
      </w:r>
      <w:r w:rsidR="00162BE2" w:rsidRPr="00041515">
        <w:rPr>
          <w:szCs w:val="16"/>
        </w:rPr>
        <w:t xml:space="preserve">omprises energy, </w:t>
      </w:r>
      <w:proofErr w:type="gramStart"/>
      <w:r w:rsidR="00162BE2" w:rsidRPr="00041515">
        <w:rPr>
          <w:szCs w:val="16"/>
        </w:rPr>
        <w:t>water</w:t>
      </w:r>
      <w:proofErr w:type="gramEnd"/>
      <w:r w:rsidR="00162BE2" w:rsidRPr="00041515">
        <w:rPr>
          <w:szCs w:val="16"/>
        </w:rPr>
        <w:t xml:space="preserve"> and property PNFC agencies. </w:t>
      </w:r>
      <w:r w:rsidR="002E2289" w:rsidRPr="00041515">
        <w:rPr>
          <w:szCs w:val="16"/>
        </w:rPr>
        <w:t>2023-24</w:t>
      </w:r>
      <w:r w:rsidR="00162BE2" w:rsidRPr="00041515">
        <w:rPr>
          <w:szCs w:val="16"/>
        </w:rPr>
        <w:t xml:space="preserve"> budgets are set out in Chapter </w:t>
      </w:r>
      <w:r w:rsidR="005E3594" w:rsidRPr="00041515">
        <w:rPr>
          <w:szCs w:val="16"/>
        </w:rPr>
        <w:t>6</w:t>
      </w:r>
      <w:r w:rsidR="00162BE2" w:rsidRPr="00041515">
        <w:rPr>
          <w:szCs w:val="16"/>
        </w:rPr>
        <w:t xml:space="preserve">. </w:t>
      </w:r>
      <w:r w:rsidR="001313C7" w:rsidRPr="00041515">
        <w:rPr>
          <w:szCs w:val="16"/>
        </w:rPr>
        <w:t xml:space="preserve">Also includes provisions and </w:t>
      </w:r>
      <w:r w:rsidR="00880D56" w:rsidRPr="00041515">
        <w:rPr>
          <w:szCs w:val="16"/>
        </w:rPr>
        <w:t>slippage forecasts</w:t>
      </w:r>
      <w:r w:rsidR="001313C7" w:rsidRPr="00041515">
        <w:rPr>
          <w:szCs w:val="16"/>
        </w:rPr>
        <w:t xml:space="preserve"> not allocated to an agency. </w:t>
      </w:r>
    </w:p>
    <w:bookmarkEnd w:id="7"/>
    <w:p w14:paraId="71587432" w14:textId="77777777" w:rsidR="00036F1C" w:rsidRDefault="00036F1C" w:rsidP="006E5566">
      <w:pPr>
        <w:rPr>
          <w:rFonts w:eastAsia="Yu Gothic Light"/>
          <w:lang w:val="en-AU"/>
        </w:rPr>
      </w:pPr>
      <w:r>
        <w:br w:type="page"/>
      </w:r>
    </w:p>
    <w:p w14:paraId="5F5BB779" w14:textId="5D7B0390" w:rsidR="00427F40" w:rsidRPr="00930E7C" w:rsidRDefault="00427F40" w:rsidP="00C25339">
      <w:pPr>
        <w:pStyle w:val="BP3Heading2"/>
      </w:pPr>
      <w:r w:rsidRPr="00930E7C">
        <w:lastRenderedPageBreak/>
        <w:t xml:space="preserve">Funding </w:t>
      </w:r>
      <w:r w:rsidR="00E41F59" w:rsidRPr="00930E7C">
        <w:t xml:space="preserve">the </w:t>
      </w:r>
      <w:r w:rsidR="00F2326F" w:rsidRPr="00930E7C">
        <w:t>d</w:t>
      </w:r>
      <w:r w:rsidR="00E41F59" w:rsidRPr="00930E7C">
        <w:t xml:space="preserve">elivery of </w:t>
      </w:r>
      <w:r w:rsidR="00F2326F" w:rsidRPr="00930E7C">
        <w:t>i</w:t>
      </w:r>
      <w:r w:rsidR="00E41F59" w:rsidRPr="00930E7C">
        <w:t>nfrastructure</w:t>
      </w:r>
      <w:bookmarkEnd w:id="6"/>
      <w:r w:rsidR="006F102C" w:rsidRPr="00930E7C">
        <w:t xml:space="preserve"> </w:t>
      </w:r>
    </w:p>
    <w:p w14:paraId="5C9A8BD9" w14:textId="7283769C" w:rsidR="00427F40" w:rsidRPr="00A1397D" w:rsidRDefault="00427F40" w:rsidP="006E0611">
      <w:pPr>
        <w:pStyle w:val="BP3BodyText"/>
      </w:pPr>
      <w:r w:rsidRPr="00A1397D">
        <w:t xml:space="preserve">The State’s capital program </w:t>
      </w:r>
      <w:r w:rsidR="00D00EC0" w:rsidRPr="00A1397D">
        <w:t>of</w:t>
      </w:r>
      <w:r w:rsidRPr="00A1397D">
        <w:t xml:space="preserve"> </w:t>
      </w:r>
      <w:r w:rsidRPr="001F7564">
        <w:t>$</w:t>
      </w:r>
      <w:r w:rsidR="00503FBD">
        <w:t>116.5</w:t>
      </w:r>
      <w:r w:rsidR="00AF1EF7">
        <w:t xml:space="preserve"> </w:t>
      </w:r>
      <w:r w:rsidRPr="00A1397D">
        <w:t xml:space="preserve">billion over four years to </w:t>
      </w:r>
      <w:r w:rsidR="00AF1EF7">
        <w:t>2026-27</w:t>
      </w:r>
      <w:r w:rsidRPr="00A1397D">
        <w:t xml:space="preserve"> is funded </w:t>
      </w:r>
      <w:r w:rsidR="00E60A59">
        <w:t>by a range of sources including</w:t>
      </w:r>
      <w:r w:rsidRPr="00A1397D">
        <w:t>:</w:t>
      </w:r>
    </w:p>
    <w:p w14:paraId="12CD1038" w14:textId="559CB111" w:rsidR="00427F40" w:rsidRPr="00A1397D" w:rsidRDefault="13FA3603" w:rsidP="00537BE8">
      <w:pPr>
        <w:pStyle w:val="BP3Bullet1"/>
      </w:pPr>
      <w:r>
        <w:t>St</w:t>
      </w:r>
      <w:r w:rsidR="00427F40">
        <w:t xml:space="preserve">ate </w:t>
      </w:r>
      <w:r w:rsidR="00B34EC7" w:rsidRPr="00BB56BB">
        <w:t>funding</w:t>
      </w:r>
      <w:r w:rsidR="00427F40">
        <w:t xml:space="preserve">, </w:t>
      </w:r>
      <w:r w:rsidR="00427F40" w:rsidRPr="00090EF0">
        <w:t>comprising</w:t>
      </w:r>
      <w:r w:rsidR="008C42F0">
        <w:t xml:space="preserve"> borrowings, taxation,</w:t>
      </w:r>
      <w:r w:rsidR="00006559">
        <w:t xml:space="preserve"> Restart </w:t>
      </w:r>
      <w:proofErr w:type="gramStart"/>
      <w:r w:rsidR="00006559">
        <w:t>NSW</w:t>
      </w:r>
      <w:proofErr w:type="gramEnd"/>
      <w:r w:rsidR="00006559">
        <w:t xml:space="preserve"> and other own-source State revenues ($</w:t>
      </w:r>
      <w:r w:rsidR="00E34074">
        <w:t>76.</w:t>
      </w:r>
      <w:r w:rsidR="003748A8">
        <w:t>4</w:t>
      </w:r>
      <w:r w:rsidR="00006559">
        <w:t xml:space="preserve"> billion)</w:t>
      </w:r>
    </w:p>
    <w:p w14:paraId="45B43EC1" w14:textId="4BF22F2B" w:rsidR="00427F40" w:rsidRPr="002E6A72" w:rsidRDefault="00846FD3" w:rsidP="00537BE8">
      <w:pPr>
        <w:pStyle w:val="BP3Bullet1"/>
      </w:pPr>
      <w:r>
        <w:t>p</w:t>
      </w:r>
      <w:r w:rsidR="00427F40" w:rsidRPr="00D7033D">
        <w:t xml:space="preserve">ublic </w:t>
      </w:r>
      <w:r w:rsidR="00427F40" w:rsidRPr="002E6A72">
        <w:t>non-</w:t>
      </w:r>
      <w:r w:rsidR="00427F40" w:rsidRPr="0036136B">
        <w:t>financial</w:t>
      </w:r>
      <w:r w:rsidR="00427F40" w:rsidRPr="002E6A72">
        <w:t xml:space="preserve"> corporations (PNFC) </w:t>
      </w:r>
      <w:r w:rsidR="00110DA1" w:rsidRPr="002E6A72">
        <w:t>sources</w:t>
      </w:r>
      <w:r w:rsidR="00427F40" w:rsidRPr="002E6A72">
        <w:t xml:space="preserve"> (including from </w:t>
      </w:r>
      <w:r w:rsidR="00110DA1" w:rsidRPr="002E6A72">
        <w:t>own source revenue,</w:t>
      </w:r>
      <w:r w:rsidR="00427F40" w:rsidRPr="002E6A72">
        <w:t xml:space="preserve"> equity, retained earnings and borrowings) ($</w:t>
      </w:r>
      <w:r w:rsidR="004C7B4D">
        <w:t>26.0</w:t>
      </w:r>
      <w:r w:rsidR="00427F40" w:rsidRPr="002E6A72">
        <w:t> billion)</w:t>
      </w:r>
    </w:p>
    <w:p w14:paraId="2ED841C3" w14:textId="066597D2" w:rsidR="001E1BBD" w:rsidRPr="00D7033D" w:rsidRDefault="00B17C40" w:rsidP="00537BE8">
      <w:pPr>
        <w:pStyle w:val="BP3Bullet1"/>
      </w:pPr>
      <w:r w:rsidRPr="00537BE8">
        <w:t>Australian</w:t>
      </w:r>
      <w:r w:rsidR="00427F40" w:rsidRPr="00D7033D">
        <w:t xml:space="preserve"> Government grants ($</w:t>
      </w:r>
      <w:r w:rsidR="004C7B4D">
        <w:t>14.2</w:t>
      </w:r>
      <w:r w:rsidR="004171BF" w:rsidRPr="00D7033D">
        <w:t xml:space="preserve"> </w:t>
      </w:r>
      <w:r w:rsidR="00427F40" w:rsidRPr="00D7033D">
        <w:t>billion).</w:t>
      </w:r>
    </w:p>
    <w:p w14:paraId="5FBE8702" w14:textId="3D8C0300" w:rsidR="00B11B15" w:rsidRPr="00B11B15" w:rsidRDefault="00D63372" w:rsidP="00487FFB">
      <w:pPr>
        <w:pStyle w:val="BP3Chartx"/>
      </w:pPr>
      <w:r w:rsidRPr="002471AE">
        <w:t xml:space="preserve">Summary of capital expenditure and funding sources </w:t>
      </w:r>
      <w:r w:rsidR="43E94609" w:rsidRPr="002471AE">
        <w:t xml:space="preserve">– </w:t>
      </w:r>
      <w:r w:rsidR="00C953C7">
        <w:t>2023-24</w:t>
      </w:r>
      <w:r w:rsidR="00B7091D" w:rsidRPr="002471AE">
        <w:t xml:space="preserve"> to </w:t>
      </w:r>
      <w:r w:rsidR="00C953C7">
        <w:t>2026-27</w:t>
      </w:r>
      <w:r w:rsidR="00B7091D" w:rsidRPr="002471AE">
        <w:t xml:space="preserve"> </w:t>
      </w:r>
    </w:p>
    <w:p w14:paraId="72037FF0" w14:textId="3A770748" w:rsidR="00D31C84" w:rsidRPr="00B11B15" w:rsidRDefault="005A4CFF" w:rsidP="00B83055">
      <w:pPr>
        <w:rPr>
          <w:lang w:val="en-AU" w:eastAsia="en-AU"/>
        </w:rPr>
      </w:pPr>
      <w:r w:rsidRPr="005A4CFF">
        <w:rPr>
          <w:noProof/>
        </w:rPr>
        <w:t xml:space="preserve"> </w:t>
      </w:r>
      <w:r w:rsidR="00545A8C" w:rsidRPr="005C2EDF">
        <w:rPr>
          <w:rFonts w:ascii="Public Sans" w:hAnsi="Public Sans"/>
          <w:noProof/>
          <w:sz w:val="14"/>
          <w:szCs w:val="14"/>
        </w:rPr>
        <w:drawing>
          <wp:inline distT="0" distB="0" distL="0" distR="0" wp14:anchorId="16E8059B" wp14:editId="4B33FAA9">
            <wp:extent cx="6120765" cy="4410075"/>
            <wp:effectExtent l="0" t="0" r="0" b="0"/>
            <wp:docPr id="3" name="Chart 3" descr="Chart 1.4:  Summary of capital expenditure and funding sources – 2023-24 to 2026-27 ">
              <a:extLst xmlns:a="http://schemas.openxmlformats.org/drawingml/2006/main">
                <a:ext uri="{FF2B5EF4-FFF2-40B4-BE49-F238E27FC236}">
                  <a16:creationId xmlns:a16="http://schemas.microsoft.com/office/drawing/2014/main" id="{E4A53614-D0E3-454A-B5D3-618F5D7B02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81AE7E1" w14:textId="2EB32CF4" w:rsidR="00427F40" w:rsidRPr="00A1397D" w:rsidRDefault="00427F40" w:rsidP="00494BFF">
      <w:pPr>
        <w:pStyle w:val="BP3BodyText"/>
      </w:pPr>
      <w:r w:rsidRPr="00BE2C1A">
        <w:t>As shown in Chart 1.</w:t>
      </w:r>
      <w:r w:rsidR="00E3509F">
        <w:t>3</w:t>
      </w:r>
      <w:r w:rsidRPr="00BE2C1A">
        <w:t xml:space="preserve">, the capital program </w:t>
      </w:r>
      <w:r w:rsidR="0040749C" w:rsidRPr="00BE2C1A">
        <w:t xml:space="preserve">comprises </w:t>
      </w:r>
      <w:r w:rsidRPr="00BE2C1A">
        <w:t>$</w:t>
      </w:r>
      <w:r w:rsidR="00AB77D1">
        <w:t>85.6</w:t>
      </w:r>
      <w:r w:rsidRPr="00BE2C1A">
        <w:t xml:space="preserve"> billion from the general government sector and $</w:t>
      </w:r>
      <w:r w:rsidR="00263750">
        <w:t>31.0</w:t>
      </w:r>
      <w:r w:rsidRPr="00BE2C1A">
        <w:t> billion from the PNFC sector.</w:t>
      </w:r>
    </w:p>
    <w:p w14:paraId="1AC3CF50" w14:textId="77777777" w:rsidR="00036F1C" w:rsidRDefault="00036F1C">
      <w:pPr>
        <w:rPr>
          <w:rFonts w:ascii="Arial" w:hAnsi="Arial"/>
          <w:b/>
          <w:kern w:val="28"/>
          <w:sz w:val="28"/>
          <w:szCs w:val="36"/>
          <w:lang w:val="en-AU"/>
        </w:rPr>
      </w:pPr>
      <w:r>
        <w:br w:type="page"/>
      </w:r>
    </w:p>
    <w:p w14:paraId="780696D4" w14:textId="5204BC97" w:rsidR="007D6809" w:rsidRPr="00736BB2" w:rsidRDefault="007D6809" w:rsidP="002027A3">
      <w:pPr>
        <w:pStyle w:val="BP3Heading3"/>
      </w:pPr>
      <w:r w:rsidRPr="00736BB2">
        <w:lastRenderedPageBreak/>
        <w:t>State funding</w:t>
      </w:r>
    </w:p>
    <w:p w14:paraId="6423172F" w14:textId="61D09515" w:rsidR="00005C4A" w:rsidRDefault="007D6809" w:rsidP="00E71F42">
      <w:pPr>
        <w:pStyle w:val="BP3BodyText"/>
      </w:pPr>
      <w:r w:rsidRPr="003D1E88">
        <w:t xml:space="preserve">The </w:t>
      </w:r>
      <w:r w:rsidR="00C9465F">
        <w:t xml:space="preserve">total </w:t>
      </w:r>
      <w:r w:rsidR="00E41B8B">
        <w:t>S</w:t>
      </w:r>
      <w:r w:rsidRPr="003D1E88">
        <w:t>tate funded program</w:t>
      </w:r>
      <w:r w:rsidR="00C9465F">
        <w:t xml:space="preserve"> </w:t>
      </w:r>
      <w:r w:rsidRPr="003D1E88">
        <w:t>is</w:t>
      </w:r>
      <w:r w:rsidR="00C9465F">
        <w:t xml:space="preserve"> forecast to be</w:t>
      </w:r>
      <w:r w:rsidRPr="003D1E88">
        <w:t xml:space="preserve"> </w:t>
      </w:r>
      <w:r w:rsidRPr="00E42C00">
        <w:t>$</w:t>
      </w:r>
      <w:r w:rsidR="00EE2D6C">
        <w:t>76.</w:t>
      </w:r>
      <w:r w:rsidR="00034567">
        <w:t>4</w:t>
      </w:r>
      <w:r w:rsidRPr="003D1E88">
        <w:t xml:space="preserve"> billion over the four years to </w:t>
      </w:r>
      <w:r w:rsidR="005209B9">
        <w:t>2026-27</w:t>
      </w:r>
      <w:r w:rsidR="006F7476" w:rsidRPr="003D1E88">
        <w:t xml:space="preserve">. </w:t>
      </w:r>
      <w:r w:rsidR="002D4B7F">
        <w:t>State sources are predominately comprised of borrowings</w:t>
      </w:r>
      <w:r w:rsidR="004F0C3A">
        <w:t xml:space="preserve">, highlighting the </w:t>
      </w:r>
      <w:r w:rsidR="00C936B3">
        <w:t>need for</w:t>
      </w:r>
      <w:r w:rsidR="004F0C3A">
        <w:t xml:space="preserve"> sustainable investment </w:t>
      </w:r>
      <w:r w:rsidR="00C936B3">
        <w:t>to stabilise</w:t>
      </w:r>
      <w:r w:rsidR="004F0C3A">
        <w:t xml:space="preserve"> the State’s debt levels.</w:t>
      </w:r>
      <w:r w:rsidR="00C936B3">
        <w:t xml:space="preserve"> </w:t>
      </w:r>
    </w:p>
    <w:p w14:paraId="26AC0F54" w14:textId="62DD0A98" w:rsidR="00427F40" w:rsidRPr="00F71A50" w:rsidRDefault="00B17C40" w:rsidP="002027A3">
      <w:pPr>
        <w:pStyle w:val="BP3Heading3"/>
      </w:pPr>
      <w:r>
        <w:t>Australian</w:t>
      </w:r>
      <w:r w:rsidR="00427F40" w:rsidRPr="00F71A50">
        <w:t xml:space="preserve"> Government funding</w:t>
      </w:r>
    </w:p>
    <w:p w14:paraId="0226B8F5" w14:textId="02CFE1BE" w:rsidR="009948B7" w:rsidRDefault="56081879" w:rsidP="00494BFF">
      <w:pPr>
        <w:pStyle w:val="BP3BodyText"/>
      </w:pPr>
      <w:r w:rsidRPr="003D1E88">
        <w:t>The</w:t>
      </w:r>
      <w:r w:rsidR="00427F40" w:rsidRPr="003D1E88">
        <w:t xml:space="preserve"> </w:t>
      </w:r>
      <w:r w:rsidR="00B17C40">
        <w:t>Australian</w:t>
      </w:r>
      <w:r w:rsidR="00427F40" w:rsidRPr="003D1E88">
        <w:t xml:space="preserve"> Government </w:t>
      </w:r>
      <w:r w:rsidR="00C936B3">
        <w:t>co-funds infrastructure projects across New South Wales</w:t>
      </w:r>
      <w:r w:rsidR="00117096">
        <w:t xml:space="preserve"> and is forecast to</w:t>
      </w:r>
      <w:r w:rsidR="00117096" w:rsidRPr="003D1E88">
        <w:t xml:space="preserve"> </w:t>
      </w:r>
      <w:r w:rsidR="00427F40" w:rsidRPr="003D1E88">
        <w:t xml:space="preserve">contribute </w:t>
      </w:r>
      <w:r w:rsidR="00427F40" w:rsidRPr="00E42C00">
        <w:t>$</w:t>
      </w:r>
      <w:r w:rsidR="00117096">
        <w:t>14.2</w:t>
      </w:r>
      <w:r w:rsidR="005209B9">
        <w:t xml:space="preserve"> </w:t>
      </w:r>
      <w:r w:rsidR="00427F40" w:rsidRPr="003D1E88">
        <w:t xml:space="preserve">billion to </w:t>
      </w:r>
      <w:r w:rsidR="00DA214D">
        <w:t>NSW’s</w:t>
      </w:r>
      <w:r w:rsidR="00427F40" w:rsidRPr="003D1E88">
        <w:t xml:space="preserve"> </w:t>
      </w:r>
      <w:r w:rsidR="007678FF" w:rsidRPr="003D1E88">
        <w:t xml:space="preserve">infrastructure </w:t>
      </w:r>
      <w:r w:rsidR="00427F40" w:rsidRPr="003D1E88">
        <w:t xml:space="preserve">program over the four years to </w:t>
      </w:r>
      <w:r w:rsidR="005209B9">
        <w:t>2026-27</w:t>
      </w:r>
      <w:r w:rsidR="00427F40" w:rsidRPr="003D1E88">
        <w:t xml:space="preserve">. </w:t>
      </w:r>
      <w:r w:rsidR="00117096">
        <w:t xml:space="preserve"> </w:t>
      </w:r>
      <w:r w:rsidR="009948B7">
        <w:t xml:space="preserve">The funding for these projects is subject to the Australian Infrastructure Investment Program Strategic Review (see Box 1.5 for more information), with decisions to be finalised once the Australian Government Review is complete. </w:t>
      </w:r>
    </w:p>
    <w:p w14:paraId="3CF1CF69" w14:textId="19F44470" w:rsidR="001F53ED" w:rsidRDefault="00427F40" w:rsidP="00494BFF">
      <w:pPr>
        <w:pStyle w:val="BP3BodyText"/>
      </w:pPr>
      <w:r w:rsidRPr="003D1E88">
        <w:t>Chart 1.</w:t>
      </w:r>
      <w:r w:rsidR="00B531CF">
        <w:t>5</w:t>
      </w:r>
      <w:r w:rsidRPr="003D1E88">
        <w:t xml:space="preserve"> shows the </w:t>
      </w:r>
      <w:r w:rsidR="00514701">
        <w:t>Australian Government</w:t>
      </w:r>
      <w:r w:rsidR="118E1421" w:rsidRPr="003D1E88">
        <w:t>’s</w:t>
      </w:r>
      <w:r w:rsidRPr="003D1E88">
        <w:t xml:space="preserve"> contribution </w:t>
      </w:r>
      <w:r w:rsidR="009012A8" w:rsidRPr="003D1E88">
        <w:t>as a proportion of the total state capital program</w:t>
      </w:r>
      <w:r w:rsidRPr="003D1E88">
        <w:t xml:space="preserve"> over the years </w:t>
      </w:r>
      <w:r w:rsidR="00120098">
        <w:t>2015-16</w:t>
      </w:r>
      <w:r w:rsidRPr="003D1E88">
        <w:t xml:space="preserve"> to </w:t>
      </w:r>
      <w:r w:rsidR="00120098">
        <w:t>2026-27</w:t>
      </w:r>
      <w:r w:rsidRPr="003D1E88">
        <w:t>.</w:t>
      </w:r>
      <w:r w:rsidRPr="00A1397D">
        <w:t xml:space="preserve"> </w:t>
      </w:r>
    </w:p>
    <w:p w14:paraId="78E44105" w14:textId="4AF22F30" w:rsidR="009712E5" w:rsidRPr="00296A7B" w:rsidRDefault="00514701" w:rsidP="00487FFB">
      <w:pPr>
        <w:pStyle w:val="BP3Chartx"/>
      </w:pPr>
      <w:r>
        <w:t>Australian Government</w:t>
      </w:r>
      <w:r w:rsidR="00427F40" w:rsidRPr="00296A7B">
        <w:t xml:space="preserve"> </w:t>
      </w:r>
      <w:r w:rsidR="00345663" w:rsidRPr="00296A7B">
        <w:t xml:space="preserve">contribution to the State </w:t>
      </w:r>
      <w:r w:rsidR="00D16283" w:rsidRPr="00296A7B">
        <w:t>c</w:t>
      </w:r>
      <w:r w:rsidR="00345663" w:rsidRPr="00296A7B">
        <w:t xml:space="preserve">apital </w:t>
      </w:r>
      <w:r w:rsidR="00D16283" w:rsidRPr="00296A7B">
        <w:t>p</w:t>
      </w:r>
      <w:r w:rsidR="00345663" w:rsidRPr="00296A7B">
        <w:t>rogram</w:t>
      </w:r>
      <w:r w:rsidR="007910D4" w:rsidRPr="00296A7B">
        <w:t xml:space="preserve"> </w:t>
      </w:r>
      <w:r w:rsidR="00B01246">
        <w:t>2015-16</w:t>
      </w:r>
      <w:r w:rsidR="00651C5C">
        <w:t xml:space="preserve"> to </w:t>
      </w:r>
      <w:r w:rsidR="00B01246">
        <w:t>2026</w:t>
      </w:r>
      <w:r w:rsidR="00E41B8B">
        <w:noBreakHyphen/>
      </w:r>
      <w:r w:rsidR="00B01246">
        <w:t>27</w:t>
      </w:r>
      <w:r w:rsidR="00651C5C">
        <w:t xml:space="preserve"> </w:t>
      </w:r>
    </w:p>
    <w:p w14:paraId="58C6BFF5" w14:textId="48092E9C" w:rsidR="00270AA2" w:rsidRDefault="00237629" w:rsidP="007C4C10">
      <w:pPr>
        <w:pStyle w:val="BP3BodyText"/>
      </w:pPr>
      <w:bookmarkStart w:id="8" w:name="_Hlk514421774"/>
      <w:r>
        <w:rPr>
          <w:noProof/>
        </w:rPr>
        <w:drawing>
          <wp:inline distT="0" distB="0" distL="0" distR="0" wp14:anchorId="4FE97E01" wp14:editId="29F8D6E6">
            <wp:extent cx="6116400" cy="2376000"/>
            <wp:effectExtent l="0" t="0" r="17780" b="5715"/>
            <wp:docPr id="7" name="Chart 7" descr="Chart 1.5:  Australian Government contribution to the State capital program 2015-16 to 2026 27 ">
              <a:extLst xmlns:a="http://schemas.openxmlformats.org/drawingml/2006/main">
                <a:ext uri="{FF2B5EF4-FFF2-40B4-BE49-F238E27FC236}">
                  <a16:creationId xmlns:a16="http://schemas.microsoft.com/office/drawing/2014/main" id="{98622D79-36B3-41C7-9132-C3139FB614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3960413" w14:textId="234DFF46" w:rsidR="00D05818" w:rsidRDefault="00D05818">
      <w:pPr>
        <w:rPr>
          <w:rFonts w:ascii="Public Sans" w:eastAsia="Arial" w:hAnsi="Public Sans" w:cs="Arial"/>
          <w:noProof/>
          <w:color w:val="000000" w:themeColor="text1"/>
          <w:sz w:val="22"/>
          <w:szCs w:val="23"/>
          <w:lang w:val="en-AU"/>
        </w:rPr>
      </w:pPr>
    </w:p>
    <w:tbl>
      <w:tblPr>
        <w:tblW w:w="9715" w:type="dxa"/>
        <w:shd w:val="clear" w:color="auto" w:fill="F2F2F2" w:themeFill="background1" w:themeFillShade="F2"/>
        <w:tblLayout w:type="fixed"/>
        <w:tblCellMar>
          <w:left w:w="0" w:type="dxa"/>
          <w:right w:w="0" w:type="dxa"/>
        </w:tblCellMar>
        <w:tblLook w:val="04A0" w:firstRow="1" w:lastRow="0" w:firstColumn="1" w:lastColumn="0" w:noHBand="0" w:noVBand="1"/>
        <w:tblCaption w:val="Box 1.5: Australian Government Infrastructure Investment Program Strategic Review "/>
        <w:tblDescription w:val="Box 1.5: Australian Government Infrastructure Investment Program Strategic Review "/>
      </w:tblPr>
      <w:tblGrid>
        <w:gridCol w:w="9715"/>
      </w:tblGrid>
      <w:tr w:rsidR="00665387" w:rsidRPr="00A1397D" w14:paraId="2B4F3C87" w14:textId="77777777" w:rsidTr="00731E68">
        <w:trPr>
          <w:trHeight w:val="707"/>
        </w:trPr>
        <w:tc>
          <w:tcPr>
            <w:tcW w:w="9715" w:type="dxa"/>
            <w:shd w:val="clear" w:color="auto" w:fill="F2F2F2" w:themeFill="background1" w:themeFillShade="F2"/>
            <w:tcMar>
              <w:top w:w="0" w:type="dxa"/>
              <w:left w:w="108" w:type="dxa"/>
              <w:bottom w:w="0" w:type="dxa"/>
              <w:right w:w="108" w:type="dxa"/>
            </w:tcMar>
          </w:tcPr>
          <w:p w14:paraId="1E0CD376" w14:textId="4FD1765B" w:rsidR="00665387" w:rsidRPr="00461E1C" w:rsidRDefault="00665387" w:rsidP="005C2EDF">
            <w:pPr>
              <w:pStyle w:val="BP3Boxx"/>
            </w:pPr>
            <w:r w:rsidRPr="32B3554B">
              <w:rPr>
                <w:highlight w:val="yellow"/>
              </w:rPr>
              <w:br w:type="page"/>
            </w:r>
            <w:r w:rsidR="00514701">
              <w:t>Australian Government</w:t>
            </w:r>
            <w:r>
              <w:t xml:space="preserve"> Infrastructure </w:t>
            </w:r>
            <w:r w:rsidR="008A0F4D">
              <w:t>Investment Program Strategic Review</w:t>
            </w:r>
            <w:r w:rsidRPr="00461E1C">
              <w:t xml:space="preserve"> </w:t>
            </w:r>
          </w:p>
          <w:p w14:paraId="5B0CC16C" w14:textId="3E8A4920" w:rsidR="00123F62" w:rsidRDefault="000B7063" w:rsidP="00665387">
            <w:pPr>
              <w:pStyle w:val="BP3BodyText"/>
            </w:pPr>
            <w:r>
              <w:t>In May 2023, t</w:t>
            </w:r>
            <w:r w:rsidR="006D596A">
              <w:t xml:space="preserve">he </w:t>
            </w:r>
            <w:r w:rsidR="00514701">
              <w:t>Australian</w:t>
            </w:r>
            <w:r w:rsidR="0033202C">
              <w:t xml:space="preserve"> Government announced the Infrastructure Investment Program Strategic Review</w:t>
            </w:r>
            <w:r w:rsidR="00B6768A">
              <w:t xml:space="preserve">. </w:t>
            </w:r>
            <w:r w:rsidR="00B86FD6">
              <w:t xml:space="preserve">The </w:t>
            </w:r>
            <w:r w:rsidR="00D533DA">
              <w:t xml:space="preserve">Australian Government </w:t>
            </w:r>
            <w:r w:rsidR="00737BA6">
              <w:t>Review</w:t>
            </w:r>
            <w:r w:rsidR="00B86FD6">
              <w:t xml:space="preserve"> </w:t>
            </w:r>
            <w:r w:rsidR="00D533DA">
              <w:t>is</w:t>
            </w:r>
            <w:r w:rsidR="00B86FD6">
              <w:t xml:space="preserve"> examin</w:t>
            </w:r>
            <w:r w:rsidR="00D533DA">
              <w:t>ing</w:t>
            </w:r>
            <w:r w:rsidR="00442BC9">
              <w:t xml:space="preserve"> </w:t>
            </w:r>
            <w:r w:rsidR="00B21C14">
              <w:t xml:space="preserve">the </w:t>
            </w:r>
            <w:r w:rsidR="00637883">
              <w:t xml:space="preserve">$120 billion </w:t>
            </w:r>
            <w:r w:rsidR="008A7C10">
              <w:t>Australian Government</w:t>
            </w:r>
            <w:r w:rsidR="00B21C14">
              <w:t xml:space="preserve"> funded infrastructure program to ensure it is investing in projects that are nationally significant. </w:t>
            </w:r>
          </w:p>
          <w:p w14:paraId="26D608B6" w14:textId="2202CC82" w:rsidR="00A43137" w:rsidRDefault="00950000" w:rsidP="00665387">
            <w:pPr>
              <w:pStyle w:val="BP3BodyText"/>
            </w:pPr>
            <w:r>
              <w:t>T</w:t>
            </w:r>
            <w:r w:rsidR="007120B0">
              <w:t xml:space="preserve">he outcomes of the </w:t>
            </w:r>
            <w:r w:rsidR="00D533DA">
              <w:t>Australian Government</w:t>
            </w:r>
            <w:r w:rsidR="007120B0">
              <w:t xml:space="preserve"> Review</w:t>
            </w:r>
            <w:r w:rsidR="00A43137">
              <w:t xml:space="preserve"> </w:t>
            </w:r>
            <w:r>
              <w:t>will</w:t>
            </w:r>
            <w:r w:rsidR="00A43137">
              <w:t xml:space="preserve"> have significant implications for </w:t>
            </w:r>
            <w:r w:rsidR="00B921EC">
              <w:t xml:space="preserve">the </w:t>
            </w:r>
            <w:r w:rsidR="00A43137">
              <w:t>State’s infrastructure program</w:t>
            </w:r>
            <w:r>
              <w:t xml:space="preserve">, with </w:t>
            </w:r>
            <w:r w:rsidR="00460310">
              <w:t>many</w:t>
            </w:r>
            <w:r w:rsidR="00811B0B" w:rsidRPr="00710184">
              <w:t xml:space="preserve"> NSW </w:t>
            </w:r>
            <w:r w:rsidR="00542E24" w:rsidRPr="00710184">
              <w:t xml:space="preserve">projects </w:t>
            </w:r>
            <w:r w:rsidR="002A089C" w:rsidRPr="00710184">
              <w:t xml:space="preserve">reliant on </w:t>
            </w:r>
            <w:r w:rsidR="0042581F">
              <w:t>Australian Government</w:t>
            </w:r>
            <w:r w:rsidR="002A089C" w:rsidRPr="00710184">
              <w:t xml:space="preserve"> funding</w:t>
            </w:r>
            <w:r w:rsidR="004D0341">
              <w:t>. The continuation of these projects is contingent on the outcomes of the Australian Government Review</w:t>
            </w:r>
            <w:r w:rsidR="002A089C" w:rsidRPr="00710184">
              <w:t xml:space="preserve">. </w:t>
            </w:r>
          </w:p>
          <w:p w14:paraId="4A83548B" w14:textId="61E8D79B" w:rsidR="00665387" w:rsidRPr="006D2C0F" w:rsidRDefault="00304840" w:rsidP="00665387">
            <w:pPr>
              <w:pStyle w:val="BP3BodyText"/>
            </w:pPr>
            <w:r w:rsidRPr="00710184">
              <w:t xml:space="preserve">The </w:t>
            </w:r>
            <w:r w:rsidR="00C60CA5">
              <w:t xml:space="preserve">NSW </w:t>
            </w:r>
            <w:r w:rsidRPr="00710184">
              <w:t xml:space="preserve">Government will engage closely with the </w:t>
            </w:r>
            <w:r w:rsidR="0042581F">
              <w:t>Australian</w:t>
            </w:r>
            <w:r w:rsidRPr="00710184">
              <w:t xml:space="preserve"> Government </w:t>
            </w:r>
            <w:r w:rsidR="00BF55FC" w:rsidRPr="00710184">
              <w:t>to</w:t>
            </w:r>
            <w:r w:rsidR="004E2448" w:rsidRPr="00710184">
              <w:t xml:space="preserve"> </w:t>
            </w:r>
            <w:r w:rsidR="005F1CA2" w:rsidRPr="00710184">
              <w:t>confirm</w:t>
            </w:r>
            <w:r w:rsidR="004E2448" w:rsidRPr="00710184">
              <w:t xml:space="preserve"> </w:t>
            </w:r>
            <w:r w:rsidR="001648C4">
              <w:t xml:space="preserve">that high priority projects continue and </w:t>
            </w:r>
            <w:r w:rsidR="005F1CA2">
              <w:t xml:space="preserve">ensure </w:t>
            </w:r>
            <w:r w:rsidR="00B921EC">
              <w:t xml:space="preserve">the </w:t>
            </w:r>
            <w:r w:rsidR="00380078" w:rsidRPr="00710184">
              <w:t>best outcome for</w:t>
            </w:r>
            <w:r w:rsidR="004E2448" w:rsidRPr="00710184">
              <w:t xml:space="preserve"> New South Wales </w:t>
            </w:r>
            <w:r w:rsidR="00380078" w:rsidRPr="00710184">
              <w:t>residents.</w:t>
            </w:r>
            <w:r w:rsidR="00380078">
              <w:t xml:space="preserve"> </w:t>
            </w:r>
          </w:p>
        </w:tc>
      </w:tr>
    </w:tbl>
    <w:p w14:paraId="0C2368BD" w14:textId="77777777" w:rsidR="007F7E67" w:rsidRDefault="007F7E67" w:rsidP="005C2EDF">
      <w:bookmarkStart w:id="9" w:name="_Toc481587894"/>
      <w:bookmarkStart w:id="10" w:name="_Toc481587890"/>
      <w:bookmarkEnd w:id="8"/>
    </w:p>
    <w:p w14:paraId="54E1D5D5" w14:textId="77777777" w:rsidR="007F7E67" w:rsidRDefault="007F7E67" w:rsidP="007F7E67">
      <w:pPr>
        <w:rPr>
          <w:lang w:val="en-AU"/>
        </w:rPr>
      </w:pPr>
      <w:r>
        <w:br w:type="page"/>
      </w:r>
    </w:p>
    <w:p w14:paraId="43F62056" w14:textId="4575D7BA" w:rsidR="00C83CC7" w:rsidRPr="00930E7C" w:rsidRDefault="00C83CC7" w:rsidP="00C25339">
      <w:pPr>
        <w:pStyle w:val="BP3Heading2"/>
      </w:pPr>
      <w:r w:rsidRPr="00930E7C">
        <w:lastRenderedPageBreak/>
        <w:t>Existing assets and maintenance program</w:t>
      </w:r>
      <w:bookmarkEnd w:id="9"/>
    </w:p>
    <w:p w14:paraId="544365D9" w14:textId="0A86F737" w:rsidR="00C83CC7" w:rsidRDefault="00C83CC7" w:rsidP="002027A3">
      <w:pPr>
        <w:pStyle w:val="BP3Heading3"/>
      </w:pPr>
      <w:r>
        <w:t xml:space="preserve">Existing assets </w:t>
      </w:r>
    </w:p>
    <w:p w14:paraId="07F95E60" w14:textId="4A905AFD" w:rsidR="00620D41" w:rsidRDefault="00FE0E28" w:rsidP="00494BFF">
      <w:pPr>
        <w:pStyle w:val="BP3BodyText"/>
      </w:pPr>
      <w:r>
        <w:t>The</w:t>
      </w:r>
      <w:r w:rsidR="00BF5CFD">
        <w:t xml:space="preserve"> Government’s </w:t>
      </w:r>
      <w:r w:rsidR="00F037D3">
        <w:t>asset base</w:t>
      </w:r>
      <w:r w:rsidR="00DE3ACE">
        <w:t xml:space="preserve"> plays a critical role in the provision </w:t>
      </w:r>
      <w:r w:rsidR="003452F2">
        <w:t xml:space="preserve">of high-quality services. </w:t>
      </w:r>
      <w:r w:rsidR="005F6EC8">
        <w:t xml:space="preserve">Asset management by agencies is the cornerstone of a sustainable infrastructure investment. It enhances the reliability, efficiency, resilience and longevity of critical infrastructure, </w:t>
      </w:r>
      <w:proofErr w:type="gramStart"/>
      <w:r w:rsidR="005F6EC8">
        <w:t>equipment</w:t>
      </w:r>
      <w:proofErr w:type="gramEnd"/>
      <w:r w:rsidR="005F6EC8">
        <w:t xml:space="preserve"> and systems necessary for services provided to the community. </w:t>
      </w:r>
    </w:p>
    <w:p w14:paraId="1682D864" w14:textId="0A84E787" w:rsidR="0020733D" w:rsidRDefault="003E0DB7" w:rsidP="00494BFF">
      <w:pPr>
        <w:pStyle w:val="BP3BodyText"/>
        <w:rPr>
          <w:rFonts w:eastAsiaTheme="minorHAnsi"/>
          <w:szCs w:val="22"/>
        </w:rPr>
      </w:pPr>
      <w:r w:rsidRPr="000672E8">
        <w:t>Table 1.</w:t>
      </w:r>
      <w:r w:rsidR="008C19F4" w:rsidRPr="000672E8">
        <w:t>3</w:t>
      </w:r>
      <w:r w:rsidRPr="000672E8">
        <w:t xml:space="preserve"> shows that </w:t>
      </w:r>
      <w:r w:rsidR="00EB5472" w:rsidRPr="000672E8">
        <w:t>the State’s asset base</w:t>
      </w:r>
      <w:r w:rsidR="00702179" w:rsidRPr="000672E8">
        <w:t xml:space="preserve"> </w:t>
      </w:r>
      <w:r w:rsidR="00E34A62">
        <w:t>will</w:t>
      </w:r>
      <w:r w:rsidR="00702179" w:rsidRPr="000672E8">
        <w:t xml:space="preserve"> grow</w:t>
      </w:r>
      <w:r w:rsidR="008B7F8C">
        <w:t xml:space="preserve"> </w:t>
      </w:r>
      <w:proofErr w:type="gramStart"/>
      <w:r w:rsidR="00590EF4">
        <w:t>as a result of</w:t>
      </w:r>
      <w:proofErr w:type="gramEnd"/>
      <w:r w:rsidR="00590EF4">
        <w:t xml:space="preserve"> </w:t>
      </w:r>
      <w:r w:rsidR="00E34A62">
        <w:t xml:space="preserve">the Government’s </w:t>
      </w:r>
      <w:r w:rsidR="00575602">
        <w:t>Essential Infrastructure Plan</w:t>
      </w:r>
      <w:r w:rsidR="00B738BB">
        <w:t>.</w:t>
      </w:r>
      <w:r w:rsidR="00590EF4">
        <w:t xml:space="preserve"> </w:t>
      </w:r>
      <w:r w:rsidR="00EB5472" w:rsidRPr="000672E8">
        <w:t xml:space="preserve">The </w:t>
      </w:r>
      <w:r w:rsidR="00D152BD" w:rsidRPr="000672E8">
        <w:t>State’s physical assets are estimated to have a value of $</w:t>
      </w:r>
      <w:r w:rsidR="008F1610">
        <w:t>492.6</w:t>
      </w:r>
      <w:r w:rsidR="00C02968">
        <w:t xml:space="preserve"> </w:t>
      </w:r>
      <w:r w:rsidR="00D152BD" w:rsidRPr="000672E8">
        <w:t xml:space="preserve">billion as </w:t>
      </w:r>
      <w:proofErr w:type="gramStart"/>
      <w:r w:rsidR="00D152BD" w:rsidRPr="000672E8">
        <w:t>at</w:t>
      </w:r>
      <w:proofErr w:type="gramEnd"/>
      <w:r w:rsidR="00D152BD" w:rsidRPr="000672E8">
        <w:t xml:space="preserve"> 30 June </w:t>
      </w:r>
      <w:r w:rsidR="000923D3" w:rsidRPr="000672E8">
        <w:t>202</w:t>
      </w:r>
      <w:r w:rsidR="00C02968">
        <w:t>3</w:t>
      </w:r>
      <w:r w:rsidR="00D152BD" w:rsidRPr="000672E8">
        <w:t xml:space="preserve">, </w:t>
      </w:r>
      <w:r w:rsidR="009D61DE" w:rsidRPr="000672E8">
        <w:t xml:space="preserve">representing </w:t>
      </w:r>
      <w:r w:rsidR="00D152BD" w:rsidRPr="000672E8">
        <w:t>an increase of $</w:t>
      </w:r>
      <w:r w:rsidR="009957DA">
        <w:t>55.9</w:t>
      </w:r>
      <w:r w:rsidR="00D83A49" w:rsidRPr="000672E8">
        <w:t xml:space="preserve"> </w:t>
      </w:r>
      <w:r w:rsidR="00D152BD" w:rsidRPr="000672E8">
        <w:t>billion from 30 June 20</w:t>
      </w:r>
      <w:r w:rsidR="00AF392A" w:rsidRPr="000672E8">
        <w:t>2</w:t>
      </w:r>
      <w:r w:rsidR="00C02968">
        <w:t>2</w:t>
      </w:r>
      <w:r w:rsidR="00D152BD" w:rsidRPr="000672E8">
        <w:t xml:space="preserve">. </w:t>
      </w:r>
    </w:p>
    <w:p w14:paraId="25CFA0D8" w14:textId="0246E9CA" w:rsidR="009A0484" w:rsidRPr="006F740E" w:rsidRDefault="00C83CC7" w:rsidP="00055511">
      <w:pPr>
        <w:pStyle w:val="BP3TableHeading"/>
      </w:pPr>
      <w:r w:rsidRPr="006F740E">
        <w:t>State owned physical assets: value by sector</w:t>
      </w:r>
      <w:r w:rsidRPr="006F740E">
        <w:rPr>
          <w:vertAlign w:val="superscript"/>
        </w:rPr>
        <w:t>(a)(b)</w:t>
      </w:r>
      <w:r w:rsidRPr="006F740E">
        <w:t xml:space="preserve"> </w:t>
      </w:r>
    </w:p>
    <w:tbl>
      <w:tblPr>
        <w:tblW w:w="9655" w:type="dxa"/>
        <w:tblLayout w:type="fixed"/>
        <w:tblLook w:val="04A0" w:firstRow="1" w:lastRow="0" w:firstColumn="1" w:lastColumn="0" w:noHBand="0" w:noVBand="1"/>
        <w:tblCaption w:val="Table 1.3: State owned physical assets: value by sector(a)(b) "/>
        <w:tblDescription w:val="Table 1.3: State owned physical assets: value by sector(a)(b) "/>
      </w:tblPr>
      <w:tblGrid>
        <w:gridCol w:w="4111"/>
        <w:gridCol w:w="1108"/>
        <w:gridCol w:w="1109"/>
        <w:gridCol w:w="1109"/>
        <w:gridCol w:w="1109"/>
        <w:gridCol w:w="1109"/>
      </w:tblGrid>
      <w:tr w:rsidR="00016E4D" w:rsidRPr="00E801E2" w14:paraId="5C9985FF" w14:textId="77777777" w:rsidTr="009E57F4">
        <w:trPr>
          <w:trHeight w:val="510"/>
        </w:trPr>
        <w:tc>
          <w:tcPr>
            <w:tcW w:w="4111" w:type="dxa"/>
            <w:tcBorders>
              <w:top w:val="nil"/>
              <w:left w:val="nil"/>
              <w:right w:val="nil"/>
            </w:tcBorders>
            <w:shd w:val="clear" w:color="auto" w:fill="EBEBEB"/>
            <w:noWrap/>
            <w:vAlign w:val="bottom"/>
            <w:hideMark/>
          </w:tcPr>
          <w:p w14:paraId="32981F0F" w14:textId="77777777" w:rsidR="00016E4D" w:rsidRPr="00C074DC" w:rsidRDefault="00016E4D" w:rsidP="008C5D92">
            <w:pPr>
              <w:jc w:val="center"/>
              <w:rPr>
                <w:rFonts w:ascii="Arial" w:hAnsi="Arial" w:cs="Arial"/>
                <w:sz w:val="18"/>
                <w:szCs w:val="18"/>
                <w:lang w:val="en-AU" w:eastAsia="en-AU"/>
              </w:rPr>
            </w:pPr>
            <w:r w:rsidRPr="00C074DC">
              <w:rPr>
                <w:rFonts w:ascii="Arial" w:hAnsi="Arial" w:cs="Arial"/>
                <w:sz w:val="18"/>
                <w:szCs w:val="18"/>
                <w:lang w:val="en-AU" w:eastAsia="en-AU"/>
              </w:rPr>
              <w:t xml:space="preserve">As </w:t>
            </w:r>
            <w:proofErr w:type="gramStart"/>
            <w:r w:rsidRPr="00C074DC">
              <w:rPr>
                <w:rFonts w:ascii="Arial" w:hAnsi="Arial" w:cs="Arial"/>
                <w:sz w:val="18"/>
                <w:szCs w:val="18"/>
                <w:lang w:val="en-AU" w:eastAsia="en-AU"/>
              </w:rPr>
              <w:t>at</w:t>
            </w:r>
            <w:proofErr w:type="gramEnd"/>
            <w:r w:rsidRPr="00C074DC">
              <w:rPr>
                <w:rFonts w:ascii="Arial" w:hAnsi="Arial" w:cs="Arial"/>
                <w:sz w:val="18"/>
                <w:szCs w:val="18"/>
                <w:lang w:val="en-AU" w:eastAsia="en-AU"/>
              </w:rPr>
              <w:t xml:space="preserve"> 30 June</w:t>
            </w:r>
          </w:p>
        </w:tc>
        <w:tc>
          <w:tcPr>
            <w:tcW w:w="1108" w:type="dxa"/>
            <w:tcBorders>
              <w:top w:val="nil"/>
              <w:left w:val="nil"/>
              <w:right w:val="nil"/>
            </w:tcBorders>
            <w:shd w:val="clear" w:color="auto" w:fill="EBEBEB"/>
            <w:vAlign w:val="bottom"/>
            <w:hideMark/>
          </w:tcPr>
          <w:p w14:paraId="10EC631C" w14:textId="51577410" w:rsidR="00016E4D" w:rsidRPr="00C074DC" w:rsidRDefault="0023659F" w:rsidP="008C5D92">
            <w:pPr>
              <w:jc w:val="center"/>
              <w:rPr>
                <w:rFonts w:ascii="Arial" w:hAnsi="Arial" w:cs="Arial"/>
                <w:sz w:val="18"/>
                <w:szCs w:val="18"/>
                <w:lang w:val="en-AU" w:eastAsia="en-AU"/>
              </w:rPr>
            </w:pPr>
            <w:r>
              <w:rPr>
                <w:rFonts w:ascii="Arial" w:hAnsi="Arial" w:cs="Arial"/>
                <w:sz w:val="18"/>
                <w:szCs w:val="18"/>
                <w:lang w:val="en-AU" w:eastAsia="en-AU"/>
              </w:rPr>
              <w:t>2020</w:t>
            </w:r>
            <w:r w:rsidR="00016E4D" w:rsidRPr="00C074DC">
              <w:rPr>
                <w:rFonts w:ascii="Arial" w:hAnsi="Arial" w:cs="Arial"/>
                <w:sz w:val="18"/>
                <w:szCs w:val="18"/>
                <w:lang w:val="en-AU" w:eastAsia="en-AU"/>
              </w:rPr>
              <w:br/>
              <w:t xml:space="preserve">Actual </w:t>
            </w:r>
          </w:p>
        </w:tc>
        <w:tc>
          <w:tcPr>
            <w:tcW w:w="1109" w:type="dxa"/>
            <w:tcBorders>
              <w:top w:val="nil"/>
              <w:left w:val="nil"/>
              <w:right w:val="nil"/>
            </w:tcBorders>
            <w:shd w:val="clear" w:color="auto" w:fill="EBEBEB"/>
            <w:vAlign w:val="bottom"/>
            <w:hideMark/>
          </w:tcPr>
          <w:p w14:paraId="57A2E8C9" w14:textId="2F68B78C" w:rsidR="00016E4D" w:rsidRPr="00C074DC" w:rsidRDefault="00016E4D" w:rsidP="008C5D92">
            <w:pPr>
              <w:jc w:val="center"/>
              <w:rPr>
                <w:rFonts w:ascii="Arial" w:hAnsi="Arial" w:cs="Arial"/>
                <w:sz w:val="18"/>
                <w:szCs w:val="18"/>
                <w:lang w:val="en-AU" w:eastAsia="en-AU"/>
              </w:rPr>
            </w:pPr>
            <w:r w:rsidRPr="00C074DC">
              <w:rPr>
                <w:rFonts w:ascii="Arial" w:hAnsi="Arial" w:cs="Arial"/>
                <w:sz w:val="18"/>
                <w:szCs w:val="18"/>
                <w:lang w:val="en-AU" w:eastAsia="en-AU"/>
              </w:rPr>
              <w:t>20</w:t>
            </w:r>
            <w:r w:rsidR="002959D2" w:rsidRPr="00C074DC">
              <w:rPr>
                <w:rFonts w:ascii="Arial" w:hAnsi="Arial" w:cs="Arial"/>
                <w:sz w:val="18"/>
                <w:szCs w:val="18"/>
                <w:lang w:val="en-AU" w:eastAsia="en-AU"/>
              </w:rPr>
              <w:t>2</w:t>
            </w:r>
            <w:r w:rsidR="0023659F">
              <w:rPr>
                <w:rFonts w:ascii="Arial" w:hAnsi="Arial" w:cs="Arial"/>
                <w:sz w:val="18"/>
                <w:szCs w:val="18"/>
                <w:lang w:val="en-AU" w:eastAsia="en-AU"/>
              </w:rPr>
              <w:t>1</w:t>
            </w:r>
            <w:r w:rsidRPr="00C074DC">
              <w:rPr>
                <w:rFonts w:ascii="Arial" w:hAnsi="Arial" w:cs="Arial"/>
                <w:sz w:val="18"/>
                <w:szCs w:val="18"/>
                <w:lang w:val="en-AU" w:eastAsia="en-AU"/>
              </w:rPr>
              <w:br/>
              <w:t xml:space="preserve">Actual </w:t>
            </w:r>
          </w:p>
        </w:tc>
        <w:tc>
          <w:tcPr>
            <w:tcW w:w="1109" w:type="dxa"/>
            <w:tcBorders>
              <w:top w:val="nil"/>
              <w:left w:val="nil"/>
              <w:right w:val="nil"/>
            </w:tcBorders>
            <w:shd w:val="clear" w:color="auto" w:fill="EBEBEB"/>
            <w:vAlign w:val="bottom"/>
            <w:hideMark/>
          </w:tcPr>
          <w:p w14:paraId="1FC94907" w14:textId="08C44B2D" w:rsidR="00016E4D" w:rsidRPr="00C074DC" w:rsidRDefault="00016E4D" w:rsidP="008C5D92">
            <w:pPr>
              <w:jc w:val="center"/>
              <w:rPr>
                <w:rFonts w:ascii="Arial" w:hAnsi="Arial" w:cs="Arial"/>
                <w:sz w:val="18"/>
                <w:szCs w:val="18"/>
                <w:lang w:val="en-AU" w:eastAsia="en-AU"/>
              </w:rPr>
            </w:pPr>
            <w:r w:rsidRPr="00C074DC">
              <w:rPr>
                <w:rFonts w:ascii="Arial" w:hAnsi="Arial" w:cs="Arial"/>
                <w:sz w:val="18"/>
                <w:szCs w:val="18"/>
                <w:lang w:val="en-AU" w:eastAsia="en-AU"/>
              </w:rPr>
              <w:t>20</w:t>
            </w:r>
            <w:r w:rsidR="00675195" w:rsidRPr="00C074DC">
              <w:rPr>
                <w:rFonts w:ascii="Arial" w:hAnsi="Arial" w:cs="Arial"/>
                <w:sz w:val="18"/>
                <w:szCs w:val="18"/>
                <w:lang w:val="en-AU" w:eastAsia="en-AU"/>
              </w:rPr>
              <w:t>2</w:t>
            </w:r>
            <w:r w:rsidR="0023659F">
              <w:rPr>
                <w:rFonts w:ascii="Arial" w:hAnsi="Arial" w:cs="Arial"/>
                <w:sz w:val="18"/>
                <w:szCs w:val="18"/>
                <w:lang w:val="en-AU" w:eastAsia="en-AU"/>
              </w:rPr>
              <w:t>2</w:t>
            </w:r>
            <w:r w:rsidRPr="00C074DC">
              <w:rPr>
                <w:rFonts w:ascii="Arial" w:hAnsi="Arial" w:cs="Arial"/>
                <w:sz w:val="18"/>
                <w:szCs w:val="18"/>
                <w:lang w:val="en-AU" w:eastAsia="en-AU"/>
              </w:rPr>
              <w:br/>
              <w:t>Actual</w:t>
            </w:r>
          </w:p>
        </w:tc>
        <w:tc>
          <w:tcPr>
            <w:tcW w:w="1109" w:type="dxa"/>
            <w:tcBorders>
              <w:top w:val="nil"/>
              <w:left w:val="nil"/>
              <w:right w:val="nil"/>
            </w:tcBorders>
            <w:shd w:val="clear" w:color="auto" w:fill="EBEBEB"/>
            <w:vAlign w:val="bottom"/>
            <w:hideMark/>
          </w:tcPr>
          <w:p w14:paraId="08035B80" w14:textId="79D55D8A" w:rsidR="00016E4D" w:rsidRPr="00C074DC" w:rsidRDefault="00016E4D" w:rsidP="008C5D92">
            <w:pPr>
              <w:jc w:val="center"/>
              <w:rPr>
                <w:rFonts w:ascii="Arial" w:hAnsi="Arial" w:cs="Arial"/>
                <w:sz w:val="18"/>
                <w:szCs w:val="18"/>
                <w:lang w:val="en-AU" w:eastAsia="en-AU"/>
              </w:rPr>
            </w:pPr>
            <w:r w:rsidRPr="00C074DC">
              <w:rPr>
                <w:rFonts w:ascii="Arial" w:hAnsi="Arial" w:cs="Arial"/>
                <w:sz w:val="18"/>
                <w:szCs w:val="18"/>
                <w:lang w:val="en-AU" w:eastAsia="en-AU"/>
              </w:rPr>
              <w:t>202</w:t>
            </w:r>
            <w:r w:rsidR="0023659F">
              <w:rPr>
                <w:rFonts w:ascii="Arial" w:hAnsi="Arial" w:cs="Arial"/>
                <w:sz w:val="18"/>
                <w:szCs w:val="18"/>
                <w:lang w:val="en-AU" w:eastAsia="en-AU"/>
              </w:rPr>
              <w:t>3</w:t>
            </w:r>
            <w:r w:rsidRPr="00C074DC">
              <w:rPr>
                <w:rFonts w:ascii="Arial" w:hAnsi="Arial" w:cs="Arial"/>
                <w:sz w:val="18"/>
                <w:szCs w:val="18"/>
                <w:lang w:val="en-AU" w:eastAsia="en-AU"/>
              </w:rPr>
              <w:br/>
            </w:r>
            <w:r w:rsidR="0023659F">
              <w:rPr>
                <w:rFonts w:ascii="Arial" w:hAnsi="Arial" w:cs="Arial"/>
                <w:sz w:val="18"/>
                <w:szCs w:val="18"/>
                <w:lang w:val="en-AU" w:eastAsia="en-AU"/>
              </w:rPr>
              <w:t>Est</w:t>
            </w:r>
            <w:r w:rsidR="003951DB">
              <w:rPr>
                <w:rFonts w:ascii="Arial" w:hAnsi="Arial" w:cs="Arial"/>
                <w:sz w:val="18"/>
                <w:szCs w:val="18"/>
                <w:lang w:val="en-AU" w:eastAsia="en-AU"/>
              </w:rPr>
              <w:t>.</w:t>
            </w:r>
            <w:r w:rsidR="0023659F">
              <w:rPr>
                <w:rFonts w:ascii="Arial" w:hAnsi="Arial" w:cs="Arial"/>
                <w:sz w:val="18"/>
                <w:szCs w:val="18"/>
                <w:lang w:val="en-AU" w:eastAsia="en-AU"/>
              </w:rPr>
              <w:t xml:space="preserve"> Actual</w:t>
            </w:r>
          </w:p>
        </w:tc>
        <w:tc>
          <w:tcPr>
            <w:tcW w:w="1109" w:type="dxa"/>
            <w:tcBorders>
              <w:top w:val="nil"/>
              <w:left w:val="nil"/>
              <w:right w:val="nil"/>
            </w:tcBorders>
            <w:shd w:val="clear" w:color="auto" w:fill="EBEBEB"/>
            <w:vAlign w:val="bottom"/>
            <w:hideMark/>
          </w:tcPr>
          <w:p w14:paraId="03D9FBB2" w14:textId="1C95FA72" w:rsidR="00016E4D" w:rsidRPr="00C074DC" w:rsidRDefault="00016E4D" w:rsidP="008C5D92">
            <w:pPr>
              <w:jc w:val="center"/>
              <w:rPr>
                <w:rFonts w:ascii="Arial" w:hAnsi="Arial" w:cs="Arial"/>
                <w:sz w:val="18"/>
                <w:szCs w:val="18"/>
                <w:lang w:val="en-AU" w:eastAsia="en-AU"/>
              </w:rPr>
            </w:pPr>
            <w:r w:rsidRPr="00C074DC">
              <w:rPr>
                <w:rFonts w:ascii="Arial" w:hAnsi="Arial" w:cs="Arial"/>
                <w:sz w:val="18"/>
                <w:szCs w:val="18"/>
                <w:lang w:val="en-AU" w:eastAsia="en-AU"/>
              </w:rPr>
              <w:t>202</w:t>
            </w:r>
            <w:r w:rsidR="0023659F">
              <w:rPr>
                <w:rFonts w:ascii="Arial" w:hAnsi="Arial" w:cs="Arial"/>
                <w:sz w:val="18"/>
                <w:szCs w:val="18"/>
                <w:lang w:val="en-AU" w:eastAsia="en-AU"/>
              </w:rPr>
              <w:t>4</w:t>
            </w:r>
            <w:r w:rsidRPr="00C074DC">
              <w:rPr>
                <w:rFonts w:ascii="Arial" w:hAnsi="Arial" w:cs="Arial"/>
                <w:sz w:val="18"/>
                <w:szCs w:val="18"/>
                <w:lang w:val="en-AU" w:eastAsia="en-AU"/>
              </w:rPr>
              <w:br/>
              <w:t>Budget</w:t>
            </w:r>
          </w:p>
        </w:tc>
      </w:tr>
      <w:tr w:rsidR="00016E4D" w:rsidRPr="00E801E2" w14:paraId="663C9EBD" w14:textId="77777777" w:rsidTr="009E57F4">
        <w:trPr>
          <w:trHeight w:val="283"/>
        </w:trPr>
        <w:tc>
          <w:tcPr>
            <w:tcW w:w="4111" w:type="dxa"/>
            <w:tcBorders>
              <w:top w:val="nil"/>
              <w:left w:val="nil"/>
              <w:bottom w:val="nil"/>
              <w:right w:val="nil"/>
            </w:tcBorders>
            <w:shd w:val="clear" w:color="auto" w:fill="EBEBEB"/>
            <w:vAlign w:val="center"/>
            <w:hideMark/>
          </w:tcPr>
          <w:p w14:paraId="08B67988" w14:textId="77777777" w:rsidR="00016E4D" w:rsidRPr="00C074DC" w:rsidRDefault="00016E4D" w:rsidP="008C5D92">
            <w:pPr>
              <w:jc w:val="center"/>
              <w:rPr>
                <w:rFonts w:ascii="Arial" w:hAnsi="Arial" w:cs="Arial"/>
                <w:sz w:val="18"/>
                <w:szCs w:val="18"/>
                <w:lang w:val="en-AU" w:eastAsia="en-AU"/>
              </w:rPr>
            </w:pPr>
            <w:r w:rsidRPr="00C074DC">
              <w:rPr>
                <w:rFonts w:ascii="Arial" w:hAnsi="Arial" w:cs="Arial"/>
                <w:sz w:val="18"/>
                <w:szCs w:val="18"/>
                <w:lang w:val="en-AU" w:eastAsia="en-AU"/>
              </w:rPr>
              <w:t> </w:t>
            </w:r>
          </w:p>
        </w:tc>
        <w:tc>
          <w:tcPr>
            <w:tcW w:w="1108" w:type="dxa"/>
            <w:tcBorders>
              <w:top w:val="nil"/>
              <w:left w:val="nil"/>
              <w:bottom w:val="nil"/>
              <w:right w:val="nil"/>
            </w:tcBorders>
            <w:shd w:val="clear" w:color="auto" w:fill="EBEBEB"/>
            <w:hideMark/>
          </w:tcPr>
          <w:p w14:paraId="5B610D7A" w14:textId="77777777" w:rsidR="00016E4D" w:rsidRPr="00C074DC" w:rsidRDefault="00016E4D" w:rsidP="008C5D92">
            <w:pPr>
              <w:jc w:val="center"/>
              <w:rPr>
                <w:rFonts w:ascii="Arial" w:hAnsi="Arial" w:cs="Arial"/>
                <w:sz w:val="18"/>
                <w:szCs w:val="18"/>
                <w:lang w:val="en-AU" w:eastAsia="en-AU"/>
              </w:rPr>
            </w:pPr>
            <w:r w:rsidRPr="00C074DC">
              <w:rPr>
                <w:rFonts w:ascii="Arial" w:hAnsi="Arial" w:cs="Arial"/>
                <w:sz w:val="18"/>
                <w:szCs w:val="18"/>
                <w:lang w:val="en-AU" w:eastAsia="en-AU"/>
              </w:rPr>
              <w:t>$m</w:t>
            </w:r>
          </w:p>
        </w:tc>
        <w:tc>
          <w:tcPr>
            <w:tcW w:w="1109" w:type="dxa"/>
            <w:tcBorders>
              <w:top w:val="nil"/>
              <w:left w:val="nil"/>
              <w:bottom w:val="nil"/>
              <w:right w:val="nil"/>
            </w:tcBorders>
            <w:shd w:val="clear" w:color="auto" w:fill="EBEBEB"/>
            <w:hideMark/>
          </w:tcPr>
          <w:p w14:paraId="354EEE91" w14:textId="77777777" w:rsidR="00016E4D" w:rsidRPr="00C074DC" w:rsidRDefault="00016E4D" w:rsidP="008C5D92">
            <w:pPr>
              <w:jc w:val="center"/>
              <w:rPr>
                <w:rFonts w:ascii="Arial" w:hAnsi="Arial" w:cs="Arial"/>
                <w:sz w:val="18"/>
                <w:szCs w:val="18"/>
                <w:lang w:val="en-AU" w:eastAsia="en-AU"/>
              </w:rPr>
            </w:pPr>
            <w:r w:rsidRPr="00C074DC">
              <w:rPr>
                <w:rFonts w:ascii="Arial" w:hAnsi="Arial" w:cs="Arial"/>
                <w:sz w:val="18"/>
                <w:szCs w:val="18"/>
                <w:lang w:val="en-AU" w:eastAsia="en-AU"/>
              </w:rPr>
              <w:t>$m</w:t>
            </w:r>
          </w:p>
        </w:tc>
        <w:tc>
          <w:tcPr>
            <w:tcW w:w="1109" w:type="dxa"/>
            <w:tcBorders>
              <w:top w:val="nil"/>
              <w:left w:val="nil"/>
              <w:right w:val="nil"/>
            </w:tcBorders>
            <w:shd w:val="clear" w:color="auto" w:fill="EBEBEB"/>
            <w:hideMark/>
          </w:tcPr>
          <w:p w14:paraId="30230412" w14:textId="77777777" w:rsidR="00016E4D" w:rsidRPr="00C074DC" w:rsidRDefault="00016E4D" w:rsidP="008C5D92">
            <w:pPr>
              <w:jc w:val="center"/>
              <w:rPr>
                <w:rFonts w:ascii="Arial" w:hAnsi="Arial" w:cs="Arial"/>
                <w:sz w:val="18"/>
                <w:szCs w:val="18"/>
                <w:lang w:val="en-AU" w:eastAsia="en-AU"/>
              </w:rPr>
            </w:pPr>
            <w:r w:rsidRPr="00C074DC">
              <w:rPr>
                <w:rFonts w:ascii="Arial" w:hAnsi="Arial" w:cs="Arial"/>
                <w:sz w:val="18"/>
                <w:szCs w:val="18"/>
                <w:lang w:val="en-AU" w:eastAsia="en-AU"/>
              </w:rPr>
              <w:t>$m</w:t>
            </w:r>
          </w:p>
        </w:tc>
        <w:tc>
          <w:tcPr>
            <w:tcW w:w="1109" w:type="dxa"/>
            <w:tcBorders>
              <w:top w:val="nil"/>
              <w:left w:val="nil"/>
              <w:right w:val="nil"/>
            </w:tcBorders>
            <w:shd w:val="clear" w:color="auto" w:fill="EBEBEB"/>
            <w:hideMark/>
          </w:tcPr>
          <w:p w14:paraId="4A6006BF" w14:textId="77777777" w:rsidR="00016E4D" w:rsidRPr="00C074DC" w:rsidRDefault="00016E4D" w:rsidP="008C5D92">
            <w:pPr>
              <w:jc w:val="center"/>
              <w:rPr>
                <w:rFonts w:ascii="Arial" w:hAnsi="Arial" w:cs="Arial"/>
                <w:sz w:val="18"/>
                <w:szCs w:val="18"/>
                <w:lang w:val="en-AU" w:eastAsia="en-AU"/>
              </w:rPr>
            </w:pPr>
            <w:r w:rsidRPr="00C074DC">
              <w:rPr>
                <w:rFonts w:ascii="Arial" w:hAnsi="Arial" w:cs="Arial"/>
                <w:sz w:val="18"/>
                <w:szCs w:val="18"/>
                <w:lang w:val="en-AU" w:eastAsia="en-AU"/>
              </w:rPr>
              <w:t>$m</w:t>
            </w:r>
          </w:p>
        </w:tc>
        <w:tc>
          <w:tcPr>
            <w:tcW w:w="1109" w:type="dxa"/>
            <w:tcBorders>
              <w:top w:val="nil"/>
              <w:left w:val="nil"/>
              <w:right w:val="nil"/>
            </w:tcBorders>
            <w:shd w:val="clear" w:color="auto" w:fill="EBEBEB"/>
            <w:hideMark/>
          </w:tcPr>
          <w:p w14:paraId="60EFAFEA" w14:textId="77777777" w:rsidR="00016E4D" w:rsidRPr="00C074DC" w:rsidRDefault="00016E4D" w:rsidP="008C5D92">
            <w:pPr>
              <w:jc w:val="center"/>
              <w:rPr>
                <w:rFonts w:ascii="Arial" w:hAnsi="Arial" w:cs="Arial"/>
                <w:sz w:val="18"/>
                <w:szCs w:val="18"/>
                <w:lang w:val="en-AU" w:eastAsia="en-AU"/>
              </w:rPr>
            </w:pPr>
            <w:r w:rsidRPr="00C074DC">
              <w:rPr>
                <w:rFonts w:ascii="Arial" w:hAnsi="Arial" w:cs="Arial"/>
                <w:sz w:val="18"/>
                <w:szCs w:val="18"/>
                <w:lang w:val="en-AU" w:eastAsia="en-AU"/>
              </w:rPr>
              <w:t>$m</w:t>
            </w:r>
          </w:p>
        </w:tc>
      </w:tr>
      <w:tr w:rsidR="00016E4D" w:rsidRPr="00E801E2" w14:paraId="6C57EE99" w14:textId="77777777" w:rsidTr="004A60F9">
        <w:trPr>
          <w:trHeight w:val="283"/>
        </w:trPr>
        <w:tc>
          <w:tcPr>
            <w:tcW w:w="4111" w:type="dxa"/>
            <w:tcBorders>
              <w:top w:val="nil"/>
              <w:left w:val="nil"/>
              <w:bottom w:val="nil"/>
              <w:right w:val="nil"/>
            </w:tcBorders>
            <w:shd w:val="clear" w:color="auto" w:fill="auto"/>
            <w:noWrap/>
            <w:vAlign w:val="center"/>
            <w:hideMark/>
          </w:tcPr>
          <w:p w14:paraId="3EA2A6BB" w14:textId="77777777" w:rsidR="00016E4D" w:rsidRPr="009E57F4" w:rsidRDefault="00016E4D" w:rsidP="009D7B97">
            <w:pPr>
              <w:rPr>
                <w:rFonts w:ascii="Arial" w:hAnsi="Arial" w:cs="Arial"/>
                <w:sz w:val="18"/>
                <w:szCs w:val="18"/>
                <w:lang w:val="en-AU" w:eastAsia="en-AU"/>
              </w:rPr>
            </w:pPr>
            <w:r w:rsidRPr="009E57F4">
              <w:rPr>
                <w:rFonts w:ascii="Arial" w:hAnsi="Arial" w:cs="Arial"/>
                <w:sz w:val="18"/>
                <w:szCs w:val="18"/>
                <w:lang w:val="en-AU" w:eastAsia="en-AU"/>
              </w:rPr>
              <w:t>General Government Sector</w:t>
            </w:r>
          </w:p>
        </w:tc>
        <w:tc>
          <w:tcPr>
            <w:tcW w:w="1108" w:type="dxa"/>
            <w:tcBorders>
              <w:top w:val="nil"/>
              <w:left w:val="nil"/>
              <w:bottom w:val="nil"/>
              <w:right w:val="nil"/>
            </w:tcBorders>
            <w:shd w:val="clear" w:color="auto" w:fill="auto"/>
            <w:noWrap/>
            <w:vAlign w:val="center"/>
            <w:hideMark/>
          </w:tcPr>
          <w:p w14:paraId="00E32742" w14:textId="34C60A6B" w:rsidR="00016E4D" w:rsidRPr="009E57F4" w:rsidRDefault="00B81CAB" w:rsidP="00F1415E">
            <w:pPr>
              <w:ind w:right="13"/>
              <w:jc w:val="right"/>
              <w:rPr>
                <w:rFonts w:ascii="Arial" w:hAnsi="Arial" w:cs="Arial"/>
                <w:sz w:val="18"/>
                <w:szCs w:val="18"/>
                <w:lang w:val="en-AU" w:eastAsia="en-AU"/>
              </w:rPr>
            </w:pPr>
            <w:r>
              <w:rPr>
                <w:rFonts w:ascii="Arial" w:hAnsi="Arial" w:cs="Arial"/>
                <w:sz w:val="18"/>
                <w:szCs w:val="18"/>
                <w:lang w:val="en-AU" w:eastAsia="en-AU"/>
              </w:rPr>
              <w:t>254,874</w:t>
            </w:r>
          </w:p>
        </w:tc>
        <w:tc>
          <w:tcPr>
            <w:tcW w:w="1109" w:type="dxa"/>
            <w:tcBorders>
              <w:top w:val="nil"/>
              <w:left w:val="nil"/>
              <w:bottom w:val="nil"/>
              <w:right w:val="nil"/>
            </w:tcBorders>
            <w:shd w:val="clear" w:color="auto" w:fill="auto"/>
            <w:noWrap/>
            <w:vAlign w:val="center"/>
            <w:hideMark/>
          </w:tcPr>
          <w:p w14:paraId="2565C1DB" w14:textId="6E4684CC" w:rsidR="00016E4D" w:rsidRPr="009E57F4" w:rsidRDefault="00B81CAB" w:rsidP="00F1415E">
            <w:pPr>
              <w:ind w:right="13"/>
              <w:jc w:val="right"/>
              <w:rPr>
                <w:rFonts w:ascii="Arial" w:hAnsi="Arial" w:cs="Arial"/>
                <w:sz w:val="18"/>
                <w:szCs w:val="18"/>
                <w:lang w:val="en-AU" w:eastAsia="en-AU"/>
              </w:rPr>
            </w:pPr>
            <w:r>
              <w:rPr>
                <w:rFonts w:ascii="Arial" w:hAnsi="Arial" w:cs="Arial"/>
                <w:sz w:val="18"/>
                <w:szCs w:val="18"/>
                <w:lang w:val="en-AU" w:eastAsia="en-AU"/>
              </w:rPr>
              <w:t>272,058</w:t>
            </w:r>
          </w:p>
        </w:tc>
        <w:tc>
          <w:tcPr>
            <w:tcW w:w="1109" w:type="dxa"/>
            <w:tcBorders>
              <w:top w:val="nil"/>
              <w:left w:val="nil"/>
              <w:bottom w:val="nil"/>
              <w:right w:val="nil"/>
            </w:tcBorders>
            <w:shd w:val="clear" w:color="auto" w:fill="FFFFFF" w:themeFill="background1"/>
            <w:noWrap/>
            <w:vAlign w:val="center"/>
            <w:hideMark/>
          </w:tcPr>
          <w:p w14:paraId="4BCAAED9" w14:textId="486C93CE" w:rsidR="00016E4D" w:rsidRPr="009E57F4" w:rsidRDefault="00B81CAB" w:rsidP="00F1415E">
            <w:pPr>
              <w:ind w:right="13"/>
              <w:jc w:val="right"/>
              <w:rPr>
                <w:rFonts w:ascii="Arial" w:hAnsi="Arial" w:cs="Arial"/>
                <w:sz w:val="18"/>
                <w:szCs w:val="18"/>
                <w:lang w:val="en-AU" w:eastAsia="en-AU"/>
              </w:rPr>
            </w:pPr>
            <w:r>
              <w:rPr>
                <w:rFonts w:ascii="Arial" w:hAnsi="Arial" w:cs="Arial"/>
                <w:sz w:val="18"/>
                <w:szCs w:val="18"/>
                <w:lang w:val="en-AU" w:eastAsia="en-AU"/>
              </w:rPr>
              <w:t>302,257</w:t>
            </w:r>
          </w:p>
        </w:tc>
        <w:tc>
          <w:tcPr>
            <w:tcW w:w="1109" w:type="dxa"/>
            <w:tcBorders>
              <w:top w:val="nil"/>
              <w:left w:val="nil"/>
              <w:bottom w:val="nil"/>
              <w:right w:val="nil"/>
            </w:tcBorders>
            <w:shd w:val="clear" w:color="auto" w:fill="FFFFFF" w:themeFill="background1"/>
            <w:noWrap/>
            <w:vAlign w:val="center"/>
            <w:hideMark/>
          </w:tcPr>
          <w:p w14:paraId="39A29A54" w14:textId="48F51543" w:rsidR="00016E4D" w:rsidRPr="009E57F4" w:rsidRDefault="00B81CAB" w:rsidP="00F1415E">
            <w:pPr>
              <w:ind w:right="13"/>
              <w:jc w:val="right"/>
              <w:rPr>
                <w:rFonts w:ascii="Arial" w:hAnsi="Arial" w:cs="Arial"/>
                <w:sz w:val="18"/>
                <w:szCs w:val="18"/>
                <w:lang w:val="en-AU" w:eastAsia="en-AU"/>
              </w:rPr>
            </w:pPr>
            <w:r>
              <w:rPr>
                <w:rFonts w:ascii="Arial" w:hAnsi="Arial" w:cs="Arial"/>
                <w:sz w:val="18"/>
                <w:szCs w:val="18"/>
                <w:lang w:val="en-AU" w:eastAsia="en-AU"/>
              </w:rPr>
              <w:t>349,</w:t>
            </w:r>
            <w:r w:rsidR="00CC29B9">
              <w:rPr>
                <w:rFonts w:ascii="Arial" w:hAnsi="Arial" w:cs="Arial"/>
                <w:sz w:val="18"/>
                <w:szCs w:val="18"/>
                <w:lang w:val="en-AU" w:eastAsia="en-AU"/>
              </w:rPr>
              <w:t>416</w:t>
            </w:r>
          </w:p>
        </w:tc>
        <w:tc>
          <w:tcPr>
            <w:tcW w:w="1109" w:type="dxa"/>
            <w:tcBorders>
              <w:top w:val="nil"/>
              <w:left w:val="nil"/>
              <w:bottom w:val="nil"/>
              <w:right w:val="nil"/>
            </w:tcBorders>
            <w:shd w:val="clear" w:color="auto" w:fill="FFFFFF" w:themeFill="background1"/>
            <w:noWrap/>
            <w:vAlign w:val="center"/>
            <w:hideMark/>
          </w:tcPr>
          <w:p w14:paraId="2E07626E" w14:textId="29B06304" w:rsidR="00016E4D" w:rsidRPr="009E57F4" w:rsidRDefault="00DF01AC" w:rsidP="00F1415E">
            <w:pPr>
              <w:ind w:right="13"/>
              <w:jc w:val="right"/>
              <w:rPr>
                <w:rFonts w:ascii="Arial" w:hAnsi="Arial" w:cs="Arial"/>
                <w:sz w:val="18"/>
                <w:szCs w:val="18"/>
                <w:lang w:val="en-AU" w:eastAsia="en-AU"/>
              </w:rPr>
            </w:pPr>
            <w:r>
              <w:rPr>
                <w:rFonts w:ascii="Arial" w:hAnsi="Arial" w:cs="Arial"/>
                <w:sz w:val="18"/>
                <w:szCs w:val="18"/>
                <w:lang w:val="en-AU" w:eastAsia="en-AU"/>
              </w:rPr>
              <w:t>366,207</w:t>
            </w:r>
          </w:p>
        </w:tc>
      </w:tr>
      <w:tr w:rsidR="00016E4D" w:rsidRPr="00E801E2" w14:paraId="7B78E1A6" w14:textId="77777777" w:rsidTr="004A60F9">
        <w:trPr>
          <w:trHeight w:val="283"/>
        </w:trPr>
        <w:tc>
          <w:tcPr>
            <w:tcW w:w="4111" w:type="dxa"/>
            <w:tcBorders>
              <w:top w:val="nil"/>
              <w:left w:val="nil"/>
              <w:bottom w:val="single" w:sz="4" w:space="0" w:color="auto"/>
              <w:right w:val="nil"/>
            </w:tcBorders>
            <w:shd w:val="clear" w:color="auto" w:fill="auto"/>
            <w:noWrap/>
            <w:vAlign w:val="center"/>
            <w:hideMark/>
          </w:tcPr>
          <w:p w14:paraId="04695F38" w14:textId="77777777" w:rsidR="00016E4D" w:rsidRPr="009E57F4" w:rsidRDefault="00016E4D" w:rsidP="009D7B97">
            <w:pPr>
              <w:rPr>
                <w:rFonts w:ascii="Arial" w:hAnsi="Arial" w:cs="Arial"/>
                <w:sz w:val="18"/>
                <w:szCs w:val="18"/>
                <w:lang w:val="en-AU" w:eastAsia="en-AU"/>
              </w:rPr>
            </w:pPr>
            <w:r w:rsidRPr="009E57F4">
              <w:rPr>
                <w:rFonts w:ascii="Arial" w:hAnsi="Arial" w:cs="Arial"/>
                <w:sz w:val="18"/>
                <w:szCs w:val="18"/>
                <w:lang w:val="en-AU" w:eastAsia="en-AU"/>
              </w:rPr>
              <w:t>Public Non-Financial Corporations</w:t>
            </w:r>
          </w:p>
        </w:tc>
        <w:tc>
          <w:tcPr>
            <w:tcW w:w="1108" w:type="dxa"/>
            <w:tcBorders>
              <w:top w:val="nil"/>
              <w:left w:val="nil"/>
              <w:bottom w:val="single" w:sz="4" w:space="0" w:color="auto"/>
              <w:right w:val="nil"/>
            </w:tcBorders>
            <w:shd w:val="clear" w:color="auto" w:fill="auto"/>
            <w:noWrap/>
            <w:vAlign w:val="center"/>
            <w:hideMark/>
          </w:tcPr>
          <w:p w14:paraId="59768FBB" w14:textId="19CC507D" w:rsidR="00016E4D" w:rsidRPr="009E57F4" w:rsidRDefault="001D3CB7" w:rsidP="00F1415E">
            <w:pPr>
              <w:ind w:right="13"/>
              <w:jc w:val="right"/>
              <w:rPr>
                <w:rFonts w:ascii="Arial" w:hAnsi="Arial" w:cs="Arial"/>
                <w:sz w:val="18"/>
                <w:szCs w:val="18"/>
                <w:lang w:val="en-AU" w:eastAsia="en-AU"/>
              </w:rPr>
            </w:pPr>
            <w:r>
              <w:rPr>
                <w:rFonts w:ascii="Arial" w:hAnsi="Arial" w:cs="Arial"/>
                <w:sz w:val="18"/>
                <w:szCs w:val="18"/>
                <w:lang w:val="en-AU" w:eastAsia="en-AU"/>
              </w:rPr>
              <w:t>134,929</w:t>
            </w:r>
          </w:p>
        </w:tc>
        <w:tc>
          <w:tcPr>
            <w:tcW w:w="1109" w:type="dxa"/>
            <w:tcBorders>
              <w:top w:val="nil"/>
              <w:left w:val="nil"/>
              <w:bottom w:val="single" w:sz="4" w:space="0" w:color="auto"/>
              <w:right w:val="nil"/>
            </w:tcBorders>
            <w:shd w:val="clear" w:color="auto" w:fill="auto"/>
            <w:noWrap/>
            <w:vAlign w:val="center"/>
            <w:hideMark/>
          </w:tcPr>
          <w:p w14:paraId="3474CF1A" w14:textId="1376DBEB" w:rsidR="00016E4D" w:rsidRPr="009E57F4" w:rsidRDefault="001D3CB7" w:rsidP="00F1415E">
            <w:pPr>
              <w:ind w:right="13"/>
              <w:jc w:val="right"/>
              <w:rPr>
                <w:rFonts w:ascii="Arial" w:hAnsi="Arial" w:cs="Arial"/>
                <w:sz w:val="18"/>
                <w:szCs w:val="18"/>
                <w:lang w:val="en-AU" w:eastAsia="en-AU"/>
              </w:rPr>
            </w:pPr>
            <w:r>
              <w:rPr>
                <w:rFonts w:ascii="Arial" w:hAnsi="Arial" w:cs="Arial"/>
                <w:sz w:val="18"/>
                <w:szCs w:val="18"/>
                <w:lang w:val="en-AU" w:eastAsia="en-AU"/>
              </w:rPr>
              <w:t>118,886</w:t>
            </w:r>
          </w:p>
        </w:tc>
        <w:tc>
          <w:tcPr>
            <w:tcW w:w="1109" w:type="dxa"/>
            <w:tcBorders>
              <w:top w:val="nil"/>
              <w:left w:val="nil"/>
              <w:bottom w:val="single" w:sz="4" w:space="0" w:color="auto"/>
              <w:right w:val="nil"/>
            </w:tcBorders>
            <w:shd w:val="clear" w:color="auto" w:fill="FFFFFF" w:themeFill="background1"/>
            <w:noWrap/>
            <w:vAlign w:val="center"/>
            <w:hideMark/>
          </w:tcPr>
          <w:p w14:paraId="0039EDF1" w14:textId="26643B35" w:rsidR="00016E4D" w:rsidRPr="009E57F4" w:rsidRDefault="001D3CB7" w:rsidP="00F1415E">
            <w:pPr>
              <w:ind w:right="13"/>
              <w:jc w:val="right"/>
              <w:rPr>
                <w:rFonts w:ascii="Arial" w:hAnsi="Arial" w:cs="Arial"/>
                <w:sz w:val="18"/>
                <w:szCs w:val="18"/>
                <w:lang w:val="en-AU" w:eastAsia="en-AU"/>
              </w:rPr>
            </w:pPr>
            <w:r>
              <w:rPr>
                <w:rFonts w:ascii="Arial" w:hAnsi="Arial" w:cs="Arial"/>
                <w:sz w:val="18"/>
                <w:szCs w:val="18"/>
                <w:lang w:val="en-AU" w:eastAsia="en-AU"/>
              </w:rPr>
              <w:t>134,465</w:t>
            </w:r>
          </w:p>
        </w:tc>
        <w:tc>
          <w:tcPr>
            <w:tcW w:w="1109" w:type="dxa"/>
            <w:tcBorders>
              <w:top w:val="nil"/>
              <w:left w:val="nil"/>
              <w:bottom w:val="single" w:sz="4" w:space="0" w:color="auto"/>
              <w:right w:val="nil"/>
            </w:tcBorders>
            <w:shd w:val="clear" w:color="auto" w:fill="FFFFFF" w:themeFill="background1"/>
            <w:noWrap/>
            <w:vAlign w:val="center"/>
            <w:hideMark/>
          </w:tcPr>
          <w:p w14:paraId="4969F3B1" w14:textId="180AA3E8" w:rsidR="00016E4D" w:rsidRPr="009E57F4" w:rsidRDefault="00D666F8" w:rsidP="00F1415E">
            <w:pPr>
              <w:ind w:right="13"/>
              <w:jc w:val="right"/>
              <w:rPr>
                <w:rFonts w:ascii="Arial" w:hAnsi="Arial" w:cs="Arial"/>
                <w:sz w:val="18"/>
                <w:szCs w:val="18"/>
                <w:lang w:val="en-AU" w:eastAsia="en-AU"/>
              </w:rPr>
            </w:pPr>
            <w:r>
              <w:rPr>
                <w:rFonts w:ascii="Arial" w:hAnsi="Arial" w:cs="Arial"/>
                <w:sz w:val="18"/>
                <w:szCs w:val="18"/>
                <w:lang w:val="en-AU" w:eastAsia="en-AU"/>
              </w:rPr>
              <w:t>143,183</w:t>
            </w:r>
          </w:p>
        </w:tc>
        <w:tc>
          <w:tcPr>
            <w:tcW w:w="1109" w:type="dxa"/>
            <w:tcBorders>
              <w:top w:val="nil"/>
              <w:left w:val="nil"/>
              <w:bottom w:val="single" w:sz="4" w:space="0" w:color="auto"/>
              <w:right w:val="nil"/>
            </w:tcBorders>
            <w:shd w:val="clear" w:color="auto" w:fill="FFFFFF" w:themeFill="background1"/>
            <w:noWrap/>
            <w:vAlign w:val="center"/>
            <w:hideMark/>
          </w:tcPr>
          <w:p w14:paraId="00B6AF8A" w14:textId="6D6D0432" w:rsidR="00016E4D" w:rsidRPr="009E57F4" w:rsidRDefault="00D3667C" w:rsidP="00F1415E">
            <w:pPr>
              <w:ind w:right="13"/>
              <w:jc w:val="right"/>
              <w:rPr>
                <w:rFonts w:ascii="Arial" w:hAnsi="Arial" w:cs="Arial"/>
                <w:sz w:val="18"/>
                <w:szCs w:val="18"/>
                <w:lang w:val="en-AU" w:eastAsia="en-AU"/>
              </w:rPr>
            </w:pPr>
            <w:r>
              <w:rPr>
                <w:rFonts w:ascii="Arial" w:hAnsi="Arial" w:cs="Arial"/>
                <w:sz w:val="18"/>
                <w:szCs w:val="18"/>
                <w:lang w:val="en-AU" w:eastAsia="en-AU"/>
              </w:rPr>
              <w:t>147,736</w:t>
            </w:r>
          </w:p>
        </w:tc>
      </w:tr>
      <w:tr w:rsidR="00016E4D" w:rsidRPr="00E801E2" w14:paraId="3FC4FF28" w14:textId="77777777" w:rsidTr="004A60F9">
        <w:trPr>
          <w:trHeight w:val="340"/>
        </w:trPr>
        <w:tc>
          <w:tcPr>
            <w:tcW w:w="4111" w:type="dxa"/>
            <w:tcBorders>
              <w:top w:val="single" w:sz="4" w:space="0" w:color="auto"/>
              <w:left w:val="nil"/>
              <w:bottom w:val="single" w:sz="4" w:space="0" w:color="auto"/>
              <w:right w:val="nil"/>
            </w:tcBorders>
            <w:shd w:val="clear" w:color="auto" w:fill="auto"/>
            <w:noWrap/>
            <w:vAlign w:val="center"/>
            <w:hideMark/>
          </w:tcPr>
          <w:p w14:paraId="67759710" w14:textId="75839730" w:rsidR="00016E4D" w:rsidRPr="009E57F4" w:rsidRDefault="00016E4D" w:rsidP="008C5D92">
            <w:pPr>
              <w:rPr>
                <w:rFonts w:ascii="Arial" w:hAnsi="Arial" w:cs="Arial"/>
                <w:b/>
                <w:bCs/>
                <w:sz w:val="18"/>
                <w:szCs w:val="18"/>
                <w:lang w:val="en-AU" w:eastAsia="en-AU"/>
              </w:rPr>
            </w:pPr>
            <w:r w:rsidRPr="009E57F4">
              <w:rPr>
                <w:rFonts w:ascii="Arial" w:hAnsi="Arial" w:cs="Arial"/>
                <w:b/>
                <w:bCs/>
                <w:sz w:val="18"/>
                <w:szCs w:val="18"/>
                <w:lang w:val="en-AU" w:eastAsia="en-AU"/>
              </w:rPr>
              <w:t>Total</w:t>
            </w:r>
            <w:r w:rsidRPr="009E57F4">
              <w:rPr>
                <w:rFonts w:ascii="Arial" w:hAnsi="Arial" w:cs="Arial"/>
                <w:b/>
                <w:bCs/>
                <w:sz w:val="18"/>
                <w:szCs w:val="18"/>
                <w:vertAlign w:val="superscript"/>
                <w:lang w:val="en-AU" w:eastAsia="en-AU"/>
              </w:rPr>
              <w:t xml:space="preserve">(c) </w:t>
            </w:r>
          </w:p>
        </w:tc>
        <w:tc>
          <w:tcPr>
            <w:tcW w:w="1108" w:type="dxa"/>
            <w:tcBorders>
              <w:top w:val="single" w:sz="4" w:space="0" w:color="auto"/>
              <w:left w:val="nil"/>
              <w:bottom w:val="single" w:sz="4" w:space="0" w:color="auto"/>
              <w:right w:val="nil"/>
            </w:tcBorders>
            <w:shd w:val="clear" w:color="auto" w:fill="auto"/>
            <w:noWrap/>
            <w:vAlign w:val="center"/>
            <w:hideMark/>
          </w:tcPr>
          <w:p w14:paraId="25312CA3" w14:textId="51BB2640" w:rsidR="00016E4D" w:rsidRPr="009E57F4" w:rsidRDefault="0058656E" w:rsidP="00F1415E">
            <w:pPr>
              <w:ind w:right="13"/>
              <w:jc w:val="right"/>
              <w:rPr>
                <w:rFonts w:ascii="Arial" w:hAnsi="Arial" w:cs="Arial"/>
                <w:b/>
                <w:bCs/>
                <w:sz w:val="18"/>
                <w:szCs w:val="18"/>
                <w:lang w:val="en-AU" w:eastAsia="en-AU"/>
              </w:rPr>
            </w:pPr>
            <w:r>
              <w:rPr>
                <w:rFonts w:ascii="Arial" w:hAnsi="Arial" w:cs="Arial"/>
                <w:b/>
                <w:sz w:val="18"/>
                <w:szCs w:val="18"/>
                <w:lang w:val="en-AU" w:eastAsia="en-AU"/>
              </w:rPr>
              <w:t>389,</w:t>
            </w:r>
            <w:r w:rsidR="00F450E8">
              <w:rPr>
                <w:rFonts w:ascii="Arial" w:hAnsi="Arial" w:cs="Arial"/>
                <w:b/>
                <w:sz w:val="18"/>
                <w:szCs w:val="18"/>
                <w:lang w:val="en-AU" w:eastAsia="en-AU"/>
              </w:rPr>
              <w:t>803</w:t>
            </w:r>
          </w:p>
        </w:tc>
        <w:tc>
          <w:tcPr>
            <w:tcW w:w="1109" w:type="dxa"/>
            <w:tcBorders>
              <w:top w:val="single" w:sz="4" w:space="0" w:color="auto"/>
              <w:left w:val="nil"/>
              <w:bottom w:val="single" w:sz="4" w:space="0" w:color="auto"/>
              <w:right w:val="nil"/>
            </w:tcBorders>
            <w:shd w:val="clear" w:color="auto" w:fill="auto"/>
            <w:noWrap/>
            <w:vAlign w:val="center"/>
            <w:hideMark/>
          </w:tcPr>
          <w:p w14:paraId="6A8A2B4D" w14:textId="6F4AD004" w:rsidR="00016E4D" w:rsidRPr="009E57F4" w:rsidRDefault="005351F7" w:rsidP="00F1415E">
            <w:pPr>
              <w:ind w:right="13"/>
              <w:jc w:val="right"/>
              <w:rPr>
                <w:rFonts w:ascii="Arial" w:hAnsi="Arial" w:cs="Arial"/>
                <w:b/>
                <w:bCs/>
                <w:sz w:val="18"/>
                <w:szCs w:val="18"/>
                <w:lang w:val="en-AU" w:eastAsia="en-AU"/>
              </w:rPr>
            </w:pPr>
            <w:r>
              <w:rPr>
                <w:rFonts w:ascii="Arial" w:hAnsi="Arial" w:cs="Arial"/>
                <w:b/>
                <w:sz w:val="18"/>
                <w:szCs w:val="18"/>
                <w:lang w:val="en-AU" w:eastAsia="en-AU"/>
              </w:rPr>
              <w:t>391,487</w:t>
            </w:r>
          </w:p>
        </w:tc>
        <w:tc>
          <w:tcPr>
            <w:tcW w:w="1109" w:type="dxa"/>
            <w:tcBorders>
              <w:top w:val="single" w:sz="4" w:space="0" w:color="auto"/>
              <w:left w:val="nil"/>
              <w:bottom w:val="single" w:sz="4" w:space="0" w:color="auto"/>
              <w:right w:val="nil"/>
            </w:tcBorders>
            <w:shd w:val="clear" w:color="auto" w:fill="auto"/>
            <w:noWrap/>
            <w:vAlign w:val="center"/>
            <w:hideMark/>
          </w:tcPr>
          <w:p w14:paraId="51AC0AC1" w14:textId="0C0A8C02" w:rsidR="00016E4D" w:rsidRPr="009E57F4" w:rsidRDefault="00AD4A52" w:rsidP="00F1415E">
            <w:pPr>
              <w:ind w:right="13"/>
              <w:jc w:val="right"/>
              <w:rPr>
                <w:rFonts w:ascii="Arial" w:hAnsi="Arial" w:cs="Arial"/>
                <w:b/>
                <w:bCs/>
                <w:sz w:val="18"/>
                <w:szCs w:val="18"/>
                <w:lang w:val="en-AU" w:eastAsia="en-AU"/>
              </w:rPr>
            </w:pPr>
            <w:r>
              <w:rPr>
                <w:rFonts w:ascii="Arial" w:hAnsi="Arial" w:cs="Arial"/>
                <w:b/>
                <w:sz w:val="18"/>
                <w:szCs w:val="18"/>
                <w:lang w:val="en-AU" w:eastAsia="en-AU"/>
              </w:rPr>
              <w:t>436,785</w:t>
            </w:r>
          </w:p>
        </w:tc>
        <w:tc>
          <w:tcPr>
            <w:tcW w:w="1109" w:type="dxa"/>
            <w:tcBorders>
              <w:top w:val="single" w:sz="4" w:space="0" w:color="auto"/>
              <w:left w:val="nil"/>
              <w:bottom w:val="single" w:sz="4" w:space="0" w:color="auto"/>
              <w:right w:val="nil"/>
            </w:tcBorders>
            <w:shd w:val="clear" w:color="auto" w:fill="FFFFFF" w:themeFill="background1"/>
            <w:noWrap/>
            <w:vAlign w:val="center"/>
            <w:hideMark/>
          </w:tcPr>
          <w:p w14:paraId="50256986" w14:textId="70DA9396" w:rsidR="00016E4D" w:rsidRPr="009E57F4" w:rsidRDefault="000A3090" w:rsidP="00F1415E">
            <w:pPr>
              <w:ind w:right="13"/>
              <w:jc w:val="right"/>
              <w:rPr>
                <w:rFonts w:ascii="Arial" w:hAnsi="Arial" w:cs="Arial"/>
                <w:b/>
                <w:bCs/>
                <w:sz w:val="18"/>
                <w:szCs w:val="18"/>
                <w:lang w:val="en-AU" w:eastAsia="en-AU"/>
              </w:rPr>
            </w:pPr>
            <w:r>
              <w:rPr>
                <w:rFonts w:ascii="Arial" w:hAnsi="Arial" w:cs="Arial"/>
                <w:b/>
                <w:sz w:val="18"/>
                <w:szCs w:val="18"/>
                <w:lang w:val="en-AU" w:eastAsia="en-AU"/>
              </w:rPr>
              <w:t>492,</w:t>
            </w:r>
            <w:r w:rsidR="00163E95">
              <w:rPr>
                <w:rFonts w:ascii="Arial" w:hAnsi="Arial" w:cs="Arial"/>
                <w:b/>
                <w:sz w:val="18"/>
                <w:szCs w:val="18"/>
                <w:lang w:val="en-AU" w:eastAsia="en-AU"/>
              </w:rPr>
              <w:t>647</w:t>
            </w:r>
          </w:p>
        </w:tc>
        <w:tc>
          <w:tcPr>
            <w:tcW w:w="1109" w:type="dxa"/>
            <w:tcBorders>
              <w:top w:val="single" w:sz="4" w:space="0" w:color="auto"/>
              <w:left w:val="nil"/>
              <w:bottom w:val="single" w:sz="4" w:space="0" w:color="auto"/>
              <w:right w:val="nil"/>
            </w:tcBorders>
            <w:shd w:val="clear" w:color="auto" w:fill="FFFFFF" w:themeFill="background1"/>
            <w:noWrap/>
            <w:vAlign w:val="center"/>
            <w:hideMark/>
          </w:tcPr>
          <w:p w14:paraId="464E2A99" w14:textId="0F346559" w:rsidR="00016E4D" w:rsidRPr="009E57F4" w:rsidRDefault="005438F3" w:rsidP="00F1415E">
            <w:pPr>
              <w:ind w:right="13"/>
              <w:jc w:val="right"/>
              <w:rPr>
                <w:rFonts w:ascii="Arial" w:hAnsi="Arial" w:cs="Arial"/>
                <w:b/>
                <w:bCs/>
                <w:sz w:val="18"/>
                <w:szCs w:val="18"/>
                <w:lang w:val="en-AU" w:eastAsia="en-AU"/>
              </w:rPr>
            </w:pPr>
            <w:r>
              <w:rPr>
                <w:rFonts w:ascii="Arial" w:hAnsi="Arial" w:cs="Arial"/>
                <w:b/>
                <w:sz w:val="18"/>
                <w:szCs w:val="18"/>
                <w:lang w:val="en-AU" w:eastAsia="en-AU"/>
              </w:rPr>
              <w:t>513,990</w:t>
            </w:r>
          </w:p>
        </w:tc>
      </w:tr>
    </w:tbl>
    <w:p w14:paraId="79BE30D0" w14:textId="77777777" w:rsidR="00C045BC" w:rsidRPr="00A1397D" w:rsidRDefault="00C045BC" w:rsidP="00C045BC">
      <w:pPr>
        <w:rPr>
          <w:rFonts w:ascii="Calibri" w:hAnsi="Calibri" w:cs="Calibri"/>
          <w:sz w:val="6"/>
          <w:szCs w:val="6"/>
        </w:rPr>
      </w:pPr>
    </w:p>
    <w:p w14:paraId="081A0160" w14:textId="265CB1DE" w:rsidR="00C83CC7" w:rsidRPr="007B7AA6" w:rsidRDefault="00C83CC7" w:rsidP="005C2EDF">
      <w:pPr>
        <w:pStyle w:val="BP3Footnote"/>
        <w:numPr>
          <w:ilvl w:val="0"/>
          <w:numId w:val="12"/>
        </w:numPr>
        <w:spacing w:before="0"/>
        <w:ind w:left="363" w:hanging="357"/>
      </w:pPr>
      <w:r w:rsidRPr="00C074DC">
        <w:t xml:space="preserve">Net of </w:t>
      </w:r>
      <w:r w:rsidR="003F51CD" w:rsidRPr="007B7AA6">
        <w:t xml:space="preserve">accumulated </w:t>
      </w:r>
      <w:r w:rsidRPr="007B7AA6">
        <w:t>depreciation.</w:t>
      </w:r>
    </w:p>
    <w:p w14:paraId="68B36B42" w14:textId="77777777" w:rsidR="00C83CC7" w:rsidRPr="007B7AA6" w:rsidRDefault="00C83CC7" w:rsidP="006E23FF">
      <w:pPr>
        <w:pStyle w:val="BP3Footnote"/>
        <w:numPr>
          <w:ilvl w:val="0"/>
          <w:numId w:val="12"/>
        </w:numPr>
      </w:pPr>
      <w:r w:rsidRPr="00C074DC">
        <w:t>Includes investment properties.</w:t>
      </w:r>
    </w:p>
    <w:p w14:paraId="3A2D8F4B" w14:textId="6C3D04A3" w:rsidR="00427F40" w:rsidRPr="007B7AA6" w:rsidRDefault="00C83CC7" w:rsidP="006E23FF">
      <w:pPr>
        <w:pStyle w:val="BP3Footnote"/>
        <w:numPr>
          <w:ilvl w:val="0"/>
          <w:numId w:val="12"/>
        </w:numPr>
      </w:pPr>
      <w:r w:rsidRPr="00C074DC">
        <w:t xml:space="preserve">Consolidated total may not </w:t>
      </w:r>
      <w:r w:rsidRPr="007B7AA6">
        <w:t>equal the sum of the individual sectors due to differences in classification between the individual sectors and the consolidated sector.</w:t>
      </w:r>
    </w:p>
    <w:p w14:paraId="411940A1" w14:textId="47B4FE1C" w:rsidR="00132A87" w:rsidRDefault="00516A2B" w:rsidP="00E71F42">
      <w:pPr>
        <w:pStyle w:val="BP3BodyText"/>
      </w:pPr>
      <w:r>
        <w:t xml:space="preserve">NSW Government agencies are continuing </w:t>
      </w:r>
      <w:r w:rsidR="00B921EC">
        <w:t>to implement</w:t>
      </w:r>
      <w:r>
        <w:t xml:space="preserve"> the</w:t>
      </w:r>
      <w:r w:rsidR="0086286B">
        <w:t xml:space="preserve"> </w:t>
      </w:r>
      <w:r w:rsidR="003D169C">
        <w:rPr>
          <w:i/>
        </w:rPr>
        <w:t>Asset Management Policy for the NSW Public Sector</w:t>
      </w:r>
      <w:r w:rsidR="000A05AB">
        <w:rPr>
          <w:i/>
        </w:rPr>
        <w:t xml:space="preserve"> (TPP19-07)</w:t>
      </w:r>
      <w:r w:rsidR="00356637">
        <w:t xml:space="preserve">. The policy </w:t>
      </w:r>
      <w:r w:rsidR="001A3BA0">
        <w:t xml:space="preserve">seeks to enable agencies and the Government to </w:t>
      </w:r>
      <w:r w:rsidR="00424A7E">
        <w:t xml:space="preserve">use </w:t>
      </w:r>
      <w:r w:rsidR="001A3BA0">
        <w:t xml:space="preserve">data and </w:t>
      </w:r>
      <w:r w:rsidR="00A44A3B">
        <w:t>evidence</w:t>
      </w:r>
      <w:r w:rsidR="001A3BA0">
        <w:t xml:space="preserve"> to effectively balance cost, risk</w:t>
      </w:r>
      <w:r w:rsidR="00A44A3B">
        <w:t xml:space="preserve"> and asset performance</w:t>
      </w:r>
      <w:r w:rsidR="00D517AF">
        <w:t xml:space="preserve"> </w:t>
      </w:r>
      <w:r w:rsidR="00A44A3B">
        <w:t xml:space="preserve">in decision making. The increasing size of the State’s asset base </w:t>
      </w:r>
      <w:r w:rsidR="008C5A7F">
        <w:t xml:space="preserve">reinforces the need for strong asset management capability </w:t>
      </w:r>
      <w:r w:rsidR="00F861EC">
        <w:t>to ensure the asset base remains fit for purp</w:t>
      </w:r>
      <w:r w:rsidR="00495E5F">
        <w:t xml:space="preserve">ose and can support the needs of </w:t>
      </w:r>
      <w:r w:rsidR="00242FFD">
        <w:t>NSW residents</w:t>
      </w:r>
      <w:r w:rsidR="00A802CA">
        <w:t xml:space="preserve">. </w:t>
      </w:r>
    </w:p>
    <w:p w14:paraId="49DF9E4F" w14:textId="1EFF8423" w:rsidR="00AF05D9" w:rsidRDefault="00DA07A8" w:rsidP="00494BFF">
      <w:pPr>
        <w:pStyle w:val="BP3BodyText"/>
      </w:pPr>
      <w:r>
        <w:t>The State of Infrastructure Report, prepared annually by Infrastructure NSW, examines the performance of the State’s physical asset base</w:t>
      </w:r>
      <w:r w:rsidR="009F0B6A">
        <w:t xml:space="preserve">, informed by </w:t>
      </w:r>
      <w:r>
        <w:t>findings from Infrastructure NSW’s assurance of</w:t>
      </w:r>
      <w:r w:rsidR="006B332A">
        <w:t xml:space="preserve"> the</w:t>
      </w:r>
      <w:r w:rsidR="00132A87">
        <w:t xml:space="preserve"> </w:t>
      </w:r>
      <w:r w:rsidR="00132A87">
        <w:rPr>
          <w:i/>
          <w:iCs/>
        </w:rPr>
        <w:t>Asset Management Policy for the NSW Public Sector</w:t>
      </w:r>
      <w:r w:rsidR="00132A87">
        <w:t>.</w:t>
      </w:r>
      <w:r w:rsidR="006B332A">
        <w:t xml:space="preserve"> For further information on the 2022-23 State of Infrastructure Report, see Box 1.</w:t>
      </w:r>
      <w:r w:rsidR="003D5EE5">
        <w:t>6</w:t>
      </w:r>
      <w:r w:rsidR="006B332A">
        <w:t xml:space="preserve">. </w:t>
      </w:r>
    </w:p>
    <w:p w14:paraId="2F9F0CB8" w14:textId="3F51CFE7" w:rsidR="002F48CC" w:rsidRDefault="00A6316B" w:rsidP="00494BFF">
      <w:pPr>
        <w:pStyle w:val="BP3BodyText"/>
      </w:pPr>
      <w:r w:rsidRPr="00A1397D">
        <w:t>Chart 1.</w:t>
      </w:r>
      <w:r w:rsidR="00B531CF">
        <w:t>6</w:t>
      </w:r>
      <w:r w:rsidRPr="00A1397D">
        <w:t xml:space="preserve"> details the components of the State’s physical assets. The largest component </w:t>
      </w:r>
      <w:r w:rsidR="00C24283">
        <w:t xml:space="preserve">as </w:t>
      </w:r>
      <w:proofErr w:type="gramStart"/>
      <w:r w:rsidRPr="00A1397D">
        <w:t>at</w:t>
      </w:r>
      <w:proofErr w:type="gramEnd"/>
      <w:r w:rsidRPr="00A1397D">
        <w:t xml:space="preserve"> 30 June 20</w:t>
      </w:r>
      <w:r w:rsidR="00FD0841">
        <w:t>2</w:t>
      </w:r>
      <w:r w:rsidR="00C02968">
        <w:t>2</w:t>
      </w:r>
      <w:r w:rsidRPr="00A1397D">
        <w:t xml:space="preserve"> was infrastructure systems ($</w:t>
      </w:r>
      <w:r w:rsidR="001C0B82">
        <w:t>220</w:t>
      </w:r>
      <w:r w:rsidR="00C02968">
        <w:t>.</w:t>
      </w:r>
      <w:r w:rsidR="0023346A">
        <w:t>3</w:t>
      </w:r>
      <w:r w:rsidRPr="00A1397D">
        <w:t xml:space="preserve"> billion)</w:t>
      </w:r>
      <w:r w:rsidR="00F10D2A">
        <w:t>.</w:t>
      </w:r>
      <w:r w:rsidRPr="00A1397D">
        <w:t xml:space="preserve"> The remaining components comprise buildings ($</w:t>
      </w:r>
      <w:r w:rsidR="0023346A">
        <w:t>110.</w:t>
      </w:r>
      <w:r w:rsidR="00692292">
        <w:t>9</w:t>
      </w:r>
      <w:r w:rsidRPr="00A1397D">
        <w:t xml:space="preserve"> billion), land ($</w:t>
      </w:r>
      <w:r w:rsidR="008E3D3C">
        <w:t>87.4</w:t>
      </w:r>
      <w:r w:rsidRPr="00A1397D">
        <w:t> billion)</w:t>
      </w:r>
      <w:r w:rsidR="00535B80">
        <w:t>,</w:t>
      </w:r>
      <w:r w:rsidRPr="00A1397D">
        <w:t xml:space="preserve"> plant and equipment ($</w:t>
      </w:r>
      <w:r w:rsidR="00B06E67">
        <w:t>17.5</w:t>
      </w:r>
      <w:r w:rsidRPr="00A1397D">
        <w:t xml:space="preserve"> billion)</w:t>
      </w:r>
      <w:r w:rsidR="00535B80">
        <w:t xml:space="preserve"> and investment properties (</w:t>
      </w:r>
      <w:r w:rsidR="00910AB6">
        <w:t>$</w:t>
      </w:r>
      <w:r w:rsidR="00B60C37">
        <w:t>0.6</w:t>
      </w:r>
      <w:r w:rsidR="00910AB6">
        <w:t xml:space="preserve"> billion</w:t>
      </w:r>
      <w:r w:rsidRPr="00A1397D">
        <w:t>).</w:t>
      </w:r>
    </w:p>
    <w:p w14:paraId="717D1C51" w14:textId="77777777" w:rsidR="0079515F" w:rsidRDefault="0079515F">
      <w:pPr>
        <w:rPr>
          <w:rFonts w:ascii="Public Sans" w:hAnsi="Public Sans"/>
          <w:i/>
          <w:color w:val="4F4F4F"/>
          <w:sz w:val="22"/>
          <w:lang w:val="en-AU" w:eastAsia="en-AU"/>
        </w:rPr>
      </w:pPr>
      <w:r>
        <w:br w:type="page"/>
      </w:r>
    </w:p>
    <w:p w14:paraId="7AC8F675" w14:textId="78FBDDE9" w:rsidR="00E57248" w:rsidRPr="00DF3D6B" w:rsidRDefault="00E57248" w:rsidP="00487FFB">
      <w:pPr>
        <w:pStyle w:val="BP3Chartx"/>
      </w:pPr>
      <w:r w:rsidRPr="00DF3D6B">
        <w:lastRenderedPageBreak/>
        <w:t>State owned physical assets: val</w:t>
      </w:r>
      <w:r w:rsidR="00875580">
        <w:t xml:space="preserve">ue by type, as </w:t>
      </w:r>
      <w:proofErr w:type="gramStart"/>
      <w:r w:rsidR="00875580">
        <w:t>at</w:t>
      </w:r>
      <w:proofErr w:type="gramEnd"/>
      <w:r w:rsidR="00875580">
        <w:t xml:space="preserve"> 30 June 20</w:t>
      </w:r>
      <w:r w:rsidR="00FD0841">
        <w:t>2</w:t>
      </w:r>
      <w:r w:rsidR="00A42BEE">
        <w:t>2</w:t>
      </w:r>
      <w:r w:rsidR="00577170">
        <w:t xml:space="preserve"> </w:t>
      </w:r>
    </w:p>
    <w:p w14:paraId="43565F9A" w14:textId="3BD641FB" w:rsidR="00BE26B1" w:rsidRPr="00A1397D" w:rsidRDefault="008E14EB" w:rsidP="005C2EDF">
      <w:pPr>
        <w:jc w:val="center"/>
        <w:rPr>
          <w:rFonts w:ascii="Calibri" w:hAnsi="Calibri" w:cs="Calibri"/>
        </w:rPr>
      </w:pPr>
      <w:r>
        <w:rPr>
          <w:noProof/>
        </w:rPr>
        <w:drawing>
          <wp:inline distT="0" distB="0" distL="0" distR="0" wp14:anchorId="25AE15BF" wp14:editId="597505C2">
            <wp:extent cx="5536800" cy="3009600"/>
            <wp:effectExtent l="0" t="0" r="0" b="0"/>
            <wp:docPr id="2" name="Chart 2" descr="Chart 1.6:  State owned physical assets: value by type, as at 30 June 2022 ">
              <a:extLst xmlns:a="http://schemas.openxmlformats.org/drawingml/2006/main">
                <a:ext uri="{FF2B5EF4-FFF2-40B4-BE49-F238E27FC236}">
                  <a16:creationId xmlns:a16="http://schemas.microsoft.com/office/drawing/2014/main" id="{62448684-C039-4266-ACF1-E62CB4B588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80E2618" w14:textId="77777777" w:rsidR="006E0478" w:rsidRPr="006E0478" w:rsidRDefault="006E0478" w:rsidP="006E0478">
      <w:pPr>
        <w:rPr>
          <w:rFonts w:ascii="Calibri" w:hAnsi="Calibri" w:cs="Calibri"/>
          <w:sz w:val="6"/>
          <w:szCs w:val="6"/>
        </w:rPr>
      </w:pPr>
    </w:p>
    <w:p w14:paraId="0E1DA155" w14:textId="1D1AD19C" w:rsidR="00287382" w:rsidRPr="00BE73B1" w:rsidRDefault="00465D55" w:rsidP="006E23FF">
      <w:pPr>
        <w:pStyle w:val="BP3Footnote"/>
        <w:numPr>
          <w:ilvl w:val="0"/>
          <w:numId w:val="13"/>
        </w:numPr>
      </w:pPr>
      <w:r w:rsidRPr="00C074DC">
        <w:t>Infrastructure Systems are assets that comprise public facilities and provide essential services</w:t>
      </w:r>
      <w:r w:rsidR="00722D17" w:rsidRPr="00BE73B1">
        <w:t>. They also</w:t>
      </w:r>
      <w:r w:rsidRPr="00BE73B1">
        <w:t xml:space="preserve"> enhance the productive capacity of the economy, including roads, bridges</w:t>
      </w:r>
      <w:r w:rsidR="00DE0375" w:rsidRPr="00BE73B1">
        <w:t>,</w:t>
      </w:r>
      <w:r w:rsidRPr="00BE73B1">
        <w:t xml:space="preserve"> and water infrastructure and distribution works</w:t>
      </w:r>
      <w:r w:rsidR="00FC2527" w:rsidRPr="00BE73B1">
        <w:t>.</w:t>
      </w:r>
      <w:r w:rsidRPr="00BE73B1">
        <w:t xml:space="preserve"> </w:t>
      </w:r>
    </w:p>
    <w:p w14:paraId="28E81096" w14:textId="77777777" w:rsidR="006775D8" w:rsidRDefault="006775D8">
      <w:pPr>
        <w:rPr>
          <w:rFonts w:ascii="Public Sans" w:hAnsi="Public Sans" w:cs="Arial"/>
          <w:kern w:val="28"/>
          <w:sz w:val="16"/>
          <w:szCs w:val="16"/>
        </w:rPr>
      </w:pPr>
      <w:r>
        <w:rPr>
          <w:sz w:val="16"/>
          <w:szCs w:val="16"/>
        </w:rPr>
        <w:br w:type="page"/>
      </w:r>
    </w:p>
    <w:tbl>
      <w:tblPr>
        <w:tblW w:w="9606" w:type="dxa"/>
        <w:shd w:val="clear" w:color="auto" w:fill="F2F2F2" w:themeFill="background1" w:themeFillShade="F2"/>
        <w:tblLayout w:type="fixed"/>
        <w:tblCellMar>
          <w:left w:w="0" w:type="dxa"/>
          <w:right w:w="0" w:type="dxa"/>
        </w:tblCellMar>
        <w:tblLook w:val="04A0" w:firstRow="1" w:lastRow="0" w:firstColumn="1" w:lastColumn="0" w:noHBand="0" w:noVBand="1"/>
        <w:tblCaption w:val="Box 1.6: State of Infrastructure Report 2022-23"/>
        <w:tblDescription w:val="Box 1.6: State of Infrastructure Report 2022-23"/>
      </w:tblPr>
      <w:tblGrid>
        <w:gridCol w:w="9606"/>
      </w:tblGrid>
      <w:tr w:rsidR="00D173F8" w:rsidRPr="00A1397D" w14:paraId="10EA7EBE" w14:textId="77777777" w:rsidTr="00610B92">
        <w:trPr>
          <w:trHeight w:val="284"/>
        </w:trPr>
        <w:tc>
          <w:tcPr>
            <w:tcW w:w="9606" w:type="dxa"/>
            <w:shd w:val="clear" w:color="auto" w:fill="F2F2F2" w:themeFill="background1" w:themeFillShade="F2"/>
            <w:tcMar>
              <w:top w:w="0" w:type="dxa"/>
              <w:left w:w="108" w:type="dxa"/>
              <w:bottom w:w="0" w:type="dxa"/>
              <w:right w:w="108" w:type="dxa"/>
            </w:tcMar>
          </w:tcPr>
          <w:p w14:paraId="46F3B0E9" w14:textId="3EADF3E8" w:rsidR="00D173F8" w:rsidRPr="00621F67" w:rsidRDefault="00D173F8" w:rsidP="00D53243">
            <w:pPr>
              <w:pStyle w:val="BP3Boxx"/>
            </w:pPr>
            <w:r w:rsidRPr="32B3554B">
              <w:rPr>
                <w:highlight w:val="yellow"/>
              </w:rPr>
              <w:lastRenderedPageBreak/>
              <w:br w:type="page"/>
            </w:r>
            <w:r>
              <w:t>State of Infrastructure Report 2022-</w:t>
            </w:r>
            <w:r w:rsidR="008A75DF">
              <w:t>23</w:t>
            </w:r>
          </w:p>
          <w:p w14:paraId="0DD6C113" w14:textId="40A1AC41" w:rsidR="00D173F8" w:rsidRPr="009B642D" w:rsidRDefault="00F057C8">
            <w:pPr>
              <w:pStyle w:val="BP3BodyText"/>
            </w:pPr>
            <w:r>
              <w:t xml:space="preserve">The State of Infrastructure </w:t>
            </w:r>
            <w:r w:rsidR="00B8175F">
              <w:t>R</w:t>
            </w:r>
            <w:r>
              <w:t xml:space="preserve">eport </w:t>
            </w:r>
            <w:r w:rsidR="0049423C">
              <w:t>is an evidence-based</w:t>
            </w:r>
            <w:r>
              <w:t xml:space="preserve"> performance </w:t>
            </w:r>
            <w:r w:rsidR="0049423C">
              <w:t xml:space="preserve">assessment </w:t>
            </w:r>
            <w:r>
              <w:t xml:space="preserve">of the Government’s physical </w:t>
            </w:r>
            <w:r w:rsidR="00EE5A6C">
              <w:t xml:space="preserve">and digital </w:t>
            </w:r>
            <w:r>
              <w:t>asset portfolio</w:t>
            </w:r>
            <w:r w:rsidR="0049423C">
              <w:t xml:space="preserve">. The Report, prepared annually by Infrastructure NSW, summarises the performance of the </w:t>
            </w:r>
            <w:r w:rsidR="00EA58F5">
              <w:t>asset base and</w:t>
            </w:r>
            <w:r>
              <w:t xml:space="preserve"> highlights risk</w:t>
            </w:r>
            <w:r w:rsidR="00724C0D">
              <w:t>s</w:t>
            </w:r>
            <w:r>
              <w:t xml:space="preserve"> and opportunities related to service delivery</w:t>
            </w:r>
            <w:r w:rsidR="005542A3">
              <w:t>.</w:t>
            </w:r>
          </w:p>
          <w:p w14:paraId="66B3C676" w14:textId="2344DB7F" w:rsidR="007867B4" w:rsidRDefault="004F314C">
            <w:pPr>
              <w:pStyle w:val="BP3BodyText"/>
              <w:rPr>
                <w:szCs w:val="22"/>
              </w:rPr>
            </w:pPr>
            <w:r>
              <w:rPr>
                <w:szCs w:val="22"/>
              </w:rPr>
              <w:t xml:space="preserve">While the </w:t>
            </w:r>
            <w:r w:rsidR="000E645C">
              <w:rPr>
                <w:szCs w:val="22"/>
              </w:rPr>
              <w:t>Government’s physical asset base has increased</w:t>
            </w:r>
            <w:r>
              <w:rPr>
                <w:szCs w:val="22"/>
              </w:rPr>
              <w:t>,</w:t>
            </w:r>
            <w:r w:rsidR="007867B4">
              <w:rPr>
                <w:szCs w:val="22"/>
              </w:rPr>
              <w:t xml:space="preserve"> investment in recurrent maintenance expressed as a percentage of the asset base has declined from 1.</w:t>
            </w:r>
            <w:r w:rsidR="00B54784">
              <w:rPr>
                <w:szCs w:val="22"/>
              </w:rPr>
              <w:t>4</w:t>
            </w:r>
            <w:r w:rsidR="00BE73B1">
              <w:rPr>
                <w:szCs w:val="22"/>
              </w:rPr>
              <w:t xml:space="preserve"> per cent</w:t>
            </w:r>
            <w:r w:rsidR="007867B4">
              <w:rPr>
                <w:szCs w:val="22"/>
              </w:rPr>
              <w:t xml:space="preserve"> to</w:t>
            </w:r>
            <w:r w:rsidR="00BF5BE2">
              <w:rPr>
                <w:szCs w:val="22"/>
              </w:rPr>
              <w:t xml:space="preserve"> </w:t>
            </w:r>
            <w:r w:rsidR="007867B4">
              <w:rPr>
                <w:szCs w:val="22"/>
              </w:rPr>
              <w:t>1</w:t>
            </w:r>
            <w:r w:rsidR="009C3663">
              <w:rPr>
                <w:szCs w:val="22"/>
              </w:rPr>
              <w:t>.0</w:t>
            </w:r>
            <w:r w:rsidR="00BE73B1">
              <w:rPr>
                <w:szCs w:val="22"/>
              </w:rPr>
              <w:t xml:space="preserve"> per cent</w:t>
            </w:r>
            <w:r w:rsidR="00980E94">
              <w:rPr>
                <w:szCs w:val="22"/>
              </w:rPr>
              <w:t xml:space="preserve"> over the </w:t>
            </w:r>
            <w:r w:rsidR="000B0378">
              <w:rPr>
                <w:szCs w:val="22"/>
              </w:rPr>
              <w:t>period</w:t>
            </w:r>
            <w:r w:rsidR="00BE2FA4">
              <w:rPr>
                <w:szCs w:val="22"/>
              </w:rPr>
              <w:t xml:space="preserve"> 2013-14 to 2022-23. </w:t>
            </w:r>
            <w:r w:rsidR="00980E94">
              <w:rPr>
                <w:szCs w:val="22"/>
              </w:rPr>
              <w:t xml:space="preserve"> </w:t>
            </w:r>
          </w:p>
          <w:p w14:paraId="1A901ED3" w14:textId="36DFC546" w:rsidR="00D173F8" w:rsidRDefault="002F1F08">
            <w:pPr>
              <w:pStyle w:val="BP3BodyText"/>
              <w:rPr>
                <w:szCs w:val="22"/>
              </w:rPr>
            </w:pPr>
            <w:r>
              <w:rPr>
                <w:szCs w:val="22"/>
              </w:rPr>
              <w:t>In this light, the</w:t>
            </w:r>
            <w:r w:rsidR="00A21599">
              <w:rPr>
                <w:szCs w:val="22"/>
              </w:rPr>
              <w:t xml:space="preserve"> 2022-23</w:t>
            </w:r>
            <w:r w:rsidR="007867B4">
              <w:rPr>
                <w:szCs w:val="22"/>
              </w:rPr>
              <w:t xml:space="preserve"> Report </w:t>
            </w:r>
            <w:r w:rsidR="00B153F5">
              <w:rPr>
                <w:szCs w:val="22"/>
              </w:rPr>
              <w:t>identified five key challenges and opportunities impacting the physical asset portfolio:</w:t>
            </w:r>
          </w:p>
          <w:p w14:paraId="31F445BA" w14:textId="03733DA2" w:rsidR="00BD2545" w:rsidRPr="001610BF" w:rsidRDefault="00BD2545">
            <w:pPr>
              <w:pStyle w:val="BP3BodyText"/>
              <w:rPr>
                <w:szCs w:val="22"/>
              </w:rPr>
            </w:pPr>
            <w:r w:rsidRPr="00964874">
              <w:rPr>
                <w:b/>
                <w:bCs/>
                <w:szCs w:val="22"/>
              </w:rPr>
              <w:t>Infrastructure investment needs to be balanced to deliver optimised outcomes</w:t>
            </w:r>
            <w:r w:rsidR="00964874" w:rsidRPr="00B921EC">
              <w:rPr>
                <w:szCs w:val="22"/>
              </w:rPr>
              <w:t xml:space="preserve"> </w:t>
            </w:r>
            <w:r w:rsidR="001610BF" w:rsidRPr="00B921EC">
              <w:rPr>
                <w:szCs w:val="22"/>
              </w:rPr>
              <w:t>–</w:t>
            </w:r>
            <w:r w:rsidR="00964874">
              <w:rPr>
                <w:b/>
                <w:bCs/>
                <w:szCs w:val="22"/>
              </w:rPr>
              <w:t xml:space="preserve"> </w:t>
            </w:r>
            <w:r w:rsidR="00791ABE">
              <w:rPr>
                <w:szCs w:val="22"/>
              </w:rPr>
              <w:t xml:space="preserve">sustainable infrastructure investment should consider </w:t>
            </w:r>
            <w:proofErr w:type="gramStart"/>
            <w:r w:rsidR="00791ABE">
              <w:rPr>
                <w:szCs w:val="22"/>
              </w:rPr>
              <w:t>a</w:t>
            </w:r>
            <w:r w:rsidR="008C7DC7">
              <w:rPr>
                <w:szCs w:val="22"/>
              </w:rPr>
              <w:t>n</w:t>
            </w:r>
            <w:proofErr w:type="gramEnd"/>
            <w:r w:rsidR="00791ABE">
              <w:rPr>
                <w:szCs w:val="22"/>
              </w:rPr>
              <w:t xml:space="preserve"> holistic range of options, including both </w:t>
            </w:r>
            <w:r w:rsidR="00B0524D">
              <w:rPr>
                <w:szCs w:val="22"/>
              </w:rPr>
              <w:t xml:space="preserve">investment in the existing asset base and new </w:t>
            </w:r>
            <w:r w:rsidR="000E070D">
              <w:rPr>
                <w:szCs w:val="22"/>
              </w:rPr>
              <w:t>assets</w:t>
            </w:r>
            <w:r w:rsidR="00B0524D">
              <w:rPr>
                <w:szCs w:val="22"/>
              </w:rPr>
              <w:t xml:space="preserve">. This </w:t>
            </w:r>
            <w:r w:rsidR="00F65944">
              <w:rPr>
                <w:szCs w:val="22"/>
              </w:rPr>
              <w:t xml:space="preserve">will </w:t>
            </w:r>
            <w:r w:rsidR="00FF33B7">
              <w:rPr>
                <w:szCs w:val="22"/>
              </w:rPr>
              <w:t>allow Government to maximise</w:t>
            </w:r>
            <w:r w:rsidR="00B0524D">
              <w:rPr>
                <w:szCs w:val="22"/>
              </w:rPr>
              <w:t xml:space="preserve"> the value of assets by ensuring they are properly maintained and replace</w:t>
            </w:r>
            <w:r w:rsidR="00643BFB">
              <w:rPr>
                <w:szCs w:val="22"/>
              </w:rPr>
              <w:t xml:space="preserve">d, </w:t>
            </w:r>
            <w:r w:rsidR="007255BC">
              <w:rPr>
                <w:szCs w:val="22"/>
              </w:rPr>
              <w:t>opportunities to extract more value are realised and capabilities are enhanced through</w:t>
            </w:r>
            <w:r w:rsidR="000E070D">
              <w:rPr>
                <w:szCs w:val="22"/>
              </w:rPr>
              <w:t xml:space="preserve"> more</w:t>
            </w:r>
            <w:r w:rsidR="007255BC">
              <w:rPr>
                <w:szCs w:val="22"/>
              </w:rPr>
              <w:t xml:space="preserve"> minimal, low</w:t>
            </w:r>
            <w:r w:rsidR="000E070D">
              <w:rPr>
                <w:szCs w:val="22"/>
              </w:rPr>
              <w:t>er</w:t>
            </w:r>
            <w:r w:rsidR="007255BC">
              <w:rPr>
                <w:szCs w:val="22"/>
              </w:rPr>
              <w:t xml:space="preserve">-risk interventions. </w:t>
            </w:r>
            <w:r w:rsidR="007369E7">
              <w:rPr>
                <w:szCs w:val="22"/>
              </w:rPr>
              <w:t xml:space="preserve">Investment in the existing asset base can also assist in improving service delivery and </w:t>
            </w:r>
            <w:r w:rsidR="00F01D34">
              <w:rPr>
                <w:szCs w:val="22"/>
              </w:rPr>
              <w:t xml:space="preserve">increasing resilience. </w:t>
            </w:r>
          </w:p>
          <w:p w14:paraId="278003A1" w14:textId="155A2391" w:rsidR="00BD2545" w:rsidRPr="00964874" w:rsidRDefault="00853E92">
            <w:pPr>
              <w:pStyle w:val="BP3BodyText"/>
              <w:rPr>
                <w:b/>
                <w:bCs/>
                <w:szCs w:val="22"/>
              </w:rPr>
            </w:pPr>
            <w:r w:rsidRPr="00964874">
              <w:rPr>
                <w:b/>
                <w:bCs/>
                <w:szCs w:val="22"/>
              </w:rPr>
              <w:t>Measurement of the maintenance liability must be standardised</w:t>
            </w:r>
            <w:r w:rsidR="00DB0367">
              <w:rPr>
                <w:b/>
                <w:bCs/>
                <w:szCs w:val="22"/>
              </w:rPr>
              <w:t xml:space="preserve"> </w:t>
            </w:r>
            <w:r w:rsidR="00B8175F" w:rsidRPr="00B921EC">
              <w:rPr>
                <w:szCs w:val="22"/>
              </w:rPr>
              <w:t>–</w:t>
            </w:r>
            <w:r w:rsidR="00DB0367" w:rsidRPr="00DB0367">
              <w:rPr>
                <w:szCs w:val="22"/>
              </w:rPr>
              <w:t xml:space="preserve"> maintenance requirements </w:t>
            </w:r>
            <w:r w:rsidR="00E9024D">
              <w:rPr>
                <w:szCs w:val="22"/>
              </w:rPr>
              <w:t xml:space="preserve">should </w:t>
            </w:r>
            <w:r w:rsidR="00497C72">
              <w:rPr>
                <w:szCs w:val="22"/>
              </w:rPr>
              <w:t xml:space="preserve">be </w:t>
            </w:r>
            <w:r w:rsidR="005B1799">
              <w:rPr>
                <w:szCs w:val="22"/>
              </w:rPr>
              <w:t xml:space="preserve">calculated </w:t>
            </w:r>
            <w:r w:rsidR="00497C72">
              <w:rPr>
                <w:szCs w:val="22"/>
              </w:rPr>
              <w:t xml:space="preserve">in a consistent manner </w:t>
            </w:r>
            <w:r w:rsidR="00DB0367" w:rsidRPr="00DB0367">
              <w:rPr>
                <w:szCs w:val="22"/>
              </w:rPr>
              <w:t xml:space="preserve">and </w:t>
            </w:r>
            <w:r w:rsidR="00497C72">
              <w:rPr>
                <w:szCs w:val="22"/>
              </w:rPr>
              <w:t xml:space="preserve">be </w:t>
            </w:r>
            <w:r w:rsidR="00DB0367" w:rsidRPr="00DB0367">
              <w:rPr>
                <w:szCs w:val="22"/>
              </w:rPr>
              <w:t>align</w:t>
            </w:r>
            <w:r w:rsidR="00497C72">
              <w:rPr>
                <w:szCs w:val="22"/>
              </w:rPr>
              <w:t>ed</w:t>
            </w:r>
            <w:r w:rsidR="00DB0367" w:rsidRPr="00DB0367">
              <w:rPr>
                <w:szCs w:val="22"/>
              </w:rPr>
              <w:t xml:space="preserve"> to the delivery of service outcomes. Better information on maintenance needs will allow the Government to prioritise funding to where it is needed most, ensuring continuity of service while balancing a tight fiscal environment.</w:t>
            </w:r>
          </w:p>
          <w:p w14:paraId="7FDEB056" w14:textId="1A2C73CB" w:rsidR="00853E92" w:rsidRPr="00497C72" w:rsidRDefault="00853E92">
            <w:pPr>
              <w:pStyle w:val="BP3BodyText"/>
              <w:rPr>
                <w:szCs w:val="22"/>
              </w:rPr>
            </w:pPr>
            <w:r w:rsidRPr="00964874">
              <w:rPr>
                <w:b/>
                <w:bCs/>
                <w:szCs w:val="22"/>
              </w:rPr>
              <w:t>Assets remain vulnerable to shocks and stresses</w:t>
            </w:r>
            <w:r w:rsidR="00497C72">
              <w:rPr>
                <w:b/>
                <w:bCs/>
                <w:szCs w:val="22"/>
              </w:rPr>
              <w:t xml:space="preserve"> </w:t>
            </w:r>
            <w:r w:rsidR="00497C72" w:rsidRPr="00B921EC">
              <w:rPr>
                <w:szCs w:val="22"/>
              </w:rPr>
              <w:t>–</w:t>
            </w:r>
            <w:r w:rsidR="00497C72">
              <w:rPr>
                <w:b/>
                <w:bCs/>
                <w:szCs w:val="22"/>
              </w:rPr>
              <w:t xml:space="preserve"> </w:t>
            </w:r>
            <w:r w:rsidR="00991808">
              <w:rPr>
                <w:szCs w:val="22"/>
              </w:rPr>
              <w:t>natural and human induced hazards challenge the resilience of the asset base, testing its ability to withstand and absorb loads and expos</w:t>
            </w:r>
            <w:r w:rsidR="00C3638E">
              <w:rPr>
                <w:szCs w:val="22"/>
              </w:rPr>
              <w:t>ing</w:t>
            </w:r>
            <w:r w:rsidR="00991808">
              <w:rPr>
                <w:szCs w:val="22"/>
              </w:rPr>
              <w:t xml:space="preserve"> vulnerabilities. </w:t>
            </w:r>
          </w:p>
          <w:p w14:paraId="77F93B74" w14:textId="1E63D230" w:rsidR="00853E92" w:rsidRPr="003D116F" w:rsidRDefault="00853E92">
            <w:pPr>
              <w:pStyle w:val="BP3BodyText"/>
              <w:rPr>
                <w:szCs w:val="22"/>
              </w:rPr>
            </w:pPr>
            <w:r w:rsidRPr="00964874">
              <w:rPr>
                <w:b/>
                <w:bCs/>
                <w:szCs w:val="22"/>
              </w:rPr>
              <w:t>The nature of infrastructure is dynamic</w:t>
            </w:r>
            <w:r w:rsidR="003D116F">
              <w:rPr>
                <w:b/>
                <w:bCs/>
                <w:szCs w:val="22"/>
              </w:rPr>
              <w:t xml:space="preserve"> </w:t>
            </w:r>
            <w:r w:rsidR="003D116F" w:rsidRPr="00B921EC">
              <w:rPr>
                <w:szCs w:val="22"/>
              </w:rPr>
              <w:t xml:space="preserve">– </w:t>
            </w:r>
            <w:r w:rsidR="003D116F">
              <w:rPr>
                <w:szCs w:val="22"/>
              </w:rPr>
              <w:t>the increased cost of living, hybrid working, technological advances, changing customer expectations and climate change are examples of factors that are changing how customers use assets.</w:t>
            </w:r>
            <w:r w:rsidR="00C04025">
              <w:rPr>
                <w:szCs w:val="22"/>
              </w:rPr>
              <w:t xml:space="preserve"> Combined with the </w:t>
            </w:r>
            <w:r w:rsidR="00857DDE">
              <w:rPr>
                <w:szCs w:val="22"/>
              </w:rPr>
              <w:t xml:space="preserve">increasing size and interconnectivity of the asset portfolio, these trends are escalating the complexity of asset management. </w:t>
            </w:r>
            <w:r w:rsidR="003D116F">
              <w:rPr>
                <w:szCs w:val="22"/>
              </w:rPr>
              <w:t xml:space="preserve"> </w:t>
            </w:r>
          </w:p>
          <w:p w14:paraId="08827C62" w14:textId="3ADC3904" w:rsidR="00FB0E97" w:rsidRPr="00990973" w:rsidRDefault="00853E92">
            <w:pPr>
              <w:pStyle w:val="BP3BodyText"/>
              <w:rPr>
                <w:szCs w:val="22"/>
              </w:rPr>
            </w:pPr>
            <w:r w:rsidRPr="00964874">
              <w:rPr>
                <w:b/>
                <w:bCs/>
                <w:szCs w:val="22"/>
              </w:rPr>
              <w:t>The existing asset base can be leveraged to deliver improved outcomes</w:t>
            </w:r>
            <w:r w:rsidR="00990973">
              <w:rPr>
                <w:b/>
                <w:bCs/>
                <w:szCs w:val="22"/>
              </w:rPr>
              <w:t xml:space="preserve"> </w:t>
            </w:r>
            <w:r w:rsidR="00990973" w:rsidRPr="00B921EC">
              <w:rPr>
                <w:szCs w:val="22"/>
              </w:rPr>
              <w:t>–</w:t>
            </w:r>
            <w:r w:rsidR="00990973">
              <w:rPr>
                <w:b/>
                <w:bCs/>
                <w:szCs w:val="22"/>
              </w:rPr>
              <w:t xml:space="preserve"> </w:t>
            </w:r>
            <w:r w:rsidR="00157CF3">
              <w:rPr>
                <w:szCs w:val="22"/>
              </w:rPr>
              <w:t>mature asset management practices help to identify opportunities to use assets differently and unlock latent capacity in agency portfolio</w:t>
            </w:r>
            <w:r w:rsidR="00FB0E97">
              <w:rPr>
                <w:szCs w:val="22"/>
              </w:rPr>
              <w:t xml:space="preserve">s by using assets in new ways or by working across government to share spare capacity. </w:t>
            </w:r>
          </w:p>
        </w:tc>
      </w:tr>
    </w:tbl>
    <w:p w14:paraId="7B60D6BB" w14:textId="77777777" w:rsidR="006775D8" w:rsidRDefault="006775D8">
      <w:pPr>
        <w:rPr>
          <w:rFonts w:ascii="Public Sans SemiBold" w:eastAsia="Yu Gothic Light" w:hAnsi="Public Sans SemiBold" w:cs="Yu Gothic Light"/>
          <w:b/>
          <w:color w:val="22272B"/>
          <w:kern w:val="28"/>
          <w:sz w:val="26"/>
          <w:szCs w:val="26"/>
          <w:lang w:val="en-AU"/>
        </w:rPr>
      </w:pPr>
      <w:r>
        <w:br w:type="page"/>
      </w:r>
    </w:p>
    <w:p w14:paraId="6C163B39" w14:textId="45557B1D" w:rsidR="00C83CC7" w:rsidRPr="004F4954" w:rsidRDefault="00C83CC7" w:rsidP="002027A3">
      <w:pPr>
        <w:pStyle w:val="BP3Heading3"/>
      </w:pPr>
      <w:r w:rsidRPr="00E15A68">
        <w:lastRenderedPageBreak/>
        <w:t>Infrastructure maintenance</w:t>
      </w:r>
    </w:p>
    <w:p w14:paraId="003FECE9" w14:textId="2FA77412" w:rsidR="00B37221" w:rsidRDefault="007B0286" w:rsidP="00494BFF">
      <w:pPr>
        <w:pStyle w:val="BP3BodyText"/>
      </w:pPr>
      <w:r w:rsidRPr="00A1397D">
        <w:t xml:space="preserve">Agencies maintain their </w:t>
      </w:r>
      <w:r w:rsidR="004F5266">
        <w:t>physical assets</w:t>
      </w:r>
      <w:r w:rsidRPr="00A1397D">
        <w:t xml:space="preserve"> to support the delivery of high-quality services.</w:t>
      </w:r>
      <w:r w:rsidR="00BC325D">
        <w:t xml:space="preserve"> </w:t>
      </w:r>
      <w:r w:rsidR="0093176C">
        <w:t xml:space="preserve">Ongoing investment in maintenance is vital </w:t>
      </w:r>
      <w:r w:rsidR="00A843EE">
        <w:t xml:space="preserve">to ensure the State’s asset base </w:t>
      </w:r>
      <w:proofErr w:type="gramStart"/>
      <w:r w:rsidR="00A843EE">
        <w:t>is able to</w:t>
      </w:r>
      <w:proofErr w:type="gramEnd"/>
      <w:r w:rsidR="00A843EE">
        <w:t xml:space="preserve"> </w:t>
      </w:r>
      <w:r w:rsidR="00A60D31">
        <w:t>provide</w:t>
      </w:r>
      <w:r w:rsidR="00A843EE">
        <w:t xml:space="preserve"> the service</w:t>
      </w:r>
      <w:r w:rsidR="00A60D31">
        <w:t>s</w:t>
      </w:r>
      <w:r w:rsidR="00A843EE">
        <w:t xml:space="preserve"> </w:t>
      </w:r>
      <w:r w:rsidR="00B37221">
        <w:t xml:space="preserve">people need. </w:t>
      </w:r>
    </w:p>
    <w:p w14:paraId="015BDC0F" w14:textId="3E131F02" w:rsidR="00694F76" w:rsidRDefault="006F4A54" w:rsidP="00494BFF">
      <w:pPr>
        <w:pStyle w:val="BP3BodyText"/>
      </w:pPr>
      <w:r w:rsidRPr="0018609C">
        <w:t xml:space="preserve">Table 1.4 shows </w:t>
      </w:r>
      <w:r w:rsidR="007455B3">
        <w:t>the forecast</w:t>
      </w:r>
      <w:r w:rsidRPr="0018609C">
        <w:t xml:space="preserve"> maintenance expenditure estimates for the general government and PNFC sectors </w:t>
      </w:r>
      <w:r>
        <w:t xml:space="preserve">across the four years to </w:t>
      </w:r>
      <w:r w:rsidR="00C02968">
        <w:t>2026-27</w:t>
      </w:r>
      <w:r w:rsidR="00DC4F51">
        <w:t>, while Chart 1.</w:t>
      </w:r>
      <w:r w:rsidR="00B531CF">
        <w:t>7</w:t>
      </w:r>
      <w:r w:rsidR="00DC4F51">
        <w:t xml:space="preserve"> shows recurrent</w:t>
      </w:r>
      <w:r w:rsidR="0076514F">
        <w:t xml:space="preserve"> maintenance expenditure </w:t>
      </w:r>
      <w:r w:rsidR="00DC4F51">
        <w:t xml:space="preserve">from 2013-14 to 2026-27. </w:t>
      </w:r>
    </w:p>
    <w:p w14:paraId="5D397E47" w14:textId="6DA049EC" w:rsidR="00C045BC" w:rsidRPr="001B73B2" w:rsidRDefault="00C83CC7" w:rsidP="006C05B3">
      <w:pPr>
        <w:pStyle w:val="BP3TableHeading"/>
      </w:pPr>
      <w:r w:rsidRPr="004307F6">
        <w:t>Maintenance expenses</w:t>
      </w:r>
      <w:r w:rsidR="00185851" w:rsidRPr="004307F6">
        <w:rPr>
          <w:vertAlign w:val="superscript"/>
        </w:rPr>
        <w:t>(a)</w:t>
      </w:r>
      <w:r w:rsidR="00966A40" w:rsidRPr="00E74D8B">
        <w:t xml:space="preserve"> </w:t>
      </w:r>
    </w:p>
    <w:tbl>
      <w:tblPr>
        <w:tblW w:w="9752" w:type="dxa"/>
        <w:jc w:val="center"/>
        <w:tblLayout w:type="fixed"/>
        <w:tblLook w:val="04A0" w:firstRow="1" w:lastRow="0" w:firstColumn="1" w:lastColumn="0" w:noHBand="0" w:noVBand="1"/>
        <w:tblCaption w:val="Table 1.4: Maintenance expenses"/>
        <w:tblDescription w:val="Table 1.4: Maintenance expenses"/>
      </w:tblPr>
      <w:tblGrid>
        <w:gridCol w:w="947"/>
        <w:gridCol w:w="1525"/>
        <w:gridCol w:w="1171"/>
        <w:gridCol w:w="1164"/>
        <w:gridCol w:w="1308"/>
        <w:gridCol w:w="1256"/>
        <w:gridCol w:w="1216"/>
        <w:gridCol w:w="1165"/>
      </w:tblGrid>
      <w:tr w:rsidR="00034842" w:rsidRPr="00DA4DD0" w14:paraId="5EED2AAD" w14:textId="77777777" w:rsidTr="00D831D5">
        <w:trPr>
          <w:trHeight w:val="238"/>
          <w:jc w:val="center"/>
        </w:trPr>
        <w:tc>
          <w:tcPr>
            <w:tcW w:w="947" w:type="dxa"/>
            <w:tcBorders>
              <w:top w:val="nil"/>
              <w:left w:val="nil"/>
              <w:bottom w:val="nil"/>
              <w:right w:val="nil"/>
            </w:tcBorders>
            <w:shd w:val="clear" w:color="auto" w:fill="EBEBEB"/>
            <w:vAlign w:val="bottom"/>
            <w:hideMark/>
          </w:tcPr>
          <w:p w14:paraId="5FCE4725" w14:textId="77777777" w:rsidR="00DA7C74" w:rsidRPr="00DA4DD0" w:rsidRDefault="00DA7C74" w:rsidP="008C5D92">
            <w:pPr>
              <w:jc w:val="center"/>
              <w:rPr>
                <w:rFonts w:ascii="Public Sans" w:hAnsi="Public Sans" w:cs="Arial"/>
                <w:bCs/>
                <w:sz w:val="18"/>
                <w:szCs w:val="18"/>
                <w:lang w:val="en-AU" w:eastAsia="en-AU"/>
              </w:rPr>
            </w:pPr>
            <w:r w:rsidRPr="00DA4DD0">
              <w:rPr>
                <w:rFonts w:ascii="Public Sans" w:hAnsi="Public Sans" w:cs="Arial"/>
                <w:bCs/>
                <w:sz w:val="18"/>
                <w:szCs w:val="18"/>
                <w:lang w:val="en-AU" w:eastAsia="en-AU"/>
              </w:rPr>
              <w:t> </w:t>
            </w:r>
          </w:p>
        </w:tc>
        <w:tc>
          <w:tcPr>
            <w:tcW w:w="1525" w:type="dxa"/>
            <w:tcBorders>
              <w:top w:val="nil"/>
              <w:left w:val="nil"/>
              <w:bottom w:val="nil"/>
              <w:right w:val="nil"/>
            </w:tcBorders>
            <w:shd w:val="clear" w:color="auto" w:fill="EBEBEB"/>
            <w:vAlign w:val="bottom"/>
            <w:hideMark/>
          </w:tcPr>
          <w:p w14:paraId="078C4557" w14:textId="77777777" w:rsidR="00DA7C74" w:rsidRPr="00DA4DD0" w:rsidRDefault="00DA7C74" w:rsidP="008C5D92">
            <w:pPr>
              <w:jc w:val="center"/>
              <w:rPr>
                <w:rFonts w:ascii="Public Sans" w:hAnsi="Public Sans" w:cs="Arial"/>
                <w:bCs/>
                <w:sz w:val="18"/>
                <w:szCs w:val="18"/>
                <w:lang w:val="en-AU" w:eastAsia="en-AU"/>
              </w:rPr>
            </w:pPr>
            <w:r w:rsidRPr="00DA4DD0">
              <w:rPr>
                <w:rFonts w:ascii="Public Sans" w:hAnsi="Public Sans" w:cs="Arial"/>
                <w:bCs/>
                <w:sz w:val="18"/>
                <w:szCs w:val="18"/>
                <w:lang w:val="en-AU" w:eastAsia="en-AU"/>
              </w:rPr>
              <w:t> </w:t>
            </w:r>
          </w:p>
        </w:tc>
        <w:tc>
          <w:tcPr>
            <w:tcW w:w="2335" w:type="dxa"/>
            <w:gridSpan w:val="2"/>
            <w:tcBorders>
              <w:top w:val="nil"/>
              <w:left w:val="nil"/>
              <w:bottom w:val="nil"/>
              <w:right w:val="nil"/>
            </w:tcBorders>
            <w:shd w:val="clear" w:color="auto" w:fill="EBEBEB"/>
            <w:vAlign w:val="bottom"/>
            <w:hideMark/>
          </w:tcPr>
          <w:p w14:paraId="2B4CC77D" w14:textId="6B52B48F" w:rsidR="00DA7C74" w:rsidRPr="005C2EDF" w:rsidRDefault="00F151B2" w:rsidP="008C5D92">
            <w:pPr>
              <w:jc w:val="center"/>
              <w:rPr>
                <w:rFonts w:ascii="Public Sans" w:hAnsi="Public Sans" w:cs="Arial"/>
                <w:sz w:val="18"/>
                <w:szCs w:val="18"/>
                <w:lang w:val="en-AU" w:eastAsia="en-AU"/>
              </w:rPr>
            </w:pPr>
            <w:r w:rsidRPr="005C2EDF">
              <w:rPr>
                <w:rFonts w:ascii="Public Sans" w:hAnsi="Public Sans" w:cs="Arial"/>
                <w:sz w:val="18"/>
                <w:szCs w:val="18"/>
                <w:lang w:val="en-AU" w:eastAsia="en-AU"/>
              </w:rPr>
              <w:t>2022-23</w:t>
            </w:r>
          </w:p>
        </w:tc>
        <w:tc>
          <w:tcPr>
            <w:tcW w:w="1308" w:type="dxa"/>
            <w:tcBorders>
              <w:top w:val="nil"/>
              <w:left w:val="nil"/>
              <w:bottom w:val="nil"/>
              <w:right w:val="nil"/>
            </w:tcBorders>
            <w:shd w:val="clear" w:color="auto" w:fill="EBEBEB"/>
            <w:vAlign w:val="bottom"/>
            <w:hideMark/>
          </w:tcPr>
          <w:p w14:paraId="3B8DD8AF" w14:textId="5EE5B261" w:rsidR="00DA7C74" w:rsidRPr="005C2EDF" w:rsidRDefault="00F151B2" w:rsidP="008C5D92">
            <w:pPr>
              <w:jc w:val="center"/>
              <w:rPr>
                <w:rFonts w:ascii="Public Sans" w:hAnsi="Public Sans" w:cs="Arial"/>
                <w:sz w:val="18"/>
                <w:szCs w:val="18"/>
                <w:lang w:val="en-AU" w:eastAsia="en-AU"/>
              </w:rPr>
            </w:pPr>
            <w:r w:rsidRPr="005C2EDF">
              <w:rPr>
                <w:rFonts w:ascii="Public Sans" w:hAnsi="Public Sans" w:cs="Arial"/>
                <w:sz w:val="18"/>
                <w:szCs w:val="18"/>
                <w:lang w:val="en-AU" w:eastAsia="en-AU"/>
              </w:rPr>
              <w:t>2023-24</w:t>
            </w:r>
          </w:p>
        </w:tc>
        <w:tc>
          <w:tcPr>
            <w:tcW w:w="1256" w:type="dxa"/>
            <w:tcBorders>
              <w:top w:val="nil"/>
              <w:left w:val="nil"/>
              <w:bottom w:val="nil"/>
              <w:right w:val="nil"/>
            </w:tcBorders>
            <w:shd w:val="clear" w:color="auto" w:fill="EBEBEB"/>
            <w:vAlign w:val="bottom"/>
            <w:hideMark/>
          </w:tcPr>
          <w:p w14:paraId="4BBE75FC" w14:textId="2CF92AC0" w:rsidR="00DA7C74" w:rsidRPr="005C2EDF" w:rsidRDefault="00F151B2" w:rsidP="008C5D92">
            <w:pPr>
              <w:jc w:val="center"/>
              <w:rPr>
                <w:rFonts w:ascii="Public Sans" w:hAnsi="Public Sans" w:cs="Arial"/>
                <w:sz w:val="18"/>
                <w:szCs w:val="18"/>
                <w:lang w:val="en-AU" w:eastAsia="en-AU"/>
              </w:rPr>
            </w:pPr>
            <w:r w:rsidRPr="005C2EDF">
              <w:rPr>
                <w:rFonts w:ascii="Public Sans" w:hAnsi="Public Sans" w:cs="Arial"/>
                <w:sz w:val="18"/>
                <w:szCs w:val="18"/>
                <w:lang w:val="en-AU" w:eastAsia="en-AU"/>
              </w:rPr>
              <w:t>2024-25</w:t>
            </w:r>
          </w:p>
        </w:tc>
        <w:tc>
          <w:tcPr>
            <w:tcW w:w="1216" w:type="dxa"/>
            <w:tcBorders>
              <w:top w:val="nil"/>
              <w:left w:val="nil"/>
              <w:bottom w:val="nil"/>
              <w:right w:val="nil"/>
            </w:tcBorders>
            <w:shd w:val="clear" w:color="auto" w:fill="EBEBEB"/>
            <w:vAlign w:val="bottom"/>
            <w:hideMark/>
          </w:tcPr>
          <w:p w14:paraId="64C1182A" w14:textId="6DE9D6B9" w:rsidR="00DA7C74" w:rsidRPr="005C2EDF" w:rsidRDefault="00F151B2" w:rsidP="008C5D92">
            <w:pPr>
              <w:jc w:val="center"/>
              <w:rPr>
                <w:rFonts w:ascii="Public Sans" w:hAnsi="Public Sans" w:cs="Arial"/>
                <w:sz w:val="18"/>
                <w:szCs w:val="18"/>
                <w:lang w:val="en-AU" w:eastAsia="en-AU"/>
              </w:rPr>
            </w:pPr>
            <w:r w:rsidRPr="005C2EDF">
              <w:rPr>
                <w:rFonts w:ascii="Public Sans" w:hAnsi="Public Sans" w:cs="Arial"/>
                <w:sz w:val="18"/>
                <w:szCs w:val="18"/>
                <w:lang w:val="en-AU" w:eastAsia="en-AU"/>
              </w:rPr>
              <w:t>2025-26</w:t>
            </w:r>
          </w:p>
        </w:tc>
        <w:tc>
          <w:tcPr>
            <w:tcW w:w="1165" w:type="dxa"/>
            <w:tcBorders>
              <w:top w:val="nil"/>
              <w:left w:val="nil"/>
              <w:bottom w:val="nil"/>
              <w:right w:val="nil"/>
            </w:tcBorders>
            <w:shd w:val="clear" w:color="auto" w:fill="EBEBEB"/>
            <w:vAlign w:val="bottom"/>
            <w:hideMark/>
          </w:tcPr>
          <w:p w14:paraId="5EC8F85F" w14:textId="3EDF6248" w:rsidR="00DA7C74" w:rsidRPr="005C2EDF" w:rsidRDefault="00F151B2" w:rsidP="008C5D92">
            <w:pPr>
              <w:jc w:val="center"/>
              <w:rPr>
                <w:rFonts w:ascii="Public Sans" w:hAnsi="Public Sans" w:cs="Arial"/>
                <w:sz w:val="18"/>
                <w:szCs w:val="18"/>
                <w:lang w:val="en-AU" w:eastAsia="en-AU"/>
              </w:rPr>
            </w:pPr>
            <w:r w:rsidRPr="005C2EDF">
              <w:rPr>
                <w:rFonts w:ascii="Public Sans" w:hAnsi="Public Sans" w:cs="Arial"/>
                <w:sz w:val="18"/>
                <w:szCs w:val="18"/>
                <w:lang w:val="en-AU" w:eastAsia="en-AU"/>
              </w:rPr>
              <w:t>2026-27</w:t>
            </w:r>
          </w:p>
        </w:tc>
      </w:tr>
      <w:tr w:rsidR="00034842" w:rsidRPr="00DA4DD0" w14:paraId="0DB2A78F" w14:textId="77777777" w:rsidTr="004A60F9">
        <w:trPr>
          <w:trHeight w:val="191"/>
          <w:jc w:val="center"/>
        </w:trPr>
        <w:tc>
          <w:tcPr>
            <w:tcW w:w="947" w:type="dxa"/>
            <w:tcBorders>
              <w:top w:val="nil"/>
              <w:left w:val="nil"/>
              <w:right w:val="nil"/>
            </w:tcBorders>
            <w:shd w:val="clear" w:color="auto" w:fill="EBEBEB"/>
            <w:vAlign w:val="bottom"/>
            <w:hideMark/>
          </w:tcPr>
          <w:p w14:paraId="4B8B2AB4" w14:textId="77777777" w:rsidR="00DA7C74" w:rsidRPr="00DA4DD0" w:rsidRDefault="00DA7C74" w:rsidP="008C5D92">
            <w:pPr>
              <w:jc w:val="center"/>
              <w:rPr>
                <w:rFonts w:ascii="Public Sans" w:hAnsi="Public Sans" w:cs="Arial"/>
                <w:bCs/>
                <w:sz w:val="18"/>
                <w:szCs w:val="18"/>
                <w:lang w:val="en-AU" w:eastAsia="en-AU"/>
              </w:rPr>
            </w:pPr>
          </w:p>
        </w:tc>
        <w:tc>
          <w:tcPr>
            <w:tcW w:w="1525" w:type="dxa"/>
            <w:tcBorders>
              <w:top w:val="nil"/>
              <w:left w:val="nil"/>
              <w:right w:val="nil"/>
            </w:tcBorders>
            <w:shd w:val="clear" w:color="auto" w:fill="EBEBEB"/>
            <w:vAlign w:val="bottom"/>
            <w:hideMark/>
          </w:tcPr>
          <w:p w14:paraId="34F21EE5" w14:textId="77777777" w:rsidR="00DA7C74" w:rsidRPr="00DA4DD0" w:rsidRDefault="00DA7C74" w:rsidP="008C5D92">
            <w:pPr>
              <w:jc w:val="center"/>
              <w:rPr>
                <w:rFonts w:ascii="Public Sans" w:hAnsi="Public Sans" w:cs="Arial"/>
                <w:bCs/>
                <w:sz w:val="18"/>
                <w:szCs w:val="18"/>
                <w:lang w:val="en-AU" w:eastAsia="en-AU"/>
              </w:rPr>
            </w:pPr>
          </w:p>
        </w:tc>
        <w:tc>
          <w:tcPr>
            <w:tcW w:w="1171" w:type="dxa"/>
            <w:tcBorders>
              <w:top w:val="nil"/>
              <w:left w:val="nil"/>
              <w:right w:val="nil"/>
            </w:tcBorders>
            <w:shd w:val="clear" w:color="auto" w:fill="EBEBEB"/>
            <w:vAlign w:val="bottom"/>
            <w:hideMark/>
          </w:tcPr>
          <w:p w14:paraId="4798196C" w14:textId="77777777" w:rsidR="00DA7C74" w:rsidRPr="005C2EDF" w:rsidRDefault="00DA7C74" w:rsidP="008C5D92">
            <w:pPr>
              <w:jc w:val="center"/>
              <w:rPr>
                <w:rFonts w:ascii="Public Sans" w:hAnsi="Public Sans" w:cs="Arial"/>
                <w:sz w:val="18"/>
                <w:szCs w:val="18"/>
                <w:lang w:val="en-AU" w:eastAsia="en-AU"/>
              </w:rPr>
            </w:pPr>
            <w:r w:rsidRPr="005C2EDF">
              <w:rPr>
                <w:rFonts w:ascii="Public Sans" w:hAnsi="Public Sans" w:cs="Arial"/>
                <w:sz w:val="18"/>
                <w:szCs w:val="18"/>
                <w:lang w:val="en-AU" w:eastAsia="en-AU"/>
              </w:rPr>
              <w:t>Budget</w:t>
            </w:r>
          </w:p>
        </w:tc>
        <w:tc>
          <w:tcPr>
            <w:tcW w:w="1164" w:type="dxa"/>
            <w:tcBorders>
              <w:top w:val="nil"/>
              <w:left w:val="nil"/>
              <w:right w:val="nil"/>
            </w:tcBorders>
            <w:shd w:val="clear" w:color="auto" w:fill="EBEBEB"/>
            <w:vAlign w:val="bottom"/>
            <w:hideMark/>
          </w:tcPr>
          <w:p w14:paraId="31142318" w14:textId="1ACA2D5D" w:rsidR="00DA7C74" w:rsidRPr="005C2EDF" w:rsidRDefault="00F151B2" w:rsidP="008C5D92">
            <w:pPr>
              <w:jc w:val="center"/>
              <w:rPr>
                <w:rFonts w:ascii="Public Sans" w:hAnsi="Public Sans" w:cs="Arial"/>
                <w:sz w:val="18"/>
                <w:szCs w:val="18"/>
                <w:lang w:val="en-AU" w:eastAsia="en-AU"/>
              </w:rPr>
            </w:pPr>
            <w:r w:rsidRPr="005C2EDF">
              <w:rPr>
                <w:rFonts w:ascii="Public Sans" w:hAnsi="Public Sans" w:cs="Arial"/>
                <w:sz w:val="18"/>
                <w:szCs w:val="18"/>
                <w:lang w:val="en-AU" w:eastAsia="en-AU"/>
              </w:rPr>
              <w:t>Est Actual</w:t>
            </w:r>
          </w:p>
        </w:tc>
        <w:tc>
          <w:tcPr>
            <w:tcW w:w="1308" w:type="dxa"/>
            <w:tcBorders>
              <w:top w:val="nil"/>
              <w:left w:val="nil"/>
              <w:right w:val="nil"/>
            </w:tcBorders>
            <w:shd w:val="clear" w:color="auto" w:fill="EBEBEB"/>
            <w:vAlign w:val="bottom"/>
            <w:hideMark/>
          </w:tcPr>
          <w:p w14:paraId="6C9327E8" w14:textId="77777777" w:rsidR="00DA7C74" w:rsidRPr="005C2EDF" w:rsidRDefault="00DA7C74" w:rsidP="008C5D92">
            <w:pPr>
              <w:jc w:val="center"/>
              <w:rPr>
                <w:rFonts w:ascii="Public Sans" w:hAnsi="Public Sans" w:cs="Arial"/>
                <w:sz w:val="18"/>
                <w:szCs w:val="18"/>
                <w:lang w:val="en-AU" w:eastAsia="en-AU"/>
              </w:rPr>
            </w:pPr>
            <w:r w:rsidRPr="005C2EDF">
              <w:rPr>
                <w:rFonts w:ascii="Public Sans" w:hAnsi="Public Sans" w:cs="Arial"/>
                <w:sz w:val="18"/>
                <w:szCs w:val="18"/>
                <w:lang w:val="en-AU" w:eastAsia="en-AU"/>
              </w:rPr>
              <w:t>Budget</w:t>
            </w:r>
          </w:p>
        </w:tc>
        <w:tc>
          <w:tcPr>
            <w:tcW w:w="3637" w:type="dxa"/>
            <w:gridSpan w:val="3"/>
            <w:tcBorders>
              <w:top w:val="nil"/>
              <w:left w:val="nil"/>
              <w:right w:val="nil"/>
            </w:tcBorders>
            <w:shd w:val="clear" w:color="auto" w:fill="EBEBEB"/>
            <w:vAlign w:val="bottom"/>
            <w:hideMark/>
          </w:tcPr>
          <w:p w14:paraId="646EE777" w14:textId="77777777" w:rsidR="00DA7C74" w:rsidRPr="005C2EDF" w:rsidRDefault="00DA7C74" w:rsidP="008C5D92">
            <w:pPr>
              <w:jc w:val="center"/>
              <w:rPr>
                <w:rFonts w:ascii="Public Sans" w:hAnsi="Public Sans" w:cs="Arial"/>
                <w:sz w:val="18"/>
                <w:szCs w:val="18"/>
                <w:lang w:val="en-AU" w:eastAsia="en-AU"/>
              </w:rPr>
            </w:pPr>
            <w:r w:rsidRPr="005C2EDF">
              <w:rPr>
                <w:rFonts w:ascii="Public Sans" w:hAnsi="Public Sans" w:cs="Arial"/>
                <w:sz w:val="18"/>
                <w:szCs w:val="18"/>
                <w:lang w:val="en-AU" w:eastAsia="en-AU"/>
              </w:rPr>
              <w:t>Forward estimates</w:t>
            </w:r>
          </w:p>
        </w:tc>
      </w:tr>
      <w:tr w:rsidR="00034842" w:rsidRPr="00DA4DD0" w14:paraId="4EA0050A" w14:textId="77777777" w:rsidTr="00D831D5">
        <w:trPr>
          <w:trHeight w:val="238"/>
          <w:jc w:val="center"/>
        </w:trPr>
        <w:tc>
          <w:tcPr>
            <w:tcW w:w="947" w:type="dxa"/>
            <w:tcBorders>
              <w:top w:val="nil"/>
              <w:left w:val="nil"/>
              <w:bottom w:val="nil"/>
              <w:right w:val="nil"/>
            </w:tcBorders>
            <w:shd w:val="clear" w:color="auto" w:fill="EBEBEB"/>
            <w:hideMark/>
          </w:tcPr>
          <w:p w14:paraId="19D2DEEF" w14:textId="77777777" w:rsidR="00DA7C74" w:rsidRPr="00DA4DD0" w:rsidRDefault="00DA7C74" w:rsidP="008C5D92">
            <w:pPr>
              <w:jc w:val="center"/>
              <w:rPr>
                <w:rFonts w:ascii="Public Sans" w:hAnsi="Public Sans" w:cs="Arial"/>
                <w:bCs/>
                <w:sz w:val="18"/>
                <w:szCs w:val="18"/>
                <w:lang w:val="en-AU" w:eastAsia="en-AU"/>
              </w:rPr>
            </w:pPr>
            <w:r w:rsidRPr="00DA4DD0">
              <w:rPr>
                <w:rFonts w:ascii="Public Sans" w:hAnsi="Public Sans" w:cs="Arial"/>
                <w:bCs/>
                <w:sz w:val="18"/>
                <w:szCs w:val="18"/>
                <w:lang w:val="en-AU" w:eastAsia="en-AU"/>
              </w:rPr>
              <w:t> </w:t>
            </w:r>
          </w:p>
        </w:tc>
        <w:tc>
          <w:tcPr>
            <w:tcW w:w="1525" w:type="dxa"/>
            <w:tcBorders>
              <w:top w:val="nil"/>
              <w:left w:val="nil"/>
              <w:bottom w:val="nil"/>
              <w:right w:val="nil"/>
            </w:tcBorders>
            <w:shd w:val="clear" w:color="auto" w:fill="EBEBEB"/>
            <w:hideMark/>
          </w:tcPr>
          <w:p w14:paraId="49BF4353" w14:textId="77777777" w:rsidR="00DA7C74" w:rsidRPr="00DA4DD0" w:rsidRDefault="00DA7C74" w:rsidP="008C5D92">
            <w:pPr>
              <w:jc w:val="center"/>
              <w:rPr>
                <w:rFonts w:ascii="Public Sans" w:hAnsi="Public Sans" w:cs="Arial"/>
                <w:bCs/>
                <w:sz w:val="18"/>
                <w:szCs w:val="18"/>
                <w:lang w:val="en-AU" w:eastAsia="en-AU"/>
              </w:rPr>
            </w:pPr>
            <w:r w:rsidRPr="00DA4DD0">
              <w:rPr>
                <w:rFonts w:ascii="Public Sans" w:hAnsi="Public Sans" w:cs="Arial"/>
                <w:bCs/>
                <w:sz w:val="18"/>
                <w:szCs w:val="18"/>
                <w:lang w:val="en-AU" w:eastAsia="en-AU"/>
              </w:rPr>
              <w:t> </w:t>
            </w:r>
          </w:p>
        </w:tc>
        <w:tc>
          <w:tcPr>
            <w:tcW w:w="1171" w:type="dxa"/>
            <w:tcBorders>
              <w:top w:val="nil"/>
              <w:left w:val="nil"/>
              <w:bottom w:val="nil"/>
              <w:right w:val="nil"/>
            </w:tcBorders>
            <w:shd w:val="clear" w:color="auto" w:fill="EBEBEB"/>
            <w:hideMark/>
          </w:tcPr>
          <w:p w14:paraId="4986B273" w14:textId="77777777" w:rsidR="00DA7C74" w:rsidRPr="005C2EDF" w:rsidRDefault="00DA7C74" w:rsidP="008C5D92">
            <w:pPr>
              <w:jc w:val="center"/>
              <w:rPr>
                <w:rFonts w:ascii="Public Sans" w:hAnsi="Public Sans" w:cs="Arial"/>
                <w:sz w:val="18"/>
                <w:szCs w:val="18"/>
                <w:lang w:val="en-AU" w:eastAsia="en-AU"/>
              </w:rPr>
            </w:pPr>
            <w:r w:rsidRPr="005C2EDF">
              <w:rPr>
                <w:rFonts w:ascii="Public Sans" w:hAnsi="Public Sans" w:cs="Arial"/>
                <w:sz w:val="18"/>
                <w:szCs w:val="18"/>
                <w:lang w:val="en-AU" w:eastAsia="en-AU"/>
              </w:rPr>
              <w:t>$m</w:t>
            </w:r>
          </w:p>
        </w:tc>
        <w:tc>
          <w:tcPr>
            <w:tcW w:w="1164" w:type="dxa"/>
            <w:tcBorders>
              <w:top w:val="nil"/>
              <w:left w:val="nil"/>
              <w:bottom w:val="nil"/>
              <w:right w:val="nil"/>
            </w:tcBorders>
            <w:shd w:val="clear" w:color="auto" w:fill="EBEBEB"/>
            <w:hideMark/>
          </w:tcPr>
          <w:p w14:paraId="4F78C3D0" w14:textId="77777777" w:rsidR="00DA7C74" w:rsidRPr="005C2EDF" w:rsidRDefault="00DA7C74" w:rsidP="008C5D92">
            <w:pPr>
              <w:jc w:val="center"/>
              <w:rPr>
                <w:rFonts w:ascii="Public Sans" w:hAnsi="Public Sans" w:cs="Arial"/>
                <w:sz w:val="18"/>
                <w:szCs w:val="18"/>
                <w:lang w:val="en-AU" w:eastAsia="en-AU"/>
              </w:rPr>
            </w:pPr>
            <w:r w:rsidRPr="005C2EDF">
              <w:rPr>
                <w:rFonts w:ascii="Public Sans" w:hAnsi="Public Sans" w:cs="Arial"/>
                <w:sz w:val="18"/>
                <w:szCs w:val="18"/>
                <w:lang w:val="en-AU" w:eastAsia="en-AU"/>
              </w:rPr>
              <w:t>$m</w:t>
            </w:r>
          </w:p>
        </w:tc>
        <w:tc>
          <w:tcPr>
            <w:tcW w:w="1308" w:type="dxa"/>
            <w:tcBorders>
              <w:top w:val="nil"/>
              <w:left w:val="nil"/>
              <w:right w:val="nil"/>
            </w:tcBorders>
            <w:shd w:val="clear" w:color="auto" w:fill="EBEBEB"/>
            <w:hideMark/>
          </w:tcPr>
          <w:p w14:paraId="66FCDAD3" w14:textId="77777777" w:rsidR="00DA7C74" w:rsidRPr="005C2EDF" w:rsidRDefault="00DA7C74" w:rsidP="008C5D92">
            <w:pPr>
              <w:jc w:val="center"/>
              <w:rPr>
                <w:rFonts w:ascii="Public Sans" w:hAnsi="Public Sans" w:cs="Arial"/>
                <w:sz w:val="18"/>
                <w:szCs w:val="18"/>
                <w:lang w:val="en-AU" w:eastAsia="en-AU"/>
              </w:rPr>
            </w:pPr>
            <w:r w:rsidRPr="005C2EDF">
              <w:rPr>
                <w:rFonts w:ascii="Public Sans" w:hAnsi="Public Sans" w:cs="Arial"/>
                <w:sz w:val="18"/>
                <w:szCs w:val="18"/>
                <w:lang w:val="en-AU" w:eastAsia="en-AU"/>
              </w:rPr>
              <w:t>$m</w:t>
            </w:r>
          </w:p>
        </w:tc>
        <w:tc>
          <w:tcPr>
            <w:tcW w:w="1256" w:type="dxa"/>
            <w:tcBorders>
              <w:top w:val="nil"/>
              <w:left w:val="nil"/>
              <w:right w:val="nil"/>
            </w:tcBorders>
            <w:shd w:val="clear" w:color="auto" w:fill="EBEBEB"/>
            <w:hideMark/>
          </w:tcPr>
          <w:p w14:paraId="0D63CFCF" w14:textId="77777777" w:rsidR="00DA7C74" w:rsidRPr="005C2EDF" w:rsidRDefault="00DA7C74" w:rsidP="008C5D92">
            <w:pPr>
              <w:jc w:val="center"/>
              <w:rPr>
                <w:rFonts w:ascii="Public Sans" w:hAnsi="Public Sans" w:cs="Arial"/>
                <w:sz w:val="18"/>
                <w:szCs w:val="18"/>
                <w:lang w:val="en-AU" w:eastAsia="en-AU"/>
              </w:rPr>
            </w:pPr>
            <w:r w:rsidRPr="005C2EDF">
              <w:rPr>
                <w:rFonts w:ascii="Public Sans" w:hAnsi="Public Sans" w:cs="Arial"/>
                <w:sz w:val="18"/>
                <w:szCs w:val="18"/>
                <w:lang w:val="en-AU" w:eastAsia="en-AU"/>
              </w:rPr>
              <w:t>$m</w:t>
            </w:r>
          </w:p>
        </w:tc>
        <w:tc>
          <w:tcPr>
            <w:tcW w:w="1216" w:type="dxa"/>
            <w:tcBorders>
              <w:top w:val="nil"/>
              <w:left w:val="nil"/>
              <w:right w:val="nil"/>
            </w:tcBorders>
            <w:shd w:val="clear" w:color="auto" w:fill="EBEBEB"/>
            <w:hideMark/>
          </w:tcPr>
          <w:p w14:paraId="4927F50A" w14:textId="77777777" w:rsidR="00DA7C74" w:rsidRPr="005C2EDF" w:rsidRDefault="00DA7C74" w:rsidP="008C5D92">
            <w:pPr>
              <w:jc w:val="center"/>
              <w:rPr>
                <w:rFonts w:ascii="Public Sans" w:hAnsi="Public Sans" w:cs="Arial"/>
                <w:sz w:val="18"/>
                <w:szCs w:val="18"/>
                <w:lang w:val="en-AU" w:eastAsia="en-AU"/>
              </w:rPr>
            </w:pPr>
            <w:r w:rsidRPr="005C2EDF">
              <w:rPr>
                <w:rFonts w:ascii="Public Sans" w:hAnsi="Public Sans" w:cs="Arial"/>
                <w:sz w:val="18"/>
                <w:szCs w:val="18"/>
                <w:lang w:val="en-AU" w:eastAsia="en-AU"/>
              </w:rPr>
              <w:t>$m</w:t>
            </w:r>
          </w:p>
        </w:tc>
        <w:tc>
          <w:tcPr>
            <w:tcW w:w="1165" w:type="dxa"/>
            <w:tcBorders>
              <w:top w:val="nil"/>
              <w:left w:val="nil"/>
              <w:right w:val="nil"/>
            </w:tcBorders>
            <w:shd w:val="clear" w:color="auto" w:fill="EBEBEB"/>
            <w:hideMark/>
          </w:tcPr>
          <w:p w14:paraId="1CF06D5B" w14:textId="77777777" w:rsidR="00DA7C74" w:rsidRPr="005C2EDF" w:rsidRDefault="00DA7C74" w:rsidP="008C5D92">
            <w:pPr>
              <w:jc w:val="center"/>
              <w:rPr>
                <w:rFonts w:ascii="Public Sans" w:hAnsi="Public Sans" w:cs="Arial"/>
                <w:sz w:val="18"/>
                <w:szCs w:val="18"/>
                <w:lang w:val="en-AU" w:eastAsia="en-AU"/>
              </w:rPr>
            </w:pPr>
            <w:r w:rsidRPr="005C2EDF">
              <w:rPr>
                <w:rFonts w:ascii="Public Sans" w:hAnsi="Public Sans" w:cs="Arial"/>
                <w:sz w:val="18"/>
                <w:szCs w:val="18"/>
                <w:lang w:val="en-AU" w:eastAsia="en-AU"/>
              </w:rPr>
              <w:t>$m</w:t>
            </w:r>
          </w:p>
        </w:tc>
      </w:tr>
      <w:tr w:rsidR="00034842" w:rsidRPr="00035057" w14:paraId="0082A191" w14:textId="77777777" w:rsidTr="00D831D5">
        <w:trPr>
          <w:trHeight w:val="298"/>
          <w:jc w:val="center"/>
        </w:trPr>
        <w:tc>
          <w:tcPr>
            <w:tcW w:w="2472" w:type="dxa"/>
            <w:gridSpan w:val="2"/>
            <w:tcBorders>
              <w:top w:val="nil"/>
              <w:left w:val="nil"/>
              <w:bottom w:val="nil"/>
              <w:right w:val="nil"/>
            </w:tcBorders>
            <w:shd w:val="clear" w:color="000000" w:fill="FFFFFF"/>
            <w:noWrap/>
            <w:vAlign w:val="center"/>
            <w:hideMark/>
          </w:tcPr>
          <w:p w14:paraId="6BEE2753" w14:textId="77777777" w:rsidR="00DA7C74" w:rsidRPr="00154FF9" w:rsidRDefault="00DA7C74" w:rsidP="005C2EDF">
            <w:pPr>
              <w:ind w:right="-190"/>
              <w:rPr>
                <w:rFonts w:ascii="Public Sans" w:hAnsi="Public Sans" w:cs="Arial"/>
                <w:sz w:val="18"/>
                <w:szCs w:val="18"/>
                <w:lang w:val="en-AU" w:eastAsia="en-AU"/>
              </w:rPr>
            </w:pPr>
            <w:r w:rsidRPr="00154FF9">
              <w:rPr>
                <w:rFonts w:ascii="Public Sans" w:hAnsi="Public Sans" w:cs="Arial"/>
                <w:sz w:val="18"/>
                <w:szCs w:val="18"/>
                <w:lang w:val="en-AU" w:eastAsia="en-AU"/>
              </w:rPr>
              <w:t>General Government Sector</w:t>
            </w:r>
          </w:p>
        </w:tc>
        <w:tc>
          <w:tcPr>
            <w:tcW w:w="1171" w:type="dxa"/>
            <w:tcBorders>
              <w:top w:val="nil"/>
              <w:left w:val="nil"/>
              <w:bottom w:val="nil"/>
              <w:right w:val="nil"/>
            </w:tcBorders>
            <w:shd w:val="clear" w:color="000000" w:fill="FFFFFF"/>
            <w:noWrap/>
            <w:vAlign w:val="center"/>
            <w:hideMark/>
          </w:tcPr>
          <w:p w14:paraId="2A677B10" w14:textId="0044C42A" w:rsidR="00DA7C74" w:rsidRPr="00154FF9" w:rsidRDefault="00BB55B3" w:rsidP="008C5D92">
            <w:pPr>
              <w:ind w:right="247" w:firstLineChars="100" w:firstLine="180"/>
              <w:jc w:val="right"/>
              <w:rPr>
                <w:rFonts w:ascii="Public Sans" w:hAnsi="Public Sans" w:cs="Arial"/>
                <w:sz w:val="18"/>
                <w:szCs w:val="18"/>
                <w:lang w:val="en-AU" w:eastAsia="en-AU"/>
              </w:rPr>
            </w:pPr>
            <w:r>
              <w:rPr>
                <w:rFonts w:ascii="Public Sans" w:hAnsi="Public Sans" w:cs="Arial"/>
                <w:sz w:val="18"/>
                <w:szCs w:val="18"/>
                <w:lang w:val="en-AU" w:eastAsia="en-AU"/>
              </w:rPr>
              <w:t>2,498</w:t>
            </w:r>
          </w:p>
        </w:tc>
        <w:tc>
          <w:tcPr>
            <w:tcW w:w="1164" w:type="dxa"/>
            <w:tcBorders>
              <w:top w:val="nil"/>
              <w:left w:val="nil"/>
              <w:bottom w:val="nil"/>
              <w:right w:val="nil"/>
            </w:tcBorders>
            <w:shd w:val="clear" w:color="000000" w:fill="FFFFFF"/>
            <w:noWrap/>
            <w:vAlign w:val="center"/>
            <w:hideMark/>
          </w:tcPr>
          <w:p w14:paraId="5EE8DB78" w14:textId="32F42B55" w:rsidR="00DA7C74" w:rsidRPr="00154FF9" w:rsidRDefault="00535E6A" w:rsidP="008C5D92">
            <w:pPr>
              <w:ind w:right="247" w:firstLineChars="100" w:firstLine="180"/>
              <w:jc w:val="right"/>
              <w:rPr>
                <w:rFonts w:ascii="Public Sans" w:hAnsi="Public Sans" w:cs="Arial"/>
                <w:sz w:val="18"/>
                <w:szCs w:val="18"/>
                <w:lang w:val="en-AU" w:eastAsia="en-AU"/>
              </w:rPr>
            </w:pPr>
            <w:r>
              <w:rPr>
                <w:rFonts w:ascii="Public Sans" w:hAnsi="Public Sans" w:cs="Arial"/>
                <w:sz w:val="18"/>
                <w:szCs w:val="18"/>
                <w:lang w:val="en-AU" w:eastAsia="en-AU"/>
              </w:rPr>
              <w:t>2,826</w:t>
            </w:r>
          </w:p>
        </w:tc>
        <w:tc>
          <w:tcPr>
            <w:tcW w:w="1308" w:type="dxa"/>
            <w:tcBorders>
              <w:top w:val="nil"/>
              <w:left w:val="nil"/>
              <w:bottom w:val="nil"/>
              <w:right w:val="nil"/>
            </w:tcBorders>
            <w:shd w:val="clear" w:color="auto" w:fill="auto"/>
            <w:noWrap/>
            <w:vAlign w:val="center"/>
            <w:hideMark/>
          </w:tcPr>
          <w:p w14:paraId="26386F73" w14:textId="5D050027" w:rsidR="00DA7C74" w:rsidRPr="00154FF9" w:rsidRDefault="003410DA" w:rsidP="008C5D92">
            <w:pPr>
              <w:ind w:right="247" w:firstLineChars="100" w:firstLine="180"/>
              <w:jc w:val="right"/>
              <w:rPr>
                <w:rFonts w:ascii="Public Sans" w:hAnsi="Public Sans" w:cs="Arial"/>
                <w:sz w:val="18"/>
                <w:szCs w:val="18"/>
                <w:lang w:val="en-AU" w:eastAsia="en-AU"/>
              </w:rPr>
            </w:pPr>
            <w:r>
              <w:rPr>
                <w:rFonts w:ascii="Public Sans" w:hAnsi="Public Sans" w:cs="Arial"/>
                <w:sz w:val="18"/>
                <w:szCs w:val="18"/>
                <w:lang w:val="en-AU" w:eastAsia="en-AU"/>
              </w:rPr>
              <w:t>2,346</w:t>
            </w:r>
          </w:p>
        </w:tc>
        <w:tc>
          <w:tcPr>
            <w:tcW w:w="1256" w:type="dxa"/>
            <w:tcBorders>
              <w:top w:val="nil"/>
              <w:left w:val="nil"/>
              <w:bottom w:val="nil"/>
              <w:right w:val="nil"/>
            </w:tcBorders>
            <w:shd w:val="clear" w:color="auto" w:fill="auto"/>
            <w:noWrap/>
            <w:vAlign w:val="center"/>
            <w:hideMark/>
          </w:tcPr>
          <w:p w14:paraId="5E1854FC" w14:textId="21A8F468" w:rsidR="00DA7C74" w:rsidRPr="00154FF9" w:rsidRDefault="00B003C8" w:rsidP="008C5D92">
            <w:pPr>
              <w:ind w:right="247" w:firstLineChars="100" w:firstLine="180"/>
              <w:jc w:val="right"/>
              <w:rPr>
                <w:rFonts w:ascii="Public Sans" w:hAnsi="Public Sans" w:cs="Arial"/>
                <w:sz w:val="18"/>
                <w:szCs w:val="18"/>
                <w:lang w:val="en-AU" w:eastAsia="en-AU"/>
              </w:rPr>
            </w:pPr>
            <w:r>
              <w:rPr>
                <w:rFonts w:ascii="Public Sans" w:hAnsi="Public Sans" w:cs="Arial"/>
                <w:sz w:val="18"/>
                <w:szCs w:val="18"/>
                <w:lang w:val="en-AU" w:eastAsia="en-AU"/>
              </w:rPr>
              <w:t>2,070</w:t>
            </w:r>
          </w:p>
        </w:tc>
        <w:tc>
          <w:tcPr>
            <w:tcW w:w="1216" w:type="dxa"/>
            <w:tcBorders>
              <w:top w:val="nil"/>
              <w:left w:val="nil"/>
              <w:bottom w:val="nil"/>
              <w:right w:val="nil"/>
            </w:tcBorders>
            <w:shd w:val="clear" w:color="auto" w:fill="auto"/>
            <w:noWrap/>
            <w:vAlign w:val="center"/>
            <w:hideMark/>
          </w:tcPr>
          <w:p w14:paraId="668128F4" w14:textId="02178CAB" w:rsidR="00DA7C74" w:rsidRPr="00154FF9" w:rsidRDefault="00B003C8" w:rsidP="008C5D92">
            <w:pPr>
              <w:ind w:right="247" w:firstLineChars="100" w:firstLine="180"/>
              <w:jc w:val="right"/>
              <w:rPr>
                <w:rFonts w:ascii="Public Sans" w:hAnsi="Public Sans" w:cs="Arial"/>
                <w:sz w:val="18"/>
                <w:szCs w:val="18"/>
                <w:lang w:val="en-AU" w:eastAsia="en-AU"/>
              </w:rPr>
            </w:pPr>
            <w:r>
              <w:rPr>
                <w:rFonts w:ascii="Public Sans" w:hAnsi="Public Sans" w:cs="Arial"/>
                <w:sz w:val="18"/>
                <w:szCs w:val="18"/>
                <w:lang w:val="en-AU" w:eastAsia="en-AU"/>
              </w:rPr>
              <w:t>2,194</w:t>
            </w:r>
          </w:p>
        </w:tc>
        <w:tc>
          <w:tcPr>
            <w:tcW w:w="1165" w:type="dxa"/>
            <w:tcBorders>
              <w:top w:val="nil"/>
              <w:left w:val="nil"/>
              <w:bottom w:val="nil"/>
              <w:right w:val="nil"/>
            </w:tcBorders>
            <w:shd w:val="clear" w:color="auto" w:fill="auto"/>
            <w:noWrap/>
            <w:vAlign w:val="center"/>
            <w:hideMark/>
          </w:tcPr>
          <w:p w14:paraId="040CF794" w14:textId="2E11FA7B" w:rsidR="00DA7C74" w:rsidRPr="00154FF9" w:rsidRDefault="00B003C8" w:rsidP="008C5D92">
            <w:pPr>
              <w:ind w:right="247" w:firstLineChars="100" w:firstLine="180"/>
              <w:jc w:val="right"/>
              <w:rPr>
                <w:rFonts w:ascii="Public Sans" w:hAnsi="Public Sans" w:cs="Arial"/>
                <w:sz w:val="18"/>
                <w:szCs w:val="18"/>
                <w:lang w:val="en-AU" w:eastAsia="en-AU"/>
              </w:rPr>
            </w:pPr>
            <w:r>
              <w:rPr>
                <w:rFonts w:ascii="Public Sans" w:hAnsi="Public Sans" w:cs="Arial"/>
                <w:sz w:val="18"/>
                <w:szCs w:val="18"/>
                <w:lang w:val="en-AU" w:eastAsia="en-AU"/>
              </w:rPr>
              <w:t>2,273</w:t>
            </w:r>
          </w:p>
        </w:tc>
      </w:tr>
      <w:tr w:rsidR="00034842" w:rsidRPr="00035057" w14:paraId="344C594E" w14:textId="77777777" w:rsidTr="00D831D5">
        <w:trPr>
          <w:trHeight w:val="298"/>
          <w:jc w:val="center"/>
        </w:trPr>
        <w:tc>
          <w:tcPr>
            <w:tcW w:w="2472" w:type="dxa"/>
            <w:gridSpan w:val="2"/>
            <w:tcBorders>
              <w:top w:val="nil"/>
              <w:left w:val="nil"/>
              <w:bottom w:val="nil"/>
              <w:right w:val="nil"/>
            </w:tcBorders>
            <w:shd w:val="clear" w:color="000000" w:fill="FFFFFF"/>
            <w:noWrap/>
            <w:vAlign w:val="center"/>
            <w:hideMark/>
          </w:tcPr>
          <w:p w14:paraId="2E7CDF04" w14:textId="20CDE631" w:rsidR="00DA7C74" w:rsidRPr="00154FF9" w:rsidRDefault="00DA7C74" w:rsidP="009D7B97">
            <w:pPr>
              <w:ind w:right="-57"/>
              <w:rPr>
                <w:rFonts w:ascii="Public Sans" w:hAnsi="Public Sans" w:cs="Arial"/>
                <w:sz w:val="18"/>
                <w:szCs w:val="18"/>
                <w:lang w:val="en-AU" w:eastAsia="en-AU"/>
              </w:rPr>
            </w:pPr>
            <w:r w:rsidRPr="00154FF9">
              <w:rPr>
                <w:rFonts w:ascii="Public Sans" w:hAnsi="Public Sans" w:cs="Arial"/>
                <w:sz w:val="18"/>
                <w:szCs w:val="18"/>
                <w:lang w:val="en-AU" w:eastAsia="en-AU"/>
              </w:rPr>
              <w:t>Public Non-Financial Corporation Sector</w:t>
            </w:r>
          </w:p>
        </w:tc>
        <w:tc>
          <w:tcPr>
            <w:tcW w:w="1171" w:type="dxa"/>
            <w:tcBorders>
              <w:top w:val="nil"/>
              <w:left w:val="nil"/>
              <w:bottom w:val="nil"/>
              <w:right w:val="nil"/>
            </w:tcBorders>
            <w:shd w:val="clear" w:color="000000" w:fill="FFFFFF"/>
            <w:noWrap/>
            <w:vAlign w:val="bottom"/>
            <w:hideMark/>
          </w:tcPr>
          <w:p w14:paraId="07845DCC" w14:textId="6F3A48D1" w:rsidR="00DA7C74" w:rsidRPr="00154FF9" w:rsidRDefault="00BB55B3" w:rsidP="000F6DDB">
            <w:pPr>
              <w:ind w:right="247" w:firstLineChars="100" w:firstLine="180"/>
              <w:jc w:val="right"/>
              <w:rPr>
                <w:rFonts w:ascii="Public Sans" w:hAnsi="Public Sans" w:cs="Arial"/>
                <w:sz w:val="18"/>
                <w:szCs w:val="18"/>
                <w:lang w:val="en-AU" w:eastAsia="en-AU"/>
              </w:rPr>
            </w:pPr>
            <w:r>
              <w:rPr>
                <w:rFonts w:ascii="Public Sans" w:hAnsi="Public Sans" w:cs="Arial"/>
                <w:sz w:val="18"/>
                <w:szCs w:val="18"/>
                <w:lang w:val="en-AU" w:eastAsia="en-AU"/>
              </w:rPr>
              <w:t>2,393</w:t>
            </w:r>
          </w:p>
        </w:tc>
        <w:tc>
          <w:tcPr>
            <w:tcW w:w="1164" w:type="dxa"/>
            <w:tcBorders>
              <w:top w:val="nil"/>
              <w:left w:val="nil"/>
              <w:bottom w:val="nil"/>
              <w:right w:val="nil"/>
            </w:tcBorders>
            <w:shd w:val="clear" w:color="000000" w:fill="FFFFFF"/>
            <w:noWrap/>
            <w:vAlign w:val="bottom"/>
            <w:hideMark/>
          </w:tcPr>
          <w:p w14:paraId="7C0F02B5" w14:textId="1473BF43" w:rsidR="00DA7C74" w:rsidRPr="00154FF9" w:rsidRDefault="00535E6A" w:rsidP="000F6DDB">
            <w:pPr>
              <w:ind w:right="247" w:firstLineChars="100" w:firstLine="180"/>
              <w:jc w:val="right"/>
              <w:rPr>
                <w:rFonts w:ascii="Public Sans" w:hAnsi="Public Sans" w:cs="Arial"/>
                <w:sz w:val="18"/>
                <w:szCs w:val="18"/>
                <w:lang w:val="en-AU" w:eastAsia="en-AU"/>
              </w:rPr>
            </w:pPr>
            <w:r>
              <w:rPr>
                <w:rFonts w:ascii="Public Sans" w:hAnsi="Public Sans" w:cs="Arial"/>
                <w:sz w:val="18"/>
                <w:szCs w:val="18"/>
                <w:lang w:val="en-AU" w:eastAsia="en-AU"/>
              </w:rPr>
              <w:t>1,954</w:t>
            </w:r>
          </w:p>
        </w:tc>
        <w:tc>
          <w:tcPr>
            <w:tcW w:w="1308" w:type="dxa"/>
            <w:tcBorders>
              <w:top w:val="nil"/>
              <w:left w:val="nil"/>
              <w:bottom w:val="nil"/>
              <w:right w:val="nil"/>
            </w:tcBorders>
            <w:shd w:val="clear" w:color="auto" w:fill="auto"/>
            <w:noWrap/>
            <w:vAlign w:val="bottom"/>
            <w:hideMark/>
          </w:tcPr>
          <w:p w14:paraId="66E7C6A9" w14:textId="693457E2" w:rsidR="00DA7C74" w:rsidRPr="00154FF9" w:rsidRDefault="007A7B39" w:rsidP="000F6DDB">
            <w:pPr>
              <w:ind w:right="247" w:firstLineChars="100" w:firstLine="180"/>
              <w:jc w:val="right"/>
              <w:rPr>
                <w:rFonts w:ascii="Public Sans" w:hAnsi="Public Sans" w:cs="Arial"/>
                <w:sz w:val="18"/>
                <w:szCs w:val="18"/>
                <w:lang w:val="en-AU" w:eastAsia="en-AU"/>
              </w:rPr>
            </w:pPr>
            <w:r>
              <w:rPr>
                <w:rFonts w:ascii="Public Sans" w:hAnsi="Public Sans" w:cs="Arial"/>
                <w:sz w:val="18"/>
                <w:szCs w:val="18"/>
                <w:lang w:val="en-AU" w:eastAsia="en-AU"/>
              </w:rPr>
              <w:t>2.566</w:t>
            </w:r>
          </w:p>
        </w:tc>
        <w:tc>
          <w:tcPr>
            <w:tcW w:w="1256" w:type="dxa"/>
            <w:tcBorders>
              <w:top w:val="nil"/>
              <w:left w:val="nil"/>
              <w:bottom w:val="nil"/>
              <w:right w:val="nil"/>
            </w:tcBorders>
            <w:shd w:val="clear" w:color="auto" w:fill="auto"/>
            <w:noWrap/>
            <w:vAlign w:val="bottom"/>
            <w:hideMark/>
          </w:tcPr>
          <w:p w14:paraId="64BD2F03" w14:textId="6A3AE327" w:rsidR="00DA7C74" w:rsidRPr="00154FF9" w:rsidRDefault="007A7B39" w:rsidP="000F6DDB">
            <w:pPr>
              <w:ind w:right="247" w:firstLineChars="100" w:firstLine="180"/>
              <w:jc w:val="right"/>
              <w:rPr>
                <w:rFonts w:ascii="Public Sans" w:hAnsi="Public Sans" w:cs="Arial"/>
                <w:sz w:val="18"/>
                <w:szCs w:val="18"/>
                <w:lang w:val="en-AU" w:eastAsia="en-AU"/>
              </w:rPr>
            </w:pPr>
            <w:r>
              <w:rPr>
                <w:rFonts w:ascii="Public Sans" w:hAnsi="Public Sans" w:cs="Arial"/>
                <w:sz w:val="18"/>
                <w:szCs w:val="18"/>
                <w:lang w:val="en-AU" w:eastAsia="en-AU"/>
              </w:rPr>
              <w:t>2,4</w:t>
            </w:r>
            <w:r w:rsidR="0084793C">
              <w:rPr>
                <w:rFonts w:ascii="Public Sans" w:hAnsi="Public Sans" w:cs="Arial"/>
                <w:sz w:val="18"/>
                <w:szCs w:val="18"/>
                <w:lang w:val="en-AU" w:eastAsia="en-AU"/>
              </w:rPr>
              <w:t>57</w:t>
            </w:r>
          </w:p>
        </w:tc>
        <w:tc>
          <w:tcPr>
            <w:tcW w:w="1216" w:type="dxa"/>
            <w:tcBorders>
              <w:top w:val="nil"/>
              <w:left w:val="nil"/>
              <w:bottom w:val="nil"/>
              <w:right w:val="nil"/>
            </w:tcBorders>
            <w:shd w:val="clear" w:color="auto" w:fill="auto"/>
            <w:noWrap/>
            <w:vAlign w:val="bottom"/>
            <w:hideMark/>
          </w:tcPr>
          <w:p w14:paraId="48C17C54" w14:textId="26D21D79" w:rsidR="00DA7C74" w:rsidRPr="00154FF9" w:rsidRDefault="0046738D" w:rsidP="000F6DDB">
            <w:pPr>
              <w:ind w:right="247" w:firstLineChars="100" w:firstLine="180"/>
              <w:jc w:val="right"/>
              <w:rPr>
                <w:rFonts w:ascii="Public Sans" w:hAnsi="Public Sans" w:cs="Arial"/>
                <w:sz w:val="18"/>
                <w:szCs w:val="18"/>
                <w:lang w:val="en-AU" w:eastAsia="en-AU"/>
              </w:rPr>
            </w:pPr>
            <w:r>
              <w:rPr>
                <w:rFonts w:ascii="Public Sans" w:hAnsi="Public Sans" w:cs="Arial"/>
                <w:sz w:val="18"/>
                <w:szCs w:val="18"/>
                <w:lang w:val="en-AU" w:eastAsia="en-AU"/>
              </w:rPr>
              <w:t>2,511</w:t>
            </w:r>
          </w:p>
        </w:tc>
        <w:tc>
          <w:tcPr>
            <w:tcW w:w="1165" w:type="dxa"/>
            <w:tcBorders>
              <w:top w:val="nil"/>
              <w:left w:val="nil"/>
              <w:bottom w:val="nil"/>
              <w:right w:val="nil"/>
            </w:tcBorders>
            <w:shd w:val="clear" w:color="auto" w:fill="auto"/>
            <w:noWrap/>
            <w:vAlign w:val="bottom"/>
            <w:hideMark/>
          </w:tcPr>
          <w:p w14:paraId="41CB6E1E" w14:textId="6327E6B8" w:rsidR="00DA7C74" w:rsidRPr="00154FF9" w:rsidRDefault="00BE5B78" w:rsidP="000F6DDB">
            <w:pPr>
              <w:ind w:right="247" w:firstLineChars="100" w:firstLine="180"/>
              <w:jc w:val="right"/>
              <w:rPr>
                <w:rFonts w:ascii="Public Sans" w:hAnsi="Public Sans" w:cs="Arial"/>
                <w:sz w:val="18"/>
                <w:szCs w:val="18"/>
                <w:lang w:val="en-AU" w:eastAsia="en-AU"/>
              </w:rPr>
            </w:pPr>
            <w:r>
              <w:rPr>
                <w:rFonts w:ascii="Public Sans" w:hAnsi="Public Sans" w:cs="Arial"/>
                <w:sz w:val="18"/>
                <w:szCs w:val="18"/>
                <w:lang w:val="en-AU" w:eastAsia="en-AU"/>
              </w:rPr>
              <w:t>2,484</w:t>
            </w:r>
          </w:p>
        </w:tc>
      </w:tr>
      <w:tr w:rsidR="00034842" w:rsidRPr="00035057" w14:paraId="41391E4E" w14:textId="77777777" w:rsidTr="00D831D5">
        <w:trPr>
          <w:trHeight w:val="286"/>
          <w:jc w:val="center"/>
        </w:trPr>
        <w:tc>
          <w:tcPr>
            <w:tcW w:w="2472" w:type="dxa"/>
            <w:gridSpan w:val="2"/>
            <w:tcBorders>
              <w:top w:val="single" w:sz="4" w:space="0" w:color="auto"/>
              <w:left w:val="nil"/>
              <w:bottom w:val="single" w:sz="4" w:space="0" w:color="auto"/>
              <w:right w:val="nil"/>
            </w:tcBorders>
            <w:shd w:val="clear" w:color="000000" w:fill="FFFFFF"/>
            <w:noWrap/>
            <w:vAlign w:val="center"/>
            <w:hideMark/>
          </w:tcPr>
          <w:p w14:paraId="68AB3ADA" w14:textId="0603A2B7" w:rsidR="00DA7C74" w:rsidRPr="00154FF9" w:rsidRDefault="00847422" w:rsidP="008C5D92">
            <w:pPr>
              <w:rPr>
                <w:rFonts w:ascii="Public Sans" w:hAnsi="Public Sans" w:cs="Arial"/>
                <w:sz w:val="18"/>
                <w:szCs w:val="18"/>
                <w:lang w:val="en-AU" w:eastAsia="en-AU"/>
              </w:rPr>
            </w:pPr>
            <w:r w:rsidRPr="00154FF9">
              <w:rPr>
                <w:rFonts w:ascii="Public Sans" w:hAnsi="Public Sans" w:cs="Arial"/>
                <w:b/>
                <w:sz w:val="18"/>
                <w:szCs w:val="18"/>
                <w:lang w:val="en-AU" w:eastAsia="en-AU"/>
              </w:rPr>
              <w:t>Total</w:t>
            </w:r>
          </w:p>
        </w:tc>
        <w:tc>
          <w:tcPr>
            <w:tcW w:w="1171" w:type="dxa"/>
            <w:tcBorders>
              <w:top w:val="single" w:sz="4" w:space="0" w:color="auto"/>
              <w:left w:val="nil"/>
              <w:bottom w:val="single" w:sz="4" w:space="0" w:color="auto"/>
              <w:right w:val="nil"/>
            </w:tcBorders>
            <w:shd w:val="clear" w:color="auto" w:fill="auto"/>
            <w:noWrap/>
            <w:vAlign w:val="center"/>
            <w:hideMark/>
          </w:tcPr>
          <w:p w14:paraId="0BFD9A09" w14:textId="264A3C81" w:rsidR="00DA7C74" w:rsidRPr="00154FF9" w:rsidRDefault="00BB55B3" w:rsidP="008C5D92">
            <w:pPr>
              <w:ind w:right="247" w:firstLineChars="100" w:firstLine="181"/>
              <w:jc w:val="right"/>
              <w:rPr>
                <w:rFonts w:ascii="Public Sans" w:hAnsi="Public Sans" w:cs="Arial"/>
                <w:b/>
                <w:sz w:val="18"/>
                <w:szCs w:val="18"/>
                <w:lang w:val="en-AU" w:eastAsia="en-AU"/>
              </w:rPr>
            </w:pPr>
            <w:r>
              <w:rPr>
                <w:rFonts w:ascii="Public Sans" w:hAnsi="Public Sans" w:cs="Arial"/>
                <w:b/>
                <w:sz w:val="18"/>
                <w:szCs w:val="18"/>
                <w:lang w:val="en-AU" w:eastAsia="en-AU"/>
              </w:rPr>
              <w:t>4,891</w:t>
            </w:r>
          </w:p>
        </w:tc>
        <w:tc>
          <w:tcPr>
            <w:tcW w:w="1164" w:type="dxa"/>
            <w:tcBorders>
              <w:top w:val="single" w:sz="4" w:space="0" w:color="auto"/>
              <w:left w:val="nil"/>
              <w:bottom w:val="single" w:sz="4" w:space="0" w:color="auto"/>
              <w:right w:val="nil"/>
            </w:tcBorders>
            <w:shd w:val="clear" w:color="000000" w:fill="FFFFFF"/>
            <w:noWrap/>
            <w:vAlign w:val="center"/>
            <w:hideMark/>
          </w:tcPr>
          <w:p w14:paraId="1B0B00C5" w14:textId="7A6E693C" w:rsidR="00DA7C74" w:rsidRPr="00154FF9" w:rsidRDefault="00535E6A" w:rsidP="008C5D92">
            <w:pPr>
              <w:ind w:right="247" w:firstLineChars="100" w:firstLine="181"/>
              <w:jc w:val="right"/>
              <w:rPr>
                <w:rFonts w:ascii="Public Sans" w:hAnsi="Public Sans" w:cs="Arial"/>
                <w:b/>
                <w:sz w:val="18"/>
                <w:szCs w:val="18"/>
                <w:lang w:val="en-AU" w:eastAsia="en-AU"/>
              </w:rPr>
            </w:pPr>
            <w:r>
              <w:rPr>
                <w:rFonts w:ascii="Public Sans" w:hAnsi="Public Sans" w:cs="Arial"/>
                <w:b/>
                <w:sz w:val="18"/>
                <w:szCs w:val="18"/>
                <w:lang w:val="en-AU" w:eastAsia="en-AU"/>
              </w:rPr>
              <w:t>4,767</w:t>
            </w:r>
          </w:p>
        </w:tc>
        <w:tc>
          <w:tcPr>
            <w:tcW w:w="1308" w:type="dxa"/>
            <w:tcBorders>
              <w:top w:val="single" w:sz="4" w:space="0" w:color="auto"/>
              <w:left w:val="nil"/>
              <w:bottom w:val="single" w:sz="4" w:space="0" w:color="auto"/>
              <w:right w:val="nil"/>
            </w:tcBorders>
            <w:shd w:val="clear" w:color="auto" w:fill="auto"/>
            <w:noWrap/>
            <w:vAlign w:val="center"/>
            <w:hideMark/>
          </w:tcPr>
          <w:p w14:paraId="10295392" w14:textId="5E3FF569" w:rsidR="00DA7C74" w:rsidRPr="00154FF9" w:rsidRDefault="00E01F01" w:rsidP="008C5D92">
            <w:pPr>
              <w:ind w:right="247" w:firstLineChars="100" w:firstLine="181"/>
              <w:jc w:val="right"/>
              <w:rPr>
                <w:rFonts w:ascii="Public Sans" w:hAnsi="Public Sans" w:cs="Arial"/>
                <w:b/>
                <w:sz w:val="18"/>
                <w:szCs w:val="18"/>
                <w:lang w:val="en-AU" w:eastAsia="en-AU"/>
              </w:rPr>
            </w:pPr>
            <w:r>
              <w:rPr>
                <w:rFonts w:ascii="Public Sans" w:hAnsi="Public Sans" w:cs="Arial"/>
                <w:b/>
                <w:sz w:val="18"/>
                <w:szCs w:val="18"/>
                <w:lang w:val="en-AU" w:eastAsia="en-AU"/>
              </w:rPr>
              <w:t>4,910</w:t>
            </w:r>
          </w:p>
        </w:tc>
        <w:tc>
          <w:tcPr>
            <w:tcW w:w="1256" w:type="dxa"/>
            <w:tcBorders>
              <w:top w:val="single" w:sz="4" w:space="0" w:color="auto"/>
              <w:left w:val="nil"/>
              <w:bottom w:val="single" w:sz="4" w:space="0" w:color="auto"/>
              <w:right w:val="nil"/>
            </w:tcBorders>
            <w:shd w:val="clear" w:color="auto" w:fill="auto"/>
            <w:noWrap/>
            <w:vAlign w:val="center"/>
            <w:hideMark/>
          </w:tcPr>
          <w:p w14:paraId="1C77BEE4" w14:textId="255FE5EB" w:rsidR="00DA7C74" w:rsidRPr="00154FF9" w:rsidRDefault="00E01F01" w:rsidP="008C5D92">
            <w:pPr>
              <w:ind w:right="247" w:firstLineChars="100" w:firstLine="181"/>
              <w:jc w:val="right"/>
              <w:rPr>
                <w:rFonts w:ascii="Public Sans" w:hAnsi="Public Sans" w:cs="Arial"/>
                <w:b/>
                <w:sz w:val="18"/>
                <w:szCs w:val="18"/>
                <w:lang w:val="en-AU" w:eastAsia="en-AU"/>
              </w:rPr>
            </w:pPr>
            <w:r>
              <w:rPr>
                <w:rFonts w:ascii="Public Sans" w:hAnsi="Public Sans" w:cs="Arial"/>
                <w:b/>
                <w:sz w:val="18"/>
                <w:szCs w:val="18"/>
                <w:lang w:val="en-AU" w:eastAsia="en-AU"/>
              </w:rPr>
              <w:t>4,520</w:t>
            </w:r>
          </w:p>
        </w:tc>
        <w:tc>
          <w:tcPr>
            <w:tcW w:w="1216" w:type="dxa"/>
            <w:tcBorders>
              <w:top w:val="single" w:sz="4" w:space="0" w:color="auto"/>
              <w:left w:val="nil"/>
              <w:bottom w:val="single" w:sz="4" w:space="0" w:color="auto"/>
              <w:right w:val="nil"/>
            </w:tcBorders>
            <w:shd w:val="clear" w:color="auto" w:fill="auto"/>
            <w:noWrap/>
            <w:vAlign w:val="center"/>
            <w:hideMark/>
          </w:tcPr>
          <w:p w14:paraId="38E2E2CE" w14:textId="1AA9B510" w:rsidR="00DA7C74" w:rsidRPr="00154FF9" w:rsidRDefault="00E01F01" w:rsidP="008C5D92">
            <w:pPr>
              <w:ind w:right="247" w:firstLineChars="100" w:firstLine="181"/>
              <w:jc w:val="right"/>
              <w:rPr>
                <w:rFonts w:ascii="Public Sans" w:hAnsi="Public Sans" w:cs="Arial"/>
                <w:b/>
                <w:sz w:val="18"/>
                <w:szCs w:val="18"/>
                <w:lang w:val="en-AU" w:eastAsia="en-AU"/>
              </w:rPr>
            </w:pPr>
            <w:r>
              <w:rPr>
                <w:rFonts w:ascii="Public Sans" w:hAnsi="Public Sans" w:cs="Arial"/>
                <w:b/>
                <w:sz w:val="18"/>
                <w:szCs w:val="18"/>
                <w:lang w:val="en-AU" w:eastAsia="en-AU"/>
              </w:rPr>
              <w:t>4,699</w:t>
            </w:r>
          </w:p>
        </w:tc>
        <w:tc>
          <w:tcPr>
            <w:tcW w:w="1165" w:type="dxa"/>
            <w:tcBorders>
              <w:top w:val="single" w:sz="4" w:space="0" w:color="auto"/>
              <w:left w:val="nil"/>
              <w:bottom w:val="single" w:sz="4" w:space="0" w:color="auto"/>
              <w:right w:val="nil"/>
            </w:tcBorders>
            <w:shd w:val="clear" w:color="auto" w:fill="auto"/>
            <w:noWrap/>
            <w:vAlign w:val="center"/>
            <w:hideMark/>
          </w:tcPr>
          <w:p w14:paraId="7323D897" w14:textId="3F6ABFF9" w:rsidR="00DA7C74" w:rsidRPr="00154FF9" w:rsidRDefault="00D831D5" w:rsidP="008C5D92">
            <w:pPr>
              <w:ind w:right="247" w:firstLineChars="100" w:firstLine="181"/>
              <w:jc w:val="right"/>
              <w:rPr>
                <w:rFonts w:ascii="Public Sans" w:hAnsi="Public Sans" w:cs="Arial"/>
                <w:b/>
                <w:sz w:val="18"/>
                <w:szCs w:val="18"/>
                <w:lang w:val="en-AU" w:eastAsia="en-AU"/>
              </w:rPr>
            </w:pPr>
            <w:r>
              <w:rPr>
                <w:rFonts w:ascii="Public Sans" w:hAnsi="Public Sans" w:cs="Arial"/>
                <w:b/>
                <w:sz w:val="18"/>
                <w:szCs w:val="18"/>
                <w:lang w:val="en-AU" w:eastAsia="en-AU"/>
              </w:rPr>
              <w:t>4,750</w:t>
            </w:r>
          </w:p>
        </w:tc>
      </w:tr>
    </w:tbl>
    <w:p w14:paraId="64E61C09" w14:textId="77777777" w:rsidR="00753513" w:rsidRPr="00E0583B" w:rsidRDefault="00753513" w:rsidP="00E0583B">
      <w:pPr>
        <w:rPr>
          <w:sz w:val="6"/>
          <w:szCs w:val="6"/>
        </w:rPr>
      </w:pPr>
    </w:p>
    <w:p w14:paraId="1CCD4FE0" w14:textId="22B7167A" w:rsidR="001E1BBD" w:rsidRPr="0027262C" w:rsidRDefault="00C83CC7" w:rsidP="0062541B">
      <w:pPr>
        <w:pStyle w:val="BP3Footnote"/>
        <w:numPr>
          <w:ilvl w:val="0"/>
          <w:numId w:val="14"/>
        </w:numPr>
        <w:spacing w:before="0"/>
        <w:ind w:left="357" w:hanging="357"/>
        <w:rPr>
          <w:rFonts w:ascii="Arial" w:hAnsi="Arial"/>
        </w:rPr>
      </w:pPr>
      <w:r w:rsidRPr="00E0583B">
        <w:t xml:space="preserve">Total spending may not equal the total of general government and PNFC </w:t>
      </w:r>
      <w:r w:rsidRPr="00A1397D">
        <w:rPr>
          <w:rFonts w:ascii="Arial" w:hAnsi="Arial"/>
        </w:rPr>
        <w:t>expenditure due to intra-sector purchases.</w:t>
      </w:r>
    </w:p>
    <w:bookmarkEnd w:id="10"/>
    <w:p w14:paraId="32F553B7" w14:textId="312712FA" w:rsidR="0006265E" w:rsidRPr="00DF3D6B" w:rsidRDefault="0006265E" w:rsidP="007464D8">
      <w:pPr>
        <w:pStyle w:val="BP3Chartx"/>
        <w:spacing w:before="480"/>
      </w:pPr>
      <w:r>
        <w:t>Recurrent maintenance expenditure 2013-14 to 2026-27</w:t>
      </w:r>
    </w:p>
    <w:p w14:paraId="32F5680D" w14:textId="069F25CA" w:rsidR="0006265E" w:rsidRDefault="00A13781" w:rsidP="005C2EDF">
      <w:pPr>
        <w:rPr>
          <w:highlight w:val="yellow"/>
        </w:rPr>
      </w:pPr>
      <w:r>
        <w:rPr>
          <w:noProof/>
        </w:rPr>
        <w:drawing>
          <wp:inline distT="0" distB="0" distL="0" distR="0" wp14:anchorId="1D9D8461" wp14:editId="156AAB3D">
            <wp:extent cx="6084000" cy="2376000"/>
            <wp:effectExtent l="0" t="0" r="12065" b="5715"/>
            <wp:docPr id="9" name="Chart 9" descr="Chart 1.7:  Recurrent maintenance expenditure 2013-14 to 2026-27">
              <a:extLst xmlns:a="http://schemas.openxmlformats.org/drawingml/2006/main">
                <a:ext uri="{FF2B5EF4-FFF2-40B4-BE49-F238E27FC236}">
                  <a16:creationId xmlns:a16="http://schemas.microsoft.com/office/drawing/2014/main" id="{10035698-0DB6-4398-8E4E-236CFE9FE6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49A1541" w14:textId="77777777" w:rsidR="00DD6E69" w:rsidRDefault="00DD6E69" w:rsidP="00DD6E69">
      <w:pPr>
        <w:rPr>
          <w:lang w:val="en-AU"/>
        </w:rPr>
      </w:pPr>
      <w:r>
        <w:br w:type="page"/>
      </w:r>
    </w:p>
    <w:p w14:paraId="3859D3E4" w14:textId="61EB8D56" w:rsidR="00E66D0E" w:rsidRPr="00DC4D2C" w:rsidRDefault="00E66D0E" w:rsidP="005C2EDF">
      <w:pPr>
        <w:pStyle w:val="BP3Heading2"/>
      </w:pPr>
      <w:r w:rsidRPr="00DC4D2C">
        <w:lastRenderedPageBreak/>
        <w:t>Restart NSW Fund</w:t>
      </w:r>
      <w:r w:rsidR="06EB13E1" w:rsidRPr="00DC4D2C">
        <w:t xml:space="preserve"> (Restart NSW)</w:t>
      </w:r>
    </w:p>
    <w:p w14:paraId="4C87C9AC" w14:textId="0D03CF5C" w:rsidR="00317C8E" w:rsidRDefault="00607BC0" w:rsidP="00E66D0E">
      <w:pPr>
        <w:pStyle w:val="BP3BodyText"/>
      </w:pPr>
      <w:r>
        <w:t>The 2023-24 Budget</w:t>
      </w:r>
      <w:r w:rsidR="00AF6852">
        <w:t xml:space="preserve"> includes a new focus for Restart </w:t>
      </w:r>
      <w:r w:rsidR="00F05B59">
        <w:t xml:space="preserve">NSW, </w:t>
      </w:r>
      <w:r w:rsidR="00F05B59" w:rsidRPr="007251BF">
        <w:t>with</w:t>
      </w:r>
      <w:r w:rsidR="00AF6852">
        <w:t xml:space="preserve"> funding</w:t>
      </w:r>
      <w:r w:rsidR="00A52EE2" w:rsidRPr="007251BF">
        <w:t xml:space="preserve"> </w:t>
      </w:r>
      <w:r w:rsidR="00AF6852">
        <w:t>redirected</w:t>
      </w:r>
      <w:r w:rsidR="00A52EE2" w:rsidRPr="007251BF">
        <w:t xml:space="preserve"> toward</w:t>
      </w:r>
      <w:r w:rsidR="00C27E5A" w:rsidRPr="007251BF">
        <w:t>s</w:t>
      </w:r>
      <w:r w:rsidR="00A52EE2" w:rsidRPr="007251BF">
        <w:t xml:space="preserve"> </w:t>
      </w:r>
      <w:r w:rsidR="002E52C3">
        <w:t xml:space="preserve">the Government’s Essential Infrastructure Plan to </w:t>
      </w:r>
      <w:r w:rsidR="00A52EE2" w:rsidRPr="007251BF">
        <w:t>rebuild essential services</w:t>
      </w:r>
      <w:r w:rsidR="007251BF" w:rsidRPr="007251BF">
        <w:t xml:space="preserve"> </w:t>
      </w:r>
      <w:r w:rsidR="002E52C3">
        <w:t>and provide</w:t>
      </w:r>
      <w:r w:rsidR="007251BF" w:rsidRPr="007251BF">
        <w:t xml:space="preserve"> the infrastructure needed to support</w:t>
      </w:r>
      <w:r w:rsidR="0065384E" w:rsidRPr="007251BF">
        <w:t xml:space="preserve"> housing supply and thriving communities.</w:t>
      </w:r>
      <w:r w:rsidR="00662D42">
        <w:t xml:space="preserve"> These investments will s</w:t>
      </w:r>
      <w:r w:rsidR="00662D42" w:rsidRPr="0725F6BA">
        <w:t xml:space="preserve">upport job growth and economic productivity, improve regional </w:t>
      </w:r>
      <w:proofErr w:type="gramStart"/>
      <w:r w:rsidR="00662D42" w:rsidRPr="0725F6BA">
        <w:t>liveability</w:t>
      </w:r>
      <w:proofErr w:type="gramEnd"/>
      <w:r w:rsidR="00662D42" w:rsidRPr="0725F6BA">
        <w:t xml:space="preserve"> and deliver sustainable community assets.</w:t>
      </w:r>
    </w:p>
    <w:p w14:paraId="59713869" w14:textId="08FEF257" w:rsidR="00E66D0E" w:rsidRDefault="15AEFEC6" w:rsidP="00494BFF">
      <w:pPr>
        <w:pStyle w:val="BP3BodyText"/>
      </w:pPr>
      <w:r>
        <w:t>In 2023-24</w:t>
      </w:r>
      <w:r w:rsidR="7DEE2A76">
        <w:t>,</w:t>
      </w:r>
      <w:r>
        <w:t xml:space="preserve"> </w:t>
      </w:r>
      <w:r w:rsidR="00F3788F">
        <w:t>new Restart NSW reservations have been approved for the Government’s commitments including:</w:t>
      </w:r>
    </w:p>
    <w:p w14:paraId="3AA2307B" w14:textId="30FDE275" w:rsidR="00B57F34" w:rsidRDefault="004C185D" w:rsidP="00344605">
      <w:pPr>
        <w:pStyle w:val="BP3Bullet1"/>
      </w:pPr>
      <w:r>
        <w:t>$1.0 billion for the Energy Security Corporation</w:t>
      </w:r>
    </w:p>
    <w:p w14:paraId="69A2FEC8" w14:textId="1C08A568" w:rsidR="00945840" w:rsidRDefault="001E240E" w:rsidP="00344605">
      <w:pPr>
        <w:pStyle w:val="BP3Bullet1"/>
      </w:pPr>
      <w:r w:rsidDel="00945840">
        <w:t>$</w:t>
      </w:r>
      <w:r w:rsidR="00945840">
        <w:t xml:space="preserve">400.0 million for the Housing Infrastructure Fund, including $100.0 million for regional </w:t>
      </w:r>
      <w:proofErr w:type="gramStart"/>
      <w:r w:rsidR="00945840">
        <w:t>projects</w:t>
      </w:r>
      <w:proofErr w:type="gramEnd"/>
    </w:p>
    <w:p w14:paraId="65484CE4" w14:textId="2B34F8FD" w:rsidR="004C185D" w:rsidRDefault="001E240E" w:rsidP="00945840">
      <w:pPr>
        <w:pStyle w:val="BP3Bullet1"/>
      </w:pPr>
      <w:r>
        <w:t>$385.0 million for the Urban Roads Fund (as part of a total $770.0 million investment)</w:t>
      </w:r>
    </w:p>
    <w:p w14:paraId="6EBCE70C" w14:textId="37B31F31" w:rsidR="00EE7C85" w:rsidRDefault="00EE7C85" w:rsidP="00344605">
      <w:pPr>
        <w:pStyle w:val="BP3Bullet1"/>
      </w:pPr>
      <w:r>
        <w:t>$302.7 million for Buses and Rapid Buses for Western Sydney Airport</w:t>
      </w:r>
    </w:p>
    <w:p w14:paraId="78C33E8E" w14:textId="6F7793DA" w:rsidR="00945840" w:rsidRDefault="00945840" w:rsidP="00344605">
      <w:pPr>
        <w:pStyle w:val="BP3Bullet1"/>
      </w:pPr>
      <w:r>
        <w:t>$250.0 million for the Working Regions Fund</w:t>
      </w:r>
    </w:p>
    <w:p w14:paraId="58A047FB" w14:textId="5E2FE6FA" w:rsidR="001E240E" w:rsidRDefault="001E240E" w:rsidP="00344605">
      <w:pPr>
        <w:pStyle w:val="BP3Bullet1"/>
      </w:pPr>
      <w:r>
        <w:t>$200.0 million for Parramatta Light Rail Stage 2</w:t>
      </w:r>
    </w:p>
    <w:p w14:paraId="1B22B274" w14:textId="10539385" w:rsidR="00FD5AC6" w:rsidRDefault="00FD5AC6" w:rsidP="00344605">
      <w:pPr>
        <w:pStyle w:val="BP3Bullet1"/>
      </w:pPr>
      <w:r>
        <w:t xml:space="preserve">$60.0 million for </w:t>
      </w:r>
      <w:r w:rsidR="00945840">
        <w:t xml:space="preserve">Western </w:t>
      </w:r>
      <w:r>
        <w:t>Sydney Metro business cases</w:t>
      </w:r>
    </w:p>
    <w:p w14:paraId="5260F2F9" w14:textId="77777777" w:rsidR="000E4004" w:rsidRDefault="00FD5AC6" w:rsidP="00344605">
      <w:pPr>
        <w:pStyle w:val="BP3Bullet1"/>
      </w:pPr>
      <w:r>
        <w:t>$30.0 million to establish a Truck Stop in Greater Sydney</w:t>
      </w:r>
    </w:p>
    <w:p w14:paraId="0186E490" w14:textId="01875646" w:rsidR="000E4004" w:rsidRDefault="000E4004" w:rsidP="00344605">
      <w:pPr>
        <w:pStyle w:val="BP3Bullet1"/>
      </w:pPr>
      <w:r>
        <w:t xml:space="preserve">$25.0 million for </w:t>
      </w:r>
      <w:r w:rsidR="00F37E82">
        <w:t>planning for</w:t>
      </w:r>
      <w:r>
        <w:t xml:space="preserve"> the Blue Mountains Hospital Redevelopment</w:t>
      </w:r>
    </w:p>
    <w:p w14:paraId="68FC1F37" w14:textId="039DF3A6" w:rsidR="00773757" w:rsidRDefault="00773757" w:rsidP="00344605">
      <w:pPr>
        <w:pStyle w:val="BP3Bullet1"/>
      </w:pPr>
      <w:r>
        <w:t xml:space="preserve">$21.9 million for Wollongong Hospital Upgrades </w:t>
      </w:r>
    </w:p>
    <w:p w14:paraId="0E6B8FA4" w14:textId="1485B263" w:rsidR="00FD5AC6" w:rsidRDefault="00773757" w:rsidP="00344605">
      <w:pPr>
        <w:pStyle w:val="BP3Bullet1"/>
      </w:pPr>
      <w:r>
        <w:t xml:space="preserve">$20.0 million </w:t>
      </w:r>
      <w:r w:rsidR="0075765A">
        <w:t xml:space="preserve">to deliver </w:t>
      </w:r>
      <w:r w:rsidR="0075765A" w:rsidRPr="00F0260D">
        <w:t xml:space="preserve">residential accommodation for those with long standing mental health </w:t>
      </w:r>
      <w:proofErr w:type="gramStart"/>
      <w:r w:rsidR="0075765A" w:rsidRPr="00F0260D">
        <w:t>issues</w:t>
      </w:r>
      <w:proofErr w:type="gramEnd"/>
    </w:p>
    <w:p w14:paraId="73BEEB94" w14:textId="16E56472" w:rsidR="00773757" w:rsidRDefault="00773757" w:rsidP="00344605">
      <w:pPr>
        <w:pStyle w:val="BP3Bullet1"/>
      </w:pPr>
      <w:r>
        <w:t xml:space="preserve">$15.0 million for </w:t>
      </w:r>
      <w:r w:rsidR="00BE24EB">
        <w:t>planning</w:t>
      </w:r>
      <w:r w:rsidR="003C3D43">
        <w:t xml:space="preserve"> and site selection for </w:t>
      </w:r>
      <w:r>
        <w:t xml:space="preserve">a new public hospital in the Western Parkland City region. </w:t>
      </w:r>
    </w:p>
    <w:p w14:paraId="3224CDD3" w14:textId="65458352" w:rsidR="00F3788F" w:rsidRDefault="006C0077" w:rsidP="005A0618">
      <w:pPr>
        <w:pStyle w:val="BP3BodyText"/>
      </w:pPr>
      <w:r>
        <w:t xml:space="preserve">The </w:t>
      </w:r>
      <w:r w:rsidR="0020596B">
        <w:t>2023-24 Budget</w:t>
      </w:r>
      <w:r w:rsidR="0089186D">
        <w:t xml:space="preserve"> </w:t>
      </w:r>
      <w:r w:rsidR="00CF02A1">
        <w:t>allocates</w:t>
      </w:r>
      <w:r w:rsidR="000277AE">
        <w:t xml:space="preserve"> </w:t>
      </w:r>
      <w:r w:rsidR="00F21A9F">
        <w:t xml:space="preserve">more than 30.0 per cent </w:t>
      </w:r>
      <w:r w:rsidR="00BD667E">
        <w:t xml:space="preserve">of all new </w:t>
      </w:r>
      <w:r w:rsidR="002C6FBB">
        <w:t xml:space="preserve">Restart </w:t>
      </w:r>
      <w:r w:rsidR="0010117B">
        <w:t>reservations to the regions.</w:t>
      </w:r>
      <w:r w:rsidR="007C6B62">
        <w:t xml:space="preserve"> This includes</w:t>
      </w:r>
      <w:r w:rsidR="008C233A">
        <w:t xml:space="preserve"> </w:t>
      </w:r>
      <w:r w:rsidR="00B0123A">
        <w:t>$</w:t>
      </w:r>
      <w:r w:rsidR="005037D3">
        <w:t xml:space="preserve">250.0 million for </w:t>
      </w:r>
      <w:r w:rsidR="00E56704">
        <w:t xml:space="preserve">a </w:t>
      </w:r>
      <w:r w:rsidR="000B54FF">
        <w:t>new</w:t>
      </w:r>
      <w:r w:rsidR="005037D3">
        <w:t xml:space="preserve"> Working Regions Fund</w:t>
      </w:r>
      <w:r w:rsidR="005A0618">
        <w:t xml:space="preserve"> and </w:t>
      </w:r>
      <w:r w:rsidR="005037D3">
        <w:t>$100.0 million for the</w:t>
      </w:r>
      <w:r w:rsidR="005A0618">
        <w:t xml:space="preserve"> regional component of the</w:t>
      </w:r>
      <w:r w:rsidR="005037D3">
        <w:t xml:space="preserve"> </w:t>
      </w:r>
      <w:r w:rsidR="00CC17AE">
        <w:t>Housing Infrastructure</w:t>
      </w:r>
      <w:r w:rsidR="005037D3">
        <w:t xml:space="preserve"> Fund</w:t>
      </w:r>
      <w:r w:rsidR="00BB1C6F">
        <w:t>.</w:t>
      </w:r>
      <w:r w:rsidR="005037D3">
        <w:t xml:space="preserve"> </w:t>
      </w:r>
    </w:p>
    <w:p w14:paraId="4DF32B18" w14:textId="41CBF843" w:rsidR="00F3788F" w:rsidRPr="006A216F" w:rsidRDefault="002C08AE" w:rsidP="005A0618">
      <w:pPr>
        <w:pStyle w:val="BP3BodyText"/>
      </w:pPr>
      <w:proofErr w:type="gramStart"/>
      <w:r>
        <w:t xml:space="preserve">The </w:t>
      </w:r>
      <w:r w:rsidR="00715470">
        <w:t>majority of</w:t>
      </w:r>
      <w:proofErr w:type="gramEnd"/>
      <w:r w:rsidR="00715470">
        <w:t xml:space="preserve"> </w:t>
      </w:r>
      <w:r>
        <w:t xml:space="preserve">remaining reservations target new transport </w:t>
      </w:r>
      <w:r w:rsidR="00544B4D">
        <w:t>projects</w:t>
      </w:r>
      <w:r>
        <w:t xml:space="preserve"> to support new housing supply</w:t>
      </w:r>
      <w:r w:rsidR="00544B4D">
        <w:t xml:space="preserve"> in Western Sydney</w:t>
      </w:r>
      <w:r w:rsidR="00FB5A52">
        <w:t>. This includes $302.7 million for Buses and Rapid Buses for</w:t>
      </w:r>
      <w:r w:rsidR="00DA74FF">
        <w:t xml:space="preserve"> Western Sydney Airport and $200.0 million for Parramatta Light Rail Stage 2. </w:t>
      </w:r>
    </w:p>
    <w:sectPr w:rsidR="00F3788F" w:rsidRPr="006A216F" w:rsidSect="0023129E">
      <w:headerReference w:type="even" r:id="rId22"/>
      <w:headerReference w:type="default" r:id="rId23"/>
      <w:footerReference w:type="even" r:id="rId24"/>
      <w:footerReference w:type="default" r:id="rId25"/>
      <w:headerReference w:type="first" r:id="rId26"/>
      <w:footerReference w:type="first" r:id="rId27"/>
      <w:footnotePr>
        <w:numStart w:val="2"/>
      </w:footnotePr>
      <w:type w:val="continuous"/>
      <w:pgSz w:w="11907" w:h="16840" w:code="9"/>
      <w:pgMar w:top="1134" w:right="1134" w:bottom="510" w:left="1134" w:header="454"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38FCF" w14:textId="77777777" w:rsidR="00AC7A42" w:rsidRDefault="00AC7A42">
      <w:r>
        <w:separator/>
      </w:r>
    </w:p>
    <w:p w14:paraId="3360E97E" w14:textId="77777777" w:rsidR="00AC7A42" w:rsidRDefault="00AC7A42"/>
    <w:p w14:paraId="27EA52D4" w14:textId="77777777" w:rsidR="00AC7A42" w:rsidRDefault="00AC7A42"/>
  </w:endnote>
  <w:endnote w:type="continuationSeparator" w:id="0">
    <w:p w14:paraId="19B53544" w14:textId="77777777" w:rsidR="00AC7A42" w:rsidRDefault="00AC7A42">
      <w:r>
        <w:continuationSeparator/>
      </w:r>
    </w:p>
    <w:p w14:paraId="57C9215B" w14:textId="77777777" w:rsidR="00AC7A42" w:rsidRDefault="00AC7A42"/>
    <w:p w14:paraId="5A118DFA" w14:textId="77777777" w:rsidR="00AC7A42" w:rsidRDefault="00AC7A42"/>
  </w:endnote>
  <w:endnote w:type="continuationNotice" w:id="1">
    <w:p w14:paraId="56DCEB28" w14:textId="77777777" w:rsidR="00AC7A42" w:rsidRDefault="00AC7A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ublic Sans SemiBold">
    <w:panose1 w:val="00000000000000000000"/>
    <w:charset w:val="00"/>
    <w:family w:val="auto"/>
    <w:pitch w:val="variable"/>
    <w:sig w:usb0="A00000FF" w:usb1="4000205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33BE" w14:textId="48AAD097" w:rsidR="00C96A6A" w:rsidRPr="00B111A8" w:rsidRDefault="007C2458" w:rsidP="00483755">
    <w:pPr>
      <w:pBdr>
        <w:top w:val="single" w:sz="4" w:space="4" w:color="auto"/>
      </w:pBdr>
      <w:tabs>
        <w:tab w:val="right" w:pos="9639"/>
      </w:tabs>
      <w:rPr>
        <w:rFonts w:ascii="Public Sans" w:hAnsi="Public Sans" w:cs="Arial"/>
        <w:sz w:val="18"/>
        <w:szCs w:val="18"/>
      </w:rPr>
    </w:pPr>
    <w:r w:rsidRPr="00B111A8">
      <w:rPr>
        <w:rFonts w:ascii="Public Sans" w:hAnsi="Public Sans" w:cs="Arial"/>
        <w:sz w:val="18"/>
        <w:szCs w:val="18"/>
      </w:rPr>
      <w:t xml:space="preserve">1 - </w:t>
    </w:r>
    <w:r w:rsidRPr="00B111A8">
      <w:rPr>
        <w:rFonts w:ascii="Public Sans" w:hAnsi="Public Sans" w:cs="Arial"/>
        <w:sz w:val="18"/>
        <w:szCs w:val="18"/>
      </w:rPr>
      <w:fldChar w:fldCharType="begin"/>
    </w:r>
    <w:r w:rsidRPr="00B111A8">
      <w:rPr>
        <w:rFonts w:ascii="Public Sans" w:hAnsi="Public Sans" w:cs="Arial"/>
        <w:sz w:val="18"/>
        <w:szCs w:val="18"/>
      </w:rPr>
      <w:instrText xml:space="preserve"> PAGE   \* MERGEFORMAT </w:instrText>
    </w:r>
    <w:r w:rsidRPr="00B111A8">
      <w:rPr>
        <w:rFonts w:ascii="Public Sans" w:hAnsi="Public Sans" w:cs="Arial"/>
        <w:sz w:val="18"/>
        <w:szCs w:val="18"/>
      </w:rPr>
      <w:fldChar w:fldCharType="separate"/>
    </w:r>
    <w:r w:rsidRPr="00B111A8">
      <w:rPr>
        <w:rFonts w:ascii="Public Sans" w:hAnsi="Public Sans" w:cs="Arial"/>
        <w:sz w:val="18"/>
        <w:szCs w:val="18"/>
      </w:rPr>
      <w:t>4</w:t>
    </w:r>
    <w:r w:rsidRPr="00B111A8">
      <w:rPr>
        <w:rFonts w:ascii="Public Sans" w:hAnsi="Public Sans" w:cs="Arial"/>
        <w:sz w:val="18"/>
        <w:szCs w:val="18"/>
      </w:rPr>
      <w:fldChar w:fldCharType="end"/>
    </w:r>
    <w:r w:rsidR="00F757E9" w:rsidRPr="00B111A8">
      <w:rPr>
        <w:rFonts w:ascii="Public Sans" w:hAnsi="Public Sans" w:cs="Calibri"/>
      </w:rPr>
      <w:tab/>
    </w:r>
    <w:r w:rsidR="00F757E9" w:rsidRPr="00B111A8">
      <w:rPr>
        <w:rFonts w:ascii="Public Sans" w:hAnsi="Public Sans" w:cs="Arial"/>
        <w:sz w:val="18"/>
        <w:szCs w:val="18"/>
      </w:rPr>
      <w:t xml:space="preserve">Infrastructure Statement </w:t>
    </w:r>
    <w:r w:rsidR="000C1A70" w:rsidRPr="00B111A8">
      <w:rPr>
        <w:rFonts w:ascii="Public Sans" w:hAnsi="Public Sans" w:cs="Arial"/>
        <w:sz w:val="18"/>
        <w:szCs w:val="18"/>
      </w:rPr>
      <w:t>202</w:t>
    </w:r>
    <w:r w:rsidR="00C96A6A" w:rsidRPr="00B111A8">
      <w:rPr>
        <w:rFonts w:ascii="Public Sans" w:hAnsi="Public Sans" w:cs="Arial"/>
        <w:sz w:val="18"/>
        <w:szCs w:val="18"/>
      </w:rPr>
      <w:t>3</w:t>
    </w:r>
    <w:r w:rsidR="000C1A70" w:rsidRPr="00B111A8">
      <w:rPr>
        <w:rFonts w:ascii="Public Sans" w:hAnsi="Public Sans" w:cs="Arial"/>
        <w:sz w:val="18"/>
        <w:szCs w:val="18"/>
      </w:rPr>
      <w:t>-2</w:t>
    </w:r>
    <w:r w:rsidR="00C96A6A" w:rsidRPr="00B111A8">
      <w:rPr>
        <w:rFonts w:ascii="Public Sans" w:hAnsi="Public Sans" w:cs="Arial"/>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49978" w14:textId="4492EBFD" w:rsidR="00C96A6A" w:rsidRPr="00B111A8" w:rsidRDefault="007C2458" w:rsidP="00483755">
    <w:pPr>
      <w:pBdr>
        <w:top w:val="single" w:sz="4" w:space="4" w:color="auto"/>
      </w:pBdr>
      <w:tabs>
        <w:tab w:val="right" w:pos="9639"/>
      </w:tabs>
      <w:rPr>
        <w:rFonts w:ascii="Public Sans" w:hAnsi="Public Sans" w:cs="Arial"/>
        <w:sz w:val="18"/>
        <w:szCs w:val="18"/>
      </w:rPr>
    </w:pPr>
    <w:r w:rsidRPr="00B111A8">
      <w:rPr>
        <w:rFonts w:ascii="Public Sans" w:hAnsi="Public Sans" w:cs="Arial"/>
        <w:sz w:val="18"/>
        <w:szCs w:val="18"/>
      </w:rPr>
      <w:t xml:space="preserve">Infrastructure Statement </w:t>
    </w:r>
    <w:r w:rsidR="000C49C0" w:rsidRPr="00B111A8">
      <w:rPr>
        <w:rFonts w:ascii="Public Sans" w:hAnsi="Public Sans" w:cs="Arial"/>
        <w:sz w:val="18"/>
        <w:szCs w:val="18"/>
      </w:rPr>
      <w:t>202</w:t>
    </w:r>
    <w:r w:rsidR="00C96A6A" w:rsidRPr="00B111A8">
      <w:rPr>
        <w:rFonts w:ascii="Public Sans" w:hAnsi="Public Sans" w:cs="Arial"/>
        <w:sz w:val="18"/>
        <w:szCs w:val="18"/>
      </w:rPr>
      <w:t>3</w:t>
    </w:r>
    <w:r w:rsidR="003E6327" w:rsidRPr="00B111A8">
      <w:rPr>
        <w:rFonts w:ascii="Public Sans" w:hAnsi="Public Sans" w:cs="Arial"/>
        <w:sz w:val="18"/>
        <w:szCs w:val="18"/>
      </w:rPr>
      <w:t>-2</w:t>
    </w:r>
    <w:r w:rsidR="00C96A6A" w:rsidRPr="00B111A8">
      <w:rPr>
        <w:rFonts w:ascii="Public Sans" w:hAnsi="Public Sans" w:cs="Arial"/>
        <w:sz w:val="18"/>
        <w:szCs w:val="18"/>
      </w:rPr>
      <w:t>4</w:t>
    </w:r>
    <w:r w:rsidRPr="00B111A8">
      <w:rPr>
        <w:rFonts w:ascii="Public Sans" w:hAnsi="Public Sans" w:cs="Calibri"/>
      </w:rPr>
      <w:tab/>
    </w:r>
    <w:r w:rsidRPr="00B111A8">
      <w:rPr>
        <w:rFonts w:ascii="Public Sans" w:hAnsi="Public Sans" w:cs="Arial"/>
        <w:sz w:val="18"/>
        <w:szCs w:val="18"/>
      </w:rPr>
      <w:t xml:space="preserve">1 - </w:t>
    </w:r>
    <w:r w:rsidRPr="00B111A8">
      <w:rPr>
        <w:rFonts w:ascii="Public Sans" w:hAnsi="Public Sans" w:cs="Arial"/>
        <w:sz w:val="18"/>
        <w:szCs w:val="18"/>
      </w:rPr>
      <w:fldChar w:fldCharType="begin"/>
    </w:r>
    <w:r w:rsidRPr="00B111A8">
      <w:rPr>
        <w:rFonts w:ascii="Public Sans" w:hAnsi="Public Sans" w:cs="Arial"/>
        <w:sz w:val="18"/>
        <w:szCs w:val="18"/>
      </w:rPr>
      <w:instrText xml:space="preserve"> PAGE   \* MERGEFORMAT </w:instrText>
    </w:r>
    <w:r w:rsidRPr="00B111A8">
      <w:rPr>
        <w:rFonts w:ascii="Public Sans" w:hAnsi="Public Sans" w:cs="Arial"/>
        <w:sz w:val="18"/>
        <w:szCs w:val="18"/>
      </w:rPr>
      <w:fldChar w:fldCharType="separate"/>
    </w:r>
    <w:r w:rsidRPr="00B111A8">
      <w:rPr>
        <w:rFonts w:ascii="Public Sans" w:hAnsi="Public Sans" w:cs="Arial"/>
        <w:sz w:val="18"/>
        <w:szCs w:val="18"/>
      </w:rPr>
      <w:t>3</w:t>
    </w:r>
    <w:r w:rsidRPr="00B111A8">
      <w:rPr>
        <w:rFonts w:ascii="Public Sans" w:hAnsi="Public Sans" w:cs="Arial"/>
        <w:sz w:val="18"/>
        <w:szCs w:val="18"/>
      </w:rPr>
      <w:fldChar w:fldCharType="end"/>
    </w:r>
    <w:r w:rsidR="00F757E9" w:rsidRPr="00B111A8">
      <w:rPr>
        <w:rFonts w:ascii="Public Sans" w:hAnsi="Public Sans" w:cs="Arial"/>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9D99" w14:textId="58685A4B" w:rsidR="001A5DDB" w:rsidRPr="00553069" w:rsidRDefault="007C2458" w:rsidP="00483755">
    <w:pPr>
      <w:pBdr>
        <w:top w:val="single" w:sz="4" w:space="4" w:color="auto"/>
      </w:pBdr>
      <w:tabs>
        <w:tab w:val="right" w:pos="9639"/>
      </w:tabs>
      <w:rPr>
        <w:rFonts w:ascii="Public Sans" w:hAnsi="Public Sans" w:cs="Arial"/>
        <w:sz w:val="18"/>
        <w:szCs w:val="18"/>
      </w:rPr>
    </w:pPr>
    <w:r w:rsidRPr="00553069">
      <w:rPr>
        <w:rFonts w:ascii="Public Sans" w:hAnsi="Public Sans" w:cs="Arial"/>
        <w:sz w:val="18"/>
        <w:szCs w:val="18"/>
      </w:rPr>
      <w:t xml:space="preserve">Infrastructure Statement </w:t>
    </w:r>
    <w:r w:rsidR="003E6327" w:rsidRPr="00553069">
      <w:rPr>
        <w:rFonts w:ascii="Public Sans" w:hAnsi="Public Sans" w:cs="Arial"/>
        <w:sz w:val="18"/>
        <w:szCs w:val="18"/>
      </w:rPr>
      <w:t>202</w:t>
    </w:r>
    <w:r w:rsidR="001A5DDB" w:rsidRPr="00553069">
      <w:rPr>
        <w:rFonts w:ascii="Public Sans" w:hAnsi="Public Sans" w:cs="Arial"/>
        <w:sz w:val="18"/>
        <w:szCs w:val="18"/>
      </w:rPr>
      <w:t>3</w:t>
    </w:r>
    <w:r w:rsidR="003E6327" w:rsidRPr="00553069">
      <w:rPr>
        <w:rFonts w:ascii="Public Sans" w:hAnsi="Public Sans" w:cs="Arial"/>
        <w:sz w:val="18"/>
        <w:szCs w:val="18"/>
      </w:rPr>
      <w:t>-2</w:t>
    </w:r>
    <w:r w:rsidR="001A5DDB" w:rsidRPr="00553069">
      <w:rPr>
        <w:rFonts w:ascii="Public Sans" w:hAnsi="Public Sans" w:cs="Arial"/>
        <w:sz w:val="18"/>
        <w:szCs w:val="18"/>
      </w:rPr>
      <w:t>4</w:t>
    </w:r>
    <w:r w:rsidR="00D503BA">
      <w:rPr>
        <w:rFonts w:ascii="Public Sans" w:hAnsi="Public Sans" w:cs="Arial"/>
        <w:sz w:val="18"/>
        <w:szCs w:val="18"/>
      </w:rPr>
      <w:tab/>
    </w:r>
    <w:r w:rsidR="00D503BA" w:rsidRPr="00553069">
      <w:rPr>
        <w:rFonts w:ascii="Public Sans" w:hAnsi="Public Sans" w:cs="Arial"/>
        <w:sz w:val="18"/>
        <w:szCs w:val="18"/>
      </w:rPr>
      <w:t xml:space="preserve">1 - </w:t>
    </w:r>
    <w:r w:rsidR="00D503BA" w:rsidRPr="00553069">
      <w:rPr>
        <w:rFonts w:ascii="Public Sans" w:hAnsi="Public Sans" w:cs="Arial"/>
        <w:sz w:val="18"/>
        <w:szCs w:val="18"/>
      </w:rPr>
      <w:fldChar w:fldCharType="begin"/>
    </w:r>
    <w:r w:rsidR="00D503BA" w:rsidRPr="00553069">
      <w:rPr>
        <w:rFonts w:ascii="Public Sans" w:hAnsi="Public Sans" w:cs="Arial"/>
        <w:sz w:val="18"/>
        <w:szCs w:val="18"/>
      </w:rPr>
      <w:instrText xml:space="preserve"> PAGE   \* MERGEFORMAT </w:instrText>
    </w:r>
    <w:r w:rsidR="00D503BA" w:rsidRPr="00553069">
      <w:rPr>
        <w:rFonts w:ascii="Public Sans" w:hAnsi="Public Sans" w:cs="Arial"/>
        <w:sz w:val="18"/>
        <w:szCs w:val="18"/>
      </w:rPr>
      <w:fldChar w:fldCharType="separate"/>
    </w:r>
    <w:r w:rsidR="00D503BA">
      <w:rPr>
        <w:rFonts w:ascii="Public Sans" w:hAnsi="Public Sans" w:cs="Arial"/>
        <w:sz w:val="18"/>
        <w:szCs w:val="18"/>
      </w:rPr>
      <w:t>1</w:t>
    </w:r>
    <w:r w:rsidR="00D503BA" w:rsidRPr="00553069">
      <w:rPr>
        <w:rFonts w:ascii="Public Sans" w:hAnsi="Public San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7DAA8" w14:textId="77777777" w:rsidR="00AC7A42" w:rsidRDefault="00AC7A42">
      <w:r>
        <w:separator/>
      </w:r>
    </w:p>
  </w:footnote>
  <w:footnote w:type="continuationSeparator" w:id="0">
    <w:p w14:paraId="6F9DAC7A" w14:textId="77777777" w:rsidR="00AC7A42" w:rsidRDefault="00AC7A42">
      <w:r>
        <w:continuationSeparator/>
      </w:r>
    </w:p>
    <w:p w14:paraId="0EEEBB3C" w14:textId="77777777" w:rsidR="00AC7A42" w:rsidRDefault="00AC7A42"/>
    <w:p w14:paraId="7791AA76" w14:textId="77777777" w:rsidR="00AC7A42" w:rsidRDefault="00AC7A42"/>
  </w:footnote>
  <w:footnote w:type="continuationNotice" w:id="1">
    <w:p w14:paraId="4221531D" w14:textId="77777777" w:rsidR="00AC7A42" w:rsidRDefault="00AC7A42"/>
  </w:footnote>
  <w:footnote w:id="2">
    <w:p w14:paraId="4DFE0998" w14:textId="0A16116B" w:rsidR="0056065C" w:rsidRPr="0056065C" w:rsidRDefault="0056065C" w:rsidP="00D466DF">
      <w:pPr>
        <w:spacing w:before="20" w:after="20"/>
        <w:ind w:left="709" w:hanging="284"/>
        <w:rPr>
          <w:lang w:val="en-AU"/>
        </w:rPr>
      </w:pPr>
      <w:r w:rsidRPr="00D466DF">
        <w:rPr>
          <w:rFonts w:ascii="Public Sans" w:hAnsi="Public Sans"/>
          <w:sz w:val="17"/>
          <w:szCs w:val="17"/>
          <w:vertAlign w:val="superscript"/>
        </w:rPr>
        <w:footnoteRef/>
      </w:r>
      <w:r w:rsidRPr="00D466DF">
        <w:rPr>
          <w:rFonts w:ascii="Public Sans" w:hAnsi="Public Sans"/>
          <w:sz w:val="17"/>
          <w:szCs w:val="17"/>
          <w:vertAlign w:val="superscript"/>
        </w:rPr>
        <w:t xml:space="preserve"> </w:t>
      </w:r>
      <w:r>
        <w:rPr>
          <w:rFonts w:ascii="Public Sans" w:hAnsi="Public Sans"/>
          <w:sz w:val="17"/>
          <w:szCs w:val="17"/>
        </w:rPr>
        <w:tab/>
      </w:r>
      <w:r w:rsidRPr="0056065C">
        <w:rPr>
          <w:rFonts w:ascii="Public Sans" w:hAnsi="Public Sans"/>
          <w:sz w:val="17"/>
          <w:szCs w:val="17"/>
        </w:rPr>
        <w:t xml:space="preserve">The four year infrastructure Health infrastructure investment was forecast to be $11.9 billion in the 2022-23 Budget. The four-year Education infrastructure investment was forecast to be $9.2 billion. </w:t>
      </w:r>
    </w:p>
  </w:footnote>
  <w:footnote w:id="3">
    <w:p w14:paraId="487FE049" w14:textId="77777777" w:rsidR="007E2B68" w:rsidRPr="003274D6" w:rsidRDefault="007E2B68" w:rsidP="003274D6">
      <w:pPr>
        <w:spacing w:before="20" w:after="20"/>
        <w:ind w:left="709" w:hanging="284"/>
        <w:rPr>
          <w:rFonts w:ascii="Public Sans" w:hAnsi="Public Sans"/>
          <w:sz w:val="17"/>
          <w:szCs w:val="17"/>
        </w:rPr>
      </w:pPr>
      <w:r w:rsidRPr="0063262C">
        <w:rPr>
          <w:rFonts w:ascii="Public Sans" w:hAnsi="Public Sans"/>
          <w:sz w:val="16"/>
          <w:szCs w:val="16"/>
          <w:vertAlign w:val="superscript"/>
        </w:rPr>
        <w:footnoteRef/>
      </w:r>
      <w:r w:rsidRPr="0063262C">
        <w:rPr>
          <w:rFonts w:ascii="Public Sans" w:hAnsi="Public Sans"/>
          <w:sz w:val="16"/>
          <w:szCs w:val="16"/>
          <w:vertAlign w:val="superscript"/>
        </w:rPr>
        <w:t xml:space="preserve"> </w:t>
      </w:r>
      <w:r w:rsidRPr="00131AEB">
        <w:rPr>
          <w:rFonts w:ascii="Public Sans" w:hAnsi="Public Sans"/>
          <w:sz w:val="16"/>
          <w:szCs w:val="16"/>
        </w:rPr>
        <w:tab/>
      </w:r>
      <w:r w:rsidRPr="003274D6">
        <w:rPr>
          <w:rFonts w:ascii="Public Sans" w:hAnsi="Public Sans" w:cs="Arial"/>
          <w:sz w:val="17"/>
          <w:szCs w:val="17"/>
        </w:rPr>
        <w:t>The estimated total cost (ETC) of projects identified in this chapter may include prior year expenditure and expenditure beyond the budget and forward estimates.</w:t>
      </w:r>
    </w:p>
  </w:footnote>
  <w:footnote w:id="4">
    <w:p w14:paraId="01604613" w14:textId="128D242E" w:rsidR="00396532" w:rsidRPr="00396532" w:rsidRDefault="00396532" w:rsidP="003274D6">
      <w:pPr>
        <w:spacing w:before="20" w:after="20"/>
        <w:ind w:left="709" w:hanging="284"/>
        <w:rPr>
          <w:lang w:val="en-AU"/>
        </w:rPr>
      </w:pPr>
      <w:r w:rsidRPr="0063262C">
        <w:rPr>
          <w:rFonts w:ascii="Public Sans" w:hAnsi="Public Sans"/>
          <w:sz w:val="17"/>
          <w:szCs w:val="17"/>
          <w:vertAlign w:val="superscript"/>
        </w:rPr>
        <w:footnoteRef/>
      </w:r>
      <w:r w:rsidRPr="003274D6">
        <w:rPr>
          <w:rFonts w:ascii="Public Sans" w:hAnsi="Public Sans"/>
          <w:sz w:val="17"/>
          <w:szCs w:val="17"/>
        </w:rPr>
        <w:t xml:space="preserve"> </w:t>
      </w:r>
      <w:r w:rsidR="00461386" w:rsidRPr="003274D6">
        <w:rPr>
          <w:rFonts w:ascii="Public Sans" w:hAnsi="Public Sans"/>
          <w:sz w:val="17"/>
          <w:szCs w:val="17"/>
        </w:rPr>
        <w:tab/>
      </w:r>
      <w:r w:rsidRPr="003274D6">
        <w:rPr>
          <w:rFonts w:ascii="Public Sans" w:hAnsi="Public Sans" w:cs="Arial"/>
          <w:sz w:val="17"/>
          <w:szCs w:val="17"/>
        </w:rPr>
        <w:t>Sydney Metro projects</w:t>
      </w:r>
      <w:r w:rsidR="00983F98" w:rsidRPr="003274D6">
        <w:rPr>
          <w:rFonts w:ascii="Public Sans" w:hAnsi="Public Sans" w:cs="Arial"/>
          <w:sz w:val="17"/>
          <w:szCs w:val="17"/>
        </w:rPr>
        <w:t xml:space="preserve"> that are in delivery are</w:t>
      </w:r>
      <w:r w:rsidRPr="003274D6">
        <w:rPr>
          <w:rFonts w:ascii="Public Sans" w:hAnsi="Public Sans" w:cs="Arial"/>
          <w:sz w:val="17"/>
          <w:szCs w:val="17"/>
        </w:rPr>
        <w:t xml:space="preserve"> being reviewed through the Sydney Metro Review. For further information see Box 1.4</w:t>
      </w:r>
      <w:r w:rsidR="0099401B">
        <w:rPr>
          <w:rFonts w:ascii="Public Sans" w:hAnsi="Public Sans" w:cs="Arial"/>
          <w:sz w:val="17"/>
          <w:szCs w:val="17"/>
        </w:rPr>
        <w:t>.</w:t>
      </w:r>
    </w:p>
  </w:footnote>
  <w:footnote w:id="5">
    <w:p w14:paraId="3F0D8B81" w14:textId="661E0ED9" w:rsidR="00260C33" w:rsidRPr="00185C40" w:rsidRDefault="004B0962" w:rsidP="00090EF0">
      <w:pPr>
        <w:ind w:left="709" w:hanging="283"/>
        <w:rPr>
          <w:rFonts w:ascii="Public Sans" w:hAnsi="Public Sans" w:cs="Arial"/>
          <w:iCs/>
          <w:szCs w:val="17"/>
        </w:rPr>
      </w:pPr>
      <w:r w:rsidRPr="009C11C9">
        <w:rPr>
          <w:rFonts w:ascii="Public Sans" w:hAnsi="Public Sans"/>
          <w:sz w:val="16"/>
          <w:szCs w:val="16"/>
          <w:vertAlign w:val="superscript"/>
        </w:rPr>
        <w:footnoteRef/>
      </w:r>
      <w:r w:rsidRPr="009C11C9">
        <w:rPr>
          <w:rFonts w:ascii="Public Sans" w:hAnsi="Public Sans"/>
          <w:sz w:val="16"/>
          <w:szCs w:val="16"/>
          <w:vertAlign w:val="superscript"/>
        </w:rPr>
        <w:t xml:space="preserve"> </w:t>
      </w:r>
      <w:r w:rsidR="00090EF0" w:rsidRPr="00131AEB">
        <w:rPr>
          <w:rFonts w:ascii="Public Sans" w:hAnsi="Public Sans"/>
          <w:sz w:val="16"/>
          <w:szCs w:val="16"/>
        </w:rPr>
        <w:tab/>
      </w:r>
      <w:r w:rsidRPr="009C11C9">
        <w:rPr>
          <w:rFonts w:ascii="Public Sans" w:hAnsi="Public Sans" w:cs="Arial"/>
          <w:sz w:val="17"/>
          <w:szCs w:val="17"/>
        </w:rPr>
        <w:t>Health Capital Expenditure includes capital expensing amounts</w:t>
      </w:r>
      <w:r w:rsidR="001D72A0" w:rsidRPr="009C11C9">
        <w:rPr>
          <w:rFonts w:ascii="Public Sans" w:hAnsi="Public Sans" w:cs="Arial"/>
          <w:sz w:val="17"/>
          <w:szCs w:val="17"/>
        </w:rPr>
        <w:t xml:space="preserve">. </w:t>
      </w:r>
      <w:r w:rsidRPr="009C11C9">
        <w:rPr>
          <w:rFonts w:ascii="Public Sans" w:hAnsi="Public Sans" w:cs="Arial"/>
          <w:sz w:val="17"/>
          <w:szCs w:val="17"/>
        </w:rPr>
        <w:t xml:space="preserve">Further information is provided at footnote </w:t>
      </w:r>
      <w:r w:rsidR="00CA6A8D">
        <w:rPr>
          <w:rFonts w:ascii="Public Sans" w:hAnsi="Public Sans" w:cs="Arial"/>
          <w:sz w:val="17"/>
          <w:szCs w:val="17"/>
        </w:rPr>
        <w:t>(</w:t>
      </w:r>
      <w:r w:rsidR="00245E9E" w:rsidRPr="009C11C9">
        <w:rPr>
          <w:rFonts w:ascii="Public Sans" w:hAnsi="Public Sans" w:cs="Arial"/>
          <w:sz w:val="17"/>
          <w:szCs w:val="17"/>
        </w:rPr>
        <w:t>c</w:t>
      </w:r>
      <w:r w:rsidRPr="009C11C9">
        <w:rPr>
          <w:rFonts w:ascii="Public Sans" w:hAnsi="Public Sans" w:cs="Arial"/>
          <w:sz w:val="17"/>
          <w:szCs w:val="17"/>
        </w:rPr>
        <w:t>) of Table</w:t>
      </w:r>
      <w:r w:rsidR="00090EF0" w:rsidRPr="009C11C9">
        <w:rPr>
          <w:rFonts w:ascii="Public Sans" w:hAnsi="Public Sans" w:cs="Arial"/>
          <w:sz w:val="17"/>
          <w:szCs w:val="17"/>
        </w:rPr>
        <w:t> </w:t>
      </w:r>
      <w:r w:rsidRPr="009C11C9">
        <w:rPr>
          <w:rFonts w:ascii="Public Sans" w:hAnsi="Public Sans" w:cs="Arial"/>
          <w:sz w:val="17"/>
          <w:szCs w:val="17"/>
        </w:rPr>
        <w:t>1.</w:t>
      </w:r>
      <w:r w:rsidR="001D72A0" w:rsidRPr="009B7D49">
        <w:rPr>
          <w:rFonts w:ascii="Public Sans" w:hAnsi="Public Sans" w:cs="Arial"/>
          <w:iCs/>
          <w:sz w:val="17"/>
          <w:szCs w:val="17"/>
        </w:rPr>
        <w:t>2</w:t>
      </w:r>
      <w:r w:rsidR="00100F52" w:rsidRPr="00185C40">
        <w:rPr>
          <w:rFonts w:ascii="Public Sans" w:hAnsi="Public Sans" w:cs="Arial"/>
          <w:iCs/>
          <w:sz w:val="17"/>
          <w:szCs w:val="17"/>
        </w:rPr>
        <w:t>.</w:t>
      </w:r>
    </w:p>
  </w:footnote>
  <w:footnote w:id="6">
    <w:p w14:paraId="66042A94" w14:textId="216ED0E9" w:rsidR="00800D70" w:rsidRPr="00D466DF" w:rsidRDefault="00800D70" w:rsidP="00C56154">
      <w:pPr>
        <w:pStyle w:val="FootnoteText"/>
        <w:ind w:left="709" w:hanging="283"/>
        <w:rPr>
          <w:rFonts w:ascii="Public Sans" w:hAnsi="Public Sans"/>
          <w:lang w:val="en-AU"/>
        </w:rPr>
      </w:pPr>
      <w:r w:rsidRPr="00D466DF">
        <w:rPr>
          <w:rStyle w:val="FootnoteReference"/>
          <w:rFonts w:ascii="Public Sans" w:hAnsi="Public Sans"/>
        </w:rPr>
        <w:footnoteRef/>
      </w:r>
      <w:r w:rsidRPr="00D466DF">
        <w:rPr>
          <w:rFonts w:ascii="Public Sans" w:hAnsi="Public Sans"/>
        </w:rPr>
        <w:t xml:space="preserve"> </w:t>
      </w:r>
      <w:r w:rsidR="00C56154">
        <w:rPr>
          <w:rFonts w:ascii="Public Sans" w:hAnsi="Public Sans"/>
        </w:rPr>
        <w:tab/>
      </w:r>
      <w:r w:rsidRPr="00D466DF">
        <w:rPr>
          <w:rFonts w:ascii="Public Sans" w:hAnsi="Public Sans"/>
          <w:sz w:val="17"/>
          <w:szCs w:val="17"/>
        </w:rPr>
        <w:t>Housing measures include a mix of recurrent and capital expenditure in the general government and public non</w:t>
      </w:r>
      <w:r w:rsidRPr="00D466DF">
        <w:rPr>
          <w:rFonts w:ascii="Public Sans" w:hAnsi="Public Sans"/>
          <w:sz w:val="17"/>
          <w:szCs w:val="17"/>
        </w:rPr>
        <w:noBreakHyphen/>
        <w:t>financial corporation sectors</w:t>
      </w:r>
      <w:r w:rsidRPr="00D466DF">
        <w:rPr>
          <w:rFonts w:ascii="Public Sans" w:hAnsi="Public Sans"/>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8A6CF" w14:textId="77777777" w:rsidR="0092079A" w:rsidRPr="00504D1C" w:rsidRDefault="0092079A" w:rsidP="0092079A">
    <w:pPr>
      <w:pBdr>
        <w:bottom w:val="single" w:sz="4" w:space="4" w:color="auto"/>
      </w:pBdr>
      <w:rPr>
        <w:rFonts w:ascii="Public Sans" w:hAnsi="Public Sans" w:cs="Arial"/>
        <w:sz w:val="18"/>
        <w:szCs w:val="18"/>
      </w:rPr>
    </w:pPr>
    <w:r w:rsidRPr="00504D1C">
      <w:rPr>
        <w:rFonts w:ascii="Public Sans" w:hAnsi="Public Sans" w:cs="Arial"/>
        <w:sz w:val="18"/>
        <w:szCs w:val="18"/>
      </w:rPr>
      <w:t>Overview</w:t>
    </w:r>
  </w:p>
  <w:p w14:paraId="55EB7B5C" w14:textId="77777777" w:rsidR="0058293B" w:rsidRDefault="005829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F331C" w14:textId="77777777" w:rsidR="005012D4" w:rsidRPr="00B111A8" w:rsidRDefault="005012D4" w:rsidP="0023129E">
    <w:pPr>
      <w:pBdr>
        <w:bottom w:val="single" w:sz="4" w:space="4" w:color="auto"/>
      </w:pBdr>
      <w:jc w:val="right"/>
      <w:rPr>
        <w:rFonts w:ascii="Public Sans" w:hAnsi="Public Sans" w:cs="Arial"/>
        <w:sz w:val="18"/>
        <w:szCs w:val="18"/>
      </w:rPr>
    </w:pPr>
    <w:r w:rsidRPr="00B111A8">
      <w:rPr>
        <w:rFonts w:ascii="Public Sans" w:hAnsi="Public Sans" w:cs="Arial"/>
        <w:sz w:val="18"/>
        <w:szCs w:val="18"/>
      </w:rPr>
      <w:t>Overview</w:t>
    </w:r>
  </w:p>
  <w:p w14:paraId="6FB893C2" w14:textId="77777777" w:rsidR="000460C6" w:rsidRDefault="000460C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AEE8B" w14:textId="77777777" w:rsidR="0058293B" w:rsidRDefault="005829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40220"/>
    <w:multiLevelType w:val="hybridMultilevel"/>
    <w:tmpl w:val="06F08EBE"/>
    <w:lvl w:ilvl="0" w:tplc="700C1B56">
      <w:start w:val="1"/>
      <w:numFmt w:val="decimal"/>
      <w:pStyle w:val="Heading1"/>
      <w:lvlText w:val="%1."/>
      <w:lvlJc w:val="left"/>
      <w:pPr>
        <w:ind w:left="708" w:hanging="708"/>
      </w:pPr>
      <w:rPr>
        <w:rFonts w:ascii="Public Sans SemiBold" w:hAnsi="Public Sans SemiBold" w:cs="Arial" w:hint="default"/>
        <w:color w:val="00266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37F13AB"/>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C855A3C"/>
    <w:multiLevelType w:val="hybridMultilevel"/>
    <w:tmpl w:val="A88EECAE"/>
    <w:lvl w:ilvl="0" w:tplc="8B06C622">
      <w:start w:val="1"/>
      <w:numFmt w:val="lowerLetter"/>
      <w:pStyle w:val="BP3Footnote"/>
      <w:lvlText w:val="(%1)"/>
      <w:lvlJc w:val="left"/>
      <w:pPr>
        <w:ind w:left="366" w:hanging="360"/>
      </w:pPr>
      <w:rPr>
        <w:rFonts w:ascii="Public Sans" w:hAnsi="Public Sans" w:cs="Arial" w:hint="default"/>
        <w:b w:val="0"/>
        <w:i w:val="0"/>
        <w:sz w:val="17"/>
        <w:szCs w:val="17"/>
        <w:vertAlign w:val="baseline"/>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3" w15:restartNumberingAfterBreak="0">
    <w:nsid w:val="30653F4D"/>
    <w:multiLevelType w:val="hybridMultilevel"/>
    <w:tmpl w:val="15246EC0"/>
    <w:lvl w:ilvl="0" w:tplc="4C96829A">
      <w:start w:val="1"/>
      <w:numFmt w:val="bullet"/>
      <w:pStyle w:val="BP3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837BDA"/>
    <w:multiLevelType w:val="hybridMultilevel"/>
    <w:tmpl w:val="FFFFFFFF"/>
    <w:lvl w:ilvl="0" w:tplc="298E857A">
      <w:numFmt w:val="bullet"/>
      <w:lvlText w:val=""/>
      <w:lvlJc w:val="left"/>
      <w:pPr>
        <w:ind w:left="866" w:hanging="360"/>
      </w:pPr>
      <w:rPr>
        <w:rFonts w:ascii="Symbol" w:eastAsia="Symbol" w:hAnsi="Symbol" w:cs="Symbol" w:hint="default"/>
        <w:b w:val="0"/>
        <w:bCs w:val="0"/>
        <w:i w:val="0"/>
        <w:iCs w:val="0"/>
        <w:spacing w:val="0"/>
        <w:w w:val="99"/>
        <w:sz w:val="22"/>
        <w:szCs w:val="22"/>
        <w:lang w:val="en-US" w:eastAsia="en-US" w:bidi="ar-SA"/>
      </w:rPr>
    </w:lvl>
    <w:lvl w:ilvl="1" w:tplc="F7C60470">
      <w:numFmt w:val="bullet"/>
      <w:lvlText w:val="•"/>
      <w:lvlJc w:val="left"/>
      <w:pPr>
        <w:ind w:left="1816" w:hanging="360"/>
      </w:pPr>
      <w:rPr>
        <w:rFonts w:hint="default"/>
        <w:lang w:val="en-US" w:eastAsia="en-US" w:bidi="ar-SA"/>
      </w:rPr>
    </w:lvl>
    <w:lvl w:ilvl="2" w:tplc="A454D1BE">
      <w:numFmt w:val="bullet"/>
      <w:lvlText w:val="•"/>
      <w:lvlJc w:val="left"/>
      <w:pPr>
        <w:ind w:left="2772" w:hanging="360"/>
      </w:pPr>
      <w:rPr>
        <w:rFonts w:hint="default"/>
        <w:lang w:val="en-US" w:eastAsia="en-US" w:bidi="ar-SA"/>
      </w:rPr>
    </w:lvl>
    <w:lvl w:ilvl="3" w:tplc="FE72010A">
      <w:numFmt w:val="bullet"/>
      <w:lvlText w:val="•"/>
      <w:lvlJc w:val="left"/>
      <w:pPr>
        <w:ind w:left="3729" w:hanging="360"/>
      </w:pPr>
      <w:rPr>
        <w:rFonts w:hint="default"/>
        <w:lang w:val="en-US" w:eastAsia="en-US" w:bidi="ar-SA"/>
      </w:rPr>
    </w:lvl>
    <w:lvl w:ilvl="4" w:tplc="3F142E08">
      <w:numFmt w:val="bullet"/>
      <w:lvlText w:val="•"/>
      <w:lvlJc w:val="left"/>
      <w:pPr>
        <w:ind w:left="4685" w:hanging="360"/>
      </w:pPr>
      <w:rPr>
        <w:rFonts w:hint="default"/>
        <w:lang w:val="en-US" w:eastAsia="en-US" w:bidi="ar-SA"/>
      </w:rPr>
    </w:lvl>
    <w:lvl w:ilvl="5" w:tplc="7564F8D0">
      <w:numFmt w:val="bullet"/>
      <w:lvlText w:val="•"/>
      <w:lvlJc w:val="left"/>
      <w:pPr>
        <w:ind w:left="5642" w:hanging="360"/>
      </w:pPr>
      <w:rPr>
        <w:rFonts w:hint="default"/>
        <w:lang w:val="en-US" w:eastAsia="en-US" w:bidi="ar-SA"/>
      </w:rPr>
    </w:lvl>
    <w:lvl w:ilvl="6" w:tplc="EF5C4C5C">
      <w:numFmt w:val="bullet"/>
      <w:lvlText w:val="•"/>
      <w:lvlJc w:val="left"/>
      <w:pPr>
        <w:ind w:left="6598" w:hanging="360"/>
      </w:pPr>
      <w:rPr>
        <w:rFonts w:hint="default"/>
        <w:lang w:val="en-US" w:eastAsia="en-US" w:bidi="ar-SA"/>
      </w:rPr>
    </w:lvl>
    <w:lvl w:ilvl="7" w:tplc="B888E774">
      <w:numFmt w:val="bullet"/>
      <w:lvlText w:val="•"/>
      <w:lvlJc w:val="left"/>
      <w:pPr>
        <w:ind w:left="7555" w:hanging="360"/>
      </w:pPr>
      <w:rPr>
        <w:rFonts w:hint="default"/>
        <w:lang w:val="en-US" w:eastAsia="en-US" w:bidi="ar-SA"/>
      </w:rPr>
    </w:lvl>
    <w:lvl w:ilvl="8" w:tplc="E6807C9A">
      <w:numFmt w:val="bullet"/>
      <w:lvlText w:val="•"/>
      <w:lvlJc w:val="left"/>
      <w:pPr>
        <w:ind w:left="8511" w:hanging="360"/>
      </w:pPr>
      <w:rPr>
        <w:rFonts w:hint="default"/>
        <w:lang w:val="en-US" w:eastAsia="en-US" w:bidi="ar-SA"/>
      </w:rPr>
    </w:lvl>
  </w:abstractNum>
  <w:abstractNum w:abstractNumId="5" w15:restartNumberingAfterBreak="0">
    <w:nsid w:val="427F3B45"/>
    <w:multiLevelType w:val="hybridMultilevel"/>
    <w:tmpl w:val="4CE0A356"/>
    <w:lvl w:ilvl="0" w:tplc="AA668836">
      <w:start w:val="1"/>
      <w:numFmt w:val="lowerLetter"/>
      <w:lvlText w:val="(%1)"/>
      <w:lvlJc w:val="left"/>
      <w:pPr>
        <w:ind w:left="360" w:hanging="360"/>
      </w:pPr>
      <w:rPr>
        <w:rFonts w:hint="default"/>
        <w:b w:val="0"/>
        <w:bCs/>
        <w:i w:val="0"/>
        <w:iCs w:val="0"/>
        <w:color w:val="auto"/>
        <w:sz w:val="16"/>
        <w:szCs w:val="16"/>
        <w:vertAlign w:val="superscrip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3D0454C"/>
    <w:multiLevelType w:val="hybridMultilevel"/>
    <w:tmpl w:val="FAE268A2"/>
    <w:lvl w:ilvl="0" w:tplc="90AE11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7566A30"/>
    <w:multiLevelType w:val="hybridMultilevel"/>
    <w:tmpl w:val="190C618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498945A2"/>
    <w:multiLevelType w:val="hybridMultilevel"/>
    <w:tmpl w:val="5AB8A0F6"/>
    <w:lvl w:ilvl="0" w:tplc="A3603518">
      <w:start w:val="4"/>
      <w:numFmt w:val="decimal"/>
      <w:lvlText w:val="%1"/>
      <w:lvlJc w:val="left"/>
      <w:pPr>
        <w:ind w:left="720" w:hanging="360"/>
      </w:pPr>
      <w:rPr>
        <w:rFonts w:hint="default"/>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F5E1517"/>
    <w:multiLevelType w:val="hybridMultilevel"/>
    <w:tmpl w:val="584A7966"/>
    <w:lvl w:ilvl="0" w:tplc="D13A4C5A">
      <w:start w:val="1"/>
      <w:numFmt w:val="decimal"/>
      <w:pStyle w:val="BP3TableHeading"/>
      <w:lvlText w:val="Table 1.%1:"/>
      <w:lvlJc w:val="left"/>
      <w:pPr>
        <w:ind w:left="360" w:hanging="360"/>
      </w:pPr>
      <w:rPr>
        <w:rFonts w:ascii="Arial" w:hAnsi="Arial" w:cs="Arial" w:hint="default"/>
        <w:b w:val="0"/>
        <w:i/>
        <w:caps w:val="0"/>
        <w:color w:val="4F4F4F"/>
        <w:sz w:val="22"/>
        <w:u w:val="none"/>
      </w:rPr>
    </w:lvl>
    <w:lvl w:ilvl="1" w:tplc="0C090019" w:tentative="1">
      <w:start w:val="1"/>
      <w:numFmt w:val="lowerLetter"/>
      <w:lvlText w:val="%2."/>
      <w:lvlJc w:val="left"/>
      <w:pPr>
        <w:ind w:left="-7774" w:hanging="360"/>
      </w:pPr>
    </w:lvl>
    <w:lvl w:ilvl="2" w:tplc="0C09001B" w:tentative="1">
      <w:start w:val="1"/>
      <w:numFmt w:val="lowerRoman"/>
      <w:lvlText w:val="%3."/>
      <w:lvlJc w:val="right"/>
      <w:pPr>
        <w:ind w:left="-7054" w:hanging="180"/>
      </w:pPr>
    </w:lvl>
    <w:lvl w:ilvl="3" w:tplc="0C09000F" w:tentative="1">
      <w:start w:val="1"/>
      <w:numFmt w:val="decimal"/>
      <w:lvlText w:val="%4."/>
      <w:lvlJc w:val="left"/>
      <w:pPr>
        <w:ind w:left="-6334" w:hanging="360"/>
      </w:pPr>
    </w:lvl>
    <w:lvl w:ilvl="4" w:tplc="0C090019" w:tentative="1">
      <w:start w:val="1"/>
      <w:numFmt w:val="lowerLetter"/>
      <w:lvlText w:val="%5."/>
      <w:lvlJc w:val="left"/>
      <w:pPr>
        <w:ind w:left="-5614" w:hanging="360"/>
      </w:pPr>
    </w:lvl>
    <w:lvl w:ilvl="5" w:tplc="0C09001B" w:tentative="1">
      <w:start w:val="1"/>
      <w:numFmt w:val="lowerRoman"/>
      <w:lvlText w:val="%6."/>
      <w:lvlJc w:val="right"/>
      <w:pPr>
        <w:ind w:left="-4894" w:hanging="180"/>
      </w:pPr>
    </w:lvl>
    <w:lvl w:ilvl="6" w:tplc="0C09000F" w:tentative="1">
      <w:start w:val="1"/>
      <w:numFmt w:val="decimal"/>
      <w:lvlText w:val="%7."/>
      <w:lvlJc w:val="left"/>
      <w:pPr>
        <w:ind w:left="-4174" w:hanging="360"/>
      </w:pPr>
    </w:lvl>
    <w:lvl w:ilvl="7" w:tplc="0C090019" w:tentative="1">
      <w:start w:val="1"/>
      <w:numFmt w:val="lowerLetter"/>
      <w:lvlText w:val="%8."/>
      <w:lvlJc w:val="left"/>
      <w:pPr>
        <w:ind w:left="-3454" w:hanging="360"/>
      </w:pPr>
    </w:lvl>
    <w:lvl w:ilvl="8" w:tplc="0C09001B" w:tentative="1">
      <w:start w:val="1"/>
      <w:numFmt w:val="lowerRoman"/>
      <w:lvlText w:val="%9."/>
      <w:lvlJc w:val="right"/>
      <w:pPr>
        <w:ind w:left="-2734" w:hanging="180"/>
      </w:pPr>
    </w:lvl>
  </w:abstractNum>
  <w:abstractNum w:abstractNumId="10" w15:restartNumberingAfterBreak="0">
    <w:nsid w:val="50656991"/>
    <w:multiLevelType w:val="hybridMultilevel"/>
    <w:tmpl w:val="0E10F394"/>
    <w:lvl w:ilvl="0" w:tplc="298ADE26">
      <w:start w:val="1"/>
      <w:numFmt w:val="decimal"/>
      <w:pStyle w:val="BP3Chartx"/>
      <w:lvlText w:val="Chart 1.%1:"/>
      <w:lvlJc w:val="left"/>
      <w:pPr>
        <w:ind w:left="360" w:hanging="360"/>
      </w:pPr>
      <w:rPr>
        <w:rFonts w:ascii="Arial" w:hAnsi="Arial" w:hint="default"/>
        <w:b w:val="0"/>
        <w:i/>
        <w:caps w:val="0"/>
        <w:color w:val="57514D"/>
        <w:sz w:val="22"/>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2BD70C2"/>
    <w:multiLevelType w:val="hybridMultilevel"/>
    <w:tmpl w:val="577A4FCA"/>
    <w:lvl w:ilvl="0" w:tplc="C100B666">
      <w:start w:val="1"/>
      <w:numFmt w:val="bullet"/>
      <w:lvlText w:val="–"/>
      <w:lvlJc w:val="left"/>
      <w:pPr>
        <w:tabs>
          <w:tab w:val="num" w:pos="785"/>
        </w:tabs>
        <w:ind w:left="785" w:hanging="360"/>
      </w:pPr>
      <w:rPr>
        <w:rFonts w:ascii="Lucida Sans" w:hAnsi="Lucida Sans"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A82011"/>
    <w:multiLevelType w:val="hybridMultilevel"/>
    <w:tmpl w:val="C05C04E2"/>
    <w:lvl w:ilvl="0" w:tplc="9CE0ADE2">
      <w:start w:val="1"/>
      <w:numFmt w:val="decimal"/>
      <w:lvlText w:val="%1."/>
      <w:lvlJc w:val="left"/>
      <w:pPr>
        <w:ind w:left="720" w:hanging="360"/>
      </w:pPr>
    </w:lvl>
    <w:lvl w:ilvl="1" w:tplc="3558BD3A">
      <w:start w:val="1"/>
      <w:numFmt w:val="decimal"/>
      <w:lvlText w:val="%2."/>
      <w:lvlJc w:val="left"/>
      <w:pPr>
        <w:ind w:left="720" w:hanging="360"/>
      </w:pPr>
    </w:lvl>
    <w:lvl w:ilvl="2" w:tplc="F1E0AA2E">
      <w:start w:val="1"/>
      <w:numFmt w:val="decimal"/>
      <w:lvlText w:val="%3."/>
      <w:lvlJc w:val="left"/>
      <w:pPr>
        <w:ind w:left="720" w:hanging="360"/>
      </w:pPr>
    </w:lvl>
    <w:lvl w:ilvl="3" w:tplc="34120E54">
      <w:start w:val="1"/>
      <w:numFmt w:val="decimal"/>
      <w:lvlText w:val="%4."/>
      <w:lvlJc w:val="left"/>
      <w:pPr>
        <w:ind w:left="720" w:hanging="360"/>
      </w:pPr>
    </w:lvl>
    <w:lvl w:ilvl="4" w:tplc="2ED4F2B0">
      <w:start w:val="1"/>
      <w:numFmt w:val="decimal"/>
      <w:lvlText w:val="%5."/>
      <w:lvlJc w:val="left"/>
      <w:pPr>
        <w:ind w:left="720" w:hanging="360"/>
      </w:pPr>
    </w:lvl>
    <w:lvl w:ilvl="5" w:tplc="E40886A2">
      <w:start w:val="1"/>
      <w:numFmt w:val="decimal"/>
      <w:lvlText w:val="%6."/>
      <w:lvlJc w:val="left"/>
      <w:pPr>
        <w:ind w:left="720" w:hanging="360"/>
      </w:pPr>
    </w:lvl>
    <w:lvl w:ilvl="6" w:tplc="7348FD6E">
      <w:start w:val="1"/>
      <w:numFmt w:val="decimal"/>
      <w:lvlText w:val="%7."/>
      <w:lvlJc w:val="left"/>
      <w:pPr>
        <w:ind w:left="720" w:hanging="360"/>
      </w:pPr>
    </w:lvl>
    <w:lvl w:ilvl="7" w:tplc="F1B6681E">
      <w:start w:val="1"/>
      <w:numFmt w:val="decimal"/>
      <w:lvlText w:val="%8."/>
      <w:lvlJc w:val="left"/>
      <w:pPr>
        <w:ind w:left="720" w:hanging="360"/>
      </w:pPr>
    </w:lvl>
    <w:lvl w:ilvl="8" w:tplc="DA266E7C">
      <w:start w:val="1"/>
      <w:numFmt w:val="decimal"/>
      <w:lvlText w:val="%9."/>
      <w:lvlJc w:val="left"/>
      <w:pPr>
        <w:ind w:left="720" w:hanging="360"/>
      </w:pPr>
    </w:lvl>
  </w:abstractNum>
  <w:abstractNum w:abstractNumId="13" w15:restartNumberingAfterBreak="0">
    <w:nsid w:val="5FA7A39A"/>
    <w:multiLevelType w:val="hybridMultilevel"/>
    <w:tmpl w:val="FFFFFFFF"/>
    <w:lvl w:ilvl="0" w:tplc="0D6E7A44">
      <w:start w:val="1"/>
      <w:numFmt w:val="bullet"/>
      <w:lvlText w:val="-"/>
      <w:lvlJc w:val="left"/>
      <w:pPr>
        <w:ind w:left="720" w:hanging="360"/>
      </w:pPr>
      <w:rPr>
        <w:rFonts w:ascii="Calibri" w:hAnsi="Calibri" w:hint="default"/>
      </w:rPr>
    </w:lvl>
    <w:lvl w:ilvl="1" w:tplc="ECCAACF8">
      <w:start w:val="1"/>
      <w:numFmt w:val="bullet"/>
      <w:lvlText w:val="o"/>
      <w:lvlJc w:val="left"/>
      <w:pPr>
        <w:ind w:left="1440" w:hanging="360"/>
      </w:pPr>
      <w:rPr>
        <w:rFonts w:ascii="Courier New" w:hAnsi="Courier New" w:hint="default"/>
      </w:rPr>
    </w:lvl>
    <w:lvl w:ilvl="2" w:tplc="3808F33E">
      <w:start w:val="1"/>
      <w:numFmt w:val="bullet"/>
      <w:lvlText w:val=""/>
      <w:lvlJc w:val="left"/>
      <w:pPr>
        <w:ind w:left="2160" w:hanging="360"/>
      </w:pPr>
      <w:rPr>
        <w:rFonts w:ascii="Wingdings" w:hAnsi="Wingdings" w:hint="default"/>
      </w:rPr>
    </w:lvl>
    <w:lvl w:ilvl="3" w:tplc="59FA6552">
      <w:start w:val="1"/>
      <w:numFmt w:val="bullet"/>
      <w:lvlText w:val=""/>
      <w:lvlJc w:val="left"/>
      <w:pPr>
        <w:ind w:left="2880" w:hanging="360"/>
      </w:pPr>
      <w:rPr>
        <w:rFonts w:ascii="Symbol" w:hAnsi="Symbol" w:hint="default"/>
      </w:rPr>
    </w:lvl>
    <w:lvl w:ilvl="4" w:tplc="5B9CD0FE">
      <w:start w:val="1"/>
      <w:numFmt w:val="bullet"/>
      <w:lvlText w:val="o"/>
      <w:lvlJc w:val="left"/>
      <w:pPr>
        <w:ind w:left="3600" w:hanging="360"/>
      </w:pPr>
      <w:rPr>
        <w:rFonts w:ascii="Courier New" w:hAnsi="Courier New" w:hint="default"/>
      </w:rPr>
    </w:lvl>
    <w:lvl w:ilvl="5" w:tplc="380C90E4">
      <w:start w:val="1"/>
      <w:numFmt w:val="bullet"/>
      <w:lvlText w:val=""/>
      <w:lvlJc w:val="left"/>
      <w:pPr>
        <w:ind w:left="4320" w:hanging="360"/>
      </w:pPr>
      <w:rPr>
        <w:rFonts w:ascii="Wingdings" w:hAnsi="Wingdings" w:hint="default"/>
      </w:rPr>
    </w:lvl>
    <w:lvl w:ilvl="6" w:tplc="06D80936">
      <w:start w:val="1"/>
      <w:numFmt w:val="bullet"/>
      <w:lvlText w:val=""/>
      <w:lvlJc w:val="left"/>
      <w:pPr>
        <w:ind w:left="5040" w:hanging="360"/>
      </w:pPr>
      <w:rPr>
        <w:rFonts w:ascii="Symbol" w:hAnsi="Symbol" w:hint="default"/>
      </w:rPr>
    </w:lvl>
    <w:lvl w:ilvl="7" w:tplc="9C8E71F2">
      <w:start w:val="1"/>
      <w:numFmt w:val="bullet"/>
      <w:lvlText w:val="o"/>
      <w:lvlJc w:val="left"/>
      <w:pPr>
        <w:ind w:left="5760" w:hanging="360"/>
      </w:pPr>
      <w:rPr>
        <w:rFonts w:ascii="Courier New" w:hAnsi="Courier New" w:hint="default"/>
      </w:rPr>
    </w:lvl>
    <w:lvl w:ilvl="8" w:tplc="B3D47EB4">
      <w:start w:val="1"/>
      <w:numFmt w:val="bullet"/>
      <w:lvlText w:val=""/>
      <w:lvlJc w:val="left"/>
      <w:pPr>
        <w:ind w:left="6480" w:hanging="360"/>
      </w:pPr>
      <w:rPr>
        <w:rFonts w:ascii="Wingdings" w:hAnsi="Wingdings" w:hint="default"/>
      </w:rPr>
    </w:lvl>
  </w:abstractNum>
  <w:abstractNum w:abstractNumId="14" w15:restartNumberingAfterBreak="0">
    <w:nsid w:val="6318583F"/>
    <w:multiLevelType w:val="hybridMultilevel"/>
    <w:tmpl w:val="6BBEE0E0"/>
    <w:lvl w:ilvl="0" w:tplc="AC0CE8F4">
      <w:start w:val="1"/>
      <w:numFmt w:val="bullet"/>
      <w:lvlText w:val=""/>
      <w:lvlJc w:val="left"/>
      <w:pPr>
        <w:ind w:left="1440" w:hanging="360"/>
      </w:pPr>
      <w:rPr>
        <w:rFonts w:ascii="Symbol" w:hAnsi="Symbol"/>
      </w:rPr>
    </w:lvl>
    <w:lvl w:ilvl="1" w:tplc="55F4F20E">
      <w:start w:val="1"/>
      <w:numFmt w:val="bullet"/>
      <w:lvlText w:val=""/>
      <w:lvlJc w:val="left"/>
      <w:pPr>
        <w:ind w:left="1440" w:hanging="360"/>
      </w:pPr>
      <w:rPr>
        <w:rFonts w:ascii="Symbol" w:hAnsi="Symbol"/>
      </w:rPr>
    </w:lvl>
    <w:lvl w:ilvl="2" w:tplc="8F0EB64E">
      <w:start w:val="1"/>
      <w:numFmt w:val="bullet"/>
      <w:lvlText w:val=""/>
      <w:lvlJc w:val="left"/>
      <w:pPr>
        <w:ind w:left="1440" w:hanging="360"/>
      </w:pPr>
      <w:rPr>
        <w:rFonts w:ascii="Symbol" w:hAnsi="Symbol"/>
      </w:rPr>
    </w:lvl>
    <w:lvl w:ilvl="3" w:tplc="87C0622E">
      <w:start w:val="1"/>
      <w:numFmt w:val="bullet"/>
      <w:lvlText w:val=""/>
      <w:lvlJc w:val="left"/>
      <w:pPr>
        <w:ind w:left="1440" w:hanging="360"/>
      </w:pPr>
      <w:rPr>
        <w:rFonts w:ascii="Symbol" w:hAnsi="Symbol"/>
      </w:rPr>
    </w:lvl>
    <w:lvl w:ilvl="4" w:tplc="E6FCEF20">
      <w:start w:val="1"/>
      <w:numFmt w:val="bullet"/>
      <w:lvlText w:val=""/>
      <w:lvlJc w:val="left"/>
      <w:pPr>
        <w:ind w:left="1440" w:hanging="360"/>
      </w:pPr>
      <w:rPr>
        <w:rFonts w:ascii="Symbol" w:hAnsi="Symbol"/>
      </w:rPr>
    </w:lvl>
    <w:lvl w:ilvl="5" w:tplc="39D8989E">
      <w:start w:val="1"/>
      <w:numFmt w:val="bullet"/>
      <w:lvlText w:val=""/>
      <w:lvlJc w:val="left"/>
      <w:pPr>
        <w:ind w:left="1440" w:hanging="360"/>
      </w:pPr>
      <w:rPr>
        <w:rFonts w:ascii="Symbol" w:hAnsi="Symbol"/>
      </w:rPr>
    </w:lvl>
    <w:lvl w:ilvl="6" w:tplc="7D803062">
      <w:start w:val="1"/>
      <w:numFmt w:val="bullet"/>
      <w:lvlText w:val=""/>
      <w:lvlJc w:val="left"/>
      <w:pPr>
        <w:ind w:left="1440" w:hanging="360"/>
      </w:pPr>
      <w:rPr>
        <w:rFonts w:ascii="Symbol" w:hAnsi="Symbol"/>
      </w:rPr>
    </w:lvl>
    <w:lvl w:ilvl="7" w:tplc="8610ACE2">
      <w:start w:val="1"/>
      <w:numFmt w:val="bullet"/>
      <w:lvlText w:val=""/>
      <w:lvlJc w:val="left"/>
      <w:pPr>
        <w:ind w:left="1440" w:hanging="360"/>
      </w:pPr>
      <w:rPr>
        <w:rFonts w:ascii="Symbol" w:hAnsi="Symbol"/>
      </w:rPr>
    </w:lvl>
    <w:lvl w:ilvl="8" w:tplc="F7CCEC98">
      <w:start w:val="1"/>
      <w:numFmt w:val="bullet"/>
      <w:lvlText w:val=""/>
      <w:lvlJc w:val="left"/>
      <w:pPr>
        <w:ind w:left="1440" w:hanging="360"/>
      </w:pPr>
      <w:rPr>
        <w:rFonts w:ascii="Symbol" w:hAnsi="Symbol"/>
      </w:rPr>
    </w:lvl>
  </w:abstractNum>
  <w:abstractNum w:abstractNumId="15" w15:restartNumberingAfterBreak="0">
    <w:nsid w:val="64E75030"/>
    <w:multiLevelType w:val="hybridMultilevel"/>
    <w:tmpl w:val="AB7AEA4E"/>
    <w:lvl w:ilvl="0" w:tplc="C90EB190">
      <w:start w:val="1"/>
      <w:numFmt w:val="decimal"/>
      <w:pStyle w:val="BP3Heading2"/>
      <w:lvlText w:val="1.%1"/>
      <w:lvlJc w:val="left"/>
      <w:pPr>
        <w:ind w:left="360" w:hanging="360"/>
      </w:pPr>
      <w:rPr>
        <w:rFonts w:ascii="Public Sans SemiBold" w:hAnsi="Public Sans SemiBold" w:cs="Arial" w:hint="default"/>
        <w:b/>
        <w:i w:val="0"/>
        <w:color w:val="22272B"/>
        <w:sz w:val="28"/>
        <w:u w:val="none" w:color="008EB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56A572E"/>
    <w:multiLevelType w:val="hybridMultilevel"/>
    <w:tmpl w:val="0C22D9F0"/>
    <w:lvl w:ilvl="0" w:tplc="471683FE">
      <w:start w:val="1"/>
      <w:numFmt w:val="decimal"/>
      <w:pStyle w:val="BP3ChartHeading"/>
      <w:lvlText w:val="Chart 1.%1:"/>
      <w:lvlJc w:val="left"/>
      <w:pPr>
        <w:ind w:left="3338" w:hanging="360"/>
      </w:pPr>
      <w:rPr>
        <w:b w:val="0"/>
        <w:bCs w:val="0"/>
        <w:i/>
        <w:iCs/>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4058" w:hanging="360"/>
      </w:pPr>
    </w:lvl>
    <w:lvl w:ilvl="2" w:tplc="0C09001B" w:tentative="1">
      <w:start w:val="1"/>
      <w:numFmt w:val="lowerRoman"/>
      <w:lvlText w:val="%3."/>
      <w:lvlJc w:val="right"/>
      <w:pPr>
        <w:ind w:left="4778" w:hanging="180"/>
      </w:pPr>
    </w:lvl>
    <w:lvl w:ilvl="3" w:tplc="0C09000F" w:tentative="1">
      <w:start w:val="1"/>
      <w:numFmt w:val="decimal"/>
      <w:lvlText w:val="%4."/>
      <w:lvlJc w:val="left"/>
      <w:pPr>
        <w:ind w:left="5498" w:hanging="360"/>
      </w:pPr>
    </w:lvl>
    <w:lvl w:ilvl="4" w:tplc="0C090019" w:tentative="1">
      <w:start w:val="1"/>
      <w:numFmt w:val="lowerLetter"/>
      <w:lvlText w:val="%5."/>
      <w:lvlJc w:val="left"/>
      <w:pPr>
        <w:ind w:left="6218" w:hanging="360"/>
      </w:pPr>
    </w:lvl>
    <w:lvl w:ilvl="5" w:tplc="0C09001B" w:tentative="1">
      <w:start w:val="1"/>
      <w:numFmt w:val="lowerRoman"/>
      <w:lvlText w:val="%6."/>
      <w:lvlJc w:val="right"/>
      <w:pPr>
        <w:ind w:left="6938" w:hanging="180"/>
      </w:pPr>
    </w:lvl>
    <w:lvl w:ilvl="6" w:tplc="0C09000F" w:tentative="1">
      <w:start w:val="1"/>
      <w:numFmt w:val="decimal"/>
      <w:lvlText w:val="%7."/>
      <w:lvlJc w:val="left"/>
      <w:pPr>
        <w:ind w:left="7658" w:hanging="360"/>
      </w:pPr>
    </w:lvl>
    <w:lvl w:ilvl="7" w:tplc="0C090019" w:tentative="1">
      <w:start w:val="1"/>
      <w:numFmt w:val="lowerLetter"/>
      <w:lvlText w:val="%8."/>
      <w:lvlJc w:val="left"/>
      <w:pPr>
        <w:ind w:left="8378" w:hanging="360"/>
      </w:pPr>
    </w:lvl>
    <w:lvl w:ilvl="8" w:tplc="0C09001B" w:tentative="1">
      <w:start w:val="1"/>
      <w:numFmt w:val="lowerRoman"/>
      <w:lvlText w:val="%9."/>
      <w:lvlJc w:val="right"/>
      <w:pPr>
        <w:ind w:left="9098" w:hanging="180"/>
      </w:pPr>
    </w:lvl>
  </w:abstractNum>
  <w:abstractNum w:abstractNumId="17" w15:restartNumberingAfterBreak="0">
    <w:nsid w:val="65DB4DD9"/>
    <w:multiLevelType w:val="hybridMultilevel"/>
    <w:tmpl w:val="39607930"/>
    <w:lvl w:ilvl="0" w:tplc="CB06201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6D6B19"/>
    <w:multiLevelType w:val="hybridMultilevel"/>
    <w:tmpl w:val="C486BAD6"/>
    <w:lvl w:ilvl="0" w:tplc="27323716">
      <w:start w:val="1"/>
      <w:numFmt w:val="bullet"/>
      <w:pStyle w:val="BP3BoxBullet"/>
      <w:lvlText w:val=""/>
      <w:lvlJc w:val="left"/>
      <w:pPr>
        <w:ind w:left="360" w:hanging="360"/>
      </w:pPr>
      <w:rPr>
        <w:rFonts w:ascii="Symbol" w:hAnsi="Symbol" w:hint="default"/>
        <w:color w:val="008EBA"/>
        <w:sz w:val="23"/>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D633B70"/>
    <w:multiLevelType w:val="hybridMultilevel"/>
    <w:tmpl w:val="B2CCD4CC"/>
    <w:lvl w:ilvl="0" w:tplc="4470E85C">
      <w:start w:val="1"/>
      <w:numFmt w:val="decimal"/>
      <w:pStyle w:val="BP3Boxx"/>
      <w:lvlText w:val="Box 1.%1:"/>
      <w:lvlJc w:val="left"/>
      <w:pPr>
        <w:ind w:left="360" w:hanging="360"/>
      </w:pPr>
      <w:rPr>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06474B2"/>
    <w:multiLevelType w:val="hybridMultilevel"/>
    <w:tmpl w:val="4394E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53343B"/>
    <w:multiLevelType w:val="hybridMultilevel"/>
    <w:tmpl w:val="DB0A9F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11714784">
    <w:abstractNumId w:val="2"/>
  </w:num>
  <w:num w:numId="2" w16cid:durableId="1672637759">
    <w:abstractNumId w:val="15"/>
  </w:num>
  <w:num w:numId="3" w16cid:durableId="676924055">
    <w:abstractNumId w:val="16"/>
  </w:num>
  <w:num w:numId="4" w16cid:durableId="245193370">
    <w:abstractNumId w:val="9"/>
  </w:num>
  <w:num w:numId="5" w16cid:durableId="788201744">
    <w:abstractNumId w:val="19"/>
  </w:num>
  <w:num w:numId="6" w16cid:durableId="1625384434">
    <w:abstractNumId w:val="0"/>
  </w:num>
  <w:num w:numId="7" w16cid:durableId="650796480">
    <w:abstractNumId w:val="8"/>
  </w:num>
  <w:num w:numId="8" w16cid:durableId="109016479">
    <w:abstractNumId w:val="11"/>
  </w:num>
  <w:num w:numId="9" w16cid:durableId="270551040">
    <w:abstractNumId w:val="17"/>
  </w:num>
  <w:num w:numId="10" w16cid:durableId="297347668">
    <w:abstractNumId w:val="18"/>
  </w:num>
  <w:num w:numId="11" w16cid:durableId="1730956283">
    <w:abstractNumId w:val="2"/>
    <w:lvlOverride w:ilvl="0">
      <w:startOverride w:val="1"/>
    </w:lvlOverride>
  </w:num>
  <w:num w:numId="12" w16cid:durableId="823660939">
    <w:abstractNumId w:val="2"/>
    <w:lvlOverride w:ilvl="0">
      <w:startOverride w:val="1"/>
    </w:lvlOverride>
  </w:num>
  <w:num w:numId="13" w16cid:durableId="2043355874">
    <w:abstractNumId w:val="2"/>
    <w:lvlOverride w:ilvl="0">
      <w:startOverride w:val="1"/>
    </w:lvlOverride>
  </w:num>
  <w:num w:numId="14" w16cid:durableId="1249535288">
    <w:abstractNumId w:val="2"/>
    <w:lvlOverride w:ilvl="0">
      <w:startOverride w:val="1"/>
    </w:lvlOverride>
  </w:num>
  <w:num w:numId="15" w16cid:durableId="2126341816">
    <w:abstractNumId w:val="2"/>
    <w:lvlOverride w:ilvl="0">
      <w:startOverride w:val="1"/>
    </w:lvlOverride>
  </w:num>
  <w:num w:numId="16" w16cid:durableId="1184901702">
    <w:abstractNumId w:val="10"/>
  </w:num>
  <w:num w:numId="17" w16cid:durableId="463616946">
    <w:abstractNumId w:val="20"/>
  </w:num>
  <w:num w:numId="18" w16cid:durableId="1583029957">
    <w:abstractNumId w:val="14"/>
  </w:num>
  <w:num w:numId="19" w16cid:durableId="1533496243">
    <w:abstractNumId w:val="7"/>
  </w:num>
  <w:num w:numId="20" w16cid:durableId="1184054380">
    <w:abstractNumId w:val="13"/>
  </w:num>
  <w:num w:numId="21" w16cid:durableId="1299921510">
    <w:abstractNumId w:val="12"/>
  </w:num>
  <w:num w:numId="22" w16cid:durableId="1425302046">
    <w:abstractNumId w:val="1"/>
  </w:num>
  <w:num w:numId="23" w16cid:durableId="617444534">
    <w:abstractNumId w:val="3"/>
  </w:num>
  <w:num w:numId="24" w16cid:durableId="2141531204">
    <w:abstractNumId w:val="21"/>
  </w:num>
  <w:num w:numId="25" w16cid:durableId="1623807627">
    <w:abstractNumId w:val="5"/>
  </w:num>
  <w:num w:numId="26" w16cid:durableId="437917325">
    <w:abstractNumId w:val="4"/>
  </w:num>
  <w:num w:numId="27" w16cid:durableId="708454498">
    <w:abstractNumId w:val="15"/>
  </w:num>
  <w:num w:numId="28" w16cid:durableId="608589764">
    <w:abstractNumId w:val="6"/>
  </w:num>
  <w:num w:numId="29" w16cid:durableId="15580428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1134"/>
  <w:evenAndOddHeaders/>
  <w:noPunctuationKerning/>
  <w:characterSpacingControl w:val="doNotCompress"/>
  <w:hdrShapeDefaults>
    <o:shapedefaults v:ext="edit" spidmax="2050"/>
  </w:hdrShapeDefaults>
  <w:footnotePr>
    <w:numStart w:val="2"/>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xMzQyMDExtTQ0sjRU0lEKTi0uzszPAykwrAUAf/dTKywAAAA="/>
  </w:docVars>
  <w:rsids>
    <w:rsidRoot w:val="00854CFE"/>
    <w:rsid w:val="00000229"/>
    <w:rsid w:val="000002A3"/>
    <w:rsid w:val="000003BC"/>
    <w:rsid w:val="0000048F"/>
    <w:rsid w:val="0000055E"/>
    <w:rsid w:val="00000594"/>
    <w:rsid w:val="00000755"/>
    <w:rsid w:val="00000870"/>
    <w:rsid w:val="00000963"/>
    <w:rsid w:val="000009A1"/>
    <w:rsid w:val="00000B19"/>
    <w:rsid w:val="00001012"/>
    <w:rsid w:val="00001053"/>
    <w:rsid w:val="000012C6"/>
    <w:rsid w:val="0000130E"/>
    <w:rsid w:val="00001409"/>
    <w:rsid w:val="0000161B"/>
    <w:rsid w:val="00001623"/>
    <w:rsid w:val="00001655"/>
    <w:rsid w:val="00001B81"/>
    <w:rsid w:val="00001BC4"/>
    <w:rsid w:val="00001F5A"/>
    <w:rsid w:val="00002253"/>
    <w:rsid w:val="000023D8"/>
    <w:rsid w:val="00002640"/>
    <w:rsid w:val="00002697"/>
    <w:rsid w:val="00002784"/>
    <w:rsid w:val="00002A44"/>
    <w:rsid w:val="00002A8F"/>
    <w:rsid w:val="00002AA7"/>
    <w:rsid w:val="00002AF6"/>
    <w:rsid w:val="00002E4B"/>
    <w:rsid w:val="00002F60"/>
    <w:rsid w:val="000032A5"/>
    <w:rsid w:val="00003306"/>
    <w:rsid w:val="00003377"/>
    <w:rsid w:val="00003431"/>
    <w:rsid w:val="00003607"/>
    <w:rsid w:val="00003764"/>
    <w:rsid w:val="00003AE1"/>
    <w:rsid w:val="00003C9A"/>
    <w:rsid w:val="000043CB"/>
    <w:rsid w:val="000044D4"/>
    <w:rsid w:val="000046AF"/>
    <w:rsid w:val="00004927"/>
    <w:rsid w:val="00004989"/>
    <w:rsid w:val="00004B0C"/>
    <w:rsid w:val="00004B81"/>
    <w:rsid w:val="00004C99"/>
    <w:rsid w:val="00004E1D"/>
    <w:rsid w:val="00005017"/>
    <w:rsid w:val="00005059"/>
    <w:rsid w:val="00005107"/>
    <w:rsid w:val="00005236"/>
    <w:rsid w:val="0000533C"/>
    <w:rsid w:val="000054E7"/>
    <w:rsid w:val="00005555"/>
    <w:rsid w:val="00005633"/>
    <w:rsid w:val="00005833"/>
    <w:rsid w:val="000058DE"/>
    <w:rsid w:val="00005B1E"/>
    <w:rsid w:val="00005BA3"/>
    <w:rsid w:val="00005BC7"/>
    <w:rsid w:val="00005C4A"/>
    <w:rsid w:val="00006138"/>
    <w:rsid w:val="0000650F"/>
    <w:rsid w:val="00006559"/>
    <w:rsid w:val="0000678D"/>
    <w:rsid w:val="00006923"/>
    <w:rsid w:val="00006A85"/>
    <w:rsid w:val="00006AC8"/>
    <w:rsid w:val="00006BDE"/>
    <w:rsid w:val="00006C0D"/>
    <w:rsid w:val="00006E76"/>
    <w:rsid w:val="00006ED7"/>
    <w:rsid w:val="00006F14"/>
    <w:rsid w:val="00007222"/>
    <w:rsid w:val="00007A3E"/>
    <w:rsid w:val="00007E9F"/>
    <w:rsid w:val="00007FF1"/>
    <w:rsid w:val="00010302"/>
    <w:rsid w:val="00010455"/>
    <w:rsid w:val="00010457"/>
    <w:rsid w:val="00010689"/>
    <w:rsid w:val="00010732"/>
    <w:rsid w:val="000107D1"/>
    <w:rsid w:val="000107E5"/>
    <w:rsid w:val="0001082A"/>
    <w:rsid w:val="000108E7"/>
    <w:rsid w:val="00010D40"/>
    <w:rsid w:val="00010D8C"/>
    <w:rsid w:val="00010ECC"/>
    <w:rsid w:val="00010F92"/>
    <w:rsid w:val="00010FC3"/>
    <w:rsid w:val="000110CD"/>
    <w:rsid w:val="000111B4"/>
    <w:rsid w:val="0001133A"/>
    <w:rsid w:val="00011505"/>
    <w:rsid w:val="00011554"/>
    <w:rsid w:val="00011574"/>
    <w:rsid w:val="00011675"/>
    <w:rsid w:val="0001181B"/>
    <w:rsid w:val="00011879"/>
    <w:rsid w:val="0001196C"/>
    <w:rsid w:val="000119DD"/>
    <w:rsid w:val="00012061"/>
    <w:rsid w:val="000121AB"/>
    <w:rsid w:val="000123A7"/>
    <w:rsid w:val="0001254B"/>
    <w:rsid w:val="0001260E"/>
    <w:rsid w:val="00012788"/>
    <w:rsid w:val="0001280E"/>
    <w:rsid w:val="00012889"/>
    <w:rsid w:val="000128EE"/>
    <w:rsid w:val="0001297E"/>
    <w:rsid w:val="00012A77"/>
    <w:rsid w:val="00012B9B"/>
    <w:rsid w:val="00012C13"/>
    <w:rsid w:val="00012E0F"/>
    <w:rsid w:val="00013070"/>
    <w:rsid w:val="0001317F"/>
    <w:rsid w:val="00013197"/>
    <w:rsid w:val="000131BE"/>
    <w:rsid w:val="000134F0"/>
    <w:rsid w:val="00013511"/>
    <w:rsid w:val="00013536"/>
    <w:rsid w:val="0001375D"/>
    <w:rsid w:val="000137AA"/>
    <w:rsid w:val="00013874"/>
    <w:rsid w:val="00013889"/>
    <w:rsid w:val="000139B1"/>
    <w:rsid w:val="00013C12"/>
    <w:rsid w:val="00013C24"/>
    <w:rsid w:val="00013F17"/>
    <w:rsid w:val="00013F57"/>
    <w:rsid w:val="00013FFA"/>
    <w:rsid w:val="00014015"/>
    <w:rsid w:val="000140C9"/>
    <w:rsid w:val="00014162"/>
    <w:rsid w:val="000141B6"/>
    <w:rsid w:val="000142C9"/>
    <w:rsid w:val="0001431B"/>
    <w:rsid w:val="00014609"/>
    <w:rsid w:val="00014676"/>
    <w:rsid w:val="000146D2"/>
    <w:rsid w:val="000148CB"/>
    <w:rsid w:val="00014A55"/>
    <w:rsid w:val="00014AD2"/>
    <w:rsid w:val="00014AE9"/>
    <w:rsid w:val="00014E02"/>
    <w:rsid w:val="00015042"/>
    <w:rsid w:val="00015063"/>
    <w:rsid w:val="0001530B"/>
    <w:rsid w:val="0001531F"/>
    <w:rsid w:val="0001539A"/>
    <w:rsid w:val="000153EB"/>
    <w:rsid w:val="0001544B"/>
    <w:rsid w:val="00015686"/>
    <w:rsid w:val="00015760"/>
    <w:rsid w:val="00015804"/>
    <w:rsid w:val="0001584D"/>
    <w:rsid w:val="00015A23"/>
    <w:rsid w:val="00015B68"/>
    <w:rsid w:val="00015BD3"/>
    <w:rsid w:val="00015C35"/>
    <w:rsid w:val="00015CAD"/>
    <w:rsid w:val="00015D09"/>
    <w:rsid w:val="00015E0D"/>
    <w:rsid w:val="00015F01"/>
    <w:rsid w:val="00016167"/>
    <w:rsid w:val="0001622A"/>
    <w:rsid w:val="00016314"/>
    <w:rsid w:val="0001657A"/>
    <w:rsid w:val="000165C2"/>
    <w:rsid w:val="0001685B"/>
    <w:rsid w:val="000168BC"/>
    <w:rsid w:val="00016E4D"/>
    <w:rsid w:val="00016E65"/>
    <w:rsid w:val="00016FD1"/>
    <w:rsid w:val="00017141"/>
    <w:rsid w:val="0001721F"/>
    <w:rsid w:val="0001726B"/>
    <w:rsid w:val="000172DA"/>
    <w:rsid w:val="00017549"/>
    <w:rsid w:val="00017736"/>
    <w:rsid w:val="00017752"/>
    <w:rsid w:val="00017A06"/>
    <w:rsid w:val="00017B94"/>
    <w:rsid w:val="00017D4D"/>
    <w:rsid w:val="00017D86"/>
    <w:rsid w:val="00017F31"/>
    <w:rsid w:val="00017F5C"/>
    <w:rsid w:val="0002019F"/>
    <w:rsid w:val="0002020D"/>
    <w:rsid w:val="00020370"/>
    <w:rsid w:val="00020393"/>
    <w:rsid w:val="0002048B"/>
    <w:rsid w:val="00020491"/>
    <w:rsid w:val="000206F6"/>
    <w:rsid w:val="00020768"/>
    <w:rsid w:val="00020957"/>
    <w:rsid w:val="00020D60"/>
    <w:rsid w:val="00021182"/>
    <w:rsid w:val="000211B3"/>
    <w:rsid w:val="0002128C"/>
    <w:rsid w:val="000212B2"/>
    <w:rsid w:val="0002147F"/>
    <w:rsid w:val="0002148E"/>
    <w:rsid w:val="00021501"/>
    <w:rsid w:val="00021538"/>
    <w:rsid w:val="00021696"/>
    <w:rsid w:val="00021BEA"/>
    <w:rsid w:val="00021C55"/>
    <w:rsid w:val="000221A7"/>
    <w:rsid w:val="00022272"/>
    <w:rsid w:val="000224AC"/>
    <w:rsid w:val="0002253E"/>
    <w:rsid w:val="0002260E"/>
    <w:rsid w:val="000227FA"/>
    <w:rsid w:val="000228A8"/>
    <w:rsid w:val="000229B8"/>
    <w:rsid w:val="00022ABE"/>
    <w:rsid w:val="00022ADF"/>
    <w:rsid w:val="00022EE4"/>
    <w:rsid w:val="0002321A"/>
    <w:rsid w:val="00023247"/>
    <w:rsid w:val="00023357"/>
    <w:rsid w:val="000233AD"/>
    <w:rsid w:val="0002364F"/>
    <w:rsid w:val="000236FF"/>
    <w:rsid w:val="00023959"/>
    <w:rsid w:val="000239B0"/>
    <w:rsid w:val="00023A04"/>
    <w:rsid w:val="00023B9F"/>
    <w:rsid w:val="00023CD2"/>
    <w:rsid w:val="00023F5D"/>
    <w:rsid w:val="00024564"/>
    <w:rsid w:val="000245A8"/>
    <w:rsid w:val="000245D8"/>
    <w:rsid w:val="000247FA"/>
    <w:rsid w:val="0002483C"/>
    <w:rsid w:val="0002483E"/>
    <w:rsid w:val="00024930"/>
    <w:rsid w:val="000249DD"/>
    <w:rsid w:val="00024A48"/>
    <w:rsid w:val="00024B91"/>
    <w:rsid w:val="00024C0C"/>
    <w:rsid w:val="00024CBD"/>
    <w:rsid w:val="00024F66"/>
    <w:rsid w:val="00024F8C"/>
    <w:rsid w:val="00024FA8"/>
    <w:rsid w:val="00024FE5"/>
    <w:rsid w:val="00025098"/>
    <w:rsid w:val="00025287"/>
    <w:rsid w:val="000253A2"/>
    <w:rsid w:val="0002542A"/>
    <w:rsid w:val="0002552E"/>
    <w:rsid w:val="00025640"/>
    <w:rsid w:val="00025A35"/>
    <w:rsid w:val="00025AB2"/>
    <w:rsid w:val="00025AF5"/>
    <w:rsid w:val="00025CF8"/>
    <w:rsid w:val="00025DF5"/>
    <w:rsid w:val="00025FFD"/>
    <w:rsid w:val="000262E3"/>
    <w:rsid w:val="00026A1E"/>
    <w:rsid w:val="00026AFC"/>
    <w:rsid w:val="00026BD0"/>
    <w:rsid w:val="00026C8B"/>
    <w:rsid w:val="00026ED5"/>
    <w:rsid w:val="00026FC0"/>
    <w:rsid w:val="000270B3"/>
    <w:rsid w:val="000270EB"/>
    <w:rsid w:val="00027143"/>
    <w:rsid w:val="000273D0"/>
    <w:rsid w:val="000273E3"/>
    <w:rsid w:val="00027429"/>
    <w:rsid w:val="00027452"/>
    <w:rsid w:val="00027762"/>
    <w:rsid w:val="00027777"/>
    <w:rsid w:val="000277AE"/>
    <w:rsid w:val="000277B9"/>
    <w:rsid w:val="0002781A"/>
    <w:rsid w:val="00027903"/>
    <w:rsid w:val="0002798C"/>
    <w:rsid w:val="00027B04"/>
    <w:rsid w:val="00027B21"/>
    <w:rsid w:val="00027CBE"/>
    <w:rsid w:val="000300A8"/>
    <w:rsid w:val="000303E9"/>
    <w:rsid w:val="0003048B"/>
    <w:rsid w:val="0003057A"/>
    <w:rsid w:val="0003064A"/>
    <w:rsid w:val="000306AA"/>
    <w:rsid w:val="0003077E"/>
    <w:rsid w:val="00030A53"/>
    <w:rsid w:val="00030B2A"/>
    <w:rsid w:val="00030B33"/>
    <w:rsid w:val="00030EDF"/>
    <w:rsid w:val="0003106A"/>
    <w:rsid w:val="00031238"/>
    <w:rsid w:val="00031339"/>
    <w:rsid w:val="00031355"/>
    <w:rsid w:val="000315A1"/>
    <w:rsid w:val="000315AB"/>
    <w:rsid w:val="000316D5"/>
    <w:rsid w:val="00031709"/>
    <w:rsid w:val="00031722"/>
    <w:rsid w:val="00031735"/>
    <w:rsid w:val="0003174C"/>
    <w:rsid w:val="00031B62"/>
    <w:rsid w:val="00031E56"/>
    <w:rsid w:val="00031FF4"/>
    <w:rsid w:val="0003203D"/>
    <w:rsid w:val="00032367"/>
    <w:rsid w:val="00032633"/>
    <w:rsid w:val="000326E1"/>
    <w:rsid w:val="00032701"/>
    <w:rsid w:val="0003284F"/>
    <w:rsid w:val="000329DA"/>
    <w:rsid w:val="00032AD6"/>
    <w:rsid w:val="00032B3B"/>
    <w:rsid w:val="00032B60"/>
    <w:rsid w:val="00032CA3"/>
    <w:rsid w:val="00032D1B"/>
    <w:rsid w:val="00032E2A"/>
    <w:rsid w:val="00032EED"/>
    <w:rsid w:val="000330B2"/>
    <w:rsid w:val="0003312A"/>
    <w:rsid w:val="00033170"/>
    <w:rsid w:val="000332D4"/>
    <w:rsid w:val="000334B7"/>
    <w:rsid w:val="00033579"/>
    <w:rsid w:val="0003358B"/>
    <w:rsid w:val="000335E9"/>
    <w:rsid w:val="0003380B"/>
    <w:rsid w:val="000339B4"/>
    <w:rsid w:val="00033A80"/>
    <w:rsid w:val="00033C28"/>
    <w:rsid w:val="00033D28"/>
    <w:rsid w:val="00033DB1"/>
    <w:rsid w:val="00033E14"/>
    <w:rsid w:val="00033F50"/>
    <w:rsid w:val="000340C4"/>
    <w:rsid w:val="000340D9"/>
    <w:rsid w:val="000341A6"/>
    <w:rsid w:val="0003426C"/>
    <w:rsid w:val="00034554"/>
    <w:rsid w:val="00034567"/>
    <w:rsid w:val="000345EB"/>
    <w:rsid w:val="00034842"/>
    <w:rsid w:val="00034968"/>
    <w:rsid w:val="00034DA6"/>
    <w:rsid w:val="00034E62"/>
    <w:rsid w:val="00035057"/>
    <w:rsid w:val="00035108"/>
    <w:rsid w:val="0003534D"/>
    <w:rsid w:val="000356BD"/>
    <w:rsid w:val="00035A6E"/>
    <w:rsid w:val="00035D12"/>
    <w:rsid w:val="00035ED7"/>
    <w:rsid w:val="00036065"/>
    <w:rsid w:val="000360F8"/>
    <w:rsid w:val="0003641F"/>
    <w:rsid w:val="00036472"/>
    <w:rsid w:val="0003649E"/>
    <w:rsid w:val="0003664A"/>
    <w:rsid w:val="000367DD"/>
    <w:rsid w:val="00036A58"/>
    <w:rsid w:val="00036B32"/>
    <w:rsid w:val="00036BFA"/>
    <w:rsid w:val="00036D0B"/>
    <w:rsid w:val="00036D15"/>
    <w:rsid w:val="00036F12"/>
    <w:rsid w:val="00036F1C"/>
    <w:rsid w:val="00036F4B"/>
    <w:rsid w:val="0003709A"/>
    <w:rsid w:val="00037236"/>
    <w:rsid w:val="00037327"/>
    <w:rsid w:val="000374DD"/>
    <w:rsid w:val="000375AC"/>
    <w:rsid w:val="000375D1"/>
    <w:rsid w:val="0003761A"/>
    <w:rsid w:val="00037636"/>
    <w:rsid w:val="000377B7"/>
    <w:rsid w:val="00037FA1"/>
    <w:rsid w:val="00040200"/>
    <w:rsid w:val="0004068D"/>
    <w:rsid w:val="00040756"/>
    <w:rsid w:val="00040926"/>
    <w:rsid w:val="00040BB2"/>
    <w:rsid w:val="00040CD4"/>
    <w:rsid w:val="00040EDC"/>
    <w:rsid w:val="00040EE4"/>
    <w:rsid w:val="00040F57"/>
    <w:rsid w:val="0004110A"/>
    <w:rsid w:val="0004116F"/>
    <w:rsid w:val="000411BB"/>
    <w:rsid w:val="00041215"/>
    <w:rsid w:val="000412F4"/>
    <w:rsid w:val="00041326"/>
    <w:rsid w:val="000413F2"/>
    <w:rsid w:val="000414F1"/>
    <w:rsid w:val="00041515"/>
    <w:rsid w:val="00041538"/>
    <w:rsid w:val="0004177E"/>
    <w:rsid w:val="000419ED"/>
    <w:rsid w:val="00041A14"/>
    <w:rsid w:val="00041A49"/>
    <w:rsid w:val="00041BAA"/>
    <w:rsid w:val="00041C49"/>
    <w:rsid w:val="00041DF0"/>
    <w:rsid w:val="00041EF3"/>
    <w:rsid w:val="00041F25"/>
    <w:rsid w:val="0004206A"/>
    <w:rsid w:val="00042224"/>
    <w:rsid w:val="000425E2"/>
    <w:rsid w:val="00042A03"/>
    <w:rsid w:val="00042D2C"/>
    <w:rsid w:val="00042EE3"/>
    <w:rsid w:val="00042FF7"/>
    <w:rsid w:val="0004306D"/>
    <w:rsid w:val="00043099"/>
    <w:rsid w:val="00043232"/>
    <w:rsid w:val="0004326D"/>
    <w:rsid w:val="00043289"/>
    <w:rsid w:val="000432D1"/>
    <w:rsid w:val="00043355"/>
    <w:rsid w:val="0004343C"/>
    <w:rsid w:val="00043618"/>
    <w:rsid w:val="00043676"/>
    <w:rsid w:val="00043C73"/>
    <w:rsid w:val="00043DD1"/>
    <w:rsid w:val="00043E83"/>
    <w:rsid w:val="00043F82"/>
    <w:rsid w:val="00043FCF"/>
    <w:rsid w:val="000441FC"/>
    <w:rsid w:val="00044314"/>
    <w:rsid w:val="000443CD"/>
    <w:rsid w:val="0004440F"/>
    <w:rsid w:val="000446D6"/>
    <w:rsid w:val="00044896"/>
    <w:rsid w:val="0004489C"/>
    <w:rsid w:val="000449DB"/>
    <w:rsid w:val="00044D06"/>
    <w:rsid w:val="00044D6A"/>
    <w:rsid w:val="00044FD9"/>
    <w:rsid w:val="000450A1"/>
    <w:rsid w:val="00045160"/>
    <w:rsid w:val="00045272"/>
    <w:rsid w:val="000452F1"/>
    <w:rsid w:val="00045326"/>
    <w:rsid w:val="000453B1"/>
    <w:rsid w:val="0004544F"/>
    <w:rsid w:val="00045A08"/>
    <w:rsid w:val="00045A69"/>
    <w:rsid w:val="00045A6D"/>
    <w:rsid w:val="00045DB2"/>
    <w:rsid w:val="00045F66"/>
    <w:rsid w:val="000460C6"/>
    <w:rsid w:val="000461EA"/>
    <w:rsid w:val="00046268"/>
    <w:rsid w:val="0004649D"/>
    <w:rsid w:val="000465AB"/>
    <w:rsid w:val="00046645"/>
    <w:rsid w:val="000468CF"/>
    <w:rsid w:val="00046979"/>
    <w:rsid w:val="000469CC"/>
    <w:rsid w:val="00046B3B"/>
    <w:rsid w:val="00046B99"/>
    <w:rsid w:val="00046B9F"/>
    <w:rsid w:val="00046BA7"/>
    <w:rsid w:val="00046C86"/>
    <w:rsid w:val="00046F45"/>
    <w:rsid w:val="00047003"/>
    <w:rsid w:val="000470B5"/>
    <w:rsid w:val="00047156"/>
    <w:rsid w:val="0004718F"/>
    <w:rsid w:val="000472EC"/>
    <w:rsid w:val="0004734F"/>
    <w:rsid w:val="00047A05"/>
    <w:rsid w:val="00047A19"/>
    <w:rsid w:val="00047AD7"/>
    <w:rsid w:val="00047BCE"/>
    <w:rsid w:val="00047C55"/>
    <w:rsid w:val="000500C6"/>
    <w:rsid w:val="000500EE"/>
    <w:rsid w:val="0005016D"/>
    <w:rsid w:val="00050179"/>
    <w:rsid w:val="000501BA"/>
    <w:rsid w:val="000503FB"/>
    <w:rsid w:val="00050631"/>
    <w:rsid w:val="00050702"/>
    <w:rsid w:val="0005077A"/>
    <w:rsid w:val="00050A14"/>
    <w:rsid w:val="00050D1C"/>
    <w:rsid w:val="00050FE5"/>
    <w:rsid w:val="00051040"/>
    <w:rsid w:val="00051064"/>
    <w:rsid w:val="000511DF"/>
    <w:rsid w:val="00051355"/>
    <w:rsid w:val="00051444"/>
    <w:rsid w:val="000515EC"/>
    <w:rsid w:val="00051A07"/>
    <w:rsid w:val="00051A3C"/>
    <w:rsid w:val="00051B7F"/>
    <w:rsid w:val="00051D2F"/>
    <w:rsid w:val="00051E92"/>
    <w:rsid w:val="00051F02"/>
    <w:rsid w:val="00051F54"/>
    <w:rsid w:val="0005209D"/>
    <w:rsid w:val="00052110"/>
    <w:rsid w:val="000521BD"/>
    <w:rsid w:val="000521F7"/>
    <w:rsid w:val="00052423"/>
    <w:rsid w:val="000524D8"/>
    <w:rsid w:val="00052501"/>
    <w:rsid w:val="00052582"/>
    <w:rsid w:val="00052740"/>
    <w:rsid w:val="00052797"/>
    <w:rsid w:val="000528E4"/>
    <w:rsid w:val="000529FE"/>
    <w:rsid w:val="00052B5A"/>
    <w:rsid w:val="00052B7C"/>
    <w:rsid w:val="00052BF2"/>
    <w:rsid w:val="00052CBC"/>
    <w:rsid w:val="00052EE9"/>
    <w:rsid w:val="00053140"/>
    <w:rsid w:val="00053359"/>
    <w:rsid w:val="00053463"/>
    <w:rsid w:val="00053491"/>
    <w:rsid w:val="0005387B"/>
    <w:rsid w:val="0005388D"/>
    <w:rsid w:val="00053899"/>
    <w:rsid w:val="00053ABD"/>
    <w:rsid w:val="00053D04"/>
    <w:rsid w:val="00053DA5"/>
    <w:rsid w:val="00053FD7"/>
    <w:rsid w:val="00053FFF"/>
    <w:rsid w:val="0005408A"/>
    <w:rsid w:val="000540F1"/>
    <w:rsid w:val="00054927"/>
    <w:rsid w:val="000549C6"/>
    <w:rsid w:val="00054C62"/>
    <w:rsid w:val="00054E89"/>
    <w:rsid w:val="00054F84"/>
    <w:rsid w:val="00055015"/>
    <w:rsid w:val="0005516C"/>
    <w:rsid w:val="00055268"/>
    <w:rsid w:val="0005529E"/>
    <w:rsid w:val="000553C4"/>
    <w:rsid w:val="00055452"/>
    <w:rsid w:val="0005547C"/>
    <w:rsid w:val="000554ED"/>
    <w:rsid w:val="00055511"/>
    <w:rsid w:val="00055533"/>
    <w:rsid w:val="00055538"/>
    <w:rsid w:val="00055566"/>
    <w:rsid w:val="00055A63"/>
    <w:rsid w:val="00055EF3"/>
    <w:rsid w:val="000561AF"/>
    <w:rsid w:val="000561BA"/>
    <w:rsid w:val="000561F2"/>
    <w:rsid w:val="0005629D"/>
    <w:rsid w:val="000562A8"/>
    <w:rsid w:val="00056414"/>
    <w:rsid w:val="0005646F"/>
    <w:rsid w:val="0005659C"/>
    <w:rsid w:val="0005676A"/>
    <w:rsid w:val="00056990"/>
    <w:rsid w:val="000569A4"/>
    <w:rsid w:val="00056A16"/>
    <w:rsid w:val="00056A37"/>
    <w:rsid w:val="00056AEC"/>
    <w:rsid w:val="00056CA7"/>
    <w:rsid w:val="00056DF2"/>
    <w:rsid w:val="00057030"/>
    <w:rsid w:val="0005705F"/>
    <w:rsid w:val="0005708B"/>
    <w:rsid w:val="00057090"/>
    <w:rsid w:val="000570C0"/>
    <w:rsid w:val="00057388"/>
    <w:rsid w:val="00057550"/>
    <w:rsid w:val="000578F2"/>
    <w:rsid w:val="00057914"/>
    <w:rsid w:val="0005794D"/>
    <w:rsid w:val="00057A1B"/>
    <w:rsid w:val="00057A6E"/>
    <w:rsid w:val="00057B93"/>
    <w:rsid w:val="00057F4C"/>
    <w:rsid w:val="0006000A"/>
    <w:rsid w:val="0006010D"/>
    <w:rsid w:val="00060352"/>
    <w:rsid w:val="0006047A"/>
    <w:rsid w:val="00060868"/>
    <w:rsid w:val="000608CA"/>
    <w:rsid w:val="000608F4"/>
    <w:rsid w:val="00060AAE"/>
    <w:rsid w:val="00060C99"/>
    <w:rsid w:val="00060C9E"/>
    <w:rsid w:val="00060D6F"/>
    <w:rsid w:val="00060ED3"/>
    <w:rsid w:val="00060EEB"/>
    <w:rsid w:val="00060F91"/>
    <w:rsid w:val="0006114D"/>
    <w:rsid w:val="0006148E"/>
    <w:rsid w:val="0006148F"/>
    <w:rsid w:val="000615A7"/>
    <w:rsid w:val="000617DB"/>
    <w:rsid w:val="00061993"/>
    <w:rsid w:val="00061A8C"/>
    <w:rsid w:val="00061C48"/>
    <w:rsid w:val="00061CFA"/>
    <w:rsid w:val="00061D90"/>
    <w:rsid w:val="00061F05"/>
    <w:rsid w:val="00062210"/>
    <w:rsid w:val="000625D1"/>
    <w:rsid w:val="0006265E"/>
    <w:rsid w:val="00062A80"/>
    <w:rsid w:val="00062AFB"/>
    <w:rsid w:val="00062D7C"/>
    <w:rsid w:val="00062DD4"/>
    <w:rsid w:val="00062E04"/>
    <w:rsid w:val="00062E3A"/>
    <w:rsid w:val="000631B3"/>
    <w:rsid w:val="000631B6"/>
    <w:rsid w:val="00063387"/>
    <w:rsid w:val="000633E9"/>
    <w:rsid w:val="0006345E"/>
    <w:rsid w:val="000634C9"/>
    <w:rsid w:val="0006368D"/>
    <w:rsid w:val="0006377B"/>
    <w:rsid w:val="0006391B"/>
    <w:rsid w:val="00063CAF"/>
    <w:rsid w:val="00063D93"/>
    <w:rsid w:val="00063E62"/>
    <w:rsid w:val="00063F34"/>
    <w:rsid w:val="000644B9"/>
    <w:rsid w:val="000645CE"/>
    <w:rsid w:val="0006468A"/>
    <w:rsid w:val="0006499A"/>
    <w:rsid w:val="00065072"/>
    <w:rsid w:val="000650D4"/>
    <w:rsid w:val="000656DD"/>
    <w:rsid w:val="00065B0A"/>
    <w:rsid w:val="00065B67"/>
    <w:rsid w:val="00065BA4"/>
    <w:rsid w:val="00065D61"/>
    <w:rsid w:val="00065D80"/>
    <w:rsid w:val="00065E42"/>
    <w:rsid w:val="00065E5F"/>
    <w:rsid w:val="00065EA2"/>
    <w:rsid w:val="00065EB8"/>
    <w:rsid w:val="00065EDA"/>
    <w:rsid w:val="0006601E"/>
    <w:rsid w:val="000660E1"/>
    <w:rsid w:val="000661E5"/>
    <w:rsid w:val="00066223"/>
    <w:rsid w:val="000662F2"/>
    <w:rsid w:val="000663BD"/>
    <w:rsid w:val="000666C5"/>
    <w:rsid w:val="000666F7"/>
    <w:rsid w:val="00066765"/>
    <w:rsid w:val="000667AE"/>
    <w:rsid w:val="00066BAC"/>
    <w:rsid w:val="00066D62"/>
    <w:rsid w:val="00067084"/>
    <w:rsid w:val="00067124"/>
    <w:rsid w:val="0006715F"/>
    <w:rsid w:val="000671C8"/>
    <w:rsid w:val="000671CD"/>
    <w:rsid w:val="00067233"/>
    <w:rsid w:val="000672E8"/>
    <w:rsid w:val="000673B3"/>
    <w:rsid w:val="00067482"/>
    <w:rsid w:val="000674B8"/>
    <w:rsid w:val="00067637"/>
    <w:rsid w:val="0006768C"/>
    <w:rsid w:val="00067790"/>
    <w:rsid w:val="00067ACB"/>
    <w:rsid w:val="00067B9B"/>
    <w:rsid w:val="00070291"/>
    <w:rsid w:val="00070305"/>
    <w:rsid w:val="00070527"/>
    <w:rsid w:val="00070608"/>
    <w:rsid w:val="00070A9B"/>
    <w:rsid w:val="00070BA3"/>
    <w:rsid w:val="00070C7C"/>
    <w:rsid w:val="00070E30"/>
    <w:rsid w:val="00070EA6"/>
    <w:rsid w:val="0007105B"/>
    <w:rsid w:val="00071098"/>
    <w:rsid w:val="000710B2"/>
    <w:rsid w:val="0007118A"/>
    <w:rsid w:val="000711F8"/>
    <w:rsid w:val="00071569"/>
    <w:rsid w:val="00071744"/>
    <w:rsid w:val="00071992"/>
    <w:rsid w:val="00071C3A"/>
    <w:rsid w:val="0007217B"/>
    <w:rsid w:val="000723D8"/>
    <w:rsid w:val="00072422"/>
    <w:rsid w:val="0007245C"/>
    <w:rsid w:val="00072621"/>
    <w:rsid w:val="0007269C"/>
    <w:rsid w:val="00072746"/>
    <w:rsid w:val="00072861"/>
    <w:rsid w:val="00072A04"/>
    <w:rsid w:val="00072ABF"/>
    <w:rsid w:val="00072B0A"/>
    <w:rsid w:val="00072B23"/>
    <w:rsid w:val="00072BCD"/>
    <w:rsid w:val="00072C34"/>
    <w:rsid w:val="00072C8F"/>
    <w:rsid w:val="00072CF4"/>
    <w:rsid w:val="00072DA6"/>
    <w:rsid w:val="00072E86"/>
    <w:rsid w:val="00072FAA"/>
    <w:rsid w:val="00073229"/>
    <w:rsid w:val="000732CA"/>
    <w:rsid w:val="00073323"/>
    <w:rsid w:val="00073419"/>
    <w:rsid w:val="000734FF"/>
    <w:rsid w:val="000735C5"/>
    <w:rsid w:val="00073780"/>
    <w:rsid w:val="00073879"/>
    <w:rsid w:val="0007387E"/>
    <w:rsid w:val="000739C4"/>
    <w:rsid w:val="00073ACD"/>
    <w:rsid w:val="00073C45"/>
    <w:rsid w:val="00073DF4"/>
    <w:rsid w:val="00073EA5"/>
    <w:rsid w:val="00073F5E"/>
    <w:rsid w:val="00073F64"/>
    <w:rsid w:val="000740E4"/>
    <w:rsid w:val="0007417D"/>
    <w:rsid w:val="000745C0"/>
    <w:rsid w:val="000745F9"/>
    <w:rsid w:val="00074731"/>
    <w:rsid w:val="00074B42"/>
    <w:rsid w:val="00074C92"/>
    <w:rsid w:val="00074D69"/>
    <w:rsid w:val="00074EDE"/>
    <w:rsid w:val="00074F85"/>
    <w:rsid w:val="000752E6"/>
    <w:rsid w:val="00075358"/>
    <w:rsid w:val="0007547D"/>
    <w:rsid w:val="000757BE"/>
    <w:rsid w:val="0007583A"/>
    <w:rsid w:val="00075A3B"/>
    <w:rsid w:val="00075B27"/>
    <w:rsid w:val="00075D44"/>
    <w:rsid w:val="000760E7"/>
    <w:rsid w:val="00076165"/>
    <w:rsid w:val="000762BA"/>
    <w:rsid w:val="000763A1"/>
    <w:rsid w:val="00076420"/>
    <w:rsid w:val="00076435"/>
    <w:rsid w:val="000767CA"/>
    <w:rsid w:val="00076A44"/>
    <w:rsid w:val="00076B4E"/>
    <w:rsid w:val="00076D35"/>
    <w:rsid w:val="00076FC1"/>
    <w:rsid w:val="00076FE2"/>
    <w:rsid w:val="00077002"/>
    <w:rsid w:val="0007704D"/>
    <w:rsid w:val="0007705F"/>
    <w:rsid w:val="000771B3"/>
    <w:rsid w:val="00077274"/>
    <w:rsid w:val="00077395"/>
    <w:rsid w:val="000777EF"/>
    <w:rsid w:val="000779B3"/>
    <w:rsid w:val="00077A56"/>
    <w:rsid w:val="00077C5C"/>
    <w:rsid w:val="00077DCD"/>
    <w:rsid w:val="0008004D"/>
    <w:rsid w:val="00080137"/>
    <w:rsid w:val="0008019B"/>
    <w:rsid w:val="000801D5"/>
    <w:rsid w:val="00080225"/>
    <w:rsid w:val="000802B3"/>
    <w:rsid w:val="000805AC"/>
    <w:rsid w:val="00080646"/>
    <w:rsid w:val="00080A0D"/>
    <w:rsid w:val="00080B56"/>
    <w:rsid w:val="00080C5C"/>
    <w:rsid w:val="00080CD4"/>
    <w:rsid w:val="00080D55"/>
    <w:rsid w:val="00080DFA"/>
    <w:rsid w:val="00080E31"/>
    <w:rsid w:val="00080F36"/>
    <w:rsid w:val="00080F7D"/>
    <w:rsid w:val="00081031"/>
    <w:rsid w:val="000810D5"/>
    <w:rsid w:val="000811C9"/>
    <w:rsid w:val="00081684"/>
    <w:rsid w:val="000816F1"/>
    <w:rsid w:val="00081902"/>
    <w:rsid w:val="000819C6"/>
    <w:rsid w:val="00081C69"/>
    <w:rsid w:val="00081E37"/>
    <w:rsid w:val="0008208B"/>
    <w:rsid w:val="000820A1"/>
    <w:rsid w:val="0008211B"/>
    <w:rsid w:val="0008215C"/>
    <w:rsid w:val="000822CA"/>
    <w:rsid w:val="0008245B"/>
    <w:rsid w:val="000824E7"/>
    <w:rsid w:val="00082614"/>
    <w:rsid w:val="00082695"/>
    <w:rsid w:val="000826E3"/>
    <w:rsid w:val="00082E3D"/>
    <w:rsid w:val="00082E44"/>
    <w:rsid w:val="00082F86"/>
    <w:rsid w:val="00082FD4"/>
    <w:rsid w:val="00083064"/>
    <w:rsid w:val="000830B5"/>
    <w:rsid w:val="000830BC"/>
    <w:rsid w:val="00083311"/>
    <w:rsid w:val="00083532"/>
    <w:rsid w:val="0008362A"/>
    <w:rsid w:val="0008371E"/>
    <w:rsid w:val="00083757"/>
    <w:rsid w:val="0008382E"/>
    <w:rsid w:val="00083924"/>
    <w:rsid w:val="000839C4"/>
    <w:rsid w:val="00083AD0"/>
    <w:rsid w:val="00083AD4"/>
    <w:rsid w:val="00083C82"/>
    <w:rsid w:val="00083D55"/>
    <w:rsid w:val="00083E15"/>
    <w:rsid w:val="00083F6D"/>
    <w:rsid w:val="00083FC5"/>
    <w:rsid w:val="00084016"/>
    <w:rsid w:val="00084106"/>
    <w:rsid w:val="0008418B"/>
    <w:rsid w:val="00084309"/>
    <w:rsid w:val="000843BE"/>
    <w:rsid w:val="000843ED"/>
    <w:rsid w:val="0008442A"/>
    <w:rsid w:val="0008442C"/>
    <w:rsid w:val="0008456B"/>
    <w:rsid w:val="00084AEA"/>
    <w:rsid w:val="00084B4C"/>
    <w:rsid w:val="00084B53"/>
    <w:rsid w:val="00084BD5"/>
    <w:rsid w:val="00084BD9"/>
    <w:rsid w:val="00084BF8"/>
    <w:rsid w:val="00084CF3"/>
    <w:rsid w:val="00084D6B"/>
    <w:rsid w:val="00084D78"/>
    <w:rsid w:val="00084FF1"/>
    <w:rsid w:val="0008503E"/>
    <w:rsid w:val="00085194"/>
    <w:rsid w:val="00085275"/>
    <w:rsid w:val="000852F0"/>
    <w:rsid w:val="000853F9"/>
    <w:rsid w:val="00085497"/>
    <w:rsid w:val="000854BE"/>
    <w:rsid w:val="0008561E"/>
    <w:rsid w:val="000856EF"/>
    <w:rsid w:val="000857E7"/>
    <w:rsid w:val="00085928"/>
    <w:rsid w:val="000859AA"/>
    <w:rsid w:val="00085A4F"/>
    <w:rsid w:val="00085ACB"/>
    <w:rsid w:val="00085D85"/>
    <w:rsid w:val="00085EB4"/>
    <w:rsid w:val="00085ED1"/>
    <w:rsid w:val="00085F06"/>
    <w:rsid w:val="00085FEA"/>
    <w:rsid w:val="00086019"/>
    <w:rsid w:val="00086032"/>
    <w:rsid w:val="0008623A"/>
    <w:rsid w:val="00086346"/>
    <w:rsid w:val="00086481"/>
    <w:rsid w:val="000866C7"/>
    <w:rsid w:val="00086A7D"/>
    <w:rsid w:val="00086B47"/>
    <w:rsid w:val="00086B72"/>
    <w:rsid w:val="00086C67"/>
    <w:rsid w:val="00086CA9"/>
    <w:rsid w:val="00086CB6"/>
    <w:rsid w:val="00086D12"/>
    <w:rsid w:val="00086D62"/>
    <w:rsid w:val="0008703E"/>
    <w:rsid w:val="000874F8"/>
    <w:rsid w:val="00087574"/>
    <w:rsid w:val="000875AE"/>
    <w:rsid w:val="00087650"/>
    <w:rsid w:val="000876EE"/>
    <w:rsid w:val="000877B0"/>
    <w:rsid w:val="00087976"/>
    <w:rsid w:val="0008798E"/>
    <w:rsid w:val="000879FA"/>
    <w:rsid w:val="00087BCF"/>
    <w:rsid w:val="00087D17"/>
    <w:rsid w:val="00087E88"/>
    <w:rsid w:val="00087EB4"/>
    <w:rsid w:val="00087EC5"/>
    <w:rsid w:val="0009005F"/>
    <w:rsid w:val="00090097"/>
    <w:rsid w:val="0009009B"/>
    <w:rsid w:val="0009013C"/>
    <w:rsid w:val="0009014E"/>
    <w:rsid w:val="000902C1"/>
    <w:rsid w:val="000902F9"/>
    <w:rsid w:val="00090455"/>
    <w:rsid w:val="0009052C"/>
    <w:rsid w:val="00090952"/>
    <w:rsid w:val="00090954"/>
    <w:rsid w:val="00090DA1"/>
    <w:rsid w:val="00090EC4"/>
    <w:rsid w:val="00090EF0"/>
    <w:rsid w:val="00090FAE"/>
    <w:rsid w:val="00091239"/>
    <w:rsid w:val="000912E2"/>
    <w:rsid w:val="00091381"/>
    <w:rsid w:val="000913AF"/>
    <w:rsid w:val="000913F8"/>
    <w:rsid w:val="00091529"/>
    <w:rsid w:val="00091561"/>
    <w:rsid w:val="000919D3"/>
    <w:rsid w:val="00091E16"/>
    <w:rsid w:val="00091E51"/>
    <w:rsid w:val="00091EC4"/>
    <w:rsid w:val="0009205B"/>
    <w:rsid w:val="00092360"/>
    <w:rsid w:val="0009236A"/>
    <w:rsid w:val="000923CA"/>
    <w:rsid w:val="000923D3"/>
    <w:rsid w:val="00092411"/>
    <w:rsid w:val="00092608"/>
    <w:rsid w:val="00092699"/>
    <w:rsid w:val="000926B6"/>
    <w:rsid w:val="0009271A"/>
    <w:rsid w:val="000927C5"/>
    <w:rsid w:val="00092894"/>
    <w:rsid w:val="00092898"/>
    <w:rsid w:val="00092B3F"/>
    <w:rsid w:val="00092C30"/>
    <w:rsid w:val="00092CC8"/>
    <w:rsid w:val="00092D45"/>
    <w:rsid w:val="00092DD5"/>
    <w:rsid w:val="00092DE6"/>
    <w:rsid w:val="00093031"/>
    <w:rsid w:val="000933B6"/>
    <w:rsid w:val="000933DA"/>
    <w:rsid w:val="000933E3"/>
    <w:rsid w:val="0009341D"/>
    <w:rsid w:val="000937CB"/>
    <w:rsid w:val="00093855"/>
    <w:rsid w:val="000938E6"/>
    <w:rsid w:val="00093971"/>
    <w:rsid w:val="00093A19"/>
    <w:rsid w:val="00093CA0"/>
    <w:rsid w:val="00093FB4"/>
    <w:rsid w:val="00094019"/>
    <w:rsid w:val="000940BE"/>
    <w:rsid w:val="00094131"/>
    <w:rsid w:val="000941A2"/>
    <w:rsid w:val="000943CE"/>
    <w:rsid w:val="000944BF"/>
    <w:rsid w:val="000945D3"/>
    <w:rsid w:val="0009466A"/>
    <w:rsid w:val="000947EC"/>
    <w:rsid w:val="00094983"/>
    <w:rsid w:val="000949C9"/>
    <w:rsid w:val="00094A8D"/>
    <w:rsid w:val="00094AB9"/>
    <w:rsid w:val="00094B17"/>
    <w:rsid w:val="00094CCD"/>
    <w:rsid w:val="00094EE3"/>
    <w:rsid w:val="00095104"/>
    <w:rsid w:val="00095255"/>
    <w:rsid w:val="00095264"/>
    <w:rsid w:val="000952AA"/>
    <w:rsid w:val="000954DE"/>
    <w:rsid w:val="000958F9"/>
    <w:rsid w:val="000959DA"/>
    <w:rsid w:val="00095A9C"/>
    <w:rsid w:val="00095B0D"/>
    <w:rsid w:val="00095D91"/>
    <w:rsid w:val="00095E1A"/>
    <w:rsid w:val="00095EC6"/>
    <w:rsid w:val="00096059"/>
    <w:rsid w:val="00096087"/>
    <w:rsid w:val="00096141"/>
    <w:rsid w:val="0009653D"/>
    <w:rsid w:val="000965BB"/>
    <w:rsid w:val="000965E6"/>
    <w:rsid w:val="00096852"/>
    <w:rsid w:val="00096885"/>
    <w:rsid w:val="00096A8F"/>
    <w:rsid w:val="00096C8D"/>
    <w:rsid w:val="00096E45"/>
    <w:rsid w:val="00096F19"/>
    <w:rsid w:val="000971A3"/>
    <w:rsid w:val="0009733A"/>
    <w:rsid w:val="00097420"/>
    <w:rsid w:val="0009749E"/>
    <w:rsid w:val="00097550"/>
    <w:rsid w:val="00097555"/>
    <w:rsid w:val="000975FF"/>
    <w:rsid w:val="000977DB"/>
    <w:rsid w:val="00097834"/>
    <w:rsid w:val="00097926"/>
    <w:rsid w:val="00097F0B"/>
    <w:rsid w:val="00097F6C"/>
    <w:rsid w:val="00097FF6"/>
    <w:rsid w:val="000A016B"/>
    <w:rsid w:val="000A05AB"/>
    <w:rsid w:val="000A05D3"/>
    <w:rsid w:val="000A0622"/>
    <w:rsid w:val="000A06BB"/>
    <w:rsid w:val="000A0800"/>
    <w:rsid w:val="000A0AF2"/>
    <w:rsid w:val="000A0B65"/>
    <w:rsid w:val="000A0C6A"/>
    <w:rsid w:val="000A11BF"/>
    <w:rsid w:val="000A1239"/>
    <w:rsid w:val="000A135A"/>
    <w:rsid w:val="000A1416"/>
    <w:rsid w:val="000A146B"/>
    <w:rsid w:val="000A15B4"/>
    <w:rsid w:val="000A1989"/>
    <w:rsid w:val="000A1A8A"/>
    <w:rsid w:val="000A1D18"/>
    <w:rsid w:val="000A1F36"/>
    <w:rsid w:val="000A208A"/>
    <w:rsid w:val="000A216B"/>
    <w:rsid w:val="000A23E0"/>
    <w:rsid w:val="000A2446"/>
    <w:rsid w:val="000A261A"/>
    <w:rsid w:val="000A2655"/>
    <w:rsid w:val="000A2659"/>
    <w:rsid w:val="000A26A8"/>
    <w:rsid w:val="000A2935"/>
    <w:rsid w:val="000A2984"/>
    <w:rsid w:val="000A2B73"/>
    <w:rsid w:val="000A2D77"/>
    <w:rsid w:val="000A2E51"/>
    <w:rsid w:val="000A3090"/>
    <w:rsid w:val="000A30B6"/>
    <w:rsid w:val="000A3298"/>
    <w:rsid w:val="000A3539"/>
    <w:rsid w:val="000A358E"/>
    <w:rsid w:val="000A38AD"/>
    <w:rsid w:val="000A399C"/>
    <w:rsid w:val="000A3A33"/>
    <w:rsid w:val="000A3AC7"/>
    <w:rsid w:val="000A3B6C"/>
    <w:rsid w:val="000A3C2E"/>
    <w:rsid w:val="000A3E10"/>
    <w:rsid w:val="000A4270"/>
    <w:rsid w:val="000A4450"/>
    <w:rsid w:val="000A44F5"/>
    <w:rsid w:val="000A47CD"/>
    <w:rsid w:val="000A47E7"/>
    <w:rsid w:val="000A4914"/>
    <w:rsid w:val="000A49D6"/>
    <w:rsid w:val="000A4AB9"/>
    <w:rsid w:val="000A4ACE"/>
    <w:rsid w:val="000A4B32"/>
    <w:rsid w:val="000A4BF7"/>
    <w:rsid w:val="000A4F11"/>
    <w:rsid w:val="000A5096"/>
    <w:rsid w:val="000A5296"/>
    <w:rsid w:val="000A5327"/>
    <w:rsid w:val="000A5344"/>
    <w:rsid w:val="000A53B1"/>
    <w:rsid w:val="000A5490"/>
    <w:rsid w:val="000A5676"/>
    <w:rsid w:val="000A56E4"/>
    <w:rsid w:val="000A5711"/>
    <w:rsid w:val="000A5845"/>
    <w:rsid w:val="000A58FE"/>
    <w:rsid w:val="000A595B"/>
    <w:rsid w:val="000A5B76"/>
    <w:rsid w:val="000A5BB0"/>
    <w:rsid w:val="000A5C01"/>
    <w:rsid w:val="000A5D58"/>
    <w:rsid w:val="000A5E48"/>
    <w:rsid w:val="000A5FE3"/>
    <w:rsid w:val="000A5FEC"/>
    <w:rsid w:val="000A6005"/>
    <w:rsid w:val="000A6117"/>
    <w:rsid w:val="000A61B7"/>
    <w:rsid w:val="000A626C"/>
    <w:rsid w:val="000A6281"/>
    <w:rsid w:val="000A6361"/>
    <w:rsid w:val="000A6449"/>
    <w:rsid w:val="000A647F"/>
    <w:rsid w:val="000A6929"/>
    <w:rsid w:val="000A6EFB"/>
    <w:rsid w:val="000A71E0"/>
    <w:rsid w:val="000A72C0"/>
    <w:rsid w:val="000A731B"/>
    <w:rsid w:val="000A7329"/>
    <w:rsid w:val="000A742E"/>
    <w:rsid w:val="000A7899"/>
    <w:rsid w:val="000A78ED"/>
    <w:rsid w:val="000A7A41"/>
    <w:rsid w:val="000A7BB4"/>
    <w:rsid w:val="000A7CE5"/>
    <w:rsid w:val="000A7FD7"/>
    <w:rsid w:val="000A7FF6"/>
    <w:rsid w:val="000B0358"/>
    <w:rsid w:val="000B0378"/>
    <w:rsid w:val="000B08B3"/>
    <w:rsid w:val="000B0AAF"/>
    <w:rsid w:val="000B0AC8"/>
    <w:rsid w:val="000B1033"/>
    <w:rsid w:val="000B1283"/>
    <w:rsid w:val="000B13CB"/>
    <w:rsid w:val="000B13CE"/>
    <w:rsid w:val="000B14D4"/>
    <w:rsid w:val="000B16AA"/>
    <w:rsid w:val="000B176A"/>
    <w:rsid w:val="000B1806"/>
    <w:rsid w:val="000B1A41"/>
    <w:rsid w:val="000B1BA7"/>
    <w:rsid w:val="000B1BDB"/>
    <w:rsid w:val="000B1BEE"/>
    <w:rsid w:val="000B1C02"/>
    <w:rsid w:val="000B1CE3"/>
    <w:rsid w:val="000B208A"/>
    <w:rsid w:val="000B21CB"/>
    <w:rsid w:val="000B2418"/>
    <w:rsid w:val="000B2827"/>
    <w:rsid w:val="000B29D8"/>
    <w:rsid w:val="000B2A2B"/>
    <w:rsid w:val="000B2AE3"/>
    <w:rsid w:val="000B2CFF"/>
    <w:rsid w:val="000B2EC4"/>
    <w:rsid w:val="000B2F2A"/>
    <w:rsid w:val="000B2F42"/>
    <w:rsid w:val="000B3345"/>
    <w:rsid w:val="000B3453"/>
    <w:rsid w:val="000B3485"/>
    <w:rsid w:val="000B3570"/>
    <w:rsid w:val="000B3780"/>
    <w:rsid w:val="000B3781"/>
    <w:rsid w:val="000B390D"/>
    <w:rsid w:val="000B3B72"/>
    <w:rsid w:val="000B3BF1"/>
    <w:rsid w:val="000B3C7A"/>
    <w:rsid w:val="000B3D51"/>
    <w:rsid w:val="000B3E00"/>
    <w:rsid w:val="000B40FF"/>
    <w:rsid w:val="000B4247"/>
    <w:rsid w:val="000B452B"/>
    <w:rsid w:val="000B4535"/>
    <w:rsid w:val="000B453F"/>
    <w:rsid w:val="000B454D"/>
    <w:rsid w:val="000B4639"/>
    <w:rsid w:val="000B4667"/>
    <w:rsid w:val="000B469A"/>
    <w:rsid w:val="000B49E7"/>
    <w:rsid w:val="000B4B1D"/>
    <w:rsid w:val="000B4B78"/>
    <w:rsid w:val="000B4E39"/>
    <w:rsid w:val="000B4FA6"/>
    <w:rsid w:val="000B5091"/>
    <w:rsid w:val="000B51D1"/>
    <w:rsid w:val="000B5494"/>
    <w:rsid w:val="000B54FF"/>
    <w:rsid w:val="000B56B0"/>
    <w:rsid w:val="000B56E0"/>
    <w:rsid w:val="000B5717"/>
    <w:rsid w:val="000B58E8"/>
    <w:rsid w:val="000B5A80"/>
    <w:rsid w:val="000B634E"/>
    <w:rsid w:val="000B63EF"/>
    <w:rsid w:val="000B6438"/>
    <w:rsid w:val="000B659C"/>
    <w:rsid w:val="000B65C0"/>
    <w:rsid w:val="000B67CA"/>
    <w:rsid w:val="000B6AB5"/>
    <w:rsid w:val="000B6B14"/>
    <w:rsid w:val="000B6BD3"/>
    <w:rsid w:val="000B6C5A"/>
    <w:rsid w:val="000B6CA8"/>
    <w:rsid w:val="000B6E34"/>
    <w:rsid w:val="000B7021"/>
    <w:rsid w:val="000B7063"/>
    <w:rsid w:val="000B7338"/>
    <w:rsid w:val="000B73CA"/>
    <w:rsid w:val="000B75A4"/>
    <w:rsid w:val="000B7654"/>
    <w:rsid w:val="000B772D"/>
    <w:rsid w:val="000B77B9"/>
    <w:rsid w:val="000B7A48"/>
    <w:rsid w:val="000B7B37"/>
    <w:rsid w:val="000B7F3E"/>
    <w:rsid w:val="000C0109"/>
    <w:rsid w:val="000C012E"/>
    <w:rsid w:val="000C01FB"/>
    <w:rsid w:val="000C031C"/>
    <w:rsid w:val="000C047F"/>
    <w:rsid w:val="000C05E0"/>
    <w:rsid w:val="000C0641"/>
    <w:rsid w:val="000C06D1"/>
    <w:rsid w:val="000C0776"/>
    <w:rsid w:val="000C0BF7"/>
    <w:rsid w:val="000C10FF"/>
    <w:rsid w:val="000C1570"/>
    <w:rsid w:val="000C15FC"/>
    <w:rsid w:val="000C1706"/>
    <w:rsid w:val="000C17B3"/>
    <w:rsid w:val="000C183A"/>
    <w:rsid w:val="000C19D8"/>
    <w:rsid w:val="000C1A70"/>
    <w:rsid w:val="000C1A72"/>
    <w:rsid w:val="000C1A75"/>
    <w:rsid w:val="000C1A76"/>
    <w:rsid w:val="000C1DE5"/>
    <w:rsid w:val="000C1F56"/>
    <w:rsid w:val="000C1FA0"/>
    <w:rsid w:val="000C1FF2"/>
    <w:rsid w:val="000C2107"/>
    <w:rsid w:val="000C211E"/>
    <w:rsid w:val="000C2301"/>
    <w:rsid w:val="000C239A"/>
    <w:rsid w:val="000C24B8"/>
    <w:rsid w:val="000C255E"/>
    <w:rsid w:val="000C25B3"/>
    <w:rsid w:val="000C26E6"/>
    <w:rsid w:val="000C271A"/>
    <w:rsid w:val="000C27C0"/>
    <w:rsid w:val="000C2957"/>
    <w:rsid w:val="000C29D7"/>
    <w:rsid w:val="000C2A01"/>
    <w:rsid w:val="000C2BD2"/>
    <w:rsid w:val="000C2C6B"/>
    <w:rsid w:val="000C2F09"/>
    <w:rsid w:val="000C30B1"/>
    <w:rsid w:val="000C30FC"/>
    <w:rsid w:val="000C338F"/>
    <w:rsid w:val="000C3433"/>
    <w:rsid w:val="000C3441"/>
    <w:rsid w:val="000C3807"/>
    <w:rsid w:val="000C381E"/>
    <w:rsid w:val="000C38E5"/>
    <w:rsid w:val="000C3987"/>
    <w:rsid w:val="000C39D5"/>
    <w:rsid w:val="000C3AB0"/>
    <w:rsid w:val="000C3ECD"/>
    <w:rsid w:val="000C3F84"/>
    <w:rsid w:val="000C3F8B"/>
    <w:rsid w:val="000C44D8"/>
    <w:rsid w:val="000C44F1"/>
    <w:rsid w:val="000C451E"/>
    <w:rsid w:val="000C4587"/>
    <w:rsid w:val="000C49C0"/>
    <w:rsid w:val="000C4AFA"/>
    <w:rsid w:val="000C4C8C"/>
    <w:rsid w:val="000C4DBB"/>
    <w:rsid w:val="000C4EBE"/>
    <w:rsid w:val="000C4F15"/>
    <w:rsid w:val="000C4FFB"/>
    <w:rsid w:val="000C5048"/>
    <w:rsid w:val="000C50C6"/>
    <w:rsid w:val="000C510F"/>
    <w:rsid w:val="000C523F"/>
    <w:rsid w:val="000C5257"/>
    <w:rsid w:val="000C5640"/>
    <w:rsid w:val="000C570B"/>
    <w:rsid w:val="000C5830"/>
    <w:rsid w:val="000C5863"/>
    <w:rsid w:val="000C5910"/>
    <w:rsid w:val="000C59A9"/>
    <w:rsid w:val="000C5A8F"/>
    <w:rsid w:val="000C5B65"/>
    <w:rsid w:val="000C5B7F"/>
    <w:rsid w:val="000C5B97"/>
    <w:rsid w:val="000C5DF4"/>
    <w:rsid w:val="000C5E85"/>
    <w:rsid w:val="000C5E97"/>
    <w:rsid w:val="000C5F78"/>
    <w:rsid w:val="000C61E1"/>
    <w:rsid w:val="000C6427"/>
    <w:rsid w:val="000C6515"/>
    <w:rsid w:val="000C65DB"/>
    <w:rsid w:val="000C65EF"/>
    <w:rsid w:val="000C6603"/>
    <w:rsid w:val="000C6627"/>
    <w:rsid w:val="000C6866"/>
    <w:rsid w:val="000C68ED"/>
    <w:rsid w:val="000C6B03"/>
    <w:rsid w:val="000C6B71"/>
    <w:rsid w:val="000C70CC"/>
    <w:rsid w:val="000C717B"/>
    <w:rsid w:val="000C73F4"/>
    <w:rsid w:val="000C7428"/>
    <w:rsid w:val="000C751F"/>
    <w:rsid w:val="000C7846"/>
    <w:rsid w:val="000C794B"/>
    <w:rsid w:val="000C7999"/>
    <w:rsid w:val="000C7A25"/>
    <w:rsid w:val="000C7C0D"/>
    <w:rsid w:val="000C7F04"/>
    <w:rsid w:val="000D02CE"/>
    <w:rsid w:val="000D04B6"/>
    <w:rsid w:val="000D0654"/>
    <w:rsid w:val="000D068F"/>
    <w:rsid w:val="000D076B"/>
    <w:rsid w:val="000D088B"/>
    <w:rsid w:val="000D0A27"/>
    <w:rsid w:val="000D0C6F"/>
    <w:rsid w:val="000D0CBE"/>
    <w:rsid w:val="000D0F55"/>
    <w:rsid w:val="000D1100"/>
    <w:rsid w:val="000D11B1"/>
    <w:rsid w:val="000D11C1"/>
    <w:rsid w:val="000D127D"/>
    <w:rsid w:val="000D1372"/>
    <w:rsid w:val="000D13D6"/>
    <w:rsid w:val="000D14DF"/>
    <w:rsid w:val="000D154A"/>
    <w:rsid w:val="000D1630"/>
    <w:rsid w:val="000D179B"/>
    <w:rsid w:val="000D17C2"/>
    <w:rsid w:val="000D1832"/>
    <w:rsid w:val="000D1887"/>
    <w:rsid w:val="000D1A32"/>
    <w:rsid w:val="000D1B08"/>
    <w:rsid w:val="000D1B43"/>
    <w:rsid w:val="000D1B68"/>
    <w:rsid w:val="000D1CD3"/>
    <w:rsid w:val="000D1CD5"/>
    <w:rsid w:val="000D1DEB"/>
    <w:rsid w:val="000D1DEE"/>
    <w:rsid w:val="000D1EFB"/>
    <w:rsid w:val="000D22CE"/>
    <w:rsid w:val="000D2635"/>
    <w:rsid w:val="000D27A6"/>
    <w:rsid w:val="000D29C6"/>
    <w:rsid w:val="000D2A25"/>
    <w:rsid w:val="000D2A9F"/>
    <w:rsid w:val="000D2EAF"/>
    <w:rsid w:val="000D3007"/>
    <w:rsid w:val="000D31E6"/>
    <w:rsid w:val="000D33E4"/>
    <w:rsid w:val="000D3403"/>
    <w:rsid w:val="000D36CF"/>
    <w:rsid w:val="000D36F8"/>
    <w:rsid w:val="000D383A"/>
    <w:rsid w:val="000D3949"/>
    <w:rsid w:val="000D3B81"/>
    <w:rsid w:val="000D3EFF"/>
    <w:rsid w:val="000D437D"/>
    <w:rsid w:val="000D47FD"/>
    <w:rsid w:val="000D48D0"/>
    <w:rsid w:val="000D49FF"/>
    <w:rsid w:val="000D4B1F"/>
    <w:rsid w:val="000D4BA8"/>
    <w:rsid w:val="000D4E8A"/>
    <w:rsid w:val="000D4EBD"/>
    <w:rsid w:val="000D4F6C"/>
    <w:rsid w:val="000D5129"/>
    <w:rsid w:val="000D5234"/>
    <w:rsid w:val="000D5285"/>
    <w:rsid w:val="000D54F6"/>
    <w:rsid w:val="000D572D"/>
    <w:rsid w:val="000D5731"/>
    <w:rsid w:val="000D574B"/>
    <w:rsid w:val="000D57A7"/>
    <w:rsid w:val="000D5AC8"/>
    <w:rsid w:val="000D5B3F"/>
    <w:rsid w:val="000D5BD6"/>
    <w:rsid w:val="000D5D34"/>
    <w:rsid w:val="000D6263"/>
    <w:rsid w:val="000D63AA"/>
    <w:rsid w:val="000D669A"/>
    <w:rsid w:val="000D67E8"/>
    <w:rsid w:val="000D68AE"/>
    <w:rsid w:val="000D6AD7"/>
    <w:rsid w:val="000D6C2A"/>
    <w:rsid w:val="000D6D58"/>
    <w:rsid w:val="000D704E"/>
    <w:rsid w:val="000D7210"/>
    <w:rsid w:val="000D72A5"/>
    <w:rsid w:val="000D732B"/>
    <w:rsid w:val="000D7680"/>
    <w:rsid w:val="000D76DD"/>
    <w:rsid w:val="000D7806"/>
    <w:rsid w:val="000D78C4"/>
    <w:rsid w:val="000D7B06"/>
    <w:rsid w:val="000D7BB0"/>
    <w:rsid w:val="000D7BD0"/>
    <w:rsid w:val="000D7BFC"/>
    <w:rsid w:val="000E01C8"/>
    <w:rsid w:val="000E0496"/>
    <w:rsid w:val="000E0512"/>
    <w:rsid w:val="000E070D"/>
    <w:rsid w:val="000E0715"/>
    <w:rsid w:val="000E0774"/>
    <w:rsid w:val="000E088F"/>
    <w:rsid w:val="000E0A49"/>
    <w:rsid w:val="000E0B30"/>
    <w:rsid w:val="000E0D18"/>
    <w:rsid w:val="000E0D4D"/>
    <w:rsid w:val="000E0D60"/>
    <w:rsid w:val="000E11BB"/>
    <w:rsid w:val="000E11DC"/>
    <w:rsid w:val="000E12A8"/>
    <w:rsid w:val="000E13CC"/>
    <w:rsid w:val="000E14EA"/>
    <w:rsid w:val="000E173B"/>
    <w:rsid w:val="000E1A0B"/>
    <w:rsid w:val="000E1A28"/>
    <w:rsid w:val="000E1D94"/>
    <w:rsid w:val="000E1E0D"/>
    <w:rsid w:val="000E1F0C"/>
    <w:rsid w:val="000E208C"/>
    <w:rsid w:val="000E21ED"/>
    <w:rsid w:val="000E223D"/>
    <w:rsid w:val="000E227E"/>
    <w:rsid w:val="000E23A9"/>
    <w:rsid w:val="000E2524"/>
    <w:rsid w:val="000E266B"/>
    <w:rsid w:val="000E26E8"/>
    <w:rsid w:val="000E26FF"/>
    <w:rsid w:val="000E283C"/>
    <w:rsid w:val="000E29D1"/>
    <w:rsid w:val="000E29FC"/>
    <w:rsid w:val="000E2B08"/>
    <w:rsid w:val="000E2B0B"/>
    <w:rsid w:val="000E2B22"/>
    <w:rsid w:val="000E2C80"/>
    <w:rsid w:val="000E2FAB"/>
    <w:rsid w:val="000E305F"/>
    <w:rsid w:val="000E309B"/>
    <w:rsid w:val="000E310D"/>
    <w:rsid w:val="000E3479"/>
    <w:rsid w:val="000E354C"/>
    <w:rsid w:val="000E39DB"/>
    <w:rsid w:val="000E3FB7"/>
    <w:rsid w:val="000E3FFF"/>
    <w:rsid w:val="000E4004"/>
    <w:rsid w:val="000E413C"/>
    <w:rsid w:val="000E41C2"/>
    <w:rsid w:val="000E4332"/>
    <w:rsid w:val="000E4425"/>
    <w:rsid w:val="000E4501"/>
    <w:rsid w:val="000E474C"/>
    <w:rsid w:val="000E4917"/>
    <w:rsid w:val="000E4942"/>
    <w:rsid w:val="000E49AD"/>
    <w:rsid w:val="000E49CF"/>
    <w:rsid w:val="000E4C3E"/>
    <w:rsid w:val="000E4D01"/>
    <w:rsid w:val="000E4D1C"/>
    <w:rsid w:val="000E4E0B"/>
    <w:rsid w:val="000E4E43"/>
    <w:rsid w:val="000E5036"/>
    <w:rsid w:val="000E5109"/>
    <w:rsid w:val="000E517A"/>
    <w:rsid w:val="000E523A"/>
    <w:rsid w:val="000E5422"/>
    <w:rsid w:val="000E5573"/>
    <w:rsid w:val="000E56B1"/>
    <w:rsid w:val="000E5914"/>
    <w:rsid w:val="000E5C9A"/>
    <w:rsid w:val="000E5EFD"/>
    <w:rsid w:val="000E63BF"/>
    <w:rsid w:val="000E6418"/>
    <w:rsid w:val="000E645C"/>
    <w:rsid w:val="000E65E3"/>
    <w:rsid w:val="000E6604"/>
    <w:rsid w:val="000E674F"/>
    <w:rsid w:val="000E6A19"/>
    <w:rsid w:val="000E6A20"/>
    <w:rsid w:val="000E6A25"/>
    <w:rsid w:val="000E6B14"/>
    <w:rsid w:val="000E6E89"/>
    <w:rsid w:val="000E6EFB"/>
    <w:rsid w:val="000E6FC2"/>
    <w:rsid w:val="000E742B"/>
    <w:rsid w:val="000E7672"/>
    <w:rsid w:val="000E76D3"/>
    <w:rsid w:val="000E7D6E"/>
    <w:rsid w:val="000E7DD1"/>
    <w:rsid w:val="000E7DDD"/>
    <w:rsid w:val="000F00BB"/>
    <w:rsid w:val="000F019B"/>
    <w:rsid w:val="000F02C5"/>
    <w:rsid w:val="000F03D2"/>
    <w:rsid w:val="000F0423"/>
    <w:rsid w:val="000F0685"/>
    <w:rsid w:val="000F06DA"/>
    <w:rsid w:val="000F06EF"/>
    <w:rsid w:val="000F08CE"/>
    <w:rsid w:val="000F0B80"/>
    <w:rsid w:val="000F0C0A"/>
    <w:rsid w:val="000F0C3A"/>
    <w:rsid w:val="000F0D14"/>
    <w:rsid w:val="000F0D5B"/>
    <w:rsid w:val="000F0D75"/>
    <w:rsid w:val="000F0EF2"/>
    <w:rsid w:val="000F0F04"/>
    <w:rsid w:val="000F10B8"/>
    <w:rsid w:val="000F124A"/>
    <w:rsid w:val="000F128B"/>
    <w:rsid w:val="000F130A"/>
    <w:rsid w:val="000F13AB"/>
    <w:rsid w:val="000F1485"/>
    <w:rsid w:val="000F1496"/>
    <w:rsid w:val="000F1499"/>
    <w:rsid w:val="000F18B8"/>
    <w:rsid w:val="000F18BA"/>
    <w:rsid w:val="000F1C18"/>
    <w:rsid w:val="000F1CBE"/>
    <w:rsid w:val="000F1D2B"/>
    <w:rsid w:val="000F1D5C"/>
    <w:rsid w:val="000F1DE8"/>
    <w:rsid w:val="000F1E1F"/>
    <w:rsid w:val="000F1F01"/>
    <w:rsid w:val="000F1F62"/>
    <w:rsid w:val="000F20A3"/>
    <w:rsid w:val="000F2659"/>
    <w:rsid w:val="000F2866"/>
    <w:rsid w:val="000F28A4"/>
    <w:rsid w:val="000F2913"/>
    <w:rsid w:val="000F29DE"/>
    <w:rsid w:val="000F2CE9"/>
    <w:rsid w:val="000F2DB1"/>
    <w:rsid w:val="000F2E00"/>
    <w:rsid w:val="000F2E4B"/>
    <w:rsid w:val="000F2F1E"/>
    <w:rsid w:val="000F2F97"/>
    <w:rsid w:val="000F3400"/>
    <w:rsid w:val="000F34B4"/>
    <w:rsid w:val="000F3781"/>
    <w:rsid w:val="000F37A3"/>
    <w:rsid w:val="000F39C1"/>
    <w:rsid w:val="000F3A43"/>
    <w:rsid w:val="000F3A77"/>
    <w:rsid w:val="000F3B84"/>
    <w:rsid w:val="000F3B9F"/>
    <w:rsid w:val="000F3D4A"/>
    <w:rsid w:val="000F3F11"/>
    <w:rsid w:val="000F3FAA"/>
    <w:rsid w:val="000F3FCF"/>
    <w:rsid w:val="000F3FD7"/>
    <w:rsid w:val="000F41DF"/>
    <w:rsid w:val="000F439D"/>
    <w:rsid w:val="000F43D1"/>
    <w:rsid w:val="000F43DF"/>
    <w:rsid w:val="000F442C"/>
    <w:rsid w:val="000F45DC"/>
    <w:rsid w:val="000F4775"/>
    <w:rsid w:val="000F47BC"/>
    <w:rsid w:val="000F4B33"/>
    <w:rsid w:val="000F4C76"/>
    <w:rsid w:val="000F4F11"/>
    <w:rsid w:val="000F50D9"/>
    <w:rsid w:val="000F52A7"/>
    <w:rsid w:val="000F53C2"/>
    <w:rsid w:val="000F5417"/>
    <w:rsid w:val="000F5427"/>
    <w:rsid w:val="000F5637"/>
    <w:rsid w:val="000F5765"/>
    <w:rsid w:val="000F5C87"/>
    <w:rsid w:val="000F5CE3"/>
    <w:rsid w:val="000F5F2E"/>
    <w:rsid w:val="000F6026"/>
    <w:rsid w:val="000F602F"/>
    <w:rsid w:val="000F605B"/>
    <w:rsid w:val="000F610C"/>
    <w:rsid w:val="000F61ED"/>
    <w:rsid w:val="000F6352"/>
    <w:rsid w:val="000F63AA"/>
    <w:rsid w:val="000F63EE"/>
    <w:rsid w:val="000F648D"/>
    <w:rsid w:val="000F6554"/>
    <w:rsid w:val="000F6564"/>
    <w:rsid w:val="000F6601"/>
    <w:rsid w:val="000F662D"/>
    <w:rsid w:val="000F6649"/>
    <w:rsid w:val="000F66B6"/>
    <w:rsid w:val="000F6802"/>
    <w:rsid w:val="000F6816"/>
    <w:rsid w:val="000F6983"/>
    <w:rsid w:val="000F6B13"/>
    <w:rsid w:val="000F6B37"/>
    <w:rsid w:val="000F6D5C"/>
    <w:rsid w:val="000F6DDB"/>
    <w:rsid w:val="000F6F5E"/>
    <w:rsid w:val="000F703E"/>
    <w:rsid w:val="000F7117"/>
    <w:rsid w:val="000F749F"/>
    <w:rsid w:val="000F74EE"/>
    <w:rsid w:val="000F753D"/>
    <w:rsid w:val="000F75A3"/>
    <w:rsid w:val="000F75B7"/>
    <w:rsid w:val="000F7B7E"/>
    <w:rsid w:val="000F7C83"/>
    <w:rsid w:val="000F7D1E"/>
    <w:rsid w:val="000F7DE5"/>
    <w:rsid w:val="000F7E94"/>
    <w:rsid w:val="000F7F60"/>
    <w:rsid w:val="000F7F73"/>
    <w:rsid w:val="001000E5"/>
    <w:rsid w:val="00100233"/>
    <w:rsid w:val="001002CA"/>
    <w:rsid w:val="001002DF"/>
    <w:rsid w:val="001002ED"/>
    <w:rsid w:val="001007CD"/>
    <w:rsid w:val="00100B2F"/>
    <w:rsid w:val="00100B50"/>
    <w:rsid w:val="00100C6B"/>
    <w:rsid w:val="00100DA8"/>
    <w:rsid w:val="00100DD7"/>
    <w:rsid w:val="00100F52"/>
    <w:rsid w:val="00101143"/>
    <w:rsid w:val="0010117B"/>
    <w:rsid w:val="001011B6"/>
    <w:rsid w:val="001011FA"/>
    <w:rsid w:val="001014E4"/>
    <w:rsid w:val="00101571"/>
    <w:rsid w:val="00101615"/>
    <w:rsid w:val="0010161B"/>
    <w:rsid w:val="0010167A"/>
    <w:rsid w:val="001019B9"/>
    <w:rsid w:val="00101A82"/>
    <w:rsid w:val="00101B65"/>
    <w:rsid w:val="00101E49"/>
    <w:rsid w:val="00101F55"/>
    <w:rsid w:val="0010204B"/>
    <w:rsid w:val="001024DB"/>
    <w:rsid w:val="0010291B"/>
    <w:rsid w:val="001029D5"/>
    <w:rsid w:val="001029E1"/>
    <w:rsid w:val="00102A3B"/>
    <w:rsid w:val="00102CC4"/>
    <w:rsid w:val="00102DFE"/>
    <w:rsid w:val="00102E0C"/>
    <w:rsid w:val="00102E39"/>
    <w:rsid w:val="00102F2E"/>
    <w:rsid w:val="00103066"/>
    <w:rsid w:val="00103170"/>
    <w:rsid w:val="001031F3"/>
    <w:rsid w:val="001033C9"/>
    <w:rsid w:val="00103523"/>
    <w:rsid w:val="001035C9"/>
    <w:rsid w:val="001035EA"/>
    <w:rsid w:val="001037BC"/>
    <w:rsid w:val="00103DC3"/>
    <w:rsid w:val="00103E43"/>
    <w:rsid w:val="00103E68"/>
    <w:rsid w:val="00103F00"/>
    <w:rsid w:val="00103F10"/>
    <w:rsid w:val="00104308"/>
    <w:rsid w:val="001043A6"/>
    <w:rsid w:val="0010443F"/>
    <w:rsid w:val="00104558"/>
    <w:rsid w:val="00104587"/>
    <w:rsid w:val="00104750"/>
    <w:rsid w:val="001048AD"/>
    <w:rsid w:val="001048CC"/>
    <w:rsid w:val="00104B68"/>
    <w:rsid w:val="00104EED"/>
    <w:rsid w:val="00104FC0"/>
    <w:rsid w:val="00105094"/>
    <w:rsid w:val="0010525F"/>
    <w:rsid w:val="001055DC"/>
    <w:rsid w:val="001055F9"/>
    <w:rsid w:val="0010570F"/>
    <w:rsid w:val="0010575B"/>
    <w:rsid w:val="001059C7"/>
    <w:rsid w:val="00105A3E"/>
    <w:rsid w:val="00105A77"/>
    <w:rsid w:val="00105CB6"/>
    <w:rsid w:val="00105DB1"/>
    <w:rsid w:val="00105E1F"/>
    <w:rsid w:val="00105E67"/>
    <w:rsid w:val="00105FD8"/>
    <w:rsid w:val="0010619F"/>
    <w:rsid w:val="001061FC"/>
    <w:rsid w:val="001062AF"/>
    <w:rsid w:val="001064A2"/>
    <w:rsid w:val="00106551"/>
    <w:rsid w:val="00106652"/>
    <w:rsid w:val="001066C1"/>
    <w:rsid w:val="001067D2"/>
    <w:rsid w:val="00106B80"/>
    <w:rsid w:val="00106FEC"/>
    <w:rsid w:val="00107029"/>
    <w:rsid w:val="0010703E"/>
    <w:rsid w:val="001071C9"/>
    <w:rsid w:val="0010723A"/>
    <w:rsid w:val="00107341"/>
    <w:rsid w:val="001073EC"/>
    <w:rsid w:val="00107478"/>
    <w:rsid w:val="00107567"/>
    <w:rsid w:val="00107584"/>
    <w:rsid w:val="00107669"/>
    <w:rsid w:val="0010771C"/>
    <w:rsid w:val="00107726"/>
    <w:rsid w:val="00107924"/>
    <w:rsid w:val="00107954"/>
    <w:rsid w:val="00107DBA"/>
    <w:rsid w:val="00107E9E"/>
    <w:rsid w:val="00110605"/>
    <w:rsid w:val="00110770"/>
    <w:rsid w:val="00110931"/>
    <w:rsid w:val="001109FF"/>
    <w:rsid w:val="00110AF4"/>
    <w:rsid w:val="00110BFD"/>
    <w:rsid w:val="00110DA1"/>
    <w:rsid w:val="00110E37"/>
    <w:rsid w:val="001113F3"/>
    <w:rsid w:val="0011142F"/>
    <w:rsid w:val="00111460"/>
    <w:rsid w:val="001115B9"/>
    <w:rsid w:val="00111677"/>
    <w:rsid w:val="00111763"/>
    <w:rsid w:val="00111894"/>
    <w:rsid w:val="00111895"/>
    <w:rsid w:val="00111947"/>
    <w:rsid w:val="00111C32"/>
    <w:rsid w:val="00111D3D"/>
    <w:rsid w:val="00111DA0"/>
    <w:rsid w:val="00112014"/>
    <w:rsid w:val="0011210F"/>
    <w:rsid w:val="00112173"/>
    <w:rsid w:val="00112261"/>
    <w:rsid w:val="0011227C"/>
    <w:rsid w:val="001122F0"/>
    <w:rsid w:val="00112304"/>
    <w:rsid w:val="00112481"/>
    <w:rsid w:val="00112620"/>
    <w:rsid w:val="00112697"/>
    <w:rsid w:val="001126DB"/>
    <w:rsid w:val="00112704"/>
    <w:rsid w:val="001127E2"/>
    <w:rsid w:val="001127E9"/>
    <w:rsid w:val="001129E3"/>
    <w:rsid w:val="00112A86"/>
    <w:rsid w:val="00112CEC"/>
    <w:rsid w:val="00112F93"/>
    <w:rsid w:val="00112F9F"/>
    <w:rsid w:val="00113072"/>
    <w:rsid w:val="001131D6"/>
    <w:rsid w:val="001133AC"/>
    <w:rsid w:val="001133F8"/>
    <w:rsid w:val="001134B6"/>
    <w:rsid w:val="001134D4"/>
    <w:rsid w:val="001134DB"/>
    <w:rsid w:val="00113504"/>
    <w:rsid w:val="00113542"/>
    <w:rsid w:val="00113566"/>
    <w:rsid w:val="00113590"/>
    <w:rsid w:val="00113AB4"/>
    <w:rsid w:val="00113DE0"/>
    <w:rsid w:val="00113DFF"/>
    <w:rsid w:val="00113EE9"/>
    <w:rsid w:val="00113FD5"/>
    <w:rsid w:val="00114101"/>
    <w:rsid w:val="00114171"/>
    <w:rsid w:val="00114244"/>
    <w:rsid w:val="0011441C"/>
    <w:rsid w:val="00114468"/>
    <w:rsid w:val="0011451D"/>
    <w:rsid w:val="0011462E"/>
    <w:rsid w:val="0011469B"/>
    <w:rsid w:val="0011481C"/>
    <w:rsid w:val="001148F7"/>
    <w:rsid w:val="00114906"/>
    <w:rsid w:val="00114962"/>
    <w:rsid w:val="00114A24"/>
    <w:rsid w:val="00114B00"/>
    <w:rsid w:val="00114B2C"/>
    <w:rsid w:val="00114D41"/>
    <w:rsid w:val="00114F50"/>
    <w:rsid w:val="00115266"/>
    <w:rsid w:val="0011542B"/>
    <w:rsid w:val="00115507"/>
    <w:rsid w:val="001156CF"/>
    <w:rsid w:val="00115716"/>
    <w:rsid w:val="001157DA"/>
    <w:rsid w:val="001157EB"/>
    <w:rsid w:val="00115954"/>
    <w:rsid w:val="00115975"/>
    <w:rsid w:val="0011599A"/>
    <w:rsid w:val="00115AC3"/>
    <w:rsid w:val="00115D95"/>
    <w:rsid w:val="00115E75"/>
    <w:rsid w:val="00115EBB"/>
    <w:rsid w:val="001161FD"/>
    <w:rsid w:val="00116669"/>
    <w:rsid w:val="001168E0"/>
    <w:rsid w:val="00116A22"/>
    <w:rsid w:val="00116A6D"/>
    <w:rsid w:val="00116C24"/>
    <w:rsid w:val="00116E9B"/>
    <w:rsid w:val="00116ECE"/>
    <w:rsid w:val="00116EDF"/>
    <w:rsid w:val="00116EF2"/>
    <w:rsid w:val="00117096"/>
    <w:rsid w:val="00117188"/>
    <w:rsid w:val="001171C8"/>
    <w:rsid w:val="00117578"/>
    <w:rsid w:val="00117581"/>
    <w:rsid w:val="001175A2"/>
    <w:rsid w:val="001175C2"/>
    <w:rsid w:val="00117641"/>
    <w:rsid w:val="00117727"/>
    <w:rsid w:val="00117A44"/>
    <w:rsid w:val="00117DB4"/>
    <w:rsid w:val="00117E63"/>
    <w:rsid w:val="0012001D"/>
    <w:rsid w:val="00120098"/>
    <w:rsid w:val="0012010E"/>
    <w:rsid w:val="0012022F"/>
    <w:rsid w:val="00120245"/>
    <w:rsid w:val="001202DC"/>
    <w:rsid w:val="001202FA"/>
    <w:rsid w:val="001208D0"/>
    <w:rsid w:val="0012098C"/>
    <w:rsid w:val="001209E1"/>
    <w:rsid w:val="00120A17"/>
    <w:rsid w:val="00120A52"/>
    <w:rsid w:val="00120AFF"/>
    <w:rsid w:val="00120DA3"/>
    <w:rsid w:val="00120DBE"/>
    <w:rsid w:val="00120F26"/>
    <w:rsid w:val="0012111A"/>
    <w:rsid w:val="0012113B"/>
    <w:rsid w:val="0012138C"/>
    <w:rsid w:val="00121568"/>
    <w:rsid w:val="0012191B"/>
    <w:rsid w:val="0012194E"/>
    <w:rsid w:val="00121A26"/>
    <w:rsid w:val="00121CBF"/>
    <w:rsid w:val="00121CC1"/>
    <w:rsid w:val="00121E1E"/>
    <w:rsid w:val="00121EFF"/>
    <w:rsid w:val="00121F48"/>
    <w:rsid w:val="0012213F"/>
    <w:rsid w:val="0012248B"/>
    <w:rsid w:val="00122523"/>
    <w:rsid w:val="001225E5"/>
    <w:rsid w:val="001225FC"/>
    <w:rsid w:val="001226B3"/>
    <w:rsid w:val="00122A10"/>
    <w:rsid w:val="00122AEE"/>
    <w:rsid w:val="00122B5C"/>
    <w:rsid w:val="00122F5F"/>
    <w:rsid w:val="00123008"/>
    <w:rsid w:val="00123175"/>
    <w:rsid w:val="00123448"/>
    <w:rsid w:val="001234C5"/>
    <w:rsid w:val="001234CB"/>
    <w:rsid w:val="0012355E"/>
    <w:rsid w:val="0012361F"/>
    <w:rsid w:val="0012381F"/>
    <w:rsid w:val="001239BB"/>
    <w:rsid w:val="00123B45"/>
    <w:rsid w:val="00123E39"/>
    <w:rsid w:val="00123E5E"/>
    <w:rsid w:val="00123F62"/>
    <w:rsid w:val="00123FC8"/>
    <w:rsid w:val="001241A6"/>
    <w:rsid w:val="0012428A"/>
    <w:rsid w:val="0012428E"/>
    <w:rsid w:val="0012434E"/>
    <w:rsid w:val="001243D3"/>
    <w:rsid w:val="00124691"/>
    <w:rsid w:val="0012495F"/>
    <w:rsid w:val="00124AE3"/>
    <w:rsid w:val="00124BB2"/>
    <w:rsid w:val="00124D4B"/>
    <w:rsid w:val="00124DDC"/>
    <w:rsid w:val="00124DF1"/>
    <w:rsid w:val="00124EAB"/>
    <w:rsid w:val="001252F5"/>
    <w:rsid w:val="0012540B"/>
    <w:rsid w:val="00125476"/>
    <w:rsid w:val="00125510"/>
    <w:rsid w:val="001255B3"/>
    <w:rsid w:val="001257DD"/>
    <w:rsid w:val="00125849"/>
    <w:rsid w:val="001258C0"/>
    <w:rsid w:val="00125B01"/>
    <w:rsid w:val="00125CAA"/>
    <w:rsid w:val="00125D6D"/>
    <w:rsid w:val="00125D70"/>
    <w:rsid w:val="00125E3F"/>
    <w:rsid w:val="00125F64"/>
    <w:rsid w:val="00125FD8"/>
    <w:rsid w:val="00125FDB"/>
    <w:rsid w:val="001261C9"/>
    <w:rsid w:val="00126210"/>
    <w:rsid w:val="0012625F"/>
    <w:rsid w:val="00126339"/>
    <w:rsid w:val="0012648C"/>
    <w:rsid w:val="001264F5"/>
    <w:rsid w:val="0012661E"/>
    <w:rsid w:val="001266D2"/>
    <w:rsid w:val="00126713"/>
    <w:rsid w:val="00126879"/>
    <w:rsid w:val="001268AE"/>
    <w:rsid w:val="001268C2"/>
    <w:rsid w:val="00126A31"/>
    <w:rsid w:val="00126B25"/>
    <w:rsid w:val="00126B68"/>
    <w:rsid w:val="00126D0C"/>
    <w:rsid w:val="00126E4A"/>
    <w:rsid w:val="00126F48"/>
    <w:rsid w:val="00126F94"/>
    <w:rsid w:val="001270A7"/>
    <w:rsid w:val="001272D6"/>
    <w:rsid w:val="001273EC"/>
    <w:rsid w:val="001274A9"/>
    <w:rsid w:val="00127516"/>
    <w:rsid w:val="00127520"/>
    <w:rsid w:val="001275BA"/>
    <w:rsid w:val="0012769E"/>
    <w:rsid w:val="001278AC"/>
    <w:rsid w:val="00127E0B"/>
    <w:rsid w:val="00127E18"/>
    <w:rsid w:val="00127ED8"/>
    <w:rsid w:val="00130049"/>
    <w:rsid w:val="001300AC"/>
    <w:rsid w:val="00130144"/>
    <w:rsid w:val="001303F0"/>
    <w:rsid w:val="001305E7"/>
    <w:rsid w:val="001307B9"/>
    <w:rsid w:val="00130870"/>
    <w:rsid w:val="00130919"/>
    <w:rsid w:val="00130AD4"/>
    <w:rsid w:val="00130B74"/>
    <w:rsid w:val="00130D6D"/>
    <w:rsid w:val="00130DBC"/>
    <w:rsid w:val="00131131"/>
    <w:rsid w:val="0013135D"/>
    <w:rsid w:val="001313C7"/>
    <w:rsid w:val="00131555"/>
    <w:rsid w:val="001318D8"/>
    <w:rsid w:val="0013190B"/>
    <w:rsid w:val="001319F4"/>
    <w:rsid w:val="00131AEB"/>
    <w:rsid w:val="00131C5A"/>
    <w:rsid w:val="00131DE7"/>
    <w:rsid w:val="00131FD1"/>
    <w:rsid w:val="001320C0"/>
    <w:rsid w:val="001322B9"/>
    <w:rsid w:val="00132494"/>
    <w:rsid w:val="0013259A"/>
    <w:rsid w:val="001327BB"/>
    <w:rsid w:val="00132985"/>
    <w:rsid w:val="00132A51"/>
    <w:rsid w:val="00132A61"/>
    <w:rsid w:val="00132A70"/>
    <w:rsid w:val="00132A87"/>
    <w:rsid w:val="00132AF1"/>
    <w:rsid w:val="00132BE8"/>
    <w:rsid w:val="00132E7B"/>
    <w:rsid w:val="00132F4E"/>
    <w:rsid w:val="0013310B"/>
    <w:rsid w:val="0013319B"/>
    <w:rsid w:val="0013320F"/>
    <w:rsid w:val="00133250"/>
    <w:rsid w:val="00133365"/>
    <w:rsid w:val="001333B5"/>
    <w:rsid w:val="0013341F"/>
    <w:rsid w:val="001334E0"/>
    <w:rsid w:val="0013363F"/>
    <w:rsid w:val="001338DD"/>
    <w:rsid w:val="00133B02"/>
    <w:rsid w:val="00133B14"/>
    <w:rsid w:val="00133BF4"/>
    <w:rsid w:val="00133D96"/>
    <w:rsid w:val="00133DEB"/>
    <w:rsid w:val="00133E6A"/>
    <w:rsid w:val="00133F4E"/>
    <w:rsid w:val="00134059"/>
    <w:rsid w:val="001341E0"/>
    <w:rsid w:val="00134313"/>
    <w:rsid w:val="0013462E"/>
    <w:rsid w:val="00134683"/>
    <w:rsid w:val="001347B1"/>
    <w:rsid w:val="00134831"/>
    <w:rsid w:val="00134867"/>
    <w:rsid w:val="00134895"/>
    <w:rsid w:val="00134956"/>
    <w:rsid w:val="00134A3C"/>
    <w:rsid w:val="00134BEB"/>
    <w:rsid w:val="00134D02"/>
    <w:rsid w:val="00134DBD"/>
    <w:rsid w:val="00134EB7"/>
    <w:rsid w:val="00135007"/>
    <w:rsid w:val="0013526B"/>
    <w:rsid w:val="00135385"/>
    <w:rsid w:val="00135434"/>
    <w:rsid w:val="0013545B"/>
    <w:rsid w:val="00135678"/>
    <w:rsid w:val="00135681"/>
    <w:rsid w:val="001356AB"/>
    <w:rsid w:val="00135824"/>
    <w:rsid w:val="0013589C"/>
    <w:rsid w:val="00135935"/>
    <w:rsid w:val="00135949"/>
    <w:rsid w:val="00135E7D"/>
    <w:rsid w:val="00135F2A"/>
    <w:rsid w:val="00135FE1"/>
    <w:rsid w:val="001362C4"/>
    <w:rsid w:val="001364A4"/>
    <w:rsid w:val="00136A09"/>
    <w:rsid w:val="00136A83"/>
    <w:rsid w:val="00136AD2"/>
    <w:rsid w:val="00136B7A"/>
    <w:rsid w:val="00136C45"/>
    <w:rsid w:val="00136DAF"/>
    <w:rsid w:val="00136E24"/>
    <w:rsid w:val="00136F52"/>
    <w:rsid w:val="001375C4"/>
    <w:rsid w:val="00137779"/>
    <w:rsid w:val="001378EA"/>
    <w:rsid w:val="00137903"/>
    <w:rsid w:val="00137A9C"/>
    <w:rsid w:val="00137AA0"/>
    <w:rsid w:val="00137BF5"/>
    <w:rsid w:val="00137C59"/>
    <w:rsid w:val="00137D65"/>
    <w:rsid w:val="00137F6C"/>
    <w:rsid w:val="00140161"/>
    <w:rsid w:val="0014033F"/>
    <w:rsid w:val="001403F6"/>
    <w:rsid w:val="0014040A"/>
    <w:rsid w:val="001404D1"/>
    <w:rsid w:val="00140571"/>
    <w:rsid w:val="00140975"/>
    <w:rsid w:val="001409E6"/>
    <w:rsid w:val="00140A25"/>
    <w:rsid w:val="00140B0E"/>
    <w:rsid w:val="00140C82"/>
    <w:rsid w:val="00140D40"/>
    <w:rsid w:val="00140E47"/>
    <w:rsid w:val="00140E5B"/>
    <w:rsid w:val="00140EF2"/>
    <w:rsid w:val="00140F89"/>
    <w:rsid w:val="00140F98"/>
    <w:rsid w:val="00141010"/>
    <w:rsid w:val="00141219"/>
    <w:rsid w:val="00141573"/>
    <w:rsid w:val="00141647"/>
    <w:rsid w:val="00141694"/>
    <w:rsid w:val="001418CC"/>
    <w:rsid w:val="001418D5"/>
    <w:rsid w:val="001418EC"/>
    <w:rsid w:val="001419AC"/>
    <w:rsid w:val="00141A4F"/>
    <w:rsid w:val="00141A90"/>
    <w:rsid w:val="00141A9D"/>
    <w:rsid w:val="00141AFD"/>
    <w:rsid w:val="00141B76"/>
    <w:rsid w:val="00141D03"/>
    <w:rsid w:val="00141FF9"/>
    <w:rsid w:val="0014214A"/>
    <w:rsid w:val="001422F6"/>
    <w:rsid w:val="001424C4"/>
    <w:rsid w:val="00142A7F"/>
    <w:rsid w:val="00142D34"/>
    <w:rsid w:val="00142F19"/>
    <w:rsid w:val="001430B0"/>
    <w:rsid w:val="001430BD"/>
    <w:rsid w:val="00143333"/>
    <w:rsid w:val="00143363"/>
    <w:rsid w:val="0014338B"/>
    <w:rsid w:val="00143563"/>
    <w:rsid w:val="0014360C"/>
    <w:rsid w:val="001437AE"/>
    <w:rsid w:val="001439A3"/>
    <w:rsid w:val="00143BCA"/>
    <w:rsid w:val="00143D31"/>
    <w:rsid w:val="00143FDD"/>
    <w:rsid w:val="001440A5"/>
    <w:rsid w:val="001440D8"/>
    <w:rsid w:val="00144294"/>
    <w:rsid w:val="0014432B"/>
    <w:rsid w:val="0014433C"/>
    <w:rsid w:val="001443E9"/>
    <w:rsid w:val="0014445B"/>
    <w:rsid w:val="00144553"/>
    <w:rsid w:val="001445B9"/>
    <w:rsid w:val="001445D9"/>
    <w:rsid w:val="001449F5"/>
    <w:rsid w:val="001449FC"/>
    <w:rsid w:val="00144A8D"/>
    <w:rsid w:val="00144C4E"/>
    <w:rsid w:val="00144D48"/>
    <w:rsid w:val="00144E0E"/>
    <w:rsid w:val="00144E26"/>
    <w:rsid w:val="00144EEB"/>
    <w:rsid w:val="00144F02"/>
    <w:rsid w:val="00144F44"/>
    <w:rsid w:val="0014510C"/>
    <w:rsid w:val="001452F3"/>
    <w:rsid w:val="0014545C"/>
    <w:rsid w:val="001454DA"/>
    <w:rsid w:val="0014552E"/>
    <w:rsid w:val="001455AC"/>
    <w:rsid w:val="001457B2"/>
    <w:rsid w:val="001457E5"/>
    <w:rsid w:val="00145801"/>
    <w:rsid w:val="0014580B"/>
    <w:rsid w:val="00145B34"/>
    <w:rsid w:val="00145BD3"/>
    <w:rsid w:val="00145D57"/>
    <w:rsid w:val="00145DE2"/>
    <w:rsid w:val="0014604A"/>
    <w:rsid w:val="00146585"/>
    <w:rsid w:val="001467EA"/>
    <w:rsid w:val="0014685E"/>
    <w:rsid w:val="0014698A"/>
    <w:rsid w:val="00146ADE"/>
    <w:rsid w:val="00146BDD"/>
    <w:rsid w:val="00146C52"/>
    <w:rsid w:val="00146C82"/>
    <w:rsid w:val="00146CED"/>
    <w:rsid w:val="00146D9D"/>
    <w:rsid w:val="00146E7F"/>
    <w:rsid w:val="00146FA1"/>
    <w:rsid w:val="0014700C"/>
    <w:rsid w:val="00147094"/>
    <w:rsid w:val="001472DE"/>
    <w:rsid w:val="0014731C"/>
    <w:rsid w:val="001476AA"/>
    <w:rsid w:val="0014787C"/>
    <w:rsid w:val="00147998"/>
    <w:rsid w:val="00147BC2"/>
    <w:rsid w:val="00147F60"/>
    <w:rsid w:val="00147FD1"/>
    <w:rsid w:val="00147FE9"/>
    <w:rsid w:val="0015009A"/>
    <w:rsid w:val="0015013B"/>
    <w:rsid w:val="0015016C"/>
    <w:rsid w:val="001504B2"/>
    <w:rsid w:val="0015062F"/>
    <w:rsid w:val="00150CE0"/>
    <w:rsid w:val="00150E82"/>
    <w:rsid w:val="00151035"/>
    <w:rsid w:val="00151176"/>
    <w:rsid w:val="00151424"/>
    <w:rsid w:val="001514F6"/>
    <w:rsid w:val="001515AA"/>
    <w:rsid w:val="00151705"/>
    <w:rsid w:val="001517FA"/>
    <w:rsid w:val="00151A7B"/>
    <w:rsid w:val="00151BAB"/>
    <w:rsid w:val="00151BCD"/>
    <w:rsid w:val="00151D6F"/>
    <w:rsid w:val="00151F2B"/>
    <w:rsid w:val="0015221E"/>
    <w:rsid w:val="001526BC"/>
    <w:rsid w:val="00152771"/>
    <w:rsid w:val="001527F7"/>
    <w:rsid w:val="001528AC"/>
    <w:rsid w:val="00152950"/>
    <w:rsid w:val="00152A44"/>
    <w:rsid w:val="00152B21"/>
    <w:rsid w:val="00152E84"/>
    <w:rsid w:val="00152F9E"/>
    <w:rsid w:val="00153145"/>
    <w:rsid w:val="0015323C"/>
    <w:rsid w:val="00153516"/>
    <w:rsid w:val="00153762"/>
    <w:rsid w:val="00153896"/>
    <w:rsid w:val="00153AEA"/>
    <w:rsid w:val="00153C77"/>
    <w:rsid w:val="00154012"/>
    <w:rsid w:val="00154053"/>
    <w:rsid w:val="00154331"/>
    <w:rsid w:val="00154416"/>
    <w:rsid w:val="001544A9"/>
    <w:rsid w:val="001546E4"/>
    <w:rsid w:val="0015470C"/>
    <w:rsid w:val="00154868"/>
    <w:rsid w:val="001548CD"/>
    <w:rsid w:val="0015495F"/>
    <w:rsid w:val="00154EC4"/>
    <w:rsid w:val="00154FF9"/>
    <w:rsid w:val="001551F9"/>
    <w:rsid w:val="0015524F"/>
    <w:rsid w:val="00155363"/>
    <w:rsid w:val="001554D3"/>
    <w:rsid w:val="0015553B"/>
    <w:rsid w:val="001555A0"/>
    <w:rsid w:val="001555F2"/>
    <w:rsid w:val="0015566D"/>
    <w:rsid w:val="0015571D"/>
    <w:rsid w:val="00155A10"/>
    <w:rsid w:val="00155AC9"/>
    <w:rsid w:val="00155B88"/>
    <w:rsid w:val="00155C04"/>
    <w:rsid w:val="00155C62"/>
    <w:rsid w:val="00155EF4"/>
    <w:rsid w:val="001560F5"/>
    <w:rsid w:val="0015610E"/>
    <w:rsid w:val="00156366"/>
    <w:rsid w:val="001563F3"/>
    <w:rsid w:val="00156850"/>
    <w:rsid w:val="00156877"/>
    <w:rsid w:val="001569DC"/>
    <w:rsid w:val="00156AE8"/>
    <w:rsid w:val="00156B7E"/>
    <w:rsid w:val="00156BA2"/>
    <w:rsid w:val="00156C23"/>
    <w:rsid w:val="00156C3B"/>
    <w:rsid w:val="00156C48"/>
    <w:rsid w:val="00156C9D"/>
    <w:rsid w:val="00156D84"/>
    <w:rsid w:val="00156E15"/>
    <w:rsid w:val="0015705C"/>
    <w:rsid w:val="001571E4"/>
    <w:rsid w:val="0015729B"/>
    <w:rsid w:val="001572DD"/>
    <w:rsid w:val="001575E6"/>
    <w:rsid w:val="00157888"/>
    <w:rsid w:val="001578EF"/>
    <w:rsid w:val="00157A9C"/>
    <w:rsid w:val="00157B91"/>
    <w:rsid w:val="00157CF3"/>
    <w:rsid w:val="00157F01"/>
    <w:rsid w:val="00157FCF"/>
    <w:rsid w:val="00160074"/>
    <w:rsid w:val="0016012C"/>
    <w:rsid w:val="0016013A"/>
    <w:rsid w:val="00160357"/>
    <w:rsid w:val="00160666"/>
    <w:rsid w:val="0016066F"/>
    <w:rsid w:val="001608A5"/>
    <w:rsid w:val="0016097C"/>
    <w:rsid w:val="0016099E"/>
    <w:rsid w:val="001609EB"/>
    <w:rsid w:val="00160A92"/>
    <w:rsid w:val="00160AA3"/>
    <w:rsid w:val="00160E9D"/>
    <w:rsid w:val="00160EAF"/>
    <w:rsid w:val="0016105E"/>
    <w:rsid w:val="001610BF"/>
    <w:rsid w:val="001610E5"/>
    <w:rsid w:val="0016118D"/>
    <w:rsid w:val="00161191"/>
    <w:rsid w:val="00161274"/>
    <w:rsid w:val="001614F0"/>
    <w:rsid w:val="001617FA"/>
    <w:rsid w:val="0016186B"/>
    <w:rsid w:val="001618CC"/>
    <w:rsid w:val="001618FB"/>
    <w:rsid w:val="00161A2F"/>
    <w:rsid w:val="00161ABC"/>
    <w:rsid w:val="00161AF1"/>
    <w:rsid w:val="00161B01"/>
    <w:rsid w:val="00161B4B"/>
    <w:rsid w:val="00161BF2"/>
    <w:rsid w:val="00161E2C"/>
    <w:rsid w:val="00161E8C"/>
    <w:rsid w:val="001621DE"/>
    <w:rsid w:val="001624C1"/>
    <w:rsid w:val="001624F2"/>
    <w:rsid w:val="0016267F"/>
    <w:rsid w:val="0016269F"/>
    <w:rsid w:val="00162A48"/>
    <w:rsid w:val="00162B36"/>
    <w:rsid w:val="00162B52"/>
    <w:rsid w:val="00162BE2"/>
    <w:rsid w:val="00162C62"/>
    <w:rsid w:val="00162CC9"/>
    <w:rsid w:val="00162D49"/>
    <w:rsid w:val="00162DEE"/>
    <w:rsid w:val="00162E64"/>
    <w:rsid w:val="001630D2"/>
    <w:rsid w:val="001631B9"/>
    <w:rsid w:val="001632A8"/>
    <w:rsid w:val="001632AE"/>
    <w:rsid w:val="0016333C"/>
    <w:rsid w:val="001633CA"/>
    <w:rsid w:val="0016372B"/>
    <w:rsid w:val="00163811"/>
    <w:rsid w:val="00163833"/>
    <w:rsid w:val="0016394C"/>
    <w:rsid w:val="00163BB4"/>
    <w:rsid w:val="00163BF4"/>
    <w:rsid w:val="00163C2B"/>
    <w:rsid w:val="00163D43"/>
    <w:rsid w:val="00163DD9"/>
    <w:rsid w:val="00163E95"/>
    <w:rsid w:val="0016402A"/>
    <w:rsid w:val="001640E1"/>
    <w:rsid w:val="00164314"/>
    <w:rsid w:val="0016454A"/>
    <w:rsid w:val="001645E6"/>
    <w:rsid w:val="0016481E"/>
    <w:rsid w:val="00164886"/>
    <w:rsid w:val="001648C4"/>
    <w:rsid w:val="00164A08"/>
    <w:rsid w:val="00164A24"/>
    <w:rsid w:val="00164AF5"/>
    <w:rsid w:val="00164C49"/>
    <w:rsid w:val="00164EA1"/>
    <w:rsid w:val="001650CC"/>
    <w:rsid w:val="001651A2"/>
    <w:rsid w:val="001652B8"/>
    <w:rsid w:val="0016536A"/>
    <w:rsid w:val="00165625"/>
    <w:rsid w:val="00165843"/>
    <w:rsid w:val="00165989"/>
    <w:rsid w:val="001659E3"/>
    <w:rsid w:val="00165AA6"/>
    <w:rsid w:val="00165ADE"/>
    <w:rsid w:val="00165B23"/>
    <w:rsid w:val="00165B3E"/>
    <w:rsid w:val="00165B56"/>
    <w:rsid w:val="00165B6B"/>
    <w:rsid w:val="00165CCE"/>
    <w:rsid w:val="00165FF1"/>
    <w:rsid w:val="0016604F"/>
    <w:rsid w:val="00166137"/>
    <w:rsid w:val="001661BC"/>
    <w:rsid w:val="001662A0"/>
    <w:rsid w:val="0016647C"/>
    <w:rsid w:val="001665D7"/>
    <w:rsid w:val="0016664B"/>
    <w:rsid w:val="001666B9"/>
    <w:rsid w:val="0016677C"/>
    <w:rsid w:val="00166AB6"/>
    <w:rsid w:val="00166B32"/>
    <w:rsid w:val="00166BBD"/>
    <w:rsid w:val="00166DF2"/>
    <w:rsid w:val="00166DFD"/>
    <w:rsid w:val="00166E2A"/>
    <w:rsid w:val="00166FB9"/>
    <w:rsid w:val="001672EF"/>
    <w:rsid w:val="001676B7"/>
    <w:rsid w:val="0016777E"/>
    <w:rsid w:val="001677CC"/>
    <w:rsid w:val="00167961"/>
    <w:rsid w:val="00167983"/>
    <w:rsid w:val="001679FE"/>
    <w:rsid w:val="00167ACF"/>
    <w:rsid w:val="00167BF7"/>
    <w:rsid w:val="00167C4A"/>
    <w:rsid w:val="00167CEA"/>
    <w:rsid w:val="00167D49"/>
    <w:rsid w:val="00167D85"/>
    <w:rsid w:val="001700B0"/>
    <w:rsid w:val="00170132"/>
    <w:rsid w:val="0017043B"/>
    <w:rsid w:val="001704F1"/>
    <w:rsid w:val="00170561"/>
    <w:rsid w:val="001705B9"/>
    <w:rsid w:val="0017069E"/>
    <w:rsid w:val="001706B5"/>
    <w:rsid w:val="001708A2"/>
    <w:rsid w:val="001709C0"/>
    <w:rsid w:val="00170AE1"/>
    <w:rsid w:val="001711F4"/>
    <w:rsid w:val="00171373"/>
    <w:rsid w:val="0017138B"/>
    <w:rsid w:val="00171658"/>
    <w:rsid w:val="001717F6"/>
    <w:rsid w:val="00171ABC"/>
    <w:rsid w:val="00171B8A"/>
    <w:rsid w:val="00171D6B"/>
    <w:rsid w:val="00171D74"/>
    <w:rsid w:val="00171E0A"/>
    <w:rsid w:val="00171E0D"/>
    <w:rsid w:val="00171F7C"/>
    <w:rsid w:val="001720AC"/>
    <w:rsid w:val="001721DC"/>
    <w:rsid w:val="00172226"/>
    <w:rsid w:val="0017229C"/>
    <w:rsid w:val="0017236E"/>
    <w:rsid w:val="001723C1"/>
    <w:rsid w:val="0017275F"/>
    <w:rsid w:val="001727BE"/>
    <w:rsid w:val="001729E0"/>
    <w:rsid w:val="00172E96"/>
    <w:rsid w:val="001730F3"/>
    <w:rsid w:val="001731AE"/>
    <w:rsid w:val="001731E2"/>
    <w:rsid w:val="001732FA"/>
    <w:rsid w:val="001736B8"/>
    <w:rsid w:val="00173710"/>
    <w:rsid w:val="0017388F"/>
    <w:rsid w:val="00173995"/>
    <w:rsid w:val="00173A9B"/>
    <w:rsid w:val="00173EC2"/>
    <w:rsid w:val="001743C9"/>
    <w:rsid w:val="00174596"/>
    <w:rsid w:val="001745C3"/>
    <w:rsid w:val="00174604"/>
    <w:rsid w:val="00174643"/>
    <w:rsid w:val="0017472B"/>
    <w:rsid w:val="00174846"/>
    <w:rsid w:val="00174A00"/>
    <w:rsid w:val="00174D2D"/>
    <w:rsid w:val="00175150"/>
    <w:rsid w:val="00175243"/>
    <w:rsid w:val="001752C4"/>
    <w:rsid w:val="0017549C"/>
    <w:rsid w:val="00175596"/>
    <w:rsid w:val="001756E7"/>
    <w:rsid w:val="00175897"/>
    <w:rsid w:val="00175DBB"/>
    <w:rsid w:val="00175F0C"/>
    <w:rsid w:val="001761E6"/>
    <w:rsid w:val="00176221"/>
    <w:rsid w:val="00176373"/>
    <w:rsid w:val="00176482"/>
    <w:rsid w:val="001764D0"/>
    <w:rsid w:val="0017653A"/>
    <w:rsid w:val="00176803"/>
    <w:rsid w:val="00176ACC"/>
    <w:rsid w:val="00176AE7"/>
    <w:rsid w:val="00176BE7"/>
    <w:rsid w:val="00176C39"/>
    <w:rsid w:val="00176C6C"/>
    <w:rsid w:val="00176D64"/>
    <w:rsid w:val="00176FC2"/>
    <w:rsid w:val="001770E9"/>
    <w:rsid w:val="001770F1"/>
    <w:rsid w:val="001773A4"/>
    <w:rsid w:val="00177592"/>
    <w:rsid w:val="001776BE"/>
    <w:rsid w:val="001777A7"/>
    <w:rsid w:val="0017791E"/>
    <w:rsid w:val="00177967"/>
    <w:rsid w:val="0017797F"/>
    <w:rsid w:val="00177D3A"/>
    <w:rsid w:val="00177F71"/>
    <w:rsid w:val="00180764"/>
    <w:rsid w:val="001807A8"/>
    <w:rsid w:val="00180822"/>
    <w:rsid w:val="001808AB"/>
    <w:rsid w:val="0018090B"/>
    <w:rsid w:val="00180AF8"/>
    <w:rsid w:val="00180BCF"/>
    <w:rsid w:val="00180C77"/>
    <w:rsid w:val="00180C8D"/>
    <w:rsid w:val="00180C9E"/>
    <w:rsid w:val="00180D45"/>
    <w:rsid w:val="00180E88"/>
    <w:rsid w:val="0018124B"/>
    <w:rsid w:val="001814BF"/>
    <w:rsid w:val="0018197B"/>
    <w:rsid w:val="001819D4"/>
    <w:rsid w:val="00181B1A"/>
    <w:rsid w:val="00181B61"/>
    <w:rsid w:val="00181D7F"/>
    <w:rsid w:val="00181E00"/>
    <w:rsid w:val="00181F5E"/>
    <w:rsid w:val="001820BC"/>
    <w:rsid w:val="001822D0"/>
    <w:rsid w:val="001824EA"/>
    <w:rsid w:val="001826C4"/>
    <w:rsid w:val="0018289B"/>
    <w:rsid w:val="00182A05"/>
    <w:rsid w:val="00182C49"/>
    <w:rsid w:val="00182CE8"/>
    <w:rsid w:val="00182D16"/>
    <w:rsid w:val="00182EC0"/>
    <w:rsid w:val="00182F25"/>
    <w:rsid w:val="00183242"/>
    <w:rsid w:val="00183283"/>
    <w:rsid w:val="001833B3"/>
    <w:rsid w:val="00183824"/>
    <w:rsid w:val="0018397B"/>
    <w:rsid w:val="00183A7D"/>
    <w:rsid w:val="00183BDB"/>
    <w:rsid w:val="00183DAA"/>
    <w:rsid w:val="00183F1A"/>
    <w:rsid w:val="001840A7"/>
    <w:rsid w:val="001840EC"/>
    <w:rsid w:val="001841BF"/>
    <w:rsid w:val="001841D3"/>
    <w:rsid w:val="001841E8"/>
    <w:rsid w:val="001842CB"/>
    <w:rsid w:val="00184746"/>
    <w:rsid w:val="00184A7D"/>
    <w:rsid w:val="00184B3C"/>
    <w:rsid w:val="00184B92"/>
    <w:rsid w:val="00184BC3"/>
    <w:rsid w:val="00184BEF"/>
    <w:rsid w:val="00184C15"/>
    <w:rsid w:val="00184ED1"/>
    <w:rsid w:val="00184F1F"/>
    <w:rsid w:val="001850C9"/>
    <w:rsid w:val="00185192"/>
    <w:rsid w:val="00185330"/>
    <w:rsid w:val="001854DC"/>
    <w:rsid w:val="00185851"/>
    <w:rsid w:val="001858F7"/>
    <w:rsid w:val="00185A14"/>
    <w:rsid w:val="00185C12"/>
    <w:rsid w:val="00185C40"/>
    <w:rsid w:val="00185C43"/>
    <w:rsid w:val="00185C47"/>
    <w:rsid w:val="00185D1D"/>
    <w:rsid w:val="00185DE6"/>
    <w:rsid w:val="00185E73"/>
    <w:rsid w:val="00185F88"/>
    <w:rsid w:val="00186035"/>
    <w:rsid w:val="0018603E"/>
    <w:rsid w:val="0018609C"/>
    <w:rsid w:val="001863E8"/>
    <w:rsid w:val="00186585"/>
    <w:rsid w:val="0018669E"/>
    <w:rsid w:val="0018671B"/>
    <w:rsid w:val="0018688D"/>
    <w:rsid w:val="00186A02"/>
    <w:rsid w:val="00186ACD"/>
    <w:rsid w:val="00186C83"/>
    <w:rsid w:val="00186D7F"/>
    <w:rsid w:val="00186EC1"/>
    <w:rsid w:val="0018701D"/>
    <w:rsid w:val="00187165"/>
    <w:rsid w:val="0018726E"/>
    <w:rsid w:val="001872D3"/>
    <w:rsid w:val="00187356"/>
    <w:rsid w:val="0018739C"/>
    <w:rsid w:val="001875AC"/>
    <w:rsid w:val="0018765A"/>
    <w:rsid w:val="00187683"/>
    <w:rsid w:val="00187799"/>
    <w:rsid w:val="001878C6"/>
    <w:rsid w:val="00187A5B"/>
    <w:rsid w:val="00187C96"/>
    <w:rsid w:val="00187CFB"/>
    <w:rsid w:val="00187D09"/>
    <w:rsid w:val="00187D8B"/>
    <w:rsid w:val="00187DB8"/>
    <w:rsid w:val="00187FE6"/>
    <w:rsid w:val="00190047"/>
    <w:rsid w:val="00190140"/>
    <w:rsid w:val="001901CB"/>
    <w:rsid w:val="00190416"/>
    <w:rsid w:val="00190490"/>
    <w:rsid w:val="001904D5"/>
    <w:rsid w:val="0019054F"/>
    <w:rsid w:val="0019083E"/>
    <w:rsid w:val="001908C6"/>
    <w:rsid w:val="00190CFB"/>
    <w:rsid w:val="00190E2D"/>
    <w:rsid w:val="001913C4"/>
    <w:rsid w:val="001913F4"/>
    <w:rsid w:val="00191473"/>
    <w:rsid w:val="001914C5"/>
    <w:rsid w:val="00191509"/>
    <w:rsid w:val="0019150D"/>
    <w:rsid w:val="00191744"/>
    <w:rsid w:val="00191754"/>
    <w:rsid w:val="00191761"/>
    <w:rsid w:val="001917F4"/>
    <w:rsid w:val="00191A73"/>
    <w:rsid w:val="00191ACE"/>
    <w:rsid w:val="00191C03"/>
    <w:rsid w:val="00191C59"/>
    <w:rsid w:val="00191F31"/>
    <w:rsid w:val="00191FA5"/>
    <w:rsid w:val="00192069"/>
    <w:rsid w:val="001922B9"/>
    <w:rsid w:val="001922F4"/>
    <w:rsid w:val="0019232E"/>
    <w:rsid w:val="001923DA"/>
    <w:rsid w:val="001924B1"/>
    <w:rsid w:val="001924D1"/>
    <w:rsid w:val="0019258A"/>
    <w:rsid w:val="00192618"/>
    <w:rsid w:val="00192667"/>
    <w:rsid w:val="001927B2"/>
    <w:rsid w:val="00192B65"/>
    <w:rsid w:val="00192C1F"/>
    <w:rsid w:val="00192E4A"/>
    <w:rsid w:val="00192F0A"/>
    <w:rsid w:val="0019301B"/>
    <w:rsid w:val="0019309F"/>
    <w:rsid w:val="0019316E"/>
    <w:rsid w:val="001932D1"/>
    <w:rsid w:val="00193473"/>
    <w:rsid w:val="001934B2"/>
    <w:rsid w:val="001935FF"/>
    <w:rsid w:val="0019361C"/>
    <w:rsid w:val="00193920"/>
    <w:rsid w:val="00193AC6"/>
    <w:rsid w:val="00193BE4"/>
    <w:rsid w:val="00193C6B"/>
    <w:rsid w:val="00193DE4"/>
    <w:rsid w:val="00193F30"/>
    <w:rsid w:val="00193F44"/>
    <w:rsid w:val="00193FEA"/>
    <w:rsid w:val="001940BE"/>
    <w:rsid w:val="00194111"/>
    <w:rsid w:val="0019411E"/>
    <w:rsid w:val="0019454D"/>
    <w:rsid w:val="0019467D"/>
    <w:rsid w:val="001949AB"/>
    <w:rsid w:val="00194A5D"/>
    <w:rsid w:val="00194B25"/>
    <w:rsid w:val="00194C1E"/>
    <w:rsid w:val="00194CE5"/>
    <w:rsid w:val="00194D74"/>
    <w:rsid w:val="00194DC8"/>
    <w:rsid w:val="00194E1D"/>
    <w:rsid w:val="00194E6E"/>
    <w:rsid w:val="00194EE2"/>
    <w:rsid w:val="00194F20"/>
    <w:rsid w:val="00195035"/>
    <w:rsid w:val="0019509B"/>
    <w:rsid w:val="001951A1"/>
    <w:rsid w:val="00195400"/>
    <w:rsid w:val="0019541A"/>
    <w:rsid w:val="001956AD"/>
    <w:rsid w:val="00195784"/>
    <w:rsid w:val="00195A2A"/>
    <w:rsid w:val="00195A46"/>
    <w:rsid w:val="0019604F"/>
    <w:rsid w:val="00196188"/>
    <w:rsid w:val="00196231"/>
    <w:rsid w:val="001962D9"/>
    <w:rsid w:val="00196358"/>
    <w:rsid w:val="001967E5"/>
    <w:rsid w:val="00196837"/>
    <w:rsid w:val="0019683E"/>
    <w:rsid w:val="001968E0"/>
    <w:rsid w:val="0019694D"/>
    <w:rsid w:val="00196BAA"/>
    <w:rsid w:val="00196CF3"/>
    <w:rsid w:val="00196E80"/>
    <w:rsid w:val="00196FF9"/>
    <w:rsid w:val="001971A5"/>
    <w:rsid w:val="001971E5"/>
    <w:rsid w:val="001974A0"/>
    <w:rsid w:val="00197A5A"/>
    <w:rsid w:val="00197C6A"/>
    <w:rsid w:val="00197CB8"/>
    <w:rsid w:val="001A01FE"/>
    <w:rsid w:val="001A0310"/>
    <w:rsid w:val="001A04C4"/>
    <w:rsid w:val="001A05B2"/>
    <w:rsid w:val="001A05E2"/>
    <w:rsid w:val="001A0661"/>
    <w:rsid w:val="001A0683"/>
    <w:rsid w:val="001A0FD2"/>
    <w:rsid w:val="001A138A"/>
    <w:rsid w:val="001A14D0"/>
    <w:rsid w:val="001A1885"/>
    <w:rsid w:val="001A19C4"/>
    <w:rsid w:val="001A1E14"/>
    <w:rsid w:val="001A2047"/>
    <w:rsid w:val="001A242E"/>
    <w:rsid w:val="001A2463"/>
    <w:rsid w:val="001A2592"/>
    <w:rsid w:val="001A25B1"/>
    <w:rsid w:val="001A28F2"/>
    <w:rsid w:val="001A2965"/>
    <w:rsid w:val="001A2AA2"/>
    <w:rsid w:val="001A2C16"/>
    <w:rsid w:val="001A2D02"/>
    <w:rsid w:val="001A304F"/>
    <w:rsid w:val="001A319F"/>
    <w:rsid w:val="001A3280"/>
    <w:rsid w:val="001A3363"/>
    <w:rsid w:val="001A34EB"/>
    <w:rsid w:val="001A3567"/>
    <w:rsid w:val="001A390B"/>
    <w:rsid w:val="001A3BA0"/>
    <w:rsid w:val="001A3CD7"/>
    <w:rsid w:val="001A3E46"/>
    <w:rsid w:val="001A4271"/>
    <w:rsid w:val="001A44B1"/>
    <w:rsid w:val="001A44CB"/>
    <w:rsid w:val="001A4660"/>
    <w:rsid w:val="001A4844"/>
    <w:rsid w:val="001A4913"/>
    <w:rsid w:val="001A4A03"/>
    <w:rsid w:val="001A4B1F"/>
    <w:rsid w:val="001A5020"/>
    <w:rsid w:val="001A550D"/>
    <w:rsid w:val="001A56BC"/>
    <w:rsid w:val="001A579E"/>
    <w:rsid w:val="001A58E8"/>
    <w:rsid w:val="001A5922"/>
    <w:rsid w:val="001A5B7B"/>
    <w:rsid w:val="001A5B9F"/>
    <w:rsid w:val="001A5C42"/>
    <w:rsid w:val="001A5C48"/>
    <w:rsid w:val="001A5DDB"/>
    <w:rsid w:val="001A5FC2"/>
    <w:rsid w:val="001A6108"/>
    <w:rsid w:val="001A65D2"/>
    <w:rsid w:val="001A65F8"/>
    <w:rsid w:val="001A661B"/>
    <w:rsid w:val="001A673A"/>
    <w:rsid w:val="001A677F"/>
    <w:rsid w:val="001A685C"/>
    <w:rsid w:val="001A6873"/>
    <w:rsid w:val="001A68F4"/>
    <w:rsid w:val="001A6A0D"/>
    <w:rsid w:val="001A6B6D"/>
    <w:rsid w:val="001A6BC0"/>
    <w:rsid w:val="001A6DC2"/>
    <w:rsid w:val="001A6E28"/>
    <w:rsid w:val="001A6E72"/>
    <w:rsid w:val="001A7555"/>
    <w:rsid w:val="001A767C"/>
    <w:rsid w:val="001A768E"/>
    <w:rsid w:val="001A7A95"/>
    <w:rsid w:val="001A7B98"/>
    <w:rsid w:val="001A7BA0"/>
    <w:rsid w:val="001A7C34"/>
    <w:rsid w:val="001A7D0B"/>
    <w:rsid w:val="001A7EE7"/>
    <w:rsid w:val="001A7F25"/>
    <w:rsid w:val="001A7F54"/>
    <w:rsid w:val="001A7F81"/>
    <w:rsid w:val="001B0206"/>
    <w:rsid w:val="001B0215"/>
    <w:rsid w:val="001B0252"/>
    <w:rsid w:val="001B04A7"/>
    <w:rsid w:val="001B04DC"/>
    <w:rsid w:val="001B0881"/>
    <w:rsid w:val="001B08B8"/>
    <w:rsid w:val="001B0BCE"/>
    <w:rsid w:val="001B0C21"/>
    <w:rsid w:val="001B0D41"/>
    <w:rsid w:val="001B0DAB"/>
    <w:rsid w:val="001B0EEC"/>
    <w:rsid w:val="001B0F5A"/>
    <w:rsid w:val="001B0F9D"/>
    <w:rsid w:val="001B109B"/>
    <w:rsid w:val="001B1272"/>
    <w:rsid w:val="001B1287"/>
    <w:rsid w:val="001B14CF"/>
    <w:rsid w:val="001B1566"/>
    <w:rsid w:val="001B1A7F"/>
    <w:rsid w:val="001B1AA8"/>
    <w:rsid w:val="001B1EB7"/>
    <w:rsid w:val="001B1F4F"/>
    <w:rsid w:val="001B20BB"/>
    <w:rsid w:val="001B24C7"/>
    <w:rsid w:val="001B266F"/>
    <w:rsid w:val="001B2811"/>
    <w:rsid w:val="001B2A6D"/>
    <w:rsid w:val="001B2AB0"/>
    <w:rsid w:val="001B2AB9"/>
    <w:rsid w:val="001B2B4E"/>
    <w:rsid w:val="001B2B93"/>
    <w:rsid w:val="001B2B9D"/>
    <w:rsid w:val="001B2C67"/>
    <w:rsid w:val="001B2DFE"/>
    <w:rsid w:val="001B3137"/>
    <w:rsid w:val="001B31C9"/>
    <w:rsid w:val="001B31F3"/>
    <w:rsid w:val="001B3703"/>
    <w:rsid w:val="001B3705"/>
    <w:rsid w:val="001B388D"/>
    <w:rsid w:val="001B3ABA"/>
    <w:rsid w:val="001B3C44"/>
    <w:rsid w:val="001B3C8C"/>
    <w:rsid w:val="001B3DD4"/>
    <w:rsid w:val="001B3E40"/>
    <w:rsid w:val="001B3EAC"/>
    <w:rsid w:val="001B3EC2"/>
    <w:rsid w:val="001B4064"/>
    <w:rsid w:val="001B40D3"/>
    <w:rsid w:val="001B4573"/>
    <w:rsid w:val="001B4615"/>
    <w:rsid w:val="001B47DA"/>
    <w:rsid w:val="001B4814"/>
    <w:rsid w:val="001B4A73"/>
    <w:rsid w:val="001B4B1D"/>
    <w:rsid w:val="001B4BC8"/>
    <w:rsid w:val="001B4BE6"/>
    <w:rsid w:val="001B4C21"/>
    <w:rsid w:val="001B4C9B"/>
    <w:rsid w:val="001B4D54"/>
    <w:rsid w:val="001B4DA4"/>
    <w:rsid w:val="001B4F16"/>
    <w:rsid w:val="001B5099"/>
    <w:rsid w:val="001B51A5"/>
    <w:rsid w:val="001B541C"/>
    <w:rsid w:val="001B548D"/>
    <w:rsid w:val="001B54FB"/>
    <w:rsid w:val="001B554B"/>
    <w:rsid w:val="001B55BA"/>
    <w:rsid w:val="001B562B"/>
    <w:rsid w:val="001B5BC2"/>
    <w:rsid w:val="001B5D3C"/>
    <w:rsid w:val="001B5D66"/>
    <w:rsid w:val="001B5DB1"/>
    <w:rsid w:val="001B5E5F"/>
    <w:rsid w:val="001B5E74"/>
    <w:rsid w:val="001B5EFD"/>
    <w:rsid w:val="001B64AE"/>
    <w:rsid w:val="001B6681"/>
    <w:rsid w:val="001B6682"/>
    <w:rsid w:val="001B66CE"/>
    <w:rsid w:val="001B6905"/>
    <w:rsid w:val="001B6FEC"/>
    <w:rsid w:val="001B714B"/>
    <w:rsid w:val="001B7188"/>
    <w:rsid w:val="001B71D8"/>
    <w:rsid w:val="001B73B2"/>
    <w:rsid w:val="001B7868"/>
    <w:rsid w:val="001B79E0"/>
    <w:rsid w:val="001B7DBA"/>
    <w:rsid w:val="001B7EE7"/>
    <w:rsid w:val="001C0070"/>
    <w:rsid w:val="001C00B8"/>
    <w:rsid w:val="001C00FB"/>
    <w:rsid w:val="001C046F"/>
    <w:rsid w:val="001C07BE"/>
    <w:rsid w:val="001C0A5B"/>
    <w:rsid w:val="001C0B70"/>
    <w:rsid w:val="001C0B82"/>
    <w:rsid w:val="001C0B97"/>
    <w:rsid w:val="001C0DB0"/>
    <w:rsid w:val="001C0E60"/>
    <w:rsid w:val="001C13DA"/>
    <w:rsid w:val="001C15FB"/>
    <w:rsid w:val="001C16A7"/>
    <w:rsid w:val="001C16FE"/>
    <w:rsid w:val="001C1772"/>
    <w:rsid w:val="001C18C5"/>
    <w:rsid w:val="001C18D1"/>
    <w:rsid w:val="001C197F"/>
    <w:rsid w:val="001C1CF8"/>
    <w:rsid w:val="001C1E81"/>
    <w:rsid w:val="001C1EF1"/>
    <w:rsid w:val="001C20C9"/>
    <w:rsid w:val="001C21AB"/>
    <w:rsid w:val="001C2479"/>
    <w:rsid w:val="001C2512"/>
    <w:rsid w:val="001C2585"/>
    <w:rsid w:val="001C280C"/>
    <w:rsid w:val="001C2B89"/>
    <w:rsid w:val="001C2D62"/>
    <w:rsid w:val="001C2E1E"/>
    <w:rsid w:val="001C323F"/>
    <w:rsid w:val="001C3372"/>
    <w:rsid w:val="001C3398"/>
    <w:rsid w:val="001C362C"/>
    <w:rsid w:val="001C3D67"/>
    <w:rsid w:val="001C3D82"/>
    <w:rsid w:val="001C3E43"/>
    <w:rsid w:val="001C3EAD"/>
    <w:rsid w:val="001C3FE6"/>
    <w:rsid w:val="001C412D"/>
    <w:rsid w:val="001C414A"/>
    <w:rsid w:val="001C4259"/>
    <w:rsid w:val="001C4263"/>
    <w:rsid w:val="001C4546"/>
    <w:rsid w:val="001C45E6"/>
    <w:rsid w:val="001C4879"/>
    <w:rsid w:val="001C4AA8"/>
    <w:rsid w:val="001C4B01"/>
    <w:rsid w:val="001C4BCD"/>
    <w:rsid w:val="001C51AF"/>
    <w:rsid w:val="001C535F"/>
    <w:rsid w:val="001C5564"/>
    <w:rsid w:val="001C56C9"/>
    <w:rsid w:val="001C58B8"/>
    <w:rsid w:val="001C5906"/>
    <w:rsid w:val="001C5A9D"/>
    <w:rsid w:val="001C5D0D"/>
    <w:rsid w:val="001C5E98"/>
    <w:rsid w:val="001C5F43"/>
    <w:rsid w:val="001C6068"/>
    <w:rsid w:val="001C634D"/>
    <w:rsid w:val="001C63A6"/>
    <w:rsid w:val="001C665E"/>
    <w:rsid w:val="001C670F"/>
    <w:rsid w:val="001C685A"/>
    <w:rsid w:val="001C68BE"/>
    <w:rsid w:val="001C68F5"/>
    <w:rsid w:val="001C6A12"/>
    <w:rsid w:val="001C6FDD"/>
    <w:rsid w:val="001C701B"/>
    <w:rsid w:val="001C70FA"/>
    <w:rsid w:val="001C7307"/>
    <w:rsid w:val="001C73C4"/>
    <w:rsid w:val="001C7401"/>
    <w:rsid w:val="001C7545"/>
    <w:rsid w:val="001C7593"/>
    <w:rsid w:val="001C761C"/>
    <w:rsid w:val="001C7767"/>
    <w:rsid w:val="001C7794"/>
    <w:rsid w:val="001C7856"/>
    <w:rsid w:val="001C7B0E"/>
    <w:rsid w:val="001C7BBF"/>
    <w:rsid w:val="001C7C69"/>
    <w:rsid w:val="001C7DF8"/>
    <w:rsid w:val="001C7EE7"/>
    <w:rsid w:val="001C7EEF"/>
    <w:rsid w:val="001C7EFF"/>
    <w:rsid w:val="001D02A0"/>
    <w:rsid w:val="001D048B"/>
    <w:rsid w:val="001D0762"/>
    <w:rsid w:val="001D077F"/>
    <w:rsid w:val="001D0893"/>
    <w:rsid w:val="001D08E8"/>
    <w:rsid w:val="001D0933"/>
    <w:rsid w:val="001D0A54"/>
    <w:rsid w:val="001D0CD2"/>
    <w:rsid w:val="001D0DCD"/>
    <w:rsid w:val="001D0E61"/>
    <w:rsid w:val="001D0ECB"/>
    <w:rsid w:val="001D109A"/>
    <w:rsid w:val="001D1127"/>
    <w:rsid w:val="001D14F4"/>
    <w:rsid w:val="001D1507"/>
    <w:rsid w:val="001D151C"/>
    <w:rsid w:val="001D153E"/>
    <w:rsid w:val="001D15BA"/>
    <w:rsid w:val="001D169B"/>
    <w:rsid w:val="001D16D1"/>
    <w:rsid w:val="001D1747"/>
    <w:rsid w:val="001D1A8D"/>
    <w:rsid w:val="001D1AF9"/>
    <w:rsid w:val="001D1B29"/>
    <w:rsid w:val="001D1C1B"/>
    <w:rsid w:val="001D1C61"/>
    <w:rsid w:val="001D1DC4"/>
    <w:rsid w:val="001D1DE5"/>
    <w:rsid w:val="001D1E66"/>
    <w:rsid w:val="001D20AF"/>
    <w:rsid w:val="001D2253"/>
    <w:rsid w:val="001D24D9"/>
    <w:rsid w:val="001D2742"/>
    <w:rsid w:val="001D27E8"/>
    <w:rsid w:val="001D2A9C"/>
    <w:rsid w:val="001D2DD5"/>
    <w:rsid w:val="001D2EB4"/>
    <w:rsid w:val="001D2F73"/>
    <w:rsid w:val="001D30D1"/>
    <w:rsid w:val="001D317F"/>
    <w:rsid w:val="001D34ED"/>
    <w:rsid w:val="001D3879"/>
    <w:rsid w:val="001D38C4"/>
    <w:rsid w:val="001D3A79"/>
    <w:rsid w:val="001D3AD5"/>
    <w:rsid w:val="001D3B60"/>
    <w:rsid w:val="001D3B8E"/>
    <w:rsid w:val="001D3BC7"/>
    <w:rsid w:val="001D3C47"/>
    <w:rsid w:val="001D3CB7"/>
    <w:rsid w:val="001D3CC3"/>
    <w:rsid w:val="001D3FA0"/>
    <w:rsid w:val="001D4060"/>
    <w:rsid w:val="001D4209"/>
    <w:rsid w:val="001D436B"/>
    <w:rsid w:val="001D43F1"/>
    <w:rsid w:val="001D44D1"/>
    <w:rsid w:val="001D46B8"/>
    <w:rsid w:val="001D482A"/>
    <w:rsid w:val="001D4945"/>
    <w:rsid w:val="001D4A77"/>
    <w:rsid w:val="001D4AC2"/>
    <w:rsid w:val="001D4BB6"/>
    <w:rsid w:val="001D4BF5"/>
    <w:rsid w:val="001D4BFB"/>
    <w:rsid w:val="001D4EC2"/>
    <w:rsid w:val="001D52EE"/>
    <w:rsid w:val="001D53A5"/>
    <w:rsid w:val="001D5414"/>
    <w:rsid w:val="001D5420"/>
    <w:rsid w:val="001D545D"/>
    <w:rsid w:val="001D550F"/>
    <w:rsid w:val="001D552F"/>
    <w:rsid w:val="001D5533"/>
    <w:rsid w:val="001D557B"/>
    <w:rsid w:val="001D57B0"/>
    <w:rsid w:val="001D57BF"/>
    <w:rsid w:val="001D57C9"/>
    <w:rsid w:val="001D5868"/>
    <w:rsid w:val="001D593F"/>
    <w:rsid w:val="001D6104"/>
    <w:rsid w:val="001D6240"/>
    <w:rsid w:val="001D6572"/>
    <w:rsid w:val="001D66ED"/>
    <w:rsid w:val="001D6CF2"/>
    <w:rsid w:val="001D6CFF"/>
    <w:rsid w:val="001D6E0E"/>
    <w:rsid w:val="001D7009"/>
    <w:rsid w:val="001D7265"/>
    <w:rsid w:val="001D72A0"/>
    <w:rsid w:val="001D72FE"/>
    <w:rsid w:val="001D73FA"/>
    <w:rsid w:val="001D7432"/>
    <w:rsid w:val="001D7510"/>
    <w:rsid w:val="001D77FF"/>
    <w:rsid w:val="001D7980"/>
    <w:rsid w:val="001D7AEC"/>
    <w:rsid w:val="001D7E55"/>
    <w:rsid w:val="001D7FBB"/>
    <w:rsid w:val="001E0240"/>
    <w:rsid w:val="001E0285"/>
    <w:rsid w:val="001E03B2"/>
    <w:rsid w:val="001E04C5"/>
    <w:rsid w:val="001E06F2"/>
    <w:rsid w:val="001E0736"/>
    <w:rsid w:val="001E0879"/>
    <w:rsid w:val="001E08D0"/>
    <w:rsid w:val="001E0B1D"/>
    <w:rsid w:val="001E0CE3"/>
    <w:rsid w:val="001E0DA0"/>
    <w:rsid w:val="001E0DDC"/>
    <w:rsid w:val="001E0DF4"/>
    <w:rsid w:val="001E0E5F"/>
    <w:rsid w:val="001E14C9"/>
    <w:rsid w:val="001E1679"/>
    <w:rsid w:val="001E1699"/>
    <w:rsid w:val="001E16A7"/>
    <w:rsid w:val="001E1745"/>
    <w:rsid w:val="001E1849"/>
    <w:rsid w:val="001E18EF"/>
    <w:rsid w:val="001E193F"/>
    <w:rsid w:val="001E194F"/>
    <w:rsid w:val="001E19CC"/>
    <w:rsid w:val="001E19EC"/>
    <w:rsid w:val="001E1B3A"/>
    <w:rsid w:val="001E1BBD"/>
    <w:rsid w:val="001E1C0D"/>
    <w:rsid w:val="001E1D17"/>
    <w:rsid w:val="001E1E1F"/>
    <w:rsid w:val="001E1F4B"/>
    <w:rsid w:val="001E200F"/>
    <w:rsid w:val="001E20A7"/>
    <w:rsid w:val="001E2359"/>
    <w:rsid w:val="001E240E"/>
    <w:rsid w:val="001E25B0"/>
    <w:rsid w:val="001E29B4"/>
    <w:rsid w:val="001E2B39"/>
    <w:rsid w:val="001E2B5A"/>
    <w:rsid w:val="001E2C50"/>
    <w:rsid w:val="001E2CAE"/>
    <w:rsid w:val="001E2D9B"/>
    <w:rsid w:val="001E2ECD"/>
    <w:rsid w:val="001E2F8E"/>
    <w:rsid w:val="001E2F95"/>
    <w:rsid w:val="001E2FA3"/>
    <w:rsid w:val="001E3154"/>
    <w:rsid w:val="001E31F5"/>
    <w:rsid w:val="001E334E"/>
    <w:rsid w:val="001E33D2"/>
    <w:rsid w:val="001E3409"/>
    <w:rsid w:val="001E355B"/>
    <w:rsid w:val="001E35F0"/>
    <w:rsid w:val="001E361D"/>
    <w:rsid w:val="001E39E5"/>
    <w:rsid w:val="001E3A7C"/>
    <w:rsid w:val="001E3AB1"/>
    <w:rsid w:val="001E3B5C"/>
    <w:rsid w:val="001E3C52"/>
    <w:rsid w:val="001E3CF9"/>
    <w:rsid w:val="001E3E05"/>
    <w:rsid w:val="001E3E26"/>
    <w:rsid w:val="001E416F"/>
    <w:rsid w:val="001E41FC"/>
    <w:rsid w:val="001E423A"/>
    <w:rsid w:val="001E425B"/>
    <w:rsid w:val="001E4380"/>
    <w:rsid w:val="001E43BA"/>
    <w:rsid w:val="001E4432"/>
    <w:rsid w:val="001E44D9"/>
    <w:rsid w:val="001E454B"/>
    <w:rsid w:val="001E4791"/>
    <w:rsid w:val="001E4796"/>
    <w:rsid w:val="001E4D3F"/>
    <w:rsid w:val="001E4F2D"/>
    <w:rsid w:val="001E4FB0"/>
    <w:rsid w:val="001E5090"/>
    <w:rsid w:val="001E51FF"/>
    <w:rsid w:val="001E52DE"/>
    <w:rsid w:val="001E54DD"/>
    <w:rsid w:val="001E5726"/>
    <w:rsid w:val="001E57CB"/>
    <w:rsid w:val="001E588E"/>
    <w:rsid w:val="001E5BB3"/>
    <w:rsid w:val="001E5C00"/>
    <w:rsid w:val="001E5C74"/>
    <w:rsid w:val="001E5E03"/>
    <w:rsid w:val="001E5F21"/>
    <w:rsid w:val="001E5FC3"/>
    <w:rsid w:val="001E64BC"/>
    <w:rsid w:val="001E67D5"/>
    <w:rsid w:val="001E6811"/>
    <w:rsid w:val="001E6C77"/>
    <w:rsid w:val="001E6CF1"/>
    <w:rsid w:val="001E705D"/>
    <w:rsid w:val="001E7081"/>
    <w:rsid w:val="001E72D0"/>
    <w:rsid w:val="001E7496"/>
    <w:rsid w:val="001E77DF"/>
    <w:rsid w:val="001E7AFA"/>
    <w:rsid w:val="001E7C7E"/>
    <w:rsid w:val="001E7F16"/>
    <w:rsid w:val="001F0272"/>
    <w:rsid w:val="001F0421"/>
    <w:rsid w:val="001F044C"/>
    <w:rsid w:val="001F092A"/>
    <w:rsid w:val="001F0990"/>
    <w:rsid w:val="001F0A34"/>
    <w:rsid w:val="001F0A5F"/>
    <w:rsid w:val="001F0B53"/>
    <w:rsid w:val="001F112A"/>
    <w:rsid w:val="001F115D"/>
    <w:rsid w:val="001F120F"/>
    <w:rsid w:val="001F1415"/>
    <w:rsid w:val="001F147E"/>
    <w:rsid w:val="001F1571"/>
    <w:rsid w:val="001F1733"/>
    <w:rsid w:val="001F1910"/>
    <w:rsid w:val="001F1A7E"/>
    <w:rsid w:val="001F1B67"/>
    <w:rsid w:val="001F1BC1"/>
    <w:rsid w:val="001F1E9F"/>
    <w:rsid w:val="001F1EDB"/>
    <w:rsid w:val="001F203C"/>
    <w:rsid w:val="001F2281"/>
    <w:rsid w:val="001F2289"/>
    <w:rsid w:val="001F237D"/>
    <w:rsid w:val="001F23D0"/>
    <w:rsid w:val="001F24BA"/>
    <w:rsid w:val="001F2561"/>
    <w:rsid w:val="001F26C8"/>
    <w:rsid w:val="001F26F7"/>
    <w:rsid w:val="001F2753"/>
    <w:rsid w:val="001F27A4"/>
    <w:rsid w:val="001F27E6"/>
    <w:rsid w:val="001F29D0"/>
    <w:rsid w:val="001F29F9"/>
    <w:rsid w:val="001F2A1C"/>
    <w:rsid w:val="001F2B79"/>
    <w:rsid w:val="001F2CCF"/>
    <w:rsid w:val="001F2E0F"/>
    <w:rsid w:val="001F305D"/>
    <w:rsid w:val="001F309E"/>
    <w:rsid w:val="001F3118"/>
    <w:rsid w:val="001F31CC"/>
    <w:rsid w:val="001F31F2"/>
    <w:rsid w:val="001F348A"/>
    <w:rsid w:val="001F35A1"/>
    <w:rsid w:val="001F35B3"/>
    <w:rsid w:val="001F35F6"/>
    <w:rsid w:val="001F37C1"/>
    <w:rsid w:val="001F37FB"/>
    <w:rsid w:val="001F3842"/>
    <w:rsid w:val="001F3851"/>
    <w:rsid w:val="001F386C"/>
    <w:rsid w:val="001F389B"/>
    <w:rsid w:val="001F3951"/>
    <w:rsid w:val="001F3A03"/>
    <w:rsid w:val="001F3B26"/>
    <w:rsid w:val="001F3BC0"/>
    <w:rsid w:val="001F3DCC"/>
    <w:rsid w:val="001F3F47"/>
    <w:rsid w:val="001F40FF"/>
    <w:rsid w:val="001F4250"/>
    <w:rsid w:val="001F4270"/>
    <w:rsid w:val="001F43BD"/>
    <w:rsid w:val="001F43E8"/>
    <w:rsid w:val="001F44A1"/>
    <w:rsid w:val="001F44AB"/>
    <w:rsid w:val="001F450F"/>
    <w:rsid w:val="001F4517"/>
    <w:rsid w:val="001F4833"/>
    <w:rsid w:val="001F4A1C"/>
    <w:rsid w:val="001F4F44"/>
    <w:rsid w:val="001F5219"/>
    <w:rsid w:val="001F52AE"/>
    <w:rsid w:val="001F53ED"/>
    <w:rsid w:val="001F54BE"/>
    <w:rsid w:val="001F57E1"/>
    <w:rsid w:val="001F5830"/>
    <w:rsid w:val="001F5876"/>
    <w:rsid w:val="001F58A8"/>
    <w:rsid w:val="001F5B7D"/>
    <w:rsid w:val="001F5C41"/>
    <w:rsid w:val="001F5DEF"/>
    <w:rsid w:val="001F5E9F"/>
    <w:rsid w:val="001F6256"/>
    <w:rsid w:val="001F637F"/>
    <w:rsid w:val="001F639D"/>
    <w:rsid w:val="001F6661"/>
    <w:rsid w:val="001F6684"/>
    <w:rsid w:val="001F6795"/>
    <w:rsid w:val="001F692B"/>
    <w:rsid w:val="001F6933"/>
    <w:rsid w:val="001F6B53"/>
    <w:rsid w:val="001F6E0B"/>
    <w:rsid w:val="001F6E7A"/>
    <w:rsid w:val="001F7321"/>
    <w:rsid w:val="001F7344"/>
    <w:rsid w:val="001F7564"/>
    <w:rsid w:val="001F76E7"/>
    <w:rsid w:val="001F7A33"/>
    <w:rsid w:val="001F7C23"/>
    <w:rsid w:val="001F7DAA"/>
    <w:rsid w:val="001F7F50"/>
    <w:rsid w:val="001F7FC3"/>
    <w:rsid w:val="0020025C"/>
    <w:rsid w:val="002002E5"/>
    <w:rsid w:val="00200361"/>
    <w:rsid w:val="002004ED"/>
    <w:rsid w:val="00200806"/>
    <w:rsid w:val="00200863"/>
    <w:rsid w:val="00200976"/>
    <w:rsid w:val="00200C13"/>
    <w:rsid w:val="00200E01"/>
    <w:rsid w:val="002010F1"/>
    <w:rsid w:val="002010F4"/>
    <w:rsid w:val="00201113"/>
    <w:rsid w:val="00201114"/>
    <w:rsid w:val="002011E3"/>
    <w:rsid w:val="002015A6"/>
    <w:rsid w:val="002015B0"/>
    <w:rsid w:val="00201899"/>
    <w:rsid w:val="00201B26"/>
    <w:rsid w:val="00201B27"/>
    <w:rsid w:val="00201B76"/>
    <w:rsid w:val="00201D5A"/>
    <w:rsid w:val="00201DC9"/>
    <w:rsid w:val="00201DFC"/>
    <w:rsid w:val="00201E6C"/>
    <w:rsid w:val="0020205E"/>
    <w:rsid w:val="00202228"/>
    <w:rsid w:val="0020229A"/>
    <w:rsid w:val="002025B1"/>
    <w:rsid w:val="00202661"/>
    <w:rsid w:val="002027A3"/>
    <w:rsid w:val="002027A9"/>
    <w:rsid w:val="002027F6"/>
    <w:rsid w:val="00202914"/>
    <w:rsid w:val="002029E6"/>
    <w:rsid w:val="00202E11"/>
    <w:rsid w:val="00202FCB"/>
    <w:rsid w:val="00202FD4"/>
    <w:rsid w:val="00203095"/>
    <w:rsid w:val="002032CC"/>
    <w:rsid w:val="00203353"/>
    <w:rsid w:val="00203382"/>
    <w:rsid w:val="002035BD"/>
    <w:rsid w:val="00203709"/>
    <w:rsid w:val="00203754"/>
    <w:rsid w:val="0020380A"/>
    <w:rsid w:val="0020384B"/>
    <w:rsid w:val="00203940"/>
    <w:rsid w:val="002039A1"/>
    <w:rsid w:val="00203E25"/>
    <w:rsid w:val="00203F00"/>
    <w:rsid w:val="0020432A"/>
    <w:rsid w:val="00204349"/>
    <w:rsid w:val="0020464C"/>
    <w:rsid w:val="0020480E"/>
    <w:rsid w:val="00204C3D"/>
    <w:rsid w:val="00204C6B"/>
    <w:rsid w:val="00204F0B"/>
    <w:rsid w:val="0020509B"/>
    <w:rsid w:val="0020519B"/>
    <w:rsid w:val="002051BD"/>
    <w:rsid w:val="002052DF"/>
    <w:rsid w:val="00205475"/>
    <w:rsid w:val="00205556"/>
    <w:rsid w:val="002055D3"/>
    <w:rsid w:val="002056B0"/>
    <w:rsid w:val="00205744"/>
    <w:rsid w:val="002058BB"/>
    <w:rsid w:val="00205911"/>
    <w:rsid w:val="0020596B"/>
    <w:rsid w:val="0020598C"/>
    <w:rsid w:val="00205A78"/>
    <w:rsid w:val="00205E34"/>
    <w:rsid w:val="00205FD5"/>
    <w:rsid w:val="00206013"/>
    <w:rsid w:val="002060FB"/>
    <w:rsid w:val="0020619A"/>
    <w:rsid w:val="00206392"/>
    <w:rsid w:val="0020642C"/>
    <w:rsid w:val="00206850"/>
    <w:rsid w:val="002068AA"/>
    <w:rsid w:val="00206976"/>
    <w:rsid w:val="00206A19"/>
    <w:rsid w:val="00206C2A"/>
    <w:rsid w:val="00206D5E"/>
    <w:rsid w:val="00206DA5"/>
    <w:rsid w:val="00206DBF"/>
    <w:rsid w:val="00206E0F"/>
    <w:rsid w:val="00207175"/>
    <w:rsid w:val="00207291"/>
    <w:rsid w:val="002072FB"/>
    <w:rsid w:val="0020733D"/>
    <w:rsid w:val="00207702"/>
    <w:rsid w:val="00207C36"/>
    <w:rsid w:val="00207CDD"/>
    <w:rsid w:val="00207D38"/>
    <w:rsid w:val="00207E0C"/>
    <w:rsid w:val="00207FCB"/>
    <w:rsid w:val="0021000B"/>
    <w:rsid w:val="0021018D"/>
    <w:rsid w:val="00210417"/>
    <w:rsid w:val="002106B0"/>
    <w:rsid w:val="002107F6"/>
    <w:rsid w:val="00210803"/>
    <w:rsid w:val="00210A14"/>
    <w:rsid w:val="00210A9F"/>
    <w:rsid w:val="00210CD7"/>
    <w:rsid w:val="00210D0E"/>
    <w:rsid w:val="00210D6F"/>
    <w:rsid w:val="00210E15"/>
    <w:rsid w:val="002110BB"/>
    <w:rsid w:val="002114D1"/>
    <w:rsid w:val="002114FF"/>
    <w:rsid w:val="002115B1"/>
    <w:rsid w:val="0021166D"/>
    <w:rsid w:val="00211674"/>
    <w:rsid w:val="00211877"/>
    <w:rsid w:val="00211A00"/>
    <w:rsid w:val="00211A4A"/>
    <w:rsid w:val="00211C0C"/>
    <w:rsid w:val="00211C0F"/>
    <w:rsid w:val="00211E1E"/>
    <w:rsid w:val="00212035"/>
    <w:rsid w:val="0021212A"/>
    <w:rsid w:val="002121A6"/>
    <w:rsid w:val="002121B2"/>
    <w:rsid w:val="00212251"/>
    <w:rsid w:val="002122A0"/>
    <w:rsid w:val="0021263A"/>
    <w:rsid w:val="00212666"/>
    <w:rsid w:val="0021269D"/>
    <w:rsid w:val="002126BE"/>
    <w:rsid w:val="002127C8"/>
    <w:rsid w:val="002128BF"/>
    <w:rsid w:val="00212928"/>
    <w:rsid w:val="002129A1"/>
    <w:rsid w:val="00212A22"/>
    <w:rsid w:val="00212A8B"/>
    <w:rsid w:val="00212BF1"/>
    <w:rsid w:val="00212CE8"/>
    <w:rsid w:val="00212E23"/>
    <w:rsid w:val="002130C4"/>
    <w:rsid w:val="0021312A"/>
    <w:rsid w:val="002135AF"/>
    <w:rsid w:val="00213654"/>
    <w:rsid w:val="00213813"/>
    <w:rsid w:val="0021397C"/>
    <w:rsid w:val="00213D0B"/>
    <w:rsid w:val="00213F10"/>
    <w:rsid w:val="00214037"/>
    <w:rsid w:val="0021407D"/>
    <w:rsid w:val="002140DC"/>
    <w:rsid w:val="0021435A"/>
    <w:rsid w:val="0021493E"/>
    <w:rsid w:val="0021493F"/>
    <w:rsid w:val="00214944"/>
    <w:rsid w:val="00214A8B"/>
    <w:rsid w:val="00214ADE"/>
    <w:rsid w:val="00214AE6"/>
    <w:rsid w:val="00214B41"/>
    <w:rsid w:val="00214C1B"/>
    <w:rsid w:val="00214E36"/>
    <w:rsid w:val="00215098"/>
    <w:rsid w:val="00215130"/>
    <w:rsid w:val="00215249"/>
    <w:rsid w:val="00215550"/>
    <w:rsid w:val="002155BD"/>
    <w:rsid w:val="00215790"/>
    <w:rsid w:val="00215BF4"/>
    <w:rsid w:val="00215C27"/>
    <w:rsid w:val="00215C84"/>
    <w:rsid w:val="00215D7B"/>
    <w:rsid w:val="00215E94"/>
    <w:rsid w:val="00215F7E"/>
    <w:rsid w:val="00215FB4"/>
    <w:rsid w:val="0021632C"/>
    <w:rsid w:val="002164AC"/>
    <w:rsid w:val="002165F9"/>
    <w:rsid w:val="002166F9"/>
    <w:rsid w:val="002167DD"/>
    <w:rsid w:val="002168A1"/>
    <w:rsid w:val="00216AD5"/>
    <w:rsid w:val="00216BE2"/>
    <w:rsid w:val="00216C6D"/>
    <w:rsid w:val="00216DC1"/>
    <w:rsid w:val="00217117"/>
    <w:rsid w:val="00217354"/>
    <w:rsid w:val="0021738E"/>
    <w:rsid w:val="00217602"/>
    <w:rsid w:val="0021787F"/>
    <w:rsid w:val="00217D86"/>
    <w:rsid w:val="00217FD1"/>
    <w:rsid w:val="002200FE"/>
    <w:rsid w:val="00220275"/>
    <w:rsid w:val="0022032F"/>
    <w:rsid w:val="00220382"/>
    <w:rsid w:val="002203D7"/>
    <w:rsid w:val="002203EA"/>
    <w:rsid w:val="0022074E"/>
    <w:rsid w:val="00220753"/>
    <w:rsid w:val="00220796"/>
    <w:rsid w:val="00220996"/>
    <w:rsid w:val="00220B19"/>
    <w:rsid w:val="00220B5B"/>
    <w:rsid w:val="00220E9D"/>
    <w:rsid w:val="00220EA1"/>
    <w:rsid w:val="00221322"/>
    <w:rsid w:val="00221589"/>
    <w:rsid w:val="00221650"/>
    <w:rsid w:val="002217ED"/>
    <w:rsid w:val="00221872"/>
    <w:rsid w:val="0022192D"/>
    <w:rsid w:val="00221C68"/>
    <w:rsid w:val="00221E2C"/>
    <w:rsid w:val="0022205B"/>
    <w:rsid w:val="00222164"/>
    <w:rsid w:val="002223A6"/>
    <w:rsid w:val="00222496"/>
    <w:rsid w:val="002225C3"/>
    <w:rsid w:val="0022266A"/>
    <w:rsid w:val="00222863"/>
    <w:rsid w:val="002230A4"/>
    <w:rsid w:val="0022314D"/>
    <w:rsid w:val="002232F3"/>
    <w:rsid w:val="00223482"/>
    <w:rsid w:val="0022348E"/>
    <w:rsid w:val="002234F4"/>
    <w:rsid w:val="0022351F"/>
    <w:rsid w:val="00223C17"/>
    <w:rsid w:val="00223C39"/>
    <w:rsid w:val="00223CC4"/>
    <w:rsid w:val="00223D37"/>
    <w:rsid w:val="00223E20"/>
    <w:rsid w:val="00223EB9"/>
    <w:rsid w:val="00223EF8"/>
    <w:rsid w:val="002240B7"/>
    <w:rsid w:val="0022417A"/>
    <w:rsid w:val="00224264"/>
    <w:rsid w:val="00224534"/>
    <w:rsid w:val="002245CE"/>
    <w:rsid w:val="002248AC"/>
    <w:rsid w:val="00224A96"/>
    <w:rsid w:val="00224C11"/>
    <w:rsid w:val="00224CA7"/>
    <w:rsid w:val="00224E75"/>
    <w:rsid w:val="00224EFF"/>
    <w:rsid w:val="002250AE"/>
    <w:rsid w:val="002250DF"/>
    <w:rsid w:val="002251C6"/>
    <w:rsid w:val="0022523B"/>
    <w:rsid w:val="002252C8"/>
    <w:rsid w:val="00225754"/>
    <w:rsid w:val="002258D4"/>
    <w:rsid w:val="00225916"/>
    <w:rsid w:val="0022596A"/>
    <w:rsid w:val="00225BFD"/>
    <w:rsid w:val="00225E18"/>
    <w:rsid w:val="00225E6B"/>
    <w:rsid w:val="00225FB1"/>
    <w:rsid w:val="002260A3"/>
    <w:rsid w:val="002260F2"/>
    <w:rsid w:val="00226208"/>
    <w:rsid w:val="002263F2"/>
    <w:rsid w:val="0022653E"/>
    <w:rsid w:val="0022658B"/>
    <w:rsid w:val="002265EA"/>
    <w:rsid w:val="00226645"/>
    <w:rsid w:val="002266BB"/>
    <w:rsid w:val="00226736"/>
    <w:rsid w:val="0022676A"/>
    <w:rsid w:val="002268CB"/>
    <w:rsid w:val="00226986"/>
    <w:rsid w:val="002269E9"/>
    <w:rsid w:val="00226B9F"/>
    <w:rsid w:val="00226E83"/>
    <w:rsid w:val="0022715B"/>
    <w:rsid w:val="002272BF"/>
    <w:rsid w:val="0022758C"/>
    <w:rsid w:val="002275EE"/>
    <w:rsid w:val="00227634"/>
    <w:rsid w:val="0022768E"/>
    <w:rsid w:val="00227698"/>
    <w:rsid w:val="002277C0"/>
    <w:rsid w:val="002278DC"/>
    <w:rsid w:val="002279A5"/>
    <w:rsid w:val="00227B73"/>
    <w:rsid w:val="00227BB3"/>
    <w:rsid w:val="00227D38"/>
    <w:rsid w:val="00227DD4"/>
    <w:rsid w:val="00227DFD"/>
    <w:rsid w:val="00227E0E"/>
    <w:rsid w:val="00227FC8"/>
    <w:rsid w:val="00230194"/>
    <w:rsid w:val="0023032D"/>
    <w:rsid w:val="002305A1"/>
    <w:rsid w:val="0023073E"/>
    <w:rsid w:val="00230A2D"/>
    <w:rsid w:val="00230D43"/>
    <w:rsid w:val="00230D53"/>
    <w:rsid w:val="00230EDC"/>
    <w:rsid w:val="0023107C"/>
    <w:rsid w:val="00231128"/>
    <w:rsid w:val="0023112C"/>
    <w:rsid w:val="00231144"/>
    <w:rsid w:val="0023129E"/>
    <w:rsid w:val="002312FD"/>
    <w:rsid w:val="00231514"/>
    <w:rsid w:val="002318CF"/>
    <w:rsid w:val="00231C31"/>
    <w:rsid w:val="00231C9A"/>
    <w:rsid w:val="00231E52"/>
    <w:rsid w:val="002321B5"/>
    <w:rsid w:val="00232425"/>
    <w:rsid w:val="00232550"/>
    <w:rsid w:val="002327CD"/>
    <w:rsid w:val="00232B46"/>
    <w:rsid w:val="00232CAD"/>
    <w:rsid w:val="00232D45"/>
    <w:rsid w:val="00232F4E"/>
    <w:rsid w:val="002330DC"/>
    <w:rsid w:val="002331B6"/>
    <w:rsid w:val="0023327C"/>
    <w:rsid w:val="002332DF"/>
    <w:rsid w:val="00233377"/>
    <w:rsid w:val="0023346A"/>
    <w:rsid w:val="00233480"/>
    <w:rsid w:val="002335AD"/>
    <w:rsid w:val="00233684"/>
    <w:rsid w:val="00233987"/>
    <w:rsid w:val="002339AD"/>
    <w:rsid w:val="00233A9D"/>
    <w:rsid w:val="00233CA2"/>
    <w:rsid w:val="00233CEE"/>
    <w:rsid w:val="00233F93"/>
    <w:rsid w:val="00233FC5"/>
    <w:rsid w:val="002342E0"/>
    <w:rsid w:val="002343F1"/>
    <w:rsid w:val="002344C0"/>
    <w:rsid w:val="00234502"/>
    <w:rsid w:val="0023459E"/>
    <w:rsid w:val="00234681"/>
    <w:rsid w:val="00234747"/>
    <w:rsid w:val="00234779"/>
    <w:rsid w:val="0023479C"/>
    <w:rsid w:val="002347E8"/>
    <w:rsid w:val="00234925"/>
    <w:rsid w:val="00234A29"/>
    <w:rsid w:val="00234AC4"/>
    <w:rsid w:val="00234ED8"/>
    <w:rsid w:val="00234EE9"/>
    <w:rsid w:val="00234F71"/>
    <w:rsid w:val="00234F9F"/>
    <w:rsid w:val="002350DD"/>
    <w:rsid w:val="002351AB"/>
    <w:rsid w:val="00235205"/>
    <w:rsid w:val="00235289"/>
    <w:rsid w:val="002353BB"/>
    <w:rsid w:val="0023541D"/>
    <w:rsid w:val="0023546F"/>
    <w:rsid w:val="00235585"/>
    <w:rsid w:val="002355BE"/>
    <w:rsid w:val="002355E1"/>
    <w:rsid w:val="002358C7"/>
    <w:rsid w:val="00235A28"/>
    <w:rsid w:val="00235A82"/>
    <w:rsid w:val="00235D68"/>
    <w:rsid w:val="00235DF6"/>
    <w:rsid w:val="00235E0B"/>
    <w:rsid w:val="002361E3"/>
    <w:rsid w:val="002362AE"/>
    <w:rsid w:val="00236393"/>
    <w:rsid w:val="002363E9"/>
    <w:rsid w:val="0023659F"/>
    <w:rsid w:val="002365C9"/>
    <w:rsid w:val="00236929"/>
    <w:rsid w:val="00236CE0"/>
    <w:rsid w:val="00236EB2"/>
    <w:rsid w:val="00236F9B"/>
    <w:rsid w:val="002370B8"/>
    <w:rsid w:val="002371B3"/>
    <w:rsid w:val="00237375"/>
    <w:rsid w:val="00237439"/>
    <w:rsid w:val="002374E6"/>
    <w:rsid w:val="002375F0"/>
    <w:rsid w:val="0023760D"/>
    <w:rsid w:val="00237629"/>
    <w:rsid w:val="00237A33"/>
    <w:rsid w:val="00237A4E"/>
    <w:rsid w:val="00237AC9"/>
    <w:rsid w:val="00237D4C"/>
    <w:rsid w:val="00237ED4"/>
    <w:rsid w:val="00237FAE"/>
    <w:rsid w:val="002401D6"/>
    <w:rsid w:val="002403B8"/>
    <w:rsid w:val="002407E0"/>
    <w:rsid w:val="0024089F"/>
    <w:rsid w:val="002408F5"/>
    <w:rsid w:val="00240B10"/>
    <w:rsid w:val="00240CF5"/>
    <w:rsid w:val="00240E12"/>
    <w:rsid w:val="002412BF"/>
    <w:rsid w:val="002414B2"/>
    <w:rsid w:val="00241974"/>
    <w:rsid w:val="002419CE"/>
    <w:rsid w:val="00241F08"/>
    <w:rsid w:val="00242328"/>
    <w:rsid w:val="00242451"/>
    <w:rsid w:val="00242674"/>
    <w:rsid w:val="002426CB"/>
    <w:rsid w:val="002426F0"/>
    <w:rsid w:val="00242A8B"/>
    <w:rsid w:val="00242E7B"/>
    <w:rsid w:val="00242EB0"/>
    <w:rsid w:val="00242F45"/>
    <w:rsid w:val="00242FDC"/>
    <w:rsid w:val="00242FFD"/>
    <w:rsid w:val="002430E5"/>
    <w:rsid w:val="00243648"/>
    <w:rsid w:val="00243670"/>
    <w:rsid w:val="002436E1"/>
    <w:rsid w:val="00243C28"/>
    <w:rsid w:val="00243C50"/>
    <w:rsid w:val="00243D05"/>
    <w:rsid w:val="00243E10"/>
    <w:rsid w:val="00243E57"/>
    <w:rsid w:val="00243F8C"/>
    <w:rsid w:val="00243FB0"/>
    <w:rsid w:val="00244098"/>
    <w:rsid w:val="002440E1"/>
    <w:rsid w:val="00244105"/>
    <w:rsid w:val="00244258"/>
    <w:rsid w:val="002444D0"/>
    <w:rsid w:val="00244532"/>
    <w:rsid w:val="0024481A"/>
    <w:rsid w:val="00244896"/>
    <w:rsid w:val="00244A59"/>
    <w:rsid w:val="00244A77"/>
    <w:rsid w:val="002450A6"/>
    <w:rsid w:val="0024511B"/>
    <w:rsid w:val="002452BA"/>
    <w:rsid w:val="00245479"/>
    <w:rsid w:val="00245618"/>
    <w:rsid w:val="002456B7"/>
    <w:rsid w:val="002457AA"/>
    <w:rsid w:val="002457C8"/>
    <w:rsid w:val="0024580E"/>
    <w:rsid w:val="00245938"/>
    <w:rsid w:val="00245974"/>
    <w:rsid w:val="00245C0D"/>
    <w:rsid w:val="00245C96"/>
    <w:rsid w:val="00245CDB"/>
    <w:rsid w:val="00245E9E"/>
    <w:rsid w:val="00245EF3"/>
    <w:rsid w:val="00245F80"/>
    <w:rsid w:val="002461D5"/>
    <w:rsid w:val="002462C1"/>
    <w:rsid w:val="00246481"/>
    <w:rsid w:val="002464EB"/>
    <w:rsid w:val="002464EC"/>
    <w:rsid w:val="002465A4"/>
    <w:rsid w:val="002465E6"/>
    <w:rsid w:val="0024672E"/>
    <w:rsid w:val="002467E9"/>
    <w:rsid w:val="002467F9"/>
    <w:rsid w:val="002467FE"/>
    <w:rsid w:val="00246807"/>
    <w:rsid w:val="00246A99"/>
    <w:rsid w:val="00246BDE"/>
    <w:rsid w:val="00246C46"/>
    <w:rsid w:val="00246C57"/>
    <w:rsid w:val="00246C9A"/>
    <w:rsid w:val="00246D45"/>
    <w:rsid w:val="00246DF5"/>
    <w:rsid w:val="00246ED2"/>
    <w:rsid w:val="00247108"/>
    <w:rsid w:val="002471AE"/>
    <w:rsid w:val="002471BE"/>
    <w:rsid w:val="00247242"/>
    <w:rsid w:val="00247261"/>
    <w:rsid w:val="002474D3"/>
    <w:rsid w:val="002475B3"/>
    <w:rsid w:val="002477DE"/>
    <w:rsid w:val="00247821"/>
    <w:rsid w:val="00247A10"/>
    <w:rsid w:val="00247BFC"/>
    <w:rsid w:val="00247CB9"/>
    <w:rsid w:val="00247D4B"/>
    <w:rsid w:val="00247EFA"/>
    <w:rsid w:val="00250162"/>
    <w:rsid w:val="00250216"/>
    <w:rsid w:val="00250791"/>
    <w:rsid w:val="0025086D"/>
    <w:rsid w:val="00250883"/>
    <w:rsid w:val="002508AB"/>
    <w:rsid w:val="002509D1"/>
    <w:rsid w:val="00250A50"/>
    <w:rsid w:val="00250ABE"/>
    <w:rsid w:val="00250D26"/>
    <w:rsid w:val="00250E1D"/>
    <w:rsid w:val="00250EB1"/>
    <w:rsid w:val="00250EE1"/>
    <w:rsid w:val="0025103A"/>
    <w:rsid w:val="0025114F"/>
    <w:rsid w:val="00251201"/>
    <w:rsid w:val="002512C5"/>
    <w:rsid w:val="002513CE"/>
    <w:rsid w:val="00251433"/>
    <w:rsid w:val="002515A8"/>
    <w:rsid w:val="0025161F"/>
    <w:rsid w:val="00251644"/>
    <w:rsid w:val="00251678"/>
    <w:rsid w:val="00251733"/>
    <w:rsid w:val="00251C0D"/>
    <w:rsid w:val="00251D77"/>
    <w:rsid w:val="002521CE"/>
    <w:rsid w:val="00252291"/>
    <w:rsid w:val="00252355"/>
    <w:rsid w:val="00252390"/>
    <w:rsid w:val="002523CB"/>
    <w:rsid w:val="0025257E"/>
    <w:rsid w:val="00252789"/>
    <w:rsid w:val="002527C8"/>
    <w:rsid w:val="00252833"/>
    <w:rsid w:val="00252858"/>
    <w:rsid w:val="00252B51"/>
    <w:rsid w:val="00252BE8"/>
    <w:rsid w:val="00252D78"/>
    <w:rsid w:val="00252E69"/>
    <w:rsid w:val="00253136"/>
    <w:rsid w:val="00253212"/>
    <w:rsid w:val="002532D1"/>
    <w:rsid w:val="0025332A"/>
    <w:rsid w:val="002533F3"/>
    <w:rsid w:val="002534BE"/>
    <w:rsid w:val="002535A7"/>
    <w:rsid w:val="002535C5"/>
    <w:rsid w:val="002537B1"/>
    <w:rsid w:val="0025391A"/>
    <w:rsid w:val="00253938"/>
    <w:rsid w:val="00253AD6"/>
    <w:rsid w:val="00253BA6"/>
    <w:rsid w:val="00253C51"/>
    <w:rsid w:val="00253D22"/>
    <w:rsid w:val="00254080"/>
    <w:rsid w:val="00254413"/>
    <w:rsid w:val="00254442"/>
    <w:rsid w:val="0025447E"/>
    <w:rsid w:val="00254531"/>
    <w:rsid w:val="0025464B"/>
    <w:rsid w:val="002547BB"/>
    <w:rsid w:val="00254817"/>
    <w:rsid w:val="002549B4"/>
    <w:rsid w:val="002549D2"/>
    <w:rsid w:val="00254B57"/>
    <w:rsid w:val="00254BCB"/>
    <w:rsid w:val="00254C61"/>
    <w:rsid w:val="00254CD3"/>
    <w:rsid w:val="00254CE3"/>
    <w:rsid w:val="00254E8F"/>
    <w:rsid w:val="00254FE3"/>
    <w:rsid w:val="002552F2"/>
    <w:rsid w:val="0025532D"/>
    <w:rsid w:val="0025545C"/>
    <w:rsid w:val="002554D0"/>
    <w:rsid w:val="002555B0"/>
    <w:rsid w:val="002555E8"/>
    <w:rsid w:val="00255790"/>
    <w:rsid w:val="002558A8"/>
    <w:rsid w:val="002559A3"/>
    <w:rsid w:val="002559AD"/>
    <w:rsid w:val="00255C62"/>
    <w:rsid w:val="00255DC8"/>
    <w:rsid w:val="00255EAE"/>
    <w:rsid w:val="00255F6F"/>
    <w:rsid w:val="002568AB"/>
    <w:rsid w:val="0025694B"/>
    <w:rsid w:val="0025696B"/>
    <w:rsid w:val="00256B31"/>
    <w:rsid w:val="00256E9F"/>
    <w:rsid w:val="00256F6A"/>
    <w:rsid w:val="002570AA"/>
    <w:rsid w:val="002570BA"/>
    <w:rsid w:val="00257171"/>
    <w:rsid w:val="002574B2"/>
    <w:rsid w:val="00257607"/>
    <w:rsid w:val="002578F2"/>
    <w:rsid w:val="00257EC8"/>
    <w:rsid w:val="0026012C"/>
    <w:rsid w:val="0026027A"/>
    <w:rsid w:val="00260376"/>
    <w:rsid w:val="002605A3"/>
    <w:rsid w:val="0026067C"/>
    <w:rsid w:val="0026068B"/>
    <w:rsid w:val="00260A9A"/>
    <w:rsid w:val="00260B0E"/>
    <w:rsid w:val="00260C33"/>
    <w:rsid w:val="00260D96"/>
    <w:rsid w:val="00260E66"/>
    <w:rsid w:val="00260F13"/>
    <w:rsid w:val="00260F47"/>
    <w:rsid w:val="00261164"/>
    <w:rsid w:val="00261168"/>
    <w:rsid w:val="002611C5"/>
    <w:rsid w:val="00261266"/>
    <w:rsid w:val="002612D7"/>
    <w:rsid w:val="002615E0"/>
    <w:rsid w:val="002616F8"/>
    <w:rsid w:val="002618FB"/>
    <w:rsid w:val="00261906"/>
    <w:rsid w:val="00261A8F"/>
    <w:rsid w:val="00261C6A"/>
    <w:rsid w:val="00261E04"/>
    <w:rsid w:val="00261F31"/>
    <w:rsid w:val="00262009"/>
    <w:rsid w:val="002620C9"/>
    <w:rsid w:val="002621BE"/>
    <w:rsid w:val="0026233A"/>
    <w:rsid w:val="002623C2"/>
    <w:rsid w:val="00262464"/>
    <w:rsid w:val="0026258B"/>
    <w:rsid w:val="00262872"/>
    <w:rsid w:val="00262998"/>
    <w:rsid w:val="00262AB5"/>
    <w:rsid w:val="00262EFC"/>
    <w:rsid w:val="00263116"/>
    <w:rsid w:val="00263292"/>
    <w:rsid w:val="002632D2"/>
    <w:rsid w:val="00263642"/>
    <w:rsid w:val="00263716"/>
    <w:rsid w:val="00263750"/>
    <w:rsid w:val="00263881"/>
    <w:rsid w:val="002638C0"/>
    <w:rsid w:val="0026391F"/>
    <w:rsid w:val="00263A14"/>
    <w:rsid w:val="00263A47"/>
    <w:rsid w:val="00263B5D"/>
    <w:rsid w:val="00263C8D"/>
    <w:rsid w:val="00263D2C"/>
    <w:rsid w:val="00263D2D"/>
    <w:rsid w:val="00263DEB"/>
    <w:rsid w:val="0026418E"/>
    <w:rsid w:val="00264196"/>
    <w:rsid w:val="002643B9"/>
    <w:rsid w:val="00264548"/>
    <w:rsid w:val="00264B22"/>
    <w:rsid w:val="00264B43"/>
    <w:rsid w:val="00264D0A"/>
    <w:rsid w:val="00264D3A"/>
    <w:rsid w:val="00264D7E"/>
    <w:rsid w:val="00264DA5"/>
    <w:rsid w:val="00264E9A"/>
    <w:rsid w:val="00265051"/>
    <w:rsid w:val="00265055"/>
    <w:rsid w:val="002650D4"/>
    <w:rsid w:val="002650DD"/>
    <w:rsid w:val="00265120"/>
    <w:rsid w:val="00265219"/>
    <w:rsid w:val="00265396"/>
    <w:rsid w:val="00265398"/>
    <w:rsid w:val="00265437"/>
    <w:rsid w:val="0026544C"/>
    <w:rsid w:val="002656A1"/>
    <w:rsid w:val="0026570C"/>
    <w:rsid w:val="002657B7"/>
    <w:rsid w:val="002659E9"/>
    <w:rsid w:val="00265AE9"/>
    <w:rsid w:val="00265BC5"/>
    <w:rsid w:val="00265C5B"/>
    <w:rsid w:val="00265D26"/>
    <w:rsid w:val="00265D92"/>
    <w:rsid w:val="00265DB9"/>
    <w:rsid w:val="00265EB1"/>
    <w:rsid w:val="0026605A"/>
    <w:rsid w:val="002661E8"/>
    <w:rsid w:val="0026630B"/>
    <w:rsid w:val="0026636B"/>
    <w:rsid w:val="00266483"/>
    <w:rsid w:val="00266703"/>
    <w:rsid w:val="0026688D"/>
    <w:rsid w:val="00266A22"/>
    <w:rsid w:val="00266A44"/>
    <w:rsid w:val="00266BCB"/>
    <w:rsid w:val="00266C31"/>
    <w:rsid w:val="00266EA2"/>
    <w:rsid w:val="00266ED9"/>
    <w:rsid w:val="00266FA1"/>
    <w:rsid w:val="00266FF3"/>
    <w:rsid w:val="00267079"/>
    <w:rsid w:val="0026728F"/>
    <w:rsid w:val="0026735D"/>
    <w:rsid w:val="00267392"/>
    <w:rsid w:val="00267406"/>
    <w:rsid w:val="002677CB"/>
    <w:rsid w:val="00267935"/>
    <w:rsid w:val="00267A18"/>
    <w:rsid w:val="00267B57"/>
    <w:rsid w:val="00267C60"/>
    <w:rsid w:val="00270140"/>
    <w:rsid w:val="0027016B"/>
    <w:rsid w:val="0027062D"/>
    <w:rsid w:val="002709E0"/>
    <w:rsid w:val="00270AA2"/>
    <w:rsid w:val="00270C00"/>
    <w:rsid w:val="00270C1C"/>
    <w:rsid w:val="00270CE1"/>
    <w:rsid w:val="00270D4F"/>
    <w:rsid w:val="00270DAD"/>
    <w:rsid w:val="00270EAB"/>
    <w:rsid w:val="00270FCD"/>
    <w:rsid w:val="0027100F"/>
    <w:rsid w:val="002710F9"/>
    <w:rsid w:val="00271441"/>
    <w:rsid w:val="00271454"/>
    <w:rsid w:val="0027150D"/>
    <w:rsid w:val="002716A8"/>
    <w:rsid w:val="00271D9F"/>
    <w:rsid w:val="00271DD5"/>
    <w:rsid w:val="00272007"/>
    <w:rsid w:val="00272034"/>
    <w:rsid w:val="0027217E"/>
    <w:rsid w:val="0027217F"/>
    <w:rsid w:val="00272207"/>
    <w:rsid w:val="00272383"/>
    <w:rsid w:val="0027262C"/>
    <w:rsid w:val="002727F6"/>
    <w:rsid w:val="0027282B"/>
    <w:rsid w:val="00272BC9"/>
    <w:rsid w:val="00272BCF"/>
    <w:rsid w:val="00272C35"/>
    <w:rsid w:val="00272E28"/>
    <w:rsid w:val="00272E5D"/>
    <w:rsid w:val="00272EEA"/>
    <w:rsid w:val="00272FFC"/>
    <w:rsid w:val="002731FC"/>
    <w:rsid w:val="00273258"/>
    <w:rsid w:val="0027337D"/>
    <w:rsid w:val="002733F7"/>
    <w:rsid w:val="00273418"/>
    <w:rsid w:val="00273449"/>
    <w:rsid w:val="002735E6"/>
    <w:rsid w:val="00273656"/>
    <w:rsid w:val="00273705"/>
    <w:rsid w:val="00273768"/>
    <w:rsid w:val="0027383E"/>
    <w:rsid w:val="002738CA"/>
    <w:rsid w:val="002739E5"/>
    <w:rsid w:val="002739E8"/>
    <w:rsid w:val="00273B95"/>
    <w:rsid w:val="00273C3E"/>
    <w:rsid w:val="00273F22"/>
    <w:rsid w:val="00273FCC"/>
    <w:rsid w:val="0027407D"/>
    <w:rsid w:val="00274148"/>
    <w:rsid w:val="002741A7"/>
    <w:rsid w:val="00274205"/>
    <w:rsid w:val="00274260"/>
    <w:rsid w:val="002742E7"/>
    <w:rsid w:val="00274340"/>
    <w:rsid w:val="0027434F"/>
    <w:rsid w:val="00274460"/>
    <w:rsid w:val="002745D9"/>
    <w:rsid w:val="002745DF"/>
    <w:rsid w:val="002746CC"/>
    <w:rsid w:val="0027477D"/>
    <w:rsid w:val="00274925"/>
    <w:rsid w:val="00274C11"/>
    <w:rsid w:val="00274CE6"/>
    <w:rsid w:val="00274FBD"/>
    <w:rsid w:val="00275022"/>
    <w:rsid w:val="00275111"/>
    <w:rsid w:val="00275113"/>
    <w:rsid w:val="0027516C"/>
    <w:rsid w:val="002751E1"/>
    <w:rsid w:val="0027575C"/>
    <w:rsid w:val="0027578E"/>
    <w:rsid w:val="00275B74"/>
    <w:rsid w:val="00275F25"/>
    <w:rsid w:val="00276250"/>
    <w:rsid w:val="00276347"/>
    <w:rsid w:val="0027641B"/>
    <w:rsid w:val="00276454"/>
    <w:rsid w:val="0027667C"/>
    <w:rsid w:val="00276758"/>
    <w:rsid w:val="002768AC"/>
    <w:rsid w:val="00276929"/>
    <w:rsid w:val="0027697B"/>
    <w:rsid w:val="00276B5D"/>
    <w:rsid w:val="00276E61"/>
    <w:rsid w:val="00276E64"/>
    <w:rsid w:val="00276E66"/>
    <w:rsid w:val="00277266"/>
    <w:rsid w:val="00277348"/>
    <w:rsid w:val="0027740D"/>
    <w:rsid w:val="00277690"/>
    <w:rsid w:val="00277766"/>
    <w:rsid w:val="0027787F"/>
    <w:rsid w:val="00277A13"/>
    <w:rsid w:val="00277C1E"/>
    <w:rsid w:val="00277D93"/>
    <w:rsid w:val="00277E92"/>
    <w:rsid w:val="00277FDD"/>
    <w:rsid w:val="00280156"/>
    <w:rsid w:val="0028022D"/>
    <w:rsid w:val="002803C8"/>
    <w:rsid w:val="00280609"/>
    <w:rsid w:val="002809AD"/>
    <w:rsid w:val="00280C0B"/>
    <w:rsid w:val="00280E33"/>
    <w:rsid w:val="00281011"/>
    <w:rsid w:val="002810B1"/>
    <w:rsid w:val="002812D7"/>
    <w:rsid w:val="00281471"/>
    <w:rsid w:val="002814EB"/>
    <w:rsid w:val="00281675"/>
    <w:rsid w:val="002816EB"/>
    <w:rsid w:val="002818B6"/>
    <w:rsid w:val="002818E7"/>
    <w:rsid w:val="00281931"/>
    <w:rsid w:val="0028194D"/>
    <w:rsid w:val="00281B14"/>
    <w:rsid w:val="00281C04"/>
    <w:rsid w:val="0028218E"/>
    <w:rsid w:val="0028221E"/>
    <w:rsid w:val="00282783"/>
    <w:rsid w:val="00282829"/>
    <w:rsid w:val="002829BD"/>
    <w:rsid w:val="002829FB"/>
    <w:rsid w:val="00282A4F"/>
    <w:rsid w:val="00282AD0"/>
    <w:rsid w:val="00282BB3"/>
    <w:rsid w:val="00282D31"/>
    <w:rsid w:val="00282EFF"/>
    <w:rsid w:val="0028307E"/>
    <w:rsid w:val="002832F4"/>
    <w:rsid w:val="00283480"/>
    <w:rsid w:val="00283481"/>
    <w:rsid w:val="0028356F"/>
    <w:rsid w:val="00283618"/>
    <w:rsid w:val="0028378A"/>
    <w:rsid w:val="00283C1F"/>
    <w:rsid w:val="00283CD6"/>
    <w:rsid w:val="00283D69"/>
    <w:rsid w:val="00283DB2"/>
    <w:rsid w:val="00283E40"/>
    <w:rsid w:val="00283E8A"/>
    <w:rsid w:val="00283E9D"/>
    <w:rsid w:val="00283EF0"/>
    <w:rsid w:val="00283FA7"/>
    <w:rsid w:val="00284170"/>
    <w:rsid w:val="0028424B"/>
    <w:rsid w:val="00284375"/>
    <w:rsid w:val="00284406"/>
    <w:rsid w:val="00284408"/>
    <w:rsid w:val="00284557"/>
    <w:rsid w:val="0028467A"/>
    <w:rsid w:val="002849D0"/>
    <w:rsid w:val="00284A1A"/>
    <w:rsid w:val="00284CE6"/>
    <w:rsid w:val="00284D6C"/>
    <w:rsid w:val="00284F98"/>
    <w:rsid w:val="00285129"/>
    <w:rsid w:val="00285340"/>
    <w:rsid w:val="0028537B"/>
    <w:rsid w:val="0028546C"/>
    <w:rsid w:val="002854D7"/>
    <w:rsid w:val="002856B8"/>
    <w:rsid w:val="0028587C"/>
    <w:rsid w:val="0028591D"/>
    <w:rsid w:val="00285A61"/>
    <w:rsid w:val="00285B3C"/>
    <w:rsid w:val="00285E1F"/>
    <w:rsid w:val="00285F7D"/>
    <w:rsid w:val="00285FDC"/>
    <w:rsid w:val="00286043"/>
    <w:rsid w:val="0028607D"/>
    <w:rsid w:val="00286123"/>
    <w:rsid w:val="0028614F"/>
    <w:rsid w:val="002862A0"/>
    <w:rsid w:val="0028632C"/>
    <w:rsid w:val="0028635A"/>
    <w:rsid w:val="002865C5"/>
    <w:rsid w:val="002865C8"/>
    <w:rsid w:val="00286615"/>
    <w:rsid w:val="002868DB"/>
    <w:rsid w:val="0028696E"/>
    <w:rsid w:val="00286A19"/>
    <w:rsid w:val="00286A99"/>
    <w:rsid w:val="00286AFE"/>
    <w:rsid w:val="00286BE0"/>
    <w:rsid w:val="00286DD1"/>
    <w:rsid w:val="002870E6"/>
    <w:rsid w:val="00287190"/>
    <w:rsid w:val="002871D0"/>
    <w:rsid w:val="0028720E"/>
    <w:rsid w:val="002872B5"/>
    <w:rsid w:val="00287382"/>
    <w:rsid w:val="0028753D"/>
    <w:rsid w:val="002876FB"/>
    <w:rsid w:val="002879BF"/>
    <w:rsid w:val="00287AE7"/>
    <w:rsid w:val="00287B9D"/>
    <w:rsid w:val="00287BE3"/>
    <w:rsid w:val="00287CEE"/>
    <w:rsid w:val="00287D1F"/>
    <w:rsid w:val="00287DB0"/>
    <w:rsid w:val="00287FB3"/>
    <w:rsid w:val="00287FD7"/>
    <w:rsid w:val="002900A2"/>
    <w:rsid w:val="002901AD"/>
    <w:rsid w:val="0029028A"/>
    <w:rsid w:val="002902F3"/>
    <w:rsid w:val="00290371"/>
    <w:rsid w:val="002903EE"/>
    <w:rsid w:val="0029066C"/>
    <w:rsid w:val="002908B4"/>
    <w:rsid w:val="002908DE"/>
    <w:rsid w:val="002908ED"/>
    <w:rsid w:val="00290962"/>
    <w:rsid w:val="00290BF0"/>
    <w:rsid w:val="00290CCF"/>
    <w:rsid w:val="00290D80"/>
    <w:rsid w:val="00290E4C"/>
    <w:rsid w:val="00290EE0"/>
    <w:rsid w:val="00290EF2"/>
    <w:rsid w:val="00290F93"/>
    <w:rsid w:val="00291090"/>
    <w:rsid w:val="0029111A"/>
    <w:rsid w:val="0029132C"/>
    <w:rsid w:val="00291388"/>
    <w:rsid w:val="002914D2"/>
    <w:rsid w:val="00291818"/>
    <w:rsid w:val="00291B3F"/>
    <w:rsid w:val="00291CEB"/>
    <w:rsid w:val="00291D9C"/>
    <w:rsid w:val="00291DD8"/>
    <w:rsid w:val="00292067"/>
    <w:rsid w:val="0029235A"/>
    <w:rsid w:val="00292500"/>
    <w:rsid w:val="002925C8"/>
    <w:rsid w:val="002925E7"/>
    <w:rsid w:val="002926B6"/>
    <w:rsid w:val="00292708"/>
    <w:rsid w:val="00292816"/>
    <w:rsid w:val="002928C9"/>
    <w:rsid w:val="0029299D"/>
    <w:rsid w:val="00292CC5"/>
    <w:rsid w:val="00292D0A"/>
    <w:rsid w:val="00292EB9"/>
    <w:rsid w:val="00292F80"/>
    <w:rsid w:val="00292F9F"/>
    <w:rsid w:val="0029303D"/>
    <w:rsid w:val="0029318E"/>
    <w:rsid w:val="00293293"/>
    <w:rsid w:val="002932D9"/>
    <w:rsid w:val="0029337E"/>
    <w:rsid w:val="002933B5"/>
    <w:rsid w:val="002933CC"/>
    <w:rsid w:val="002935F9"/>
    <w:rsid w:val="00293672"/>
    <w:rsid w:val="00293735"/>
    <w:rsid w:val="00293A2B"/>
    <w:rsid w:val="00293D39"/>
    <w:rsid w:val="00293E26"/>
    <w:rsid w:val="00293E67"/>
    <w:rsid w:val="002940C3"/>
    <w:rsid w:val="0029437D"/>
    <w:rsid w:val="00294441"/>
    <w:rsid w:val="00294480"/>
    <w:rsid w:val="00294492"/>
    <w:rsid w:val="002944AD"/>
    <w:rsid w:val="00294721"/>
    <w:rsid w:val="0029480B"/>
    <w:rsid w:val="00294811"/>
    <w:rsid w:val="00294903"/>
    <w:rsid w:val="00294CE7"/>
    <w:rsid w:val="00294F10"/>
    <w:rsid w:val="00295014"/>
    <w:rsid w:val="002953CC"/>
    <w:rsid w:val="0029551B"/>
    <w:rsid w:val="0029561E"/>
    <w:rsid w:val="0029566D"/>
    <w:rsid w:val="002956C4"/>
    <w:rsid w:val="002959D2"/>
    <w:rsid w:val="00295A38"/>
    <w:rsid w:val="00295BCF"/>
    <w:rsid w:val="00295C17"/>
    <w:rsid w:val="00295D40"/>
    <w:rsid w:val="00296124"/>
    <w:rsid w:val="002962E5"/>
    <w:rsid w:val="0029635D"/>
    <w:rsid w:val="002967F2"/>
    <w:rsid w:val="00296A7B"/>
    <w:rsid w:val="00296BA1"/>
    <w:rsid w:val="00296D0F"/>
    <w:rsid w:val="0029743B"/>
    <w:rsid w:val="00297666"/>
    <w:rsid w:val="00297E4F"/>
    <w:rsid w:val="00297E93"/>
    <w:rsid w:val="00297FD7"/>
    <w:rsid w:val="002A0098"/>
    <w:rsid w:val="002A00AF"/>
    <w:rsid w:val="002A00EB"/>
    <w:rsid w:val="002A019B"/>
    <w:rsid w:val="002A01EF"/>
    <w:rsid w:val="002A0221"/>
    <w:rsid w:val="002A05DE"/>
    <w:rsid w:val="002A0678"/>
    <w:rsid w:val="002A0810"/>
    <w:rsid w:val="002A087D"/>
    <w:rsid w:val="002A089C"/>
    <w:rsid w:val="002A08C1"/>
    <w:rsid w:val="002A0C81"/>
    <w:rsid w:val="002A0CD2"/>
    <w:rsid w:val="002A0DFA"/>
    <w:rsid w:val="002A110F"/>
    <w:rsid w:val="002A1154"/>
    <w:rsid w:val="002A115B"/>
    <w:rsid w:val="002A129E"/>
    <w:rsid w:val="002A12AE"/>
    <w:rsid w:val="002A15A5"/>
    <w:rsid w:val="002A1754"/>
    <w:rsid w:val="002A17CB"/>
    <w:rsid w:val="002A1823"/>
    <w:rsid w:val="002A195C"/>
    <w:rsid w:val="002A1997"/>
    <w:rsid w:val="002A1A34"/>
    <w:rsid w:val="002A1AEC"/>
    <w:rsid w:val="002A1B1F"/>
    <w:rsid w:val="002A1B26"/>
    <w:rsid w:val="002A1B48"/>
    <w:rsid w:val="002A2058"/>
    <w:rsid w:val="002A220C"/>
    <w:rsid w:val="002A22F3"/>
    <w:rsid w:val="002A279E"/>
    <w:rsid w:val="002A286B"/>
    <w:rsid w:val="002A29D7"/>
    <w:rsid w:val="002A2E24"/>
    <w:rsid w:val="002A30F6"/>
    <w:rsid w:val="002A320F"/>
    <w:rsid w:val="002A33FC"/>
    <w:rsid w:val="002A3517"/>
    <w:rsid w:val="002A35EE"/>
    <w:rsid w:val="002A3662"/>
    <w:rsid w:val="002A3BD8"/>
    <w:rsid w:val="002A3C68"/>
    <w:rsid w:val="002A3E89"/>
    <w:rsid w:val="002A3F0C"/>
    <w:rsid w:val="002A3F35"/>
    <w:rsid w:val="002A3FD3"/>
    <w:rsid w:val="002A4101"/>
    <w:rsid w:val="002A41BB"/>
    <w:rsid w:val="002A4236"/>
    <w:rsid w:val="002A434D"/>
    <w:rsid w:val="002A4374"/>
    <w:rsid w:val="002A43AF"/>
    <w:rsid w:val="002A440A"/>
    <w:rsid w:val="002A4421"/>
    <w:rsid w:val="002A4423"/>
    <w:rsid w:val="002A4468"/>
    <w:rsid w:val="002A469B"/>
    <w:rsid w:val="002A470B"/>
    <w:rsid w:val="002A48B9"/>
    <w:rsid w:val="002A48C5"/>
    <w:rsid w:val="002A4C05"/>
    <w:rsid w:val="002A4D2A"/>
    <w:rsid w:val="002A4D37"/>
    <w:rsid w:val="002A4E6B"/>
    <w:rsid w:val="002A5005"/>
    <w:rsid w:val="002A503E"/>
    <w:rsid w:val="002A5064"/>
    <w:rsid w:val="002A50A1"/>
    <w:rsid w:val="002A5168"/>
    <w:rsid w:val="002A520C"/>
    <w:rsid w:val="002A521E"/>
    <w:rsid w:val="002A5354"/>
    <w:rsid w:val="002A5510"/>
    <w:rsid w:val="002A552F"/>
    <w:rsid w:val="002A561B"/>
    <w:rsid w:val="002A5795"/>
    <w:rsid w:val="002A5BD6"/>
    <w:rsid w:val="002A5CF8"/>
    <w:rsid w:val="002A5DC2"/>
    <w:rsid w:val="002A5E01"/>
    <w:rsid w:val="002A5F4A"/>
    <w:rsid w:val="002A6107"/>
    <w:rsid w:val="002A612A"/>
    <w:rsid w:val="002A6189"/>
    <w:rsid w:val="002A6431"/>
    <w:rsid w:val="002A649F"/>
    <w:rsid w:val="002A64E0"/>
    <w:rsid w:val="002A6575"/>
    <w:rsid w:val="002A658F"/>
    <w:rsid w:val="002A696B"/>
    <w:rsid w:val="002A6B16"/>
    <w:rsid w:val="002A6CBB"/>
    <w:rsid w:val="002A6E0B"/>
    <w:rsid w:val="002A6FF2"/>
    <w:rsid w:val="002A70C7"/>
    <w:rsid w:val="002A71FC"/>
    <w:rsid w:val="002A732F"/>
    <w:rsid w:val="002A7373"/>
    <w:rsid w:val="002A7394"/>
    <w:rsid w:val="002A73E9"/>
    <w:rsid w:val="002A7422"/>
    <w:rsid w:val="002A754E"/>
    <w:rsid w:val="002A75BD"/>
    <w:rsid w:val="002A778C"/>
    <w:rsid w:val="002A79BF"/>
    <w:rsid w:val="002A7C1A"/>
    <w:rsid w:val="002A7D34"/>
    <w:rsid w:val="002A7EEC"/>
    <w:rsid w:val="002B002B"/>
    <w:rsid w:val="002B0099"/>
    <w:rsid w:val="002B02FE"/>
    <w:rsid w:val="002B0310"/>
    <w:rsid w:val="002B0380"/>
    <w:rsid w:val="002B0524"/>
    <w:rsid w:val="002B05CC"/>
    <w:rsid w:val="002B060C"/>
    <w:rsid w:val="002B08AF"/>
    <w:rsid w:val="002B0F29"/>
    <w:rsid w:val="002B0F6F"/>
    <w:rsid w:val="002B0FDE"/>
    <w:rsid w:val="002B1143"/>
    <w:rsid w:val="002B151E"/>
    <w:rsid w:val="002B1594"/>
    <w:rsid w:val="002B15FD"/>
    <w:rsid w:val="002B1702"/>
    <w:rsid w:val="002B19E7"/>
    <w:rsid w:val="002B1A5B"/>
    <w:rsid w:val="002B1A7A"/>
    <w:rsid w:val="002B1D4B"/>
    <w:rsid w:val="002B1F00"/>
    <w:rsid w:val="002B1FCA"/>
    <w:rsid w:val="002B2030"/>
    <w:rsid w:val="002B2100"/>
    <w:rsid w:val="002B2263"/>
    <w:rsid w:val="002B25AE"/>
    <w:rsid w:val="002B27FF"/>
    <w:rsid w:val="002B2815"/>
    <w:rsid w:val="002B28AC"/>
    <w:rsid w:val="002B29CC"/>
    <w:rsid w:val="002B29F5"/>
    <w:rsid w:val="002B2A03"/>
    <w:rsid w:val="002B2AFB"/>
    <w:rsid w:val="002B2BD5"/>
    <w:rsid w:val="002B2E73"/>
    <w:rsid w:val="002B2F45"/>
    <w:rsid w:val="002B2F6E"/>
    <w:rsid w:val="002B2FFD"/>
    <w:rsid w:val="002B3499"/>
    <w:rsid w:val="002B3560"/>
    <w:rsid w:val="002B3581"/>
    <w:rsid w:val="002B37BA"/>
    <w:rsid w:val="002B3956"/>
    <w:rsid w:val="002B3B15"/>
    <w:rsid w:val="002B3CCD"/>
    <w:rsid w:val="002B3F55"/>
    <w:rsid w:val="002B4020"/>
    <w:rsid w:val="002B406A"/>
    <w:rsid w:val="002B409A"/>
    <w:rsid w:val="002B40E8"/>
    <w:rsid w:val="002B41A7"/>
    <w:rsid w:val="002B4217"/>
    <w:rsid w:val="002B4225"/>
    <w:rsid w:val="002B435C"/>
    <w:rsid w:val="002B4868"/>
    <w:rsid w:val="002B4978"/>
    <w:rsid w:val="002B4A90"/>
    <w:rsid w:val="002B4BFF"/>
    <w:rsid w:val="002B4C48"/>
    <w:rsid w:val="002B4D23"/>
    <w:rsid w:val="002B4D8D"/>
    <w:rsid w:val="002B4DC3"/>
    <w:rsid w:val="002B4F38"/>
    <w:rsid w:val="002B5288"/>
    <w:rsid w:val="002B53D3"/>
    <w:rsid w:val="002B541B"/>
    <w:rsid w:val="002B55AB"/>
    <w:rsid w:val="002B5662"/>
    <w:rsid w:val="002B5673"/>
    <w:rsid w:val="002B574C"/>
    <w:rsid w:val="002B578F"/>
    <w:rsid w:val="002B592F"/>
    <w:rsid w:val="002B5B58"/>
    <w:rsid w:val="002B5B66"/>
    <w:rsid w:val="002B5FD3"/>
    <w:rsid w:val="002B5FE2"/>
    <w:rsid w:val="002B607B"/>
    <w:rsid w:val="002B610F"/>
    <w:rsid w:val="002B6127"/>
    <w:rsid w:val="002B6376"/>
    <w:rsid w:val="002B6493"/>
    <w:rsid w:val="002B67DC"/>
    <w:rsid w:val="002B68C5"/>
    <w:rsid w:val="002B6B69"/>
    <w:rsid w:val="002B6CFC"/>
    <w:rsid w:val="002B6EB9"/>
    <w:rsid w:val="002B7002"/>
    <w:rsid w:val="002B7051"/>
    <w:rsid w:val="002B7103"/>
    <w:rsid w:val="002B7149"/>
    <w:rsid w:val="002B7213"/>
    <w:rsid w:val="002B7584"/>
    <w:rsid w:val="002B7A16"/>
    <w:rsid w:val="002B7A2B"/>
    <w:rsid w:val="002B7B72"/>
    <w:rsid w:val="002B7E81"/>
    <w:rsid w:val="002B7ED3"/>
    <w:rsid w:val="002C001F"/>
    <w:rsid w:val="002C0136"/>
    <w:rsid w:val="002C01B3"/>
    <w:rsid w:val="002C023D"/>
    <w:rsid w:val="002C02FF"/>
    <w:rsid w:val="002C0362"/>
    <w:rsid w:val="002C03E5"/>
    <w:rsid w:val="002C041C"/>
    <w:rsid w:val="002C04FD"/>
    <w:rsid w:val="002C087C"/>
    <w:rsid w:val="002C08AE"/>
    <w:rsid w:val="002C0BC5"/>
    <w:rsid w:val="002C0C0E"/>
    <w:rsid w:val="002C0E82"/>
    <w:rsid w:val="002C11E2"/>
    <w:rsid w:val="002C1598"/>
    <w:rsid w:val="002C1717"/>
    <w:rsid w:val="002C1744"/>
    <w:rsid w:val="002C1796"/>
    <w:rsid w:val="002C196C"/>
    <w:rsid w:val="002C1A04"/>
    <w:rsid w:val="002C1AE9"/>
    <w:rsid w:val="002C1B41"/>
    <w:rsid w:val="002C1DFC"/>
    <w:rsid w:val="002C203A"/>
    <w:rsid w:val="002C2199"/>
    <w:rsid w:val="002C2241"/>
    <w:rsid w:val="002C245C"/>
    <w:rsid w:val="002C2460"/>
    <w:rsid w:val="002C29C8"/>
    <w:rsid w:val="002C31E2"/>
    <w:rsid w:val="002C3288"/>
    <w:rsid w:val="002C32D9"/>
    <w:rsid w:val="002C3595"/>
    <w:rsid w:val="002C3775"/>
    <w:rsid w:val="002C382C"/>
    <w:rsid w:val="002C3853"/>
    <w:rsid w:val="002C3993"/>
    <w:rsid w:val="002C3B43"/>
    <w:rsid w:val="002C3ECE"/>
    <w:rsid w:val="002C3F93"/>
    <w:rsid w:val="002C42B7"/>
    <w:rsid w:val="002C43A0"/>
    <w:rsid w:val="002C43C9"/>
    <w:rsid w:val="002C43D5"/>
    <w:rsid w:val="002C43F4"/>
    <w:rsid w:val="002C48AD"/>
    <w:rsid w:val="002C4C40"/>
    <w:rsid w:val="002C4C78"/>
    <w:rsid w:val="002C4E30"/>
    <w:rsid w:val="002C4E64"/>
    <w:rsid w:val="002C5072"/>
    <w:rsid w:val="002C5109"/>
    <w:rsid w:val="002C53BF"/>
    <w:rsid w:val="002C546B"/>
    <w:rsid w:val="002C5492"/>
    <w:rsid w:val="002C54D1"/>
    <w:rsid w:val="002C5778"/>
    <w:rsid w:val="002C57A5"/>
    <w:rsid w:val="002C585E"/>
    <w:rsid w:val="002C589C"/>
    <w:rsid w:val="002C5A93"/>
    <w:rsid w:val="002C5AA2"/>
    <w:rsid w:val="002C5C01"/>
    <w:rsid w:val="002C5C22"/>
    <w:rsid w:val="002C5C3F"/>
    <w:rsid w:val="002C5CD4"/>
    <w:rsid w:val="002C5EB9"/>
    <w:rsid w:val="002C5EE1"/>
    <w:rsid w:val="002C60CD"/>
    <w:rsid w:val="002C6473"/>
    <w:rsid w:val="002C6792"/>
    <w:rsid w:val="002C679C"/>
    <w:rsid w:val="002C696C"/>
    <w:rsid w:val="002C6A42"/>
    <w:rsid w:val="002C6CFC"/>
    <w:rsid w:val="002C6F22"/>
    <w:rsid w:val="002C6FBB"/>
    <w:rsid w:val="002C704F"/>
    <w:rsid w:val="002C7069"/>
    <w:rsid w:val="002C70C6"/>
    <w:rsid w:val="002C70EB"/>
    <w:rsid w:val="002C7272"/>
    <w:rsid w:val="002C7375"/>
    <w:rsid w:val="002C7378"/>
    <w:rsid w:val="002C7761"/>
    <w:rsid w:val="002C77DE"/>
    <w:rsid w:val="002C7A20"/>
    <w:rsid w:val="002C7D77"/>
    <w:rsid w:val="002C7E04"/>
    <w:rsid w:val="002C7E10"/>
    <w:rsid w:val="002C7E4F"/>
    <w:rsid w:val="002D00A6"/>
    <w:rsid w:val="002D0285"/>
    <w:rsid w:val="002D03B4"/>
    <w:rsid w:val="002D03CA"/>
    <w:rsid w:val="002D040A"/>
    <w:rsid w:val="002D0827"/>
    <w:rsid w:val="002D0878"/>
    <w:rsid w:val="002D0951"/>
    <w:rsid w:val="002D0A30"/>
    <w:rsid w:val="002D0AAB"/>
    <w:rsid w:val="002D0B36"/>
    <w:rsid w:val="002D0EE5"/>
    <w:rsid w:val="002D0FD2"/>
    <w:rsid w:val="002D107E"/>
    <w:rsid w:val="002D10FA"/>
    <w:rsid w:val="002D1174"/>
    <w:rsid w:val="002D11A7"/>
    <w:rsid w:val="002D1257"/>
    <w:rsid w:val="002D1352"/>
    <w:rsid w:val="002D13F2"/>
    <w:rsid w:val="002D1477"/>
    <w:rsid w:val="002D16BE"/>
    <w:rsid w:val="002D183B"/>
    <w:rsid w:val="002D1A54"/>
    <w:rsid w:val="002D1B4A"/>
    <w:rsid w:val="002D1BDD"/>
    <w:rsid w:val="002D1BFE"/>
    <w:rsid w:val="002D1C1D"/>
    <w:rsid w:val="002D1C2F"/>
    <w:rsid w:val="002D1C46"/>
    <w:rsid w:val="002D1E3D"/>
    <w:rsid w:val="002D1FB9"/>
    <w:rsid w:val="002D202A"/>
    <w:rsid w:val="002D20FA"/>
    <w:rsid w:val="002D214A"/>
    <w:rsid w:val="002D2466"/>
    <w:rsid w:val="002D24AF"/>
    <w:rsid w:val="002D2641"/>
    <w:rsid w:val="002D2B0F"/>
    <w:rsid w:val="002D2BB4"/>
    <w:rsid w:val="002D2BBA"/>
    <w:rsid w:val="002D2C7F"/>
    <w:rsid w:val="002D2E33"/>
    <w:rsid w:val="002D2EC3"/>
    <w:rsid w:val="002D3042"/>
    <w:rsid w:val="002D3113"/>
    <w:rsid w:val="002D326E"/>
    <w:rsid w:val="002D3420"/>
    <w:rsid w:val="002D35BC"/>
    <w:rsid w:val="002D3620"/>
    <w:rsid w:val="002D368B"/>
    <w:rsid w:val="002D36A7"/>
    <w:rsid w:val="002D36BA"/>
    <w:rsid w:val="002D3705"/>
    <w:rsid w:val="002D375E"/>
    <w:rsid w:val="002D37CD"/>
    <w:rsid w:val="002D37EA"/>
    <w:rsid w:val="002D3831"/>
    <w:rsid w:val="002D3874"/>
    <w:rsid w:val="002D394D"/>
    <w:rsid w:val="002D39DE"/>
    <w:rsid w:val="002D3CAB"/>
    <w:rsid w:val="002D3DCF"/>
    <w:rsid w:val="002D3EAB"/>
    <w:rsid w:val="002D3FF4"/>
    <w:rsid w:val="002D4036"/>
    <w:rsid w:val="002D4138"/>
    <w:rsid w:val="002D422B"/>
    <w:rsid w:val="002D4325"/>
    <w:rsid w:val="002D438D"/>
    <w:rsid w:val="002D4487"/>
    <w:rsid w:val="002D46C3"/>
    <w:rsid w:val="002D46C5"/>
    <w:rsid w:val="002D47C5"/>
    <w:rsid w:val="002D49BC"/>
    <w:rsid w:val="002D4A9C"/>
    <w:rsid w:val="002D4B7F"/>
    <w:rsid w:val="002D4C6C"/>
    <w:rsid w:val="002D4F11"/>
    <w:rsid w:val="002D4F73"/>
    <w:rsid w:val="002D5018"/>
    <w:rsid w:val="002D5206"/>
    <w:rsid w:val="002D5339"/>
    <w:rsid w:val="002D535F"/>
    <w:rsid w:val="002D53AB"/>
    <w:rsid w:val="002D5404"/>
    <w:rsid w:val="002D5546"/>
    <w:rsid w:val="002D56BB"/>
    <w:rsid w:val="002D5864"/>
    <w:rsid w:val="002D58CA"/>
    <w:rsid w:val="002D5BEB"/>
    <w:rsid w:val="002D5F52"/>
    <w:rsid w:val="002D609E"/>
    <w:rsid w:val="002D63E7"/>
    <w:rsid w:val="002D672A"/>
    <w:rsid w:val="002D68A2"/>
    <w:rsid w:val="002D691E"/>
    <w:rsid w:val="002D6B3B"/>
    <w:rsid w:val="002D6CD9"/>
    <w:rsid w:val="002D6E8C"/>
    <w:rsid w:val="002D6F04"/>
    <w:rsid w:val="002D6FFF"/>
    <w:rsid w:val="002D71C9"/>
    <w:rsid w:val="002D72D8"/>
    <w:rsid w:val="002D7314"/>
    <w:rsid w:val="002D731C"/>
    <w:rsid w:val="002D7371"/>
    <w:rsid w:val="002D739F"/>
    <w:rsid w:val="002D7489"/>
    <w:rsid w:val="002D7892"/>
    <w:rsid w:val="002D7909"/>
    <w:rsid w:val="002D7957"/>
    <w:rsid w:val="002D7CC2"/>
    <w:rsid w:val="002D7CC8"/>
    <w:rsid w:val="002D7DE3"/>
    <w:rsid w:val="002D7F4D"/>
    <w:rsid w:val="002E00EA"/>
    <w:rsid w:val="002E033D"/>
    <w:rsid w:val="002E0410"/>
    <w:rsid w:val="002E0706"/>
    <w:rsid w:val="002E0783"/>
    <w:rsid w:val="002E081F"/>
    <w:rsid w:val="002E086B"/>
    <w:rsid w:val="002E08F8"/>
    <w:rsid w:val="002E0A55"/>
    <w:rsid w:val="002E0B54"/>
    <w:rsid w:val="002E0C71"/>
    <w:rsid w:val="002E0CB0"/>
    <w:rsid w:val="002E0D8E"/>
    <w:rsid w:val="002E1098"/>
    <w:rsid w:val="002E13CB"/>
    <w:rsid w:val="002E16B3"/>
    <w:rsid w:val="002E177F"/>
    <w:rsid w:val="002E1794"/>
    <w:rsid w:val="002E182F"/>
    <w:rsid w:val="002E1873"/>
    <w:rsid w:val="002E1AF3"/>
    <w:rsid w:val="002E1B4A"/>
    <w:rsid w:val="002E1BE4"/>
    <w:rsid w:val="002E1C7D"/>
    <w:rsid w:val="002E1CD3"/>
    <w:rsid w:val="002E1F49"/>
    <w:rsid w:val="002E2266"/>
    <w:rsid w:val="002E2289"/>
    <w:rsid w:val="002E22E1"/>
    <w:rsid w:val="002E22F5"/>
    <w:rsid w:val="002E241D"/>
    <w:rsid w:val="002E2512"/>
    <w:rsid w:val="002E26D5"/>
    <w:rsid w:val="002E2CCB"/>
    <w:rsid w:val="002E2D0C"/>
    <w:rsid w:val="002E2F45"/>
    <w:rsid w:val="002E318C"/>
    <w:rsid w:val="002E3234"/>
    <w:rsid w:val="002E349B"/>
    <w:rsid w:val="002E3630"/>
    <w:rsid w:val="002E36AD"/>
    <w:rsid w:val="002E36C6"/>
    <w:rsid w:val="002E375F"/>
    <w:rsid w:val="002E37BB"/>
    <w:rsid w:val="002E37C3"/>
    <w:rsid w:val="002E3800"/>
    <w:rsid w:val="002E3DB7"/>
    <w:rsid w:val="002E3F86"/>
    <w:rsid w:val="002E400C"/>
    <w:rsid w:val="002E409A"/>
    <w:rsid w:val="002E4195"/>
    <w:rsid w:val="002E42AE"/>
    <w:rsid w:val="002E44CB"/>
    <w:rsid w:val="002E4506"/>
    <w:rsid w:val="002E45C8"/>
    <w:rsid w:val="002E465B"/>
    <w:rsid w:val="002E46E8"/>
    <w:rsid w:val="002E4B7E"/>
    <w:rsid w:val="002E4C4A"/>
    <w:rsid w:val="002E4DF2"/>
    <w:rsid w:val="002E4E51"/>
    <w:rsid w:val="002E51C5"/>
    <w:rsid w:val="002E52C3"/>
    <w:rsid w:val="002E5685"/>
    <w:rsid w:val="002E583C"/>
    <w:rsid w:val="002E590F"/>
    <w:rsid w:val="002E5A78"/>
    <w:rsid w:val="002E5BB4"/>
    <w:rsid w:val="002E5BFB"/>
    <w:rsid w:val="002E5C8F"/>
    <w:rsid w:val="002E5D1B"/>
    <w:rsid w:val="002E5F36"/>
    <w:rsid w:val="002E60B2"/>
    <w:rsid w:val="002E60ED"/>
    <w:rsid w:val="002E62D4"/>
    <w:rsid w:val="002E64A3"/>
    <w:rsid w:val="002E6941"/>
    <w:rsid w:val="002E6985"/>
    <w:rsid w:val="002E6A72"/>
    <w:rsid w:val="002E6CA7"/>
    <w:rsid w:val="002E6D76"/>
    <w:rsid w:val="002E6DA6"/>
    <w:rsid w:val="002E6E26"/>
    <w:rsid w:val="002E6F59"/>
    <w:rsid w:val="002E70BC"/>
    <w:rsid w:val="002E716E"/>
    <w:rsid w:val="002E75A0"/>
    <w:rsid w:val="002E75A4"/>
    <w:rsid w:val="002E75E0"/>
    <w:rsid w:val="002E75F7"/>
    <w:rsid w:val="002E76CF"/>
    <w:rsid w:val="002E7718"/>
    <w:rsid w:val="002E78C4"/>
    <w:rsid w:val="002E797F"/>
    <w:rsid w:val="002E7996"/>
    <w:rsid w:val="002E7A10"/>
    <w:rsid w:val="002E7B39"/>
    <w:rsid w:val="002E7C6F"/>
    <w:rsid w:val="002E7D28"/>
    <w:rsid w:val="002E7D43"/>
    <w:rsid w:val="002E7D6B"/>
    <w:rsid w:val="002E7DDD"/>
    <w:rsid w:val="002E7DF1"/>
    <w:rsid w:val="002E7E9B"/>
    <w:rsid w:val="002E7F05"/>
    <w:rsid w:val="002E7FA3"/>
    <w:rsid w:val="002F0263"/>
    <w:rsid w:val="002F03B9"/>
    <w:rsid w:val="002F04DD"/>
    <w:rsid w:val="002F05AB"/>
    <w:rsid w:val="002F05E1"/>
    <w:rsid w:val="002F07B6"/>
    <w:rsid w:val="002F07CE"/>
    <w:rsid w:val="002F09C8"/>
    <w:rsid w:val="002F09FA"/>
    <w:rsid w:val="002F0D50"/>
    <w:rsid w:val="002F0D80"/>
    <w:rsid w:val="002F0E9B"/>
    <w:rsid w:val="002F0F01"/>
    <w:rsid w:val="002F0F72"/>
    <w:rsid w:val="002F0F77"/>
    <w:rsid w:val="002F0FF8"/>
    <w:rsid w:val="002F1042"/>
    <w:rsid w:val="002F145A"/>
    <w:rsid w:val="002F1493"/>
    <w:rsid w:val="002F14A4"/>
    <w:rsid w:val="002F14C8"/>
    <w:rsid w:val="002F1653"/>
    <w:rsid w:val="002F16FE"/>
    <w:rsid w:val="002F175B"/>
    <w:rsid w:val="002F19B9"/>
    <w:rsid w:val="002F1C20"/>
    <w:rsid w:val="002F1CA0"/>
    <w:rsid w:val="002F1E02"/>
    <w:rsid w:val="002F1EF5"/>
    <w:rsid w:val="002F1F08"/>
    <w:rsid w:val="002F1F4D"/>
    <w:rsid w:val="002F2328"/>
    <w:rsid w:val="002F235C"/>
    <w:rsid w:val="002F2490"/>
    <w:rsid w:val="002F2492"/>
    <w:rsid w:val="002F24A6"/>
    <w:rsid w:val="002F2633"/>
    <w:rsid w:val="002F2672"/>
    <w:rsid w:val="002F2676"/>
    <w:rsid w:val="002F27E7"/>
    <w:rsid w:val="002F2C9F"/>
    <w:rsid w:val="002F2CFB"/>
    <w:rsid w:val="002F2F6D"/>
    <w:rsid w:val="002F3072"/>
    <w:rsid w:val="002F30D0"/>
    <w:rsid w:val="002F3378"/>
    <w:rsid w:val="002F33A4"/>
    <w:rsid w:val="002F33E8"/>
    <w:rsid w:val="002F36AE"/>
    <w:rsid w:val="002F3D20"/>
    <w:rsid w:val="002F3FD5"/>
    <w:rsid w:val="002F406F"/>
    <w:rsid w:val="002F4182"/>
    <w:rsid w:val="002F446F"/>
    <w:rsid w:val="002F44DA"/>
    <w:rsid w:val="002F45F4"/>
    <w:rsid w:val="002F4608"/>
    <w:rsid w:val="002F462A"/>
    <w:rsid w:val="002F481C"/>
    <w:rsid w:val="002F4869"/>
    <w:rsid w:val="002F48CC"/>
    <w:rsid w:val="002F4A6E"/>
    <w:rsid w:val="002F4AE5"/>
    <w:rsid w:val="002F4B09"/>
    <w:rsid w:val="002F4C1B"/>
    <w:rsid w:val="002F4E0F"/>
    <w:rsid w:val="002F4FB3"/>
    <w:rsid w:val="002F4FFD"/>
    <w:rsid w:val="002F500C"/>
    <w:rsid w:val="002F509E"/>
    <w:rsid w:val="002F50EE"/>
    <w:rsid w:val="002F513E"/>
    <w:rsid w:val="002F51EE"/>
    <w:rsid w:val="002F529B"/>
    <w:rsid w:val="002F52D2"/>
    <w:rsid w:val="002F5673"/>
    <w:rsid w:val="002F5696"/>
    <w:rsid w:val="002F584C"/>
    <w:rsid w:val="002F58E9"/>
    <w:rsid w:val="002F5924"/>
    <w:rsid w:val="002F5FC9"/>
    <w:rsid w:val="002F6553"/>
    <w:rsid w:val="002F660D"/>
    <w:rsid w:val="002F6818"/>
    <w:rsid w:val="002F6853"/>
    <w:rsid w:val="002F6884"/>
    <w:rsid w:val="002F6A6F"/>
    <w:rsid w:val="002F6AE5"/>
    <w:rsid w:val="002F6B96"/>
    <w:rsid w:val="002F6CE0"/>
    <w:rsid w:val="002F7074"/>
    <w:rsid w:val="002F70D0"/>
    <w:rsid w:val="002F7174"/>
    <w:rsid w:val="002F71A5"/>
    <w:rsid w:val="002F725E"/>
    <w:rsid w:val="002F76A7"/>
    <w:rsid w:val="002F7751"/>
    <w:rsid w:val="002F7761"/>
    <w:rsid w:val="002F7770"/>
    <w:rsid w:val="002F780C"/>
    <w:rsid w:val="002F78BB"/>
    <w:rsid w:val="002F78C4"/>
    <w:rsid w:val="002F7913"/>
    <w:rsid w:val="002F7A34"/>
    <w:rsid w:val="002F7AAC"/>
    <w:rsid w:val="002F7AE6"/>
    <w:rsid w:val="002F7D26"/>
    <w:rsid w:val="002F7FD9"/>
    <w:rsid w:val="00300059"/>
    <w:rsid w:val="003000A8"/>
    <w:rsid w:val="00300440"/>
    <w:rsid w:val="003004E8"/>
    <w:rsid w:val="003004EC"/>
    <w:rsid w:val="00300519"/>
    <w:rsid w:val="00300681"/>
    <w:rsid w:val="0030072A"/>
    <w:rsid w:val="00300826"/>
    <w:rsid w:val="00300A70"/>
    <w:rsid w:val="00300ADC"/>
    <w:rsid w:val="00300BFD"/>
    <w:rsid w:val="00300CD7"/>
    <w:rsid w:val="00300D54"/>
    <w:rsid w:val="003010C6"/>
    <w:rsid w:val="00301267"/>
    <w:rsid w:val="00301276"/>
    <w:rsid w:val="003014F5"/>
    <w:rsid w:val="003016ED"/>
    <w:rsid w:val="003019D0"/>
    <w:rsid w:val="003019D8"/>
    <w:rsid w:val="00301A15"/>
    <w:rsid w:val="00301A5B"/>
    <w:rsid w:val="00301A6B"/>
    <w:rsid w:val="00301AF9"/>
    <w:rsid w:val="00301C2F"/>
    <w:rsid w:val="00301CE9"/>
    <w:rsid w:val="00301F1B"/>
    <w:rsid w:val="00301F7F"/>
    <w:rsid w:val="0030200A"/>
    <w:rsid w:val="003020D0"/>
    <w:rsid w:val="003023B9"/>
    <w:rsid w:val="003025DC"/>
    <w:rsid w:val="003025FC"/>
    <w:rsid w:val="00302645"/>
    <w:rsid w:val="0030299A"/>
    <w:rsid w:val="00302B43"/>
    <w:rsid w:val="00302C24"/>
    <w:rsid w:val="00302CFF"/>
    <w:rsid w:val="00302DA0"/>
    <w:rsid w:val="003030C1"/>
    <w:rsid w:val="0030322A"/>
    <w:rsid w:val="003032F7"/>
    <w:rsid w:val="0030338F"/>
    <w:rsid w:val="003034EA"/>
    <w:rsid w:val="00303792"/>
    <w:rsid w:val="003039D5"/>
    <w:rsid w:val="00303A4D"/>
    <w:rsid w:val="00303AA7"/>
    <w:rsid w:val="00303B7C"/>
    <w:rsid w:val="00303C9E"/>
    <w:rsid w:val="00303D51"/>
    <w:rsid w:val="00303D6D"/>
    <w:rsid w:val="00303DEE"/>
    <w:rsid w:val="00303EDF"/>
    <w:rsid w:val="00303F1A"/>
    <w:rsid w:val="00303F73"/>
    <w:rsid w:val="0030410D"/>
    <w:rsid w:val="00304116"/>
    <w:rsid w:val="00304185"/>
    <w:rsid w:val="0030418A"/>
    <w:rsid w:val="0030446E"/>
    <w:rsid w:val="0030454A"/>
    <w:rsid w:val="003045BC"/>
    <w:rsid w:val="0030467E"/>
    <w:rsid w:val="003047D1"/>
    <w:rsid w:val="00304840"/>
    <w:rsid w:val="003048BB"/>
    <w:rsid w:val="003048C4"/>
    <w:rsid w:val="003050E4"/>
    <w:rsid w:val="00305334"/>
    <w:rsid w:val="003053B0"/>
    <w:rsid w:val="003056C7"/>
    <w:rsid w:val="0030572B"/>
    <w:rsid w:val="003058A0"/>
    <w:rsid w:val="00305912"/>
    <w:rsid w:val="00305BC7"/>
    <w:rsid w:val="00305CA8"/>
    <w:rsid w:val="00305E9A"/>
    <w:rsid w:val="00305EB3"/>
    <w:rsid w:val="003060BD"/>
    <w:rsid w:val="00306249"/>
    <w:rsid w:val="003063D3"/>
    <w:rsid w:val="00306547"/>
    <w:rsid w:val="003065FF"/>
    <w:rsid w:val="00306805"/>
    <w:rsid w:val="00306A53"/>
    <w:rsid w:val="00306A85"/>
    <w:rsid w:val="00306C09"/>
    <w:rsid w:val="00306C3C"/>
    <w:rsid w:val="00307016"/>
    <w:rsid w:val="00307078"/>
    <w:rsid w:val="003071CE"/>
    <w:rsid w:val="00307202"/>
    <w:rsid w:val="00307535"/>
    <w:rsid w:val="0030762B"/>
    <w:rsid w:val="0030779C"/>
    <w:rsid w:val="003078B2"/>
    <w:rsid w:val="00307DBF"/>
    <w:rsid w:val="00310007"/>
    <w:rsid w:val="003100A3"/>
    <w:rsid w:val="0031026D"/>
    <w:rsid w:val="003102FF"/>
    <w:rsid w:val="0031052B"/>
    <w:rsid w:val="003105A7"/>
    <w:rsid w:val="00310720"/>
    <w:rsid w:val="00310BB6"/>
    <w:rsid w:val="00310BD2"/>
    <w:rsid w:val="00310C08"/>
    <w:rsid w:val="00310D01"/>
    <w:rsid w:val="00310DC1"/>
    <w:rsid w:val="00310EB8"/>
    <w:rsid w:val="00310F6A"/>
    <w:rsid w:val="003110A8"/>
    <w:rsid w:val="003111AE"/>
    <w:rsid w:val="003111F3"/>
    <w:rsid w:val="0031138B"/>
    <w:rsid w:val="00311454"/>
    <w:rsid w:val="0031151C"/>
    <w:rsid w:val="0031156C"/>
    <w:rsid w:val="003115D3"/>
    <w:rsid w:val="0031160B"/>
    <w:rsid w:val="003116D1"/>
    <w:rsid w:val="00311854"/>
    <w:rsid w:val="003119BF"/>
    <w:rsid w:val="00311A13"/>
    <w:rsid w:val="00311F29"/>
    <w:rsid w:val="00312016"/>
    <w:rsid w:val="003123EE"/>
    <w:rsid w:val="00312520"/>
    <w:rsid w:val="0031254C"/>
    <w:rsid w:val="003129C0"/>
    <w:rsid w:val="00312AEA"/>
    <w:rsid w:val="00312B6F"/>
    <w:rsid w:val="00312D3E"/>
    <w:rsid w:val="00312D62"/>
    <w:rsid w:val="00312E5C"/>
    <w:rsid w:val="00312EAD"/>
    <w:rsid w:val="003130E5"/>
    <w:rsid w:val="00313412"/>
    <w:rsid w:val="00313484"/>
    <w:rsid w:val="00313527"/>
    <w:rsid w:val="00313846"/>
    <w:rsid w:val="00313984"/>
    <w:rsid w:val="003139BA"/>
    <w:rsid w:val="003139E3"/>
    <w:rsid w:val="00313E92"/>
    <w:rsid w:val="00313F5F"/>
    <w:rsid w:val="003140A6"/>
    <w:rsid w:val="00314200"/>
    <w:rsid w:val="00314288"/>
    <w:rsid w:val="0031431F"/>
    <w:rsid w:val="00314420"/>
    <w:rsid w:val="0031483E"/>
    <w:rsid w:val="0031489C"/>
    <w:rsid w:val="00314923"/>
    <w:rsid w:val="00314989"/>
    <w:rsid w:val="00314B12"/>
    <w:rsid w:val="00314E60"/>
    <w:rsid w:val="00315023"/>
    <w:rsid w:val="00315148"/>
    <w:rsid w:val="00315209"/>
    <w:rsid w:val="0031521D"/>
    <w:rsid w:val="0031542F"/>
    <w:rsid w:val="00315525"/>
    <w:rsid w:val="00315569"/>
    <w:rsid w:val="003155CA"/>
    <w:rsid w:val="00315769"/>
    <w:rsid w:val="00315C74"/>
    <w:rsid w:val="00315CC1"/>
    <w:rsid w:val="00315E25"/>
    <w:rsid w:val="00315E5E"/>
    <w:rsid w:val="00315FCA"/>
    <w:rsid w:val="00316052"/>
    <w:rsid w:val="00316075"/>
    <w:rsid w:val="003162E5"/>
    <w:rsid w:val="00316399"/>
    <w:rsid w:val="00316433"/>
    <w:rsid w:val="003166FE"/>
    <w:rsid w:val="00316741"/>
    <w:rsid w:val="00316785"/>
    <w:rsid w:val="00316847"/>
    <w:rsid w:val="00316A12"/>
    <w:rsid w:val="00316A41"/>
    <w:rsid w:val="00316A9E"/>
    <w:rsid w:val="00316ABB"/>
    <w:rsid w:val="00316F00"/>
    <w:rsid w:val="00316F67"/>
    <w:rsid w:val="003170AF"/>
    <w:rsid w:val="0031736F"/>
    <w:rsid w:val="00317398"/>
    <w:rsid w:val="00317420"/>
    <w:rsid w:val="0031752F"/>
    <w:rsid w:val="0031758E"/>
    <w:rsid w:val="003175BD"/>
    <w:rsid w:val="0031778C"/>
    <w:rsid w:val="0031791D"/>
    <w:rsid w:val="003179FC"/>
    <w:rsid w:val="00317C8E"/>
    <w:rsid w:val="00317D38"/>
    <w:rsid w:val="00317DFF"/>
    <w:rsid w:val="00317F64"/>
    <w:rsid w:val="0032000D"/>
    <w:rsid w:val="0032001A"/>
    <w:rsid w:val="00320052"/>
    <w:rsid w:val="003200C3"/>
    <w:rsid w:val="0032082F"/>
    <w:rsid w:val="00320A43"/>
    <w:rsid w:val="00320B17"/>
    <w:rsid w:val="00320C25"/>
    <w:rsid w:val="00320D63"/>
    <w:rsid w:val="00320ED2"/>
    <w:rsid w:val="00320F5A"/>
    <w:rsid w:val="00320FD8"/>
    <w:rsid w:val="00321017"/>
    <w:rsid w:val="00321114"/>
    <w:rsid w:val="0032124B"/>
    <w:rsid w:val="00321260"/>
    <w:rsid w:val="003212EC"/>
    <w:rsid w:val="003213B0"/>
    <w:rsid w:val="00321759"/>
    <w:rsid w:val="00321963"/>
    <w:rsid w:val="003219AD"/>
    <w:rsid w:val="00321C55"/>
    <w:rsid w:val="00321D39"/>
    <w:rsid w:val="00321F2B"/>
    <w:rsid w:val="00322141"/>
    <w:rsid w:val="00322533"/>
    <w:rsid w:val="00322721"/>
    <w:rsid w:val="0032287D"/>
    <w:rsid w:val="003228AD"/>
    <w:rsid w:val="00322AA7"/>
    <w:rsid w:val="00322BF4"/>
    <w:rsid w:val="003230FD"/>
    <w:rsid w:val="003233D4"/>
    <w:rsid w:val="003233EC"/>
    <w:rsid w:val="00323622"/>
    <w:rsid w:val="00323641"/>
    <w:rsid w:val="00323884"/>
    <w:rsid w:val="00323901"/>
    <w:rsid w:val="00323A33"/>
    <w:rsid w:val="00323A75"/>
    <w:rsid w:val="00323B61"/>
    <w:rsid w:val="00323C8C"/>
    <w:rsid w:val="00323ECC"/>
    <w:rsid w:val="00323EEA"/>
    <w:rsid w:val="00323FA8"/>
    <w:rsid w:val="003240FC"/>
    <w:rsid w:val="003242C4"/>
    <w:rsid w:val="003242C8"/>
    <w:rsid w:val="003244E9"/>
    <w:rsid w:val="003246BB"/>
    <w:rsid w:val="003246D9"/>
    <w:rsid w:val="003248E9"/>
    <w:rsid w:val="0032494E"/>
    <w:rsid w:val="00324A41"/>
    <w:rsid w:val="00324B0C"/>
    <w:rsid w:val="00324B48"/>
    <w:rsid w:val="00324B4D"/>
    <w:rsid w:val="00324C09"/>
    <w:rsid w:val="00324C1B"/>
    <w:rsid w:val="00324DEC"/>
    <w:rsid w:val="0032523E"/>
    <w:rsid w:val="003252DC"/>
    <w:rsid w:val="00325367"/>
    <w:rsid w:val="00325394"/>
    <w:rsid w:val="00325578"/>
    <w:rsid w:val="00325803"/>
    <w:rsid w:val="00325D08"/>
    <w:rsid w:val="00325E41"/>
    <w:rsid w:val="00325ED7"/>
    <w:rsid w:val="00325F65"/>
    <w:rsid w:val="00326023"/>
    <w:rsid w:val="0032631F"/>
    <w:rsid w:val="003267AC"/>
    <w:rsid w:val="0032698A"/>
    <w:rsid w:val="003269D0"/>
    <w:rsid w:val="00326A45"/>
    <w:rsid w:val="00326A70"/>
    <w:rsid w:val="00326CD8"/>
    <w:rsid w:val="00326D8B"/>
    <w:rsid w:val="0032701B"/>
    <w:rsid w:val="00327167"/>
    <w:rsid w:val="00327170"/>
    <w:rsid w:val="00327242"/>
    <w:rsid w:val="0032733E"/>
    <w:rsid w:val="003274D6"/>
    <w:rsid w:val="003274F5"/>
    <w:rsid w:val="00327911"/>
    <w:rsid w:val="00327A24"/>
    <w:rsid w:val="00327ACE"/>
    <w:rsid w:val="00327B6F"/>
    <w:rsid w:val="00327CD3"/>
    <w:rsid w:val="00327F0B"/>
    <w:rsid w:val="00330123"/>
    <w:rsid w:val="0033018D"/>
    <w:rsid w:val="003301A9"/>
    <w:rsid w:val="003301DF"/>
    <w:rsid w:val="00330213"/>
    <w:rsid w:val="00330285"/>
    <w:rsid w:val="003302F3"/>
    <w:rsid w:val="003303A9"/>
    <w:rsid w:val="003303C4"/>
    <w:rsid w:val="003304D7"/>
    <w:rsid w:val="00330619"/>
    <w:rsid w:val="003307A0"/>
    <w:rsid w:val="003308CA"/>
    <w:rsid w:val="00330919"/>
    <w:rsid w:val="00330AE6"/>
    <w:rsid w:val="00330C9E"/>
    <w:rsid w:val="00330EC1"/>
    <w:rsid w:val="00330FDB"/>
    <w:rsid w:val="00330FFB"/>
    <w:rsid w:val="0033120B"/>
    <w:rsid w:val="003312A4"/>
    <w:rsid w:val="00331427"/>
    <w:rsid w:val="00331429"/>
    <w:rsid w:val="00331585"/>
    <w:rsid w:val="003315BB"/>
    <w:rsid w:val="00331630"/>
    <w:rsid w:val="00331B5A"/>
    <w:rsid w:val="00331B72"/>
    <w:rsid w:val="00331B78"/>
    <w:rsid w:val="00331E37"/>
    <w:rsid w:val="00331F6F"/>
    <w:rsid w:val="00331FF1"/>
    <w:rsid w:val="0033202C"/>
    <w:rsid w:val="00332035"/>
    <w:rsid w:val="00332049"/>
    <w:rsid w:val="00332104"/>
    <w:rsid w:val="0033217F"/>
    <w:rsid w:val="0033229E"/>
    <w:rsid w:val="003322A8"/>
    <w:rsid w:val="003322E3"/>
    <w:rsid w:val="0033247C"/>
    <w:rsid w:val="003324F9"/>
    <w:rsid w:val="00332813"/>
    <w:rsid w:val="003328BB"/>
    <w:rsid w:val="00332B1A"/>
    <w:rsid w:val="00332F39"/>
    <w:rsid w:val="00332FEC"/>
    <w:rsid w:val="00333205"/>
    <w:rsid w:val="00333323"/>
    <w:rsid w:val="00333354"/>
    <w:rsid w:val="0033360D"/>
    <w:rsid w:val="00333656"/>
    <w:rsid w:val="00333691"/>
    <w:rsid w:val="003338B1"/>
    <w:rsid w:val="003338C3"/>
    <w:rsid w:val="00333A33"/>
    <w:rsid w:val="00333BAA"/>
    <w:rsid w:val="00333CA9"/>
    <w:rsid w:val="00333DEC"/>
    <w:rsid w:val="00333F25"/>
    <w:rsid w:val="00333FED"/>
    <w:rsid w:val="0033417B"/>
    <w:rsid w:val="0033423D"/>
    <w:rsid w:val="00334284"/>
    <w:rsid w:val="00334486"/>
    <w:rsid w:val="0033456E"/>
    <w:rsid w:val="00334683"/>
    <w:rsid w:val="00334782"/>
    <w:rsid w:val="003347E4"/>
    <w:rsid w:val="003349EB"/>
    <w:rsid w:val="00334A51"/>
    <w:rsid w:val="00334D17"/>
    <w:rsid w:val="00334E15"/>
    <w:rsid w:val="00334E76"/>
    <w:rsid w:val="00334EF1"/>
    <w:rsid w:val="00334F4B"/>
    <w:rsid w:val="00334F5C"/>
    <w:rsid w:val="00334F97"/>
    <w:rsid w:val="003351AC"/>
    <w:rsid w:val="0033526C"/>
    <w:rsid w:val="003352AF"/>
    <w:rsid w:val="00335426"/>
    <w:rsid w:val="0033548D"/>
    <w:rsid w:val="003354BD"/>
    <w:rsid w:val="0033564B"/>
    <w:rsid w:val="003356C7"/>
    <w:rsid w:val="003356CE"/>
    <w:rsid w:val="003356EA"/>
    <w:rsid w:val="00335764"/>
    <w:rsid w:val="003358BC"/>
    <w:rsid w:val="003359E5"/>
    <w:rsid w:val="00335AEA"/>
    <w:rsid w:val="00335C19"/>
    <w:rsid w:val="00335EC6"/>
    <w:rsid w:val="00336197"/>
    <w:rsid w:val="003362E0"/>
    <w:rsid w:val="003362FF"/>
    <w:rsid w:val="0033642C"/>
    <w:rsid w:val="00336760"/>
    <w:rsid w:val="003368F7"/>
    <w:rsid w:val="0033696C"/>
    <w:rsid w:val="00336A2D"/>
    <w:rsid w:val="00336B34"/>
    <w:rsid w:val="00336BC0"/>
    <w:rsid w:val="00336DAA"/>
    <w:rsid w:val="00336E70"/>
    <w:rsid w:val="00336EB8"/>
    <w:rsid w:val="00336F17"/>
    <w:rsid w:val="00336FEC"/>
    <w:rsid w:val="003370DF"/>
    <w:rsid w:val="0033728F"/>
    <w:rsid w:val="003373BA"/>
    <w:rsid w:val="00337441"/>
    <w:rsid w:val="003375CC"/>
    <w:rsid w:val="003375FE"/>
    <w:rsid w:val="00337646"/>
    <w:rsid w:val="003377D3"/>
    <w:rsid w:val="00337A21"/>
    <w:rsid w:val="00337BB6"/>
    <w:rsid w:val="00337F33"/>
    <w:rsid w:val="00337F35"/>
    <w:rsid w:val="00337F55"/>
    <w:rsid w:val="00340065"/>
    <w:rsid w:val="003400BA"/>
    <w:rsid w:val="003401C6"/>
    <w:rsid w:val="003401F8"/>
    <w:rsid w:val="003406E1"/>
    <w:rsid w:val="00340805"/>
    <w:rsid w:val="00340AA3"/>
    <w:rsid w:val="00340B4A"/>
    <w:rsid w:val="00340BB2"/>
    <w:rsid w:val="00340EC7"/>
    <w:rsid w:val="00341074"/>
    <w:rsid w:val="003410DA"/>
    <w:rsid w:val="0034130C"/>
    <w:rsid w:val="00341449"/>
    <w:rsid w:val="003415FB"/>
    <w:rsid w:val="003417A2"/>
    <w:rsid w:val="00341832"/>
    <w:rsid w:val="00341922"/>
    <w:rsid w:val="00341A09"/>
    <w:rsid w:val="00341A16"/>
    <w:rsid w:val="00341CA9"/>
    <w:rsid w:val="003420AE"/>
    <w:rsid w:val="003421BB"/>
    <w:rsid w:val="003422AD"/>
    <w:rsid w:val="003422C2"/>
    <w:rsid w:val="003424F2"/>
    <w:rsid w:val="0034287D"/>
    <w:rsid w:val="003428D1"/>
    <w:rsid w:val="003429F2"/>
    <w:rsid w:val="00342A70"/>
    <w:rsid w:val="00342A8C"/>
    <w:rsid w:val="00342BF3"/>
    <w:rsid w:val="00342C8B"/>
    <w:rsid w:val="00342FD0"/>
    <w:rsid w:val="0034301C"/>
    <w:rsid w:val="003430F1"/>
    <w:rsid w:val="00343125"/>
    <w:rsid w:val="0034321E"/>
    <w:rsid w:val="0034336D"/>
    <w:rsid w:val="0034350B"/>
    <w:rsid w:val="0034355C"/>
    <w:rsid w:val="003439BD"/>
    <w:rsid w:val="00343A28"/>
    <w:rsid w:val="00343A35"/>
    <w:rsid w:val="00343A4F"/>
    <w:rsid w:val="00343A7B"/>
    <w:rsid w:val="00343B8C"/>
    <w:rsid w:val="00343DE8"/>
    <w:rsid w:val="00343EAD"/>
    <w:rsid w:val="00343EB6"/>
    <w:rsid w:val="00343F42"/>
    <w:rsid w:val="003441EA"/>
    <w:rsid w:val="00344565"/>
    <w:rsid w:val="003445B0"/>
    <w:rsid w:val="00344605"/>
    <w:rsid w:val="003446F5"/>
    <w:rsid w:val="00344934"/>
    <w:rsid w:val="00344A01"/>
    <w:rsid w:val="00344B39"/>
    <w:rsid w:val="00344CE9"/>
    <w:rsid w:val="00344D83"/>
    <w:rsid w:val="0034505C"/>
    <w:rsid w:val="00345191"/>
    <w:rsid w:val="0034519D"/>
    <w:rsid w:val="003452B7"/>
    <w:rsid w:val="003452F2"/>
    <w:rsid w:val="00345575"/>
    <w:rsid w:val="00345663"/>
    <w:rsid w:val="0034587D"/>
    <w:rsid w:val="00345AF8"/>
    <w:rsid w:val="00345B7C"/>
    <w:rsid w:val="00345F77"/>
    <w:rsid w:val="00345FCB"/>
    <w:rsid w:val="0034613C"/>
    <w:rsid w:val="00346187"/>
    <w:rsid w:val="00346523"/>
    <w:rsid w:val="00346678"/>
    <w:rsid w:val="0034689C"/>
    <w:rsid w:val="003469A7"/>
    <w:rsid w:val="00346A12"/>
    <w:rsid w:val="00346A87"/>
    <w:rsid w:val="00346C2A"/>
    <w:rsid w:val="00346C2B"/>
    <w:rsid w:val="00346C9F"/>
    <w:rsid w:val="00346CC2"/>
    <w:rsid w:val="00346D75"/>
    <w:rsid w:val="00346F5D"/>
    <w:rsid w:val="003471BA"/>
    <w:rsid w:val="003471E5"/>
    <w:rsid w:val="003471F1"/>
    <w:rsid w:val="003473D0"/>
    <w:rsid w:val="00347762"/>
    <w:rsid w:val="003478DC"/>
    <w:rsid w:val="00347975"/>
    <w:rsid w:val="003479FE"/>
    <w:rsid w:val="00347A64"/>
    <w:rsid w:val="00347B3E"/>
    <w:rsid w:val="00347BB8"/>
    <w:rsid w:val="00347C2A"/>
    <w:rsid w:val="00347C55"/>
    <w:rsid w:val="00347CA2"/>
    <w:rsid w:val="00347D22"/>
    <w:rsid w:val="00347DB7"/>
    <w:rsid w:val="00347DC9"/>
    <w:rsid w:val="00347E16"/>
    <w:rsid w:val="00350107"/>
    <w:rsid w:val="00350385"/>
    <w:rsid w:val="003504CD"/>
    <w:rsid w:val="00350713"/>
    <w:rsid w:val="00350A65"/>
    <w:rsid w:val="00350A88"/>
    <w:rsid w:val="00350A8D"/>
    <w:rsid w:val="00350ADF"/>
    <w:rsid w:val="00350BA4"/>
    <w:rsid w:val="00350E1D"/>
    <w:rsid w:val="00350F73"/>
    <w:rsid w:val="00350FFE"/>
    <w:rsid w:val="00351008"/>
    <w:rsid w:val="0035130A"/>
    <w:rsid w:val="00351316"/>
    <w:rsid w:val="0035147F"/>
    <w:rsid w:val="00351565"/>
    <w:rsid w:val="003515FB"/>
    <w:rsid w:val="0035179F"/>
    <w:rsid w:val="003518D2"/>
    <w:rsid w:val="003518FE"/>
    <w:rsid w:val="00351996"/>
    <w:rsid w:val="0035199A"/>
    <w:rsid w:val="00351B13"/>
    <w:rsid w:val="00351C0B"/>
    <w:rsid w:val="00351C6D"/>
    <w:rsid w:val="00351D17"/>
    <w:rsid w:val="00351D79"/>
    <w:rsid w:val="00351D8D"/>
    <w:rsid w:val="003522D3"/>
    <w:rsid w:val="003522DE"/>
    <w:rsid w:val="003524AC"/>
    <w:rsid w:val="00352AF4"/>
    <w:rsid w:val="00352E30"/>
    <w:rsid w:val="00352ECA"/>
    <w:rsid w:val="00353063"/>
    <w:rsid w:val="003530A4"/>
    <w:rsid w:val="00353362"/>
    <w:rsid w:val="00353477"/>
    <w:rsid w:val="00353485"/>
    <w:rsid w:val="0035386B"/>
    <w:rsid w:val="00353882"/>
    <w:rsid w:val="00353A69"/>
    <w:rsid w:val="00353A72"/>
    <w:rsid w:val="00353B98"/>
    <w:rsid w:val="00353C06"/>
    <w:rsid w:val="00353CA5"/>
    <w:rsid w:val="00353DB0"/>
    <w:rsid w:val="00353E92"/>
    <w:rsid w:val="00353ED5"/>
    <w:rsid w:val="00353F48"/>
    <w:rsid w:val="003541A2"/>
    <w:rsid w:val="003543D7"/>
    <w:rsid w:val="00354600"/>
    <w:rsid w:val="00354676"/>
    <w:rsid w:val="00354738"/>
    <w:rsid w:val="00354789"/>
    <w:rsid w:val="00354C13"/>
    <w:rsid w:val="00355229"/>
    <w:rsid w:val="0035539F"/>
    <w:rsid w:val="00355465"/>
    <w:rsid w:val="003556AA"/>
    <w:rsid w:val="003558B2"/>
    <w:rsid w:val="00355908"/>
    <w:rsid w:val="00355951"/>
    <w:rsid w:val="00355A5B"/>
    <w:rsid w:val="00355A8A"/>
    <w:rsid w:val="00355AA9"/>
    <w:rsid w:val="00355B1B"/>
    <w:rsid w:val="00355C20"/>
    <w:rsid w:val="00355D14"/>
    <w:rsid w:val="00355D6F"/>
    <w:rsid w:val="00355EB2"/>
    <w:rsid w:val="00355F6A"/>
    <w:rsid w:val="0035629D"/>
    <w:rsid w:val="00356516"/>
    <w:rsid w:val="003565D7"/>
    <w:rsid w:val="00356636"/>
    <w:rsid w:val="00356637"/>
    <w:rsid w:val="0035681D"/>
    <w:rsid w:val="00356839"/>
    <w:rsid w:val="00356A15"/>
    <w:rsid w:val="00356A8B"/>
    <w:rsid w:val="00356AC2"/>
    <w:rsid w:val="00356B90"/>
    <w:rsid w:val="00356CD5"/>
    <w:rsid w:val="00356DC5"/>
    <w:rsid w:val="00356E02"/>
    <w:rsid w:val="00356E9B"/>
    <w:rsid w:val="003574AC"/>
    <w:rsid w:val="003575DF"/>
    <w:rsid w:val="00357636"/>
    <w:rsid w:val="00357678"/>
    <w:rsid w:val="0035769D"/>
    <w:rsid w:val="0035774A"/>
    <w:rsid w:val="003577EB"/>
    <w:rsid w:val="003578F3"/>
    <w:rsid w:val="00357936"/>
    <w:rsid w:val="00357A75"/>
    <w:rsid w:val="00357A95"/>
    <w:rsid w:val="00357C19"/>
    <w:rsid w:val="00357DCE"/>
    <w:rsid w:val="00357E7F"/>
    <w:rsid w:val="00357E90"/>
    <w:rsid w:val="003601E6"/>
    <w:rsid w:val="00360461"/>
    <w:rsid w:val="003605AD"/>
    <w:rsid w:val="003605E4"/>
    <w:rsid w:val="00360777"/>
    <w:rsid w:val="00360794"/>
    <w:rsid w:val="0036097A"/>
    <w:rsid w:val="00360A2B"/>
    <w:rsid w:val="00360AA9"/>
    <w:rsid w:val="00360ADB"/>
    <w:rsid w:val="00360C9D"/>
    <w:rsid w:val="00360D12"/>
    <w:rsid w:val="00360D32"/>
    <w:rsid w:val="00360D52"/>
    <w:rsid w:val="00360E42"/>
    <w:rsid w:val="00360EFA"/>
    <w:rsid w:val="00360FD3"/>
    <w:rsid w:val="00361214"/>
    <w:rsid w:val="0036127F"/>
    <w:rsid w:val="0036136B"/>
    <w:rsid w:val="003614F0"/>
    <w:rsid w:val="0036162B"/>
    <w:rsid w:val="00361898"/>
    <w:rsid w:val="0036189F"/>
    <w:rsid w:val="003618A0"/>
    <w:rsid w:val="003619EF"/>
    <w:rsid w:val="003619F4"/>
    <w:rsid w:val="00361AE9"/>
    <w:rsid w:val="00361D5C"/>
    <w:rsid w:val="00361EC1"/>
    <w:rsid w:val="00361EF5"/>
    <w:rsid w:val="00362688"/>
    <w:rsid w:val="003626CE"/>
    <w:rsid w:val="0036286F"/>
    <w:rsid w:val="0036290C"/>
    <w:rsid w:val="00362948"/>
    <w:rsid w:val="00362999"/>
    <w:rsid w:val="00362A1A"/>
    <w:rsid w:val="00362F06"/>
    <w:rsid w:val="00362F34"/>
    <w:rsid w:val="003631FB"/>
    <w:rsid w:val="00363312"/>
    <w:rsid w:val="00363394"/>
    <w:rsid w:val="00363395"/>
    <w:rsid w:val="0036341C"/>
    <w:rsid w:val="00363506"/>
    <w:rsid w:val="003635C4"/>
    <w:rsid w:val="00363619"/>
    <w:rsid w:val="003636B3"/>
    <w:rsid w:val="003636E0"/>
    <w:rsid w:val="00363733"/>
    <w:rsid w:val="0036373C"/>
    <w:rsid w:val="003638DF"/>
    <w:rsid w:val="00363B91"/>
    <w:rsid w:val="00363C44"/>
    <w:rsid w:val="00363D41"/>
    <w:rsid w:val="00363EAF"/>
    <w:rsid w:val="00363EB8"/>
    <w:rsid w:val="0036402F"/>
    <w:rsid w:val="0036404A"/>
    <w:rsid w:val="003640B7"/>
    <w:rsid w:val="003645AB"/>
    <w:rsid w:val="00364962"/>
    <w:rsid w:val="00364A1A"/>
    <w:rsid w:val="00364A62"/>
    <w:rsid w:val="00364BA1"/>
    <w:rsid w:val="00364F1F"/>
    <w:rsid w:val="0036503B"/>
    <w:rsid w:val="0036532A"/>
    <w:rsid w:val="00365425"/>
    <w:rsid w:val="003654A8"/>
    <w:rsid w:val="003654AF"/>
    <w:rsid w:val="003654FA"/>
    <w:rsid w:val="00365716"/>
    <w:rsid w:val="003657F7"/>
    <w:rsid w:val="003658A2"/>
    <w:rsid w:val="003659C6"/>
    <w:rsid w:val="003659DB"/>
    <w:rsid w:val="00365CA6"/>
    <w:rsid w:val="00365E39"/>
    <w:rsid w:val="00365F6F"/>
    <w:rsid w:val="0036642B"/>
    <w:rsid w:val="00366572"/>
    <w:rsid w:val="003666E4"/>
    <w:rsid w:val="00366804"/>
    <w:rsid w:val="0036689C"/>
    <w:rsid w:val="00366B8A"/>
    <w:rsid w:val="00366CB9"/>
    <w:rsid w:val="00366EC6"/>
    <w:rsid w:val="003670C8"/>
    <w:rsid w:val="003670D0"/>
    <w:rsid w:val="00367201"/>
    <w:rsid w:val="00367233"/>
    <w:rsid w:val="003672D7"/>
    <w:rsid w:val="003675F4"/>
    <w:rsid w:val="00367723"/>
    <w:rsid w:val="003677C3"/>
    <w:rsid w:val="0036781B"/>
    <w:rsid w:val="00367B16"/>
    <w:rsid w:val="00367B48"/>
    <w:rsid w:val="00367C33"/>
    <w:rsid w:val="00367EA3"/>
    <w:rsid w:val="003702BB"/>
    <w:rsid w:val="0037034D"/>
    <w:rsid w:val="003703DD"/>
    <w:rsid w:val="00370937"/>
    <w:rsid w:val="00370C2C"/>
    <w:rsid w:val="00370C4C"/>
    <w:rsid w:val="00370CC3"/>
    <w:rsid w:val="00370E7A"/>
    <w:rsid w:val="00370F24"/>
    <w:rsid w:val="0037101E"/>
    <w:rsid w:val="00371086"/>
    <w:rsid w:val="003710D7"/>
    <w:rsid w:val="00371198"/>
    <w:rsid w:val="003711E8"/>
    <w:rsid w:val="00371537"/>
    <w:rsid w:val="0037162E"/>
    <w:rsid w:val="0037166D"/>
    <w:rsid w:val="00371794"/>
    <w:rsid w:val="00371902"/>
    <w:rsid w:val="00371BED"/>
    <w:rsid w:val="00371C23"/>
    <w:rsid w:val="00371D7A"/>
    <w:rsid w:val="00371E02"/>
    <w:rsid w:val="00371EC0"/>
    <w:rsid w:val="00372008"/>
    <w:rsid w:val="003720AE"/>
    <w:rsid w:val="00372298"/>
    <w:rsid w:val="00372444"/>
    <w:rsid w:val="00372501"/>
    <w:rsid w:val="00372514"/>
    <w:rsid w:val="003725D7"/>
    <w:rsid w:val="00372618"/>
    <w:rsid w:val="00372626"/>
    <w:rsid w:val="003726D2"/>
    <w:rsid w:val="0037293E"/>
    <w:rsid w:val="0037298F"/>
    <w:rsid w:val="00372A01"/>
    <w:rsid w:val="00372AD2"/>
    <w:rsid w:val="00372CED"/>
    <w:rsid w:val="003730B1"/>
    <w:rsid w:val="003731F6"/>
    <w:rsid w:val="003732F8"/>
    <w:rsid w:val="00373536"/>
    <w:rsid w:val="0037356E"/>
    <w:rsid w:val="00373692"/>
    <w:rsid w:val="003736F0"/>
    <w:rsid w:val="00373901"/>
    <w:rsid w:val="00373E62"/>
    <w:rsid w:val="00373E84"/>
    <w:rsid w:val="00373EC8"/>
    <w:rsid w:val="00374279"/>
    <w:rsid w:val="00374359"/>
    <w:rsid w:val="003743FB"/>
    <w:rsid w:val="00374736"/>
    <w:rsid w:val="003748A8"/>
    <w:rsid w:val="00374C35"/>
    <w:rsid w:val="00374D09"/>
    <w:rsid w:val="00374EC1"/>
    <w:rsid w:val="00375053"/>
    <w:rsid w:val="003751C5"/>
    <w:rsid w:val="003752DA"/>
    <w:rsid w:val="0037530E"/>
    <w:rsid w:val="00375344"/>
    <w:rsid w:val="003754D1"/>
    <w:rsid w:val="003755D1"/>
    <w:rsid w:val="00375655"/>
    <w:rsid w:val="00375677"/>
    <w:rsid w:val="00375697"/>
    <w:rsid w:val="003756D4"/>
    <w:rsid w:val="0037584D"/>
    <w:rsid w:val="00375931"/>
    <w:rsid w:val="00375A12"/>
    <w:rsid w:val="00375A9A"/>
    <w:rsid w:val="00375ACC"/>
    <w:rsid w:val="00375C7F"/>
    <w:rsid w:val="00375CB4"/>
    <w:rsid w:val="00375E98"/>
    <w:rsid w:val="00375E9C"/>
    <w:rsid w:val="0037601D"/>
    <w:rsid w:val="00376199"/>
    <w:rsid w:val="00376268"/>
    <w:rsid w:val="003762C4"/>
    <w:rsid w:val="00376454"/>
    <w:rsid w:val="00376459"/>
    <w:rsid w:val="0037655E"/>
    <w:rsid w:val="00376636"/>
    <w:rsid w:val="003769C5"/>
    <w:rsid w:val="00376A81"/>
    <w:rsid w:val="00376BAA"/>
    <w:rsid w:val="00376C03"/>
    <w:rsid w:val="00376C67"/>
    <w:rsid w:val="00376D97"/>
    <w:rsid w:val="00376DA3"/>
    <w:rsid w:val="00377163"/>
    <w:rsid w:val="0037719B"/>
    <w:rsid w:val="00377464"/>
    <w:rsid w:val="00377624"/>
    <w:rsid w:val="00377943"/>
    <w:rsid w:val="0037799F"/>
    <w:rsid w:val="00377DB5"/>
    <w:rsid w:val="00380078"/>
    <w:rsid w:val="00380112"/>
    <w:rsid w:val="003802D3"/>
    <w:rsid w:val="003802E1"/>
    <w:rsid w:val="0038033D"/>
    <w:rsid w:val="00380481"/>
    <w:rsid w:val="003804C2"/>
    <w:rsid w:val="00380526"/>
    <w:rsid w:val="0038059E"/>
    <w:rsid w:val="00380631"/>
    <w:rsid w:val="00380734"/>
    <w:rsid w:val="003809D4"/>
    <w:rsid w:val="00380C37"/>
    <w:rsid w:val="00380C91"/>
    <w:rsid w:val="00380D23"/>
    <w:rsid w:val="00380F6F"/>
    <w:rsid w:val="0038113D"/>
    <w:rsid w:val="00381230"/>
    <w:rsid w:val="003813C3"/>
    <w:rsid w:val="003813CD"/>
    <w:rsid w:val="003813FE"/>
    <w:rsid w:val="00381566"/>
    <w:rsid w:val="00381717"/>
    <w:rsid w:val="00381ACC"/>
    <w:rsid w:val="00381E73"/>
    <w:rsid w:val="0038206F"/>
    <w:rsid w:val="00382076"/>
    <w:rsid w:val="00382133"/>
    <w:rsid w:val="00382283"/>
    <w:rsid w:val="00382AB4"/>
    <w:rsid w:val="00382D01"/>
    <w:rsid w:val="00382E72"/>
    <w:rsid w:val="00382F40"/>
    <w:rsid w:val="00382F99"/>
    <w:rsid w:val="00382FC8"/>
    <w:rsid w:val="0038312F"/>
    <w:rsid w:val="00383242"/>
    <w:rsid w:val="00383313"/>
    <w:rsid w:val="0038354E"/>
    <w:rsid w:val="00383953"/>
    <w:rsid w:val="00383A45"/>
    <w:rsid w:val="00383AD0"/>
    <w:rsid w:val="00383B8F"/>
    <w:rsid w:val="00383CD3"/>
    <w:rsid w:val="00383DBA"/>
    <w:rsid w:val="00383E09"/>
    <w:rsid w:val="00383E0C"/>
    <w:rsid w:val="00383ED5"/>
    <w:rsid w:val="00383FEF"/>
    <w:rsid w:val="003840BC"/>
    <w:rsid w:val="003842C7"/>
    <w:rsid w:val="0038430B"/>
    <w:rsid w:val="003844B9"/>
    <w:rsid w:val="0038471C"/>
    <w:rsid w:val="00384761"/>
    <w:rsid w:val="003849A5"/>
    <w:rsid w:val="003849E7"/>
    <w:rsid w:val="00384BF8"/>
    <w:rsid w:val="00384C7E"/>
    <w:rsid w:val="00384D19"/>
    <w:rsid w:val="00385370"/>
    <w:rsid w:val="0038541E"/>
    <w:rsid w:val="0038549E"/>
    <w:rsid w:val="00385564"/>
    <w:rsid w:val="0038559F"/>
    <w:rsid w:val="003855EF"/>
    <w:rsid w:val="00385787"/>
    <w:rsid w:val="00385B14"/>
    <w:rsid w:val="00385B71"/>
    <w:rsid w:val="00385B8F"/>
    <w:rsid w:val="00385BD3"/>
    <w:rsid w:val="00385FDD"/>
    <w:rsid w:val="00386076"/>
    <w:rsid w:val="00386156"/>
    <w:rsid w:val="003863E8"/>
    <w:rsid w:val="00386607"/>
    <w:rsid w:val="003866DD"/>
    <w:rsid w:val="003867A9"/>
    <w:rsid w:val="003868B3"/>
    <w:rsid w:val="003868C1"/>
    <w:rsid w:val="0038699B"/>
    <w:rsid w:val="00386BCA"/>
    <w:rsid w:val="00386E65"/>
    <w:rsid w:val="00386E9D"/>
    <w:rsid w:val="00386F08"/>
    <w:rsid w:val="003871BA"/>
    <w:rsid w:val="00387562"/>
    <w:rsid w:val="00387570"/>
    <w:rsid w:val="00387665"/>
    <w:rsid w:val="00387AC4"/>
    <w:rsid w:val="00387CCD"/>
    <w:rsid w:val="00387FC3"/>
    <w:rsid w:val="00390098"/>
    <w:rsid w:val="00390193"/>
    <w:rsid w:val="00390298"/>
    <w:rsid w:val="003902B7"/>
    <w:rsid w:val="00390358"/>
    <w:rsid w:val="00390536"/>
    <w:rsid w:val="003905E0"/>
    <w:rsid w:val="003907B2"/>
    <w:rsid w:val="0039097B"/>
    <w:rsid w:val="00390A67"/>
    <w:rsid w:val="00390B2B"/>
    <w:rsid w:val="00390B96"/>
    <w:rsid w:val="00390BE7"/>
    <w:rsid w:val="00390C7A"/>
    <w:rsid w:val="00390FB1"/>
    <w:rsid w:val="0039115F"/>
    <w:rsid w:val="00391228"/>
    <w:rsid w:val="003912B7"/>
    <w:rsid w:val="00391356"/>
    <w:rsid w:val="003915BE"/>
    <w:rsid w:val="003916BD"/>
    <w:rsid w:val="00391898"/>
    <w:rsid w:val="003919D4"/>
    <w:rsid w:val="00391CA5"/>
    <w:rsid w:val="00391D83"/>
    <w:rsid w:val="00391E39"/>
    <w:rsid w:val="00391E79"/>
    <w:rsid w:val="00391F33"/>
    <w:rsid w:val="00391FD0"/>
    <w:rsid w:val="0039204E"/>
    <w:rsid w:val="0039211D"/>
    <w:rsid w:val="003922AE"/>
    <w:rsid w:val="003923B1"/>
    <w:rsid w:val="0039249C"/>
    <w:rsid w:val="003925B1"/>
    <w:rsid w:val="0039267E"/>
    <w:rsid w:val="0039284D"/>
    <w:rsid w:val="003928AA"/>
    <w:rsid w:val="00392973"/>
    <w:rsid w:val="00392B90"/>
    <w:rsid w:val="00392BFE"/>
    <w:rsid w:val="00392D02"/>
    <w:rsid w:val="00393087"/>
    <w:rsid w:val="003930AF"/>
    <w:rsid w:val="00393865"/>
    <w:rsid w:val="00393F7F"/>
    <w:rsid w:val="00393FDB"/>
    <w:rsid w:val="00394179"/>
    <w:rsid w:val="003943A4"/>
    <w:rsid w:val="00394446"/>
    <w:rsid w:val="0039447E"/>
    <w:rsid w:val="00394590"/>
    <w:rsid w:val="00394752"/>
    <w:rsid w:val="003947A3"/>
    <w:rsid w:val="00394823"/>
    <w:rsid w:val="00394AF9"/>
    <w:rsid w:val="00394B99"/>
    <w:rsid w:val="00394C26"/>
    <w:rsid w:val="00394CBD"/>
    <w:rsid w:val="0039508B"/>
    <w:rsid w:val="003950C4"/>
    <w:rsid w:val="003951DB"/>
    <w:rsid w:val="00395239"/>
    <w:rsid w:val="00395450"/>
    <w:rsid w:val="003958C4"/>
    <w:rsid w:val="003959D1"/>
    <w:rsid w:val="00395A3B"/>
    <w:rsid w:val="00395A91"/>
    <w:rsid w:val="00395D6C"/>
    <w:rsid w:val="003960A4"/>
    <w:rsid w:val="003960D2"/>
    <w:rsid w:val="003960DC"/>
    <w:rsid w:val="003963DC"/>
    <w:rsid w:val="00396532"/>
    <w:rsid w:val="00396968"/>
    <w:rsid w:val="00396AA9"/>
    <w:rsid w:val="00396BF8"/>
    <w:rsid w:val="00396C9A"/>
    <w:rsid w:val="00396D6C"/>
    <w:rsid w:val="00396D85"/>
    <w:rsid w:val="00396F34"/>
    <w:rsid w:val="00396F70"/>
    <w:rsid w:val="00397150"/>
    <w:rsid w:val="00397217"/>
    <w:rsid w:val="0039740B"/>
    <w:rsid w:val="003974E5"/>
    <w:rsid w:val="003975FC"/>
    <w:rsid w:val="003978DD"/>
    <w:rsid w:val="00397ABD"/>
    <w:rsid w:val="00397AD2"/>
    <w:rsid w:val="00397B27"/>
    <w:rsid w:val="00397BD2"/>
    <w:rsid w:val="00397E1F"/>
    <w:rsid w:val="00397E9D"/>
    <w:rsid w:val="003A0016"/>
    <w:rsid w:val="003A0087"/>
    <w:rsid w:val="003A020B"/>
    <w:rsid w:val="003A022F"/>
    <w:rsid w:val="003A0234"/>
    <w:rsid w:val="003A026B"/>
    <w:rsid w:val="003A0385"/>
    <w:rsid w:val="003A045F"/>
    <w:rsid w:val="003A0486"/>
    <w:rsid w:val="003A0489"/>
    <w:rsid w:val="003A052B"/>
    <w:rsid w:val="003A05F1"/>
    <w:rsid w:val="003A06A3"/>
    <w:rsid w:val="003A0866"/>
    <w:rsid w:val="003A08CF"/>
    <w:rsid w:val="003A08EC"/>
    <w:rsid w:val="003A096F"/>
    <w:rsid w:val="003A0B06"/>
    <w:rsid w:val="003A0CD8"/>
    <w:rsid w:val="003A10D6"/>
    <w:rsid w:val="003A11E5"/>
    <w:rsid w:val="003A1332"/>
    <w:rsid w:val="003A14E2"/>
    <w:rsid w:val="003A160C"/>
    <w:rsid w:val="003A1723"/>
    <w:rsid w:val="003A17B5"/>
    <w:rsid w:val="003A1801"/>
    <w:rsid w:val="003A1937"/>
    <w:rsid w:val="003A205F"/>
    <w:rsid w:val="003A23F9"/>
    <w:rsid w:val="003A2422"/>
    <w:rsid w:val="003A25CD"/>
    <w:rsid w:val="003A2923"/>
    <w:rsid w:val="003A29B9"/>
    <w:rsid w:val="003A2A4D"/>
    <w:rsid w:val="003A2C07"/>
    <w:rsid w:val="003A2D77"/>
    <w:rsid w:val="003A2E64"/>
    <w:rsid w:val="003A2EBF"/>
    <w:rsid w:val="003A2F5A"/>
    <w:rsid w:val="003A3014"/>
    <w:rsid w:val="003A31DA"/>
    <w:rsid w:val="003A32E3"/>
    <w:rsid w:val="003A33C4"/>
    <w:rsid w:val="003A33CB"/>
    <w:rsid w:val="003A33F5"/>
    <w:rsid w:val="003A3472"/>
    <w:rsid w:val="003A3586"/>
    <w:rsid w:val="003A3596"/>
    <w:rsid w:val="003A3689"/>
    <w:rsid w:val="003A36D7"/>
    <w:rsid w:val="003A36E1"/>
    <w:rsid w:val="003A379B"/>
    <w:rsid w:val="003A3839"/>
    <w:rsid w:val="003A3980"/>
    <w:rsid w:val="003A3A4C"/>
    <w:rsid w:val="003A3B6B"/>
    <w:rsid w:val="003A3C7A"/>
    <w:rsid w:val="003A3E67"/>
    <w:rsid w:val="003A3EF2"/>
    <w:rsid w:val="003A3FA4"/>
    <w:rsid w:val="003A3FF9"/>
    <w:rsid w:val="003A4072"/>
    <w:rsid w:val="003A41F3"/>
    <w:rsid w:val="003A450A"/>
    <w:rsid w:val="003A4668"/>
    <w:rsid w:val="003A4763"/>
    <w:rsid w:val="003A47FB"/>
    <w:rsid w:val="003A4801"/>
    <w:rsid w:val="003A4997"/>
    <w:rsid w:val="003A4A4B"/>
    <w:rsid w:val="003A4AEF"/>
    <w:rsid w:val="003A4B3E"/>
    <w:rsid w:val="003A4B92"/>
    <w:rsid w:val="003A4CA5"/>
    <w:rsid w:val="003A4F0F"/>
    <w:rsid w:val="003A50BE"/>
    <w:rsid w:val="003A5193"/>
    <w:rsid w:val="003A51E2"/>
    <w:rsid w:val="003A55B3"/>
    <w:rsid w:val="003A56C1"/>
    <w:rsid w:val="003A57A9"/>
    <w:rsid w:val="003A592F"/>
    <w:rsid w:val="003A59EA"/>
    <w:rsid w:val="003A5A18"/>
    <w:rsid w:val="003A5A22"/>
    <w:rsid w:val="003A5AE9"/>
    <w:rsid w:val="003A6230"/>
    <w:rsid w:val="003A6269"/>
    <w:rsid w:val="003A62E9"/>
    <w:rsid w:val="003A6449"/>
    <w:rsid w:val="003A6690"/>
    <w:rsid w:val="003A67D2"/>
    <w:rsid w:val="003A68B5"/>
    <w:rsid w:val="003A6939"/>
    <w:rsid w:val="003A6A83"/>
    <w:rsid w:val="003A6B2C"/>
    <w:rsid w:val="003A6C9D"/>
    <w:rsid w:val="003A70CD"/>
    <w:rsid w:val="003A7127"/>
    <w:rsid w:val="003A72D5"/>
    <w:rsid w:val="003A73D7"/>
    <w:rsid w:val="003A7817"/>
    <w:rsid w:val="003A790C"/>
    <w:rsid w:val="003A7931"/>
    <w:rsid w:val="003A7AC8"/>
    <w:rsid w:val="003A7B6B"/>
    <w:rsid w:val="003A7CDC"/>
    <w:rsid w:val="003A7D5A"/>
    <w:rsid w:val="003B00FB"/>
    <w:rsid w:val="003B01C3"/>
    <w:rsid w:val="003B0245"/>
    <w:rsid w:val="003B02C1"/>
    <w:rsid w:val="003B03F7"/>
    <w:rsid w:val="003B05DF"/>
    <w:rsid w:val="003B069B"/>
    <w:rsid w:val="003B06A9"/>
    <w:rsid w:val="003B0735"/>
    <w:rsid w:val="003B0736"/>
    <w:rsid w:val="003B0782"/>
    <w:rsid w:val="003B0831"/>
    <w:rsid w:val="003B09CB"/>
    <w:rsid w:val="003B0B24"/>
    <w:rsid w:val="003B0C86"/>
    <w:rsid w:val="003B0C99"/>
    <w:rsid w:val="003B0D1C"/>
    <w:rsid w:val="003B1065"/>
    <w:rsid w:val="003B10F8"/>
    <w:rsid w:val="003B14A4"/>
    <w:rsid w:val="003B1520"/>
    <w:rsid w:val="003B1832"/>
    <w:rsid w:val="003B18C6"/>
    <w:rsid w:val="003B1A39"/>
    <w:rsid w:val="003B1B4B"/>
    <w:rsid w:val="003B1B96"/>
    <w:rsid w:val="003B1D18"/>
    <w:rsid w:val="003B1F34"/>
    <w:rsid w:val="003B1F81"/>
    <w:rsid w:val="003B2059"/>
    <w:rsid w:val="003B209A"/>
    <w:rsid w:val="003B248E"/>
    <w:rsid w:val="003B24E1"/>
    <w:rsid w:val="003B28C1"/>
    <w:rsid w:val="003B2B4B"/>
    <w:rsid w:val="003B2B6C"/>
    <w:rsid w:val="003B2B8C"/>
    <w:rsid w:val="003B2BCE"/>
    <w:rsid w:val="003B2CA8"/>
    <w:rsid w:val="003B2E4B"/>
    <w:rsid w:val="003B2E8C"/>
    <w:rsid w:val="003B2F8B"/>
    <w:rsid w:val="003B33B6"/>
    <w:rsid w:val="003B37A7"/>
    <w:rsid w:val="003B38DA"/>
    <w:rsid w:val="003B3994"/>
    <w:rsid w:val="003B3F24"/>
    <w:rsid w:val="003B3F6B"/>
    <w:rsid w:val="003B4236"/>
    <w:rsid w:val="003B4314"/>
    <w:rsid w:val="003B4697"/>
    <w:rsid w:val="003B46B2"/>
    <w:rsid w:val="003B4732"/>
    <w:rsid w:val="003B4771"/>
    <w:rsid w:val="003B4A53"/>
    <w:rsid w:val="003B4ABD"/>
    <w:rsid w:val="003B4B8B"/>
    <w:rsid w:val="003B4C7C"/>
    <w:rsid w:val="003B4D53"/>
    <w:rsid w:val="003B4DFE"/>
    <w:rsid w:val="003B4E8C"/>
    <w:rsid w:val="003B4FD7"/>
    <w:rsid w:val="003B51A6"/>
    <w:rsid w:val="003B531B"/>
    <w:rsid w:val="003B538A"/>
    <w:rsid w:val="003B543E"/>
    <w:rsid w:val="003B5747"/>
    <w:rsid w:val="003B59CE"/>
    <w:rsid w:val="003B5B8B"/>
    <w:rsid w:val="003B5BAE"/>
    <w:rsid w:val="003B5BDD"/>
    <w:rsid w:val="003B5D48"/>
    <w:rsid w:val="003B5E0D"/>
    <w:rsid w:val="003B6428"/>
    <w:rsid w:val="003B67BB"/>
    <w:rsid w:val="003B67EB"/>
    <w:rsid w:val="003B687A"/>
    <w:rsid w:val="003B68FD"/>
    <w:rsid w:val="003B6A25"/>
    <w:rsid w:val="003B6B51"/>
    <w:rsid w:val="003B6C4F"/>
    <w:rsid w:val="003B6D1C"/>
    <w:rsid w:val="003B6DAB"/>
    <w:rsid w:val="003B6F81"/>
    <w:rsid w:val="003B6FBB"/>
    <w:rsid w:val="003B6FC6"/>
    <w:rsid w:val="003B7050"/>
    <w:rsid w:val="003B71DB"/>
    <w:rsid w:val="003B7335"/>
    <w:rsid w:val="003B7460"/>
    <w:rsid w:val="003B77B6"/>
    <w:rsid w:val="003B77D4"/>
    <w:rsid w:val="003B7873"/>
    <w:rsid w:val="003B789B"/>
    <w:rsid w:val="003B78DD"/>
    <w:rsid w:val="003B7A5C"/>
    <w:rsid w:val="003B7D85"/>
    <w:rsid w:val="003B7D8F"/>
    <w:rsid w:val="003B7DB3"/>
    <w:rsid w:val="003B7F8F"/>
    <w:rsid w:val="003B7FD0"/>
    <w:rsid w:val="003C017C"/>
    <w:rsid w:val="003C01D3"/>
    <w:rsid w:val="003C020F"/>
    <w:rsid w:val="003C0237"/>
    <w:rsid w:val="003C035C"/>
    <w:rsid w:val="003C0365"/>
    <w:rsid w:val="003C05F8"/>
    <w:rsid w:val="003C06D7"/>
    <w:rsid w:val="003C077C"/>
    <w:rsid w:val="003C0809"/>
    <w:rsid w:val="003C0902"/>
    <w:rsid w:val="003C0924"/>
    <w:rsid w:val="003C09A8"/>
    <w:rsid w:val="003C09B7"/>
    <w:rsid w:val="003C0A09"/>
    <w:rsid w:val="003C0A5C"/>
    <w:rsid w:val="003C0A72"/>
    <w:rsid w:val="003C0B7F"/>
    <w:rsid w:val="003C0EF9"/>
    <w:rsid w:val="003C0FBA"/>
    <w:rsid w:val="003C11B4"/>
    <w:rsid w:val="003C12BF"/>
    <w:rsid w:val="003C1485"/>
    <w:rsid w:val="003C1562"/>
    <w:rsid w:val="003C1717"/>
    <w:rsid w:val="003C18CD"/>
    <w:rsid w:val="003C1933"/>
    <w:rsid w:val="003C1A4B"/>
    <w:rsid w:val="003C1A52"/>
    <w:rsid w:val="003C1EB2"/>
    <w:rsid w:val="003C1F0A"/>
    <w:rsid w:val="003C20BB"/>
    <w:rsid w:val="003C21F1"/>
    <w:rsid w:val="003C21F7"/>
    <w:rsid w:val="003C22C3"/>
    <w:rsid w:val="003C264C"/>
    <w:rsid w:val="003C2806"/>
    <w:rsid w:val="003C2838"/>
    <w:rsid w:val="003C2883"/>
    <w:rsid w:val="003C2894"/>
    <w:rsid w:val="003C290A"/>
    <w:rsid w:val="003C2ACB"/>
    <w:rsid w:val="003C2D63"/>
    <w:rsid w:val="003C2DDF"/>
    <w:rsid w:val="003C2E1B"/>
    <w:rsid w:val="003C30B3"/>
    <w:rsid w:val="003C3216"/>
    <w:rsid w:val="003C3232"/>
    <w:rsid w:val="003C32CA"/>
    <w:rsid w:val="003C33F4"/>
    <w:rsid w:val="003C346F"/>
    <w:rsid w:val="003C3574"/>
    <w:rsid w:val="003C35F7"/>
    <w:rsid w:val="003C36FD"/>
    <w:rsid w:val="003C38A3"/>
    <w:rsid w:val="003C3A91"/>
    <w:rsid w:val="003C3B15"/>
    <w:rsid w:val="003C3CEE"/>
    <w:rsid w:val="003C3D43"/>
    <w:rsid w:val="003C3D4F"/>
    <w:rsid w:val="003C3E76"/>
    <w:rsid w:val="003C4207"/>
    <w:rsid w:val="003C4225"/>
    <w:rsid w:val="003C4459"/>
    <w:rsid w:val="003C49B3"/>
    <w:rsid w:val="003C4A5E"/>
    <w:rsid w:val="003C4ABD"/>
    <w:rsid w:val="003C4B34"/>
    <w:rsid w:val="003C4D68"/>
    <w:rsid w:val="003C4ED0"/>
    <w:rsid w:val="003C4F83"/>
    <w:rsid w:val="003C50C9"/>
    <w:rsid w:val="003C51A7"/>
    <w:rsid w:val="003C5292"/>
    <w:rsid w:val="003C53CA"/>
    <w:rsid w:val="003C5489"/>
    <w:rsid w:val="003C5527"/>
    <w:rsid w:val="003C5695"/>
    <w:rsid w:val="003C57B6"/>
    <w:rsid w:val="003C5975"/>
    <w:rsid w:val="003C5A14"/>
    <w:rsid w:val="003C5EB0"/>
    <w:rsid w:val="003C6119"/>
    <w:rsid w:val="003C613F"/>
    <w:rsid w:val="003C6336"/>
    <w:rsid w:val="003C64F8"/>
    <w:rsid w:val="003C671C"/>
    <w:rsid w:val="003C6913"/>
    <w:rsid w:val="003C6931"/>
    <w:rsid w:val="003C6A59"/>
    <w:rsid w:val="003C6BFB"/>
    <w:rsid w:val="003C6F58"/>
    <w:rsid w:val="003C7230"/>
    <w:rsid w:val="003C72D4"/>
    <w:rsid w:val="003C77EA"/>
    <w:rsid w:val="003C785D"/>
    <w:rsid w:val="003C78C7"/>
    <w:rsid w:val="003C7C86"/>
    <w:rsid w:val="003C7DE1"/>
    <w:rsid w:val="003C7E44"/>
    <w:rsid w:val="003C7EA6"/>
    <w:rsid w:val="003D0200"/>
    <w:rsid w:val="003D0352"/>
    <w:rsid w:val="003D04E8"/>
    <w:rsid w:val="003D08E5"/>
    <w:rsid w:val="003D09C7"/>
    <w:rsid w:val="003D09FF"/>
    <w:rsid w:val="003D0A7C"/>
    <w:rsid w:val="003D0BAD"/>
    <w:rsid w:val="003D0D82"/>
    <w:rsid w:val="003D0DCC"/>
    <w:rsid w:val="003D0FA8"/>
    <w:rsid w:val="003D10B9"/>
    <w:rsid w:val="003D116F"/>
    <w:rsid w:val="003D117B"/>
    <w:rsid w:val="003D129F"/>
    <w:rsid w:val="003D12CC"/>
    <w:rsid w:val="003D130A"/>
    <w:rsid w:val="003D14A6"/>
    <w:rsid w:val="003D155F"/>
    <w:rsid w:val="003D1592"/>
    <w:rsid w:val="003D169A"/>
    <w:rsid w:val="003D169C"/>
    <w:rsid w:val="003D1738"/>
    <w:rsid w:val="003D17F6"/>
    <w:rsid w:val="003D183B"/>
    <w:rsid w:val="003D1B07"/>
    <w:rsid w:val="003D1B43"/>
    <w:rsid w:val="003D1BA1"/>
    <w:rsid w:val="003D1BC2"/>
    <w:rsid w:val="003D1D5D"/>
    <w:rsid w:val="003D1D64"/>
    <w:rsid w:val="003D1E41"/>
    <w:rsid w:val="003D1E88"/>
    <w:rsid w:val="003D1FA6"/>
    <w:rsid w:val="003D1FF1"/>
    <w:rsid w:val="003D2008"/>
    <w:rsid w:val="003D213E"/>
    <w:rsid w:val="003D26F5"/>
    <w:rsid w:val="003D26FE"/>
    <w:rsid w:val="003D2746"/>
    <w:rsid w:val="003D2869"/>
    <w:rsid w:val="003D2918"/>
    <w:rsid w:val="003D2AA4"/>
    <w:rsid w:val="003D2BAD"/>
    <w:rsid w:val="003D2C97"/>
    <w:rsid w:val="003D2CD5"/>
    <w:rsid w:val="003D2EE4"/>
    <w:rsid w:val="003D2FD6"/>
    <w:rsid w:val="003D3061"/>
    <w:rsid w:val="003D30A1"/>
    <w:rsid w:val="003D3177"/>
    <w:rsid w:val="003D336B"/>
    <w:rsid w:val="003D3452"/>
    <w:rsid w:val="003D34B6"/>
    <w:rsid w:val="003D353D"/>
    <w:rsid w:val="003D37D2"/>
    <w:rsid w:val="003D38AE"/>
    <w:rsid w:val="003D38BB"/>
    <w:rsid w:val="003D3EF3"/>
    <w:rsid w:val="003D3F8B"/>
    <w:rsid w:val="003D3FBC"/>
    <w:rsid w:val="003D3FFB"/>
    <w:rsid w:val="003D4031"/>
    <w:rsid w:val="003D41B9"/>
    <w:rsid w:val="003D4235"/>
    <w:rsid w:val="003D423F"/>
    <w:rsid w:val="003D4452"/>
    <w:rsid w:val="003D451C"/>
    <w:rsid w:val="003D4562"/>
    <w:rsid w:val="003D46EB"/>
    <w:rsid w:val="003D4803"/>
    <w:rsid w:val="003D4A07"/>
    <w:rsid w:val="003D4AA3"/>
    <w:rsid w:val="003D4C44"/>
    <w:rsid w:val="003D4D99"/>
    <w:rsid w:val="003D501B"/>
    <w:rsid w:val="003D50A0"/>
    <w:rsid w:val="003D5270"/>
    <w:rsid w:val="003D5508"/>
    <w:rsid w:val="003D556C"/>
    <w:rsid w:val="003D5AD4"/>
    <w:rsid w:val="003D5B48"/>
    <w:rsid w:val="003D5DEB"/>
    <w:rsid w:val="003D5ED0"/>
    <w:rsid w:val="003D5EE5"/>
    <w:rsid w:val="003D60A9"/>
    <w:rsid w:val="003D60E9"/>
    <w:rsid w:val="003D6390"/>
    <w:rsid w:val="003D647D"/>
    <w:rsid w:val="003D6484"/>
    <w:rsid w:val="003D6502"/>
    <w:rsid w:val="003D6652"/>
    <w:rsid w:val="003D6864"/>
    <w:rsid w:val="003D68C0"/>
    <w:rsid w:val="003D6A80"/>
    <w:rsid w:val="003D6BF1"/>
    <w:rsid w:val="003D6CED"/>
    <w:rsid w:val="003D6D65"/>
    <w:rsid w:val="003D7024"/>
    <w:rsid w:val="003D7124"/>
    <w:rsid w:val="003D737C"/>
    <w:rsid w:val="003D738A"/>
    <w:rsid w:val="003D7649"/>
    <w:rsid w:val="003D77E2"/>
    <w:rsid w:val="003D781B"/>
    <w:rsid w:val="003D7B75"/>
    <w:rsid w:val="003D7DA5"/>
    <w:rsid w:val="003D7EB0"/>
    <w:rsid w:val="003E00B7"/>
    <w:rsid w:val="003E00F3"/>
    <w:rsid w:val="003E03C3"/>
    <w:rsid w:val="003E03E4"/>
    <w:rsid w:val="003E04C2"/>
    <w:rsid w:val="003E06D6"/>
    <w:rsid w:val="003E0775"/>
    <w:rsid w:val="003E0822"/>
    <w:rsid w:val="003E0832"/>
    <w:rsid w:val="003E0835"/>
    <w:rsid w:val="003E0BBA"/>
    <w:rsid w:val="003E0DB7"/>
    <w:rsid w:val="003E0DE8"/>
    <w:rsid w:val="003E0F1E"/>
    <w:rsid w:val="003E0FC5"/>
    <w:rsid w:val="003E0FCE"/>
    <w:rsid w:val="003E11C3"/>
    <w:rsid w:val="003E125A"/>
    <w:rsid w:val="003E128A"/>
    <w:rsid w:val="003E12B8"/>
    <w:rsid w:val="003E1476"/>
    <w:rsid w:val="003E1497"/>
    <w:rsid w:val="003E16CA"/>
    <w:rsid w:val="003E1733"/>
    <w:rsid w:val="003E1821"/>
    <w:rsid w:val="003E1903"/>
    <w:rsid w:val="003E1A16"/>
    <w:rsid w:val="003E1A49"/>
    <w:rsid w:val="003E1C00"/>
    <w:rsid w:val="003E1C56"/>
    <w:rsid w:val="003E1F1F"/>
    <w:rsid w:val="003E1FE4"/>
    <w:rsid w:val="003E2026"/>
    <w:rsid w:val="003E21AA"/>
    <w:rsid w:val="003E23D0"/>
    <w:rsid w:val="003E246A"/>
    <w:rsid w:val="003E2478"/>
    <w:rsid w:val="003E249D"/>
    <w:rsid w:val="003E24F5"/>
    <w:rsid w:val="003E2583"/>
    <w:rsid w:val="003E27E0"/>
    <w:rsid w:val="003E280F"/>
    <w:rsid w:val="003E2ACE"/>
    <w:rsid w:val="003E2B68"/>
    <w:rsid w:val="003E2C70"/>
    <w:rsid w:val="003E2CD6"/>
    <w:rsid w:val="003E2EC4"/>
    <w:rsid w:val="003E2F7A"/>
    <w:rsid w:val="003E3245"/>
    <w:rsid w:val="003E3391"/>
    <w:rsid w:val="003E34B7"/>
    <w:rsid w:val="003E35B1"/>
    <w:rsid w:val="003E35C3"/>
    <w:rsid w:val="003E397F"/>
    <w:rsid w:val="003E399B"/>
    <w:rsid w:val="003E3A1E"/>
    <w:rsid w:val="003E3AD9"/>
    <w:rsid w:val="003E3C46"/>
    <w:rsid w:val="003E3C64"/>
    <w:rsid w:val="003E3E26"/>
    <w:rsid w:val="003E3EA1"/>
    <w:rsid w:val="003E3F57"/>
    <w:rsid w:val="003E40BA"/>
    <w:rsid w:val="003E4270"/>
    <w:rsid w:val="003E42B6"/>
    <w:rsid w:val="003E440F"/>
    <w:rsid w:val="003E458E"/>
    <w:rsid w:val="003E4887"/>
    <w:rsid w:val="003E48E7"/>
    <w:rsid w:val="003E496F"/>
    <w:rsid w:val="003E498B"/>
    <w:rsid w:val="003E499B"/>
    <w:rsid w:val="003E4EB4"/>
    <w:rsid w:val="003E4FCB"/>
    <w:rsid w:val="003E54C2"/>
    <w:rsid w:val="003E54E0"/>
    <w:rsid w:val="003E560A"/>
    <w:rsid w:val="003E56EE"/>
    <w:rsid w:val="003E5794"/>
    <w:rsid w:val="003E591A"/>
    <w:rsid w:val="003E5A7B"/>
    <w:rsid w:val="003E5C44"/>
    <w:rsid w:val="003E5D1D"/>
    <w:rsid w:val="003E5DAB"/>
    <w:rsid w:val="003E5EAC"/>
    <w:rsid w:val="003E6085"/>
    <w:rsid w:val="003E61CD"/>
    <w:rsid w:val="003E6299"/>
    <w:rsid w:val="003E6327"/>
    <w:rsid w:val="003E6591"/>
    <w:rsid w:val="003E65A3"/>
    <w:rsid w:val="003E68FE"/>
    <w:rsid w:val="003E6B6D"/>
    <w:rsid w:val="003E6BC0"/>
    <w:rsid w:val="003E6CC7"/>
    <w:rsid w:val="003E6E31"/>
    <w:rsid w:val="003E6EB0"/>
    <w:rsid w:val="003E7271"/>
    <w:rsid w:val="003E747A"/>
    <w:rsid w:val="003E7540"/>
    <w:rsid w:val="003E7647"/>
    <w:rsid w:val="003E7707"/>
    <w:rsid w:val="003E77E8"/>
    <w:rsid w:val="003E7971"/>
    <w:rsid w:val="003E7E5C"/>
    <w:rsid w:val="003E7F4B"/>
    <w:rsid w:val="003F01F7"/>
    <w:rsid w:val="003F031D"/>
    <w:rsid w:val="003F03E3"/>
    <w:rsid w:val="003F046D"/>
    <w:rsid w:val="003F0491"/>
    <w:rsid w:val="003F05F8"/>
    <w:rsid w:val="003F06AB"/>
    <w:rsid w:val="003F08C9"/>
    <w:rsid w:val="003F0908"/>
    <w:rsid w:val="003F0A38"/>
    <w:rsid w:val="003F0AAD"/>
    <w:rsid w:val="003F0B4C"/>
    <w:rsid w:val="003F0C22"/>
    <w:rsid w:val="003F0C9D"/>
    <w:rsid w:val="003F0D13"/>
    <w:rsid w:val="003F0E19"/>
    <w:rsid w:val="003F0E4A"/>
    <w:rsid w:val="003F0EC0"/>
    <w:rsid w:val="003F0F60"/>
    <w:rsid w:val="003F102F"/>
    <w:rsid w:val="003F1061"/>
    <w:rsid w:val="003F146D"/>
    <w:rsid w:val="003F14AE"/>
    <w:rsid w:val="003F16FF"/>
    <w:rsid w:val="003F185E"/>
    <w:rsid w:val="003F1B53"/>
    <w:rsid w:val="003F1B76"/>
    <w:rsid w:val="003F1DBB"/>
    <w:rsid w:val="003F1FA2"/>
    <w:rsid w:val="003F1FC7"/>
    <w:rsid w:val="003F2170"/>
    <w:rsid w:val="003F2187"/>
    <w:rsid w:val="003F221D"/>
    <w:rsid w:val="003F2258"/>
    <w:rsid w:val="003F248B"/>
    <w:rsid w:val="003F25A3"/>
    <w:rsid w:val="003F276A"/>
    <w:rsid w:val="003F2824"/>
    <w:rsid w:val="003F2849"/>
    <w:rsid w:val="003F287D"/>
    <w:rsid w:val="003F2880"/>
    <w:rsid w:val="003F28CA"/>
    <w:rsid w:val="003F29DB"/>
    <w:rsid w:val="003F2CD0"/>
    <w:rsid w:val="003F301B"/>
    <w:rsid w:val="003F3097"/>
    <w:rsid w:val="003F30E1"/>
    <w:rsid w:val="003F313B"/>
    <w:rsid w:val="003F3201"/>
    <w:rsid w:val="003F3208"/>
    <w:rsid w:val="003F33B1"/>
    <w:rsid w:val="003F37C1"/>
    <w:rsid w:val="003F3823"/>
    <w:rsid w:val="003F383E"/>
    <w:rsid w:val="003F3852"/>
    <w:rsid w:val="003F3AA2"/>
    <w:rsid w:val="003F3AFA"/>
    <w:rsid w:val="003F3B9E"/>
    <w:rsid w:val="003F3D26"/>
    <w:rsid w:val="003F3D85"/>
    <w:rsid w:val="003F4240"/>
    <w:rsid w:val="003F486D"/>
    <w:rsid w:val="003F48E3"/>
    <w:rsid w:val="003F4CC9"/>
    <w:rsid w:val="003F4D37"/>
    <w:rsid w:val="003F4DC0"/>
    <w:rsid w:val="003F4F16"/>
    <w:rsid w:val="003F51CD"/>
    <w:rsid w:val="003F5274"/>
    <w:rsid w:val="003F52E1"/>
    <w:rsid w:val="003F5626"/>
    <w:rsid w:val="003F5803"/>
    <w:rsid w:val="003F5864"/>
    <w:rsid w:val="003F5BA6"/>
    <w:rsid w:val="003F5DE5"/>
    <w:rsid w:val="003F5EA6"/>
    <w:rsid w:val="003F6265"/>
    <w:rsid w:val="003F627A"/>
    <w:rsid w:val="003F66B3"/>
    <w:rsid w:val="003F699E"/>
    <w:rsid w:val="003F69C3"/>
    <w:rsid w:val="003F6A72"/>
    <w:rsid w:val="003F6F28"/>
    <w:rsid w:val="003F72D4"/>
    <w:rsid w:val="003F73A9"/>
    <w:rsid w:val="003F7571"/>
    <w:rsid w:val="003F7594"/>
    <w:rsid w:val="003F759B"/>
    <w:rsid w:val="003F769A"/>
    <w:rsid w:val="003F797C"/>
    <w:rsid w:val="003F79A4"/>
    <w:rsid w:val="003F7B06"/>
    <w:rsid w:val="003F7D55"/>
    <w:rsid w:val="004001B0"/>
    <w:rsid w:val="0040048C"/>
    <w:rsid w:val="004004C1"/>
    <w:rsid w:val="004004D1"/>
    <w:rsid w:val="004005F1"/>
    <w:rsid w:val="004006B0"/>
    <w:rsid w:val="004006C0"/>
    <w:rsid w:val="00400922"/>
    <w:rsid w:val="004009BE"/>
    <w:rsid w:val="00400BCC"/>
    <w:rsid w:val="00400F25"/>
    <w:rsid w:val="00401334"/>
    <w:rsid w:val="00401630"/>
    <w:rsid w:val="004016FB"/>
    <w:rsid w:val="00401950"/>
    <w:rsid w:val="00401C0E"/>
    <w:rsid w:val="004020DF"/>
    <w:rsid w:val="004020FC"/>
    <w:rsid w:val="00402234"/>
    <w:rsid w:val="00402267"/>
    <w:rsid w:val="0040239B"/>
    <w:rsid w:val="0040242E"/>
    <w:rsid w:val="004024BD"/>
    <w:rsid w:val="00402537"/>
    <w:rsid w:val="00402605"/>
    <w:rsid w:val="00402774"/>
    <w:rsid w:val="00402A11"/>
    <w:rsid w:val="00402A91"/>
    <w:rsid w:val="00402ADC"/>
    <w:rsid w:val="00402C12"/>
    <w:rsid w:val="00402F65"/>
    <w:rsid w:val="004030EA"/>
    <w:rsid w:val="0040334F"/>
    <w:rsid w:val="004035E0"/>
    <w:rsid w:val="0040360E"/>
    <w:rsid w:val="0040381F"/>
    <w:rsid w:val="0040383D"/>
    <w:rsid w:val="00403940"/>
    <w:rsid w:val="00403964"/>
    <w:rsid w:val="004039BA"/>
    <w:rsid w:val="00403A7A"/>
    <w:rsid w:val="00403B53"/>
    <w:rsid w:val="00403C0F"/>
    <w:rsid w:val="00403D1F"/>
    <w:rsid w:val="00403D40"/>
    <w:rsid w:val="00403D52"/>
    <w:rsid w:val="00403DE2"/>
    <w:rsid w:val="004040AA"/>
    <w:rsid w:val="00404101"/>
    <w:rsid w:val="00404254"/>
    <w:rsid w:val="004042C2"/>
    <w:rsid w:val="004043EB"/>
    <w:rsid w:val="00404572"/>
    <w:rsid w:val="004049BD"/>
    <w:rsid w:val="004049DB"/>
    <w:rsid w:val="00404A16"/>
    <w:rsid w:val="00404AB2"/>
    <w:rsid w:val="00404BD5"/>
    <w:rsid w:val="00404EE9"/>
    <w:rsid w:val="00404F40"/>
    <w:rsid w:val="004052D5"/>
    <w:rsid w:val="004053B8"/>
    <w:rsid w:val="0040550D"/>
    <w:rsid w:val="00405510"/>
    <w:rsid w:val="0040577D"/>
    <w:rsid w:val="004057C9"/>
    <w:rsid w:val="00405F44"/>
    <w:rsid w:val="004060B9"/>
    <w:rsid w:val="004060D7"/>
    <w:rsid w:val="00406278"/>
    <w:rsid w:val="00406606"/>
    <w:rsid w:val="0040671E"/>
    <w:rsid w:val="004067F6"/>
    <w:rsid w:val="004068D5"/>
    <w:rsid w:val="0040695C"/>
    <w:rsid w:val="00406A04"/>
    <w:rsid w:val="00406A1E"/>
    <w:rsid w:val="00406B90"/>
    <w:rsid w:val="00406C8D"/>
    <w:rsid w:val="00406DB5"/>
    <w:rsid w:val="00406E57"/>
    <w:rsid w:val="00406ECA"/>
    <w:rsid w:val="00406FB2"/>
    <w:rsid w:val="00407003"/>
    <w:rsid w:val="004073B4"/>
    <w:rsid w:val="0040749C"/>
    <w:rsid w:val="004075CC"/>
    <w:rsid w:val="0040769B"/>
    <w:rsid w:val="00407969"/>
    <w:rsid w:val="00407B66"/>
    <w:rsid w:val="00407B73"/>
    <w:rsid w:val="00407D78"/>
    <w:rsid w:val="00407E74"/>
    <w:rsid w:val="00407E82"/>
    <w:rsid w:val="0041000E"/>
    <w:rsid w:val="0041029D"/>
    <w:rsid w:val="004103D1"/>
    <w:rsid w:val="00410442"/>
    <w:rsid w:val="004104B2"/>
    <w:rsid w:val="00410889"/>
    <w:rsid w:val="004108A7"/>
    <w:rsid w:val="00410A94"/>
    <w:rsid w:val="00410D60"/>
    <w:rsid w:val="00410DDE"/>
    <w:rsid w:val="00410E3E"/>
    <w:rsid w:val="00410F21"/>
    <w:rsid w:val="00411077"/>
    <w:rsid w:val="00411103"/>
    <w:rsid w:val="00411200"/>
    <w:rsid w:val="00411336"/>
    <w:rsid w:val="004113BF"/>
    <w:rsid w:val="004113C8"/>
    <w:rsid w:val="00411485"/>
    <w:rsid w:val="00411646"/>
    <w:rsid w:val="004117D4"/>
    <w:rsid w:val="00411B87"/>
    <w:rsid w:val="00411CD8"/>
    <w:rsid w:val="00411F5D"/>
    <w:rsid w:val="004120FC"/>
    <w:rsid w:val="00412153"/>
    <w:rsid w:val="0041216D"/>
    <w:rsid w:val="0041235C"/>
    <w:rsid w:val="00412475"/>
    <w:rsid w:val="00412658"/>
    <w:rsid w:val="00412676"/>
    <w:rsid w:val="00412697"/>
    <w:rsid w:val="004126A1"/>
    <w:rsid w:val="004126AB"/>
    <w:rsid w:val="0041270B"/>
    <w:rsid w:val="004127C0"/>
    <w:rsid w:val="00412F24"/>
    <w:rsid w:val="00412F52"/>
    <w:rsid w:val="004137E8"/>
    <w:rsid w:val="004139AB"/>
    <w:rsid w:val="00413AC2"/>
    <w:rsid w:val="00413C0D"/>
    <w:rsid w:val="00413C1A"/>
    <w:rsid w:val="00414076"/>
    <w:rsid w:val="004141BB"/>
    <w:rsid w:val="00414217"/>
    <w:rsid w:val="004144AE"/>
    <w:rsid w:val="0041451A"/>
    <w:rsid w:val="0041455D"/>
    <w:rsid w:val="0041462E"/>
    <w:rsid w:val="00414746"/>
    <w:rsid w:val="004149AA"/>
    <w:rsid w:val="00414A0F"/>
    <w:rsid w:val="00414B12"/>
    <w:rsid w:val="00414F2B"/>
    <w:rsid w:val="004150AB"/>
    <w:rsid w:val="004150FE"/>
    <w:rsid w:val="0041519F"/>
    <w:rsid w:val="00415269"/>
    <w:rsid w:val="004155F4"/>
    <w:rsid w:val="00415AB6"/>
    <w:rsid w:val="00415F12"/>
    <w:rsid w:val="00415F90"/>
    <w:rsid w:val="00416005"/>
    <w:rsid w:val="0041610A"/>
    <w:rsid w:val="00416395"/>
    <w:rsid w:val="00416441"/>
    <w:rsid w:val="004164B1"/>
    <w:rsid w:val="0041651E"/>
    <w:rsid w:val="00416702"/>
    <w:rsid w:val="00416764"/>
    <w:rsid w:val="0041676F"/>
    <w:rsid w:val="00416797"/>
    <w:rsid w:val="004169CF"/>
    <w:rsid w:val="00416F75"/>
    <w:rsid w:val="004170B3"/>
    <w:rsid w:val="00417143"/>
    <w:rsid w:val="004171BF"/>
    <w:rsid w:val="004172F7"/>
    <w:rsid w:val="004177C0"/>
    <w:rsid w:val="004178F3"/>
    <w:rsid w:val="0041794B"/>
    <w:rsid w:val="00417976"/>
    <w:rsid w:val="00417B8C"/>
    <w:rsid w:val="00417D26"/>
    <w:rsid w:val="00417E4F"/>
    <w:rsid w:val="0042008F"/>
    <w:rsid w:val="004200D0"/>
    <w:rsid w:val="00420171"/>
    <w:rsid w:val="0042025B"/>
    <w:rsid w:val="0042027E"/>
    <w:rsid w:val="00420457"/>
    <w:rsid w:val="00420562"/>
    <w:rsid w:val="0042057D"/>
    <w:rsid w:val="0042065F"/>
    <w:rsid w:val="00420D0B"/>
    <w:rsid w:val="00420DA9"/>
    <w:rsid w:val="00420DC3"/>
    <w:rsid w:val="00420E13"/>
    <w:rsid w:val="00420F6F"/>
    <w:rsid w:val="0042134F"/>
    <w:rsid w:val="004215E7"/>
    <w:rsid w:val="004216BB"/>
    <w:rsid w:val="00421A69"/>
    <w:rsid w:val="00421B1A"/>
    <w:rsid w:val="00421B8E"/>
    <w:rsid w:val="00421C67"/>
    <w:rsid w:val="00421C7B"/>
    <w:rsid w:val="00421CFA"/>
    <w:rsid w:val="00421E9C"/>
    <w:rsid w:val="00421F88"/>
    <w:rsid w:val="00422033"/>
    <w:rsid w:val="00422377"/>
    <w:rsid w:val="0042239C"/>
    <w:rsid w:val="00422411"/>
    <w:rsid w:val="0042266D"/>
    <w:rsid w:val="00422B5F"/>
    <w:rsid w:val="00422CC1"/>
    <w:rsid w:val="00422CFF"/>
    <w:rsid w:val="00422F2D"/>
    <w:rsid w:val="00423267"/>
    <w:rsid w:val="00423309"/>
    <w:rsid w:val="004233C4"/>
    <w:rsid w:val="004233F2"/>
    <w:rsid w:val="004234B4"/>
    <w:rsid w:val="004234C9"/>
    <w:rsid w:val="0042370D"/>
    <w:rsid w:val="00423BA2"/>
    <w:rsid w:val="00423C11"/>
    <w:rsid w:val="00423DB8"/>
    <w:rsid w:val="004244B4"/>
    <w:rsid w:val="00424622"/>
    <w:rsid w:val="00424658"/>
    <w:rsid w:val="00424756"/>
    <w:rsid w:val="004247A1"/>
    <w:rsid w:val="00424813"/>
    <w:rsid w:val="00424814"/>
    <w:rsid w:val="00424A7E"/>
    <w:rsid w:val="00424D08"/>
    <w:rsid w:val="00424D16"/>
    <w:rsid w:val="00424DD3"/>
    <w:rsid w:val="00424DF0"/>
    <w:rsid w:val="00424EA2"/>
    <w:rsid w:val="00425145"/>
    <w:rsid w:val="00425261"/>
    <w:rsid w:val="00425443"/>
    <w:rsid w:val="004254F4"/>
    <w:rsid w:val="0042566A"/>
    <w:rsid w:val="00425766"/>
    <w:rsid w:val="0042581F"/>
    <w:rsid w:val="00425E39"/>
    <w:rsid w:val="00425EC7"/>
    <w:rsid w:val="004261C8"/>
    <w:rsid w:val="004261D6"/>
    <w:rsid w:val="00426316"/>
    <w:rsid w:val="0042633A"/>
    <w:rsid w:val="00426361"/>
    <w:rsid w:val="00426387"/>
    <w:rsid w:val="0042645B"/>
    <w:rsid w:val="00426578"/>
    <w:rsid w:val="00426790"/>
    <w:rsid w:val="0042698A"/>
    <w:rsid w:val="00426A2E"/>
    <w:rsid w:val="00426BFE"/>
    <w:rsid w:val="00426E69"/>
    <w:rsid w:val="00426EE6"/>
    <w:rsid w:val="004272FD"/>
    <w:rsid w:val="00427349"/>
    <w:rsid w:val="00427694"/>
    <w:rsid w:val="004278FC"/>
    <w:rsid w:val="0042798D"/>
    <w:rsid w:val="00427B49"/>
    <w:rsid w:val="00427D0E"/>
    <w:rsid w:val="00427D85"/>
    <w:rsid w:val="00427E6F"/>
    <w:rsid w:val="00427F40"/>
    <w:rsid w:val="00427FA6"/>
    <w:rsid w:val="00427FF1"/>
    <w:rsid w:val="00430190"/>
    <w:rsid w:val="0043031E"/>
    <w:rsid w:val="0043033F"/>
    <w:rsid w:val="0043039E"/>
    <w:rsid w:val="004303D6"/>
    <w:rsid w:val="00430548"/>
    <w:rsid w:val="00430621"/>
    <w:rsid w:val="0043065C"/>
    <w:rsid w:val="0043076A"/>
    <w:rsid w:val="004307F6"/>
    <w:rsid w:val="0043086C"/>
    <w:rsid w:val="0043096F"/>
    <w:rsid w:val="00430A02"/>
    <w:rsid w:val="00430A2A"/>
    <w:rsid w:val="00430BF8"/>
    <w:rsid w:val="00430C1D"/>
    <w:rsid w:val="00430E5A"/>
    <w:rsid w:val="00431053"/>
    <w:rsid w:val="004312C2"/>
    <w:rsid w:val="00431854"/>
    <w:rsid w:val="0043198A"/>
    <w:rsid w:val="00431B14"/>
    <w:rsid w:val="00431B77"/>
    <w:rsid w:val="00431C60"/>
    <w:rsid w:val="00431D03"/>
    <w:rsid w:val="00431D24"/>
    <w:rsid w:val="00431D51"/>
    <w:rsid w:val="00431DEC"/>
    <w:rsid w:val="00431E93"/>
    <w:rsid w:val="00431F43"/>
    <w:rsid w:val="004320E7"/>
    <w:rsid w:val="004323C2"/>
    <w:rsid w:val="004323D4"/>
    <w:rsid w:val="0043255D"/>
    <w:rsid w:val="0043265B"/>
    <w:rsid w:val="004327CC"/>
    <w:rsid w:val="004327E7"/>
    <w:rsid w:val="00432865"/>
    <w:rsid w:val="00432873"/>
    <w:rsid w:val="00432897"/>
    <w:rsid w:val="004329B6"/>
    <w:rsid w:val="00432B47"/>
    <w:rsid w:val="00432C4E"/>
    <w:rsid w:val="00432C9C"/>
    <w:rsid w:val="00432D37"/>
    <w:rsid w:val="00432D5D"/>
    <w:rsid w:val="00432EE6"/>
    <w:rsid w:val="00432F2F"/>
    <w:rsid w:val="00432FFF"/>
    <w:rsid w:val="00433115"/>
    <w:rsid w:val="00433174"/>
    <w:rsid w:val="0043337C"/>
    <w:rsid w:val="00433515"/>
    <w:rsid w:val="0043365B"/>
    <w:rsid w:val="00433ACC"/>
    <w:rsid w:val="00433B59"/>
    <w:rsid w:val="00433C20"/>
    <w:rsid w:val="00433C33"/>
    <w:rsid w:val="00433D46"/>
    <w:rsid w:val="00433F76"/>
    <w:rsid w:val="00434253"/>
    <w:rsid w:val="00434355"/>
    <w:rsid w:val="00434384"/>
    <w:rsid w:val="004343FF"/>
    <w:rsid w:val="00434828"/>
    <w:rsid w:val="00434886"/>
    <w:rsid w:val="0043489C"/>
    <w:rsid w:val="00434ACA"/>
    <w:rsid w:val="00434C7A"/>
    <w:rsid w:val="00434CAC"/>
    <w:rsid w:val="00434CD9"/>
    <w:rsid w:val="00434D6D"/>
    <w:rsid w:val="0043509F"/>
    <w:rsid w:val="0043511F"/>
    <w:rsid w:val="00435148"/>
    <w:rsid w:val="00435234"/>
    <w:rsid w:val="00435290"/>
    <w:rsid w:val="004353FB"/>
    <w:rsid w:val="00435624"/>
    <w:rsid w:val="004356CA"/>
    <w:rsid w:val="00435981"/>
    <w:rsid w:val="004359A1"/>
    <w:rsid w:val="00435C74"/>
    <w:rsid w:val="00435DD4"/>
    <w:rsid w:val="00435E09"/>
    <w:rsid w:val="00435E25"/>
    <w:rsid w:val="00435E37"/>
    <w:rsid w:val="00436093"/>
    <w:rsid w:val="00436372"/>
    <w:rsid w:val="00436397"/>
    <w:rsid w:val="0043643A"/>
    <w:rsid w:val="0043647A"/>
    <w:rsid w:val="004364FE"/>
    <w:rsid w:val="00436523"/>
    <w:rsid w:val="00436620"/>
    <w:rsid w:val="00436CA6"/>
    <w:rsid w:val="00436E5F"/>
    <w:rsid w:val="00437492"/>
    <w:rsid w:val="00437523"/>
    <w:rsid w:val="0043753E"/>
    <w:rsid w:val="004375B6"/>
    <w:rsid w:val="0043784E"/>
    <w:rsid w:val="00437D0C"/>
    <w:rsid w:val="00437EDF"/>
    <w:rsid w:val="00437F8D"/>
    <w:rsid w:val="00440455"/>
    <w:rsid w:val="004404FE"/>
    <w:rsid w:val="0044050C"/>
    <w:rsid w:val="0044062C"/>
    <w:rsid w:val="004406DC"/>
    <w:rsid w:val="004406FD"/>
    <w:rsid w:val="00440924"/>
    <w:rsid w:val="0044096A"/>
    <w:rsid w:val="004409CA"/>
    <w:rsid w:val="00440D5B"/>
    <w:rsid w:val="00440D7A"/>
    <w:rsid w:val="00440E75"/>
    <w:rsid w:val="004412F0"/>
    <w:rsid w:val="004414D2"/>
    <w:rsid w:val="004415BC"/>
    <w:rsid w:val="00441600"/>
    <w:rsid w:val="00441691"/>
    <w:rsid w:val="00441730"/>
    <w:rsid w:val="00441971"/>
    <w:rsid w:val="00441AC0"/>
    <w:rsid w:val="00441C70"/>
    <w:rsid w:val="00441E36"/>
    <w:rsid w:val="004420D9"/>
    <w:rsid w:val="00442261"/>
    <w:rsid w:val="00442599"/>
    <w:rsid w:val="004426B0"/>
    <w:rsid w:val="00442736"/>
    <w:rsid w:val="004428AE"/>
    <w:rsid w:val="00442937"/>
    <w:rsid w:val="00442AE1"/>
    <w:rsid w:val="00442B61"/>
    <w:rsid w:val="00442B86"/>
    <w:rsid w:val="00442BC9"/>
    <w:rsid w:val="00442F45"/>
    <w:rsid w:val="00442FB6"/>
    <w:rsid w:val="00442FD4"/>
    <w:rsid w:val="00442FD7"/>
    <w:rsid w:val="00443046"/>
    <w:rsid w:val="00443137"/>
    <w:rsid w:val="00443328"/>
    <w:rsid w:val="00443538"/>
    <w:rsid w:val="00443687"/>
    <w:rsid w:val="00443719"/>
    <w:rsid w:val="00443723"/>
    <w:rsid w:val="00443815"/>
    <w:rsid w:val="00443D69"/>
    <w:rsid w:val="00443E23"/>
    <w:rsid w:val="00444514"/>
    <w:rsid w:val="0044454B"/>
    <w:rsid w:val="004445AE"/>
    <w:rsid w:val="004445B0"/>
    <w:rsid w:val="004446EF"/>
    <w:rsid w:val="00444741"/>
    <w:rsid w:val="00444781"/>
    <w:rsid w:val="00444885"/>
    <w:rsid w:val="00444A5F"/>
    <w:rsid w:val="00444AD2"/>
    <w:rsid w:val="00444B1F"/>
    <w:rsid w:val="00444D31"/>
    <w:rsid w:val="00444DD8"/>
    <w:rsid w:val="00444F74"/>
    <w:rsid w:val="00444F7A"/>
    <w:rsid w:val="00445117"/>
    <w:rsid w:val="00445240"/>
    <w:rsid w:val="004453C9"/>
    <w:rsid w:val="00445444"/>
    <w:rsid w:val="004454FD"/>
    <w:rsid w:val="0044553D"/>
    <w:rsid w:val="004456AF"/>
    <w:rsid w:val="004456D2"/>
    <w:rsid w:val="00445971"/>
    <w:rsid w:val="00445B7C"/>
    <w:rsid w:val="00445D93"/>
    <w:rsid w:val="00445DA0"/>
    <w:rsid w:val="004460DB"/>
    <w:rsid w:val="00446207"/>
    <w:rsid w:val="00446467"/>
    <w:rsid w:val="0044672D"/>
    <w:rsid w:val="00446930"/>
    <w:rsid w:val="00446B21"/>
    <w:rsid w:val="00446B43"/>
    <w:rsid w:val="00446B45"/>
    <w:rsid w:val="00446C0E"/>
    <w:rsid w:val="00446C24"/>
    <w:rsid w:val="00446C51"/>
    <w:rsid w:val="00446C6A"/>
    <w:rsid w:val="00446CBE"/>
    <w:rsid w:val="00446CD4"/>
    <w:rsid w:val="00446DC6"/>
    <w:rsid w:val="00446FC0"/>
    <w:rsid w:val="00447175"/>
    <w:rsid w:val="004472C2"/>
    <w:rsid w:val="004472D1"/>
    <w:rsid w:val="00447639"/>
    <w:rsid w:val="0044778D"/>
    <w:rsid w:val="00447855"/>
    <w:rsid w:val="00447876"/>
    <w:rsid w:val="00447A60"/>
    <w:rsid w:val="00447B39"/>
    <w:rsid w:val="00447BD2"/>
    <w:rsid w:val="00447BFD"/>
    <w:rsid w:val="00447CA8"/>
    <w:rsid w:val="00447CD4"/>
    <w:rsid w:val="00447D6A"/>
    <w:rsid w:val="00447FF6"/>
    <w:rsid w:val="00450225"/>
    <w:rsid w:val="0045024D"/>
    <w:rsid w:val="004502A4"/>
    <w:rsid w:val="004502DE"/>
    <w:rsid w:val="004502FA"/>
    <w:rsid w:val="004504D5"/>
    <w:rsid w:val="00450513"/>
    <w:rsid w:val="00450752"/>
    <w:rsid w:val="0045092F"/>
    <w:rsid w:val="004509B9"/>
    <w:rsid w:val="00450AC8"/>
    <w:rsid w:val="00450C1F"/>
    <w:rsid w:val="00450D44"/>
    <w:rsid w:val="00450E17"/>
    <w:rsid w:val="00450E3F"/>
    <w:rsid w:val="00450E5D"/>
    <w:rsid w:val="00450FA0"/>
    <w:rsid w:val="00451215"/>
    <w:rsid w:val="00451354"/>
    <w:rsid w:val="004515BA"/>
    <w:rsid w:val="00451672"/>
    <w:rsid w:val="00451699"/>
    <w:rsid w:val="0045170F"/>
    <w:rsid w:val="00451976"/>
    <w:rsid w:val="00451C00"/>
    <w:rsid w:val="00451C3E"/>
    <w:rsid w:val="00451DC8"/>
    <w:rsid w:val="00451E18"/>
    <w:rsid w:val="00451E52"/>
    <w:rsid w:val="0045207B"/>
    <w:rsid w:val="0045211A"/>
    <w:rsid w:val="004521EA"/>
    <w:rsid w:val="0045255D"/>
    <w:rsid w:val="00452877"/>
    <w:rsid w:val="004528E6"/>
    <w:rsid w:val="004529EF"/>
    <w:rsid w:val="00452A04"/>
    <w:rsid w:val="00452A81"/>
    <w:rsid w:val="00452AA6"/>
    <w:rsid w:val="00452AD3"/>
    <w:rsid w:val="00452BD3"/>
    <w:rsid w:val="00452C42"/>
    <w:rsid w:val="00452D2F"/>
    <w:rsid w:val="00452E22"/>
    <w:rsid w:val="00452EE7"/>
    <w:rsid w:val="00452F10"/>
    <w:rsid w:val="0045306B"/>
    <w:rsid w:val="004531EE"/>
    <w:rsid w:val="00453229"/>
    <w:rsid w:val="0045323F"/>
    <w:rsid w:val="0045330D"/>
    <w:rsid w:val="00453420"/>
    <w:rsid w:val="0045349B"/>
    <w:rsid w:val="0045358E"/>
    <w:rsid w:val="004535DE"/>
    <w:rsid w:val="004535E2"/>
    <w:rsid w:val="004536E3"/>
    <w:rsid w:val="004537E0"/>
    <w:rsid w:val="0045381D"/>
    <w:rsid w:val="00453862"/>
    <w:rsid w:val="004538C8"/>
    <w:rsid w:val="004538C9"/>
    <w:rsid w:val="00453E9B"/>
    <w:rsid w:val="00454164"/>
    <w:rsid w:val="00454255"/>
    <w:rsid w:val="004547B5"/>
    <w:rsid w:val="00454888"/>
    <w:rsid w:val="00454B42"/>
    <w:rsid w:val="00454BDF"/>
    <w:rsid w:val="00454DEF"/>
    <w:rsid w:val="00454E41"/>
    <w:rsid w:val="00454F04"/>
    <w:rsid w:val="00454F4F"/>
    <w:rsid w:val="00454FA0"/>
    <w:rsid w:val="00455285"/>
    <w:rsid w:val="00455419"/>
    <w:rsid w:val="0045553F"/>
    <w:rsid w:val="00455582"/>
    <w:rsid w:val="004555D7"/>
    <w:rsid w:val="004556AB"/>
    <w:rsid w:val="00455750"/>
    <w:rsid w:val="00455792"/>
    <w:rsid w:val="004558B6"/>
    <w:rsid w:val="00455A4F"/>
    <w:rsid w:val="00456321"/>
    <w:rsid w:val="004565CD"/>
    <w:rsid w:val="00456625"/>
    <w:rsid w:val="00456B02"/>
    <w:rsid w:val="00456BD2"/>
    <w:rsid w:val="00456D10"/>
    <w:rsid w:val="00456F0E"/>
    <w:rsid w:val="00456F56"/>
    <w:rsid w:val="00456FE5"/>
    <w:rsid w:val="004570B6"/>
    <w:rsid w:val="00457284"/>
    <w:rsid w:val="004572D0"/>
    <w:rsid w:val="0045736F"/>
    <w:rsid w:val="004573A3"/>
    <w:rsid w:val="00457410"/>
    <w:rsid w:val="00457521"/>
    <w:rsid w:val="004575A6"/>
    <w:rsid w:val="00457792"/>
    <w:rsid w:val="004577AA"/>
    <w:rsid w:val="004577B6"/>
    <w:rsid w:val="004577DD"/>
    <w:rsid w:val="00457898"/>
    <w:rsid w:val="00457984"/>
    <w:rsid w:val="00457B50"/>
    <w:rsid w:val="00457CEE"/>
    <w:rsid w:val="00457E3A"/>
    <w:rsid w:val="00460264"/>
    <w:rsid w:val="00460310"/>
    <w:rsid w:val="0046040B"/>
    <w:rsid w:val="00460678"/>
    <w:rsid w:val="00460735"/>
    <w:rsid w:val="00460F1B"/>
    <w:rsid w:val="004611D9"/>
    <w:rsid w:val="0046132D"/>
    <w:rsid w:val="0046133B"/>
    <w:rsid w:val="00461386"/>
    <w:rsid w:val="00461491"/>
    <w:rsid w:val="004614BB"/>
    <w:rsid w:val="004615DF"/>
    <w:rsid w:val="0046198A"/>
    <w:rsid w:val="00461CCE"/>
    <w:rsid w:val="00461D5C"/>
    <w:rsid w:val="00461D80"/>
    <w:rsid w:val="00461E1C"/>
    <w:rsid w:val="00461E36"/>
    <w:rsid w:val="00461E43"/>
    <w:rsid w:val="00461FEF"/>
    <w:rsid w:val="004621ED"/>
    <w:rsid w:val="0046223F"/>
    <w:rsid w:val="0046229E"/>
    <w:rsid w:val="004622D0"/>
    <w:rsid w:val="004623A1"/>
    <w:rsid w:val="004623E2"/>
    <w:rsid w:val="00462875"/>
    <w:rsid w:val="00462A8D"/>
    <w:rsid w:val="00462B2F"/>
    <w:rsid w:val="00462B44"/>
    <w:rsid w:val="00462BBB"/>
    <w:rsid w:val="00462C86"/>
    <w:rsid w:val="00462D59"/>
    <w:rsid w:val="00462DEF"/>
    <w:rsid w:val="00463029"/>
    <w:rsid w:val="0046313B"/>
    <w:rsid w:val="00463162"/>
    <w:rsid w:val="00463184"/>
    <w:rsid w:val="004631A8"/>
    <w:rsid w:val="00463270"/>
    <w:rsid w:val="0046341F"/>
    <w:rsid w:val="00463699"/>
    <w:rsid w:val="004636B6"/>
    <w:rsid w:val="0046375D"/>
    <w:rsid w:val="00463851"/>
    <w:rsid w:val="0046386A"/>
    <w:rsid w:val="00463A44"/>
    <w:rsid w:val="00463A6C"/>
    <w:rsid w:val="00463C18"/>
    <w:rsid w:val="00463CDF"/>
    <w:rsid w:val="00463D59"/>
    <w:rsid w:val="00463DAD"/>
    <w:rsid w:val="00463F2D"/>
    <w:rsid w:val="00463F40"/>
    <w:rsid w:val="0046419C"/>
    <w:rsid w:val="004641E9"/>
    <w:rsid w:val="00464209"/>
    <w:rsid w:val="0046429A"/>
    <w:rsid w:val="00464309"/>
    <w:rsid w:val="00464403"/>
    <w:rsid w:val="00464598"/>
    <w:rsid w:val="004645F8"/>
    <w:rsid w:val="00464676"/>
    <w:rsid w:val="00464677"/>
    <w:rsid w:val="004646A7"/>
    <w:rsid w:val="0046475F"/>
    <w:rsid w:val="00464A23"/>
    <w:rsid w:val="00464B19"/>
    <w:rsid w:val="00464CBA"/>
    <w:rsid w:val="00464EBC"/>
    <w:rsid w:val="00464F14"/>
    <w:rsid w:val="00465053"/>
    <w:rsid w:val="00465075"/>
    <w:rsid w:val="004650BF"/>
    <w:rsid w:val="0046534E"/>
    <w:rsid w:val="00465370"/>
    <w:rsid w:val="004654C2"/>
    <w:rsid w:val="0046594E"/>
    <w:rsid w:val="00465A2F"/>
    <w:rsid w:val="00465A38"/>
    <w:rsid w:val="00465ADC"/>
    <w:rsid w:val="00465B5A"/>
    <w:rsid w:val="00465B74"/>
    <w:rsid w:val="00465C91"/>
    <w:rsid w:val="00465CEC"/>
    <w:rsid w:val="00465D55"/>
    <w:rsid w:val="00465D5D"/>
    <w:rsid w:val="00465D75"/>
    <w:rsid w:val="00465E93"/>
    <w:rsid w:val="00466042"/>
    <w:rsid w:val="0046613D"/>
    <w:rsid w:val="00466298"/>
    <w:rsid w:val="00466381"/>
    <w:rsid w:val="0046642E"/>
    <w:rsid w:val="00466489"/>
    <w:rsid w:val="004664AF"/>
    <w:rsid w:val="004664DB"/>
    <w:rsid w:val="004664DE"/>
    <w:rsid w:val="0046659C"/>
    <w:rsid w:val="004667B9"/>
    <w:rsid w:val="0046682E"/>
    <w:rsid w:val="00466853"/>
    <w:rsid w:val="00466888"/>
    <w:rsid w:val="0046690F"/>
    <w:rsid w:val="00466A23"/>
    <w:rsid w:val="00466AF6"/>
    <w:rsid w:val="00466C10"/>
    <w:rsid w:val="00466C68"/>
    <w:rsid w:val="00466DD6"/>
    <w:rsid w:val="00467084"/>
    <w:rsid w:val="004671A1"/>
    <w:rsid w:val="0046720E"/>
    <w:rsid w:val="004672DF"/>
    <w:rsid w:val="0046738D"/>
    <w:rsid w:val="0046739D"/>
    <w:rsid w:val="004673B7"/>
    <w:rsid w:val="00467405"/>
    <w:rsid w:val="004674F6"/>
    <w:rsid w:val="0046764C"/>
    <w:rsid w:val="0046773F"/>
    <w:rsid w:val="00467755"/>
    <w:rsid w:val="004678EE"/>
    <w:rsid w:val="00467986"/>
    <w:rsid w:val="00467D8F"/>
    <w:rsid w:val="00467E39"/>
    <w:rsid w:val="00467F3B"/>
    <w:rsid w:val="00470015"/>
    <w:rsid w:val="004700B6"/>
    <w:rsid w:val="004700B7"/>
    <w:rsid w:val="00470339"/>
    <w:rsid w:val="004705D3"/>
    <w:rsid w:val="004705FE"/>
    <w:rsid w:val="00470820"/>
    <w:rsid w:val="004708A8"/>
    <w:rsid w:val="004709AC"/>
    <w:rsid w:val="004710B6"/>
    <w:rsid w:val="004711BA"/>
    <w:rsid w:val="004714C7"/>
    <w:rsid w:val="00471692"/>
    <w:rsid w:val="00471801"/>
    <w:rsid w:val="004719AD"/>
    <w:rsid w:val="004719BE"/>
    <w:rsid w:val="00471B72"/>
    <w:rsid w:val="00471C11"/>
    <w:rsid w:val="00471C15"/>
    <w:rsid w:val="00471C8A"/>
    <w:rsid w:val="00471CBE"/>
    <w:rsid w:val="00471CE6"/>
    <w:rsid w:val="00471DDB"/>
    <w:rsid w:val="00471E63"/>
    <w:rsid w:val="00472041"/>
    <w:rsid w:val="00472382"/>
    <w:rsid w:val="004723B6"/>
    <w:rsid w:val="0047241F"/>
    <w:rsid w:val="004725FE"/>
    <w:rsid w:val="00472699"/>
    <w:rsid w:val="004727A7"/>
    <w:rsid w:val="004727D8"/>
    <w:rsid w:val="0047284A"/>
    <w:rsid w:val="00472924"/>
    <w:rsid w:val="004729AD"/>
    <w:rsid w:val="00472BCC"/>
    <w:rsid w:val="00472BE5"/>
    <w:rsid w:val="00472DDF"/>
    <w:rsid w:val="00472F77"/>
    <w:rsid w:val="00472FF5"/>
    <w:rsid w:val="004730A9"/>
    <w:rsid w:val="00473268"/>
    <w:rsid w:val="004735DD"/>
    <w:rsid w:val="00473633"/>
    <w:rsid w:val="004736AF"/>
    <w:rsid w:val="0047372A"/>
    <w:rsid w:val="004738EA"/>
    <w:rsid w:val="00473989"/>
    <w:rsid w:val="00473B16"/>
    <w:rsid w:val="00473B8B"/>
    <w:rsid w:val="00473C45"/>
    <w:rsid w:val="00473F71"/>
    <w:rsid w:val="00473FE2"/>
    <w:rsid w:val="004740AD"/>
    <w:rsid w:val="004740CB"/>
    <w:rsid w:val="004743D7"/>
    <w:rsid w:val="0047451D"/>
    <w:rsid w:val="00474883"/>
    <w:rsid w:val="00474962"/>
    <w:rsid w:val="0047527E"/>
    <w:rsid w:val="004753CF"/>
    <w:rsid w:val="00475408"/>
    <w:rsid w:val="00475456"/>
    <w:rsid w:val="0047545D"/>
    <w:rsid w:val="004759BA"/>
    <w:rsid w:val="00475A26"/>
    <w:rsid w:val="00475A76"/>
    <w:rsid w:val="00475F12"/>
    <w:rsid w:val="00475F50"/>
    <w:rsid w:val="00475FA7"/>
    <w:rsid w:val="00476164"/>
    <w:rsid w:val="00476224"/>
    <w:rsid w:val="0047630D"/>
    <w:rsid w:val="00476609"/>
    <w:rsid w:val="00476698"/>
    <w:rsid w:val="004766D0"/>
    <w:rsid w:val="0047674B"/>
    <w:rsid w:val="00476962"/>
    <w:rsid w:val="004769A0"/>
    <w:rsid w:val="00476AF3"/>
    <w:rsid w:val="00476B37"/>
    <w:rsid w:val="00476D25"/>
    <w:rsid w:val="00476F40"/>
    <w:rsid w:val="00476F86"/>
    <w:rsid w:val="00476FD6"/>
    <w:rsid w:val="0047704D"/>
    <w:rsid w:val="0047739F"/>
    <w:rsid w:val="0047744D"/>
    <w:rsid w:val="0047749E"/>
    <w:rsid w:val="004777A9"/>
    <w:rsid w:val="00477994"/>
    <w:rsid w:val="00477A6A"/>
    <w:rsid w:val="00477B99"/>
    <w:rsid w:val="00477E60"/>
    <w:rsid w:val="00477F66"/>
    <w:rsid w:val="00480117"/>
    <w:rsid w:val="00480238"/>
    <w:rsid w:val="004802D4"/>
    <w:rsid w:val="00480357"/>
    <w:rsid w:val="004803C3"/>
    <w:rsid w:val="004804F5"/>
    <w:rsid w:val="00480528"/>
    <w:rsid w:val="00480686"/>
    <w:rsid w:val="004806D4"/>
    <w:rsid w:val="0048078B"/>
    <w:rsid w:val="0048089A"/>
    <w:rsid w:val="004808AF"/>
    <w:rsid w:val="00480B3D"/>
    <w:rsid w:val="00480C47"/>
    <w:rsid w:val="00480D77"/>
    <w:rsid w:val="0048108E"/>
    <w:rsid w:val="0048116C"/>
    <w:rsid w:val="00481223"/>
    <w:rsid w:val="004814CC"/>
    <w:rsid w:val="004819AA"/>
    <w:rsid w:val="00481C09"/>
    <w:rsid w:val="00481C42"/>
    <w:rsid w:val="00481C84"/>
    <w:rsid w:val="00481CAA"/>
    <w:rsid w:val="00481DC7"/>
    <w:rsid w:val="00481F99"/>
    <w:rsid w:val="004822F6"/>
    <w:rsid w:val="00482633"/>
    <w:rsid w:val="00482666"/>
    <w:rsid w:val="004827D3"/>
    <w:rsid w:val="004829F4"/>
    <w:rsid w:val="00482DEF"/>
    <w:rsid w:val="00482ED9"/>
    <w:rsid w:val="00482FA6"/>
    <w:rsid w:val="004831B8"/>
    <w:rsid w:val="00483256"/>
    <w:rsid w:val="004832D3"/>
    <w:rsid w:val="0048331B"/>
    <w:rsid w:val="00483554"/>
    <w:rsid w:val="004835AE"/>
    <w:rsid w:val="004835BE"/>
    <w:rsid w:val="00483604"/>
    <w:rsid w:val="004836B4"/>
    <w:rsid w:val="004836EE"/>
    <w:rsid w:val="00483714"/>
    <w:rsid w:val="00483755"/>
    <w:rsid w:val="00483776"/>
    <w:rsid w:val="00483CA1"/>
    <w:rsid w:val="00483CCD"/>
    <w:rsid w:val="00483EDC"/>
    <w:rsid w:val="00483F21"/>
    <w:rsid w:val="00483F67"/>
    <w:rsid w:val="004840B4"/>
    <w:rsid w:val="00484106"/>
    <w:rsid w:val="0048411B"/>
    <w:rsid w:val="004842A4"/>
    <w:rsid w:val="00484371"/>
    <w:rsid w:val="004843B7"/>
    <w:rsid w:val="004849EE"/>
    <w:rsid w:val="00484AAD"/>
    <w:rsid w:val="00484F65"/>
    <w:rsid w:val="00485038"/>
    <w:rsid w:val="004850FC"/>
    <w:rsid w:val="00485105"/>
    <w:rsid w:val="004852FA"/>
    <w:rsid w:val="00485328"/>
    <w:rsid w:val="00485348"/>
    <w:rsid w:val="004855F6"/>
    <w:rsid w:val="004855FB"/>
    <w:rsid w:val="00485628"/>
    <w:rsid w:val="00485A55"/>
    <w:rsid w:val="00485A7E"/>
    <w:rsid w:val="00485B6F"/>
    <w:rsid w:val="00485B78"/>
    <w:rsid w:val="00485DDA"/>
    <w:rsid w:val="00485FFE"/>
    <w:rsid w:val="00486032"/>
    <w:rsid w:val="00486053"/>
    <w:rsid w:val="004860B5"/>
    <w:rsid w:val="00486213"/>
    <w:rsid w:val="004864B8"/>
    <w:rsid w:val="0048657A"/>
    <w:rsid w:val="004865FE"/>
    <w:rsid w:val="00486693"/>
    <w:rsid w:val="0048675F"/>
    <w:rsid w:val="004868C3"/>
    <w:rsid w:val="0048692F"/>
    <w:rsid w:val="004869C5"/>
    <w:rsid w:val="004869E6"/>
    <w:rsid w:val="00486B94"/>
    <w:rsid w:val="00486C0C"/>
    <w:rsid w:val="00486D59"/>
    <w:rsid w:val="00486E0C"/>
    <w:rsid w:val="00486FD1"/>
    <w:rsid w:val="0048712E"/>
    <w:rsid w:val="00487262"/>
    <w:rsid w:val="004873C0"/>
    <w:rsid w:val="00487434"/>
    <w:rsid w:val="00487459"/>
    <w:rsid w:val="004876EA"/>
    <w:rsid w:val="00487769"/>
    <w:rsid w:val="00487930"/>
    <w:rsid w:val="00487A0F"/>
    <w:rsid w:val="00487AA2"/>
    <w:rsid w:val="00487D82"/>
    <w:rsid w:val="00487F68"/>
    <w:rsid w:val="00487FFB"/>
    <w:rsid w:val="0049003A"/>
    <w:rsid w:val="00490065"/>
    <w:rsid w:val="0049015F"/>
    <w:rsid w:val="00490260"/>
    <w:rsid w:val="00490337"/>
    <w:rsid w:val="004903C2"/>
    <w:rsid w:val="0049047B"/>
    <w:rsid w:val="00490572"/>
    <w:rsid w:val="0049067D"/>
    <w:rsid w:val="004906D3"/>
    <w:rsid w:val="00490944"/>
    <w:rsid w:val="00490AE9"/>
    <w:rsid w:val="00490C18"/>
    <w:rsid w:val="00490F4A"/>
    <w:rsid w:val="00490FB0"/>
    <w:rsid w:val="0049104C"/>
    <w:rsid w:val="00491075"/>
    <w:rsid w:val="00491342"/>
    <w:rsid w:val="0049134F"/>
    <w:rsid w:val="0049135A"/>
    <w:rsid w:val="004916C3"/>
    <w:rsid w:val="00491EB4"/>
    <w:rsid w:val="0049205C"/>
    <w:rsid w:val="004921AB"/>
    <w:rsid w:val="00492245"/>
    <w:rsid w:val="004922CC"/>
    <w:rsid w:val="00492389"/>
    <w:rsid w:val="00492552"/>
    <w:rsid w:val="004925EC"/>
    <w:rsid w:val="004925F7"/>
    <w:rsid w:val="0049266D"/>
    <w:rsid w:val="004926F6"/>
    <w:rsid w:val="00492720"/>
    <w:rsid w:val="0049273E"/>
    <w:rsid w:val="0049275B"/>
    <w:rsid w:val="00492A09"/>
    <w:rsid w:val="00492A38"/>
    <w:rsid w:val="00492E02"/>
    <w:rsid w:val="00492E0D"/>
    <w:rsid w:val="00493118"/>
    <w:rsid w:val="0049312D"/>
    <w:rsid w:val="00493202"/>
    <w:rsid w:val="004932BB"/>
    <w:rsid w:val="0049330D"/>
    <w:rsid w:val="0049331E"/>
    <w:rsid w:val="00493524"/>
    <w:rsid w:val="00493655"/>
    <w:rsid w:val="0049379A"/>
    <w:rsid w:val="00493916"/>
    <w:rsid w:val="004939DA"/>
    <w:rsid w:val="00493ADF"/>
    <w:rsid w:val="00493EA2"/>
    <w:rsid w:val="00493F3E"/>
    <w:rsid w:val="00493FE5"/>
    <w:rsid w:val="0049423C"/>
    <w:rsid w:val="004943B8"/>
    <w:rsid w:val="004946B7"/>
    <w:rsid w:val="00494738"/>
    <w:rsid w:val="00494A43"/>
    <w:rsid w:val="00494A67"/>
    <w:rsid w:val="00494A96"/>
    <w:rsid w:val="00494B79"/>
    <w:rsid w:val="00494BFF"/>
    <w:rsid w:val="00494DDF"/>
    <w:rsid w:val="00494F30"/>
    <w:rsid w:val="00494F3B"/>
    <w:rsid w:val="00495214"/>
    <w:rsid w:val="004953B9"/>
    <w:rsid w:val="0049553E"/>
    <w:rsid w:val="00495735"/>
    <w:rsid w:val="004958DB"/>
    <w:rsid w:val="00495999"/>
    <w:rsid w:val="00495A65"/>
    <w:rsid w:val="00495A86"/>
    <w:rsid w:val="00495CC5"/>
    <w:rsid w:val="00495D47"/>
    <w:rsid w:val="00495E5F"/>
    <w:rsid w:val="0049606D"/>
    <w:rsid w:val="004960CC"/>
    <w:rsid w:val="00496270"/>
    <w:rsid w:val="00496420"/>
    <w:rsid w:val="00496569"/>
    <w:rsid w:val="00496714"/>
    <w:rsid w:val="00496725"/>
    <w:rsid w:val="004969E2"/>
    <w:rsid w:val="00496DBF"/>
    <w:rsid w:val="00496EB3"/>
    <w:rsid w:val="00497111"/>
    <w:rsid w:val="00497232"/>
    <w:rsid w:val="0049727C"/>
    <w:rsid w:val="0049728B"/>
    <w:rsid w:val="00497421"/>
    <w:rsid w:val="0049751B"/>
    <w:rsid w:val="004975DC"/>
    <w:rsid w:val="004976CD"/>
    <w:rsid w:val="004977A6"/>
    <w:rsid w:val="00497C72"/>
    <w:rsid w:val="00497C8B"/>
    <w:rsid w:val="00497D66"/>
    <w:rsid w:val="00497EA7"/>
    <w:rsid w:val="004A0132"/>
    <w:rsid w:val="004A016D"/>
    <w:rsid w:val="004A0269"/>
    <w:rsid w:val="004A049F"/>
    <w:rsid w:val="004A053A"/>
    <w:rsid w:val="004A089E"/>
    <w:rsid w:val="004A08BC"/>
    <w:rsid w:val="004A0A69"/>
    <w:rsid w:val="004A0ADA"/>
    <w:rsid w:val="004A0B02"/>
    <w:rsid w:val="004A0B7A"/>
    <w:rsid w:val="004A0B82"/>
    <w:rsid w:val="004A0B88"/>
    <w:rsid w:val="004A0BE6"/>
    <w:rsid w:val="004A0CB9"/>
    <w:rsid w:val="004A0ECA"/>
    <w:rsid w:val="004A0F7B"/>
    <w:rsid w:val="004A122F"/>
    <w:rsid w:val="004A12EA"/>
    <w:rsid w:val="004A14AE"/>
    <w:rsid w:val="004A1509"/>
    <w:rsid w:val="004A16D1"/>
    <w:rsid w:val="004A173C"/>
    <w:rsid w:val="004A19D0"/>
    <w:rsid w:val="004A1C98"/>
    <w:rsid w:val="004A1CA6"/>
    <w:rsid w:val="004A1DEB"/>
    <w:rsid w:val="004A1E00"/>
    <w:rsid w:val="004A202D"/>
    <w:rsid w:val="004A2083"/>
    <w:rsid w:val="004A20EB"/>
    <w:rsid w:val="004A2151"/>
    <w:rsid w:val="004A2318"/>
    <w:rsid w:val="004A23C8"/>
    <w:rsid w:val="004A24D1"/>
    <w:rsid w:val="004A2763"/>
    <w:rsid w:val="004A27A5"/>
    <w:rsid w:val="004A27F7"/>
    <w:rsid w:val="004A281A"/>
    <w:rsid w:val="004A2838"/>
    <w:rsid w:val="004A2A72"/>
    <w:rsid w:val="004A2AC9"/>
    <w:rsid w:val="004A2EA0"/>
    <w:rsid w:val="004A32BC"/>
    <w:rsid w:val="004A32F0"/>
    <w:rsid w:val="004A3482"/>
    <w:rsid w:val="004A34E6"/>
    <w:rsid w:val="004A35BA"/>
    <w:rsid w:val="004A3660"/>
    <w:rsid w:val="004A374A"/>
    <w:rsid w:val="004A39E0"/>
    <w:rsid w:val="004A3C6D"/>
    <w:rsid w:val="004A3CBC"/>
    <w:rsid w:val="004A3D2E"/>
    <w:rsid w:val="004A3DB4"/>
    <w:rsid w:val="004A3F99"/>
    <w:rsid w:val="004A4015"/>
    <w:rsid w:val="004A4225"/>
    <w:rsid w:val="004A423D"/>
    <w:rsid w:val="004A433A"/>
    <w:rsid w:val="004A46DE"/>
    <w:rsid w:val="004A4781"/>
    <w:rsid w:val="004A4864"/>
    <w:rsid w:val="004A49F3"/>
    <w:rsid w:val="004A4AD0"/>
    <w:rsid w:val="004A4CBA"/>
    <w:rsid w:val="004A4F02"/>
    <w:rsid w:val="004A4FD5"/>
    <w:rsid w:val="004A521D"/>
    <w:rsid w:val="004A52B5"/>
    <w:rsid w:val="004A52DC"/>
    <w:rsid w:val="004A541E"/>
    <w:rsid w:val="004A555C"/>
    <w:rsid w:val="004A5590"/>
    <w:rsid w:val="004A55A3"/>
    <w:rsid w:val="004A56BB"/>
    <w:rsid w:val="004A5739"/>
    <w:rsid w:val="004A57C3"/>
    <w:rsid w:val="004A5A6A"/>
    <w:rsid w:val="004A5EE4"/>
    <w:rsid w:val="004A60F9"/>
    <w:rsid w:val="004A6123"/>
    <w:rsid w:val="004A626B"/>
    <w:rsid w:val="004A63BF"/>
    <w:rsid w:val="004A654D"/>
    <w:rsid w:val="004A6607"/>
    <w:rsid w:val="004A6BEA"/>
    <w:rsid w:val="004A6E4A"/>
    <w:rsid w:val="004A6E58"/>
    <w:rsid w:val="004A6F56"/>
    <w:rsid w:val="004A71AA"/>
    <w:rsid w:val="004A730F"/>
    <w:rsid w:val="004A74CD"/>
    <w:rsid w:val="004A74EA"/>
    <w:rsid w:val="004A778C"/>
    <w:rsid w:val="004A7CBC"/>
    <w:rsid w:val="004A7F10"/>
    <w:rsid w:val="004A7F31"/>
    <w:rsid w:val="004B015A"/>
    <w:rsid w:val="004B026B"/>
    <w:rsid w:val="004B040A"/>
    <w:rsid w:val="004B0429"/>
    <w:rsid w:val="004B0444"/>
    <w:rsid w:val="004B04DC"/>
    <w:rsid w:val="004B04E8"/>
    <w:rsid w:val="004B0547"/>
    <w:rsid w:val="004B05BC"/>
    <w:rsid w:val="004B05C0"/>
    <w:rsid w:val="004B079A"/>
    <w:rsid w:val="004B0962"/>
    <w:rsid w:val="004B0A6D"/>
    <w:rsid w:val="004B0C74"/>
    <w:rsid w:val="004B0DB3"/>
    <w:rsid w:val="004B0E2F"/>
    <w:rsid w:val="004B0F88"/>
    <w:rsid w:val="004B101C"/>
    <w:rsid w:val="004B10EF"/>
    <w:rsid w:val="004B136A"/>
    <w:rsid w:val="004B13FE"/>
    <w:rsid w:val="004B188A"/>
    <w:rsid w:val="004B1913"/>
    <w:rsid w:val="004B1AD8"/>
    <w:rsid w:val="004B1B1A"/>
    <w:rsid w:val="004B1BB3"/>
    <w:rsid w:val="004B1C90"/>
    <w:rsid w:val="004B1E29"/>
    <w:rsid w:val="004B1FAA"/>
    <w:rsid w:val="004B2025"/>
    <w:rsid w:val="004B209D"/>
    <w:rsid w:val="004B2330"/>
    <w:rsid w:val="004B251D"/>
    <w:rsid w:val="004B2757"/>
    <w:rsid w:val="004B27F9"/>
    <w:rsid w:val="004B2968"/>
    <w:rsid w:val="004B297A"/>
    <w:rsid w:val="004B2A1A"/>
    <w:rsid w:val="004B2A30"/>
    <w:rsid w:val="004B2B49"/>
    <w:rsid w:val="004B2B93"/>
    <w:rsid w:val="004B2C77"/>
    <w:rsid w:val="004B3051"/>
    <w:rsid w:val="004B336A"/>
    <w:rsid w:val="004B3614"/>
    <w:rsid w:val="004B36EA"/>
    <w:rsid w:val="004B37FF"/>
    <w:rsid w:val="004B3819"/>
    <w:rsid w:val="004B38C9"/>
    <w:rsid w:val="004B38D2"/>
    <w:rsid w:val="004B39C6"/>
    <w:rsid w:val="004B3A5A"/>
    <w:rsid w:val="004B3AF1"/>
    <w:rsid w:val="004B3B29"/>
    <w:rsid w:val="004B3B3F"/>
    <w:rsid w:val="004B3B5B"/>
    <w:rsid w:val="004B3BC1"/>
    <w:rsid w:val="004B3BEA"/>
    <w:rsid w:val="004B3E53"/>
    <w:rsid w:val="004B3E97"/>
    <w:rsid w:val="004B3F29"/>
    <w:rsid w:val="004B3FAD"/>
    <w:rsid w:val="004B43D6"/>
    <w:rsid w:val="004B43E6"/>
    <w:rsid w:val="004B44F2"/>
    <w:rsid w:val="004B45B7"/>
    <w:rsid w:val="004B4622"/>
    <w:rsid w:val="004B47C7"/>
    <w:rsid w:val="004B47CE"/>
    <w:rsid w:val="004B47F0"/>
    <w:rsid w:val="004B48F1"/>
    <w:rsid w:val="004B4A09"/>
    <w:rsid w:val="004B4B9C"/>
    <w:rsid w:val="004B4C14"/>
    <w:rsid w:val="004B4CA2"/>
    <w:rsid w:val="004B4D88"/>
    <w:rsid w:val="004B519C"/>
    <w:rsid w:val="004B5652"/>
    <w:rsid w:val="004B5A19"/>
    <w:rsid w:val="004B5A53"/>
    <w:rsid w:val="004B5A8B"/>
    <w:rsid w:val="004B5DD6"/>
    <w:rsid w:val="004B5E78"/>
    <w:rsid w:val="004B5F8F"/>
    <w:rsid w:val="004B61E1"/>
    <w:rsid w:val="004B62EE"/>
    <w:rsid w:val="004B62FF"/>
    <w:rsid w:val="004B64BE"/>
    <w:rsid w:val="004B65DF"/>
    <w:rsid w:val="004B6614"/>
    <w:rsid w:val="004B668A"/>
    <w:rsid w:val="004B66F9"/>
    <w:rsid w:val="004B6796"/>
    <w:rsid w:val="004B6D5D"/>
    <w:rsid w:val="004B6E6C"/>
    <w:rsid w:val="004B6FA5"/>
    <w:rsid w:val="004B6FEE"/>
    <w:rsid w:val="004B7082"/>
    <w:rsid w:val="004B72F6"/>
    <w:rsid w:val="004B739F"/>
    <w:rsid w:val="004B73DD"/>
    <w:rsid w:val="004B742D"/>
    <w:rsid w:val="004B7445"/>
    <w:rsid w:val="004B74A6"/>
    <w:rsid w:val="004B7556"/>
    <w:rsid w:val="004B75D3"/>
    <w:rsid w:val="004B760F"/>
    <w:rsid w:val="004B7670"/>
    <w:rsid w:val="004B785C"/>
    <w:rsid w:val="004B79A5"/>
    <w:rsid w:val="004B7C93"/>
    <w:rsid w:val="004B7CF9"/>
    <w:rsid w:val="004B7F67"/>
    <w:rsid w:val="004B7FC4"/>
    <w:rsid w:val="004C0015"/>
    <w:rsid w:val="004C0041"/>
    <w:rsid w:val="004C00BB"/>
    <w:rsid w:val="004C027D"/>
    <w:rsid w:val="004C0326"/>
    <w:rsid w:val="004C0363"/>
    <w:rsid w:val="004C0565"/>
    <w:rsid w:val="004C06A1"/>
    <w:rsid w:val="004C06C1"/>
    <w:rsid w:val="004C06DE"/>
    <w:rsid w:val="004C0754"/>
    <w:rsid w:val="004C078E"/>
    <w:rsid w:val="004C0915"/>
    <w:rsid w:val="004C092E"/>
    <w:rsid w:val="004C0A48"/>
    <w:rsid w:val="004C0A56"/>
    <w:rsid w:val="004C0B32"/>
    <w:rsid w:val="004C0C90"/>
    <w:rsid w:val="004C0E8B"/>
    <w:rsid w:val="004C0EE0"/>
    <w:rsid w:val="004C1075"/>
    <w:rsid w:val="004C12F6"/>
    <w:rsid w:val="004C1375"/>
    <w:rsid w:val="004C158F"/>
    <w:rsid w:val="004C185D"/>
    <w:rsid w:val="004C18A4"/>
    <w:rsid w:val="004C18E3"/>
    <w:rsid w:val="004C1BD3"/>
    <w:rsid w:val="004C1CF4"/>
    <w:rsid w:val="004C1E6B"/>
    <w:rsid w:val="004C203F"/>
    <w:rsid w:val="004C21B2"/>
    <w:rsid w:val="004C220F"/>
    <w:rsid w:val="004C2244"/>
    <w:rsid w:val="004C2292"/>
    <w:rsid w:val="004C2400"/>
    <w:rsid w:val="004C242F"/>
    <w:rsid w:val="004C24C1"/>
    <w:rsid w:val="004C26A5"/>
    <w:rsid w:val="004C292C"/>
    <w:rsid w:val="004C2988"/>
    <w:rsid w:val="004C2AFC"/>
    <w:rsid w:val="004C2B77"/>
    <w:rsid w:val="004C2BE7"/>
    <w:rsid w:val="004C2E30"/>
    <w:rsid w:val="004C3170"/>
    <w:rsid w:val="004C3487"/>
    <w:rsid w:val="004C36B2"/>
    <w:rsid w:val="004C374D"/>
    <w:rsid w:val="004C3A25"/>
    <w:rsid w:val="004C3B1A"/>
    <w:rsid w:val="004C3B4D"/>
    <w:rsid w:val="004C3BB3"/>
    <w:rsid w:val="004C3D35"/>
    <w:rsid w:val="004C3D98"/>
    <w:rsid w:val="004C3E1A"/>
    <w:rsid w:val="004C3FE2"/>
    <w:rsid w:val="004C406B"/>
    <w:rsid w:val="004C4648"/>
    <w:rsid w:val="004C4844"/>
    <w:rsid w:val="004C48A5"/>
    <w:rsid w:val="004C48FD"/>
    <w:rsid w:val="004C4ACC"/>
    <w:rsid w:val="004C4B13"/>
    <w:rsid w:val="004C4CCA"/>
    <w:rsid w:val="004C4CDA"/>
    <w:rsid w:val="004C4E2B"/>
    <w:rsid w:val="004C4F4A"/>
    <w:rsid w:val="004C5159"/>
    <w:rsid w:val="004C54C1"/>
    <w:rsid w:val="004C54F5"/>
    <w:rsid w:val="004C54F7"/>
    <w:rsid w:val="004C550C"/>
    <w:rsid w:val="004C5617"/>
    <w:rsid w:val="004C5813"/>
    <w:rsid w:val="004C5CD9"/>
    <w:rsid w:val="004C5D1D"/>
    <w:rsid w:val="004C5F07"/>
    <w:rsid w:val="004C602E"/>
    <w:rsid w:val="004C60D2"/>
    <w:rsid w:val="004C612C"/>
    <w:rsid w:val="004C624D"/>
    <w:rsid w:val="004C6407"/>
    <w:rsid w:val="004C648F"/>
    <w:rsid w:val="004C6722"/>
    <w:rsid w:val="004C6B5D"/>
    <w:rsid w:val="004C6C21"/>
    <w:rsid w:val="004C6C57"/>
    <w:rsid w:val="004C6E06"/>
    <w:rsid w:val="004C6F3F"/>
    <w:rsid w:val="004C70CC"/>
    <w:rsid w:val="004C72ED"/>
    <w:rsid w:val="004C7461"/>
    <w:rsid w:val="004C765D"/>
    <w:rsid w:val="004C767E"/>
    <w:rsid w:val="004C775C"/>
    <w:rsid w:val="004C7794"/>
    <w:rsid w:val="004C779D"/>
    <w:rsid w:val="004C77EC"/>
    <w:rsid w:val="004C78B1"/>
    <w:rsid w:val="004C7941"/>
    <w:rsid w:val="004C7B4D"/>
    <w:rsid w:val="004C7C22"/>
    <w:rsid w:val="004D0091"/>
    <w:rsid w:val="004D027F"/>
    <w:rsid w:val="004D0341"/>
    <w:rsid w:val="004D039F"/>
    <w:rsid w:val="004D058C"/>
    <w:rsid w:val="004D06C6"/>
    <w:rsid w:val="004D0753"/>
    <w:rsid w:val="004D0765"/>
    <w:rsid w:val="004D0778"/>
    <w:rsid w:val="004D0860"/>
    <w:rsid w:val="004D0885"/>
    <w:rsid w:val="004D0A57"/>
    <w:rsid w:val="004D0AE1"/>
    <w:rsid w:val="004D0BBA"/>
    <w:rsid w:val="004D0D3E"/>
    <w:rsid w:val="004D0E70"/>
    <w:rsid w:val="004D0E8C"/>
    <w:rsid w:val="004D0F89"/>
    <w:rsid w:val="004D104C"/>
    <w:rsid w:val="004D12B7"/>
    <w:rsid w:val="004D15AD"/>
    <w:rsid w:val="004D1976"/>
    <w:rsid w:val="004D19BC"/>
    <w:rsid w:val="004D1B62"/>
    <w:rsid w:val="004D1D19"/>
    <w:rsid w:val="004D1DDA"/>
    <w:rsid w:val="004D1EE5"/>
    <w:rsid w:val="004D2116"/>
    <w:rsid w:val="004D2225"/>
    <w:rsid w:val="004D24A1"/>
    <w:rsid w:val="004D257B"/>
    <w:rsid w:val="004D25AF"/>
    <w:rsid w:val="004D26B4"/>
    <w:rsid w:val="004D2895"/>
    <w:rsid w:val="004D28F9"/>
    <w:rsid w:val="004D2CFD"/>
    <w:rsid w:val="004D2D4C"/>
    <w:rsid w:val="004D2D7F"/>
    <w:rsid w:val="004D2E63"/>
    <w:rsid w:val="004D302C"/>
    <w:rsid w:val="004D3181"/>
    <w:rsid w:val="004D3249"/>
    <w:rsid w:val="004D324F"/>
    <w:rsid w:val="004D33AD"/>
    <w:rsid w:val="004D345D"/>
    <w:rsid w:val="004D3582"/>
    <w:rsid w:val="004D35AF"/>
    <w:rsid w:val="004D3678"/>
    <w:rsid w:val="004D367A"/>
    <w:rsid w:val="004D3735"/>
    <w:rsid w:val="004D382C"/>
    <w:rsid w:val="004D3A89"/>
    <w:rsid w:val="004D3E12"/>
    <w:rsid w:val="004D3E3B"/>
    <w:rsid w:val="004D3FC1"/>
    <w:rsid w:val="004D40B5"/>
    <w:rsid w:val="004D40BF"/>
    <w:rsid w:val="004D4123"/>
    <w:rsid w:val="004D4305"/>
    <w:rsid w:val="004D438F"/>
    <w:rsid w:val="004D446C"/>
    <w:rsid w:val="004D45E7"/>
    <w:rsid w:val="004D467B"/>
    <w:rsid w:val="004D48C7"/>
    <w:rsid w:val="004D4B64"/>
    <w:rsid w:val="004D4B6A"/>
    <w:rsid w:val="004D4E33"/>
    <w:rsid w:val="004D4EF5"/>
    <w:rsid w:val="004D4FCC"/>
    <w:rsid w:val="004D5049"/>
    <w:rsid w:val="004D50D1"/>
    <w:rsid w:val="004D50F3"/>
    <w:rsid w:val="004D5464"/>
    <w:rsid w:val="004D549A"/>
    <w:rsid w:val="004D55CC"/>
    <w:rsid w:val="004D56D1"/>
    <w:rsid w:val="004D586D"/>
    <w:rsid w:val="004D58A1"/>
    <w:rsid w:val="004D5987"/>
    <w:rsid w:val="004D5A16"/>
    <w:rsid w:val="004D5A24"/>
    <w:rsid w:val="004D5CFE"/>
    <w:rsid w:val="004D5EA4"/>
    <w:rsid w:val="004D5FA6"/>
    <w:rsid w:val="004D61A5"/>
    <w:rsid w:val="004D6309"/>
    <w:rsid w:val="004D6368"/>
    <w:rsid w:val="004D696C"/>
    <w:rsid w:val="004D6998"/>
    <w:rsid w:val="004D6A8F"/>
    <w:rsid w:val="004D6FCC"/>
    <w:rsid w:val="004D7069"/>
    <w:rsid w:val="004D743C"/>
    <w:rsid w:val="004D7554"/>
    <w:rsid w:val="004D7592"/>
    <w:rsid w:val="004D7649"/>
    <w:rsid w:val="004D77DC"/>
    <w:rsid w:val="004D77E8"/>
    <w:rsid w:val="004D7E8A"/>
    <w:rsid w:val="004E00E6"/>
    <w:rsid w:val="004E00F3"/>
    <w:rsid w:val="004E0107"/>
    <w:rsid w:val="004E0391"/>
    <w:rsid w:val="004E080E"/>
    <w:rsid w:val="004E093A"/>
    <w:rsid w:val="004E09DA"/>
    <w:rsid w:val="004E0A2C"/>
    <w:rsid w:val="004E0C85"/>
    <w:rsid w:val="004E0DAB"/>
    <w:rsid w:val="004E100C"/>
    <w:rsid w:val="004E1199"/>
    <w:rsid w:val="004E14D5"/>
    <w:rsid w:val="004E1775"/>
    <w:rsid w:val="004E1A88"/>
    <w:rsid w:val="004E1C27"/>
    <w:rsid w:val="004E1EAC"/>
    <w:rsid w:val="004E1F6E"/>
    <w:rsid w:val="004E1F9A"/>
    <w:rsid w:val="004E1FE9"/>
    <w:rsid w:val="004E212E"/>
    <w:rsid w:val="004E2448"/>
    <w:rsid w:val="004E2586"/>
    <w:rsid w:val="004E261C"/>
    <w:rsid w:val="004E272F"/>
    <w:rsid w:val="004E2AED"/>
    <w:rsid w:val="004E2B9B"/>
    <w:rsid w:val="004E2F18"/>
    <w:rsid w:val="004E2F7D"/>
    <w:rsid w:val="004E3260"/>
    <w:rsid w:val="004E32DB"/>
    <w:rsid w:val="004E3384"/>
    <w:rsid w:val="004E341C"/>
    <w:rsid w:val="004E343C"/>
    <w:rsid w:val="004E347E"/>
    <w:rsid w:val="004E3530"/>
    <w:rsid w:val="004E3747"/>
    <w:rsid w:val="004E3762"/>
    <w:rsid w:val="004E3826"/>
    <w:rsid w:val="004E3945"/>
    <w:rsid w:val="004E3A26"/>
    <w:rsid w:val="004E3BD5"/>
    <w:rsid w:val="004E3D39"/>
    <w:rsid w:val="004E3E3C"/>
    <w:rsid w:val="004E3EC7"/>
    <w:rsid w:val="004E3EFD"/>
    <w:rsid w:val="004E3F26"/>
    <w:rsid w:val="004E4068"/>
    <w:rsid w:val="004E4163"/>
    <w:rsid w:val="004E42AF"/>
    <w:rsid w:val="004E42B9"/>
    <w:rsid w:val="004E42DE"/>
    <w:rsid w:val="004E42E2"/>
    <w:rsid w:val="004E433F"/>
    <w:rsid w:val="004E43C4"/>
    <w:rsid w:val="004E43C9"/>
    <w:rsid w:val="004E46BC"/>
    <w:rsid w:val="004E4B2D"/>
    <w:rsid w:val="004E4C90"/>
    <w:rsid w:val="004E4E52"/>
    <w:rsid w:val="004E5035"/>
    <w:rsid w:val="004E529C"/>
    <w:rsid w:val="004E534D"/>
    <w:rsid w:val="004E5640"/>
    <w:rsid w:val="004E594B"/>
    <w:rsid w:val="004E5997"/>
    <w:rsid w:val="004E5B14"/>
    <w:rsid w:val="004E5B53"/>
    <w:rsid w:val="004E5B9B"/>
    <w:rsid w:val="004E5BBD"/>
    <w:rsid w:val="004E5C07"/>
    <w:rsid w:val="004E5C13"/>
    <w:rsid w:val="004E5D3A"/>
    <w:rsid w:val="004E5E43"/>
    <w:rsid w:val="004E5EE7"/>
    <w:rsid w:val="004E5FB0"/>
    <w:rsid w:val="004E6073"/>
    <w:rsid w:val="004E614A"/>
    <w:rsid w:val="004E6201"/>
    <w:rsid w:val="004E636D"/>
    <w:rsid w:val="004E657B"/>
    <w:rsid w:val="004E6634"/>
    <w:rsid w:val="004E6690"/>
    <w:rsid w:val="004E6824"/>
    <w:rsid w:val="004E68C2"/>
    <w:rsid w:val="004E6CCE"/>
    <w:rsid w:val="004E6E7F"/>
    <w:rsid w:val="004E6EEA"/>
    <w:rsid w:val="004E6F47"/>
    <w:rsid w:val="004E7000"/>
    <w:rsid w:val="004E709C"/>
    <w:rsid w:val="004E70CD"/>
    <w:rsid w:val="004E713E"/>
    <w:rsid w:val="004E71B8"/>
    <w:rsid w:val="004E7282"/>
    <w:rsid w:val="004E736B"/>
    <w:rsid w:val="004E74B8"/>
    <w:rsid w:val="004E7546"/>
    <w:rsid w:val="004E7567"/>
    <w:rsid w:val="004E75A6"/>
    <w:rsid w:val="004E77E7"/>
    <w:rsid w:val="004E7865"/>
    <w:rsid w:val="004E788B"/>
    <w:rsid w:val="004E78A8"/>
    <w:rsid w:val="004E78F1"/>
    <w:rsid w:val="004E7DAF"/>
    <w:rsid w:val="004E7DF9"/>
    <w:rsid w:val="004E7E08"/>
    <w:rsid w:val="004E7E16"/>
    <w:rsid w:val="004E7F86"/>
    <w:rsid w:val="004F020B"/>
    <w:rsid w:val="004F056A"/>
    <w:rsid w:val="004F058A"/>
    <w:rsid w:val="004F083F"/>
    <w:rsid w:val="004F087B"/>
    <w:rsid w:val="004F0882"/>
    <w:rsid w:val="004F0A47"/>
    <w:rsid w:val="004F0A7D"/>
    <w:rsid w:val="004F0B1C"/>
    <w:rsid w:val="004F0B32"/>
    <w:rsid w:val="004F0C3A"/>
    <w:rsid w:val="004F0D56"/>
    <w:rsid w:val="004F0DFC"/>
    <w:rsid w:val="004F0EAE"/>
    <w:rsid w:val="004F0ED4"/>
    <w:rsid w:val="004F0F88"/>
    <w:rsid w:val="004F1142"/>
    <w:rsid w:val="004F1749"/>
    <w:rsid w:val="004F1757"/>
    <w:rsid w:val="004F17BB"/>
    <w:rsid w:val="004F19BB"/>
    <w:rsid w:val="004F19DB"/>
    <w:rsid w:val="004F1ABF"/>
    <w:rsid w:val="004F1BBD"/>
    <w:rsid w:val="004F1DBB"/>
    <w:rsid w:val="004F1E26"/>
    <w:rsid w:val="004F1E95"/>
    <w:rsid w:val="004F1EF3"/>
    <w:rsid w:val="004F20BA"/>
    <w:rsid w:val="004F22F1"/>
    <w:rsid w:val="004F22F2"/>
    <w:rsid w:val="004F27E3"/>
    <w:rsid w:val="004F294D"/>
    <w:rsid w:val="004F2A23"/>
    <w:rsid w:val="004F2A26"/>
    <w:rsid w:val="004F2BDE"/>
    <w:rsid w:val="004F2C13"/>
    <w:rsid w:val="004F2D1F"/>
    <w:rsid w:val="004F2D58"/>
    <w:rsid w:val="004F2E1A"/>
    <w:rsid w:val="004F2E28"/>
    <w:rsid w:val="004F314C"/>
    <w:rsid w:val="004F315E"/>
    <w:rsid w:val="004F32DE"/>
    <w:rsid w:val="004F3329"/>
    <w:rsid w:val="004F348F"/>
    <w:rsid w:val="004F35B1"/>
    <w:rsid w:val="004F385E"/>
    <w:rsid w:val="004F40EC"/>
    <w:rsid w:val="004F4292"/>
    <w:rsid w:val="004F442E"/>
    <w:rsid w:val="004F446E"/>
    <w:rsid w:val="004F475B"/>
    <w:rsid w:val="004F4918"/>
    <w:rsid w:val="004F4954"/>
    <w:rsid w:val="004F4A6B"/>
    <w:rsid w:val="004F4C11"/>
    <w:rsid w:val="004F4CB4"/>
    <w:rsid w:val="004F4CCF"/>
    <w:rsid w:val="004F4D02"/>
    <w:rsid w:val="004F4D41"/>
    <w:rsid w:val="004F4E54"/>
    <w:rsid w:val="004F500D"/>
    <w:rsid w:val="004F5266"/>
    <w:rsid w:val="004F52D0"/>
    <w:rsid w:val="004F567D"/>
    <w:rsid w:val="004F5681"/>
    <w:rsid w:val="004F595F"/>
    <w:rsid w:val="004F5A62"/>
    <w:rsid w:val="004F5B49"/>
    <w:rsid w:val="004F5E31"/>
    <w:rsid w:val="004F6267"/>
    <w:rsid w:val="004F633A"/>
    <w:rsid w:val="004F6343"/>
    <w:rsid w:val="004F6354"/>
    <w:rsid w:val="004F6432"/>
    <w:rsid w:val="004F64D5"/>
    <w:rsid w:val="004F65E7"/>
    <w:rsid w:val="004F67B5"/>
    <w:rsid w:val="004F6842"/>
    <w:rsid w:val="004F685D"/>
    <w:rsid w:val="004F68CD"/>
    <w:rsid w:val="004F6A63"/>
    <w:rsid w:val="004F6ED9"/>
    <w:rsid w:val="004F7217"/>
    <w:rsid w:val="004F72B5"/>
    <w:rsid w:val="004F7427"/>
    <w:rsid w:val="004F749C"/>
    <w:rsid w:val="004F75CC"/>
    <w:rsid w:val="004F75DA"/>
    <w:rsid w:val="004F761B"/>
    <w:rsid w:val="004F7630"/>
    <w:rsid w:val="004F7D7E"/>
    <w:rsid w:val="004F7DEB"/>
    <w:rsid w:val="004F7E80"/>
    <w:rsid w:val="004F7F58"/>
    <w:rsid w:val="004F7FBE"/>
    <w:rsid w:val="00500013"/>
    <w:rsid w:val="005001C6"/>
    <w:rsid w:val="005001E5"/>
    <w:rsid w:val="005004D7"/>
    <w:rsid w:val="00500BE1"/>
    <w:rsid w:val="00500D73"/>
    <w:rsid w:val="00500E59"/>
    <w:rsid w:val="0050115D"/>
    <w:rsid w:val="005012D4"/>
    <w:rsid w:val="0050135D"/>
    <w:rsid w:val="00501492"/>
    <w:rsid w:val="00501653"/>
    <w:rsid w:val="005016C9"/>
    <w:rsid w:val="00501763"/>
    <w:rsid w:val="0050183D"/>
    <w:rsid w:val="00501889"/>
    <w:rsid w:val="00501A64"/>
    <w:rsid w:val="00501AEE"/>
    <w:rsid w:val="00501BAE"/>
    <w:rsid w:val="00501C61"/>
    <w:rsid w:val="00501CEB"/>
    <w:rsid w:val="00501D72"/>
    <w:rsid w:val="005022C4"/>
    <w:rsid w:val="005023A1"/>
    <w:rsid w:val="0050288A"/>
    <w:rsid w:val="00502B5E"/>
    <w:rsid w:val="00502E61"/>
    <w:rsid w:val="00502F9B"/>
    <w:rsid w:val="00503157"/>
    <w:rsid w:val="005032DF"/>
    <w:rsid w:val="0050346C"/>
    <w:rsid w:val="0050365A"/>
    <w:rsid w:val="00503696"/>
    <w:rsid w:val="005037D3"/>
    <w:rsid w:val="00503A37"/>
    <w:rsid w:val="00503B41"/>
    <w:rsid w:val="00503BC1"/>
    <w:rsid w:val="00503CB7"/>
    <w:rsid w:val="00503CE8"/>
    <w:rsid w:val="00503D5E"/>
    <w:rsid w:val="00503DA0"/>
    <w:rsid w:val="00503DCE"/>
    <w:rsid w:val="00503E0B"/>
    <w:rsid w:val="00503E39"/>
    <w:rsid w:val="00503FBD"/>
    <w:rsid w:val="00504152"/>
    <w:rsid w:val="00504308"/>
    <w:rsid w:val="00504355"/>
    <w:rsid w:val="0050438A"/>
    <w:rsid w:val="005045D2"/>
    <w:rsid w:val="005045E6"/>
    <w:rsid w:val="00504680"/>
    <w:rsid w:val="0050470A"/>
    <w:rsid w:val="00504740"/>
    <w:rsid w:val="005047B6"/>
    <w:rsid w:val="005048FA"/>
    <w:rsid w:val="00504A0F"/>
    <w:rsid w:val="00504A95"/>
    <w:rsid w:val="00504BFB"/>
    <w:rsid w:val="00504D1C"/>
    <w:rsid w:val="00504E62"/>
    <w:rsid w:val="00504EE0"/>
    <w:rsid w:val="00504F09"/>
    <w:rsid w:val="00504F8F"/>
    <w:rsid w:val="0050501C"/>
    <w:rsid w:val="005050DA"/>
    <w:rsid w:val="00505217"/>
    <w:rsid w:val="005054A2"/>
    <w:rsid w:val="005057FF"/>
    <w:rsid w:val="00505A14"/>
    <w:rsid w:val="00505BED"/>
    <w:rsid w:val="00505E2E"/>
    <w:rsid w:val="00506329"/>
    <w:rsid w:val="00506397"/>
    <w:rsid w:val="00506428"/>
    <w:rsid w:val="00506555"/>
    <w:rsid w:val="005066E5"/>
    <w:rsid w:val="00506A7C"/>
    <w:rsid w:val="00506AF3"/>
    <w:rsid w:val="00506B09"/>
    <w:rsid w:val="00506D88"/>
    <w:rsid w:val="00506E6C"/>
    <w:rsid w:val="00507186"/>
    <w:rsid w:val="0050720B"/>
    <w:rsid w:val="005072E7"/>
    <w:rsid w:val="005078FC"/>
    <w:rsid w:val="0050790E"/>
    <w:rsid w:val="00507C39"/>
    <w:rsid w:val="00507C8D"/>
    <w:rsid w:val="00507CA0"/>
    <w:rsid w:val="00507E04"/>
    <w:rsid w:val="005100C8"/>
    <w:rsid w:val="0051012B"/>
    <w:rsid w:val="00510372"/>
    <w:rsid w:val="005103C1"/>
    <w:rsid w:val="00510470"/>
    <w:rsid w:val="0051058E"/>
    <w:rsid w:val="00510869"/>
    <w:rsid w:val="00510960"/>
    <w:rsid w:val="00510B55"/>
    <w:rsid w:val="00510CAA"/>
    <w:rsid w:val="00510CF3"/>
    <w:rsid w:val="00510D77"/>
    <w:rsid w:val="00510D8A"/>
    <w:rsid w:val="00510DE1"/>
    <w:rsid w:val="00510DE7"/>
    <w:rsid w:val="00510E28"/>
    <w:rsid w:val="00510EAC"/>
    <w:rsid w:val="00510F1C"/>
    <w:rsid w:val="00511078"/>
    <w:rsid w:val="0051107D"/>
    <w:rsid w:val="005111E3"/>
    <w:rsid w:val="005114D3"/>
    <w:rsid w:val="005114DF"/>
    <w:rsid w:val="0051158F"/>
    <w:rsid w:val="005115A3"/>
    <w:rsid w:val="005117DE"/>
    <w:rsid w:val="0051198A"/>
    <w:rsid w:val="00511A17"/>
    <w:rsid w:val="00511C5A"/>
    <w:rsid w:val="00511DC7"/>
    <w:rsid w:val="00511FA2"/>
    <w:rsid w:val="00511FA9"/>
    <w:rsid w:val="00511FB6"/>
    <w:rsid w:val="00512323"/>
    <w:rsid w:val="00512485"/>
    <w:rsid w:val="00512578"/>
    <w:rsid w:val="00512826"/>
    <w:rsid w:val="005128F2"/>
    <w:rsid w:val="0051290E"/>
    <w:rsid w:val="00512A1B"/>
    <w:rsid w:val="00512A7E"/>
    <w:rsid w:val="00512AE0"/>
    <w:rsid w:val="00512D0C"/>
    <w:rsid w:val="00513182"/>
    <w:rsid w:val="005131B6"/>
    <w:rsid w:val="005131EA"/>
    <w:rsid w:val="005132C3"/>
    <w:rsid w:val="00513338"/>
    <w:rsid w:val="005133F0"/>
    <w:rsid w:val="0051347E"/>
    <w:rsid w:val="00513502"/>
    <w:rsid w:val="0051365B"/>
    <w:rsid w:val="00513BB8"/>
    <w:rsid w:val="00513C55"/>
    <w:rsid w:val="00513EE2"/>
    <w:rsid w:val="00513F06"/>
    <w:rsid w:val="00513FD5"/>
    <w:rsid w:val="00514190"/>
    <w:rsid w:val="005141F4"/>
    <w:rsid w:val="005141F6"/>
    <w:rsid w:val="0051422E"/>
    <w:rsid w:val="00514297"/>
    <w:rsid w:val="0051460E"/>
    <w:rsid w:val="00514701"/>
    <w:rsid w:val="005148DB"/>
    <w:rsid w:val="0051499E"/>
    <w:rsid w:val="00514AFC"/>
    <w:rsid w:val="00514C0C"/>
    <w:rsid w:val="00514C3C"/>
    <w:rsid w:val="00514DD3"/>
    <w:rsid w:val="00514DF1"/>
    <w:rsid w:val="00514ED8"/>
    <w:rsid w:val="00514F1D"/>
    <w:rsid w:val="00514F51"/>
    <w:rsid w:val="00514F88"/>
    <w:rsid w:val="005157AB"/>
    <w:rsid w:val="0051597F"/>
    <w:rsid w:val="00515C26"/>
    <w:rsid w:val="00515C58"/>
    <w:rsid w:val="00515EB6"/>
    <w:rsid w:val="00515F6E"/>
    <w:rsid w:val="00516270"/>
    <w:rsid w:val="005162E0"/>
    <w:rsid w:val="00516326"/>
    <w:rsid w:val="005164D4"/>
    <w:rsid w:val="00516762"/>
    <w:rsid w:val="00516797"/>
    <w:rsid w:val="00516A2B"/>
    <w:rsid w:val="00516AD6"/>
    <w:rsid w:val="00516ADE"/>
    <w:rsid w:val="00516B28"/>
    <w:rsid w:val="00516BDE"/>
    <w:rsid w:val="00516D75"/>
    <w:rsid w:val="00516E12"/>
    <w:rsid w:val="00516ED1"/>
    <w:rsid w:val="00516EE7"/>
    <w:rsid w:val="0051746F"/>
    <w:rsid w:val="0051758B"/>
    <w:rsid w:val="005175F5"/>
    <w:rsid w:val="00517944"/>
    <w:rsid w:val="00517BA9"/>
    <w:rsid w:val="00517CF1"/>
    <w:rsid w:val="00517EA8"/>
    <w:rsid w:val="005202F0"/>
    <w:rsid w:val="00520446"/>
    <w:rsid w:val="005204ED"/>
    <w:rsid w:val="00520523"/>
    <w:rsid w:val="005209B9"/>
    <w:rsid w:val="00520A40"/>
    <w:rsid w:val="00520B86"/>
    <w:rsid w:val="00520BFF"/>
    <w:rsid w:val="00520EF4"/>
    <w:rsid w:val="00520F77"/>
    <w:rsid w:val="00521074"/>
    <w:rsid w:val="005210F1"/>
    <w:rsid w:val="0052113C"/>
    <w:rsid w:val="005212D2"/>
    <w:rsid w:val="00521618"/>
    <w:rsid w:val="0052161C"/>
    <w:rsid w:val="00521745"/>
    <w:rsid w:val="005217E6"/>
    <w:rsid w:val="00521807"/>
    <w:rsid w:val="0052195A"/>
    <w:rsid w:val="00521F6D"/>
    <w:rsid w:val="005220A0"/>
    <w:rsid w:val="00522487"/>
    <w:rsid w:val="005225BC"/>
    <w:rsid w:val="0052269B"/>
    <w:rsid w:val="00522878"/>
    <w:rsid w:val="00522929"/>
    <w:rsid w:val="005229C9"/>
    <w:rsid w:val="00522A4C"/>
    <w:rsid w:val="00522ACF"/>
    <w:rsid w:val="00522CB9"/>
    <w:rsid w:val="00522D20"/>
    <w:rsid w:val="00522D37"/>
    <w:rsid w:val="00522D70"/>
    <w:rsid w:val="00522D7B"/>
    <w:rsid w:val="00522F22"/>
    <w:rsid w:val="005233C9"/>
    <w:rsid w:val="00523513"/>
    <w:rsid w:val="00523545"/>
    <w:rsid w:val="0052360F"/>
    <w:rsid w:val="0052364E"/>
    <w:rsid w:val="005236EF"/>
    <w:rsid w:val="005237C1"/>
    <w:rsid w:val="005238EF"/>
    <w:rsid w:val="00523970"/>
    <w:rsid w:val="005239D7"/>
    <w:rsid w:val="00523A00"/>
    <w:rsid w:val="00523AF6"/>
    <w:rsid w:val="00523EBC"/>
    <w:rsid w:val="005241F5"/>
    <w:rsid w:val="00524201"/>
    <w:rsid w:val="00524308"/>
    <w:rsid w:val="005243B3"/>
    <w:rsid w:val="00524405"/>
    <w:rsid w:val="005244C6"/>
    <w:rsid w:val="00524656"/>
    <w:rsid w:val="0052468D"/>
    <w:rsid w:val="005246E1"/>
    <w:rsid w:val="00524A7D"/>
    <w:rsid w:val="00524CA1"/>
    <w:rsid w:val="00524E0B"/>
    <w:rsid w:val="00524FC3"/>
    <w:rsid w:val="005250D7"/>
    <w:rsid w:val="005253D9"/>
    <w:rsid w:val="005253F6"/>
    <w:rsid w:val="005256AC"/>
    <w:rsid w:val="005256E2"/>
    <w:rsid w:val="00525723"/>
    <w:rsid w:val="0052597F"/>
    <w:rsid w:val="005259CC"/>
    <w:rsid w:val="00525A9A"/>
    <w:rsid w:val="00525AEE"/>
    <w:rsid w:val="00525B67"/>
    <w:rsid w:val="00525E0B"/>
    <w:rsid w:val="0052613B"/>
    <w:rsid w:val="0052616F"/>
    <w:rsid w:val="005261F4"/>
    <w:rsid w:val="0052623C"/>
    <w:rsid w:val="00526277"/>
    <w:rsid w:val="00526453"/>
    <w:rsid w:val="0052671D"/>
    <w:rsid w:val="00526735"/>
    <w:rsid w:val="005267CF"/>
    <w:rsid w:val="00526D66"/>
    <w:rsid w:val="00526D7C"/>
    <w:rsid w:val="00526FD7"/>
    <w:rsid w:val="00527161"/>
    <w:rsid w:val="0052716B"/>
    <w:rsid w:val="005272CC"/>
    <w:rsid w:val="005272D3"/>
    <w:rsid w:val="0052733C"/>
    <w:rsid w:val="0052777D"/>
    <w:rsid w:val="0052788D"/>
    <w:rsid w:val="00527942"/>
    <w:rsid w:val="005279B1"/>
    <w:rsid w:val="00527C62"/>
    <w:rsid w:val="00527CD9"/>
    <w:rsid w:val="00527D79"/>
    <w:rsid w:val="00527EF8"/>
    <w:rsid w:val="005300BF"/>
    <w:rsid w:val="005301A5"/>
    <w:rsid w:val="0053031C"/>
    <w:rsid w:val="00530368"/>
    <w:rsid w:val="00530442"/>
    <w:rsid w:val="00530651"/>
    <w:rsid w:val="00530687"/>
    <w:rsid w:val="00530776"/>
    <w:rsid w:val="005307C7"/>
    <w:rsid w:val="00530818"/>
    <w:rsid w:val="0053099D"/>
    <w:rsid w:val="00530A33"/>
    <w:rsid w:val="00530B6F"/>
    <w:rsid w:val="00530B70"/>
    <w:rsid w:val="00530D8E"/>
    <w:rsid w:val="00530EAC"/>
    <w:rsid w:val="00530EB5"/>
    <w:rsid w:val="00530F73"/>
    <w:rsid w:val="005311CA"/>
    <w:rsid w:val="00531270"/>
    <w:rsid w:val="00531309"/>
    <w:rsid w:val="0053135F"/>
    <w:rsid w:val="005313BE"/>
    <w:rsid w:val="005314C0"/>
    <w:rsid w:val="00531534"/>
    <w:rsid w:val="00531613"/>
    <w:rsid w:val="00531754"/>
    <w:rsid w:val="00531875"/>
    <w:rsid w:val="005318C7"/>
    <w:rsid w:val="0053196C"/>
    <w:rsid w:val="00531D29"/>
    <w:rsid w:val="00531DA3"/>
    <w:rsid w:val="00531E7B"/>
    <w:rsid w:val="00532113"/>
    <w:rsid w:val="0053241E"/>
    <w:rsid w:val="00532452"/>
    <w:rsid w:val="005324E7"/>
    <w:rsid w:val="00532633"/>
    <w:rsid w:val="005326D8"/>
    <w:rsid w:val="00532893"/>
    <w:rsid w:val="005328FD"/>
    <w:rsid w:val="00532946"/>
    <w:rsid w:val="00532977"/>
    <w:rsid w:val="005329AF"/>
    <w:rsid w:val="005329D9"/>
    <w:rsid w:val="00532AA1"/>
    <w:rsid w:val="00532AA7"/>
    <w:rsid w:val="00532CE0"/>
    <w:rsid w:val="00532EDF"/>
    <w:rsid w:val="00532F09"/>
    <w:rsid w:val="00532FF0"/>
    <w:rsid w:val="0053313E"/>
    <w:rsid w:val="005331FA"/>
    <w:rsid w:val="00533497"/>
    <w:rsid w:val="00533823"/>
    <w:rsid w:val="00533C09"/>
    <w:rsid w:val="00533DE6"/>
    <w:rsid w:val="00533EA1"/>
    <w:rsid w:val="00533EF3"/>
    <w:rsid w:val="0053407D"/>
    <w:rsid w:val="0053409A"/>
    <w:rsid w:val="0053417A"/>
    <w:rsid w:val="0053439E"/>
    <w:rsid w:val="00534624"/>
    <w:rsid w:val="00534907"/>
    <w:rsid w:val="00534B58"/>
    <w:rsid w:val="00534C8F"/>
    <w:rsid w:val="00534CD5"/>
    <w:rsid w:val="00534CDD"/>
    <w:rsid w:val="00534D64"/>
    <w:rsid w:val="00534DE5"/>
    <w:rsid w:val="00534F2D"/>
    <w:rsid w:val="00534F34"/>
    <w:rsid w:val="0053519F"/>
    <w:rsid w:val="005351B0"/>
    <w:rsid w:val="005351F7"/>
    <w:rsid w:val="0053531A"/>
    <w:rsid w:val="0053562E"/>
    <w:rsid w:val="005356B2"/>
    <w:rsid w:val="005356B7"/>
    <w:rsid w:val="005356C9"/>
    <w:rsid w:val="0053572E"/>
    <w:rsid w:val="005359A2"/>
    <w:rsid w:val="00535B80"/>
    <w:rsid w:val="00535DF4"/>
    <w:rsid w:val="00535E6A"/>
    <w:rsid w:val="00535EC4"/>
    <w:rsid w:val="005362EA"/>
    <w:rsid w:val="00536646"/>
    <w:rsid w:val="005366B7"/>
    <w:rsid w:val="0053687E"/>
    <w:rsid w:val="00536934"/>
    <w:rsid w:val="00536AAD"/>
    <w:rsid w:val="00536C05"/>
    <w:rsid w:val="00536C4A"/>
    <w:rsid w:val="00536CDA"/>
    <w:rsid w:val="00536E6D"/>
    <w:rsid w:val="005371B5"/>
    <w:rsid w:val="0053731A"/>
    <w:rsid w:val="005373B2"/>
    <w:rsid w:val="00537483"/>
    <w:rsid w:val="005375D2"/>
    <w:rsid w:val="00537681"/>
    <w:rsid w:val="005377FC"/>
    <w:rsid w:val="0053784B"/>
    <w:rsid w:val="005378E2"/>
    <w:rsid w:val="00537AD3"/>
    <w:rsid w:val="00537BE8"/>
    <w:rsid w:val="00537E85"/>
    <w:rsid w:val="00537FC2"/>
    <w:rsid w:val="00540085"/>
    <w:rsid w:val="0054012B"/>
    <w:rsid w:val="00540215"/>
    <w:rsid w:val="00540600"/>
    <w:rsid w:val="005406CD"/>
    <w:rsid w:val="00540707"/>
    <w:rsid w:val="00540B80"/>
    <w:rsid w:val="00540C17"/>
    <w:rsid w:val="00540D06"/>
    <w:rsid w:val="00540ED1"/>
    <w:rsid w:val="00540F9B"/>
    <w:rsid w:val="00541098"/>
    <w:rsid w:val="005410FD"/>
    <w:rsid w:val="005412C0"/>
    <w:rsid w:val="00541309"/>
    <w:rsid w:val="00541407"/>
    <w:rsid w:val="00541A8C"/>
    <w:rsid w:val="00541ADC"/>
    <w:rsid w:val="00541C05"/>
    <w:rsid w:val="00541D28"/>
    <w:rsid w:val="00541E14"/>
    <w:rsid w:val="00541F0E"/>
    <w:rsid w:val="0054206E"/>
    <w:rsid w:val="00542074"/>
    <w:rsid w:val="005421F7"/>
    <w:rsid w:val="00542367"/>
    <w:rsid w:val="005425E3"/>
    <w:rsid w:val="005427DF"/>
    <w:rsid w:val="00542831"/>
    <w:rsid w:val="00542887"/>
    <w:rsid w:val="0054292B"/>
    <w:rsid w:val="00542A54"/>
    <w:rsid w:val="00542C23"/>
    <w:rsid w:val="00542C53"/>
    <w:rsid w:val="00542CD6"/>
    <w:rsid w:val="00542CDC"/>
    <w:rsid w:val="00542E00"/>
    <w:rsid w:val="00542E24"/>
    <w:rsid w:val="00542EEA"/>
    <w:rsid w:val="00542FB4"/>
    <w:rsid w:val="00543377"/>
    <w:rsid w:val="00543576"/>
    <w:rsid w:val="0054365A"/>
    <w:rsid w:val="005436E0"/>
    <w:rsid w:val="0054384D"/>
    <w:rsid w:val="00543881"/>
    <w:rsid w:val="005438F3"/>
    <w:rsid w:val="00543BDF"/>
    <w:rsid w:val="00543CBA"/>
    <w:rsid w:val="00543D2C"/>
    <w:rsid w:val="00543DAE"/>
    <w:rsid w:val="00543F0E"/>
    <w:rsid w:val="00543FB5"/>
    <w:rsid w:val="00543FC3"/>
    <w:rsid w:val="00544085"/>
    <w:rsid w:val="0054409E"/>
    <w:rsid w:val="00544315"/>
    <w:rsid w:val="005443F7"/>
    <w:rsid w:val="0054449B"/>
    <w:rsid w:val="0054455D"/>
    <w:rsid w:val="005446DE"/>
    <w:rsid w:val="00544737"/>
    <w:rsid w:val="005447BF"/>
    <w:rsid w:val="005448AC"/>
    <w:rsid w:val="00544994"/>
    <w:rsid w:val="00544AA8"/>
    <w:rsid w:val="00544B4D"/>
    <w:rsid w:val="00544CBC"/>
    <w:rsid w:val="00544D14"/>
    <w:rsid w:val="00544DD9"/>
    <w:rsid w:val="005450CD"/>
    <w:rsid w:val="0054520E"/>
    <w:rsid w:val="0054525B"/>
    <w:rsid w:val="00545317"/>
    <w:rsid w:val="00545515"/>
    <w:rsid w:val="00545700"/>
    <w:rsid w:val="00545912"/>
    <w:rsid w:val="0054593F"/>
    <w:rsid w:val="0054599E"/>
    <w:rsid w:val="00545A8C"/>
    <w:rsid w:val="00545AE1"/>
    <w:rsid w:val="00545ED1"/>
    <w:rsid w:val="00545F54"/>
    <w:rsid w:val="0054601F"/>
    <w:rsid w:val="0054603D"/>
    <w:rsid w:val="005461F2"/>
    <w:rsid w:val="005462C3"/>
    <w:rsid w:val="005464E1"/>
    <w:rsid w:val="005465FC"/>
    <w:rsid w:val="00546642"/>
    <w:rsid w:val="005466F0"/>
    <w:rsid w:val="00546755"/>
    <w:rsid w:val="00546777"/>
    <w:rsid w:val="005467F1"/>
    <w:rsid w:val="00546801"/>
    <w:rsid w:val="005469C5"/>
    <w:rsid w:val="00546A28"/>
    <w:rsid w:val="00546A53"/>
    <w:rsid w:val="00546C08"/>
    <w:rsid w:val="00546C25"/>
    <w:rsid w:val="00546CB0"/>
    <w:rsid w:val="00546D35"/>
    <w:rsid w:val="00546DB4"/>
    <w:rsid w:val="00546E46"/>
    <w:rsid w:val="00546E6D"/>
    <w:rsid w:val="00546EE0"/>
    <w:rsid w:val="00547273"/>
    <w:rsid w:val="005472F2"/>
    <w:rsid w:val="00547368"/>
    <w:rsid w:val="00547490"/>
    <w:rsid w:val="00547674"/>
    <w:rsid w:val="005477CA"/>
    <w:rsid w:val="00547819"/>
    <w:rsid w:val="005478E3"/>
    <w:rsid w:val="00547B3B"/>
    <w:rsid w:val="00547C05"/>
    <w:rsid w:val="0055001D"/>
    <w:rsid w:val="00550072"/>
    <w:rsid w:val="005504E5"/>
    <w:rsid w:val="00550534"/>
    <w:rsid w:val="00550844"/>
    <w:rsid w:val="00550857"/>
    <w:rsid w:val="00550A21"/>
    <w:rsid w:val="00550BAB"/>
    <w:rsid w:val="00550D2B"/>
    <w:rsid w:val="00550DC1"/>
    <w:rsid w:val="00550DE6"/>
    <w:rsid w:val="00550FE1"/>
    <w:rsid w:val="00550FE3"/>
    <w:rsid w:val="005510EF"/>
    <w:rsid w:val="005513B3"/>
    <w:rsid w:val="00551414"/>
    <w:rsid w:val="00551563"/>
    <w:rsid w:val="005516B9"/>
    <w:rsid w:val="0055171B"/>
    <w:rsid w:val="00551766"/>
    <w:rsid w:val="00551B03"/>
    <w:rsid w:val="00551BBA"/>
    <w:rsid w:val="00551BE0"/>
    <w:rsid w:val="00551CE6"/>
    <w:rsid w:val="00551DBB"/>
    <w:rsid w:val="00552016"/>
    <w:rsid w:val="00552123"/>
    <w:rsid w:val="00552140"/>
    <w:rsid w:val="005523F8"/>
    <w:rsid w:val="005524B7"/>
    <w:rsid w:val="005527A9"/>
    <w:rsid w:val="005527DF"/>
    <w:rsid w:val="00552836"/>
    <w:rsid w:val="00552870"/>
    <w:rsid w:val="00552933"/>
    <w:rsid w:val="00552A05"/>
    <w:rsid w:val="00552C55"/>
    <w:rsid w:val="00552C9C"/>
    <w:rsid w:val="00552DA4"/>
    <w:rsid w:val="00552F29"/>
    <w:rsid w:val="00553069"/>
    <w:rsid w:val="0055315E"/>
    <w:rsid w:val="0055333A"/>
    <w:rsid w:val="0055334C"/>
    <w:rsid w:val="005533F9"/>
    <w:rsid w:val="0055347F"/>
    <w:rsid w:val="0055348E"/>
    <w:rsid w:val="00553514"/>
    <w:rsid w:val="0055359B"/>
    <w:rsid w:val="005535BA"/>
    <w:rsid w:val="00553608"/>
    <w:rsid w:val="005537DE"/>
    <w:rsid w:val="005538F3"/>
    <w:rsid w:val="005539A3"/>
    <w:rsid w:val="00553A70"/>
    <w:rsid w:val="00553C0C"/>
    <w:rsid w:val="00553D02"/>
    <w:rsid w:val="00553D0B"/>
    <w:rsid w:val="00553D91"/>
    <w:rsid w:val="00553FBF"/>
    <w:rsid w:val="00554003"/>
    <w:rsid w:val="0055424C"/>
    <w:rsid w:val="0055426C"/>
    <w:rsid w:val="005542A3"/>
    <w:rsid w:val="005542C6"/>
    <w:rsid w:val="00554518"/>
    <w:rsid w:val="00554656"/>
    <w:rsid w:val="00554839"/>
    <w:rsid w:val="00554C90"/>
    <w:rsid w:val="00554E6C"/>
    <w:rsid w:val="00555134"/>
    <w:rsid w:val="00555262"/>
    <w:rsid w:val="0055530C"/>
    <w:rsid w:val="00555355"/>
    <w:rsid w:val="005553D6"/>
    <w:rsid w:val="005554E3"/>
    <w:rsid w:val="005555FA"/>
    <w:rsid w:val="0055573C"/>
    <w:rsid w:val="00555747"/>
    <w:rsid w:val="0055589A"/>
    <w:rsid w:val="005559BC"/>
    <w:rsid w:val="005559CA"/>
    <w:rsid w:val="00555C33"/>
    <w:rsid w:val="00555CB4"/>
    <w:rsid w:val="00555EC7"/>
    <w:rsid w:val="005562A3"/>
    <w:rsid w:val="00556369"/>
    <w:rsid w:val="00556431"/>
    <w:rsid w:val="005564B1"/>
    <w:rsid w:val="005565DA"/>
    <w:rsid w:val="00556858"/>
    <w:rsid w:val="00556863"/>
    <w:rsid w:val="005568FF"/>
    <w:rsid w:val="00556D33"/>
    <w:rsid w:val="00556DAE"/>
    <w:rsid w:val="00556E00"/>
    <w:rsid w:val="00556EEC"/>
    <w:rsid w:val="00556F6F"/>
    <w:rsid w:val="00557238"/>
    <w:rsid w:val="0055736F"/>
    <w:rsid w:val="00557619"/>
    <w:rsid w:val="0055783F"/>
    <w:rsid w:val="0055784C"/>
    <w:rsid w:val="00557A6C"/>
    <w:rsid w:val="00557CD5"/>
    <w:rsid w:val="0056052F"/>
    <w:rsid w:val="0056065C"/>
    <w:rsid w:val="005606DB"/>
    <w:rsid w:val="005607C1"/>
    <w:rsid w:val="005607E8"/>
    <w:rsid w:val="0056086A"/>
    <w:rsid w:val="00560897"/>
    <w:rsid w:val="005608C6"/>
    <w:rsid w:val="0056099A"/>
    <w:rsid w:val="00560A54"/>
    <w:rsid w:val="00560C0E"/>
    <w:rsid w:val="00560C64"/>
    <w:rsid w:val="00560DBF"/>
    <w:rsid w:val="00560F14"/>
    <w:rsid w:val="00561039"/>
    <w:rsid w:val="00561117"/>
    <w:rsid w:val="0056113F"/>
    <w:rsid w:val="005611F7"/>
    <w:rsid w:val="00561339"/>
    <w:rsid w:val="00561403"/>
    <w:rsid w:val="0056142D"/>
    <w:rsid w:val="005615A5"/>
    <w:rsid w:val="005615EC"/>
    <w:rsid w:val="005617BD"/>
    <w:rsid w:val="00561AAB"/>
    <w:rsid w:val="00561C49"/>
    <w:rsid w:val="00561CB6"/>
    <w:rsid w:val="00561CCB"/>
    <w:rsid w:val="00561D11"/>
    <w:rsid w:val="00561D24"/>
    <w:rsid w:val="00561D37"/>
    <w:rsid w:val="00561F17"/>
    <w:rsid w:val="00561F1C"/>
    <w:rsid w:val="00562374"/>
    <w:rsid w:val="0056241B"/>
    <w:rsid w:val="005624E2"/>
    <w:rsid w:val="00562527"/>
    <w:rsid w:val="00562721"/>
    <w:rsid w:val="0056289A"/>
    <w:rsid w:val="00562A84"/>
    <w:rsid w:val="00562B8E"/>
    <w:rsid w:val="00562D37"/>
    <w:rsid w:val="00562D93"/>
    <w:rsid w:val="00562F4F"/>
    <w:rsid w:val="0056309E"/>
    <w:rsid w:val="00563127"/>
    <w:rsid w:val="00563151"/>
    <w:rsid w:val="00563190"/>
    <w:rsid w:val="005634F8"/>
    <w:rsid w:val="00563503"/>
    <w:rsid w:val="00563AC4"/>
    <w:rsid w:val="00563C88"/>
    <w:rsid w:val="00563FAE"/>
    <w:rsid w:val="00564108"/>
    <w:rsid w:val="0056440F"/>
    <w:rsid w:val="005646EA"/>
    <w:rsid w:val="00564A53"/>
    <w:rsid w:val="00564A92"/>
    <w:rsid w:val="00564D0C"/>
    <w:rsid w:val="00564D21"/>
    <w:rsid w:val="00564D55"/>
    <w:rsid w:val="00564E61"/>
    <w:rsid w:val="00564E79"/>
    <w:rsid w:val="00564F07"/>
    <w:rsid w:val="00564F56"/>
    <w:rsid w:val="00565000"/>
    <w:rsid w:val="00565009"/>
    <w:rsid w:val="00565138"/>
    <w:rsid w:val="00565370"/>
    <w:rsid w:val="005653A3"/>
    <w:rsid w:val="005655A1"/>
    <w:rsid w:val="0056577F"/>
    <w:rsid w:val="00565B13"/>
    <w:rsid w:val="00565B8B"/>
    <w:rsid w:val="00565C80"/>
    <w:rsid w:val="00565DB6"/>
    <w:rsid w:val="00565DD6"/>
    <w:rsid w:val="00565F10"/>
    <w:rsid w:val="0056600D"/>
    <w:rsid w:val="0056609B"/>
    <w:rsid w:val="005663E2"/>
    <w:rsid w:val="00566466"/>
    <w:rsid w:val="0056649B"/>
    <w:rsid w:val="00566590"/>
    <w:rsid w:val="00566639"/>
    <w:rsid w:val="0056663A"/>
    <w:rsid w:val="005669F2"/>
    <w:rsid w:val="00566A99"/>
    <w:rsid w:val="00566BB9"/>
    <w:rsid w:val="00566E0E"/>
    <w:rsid w:val="00566FE4"/>
    <w:rsid w:val="00567359"/>
    <w:rsid w:val="0056744F"/>
    <w:rsid w:val="00567635"/>
    <w:rsid w:val="0056767F"/>
    <w:rsid w:val="0056768D"/>
    <w:rsid w:val="00567884"/>
    <w:rsid w:val="00567B7F"/>
    <w:rsid w:val="00567BF8"/>
    <w:rsid w:val="00567C34"/>
    <w:rsid w:val="00567D95"/>
    <w:rsid w:val="00567EF6"/>
    <w:rsid w:val="00567F53"/>
    <w:rsid w:val="0057007A"/>
    <w:rsid w:val="005701D9"/>
    <w:rsid w:val="00570296"/>
    <w:rsid w:val="005702EC"/>
    <w:rsid w:val="00570440"/>
    <w:rsid w:val="005706AF"/>
    <w:rsid w:val="005708F1"/>
    <w:rsid w:val="00570981"/>
    <w:rsid w:val="005709E4"/>
    <w:rsid w:val="00570A3A"/>
    <w:rsid w:val="00570C4F"/>
    <w:rsid w:val="00570C99"/>
    <w:rsid w:val="00570D22"/>
    <w:rsid w:val="00570F9F"/>
    <w:rsid w:val="00570FA6"/>
    <w:rsid w:val="005712AA"/>
    <w:rsid w:val="00571316"/>
    <w:rsid w:val="00571359"/>
    <w:rsid w:val="005715D1"/>
    <w:rsid w:val="0057198B"/>
    <w:rsid w:val="00571ACA"/>
    <w:rsid w:val="00571BA2"/>
    <w:rsid w:val="00571C82"/>
    <w:rsid w:val="00571C9F"/>
    <w:rsid w:val="00571ECF"/>
    <w:rsid w:val="00571F0F"/>
    <w:rsid w:val="00571FF6"/>
    <w:rsid w:val="00572134"/>
    <w:rsid w:val="00572304"/>
    <w:rsid w:val="0057246A"/>
    <w:rsid w:val="0057274D"/>
    <w:rsid w:val="00572830"/>
    <w:rsid w:val="005728FB"/>
    <w:rsid w:val="00572950"/>
    <w:rsid w:val="00572DCE"/>
    <w:rsid w:val="00572E42"/>
    <w:rsid w:val="00572FC9"/>
    <w:rsid w:val="00573054"/>
    <w:rsid w:val="005730E7"/>
    <w:rsid w:val="00573339"/>
    <w:rsid w:val="005733D0"/>
    <w:rsid w:val="00573439"/>
    <w:rsid w:val="0057358B"/>
    <w:rsid w:val="005735BB"/>
    <w:rsid w:val="0057368F"/>
    <w:rsid w:val="005736C0"/>
    <w:rsid w:val="005737D5"/>
    <w:rsid w:val="005738C6"/>
    <w:rsid w:val="005738DD"/>
    <w:rsid w:val="00573D16"/>
    <w:rsid w:val="00573E27"/>
    <w:rsid w:val="00573E36"/>
    <w:rsid w:val="00573E5D"/>
    <w:rsid w:val="00573F26"/>
    <w:rsid w:val="00573FC5"/>
    <w:rsid w:val="00574285"/>
    <w:rsid w:val="005742C7"/>
    <w:rsid w:val="00574493"/>
    <w:rsid w:val="00574668"/>
    <w:rsid w:val="005746DB"/>
    <w:rsid w:val="00574822"/>
    <w:rsid w:val="0057484A"/>
    <w:rsid w:val="005749D9"/>
    <w:rsid w:val="00574B77"/>
    <w:rsid w:val="00574BE2"/>
    <w:rsid w:val="00574C39"/>
    <w:rsid w:val="00574D7D"/>
    <w:rsid w:val="00574D8F"/>
    <w:rsid w:val="00574E4E"/>
    <w:rsid w:val="00574EF7"/>
    <w:rsid w:val="005751CA"/>
    <w:rsid w:val="005755B3"/>
    <w:rsid w:val="00575602"/>
    <w:rsid w:val="00575679"/>
    <w:rsid w:val="00575749"/>
    <w:rsid w:val="005757E0"/>
    <w:rsid w:val="0057585C"/>
    <w:rsid w:val="005758A3"/>
    <w:rsid w:val="00575961"/>
    <w:rsid w:val="00575A1E"/>
    <w:rsid w:val="00575BE1"/>
    <w:rsid w:val="00575E66"/>
    <w:rsid w:val="00575ED5"/>
    <w:rsid w:val="00576028"/>
    <w:rsid w:val="005762D6"/>
    <w:rsid w:val="005765EF"/>
    <w:rsid w:val="00576619"/>
    <w:rsid w:val="00576673"/>
    <w:rsid w:val="005766BD"/>
    <w:rsid w:val="005767FC"/>
    <w:rsid w:val="00576830"/>
    <w:rsid w:val="00576B67"/>
    <w:rsid w:val="00576B9B"/>
    <w:rsid w:val="00576DF6"/>
    <w:rsid w:val="00576F4B"/>
    <w:rsid w:val="00576F7D"/>
    <w:rsid w:val="005770F2"/>
    <w:rsid w:val="00577117"/>
    <w:rsid w:val="00577170"/>
    <w:rsid w:val="005771CB"/>
    <w:rsid w:val="0057721C"/>
    <w:rsid w:val="00577269"/>
    <w:rsid w:val="005772BB"/>
    <w:rsid w:val="005773D7"/>
    <w:rsid w:val="005775F7"/>
    <w:rsid w:val="00577620"/>
    <w:rsid w:val="005776FA"/>
    <w:rsid w:val="00577A40"/>
    <w:rsid w:val="00577B16"/>
    <w:rsid w:val="00577E30"/>
    <w:rsid w:val="00577F8B"/>
    <w:rsid w:val="00577FB9"/>
    <w:rsid w:val="00577FC3"/>
    <w:rsid w:val="00577FC7"/>
    <w:rsid w:val="0058023E"/>
    <w:rsid w:val="00580342"/>
    <w:rsid w:val="00580388"/>
    <w:rsid w:val="00580422"/>
    <w:rsid w:val="00580469"/>
    <w:rsid w:val="005805BC"/>
    <w:rsid w:val="005805C3"/>
    <w:rsid w:val="005806A2"/>
    <w:rsid w:val="00580824"/>
    <w:rsid w:val="00580A5D"/>
    <w:rsid w:val="00580B6B"/>
    <w:rsid w:val="00580CB2"/>
    <w:rsid w:val="00580E5E"/>
    <w:rsid w:val="00580F4B"/>
    <w:rsid w:val="0058116F"/>
    <w:rsid w:val="005811C5"/>
    <w:rsid w:val="0058133D"/>
    <w:rsid w:val="00581468"/>
    <w:rsid w:val="005816C9"/>
    <w:rsid w:val="00581719"/>
    <w:rsid w:val="0058175A"/>
    <w:rsid w:val="005817DE"/>
    <w:rsid w:val="005817EF"/>
    <w:rsid w:val="00581841"/>
    <w:rsid w:val="00581930"/>
    <w:rsid w:val="0058195D"/>
    <w:rsid w:val="00581A4A"/>
    <w:rsid w:val="00581B8B"/>
    <w:rsid w:val="00581BC4"/>
    <w:rsid w:val="00581BDD"/>
    <w:rsid w:val="00581BE0"/>
    <w:rsid w:val="00581C07"/>
    <w:rsid w:val="00581C39"/>
    <w:rsid w:val="00581DD4"/>
    <w:rsid w:val="00581E1E"/>
    <w:rsid w:val="00581E24"/>
    <w:rsid w:val="00581E46"/>
    <w:rsid w:val="00581F38"/>
    <w:rsid w:val="00582376"/>
    <w:rsid w:val="00582559"/>
    <w:rsid w:val="005828C6"/>
    <w:rsid w:val="005828EC"/>
    <w:rsid w:val="005828F1"/>
    <w:rsid w:val="0058293B"/>
    <w:rsid w:val="00582977"/>
    <w:rsid w:val="00582ABF"/>
    <w:rsid w:val="00582BD5"/>
    <w:rsid w:val="00582BFA"/>
    <w:rsid w:val="00582DE6"/>
    <w:rsid w:val="00582E39"/>
    <w:rsid w:val="00582F89"/>
    <w:rsid w:val="0058309C"/>
    <w:rsid w:val="00583153"/>
    <w:rsid w:val="00583294"/>
    <w:rsid w:val="0058329F"/>
    <w:rsid w:val="005832FA"/>
    <w:rsid w:val="00583329"/>
    <w:rsid w:val="005838A4"/>
    <w:rsid w:val="005838DF"/>
    <w:rsid w:val="00583A12"/>
    <w:rsid w:val="00583AC0"/>
    <w:rsid w:val="00583BC5"/>
    <w:rsid w:val="00583D37"/>
    <w:rsid w:val="00583F9C"/>
    <w:rsid w:val="00583FDF"/>
    <w:rsid w:val="005841F1"/>
    <w:rsid w:val="005843AE"/>
    <w:rsid w:val="00584578"/>
    <w:rsid w:val="005846D0"/>
    <w:rsid w:val="0058481B"/>
    <w:rsid w:val="005849A7"/>
    <w:rsid w:val="00584A0F"/>
    <w:rsid w:val="00584B2D"/>
    <w:rsid w:val="00584B6E"/>
    <w:rsid w:val="00584CC5"/>
    <w:rsid w:val="00584E03"/>
    <w:rsid w:val="00585043"/>
    <w:rsid w:val="0058505E"/>
    <w:rsid w:val="0058507E"/>
    <w:rsid w:val="0058523A"/>
    <w:rsid w:val="00585240"/>
    <w:rsid w:val="0058539C"/>
    <w:rsid w:val="005853E6"/>
    <w:rsid w:val="00585411"/>
    <w:rsid w:val="0058570C"/>
    <w:rsid w:val="0058571E"/>
    <w:rsid w:val="005858D8"/>
    <w:rsid w:val="00585B04"/>
    <w:rsid w:val="00585B3C"/>
    <w:rsid w:val="00585C8C"/>
    <w:rsid w:val="00585CE4"/>
    <w:rsid w:val="00585CFF"/>
    <w:rsid w:val="00585DF3"/>
    <w:rsid w:val="00585E18"/>
    <w:rsid w:val="00585F41"/>
    <w:rsid w:val="005861AE"/>
    <w:rsid w:val="00586260"/>
    <w:rsid w:val="0058629B"/>
    <w:rsid w:val="005863F9"/>
    <w:rsid w:val="005864E0"/>
    <w:rsid w:val="0058656E"/>
    <w:rsid w:val="005869C6"/>
    <w:rsid w:val="00586ABF"/>
    <w:rsid w:val="00586C3B"/>
    <w:rsid w:val="00586D91"/>
    <w:rsid w:val="00586DC3"/>
    <w:rsid w:val="00586F74"/>
    <w:rsid w:val="00586FBE"/>
    <w:rsid w:val="00587026"/>
    <w:rsid w:val="00587431"/>
    <w:rsid w:val="00587497"/>
    <w:rsid w:val="00587558"/>
    <w:rsid w:val="00587655"/>
    <w:rsid w:val="005877B2"/>
    <w:rsid w:val="005877F5"/>
    <w:rsid w:val="00587905"/>
    <w:rsid w:val="00587929"/>
    <w:rsid w:val="005879F3"/>
    <w:rsid w:val="00587A5D"/>
    <w:rsid w:val="00587CF2"/>
    <w:rsid w:val="00587E2F"/>
    <w:rsid w:val="00590021"/>
    <w:rsid w:val="005900E0"/>
    <w:rsid w:val="005902E5"/>
    <w:rsid w:val="005903B1"/>
    <w:rsid w:val="005904FE"/>
    <w:rsid w:val="00590668"/>
    <w:rsid w:val="00590BB6"/>
    <w:rsid w:val="00590D75"/>
    <w:rsid w:val="00590EF4"/>
    <w:rsid w:val="005910EC"/>
    <w:rsid w:val="005910F4"/>
    <w:rsid w:val="005911C7"/>
    <w:rsid w:val="005912C7"/>
    <w:rsid w:val="0059149A"/>
    <w:rsid w:val="005914A6"/>
    <w:rsid w:val="0059151E"/>
    <w:rsid w:val="005916A3"/>
    <w:rsid w:val="00591737"/>
    <w:rsid w:val="00591807"/>
    <w:rsid w:val="00591BE4"/>
    <w:rsid w:val="005921C3"/>
    <w:rsid w:val="0059224F"/>
    <w:rsid w:val="005922E3"/>
    <w:rsid w:val="00592402"/>
    <w:rsid w:val="00592572"/>
    <w:rsid w:val="0059264E"/>
    <w:rsid w:val="005926DF"/>
    <w:rsid w:val="005927B4"/>
    <w:rsid w:val="005927FF"/>
    <w:rsid w:val="005928E1"/>
    <w:rsid w:val="00592927"/>
    <w:rsid w:val="0059298C"/>
    <w:rsid w:val="00592A7A"/>
    <w:rsid w:val="00592B9F"/>
    <w:rsid w:val="00592BB1"/>
    <w:rsid w:val="00592E07"/>
    <w:rsid w:val="00592E17"/>
    <w:rsid w:val="00592ED6"/>
    <w:rsid w:val="00592F44"/>
    <w:rsid w:val="00593391"/>
    <w:rsid w:val="0059344A"/>
    <w:rsid w:val="00593561"/>
    <w:rsid w:val="00593648"/>
    <w:rsid w:val="0059372D"/>
    <w:rsid w:val="005937D5"/>
    <w:rsid w:val="005937EA"/>
    <w:rsid w:val="005938F9"/>
    <w:rsid w:val="00593CC0"/>
    <w:rsid w:val="00593FB7"/>
    <w:rsid w:val="005940F9"/>
    <w:rsid w:val="00594642"/>
    <w:rsid w:val="00594651"/>
    <w:rsid w:val="005949E8"/>
    <w:rsid w:val="00594AEB"/>
    <w:rsid w:val="00594C0D"/>
    <w:rsid w:val="00594DE7"/>
    <w:rsid w:val="00594F17"/>
    <w:rsid w:val="00595055"/>
    <w:rsid w:val="00595224"/>
    <w:rsid w:val="00595244"/>
    <w:rsid w:val="00595245"/>
    <w:rsid w:val="00595279"/>
    <w:rsid w:val="0059530F"/>
    <w:rsid w:val="0059541E"/>
    <w:rsid w:val="0059549F"/>
    <w:rsid w:val="0059564E"/>
    <w:rsid w:val="005956BD"/>
    <w:rsid w:val="00595780"/>
    <w:rsid w:val="005957B4"/>
    <w:rsid w:val="005958E5"/>
    <w:rsid w:val="00595A43"/>
    <w:rsid w:val="00595BBA"/>
    <w:rsid w:val="00595CD5"/>
    <w:rsid w:val="00595E23"/>
    <w:rsid w:val="0059615D"/>
    <w:rsid w:val="00596384"/>
    <w:rsid w:val="005968A3"/>
    <w:rsid w:val="00596916"/>
    <w:rsid w:val="00596B3C"/>
    <w:rsid w:val="00596B6B"/>
    <w:rsid w:val="00596BE5"/>
    <w:rsid w:val="00596C9F"/>
    <w:rsid w:val="00596CAE"/>
    <w:rsid w:val="00597389"/>
    <w:rsid w:val="005973DF"/>
    <w:rsid w:val="0059742B"/>
    <w:rsid w:val="00597487"/>
    <w:rsid w:val="005975E3"/>
    <w:rsid w:val="0059764A"/>
    <w:rsid w:val="00597731"/>
    <w:rsid w:val="005977B6"/>
    <w:rsid w:val="00597977"/>
    <w:rsid w:val="00597B0E"/>
    <w:rsid w:val="00597B7D"/>
    <w:rsid w:val="00597ED4"/>
    <w:rsid w:val="00597F46"/>
    <w:rsid w:val="00597FB8"/>
    <w:rsid w:val="005A0018"/>
    <w:rsid w:val="005A00DE"/>
    <w:rsid w:val="005A0376"/>
    <w:rsid w:val="005A0388"/>
    <w:rsid w:val="005A0618"/>
    <w:rsid w:val="005A0651"/>
    <w:rsid w:val="005A07B8"/>
    <w:rsid w:val="005A0CA8"/>
    <w:rsid w:val="005A1006"/>
    <w:rsid w:val="005A127E"/>
    <w:rsid w:val="005A12F7"/>
    <w:rsid w:val="005A15CE"/>
    <w:rsid w:val="005A183E"/>
    <w:rsid w:val="005A194C"/>
    <w:rsid w:val="005A1C8F"/>
    <w:rsid w:val="005A1ECB"/>
    <w:rsid w:val="005A1EE6"/>
    <w:rsid w:val="005A2324"/>
    <w:rsid w:val="005A24E2"/>
    <w:rsid w:val="005A2539"/>
    <w:rsid w:val="005A2641"/>
    <w:rsid w:val="005A2679"/>
    <w:rsid w:val="005A28C6"/>
    <w:rsid w:val="005A2916"/>
    <w:rsid w:val="005A29E5"/>
    <w:rsid w:val="005A2A3B"/>
    <w:rsid w:val="005A2DCC"/>
    <w:rsid w:val="005A3112"/>
    <w:rsid w:val="005A3178"/>
    <w:rsid w:val="005A36D7"/>
    <w:rsid w:val="005A3879"/>
    <w:rsid w:val="005A3AC4"/>
    <w:rsid w:val="005A3BE9"/>
    <w:rsid w:val="005A3D3B"/>
    <w:rsid w:val="005A43F2"/>
    <w:rsid w:val="005A443B"/>
    <w:rsid w:val="005A4497"/>
    <w:rsid w:val="005A45D4"/>
    <w:rsid w:val="005A46D5"/>
    <w:rsid w:val="005A4715"/>
    <w:rsid w:val="005A48D4"/>
    <w:rsid w:val="005A4968"/>
    <w:rsid w:val="005A49A1"/>
    <w:rsid w:val="005A49A3"/>
    <w:rsid w:val="005A49FF"/>
    <w:rsid w:val="005A4A2E"/>
    <w:rsid w:val="005A4A9F"/>
    <w:rsid w:val="005A4AB4"/>
    <w:rsid w:val="005A4B73"/>
    <w:rsid w:val="005A4B7C"/>
    <w:rsid w:val="005A4C0C"/>
    <w:rsid w:val="005A4C15"/>
    <w:rsid w:val="005A4CC3"/>
    <w:rsid w:val="005A4CFF"/>
    <w:rsid w:val="005A4DCF"/>
    <w:rsid w:val="005A4E25"/>
    <w:rsid w:val="005A50ED"/>
    <w:rsid w:val="005A52F5"/>
    <w:rsid w:val="005A53EB"/>
    <w:rsid w:val="005A564C"/>
    <w:rsid w:val="005A5842"/>
    <w:rsid w:val="005A58D0"/>
    <w:rsid w:val="005A5A10"/>
    <w:rsid w:val="005A5C28"/>
    <w:rsid w:val="005A5D21"/>
    <w:rsid w:val="005A5E16"/>
    <w:rsid w:val="005A5ED4"/>
    <w:rsid w:val="005A6043"/>
    <w:rsid w:val="005A610B"/>
    <w:rsid w:val="005A6146"/>
    <w:rsid w:val="005A66D2"/>
    <w:rsid w:val="005A6742"/>
    <w:rsid w:val="005A6875"/>
    <w:rsid w:val="005A6A18"/>
    <w:rsid w:val="005A6B2B"/>
    <w:rsid w:val="005A6B3E"/>
    <w:rsid w:val="005A6F52"/>
    <w:rsid w:val="005A70E9"/>
    <w:rsid w:val="005A723B"/>
    <w:rsid w:val="005A73DC"/>
    <w:rsid w:val="005A7493"/>
    <w:rsid w:val="005A7685"/>
    <w:rsid w:val="005A77BB"/>
    <w:rsid w:val="005A7ABE"/>
    <w:rsid w:val="005A7B29"/>
    <w:rsid w:val="005A7B7F"/>
    <w:rsid w:val="005A7C79"/>
    <w:rsid w:val="005A7DBF"/>
    <w:rsid w:val="005A7E4C"/>
    <w:rsid w:val="005A7ED9"/>
    <w:rsid w:val="005A7F90"/>
    <w:rsid w:val="005B02FD"/>
    <w:rsid w:val="005B0344"/>
    <w:rsid w:val="005B039E"/>
    <w:rsid w:val="005B03CB"/>
    <w:rsid w:val="005B0437"/>
    <w:rsid w:val="005B04B4"/>
    <w:rsid w:val="005B069F"/>
    <w:rsid w:val="005B0769"/>
    <w:rsid w:val="005B0948"/>
    <w:rsid w:val="005B0AD3"/>
    <w:rsid w:val="005B0B4D"/>
    <w:rsid w:val="005B0B6D"/>
    <w:rsid w:val="005B0C03"/>
    <w:rsid w:val="005B0DF6"/>
    <w:rsid w:val="005B0E76"/>
    <w:rsid w:val="005B0EED"/>
    <w:rsid w:val="005B0FB1"/>
    <w:rsid w:val="005B1143"/>
    <w:rsid w:val="005B154F"/>
    <w:rsid w:val="005B1629"/>
    <w:rsid w:val="005B167C"/>
    <w:rsid w:val="005B1799"/>
    <w:rsid w:val="005B1804"/>
    <w:rsid w:val="005B1863"/>
    <w:rsid w:val="005B1A1C"/>
    <w:rsid w:val="005B1A62"/>
    <w:rsid w:val="005B1B84"/>
    <w:rsid w:val="005B1D34"/>
    <w:rsid w:val="005B1F2C"/>
    <w:rsid w:val="005B22D4"/>
    <w:rsid w:val="005B2362"/>
    <w:rsid w:val="005B259A"/>
    <w:rsid w:val="005B25D7"/>
    <w:rsid w:val="005B272D"/>
    <w:rsid w:val="005B275C"/>
    <w:rsid w:val="005B28E0"/>
    <w:rsid w:val="005B2994"/>
    <w:rsid w:val="005B29BA"/>
    <w:rsid w:val="005B2B29"/>
    <w:rsid w:val="005B2E04"/>
    <w:rsid w:val="005B2E8C"/>
    <w:rsid w:val="005B33FA"/>
    <w:rsid w:val="005B34D8"/>
    <w:rsid w:val="005B38A9"/>
    <w:rsid w:val="005B3B17"/>
    <w:rsid w:val="005B3C60"/>
    <w:rsid w:val="005B3F03"/>
    <w:rsid w:val="005B3F1A"/>
    <w:rsid w:val="005B42B5"/>
    <w:rsid w:val="005B4359"/>
    <w:rsid w:val="005B438D"/>
    <w:rsid w:val="005B4581"/>
    <w:rsid w:val="005B45DD"/>
    <w:rsid w:val="005B4632"/>
    <w:rsid w:val="005B468F"/>
    <w:rsid w:val="005B46A5"/>
    <w:rsid w:val="005B46CB"/>
    <w:rsid w:val="005B4774"/>
    <w:rsid w:val="005B4A8E"/>
    <w:rsid w:val="005B4BB3"/>
    <w:rsid w:val="005B4C59"/>
    <w:rsid w:val="005B4DD5"/>
    <w:rsid w:val="005B4E06"/>
    <w:rsid w:val="005B4FFE"/>
    <w:rsid w:val="005B5036"/>
    <w:rsid w:val="005B52CA"/>
    <w:rsid w:val="005B5496"/>
    <w:rsid w:val="005B5589"/>
    <w:rsid w:val="005B5668"/>
    <w:rsid w:val="005B570F"/>
    <w:rsid w:val="005B5893"/>
    <w:rsid w:val="005B5B2E"/>
    <w:rsid w:val="005B5BDF"/>
    <w:rsid w:val="005B5C3E"/>
    <w:rsid w:val="005B5FBF"/>
    <w:rsid w:val="005B612E"/>
    <w:rsid w:val="005B6156"/>
    <w:rsid w:val="005B6235"/>
    <w:rsid w:val="005B66FB"/>
    <w:rsid w:val="005B6822"/>
    <w:rsid w:val="005B6967"/>
    <w:rsid w:val="005B6DEC"/>
    <w:rsid w:val="005B76BC"/>
    <w:rsid w:val="005B76C8"/>
    <w:rsid w:val="005B7717"/>
    <w:rsid w:val="005B777B"/>
    <w:rsid w:val="005B77C9"/>
    <w:rsid w:val="005B78E3"/>
    <w:rsid w:val="005B7A38"/>
    <w:rsid w:val="005B7C34"/>
    <w:rsid w:val="005B7C44"/>
    <w:rsid w:val="005B7D8E"/>
    <w:rsid w:val="005B7DE0"/>
    <w:rsid w:val="005B7E44"/>
    <w:rsid w:val="005B7E68"/>
    <w:rsid w:val="005C018E"/>
    <w:rsid w:val="005C01E5"/>
    <w:rsid w:val="005C0322"/>
    <w:rsid w:val="005C05E2"/>
    <w:rsid w:val="005C0997"/>
    <w:rsid w:val="005C0B03"/>
    <w:rsid w:val="005C0BD7"/>
    <w:rsid w:val="005C0BF2"/>
    <w:rsid w:val="005C0D49"/>
    <w:rsid w:val="005C0F16"/>
    <w:rsid w:val="005C123F"/>
    <w:rsid w:val="005C1350"/>
    <w:rsid w:val="005C1411"/>
    <w:rsid w:val="005C16AE"/>
    <w:rsid w:val="005C1935"/>
    <w:rsid w:val="005C1A99"/>
    <w:rsid w:val="005C1A9C"/>
    <w:rsid w:val="005C1AE9"/>
    <w:rsid w:val="005C1B47"/>
    <w:rsid w:val="005C1BEC"/>
    <w:rsid w:val="005C1C41"/>
    <w:rsid w:val="005C1D61"/>
    <w:rsid w:val="005C1D6E"/>
    <w:rsid w:val="005C1DD9"/>
    <w:rsid w:val="005C1E0F"/>
    <w:rsid w:val="005C1E49"/>
    <w:rsid w:val="005C1FDE"/>
    <w:rsid w:val="005C2263"/>
    <w:rsid w:val="005C227F"/>
    <w:rsid w:val="005C2697"/>
    <w:rsid w:val="005C290F"/>
    <w:rsid w:val="005C29A1"/>
    <w:rsid w:val="005C2A02"/>
    <w:rsid w:val="005C2ADD"/>
    <w:rsid w:val="005C2B95"/>
    <w:rsid w:val="005C2C86"/>
    <w:rsid w:val="005C2D14"/>
    <w:rsid w:val="005C2D46"/>
    <w:rsid w:val="005C2D64"/>
    <w:rsid w:val="005C2EDF"/>
    <w:rsid w:val="005C3046"/>
    <w:rsid w:val="005C30A0"/>
    <w:rsid w:val="005C30E9"/>
    <w:rsid w:val="005C3106"/>
    <w:rsid w:val="005C320D"/>
    <w:rsid w:val="005C330D"/>
    <w:rsid w:val="005C33AE"/>
    <w:rsid w:val="005C33EB"/>
    <w:rsid w:val="005C344F"/>
    <w:rsid w:val="005C3690"/>
    <w:rsid w:val="005C3727"/>
    <w:rsid w:val="005C372D"/>
    <w:rsid w:val="005C3759"/>
    <w:rsid w:val="005C3C94"/>
    <w:rsid w:val="005C3CFE"/>
    <w:rsid w:val="005C3D12"/>
    <w:rsid w:val="005C3D3C"/>
    <w:rsid w:val="005C3E21"/>
    <w:rsid w:val="005C3F8F"/>
    <w:rsid w:val="005C43AC"/>
    <w:rsid w:val="005C4437"/>
    <w:rsid w:val="005C46DD"/>
    <w:rsid w:val="005C47C7"/>
    <w:rsid w:val="005C4A53"/>
    <w:rsid w:val="005C4C7D"/>
    <w:rsid w:val="005C4E91"/>
    <w:rsid w:val="005C4ECF"/>
    <w:rsid w:val="005C5254"/>
    <w:rsid w:val="005C52E6"/>
    <w:rsid w:val="005C5379"/>
    <w:rsid w:val="005C5479"/>
    <w:rsid w:val="005C597B"/>
    <w:rsid w:val="005C5A97"/>
    <w:rsid w:val="005C5B07"/>
    <w:rsid w:val="005C5BE4"/>
    <w:rsid w:val="005C5E12"/>
    <w:rsid w:val="005C5EB1"/>
    <w:rsid w:val="005C6234"/>
    <w:rsid w:val="005C642B"/>
    <w:rsid w:val="005C6489"/>
    <w:rsid w:val="005C662C"/>
    <w:rsid w:val="005C672A"/>
    <w:rsid w:val="005C674F"/>
    <w:rsid w:val="005C6B79"/>
    <w:rsid w:val="005C6C95"/>
    <w:rsid w:val="005C6E22"/>
    <w:rsid w:val="005C6E4A"/>
    <w:rsid w:val="005C6F23"/>
    <w:rsid w:val="005C6F4B"/>
    <w:rsid w:val="005C6FF0"/>
    <w:rsid w:val="005C702D"/>
    <w:rsid w:val="005C756A"/>
    <w:rsid w:val="005C757B"/>
    <w:rsid w:val="005C75CE"/>
    <w:rsid w:val="005C75D8"/>
    <w:rsid w:val="005C7609"/>
    <w:rsid w:val="005C7648"/>
    <w:rsid w:val="005C7666"/>
    <w:rsid w:val="005C7870"/>
    <w:rsid w:val="005C78AA"/>
    <w:rsid w:val="005C793E"/>
    <w:rsid w:val="005C7997"/>
    <w:rsid w:val="005C7B2D"/>
    <w:rsid w:val="005D0046"/>
    <w:rsid w:val="005D0340"/>
    <w:rsid w:val="005D0382"/>
    <w:rsid w:val="005D0436"/>
    <w:rsid w:val="005D05EA"/>
    <w:rsid w:val="005D0771"/>
    <w:rsid w:val="005D07F9"/>
    <w:rsid w:val="005D0AB6"/>
    <w:rsid w:val="005D0B27"/>
    <w:rsid w:val="005D0B36"/>
    <w:rsid w:val="005D0B73"/>
    <w:rsid w:val="005D0CA0"/>
    <w:rsid w:val="005D0E69"/>
    <w:rsid w:val="005D0E92"/>
    <w:rsid w:val="005D11F4"/>
    <w:rsid w:val="005D1228"/>
    <w:rsid w:val="005D14AC"/>
    <w:rsid w:val="005D14B4"/>
    <w:rsid w:val="005D155F"/>
    <w:rsid w:val="005D15B0"/>
    <w:rsid w:val="005D1903"/>
    <w:rsid w:val="005D1A61"/>
    <w:rsid w:val="005D1AC8"/>
    <w:rsid w:val="005D1C0E"/>
    <w:rsid w:val="005D1D34"/>
    <w:rsid w:val="005D1DC6"/>
    <w:rsid w:val="005D1F59"/>
    <w:rsid w:val="005D1FEB"/>
    <w:rsid w:val="005D2014"/>
    <w:rsid w:val="005D207B"/>
    <w:rsid w:val="005D2087"/>
    <w:rsid w:val="005D20A4"/>
    <w:rsid w:val="005D214D"/>
    <w:rsid w:val="005D221E"/>
    <w:rsid w:val="005D234B"/>
    <w:rsid w:val="005D2383"/>
    <w:rsid w:val="005D268D"/>
    <w:rsid w:val="005D271B"/>
    <w:rsid w:val="005D27F5"/>
    <w:rsid w:val="005D2836"/>
    <w:rsid w:val="005D29F6"/>
    <w:rsid w:val="005D2A95"/>
    <w:rsid w:val="005D2AE5"/>
    <w:rsid w:val="005D2B96"/>
    <w:rsid w:val="005D2D6C"/>
    <w:rsid w:val="005D2F71"/>
    <w:rsid w:val="005D31ED"/>
    <w:rsid w:val="005D32DD"/>
    <w:rsid w:val="005D3377"/>
    <w:rsid w:val="005D3419"/>
    <w:rsid w:val="005D3686"/>
    <w:rsid w:val="005D3714"/>
    <w:rsid w:val="005D3791"/>
    <w:rsid w:val="005D3819"/>
    <w:rsid w:val="005D39A5"/>
    <w:rsid w:val="005D39F7"/>
    <w:rsid w:val="005D3A62"/>
    <w:rsid w:val="005D3A80"/>
    <w:rsid w:val="005D3AA2"/>
    <w:rsid w:val="005D3E15"/>
    <w:rsid w:val="005D3FF3"/>
    <w:rsid w:val="005D3FF9"/>
    <w:rsid w:val="005D4204"/>
    <w:rsid w:val="005D4562"/>
    <w:rsid w:val="005D47DB"/>
    <w:rsid w:val="005D4877"/>
    <w:rsid w:val="005D4912"/>
    <w:rsid w:val="005D4A5B"/>
    <w:rsid w:val="005D4A8C"/>
    <w:rsid w:val="005D4CFE"/>
    <w:rsid w:val="005D4D49"/>
    <w:rsid w:val="005D4F66"/>
    <w:rsid w:val="005D51E1"/>
    <w:rsid w:val="005D53B5"/>
    <w:rsid w:val="005D53FA"/>
    <w:rsid w:val="005D55CD"/>
    <w:rsid w:val="005D55F7"/>
    <w:rsid w:val="005D5756"/>
    <w:rsid w:val="005D5AEC"/>
    <w:rsid w:val="005D5B04"/>
    <w:rsid w:val="005D5B18"/>
    <w:rsid w:val="005D5C40"/>
    <w:rsid w:val="005D5CC3"/>
    <w:rsid w:val="005D5D23"/>
    <w:rsid w:val="005D5E3C"/>
    <w:rsid w:val="005D5F40"/>
    <w:rsid w:val="005D5FC4"/>
    <w:rsid w:val="005D60FA"/>
    <w:rsid w:val="005D61C3"/>
    <w:rsid w:val="005D62B8"/>
    <w:rsid w:val="005D6427"/>
    <w:rsid w:val="005D6452"/>
    <w:rsid w:val="005D6465"/>
    <w:rsid w:val="005D66F6"/>
    <w:rsid w:val="005D6770"/>
    <w:rsid w:val="005D698F"/>
    <w:rsid w:val="005D6A2E"/>
    <w:rsid w:val="005D6CD7"/>
    <w:rsid w:val="005D6D21"/>
    <w:rsid w:val="005D6E63"/>
    <w:rsid w:val="005D7050"/>
    <w:rsid w:val="005D70F1"/>
    <w:rsid w:val="005D71E5"/>
    <w:rsid w:val="005D732A"/>
    <w:rsid w:val="005D7461"/>
    <w:rsid w:val="005D76EC"/>
    <w:rsid w:val="005D7740"/>
    <w:rsid w:val="005D7872"/>
    <w:rsid w:val="005D796C"/>
    <w:rsid w:val="005D7970"/>
    <w:rsid w:val="005D7B9F"/>
    <w:rsid w:val="005D7D39"/>
    <w:rsid w:val="005D7D83"/>
    <w:rsid w:val="005D7D84"/>
    <w:rsid w:val="005D7F8D"/>
    <w:rsid w:val="005E0038"/>
    <w:rsid w:val="005E0076"/>
    <w:rsid w:val="005E023F"/>
    <w:rsid w:val="005E029F"/>
    <w:rsid w:val="005E02FF"/>
    <w:rsid w:val="005E0306"/>
    <w:rsid w:val="005E0521"/>
    <w:rsid w:val="005E07A0"/>
    <w:rsid w:val="005E084C"/>
    <w:rsid w:val="005E0A79"/>
    <w:rsid w:val="005E0B0E"/>
    <w:rsid w:val="005E0BD6"/>
    <w:rsid w:val="005E0E78"/>
    <w:rsid w:val="005E0EC8"/>
    <w:rsid w:val="005E105C"/>
    <w:rsid w:val="005E10BA"/>
    <w:rsid w:val="005E13EE"/>
    <w:rsid w:val="005E141C"/>
    <w:rsid w:val="005E14B8"/>
    <w:rsid w:val="005E14FC"/>
    <w:rsid w:val="005E1804"/>
    <w:rsid w:val="005E196B"/>
    <w:rsid w:val="005E19A0"/>
    <w:rsid w:val="005E1A23"/>
    <w:rsid w:val="005E1BC2"/>
    <w:rsid w:val="005E1F6C"/>
    <w:rsid w:val="005E220F"/>
    <w:rsid w:val="005E2232"/>
    <w:rsid w:val="005E2360"/>
    <w:rsid w:val="005E27B2"/>
    <w:rsid w:val="005E27DD"/>
    <w:rsid w:val="005E27F7"/>
    <w:rsid w:val="005E2AB6"/>
    <w:rsid w:val="005E2ACE"/>
    <w:rsid w:val="005E2E82"/>
    <w:rsid w:val="005E30B3"/>
    <w:rsid w:val="005E3232"/>
    <w:rsid w:val="005E3335"/>
    <w:rsid w:val="005E334C"/>
    <w:rsid w:val="005E33AD"/>
    <w:rsid w:val="005E34B1"/>
    <w:rsid w:val="005E34C3"/>
    <w:rsid w:val="005E3594"/>
    <w:rsid w:val="005E3719"/>
    <w:rsid w:val="005E373B"/>
    <w:rsid w:val="005E37DC"/>
    <w:rsid w:val="005E37F6"/>
    <w:rsid w:val="005E389A"/>
    <w:rsid w:val="005E39F3"/>
    <w:rsid w:val="005E3C6F"/>
    <w:rsid w:val="005E3CB8"/>
    <w:rsid w:val="005E3F1F"/>
    <w:rsid w:val="005E3F2E"/>
    <w:rsid w:val="005E3F5F"/>
    <w:rsid w:val="005E4380"/>
    <w:rsid w:val="005E471B"/>
    <w:rsid w:val="005E490B"/>
    <w:rsid w:val="005E4962"/>
    <w:rsid w:val="005E4970"/>
    <w:rsid w:val="005E4A9C"/>
    <w:rsid w:val="005E4CDB"/>
    <w:rsid w:val="005E4D6B"/>
    <w:rsid w:val="005E4EA2"/>
    <w:rsid w:val="005E50A6"/>
    <w:rsid w:val="005E51D1"/>
    <w:rsid w:val="005E5230"/>
    <w:rsid w:val="005E53AB"/>
    <w:rsid w:val="005E557D"/>
    <w:rsid w:val="005E5639"/>
    <w:rsid w:val="005E566F"/>
    <w:rsid w:val="005E5746"/>
    <w:rsid w:val="005E58FD"/>
    <w:rsid w:val="005E6253"/>
    <w:rsid w:val="005E62B7"/>
    <w:rsid w:val="005E62BE"/>
    <w:rsid w:val="005E6486"/>
    <w:rsid w:val="005E654C"/>
    <w:rsid w:val="005E655D"/>
    <w:rsid w:val="005E66DC"/>
    <w:rsid w:val="005E699F"/>
    <w:rsid w:val="005E6A05"/>
    <w:rsid w:val="005E6AA2"/>
    <w:rsid w:val="005E6E2C"/>
    <w:rsid w:val="005E6F2A"/>
    <w:rsid w:val="005E7627"/>
    <w:rsid w:val="005E7722"/>
    <w:rsid w:val="005E7840"/>
    <w:rsid w:val="005E78FA"/>
    <w:rsid w:val="005E7A2F"/>
    <w:rsid w:val="005E7AEC"/>
    <w:rsid w:val="005E7B52"/>
    <w:rsid w:val="005E7BB0"/>
    <w:rsid w:val="005E7C51"/>
    <w:rsid w:val="005E7E15"/>
    <w:rsid w:val="005E7EF1"/>
    <w:rsid w:val="005E7F7F"/>
    <w:rsid w:val="005E7FBC"/>
    <w:rsid w:val="005F0048"/>
    <w:rsid w:val="005F0063"/>
    <w:rsid w:val="005F0188"/>
    <w:rsid w:val="005F01CF"/>
    <w:rsid w:val="005F0225"/>
    <w:rsid w:val="005F0293"/>
    <w:rsid w:val="005F02D6"/>
    <w:rsid w:val="005F02EB"/>
    <w:rsid w:val="005F0376"/>
    <w:rsid w:val="005F04BA"/>
    <w:rsid w:val="005F04E9"/>
    <w:rsid w:val="005F05FB"/>
    <w:rsid w:val="005F07E1"/>
    <w:rsid w:val="005F0C6E"/>
    <w:rsid w:val="005F0D5A"/>
    <w:rsid w:val="005F0F4C"/>
    <w:rsid w:val="005F12A7"/>
    <w:rsid w:val="005F1304"/>
    <w:rsid w:val="005F1605"/>
    <w:rsid w:val="005F16BD"/>
    <w:rsid w:val="005F1826"/>
    <w:rsid w:val="005F19D1"/>
    <w:rsid w:val="005F1A49"/>
    <w:rsid w:val="005F1B21"/>
    <w:rsid w:val="005F1B4D"/>
    <w:rsid w:val="005F1BEE"/>
    <w:rsid w:val="005F1C3B"/>
    <w:rsid w:val="005F1C5D"/>
    <w:rsid w:val="005F1CA2"/>
    <w:rsid w:val="005F2417"/>
    <w:rsid w:val="005F27B2"/>
    <w:rsid w:val="005F28D7"/>
    <w:rsid w:val="005F2903"/>
    <w:rsid w:val="005F2919"/>
    <w:rsid w:val="005F2A7E"/>
    <w:rsid w:val="005F2AFF"/>
    <w:rsid w:val="005F2B7D"/>
    <w:rsid w:val="005F2BE0"/>
    <w:rsid w:val="005F2CDA"/>
    <w:rsid w:val="005F2D8B"/>
    <w:rsid w:val="005F2D98"/>
    <w:rsid w:val="005F30E3"/>
    <w:rsid w:val="005F3113"/>
    <w:rsid w:val="005F31B7"/>
    <w:rsid w:val="005F31FB"/>
    <w:rsid w:val="005F38C7"/>
    <w:rsid w:val="005F3B36"/>
    <w:rsid w:val="005F3BED"/>
    <w:rsid w:val="005F3E2A"/>
    <w:rsid w:val="005F3F95"/>
    <w:rsid w:val="005F4088"/>
    <w:rsid w:val="005F412E"/>
    <w:rsid w:val="005F4430"/>
    <w:rsid w:val="005F495F"/>
    <w:rsid w:val="005F499E"/>
    <w:rsid w:val="005F4C43"/>
    <w:rsid w:val="005F4CEA"/>
    <w:rsid w:val="005F4E3B"/>
    <w:rsid w:val="005F4E4C"/>
    <w:rsid w:val="005F4EDB"/>
    <w:rsid w:val="005F4EE5"/>
    <w:rsid w:val="005F500E"/>
    <w:rsid w:val="005F505D"/>
    <w:rsid w:val="005F5075"/>
    <w:rsid w:val="005F51A9"/>
    <w:rsid w:val="005F534C"/>
    <w:rsid w:val="005F54BD"/>
    <w:rsid w:val="005F580A"/>
    <w:rsid w:val="005F589A"/>
    <w:rsid w:val="005F5933"/>
    <w:rsid w:val="005F597E"/>
    <w:rsid w:val="005F5993"/>
    <w:rsid w:val="005F59BE"/>
    <w:rsid w:val="005F5A1F"/>
    <w:rsid w:val="005F5B22"/>
    <w:rsid w:val="005F5CEF"/>
    <w:rsid w:val="005F5E74"/>
    <w:rsid w:val="005F5F58"/>
    <w:rsid w:val="005F6075"/>
    <w:rsid w:val="005F6177"/>
    <w:rsid w:val="005F62FE"/>
    <w:rsid w:val="005F630B"/>
    <w:rsid w:val="005F63BF"/>
    <w:rsid w:val="005F649F"/>
    <w:rsid w:val="005F64B5"/>
    <w:rsid w:val="005F6651"/>
    <w:rsid w:val="005F667D"/>
    <w:rsid w:val="005F67AC"/>
    <w:rsid w:val="005F6863"/>
    <w:rsid w:val="005F6997"/>
    <w:rsid w:val="005F6A75"/>
    <w:rsid w:val="005F6C79"/>
    <w:rsid w:val="005F6CF5"/>
    <w:rsid w:val="005F6D69"/>
    <w:rsid w:val="005F6E27"/>
    <w:rsid w:val="005F6E62"/>
    <w:rsid w:val="005F6E99"/>
    <w:rsid w:val="005F6EC8"/>
    <w:rsid w:val="005F6F7A"/>
    <w:rsid w:val="005F726C"/>
    <w:rsid w:val="005F7305"/>
    <w:rsid w:val="005F74F2"/>
    <w:rsid w:val="005F7652"/>
    <w:rsid w:val="005F7848"/>
    <w:rsid w:val="005F7908"/>
    <w:rsid w:val="005F7A1A"/>
    <w:rsid w:val="005F7B4B"/>
    <w:rsid w:val="005F7BA7"/>
    <w:rsid w:val="005F7C1A"/>
    <w:rsid w:val="005F7C77"/>
    <w:rsid w:val="005F7E04"/>
    <w:rsid w:val="00600072"/>
    <w:rsid w:val="0060047D"/>
    <w:rsid w:val="00600592"/>
    <w:rsid w:val="006007A3"/>
    <w:rsid w:val="006007D5"/>
    <w:rsid w:val="006008E7"/>
    <w:rsid w:val="00600919"/>
    <w:rsid w:val="00600A74"/>
    <w:rsid w:val="00600CFD"/>
    <w:rsid w:val="00600D0D"/>
    <w:rsid w:val="00600D5B"/>
    <w:rsid w:val="0060116B"/>
    <w:rsid w:val="00601330"/>
    <w:rsid w:val="00601715"/>
    <w:rsid w:val="00601719"/>
    <w:rsid w:val="00601834"/>
    <w:rsid w:val="00601855"/>
    <w:rsid w:val="00601893"/>
    <w:rsid w:val="006018B4"/>
    <w:rsid w:val="00601B1D"/>
    <w:rsid w:val="00601C38"/>
    <w:rsid w:val="00601D26"/>
    <w:rsid w:val="00601E93"/>
    <w:rsid w:val="006021CC"/>
    <w:rsid w:val="00602291"/>
    <w:rsid w:val="0060241C"/>
    <w:rsid w:val="006025D1"/>
    <w:rsid w:val="00602703"/>
    <w:rsid w:val="00602808"/>
    <w:rsid w:val="00602CDA"/>
    <w:rsid w:val="006030C4"/>
    <w:rsid w:val="006030D9"/>
    <w:rsid w:val="006033D5"/>
    <w:rsid w:val="00603749"/>
    <w:rsid w:val="00603893"/>
    <w:rsid w:val="00604173"/>
    <w:rsid w:val="006044FF"/>
    <w:rsid w:val="006045F0"/>
    <w:rsid w:val="00604AFF"/>
    <w:rsid w:val="00604B28"/>
    <w:rsid w:val="00604CE0"/>
    <w:rsid w:val="00604F0C"/>
    <w:rsid w:val="00604F6B"/>
    <w:rsid w:val="00604FB1"/>
    <w:rsid w:val="00604FB4"/>
    <w:rsid w:val="00605043"/>
    <w:rsid w:val="00605083"/>
    <w:rsid w:val="006053D4"/>
    <w:rsid w:val="00605561"/>
    <w:rsid w:val="006056B2"/>
    <w:rsid w:val="006058F5"/>
    <w:rsid w:val="00605A09"/>
    <w:rsid w:val="00605A5D"/>
    <w:rsid w:val="00605AD6"/>
    <w:rsid w:val="00605B6D"/>
    <w:rsid w:val="00605EC6"/>
    <w:rsid w:val="00605EE4"/>
    <w:rsid w:val="006061DD"/>
    <w:rsid w:val="006062BA"/>
    <w:rsid w:val="00606495"/>
    <w:rsid w:val="00606599"/>
    <w:rsid w:val="00606643"/>
    <w:rsid w:val="0060666D"/>
    <w:rsid w:val="0060686C"/>
    <w:rsid w:val="00606BB0"/>
    <w:rsid w:val="00606BB6"/>
    <w:rsid w:val="00606BC4"/>
    <w:rsid w:val="00606D3E"/>
    <w:rsid w:val="00606D93"/>
    <w:rsid w:val="00606E01"/>
    <w:rsid w:val="00606E8B"/>
    <w:rsid w:val="00606EF2"/>
    <w:rsid w:val="00606FA3"/>
    <w:rsid w:val="0060701F"/>
    <w:rsid w:val="00607192"/>
    <w:rsid w:val="00607553"/>
    <w:rsid w:val="00607632"/>
    <w:rsid w:val="006077DE"/>
    <w:rsid w:val="0060787C"/>
    <w:rsid w:val="00607A89"/>
    <w:rsid w:val="00607ABD"/>
    <w:rsid w:val="00607ABE"/>
    <w:rsid w:val="00607BC0"/>
    <w:rsid w:val="00607F24"/>
    <w:rsid w:val="00607FB1"/>
    <w:rsid w:val="00607FBD"/>
    <w:rsid w:val="0061023D"/>
    <w:rsid w:val="00610432"/>
    <w:rsid w:val="0061050E"/>
    <w:rsid w:val="006105C9"/>
    <w:rsid w:val="006105D7"/>
    <w:rsid w:val="0061098B"/>
    <w:rsid w:val="0061098E"/>
    <w:rsid w:val="00610A9F"/>
    <w:rsid w:val="00610B92"/>
    <w:rsid w:val="00610C65"/>
    <w:rsid w:val="00610CCC"/>
    <w:rsid w:val="006111B4"/>
    <w:rsid w:val="00611283"/>
    <w:rsid w:val="006113A1"/>
    <w:rsid w:val="0061153E"/>
    <w:rsid w:val="006115BF"/>
    <w:rsid w:val="0061185C"/>
    <w:rsid w:val="00611B78"/>
    <w:rsid w:val="00611C6C"/>
    <w:rsid w:val="00611E88"/>
    <w:rsid w:val="00611EB9"/>
    <w:rsid w:val="0061239F"/>
    <w:rsid w:val="006123AC"/>
    <w:rsid w:val="006126C7"/>
    <w:rsid w:val="00612741"/>
    <w:rsid w:val="00612989"/>
    <w:rsid w:val="006129BA"/>
    <w:rsid w:val="00612AA5"/>
    <w:rsid w:val="00612C32"/>
    <w:rsid w:val="006130B7"/>
    <w:rsid w:val="00613295"/>
    <w:rsid w:val="006133CC"/>
    <w:rsid w:val="00613471"/>
    <w:rsid w:val="0061361E"/>
    <w:rsid w:val="0061364B"/>
    <w:rsid w:val="00613888"/>
    <w:rsid w:val="00613A26"/>
    <w:rsid w:val="00613A8E"/>
    <w:rsid w:val="00613B25"/>
    <w:rsid w:val="00613BE9"/>
    <w:rsid w:val="00613DA5"/>
    <w:rsid w:val="00613E10"/>
    <w:rsid w:val="00613E42"/>
    <w:rsid w:val="00613EC4"/>
    <w:rsid w:val="00613EFE"/>
    <w:rsid w:val="00613F4A"/>
    <w:rsid w:val="00613FB7"/>
    <w:rsid w:val="00613FCA"/>
    <w:rsid w:val="00614266"/>
    <w:rsid w:val="006142F0"/>
    <w:rsid w:val="0061437E"/>
    <w:rsid w:val="00614677"/>
    <w:rsid w:val="00614760"/>
    <w:rsid w:val="00614844"/>
    <w:rsid w:val="00614962"/>
    <w:rsid w:val="00614A58"/>
    <w:rsid w:val="00614A5A"/>
    <w:rsid w:val="00614B9B"/>
    <w:rsid w:val="00614BCA"/>
    <w:rsid w:val="00614D3F"/>
    <w:rsid w:val="00614D59"/>
    <w:rsid w:val="00614D6E"/>
    <w:rsid w:val="00614F64"/>
    <w:rsid w:val="00615094"/>
    <w:rsid w:val="006150E3"/>
    <w:rsid w:val="006152C6"/>
    <w:rsid w:val="0061535F"/>
    <w:rsid w:val="006153C8"/>
    <w:rsid w:val="0061572D"/>
    <w:rsid w:val="00615865"/>
    <w:rsid w:val="00615B46"/>
    <w:rsid w:val="00615BB8"/>
    <w:rsid w:val="00615D2B"/>
    <w:rsid w:val="00616160"/>
    <w:rsid w:val="0061620A"/>
    <w:rsid w:val="00616529"/>
    <w:rsid w:val="006165B6"/>
    <w:rsid w:val="006165F3"/>
    <w:rsid w:val="00616783"/>
    <w:rsid w:val="006168FC"/>
    <w:rsid w:val="0061699A"/>
    <w:rsid w:val="00616C09"/>
    <w:rsid w:val="00616FBE"/>
    <w:rsid w:val="0061702D"/>
    <w:rsid w:val="0061768A"/>
    <w:rsid w:val="00617A8E"/>
    <w:rsid w:val="00617AFA"/>
    <w:rsid w:val="00617D90"/>
    <w:rsid w:val="00617E8B"/>
    <w:rsid w:val="00620320"/>
    <w:rsid w:val="00620518"/>
    <w:rsid w:val="006205F4"/>
    <w:rsid w:val="0062067E"/>
    <w:rsid w:val="00620AA5"/>
    <w:rsid w:val="00620B11"/>
    <w:rsid w:val="00620B3E"/>
    <w:rsid w:val="00620B66"/>
    <w:rsid w:val="00620D41"/>
    <w:rsid w:val="00620D78"/>
    <w:rsid w:val="006210B2"/>
    <w:rsid w:val="00621408"/>
    <w:rsid w:val="00621460"/>
    <w:rsid w:val="006215A1"/>
    <w:rsid w:val="00621A80"/>
    <w:rsid w:val="00621AC8"/>
    <w:rsid w:val="00621B0A"/>
    <w:rsid w:val="00621CE3"/>
    <w:rsid w:val="00621D29"/>
    <w:rsid w:val="00621E5D"/>
    <w:rsid w:val="00621E85"/>
    <w:rsid w:val="00621F67"/>
    <w:rsid w:val="00621FA3"/>
    <w:rsid w:val="006224EE"/>
    <w:rsid w:val="006226C5"/>
    <w:rsid w:val="00622749"/>
    <w:rsid w:val="006227CB"/>
    <w:rsid w:val="00622810"/>
    <w:rsid w:val="0062285C"/>
    <w:rsid w:val="006228B3"/>
    <w:rsid w:val="00622A00"/>
    <w:rsid w:val="00622AE3"/>
    <w:rsid w:val="00622BFD"/>
    <w:rsid w:val="00622DDE"/>
    <w:rsid w:val="00622F8D"/>
    <w:rsid w:val="006230C5"/>
    <w:rsid w:val="006231FB"/>
    <w:rsid w:val="0062320C"/>
    <w:rsid w:val="00623363"/>
    <w:rsid w:val="0062363C"/>
    <w:rsid w:val="006236D8"/>
    <w:rsid w:val="006236EB"/>
    <w:rsid w:val="00623730"/>
    <w:rsid w:val="006237B9"/>
    <w:rsid w:val="00623800"/>
    <w:rsid w:val="00623868"/>
    <w:rsid w:val="00623B28"/>
    <w:rsid w:val="00623BDF"/>
    <w:rsid w:val="00623CFF"/>
    <w:rsid w:val="00623E48"/>
    <w:rsid w:val="0062401D"/>
    <w:rsid w:val="006240B9"/>
    <w:rsid w:val="006241B5"/>
    <w:rsid w:val="006242A5"/>
    <w:rsid w:val="006242D2"/>
    <w:rsid w:val="00624322"/>
    <w:rsid w:val="00624449"/>
    <w:rsid w:val="00624481"/>
    <w:rsid w:val="00624687"/>
    <w:rsid w:val="00624718"/>
    <w:rsid w:val="006248D3"/>
    <w:rsid w:val="00624BF1"/>
    <w:rsid w:val="00624CFC"/>
    <w:rsid w:val="00624D03"/>
    <w:rsid w:val="00624F7C"/>
    <w:rsid w:val="006250FD"/>
    <w:rsid w:val="0062510A"/>
    <w:rsid w:val="006252F8"/>
    <w:rsid w:val="0062541B"/>
    <w:rsid w:val="0062545F"/>
    <w:rsid w:val="00625640"/>
    <w:rsid w:val="00625ACA"/>
    <w:rsid w:val="00625B09"/>
    <w:rsid w:val="00625B5C"/>
    <w:rsid w:val="00625B71"/>
    <w:rsid w:val="00625B8C"/>
    <w:rsid w:val="00625BC7"/>
    <w:rsid w:val="00625BD4"/>
    <w:rsid w:val="00625D32"/>
    <w:rsid w:val="00626086"/>
    <w:rsid w:val="006260CA"/>
    <w:rsid w:val="00626119"/>
    <w:rsid w:val="006261D1"/>
    <w:rsid w:val="006262A2"/>
    <w:rsid w:val="006262E9"/>
    <w:rsid w:val="00626327"/>
    <w:rsid w:val="006263FA"/>
    <w:rsid w:val="00626512"/>
    <w:rsid w:val="0062652B"/>
    <w:rsid w:val="00626599"/>
    <w:rsid w:val="006265B3"/>
    <w:rsid w:val="00626676"/>
    <w:rsid w:val="00626A1C"/>
    <w:rsid w:val="00626AB5"/>
    <w:rsid w:val="00626B09"/>
    <w:rsid w:val="00626D04"/>
    <w:rsid w:val="00626DB1"/>
    <w:rsid w:val="00626E55"/>
    <w:rsid w:val="00626EAB"/>
    <w:rsid w:val="00626F6A"/>
    <w:rsid w:val="0062713A"/>
    <w:rsid w:val="00627409"/>
    <w:rsid w:val="006274B9"/>
    <w:rsid w:val="006275FA"/>
    <w:rsid w:val="0062764E"/>
    <w:rsid w:val="006276E5"/>
    <w:rsid w:val="00627793"/>
    <w:rsid w:val="0062790D"/>
    <w:rsid w:val="00627962"/>
    <w:rsid w:val="00627A8F"/>
    <w:rsid w:val="00627C14"/>
    <w:rsid w:val="00627C43"/>
    <w:rsid w:val="00627F2C"/>
    <w:rsid w:val="00627F55"/>
    <w:rsid w:val="006304FF"/>
    <w:rsid w:val="006305BF"/>
    <w:rsid w:val="006307BF"/>
    <w:rsid w:val="0063098B"/>
    <w:rsid w:val="006309DF"/>
    <w:rsid w:val="00630AF9"/>
    <w:rsid w:val="00630B6C"/>
    <w:rsid w:val="00630C69"/>
    <w:rsid w:val="00630EEB"/>
    <w:rsid w:val="00630FE5"/>
    <w:rsid w:val="00631081"/>
    <w:rsid w:val="006311FE"/>
    <w:rsid w:val="006313F2"/>
    <w:rsid w:val="00631471"/>
    <w:rsid w:val="00631612"/>
    <w:rsid w:val="006316D2"/>
    <w:rsid w:val="00631761"/>
    <w:rsid w:val="00631C04"/>
    <w:rsid w:val="00631C18"/>
    <w:rsid w:val="00631C9B"/>
    <w:rsid w:val="00631DCF"/>
    <w:rsid w:val="00631F65"/>
    <w:rsid w:val="00631FDA"/>
    <w:rsid w:val="006323FE"/>
    <w:rsid w:val="0063262C"/>
    <w:rsid w:val="00632B64"/>
    <w:rsid w:val="00632BE1"/>
    <w:rsid w:val="00632E93"/>
    <w:rsid w:val="00632EBA"/>
    <w:rsid w:val="00632FE7"/>
    <w:rsid w:val="006332B8"/>
    <w:rsid w:val="006332BE"/>
    <w:rsid w:val="00633342"/>
    <w:rsid w:val="00633606"/>
    <w:rsid w:val="00633670"/>
    <w:rsid w:val="00633799"/>
    <w:rsid w:val="00633849"/>
    <w:rsid w:val="00633936"/>
    <w:rsid w:val="00633A03"/>
    <w:rsid w:val="00633C4D"/>
    <w:rsid w:val="00633CC2"/>
    <w:rsid w:val="00633D43"/>
    <w:rsid w:val="00633E5C"/>
    <w:rsid w:val="00633E7C"/>
    <w:rsid w:val="006340CA"/>
    <w:rsid w:val="006340DD"/>
    <w:rsid w:val="006340FE"/>
    <w:rsid w:val="0063418B"/>
    <w:rsid w:val="006341DC"/>
    <w:rsid w:val="0063424B"/>
    <w:rsid w:val="00634416"/>
    <w:rsid w:val="006344E5"/>
    <w:rsid w:val="006344EE"/>
    <w:rsid w:val="006346C8"/>
    <w:rsid w:val="006346CF"/>
    <w:rsid w:val="006346EE"/>
    <w:rsid w:val="006346FC"/>
    <w:rsid w:val="00634746"/>
    <w:rsid w:val="006349E1"/>
    <w:rsid w:val="00634BDC"/>
    <w:rsid w:val="00634CEA"/>
    <w:rsid w:val="00634FDE"/>
    <w:rsid w:val="006350CC"/>
    <w:rsid w:val="006353CA"/>
    <w:rsid w:val="006355C5"/>
    <w:rsid w:val="0063574A"/>
    <w:rsid w:val="00635C25"/>
    <w:rsid w:val="00635CE8"/>
    <w:rsid w:val="0063612E"/>
    <w:rsid w:val="00636657"/>
    <w:rsid w:val="00636739"/>
    <w:rsid w:val="0063684C"/>
    <w:rsid w:val="006368F5"/>
    <w:rsid w:val="00636958"/>
    <w:rsid w:val="00636968"/>
    <w:rsid w:val="00636C64"/>
    <w:rsid w:val="00636EFC"/>
    <w:rsid w:val="006373D5"/>
    <w:rsid w:val="0063747A"/>
    <w:rsid w:val="006374A3"/>
    <w:rsid w:val="00637508"/>
    <w:rsid w:val="006377C6"/>
    <w:rsid w:val="00637883"/>
    <w:rsid w:val="00637A13"/>
    <w:rsid w:val="00637A4D"/>
    <w:rsid w:val="00637B2A"/>
    <w:rsid w:val="00640011"/>
    <w:rsid w:val="0064002D"/>
    <w:rsid w:val="00640241"/>
    <w:rsid w:val="00640269"/>
    <w:rsid w:val="0064029B"/>
    <w:rsid w:val="006403DF"/>
    <w:rsid w:val="00640492"/>
    <w:rsid w:val="006404D9"/>
    <w:rsid w:val="00640668"/>
    <w:rsid w:val="00640B0C"/>
    <w:rsid w:val="00640B6B"/>
    <w:rsid w:val="00640DB3"/>
    <w:rsid w:val="00640FDC"/>
    <w:rsid w:val="00641003"/>
    <w:rsid w:val="00641039"/>
    <w:rsid w:val="006410B1"/>
    <w:rsid w:val="0064119F"/>
    <w:rsid w:val="006411FB"/>
    <w:rsid w:val="006412D3"/>
    <w:rsid w:val="006413A5"/>
    <w:rsid w:val="0064156C"/>
    <w:rsid w:val="006416AA"/>
    <w:rsid w:val="006417C0"/>
    <w:rsid w:val="00641C13"/>
    <w:rsid w:val="00641CFD"/>
    <w:rsid w:val="00642521"/>
    <w:rsid w:val="006425CE"/>
    <w:rsid w:val="006426E0"/>
    <w:rsid w:val="00642748"/>
    <w:rsid w:val="0064295F"/>
    <w:rsid w:val="00642ADB"/>
    <w:rsid w:val="00642B18"/>
    <w:rsid w:val="00642B50"/>
    <w:rsid w:val="00642BE4"/>
    <w:rsid w:val="00642CAC"/>
    <w:rsid w:val="00642FFA"/>
    <w:rsid w:val="00643016"/>
    <w:rsid w:val="006430AB"/>
    <w:rsid w:val="0064318A"/>
    <w:rsid w:val="00643519"/>
    <w:rsid w:val="006435AE"/>
    <w:rsid w:val="00643758"/>
    <w:rsid w:val="00643899"/>
    <w:rsid w:val="006439B8"/>
    <w:rsid w:val="00643B76"/>
    <w:rsid w:val="00643BFB"/>
    <w:rsid w:val="00643C0F"/>
    <w:rsid w:val="00643C5B"/>
    <w:rsid w:val="00643CC0"/>
    <w:rsid w:val="00643F94"/>
    <w:rsid w:val="00644069"/>
    <w:rsid w:val="006441DF"/>
    <w:rsid w:val="0064433C"/>
    <w:rsid w:val="00644476"/>
    <w:rsid w:val="00644AD8"/>
    <w:rsid w:val="00644FC1"/>
    <w:rsid w:val="00645009"/>
    <w:rsid w:val="00645038"/>
    <w:rsid w:val="00645065"/>
    <w:rsid w:val="006450F6"/>
    <w:rsid w:val="00645183"/>
    <w:rsid w:val="006453CC"/>
    <w:rsid w:val="006454D6"/>
    <w:rsid w:val="00645A0D"/>
    <w:rsid w:val="00645B9C"/>
    <w:rsid w:val="00645C1E"/>
    <w:rsid w:val="00645C64"/>
    <w:rsid w:val="00645CD2"/>
    <w:rsid w:val="00645D0F"/>
    <w:rsid w:val="00645D39"/>
    <w:rsid w:val="00645F41"/>
    <w:rsid w:val="0064610D"/>
    <w:rsid w:val="00646116"/>
    <w:rsid w:val="006461AC"/>
    <w:rsid w:val="00646281"/>
    <w:rsid w:val="006462C1"/>
    <w:rsid w:val="006464D4"/>
    <w:rsid w:val="006465F6"/>
    <w:rsid w:val="00646668"/>
    <w:rsid w:val="006469F1"/>
    <w:rsid w:val="00646C36"/>
    <w:rsid w:val="00646C97"/>
    <w:rsid w:val="00646E48"/>
    <w:rsid w:val="00646EEE"/>
    <w:rsid w:val="0064700F"/>
    <w:rsid w:val="0064738F"/>
    <w:rsid w:val="006473DF"/>
    <w:rsid w:val="006473EE"/>
    <w:rsid w:val="006473FD"/>
    <w:rsid w:val="00647624"/>
    <w:rsid w:val="00647871"/>
    <w:rsid w:val="006479E3"/>
    <w:rsid w:val="00647A50"/>
    <w:rsid w:val="00647B0E"/>
    <w:rsid w:val="00647B31"/>
    <w:rsid w:val="00647DC8"/>
    <w:rsid w:val="00647DCB"/>
    <w:rsid w:val="00647E5B"/>
    <w:rsid w:val="00650048"/>
    <w:rsid w:val="006502F6"/>
    <w:rsid w:val="0065050B"/>
    <w:rsid w:val="00650550"/>
    <w:rsid w:val="0065069A"/>
    <w:rsid w:val="00650946"/>
    <w:rsid w:val="00650959"/>
    <w:rsid w:val="00650DBC"/>
    <w:rsid w:val="00650EF7"/>
    <w:rsid w:val="00651133"/>
    <w:rsid w:val="00651149"/>
    <w:rsid w:val="006512C7"/>
    <w:rsid w:val="006513C0"/>
    <w:rsid w:val="00651427"/>
    <w:rsid w:val="00651637"/>
    <w:rsid w:val="00651AAF"/>
    <w:rsid w:val="00651C18"/>
    <w:rsid w:val="00651C5C"/>
    <w:rsid w:val="00651C9F"/>
    <w:rsid w:val="00651DFC"/>
    <w:rsid w:val="00651E7D"/>
    <w:rsid w:val="006520C3"/>
    <w:rsid w:val="00652335"/>
    <w:rsid w:val="00652381"/>
    <w:rsid w:val="006526C9"/>
    <w:rsid w:val="00652A10"/>
    <w:rsid w:val="00652B3E"/>
    <w:rsid w:val="00652BFB"/>
    <w:rsid w:val="00652F58"/>
    <w:rsid w:val="00653090"/>
    <w:rsid w:val="006530AD"/>
    <w:rsid w:val="00653102"/>
    <w:rsid w:val="00653110"/>
    <w:rsid w:val="00653173"/>
    <w:rsid w:val="00653292"/>
    <w:rsid w:val="006532E6"/>
    <w:rsid w:val="0065341A"/>
    <w:rsid w:val="00653431"/>
    <w:rsid w:val="006535C4"/>
    <w:rsid w:val="0065384E"/>
    <w:rsid w:val="0065398A"/>
    <w:rsid w:val="00653B35"/>
    <w:rsid w:val="00653D62"/>
    <w:rsid w:val="00653DDE"/>
    <w:rsid w:val="00653EE2"/>
    <w:rsid w:val="00654002"/>
    <w:rsid w:val="00654038"/>
    <w:rsid w:val="006540BF"/>
    <w:rsid w:val="006540C0"/>
    <w:rsid w:val="006540E4"/>
    <w:rsid w:val="00654298"/>
    <w:rsid w:val="006542E6"/>
    <w:rsid w:val="00654381"/>
    <w:rsid w:val="00654421"/>
    <w:rsid w:val="006544C0"/>
    <w:rsid w:val="00654621"/>
    <w:rsid w:val="00654791"/>
    <w:rsid w:val="00654796"/>
    <w:rsid w:val="006548C9"/>
    <w:rsid w:val="00654AFA"/>
    <w:rsid w:val="00654B75"/>
    <w:rsid w:val="00654BCE"/>
    <w:rsid w:val="00654D0A"/>
    <w:rsid w:val="00654D38"/>
    <w:rsid w:val="00654D7B"/>
    <w:rsid w:val="00654F31"/>
    <w:rsid w:val="006550D7"/>
    <w:rsid w:val="006552C5"/>
    <w:rsid w:val="006553A3"/>
    <w:rsid w:val="00655522"/>
    <w:rsid w:val="00655572"/>
    <w:rsid w:val="00655755"/>
    <w:rsid w:val="00655782"/>
    <w:rsid w:val="00655CBD"/>
    <w:rsid w:val="00655D55"/>
    <w:rsid w:val="00655D5F"/>
    <w:rsid w:val="00655EE4"/>
    <w:rsid w:val="00655F85"/>
    <w:rsid w:val="00655FB3"/>
    <w:rsid w:val="006561F5"/>
    <w:rsid w:val="0065631A"/>
    <w:rsid w:val="006563A2"/>
    <w:rsid w:val="0065651F"/>
    <w:rsid w:val="00656699"/>
    <w:rsid w:val="00656A6D"/>
    <w:rsid w:val="00656A79"/>
    <w:rsid w:val="0065706F"/>
    <w:rsid w:val="006570FB"/>
    <w:rsid w:val="006572AA"/>
    <w:rsid w:val="00657337"/>
    <w:rsid w:val="0065785E"/>
    <w:rsid w:val="00657A21"/>
    <w:rsid w:val="00657D3E"/>
    <w:rsid w:val="00657D94"/>
    <w:rsid w:val="00657DD5"/>
    <w:rsid w:val="00657F1B"/>
    <w:rsid w:val="0066002A"/>
    <w:rsid w:val="00660120"/>
    <w:rsid w:val="0066015B"/>
    <w:rsid w:val="0066021B"/>
    <w:rsid w:val="006603A8"/>
    <w:rsid w:val="0066053E"/>
    <w:rsid w:val="006605E3"/>
    <w:rsid w:val="00660617"/>
    <w:rsid w:val="00660A84"/>
    <w:rsid w:val="00660DB2"/>
    <w:rsid w:val="00660E0E"/>
    <w:rsid w:val="00660EDD"/>
    <w:rsid w:val="00660FA5"/>
    <w:rsid w:val="0066106E"/>
    <w:rsid w:val="00661330"/>
    <w:rsid w:val="006613FB"/>
    <w:rsid w:val="006614E1"/>
    <w:rsid w:val="00661685"/>
    <w:rsid w:val="006617E2"/>
    <w:rsid w:val="0066186C"/>
    <w:rsid w:val="006618A9"/>
    <w:rsid w:val="0066195F"/>
    <w:rsid w:val="00661B4D"/>
    <w:rsid w:val="00661D6A"/>
    <w:rsid w:val="00662039"/>
    <w:rsid w:val="0066218B"/>
    <w:rsid w:val="00662275"/>
    <w:rsid w:val="00662277"/>
    <w:rsid w:val="00662310"/>
    <w:rsid w:val="00662313"/>
    <w:rsid w:val="006623C5"/>
    <w:rsid w:val="00662434"/>
    <w:rsid w:val="00662488"/>
    <w:rsid w:val="006624FA"/>
    <w:rsid w:val="00662686"/>
    <w:rsid w:val="0066279B"/>
    <w:rsid w:val="006629AB"/>
    <w:rsid w:val="006629EC"/>
    <w:rsid w:val="00662A57"/>
    <w:rsid w:val="00662C91"/>
    <w:rsid w:val="00662D42"/>
    <w:rsid w:val="00662E08"/>
    <w:rsid w:val="00662ED6"/>
    <w:rsid w:val="0066301F"/>
    <w:rsid w:val="0066303E"/>
    <w:rsid w:val="00663367"/>
    <w:rsid w:val="00663555"/>
    <w:rsid w:val="006635F8"/>
    <w:rsid w:val="00663793"/>
    <w:rsid w:val="006637C4"/>
    <w:rsid w:val="0066380E"/>
    <w:rsid w:val="00663842"/>
    <w:rsid w:val="0066385E"/>
    <w:rsid w:val="00663874"/>
    <w:rsid w:val="006638F8"/>
    <w:rsid w:val="00663968"/>
    <w:rsid w:val="006639D4"/>
    <w:rsid w:val="00663AF9"/>
    <w:rsid w:val="00663C88"/>
    <w:rsid w:val="00663CFC"/>
    <w:rsid w:val="0066403E"/>
    <w:rsid w:val="00664104"/>
    <w:rsid w:val="006641E5"/>
    <w:rsid w:val="00664350"/>
    <w:rsid w:val="00664541"/>
    <w:rsid w:val="0066461E"/>
    <w:rsid w:val="006649F8"/>
    <w:rsid w:val="00664A66"/>
    <w:rsid w:val="00664D9E"/>
    <w:rsid w:val="00664F71"/>
    <w:rsid w:val="00665068"/>
    <w:rsid w:val="006652A4"/>
    <w:rsid w:val="006652B6"/>
    <w:rsid w:val="006652EF"/>
    <w:rsid w:val="00665387"/>
    <w:rsid w:val="006653EE"/>
    <w:rsid w:val="00665A7A"/>
    <w:rsid w:val="00665AD9"/>
    <w:rsid w:val="0066640E"/>
    <w:rsid w:val="006666D7"/>
    <w:rsid w:val="0066676F"/>
    <w:rsid w:val="0066683E"/>
    <w:rsid w:val="00666BA6"/>
    <w:rsid w:val="00666DC8"/>
    <w:rsid w:val="00666EB3"/>
    <w:rsid w:val="00666F35"/>
    <w:rsid w:val="00667118"/>
    <w:rsid w:val="00667129"/>
    <w:rsid w:val="0066742D"/>
    <w:rsid w:val="00667466"/>
    <w:rsid w:val="006674AE"/>
    <w:rsid w:val="00667955"/>
    <w:rsid w:val="006679A2"/>
    <w:rsid w:val="00667A1A"/>
    <w:rsid w:val="00667DA9"/>
    <w:rsid w:val="00667E6A"/>
    <w:rsid w:val="00667EAA"/>
    <w:rsid w:val="00667EB5"/>
    <w:rsid w:val="00670241"/>
    <w:rsid w:val="006703E5"/>
    <w:rsid w:val="006706B0"/>
    <w:rsid w:val="00670954"/>
    <w:rsid w:val="0067099B"/>
    <w:rsid w:val="006709E3"/>
    <w:rsid w:val="00670B34"/>
    <w:rsid w:val="00670B8B"/>
    <w:rsid w:val="00670BBA"/>
    <w:rsid w:val="00670BE6"/>
    <w:rsid w:val="00670D40"/>
    <w:rsid w:val="00670F8F"/>
    <w:rsid w:val="00671192"/>
    <w:rsid w:val="00671265"/>
    <w:rsid w:val="00671463"/>
    <w:rsid w:val="006715CA"/>
    <w:rsid w:val="00671B34"/>
    <w:rsid w:val="00671B41"/>
    <w:rsid w:val="00671CB3"/>
    <w:rsid w:val="00671DA0"/>
    <w:rsid w:val="00671E2D"/>
    <w:rsid w:val="00671E91"/>
    <w:rsid w:val="00671FC3"/>
    <w:rsid w:val="00672058"/>
    <w:rsid w:val="00672165"/>
    <w:rsid w:val="006721BD"/>
    <w:rsid w:val="006721DD"/>
    <w:rsid w:val="006723A1"/>
    <w:rsid w:val="006724C4"/>
    <w:rsid w:val="006724D8"/>
    <w:rsid w:val="00672515"/>
    <w:rsid w:val="0067262F"/>
    <w:rsid w:val="00672654"/>
    <w:rsid w:val="00672717"/>
    <w:rsid w:val="00672779"/>
    <w:rsid w:val="0067280C"/>
    <w:rsid w:val="00672954"/>
    <w:rsid w:val="00672979"/>
    <w:rsid w:val="00672A84"/>
    <w:rsid w:val="006730AE"/>
    <w:rsid w:val="00673109"/>
    <w:rsid w:val="00673158"/>
    <w:rsid w:val="00673178"/>
    <w:rsid w:val="006732A9"/>
    <w:rsid w:val="006733C6"/>
    <w:rsid w:val="0067380D"/>
    <w:rsid w:val="00673CF7"/>
    <w:rsid w:val="00673FFF"/>
    <w:rsid w:val="00674038"/>
    <w:rsid w:val="00674134"/>
    <w:rsid w:val="006742A7"/>
    <w:rsid w:val="00674328"/>
    <w:rsid w:val="00674492"/>
    <w:rsid w:val="00674554"/>
    <w:rsid w:val="0067460E"/>
    <w:rsid w:val="00674873"/>
    <w:rsid w:val="0067487C"/>
    <w:rsid w:val="0067488F"/>
    <w:rsid w:val="00674B90"/>
    <w:rsid w:val="00675195"/>
    <w:rsid w:val="00675264"/>
    <w:rsid w:val="00675282"/>
    <w:rsid w:val="00675639"/>
    <w:rsid w:val="006757FA"/>
    <w:rsid w:val="00675849"/>
    <w:rsid w:val="0067587E"/>
    <w:rsid w:val="00675BE7"/>
    <w:rsid w:val="00675D68"/>
    <w:rsid w:val="00675F77"/>
    <w:rsid w:val="0067604C"/>
    <w:rsid w:val="006760E3"/>
    <w:rsid w:val="0067612E"/>
    <w:rsid w:val="006762D5"/>
    <w:rsid w:val="006763AF"/>
    <w:rsid w:val="00676576"/>
    <w:rsid w:val="00676638"/>
    <w:rsid w:val="00676820"/>
    <w:rsid w:val="0067697D"/>
    <w:rsid w:val="00676A26"/>
    <w:rsid w:val="00676AD6"/>
    <w:rsid w:val="00676BF6"/>
    <w:rsid w:val="00676C2D"/>
    <w:rsid w:val="00676C5C"/>
    <w:rsid w:val="00676D71"/>
    <w:rsid w:val="00676E8F"/>
    <w:rsid w:val="00676F13"/>
    <w:rsid w:val="006771BE"/>
    <w:rsid w:val="00677533"/>
    <w:rsid w:val="006775D8"/>
    <w:rsid w:val="0067763C"/>
    <w:rsid w:val="0067773A"/>
    <w:rsid w:val="0067778E"/>
    <w:rsid w:val="006778D2"/>
    <w:rsid w:val="006779B3"/>
    <w:rsid w:val="00677D83"/>
    <w:rsid w:val="00677E6A"/>
    <w:rsid w:val="00677EBB"/>
    <w:rsid w:val="006800CF"/>
    <w:rsid w:val="006800D7"/>
    <w:rsid w:val="006800DC"/>
    <w:rsid w:val="00680148"/>
    <w:rsid w:val="006802C8"/>
    <w:rsid w:val="006803B7"/>
    <w:rsid w:val="006806ED"/>
    <w:rsid w:val="00680714"/>
    <w:rsid w:val="0068088C"/>
    <w:rsid w:val="00680910"/>
    <w:rsid w:val="00680C41"/>
    <w:rsid w:val="00680C62"/>
    <w:rsid w:val="00680D13"/>
    <w:rsid w:val="00680F77"/>
    <w:rsid w:val="00681077"/>
    <w:rsid w:val="006810BE"/>
    <w:rsid w:val="00681333"/>
    <w:rsid w:val="00681348"/>
    <w:rsid w:val="00681489"/>
    <w:rsid w:val="006819B8"/>
    <w:rsid w:val="00681A72"/>
    <w:rsid w:val="00681C60"/>
    <w:rsid w:val="00681C8D"/>
    <w:rsid w:val="00681E0B"/>
    <w:rsid w:val="00682099"/>
    <w:rsid w:val="006822D9"/>
    <w:rsid w:val="00682363"/>
    <w:rsid w:val="006823F8"/>
    <w:rsid w:val="006824D3"/>
    <w:rsid w:val="006826B9"/>
    <w:rsid w:val="00682756"/>
    <w:rsid w:val="0068276F"/>
    <w:rsid w:val="00682808"/>
    <w:rsid w:val="00682919"/>
    <w:rsid w:val="00682A34"/>
    <w:rsid w:val="00682A4D"/>
    <w:rsid w:val="00682A89"/>
    <w:rsid w:val="00682AFA"/>
    <w:rsid w:val="00682CF1"/>
    <w:rsid w:val="00682D04"/>
    <w:rsid w:val="00682DDA"/>
    <w:rsid w:val="00682E07"/>
    <w:rsid w:val="00682E52"/>
    <w:rsid w:val="00683161"/>
    <w:rsid w:val="00683211"/>
    <w:rsid w:val="0068328F"/>
    <w:rsid w:val="006832D4"/>
    <w:rsid w:val="0068333A"/>
    <w:rsid w:val="0068337C"/>
    <w:rsid w:val="00683443"/>
    <w:rsid w:val="00683477"/>
    <w:rsid w:val="006834F9"/>
    <w:rsid w:val="0068350B"/>
    <w:rsid w:val="0068350E"/>
    <w:rsid w:val="006836CA"/>
    <w:rsid w:val="006838A2"/>
    <w:rsid w:val="0068396E"/>
    <w:rsid w:val="00683A01"/>
    <w:rsid w:val="00683AE2"/>
    <w:rsid w:val="00683C2C"/>
    <w:rsid w:val="00683C61"/>
    <w:rsid w:val="00683E26"/>
    <w:rsid w:val="00683E5B"/>
    <w:rsid w:val="00684486"/>
    <w:rsid w:val="006844E8"/>
    <w:rsid w:val="0068461F"/>
    <w:rsid w:val="006846E8"/>
    <w:rsid w:val="006849D1"/>
    <w:rsid w:val="006849E5"/>
    <w:rsid w:val="00684ABB"/>
    <w:rsid w:val="00684C0A"/>
    <w:rsid w:val="00684E81"/>
    <w:rsid w:val="00684E92"/>
    <w:rsid w:val="00684F10"/>
    <w:rsid w:val="00684F93"/>
    <w:rsid w:val="006851C5"/>
    <w:rsid w:val="006852EC"/>
    <w:rsid w:val="00685660"/>
    <w:rsid w:val="00685668"/>
    <w:rsid w:val="00685734"/>
    <w:rsid w:val="006859D7"/>
    <w:rsid w:val="00685A98"/>
    <w:rsid w:val="00685B31"/>
    <w:rsid w:val="00685B87"/>
    <w:rsid w:val="00685E55"/>
    <w:rsid w:val="00685EC0"/>
    <w:rsid w:val="00685EEB"/>
    <w:rsid w:val="00686036"/>
    <w:rsid w:val="006860AF"/>
    <w:rsid w:val="0068617A"/>
    <w:rsid w:val="006863A2"/>
    <w:rsid w:val="006865B9"/>
    <w:rsid w:val="00686687"/>
    <w:rsid w:val="006867A2"/>
    <w:rsid w:val="00686A03"/>
    <w:rsid w:val="00686AFF"/>
    <w:rsid w:val="00686D7A"/>
    <w:rsid w:val="00686E53"/>
    <w:rsid w:val="00686F25"/>
    <w:rsid w:val="00686FDD"/>
    <w:rsid w:val="0068702C"/>
    <w:rsid w:val="006873C4"/>
    <w:rsid w:val="006873E0"/>
    <w:rsid w:val="00687709"/>
    <w:rsid w:val="0068773A"/>
    <w:rsid w:val="00687A42"/>
    <w:rsid w:val="00687B48"/>
    <w:rsid w:val="00687C67"/>
    <w:rsid w:val="00687CD0"/>
    <w:rsid w:val="006901B7"/>
    <w:rsid w:val="006901CB"/>
    <w:rsid w:val="00690278"/>
    <w:rsid w:val="0069032E"/>
    <w:rsid w:val="0069045D"/>
    <w:rsid w:val="00690515"/>
    <w:rsid w:val="006905C3"/>
    <w:rsid w:val="0069060E"/>
    <w:rsid w:val="00690971"/>
    <w:rsid w:val="00690B33"/>
    <w:rsid w:val="00690B46"/>
    <w:rsid w:val="00690CC2"/>
    <w:rsid w:val="00690FF1"/>
    <w:rsid w:val="00691235"/>
    <w:rsid w:val="006912F7"/>
    <w:rsid w:val="00691554"/>
    <w:rsid w:val="0069164B"/>
    <w:rsid w:val="00691726"/>
    <w:rsid w:val="00691727"/>
    <w:rsid w:val="00691772"/>
    <w:rsid w:val="006918FC"/>
    <w:rsid w:val="00691928"/>
    <w:rsid w:val="00691AFE"/>
    <w:rsid w:val="00691B09"/>
    <w:rsid w:val="00691C56"/>
    <w:rsid w:val="00691F4E"/>
    <w:rsid w:val="00692168"/>
    <w:rsid w:val="0069226D"/>
    <w:rsid w:val="00692292"/>
    <w:rsid w:val="006928D1"/>
    <w:rsid w:val="006929AB"/>
    <w:rsid w:val="006929F2"/>
    <w:rsid w:val="00692A12"/>
    <w:rsid w:val="00692A1A"/>
    <w:rsid w:val="00692E81"/>
    <w:rsid w:val="00692FAB"/>
    <w:rsid w:val="0069302B"/>
    <w:rsid w:val="006931B2"/>
    <w:rsid w:val="00693384"/>
    <w:rsid w:val="00693578"/>
    <w:rsid w:val="00693590"/>
    <w:rsid w:val="00693784"/>
    <w:rsid w:val="006938A7"/>
    <w:rsid w:val="00693E28"/>
    <w:rsid w:val="00693F5E"/>
    <w:rsid w:val="00694487"/>
    <w:rsid w:val="006945C1"/>
    <w:rsid w:val="0069460C"/>
    <w:rsid w:val="0069463F"/>
    <w:rsid w:val="00694767"/>
    <w:rsid w:val="006948D2"/>
    <w:rsid w:val="00694A0D"/>
    <w:rsid w:val="00694A5E"/>
    <w:rsid w:val="00694B0A"/>
    <w:rsid w:val="00694C88"/>
    <w:rsid w:val="00694F76"/>
    <w:rsid w:val="00695258"/>
    <w:rsid w:val="0069547C"/>
    <w:rsid w:val="006954F4"/>
    <w:rsid w:val="006955FD"/>
    <w:rsid w:val="006956D5"/>
    <w:rsid w:val="00695986"/>
    <w:rsid w:val="00695C69"/>
    <w:rsid w:val="00695C98"/>
    <w:rsid w:val="0069603A"/>
    <w:rsid w:val="0069609C"/>
    <w:rsid w:val="006961D9"/>
    <w:rsid w:val="0069629B"/>
    <w:rsid w:val="00696369"/>
    <w:rsid w:val="0069653D"/>
    <w:rsid w:val="006965E9"/>
    <w:rsid w:val="006966F3"/>
    <w:rsid w:val="006968B3"/>
    <w:rsid w:val="00696987"/>
    <w:rsid w:val="00696992"/>
    <w:rsid w:val="0069699C"/>
    <w:rsid w:val="006969B0"/>
    <w:rsid w:val="00696C39"/>
    <w:rsid w:val="00696C4B"/>
    <w:rsid w:val="00696D23"/>
    <w:rsid w:val="00696D89"/>
    <w:rsid w:val="00696E35"/>
    <w:rsid w:val="00697130"/>
    <w:rsid w:val="00697157"/>
    <w:rsid w:val="0069717D"/>
    <w:rsid w:val="006975EA"/>
    <w:rsid w:val="0069764B"/>
    <w:rsid w:val="006977C3"/>
    <w:rsid w:val="00697963"/>
    <w:rsid w:val="006979E7"/>
    <w:rsid w:val="00697B96"/>
    <w:rsid w:val="00697DE4"/>
    <w:rsid w:val="00697F35"/>
    <w:rsid w:val="00697F7E"/>
    <w:rsid w:val="006A00E8"/>
    <w:rsid w:val="006A01CD"/>
    <w:rsid w:val="006A035D"/>
    <w:rsid w:val="006A0450"/>
    <w:rsid w:val="006A04C1"/>
    <w:rsid w:val="006A0598"/>
    <w:rsid w:val="006A0837"/>
    <w:rsid w:val="006A0A9F"/>
    <w:rsid w:val="006A0DFC"/>
    <w:rsid w:val="006A0E08"/>
    <w:rsid w:val="006A10D6"/>
    <w:rsid w:val="006A12D9"/>
    <w:rsid w:val="006A171E"/>
    <w:rsid w:val="006A17EE"/>
    <w:rsid w:val="006A1D35"/>
    <w:rsid w:val="006A1D9B"/>
    <w:rsid w:val="006A1E67"/>
    <w:rsid w:val="006A1EE1"/>
    <w:rsid w:val="006A1FE8"/>
    <w:rsid w:val="006A20B2"/>
    <w:rsid w:val="006A20CC"/>
    <w:rsid w:val="006A216D"/>
    <w:rsid w:val="006A216F"/>
    <w:rsid w:val="006A2289"/>
    <w:rsid w:val="006A22A8"/>
    <w:rsid w:val="006A23DA"/>
    <w:rsid w:val="006A255D"/>
    <w:rsid w:val="006A2597"/>
    <w:rsid w:val="006A26E4"/>
    <w:rsid w:val="006A2919"/>
    <w:rsid w:val="006A2CB1"/>
    <w:rsid w:val="006A2CD6"/>
    <w:rsid w:val="006A2CE2"/>
    <w:rsid w:val="006A2E80"/>
    <w:rsid w:val="006A2FBC"/>
    <w:rsid w:val="006A3197"/>
    <w:rsid w:val="006A359A"/>
    <w:rsid w:val="006A3838"/>
    <w:rsid w:val="006A38CE"/>
    <w:rsid w:val="006A3AC9"/>
    <w:rsid w:val="006A3AFD"/>
    <w:rsid w:val="006A3B34"/>
    <w:rsid w:val="006A3BE7"/>
    <w:rsid w:val="006A3DD6"/>
    <w:rsid w:val="006A3E1D"/>
    <w:rsid w:val="006A4023"/>
    <w:rsid w:val="006A40CC"/>
    <w:rsid w:val="006A4187"/>
    <w:rsid w:val="006A41D5"/>
    <w:rsid w:val="006A4348"/>
    <w:rsid w:val="006A446F"/>
    <w:rsid w:val="006A454D"/>
    <w:rsid w:val="006A4556"/>
    <w:rsid w:val="006A4771"/>
    <w:rsid w:val="006A487D"/>
    <w:rsid w:val="006A49AE"/>
    <w:rsid w:val="006A4BD3"/>
    <w:rsid w:val="006A4CD8"/>
    <w:rsid w:val="006A4D1D"/>
    <w:rsid w:val="006A4ED1"/>
    <w:rsid w:val="006A4ED2"/>
    <w:rsid w:val="006A4F20"/>
    <w:rsid w:val="006A4FBA"/>
    <w:rsid w:val="006A5120"/>
    <w:rsid w:val="006A5133"/>
    <w:rsid w:val="006A52C3"/>
    <w:rsid w:val="006A52D3"/>
    <w:rsid w:val="006A544D"/>
    <w:rsid w:val="006A567C"/>
    <w:rsid w:val="006A5956"/>
    <w:rsid w:val="006A59B6"/>
    <w:rsid w:val="006A5A87"/>
    <w:rsid w:val="006A5AFA"/>
    <w:rsid w:val="006A5C70"/>
    <w:rsid w:val="006A5D84"/>
    <w:rsid w:val="006A5E0E"/>
    <w:rsid w:val="006A601F"/>
    <w:rsid w:val="006A62DD"/>
    <w:rsid w:val="006A635A"/>
    <w:rsid w:val="006A635F"/>
    <w:rsid w:val="006A650C"/>
    <w:rsid w:val="006A6690"/>
    <w:rsid w:val="006A680F"/>
    <w:rsid w:val="006A689F"/>
    <w:rsid w:val="006A68B7"/>
    <w:rsid w:val="006A6935"/>
    <w:rsid w:val="006A6AB4"/>
    <w:rsid w:val="006A6B41"/>
    <w:rsid w:val="006A6B66"/>
    <w:rsid w:val="006A6E43"/>
    <w:rsid w:val="006A71E9"/>
    <w:rsid w:val="006A7262"/>
    <w:rsid w:val="006A74A6"/>
    <w:rsid w:val="006A76A0"/>
    <w:rsid w:val="006A772D"/>
    <w:rsid w:val="006A7731"/>
    <w:rsid w:val="006A77FC"/>
    <w:rsid w:val="006A7A12"/>
    <w:rsid w:val="006A7A45"/>
    <w:rsid w:val="006A7AA2"/>
    <w:rsid w:val="006A7B94"/>
    <w:rsid w:val="006A7D49"/>
    <w:rsid w:val="006B00D3"/>
    <w:rsid w:val="006B026E"/>
    <w:rsid w:val="006B0391"/>
    <w:rsid w:val="006B0393"/>
    <w:rsid w:val="006B053A"/>
    <w:rsid w:val="006B0549"/>
    <w:rsid w:val="006B063E"/>
    <w:rsid w:val="006B0672"/>
    <w:rsid w:val="006B087D"/>
    <w:rsid w:val="006B0A3B"/>
    <w:rsid w:val="006B0CE5"/>
    <w:rsid w:val="006B0DB4"/>
    <w:rsid w:val="006B0E12"/>
    <w:rsid w:val="006B12EB"/>
    <w:rsid w:val="006B155F"/>
    <w:rsid w:val="006B1785"/>
    <w:rsid w:val="006B18CA"/>
    <w:rsid w:val="006B1B21"/>
    <w:rsid w:val="006B1C7C"/>
    <w:rsid w:val="006B1CB5"/>
    <w:rsid w:val="006B1CB6"/>
    <w:rsid w:val="006B1CBB"/>
    <w:rsid w:val="006B1D0D"/>
    <w:rsid w:val="006B1D69"/>
    <w:rsid w:val="006B1E44"/>
    <w:rsid w:val="006B1EDF"/>
    <w:rsid w:val="006B1F51"/>
    <w:rsid w:val="006B1FC2"/>
    <w:rsid w:val="006B2137"/>
    <w:rsid w:val="006B2241"/>
    <w:rsid w:val="006B22AE"/>
    <w:rsid w:val="006B26E0"/>
    <w:rsid w:val="006B29C5"/>
    <w:rsid w:val="006B2A17"/>
    <w:rsid w:val="006B2B96"/>
    <w:rsid w:val="006B2C70"/>
    <w:rsid w:val="006B2D17"/>
    <w:rsid w:val="006B2EA9"/>
    <w:rsid w:val="006B2FE6"/>
    <w:rsid w:val="006B3064"/>
    <w:rsid w:val="006B31BB"/>
    <w:rsid w:val="006B31BD"/>
    <w:rsid w:val="006B31F9"/>
    <w:rsid w:val="006B332A"/>
    <w:rsid w:val="006B372F"/>
    <w:rsid w:val="006B381B"/>
    <w:rsid w:val="006B39A5"/>
    <w:rsid w:val="006B3A8E"/>
    <w:rsid w:val="006B3B93"/>
    <w:rsid w:val="006B3BA1"/>
    <w:rsid w:val="006B3F40"/>
    <w:rsid w:val="006B4160"/>
    <w:rsid w:val="006B43AD"/>
    <w:rsid w:val="006B44BC"/>
    <w:rsid w:val="006B47A4"/>
    <w:rsid w:val="006B47ED"/>
    <w:rsid w:val="006B489A"/>
    <w:rsid w:val="006B4962"/>
    <w:rsid w:val="006B4AD6"/>
    <w:rsid w:val="006B4BCD"/>
    <w:rsid w:val="006B4D04"/>
    <w:rsid w:val="006B5034"/>
    <w:rsid w:val="006B5104"/>
    <w:rsid w:val="006B51E0"/>
    <w:rsid w:val="006B532F"/>
    <w:rsid w:val="006B53B1"/>
    <w:rsid w:val="006B54A6"/>
    <w:rsid w:val="006B55AE"/>
    <w:rsid w:val="006B560C"/>
    <w:rsid w:val="006B5768"/>
    <w:rsid w:val="006B5907"/>
    <w:rsid w:val="006B59B0"/>
    <w:rsid w:val="006B59E8"/>
    <w:rsid w:val="006B5AB2"/>
    <w:rsid w:val="006B5B6D"/>
    <w:rsid w:val="006B60B3"/>
    <w:rsid w:val="006B61CA"/>
    <w:rsid w:val="006B62BF"/>
    <w:rsid w:val="006B63E1"/>
    <w:rsid w:val="006B659A"/>
    <w:rsid w:val="006B6669"/>
    <w:rsid w:val="006B69B6"/>
    <w:rsid w:val="006B6A2D"/>
    <w:rsid w:val="006B6BA0"/>
    <w:rsid w:val="006B6C17"/>
    <w:rsid w:val="006B6CBE"/>
    <w:rsid w:val="006B6DF4"/>
    <w:rsid w:val="006B71C5"/>
    <w:rsid w:val="006B7237"/>
    <w:rsid w:val="006B72B2"/>
    <w:rsid w:val="006B7587"/>
    <w:rsid w:val="006B77A1"/>
    <w:rsid w:val="006B7BFD"/>
    <w:rsid w:val="006B7C07"/>
    <w:rsid w:val="006B7C83"/>
    <w:rsid w:val="006B7E59"/>
    <w:rsid w:val="006B7E93"/>
    <w:rsid w:val="006B7FEF"/>
    <w:rsid w:val="006C0020"/>
    <w:rsid w:val="006C0077"/>
    <w:rsid w:val="006C0170"/>
    <w:rsid w:val="006C020A"/>
    <w:rsid w:val="006C0363"/>
    <w:rsid w:val="006C0432"/>
    <w:rsid w:val="006C04D3"/>
    <w:rsid w:val="006C05B3"/>
    <w:rsid w:val="006C0683"/>
    <w:rsid w:val="006C083F"/>
    <w:rsid w:val="006C08BE"/>
    <w:rsid w:val="006C0B09"/>
    <w:rsid w:val="006C0B58"/>
    <w:rsid w:val="006C0D5B"/>
    <w:rsid w:val="006C0E9B"/>
    <w:rsid w:val="006C10B7"/>
    <w:rsid w:val="006C1227"/>
    <w:rsid w:val="006C1D68"/>
    <w:rsid w:val="006C1E37"/>
    <w:rsid w:val="006C1EC7"/>
    <w:rsid w:val="006C2335"/>
    <w:rsid w:val="006C2396"/>
    <w:rsid w:val="006C25BA"/>
    <w:rsid w:val="006C2728"/>
    <w:rsid w:val="006C2901"/>
    <w:rsid w:val="006C2B08"/>
    <w:rsid w:val="006C2BED"/>
    <w:rsid w:val="006C2C99"/>
    <w:rsid w:val="006C2E78"/>
    <w:rsid w:val="006C2EC0"/>
    <w:rsid w:val="006C2EF1"/>
    <w:rsid w:val="006C302B"/>
    <w:rsid w:val="006C312F"/>
    <w:rsid w:val="006C329E"/>
    <w:rsid w:val="006C32FF"/>
    <w:rsid w:val="006C33EB"/>
    <w:rsid w:val="006C3616"/>
    <w:rsid w:val="006C370D"/>
    <w:rsid w:val="006C37EA"/>
    <w:rsid w:val="006C39A8"/>
    <w:rsid w:val="006C39D6"/>
    <w:rsid w:val="006C3B18"/>
    <w:rsid w:val="006C3BD4"/>
    <w:rsid w:val="006C3DFF"/>
    <w:rsid w:val="006C3FC9"/>
    <w:rsid w:val="006C4309"/>
    <w:rsid w:val="006C4363"/>
    <w:rsid w:val="006C43AD"/>
    <w:rsid w:val="006C44AB"/>
    <w:rsid w:val="006C4630"/>
    <w:rsid w:val="006C46E6"/>
    <w:rsid w:val="006C4716"/>
    <w:rsid w:val="006C4959"/>
    <w:rsid w:val="006C4A2B"/>
    <w:rsid w:val="006C4AE3"/>
    <w:rsid w:val="006C4D1B"/>
    <w:rsid w:val="006C4DFA"/>
    <w:rsid w:val="006C4EE8"/>
    <w:rsid w:val="006C4F14"/>
    <w:rsid w:val="006C55E9"/>
    <w:rsid w:val="006C5647"/>
    <w:rsid w:val="006C5732"/>
    <w:rsid w:val="006C57D5"/>
    <w:rsid w:val="006C57FD"/>
    <w:rsid w:val="006C5801"/>
    <w:rsid w:val="006C584B"/>
    <w:rsid w:val="006C587D"/>
    <w:rsid w:val="006C59C8"/>
    <w:rsid w:val="006C5EF8"/>
    <w:rsid w:val="006C6119"/>
    <w:rsid w:val="006C64D0"/>
    <w:rsid w:val="006C6536"/>
    <w:rsid w:val="006C657A"/>
    <w:rsid w:val="006C65C6"/>
    <w:rsid w:val="006C66DA"/>
    <w:rsid w:val="006C6770"/>
    <w:rsid w:val="006C67DA"/>
    <w:rsid w:val="006C697D"/>
    <w:rsid w:val="006C6B1E"/>
    <w:rsid w:val="006C6DBD"/>
    <w:rsid w:val="006C6FC1"/>
    <w:rsid w:val="006C70D5"/>
    <w:rsid w:val="006C7121"/>
    <w:rsid w:val="006C717B"/>
    <w:rsid w:val="006C71E7"/>
    <w:rsid w:val="006C73A2"/>
    <w:rsid w:val="006C7502"/>
    <w:rsid w:val="006C7593"/>
    <w:rsid w:val="006C76EA"/>
    <w:rsid w:val="006C77CC"/>
    <w:rsid w:val="006C7804"/>
    <w:rsid w:val="006C78CE"/>
    <w:rsid w:val="006C79F1"/>
    <w:rsid w:val="006C7DB1"/>
    <w:rsid w:val="006C7E32"/>
    <w:rsid w:val="006C7E4E"/>
    <w:rsid w:val="006C7F38"/>
    <w:rsid w:val="006D0389"/>
    <w:rsid w:val="006D03D7"/>
    <w:rsid w:val="006D055A"/>
    <w:rsid w:val="006D062A"/>
    <w:rsid w:val="006D0698"/>
    <w:rsid w:val="006D0966"/>
    <w:rsid w:val="006D0ABB"/>
    <w:rsid w:val="006D0B86"/>
    <w:rsid w:val="006D0CA3"/>
    <w:rsid w:val="006D0E88"/>
    <w:rsid w:val="006D0F3A"/>
    <w:rsid w:val="006D1021"/>
    <w:rsid w:val="006D1058"/>
    <w:rsid w:val="006D11BA"/>
    <w:rsid w:val="006D1309"/>
    <w:rsid w:val="006D133D"/>
    <w:rsid w:val="006D1357"/>
    <w:rsid w:val="006D14C0"/>
    <w:rsid w:val="006D1689"/>
    <w:rsid w:val="006D16DD"/>
    <w:rsid w:val="006D198A"/>
    <w:rsid w:val="006D1A1E"/>
    <w:rsid w:val="006D1A4B"/>
    <w:rsid w:val="006D1A62"/>
    <w:rsid w:val="006D1B8E"/>
    <w:rsid w:val="006D1CD2"/>
    <w:rsid w:val="006D1D1A"/>
    <w:rsid w:val="006D21AB"/>
    <w:rsid w:val="006D237D"/>
    <w:rsid w:val="006D25F4"/>
    <w:rsid w:val="006D2682"/>
    <w:rsid w:val="006D26F6"/>
    <w:rsid w:val="006D270F"/>
    <w:rsid w:val="006D27BA"/>
    <w:rsid w:val="006D28E9"/>
    <w:rsid w:val="006D2AA2"/>
    <w:rsid w:val="006D2C0F"/>
    <w:rsid w:val="006D2CC3"/>
    <w:rsid w:val="006D2E25"/>
    <w:rsid w:val="006D2F0E"/>
    <w:rsid w:val="006D3433"/>
    <w:rsid w:val="006D353C"/>
    <w:rsid w:val="006D3683"/>
    <w:rsid w:val="006D3716"/>
    <w:rsid w:val="006D371D"/>
    <w:rsid w:val="006D397B"/>
    <w:rsid w:val="006D3A5A"/>
    <w:rsid w:val="006D3B14"/>
    <w:rsid w:val="006D3B43"/>
    <w:rsid w:val="006D3C59"/>
    <w:rsid w:val="006D3D80"/>
    <w:rsid w:val="006D40CE"/>
    <w:rsid w:val="006D41A3"/>
    <w:rsid w:val="006D4208"/>
    <w:rsid w:val="006D429E"/>
    <w:rsid w:val="006D4409"/>
    <w:rsid w:val="006D4573"/>
    <w:rsid w:val="006D4624"/>
    <w:rsid w:val="006D4687"/>
    <w:rsid w:val="006D4768"/>
    <w:rsid w:val="006D4882"/>
    <w:rsid w:val="006D4921"/>
    <w:rsid w:val="006D494B"/>
    <w:rsid w:val="006D4ADB"/>
    <w:rsid w:val="006D4AF1"/>
    <w:rsid w:val="006D4DCB"/>
    <w:rsid w:val="006D4DF0"/>
    <w:rsid w:val="006D4E5A"/>
    <w:rsid w:val="006D5226"/>
    <w:rsid w:val="006D53D0"/>
    <w:rsid w:val="006D554D"/>
    <w:rsid w:val="006D559A"/>
    <w:rsid w:val="006D55C2"/>
    <w:rsid w:val="006D56C6"/>
    <w:rsid w:val="006D5731"/>
    <w:rsid w:val="006D5863"/>
    <w:rsid w:val="006D596A"/>
    <w:rsid w:val="006D5A2C"/>
    <w:rsid w:val="006D5A8E"/>
    <w:rsid w:val="006D5AE0"/>
    <w:rsid w:val="006D5B1A"/>
    <w:rsid w:val="006D5B38"/>
    <w:rsid w:val="006D5F2F"/>
    <w:rsid w:val="006D60ED"/>
    <w:rsid w:val="006D6223"/>
    <w:rsid w:val="006D6399"/>
    <w:rsid w:val="006D646D"/>
    <w:rsid w:val="006D64E9"/>
    <w:rsid w:val="006D6682"/>
    <w:rsid w:val="006D677B"/>
    <w:rsid w:val="006D6837"/>
    <w:rsid w:val="006D6967"/>
    <w:rsid w:val="006D6C41"/>
    <w:rsid w:val="006D6C8A"/>
    <w:rsid w:val="006D6D6A"/>
    <w:rsid w:val="006D6E14"/>
    <w:rsid w:val="006D6E46"/>
    <w:rsid w:val="006D6EAC"/>
    <w:rsid w:val="006D7006"/>
    <w:rsid w:val="006D71CF"/>
    <w:rsid w:val="006D73C4"/>
    <w:rsid w:val="006D7596"/>
    <w:rsid w:val="006D7960"/>
    <w:rsid w:val="006D7AC4"/>
    <w:rsid w:val="006D7B01"/>
    <w:rsid w:val="006D7B4A"/>
    <w:rsid w:val="006D7EC4"/>
    <w:rsid w:val="006E001D"/>
    <w:rsid w:val="006E0200"/>
    <w:rsid w:val="006E029A"/>
    <w:rsid w:val="006E02F6"/>
    <w:rsid w:val="006E0435"/>
    <w:rsid w:val="006E0478"/>
    <w:rsid w:val="006E0491"/>
    <w:rsid w:val="006E0611"/>
    <w:rsid w:val="006E06AC"/>
    <w:rsid w:val="006E0D43"/>
    <w:rsid w:val="006E0E36"/>
    <w:rsid w:val="006E0E40"/>
    <w:rsid w:val="006E0E87"/>
    <w:rsid w:val="006E0FD5"/>
    <w:rsid w:val="006E10D8"/>
    <w:rsid w:val="006E1160"/>
    <w:rsid w:val="006E1185"/>
    <w:rsid w:val="006E1286"/>
    <w:rsid w:val="006E1380"/>
    <w:rsid w:val="006E13AA"/>
    <w:rsid w:val="006E1436"/>
    <w:rsid w:val="006E1535"/>
    <w:rsid w:val="006E1555"/>
    <w:rsid w:val="006E155D"/>
    <w:rsid w:val="006E19EE"/>
    <w:rsid w:val="006E1CEB"/>
    <w:rsid w:val="006E1E2E"/>
    <w:rsid w:val="006E2204"/>
    <w:rsid w:val="006E22F4"/>
    <w:rsid w:val="006E23FF"/>
    <w:rsid w:val="006E24AC"/>
    <w:rsid w:val="006E29C0"/>
    <w:rsid w:val="006E2AF3"/>
    <w:rsid w:val="006E2B10"/>
    <w:rsid w:val="006E2BAE"/>
    <w:rsid w:val="006E2C9D"/>
    <w:rsid w:val="006E2F42"/>
    <w:rsid w:val="006E2F84"/>
    <w:rsid w:val="006E3051"/>
    <w:rsid w:val="006E3258"/>
    <w:rsid w:val="006E343C"/>
    <w:rsid w:val="006E3514"/>
    <w:rsid w:val="006E3A43"/>
    <w:rsid w:val="006E3B81"/>
    <w:rsid w:val="006E3D51"/>
    <w:rsid w:val="006E3F40"/>
    <w:rsid w:val="006E41F6"/>
    <w:rsid w:val="006E4417"/>
    <w:rsid w:val="006E4577"/>
    <w:rsid w:val="006E4605"/>
    <w:rsid w:val="006E478A"/>
    <w:rsid w:val="006E4959"/>
    <w:rsid w:val="006E4A1E"/>
    <w:rsid w:val="006E4D9F"/>
    <w:rsid w:val="006E4DD2"/>
    <w:rsid w:val="006E4E3A"/>
    <w:rsid w:val="006E54D5"/>
    <w:rsid w:val="006E54FC"/>
    <w:rsid w:val="006E5566"/>
    <w:rsid w:val="006E55F1"/>
    <w:rsid w:val="006E5674"/>
    <w:rsid w:val="006E5699"/>
    <w:rsid w:val="006E573A"/>
    <w:rsid w:val="006E584E"/>
    <w:rsid w:val="006E58BB"/>
    <w:rsid w:val="006E58DC"/>
    <w:rsid w:val="006E59C5"/>
    <w:rsid w:val="006E59EA"/>
    <w:rsid w:val="006E5B66"/>
    <w:rsid w:val="006E5BA0"/>
    <w:rsid w:val="006E5DA1"/>
    <w:rsid w:val="006E5EEA"/>
    <w:rsid w:val="006E6061"/>
    <w:rsid w:val="006E6071"/>
    <w:rsid w:val="006E6081"/>
    <w:rsid w:val="006E62C3"/>
    <w:rsid w:val="006E643C"/>
    <w:rsid w:val="006E653D"/>
    <w:rsid w:val="006E6548"/>
    <w:rsid w:val="006E65D8"/>
    <w:rsid w:val="006E672F"/>
    <w:rsid w:val="006E673D"/>
    <w:rsid w:val="006E6B2A"/>
    <w:rsid w:val="006E6BA2"/>
    <w:rsid w:val="006E6CD8"/>
    <w:rsid w:val="006E7057"/>
    <w:rsid w:val="006E707D"/>
    <w:rsid w:val="006E735A"/>
    <w:rsid w:val="006E749F"/>
    <w:rsid w:val="006E7683"/>
    <w:rsid w:val="006E784A"/>
    <w:rsid w:val="006E78FC"/>
    <w:rsid w:val="006E7E15"/>
    <w:rsid w:val="006E7F10"/>
    <w:rsid w:val="006F002A"/>
    <w:rsid w:val="006F0064"/>
    <w:rsid w:val="006F0146"/>
    <w:rsid w:val="006F0332"/>
    <w:rsid w:val="006F0389"/>
    <w:rsid w:val="006F0498"/>
    <w:rsid w:val="006F05CB"/>
    <w:rsid w:val="006F067B"/>
    <w:rsid w:val="006F068F"/>
    <w:rsid w:val="006F0A64"/>
    <w:rsid w:val="006F0D15"/>
    <w:rsid w:val="006F0E4B"/>
    <w:rsid w:val="006F102C"/>
    <w:rsid w:val="006F1039"/>
    <w:rsid w:val="006F115C"/>
    <w:rsid w:val="006F126D"/>
    <w:rsid w:val="006F1482"/>
    <w:rsid w:val="006F1517"/>
    <w:rsid w:val="006F16B2"/>
    <w:rsid w:val="006F17D8"/>
    <w:rsid w:val="006F182A"/>
    <w:rsid w:val="006F197C"/>
    <w:rsid w:val="006F1A04"/>
    <w:rsid w:val="006F1A9D"/>
    <w:rsid w:val="006F1BAB"/>
    <w:rsid w:val="006F1CEE"/>
    <w:rsid w:val="006F1EC7"/>
    <w:rsid w:val="006F20FC"/>
    <w:rsid w:val="006F22D7"/>
    <w:rsid w:val="006F22F5"/>
    <w:rsid w:val="006F2363"/>
    <w:rsid w:val="006F2420"/>
    <w:rsid w:val="006F24A5"/>
    <w:rsid w:val="006F252F"/>
    <w:rsid w:val="006F2897"/>
    <w:rsid w:val="006F28B2"/>
    <w:rsid w:val="006F28EF"/>
    <w:rsid w:val="006F2A2B"/>
    <w:rsid w:val="006F2A4B"/>
    <w:rsid w:val="006F2E8D"/>
    <w:rsid w:val="006F2EB9"/>
    <w:rsid w:val="006F3103"/>
    <w:rsid w:val="006F312E"/>
    <w:rsid w:val="006F3171"/>
    <w:rsid w:val="006F337A"/>
    <w:rsid w:val="006F33D9"/>
    <w:rsid w:val="006F3498"/>
    <w:rsid w:val="006F350F"/>
    <w:rsid w:val="006F3554"/>
    <w:rsid w:val="006F3784"/>
    <w:rsid w:val="006F3943"/>
    <w:rsid w:val="006F398C"/>
    <w:rsid w:val="006F3A9A"/>
    <w:rsid w:val="006F3D09"/>
    <w:rsid w:val="006F3E6D"/>
    <w:rsid w:val="006F4218"/>
    <w:rsid w:val="006F44B1"/>
    <w:rsid w:val="006F44C0"/>
    <w:rsid w:val="006F44E0"/>
    <w:rsid w:val="006F469D"/>
    <w:rsid w:val="006F47AB"/>
    <w:rsid w:val="006F4953"/>
    <w:rsid w:val="006F4A54"/>
    <w:rsid w:val="006F4A68"/>
    <w:rsid w:val="006F4AFB"/>
    <w:rsid w:val="006F4BCD"/>
    <w:rsid w:val="006F4C33"/>
    <w:rsid w:val="006F4CB2"/>
    <w:rsid w:val="006F4CB9"/>
    <w:rsid w:val="006F4D65"/>
    <w:rsid w:val="006F4FAC"/>
    <w:rsid w:val="006F4FF7"/>
    <w:rsid w:val="006F51C2"/>
    <w:rsid w:val="006F52AD"/>
    <w:rsid w:val="006F5309"/>
    <w:rsid w:val="006F53E9"/>
    <w:rsid w:val="006F543F"/>
    <w:rsid w:val="006F54C1"/>
    <w:rsid w:val="006F5566"/>
    <w:rsid w:val="006F5971"/>
    <w:rsid w:val="006F5AA1"/>
    <w:rsid w:val="006F5AFB"/>
    <w:rsid w:val="006F5C62"/>
    <w:rsid w:val="006F5DE1"/>
    <w:rsid w:val="006F5F93"/>
    <w:rsid w:val="006F5FF2"/>
    <w:rsid w:val="006F62B8"/>
    <w:rsid w:val="006F631E"/>
    <w:rsid w:val="006F640C"/>
    <w:rsid w:val="006F64D9"/>
    <w:rsid w:val="006F6518"/>
    <w:rsid w:val="006F65E6"/>
    <w:rsid w:val="006F67B8"/>
    <w:rsid w:val="006F688B"/>
    <w:rsid w:val="006F68D3"/>
    <w:rsid w:val="006F6AF3"/>
    <w:rsid w:val="006F6D02"/>
    <w:rsid w:val="006F6D8E"/>
    <w:rsid w:val="006F6DDB"/>
    <w:rsid w:val="006F6E4D"/>
    <w:rsid w:val="006F6EF9"/>
    <w:rsid w:val="006F701C"/>
    <w:rsid w:val="006F7220"/>
    <w:rsid w:val="006F72F9"/>
    <w:rsid w:val="006F7347"/>
    <w:rsid w:val="006F740E"/>
    <w:rsid w:val="006F7476"/>
    <w:rsid w:val="006F7692"/>
    <w:rsid w:val="006F77B2"/>
    <w:rsid w:val="006F78CE"/>
    <w:rsid w:val="006F7AAE"/>
    <w:rsid w:val="006F7B59"/>
    <w:rsid w:val="006F7F1C"/>
    <w:rsid w:val="00700113"/>
    <w:rsid w:val="007002DF"/>
    <w:rsid w:val="00700419"/>
    <w:rsid w:val="00700693"/>
    <w:rsid w:val="007008B6"/>
    <w:rsid w:val="00700A7E"/>
    <w:rsid w:val="00700B19"/>
    <w:rsid w:val="00700F1D"/>
    <w:rsid w:val="00700FAD"/>
    <w:rsid w:val="00701159"/>
    <w:rsid w:val="007012ED"/>
    <w:rsid w:val="0070133A"/>
    <w:rsid w:val="0070147F"/>
    <w:rsid w:val="0070151C"/>
    <w:rsid w:val="00701683"/>
    <w:rsid w:val="00701942"/>
    <w:rsid w:val="007019B6"/>
    <w:rsid w:val="00701BD7"/>
    <w:rsid w:val="00701C7E"/>
    <w:rsid w:val="00701F85"/>
    <w:rsid w:val="00702179"/>
    <w:rsid w:val="00702220"/>
    <w:rsid w:val="0070226E"/>
    <w:rsid w:val="0070246E"/>
    <w:rsid w:val="007026FA"/>
    <w:rsid w:val="00702792"/>
    <w:rsid w:val="0070286D"/>
    <w:rsid w:val="00702A77"/>
    <w:rsid w:val="00702AB6"/>
    <w:rsid w:val="00702AF9"/>
    <w:rsid w:val="00702B3E"/>
    <w:rsid w:val="00702BF0"/>
    <w:rsid w:val="00702C2F"/>
    <w:rsid w:val="00702C61"/>
    <w:rsid w:val="00702D8C"/>
    <w:rsid w:val="00702EE2"/>
    <w:rsid w:val="00703125"/>
    <w:rsid w:val="007032BA"/>
    <w:rsid w:val="00703312"/>
    <w:rsid w:val="007037D7"/>
    <w:rsid w:val="00703919"/>
    <w:rsid w:val="00703B36"/>
    <w:rsid w:val="00703E85"/>
    <w:rsid w:val="00703EAA"/>
    <w:rsid w:val="00703EF9"/>
    <w:rsid w:val="00703FCD"/>
    <w:rsid w:val="0070409B"/>
    <w:rsid w:val="00704199"/>
    <w:rsid w:val="007043D6"/>
    <w:rsid w:val="00704451"/>
    <w:rsid w:val="007044CA"/>
    <w:rsid w:val="007045AE"/>
    <w:rsid w:val="00704656"/>
    <w:rsid w:val="0070486A"/>
    <w:rsid w:val="0070486B"/>
    <w:rsid w:val="0070489E"/>
    <w:rsid w:val="0070490F"/>
    <w:rsid w:val="0070493D"/>
    <w:rsid w:val="00704A92"/>
    <w:rsid w:val="00704B3B"/>
    <w:rsid w:val="00704B5B"/>
    <w:rsid w:val="00704C4C"/>
    <w:rsid w:val="00704E39"/>
    <w:rsid w:val="00704E94"/>
    <w:rsid w:val="00704F07"/>
    <w:rsid w:val="0070507B"/>
    <w:rsid w:val="007050F3"/>
    <w:rsid w:val="0070514A"/>
    <w:rsid w:val="0070536C"/>
    <w:rsid w:val="0070545E"/>
    <w:rsid w:val="007054F3"/>
    <w:rsid w:val="00705596"/>
    <w:rsid w:val="00705B15"/>
    <w:rsid w:val="00705C6B"/>
    <w:rsid w:val="00705CF4"/>
    <w:rsid w:val="00705D8C"/>
    <w:rsid w:val="00705DE8"/>
    <w:rsid w:val="00705F7C"/>
    <w:rsid w:val="00706006"/>
    <w:rsid w:val="00706645"/>
    <w:rsid w:val="007066EF"/>
    <w:rsid w:val="0070670B"/>
    <w:rsid w:val="0070670C"/>
    <w:rsid w:val="00706786"/>
    <w:rsid w:val="00706ADA"/>
    <w:rsid w:val="00706C04"/>
    <w:rsid w:val="00706C55"/>
    <w:rsid w:val="00706C9E"/>
    <w:rsid w:val="00706F8E"/>
    <w:rsid w:val="00706FA0"/>
    <w:rsid w:val="00706FC7"/>
    <w:rsid w:val="007071F8"/>
    <w:rsid w:val="00707396"/>
    <w:rsid w:val="00707447"/>
    <w:rsid w:val="00707510"/>
    <w:rsid w:val="007075D1"/>
    <w:rsid w:val="00707761"/>
    <w:rsid w:val="007078A0"/>
    <w:rsid w:val="00707B84"/>
    <w:rsid w:val="00707DEB"/>
    <w:rsid w:val="00707E3B"/>
    <w:rsid w:val="00707E3C"/>
    <w:rsid w:val="00707E91"/>
    <w:rsid w:val="00707EBF"/>
    <w:rsid w:val="00707F7B"/>
    <w:rsid w:val="007100A1"/>
    <w:rsid w:val="007100B1"/>
    <w:rsid w:val="00710184"/>
    <w:rsid w:val="007101AD"/>
    <w:rsid w:val="00710242"/>
    <w:rsid w:val="0071059A"/>
    <w:rsid w:val="007105BF"/>
    <w:rsid w:val="00710662"/>
    <w:rsid w:val="00710818"/>
    <w:rsid w:val="007109DD"/>
    <w:rsid w:val="00710B7E"/>
    <w:rsid w:val="00710BC1"/>
    <w:rsid w:val="00710E88"/>
    <w:rsid w:val="00710EB9"/>
    <w:rsid w:val="007111E5"/>
    <w:rsid w:val="0071145C"/>
    <w:rsid w:val="007115AE"/>
    <w:rsid w:val="007116A5"/>
    <w:rsid w:val="007117EE"/>
    <w:rsid w:val="0071194A"/>
    <w:rsid w:val="00711BD4"/>
    <w:rsid w:val="00711E11"/>
    <w:rsid w:val="00712079"/>
    <w:rsid w:val="007120B0"/>
    <w:rsid w:val="00712170"/>
    <w:rsid w:val="00712397"/>
    <w:rsid w:val="007123B9"/>
    <w:rsid w:val="007125C9"/>
    <w:rsid w:val="00712782"/>
    <w:rsid w:val="00712908"/>
    <w:rsid w:val="00712929"/>
    <w:rsid w:val="007129EC"/>
    <w:rsid w:val="00712A13"/>
    <w:rsid w:val="00712A41"/>
    <w:rsid w:val="00712AA1"/>
    <w:rsid w:val="0071302F"/>
    <w:rsid w:val="007130FC"/>
    <w:rsid w:val="00713284"/>
    <w:rsid w:val="0071360B"/>
    <w:rsid w:val="0071368B"/>
    <w:rsid w:val="00713726"/>
    <w:rsid w:val="007138E6"/>
    <w:rsid w:val="00713958"/>
    <w:rsid w:val="00713A4B"/>
    <w:rsid w:val="00713B77"/>
    <w:rsid w:val="00713BE4"/>
    <w:rsid w:val="00713FA2"/>
    <w:rsid w:val="00713FD2"/>
    <w:rsid w:val="007142B5"/>
    <w:rsid w:val="0071447B"/>
    <w:rsid w:val="0071453E"/>
    <w:rsid w:val="007148AF"/>
    <w:rsid w:val="0071490C"/>
    <w:rsid w:val="00714920"/>
    <w:rsid w:val="00714A4E"/>
    <w:rsid w:val="00714A8E"/>
    <w:rsid w:val="00714B9C"/>
    <w:rsid w:val="00714C7A"/>
    <w:rsid w:val="00714FE2"/>
    <w:rsid w:val="007150A7"/>
    <w:rsid w:val="00715164"/>
    <w:rsid w:val="007151E7"/>
    <w:rsid w:val="007152C9"/>
    <w:rsid w:val="00715316"/>
    <w:rsid w:val="00715470"/>
    <w:rsid w:val="0071571E"/>
    <w:rsid w:val="00715765"/>
    <w:rsid w:val="0071582A"/>
    <w:rsid w:val="00715A1C"/>
    <w:rsid w:val="00715B50"/>
    <w:rsid w:val="00715BE4"/>
    <w:rsid w:val="00715C89"/>
    <w:rsid w:val="00715F32"/>
    <w:rsid w:val="0071620C"/>
    <w:rsid w:val="007163B0"/>
    <w:rsid w:val="00716440"/>
    <w:rsid w:val="0071650D"/>
    <w:rsid w:val="00716610"/>
    <w:rsid w:val="007166C1"/>
    <w:rsid w:val="00716762"/>
    <w:rsid w:val="007167A3"/>
    <w:rsid w:val="0071691F"/>
    <w:rsid w:val="0071696A"/>
    <w:rsid w:val="00716D4A"/>
    <w:rsid w:val="00717172"/>
    <w:rsid w:val="007171F0"/>
    <w:rsid w:val="00717246"/>
    <w:rsid w:val="0071729E"/>
    <w:rsid w:val="007174EA"/>
    <w:rsid w:val="00717617"/>
    <w:rsid w:val="007176C4"/>
    <w:rsid w:val="007178E8"/>
    <w:rsid w:val="0071791F"/>
    <w:rsid w:val="00717A8E"/>
    <w:rsid w:val="00717E4E"/>
    <w:rsid w:val="00720234"/>
    <w:rsid w:val="00720286"/>
    <w:rsid w:val="007203DF"/>
    <w:rsid w:val="007205DF"/>
    <w:rsid w:val="007205F4"/>
    <w:rsid w:val="0072061C"/>
    <w:rsid w:val="0072085A"/>
    <w:rsid w:val="007208FB"/>
    <w:rsid w:val="00720BA1"/>
    <w:rsid w:val="00720BEA"/>
    <w:rsid w:val="00720CC1"/>
    <w:rsid w:val="00720D0D"/>
    <w:rsid w:val="00720E3B"/>
    <w:rsid w:val="00720E48"/>
    <w:rsid w:val="00720F06"/>
    <w:rsid w:val="00720F70"/>
    <w:rsid w:val="0072106F"/>
    <w:rsid w:val="00721129"/>
    <w:rsid w:val="0072124D"/>
    <w:rsid w:val="007213B9"/>
    <w:rsid w:val="0072146F"/>
    <w:rsid w:val="00721548"/>
    <w:rsid w:val="0072159F"/>
    <w:rsid w:val="007216A3"/>
    <w:rsid w:val="0072199F"/>
    <w:rsid w:val="00721CF9"/>
    <w:rsid w:val="00721D16"/>
    <w:rsid w:val="00721DE9"/>
    <w:rsid w:val="007224F1"/>
    <w:rsid w:val="0072254A"/>
    <w:rsid w:val="007228E1"/>
    <w:rsid w:val="00722916"/>
    <w:rsid w:val="007229A1"/>
    <w:rsid w:val="00722A7E"/>
    <w:rsid w:val="00722C0D"/>
    <w:rsid w:val="00722D17"/>
    <w:rsid w:val="00722D65"/>
    <w:rsid w:val="00722EA3"/>
    <w:rsid w:val="00722F8B"/>
    <w:rsid w:val="00723099"/>
    <w:rsid w:val="007230E7"/>
    <w:rsid w:val="007230F0"/>
    <w:rsid w:val="00723326"/>
    <w:rsid w:val="0072352D"/>
    <w:rsid w:val="00723740"/>
    <w:rsid w:val="00723838"/>
    <w:rsid w:val="00723B9D"/>
    <w:rsid w:val="00723C26"/>
    <w:rsid w:val="00723C85"/>
    <w:rsid w:val="00723C96"/>
    <w:rsid w:val="00724054"/>
    <w:rsid w:val="007243F7"/>
    <w:rsid w:val="00724506"/>
    <w:rsid w:val="007246E0"/>
    <w:rsid w:val="0072484C"/>
    <w:rsid w:val="0072488B"/>
    <w:rsid w:val="007248B0"/>
    <w:rsid w:val="00724C0D"/>
    <w:rsid w:val="00724D5E"/>
    <w:rsid w:val="00724F69"/>
    <w:rsid w:val="007251BF"/>
    <w:rsid w:val="007252CD"/>
    <w:rsid w:val="00725404"/>
    <w:rsid w:val="00725451"/>
    <w:rsid w:val="007255B0"/>
    <w:rsid w:val="007255BC"/>
    <w:rsid w:val="007256C3"/>
    <w:rsid w:val="007257EC"/>
    <w:rsid w:val="00725998"/>
    <w:rsid w:val="0072599B"/>
    <w:rsid w:val="00725A66"/>
    <w:rsid w:val="00725B09"/>
    <w:rsid w:val="00725B8C"/>
    <w:rsid w:val="00725CF1"/>
    <w:rsid w:val="00725D2D"/>
    <w:rsid w:val="00726109"/>
    <w:rsid w:val="00726570"/>
    <w:rsid w:val="007266CB"/>
    <w:rsid w:val="007267A6"/>
    <w:rsid w:val="00726A79"/>
    <w:rsid w:val="00726ACD"/>
    <w:rsid w:val="00726B55"/>
    <w:rsid w:val="00726B91"/>
    <w:rsid w:val="00726CC5"/>
    <w:rsid w:val="00726CC8"/>
    <w:rsid w:val="00726D2F"/>
    <w:rsid w:val="0072704E"/>
    <w:rsid w:val="007270B0"/>
    <w:rsid w:val="007272D7"/>
    <w:rsid w:val="00727971"/>
    <w:rsid w:val="00727BD5"/>
    <w:rsid w:val="00727F5C"/>
    <w:rsid w:val="00727F7B"/>
    <w:rsid w:val="00727FEA"/>
    <w:rsid w:val="00730067"/>
    <w:rsid w:val="007300E5"/>
    <w:rsid w:val="0073018F"/>
    <w:rsid w:val="00730242"/>
    <w:rsid w:val="007302EC"/>
    <w:rsid w:val="007304C1"/>
    <w:rsid w:val="00730590"/>
    <w:rsid w:val="007305A4"/>
    <w:rsid w:val="00730A3F"/>
    <w:rsid w:val="00730B25"/>
    <w:rsid w:val="00730B8E"/>
    <w:rsid w:val="00730C5A"/>
    <w:rsid w:val="00730ECA"/>
    <w:rsid w:val="00731211"/>
    <w:rsid w:val="007313F4"/>
    <w:rsid w:val="007314A8"/>
    <w:rsid w:val="007319E6"/>
    <w:rsid w:val="00731B12"/>
    <w:rsid w:val="00731BD9"/>
    <w:rsid w:val="00731CEE"/>
    <w:rsid w:val="00731E68"/>
    <w:rsid w:val="00731EAB"/>
    <w:rsid w:val="00731F6D"/>
    <w:rsid w:val="00732206"/>
    <w:rsid w:val="007322DC"/>
    <w:rsid w:val="0073238E"/>
    <w:rsid w:val="00732479"/>
    <w:rsid w:val="0073248B"/>
    <w:rsid w:val="007324C2"/>
    <w:rsid w:val="0073275A"/>
    <w:rsid w:val="00732787"/>
    <w:rsid w:val="00732814"/>
    <w:rsid w:val="0073281F"/>
    <w:rsid w:val="007328C4"/>
    <w:rsid w:val="00732A74"/>
    <w:rsid w:val="00732A8C"/>
    <w:rsid w:val="00732C26"/>
    <w:rsid w:val="00732C94"/>
    <w:rsid w:val="00732CD1"/>
    <w:rsid w:val="00732D90"/>
    <w:rsid w:val="00732F82"/>
    <w:rsid w:val="0073305B"/>
    <w:rsid w:val="0073327A"/>
    <w:rsid w:val="007337B5"/>
    <w:rsid w:val="007337B7"/>
    <w:rsid w:val="00733842"/>
    <w:rsid w:val="007338DF"/>
    <w:rsid w:val="0073391B"/>
    <w:rsid w:val="00733A34"/>
    <w:rsid w:val="00733ACF"/>
    <w:rsid w:val="00733C5D"/>
    <w:rsid w:val="00733E63"/>
    <w:rsid w:val="00733E8D"/>
    <w:rsid w:val="00734026"/>
    <w:rsid w:val="007340D3"/>
    <w:rsid w:val="0073417C"/>
    <w:rsid w:val="0073438E"/>
    <w:rsid w:val="00734470"/>
    <w:rsid w:val="007345AE"/>
    <w:rsid w:val="007348AF"/>
    <w:rsid w:val="00734A59"/>
    <w:rsid w:val="00734BBC"/>
    <w:rsid w:val="00734CB9"/>
    <w:rsid w:val="00734DB1"/>
    <w:rsid w:val="0073527F"/>
    <w:rsid w:val="007355D6"/>
    <w:rsid w:val="00735622"/>
    <w:rsid w:val="00735725"/>
    <w:rsid w:val="00735851"/>
    <w:rsid w:val="007358AB"/>
    <w:rsid w:val="007358F7"/>
    <w:rsid w:val="00735A69"/>
    <w:rsid w:val="00735A8C"/>
    <w:rsid w:val="00735AB9"/>
    <w:rsid w:val="00735D5C"/>
    <w:rsid w:val="0073607E"/>
    <w:rsid w:val="007362A6"/>
    <w:rsid w:val="007362C4"/>
    <w:rsid w:val="0073635D"/>
    <w:rsid w:val="00736413"/>
    <w:rsid w:val="00736559"/>
    <w:rsid w:val="007366F8"/>
    <w:rsid w:val="007369E7"/>
    <w:rsid w:val="00736A27"/>
    <w:rsid w:val="00736BB2"/>
    <w:rsid w:val="00736BB6"/>
    <w:rsid w:val="00736CD1"/>
    <w:rsid w:val="00736E23"/>
    <w:rsid w:val="00736EA2"/>
    <w:rsid w:val="00736EBE"/>
    <w:rsid w:val="00736EFA"/>
    <w:rsid w:val="00737199"/>
    <w:rsid w:val="0073722F"/>
    <w:rsid w:val="0073744E"/>
    <w:rsid w:val="007374E6"/>
    <w:rsid w:val="00737643"/>
    <w:rsid w:val="00737696"/>
    <w:rsid w:val="007378F9"/>
    <w:rsid w:val="00737939"/>
    <w:rsid w:val="00737A53"/>
    <w:rsid w:val="00737AB3"/>
    <w:rsid w:val="00737B60"/>
    <w:rsid w:val="00737BA6"/>
    <w:rsid w:val="00737CBA"/>
    <w:rsid w:val="0074004D"/>
    <w:rsid w:val="00740050"/>
    <w:rsid w:val="007400DA"/>
    <w:rsid w:val="00740208"/>
    <w:rsid w:val="00740292"/>
    <w:rsid w:val="007404E5"/>
    <w:rsid w:val="00740524"/>
    <w:rsid w:val="007405F1"/>
    <w:rsid w:val="00740845"/>
    <w:rsid w:val="0074093C"/>
    <w:rsid w:val="00740A99"/>
    <w:rsid w:val="00740B2A"/>
    <w:rsid w:val="00740BA7"/>
    <w:rsid w:val="00740C43"/>
    <w:rsid w:val="00740CD7"/>
    <w:rsid w:val="0074101B"/>
    <w:rsid w:val="00741031"/>
    <w:rsid w:val="00741044"/>
    <w:rsid w:val="0074104A"/>
    <w:rsid w:val="0074104E"/>
    <w:rsid w:val="0074105E"/>
    <w:rsid w:val="00741097"/>
    <w:rsid w:val="007410A7"/>
    <w:rsid w:val="0074168E"/>
    <w:rsid w:val="007417C3"/>
    <w:rsid w:val="007417C5"/>
    <w:rsid w:val="0074186A"/>
    <w:rsid w:val="00741953"/>
    <w:rsid w:val="00741BDE"/>
    <w:rsid w:val="00741C24"/>
    <w:rsid w:val="00741CC9"/>
    <w:rsid w:val="00741EEB"/>
    <w:rsid w:val="00742329"/>
    <w:rsid w:val="00742954"/>
    <w:rsid w:val="00742AAD"/>
    <w:rsid w:val="00742B14"/>
    <w:rsid w:val="00742C63"/>
    <w:rsid w:val="00742DEA"/>
    <w:rsid w:val="00742F11"/>
    <w:rsid w:val="00742F33"/>
    <w:rsid w:val="00742F7D"/>
    <w:rsid w:val="00742FAD"/>
    <w:rsid w:val="00743030"/>
    <w:rsid w:val="007431DA"/>
    <w:rsid w:val="007433B9"/>
    <w:rsid w:val="007434D0"/>
    <w:rsid w:val="0074362A"/>
    <w:rsid w:val="007437D8"/>
    <w:rsid w:val="00743869"/>
    <w:rsid w:val="00743B8D"/>
    <w:rsid w:val="00743BB8"/>
    <w:rsid w:val="00743BEF"/>
    <w:rsid w:val="00743C1D"/>
    <w:rsid w:val="00743EB0"/>
    <w:rsid w:val="00744307"/>
    <w:rsid w:val="007443A6"/>
    <w:rsid w:val="00744471"/>
    <w:rsid w:val="0074491E"/>
    <w:rsid w:val="00744940"/>
    <w:rsid w:val="00744AA5"/>
    <w:rsid w:val="00744F72"/>
    <w:rsid w:val="00745130"/>
    <w:rsid w:val="007451DC"/>
    <w:rsid w:val="00745398"/>
    <w:rsid w:val="0074544C"/>
    <w:rsid w:val="007454ED"/>
    <w:rsid w:val="0074552B"/>
    <w:rsid w:val="007455B3"/>
    <w:rsid w:val="007457C5"/>
    <w:rsid w:val="00745D2F"/>
    <w:rsid w:val="00745D4A"/>
    <w:rsid w:val="00745D91"/>
    <w:rsid w:val="00745DA8"/>
    <w:rsid w:val="00745F32"/>
    <w:rsid w:val="00745F87"/>
    <w:rsid w:val="0074634D"/>
    <w:rsid w:val="007464D8"/>
    <w:rsid w:val="00746527"/>
    <w:rsid w:val="00746544"/>
    <w:rsid w:val="00746596"/>
    <w:rsid w:val="007465A4"/>
    <w:rsid w:val="007467E2"/>
    <w:rsid w:val="00746940"/>
    <w:rsid w:val="007469A8"/>
    <w:rsid w:val="00746A0A"/>
    <w:rsid w:val="00746B1A"/>
    <w:rsid w:val="00746B37"/>
    <w:rsid w:val="00746BD4"/>
    <w:rsid w:val="00746D38"/>
    <w:rsid w:val="00746EDA"/>
    <w:rsid w:val="00747041"/>
    <w:rsid w:val="00747149"/>
    <w:rsid w:val="007473B7"/>
    <w:rsid w:val="007474B9"/>
    <w:rsid w:val="0074763D"/>
    <w:rsid w:val="007476B2"/>
    <w:rsid w:val="007477C1"/>
    <w:rsid w:val="00747C69"/>
    <w:rsid w:val="00747D56"/>
    <w:rsid w:val="00747F22"/>
    <w:rsid w:val="00750051"/>
    <w:rsid w:val="007500A7"/>
    <w:rsid w:val="007500C9"/>
    <w:rsid w:val="00750405"/>
    <w:rsid w:val="00750445"/>
    <w:rsid w:val="0075050C"/>
    <w:rsid w:val="007505BD"/>
    <w:rsid w:val="007506B5"/>
    <w:rsid w:val="00750820"/>
    <w:rsid w:val="00750991"/>
    <w:rsid w:val="00750A34"/>
    <w:rsid w:val="00750A80"/>
    <w:rsid w:val="00750B7C"/>
    <w:rsid w:val="00750B86"/>
    <w:rsid w:val="00750B89"/>
    <w:rsid w:val="00750CDE"/>
    <w:rsid w:val="00750E16"/>
    <w:rsid w:val="00750F5C"/>
    <w:rsid w:val="007512B7"/>
    <w:rsid w:val="00751354"/>
    <w:rsid w:val="00751475"/>
    <w:rsid w:val="007516AB"/>
    <w:rsid w:val="00751929"/>
    <w:rsid w:val="0075194F"/>
    <w:rsid w:val="007519FA"/>
    <w:rsid w:val="00751BD1"/>
    <w:rsid w:val="00751F0D"/>
    <w:rsid w:val="00752747"/>
    <w:rsid w:val="007528C1"/>
    <w:rsid w:val="007529BF"/>
    <w:rsid w:val="007529ED"/>
    <w:rsid w:val="00752B10"/>
    <w:rsid w:val="00752B6C"/>
    <w:rsid w:val="00752D29"/>
    <w:rsid w:val="00752D40"/>
    <w:rsid w:val="00752E2D"/>
    <w:rsid w:val="00752F9B"/>
    <w:rsid w:val="00753148"/>
    <w:rsid w:val="0075323F"/>
    <w:rsid w:val="0075328F"/>
    <w:rsid w:val="00753400"/>
    <w:rsid w:val="0075347F"/>
    <w:rsid w:val="00753513"/>
    <w:rsid w:val="00754088"/>
    <w:rsid w:val="00754094"/>
    <w:rsid w:val="007540CF"/>
    <w:rsid w:val="0075410A"/>
    <w:rsid w:val="007541FA"/>
    <w:rsid w:val="00754D00"/>
    <w:rsid w:val="00754DDE"/>
    <w:rsid w:val="00754DEE"/>
    <w:rsid w:val="00754FC9"/>
    <w:rsid w:val="007551E0"/>
    <w:rsid w:val="00755228"/>
    <w:rsid w:val="007552C0"/>
    <w:rsid w:val="0075535A"/>
    <w:rsid w:val="00755407"/>
    <w:rsid w:val="007554E7"/>
    <w:rsid w:val="007555FB"/>
    <w:rsid w:val="007558F5"/>
    <w:rsid w:val="0075592B"/>
    <w:rsid w:val="00755973"/>
    <w:rsid w:val="00755D61"/>
    <w:rsid w:val="00755D96"/>
    <w:rsid w:val="00755DE4"/>
    <w:rsid w:val="00755ECA"/>
    <w:rsid w:val="00755FB3"/>
    <w:rsid w:val="007560D0"/>
    <w:rsid w:val="007561B8"/>
    <w:rsid w:val="0075642B"/>
    <w:rsid w:val="00756454"/>
    <w:rsid w:val="007565A4"/>
    <w:rsid w:val="007567CB"/>
    <w:rsid w:val="007568E8"/>
    <w:rsid w:val="00756A84"/>
    <w:rsid w:val="00756F6E"/>
    <w:rsid w:val="00756F8B"/>
    <w:rsid w:val="00756FD3"/>
    <w:rsid w:val="00757100"/>
    <w:rsid w:val="007572D9"/>
    <w:rsid w:val="00757338"/>
    <w:rsid w:val="0075745F"/>
    <w:rsid w:val="0075765A"/>
    <w:rsid w:val="0075765E"/>
    <w:rsid w:val="007576F7"/>
    <w:rsid w:val="0075789E"/>
    <w:rsid w:val="007579CA"/>
    <w:rsid w:val="00757BF1"/>
    <w:rsid w:val="00757D19"/>
    <w:rsid w:val="00757DA1"/>
    <w:rsid w:val="00757FB0"/>
    <w:rsid w:val="00760096"/>
    <w:rsid w:val="007600CC"/>
    <w:rsid w:val="007601C3"/>
    <w:rsid w:val="007601C8"/>
    <w:rsid w:val="007602E6"/>
    <w:rsid w:val="00760496"/>
    <w:rsid w:val="00760544"/>
    <w:rsid w:val="0076073A"/>
    <w:rsid w:val="00760783"/>
    <w:rsid w:val="007609F0"/>
    <w:rsid w:val="00760A1C"/>
    <w:rsid w:val="00760A4B"/>
    <w:rsid w:val="00760AF2"/>
    <w:rsid w:val="00760C89"/>
    <w:rsid w:val="00760D51"/>
    <w:rsid w:val="00760E17"/>
    <w:rsid w:val="00760F64"/>
    <w:rsid w:val="0076107E"/>
    <w:rsid w:val="0076123A"/>
    <w:rsid w:val="00761584"/>
    <w:rsid w:val="00761901"/>
    <w:rsid w:val="00761903"/>
    <w:rsid w:val="00761A0F"/>
    <w:rsid w:val="00761B40"/>
    <w:rsid w:val="00761BB7"/>
    <w:rsid w:val="0076206E"/>
    <w:rsid w:val="00762209"/>
    <w:rsid w:val="00762328"/>
    <w:rsid w:val="00762405"/>
    <w:rsid w:val="007624E3"/>
    <w:rsid w:val="007624E6"/>
    <w:rsid w:val="0076253A"/>
    <w:rsid w:val="00762545"/>
    <w:rsid w:val="00762667"/>
    <w:rsid w:val="007626E9"/>
    <w:rsid w:val="0076275B"/>
    <w:rsid w:val="0076275F"/>
    <w:rsid w:val="007627A2"/>
    <w:rsid w:val="007627BC"/>
    <w:rsid w:val="007628B0"/>
    <w:rsid w:val="00762AF2"/>
    <w:rsid w:val="00762B5E"/>
    <w:rsid w:val="00762BDD"/>
    <w:rsid w:val="00762C37"/>
    <w:rsid w:val="00762F83"/>
    <w:rsid w:val="007630C2"/>
    <w:rsid w:val="007633D7"/>
    <w:rsid w:val="00763404"/>
    <w:rsid w:val="00763561"/>
    <w:rsid w:val="007635C5"/>
    <w:rsid w:val="00763729"/>
    <w:rsid w:val="0076372B"/>
    <w:rsid w:val="007638F9"/>
    <w:rsid w:val="00763A53"/>
    <w:rsid w:val="00764299"/>
    <w:rsid w:val="00764368"/>
    <w:rsid w:val="00764720"/>
    <w:rsid w:val="007647FF"/>
    <w:rsid w:val="00764A06"/>
    <w:rsid w:val="00764B0B"/>
    <w:rsid w:val="00764B4E"/>
    <w:rsid w:val="00764CF9"/>
    <w:rsid w:val="00764D9B"/>
    <w:rsid w:val="00764E0C"/>
    <w:rsid w:val="0076514F"/>
    <w:rsid w:val="00765472"/>
    <w:rsid w:val="00765484"/>
    <w:rsid w:val="0076552F"/>
    <w:rsid w:val="00765567"/>
    <w:rsid w:val="00765588"/>
    <w:rsid w:val="0076558A"/>
    <w:rsid w:val="00765787"/>
    <w:rsid w:val="00765799"/>
    <w:rsid w:val="00765B71"/>
    <w:rsid w:val="00765BD0"/>
    <w:rsid w:val="00765CC8"/>
    <w:rsid w:val="00765CE7"/>
    <w:rsid w:val="00765D0B"/>
    <w:rsid w:val="00765DBF"/>
    <w:rsid w:val="00765DF1"/>
    <w:rsid w:val="00765E02"/>
    <w:rsid w:val="00765FCE"/>
    <w:rsid w:val="00766088"/>
    <w:rsid w:val="007660E3"/>
    <w:rsid w:val="0076630D"/>
    <w:rsid w:val="007664AB"/>
    <w:rsid w:val="0076666D"/>
    <w:rsid w:val="007666EB"/>
    <w:rsid w:val="007667FE"/>
    <w:rsid w:val="00766ACD"/>
    <w:rsid w:val="00766B06"/>
    <w:rsid w:val="00766B1B"/>
    <w:rsid w:val="00766B49"/>
    <w:rsid w:val="00766BCE"/>
    <w:rsid w:val="00766BFC"/>
    <w:rsid w:val="00766CE8"/>
    <w:rsid w:val="00766D66"/>
    <w:rsid w:val="00766DBF"/>
    <w:rsid w:val="00766E39"/>
    <w:rsid w:val="00766E94"/>
    <w:rsid w:val="00767158"/>
    <w:rsid w:val="0076723E"/>
    <w:rsid w:val="00767256"/>
    <w:rsid w:val="00767296"/>
    <w:rsid w:val="00767346"/>
    <w:rsid w:val="007673B6"/>
    <w:rsid w:val="0076789E"/>
    <w:rsid w:val="007678FF"/>
    <w:rsid w:val="007679B2"/>
    <w:rsid w:val="00767A04"/>
    <w:rsid w:val="00767B9C"/>
    <w:rsid w:val="00767CA7"/>
    <w:rsid w:val="00767D10"/>
    <w:rsid w:val="00767D9A"/>
    <w:rsid w:val="00767EDB"/>
    <w:rsid w:val="00767FDF"/>
    <w:rsid w:val="0077016B"/>
    <w:rsid w:val="0077050D"/>
    <w:rsid w:val="0077057F"/>
    <w:rsid w:val="007705FF"/>
    <w:rsid w:val="007706A4"/>
    <w:rsid w:val="007708C7"/>
    <w:rsid w:val="00770A63"/>
    <w:rsid w:val="00770ADE"/>
    <w:rsid w:val="00770B16"/>
    <w:rsid w:val="00770CBD"/>
    <w:rsid w:val="00770D62"/>
    <w:rsid w:val="00770DF1"/>
    <w:rsid w:val="00770E1D"/>
    <w:rsid w:val="00770F5F"/>
    <w:rsid w:val="00771035"/>
    <w:rsid w:val="00771073"/>
    <w:rsid w:val="00771323"/>
    <w:rsid w:val="00771568"/>
    <w:rsid w:val="0077167F"/>
    <w:rsid w:val="00771836"/>
    <w:rsid w:val="00771881"/>
    <w:rsid w:val="007719BE"/>
    <w:rsid w:val="00771A5A"/>
    <w:rsid w:val="00771B43"/>
    <w:rsid w:val="00771B57"/>
    <w:rsid w:val="00771E22"/>
    <w:rsid w:val="0077200C"/>
    <w:rsid w:val="00772151"/>
    <w:rsid w:val="0077219D"/>
    <w:rsid w:val="0077244B"/>
    <w:rsid w:val="007724F2"/>
    <w:rsid w:val="00772650"/>
    <w:rsid w:val="0077282B"/>
    <w:rsid w:val="007728B3"/>
    <w:rsid w:val="007728D1"/>
    <w:rsid w:val="007728F3"/>
    <w:rsid w:val="00772FDD"/>
    <w:rsid w:val="00772FF2"/>
    <w:rsid w:val="00773044"/>
    <w:rsid w:val="007734E4"/>
    <w:rsid w:val="00773596"/>
    <w:rsid w:val="007736D7"/>
    <w:rsid w:val="00773757"/>
    <w:rsid w:val="007737D6"/>
    <w:rsid w:val="00773A04"/>
    <w:rsid w:val="00773C42"/>
    <w:rsid w:val="00773C89"/>
    <w:rsid w:val="00773EFB"/>
    <w:rsid w:val="00773F1E"/>
    <w:rsid w:val="00774265"/>
    <w:rsid w:val="00774584"/>
    <w:rsid w:val="007745EC"/>
    <w:rsid w:val="007746C4"/>
    <w:rsid w:val="00774753"/>
    <w:rsid w:val="00774845"/>
    <w:rsid w:val="007748D8"/>
    <w:rsid w:val="00774C96"/>
    <w:rsid w:val="00774E89"/>
    <w:rsid w:val="00774EC1"/>
    <w:rsid w:val="00774ED6"/>
    <w:rsid w:val="00775260"/>
    <w:rsid w:val="007752E1"/>
    <w:rsid w:val="007753D7"/>
    <w:rsid w:val="007755BE"/>
    <w:rsid w:val="007756DA"/>
    <w:rsid w:val="0077582B"/>
    <w:rsid w:val="00775CE5"/>
    <w:rsid w:val="00775E25"/>
    <w:rsid w:val="00776136"/>
    <w:rsid w:val="007761ED"/>
    <w:rsid w:val="007762A3"/>
    <w:rsid w:val="007762AB"/>
    <w:rsid w:val="007764D2"/>
    <w:rsid w:val="00776602"/>
    <w:rsid w:val="00776799"/>
    <w:rsid w:val="0077683A"/>
    <w:rsid w:val="00776934"/>
    <w:rsid w:val="007769F2"/>
    <w:rsid w:val="00776B9A"/>
    <w:rsid w:val="00776C69"/>
    <w:rsid w:val="00776CF1"/>
    <w:rsid w:val="00776DE7"/>
    <w:rsid w:val="00776EC6"/>
    <w:rsid w:val="00776FD0"/>
    <w:rsid w:val="00777246"/>
    <w:rsid w:val="007772CF"/>
    <w:rsid w:val="007773D5"/>
    <w:rsid w:val="0077752E"/>
    <w:rsid w:val="007776D2"/>
    <w:rsid w:val="00777733"/>
    <w:rsid w:val="00777860"/>
    <w:rsid w:val="00777975"/>
    <w:rsid w:val="00777B7E"/>
    <w:rsid w:val="00777BC4"/>
    <w:rsid w:val="00777C20"/>
    <w:rsid w:val="00777FE9"/>
    <w:rsid w:val="00780089"/>
    <w:rsid w:val="007801A8"/>
    <w:rsid w:val="00780201"/>
    <w:rsid w:val="007804AE"/>
    <w:rsid w:val="007804E3"/>
    <w:rsid w:val="00780620"/>
    <w:rsid w:val="00780716"/>
    <w:rsid w:val="00780ED3"/>
    <w:rsid w:val="00780F87"/>
    <w:rsid w:val="00781093"/>
    <w:rsid w:val="00781525"/>
    <w:rsid w:val="0078163D"/>
    <w:rsid w:val="00781658"/>
    <w:rsid w:val="007816B4"/>
    <w:rsid w:val="0078177E"/>
    <w:rsid w:val="00781881"/>
    <w:rsid w:val="00781999"/>
    <w:rsid w:val="007819AF"/>
    <w:rsid w:val="00781A35"/>
    <w:rsid w:val="00781A47"/>
    <w:rsid w:val="00781B20"/>
    <w:rsid w:val="00781D98"/>
    <w:rsid w:val="00781DD1"/>
    <w:rsid w:val="00781E9F"/>
    <w:rsid w:val="00781F31"/>
    <w:rsid w:val="00782085"/>
    <w:rsid w:val="007820BD"/>
    <w:rsid w:val="007820E1"/>
    <w:rsid w:val="007820EB"/>
    <w:rsid w:val="0078225D"/>
    <w:rsid w:val="0078269B"/>
    <w:rsid w:val="00782867"/>
    <w:rsid w:val="0078286F"/>
    <w:rsid w:val="0078297C"/>
    <w:rsid w:val="007829EA"/>
    <w:rsid w:val="00782BE2"/>
    <w:rsid w:val="00782BEA"/>
    <w:rsid w:val="00782C1C"/>
    <w:rsid w:val="00782C66"/>
    <w:rsid w:val="00782CA2"/>
    <w:rsid w:val="00782DEE"/>
    <w:rsid w:val="00782F22"/>
    <w:rsid w:val="00783028"/>
    <w:rsid w:val="007830D9"/>
    <w:rsid w:val="00783145"/>
    <w:rsid w:val="0078322A"/>
    <w:rsid w:val="0078326A"/>
    <w:rsid w:val="0078329D"/>
    <w:rsid w:val="00783590"/>
    <w:rsid w:val="00783805"/>
    <w:rsid w:val="0078385F"/>
    <w:rsid w:val="00783903"/>
    <w:rsid w:val="00783B70"/>
    <w:rsid w:val="00783B7A"/>
    <w:rsid w:val="00783CAD"/>
    <w:rsid w:val="00783D55"/>
    <w:rsid w:val="00783D78"/>
    <w:rsid w:val="00783F66"/>
    <w:rsid w:val="00783FA8"/>
    <w:rsid w:val="00783FCD"/>
    <w:rsid w:val="0078421F"/>
    <w:rsid w:val="007842B7"/>
    <w:rsid w:val="00784369"/>
    <w:rsid w:val="00784480"/>
    <w:rsid w:val="0078458E"/>
    <w:rsid w:val="00784660"/>
    <w:rsid w:val="00784864"/>
    <w:rsid w:val="00784C0D"/>
    <w:rsid w:val="00785091"/>
    <w:rsid w:val="0078514D"/>
    <w:rsid w:val="00785193"/>
    <w:rsid w:val="007852F0"/>
    <w:rsid w:val="0078541C"/>
    <w:rsid w:val="007855E6"/>
    <w:rsid w:val="0078573E"/>
    <w:rsid w:val="00785821"/>
    <w:rsid w:val="007859E1"/>
    <w:rsid w:val="00785BC3"/>
    <w:rsid w:val="00785BD9"/>
    <w:rsid w:val="00785C99"/>
    <w:rsid w:val="00785D97"/>
    <w:rsid w:val="00785E4C"/>
    <w:rsid w:val="00786019"/>
    <w:rsid w:val="00786084"/>
    <w:rsid w:val="0078615D"/>
    <w:rsid w:val="007864BC"/>
    <w:rsid w:val="00786538"/>
    <w:rsid w:val="007865BD"/>
    <w:rsid w:val="007865DE"/>
    <w:rsid w:val="00786616"/>
    <w:rsid w:val="00786635"/>
    <w:rsid w:val="0078666F"/>
    <w:rsid w:val="0078673D"/>
    <w:rsid w:val="007867B4"/>
    <w:rsid w:val="00786877"/>
    <w:rsid w:val="007868BE"/>
    <w:rsid w:val="00786B67"/>
    <w:rsid w:val="00786B71"/>
    <w:rsid w:val="00786BE0"/>
    <w:rsid w:val="00786DFD"/>
    <w:rsid w:val="00786E04"/>
    <w:rsid w:val="0078701E"/>
    <w:rsid w:val="0078702A"/>
    <w:rsid w:val="007871F1"/>
    <w:rsid w:val="007872DC"/>
    <w:rsid w:val="0078744F"/>
    <w:rsid w:val="00787492"/>
    <w:rsid w:val="00787588"/>
    <w:rsid w:val="007878CF"/>
    <w:rsid w:val="00787927"/>
    <w:rsid w:val="0078798B"/>
    <w:rsid w:val="00787F95"/>
    <w:rsid w:val="007901B0"/>
    <w:rsid w:val="0079022E"/>
    <w:rsid w:val="00790441"/>
    <w:rsid w:val="00790487"/>
    <w:rsid w:val="007905F2"/>
    <w:rsid w:val="0079074F"/>
    <w:rsid w:val="007907A3"/>
    <w:rsid w:val="0079082D"/>
    <w:rsid w:val="0079099B"/>
    <w:rsid w:val="00790A08"/>
    <w:rsid w:val="00790AC6"/>
    <w:rsid w:val="00790D9E"/>
    <w:rsid w:val="00790E0B"/>
    <w:rsid w:val="00790E57"/>
    <w:rsid w:val="00791095"/>
    <w:rsid w:val="007910D4"/>
    <w:rsid w:val="00791218"/>
    <w:rsid w:val="00791256"/>
    <w:rsid w:val="007912C7"/>
    <w:rsid w:val="007913FC"/>
    <w:rsid w:val="00791462"/>
    <w:rsid w:val="007915DA"/>
    <w:rsid w:val="007917CA"/>
    <w:rsid w:val="00791803"/>
    <w:rsid w:val="00791A86"/>
    <w:rsid w:val="00791ABE"/>
    <w:rsid w:val="00791BF7"/>
    <w:rsid w:val="00791C97"/>
    <w:rsid w:val="00791E35"/>
    <w:rsid w:val="00791E5D"/>
    <w:rsid w:val="00791E71"/>
    <w:rsid w:val="00791EA7"/>
    <w:rsid w:val="00792096"/>
    <w:rsid w:val="007920C0"/>
    <w:rsid w:val="0079270B"/>
    <w:rsid w:val="007928A0"/>
    <w:rsid w:val="007928A8"/>
    <w:rsid w:val="0079294E"/>
    <w:rsid w:val="00792CCF"/>
    <w:rsid w:val="00792DA1"/>
    <w:rsid w:val="0079316F"/>
    <w:rsid w:val="007931DF"/>
    <w:rsid w:val="00793292"/>
    <w:rsid w:val="0079344C"/>
    <w:rsid w:val="007934A4"/>
    <w:rsid w:val="007937FD"/>
    <w:rsid w:val="007938D0"/>
    <w:rsid w:val="0079399C"/>
    <w:rsid w:val="007939B5"/>
    <w:rsid w:val="00793AB8"/>
    <w:rsid w:val="00793C15"/>
    <w:rsid w:val="00793DA2"/>
    <w:rsid w:val="00793EC1"/>
    <w:rsid w:val="00793F64"/>
    <w:rsid w:val="00794099"/>
    <w:rsid w:val="00794127"/>
    <w:rsid w:val="007943AE"/>
    <w:rsid w:val="007944DF"/>
    <w:rsid w:val="0079469B"/>
    <w:rsid w:val="007946B5"/>
    <w:rsid w:val="00794720"/>
    <w:rsid w:val="007947B7"/>
    <w:rsid w:val="00794944"/>
    <w:rsid w:val="00794A05"/>
    <w:rsid w:val="00794A3D"/>
    <w:rsid w:val="00794AF3"/>
    <w:rsid w:val="00794BAB"/>
    <w:rsid w:val="00794C18"/>
    <w:rsid w:val="00794CB0"/>
    <w:rsid w:val="00794D1A"/>
    <w:rsid w:val="00794E8B"/>
    <w:rsid w:val="00795109"/>
    <w:rsid w:val="0079515F"/>
    <w:rsid w:val="00795282"/>
    <w:rsid w:val="007954DA"/>
    <w:rsid w:val="00795672"/>
    <w:rsid w:val="00795734"/>
    <w:rsid w:val="0079573F"/>
    <w:rsid w:val="0079582F"/>
    <w:rsid w:val="00795957"/>
    <w:rsid w:val="00795B00"/>
    <w:rsid w:val="00795C13"/>
    <w:rsid w:val="00795CD4"/>
    <w:rsid w:val="00795CF2"/>
    <w:rsid w:val="00795D5D"/>
    <w:rsid w:val="00795D88"/>
    <w:rsid w:val="00795DF9"/>
    <w:rsid w:val="0079603D"/>
    <w:rsid w:val="00796233"/>
    <w:rsid w:val="00796319"/>
    <w:rsid w:val="00796352"/>
    <w:rsid w:val="007963D1"/>
    <w:rsid w:val="007964B7"/>
    <w:rsid w:val="00796577"/>
    <w:rsid w:val="0079661D"/>
    <w:rsid w:val="00796636"/>
    <w:rsid w:val="0079674C"/>
    <w:rsid w:val="00796792"/>
    <w:rsid w:val="0079679A"/>
    <w:rsid w:val="007967D9"/>
    <w:rsid w:val="0079686D"/>
    <w:rsid w:val="007968AF"/>
    <w:rsid w:val="00796911"/>
    <w:rsid w:val="00796AB5"/>
    <w:rsid w:val="00796B52"/>
    <w:rsid w:val="00796C67"/>
    <w:rsid w:val="00796D67"/>
    <w:rsid w:val="00796F63"/>
    <w:rsid w:val="007970E8"/>
    <w:rsid w:val="007973DC"/>
    <w:rsid w:val="0079768F"/>
    <w:rsid w:val="007976D1"/>
    <w:rsid w:val="007977CF"/>
    <w:rsid w:val="00797920"/>
    <w:rsid w:val="00797930"/>
    <w:rsid w:val="00797AD1"/>
    <w:rsid w:val="00797B0D"/>
    <w:rsid w:val="00797B76"/>
    <w:rsid w:val="00797B94"/>
    <w:rsid w:val="00797BFF"/>
    <w:rsid w:val="00797E2F"/>
    <w:rsid w:val="00797E47"/>
    <w:rsid w:val="00797EC1"/>
    <w:rsid w:val="007A001D"/>
    <w:rsid w:val="007A0256"/>
    <w:rsid w:val="007A03BF"/>
    <w:rsid w:val="007A05F1"/>
    <w:rsid w:val="007A06AA"/>
    <w:rsid w:val="007A080C"/>
    <w:rsid w:val="007A083D"/>
    <w:rsid w:val="007A0938"/>
    <w:rsid w:val="007A0C3C"/>
    <w:rsid w:val="007A0CA0"/>
    <w:rsid w:val="007A0D37"/>
    <w:rsid w:val="007A0F56"/>
    <w:rsid w:val="007A13D7"/>
    <w:rsid w:val="007A1532"/>
    <w:rsid w:val="007A199D"/>
    <w:rsid w:val="007A1A99"/>
    <w:rsid w:val="007A1ADD"/>
    <w:rsid w:val="007A1B24"/>
    <w:rsid w:val="007A1C06"/>
    <w:rsid w:val="007A1DAF"/>
    <w:rsid w:val="007A1FBC"/>
    <w:rsid w:val="007A21EA"/>
    <w:rsid w:val="007A2321"/>
    <w:rsid w:val="007A2515"/>
    <w:rsid w:val="007A2645"/>
    <w:rsid w:val="007A26AD"/>
    <w:rsid w:val="007A275E"/>
    <w:rsid w:val="007A27C0"/>
    <w:rsid w:val="007A28C5"/>
    <w:rsid w:val="007A297F"/>
    <w:rsid w:val="007A2B22"/>
    <w:rsid w:val="007A3006"/>
    <w:rsid w:val="007A30CD"/>
    <w:rsid w:val="007A32B1"/>
    <w:rsid w:val="007A32F5"/>
    <w:rsid w:val="007A33A4"/>
    <w:rsid w:val="007A33B1"/>
    <w:rsid w:val="007A3463"/>
    <w:rsid w:val="007A3534"/>
    <w:rsid w:val="007A360F"/>
    <w:rsid w:val="007A3922"/>
    <w:rsid w:val="007A39C6"/>
    <w:rsid w:val="007A3A4D"/>
    <w:rsid w:val="007A3E8D"/>
    <w:rsid w:val="007A3EE3"/>
    <w:rsid w:val="007A3F52"/>
    <w:rsid w:val="007A4101"/>
    <w:rsid w:val="007A42BE"/>
    <w:rsid w:val="007A43A4"/>
    <w:rsid w:val="007A456A"/>
    <w:rsid w:val="007A45D8"/>
    <w:rsid w:val="007A46B8"/>
    <w:rsid w:val="007A46E5"/>
    <w:rsid w:val="007A47A0"/>
    <w:rsid w:val="007A47FB"/>
    <w:rsid w:val="007A4E6C"/>
    <w:rsid w:val="007A4F5E"/>
    <w:rsid w:val="007A51D6"/>
    <w:rsid w:val="007A5227"/>
    <w:rsid w:val="007A5269"/>
    <w:rsid w:val="007A52E4"/>
    <w:rsid w:val="007A5563"/>
    <w:rsid w:val="007A5591"/>
    <w:rsid w:val="007A5595"/>
    <w:rsid w:val="007A5746"/>
    <w:rsid w:val="007A57FD"/>
    <w:rsid w:val="007A594F"/>
    <w:rsid w:val="007A5B38"/>
    <w:rsid w:val="007A5C70"/>
    <w:rsid w:val="007A5CAB"/>
    <w:rsid w:val="007A5D0C"/>
    <w:rsid w:val="007A5EAE"/>
    <w:rsid w:val="007A60D7"/>
    <w:rsid w:val="007A6517"/>
    <w:rsid w:val="007A6545"/>
    <w:rsid w:val="007A697A"/>
    <w:rsid w:val="007A6D97"/>
    <w:rsid w:val="007A6F15"/>
    <w:rsid w:val="007A70B9"/>
    <w:rsid w:val="007A7248"/>
    <w:rsid w:val="007A72C5"/>
    <w:rsid w:val="007A7318"/>
    <w:rsid w:val="007A73F6"/>
    <w:rsid w:val="007A7467"/>
    <w:rsid w:val="007A74D1"/>
    <w:rsid w:val="007A77B5"/>
    <w:rsid w:val="007A7AF4"/>
    <w:rsid w:val="007A7B39"/>
    <w:rsid w:val="007A7C25"/>
    <w:rsid w:val="007A7C50"/>
    <w:rsid w:val="007A7CF3"/>
    <w:rsid w:val="007A7D7E"/>
    <w:rsid w:val="007A7E6E"/>
    <w:rsid w:val="007B00B3"/>
    <w:rsid w:val="007B0267"/>
    <w:rsid w:val="007B0269"/>
    <w:rsid w:val="007B0286"/>
    <w:rsid w:val="007B0397"/>
    <w:rsid w:val="007B0487"/>
    <w:rsid w:val="007B06C8"/>
    <w:rsid w:val="007B06E7"/>
    <w:rsid w:val="007B07E8"/>
    <w:rsid w:val="007B0C49"/>
    <w:rsid w:val="007B0CE8"/>
    <w:rsid w:val="007B0D6D"/>
    <w:rsid w:val="007B0E8F"/>
    <w:rsid w:val="007B103A"/>
    <w:rsid w:val="007B13AD"/>
    <w:rsid w:val="007B1614"/>
    <w:rsid w:val="007B16CF"/>
    <w:rsid w:val="007B1745"/>
    <w:rsid w:val="007B17FE"/>
    <w:rsid w:val="007B1823"/>
    <w:rsid w:val="007B1841"/>
    <w:rsid w:val="007B1904"/>
    <w:rsid w:val="007B199D"/>
    <w:rsid w:val="007B1AA8"/>
    <w:rsid w:val="007B1BA4"/>
    <w:rsid w:val="007B1D5C"/>
    <w:rsid w:val="007B1D5E"/>
    <w:rsid w:val="007B1DE9"/>
    <w:rsid w:val="007B1E09"/>
    <w:rsid w:val="007B1FFB"/>
    <w:rsid w:val="007B2035"/>
    <w:rsid w:val="007B2144"/>
    <w:rsid w:val="007B21CC"/>
    <w:rsid w:val="007B21F4"/>
    <w:rsid w:val="007B28B2"/>
    <w:rsid w:val="007B2985"/>
    <w:rsid w:val="007B2A2C"/>
    <w:rsid w:val="007B2A79"/>
    <w:rsid w:val="007B2BB0"/>
    <w:rsid w:val="007B2E47"/>
    <w:rsid w:val="007B2F93"/>
    <w:rsid w:val="007B3266"/>
    <w:rsid w:val="007B33CD"/>
    <w:rsid w:val="007B3592"/>
    <w:rsid w:val="007B370E"/>
    <w:rsid w:val="007B37B0"/>
    <w:rsid w:val="007B3855"/>
    <w:rsid w:val="007B3899"/>
    <w:rsid w:val="007B3A75"/>
    <w:rsid w:val="007B3AFB"/>
    <w:rsid w:val="007B3D2A"/>
    <w:rsid w:val="007B3D4C"/>
    <w:rsid w:val="007B3DAA"/>
    <w:rsid w:val="007B3E16"/>
    <w:rsid w:val="007B3E2B"/>
    <w:rsid w:val="007B3E8E"/>
    <w:rsid w:val="007B3F21"/>
    <w:rsid w:val="007B3FE4"/>
    <w:rsid w:val="007B3FFD"/>
    <w:rsid w:val="007B40F0"/>
    <w:rsid w:val="007B42DB"/>
    <w:rsid w:val="007B42F2"/>
    <w:rsid w:val="007B4326"/>
    <w:rsid w:val="007B4399"/>
    <w:rsid w:val="007B4567"/>
    <w:rsid w:val="007B476A"/>
    <w:rsid w:val="007B49C4"/>
    <w:rsid w:val="007B4A02"/>
    <w:rsid w:val="007B4A93"/>
    <w:rsid w:val="007B4C08"/>
    <w:rsid w:val="007B4C98"/>
    <w:rsid w:val="007B4CB1"/>
    <w:rsid w:val="007B4DB6"/>
    <w:rsid w:val="007B5585"/>
    <w:rsid w:val="007B55FF"/>
    <w:rsid w:val="007B56B0"/>
    <w:rsid w:val="007B5772"/>
    <w:rsid w:val="007B5777"/>
    <w:rsid w:val="007B57FC"/>
    <w:rsid w:val="007B58D8"/>
    <w:rsid w:val="007B5995"/>
    <w:rsid w:val="007B59B7"/>
    <w:rsid w:val="007B5C7D"/>
    <w:rsid w:val="007B5C98"/>
    <w:rsid w:val="007B5CFE"/>
    <w:rsid w:val="007B5E7C"/>
    <w:rsid w:val="007B5F5B"/>
    <w:rsid w:val="007B6099"/>
    <w:rsid w:val="007B614B"/>
    <w:rsid w:val="007B6365"/>
    <w:rsid w:val="007B65E1"/>
    <w:rsid w:val="007B65F9"/>
    <w:rsid w:val="007B6687"/>
    <w:rsid w:val="007B6823"/>
    <w:rsid w:val="007B68F6"/>
    <w:rsid w:val="007B698B"/>
    <w:rsid w:val="007B6AAE"/>
    <w:rsid w:val="007B6CAC"/>
    <w:rsid w:val="007B6DB4"/>
    <w:rsid w:val="007B6DDA"/>
    <w:rsid w:val="007B6DE2"/>
    <w:rsid w:val="007B70B9"/>
    <w:rsid w:val="007B7158"/>
    <w:rsid w:val="007B71C3"/>
    <w:rsid w:val="007B7392"/>
    <w:rsid w:val="007B73AC"/>
    <w:rsid w:val="007B743B"/>
    <w:rsid w:val="007B75A3"/>
    <w:rsid w:val="007B75A7"/>
    <w:rsid w:val="007B7735"/>
    <w:rsid w:val="007B79FB"/>
    <w:rsid w:val="007B7AA6"/>
    <w:rsid w:val="007B7EBB"/>
    <w:rsid w:val="007C003F"/>
    <w:rsid w:val="007C0097"/>
    <w:rsid w:val="007C021F"/>
    <w:rsid w:val="007C0383"/>
    <w:rsid w:val="007C03A6"/>
    <w:rsid w:val="007C0428"/>
    <w:rsid w:val="007C04BE"/>
    <w:rsid w:val="007C04DC"/>
    <w:rsid w:val="007C0687"/>
    <w:rsid w:val="007C0977"/>
    <w:rsid w:val="007C0ABD"/>
    <w:rsid w:val="007C0C20"/>
    <w:rsid w:val="007C0CE6"/>
    <w:rsid w:val="007C0D10"/>
    <w:rsid w:val="007C0DE4"/>
    <w:rsid w:val="007C0FDC"/>
    <w:rsid w:val="007C12D4"/>
    <w:rsid w:val="007C142C"/>
    <w:rsid w:val="007C153A"/>
    <w:rsid w:val="007C1577"/>
    <w:rsid w:val="007C15D6"/>
    <w:rsid w:val="007C17DB"/>
    <w:rsid w:val="007C1837"/>
    <w:rsid w:val="007C198B"/>
    <w:rsid w:val="007C1A0F"/>
    <w:rsid w:val="007C1B2E"/>
    <w:rsid w:val="007C1BF5"/>
    <w:rsid w:val="007C1D2A"/>
    <w:rsid w:val="007C1D4D"/>
    <w:rsid w:val="007C1E95"/>
    <w:rsid w:val="007C1FC2"/>
    <w:rsid w:val="007C22AE"/>
    <w:rsid w:val="007C2458"/>
    <w:rsid w:val="007C29A6"/>
    <w:rsid w:val="007C2D63"/>
    <w:rsid w:val="007C2D64"/>
    <w:rsid w:val="007C2DDA"/>
    <w:rsid w:val="007C2F26"/>
    <w:rsid w:val="007C2F41"/>
    <w:rsid w:val="007C2F8D"/>
    <w:rsid w:val="007C3002"/>
    <w:rsid w:val="007C30D2"/>
    <w:rsid w:val="007C3100"/>
    <w:rsid w:val="007C3113"/>
    <w:rsid w:val="007C3156"/>
    <w:rsid w:val="007C3446"/>
    <w:rsid w:val="007C35F8"/>
    <w:rsid w:val="007C3677"/>
    <w:rsid w:val="007C3694"/>
    <w:rsid w:val="007C37D7"/>
    <w:rsid w:val="007C382F"/>
    <w:rsid w:val="007C390D"/>
    <w:rsid w:val="007C3A71"/>
    <w:rsid w:val="007C3A76"/>
    <w:rsid w:val="007C3B1A"/>
    <w:rsid w:val="007C3BED"/>
    <w:rsid w:val="007C3C0E"/>
    <w:rsid w:val="007C3CF0"/>
    <w:rsid w:val="007C3CF7"/>
    <w:rsid w:val="007C3DF7"/>
    <w:rsid w:val="007C3F0C"/>
    <w:rsid w:val="007C4274"/>
    <w:rsid w:val="007C42F8"/>
    <w:rsid w:val="007C4417"/>
    <w:rsid w:val="007C44F5"/>
    <w:rsid w:val="007C4522"/>
    <w:rsid w:val="007C495B"/>
    <w:rsid w:val="007C4985"/>
    <w:rsid w:val="007C4A50"/>
    <w:rsid w:val="007C4AF3"/>
    <w:rsid w:val="007C4BC9"/>
    <w:rsid w:val="007C4C10"/>
    <w:rsid w:val="007C4DBA"/>
    <w:rsid w:val="007C4E5D"/>
    <w:rsid w:val="007C4E6C"/>
    <w:rsid w:val="007C4EDB"/>
    <w:rsid w:val="007C512B"/>
    <w:rsid w:val="007C514C"/>
    <w:rsid w:val="007C52CC"/>
    <w:rsid w:val="007C53FF"/>
    <w:rsid w:val="007C55BD"/>
    <w:rsid w:val="007C55F4"/>
    <w:rsid w:val="007C563A"/>
    <w:rsid w:val="007C5655"/>
    <w:rsid w:val="007C5686"/>
    <w:rsid w:val="007C5912"/>
    <w:rsid w:val="007C59DB"/>
    <w:rsid w:val="007C5EC4"/>
    <w:rsid w:val="007C5FE3"/>
    <w:rsid w:val="007C6267"/>
    <w:rsid w:val="007C62FC"/>
    <w:rsid w:val="007C63FF"/>
    <w:rsid w:val="007C65CC"/>
    <w:rsid w:val="007C679C"/>
    <w:rsid w:val="007C6911"/>
    <w:rsid w:val="007C6956"/>
    <w:rsid w:val="007C699C"/>
    <w:rsid w:val="007C6B62"/>
    <w:rsid w:val="007C6B66"/>
    <w:rsid w:val="007C6C18"/>
    <w:rsid w:val="007C6CE9"/>
    <w:rsid w:val="007C6DC5"/>
    <w:rsid w:val="007C7156"/>
    <w:rsid w:val="007C71B4"/>
    <w:rsid w:val="007C721B"/>
    <w:rsid w:val="007C7314"/>
    <w:rsid w:val="007C7457"/>
    <w:rsid w:val="007C751D"/>
    <w:rsid w:val="007C75E5"/>
    <w:rsid w:val="007C76B6"/>
    <w:rsid w:val="007C7B24"/>
    <w:rsid w:val="007C7B71"/>
    <w:rsid w:val="007C7BBA"/>
    <w:rsid w:val="007C7CB4"/>
    <w:rsid w:val="007C7E35"/>
    <w:rsid w:val="007C7F28"/>
    <w:rsid w:val="007C7F57"/>
    <w:rsid w:val="007D0164"/>
    <w:rsid w:val="007D01B1"/>
    <w:rsid w:val="007D01E1"/>
    <w:rsid w:val="007D045B"/>
    <w:rsid w:val="007D0600"/>
    <w:rsid w:val="007D0940"/>
    <w:rsid w:val="007D0961"/>
    <w:rsid w:val="007D0995"/>
    <w:rsid w:val="007D09CB"/>
    <w:rsid w:val="007D0AF9"/>
    <w:rsid w:val="007D0BF3"/>
    <w:rsid w:val="007D0C02"/>
    <w:rsid w:val="007D0D99"/>
    <w:rsid w:val="007D0EBD"/>
    <w:rsid w:val="007D0ECF"/>
    <w:rsid w:val="007D0F24"/>
    <w:rsid w:val="007D113D"/>
    <w:rsid w:val="007D13EE"/>
    <w:rsid w:val="007D1499"/>
    <w:rsid w:val="007D177F"/>
    <w:rsid w:val="007D189C"/>
    <w:rsid w:val="007D18C8"/>
    <w:rsid w:val="007D18DB"/>
    <w:rsid w:val="007D1969"/>
    <w:rsid w:val="007D1B8B"/>
    <w:rsid w:val="007D1BDE"/>
    <w:rsid w:val="007D1CE4"/>
    <w:rsid w:val="007D1D33"/>
    <w:rsid w:val="007D1E7F"/>
    <w:rsid w:val="007D1FCE"/>
    <w:rsid w:val="007D20D9"/>
    <w:rsid w:val="007D25EA"/>
    <w:rsid w:val="007D26E8"/>
    <w:rsid w:val="007D27F1"/>
    <w:rsid w:val="007D2AFE"/>
    <w:rsid w:val="007D2B02"/>
    <w:rsid w:val="007D2C99"/>
    <w:rsid w:val="007D2ED1"/>
    <w:rsid w:val="007D32CB"/>
    <w:rsid w:val="007D356F"/>
    <w:rsid w:val="007D37BD"/>
    <w:rsid w:val="007D37ED"/>
    <w:rsid w:val="007D39BE"/>
    <w:rsid w:val="007D3AC5"/>
    <w:rsid w:val="007D3C7B"/>
    <w:rsid w:val="007D3CCD"/>
    <w:rsid w:val="007D3EDE"/>
    <w:rsid w:val="007D3F42"/>
    <w:rsid w:val="007D400D"/>
    <w:rsid w:val="007D4185"/>
    <w:rsid w:val="007D4233"/>
    <w:rsid w:val="007D441C"/>
    <w:rsid w:val="007D4546"/>
    <w:rsid w:val="007D47EA"/>
    <w:rsid w:val="007D492F"/>
    <w:rsid w:val="007D4A4C"/>
    <w:rsid w:val="007D4C00"/>
    <w:rsid w:val="007D4C05"/>
    <w:rsid w:val="007D4F27"/>
    <w:rsid w:val="007D4F37"/>
    <w:rsid w:val="007D515A"/>
    <w:rsid w:val="007D53FF"/>
    <w:rsid w:val="007D55AB"/>
    <w:rsid w:val="007D55AF"/>
    <w:rsid w:val="007D5600"/>
    <w:rsid w:val="007D5673"/>
    <w:rsid w:val="007D5683"/>
    <w:rsid w:val="007D5831"/>
    <w:rsid w:val="007D585B"/>
    <w:rsid w:val="007D5935"/>
    <w:rsid w:val="007D59AC"/>
    <w:rsid w:val="007D5BDE"/>
    <w:rsid w:val="007D5EE8"/>
    <w:rsid w:val="007D62E7"/>
    <w:rsid w:val="007D6317"/>
    <w:rsid w:val="007D669F"/>
    <w:rsid w:val="007D6762"/>
    <w:rsid w:val="007D6809"/>
    <w:rsid w:val="007D6872"/>
    <w:rsid w:val="007D688C"/>
    <w:rsid w:val="007D68EA"/>
    <w:rsid w:val="007D69B2"/>
    <w:rsid w:val="007D6BE3"/>
    <w:rsid w:val="007D6C82"/>
    <w:rsid w:val="007D6D92"/>
    <w:rsid w:val="007D6EB6"/>
    <w:rsid w:val="007D6F16"/>
    <w:rsid w:val="007D7174"/>
    <w:rsid w:val="007D71D1"/>
    <w:rsid w:val="007D7457"/>
    <w:rsid w:val="007D7611"/>
    <w:rsid w:val="007D7637"/>
    <w:rsid w:val="007D7A6C"/>
    <w:rsid w:val="007D7D4D"/>
    <w:rsid w:val="007E00CA"/>
    <w:rsid w:val="007E019F"/>
    <w:rsid w:val="007E02B4"/>
    <w:rsid w:val="007E0357"/>
    <w:rsid w:val="007E03FB"/>
    <w:rsid w:val="007E066C"/>
    <w:rsid w:val="007E06F6"/>
    <w:rsid w:val="007E075D"/>
    <w:rsid w:val="007E07B2"/>
    <w:rsid w:val="007E080A"/>
    <w:rsid w:val="007E094A"/>
    <w:rsid w:val="007E0984"/>
    <w:rsid w:val="007E0AD2"/>
    <w:rsid w:val="007E0DEA"/>
    <w:rsid w:val="007E0F27"/>
    <w:rsid w:val="007E0FFF"/>
    <w:rsid w:val="007E11B1"/>
    <w:rsid w:val="007E127C"/>
    <w:rsid w:val="007E12E8"/>
    <w:rsid w:val="007E1590"/>
    <w:rsid w:val="007E161E"/>
    <w:rsid w:val="007E1657"/>
    <w:rsid w:val="007E1796"/>
    <w:rsid w:val="007E17DC"/>
    <w:rsid w:val="007E18DA"/>
    <w:rsid w:val="007E1B29"/>
    <w:rsid w:val="007E1C2A"/>
    <w:rsid w:val="007E1D22"/>
    <w:rsid w:val="007E1E4D"/>
    <w:rsid w:val="007E1E97"/>
    <w:rsid w:val="007E21FA"/>
    <w:rsid w:val="007E257A"/>
    <w:rsid w:val="007E2B3C"/>
    <w:rsid w:val="007E2B68"/>
    <w:rsid w:val="007E2CC4"/>
    <w:rsid w:val="007E2D84"/>
    <w:rsid w:val="007E2DB4"/>
    <w:rsid w:val="007E2DC7"/>
    <w:rsid w:val="007E2EEB"/>
    <w:rsid w:val="007E2F05"/>
    <w:rsid w:val="007E2F27"/>
    <w:rsid w:val="007E2F2D"/>
    <w:rsid w:val="007E2FC5"/>
    <w:rsid w:val="007E3156"/>
    <w:rsid w:val="007E320F"/>
    <w:rsid w:val="007E3256"/>
    <w:rsid w:val="007E3310"/>
    <w:rsid w:val="007E35E4"/>
    <w:rsid w:val="007E360B"/>
    <w:rsid w:val="007E36B3"/>
    <w:rsid w:val="007E37DD"/>
    <w:rsid w:val="007E37EC"/>
    <w:rsid w:val="007E381B"/>
    <w:rsid w:val="007E3970"/>
    <w:rsid w:val="007E3AAA"/>
    <w:rsid w:val="007E3F16"/>
    <w:rsid w:val="007E3F21"/>
    <w:rsid w:val="007E4052"/>
    <w:rsid w:val="007E412E"/>
    <w:rsid w:val="007E42FA"/>
    <w:rsid w:val="007E4364"/>
    <w:rsid w:val="007E451D"/>
    <w:rsid w:val="007E470E"/>
    <w:rsid w:val="007E4851"/>
    <w:rsid w:val="007E49B9"/>
    <w:rsid w:val="007E4B4C"/>
    <w:rsid w:val="007E4CEC"/>
    <w:rsid w:val="007E4D1D"/>
    <w:rsid w:val="007E4E92"/>
    <w:rsid w:val="007E4F97"/>
    <w:rsid w:val="007E4FA9"/>
    <w:rsid w:val="007E5002"/>
    <w:rsid w:val="007E522C"/>
    <w:rsid w:val="007E5515"/>
    <w:rsid w:val="007E5773"/>
    <w:rsid w:val="007E597B"/>
    <w:rsid w:val="007E59E8"/>
    <w:rsid w:val="007E5B70"/>
    <w:rsid w:val="007E5BB7"/>
    <w:rsid w:val="007E5C6C"/>
    <w:rsid w:val="007E5E97"/>
    <w:rsid w:val="007E5FDC"/>
    <w:rsid w:val="007E60CD"/>
    <w:rsid w:val="007E62F5"/>
    <w:rsid w:val="007E633A"/>
    <w:rsid w:val="007E6451"/>
    <w:rsid w:val="007E661D"/>
    <w:rsid w:val="007E66D5"/>
    <w:rsid w:val="007E6882"/>
    <w:rsid w:val="007E6894"/>
    <w:rsid w:val="007E6AC9"/>
    <w:rsid w:val="007E6BFF"/>
    <w:rsid w:val="007E6C8B"/>
    <w:rsid w:val="007E6CE2"/>
    <w:rsid w:val="007E6DFD"/>
    <w:rsid w:val="007E74B3"/>
    <w:rsid w:val="007E7696"/>
    <w:rsid w:val="007E7757"/>
    <w:rsid w:val="007E77B5"/>
    <w:rsid w:val="007E77DE"/>
    <w:rsid w:val="007E79D4"/>
    <w:rsid w:val="007E7BB1"/>
    <w:rsid w:val="007E7EC9"/>
    <w:rsid w:val="007F00F5"/>
    <w:rsid w:val="007F0254"/>
    <w:rsid w:val="007F027C"/>
    <w:rsid w:val="007F0386"/>
    <w:rsid w:val="007F0434"/>
    <w:rsid w:val="007F05F8"/>
    <w:rsid w:val="007F0618"/>
    <w:rsid w:val="007F0643"/>
    <w:rsid w:val="007F0759"/>
    <w:rsid w:val="007F07F5"/>
    <w:rsid w:val="007F0A9D"/>
    <w:rsid w:val="007F0BD5"/>
    <w:rsid w:val="007F0CEE"/>
    <w:rsid w:val="007F0DF6"/>
    <w:rsid w:val="007F0FD0"/>
    <w:rsid w:val="007F101D"/>
    <w:rsid w:val="007F1101"/>
    <w:rsid w:val="007F14D7"/>
    <w:rsid w:val="007F14F4"/>
    <w:rsid w:val="007F14FB"/>
    <w:rsid w:val="007F1532"/>
    <w:rsid w:val="007F1602"/>
    <w:rsid w:val="007F1662"/>
    <w:rsid w:val="007F19C8"/>
    <w:rsid w:val="007F1A4D"/>
    <w:rsid w:val="007F1B2E"/>
    <w:rsid w:val="007F1BF1"/>
    <w:rsid w:val="007F1C15"/>
    <w:rsid w:val="007F1CEE"/>
    <w:rsid w:val="007F1E73"/>
    <w:rsid w:val="007F1E90"/>
    <w:rsid w:val="007F1F38"/>
    <w:rsid w:val="007F1F86"/>
    <w:rsid w:val="007F212F"/>
    <w:rsid w:val="007F216E"/>
    <w:rsid w:val="007F2349"/>
    <w:rsid w:val="007F2373"/>
    <w:rsid w:val="007F23B0"/>
    <w:rsid w:val="007F2447"/>
    <w:rsid w:val="007F24A7"/>
    <w:rsid w:val="007F251E"/>
    <w:rsid w:val="007F2605"/>
    <w:rsid w:val="007F26CF"/>
    <w:rsid w:val="007F2890"/>
    <w:rsid w:val="007F2C11"/>
    <w:rsid w:val="007F2C5F"/>
    <w:rsid w:val="007F2E67"/>
    <w:rsid w:val="007F3281"/>
    <w:rsid w:val="007F33D2"/>
    <w:rsid w:val="007F3485"/>
    <w:rsid w:val="007F34A8"/>
    <w:rsid w:val="007F36CB"/>
    <w:rsid w:val="007F383E"/>
    <w:rsid w:val="007F39EA"/>
    <w:rsid w:val="007F3A81"/>
    <w:rsid w:val="007F3ABA"/>
    <w:rsid w:val="007F3C99"/>
    <w:rsid w:val="007F412D"/>
    <w:rsid w:val="007F41A6"/>
    <w:rsid w:val="007F4350"/>
    <w:rsid w:val="007F45AA"/>
    <w:rsid w:val="007F46CA"/>
    <w:rsid w:val="007F46E5"/>
    <w:rsid w:val="007F4758"/>
    <w:rsid w:val="007F490C"/>
    <w:rsid w:val="007F49FA"/>
    <w:rsid w:val="007F4A32"/>
    <w:rsid w:val="007F4A3B"/>
    <w:rsid w:val="007F4B2D"/>
    <w:rsid w:val="007F4D07"/>
    <w:rsid w:val="007F4E91"/>
    <w:rsid w:val="007F4F23"/>
    <w:rsid w:val="007F4F78"/>
    <w:rsid w:val="007F4F84"/>
    <w:rsid w:val="007F5062"/>
    <w:rsid w:val="007F50E1"/>
    <w:rsid w:val="007F5218"/>
    <w:rsid w:val="007F54FC"/>
    <w:rsid w:val="007F588C"/>
    <w:rsid w:val="007F5A37"/>
    <w:rsid w:val="007F5AC6"/>
    <w:rsid w:val="007F5B1C"/>
    <w:rsid w:val="007F5C38"/>
    <w:rsid w:val="007F5DC8"/>
    <w:rsid w:val="007F5F5C"/>
    <w:rsid w:val="007F5FD4"/>
    <w:rsid w:val="007F6080"/>
    <w:rsid w:val="007F65C8"/>
    <w:rsid w:val="007F66D2"/>
    <w:rsid w:val="007F6709"/>
    <w:rsid w:val="007F673E"/>
    <w:rsid w:val="007F688F"/>
    <w:rsid w:val="007F692F"/>
    <w:rsid w:val="007F69C1"/>
    <w:rsid w:val="007F6A2D"/>
    <w:rsid w:val="007F6B49"/>
    <w:rsid w:val="007F6C83"/>
    <w:rsid w:val="007F6D8D"/>
    <w:rsid w:val="007F6DCF"/>
    <w:rsid w:val="007F6E11"/>
    <w:rsid w:val="007F6F12"/>
    <w:rsid w:val="007F6FC8"/>
    <w:rsid w:val="007F70B4"/>
    <w:rsid w:val="007F70DC"/>
    <w:rsid w:val="007F7176"/>
    <w:rsid w:val="007F71D0"/>
    <w:rsid w:val="007F7260"/>
    <w:rsid w:val="007F7648"/>
    <w:rsid w:val="007F7712"/>
    <w:rsid w:val="007F78EA"/>
    <w:rsid w:val="007F7A05"/>
    <w:rsid w:val="007F7A20"/>
    <w:rsid w:val="007F7AC1"/>
    <w:rsid w:val="007F7B3E"/>
    <w:rsid w:val="007F7E39"/>
    <w:rsid w:val="007F7E67"/>
    <w:rsid w:val="007F7EE5"/>
    <w:rsid w:val="007F7FD0"/>
    <w:rsid w:val="008001C1"/>
    <w:rsid w:val="00800954"/>
    <w:rsid w:val="00800D70"/>
    <w:rsid w:val="00800E16"/>
    <w:rsid w:val="00800ECE"/>
    <w:rsid w:val="00800F92"/>
    <w:rsid w:val="00801091"/>
    <w:rsid w:val="0080127D"/>
    <w:rsid w:val="00801294"/>
    <w:rsid w:val="008013C0"/>
    <w:rsid w:val="0080146B"/>
    <w:rsid w:val="008015AE"/>
    <w:rsid w:val="00801655"/>
    <w:rsid w:val="008016D9"/>
    <w:rsid w:val="008017AD"/>
    <w:rsid w:val="0080188A"/>
    <w:rsid w:val="00801BD6"/>
    <w:rsid w:val="00801C3C"/>
    <w:rsid w:val="00801CA9"/>
    <w:rsid w:val="00801D4E"/>
    <w:rsid w:val="00801F21"/>
    <w:rsid w:val="00801F89"/>
    <w:rsid w:val="00801F9B"/>
    <w:rsid w:val="0080204D"/>
    <w:rsid w:val="008022BD"/>
    <w:rsid w:val="00802493"/>
    <w:rsid w:val="008027C9"/>
    <w:rsid w:val="0080286F"/>
    <w:rsid w:val="008029C8"/>
    <w:rsid w:val="00802AF2"/>
    <w:rsid w:val="00802B01"/>
    <w:rsid w:val="00802B17"/>
    <w:rsid w:val="00802BA0"/>
    <w:rsid w:val="00802BF7"/>
    <w:rsid w:val="00802C21"/>
    <w:rsid w:val="00802C7B"/>
    <w:rsid w:val="00802CC6"/>
    <w:rsid w:val="00802D04"/>
    <w:rsid w:val="00802D97"/>
    <w:rsid w:val="00802DB1"/>
    <w:rsid w:val="00802E51"/>
    <w:rsid w:val="00802E77"/>
    <w:rsid w:val="00802F19"/>
    <w:rsid w:val="00802F48"/>
    <w:rsid w:val="00802FE2"/>
    <w:rsid w:val="0080307C"/>
    <w:rsid w:val="008031F2"/>
    <w:rsid w:val="00803201"/>
    <w:rsid w:val="00803225"/>
    <w:rsid w:val="0080337B"/>
    <w:rsid w:val="00803499"/>
    <w:rsid w:val="00803724"/>
    <w:rsid w:val="0080376C"/>
    <w:rsid w:val="00803783"/>
    <w:rsid w:val="008039DA"/>
    <w:rsid w:val="00803C2E"/>
    <w:rsid w:val="00803C97"/>
    <w:rsid w:val="00803D7E"/>
    <w:rsid w:val="00803D85"/>
    <w:rsid w:val="00803F2E"/>
    <w:rsid w:val="00803FAF"/>
    <w:rsid w:val="008042F3"/>
    <w:rsid w:val="00804345"/>
    <w:rsid w:val="00804378"/>
    <w:rsid w:val="008043E3"/>
    <w:rsid w:val="00804483"/>
    <w:rsid w:val="008044C4"/>
    <w:rsid w:val="0080455B"/>
    <w:rsid w:val="00804596"/>
    <w:rsid w:val="0080474D"/>
    <w:rsid w:val="008048FF"/>
    <w:rsid w:val="00804944"/>
    <w:rsid w:val="00804988"/>
    <w:rsid w:val="00804A55"/>
    <w:rsid w:val="00804D20"/>
    <w:rsid w:val="00805092"/>
    <w:rsid w:val="00805157"/>
    <w:rsid w:val="00805280"/>
    <w:rsid w:val="00805314"/>
    <w:rsid w:val="008054A3"/>
    <w:rsid w:val="008054A7"/>
    <w:rsid w:val="00805557"/>
    <w:rsid w:val="008055DD"/>
    <w:rsid w:val="008055EE"/>
    <w:rsid w:val="00805941"/>
    <w:rsid w:val="0080597D"/>
    <w:rsid w:val="008059A7"/>
    <w:rsid w:val="008059B0"/>
    <w:rsid w:val="008059CD"/>
    <w:rsid w:val="008059F7"/>
    <w:rsid w:val="00805F93"/>
    <w:rsid w:val="008060EB"/>
    <w:rsid w:val="00806189"/>
    <w:rsid w:val="00806191"/>
    <w:rsid w:val="008063D0"/>
    <w:rsid w:val="008064A1"/>
    <w:rsid w:val="008064F2"/>
    <w:rsid w:val="0080674F"/>
    <w:rsid w:val="008069D2"/>
    <w:rsid w:val="00806A65"/>
    <w:rsid w:val="00806AAC"/>
    <w:rsid w:val="00806AC3"/>
    <w:rsid w:val="00806C33"/>
    <w:rsid w:val="00806D19"/>
    <w:rsid w:val="00806D23"/>
    <w:rsid w:val="00806F4B"/>
    <w:rsid w:val="00807142"/>
    <w:rsid w:val="0080714E"/>
    <w:rsid w:val="008071A0"/>
    <w:rsid w:val="008071DD"/>
    <w:rsid w:val="008073A1"/>
    <w:rsid w:val="008073D7"/>
    <w:rsid w:val="00807566"/>
    <w:rsid w:val="008076FB"/>
    <w:rsid w:val="00807726"/>
    <w:rsid w:val="0080785B"/>
    <w:rsid w:val="008078C2"/>
    <w:rsid w:val="00807B88"/>
    <w:rsid w:val="00807DFB"/>
    <w:rsid w:val="008100B1"/>
    <w:rsid w:val="0081011D"/>
    <w:rsid w:val="00810143"/>
    <w:rsid w:val="00810288"/>
    <w:rsid w:val="008103F3"/>
    <w:rsid w:val="00810443"/>
    <w:rsid w:val="008104EC"/>
    <w:rsid w:val="00810961"/>
    <w:rsid w:val="00810B02"/>
    <w:rsid w:val="00810D6D"/>
    <w:rsid w:val="00810F36"/>
    <w:rsid w:val="00811050"/>
    <w:rsid w:val="008111FC"/>
    <w:rsid w:val="00811492"/>
    <w:rsid w:val="008115AD"/>
    <w:rsid w:val="00811705"/>
    <w:rsid w:val="008117F3"/>
    <w:rsid w:val="00811883"/>
    <w:rsid w:val="00811A93"/>
    <w:rsid w:val="00811B0B"/>
    <w:rsid w:val="00811E0C"/>
    <w:rsid w:val="00811F0B"/>
    <w:rsid w:val="00812173"/>
    <w:rsid w:val="00812230"/>
    <w:rsid w:val="00812618"/>
    <w:rsid w:val="0081275A"/>
    <w:rsid w:val="00812912"/>
    <w:rsid w:val="00812C33"/>
    <w:rsid w:val="00812D4C"/>
    <w:rsid w:val="00812D76"/>
    <w:rsid w:val="00812D86"/>
    <w:rsid w:val="00812D94"/>
    <w:rsid w:val="00812ECE"/>
    <w:rsid w:val="00812F28"/>
    <w:rsid w:val="00812FA1"/>
    <w:rsid w:val="008130B5"/>
    <w:rsid w:val="00813203"/>
    <w:rsid w:val="008132BA"/>
    <w:rsid w:val="00813300"/>
    <w:rsid w:val="00813349"/>
    <w:rsid w:val="0081338E"/>
    <w:rsid w:val="00813411"/>
    <w:rsid w:val="0081350E"/>
    <w:rsid w:val="008135CE"/>
    <w:rsid w:val="008135D8"/>
    <w:rsid w:val="008137B0"/>
    <w:rsid w:val="008138D4"/>
    <w:rsid w:val="00813E2D"/>
    <w:rsid w:val="00813EED"/>
    <w:rsid w:val="00813FDD"/>
    <w:rsid w:val="008140F1"/>
    <w:rsid w:val="00814CF2"/>
    <w:rsid w:val="00814E8D"/>
    <w:rsid w:val="00814ECC"/>
    <w:rsid w:val="00815102"/>
    <w:rsid w:val="0081516E"/>
    <w:rsid w:val="00815236"/>
    <w:rsid w:val="008153DB"/>
    <w:rsid w:val="008155B7"/>
    <w:rsid w:val="00815720"/>
    <w:rsid w:val="008157FA"/>
    <w:rsid w:val="00815B39"/>
    <w:rsid w:val="00815BEF"/>
    <w:rsid w:val="00815C9A"/>
    <w:rsid w:val="00815D4C"/>
    <w:rsid w:val="00815E80"/>
    <w:rsid w:val="00815EFE"/>
    <w:rsid w:val="00816090"/>
    <w:rsid w:val="008160C6"/>
    <w:rsid w:val="0081625E"/>
    <w:rsid w:val="0081650C"/>
    <w:rsid w:val="0081665C"/>
    <w:rsid w:val="008166B3"/>
    <w:rsid w:val="0081681D"/>
    <w:rsid w:val="008168D2"/>
    <w:rsid w:val="0081694F"/>
    <w:rsid w:val="00816C00"/>
    <w:rsid w:val="00816D48"/>
    <w:rsid w:val="00816EAA"/>
    <w:rsid w:val="00817072"/>
    <w:rsid w:val="00817154"/>
    <w:rsid w:val="008171EB"/>
    <w:rsid w:val="00817299"/>
    <w:rsid w:val="008172CC"/>
    <w:rsid w:val="008172DD"/>
    <w:rsid w:val="00817754"/>
    <w:rsid w:val="008177F0"/>
    <w:rsid w:val="008177FB"/>
    <w:rsid w:val="00817954"/>
    <w:rsid w:val="00817AA6"/>
    <w:rsid w:val="00817E54"/>
    <w:rsid w:val="00817FF8"/>
    <w:rsid w:val="0082004F"/>
    <w:rsid w:val="0082014D"/>
    <w:rsid w:val="00820435"/>
    <w:rsid w:val="00820517"/>
    <w:rsid w:val="008205B5"/>
    <w:rsid w:val="00820743"/>
    <w:rsid w:val="00820BEA"/>
    <w:rsid w:val="0082104B"/>
    <w:rsid w:val="008210FF"/>
    <w:rsid w:val="00821132"/>
    <w:rsid w:val="00821221"/>
    <w:rsid w:val="008218E3"/>
    <w:rsid w:val="0082191F"/>
    <w:rsid w:val="00821985"/>
    <w:rsid w:val="00821A58"/>
    <w:rsid w:val="00821AB5"/>
    <w:rsid w:val="00821C07"/>
    <w:rsid w:val="00821C5E"/>
    <w:rsid w:val="00821DC9"/>
    <w:rsid w:val="00821EAE"/>
    <w:rsid w:val="008220B6"/>
    <w:rsid w:val="008222F9"/>
    <w:rsid w:val="00822307"/>
    <w:rsid w:val="00822412"/>
    <w:rsid w:val="00822476"/>
    <w:rsid w:val="008224CE"/>
    <w:rsid w:val="0082251B"/>
    <w:rsid w:val="00822551"/>
    <w:rsid w:val="0082271F"/>
    <w:rsid w:val="00822769"/>
    <w:rsid w:val="00822999"/>
    <w:rsid w:val="00822A0E"/>
    <w:rsid w:val="00822A76"/>
    <w:rsid w:val="00822AD0"/>
    <w:rsid w:val="00822BA5"/>
    <w:rsid w:val="00822EAA"/>
    <w:rsid w:val="0082311A"/>
    <w:rsid w:val="0082312B"/>
    <w:rsid w:val="0082353C"/>
    <w:rsid w:val="00823609"/>
    <w:rsid w:val="0082370C"/>
    <w:rsid w:val="008239EB"/>
    <w:rsid w:val="00823B52"/>
    <w:rsid w:val="00823B8F"/>
    <w:rsid w:val="00823C7D"/>
    <w:rsid w:val="00823CD3"/>
    <w:rsid w:val="00823D4A"/>
    <w:rsid w:val="00823EF3"/>
    <w:rsid w:val="00823F8F"/>
    <w:rsid w:val="00823FC2"/>
    <w:rsid w:val="008242B0"/>
    <w:rsid w:val="008243F6"/>
    <w:rsid w:val="0082466B"/>
    <w:rsid w:val="00824770"/>
    <w:rsid w:val="00824A4D"/>
    <w:rsid w:val="00824CD7"/>
    <w:rsid w:val="00824D41"/>
    <w:rsid w:val="00824FA9"/>
    <w:rsid w:val="00824FAE"/>
    <w:rsid w:val="00825122"/>
    <w:rsid w:val="008251F4"/>
    <w:rsid w:val="008252F0"/>
    <w:rsid w:val="00825444"/>
    <w:rsid w:val="00825470"/>
    <w:rsid w:val="0082548A"/>
    <w:rsid w:val="008255B8"/>
    <w:rsid w:val="00825652"/>
    <w:rsid w:val="008257F5"/>
    <w:rsid w:val="008259CB"/>
    <w:rsid w:val="008259DC"/>
    <w:rsid w:val="00825A17"/>
    <w:rsid w:val="00825C0D"/>
    <w:rsid w:val="00825C4F"/>
    <w:rsid w:val="00825CB1"/>
    <w:rsid w:val="00825E38"/>
    <w:rsid w:val="00825E64"/>
    <w:rsid w:val="00825F53"/>
    <w:rsid w:val="00826066"/>
    <w:rsid w:val="00826146"/>
    <w:rsid w:val="008261D1"/>
    <w:rsid w:val="008261E8"/>
    <w:rsid w:val="00826275"/>
    <w:rsid w:val="00826448"/>
    <w:rsid w:val="0082659D"/>
    <w:rsid w:val="00826739"/>
    <w:rsid w:val="00826757"/>
    <w:rsid w:val="00826765"/>
    <w:rsid w:val="0082676B"/>
    <w:rsid w:val="00826954"/>
    <w:rsid w:val="00826981"/>
    <w:rsid w:val="008269A5"/>
    <w:rsid w:val="00826B79"/>
    <w:rsid w:val="00826CDD"/>
    <w:rsid w:val="00826D02"/>
    <w:rsid w:val="00826E99"/>
    <w:rsid w:val="00826FFD"/>
    <w:rsid w:val="008270A2"/>
    <w:rsid w:val="008275D5"/>
    <w:rsid w:val="00827B74"/>
    <w:rsid w:val="00827E9B"/>
    <w:rsid w:val="00830026"/>
    <w:rsid w:val="008300C0"/>
    <w:rsid w:val="00830103"/>
    <w:rsid w:val="00830224"/>
    <w:rsid w:val="0083030D"/>
    <w:rsid w:val="008303C8"/>
    <w:rsid w:val="0083041A"/>
    <w:rsid w:val="008304B5"/>
    <w:rsid w:val="008304BE"/>
    <w:rsid w:val="00830668"/>
    <w:rsid w:val="00830821"/>
    <w:rsid w:val="008308F8"/>
    <w:rsid w:val="00830947"/>
    <w:rsid w:val="008309B7"/>
    <w:rsid w:val="00830E88"/>
    <w:rsid w:val="00830ECC"/>
    <w:rsid w:val="0083102E"/>
    <w:rsid w:val="00831211"/>
    <w:rsid w:val="0083128C"/>
    <w:rsid w:val="008312AD"/>
    <w:rsid w:val="008313D9"/>
    <w:rsid w:val="008313F2"/>
    <w:rsid w:val="0083156F"/>
    <w:rsid w:val="0083157A"/>
    <w:rsid w:val="008315E0"/>
    <w:rsid w:val="00831693"/>
    <w:rsid w:val="008316CE"/>
    <w:rsid w:val="00831723"/>
    <w:rsid w:val="0083179E"/>
    <w:rsid w:val="00831920"/>
    <w:rsid w:val="008319B6"/>
    <w:rsid w:val="00831AEA"/>
    <w:rsid w:val="00832082"/>
    <w:rsid w:val="008322FE"/>
    <w:rsid w:val="00832319"/>
    <w:rsid w:val="00832365"/>
    <w:rsid w:val="008324FC"/>
    <w:rsid w:val="008325C7"/>
    <w:rsid w:val="0083260B"/>
    <w:rsid w:val="0083261D"/>
    <w:rsid w:val="00832B70"/>
    <w:rsid w:val="00832C90"/>
    <w:rsid w:val="00832CAC"/>
    <w:rsid w:val="00832DED"/>
    <w:rsid w:val="00832EE5"/>
    <w:rsid w:val="00833066"/>
    <w:rsid w:val="00833118"/>
    <w:rsid w:val="0083315F"/>
    <w:rsid w:val="00833465"/>
    <w:rsid w:val="008335B4"/>
    <w:rsid w:val="00833624"/>
    <w:rsid w:val="00833B0B"/>
    <w:rsid w:val="00833EDF"/>
    <w:rsid w:val="00834199"/>
    <w:rsid w:val="00834287"/>
    <w:rsid w:val="00834381"/>
    <w:rsid w:val="0083452B"/>
    <w:rsid w:val="00834581"/>
    <w:rsid w:val="00834661"/>
    <w:rsid w:val="0083466D"/>
    <w:rsid w:val="00834BB1"/>
    <w:rsid w:val="00834C84"/>
    <w:rsid w:val="00834C92"/>
    <w:rsid w:val="00834CAC"/>
    <w:rsid w:val="00834CB8"/>
    <w:rsid w:val="00834CD8"/>
    <w:rsid w:val="00834D9D"/>
    <w:rsid w:val="00834E3B"/>
    <w:rsid w:val="00834E59"/>
    <w:rsid w:val="00834E6F"/>
    <w:rsid w:val="00834EDE"/>
    <w:rsid w:val="00835563"/>
    <w:rsid w:val="0083566A"/>
    <w:rsid w:val="0083573D"/>
    <w:rsid w:val="0083578A"/>
    <w:rsid w:val="008358AB"/>
    <w:rsid w:val="00835944"/>
    <w:rsid w:val="00835BA5"/>
    <w:rsid w:val="00835E1C"/>
    <w:rsid w:val="00836077"/>
    <w:rsid w:val="0083612C"/>
    <w:rsid w:val="0083637E"/>
    <w:rsid w:val="008364A3"/>
    <w:rsid w:val="00836605"/>
    <w:rsid w:val="0083662A"/>
    <w:rsid w:val="008366B6"/>
    <w:rsid w:val="0083688B"/>
    <w:rsid w:val="00836A5E"/>
    <w:rsid w:val="00836AF2"/>
    <w:rsid w:val="00836C4A"/>
    <w:rsid w:val="00836D27"/>
    <w:rsid w:val="00836D99"/>
    <w:rsid w:val="00836F67"/>
    <w:rsid w:val="008375A2"/>
    <w:rsid w:val="008375AD"/>
    <w:rsid w:val="00837607"/>
    <w:rsid w:val="0083770F"/>
    <w:rsid w:val="008377D6"/>
    <w:rsid w:val="00837AAC"/>
    <w:rsid w:val="00837AEE"/>
    <w:rsid w:val="00837CAE"/>
    <w:rsid w:val="00837CFF"/>
    <w:rsid w:val="00837D52"/>
    <w:rsid w:val="00837DEE"/>
    <w:rsid w:val="00837F28"/>
    <w:rsid w:val="0084008A"/>
    <w:rsid w:val="00840145"/>
    <w:rsid w:val="00840293"/>
    <w:rsid w:val="008402AA"/>
    <w:rsid w:val="008403E5"/>
    <w:rsid w:val="00840580"/>
    <w:rsid w:val="008405C2"/>
    <w:rsid w:val="00840643"/>
    <w:rsid w:val="008407EC"/>
    <w:rsid w:val="00840889"/>
    <w:rsid w:val="00840AA4"/>
    <w:rsid w:val="00840C81"/>
    <w:rsid w:val="00840CD4"/>
    <w:rsid w:val="00840CDE"/>
    <w:rsid w:val="008410B6"/>
    <w:rsid w:val="008413D2"/>
    <w:rsid w:val="008413FA"/>
    <w:rsid w:val="00841511"/>
    <w:rsid w:val="0084154E"/>
    <w:rsid w:val="008418EE"/>
    <w:rsid w:val="00841DCC"/>
    <w:rsid w:val="00841DE6"/>
    <w:rsid w:val="00841E6C"/>
    <w:rsid w:val="00841EBD"/>
    <w:rsid w:val="008420CE"/>
    <w:rsid w:val="00842300"/>
    <w:rsid w:val="0084237C"/>
    <w:rsid w:val="008425D7"/>
    <w:rsid w:val="008427B7"/>
    <w:rsid w:val="00842857"/>
    <w:rsid w:val="00842994"/>
    <w:rsid w:val="00842A18"/>
    <w:rsid w:val="00842B04"/>
    <w:rsid w:val="00842C58"/>
    <w:rsid w:val="00842E6B"/>
    <w:rsid w:val="00843141"/>
    <w:rsid w:val="00843328"/>
    <w:rsid w:val="0084334C"/>
    <w:rsid w:val="008434CF"/>
    <w:rsid w:val="0084354D"/>
    <w:rsid w:val="00843564"/>
    <w:rsid w:val="00843687"/>
    <w:rsid w:val="0084375C"/>
    <w:rsid w:val="00843768"/>
    <w:rsid w:val="0084382D"/>
    <w:rsid w:val="00843AE1"/>
    <w:rsid w:val="00843C1E"/>
    <w:rsid w:val="00843C4E"/>
    <w:rsid w:val="00843D3E"/>
    <w:rsid w:val="00843DAB"/>
    <w:rsid w:val="00843E64"/>
    <w:rsid w:val="00843F21"/>
    <w:rsid w:val="00843F4C"/>
    <w:rsid w:val="00843F7D"/>
    <w:rsid w:val="00843F96"/>
    <w:rsid w:val="0084411B"/>
    <w:rsid w:val="008443E1"/>
    <w:rsid w:val="008444FB"/>
    <w:rsid w:val="008447B2"/>
    <w:rsid w:val="00844826"/>
    <w:rsid w:val="00844960"/>
    <w:rsid w:val="00844B79"/>
    <w:rsid w:val="00844E1A"/>
    <w:rsid w:val="008451C5"/>
    <w:rsid w:val="00845358"/>
    <w:rsid w:val="008454F3"/>
    <w:rsid w:val="00845501"/>
    <w:rsid w:val="00845568"/>
    <w:rsid w:val="0084579B"/>
    <w:rsid w:val="00845BD2"/>
    <w:rsid w:val="00845C04"/>
    <w:rsid w:val="00845D74"/>
    <w:rsid w:val="00845E45"/>
    <w:rsid w:val="00845E5F"/>
    <w:rsid w:val="00846051"/>
    <w:rsid w:val="008460E2"/>
    <w:rsid w:val="008460F5"/>
    <w:rsid w:val="0084629E"/>
    <w:rsid w:val="008463D3"/>
    <w:rsid w:val="00846467"/>
    <w:rsid w:val="0084649F"/>
    <w:rsid w:val="00846570"/>
    <w:rsid w:val="0084679B"/>
    <w:rsid w:val="0084684E"/>
    <w:rsid w:val="00846904"/>
    <w:rsid w:val="00846925"/>
    <w:rsid w:val="00846A5B"/>
    <w:rsid w:val="00846A6F"/>
    <w:rsid w:val="00846B22"/>
    <w:rsid w:val="00846FD3"/>
    <w:rsid w:val="00846FF1"/>
    <w:rsid w:val="0084708D"/>
    <w:rsid w:val="008471C5"/>
    <w:rsid w:val="0084733C"/>
    <w:rsid w:val="00847422"/>
    <w:rsid w:val="00847468"/>
    <w:rsid w:val="008476A0"/>
    <w:rsid w:val="008477DF"/>
    <w:rsid w:val="00847905"/>
    <w:rsid w:val="0084793C"/>
    <w:rsid w:val="00847A03"/>
    <w:rsid w:val="00847A28"/>
    <w:rsid w:val="00847A7D"/>
    <w:rsid w:val="00847C7B"/>
    <w:rsid w:val="00847D26"/>
    <w:rsid w:val="00847EFC"/>
    <w:rsid w:val="00847F6A"/>
    <w:rsid w:val="00847F71"/>
    <w:rsid w:val="00850087"/>
    <w:rsid w:val="0085030C"/>
    <w:rsid w:val="00850503"/>
    <w:rsid w:val="008506A0"/>
    <w:rsid w:val="00850A9E"/>
    <w:rsid w:val="00850B3E"/>
    <w:rsid w:val="00850C5E"/>
    <w:rsid w:val="00850FC5"/>
    <w:rsid w:val="00850FFA"/>
    <w:rsid w:val="008511C9"/>
    <w:rsid w:val="008514FF"/>
    <w:rsid w:val="008516A3"/>
    <w:rsid w:val="00851916"/>
    <w:rsid w:val="008519E2"/>
    <w:rsid w:val="00851B9E"/>
    <w:rsid w:val="00851D71"/>
    <w:rsid w:val="00851D97"/>
    <w:rsid w:val="00851EEE"/>
    <w:rsid w:val="00851EF4"/>
    <w:rsid w:val="00851F41"/>
    <w:rsid w:val="00852289"/>
    <w:rsid w:val="008523FC"/>
    <w:rsid w:val="008524E1"/>
    <w:rsid w:val="008528A8"/>
    <w:rsid w:val="00852C15"/>
    <w:rsid w:val="00852F12"/>
    <w:rsid w:val="00852FCD"/>
    <w:rsid w:val="008530ED"/>
    <w:rsid w:val="00853123"/>
    <w:rsid w:val="00853231"/>
    <w:rsid w:val="00853389"/>
    <w:rsid w:val="00853400"/>
    <w:rsid w:val="0085351F"/>
    <w:rsid w:val="008535D5"/>
    <w:rsid w:val="008535E5"/>
    <w:rsid w:val="008538F5"/>
    <w:rsid w:val="00853A21"/>
    <w:rsid w:val="00853B44"/>
    <w:rsid w:val="00853BCE"/>
    <w:rsid w:val="00853E92"/>
    <w:rsid w:val="00854251"/>
    <w:rsid w:val="0085425B"/>
    <w:rsid w:val="008543FD"/>
    <w:rsid w:val="008544EC"/>
    <w:rsid w:val="00854562"/>
    <w:rsid w:val="008545C7"/>
    <w:rsid w:val="008546BE"/>
    <w:rsid w:val="00854A79"/>
    <w:rsid w:val="00854C6A"/>
    <w:rsid w:val="00854CB9"/>
    <w:rsid w:val="00854CFE"/>
    <w:rsid w:val="00854D31"/>
    <w:rsid w:val="00854D56"/>
    <w:rsid w:val="00855011"/>
    <w:rsid w:val="00855190"/>
    <w:rsid w:val="008551AC"/>
    <w:rsid w:val="008551C7"/>
    <w:rsid w:val="00855632"/>
    <w:rsid w:val="00855653"/>
    <w:rsid w:val="0085570F"/>
    <w:rsid w:val="00855734"/>
    <w:rsid w:val="00855848"/>
    <w:rsid w:val="008558F2"/>
    <w:rsid w:val="00855A7C"/>
    <w:rsid w:val="00855B0E"/>
    <w:rsid w:val="00855B85"/>
    <w:rsid w:val="00855BD2"/>
    <w:rsid w:val="00855C0B"/>
    <w:rsid w:val="00855C87"/>
    <w:rsid w:val="00855CAA"/>
    <w:rsid w:val="00855CF9"/>
    <w:rsid w:val="00855D4B"/>
    <w:rsid w:val="00855E53"/>
    <w:rsid w:val="00855ED9"/>
    <w:rsid w:val="00855EE6"/>
    <w:rsid w:val="00855F77"/>
    <w:rsid w:val="0085605C"/>
    <w:rsid w:val="008563FC"/>
    <w:rsid w:val="00856557"/>
    <w:rsid w:val="00856567"/>
    <w:rsid w:val="00856881"/>
    <w:rsid w:val="00856902"/>
    <w:rsid w:val="0085695C"/>
    <w:rsid w:val="008569BD"/>
    <w:rsid w:val="00856A7B"/>
    <w:rsid w:val="00856ACE"/>
    <w:rsid w:val="00856AE5"/>
    <w:rsid w:val="00856B45"/>
    <w:rsid w:val="00856BAA"/>
    <w:rsid w:val="00856C49"/>
    <w:rsid w:val="00856DE4"/>
    <w:rsid w:val="0085705B"/>
    <w:rsid w:val="008570F0"/>
    <w:rsid w:val="008575C5"/>
    <w:rsid w:val="008575EB"/>
    <w:rsid w:val="008576AC"/>
    <w:rsid w:val="0085796E"/>
    <w:rsid w:val="00857994"/>
    <w:rsid w:val="00857A60"/>
    <w:rsid w:val="00857BC9"/>
    <w:rsid w:val="00857DDE"/>
    <w:rsid w:val="00857EAD"/>
    <w:rsid w:val="00857EDA"/>
    <w:rsid w:val="0086006E"/>
    <w:rsid w:val="00860097"/>
    <w:rsid w:val="008600B1"/>
    <w:rsid w:val="00860159"/>
    <w:rsid w:val="008603E4"/>
    <w:rsid w:val="0086042C"/>
    <w:rsid w:val="0086068B"/>
    <w:rsid w:val="00860880"/>
    <w:rsid w:val="00860998"/>
    <w:rsid w:val="00860B3E"/>
    <w:rsid w:val="00860D02"/>
    <w:rsid w:val="008610D2"/>
    <w:rsid w:val="00861123"/>
    <w:rsid w:val="008613FA"/>
    <w:rsid w:val="0086146C"/>
    <w:rsid w:val="008615C1"/>
    <w:rsid w:val="008615EA"/>
    <w:rsid w:val="00861622"/>
    <w:rsid w:val="0086190E"/>
    <w:rsid w:val="00861FEA"/>
    <w:rsid w:val="008620DA"/>
    <w:rsid w:val="0086215C"/>
    <w:rsid w:val="0086229E"/>
    <w:rsid w:val="0086236D"/>
    <w:rsid w:val="0086248B"/>
    <w:rsid w:val="00862681"/>
    <w:rsid w:val="00862733"/>
    <w:rsid w:val="00862796"/>
    <w:rsid w:val="00862853"/>
    <w:rsid w:val="0086286B"/>
    <w:rsid w:val="008628A0"/>
    <w:rsid w:val="00862A94"/>
    <w:rsid w:val="00862B7F"/>
    <w:rsid w:val="00862CE8"/>
    <w:rsid w:val="0086301B"/>
    <w:rsid w:val="008631AE"/>
    <w:rsid w:val="008631F6"/>
    <w:rsid w:val="00863249"/>
    <w:rsid w:val="008632E3"/>
    <w:rsid w:val="008634F5"/>
    <w:rsid w:val="00863620"/>
    <w:rsid w:val="0086362A"/>
    <w:rsid w:val="00863682"/>
    <w:rsid w:val="00863706"/>
    <w:rsid w:val="00863A2B"/>
    <w:rsid w:val="00863B97"/>
    <w:rsid w:val="00863BDD"/>
    <w:rsid w:val="00863D61"/>
    <w:rsid w:val="00863EF0"/>
    <w:rsid w:val="0086406F"/>
    <w:rsid w:val="008640D4"/>
    <w:rsid w:val="00864118"/>
    <w:rsid w:val="00864289"/>
    <w:rsid w:val="00864354"/>
    <w:rsid w:val="0086438C"/>
    <w:rsid w:val="00864526"/>
    <w:rsid w:val="0086479C"/>
    <w:rsid w:val="00864812"/>
    <w:rsid w:val="00864ACF"/>
    <w:rsid w:val="00864CA5"/>
    <w:rsid w:val="00864E33"/>
    <w:rsid w:val="00864EAC"/>
    <w:rsid w:val="0086535B"/>
    <w:rsid w:val="0086553D"/>
    <w:rsid w:val="0086558D"/>
    <w:rsid w:val="008656DE"/>
    <w:rsid w:val="00865807"/>
    <w:rsid w:val="00865968"/>
    <w:rsid w:val="00865A45"/>
    <w:rsid w:val="00865BA2"/>
    <w:rsid w:val="00865BD4"/>
    <w:rsid w:val="00865D92"/>
    <w:rsid w:val="00865FF4"/>
    <w:rsid w:val="008660A4"/>
    <w:rsid w:val="0086617D"/>
    <w:rsid w:val="0086636F"/>
    <w:rsid w:val="0086642D"/>
    <w:rsid w:val="0086644F"/>
    <w:rsid w:val="00866493"/>
    <w:rsid w:val="00866A4C"/>
    <w:rsid w:val="00866C67"/>
    <w:rsid w:val="00866C6C"/>
    <w:rsid w:val="008672E3"/>
    <w:rsid w:val="008676D6"/>
    <w:rsid w:val="008676F6"/>
    <w:rsid w:val="0086771B"/>
    <w:rsid w:val="00867788"/>
    <w:rsid w:val="00867878"/>
    <w:rsid w:val="00867996"/>
    <w:rsid w:val="00867C4E"/>
    <w:rsid w:val="00867DDC"/>
    <w:rsid w:val="00867E88"/>
    <w:rsid w:val="00870199"/>
    <w:rsid w:val="00870259"/>
    <w:rsid w:val="008703EB"/>
    <w:rsid w:val="008708D7"/>
    <w:rsid w:val="00870A79"/>
    <w:rsid w:val="00870FA5"/>
    <w:rsid w:val="00870FD9"/>
    <w:rsid w:val="0087111A"/>
    <w:rsid w:val="00871371"/>
    <w:rsid w:val="0087186A"/>
    <w:rsid w:val="00871930"/>
    <w:rsid w:val="00871A3B"/>
    <w:rsid w:val="00871ABF"/>
    <w:rsid w:val="00871C8B"/>
    <w:rsid w:val="00871CCC"/>
    <w:rsid w:val="00872138"/>
    <w:rsid w:val="00872213"/>
    <w:rsid w:val="00872291"/>
    <w:rsid w:val="00872506"/>
    <w:rsid w:val="008726CC"/>
    <w:rsid w:val="008727BC"/>
    <w:rsid w:val="00872908"/>
    <w:rsid w:val="008729AB"/>
    <w:rsid w:val="00872D0F"/>
    <w:rsid w:val="0087301F"/>
    <w:rsid w:val="00873054"/>
    <w:rsid w:val="008730CA"/>
    <w:rsid w:val="00873168"/>
    <w:rsid w:val="008735B6"/>
    <w:rsid w:val="00873628"/>
    <w:rsid w:val="00873665"/>
    <w:rsid w:val="008736DA"/>
    <w:rsid w:val="00873843"/>
    <w:rsid w:val="00873A58"/>
    <w:rsid w:val="00873C55"/>
    <w:rsid w:val="00873D48"/>
    <w:rsid w:val="00873E66"/>
    <w:rsid w:val="00873F03"/>
    <w:rsid w:val="00874140"/>
    <w:rsid w:val="00874281"/>
    <w:rsid w:val="00874658"/>
    <w:rsid w:val="008748B5"/>
    <w:rsid w:val="008748F9"/>
    <w:rsid w:val="00874947"/>
    <w:rsid w:val="008749B3"/>
    <w:rsid w:val="00874BCF"/>
    <w:rsid w:val="00874CF7"/>
    <w:rsid w:val="00874DAF"/>
    <w:rsid w:val="008750BA"/>
    <w:rsid w:val="008751D4"/>
    <w:rsid w:val="00875285"/>
    <w:rsid w:val="008753CC"/>
    <w:rsid w:val="0087552D"/>
    <w:rsid w:val="00875570"/>
    <w:rsid w:val="00875580"/>
    <w:rsid w:val="008756FA"/>
    <w:rsid w:val="00875777"/>
    <w:rsid w:val="008758DB"/>
    <w:rsid w:val="008758FC"/>
    <w:rsid w:val="008759F5"/>
    <w:rsid w:val="00875B8C"/>
    <w:rsid w:val="00875D7C"/>
    <w:rsid w:val="00875E25"/>
    <w:rsid w:val="00875EE3"/>
    <w:rsid w:val="008760D1"/>
    <w:rsid w:val="008764F1"/>
    <w:rsid w:val="00876602"/>
    <w:rsid w:val="0087670C"/>
    <w:rsid w:val="008767B7"/>
    <w:rsid w:val="00876830"/>
    <w:rsid w:val="0087692A"/>
    <w:rsid w:val="00876932"/>
    <w:rsid w:val="00876C29"/>
    <w:rsid w:val="00876C3F"/>
    <w:rsid w:val="00876DE6"/>
    <w:rsid w:val="00876E96"/>
    <w:rsid w:val="00877040"/>
    <w:rsid w:val="0087733D"/>
    <w:rsid w:val="008774A0"/>
    <w:rsid w:val="008774E6"/>
    <w:rsid w:val="00877533"/>
    <w:rsid w:val="008777B5"/>
    <w:rsid w:val="008777FB"/>
    <w:rsid w:val="00877835"/>
    <w:rsid w:val="008778A0"/>
    <w:rsid w:val="008778FC"/>
    <w:rsid w:val="0087797F"/>
    <w:rsid w:val="00877AD4"/>
    <w:rsid w:val="00877C24"/>
    <w:rsid w:val="00877DC5"/>
    <w:rsid w:val="00877DC9"/>
    <w:rsid w:val="00877E8E"/>
    <w:rsid w:val="00877FD4"/>
    <w:rsid w:val="008801AA"/>
    <w:rsid w:val="00880265"/>
    <w:rsid w:val="008802FE"/>
    <w:rsid w:val="00880426"/>
    <w:rsid w:val="008807BB"/>
    <w:rsid w:val="008807C1"/>
    <w:rsid w:val="0088080F"/>
    <w:rsid w:val="008808EB"/>
    <w:rsid w:val="008809CF"/>
    <w:rsid w:val="008809F1"/>
    <w:rsid w:val="00880A42"/>
    <w:rsid w:val="00880A6C"/>
    <w:rsid w:val="00880ACA"/>
    <w:rsid w:val="00880C3A"/>
    <w:rsid w:val="00880D13"/>
    <w:rsid w:val="00880D56"/>
    <w:rsid w:val="00880D5B"/>
    <w:rsid w:val="00880D72"/>
    <w:rsid w:val="00880D8B"/>
    <w:rsid w:val="00880E2D"/>
    <w:rsid w:val="00880F15"/>
    <w:rsid w:val="008810A7"/>
    <w:rsid w:val="00881187"/>
    <w:rsid w:val="008813C1"/>
    <w:rsid w:val="00881443"/>
    <w:rsid w:val="0088149A"/>
    <w:rsid w:val="00881586"/>
    <w:rsid w:val="0088184C"/>
    <w:rsid w:val="00881913"/>
    <w:rsid w:val="00881943"/>
    <w:rsid w:val="00881976"/>
    <w:rsid w:val="00881A2B"/>
    <w:rsid w:val="00881BD0"/>
    <w:rsid w:val="00881BF4"/>
    <w:rsid w:val="00881D62"/>
    <w:rsid w:val="00881EF1"/>
    <w:rsid w:val="00881FE0"/>
    <w:rsid w:val="0088213D"/>
    <w:rsid w:val="008821B5"/>
    <w:rsid w:val="008823BD"/>
    <w:rsid w:val="00882ABF"/>
    <w:rsid w:val="00882C26"/>
    <w:rsid w:val="00882D3D"/>
    <w:rsid w:val="00882EB9"/>
    <w:rsid w:val="00883051"/>
    <w:rsid w:val="0088306D"/>
    <w:rsid w:val="00883128"/>
    <w:rsid w:val="008832A5"/>
    <w:rsid w:val="00883481"/>
    <w:rsid w:val="0088373C"/>
    <w:rsid w:val="008837EB"/>
    <w:rsid w:val="008839D9"/>
    <w:rsid w:val="00883C33"/>
    <w:rsid w:val="00883D71"/>
    <w:rsid w:val="00883DD4"/>
    <w:rsid w:val="00883E72"/>
    <w:rsid w:val="00884040"/>
    <w:rsid w:val="00884102"/>
    <w:rsid w:val="00884182"/>
    <w:rsid w:val="008842FF"/>
    <w:rsid w:val="008843DE"/>
    <w:rsid w:val="008844E7"/>
    <w:rsid w:val="00884722"/>
    <w:rsid w:val="008847F3"/>
    <w:rsid w:val="00884801"/>
    <w:rsid w:val="00884A9B"/>
    <w:rsid w:val="00884C3E"/>
    <w:rsid w:val="0088525F"/>
    <w:rsid w:val="00885A7D"/>
    <w:rsid w:val="00885C0F"/>
    <w:rsid w:val="00885E7B"/>
    <w:rsid w:val="00885F25"/>
    <w:rsid w:val="00886075"/>
    <w:rsid w:val="00886186"/>
    <w:rsid w:val="00886264"/>
    <w:rsid w:val="00886380"/>
    <w:rsid w:val="008864FC"/>
    <w:rsid w:val="00886686"/>
    <w:rsid w:val="00886951"/>
    <w:rsid w:val="00886B00"/>
    <w:rsid w:val="00886DBA"/>
    <w:rsid w:val="00886FFE"/>
    <w:rsid w:val="00887002"/>
    <w:rsid w:val="00887025"/>
    <w:rsid w:val="008871F3"/>
    <w:rsid w:val="00887382"/>
    <w:rsid w:val="00887383"/>
    <w:rsid w:val="008873CE"/>
    <w:rsid w:val="00887596"/>
    <w:rsid w:val="00887A21"/>
    <w:rsid w:val="00887AF8"/>
    <w:rsid w:val="00887E0A"/>
    <w:rsid w:val="00890004"/>
    <w:rsid w:val="0089006F"/>
    <w:rsid w:val="008900FA"/>
    <w:rsid w:val="0089053C"/>
    <w:rsid w:val="00890753"/>
    <w:rsid w:val="0089081E"/>
    <w:rsid w:val="0089093E"/>
    <w:rsid w:val="008909A3"/>
    <w:rsid w:val="00890BF5"/>
    <w:rsid w:val="00890DA7"/>
    <w:rsid w:val="00890E8D"/>
    <w:rsid w:val="00890EE6"/>
    <w:rsid w:val="00890EFE"/>
    <w:rsid w:val="008911DF"/>
    <w:rsid w:val="0089166E"/>
    <w:rsid w:val="0089179E"/>
    <w:rsid w:val="00891810"/>
    <w:rsid w:val="0089186D"/>
    <w:rsid w:val="00891903"/>
    <w:rsid w:val="00891A5E"/>
    <w:rsid w:val="00891B28"/>
    <w:rsid w:val="00891D27"/>
    <w:rsid w:val="00891DC5"/>
    <w:rsid w:val="00891DDF"/>
    <w:rsid w:val="00891E25"/>
    <w:rsid w:val="00891E2B"/>
    <w:rsid w:val="00891F7E"/>
    <w:rsid w:val="00892041"/>
    <w:rsid w:val="00892164"/>
    <w:rsid w:val="00892360"/>
    <w:rsid w:val="008923BB"/>
    <w:rsid w:val="00892571"/>
    <w:rsid w:val="0089269E"/>
    <w:rsid w:val="008926A1"/>
    <w:rsid w:val="008926EF"/>
    <w:rsid w:val="0089294D"/>
    <w:rsid w:val="0089296D"/>
    <w:rsid w:val="00892EAF"/>
    <w:rsid w:val="00893055"/>
    <w:rsid w:val="00893488"/>
    <w:rsid w:val="008934F6"/>
    <w:rsid w:val="008936F5"/>
    <w:rsid w:val="0089375C"/>
    <w:rsid w:val="0089388E"/>
    <w:rsid w:val="008938D5"/>
    <w:rsid w:val="00893E82"/>
    <w:rsid w:val="00893E94"/>
    <w:rsid w:val="00893ED9"/>
    <w:rsid w:val="00893FB6"/>
    <w:rsid w:val="00894073"/>
    <w:rsid w:val="0089409F"/>
    <w:rsid w:val="00894331"/>
    <w:rsid w:val="008945B7"/>
    <w:rsid w:val="008945CC"/>
    <w:rsid w:val="008946C5"/>
    <w:rsid w:val="00894988"/>
    <w:rsid w:val="008949A2"/>
    <w:rsid w:val="00894AF7"/>
    <w:rsid w:val="00894FF7"/>
    <w:rsid w:val="008951AB"/>
    <w:rsid w:val="008951B3"/>
    <w:rsid w:val="00895448"/>
    <w:rsid w:val="00895466"/>
    <w:rsid w:val="00895617"/>
    <w:rsid w:val="0089561D"/>
    <w:rsid w:val="008957B8"/>
    <w:rsid w:val="00895976"/>
    <w:rsid w:val="00895C37"/>
    <w:rsid w:val="00895DD7"/>
    <w:rsid w:val="00895E7F"/>
    <w:rsid w:val="00895EE6"/>
    <w:rsid w:val="00896047"/>
    <w:rsid w:val="0089623F"/>
    <w:rsid w:val="0089640F"/>
    <w:rsid w:val="0089657A"/>
    <w:rsid w:val="008965A7"/>
    <w:rsid w:val="00896603"/>
    <w:rsid w:val="0089668E"/>
    <w:rsid w:val="008967A6"/>
    <w:rsid w:val="00896BCA"/>
    <w:rsid w:val="00896BEB"/>
    <w:rsid w:val="00896C07"/>
    <w:rsid w:val="00896C10"/>
    <w:rsid w:val="00896C43"/>
    <w:rsid w:val="00896D3D"/>
    <w:rsid w:val="00896DFA"/>
    <w:rsid w:val="00896EBE"/>
    <w:rsid w:val="00896FB1"/>
    <w:rsid w:val="0089713D"/>
    <w:rsid w:val="00897268"/>
    <w:rsid w:val="00897351"/>
    <w:rsid w:val="008973C0"/>
    <w:rsid w:val="00897505"/>
    <w:rsid w:val="00897709"/>
    <w:rsid w:val="0089786B"/>
    <w:rsid w:val="008979B1"/>
    <w:rsid w:val="00897BB1"/>
    <w:rsid w:val="00897CD3"/>
    <w:rsid w:val="00897CEA"/>
    <w:rsid w:val="008A0039"/>
    <w:rsid w:val="008A008E"/>
    <w:rsid w:val="008A0591"/>
    <w:rsid w:val="008A0820"/>
    <w:rsid w:val="008A0851"/>
    <w:rsid w:val="008A08FF"/>
    <w:rsid w:val="008A0A01"/>
    <w:rsid w:val="008A0CD2"/>
    <w:rsid w:val="008A0F4D"/>
    <w:rsid w:val="008A0FA8"/>
    <w:rsid w:val="008A1068"/>
    <w:rsid w:val="008A10FA"/>
    <w:rsid w:val="008A155C"/>
    <w:rsid w:val="008A15BC"/>
    <w:rsid w:val="008A1604"/>
    <w:rsid w:val="008A167A"/>
    <w:rsid w:val="008A17E0"/>
    <w:rsid w:val="008A1EF6"/>
    <w:rsid w:val="008A20B6"/>
    <w:rsid w:val="008A2182"/>
    <w:rsid w:val="008A22D9"/>
    <w:rsid w:val="008A24D7"/>
    <w:rsid w:val="008A252D"/>
    <w:rsid w:val="008A29DE"/>
    <w:rsid w:val="008A29F6"/>
    <w:rsid w:val="008A2BEC"/>
    <w:rsid w:val="008A2C15"/>
    <w:rsid w:val="008A2C42"/>
    <w:rsid w:val="008A2D3A"/>
    <w:rsid w:val="008A2E45"/>
    <w:rsid w:val="008A30CE"/>
    <w:rsid w:val="008A30D4"/>
    <w:rsid w:val="008A3177"/>
    <w:rsid w:val="008A339A"/>
    <w:rsid w:val="008A33B9"/>
    <w:rsid w:val="008A3560"/>
    <w:rsid w:val="008A3606"/>
    <w:rsid w:val="008A39CD"/>
    <w:rsid w:val="008A3B69"/>
    <w:rsid w:val="008A3EEC"/>
    <w:rsid w:val="008A3FAB"/>
    <w:rsid w:val="008A4164"/>
    <w:rsid w:val="008A41DC"/>
    <w:rsid w:val="008A4361"/>
    <w:rsid w:val="008A4460"/>
    <w:rsid w:val="008A4530"/>
    <w:rsid w:val="008A487C"/>
    <w:rsid w:val="008A4A18"/>
    <w:rsid w:val="008A4ABB"/>
    <w:rsid w:val="008A4B20"/>
    <w:rsid w:val="008A4B32"/>
    <w:rsid w:val="008A4B65"/>
    <w:rsid w:val="008A4C80"/>
    <w:rsid w:val="008A4F39"/>
    <w:rsid w:val="008A4F45"/>
    <w:rsid w:val="008A4FB6"/>
    <w:rsid w:val="008A5012"/>
    <w:rsid w:val="008A5166"/>
    <w:rsid w:val="008A52BD"/>
    <w:rsid w:val="008A536A"/>
    <w:rsid w:val="008A5398"/>
    <w:rsid w:val="008A555E"/>
    <w:rsid w:val="008A55E6"/>
    <w:rsid w:val="008A5744"/>
    <w:rsid w:val="008A582C"/>
    <w:rsid w:val="008A5837"/>
    <w:rsid w:val="008A59A0"/>
    <w:rsid w:val="008A59A2"/>
    <w:rsid w:val="008A5A3D"/>
    <w:rsid w:val="008A5C0E"/>
    <w:rsid w:val="008A5DB6"/>
    <w:rsid w:val="008A60F3"/>
    <w:rsid w:val="008A619A"/>
    <w:rsid w:val="008A6265"/>
    <w:rsid w:val="008A63BE"/>
    <w:rsid w:val="008A63FC"/>
    <w:rsid w:val="008A6574"/>
    <w:rsid w:val="008A65AD"/>
    <w:rsid w:val="008A6629"/>
    <w:rsid w:val="008A665A"/>
    <w:rsid w:val="008A6897"/>
    <w:rsid w:val="008A69FC"/>
    <w:rsid w:val="008A6A0A"/>
    <w:rsid w:val="008A6AE1"/>
    <w:rsid w:val="008A6B45"/>
    <w:rsid w:val="008A6B7B"/>
    <w:rsid w:val="008A6B7D"/>
    <w:rsid w:val="008A6D4A"/>
    <w:rsid w:val="008A70C7"/>
    <w:rsid w:val="008A70C8"/>
    <w:rsid w:val="008A7535"/>
    <w:rsid w:val="008A7574"/>
    <w:rsid w:val="008A75DF"/>
    <w:rsid w:val="008A761E"/>
    <w:rsid w:val="008A76C1"/>
    <w:rsid w:val="008A7715"/>
    <w:rsid w:val="008A7919"/>
    <w:rsid w:val="008A7931"/>
    <w:rsid w:val="008A7AEE"/>
    <w:rsid w:val="008A7BF9"/>
    <w:rsid w:val="008A7C10"/>
    <w:rsid w:val="008A7C40"/>
    <w:rsid w:val="008A7D2E"/>
    <w:rsid w:val="008A7EB2"/>
    <w:rsid w:val="008B0050"/>
    <w:rsid w:val="008B021E"/>
    <w:rsid w:val="008B035F"/>
    <w:rsid w:val="008B0540"/>
    <w:rsid w:val="008B0580"/>
    <w:rsid w:val="008B05D5"/>
    <w:rsid w:val="008B0697"/>
    <w:rsid w:val="008B070A"/>
    <w:rsid w:val="008B078D"/>
    <w:rsid w:val="008B0A21"/>
    <w:rsid w:val="008B0A93"/>
    <w:rsid w:val="008B0CED"/>
    <w:rsid w:val="008B0D10"/>
    <w:rsid w:val="008B0D94"/>
    <w:rsid w:val="008B0F94"/>
    <w:rsid w:val="008B0FD5"/>
    <w:rsid w:val="008B110E"/>
    <w:rsid w:val="008B1246"/>
    <w:rsid w:val="008B12A7"/>
    <w:rsid w:val="008B1397"/>
    <w:rsid w:val="008B1474"/>
    <w:rsid w:val="008B1687"/>
    <w:rsid w:val="008B1787"/>
    <w:rsid w:val="008B1823"/>
    <w:rsid w:val="008B184C"/>
    <w:rsid w:val="008B198D"/>
    <w:rsid w:val="008B1DBA"/>
    <w:rsid w:val="008B1EB8"/>
    <w:rsid w:val="008B1F6E"/>
    <w:rsid w:val="008B1FB7"/>
    <w:rsid w:val="008B200E"/>
    <w:rsid w:val="008B202B"/>
    <w:rsid w:val="008B20B4"/>
    <w:rsid w:val="008B21F0"/>
    <w:rsid w:val="008B2551"/>
    <w:rsid w:val="008B257D"/>
    <w:rsid w:val="008B27B4"/>
    <w:rsid w:val="008B28A6"/>
    <w:rsid w:val="008B2949"/>
    <w:rsid w:val="008B2A35"/>
    <w:rsid w:val="008B2B77"/>
    <w:rsid w:val="008B2B91"/>
    <w:rsid w:val="008B2C07"/>
    <w:rsid w:val="008B2CA2"/>
    <w:rsid w:val="008B2EAA"/>
    <w:rsid w:val="008B2F89"/>
    <w:rsid w:val="008B31D1"/>
    <w:rsid w:val="008B32CD"/>
    <w:rsid w:val="008B342A"/>
    <w:rsid w:val="008B365C"/>
    <w:rsid w:val="008B369F"/>
    <w:rsid w:val="008B36E9"/>
    <w:rsid w:val="008B3834"/>
    <w:rsid w:val="008B3A41"/>
    <w:rsid w:val="008B3C12"/>
    <w:rsid w:val="008B3C22"/>
    <w:rsid w:val="008B42E5"/>
    <w:rsid w:val="008B4482"/>
    <w:rsid w:val="008B4496"/>
    <w:rsid w:val="008B4517"/>
    <w:rsid w:val="008B4572"/>
    <w:rsid w:val="008B457B"/>
    <w:rsid w:val="008B46DC"/>
    <w:rsid w:val="008B4A72"/>
    <w:rsid w:val="008B4A85"/>
    <w:rsid w:val="008B4BEF"/>
    <w:rsid w:val="008B4CCB"/>
    <w:rsid w:val="008B4D7C"/>
    <w:rsid w:val="008B4E84"/>
    <w:rsid w:val="008B4EF4"/>
    <w:rsid w:val="008B4FF9"/>
    <w:rsid w:val="008B5140"/>
    <w:rsid w:val="008B5549"/>
    <w:rsid w:val="008B556E"/>
    <w:rsid w:val="008B55A3"/>
    <w:rsid w:val="008B55C6"/>
    <w:rsid w:val="008B5858"/>
    <w:rsid w:val="008B5B0F"/>
    <w:rsid w:val="008B5B13"/>
    <w:rsid w:val="008B5D17"/>
    <w:rsid w:val="008B5E55"/>
    <w:rsid w:val="008B5F40"/>
    <w:rsid w:val="008B611C"/>
    <w:rsid w:val="008B6331"/>
    <w:rsid w:val="008B6373"/>
    <w:rsid w:val="008B63E6"/>
    <w:rsid w:val="008B65B2"/>
    <w:rsid w:val="008B6609"/>
    <w:rsid w:val="008B6669"/>
    <w:rsid w:val="008B683A"/>
    <w:rsid w:val="008B688E"/>
    <w:rsid w:val="008B6963"/>
    <w:rsid w:val="008B6ABD"/>
    <w:rsid w:val="008B6B39"/>
    <w:rsid w:val="008B6C90"/>
    <w:rsid w:val="008B6DDD"/>
    <w:rsid w:val="008B6ECB"/>
    <w:rsid w:val="008B6FF5"/>
    <w:rsid w:val="008B701D"/>
    <w:rsid w:val="008B7060"/>
    <w:rsid w:val="008B73A6"/>
    <w:rsid w:val="008B73A8"/>
    <w:rsid w:val="008B73E8"/>
    <w:rsid w:val="008B793D"/>
    <w:rsid w:val="008B7B74"/>
    <w:rsid w:val="008B7C05"/>
    <w:rsid w:val="008B7CAC"/>
    <w:rsid w:val="008B7D7D"/>
    <w:rsid w:val="008B7F69"/>
    <w:rsid w:val="008B7F8C"/>
    <w:rsid w:val="008C0137"/>
    <w:rsid w:val="008C0231"/>
    <w:rsid w:val="008C03DC"/>
    <w:rsid w:val="008C0484"/>
    <w:rsid w:val="008C0523"/>
    <w:rsid w:val="008C0546"/>
    <w:rsid w:val="008C0763"/>
    <w:rsid w:val="008C0791"/>
    <w:rsid w:val="008C07CC"/>
    <w:rsid w:val="008C0AD3"/>
    <w:rsid w:val="008C0BB1"/>
    <w:rsid w:val="008C0C45"/>
    <w:rsid w:val="008C0C71"/>
    <w:rsid w:val="008C0EB5"/>
    <w:rsid w:val="008C1310"/>
    <w:rsid w:val="008C1422"/>
    <w:rsid w:val="008C1526"/>
    <w:rsid w:val="008C1561"/>
    <w:rsid w:val="008C175F"/>
    <w:rsid w:val="008C1764"/>
    <w:rsid w:val="008C18C1"/>
    <w:rsid w:val="008C1901"/>
    <w:rsid w:val="008C19AB"/>
    <w:rsid w:val="008C19F4"/>
    <w:rsid w:val="008C1C17"/>
    <w:rsid w:val="008C204A"/>
    <w:rsid w:val="008C2157"/>
    <w:rsid w:val="008C2273"/>
    <w:rsid w:val="008C233A"/>
    <w:rsid w:val="008C255C"/>
    <w:rsid w:val="008C2682"/>
    <w:rsid w:val="008C28C2"/>
    <w:rsid w:val="008C2B8E"/>
    <w:rsid w:val="008C2BA2"/>
    <w:rsid w:val="008C2CA8"/>
    <w:rsid w:val="008C2D1F"/>
    <w:rsid w:val="008C2DCD"/>
    <w:rsid w:val="008C2E08"/>
    <w:rsid w:val="008C2E8A"/>
    <w:rsid w:val="008C31CF"/>
    <w:rsid w:val="008C3445"/>
    <w:rsid w:val="008C37FE"/>
    <w:rsid w:val="008C390B"/>
    <w:rsid w:val="008C3A81"/>
    <w:rsid w:val="008C3B94"/>
    <w:rsid w:val="008C42E2"/>
    <w:rsid w:val="008C42F0"/>
    <w:rsid w:val="008C441D"/>
    <w:rsid w:val="008C4808"/>
    <w:rsid w:val="008C4A15"/>
    <w:rsid w:val="008C4B63"/>
    <w:rsid w:val="008C4E33"/>
    <w:rsid w:val="008C502E"/>
    <w:rsid w:val="008C50CB"/>
    <w:rsid w:val="008C51F6"/>
    <w:rsid w:val="008C520E"/>
    <w:rsid w:val="008C5400"/>
    <w:rsid w:val="008C56CA"/>
    <w:rsid w:val="008C5746"/>
    <w:rsid w:val="008C582B"/>
    <w:rsid w:val="008C5864"/>
    <w:rsid w:val="008C5A7F"/>
    <w:rsid w:val="008C5AAD"/>
    <w:rsid w:val="008C5BE0"/>
    <w:rsid w:val="008C5CCF"/>
    <w:rsid w:val="008C5D0E"/>
    <w:rsid w:val="008C5D52"/>
    <w:rsid w:val="008C5D92"/>
    <w:rsid w:val="008C5DEE"/>
    <w:rsid w:val="008C5EBF"/>
    <w:rsid w:val="008C612B"/>
    <w:rsid w:val="008C6150"/>
    <w:rsid w:val="008C6183"/>
    <w:rsid w:val="008C6353"/>
    <w:rsid w:val="008C64AD"/>
    <w:rsid w:val="008C654B"/>
    <w:rsid w:val="008C66AD"/>
    <w:rsid w:val="008C67F6"/>
    <w:rsid w:val="008C6806"/>
    <w:rsid w:val="008C68C8"/>
    <w:rsid w:val="008C6914"/>
    <w:rsid w:val="008C6A50"/>
    <w:rsid w:val="008C6C50"/>
    <w:rsid w:val="008C6EEA"/>
    <w:rsid w:val="008C6EF1"/>
    <w:rsid w:val="008C70B9"/>
    <w:rsid w:val="008C70F6"/>
    <w:rsid w:val="008C74A9"/>
    <w:rsid w:val="008C7528"/>
    <w:rsid w:val="008C75C6"/>
    <w:rsid w:val="008C75EF"/>
    <w:rsid w:val="008C76BB"/>
    <w:rsid w:val="008C76C1"/>
    <w:rsid w:val="008C7898"/>
    <w:rsid w:val="008C794B"/>
    <w:rsid w:val="008C7952"/>
    <w:rsid w:val="008C799B"/>
    <w:rsid w:val="008C7ACC"/>
    <w:rsid w:val="008C7B57"/>
    <w:rsid w:val="008C7C19"/>
    <w:rsid w:val="008C7C97"/>
    <w:rsid w:val="008C7DC7"/>
    <w:rsid w:val="008D01F9"/>
    <w:rsid w:val="008D0270"/>
    <w:rsid w:val="008D05F5"/>
    <w:rsid w:val="008D083E"/>
    <w:rsid w:val="008D098E"/>
    <w:rsid w:val="008D09DF"/>
    <w:rsid w:val="008D0D18"/>
    <w:rsid w:val="008D0E2A"/>
    <w:rsid w:val="008D0EC4"/>
    <w:rsid w:val="008D0ECF"/>
    <w:rsid w:val="008D131A"/>
    <w:rsid w:val="008D1350"/>
    <w:rsid w:val="008D1668"/>
    <w:rsid w:val="008D1879"/>
    <w:rsid w:val="008D19A5"/>
    <w:rsid w:val="008D1B17"/>
    <w:rsid w:val="008D1C68"/>
    <w:rsid w:val="008D1D16"/>
    <w:rsid w:val="008D1FFF"/>
    <w:rsid w:val="008D2062"/>
    <w:rsid w:val="008D2144"/>
    <w:rsid w:val="008D214D"/>
    <w:rsid w:val="008D22E7"/>
    <w:rsid w:val="008D254D"/>
    <w:rsid w:val="008D2566"/>
    <w:rsid w:val="008D2630"/>
    <w:rsid w:val="008D28D0"/>
    <w:rsid w:val="008D2985"/>
    <w:rsid w:val="008D2AAD"/>
    <w:rsid w:val="008D2D9A"/>
    <w:rsid w:val="008D2EB5"/>
    <w:rsid w:val="008D31A4"/>
    <w:rsid w:val="008D31E1"/>
    <w:rsid w:val="008D3289"/>
    <w:rsid w:val="008D3653"/>
    <w:rsid w:val="008D374E"/>
    <w:rsid w:val="008D37CD"/>
    <w:rsid w:val="008D3808"/>
    <w:rsid w:val="008D3891"/>
    <w:rsid w:val="008D39AD"/>
    <w:rsid w:val="008D39E2"/>
    <w:rsid w:val="008D39EF"/>
    <w:rsid w:val="008D3A0E"/>
    <w:rsid w:val="008D3AAB"/>
    <w:rsid w:val="008D3E2E"/>
    <w:rsid w:val="008D3EFB"/>
    <w:rsid w:val="008D4082"/>
    <w:rsid w:val="008D40C8"/>
    <w:rsid w:val="008D41DD"/>
    <w:rsid w:val="008D4371"/>
    <w:rsid w:val="008D43C8"/>
    <w:rsid w:val="008D4426"/>
    <w:rsid w:val="008D451C"/>
    <w:rsid w:val="008D4874"/>
    <w:rsid w:val="008D4B18"/>
    <w:rsid w:val="008D4E25"/>
    <w:rsid w:val="008D4E9F"/>
    <w:rsid w:val="008D4F0B"/>
    <w:rsid w:val="008D50B1"/>
    <w:rsid w:val="008D5533"/>
    <w:rsid w:val="008D5634"/>
    <w:rsid w:val="008D589B"/>
    <w:rsid w:val="008D58D4"/>
    <w:rsid w:val="008D596E"/>
    <w:rsid w:val="008D5B68"/>
    <w:rsid w:val="008D5B77"/>
    <w:rsid w:val="008D5C13"/>
    <w:rsid w:val="008D5C77"/>
    <w:rsid w:val="008D5D99"/>
    <w:rsid w:val="008D5E12"/>
    <w:rsid w:val="008D5E15"/>
    <w:rsid w:val="008D5E97"/>
    <w:rsid w:val="008D62E7"/>
    <w:rsid w:val="008D63DA"/>
    <w:rsid w:val="008D64C5"/>
    <w:rsid w:val="008D652E"/>
    <w:rsid w:val="008D6655"/>
    <w:rsid w:val="008D67F3"/>
    <w:rsid w:val="008D685F"/>
    <w:rsid w:val="008D6925"/>
    <w:rsid w:val="008D69A2"/>
    <w:rsid w:val="008D6B12"/>
    <w:rsid w:val="008D6B63"/>
    <w:rsid w:val="008D6CAC"/>
    <w:rsid w:val="008D6D5A"/>
    <w:rsid w:val="008D6D7A"/>
    <w:rsid w:val="008D6D8A"/>
    <w:rsid w:val="008D7157"/>
    <w:rsid w:val="008D723E"/>
    <w:rsid w:val="008D735B"/>
    <w:rsid w:val="008D748B"/>
    <w:rsid w:val="008D782A"/>
    <w:rsid w:val="008D7964"/>
    <w:rsid w:val="008D7A55"/>
    <w:rsid w:val="008D7AA4"/>
    <w:rsid w:val="008D7ACC"/>
    <w:rsid w:val="008D7C16"/>
    <w:rsid w:val="008D7EB9"/>
    <w:rsid w:val="008D7EC0"/>
    <w:rsid w:val="008E0087"/>
    <w:rsid w:val="008E0098"/>
    <w:rsid w:val="008E01E0"/>
    <w:rsid w:val="008E0241"/>
    <w:rsid w:val="008E04BD"/>
    <w:rsid w:val="008E0544"/>
    <w:rsid w:val="008E0592"/>
    <w:rsid w:val="008E060D"/>
    <w:rsid w:val="008E0A40"/>
    <w:rsid w:val="008E0C01"/>
    <w:rsid w:val="008E0D5D"/>
    <w:rsid w:val="008E127C"/>
    <w:rsid w:val="008E1476"/>
    <w:rsid w:val="008E147D"/>
    <w:rsid w:val="008E14EB"/>
    <w:rsid w:val="008E14ED"/>
    <w:rsid w:val="008E15B4"/>
    <w:rsid w:val="008E15CC"/>
    <w:rsid w:val="008E17ED"/>
    <w:rsid w:val="008E1847"/>
    <w:rsid w:val="008E1951"/>
    <w:rsid w:val="008E1AD4"/>
    <w:rsid w:val="008E1AE5"/>
    <w:rsid w:val="008E1E39"/>
    <w:rsid w:val="008E1F13"/>
    <w:rsid w:val="008E1FA2"/>
    <w:rsid w:val="008E2100"/>
    <w:rsid w:val="008E2102"/>
    <w:rsid w:val="008E2257"/>
    <w:rsid w:val="008E23D9"/>
    <w:rsid w:val="008E2463"/>
    <w:rsid w:val="008E27F6"/>
    <w:rsid w:val="008E2867"/>
    <w:rsid w:val="008E29DA"/>
    <w:rsid w:val="008E2C78"/>
    <w:rsid w:val="008E2D95"/>
    <w:rsid w:val="008E2DA1"/>
    <w:rsid w:val="008E2E6E"/>
    <w:rsid w:val="008E2EF4"/>
    <w:rsid w:val="008E310F"/>
    <w:rsid w:val="008E3148"/>
    <w:rsid w:val="008E31A4"/>
    <w:rsid w:val="008E331B"/>
    <w:rsid w:val="008E3540"/>
    <w:rsid w:val="008E37E1"/>
    <w:rsid w:val="008E382D"/>
    <w:rsid w:val="008E396F"/>
    <w:rsid w:val="008E3984"/>
    <w:rsid w:val="008E3D3C"/>
    <w:rsid w:val="008E3D76"/>
    <w:rsid w:val="008E415F"/>
    <w:rsid w:val="008E4265"/>
    <w:rsid w:val="008E4392"/>
    <w:rsid w:val="008E4501"/>
    <w:rsid w:val="008E45EB"/>
    <w:rsid w:val="008E46B4"/>
    <w:rsid w:val="008E479A"/>
    <w:rsid w:val="008E48E6"/>
    <w:rsid w:val="008E4982"/>
    <w:rsid w:val="008E4C0F"/>
    <w:rsid w:val="008E4C3E"/>
    <w:rsid w:val="008E4C85"/>
    <w:rsid w:val="008E4EA7"/>
    <w:rsid w:val="008E4F6B"/>
    <w:rsid w:val="008E4FB5"/>
    <w:rsid w:val="008E5253"/>
    <w:rsid w:val="008E529C"/>
    <w:rsid w:val="008E5489"/>
    <w:rsid w:val="008E58F9"/>
    <w:rsid w:val="008E594D"/>
    <w:rsid w:val="008E5E14"/>
    <w:rsid w:val="008E5F36"/>
    <w:rsid w:val="008E5F81"/>
    <w:rsid w:val="008E608D"/>
    <w:rsid w:val="008E62FE"/>
    <w:rsid w:val="008E637E"/>
    <w:rsid w:val="008E64DB"/>
    <w:rsid w:val="008E64DD"/>
    <w:rsid w:val="008E6732"/>
    <w:rsid w:val="008E683E"/>
    <w:rsid w:val="008E6A17"/>
    <w:rsid w:val="008E6F39"/>
    <w:rsid w:val="008E7231"/>
    <w:rsid w:val="008E7393"/>
    <w:rsid w:val="008E741A"/>
    <w:rsid w:val="008E742F"/>
    <w:rsid w:val="008E743B"/>
    <w:rsid w:val="008E7453"/>
    <w:rsid w:val="008E762A"/>
    <w:rsid w:val="008E76A5"/>
    <w:rsid w:val="008E7756"/>
    <w:rsid w:val="008E7B57"/>
    <w:rsid w:val="008E7DB5"/>
    <w:rsid w:val="008E7E51"/>
    <w:rsid w:val="008E7E7C"/>
    <w:rsid w:val="008E7F38"/>
    <w:rsid w:val="008E7F42"/>
    <w:rsid w:val="008E7F5A"/>
    <w:rsid w:val="008F013E"/>
    <w:rsid w:val="008F0187"/>
    <w:rsid w:val="008F0317"/>
    <w:rsid w:val="008F0376"/>
    <w:rsid w:val="008F0438"/>
    <w:rsid w:val="008F0460"/>
    <w:rsid w:val="008F0531"/>
    <w:rsid w:val="008F06C9"/>
    <w:rsid w:val="008F0956"/>
    <w:rsid w:val="008F0B31"/>
    <w:rsid w:val="008F0BC9"/>
    <w:rsid w:val="008F0C49"/>
    <w:rsid w:val="008F0D34"/>
    <w:rsid w:val="008F0DBC"/>
    <w:rsid w:val="008F0E44"/>
    <w:rsid w:val="008F0E5B"/>
    <w:rsid w:val="008F0F6E"/>
    <w:rsid w:val="008F101A"/>
    <w:rsid w:val="008F13AD"/>
    <w:rsid w:val="008F13DC"/>
    <w:rsid w:val="008F13FA"/>
    <w:rsid w:val="008F14C4"/>
    <w:rsid w:val="008F1518"/>
    <w:rsid w:val="008F15F5"/>
    <w:rsid w:val="008F1610"/>
    <w:rsid w:val="008F162F"/>
    <w:rsid w:val="008F1843"/>
    <w:rsid w:val="008F189E"/>
    <w:rsid w:val="008F1B69"/>
    <w:rsid w:val="008F1E11"/>
    <w:rsid w:val="008F1EE1"/>
    <w:rsid w:val="008F1EFE"/>
    <w:rsid w:val="008F1F85"/>
    <w:rsid w:val="008F1FEC"/>
    <w:rsid w:val="008F205B"/>
    <w:rsid w:val="008F2111"/>
    <w:rsid w:val="008F24A8"/>
    <w:rsid w:val="008F264E"/>
    <w:rsid w:val="008F267A"/>
    <w:rsid w:val="008F274D"/>
    <w:rsid w:val="008F28CA"/>
    <w:rsid w:val="008F2D97"/>
    <w:rsid w:val="008F2DA2"/>
    <w:rsid w:val="008F2DBC"/>
    <w:rsid w:val="008F2F98"/>
    <w:rsid w:val="008F35E0"/>
    <w:rsid w:val="008F366B"/>
    <w:rsid w:val="008F378B"/>
    <w:rsid w:val="008F37ED"/>
    <w:rsid w:val="008F3809"/>
    <w:rsid w:val="008F3855"/>
    <w:rsid w:val="008F38E6"/>
    <w:rsid w:val="008F3ACB"/>
    <w:rsid w:val="008F3DD2"/>
    <w:rsid w:val="008F3DE9"/>
    <w:rsid w:val="008F3EC6"/>
    <w:rsid w:val="008F4291"/>
    <w:rsid w:val="008F42B3"/>
    <w:rsid w:val="008F4415"/>
    <w:rsid w:val="008F466F"/>
    <w:rsid w:val="008F4828"/>
    <w:rsid w:val="008F4836"/>
    <w:rsid w:val="008F4B81"/>
    <w:rsid w:val="008F4D06"/>
    <w:rsid w:val="008F4DBF"/>
    <w:rsid w:val="008F4EB9"/>
    <w:rsid w:val="008F51F3"/>
    <w:rsid w:val="008F520E"/>
    <w:rsid w:val="008F539B"/>
    <w:rsid w:val="008F541D"/>
    <w:rsid w:val="008F548D"/>
    <w:rsid w:val="008F5509"/>
    <w:rsid w:val="008F5770"/>
    <w:rsid w:val="008F57F8"/>
    <w:rsid w:val="008F5894"/>
    <w:rsid w:val="008F5BC9"/>
    <w:rsid w:val="008F5C4C"/>
    <w:rsid w:val="008F5CFC"/>
    <w:rsid w:val="008F5E3C"/>
    <w:rsid w:val="008F5E88"/>
    <w:rsid w:val="008F5F4B"/>
    <w:rsid w:val="008F5FCA"/>
    <w:rsid w:val="008F6128"/>
    <w:rsid w:val="008F624D"/>
    <w:rsid w:val="008F6269"/>
    <w:rsid w:val="008F6373"/>
    <w:rsid w:val="008F6577"/>
    <w:rsid w:val="008F65D2"/>
    <w:rsid w:val="008F671E"/>
    <w:rsid w:val="008F68A3"/>
    <w:rsid w:val="008F691C"/>
    <w:rsid w:val="008F69B5"/>
    <w:rsid w:val="008F6D02"/>
    <w:rsid w:val="008F6EC0"/>
    <w:rsid w:val="008F6F59"/>
    <w:rsid w:val="008F70E5"/>
    <w:rsid w:val="008F7189"/>
    <w:rsid w:val="008F75B8"/>
    <w:rsid w:val="008F7623"/>
    <w:rsid w:val="008F7723"/>
    <w:rsid w:val="008F7766"/>
    <w:rsid w:val="008F7B17"/>
    <w:rsid w:val="008F7BEF"/>
    <w:rsid w:val="008F7CC7"/>
    <w:rsid w:val="008F7F23"/>
    <w:rsid w:val="00900007"/>
    <w:rsid w:val="009000C3"/>
    <w:rsid w:val="009001F4"/>
    <w:rsid w:val="00900266"/>
    <w:rsid w:val="0090030C"/>
    <w:rsid w:val="009003D7"/>
    <w:rsid w:val="009003E1"/>
    <w:rsid w:val="00900415"/>
    <w:rsid w:val="009005EA"/>
    <w:rsid w:val="00900638"/>
    <w:rsid w:val="009007F1"/>
    <w:rsid w:val="0090092C"/>
    <w:rsid w:val="00900AE5"/>
    <w:rsid w:val="00900B9E"/>
    <w:rsid w:val="00900DB1"/>
    <w:rsid w:val="00900EA0"/>
    <w:rsid w:val="00900EDA"/>
    <w:rsid w:val="00900F3B"/>
    <w:rsid w:val="00900FF0"/>
    <w:rsid w:val="0090109B"/>
    <w:rsid w:val="009012A8"/>
    <w:rsid w:val="00901323"/>
    <w:rsid w:val="00901534"/>
    <w:rsid w:val="00901537"/>
    <w:rsid w:val="00901546"/>
    <w:rsid w:val="00901752"/>
    <w:rsid w:val="0090180D"/>
    <w:rsid w:val="00901898"/>
    <w:rsid w:val="009018E5"/>
    <w:rsid w:val="0090190F"/>
    <w:rsid w:val="00901921"/>
    <w:rsid w:val="00901987"/>
    <w:rsid w:val="00901A20"/>
    <w:rsid w:val="00901CEB"/>
    <w:rsid w:val="00901DC3"/>
    <w:rsid w:val="00902017"/>
    <w:rsid w:val="0090229D"/>
    <w:rsid w:val="009022C3"/>
    <w:rsid w:val="00902365"/>
    <w:rsid w:val="009023F0"/>
    <w:rsid w:val="009026B6"/>
    <w:rsid w:val="0090271D"/>
    <w:rsid w:val="0090284E"/>
    <w:rsid w:val="009028A5"/>
    <w:rsid w:val="00902AF8"/>
    <w:rsid w:val="00902F67"/>
    <w:rsid w:val="009030B3"/>
    <w:rsid w:val="00903196"/>
    <w:rsid w:val="009031D1"/>
    <w:rsid w:val="00903293"/>
    <w:rsid w:val="009033B0"/>
    <w:rsid w:val="00903509"/>
    <w:rsid w:val="009038A7"/>
    <w:rsid w:val="00903A6D"/>
    <w:rsid w:val="00903AA4"/>
    <w:rsid w:val="00903BD9"/>
    <w:rsid w:val="00903C51"/>
    <w:rsid w:val="00903D9C"/>
    <w:rsid w:val="00903FAF"/>
    <w:rsid w:val="00903FF8"/>
    <w:rsid w:val="0090415C"/>
    <w:rsid w:val="00904216"/>
    <w:rsid w:val="00904276"/>
    <w:rsid w:val="009049E7"/>
    <w:rsid w:val="00904A83"/>
    <w:rsid w:val="00904AC7"/>
    <w:rsid w:val="00904C1D"/>
    <w:rsid w:val="00904D4C"/>
    <w:rsid w:val="009050B6"/>
    <w:rsid w:val="0090521E"/>
    <w:rsid w:val="00905295"/>
    <w:rsid w:val="0090542E"/>
    <w:rsid w:val="0090558F"/>
    <w:rsid w:val="00905668"/>
    <w:rsid w:val="009056D7"/>
    <w:rsid w:val="009058CF"/>
    <w:rsid w:val="00905BF6"/>
    <w:rsid w:val="00905E6A"/>
    <w:rsid w:val="00905F2D"/>
    <w:rsid w:val="00905F6F"/>
    <w:rsid w:val="009060E1"/>
    <w:rsid w:val="009060FD"/>
    <w:rsid w:val="0090615C"/>
    <w:rsid w:val="009064E0"/>
    <w:rsid w:val="0090676D"/>
    <w:rsid w:val="00906774"/>
    <w:rsid w:val="00906B37"/>
    <w:rsid w:val="00906C3A"/>
    <w:rsid w:val="00906CC4"/>
    <w:rsid w:val="00906D18"/>
    <w:rsid w:val="00906D25"/>
    <w:rsid w:val="00906D7E"/>
    <w:rsid w:val="00906D99"/>
    <w:rsid w:val="00906E10"/>
    <w:rsid w:val="00907044"/>
    <w:rsid w:val="00907257"/>
    <w:rsid w:val="00907370"/>
    <w:rsid w:val="009073B9"/>
    <w:rsid w:val="00907478"/>
    <w:rsid w:val="0090755E"/>
    <w:rsid w:val="009075C7"/>
    <w:rsid w:val="00907994"/>
    <w:rsid w:val="009079AB"/>
    <w:rsid w:val="009079BB"/>
    <w:rsid w:val="00907B67"/>
    <w:rsid w:val="00907CC8"/>
    <w:rsid w:val="00907D06"/>
    <w:rsid w:val="00907D08"/>
    <w:rsid w:val="00907E27"/>
    <w:rsid w:val="00907EC9"/>
    <w:rsid w:val="00907F62"/>
    <w:rsid w:val="00907FC1"/>
    <w:rsid w:val="0090A601"/>
    <w:rsid w:val="009102C2"/>
    <w:rsid w:val="0091068C"/>
    <w:rsid w:val="00910920"/>
    <w:rsid w:val="009109C7"/>
    <w:rsid w:val="00910A85"/>
    <w:rsid w:val="00910A90"/>
    <w:rsid w:val="00910AB6"/>
    <w:rsid w:val="0091111F"/>
    <w:rsid w:val="009111A6"/>
    <w:rsid w:val="00911375"/>
    <w:rsid w:val="009113EE"/>
    <w:rsid w:val="00911554"/>
    <w:rsid w:val="0091166F"/>
    <w:rsid w:val="00911738"/>
    <w:rsid w:val="009117D9"/>
    <w:rsid w:val="009119E7"/>
    <w:rsid w:val="00911A2B"/>
    <w:rsid w:val="00911A2F"/>
    <w:rsid w:val="00911C9C"/>
    <w:rsid w:val="00911CC2"/>
    <w:rsid w:val="00911D4B"/>
    <w:rsid w:val="00911F13"/>
    <w:rsid w:val="00912065"/>
    <w:rsid w:val="009120B2"/>
    <w:rsid w:val="0091215A"/>
    <w:rsid w:val="00912374"/>
    <w:rsid w:val="0091253C"/>
    <w:rsid w:val="009125B4"/>
    <w:rsid w:val="00912685"/>
    <w:rsid w:val="009126EA"/>
    <w:rsid w:val="0091288B"/>
    <w:rsid w:val="0091292D"/>
    <w:rsid w:val="00912A10"/>
    <w:rsid w:val="00912B7A"/>
    <w:rsid w:val="00912BAC"/>
    <w:rsid w:val="00912F28"/>
    <w:rsid w:val="00912F46"/>
    <w:rsid w:val="00912F4D"/>
    <w:rsid w:val="00912FA3"/>
    <w:rsid w:val="009130B4"/>
    <w:rsid w:val="009131E5"/>
    <w:rsid w:val="009131EB"/>
    <w:rsid w:val="0091331C"/>
    <w:rsid w:val="009133C3"/>
    <w:rsid w:val="00913571"/>
    <w:rsid w:val="00913618"/>
    <w:rsid w:val="00913645"/>
    <w:rsid w:val="00913725"/>
    <w:rsid w:val="00913DE6"/>
    <w:rsid w:val="00913E71"/>
    <w:rsid w:val="00913FF6"/>
    <w:rsid w:val="00914462"/>
    <w:rsid w:val="009145D8"/>
    <w:rsid w:val="0091485F"/>
    <w:rsid w:val="00914A5D"/>
    <w:rsid w:val="00914ED9"/>
    <w:rsid w:val="009150A4"/>
    <w:rsid w:val="009150B9"/>
    <w:rsid w:val="00915130"/>
    <w:rsid w:val="00915181"/>
    <w:rsid w:val="009151EF"/>
    <w:rsid w:val="00915257"/>
    <w:rsid w:val="0091531F"/>
    <w:rsid w:val="00915636"/>
    <w:rsid w:val="009157DE"/>
    <w:rsid w:val="00915832"/>
    <w:rsid w:val="00915A9E"/>
    <w:rsid w:val="00915B5E"/>
    <w:rsid w:val="00915C24"/>
    <w:rsid w:val="00915C9A"/>
    <w:rsid w:val="00915CB1"/>
    <w:rsid w:val="00915DB8"/>
    <w:rsid w:val="00915EC4"/>
    <w:rsid w:val="00915FEF"/>
    <w:rsid w:val="009161DB"/>
    <w:rsid w:val="009161E1"/>
    <w:rsid w:val="009161F0"/>
    <w:rsid w:val="009163C6"/>
    <w:rsid w:val="0091655C"/>
    <w:rsid w:val="00916576"/>
    <w:rsid w:val="009166D0"/>
    <w:rsid w:val="00916960"/>
    <w:rsid w:val="00916A33"/>
    <w:rsid w:val="00916B8F"/>
    <w:rsid w:val="00916BED"/>
    <w:rsid w:val="00916C1B"/>
    <w:rsid w:val="00917039"/>
    <w:rsid w:val="0091728C"/>
    <w:rsid w:val="00917391"/>
    <w:rsid w:val="00917428"/>
    <w:rsid w:val="0091758B"/>
    <w:rsid w:val="009175A7"/>
    <w:rsid w:val="009176F9"/>
    <w:rsid w:val="00917807"/>
    <w:rsid w:val="00917825"/>
    <w:rsid w:val="00917829"/>
    <w:rsid w:val="0091784B"/>
    <w:rsid w:val="00917944"/>
    <w:rsid w:val="00917B5D"/>
    <w:rsid w:val="00917F21"/>
    <w:rsid w:val="00920139"/>
    <w:rsid w:val="0092023B"/>
    <w:rsid w:val="0092040A"/>
    <w:rsid w:val="00920692"/>
    <w:rsid w:val="009206F1"/>
    <w:rsid w:val="0092077A"/>
    <w:rsid w:val="0092079A"/>
    <w:rsid w:val="0092095B"/>
    <w:rsid w:val="009209A9"/>
    <w:rsid w:val="00920ADB"/>
    <w:rsid w:val="00920BA5"/>
    <w:rsid w:val="009211B3"/>
    <w:rsid w:val="00921550"/>
    <w:rsid w:val="00921560"/>
    <w:rsid w:val="00921581"/>
    <w:rsid w:val="00921757"/>
    <w:rsid w:val="0092179E"/>
    <w:rsid w:val="00921A74"/>
    <w:rsid w:val="00921AAC"/>
    <w:rsid w:val="00921C24"/>
    <w:rsid w:val="0092213E"/>
    <w:rsid w:val="00922221"/>
    <w:rsid w:val="00922579"/>
    <w:rsid w:val="009225E9"/>
    <w:rsid w:val="009227E4"/>
    <w:rsid w:val="00922911"/>
    <w:rsid w:val="009229D8"/>
    <w:rsid w:val="009229ED"/>
    <w:rsid w:val="00922AFF"/>
    <w:rsid w:val="00922EA4"/>
    <w:rsid w:val="009235E2"/>
    <w:rsid w:val="009236A2"/>
    <w:rsid w:val="009237D9"/>
    <w:rsid w:val="009238AA"/>
    <w:rsid w:val="009239AF"/>
    <w:rsid w:val="009239E5"/>
    <w:rsid w:val="00923AF4"/>
    <w:rsid w:val="00923AFD"/>
    <w:rsid w:val="00924671"/>
    <w:rsid w:val="00924701"/>
    <w:rsid w:val="00924859"/>
    <w:rsid w:val="00924883"/>
    <w:rsid w:val="009248DB"/>
    <w:rsid w:val="00924980"/>
    <w:rsid w:val="00924990"/>
    <w:rsid w:val="00924C5A"/>
    <w:rsid w:val="00924FDD"/>
    <w:rsid w:val="009252B4"/>
    <w:rsid w:val="00925457"/>
    <w:rsid w:val="009254A3"/>
    <w:rsid w:val="00925577"/>
    <w:rsid w:val="00925733"/>
    <w:rsid w:val="00925786"/>
    <w:rsid w:val="009258EC"/>
    <w:rsid w:val="009259D5"/>
    <w:rsid w:val="00925CDC"/>
    <w:rsid w:val="00926060"/>
    <w:rsid w:val="00926308"/>
    <w:rsid w:val="0092632D"/>
    <w:rsid w:val="00926467"/>
    <w:rsid w:val="009266BB"/>
    <w:rsid w:val="00926778"/>
    <w:rsid w:val="009267EE"/>
    <w:rsid w:val="009268A8"/>
    <w:rsid w:val="009268F9"/>
    <w:rsid w:val="0092695C"/>
    <w:rsid w:val="00926A0E"/>
    <w:rsid w:val="00926A14"/>
    <w:rsid w:val="00926A26"/>
    <w:rsid w:val="00926B36"/>
    <w:rsid w:val="00926CF5"/>
    <w:rsid w:val="00926D5E"/>
    <w:rsid w:val="00926EDF"/>
    <w:rsid w:val="00926F76"/>
    <w:rsid w:val="0092750A"/>
    <w:rsid w:val="0092770E"/>
    <w:rsid w:val="00927932"/>
    <w:rsid w:val="00927A52"/>
    <w:rsid w:val="00927C68"/>
    <w:rsid w:val="00927C73"/>
    <w:rsid w:val="00927E4B"/>
    <w:rsid w:val="009300E4"/>
    <w:rsid w:val="009301AC"/>
    <w:rsid w:val="0093027D"/>
    <w:rsid w:val="009303D1"/>
    <w:rsid w:val="0093042D"/>
    <w:rsid w:val="0093057F"/>
    <w:rsid w:val="00930590"/>
    <w:rsid w:val="00930669"/>
    <w:rsid w:val="009307FA"/>
    <w:rsid w:val="009308A2"/>
    <w:rsid w:val="00930ADC"/>
    <w:rsid w:val="00930BC5"/>
    <w:rsid w:val="00930D57"/>
    <w:rsid w:val="00930E32"/>
    <w:rsid w:val="00930E7C"/>
    <w:rsid w:val="00930EF5"/>
    <w:rsid w:val="0093107E"/>
    <w:rsid w:val="009310D9"/>
    <w:rsid w:val="009311C2"/>
    <w:rsid w:val="00931452"/>
    <w:rsid w:val="00931459"/>
    <w:rsid w:val="00931540"/>
    <w:rsid w:val="009316D4"/>
    <w:rsid w:val="0093176C"/>
    <w:rsid w:val="00931933"/>
    <w:rsid w:val="00931963"/>
    <w:rsid w:val="00931A3F"/>
    <w:rsid w:val="00931CFE"/>
    <w:rsid w:val="00931D82"/>
    <w:rsid w:val="00931DE2"/>
    <w:rsid w:val="00931F9A"/>
    <w:rsid w:val="00932041"/>
    <w:rsid w:val="009321CE"/>
    <w:rsid w:val="00932337"/>
    <w:rsid w:val="00932636"/>
    <w:rsid w:val="00932A9D"/>
    <w:rsid w:val="00932B5F"/>
    <w:rsid w:val="00932D98"/>
    <w:rsid w:val="00932DDE"/>
    <w:rsid w:val="00932EBF"/>
    <w:rsid w:val="00932F84"/>
    <w:rsid w:val="00932FBB"/>
    <w:rsid w:val="009330D3"/>
    <w:rsid w:val="00933421"/>
    <w:rsid w:val="00933540"/>
    <w:rsid w:val="00933605"/>
    <w:rsid w:val="00933BA0"/>
    <w:rsid w:val="00934128"/>
    <w:rsid w:val="0093412C"/>
    <w:rsid w:val="00934306"/>
    <w:rsid w:val="00934634"/>
    <w:rsid w:val="00934752"/>
    <w:rsid w:val="00934BA4"/>
    <w:rsid w:val="00934BD4"/>
    <w:rsid w:val="00934F5A"/>
    <w:rsid w:val="00935028"/>
    <w:rsid w:val="0093531C"/>
    <w:rsid w:val="009353F4"/>
    <w:rsid w:val="00935550"/>
    <w:rsid w:val="009355E0"/>
    <w:rsid w:val="0093569C"/>
    <w:rsid w:val="0093571B"/>
    <w:rsid w:val="0093575E"/>
    <w:rsid w:val="009358A7"/>
    <w:rsid w:val="00935B5D"/>
    <w:rsid w:val="00935BF8"/>
    <w:rsid w:val="00935C4E"/>
    <w:rsid w:val="00935E21"/>
    <w:rsid w:val="00935E44"/>
    <w:rsid w:val="00935EA0"/>
    <w:rsid w:val="0093626C"/>
    <w:rsid w:val="009364A3"/>
    <w:rsid w:val="0093653B"/>
    <w:rsid w:val="009365C4"/>
    <w:rsid w:val="00936A1A"/>
    <w:rsid w:val="00936C5C"/>
    <w:rsid w:val="00936D0F"/>
    <w:rsid w:val="00936EDC"/>
    <w:rsid w:val="0093712F"/>
    <w:rsid w:val="0093718B"/>
    <w:rsid w:val="009371CD"/>
    <w:rsid w:val="0093726E"/>
    <w:rsid w:val="009372BA"/>
    <w:rsid w:val="00937371"/>
    <w:rsid w:val="00937630"/>
    <w:rsid w:val="00937881"/>
    <w:rsid w:val="009378F4"/>
    <w:rsid w:val="0093792B"/>
    <w:rsid w:val="00937E9E"/>
    <w:rsid w:val="00937FCC"/>
    <w:rsid w:val="0094005C"/>
    <w:rsid w:val="009401D3"/>
    <w:rsid w:val="009402FC"/>
    <w:rsid w:val="00940571"/>
    <w:rsid w:val="009406A4"/>
    <w:rsid w:val="00940891"/>
    <w:rsid w:val="009408B3"/>
    <w:rsid w:val="00940967"/>
    <w:rsid w:val="00940992"/>
    <w:rsid w:val="00940A4C"/>
    <w:rsid w:val="00940AE0"/>
    <w:rsid w:val="00940CC5"/>
    <w:rsid w:val="00940CF9"/>
    <w:rsid w:val="00940D4E"/>
    <w:rsid w:val="00940DCE"/>
    <w:rsid w:val="00940DE3"/>
    <w:rsid w:val="00940F0E"/>
    <w:rsid w:val="009410A9"/>
    <w:rsid w:val="00941143"/>
    <w:rsid w:val="00941295"/>
    <w:rsid w:val="00941380"/>
    <w:rsid w:val="0094141F"/>
    <w:rsid w:val="0094160A"/>
    <w:rsid w:val="0094162B"/>
    <w:rsid w:val="00941645"/>
    <w:rsid w:val="00941646"/>
    <w:rsid w:val="00941683"/>
    <w:rsid w:val="009418B2"/>
    <w:rsid w:val="00941B2E"/>
    <w:rsid w:val="00941DB2"/>
    <w:rsid w:val="00941F18"/>
    <w:rsid w:val="00941F56"/>
    <w:rsid w:val="0094214D"/>
    <w:rsid w:val="009422AD"/>
    <w:rsid w:val="00942443"/>
    <w:rsid w:val="00942A0C"/>
    <w:rsid w:val="00942AB2"/>
    <w:rsid w:val="00942B03"/>
    <w:rsid w:val="00942BF0"/>
    <w:rsid w:val="00942CE0"/>
    <w:rsid w:val="00943005"/>
    <w:rsid w:val="009430D7"/>
    <w:rsid w:val="009430F3"/>
    <w:rsid w:val="009431DA"/>
    <w:rsid w:val="0094325F"/>
    <w:rsid w:val="00943359"/>
    <w:rsid w:val="009437AA"/>
    <w:rsid w:val="0094385C"/>
    <w:rsid w:val="00943875"/>
    <w:rsid w:val="00943A6F"/>
    <w:rsid w:val="00943B6B"/>
    <w:rsid w:val="00943C8A"/>
    <w:rsid w:val="00943C8B"/>
    <w:rsid w:val="00943CA7"/>
    <w:rsid w:val="00943CAA"/>
    <w:rsid w:val="00943DF5"/>
    <w:rsid w:val="00943E14"/>
    <w:rsid w:val="00944016"/>
    <w:rsid w:val="009440CB"/>
    <w:rsid w:val="00944131"/>
    <w:rsid w:val="00944136"/>
    <w:rsid w:val="0094461B"/>
    <w:rsid w:val="009447B4"/>
    <w:rsid w:val="00944DD0"/>
    <w:rsid w:val="00944E51"/>
    <w:rsid w:val="00944E59"/>
    <w:rsid w:val="00944FF0"/>
    <w:rsid w:val="00945006"/>
    <w:rsid w:val="00945030"/>
    <w:rsid w:val="00945089"/>
    <w:rsid w:val="009450D3"/>
    <w:rsid w:val="00945101"/>
    <w:rsid w:val="0094516A"/>
    <w:rsid w:val="009453C7"/>
    <w:rsid w:val="0094557B"/>
    <w:rsid w:val="0094560B"/>
    <w:rsid w:val="0094567C"/>
    <w:rsid w:val="009456B8"/>
    <w:rsid w:val="00945840"/>
    <w:rsid w:val="00945909"/>
    <w:rsid w:val="009459EB"/>
    <w:rsid w:val="00945BBA"/>
    <w:rsid w:val="00945C2B"/>
    <w:rsid w:val="00945FB6"/>
    <w:rsid w:val="00945FF7"/>
    <w:rsid w:val="00946022"/>
    <w:rsid w:val="00946088"/>
    <w:rsid w:val="0094636A"/>
    <w:rsid w:val="00946465"/>
    <w:rsid w:val="0094649E"/>
    <w:rsid w:val="00946535"/>
    <w:rsid w:val="009467ED"/>
    <w:rsid w:val="00946A67"/>
    <w:rsid w:val="00946BE8"/>
    <w:rsid w:val="00946D60"/>
    <w:rsid w:val="00946DB3"/>
    <w:rsid w:val="00946FBB"/>
    <w:rsid w:val="00947187"/>
    <w:rsid w:val="009476C3"/>
    <w:rsid w:val="00947741"/>
    <w:rsid w:val="0094777E"/>
    <w:rsid w:val="00947985"/>
    <w:rsid w:val="00947CF0"/>
    <w:rsid w:val="00947D9C"/>
    <w:rsid w:val="00947E5D"/>
    <w:rsid w:val="00947E8D"/>
    <w:rsid w:val="00950000"/>
    <w:rsid w:val="00950009"/>
    <w:rsid w:val="009500B1"/>
    <w:rsid w:val="009503AB"/>
    <w:rsid w:val="00950405"/>
    <w:rsid w:val="009505E4"/>
    <w:rsid w:val="009505F9"/>
    <w:rsid w:val="0095065D"/>
    <w:rsid w:val="009506BF"/>
    <w:rsid w:val="00950859"/>
    <w:rsid w:val="0095094C"/>
    <w:rsid w:val="0095096A"/>
    <w:rsid w:val="00950DBE"/>
    <w:rsid w:val="00950E32"/>
    <w:rsid w:val="00950EC0"/>
    <w:rsid w:val="00950F1D"/>
    <w:rsid w:val="00950FA9"/>
    <w:rsid w:val="0095101A"/>
    <w:rsid w:val="009510E4"/>
    <w:rsid w:val="009511DD"/>
    <w:rsid w:val="0095132A"/>
    <w:rsid w:val="00951365"/>
    <w:rsid w:val="0095150E"/>
    <w:rsid w:val="00951517"/>
    <w:rsid w:val="0095194A"/>
    <w:rsid w:val="00951998"/>
    <w:rsid w:val="00951A3F"/>
    <w:rsid w:val="00951CBA"/>
    <w:rsid w:val="00951D0E"/>
    <w:rsid w:val="00951F80"/>
    <w:rsid w:val="009520CE"/>
    <w:rsid w:val="00952145"/>
    <w:rsid w:val="00952211"/>
    <w:rsid w:val="009522CE"/>
    <w:rsid w:val="00952429"/>
    <w:rsid w:val="00952448"/>
    <w:rsid w:val="009525DF"/>
    <w:rsid w:val="00952932"/>
    <w:rsid w:val="00952A8B"/>
    <w:rsid w:val="00952A8E"/>
    <w:rsid w:val="00952AD3"/>
    <w:rsid w:val="00952CBA"/>
    <w:rsid w:val="009530A3"/>
    <w:rsid w:val="00953421"/>
    <w:rsid w:val="009535D1"/>
    <w:rsid w:val="0095371B"/>
    <w:rsid w:val="0095394D"/>
    <w:rsid w:val="00953968"/>
    <w:rsid w:val="00953A21"/>
    <w:rsid w:val="00953AEF"/>
    <w:rsid w:val="00953B30"/>
    <w:rsid w:val="00953B66"/>
    <w:rsid w:val="00953E0D"/>
    <w:rsid w:val="00953FC5"/>
    <w:rsid w:val="0095407C"/>
    <w:rsid w:val="009541BF"/>
    <w:rsid w:val="009545BA"/>
    <w:rsid w:val="0095494A"/>
    <w:rsid w:val="0095497F"/>
    <w:rsid w:val="00954C29"/>
    <w:rsid w:val="00955029"/>
    <w:rsid w:val="00955091"/>
    <w:rsid w:val="0095557E"/>
    <w:rsid w:val="00955668"/>
    <w:rsid w:val="00955806"/>
    <w:rsid w:val="009558F3"/>
    <w:rsid w:val="00955985"/>
    <w:rsid w:val="009559B7"/>
    <w:rsid w:val="00955ABC"/>
    <w:rsid w:val="00955D85"/>
    <w:rsid w:val="00955DCD"/>
    <w:rsid w:val="00955E2F"/>
    <w:rsid w:val="00955EB1"/>
    <w:rsid w:val="0095600E"/>
    <w:rsid w:val="009562C6"/>
    <w:rsid w:val="009564D4"/>
    <w:rsid w:val="009565E7"/>
    <w:rsid w:val="009566B8"/>
    <w:rsid w:val="00956705"/>
    <w:rsid w:val="00956AA9"/>
    <w:rsid w:val="00956B8F"/>
    <w:rsid w:val="00956C72"/>
    <w:rsid w:val="00956F98"/>
    <w:rsid w:val="00957188"/>
    <w:rsid w:val="00957230"/>
    <w:rsid w:val="00957233"/>
    <w:rsid w:val="00957497"/>
    <w:rsid w:val="00957712"/>
    <w:rsid w:val="00957724"/>
    <w:rsid w:val="0095786B"/>
    <w:rsid w:val="00957959"/>
    <w:rsid w:val="00957A13"/>
    <w:rsid w:val="00957AB3"/>
    <w:rsid w:val="00957C76"/>
    <w:rsid w:val="00957D3D"/>
    <w:rsid w:val="00957DE0"/>
    <w:rsid w:val="0096002D"/>
    <w:rsid w:val="00960042"/>
    <w:rsid w:val="009603D6"/>
    <w:rsid w:val="00960423"/>
    <w:rsid w:val="009605D7"/>
    <w:rsid w:val="00960620"/>
    <w:rsid w:val="00960649"/>
    <w:rsid w:val="0096083C"/>
    <w:rsid w:val="009608FE"/>
    <w:rsid w:val="00960985"/>
    <w:rsid w:val="00960A58"/>
    <w:rsid w:val="00960C11"/>
    <w:rsid w:val="00960C91"/>
    <w:rsid w:val="00960CD2"/>
    <w:rsid w:val="00960E2C"/>
    <w:rsid w:val="0096100B"/>
    <w:rsid w:val="00961048"/>
    <w:rsid w:val="0096107B"/>
    <w:rsid w:val="00961328"/>
    <w:rsid w:val="00961509"/>
    <w:rsid w:val="009616F8"/>
    <w:rsid w:val="0096180C"/>
    <w:rsid w:val="0096194E"/>
    <w:rsid w:val="009619E6"/>
    <w:rsid w:val="00961C85"/>
    <w:rsid w:val="00961FD9"/>
    <w:rsid w:val="00962429"/>
    <w:rsid w:val="009624FF"/>
    <w:rsid w:val="0096263D"/>
    <w:rsid w:val="009626CC"/>
    <w:rsid w:val="009626F6"/>
    <w:rsid w:val="0096276C"/>
    <w:rsid w:val="00962A0B"/>
    <w:rsid w:val="00962AB9"/>
    <w:rsid w:val="00962E22"/>
    <w:rsid w:val="00962EA7"/>
    <w:rsid w:val="009631CD"/>
    <w:rsid w:val="009633BB"/>
    <w:rsid w:val="00963426"/>
    <w:rsid w:val="009634C2"/>
    <w:rsid w:val="00963550"/>
    <w:rsid w:val="0096383C"/>
    <w:rsid w:val="00963B55"/>
    <w:rsid w:val="00963BF8"/>
    <w:rsid w:val="00963CD6"/>
    <w:rsid w:val="0096405A"/>
    <w:rsid w:val="009641D1"/>
    <w:rsid w:val="009642CA"/>
    <w:rsid w:val="00964328"/>
    <w:rsid w:val="009643CD"/>
    <w:rsid w:val="0096453E"/>
    <w:rsid w:val="00964660"/>
    <w:rsid w:val="00964678"/>
    <w:rsid w:val="00964803"/>
    <w:rsid w:val="0096481D"/>
    <w:rsid w:val="00964874"/>
    <w:rsid w:val="0096491B"/>
    <w:rsid w:val="0096497B"/>
    <w:rsid w:val="009649FA"/>
    <w:rsid w:val="00964A6F"/>
    <w:rsid w:val="00964A7A"/>
    <w:rsid w:val="00964AB9"/>
    <w:rsid w:val="00964B42"/>
    <w:rsid w:val="00964D59"/>
    <w:rsid w:val="00964EFE"/>
    <w:rsid w:val="00964F77"/>
    <w:rsid w:val="00965259"/>
    <w:rsid w:val="0096536F"/>
    <w:rsid w:val="0096552A"/>
    <w:rsid w:val="00965765"/>
    <w:rsid w:val="009658AB"/>
    <w:rsid w:val="009658EE"/>
    <w:rsid w:val="0096591E"/>
    <w:rsid w:val="00965A3E"/>
    <w:rsid w:val="00965AC5"/>
    <w:rsid w:val="00965ACA"/>
    <w:rsid w:val="00965E3D"/>
    <w:rsid w:val="00965EFF"/>
    <w:rsid w:val="00965F1C"/>
    <w:rsid w:val="00965FD9"/>
    <w:rsid w:val="00966067"/>
    <w:rsid w:val="00966465"/>
    <w:rsid w:val="00966506"/>
    <w:rsid w:val="0096678C"/>
    <w:rsid w:val="00966A0E"/>
    <w:rsid w:val="00966A40"/>
    <w:rsid w:val="00966C67"/>
    <w:rsid w:val="00966D3F"/>
    <w:rsid w:val="009672A2"/>
    <w:rsid w:val="00967333"/>
    <w:rsid w:val="009673DD"/>
    <w:rsid w:val="00967523"/>
    <w:rsid w:val="009675AD"/>
    <w:rsid w:val="00967A92"/>
    <w:rsid w:val="00967B51"/>
    <w:rsid w:val="00967B62"/>
    <w:rsid w:val="00967DF9"/>
    <w:rsid w:val="00967ED2"/>
    <w:rsid w:val="009701D2"/>
    <w:rsid w:val="0097039E"/>
    <w:rsid w:val="00970876"/>
    <w:rsid w:val="00970A81"/>
    <w:rsid w:val="0097107F"/>
    <w:rsid w:val="00971262"/>
    <w:rsid w:val="009712E5"/>
    <w:rsid w:val="0097133A"/>
    <w:rsid w:val="00971587"/>
    <w:rsid w:val="00971691"/>
    <w:rsid w:val="009718FD"/>
    <w:rsid w:val="00971990"/>
    <w:rsid w:val="00971A98"/>
    <w:rsid w:val="00971B4B"/>
    <w:rsid w:val="00971BAE"/>
    <w:rsid w:val="00971D8B"/>
    <w:rsid w:val="00971FDE"/>
    <w:rsid w:val="009721DA"/>
    <w:rsid w:val="0097226F"/>
    <w:rsid w:val="00972446"/>
    <w:rsid w:val="0097256A"/>
    <w:rsid w:val="00972589"/>
    <w:rsid w:val="00972598"/>
    <w:rsid w:val="009727D5"/>
    <w:rsid w:val="00972926"/>
    <w:rsid w:val="00972927"/>
    <w:rsid w:val="00972C1B"/>
    <w:rsid w:val="00972CAA"/>
    <w:rsid w:val="00972F7B"/>
    <w:rsid w:val="009730EA"/>
    <w:rsid w:val="009731DC"/>
    <w:rsid w:val="00973300"/>
    <w:rsid w:val="0097341A"/>
    <w:rsid w:val="00973473"/>
    <w:rsid w:val="009734D1"/>
    <w:rsid w:val="009738EF"/>
    <w:rsid w:val="009739DB"/>
    <w:rsid w:val="00973C58"/>
    <w:rsid w:val="00973C69"/>
    <w:rsid w:val="00973CCA"/>
    <w:rsid w:val="00973D6F"/>
    <w:rsid w:val="00973D95"/>
    <w:rsid w:val="00973FA3"/>
    <w:rsid w:val="00974038"/>
    <w:rsid w:val="00974074"/>
    <w:rsid w:val="009741FA"/>
    <w:rsid w:val="009742C5"/>
    <w:rsid w:val="00974380"/>
    <w:rsid w:val="0097446F"/>
    <w:rsid w:val="009746EA"/>
    <w:rsid w:val="009747A9"/>
    <w:rsid w:val="009748A0"/>
    <w:rsid w:val="009749E7"/>
    <w:rsid w:val="00974C1C"/>
    <w:rsid w:val="00974CD5"/>
    <w:rsid w:val="00974EA6"/>
    <w:rsid w:val="00975042"/>
    <w:rsid w:val="009752D9"/>
    <w:rsid w:val="009753C8"/>
    <w:rsid w:val="009753D0"/>
    <w:rsid w:val="00975906"/>
    <w:rsid w:val="0097597A"/>
    <w:rsid w:val="00975CEC"/>
    <w:rsid w:val="00975DCB"/>
    <w:rsid w:val="00976056"/>
    <w:rsid w:val="0097625F"/>
    <w:rsid w:val="0097630C"/>
    <w:rsid w:val="0097666D"/>
    <w:rsid w:val="0097671A"/>
    <w:rsid w:val="00976867"/>
    <w:rsid w:val="00976B7C"/>
    <w:rsid w:val="00976B98"/>
    <w:rsid w:val="00976C64"/>
    <w:rsid w:val="00976F69"/>
    <w:rsid w:val="00976FBE"/>
    <w:rsid w:val="0097708C"/>
    <w:rsid w:val="009770B6"/>
    <w:rsid w:val="0097716A"/>
    <w:rsid w:val="009771DC"/>
    <w:rsid w:val="0097722A"/>
    <w:rsid w:val="009772CF"/>
    <w:rsid w:val="0097748C"/>
    <w:rsid w:val="00977824"/>
    <w:rsid w:val="00977BD3"/>
    <w:rsid w:val="00977D04"/>
    <w:rsid w:val="00977D2E"/>
    <w:rsid w:val="00977DCC"/>
    <w:rsid w:val="00977ED1"/>
    <w:rsid w:val="0098012B"/>
    <w:rsid w:val="009803F6"/>
    <w:rsid w:val="009806D7"/>
    <w:rsid w:val="00980959"/>
    <w:rsid w:val="00980C8A"/>
    <w:rsid w:val="00980CE5"/>
    <w:rsid w:val="00980DF0"/>
    <w:rsid w:val="00980E94"/>
    <w:rsid w:val="00981143"/>
    <w:rsid w:val="009811B1"/>
    <w:rsid w:val="0098132D"/>
    <w:rsid w:val="009817EA"/>
    <w:rsid w:val="00981A06"/>
    <w:rsid w:val="00981CAA"/>
    <w:rsid w:val="00981D40"/>
    <w:rsid w:val="00981E35"/>
    <w:rsid w:val="00981E8F"/>
    <w:rsid w:val="00982273"/>
    <w:rsid w:val="00982349"/>
    <w:rsid w:val="00982396"/>
    <w:rsid w:val="009824A3"/>
    <w:rsid w:val="009825A7"/>
    <w:rsid w:val="00982609"/>
    <w:rsid w:val="009827CF"/>
    <w:rsid w:val="0098284A"/>
    <w:rsid w:val="00982A56"/>
    <w:rsid w:val="00982BCC"/>
    <w:rsid w:val="00982D2E"/>
    <w:rsid w:val="00982E6E"/>
    <w:rsid w:val="00982F76"/>
    <w:rsid w:val="00982FBE"/>
    <w:rsid w:val="009831DA"/>
    <w:rsid w:val="009832E4"/>
    <w:rsid w:val="00983335"/>
    <w:rsid w:val="00983388"/>
    <w:rsid w:val="009833A6"/>
    <w:rsid w:val="009836B2"/>
    <w:rsid w:val="009836E7"/>
    <w:rsid w:val="00983A82"/>
    <w:rsid w:val="00983B21"/>
    <w:rsid w:val="00983B94"/>
    <w:rsid w:val="00983D87"/>
    <w:rsid w:val="00983EEF"/>
    <w:rsid w:val="00983F98"/>
    <w:rsid w:val="00984007"/>
    <w:rsid w:val="00984057"/>
    <w:rsid w:val="0098413A"/>
    <w:rsid w:val="009843D1"/>
    <w:rsid w:val="009845B5"/>
    <w:rsid w:val="0098463F"/>
    <w:rsid w:val="009846A3"/>
    <w:rsid w:val="009846C1"/>
    <w:rsid w:val="00984715"/>
    <w:rsid w:val="00984DCB"/>
    <w:rsid w:val="00984DF6"/>
    <w:rsid w:val="00984F09"/>
    <w:rsid w:val="00984F24"/>
    <w:rsid w:val="00984FC9"/>
    <w:rsid w:val="00985038"/>
    <w:rsid w:val="00985463"/>
    <w:rsid w:val="00985470"/>
    <w:rsid w:val="00985485"/>
    <w:rsid w:val="0098579D"/>
    <w:rsid w:val="00985A07"/>
    <w:rsid w:val="00985AC7"/>
    <w:rsid w:val="00985B8D"/>
    <w:rsid w:val="00985BA3"/>
    <w:rsid w:val="00985BE6"/>
    <w:rsid w:val="00985DD6"/>
    <w:rsid w:val="00985E50"/>
    <w:rsid w:val="00985F1A"/>
    <w:rsid w:val="00985F27"/>
    <w:rsid w:val="00985FFB"/>
    <w:rsid w:val="00986003"/>
    <w:rsid w:val="00986096"/>
    <w:rsid w:val="009861E8"/>
    <w:rsid w:val="0098624E"/>
    <w:rsid w:val="009862FD"/>
    <w:rsid w:val="0098639C"/>
    <w:rsid w:val="00986434"/>
    <w:rsid w:val="00986610"/>
    <w:rsid w:val="00986648"/>
    <w:rsid w:val="0098677D"/>
    <w:rsid w:val="00986879"/>
    <w:rsid w:val="00986E01"/>
    <w:rsid w:val="009870B8"/>
    <w:rsid w:val="0098717E"/>
    <w:rsid w:val="009871E2"/>
    <w:rsid w:val="00987293"/>
    <w:rsid w:val="009872D5"/>
    <w:rsid w:val="00987306"/>
    <w:rsid w:val="00987315"/>
    <w:rsid w:val="0098732B"/>
    <w:rsid w:val="0098749C"/>
    <w:rsid w:val="00987598"/>
    <w:rsid w:val="00987714"/>
    <w:rsid w:val="00987811"/>
    <w:rsid w:val="009878F4"/>
    <w:rsid w:val="0098793E"/>
    <w:rsid w:val="009879A0"/>
    <w:rsid w:val="00987BD2"/>
    <w:rsid w:val="00987DC6"/>
    <w:rsid w:val="00987E76"/>
    <w:rsid w:val="0099017C"/>
    <w:rsid w:val="009901DD"/>
    <w:rsid w:val="009908A9"/>
    <w:rsid w:val="00990973"/>
    <w:rsid w:val="00990AA7"/>
    <w:rsid w:val="00990D15"/>
    <w:rsid w:val="00990D26"/>
    <w:rsid w:val="00990D5D"/>
    <w:rsid w:val="00990EDC"/>
    <w:rsid w:val="00990F51"/>
    <w:rsid w:val="00990FE5"/>
    <w:rsid w:val="00991056"/>
    <w:rsid w:val="009912EA"/>
    <w:rsid w:val="0099138E"/>
    <w:rsid w:val="00991808"/>
    <w:rsid w:val="009919E0"/>
    <w:rsid w:val="00991A26"/>
    <w:rsid w:val="00991A39"/>
    <w:rsid w:val="00991B91"/>
    <w:rsid w:val="00991CB4"/>
    <w:rsid w:val="00991D7F"/>
    <w:rsid w:val="00991DAA"/>
    <w:rsid w:val="00991DDC"/>
    <w:rsid w:val="00991E08"/>
    <w:rsid w:val="00991FB8"/>
    <w:rsid w:val="0099208D"/>
    <w:rsid w:val="009921CF"/>
    <w:rsid w:val="00992560"/>
    <w:rsid w:val="009927CD"/>
    <w:rsid w:val="0099283B"/>
    <w:rsid w:val="00992855"/>
    <w:rsid w:val="0099294C"/>
    <w:rsid w:val="00992AB8"/>
    <w:rsid w:val="00992E4B"/>
    <w:rsid w:val="009931FB"/>
    <w:rsid w:val="009932B8"/>
    <w:rsid w:val="009933AD"/>
    <w:rsid w:val="00993419"/>
    <w:rsid w:val="009935F8"/>
    <w:rsid w:val="009936CE"/>
    <w:rsid w:val="0099375C"/>
    <w:rsid w:val="00993914"/>
    <w:rsid w:val="00993AF2"/>
    <w:rsid w:val="00993B8B"/>
    <w:rsid w:val="00993C1B"/>
    <w:rsid w:val="00993CC9"/>
    <w:rsid w:val="00993FBC"/>
    <w:rsid w:val="0099401B"/>
    <w:rsid w:val="00994054"/>
    <w:rsid w:val="00994172"/>
    <w:rsid w:val="0099454C"/>
    <w:rsid w:val="00994597"/>
    <w:rsid w:val="0099484A"/>
    <w:rsid w:val="009948B7"/>
    <w:rsid w:val="00994907"/>
    <w:rsid w:val="00994B24"/>
    <w:rsid w:val="00994CB5"/>
    <w:rsid w:val="00994D4F"/>
    <w:rsid w:val="00994DB0"/>
    <w:rsid w:val="009951C5"/>
    <w:rsid w:val="0099532C"/>
    <w:rsid w:val="009953D2"/>
    <w:rsid w:val="0099548E"/>
    <w:rsid w:val="0099555F"/>
    <w:rsid w:val="009955E2"/>
    <w:rsid w:val="0099571F"/>
    <w:rsid w:val="009957C9"/>
    <w:rsid w:val="009957DA"/>
    <w:rsid w:val="00995AAE"/>
    <w:rsid w:val="00995C36"/>
    <w:rsid w:val="00995DA6"/>
    <w:rsid w:val="00995E80"/>
    <w:rsid w:val="0099603E"/>
    <w:rsid w:val="0099612F"/>
    <w:rsid w:val="00996252"/>
    <w:rsid w:val="00996483"/>
    <w:rsid w:val="00996539"/>
    <w:rsid w:val="00996665"/>
    <w:rsid w:val="00996699"/>
    <w:rsid w:val="0099677D"/>
    <w:rsid w:val="0099680B"/>
    <w:rsid w:val="0099683C"/>
    <w:rsid w:val="009969AD"/>
    <w:rsid w:val="00996A4D"/>
    <w:rsid w:val="00996BDC"/>
    <w:rsid w:val="00996C11"/>
    <w:rsid w:val="00996C25"/>
    <w:rsid w:val="00996D2E"/>
    <w:rsid w:val="00997128"/>
    <w:rsid w:val="00997179"/>
    <w:rsid w:val="00997185"/>
    <w:rsid w:val="0099745E"/>
    <w:rsid w:val="009974E6"/>
    <w:rsid w:val="00997AF3"/>
    <w:rsid w:val="00997E76"/>
    <w:rsid w:val="00997ECE"/>
    <w:rsid w:val="00997F1A"/>
    <w:rsid w:val="009A00EB"/>
    <w:rsid w:val="009A0119"/>
    <w:rsid w:val="009A0227"/>
    <w:rsid w:val="009A02C6"/>
    <w:rsid w:val="009A030E"/>
    <w:rsid w:val="009A0310"/>
    <w:rsid w:val="009A0322"/>
    <w:rsid w:val="009A0484"/>
    <w:rsid w:val="009A066B"/>
    <w:rsid w:val="009A0677"/>
    <w:rsid w:val="009A074C"/>
    <w:rsid w:val="009A0829"/>
    <w:rsid w:val="009A090F"/>
    <w:rsid w:val="009A0A7A"/>
    <w:rsid w:val="009A0A93"/>
    <w:rsid w:val="009A0EE3"/>
    <w:rsid w:val="009A0FFE"/>
    <w:rsid w:val="009A1028"/>
    <w:rsid w:val="009A1042"/>
    <w:rsid w:val="009A11EF"/>
    <w:rsid w:val="009A1235"/>
    <w:rsid w:val="009A12E6"/>
    <w:rsid w:val="009A1691"/>
    <w:rsid w:val="009A17D0"/>
    <w:rsid w:val="009A1A0B"/>
    <w:rsid w:val="009A1A3C"/>
    <w:rsid w:val="009A1C81"/>
    <w:rsid w:val="009A1CB0"/>
    <w:rsid w:val="009A1E79"/>
    <w:rsid w:val="009A2066"/>
    <w:rsid w:val="009A20BA"/>
    <w:rsid w:val="009A214A"/>
    <w:rsid w:val="009A2213"/>
    <w:rsid w:val="009A2316"/>
    <w:rsid w:val="009A23C3"/>
    <w:rsid w:val="009A242F"/>
    <w:rsid w:val="009A2470"/>
    <w:rsid w:val="009A2531"/>
    <w:rsid w:val="009A267D"/>
    <w:rsid w:val="009A2805"/>
    <w:rsid w:val="009A2808"/>
    <w:rsid w:val="009A2821"/>
    <w:rsid w:val="009A2A3A"/>
    <w:rsid w:val="009A2C32"/>
    <w:rsid w:val="009A2E1A"/>
    <w:rsid w:val="009A30C5"/>
    <w:rsid w:val="009A3321"/>
    <w:rsid w:val="009A3467"/>
    <w:rsid w:val="009A3549"/>
    <w:rsid w:val="009A35AE"/>
    <w:rsid w:val="009A3BCA"/>
    <w:rsid w:val="009A3C75"/>
    <w:rsid w:val="009A3C95"/>
    <w:rsid w:val="009A3D27"/>
    <w:rsid w:val="009A3E0F"/>
    <w:rsid w:val="009A3E1E"/>
    <w:rsid w:val="009A3EA7"/>
    <w:rsid w:val="009A3F31"/>
    <w:rsid w:val="009A3F46"/>
    <w:rsid w:val="009A3FB6"/>
    <w:rsid w:val="009A426A"/>
    <w:rsid w:val="009A453B"/>
    <w:rsid w:val="009A4564"/>
    <w:rsid w:val="009A463B"/>
    <w:rsid w:val="009A4643"/>
    <w:rsid w:val="009A473E"/>
    <w:rsid w:val="009A481A"/>
    <w:rsid w:val="009A48F4"/>
    <w:rsid w:val="009A4921"/>
    <w:rsid w:val="009A4BEF"/>
    <w:rsid w:val="009A4CA1"/>
    <w:rsid w:val="009A4DE4"/>
    <w:rsid w:val="009A4EFF"/>
    <w:rsid w:val="009A5091"/>
    <w:rsid w:val="009A509D"/>
    <w:rsid w:val="009A5284"/>
    <w:rsid w:val="009A55E8"/>
    <w:rsid w:val="009A5607"/>
    <w:rsid w:val="009A57A3"/>
    <w:rsid w:val="009A595A"/>
    <w:rsid w:val="009A5AB1"/>
    <w:rsid w:val="009A5BDA"/>
    <w:rsid w:val="009A5C6D"/>
    <w:rsid w:val="009A5DE7"/>
    <w:rsid w:val="009A5E7A"/>
    <w:rsid w:val="009A5EC9"/>
    <w:rsid w:val="009A5FA3"/>
    <w:rsid w:val="009A61D1"/>
    <w:rsid w:val="009A62A4"/>
    <w:rsid w:val="009A6407"/>
    <w:rsid w:val="009A64D7"/>
    <w:rsid w:val="009A65E3"/>
    <w:rsid w:val="009A66C9"/>
    <w:rsid w:val="009A679A"/>
    <w:rsid w:val="009A6847"/>
    <w:rsid w:val="009A6916"/>
    <w:rsid w:val="009A69D8"/>
    <w:rsid w:val="009A6A3D"/>
    <w:rsid w:val="009A7071"/>
    <w:rsid w:val="009A723E"/>
    <w:rsid w:val="009A72AA"/>
    <w:rsid w:val="009A730F"/>
    <w:rsid w:val="009A7496"/>
    <w:rsid w:val="009A7577"/>
    <w:rsid w:val="009A7658"/>
    <w:rsid w:val="009A77CB"/>
    <w:rsid w:val="009A7938"/>
    <w:rsid w:val="009A7950"/>
    <w:rsid w:val="009B010F"/>
    <w:rsid w:val="009B0150"/>
    <w:rsid w:val="009B02E3"/>
    <w:rsid w:val="009B07BD"/>
    <w:rsid w:val="009B09A3"/>
    <w:rsid w:val="009B0B5A"/>
    <w:rsid w:val="009B0BC9"/>
    <w:rsid w:val="009B0CAF"/>
    <w:rsid w:val="009B0CB7"/>
    <w:rsid w:val="009B0E27"/>
    <w:rsid w:val="009B0E8B"/>
    <w:rsid w:val="009B14E4"/>
    <w:rsid w:val="009B163F"/>
    <w:rsid w:val="009B173F"/>
    <w:rsid w:val="009B17A3"/>
    <w:rsid w:val="009B186F"/>
    <w:rsid w:val="009B193F"/>
    <w:rsid w:val="009B1980"/>
    <w:rsid w:val="009B1C3C"/>
    <w:rsid w:val="009B1D07"/>
    <w:rsid w:val="009B1DFA"/>
    <w:rsid w:val="009B209E"/>
    <w:rsid w:val="009B244A"/>
    <w:rsid w:val="009B2458"/>
    <w:rsid w:val="009B2478"/>
    <w:rsid w:val="009B2567"/>
    <w:rsid w:val="009B258A"/>
    <w:rsid w:val="009B25B8"/>
    <w:rsid w:val="009B2A8A"/>
    <w:rsid w:val="009B2CA9"/>
    <w:rsid w:val="009B2E08"/>
    <w:rsid w:val="009B2F71"/>
    <w:rsid w:val="009B2FC4"/>
    <w:rsid w:val="009B2FE7"/>
    <w:rsid w:val="009B307C"/>
    <w:rsid w:val="009B312A"/>
    <w:rsid w:val="009B31BE"/>
    <w:rsid w:val="009B322D"/>
    <w:rsid w:val="009B323D"/>
    <w:rsid w:val="009B323F"/>
    <w:rsid w:val="009B34E0"/>
    <w:rsid w:val="009B35D7"/>
    <w:rsid w:val="009B37D7"/>
    <w:rsid w:val="009B3ABC"/>
    <w:rsid w:val="009B3B76"/>
    <w:rsid w:val="009B3EE1"/>
    <w:rsid w:val="009B3FCE"/>
    <w:rsid w:val="009B4288"/>
    <w:rsid w:val="009B43AE"/>
    <w:rsid w:val="009B468D"/>
    <w:rsid w:val="009B46F0"/>
    <w:rsid w:val="009B4978"/>
    <w:rsid w:val="009B4990"/>
    <w:rsid w:val="009B4A07"/>
    <w:rsid w:val="009B4AD6"/>
    <w:rsid w:val="009B4C05"/>
    <w:rsid w:val="009B4D56"/>
    <w:rsid w:val="009B4DEC"/>
    <w:rsid w:val="009B4F50"/>
    <w:rsid w:val="009B5310"/>
    <w:rsid w:val="009B5376"/>
    <w:rsid w:val="009B53AB"/>
    <w:rsid w:val="009B53D7"/>
    <w:rsid w:val="009B555A"/>
    <w:rsid w:val="009B57D9"/>
    <w:rsid w:val="009B58CC"/>
    <w:rsid w:val="009B5993"/>
    <w:rsid w:val="009B5AD2"/>
    <w:rsid w:val="009B5BC8"/>
    <w:rsid w:val="009B642D"/>
    <w:rsid w:val="009B6476"/>
    <w:rsid w:val="009B647E"/>
    <w:rsid w:val="009B65D2"/>
    <w:rsid w:val="009B6604"/>
    <w:rsid w:val="009B6818"/>
    <w:rsid w:val="009B694C"/>
    <w:rsid w:val="009B6A82"/>
    <w:rsid w:val="009B6A9D"/>
    <w:rsid w:val="009B6B84"/>
    <w:rsid w:val="009B6D3B"/>
    <w:rsid w:val="009B6E58"/>
    <w:rsid w:val="009B6E6F"/>
    <w:rsid w:val="009B6ECC"/>
    <w:rsid w:val="009B6F2C"/>
    <w:rsid w:val="009B6F39"/>
    <w:rsid w:val="009B6FAF"/>
    <w:rsid w:val="009B6FB8"/>
    <w:rsid w:val="009B7161"/>
    <w:rsid w:val="009B71AD"/>
    <w:rsid w:val="009B73D5"/>
    <w:rsid w:val="009B7794"/>
    <w:rsid w:val="009B79A9"/>
    <w:rsid w:val="009B7A87"/>
    <w:rsid w:val="009B7B38"/>
    <w:rsid w:val="009B7C1F"/>
    <w:rsid w:val="009B7D49"/>
    <w:rsid w:val="009B7D9C"/>
    <w:rsid w:val="009B7F1A"/>
    <w:rsid w:val="009C02D4"/>
    <w:rsid w:val="009C04C7"/>
    <w:rsid w:val="009C06F2"/>
    <w:rsid w:val="009C075E"/>
    <w:rsid w:val="009C082A"/>
    <w:rsid w:val="009C09E2"/>
    <w:rsid w:val="009C0F33"/>
    <w:rsid w:val="009C0F7F"/>
    <w:rsid w:val="009C0FB5"/>
    <w:rsid w:val="009C113F"/>
    <w:rsid w:val="009C118E"/>
    <w:rsid w:val="009C11C9"/>
    <w:rsid w:val="009C1332"/>
    <w:rsid w:val="009C1348"/>
    <w:rsid w:val="009C1385"/>
    <w:rsid w:val="009C13CE"/>
    <w:rsid w:val="009C1444"/>
    <w:rsid w:val="009C15D1"/>
    <w:rsid w:val="009C16BF"/>
    <w:rsid w:val="009C1778"/>
    <w:rsid w:val="009C1909"/>
    <w:rsid w:val="009C1B24"/>
    <w:rsid w:val="009C1F56"/>
    <w:rsid w:val="009C21D5"/>
    <w:rsid w:val="009C227B"/>
    <w:rsid w:val="009C2284"/>
    <w:rsid w:val="009C25E2"/>
    <w:rsid w:val="009C2BDF"/>
    <w:rsid w:val="009C2C85"/>
    <w:rsid w:val="009C2D49"/>
    <w:rsid w:val="009C2DAB"/>
    <w:rsid w:val="009C2DCF"/>
    <w:rsid w:val="009C3047"/>
    <w:rsid w:val="009C30DE"/>
    <w:rsid w:val="009C311E"/>
    <w:rsid w:val="009C33D6"/>
    <w:rsid w:val="009C3663"/>
    <w:rsid w:val="009C3715"/>
    <w:rsid w:val="009C3790"/>
    <w:rsid w:val="009C3AE7"/>
    <w:rsid w:val="009C3BC0"/>
    <w:rsid w:val="009C3E69"/>
    <w:rsid w:val="009C3F76"/>
    <w:rsid w:val="009C4294"/>
    <w:rsid w:val="009C4339"/>
    <w:rsid w:val="009C44FE"/>
    <w:rsid w:val="009C45E4"/>
    <w:rsid w:val="009C46EC"/>
    <w:rsid w:val="009C482A"/>
    <w:rsid w:val="009C4974"/>
    <w:rsid w:val="009C4AB6"/>
    <w:rsid w:val="009C4C67"/>
    <w:rsid w:val="009C4DEB"/>
    <w:rsid w:val="009C4F20"/>
    <w:rsid w:val="009C5145"/>
    <w:rsid w:val="009C5151"/>
    <w:rsid w:val="009C51B6"/>
    <w:rsid w:val="009C51D5"/>
    <w:rsid w:val="009C5256"/>
    <w:rsid w:val="009C5303"/>
    <w:rsid w:val="009C536F"/>
    <w:rsid w:val="009C53F6"/>
    <w:rsid w:val="009C55A1"/>
    <w:rsid w:val="009C5617"/>
    <w:rsid w:val="009C5619"/>
    <w:rsid w:val="009C569C"/>
    <w:rsid w:val="009C570B"/>
    <w:rsid w:val="009C5BB3"/>
    <w:rsid w:val="009C5CD6"/>
    <w:rsid w:val="009C5ED4"/>
    <w:rsid w:val="009C6183"/>
    <w:rsid w:val="009C622B"/>
    <w:rsid w:val="009C6298"/>
    <w:rsid w:val="009C63CD"/>
    <w:rsid w:val="009C63DF"/>
    <w:rsid w:val="009C640E"/>
    <w:rsid w:val="009C65B6"/>
    <w:rsid w:val="009C66B2"/>
    <w:rsid w:val="009C66E1"/>
    <w:rsid w:val="009C674D"/>
    <w:rsid w:val="009C6861"/>
    <w:rsid w:val="009C69ED"/>
    <w:rsid w:val="009C6B46"/>
    <w:rsid w:val="009C6FA4"/>
    <w:rsid w:val="009C709F"/>
    <w:rsid w:val="009C71E1"/>
    <w:rsid w:val="009C722B"/>
    <w:rsid w:val="009C7239"/>
    <w:rsid w:val="009C72E5"/>
    <w:rsid w:val="009C75C9"/>
    <w:rsid w:val="009C7626"/>
    <w:rsid w:val="009C7721"/>
    <w:rsid w:val="009C773D"/>
    <w:rsid w:val="009C7894"/>
    <w:rsid w:val="009C78C8"/>
    <w:rsid w:val="009C7A02"/>
    <w:rsid w:val="009C7A20"/>
    <w:rsid w:val="009C7A39"/>
    <w:rsid w:val="009C7A71"/>
    <w:rsid w:val="009C7B97"/>
    <w:rsid w:val="009C7BAE"/>
    <w:rsid w:val="009C7BED"/>
    <w:rsid w:val="009C7D87"/>
    <w:rsid w:val="009C7ED6"/>
    <w:rsid w:val="009C7F8E"/>
    <w:rsid w:val="009C7FFD"/>
    <w:rsid w:val="009D0085"/>
    <w:rsid w:val="009D00FC"/>
    <w:rsid w:val="009D012C"/>
    <w:rsid w:val="009D01FD"/>
    <w:rsid w:val="009D02EE"/>
    <w:rsid w:val="009D03D3"/>
    <w:rsid w:val="009D0693"/>
    <w:rsid w:val="009D07BE"/>
    <w:rsid w:val="009D0803"/>
    <w:rsid w:val="009D089A"/>
    <w:rsid w:val="009D090D"/>
    <w:rsid w:val="009D0A80"/>
    <w:rsid w:val="009D0C98"/>
    <w:rsid w:val="009D0D51"/>
    <w:rsid w:val="009D0FB9"/>
    <w:rsid w:val="009D1160"/>
    <w:rsid w:val="009D1630"/>
    <w:rsid w:val="009D16D1"/>
    <w:rsid w:val="009D1774"/>
    <w:rsid w:val="009D1AAC"/>
    <w:rsid w:val="009D1BEB"/>
    <w:rsid w:val="009D1D1B"/>
    <w:rsid w:val="009D2175"/>
    <w:rsid w:val="009D2190"/>
    <w:rsid w:val="009D219A"/>
    <w:rsid w:val="009D229F"/>
    <w:rsid w:val="009D24AA"/>
    <w:rsid w:val="009D2530"/>
    <w:rsid w:val="009D259B"/>
    <w:rsid w:val="009D260D"/>
    <w:rsid w:val="009D264A"/>
    <w:rsid w:val="009D26AB"/>
    <w:rsid w:val="009D2866"/>
    <w:rsid w:val="009D2953"/>
    <w:rsid w:val="009D2E0D"/>
    <w:rsid w:val="009D305E"/>
    <w:rsid w:val="009D311E"/>
    <w:rsid w:val="009D313C"/>
    <w:rsid w:val="009D3476"/>
    <w:rsid w:val="009D3BAA"/>
    <w:rsid w:val="009D3D61"/>
    <w:rsid w:val="009D3F79"/>
    <w:rsid w:val="009D4173"/>
    <w:rsid w:val="009D44EC"/>
    <w:rsid w:val="009D44EE"/>
    <w:rsid w:val="009D44FC"/>
    <w:rsid w:val="009D45C0"/>
    <w:rsid w:val="009D4C3D"/>
    <w:rsid w:val="009D4D4D"/>
    <w:rsid w:val="009D50D7"/>
    <w:rsid w:val="009D5BA4"/>
    <w:rsid w:val="009D5C45"/>
    <w:rsid w:val="009D5D51"/>
    <w:rsid w:val="009D5D9A"/>
    <w:rsid w:val="009D61DE"/>
    <w:rsid w:val="009D65E6"/>
    <w:rsid w:val="009D6653"/>
    <w:rsid w:val="009D6689"/>
    <w:rsid w:val="009D670E"/>
    <w:rsid w:val="009D68B7"/>
    <w:rsid w:val="009D69A8"/>
    <w:rsid w:val="009D69C0"/>
    <w:rsid w:val="009D6C61"/>
    <w:rsid w:val="009D6CFE"/>
    <w:rsid w:val="009D7071"/>
    <w:rsid w:val="009D727C"/>
    <w:rsid w:val="009D72B7"/>
    <w:rsid w:val="009D73DE"/>
    <w:rsid w:val="009D7457"/>
    <w:rsid w:val="009D76AF"/>
    <w:rsid w:val="009D7B1F"/>
    <w:rsid w:val="009D7B97"/>
    <w:rsid w:val="009D7CF2"/>
    <w:rsid w:val="009D7D4C"/>
    <w:rsid w:val="009D7F58"/>
    <w:rsid w:val="009D7FAC"/>
    <w:rsid w:val="009E00AC"/>
    <w:rsid w:val="009E0352"/>
    <w:rsid w:val="009E0567"/>
    <w:rsid w:val="009E0582"/>
    <w:rsid w:val="009E05DE"/>
    <w:rsid w:val="009E088C"/>
    <w:rsid w:val="009E08EC"/>
    <w:rsid w:val="009E0994"/>
    <w:rsid w:val="009E10E7"/>
    <w:rsid w:val="009E1113"/>
    <w:rsid w:val="009E13B8"/>
    <w:rsid w:val="009E1486"/>
    <w:rsid w:val="009E148C"/>
    <w:rsid w:val="009E15E2"/>
    <w:rsid w:val="009E1664"/>
    <w:rsid w:val="009E1696"/>
    <w:rsid w:val="009E1AA3"/>
    <w:rsid w:val="009E1AE9"/>
    <w:rsid w:val="009E1B65"/>
    <w:rsid w:val="009E1DAD"/>
    <w:rsid w:val="009E1E8C"/>
    <w:rsid w:val="009E1EEB"/>
    <w:rsid w:val="009E1F73"/>
    <w:rsid w:val="009E2103"/>
    <w:rsid w:val="009E21CA"/>
    <w:rsid w:val="009E269C"/>
    <w:rsid w:val="009E275A"/>
    <w:rsid w:val="009E2799"/>
    <w:rsid w:val="009E29C8"/>
    <w:rsid w:val="009E2C24"/>
    <w:rsid w:val="009E2C67"/>
    <w:rsid w:val="009E2C93"/>
    <w:rsid w:val="009E2D09"/>
    <w:rsid w:val="009E2DD0"/>
    <w:rsid w:val="009E2F47"/>
    <w:rsid w:val="009E3132"/>
    <w:rsid w:val="009E31A6"/>
    <w:rsid w:val="009E31F7"/>
    <w:rsid w:val="009E338A"/>
    <w:rsid w:val="009E3416"/>
    <w:rsid w:val="009E34AD"/>
    <w:rsid w:val="009E37A1"/>
    <w:rsid w:val="009E37F9"/>
    <w:rsid w:val="009E38B1"/>
    <w:rsid w:val="009E396F"/>
    <w:rsid w:val="009E3C2A"/>
    <w:rsid w:val="009E3C2C"/>
    <w:rsid w:val="009E3CC3"/>
    <w:rsid w:val="009E41F4"/>
    <w:rsid w:val="009E41F6"/>
    <w:rsid w:val="009E4402"/>
    <w:rsid w:val="009E4613"/>
    <w:rsid w:val="009E47B5"/>
    <w:rsid w:val="009E48C8"/>
    <w:rsid w:val="009E4CC6"/>
    <w:rsid w:val="009E4E33"/>
    <w:rsid w:val="009E50EA"/>
    <w:rsid w:val="009E51B4"/>
    <w:rsid w:val="009E51F7"/>
    <w:rsid w:val="009E547F"/>
    <w:rsid w:val="009E55B0"/>
    <w:rsid w:val="009E5696"/>
    <w:rsid w:val="009E57A1"/>
    <w:rsid w:val="009E57F4"/>
    <w:rsid w:val="009E583D"/>
    <w:rsid w:val="009E58FF"/>
    <w:rsid w:val="009E5C6F"/>
    <w:rsid w:val="009E5CB8"/>
    <w:rsid w:val="009E5CC1"/>
    <w:rsid w:val="009E5D7A"/>
    <w:rsid w:val="009E5DEE"/>
    <w:rsid w:val="009E5E07"/>
    <w:rsid w:val="009E6074"/>
    <w:rsid w:val="009E62CB"/>
    <w:rsid w:val="009E643C"/>
    <w:rsid w:val="009E6672"/>
    <w:rsid w:val="009E66FC"/>
    <w:rsid w:val="009E673D"/>
    <w:rsid w:val="009E676F"/>
    <w:rsid w:val="009E6903"/>
    <w:rsid w:val="009E69CF"/>
    <w:rsid w:val="009E6A3E"/>
    <w:rsid w:val="009E6CC7"/>
    <w:rsid w:val="009E6D68"/>
    <w:rsid w:val="009E6E35"/>
    <w:rsid w:val="009E6E72"/>
    <w:rsid w:val="009E7372"/>
    <w:rsid w:val="009E7552"/>
    <w:rsid w:val="009E762C"/>
    <w:rsid w:val="009E7679"/>
    <w:rsid w:val="009E770C"/>
    <w:rsid w:val="009E7724"/>
    <w:rsid w:val="009E77D2"/>
    <w:rsid w:val="009E77D7"/>
    <w:rsid w:val="009E7ABC"/>
    <w:rsid w:val="009E7C7A"/>
    <w:rsid w:val="009E7C8A"/>
    <w:rsid w:val="009E7DE4"/>
    <w:rsid w:val="009F0002"/>
    <w:rsid w:val="009F0724"/>
    <w:rsid w:val="009F0842"/>
    <w:rsid w:val="009F0B6A"/>
    <w:rsid w:val="009F0B98"/>
    <w:rsid w:val="009F0C9D"/>
    <w:rsid w:val="009F0D8E"/>
    <w:rsid w:val="009F0E1B"/>
    <w:rsid w:val="009F1065"/>
    <w:rsid w:val="009F10F4"/>
    <w:rsid w:val="009F1279"/>
    <w:rsid w:val="009F1364"/>
    <w:rsid w:val="009F13C4"/>
    <w:rsid w:val="009F1428"/>
    <w:rsid w:val="009F14C4"/>
    <w:rsid w:val="009F1644"/>
    <w:rsid w:val="009F1730"/>
    <w:rsid w:val="009F17F4"/>
    <w:rsid w:val="009F1805"/>
    <w:rsid w:val="009F18C7"/>
    <w:rsid w:val="009F18D5"/>
    <w:rsid w:val="009F1BB7"/>
    <w:rsid w:val="009F1D35"/>
    <w:rsid w:val="009F1DD6"/>
    <w:rsid w:val="009F1F25"/>
    <w:rsid w:val="009F202A"/>
    <w:rsid w:val="009F20A0"/>
    <w:rsid w:val="009F20E2"/>
    <w:rsid w:val="009F213C"/>
    <w:rsid w:val="009F21C1"/>
    <w:rsid w:val="009F2409"/>
    <w:rsid w:val="009F2537"/>
    <w:rsid w:val="009F2580"/>
    <w:rsid w:val="009F26A6"/>
    <w:rsid w:val="009F2928"/>
    <w:rsid w:val="009F2A16"/>
    <w:rsid w:val="009F2CEB"/>
    <w:rsid w:val="009F2E62"/>
    <w:rsid w:val="009F30C4"/>
    <w:rsid w:val="009F311B"/>
    <w:rsid w:val="009F3203"/>
    <w:rsid w:val="009F3234"/>
    <w:rsid w:val="009F3296"/>
    <w:rsid w:val="009F3599"/>
    <w:rsid w:val="009F368A"/>
    <w:rsid w:val="009F3775"/>
    <w:rsid w:val="009F37EA"/>
    <w:rsid w:val="009F389C"/>
    <w:rsid w:val="009F38F2"/>
    <w:rsid w:val="009F3A6B"/>
    <w:rsid w:val="009F3B3E"/>
    <w:rsid w:val="009F3CD5"/>
    <w:rsid w:val="009F3CFF"/>
    <w:rsid w:val="009F3E52"/>
    <w:rsid w:val="009F3E61"/>
    <w:rsid w:val="009F4050"/>
    <w:rsid w:val="009F4208"/>
    <w:rsid w:val="009F4261"/>
    <w:rsid w:val="009F4273"/>
    <w:rsid w:val="009F429C"/>
    <w:rsid w:val="009F450F"/>
    <w:rsid w:val="009F4526"/>
    <w:rsid w:val="009F45C9"/>
    <w:rsid w:val="009F4664"/>
    <w:rsid w:val="009F4760"/>
    <w:rsid w:val="009F47C7"/>
    <w:rsid w:val="009F4837"/>
    <w:rsid w:val="009F4BCB"/>
    <w:rsid w:val="009F4C27"/>
    <w:rsid w:val="009F4EB0"/>
    <w:rsid w:val="009F5206"/>
    <w:rsid w:val="009F5493"/>
    <w:rsid w:val="009F5617"/>
    <w:rsid w:val="009F56A6"/>
    <w:rsid w:val="009F575D"/>
    <w:rsid w:val="009F5801"/>
    <w:rsid w:val="009F59E1"/>
    <w:rsid w:val="009F5B57"/>
    <w:rsid w:val="009F5B9D"/>
    <w:rsid w:val="009F5DD3"/>
    <w:rsid w:val="009F5F6C"/>
    <w:rsid w:val="009F5FA4"/>
    <w:rsid w:val="009F5FFE"/>
    <w:rsid w:val="009F606C"/>
    <w:rsid w:val="009F61A6"/>
    <w:rsid w:val="009F61B4"/>
    <w:rsid w:val="009F63BC"/>
    <w:rsid w:val="009F64DE"/>
    <w:rsid w:val="009F654B"/>
    <w:rsid w:val="009F663C"/>
    <w:rsid w:val="009F6719"/>
    <w:rsid w:val="009F6724"/>
    <w:rsid w:val="009F6981"/>
    <w:rsid w:val="009F698C"/>
    <w:rsid w:val="009F6BF4"/>
    <w:rsid w:val="009F6D34"/>
    <w:rsid w:val="009F6D9F"/>
    <w:rsid w:val="009F6E13"/>
    <w:rsid w:val="009F7126"/>
    <w:rsid w:val="009F7157"/>
    <w:rsid w:val="009F718B"/>
    <w:rsid w:val="009F71F3"/>
    <w:rsid w:val="009F726A"/>
    <w:rsid w:val="009F7562"/>
    <w:rsid w:val="009F7667"/>
    <w:rsid w:val="009F7AD6"/>
    <w:rsid w:val="009F7B68"/>
    <w:rsid w:val="009F7BDE"/>
    <w:rsid w:val="009F7BFB"/>
    <w:rsid w:val="009F7DE1"/>
    <w:rsid w:val="009F7E29"/>
    <w:rsid w:val="00A0005A"/>
    <w:rsid w:val="00A0008F"/>
    <w:rsid w:val="00A0009A"/>
    <w:rsid w:val="00A003C9"/>
    <w:rsid w:val="00A00622"/>
    <w:rsid w:val="00A006BC"/>
    <w:rsid w:val="00A009B2"/>
    <w:rsid w:val="00A00CB9"/>
    <w:rsid w:val="00A00F5D"/>
    <w:rsid w:val="00A010D0"/>
    <w:rsid w:val="00A01141"/>
    <w:rsid w:val="00A01637"/>
    <w:rsid w:val="00A01726"/>
    <w:rsid w:val="00A01733"/>
    <w:rsid w:val="00A0175B"/>
    <w:rsid w:val="00A01D93"/>
    <w:rsid w:val="00A01E90"/>
    <w:rsid w:val="00A01FE4"/>
    <w:rsid w:val="00A020A9"/>
    <w:rsid w:val="00A0265C"/>
    <w:rsid w:val="00A026D8"/>
    <w:rsid w:val="00A02765"/>
    <w:rsid w:val="00A028AD"/>
    <w:rsid w:val="00A029FB"/>
    <w:rsid w:val="00A02A03"/>
    <w:rsid w:val="00A02A42"/>
    <w:rsid w:val="00A02A8E"/>
    <w:rsid w:val="00A02AF0"/>
    <w:rsid w:val="00A02D11"/>
    <w:rsid w:val="00A02EA4"/>
    <w:rsid w:val="00A02FC8"/>
    <w:rsid w:val="00A02FDC"/>
    <w:rsid w:val="00A03328"/>
    <w:rsid w:val="00A03368"/>
    <w:rsid w:val="00A033A5"/>
    <w:rsid w:val="00A037BD"/>
    <w:rsid w:val="00A03BB1"/>
    <w:rsid w:val="00A04116"/>
    <w:rsid w:val="00A0415E"/>
    <w:rsid w:val="00A0423E"/>
    <w:rsid w:val="00A042C5"/>
    <w:rsid w:val="00A04307"/>
    <w:rsid w:val="00A044C7"/>
    <w:rsid w:val="00A045E2"/>
    <w:rsid w:val="00A04636"/>
    <w:rsid w:val="00A04718"/>
    <w:rsid w:val="00A047DC"/>
    <w:rsid w:val="00A04838"/>
    <w:rsid w:val="00A04B5E"/>
    <w:rsid w:val="00A04B5F"/>
    <w:rsid w:val="00A04B8E"/>
    <w:rsid w:val="00A04F59"/>
    <w:rsid w:val="00A05173"/>
    <w:rsid w:val="00A05227"/>
    <w:rsid w:val="00A0536D"/>
    <w:rsid w:val="00A05468"/>
    <w:rsid w:val="00A05623"/>
    <w:rsid w:val="00A056EA"/>
    <w:rsid w:val="00A05812"/>
    <w:rsid w:val="00A05875"/>
    <w:rsid w:val="00A05D3B"/>
    <w:rsid w:val="00A05D58"/>
    <w:rsid w:val="00A05F8C"/>
    <w:rsid w:val="00A061C9"/>
    <w:rsid w:val="00A06219"/>
    <w:rsid w:val="00A06B63"/>
    <w:rsid w:val="00A06B70"/>
    <w:rsid w:val="00A06B7F"/>
    <w:rsid w:val="00A06C7B"/>
    <w:rsid w:val="00A06E13"/>
    <w:rsid w:val="00A06EDA"/>
    <w:rsid w:val="00A06F5C"/>
    <w:rsid w:val="00A07055"/>
    <w:rsid w:val="00A071A6"/>
    <w:rsid w:val="00A073EF"/>
    <w:rsid w:val="00A079AA"/>
    <w:rsid w:val="00A07B56"/>
    <w:rsid w:val="00A07BAB"/>
    <w:rsid w:val="00A07C36"/>
    <w:rsid w:val="00A07E6D"/>
    <w:rsid w:val="00A07F7F"/>
    <w:rsid w:val="00A07FB5"/>
    <w:rsid w:val="00A07FBD"/>
    <w:rsid w:val="00A1009C"/>
    <w:rsid w:val="00A101D0"/>
    <w:rsid w:val="00A103FF"/>
    <w:rsid w:val="00A105BD"/>
    <w:rsid w:val="00A10744"/>
    <w:rsid w:val="00A108A8"/>
    <w:rsid w:val="00A109EA"/>
    <w:rsid w:val="00A109F9"/>
    <w:rsid w:val="00A10BE0"/>
    <w:rsid w:val="00A10F9D"/>
    <w:rsid w:val="00A111AB"/>
    <w:rsid w:val="00A1157C"/>
    <w:rsid w:val="00A1163C"/>
    <w:rsid w:val="00A117FD"/>
    <w:rsid w:val="00A1183C"/>
    <w:rsid w:val="00A11906"/>
    <w:rsid w:val="00A11B6A"/>
    <w:rsid w:val="00A11BE6"/>
    <w:rsid w:val="00A11D7A"/>
    <w:rsid w:val="00A121D3"/>
    <w:rsid w:val="00A122B8"/>
    <w:rsid w:val="00A125D7"/>
    <w:rsid w:val="00A1275E"/>
    <w:rsid w:val="00A128F5"/>
    <w:rsid w:val="00A12B87"/>
    <w:rsid w:val="00A12B8F"/>
    <w:rsid w:val="00A12CD2"/>
    <w:rsid w:val="00A12D62"/>
    <w:rsid w:val="00A13049"/>
    <w:rsid w:val="00A13376"/>
    <w:rsid w:val="00A133A4"/>
    <w:rsid w:val="00A133F6"/>
    <w:rsid w:val="00A13442"/>
    <w:rsid w:val="00A13546"/>
    <w:rsid w:val="00A135A4"/>
    <w:rsid w:val="00A1364C"/>
    <w:rsid w:val="00A13673"/>
    <w:rsid w:val="00A1368F"/>
    <w:rsid w:val="00A13781"/>
    <w:rsid w:val="00A138FD"/>
    <w:rsid w:val="00A1397D"/>
    <w:rsid w:val="00A13E64"/>
    <w:rsid w:val="00A14001"/>
    <w:rsid w:val="00A140F5"/>
    <w:rsid w:val="00A141BF"/>
    <w:rsid w:val="00A1430B"/>
    <w:rsid w:val="00A14390"/>
    <w:rsid w:val="00A145B6"/>
    <w:rsid w:val="00A14722"/>
    <w:rsid w:val="00A147C9"/>
    <w:rsid w:val="00A1484D"/>
    <w:rsid w:val="00A1487E"/>
    <w:rsid w:val="00A14C06"/>
    <w:rsid w:val="00A14DB2"/>
    <w:rsid w:val="00A14E30"/>
    <w:rsid w:val="00A15025"/>
    <w:rsid w:val="00A15073"/>
    <w:rsid w:val="00A1511B"/>
    <w:rsid w:val="00A1525A"/>
    <w:rsid w:val="00A153CB"/>
    <w:rsid w:val="00A15426"/>
    <w:rsid w:val="00A15431"/>
    <w:rsid w:val="00A1553A"/>
    <w:rsid w:val="00A156E3"/>
    <w:rsid w:val="00A156F7"/>
    <w:rsid w:val="00A158E2"/>
    <w:rsid w:val="00A1591F"/>
    <w:rsid w:val="00A159AF"/>
    <w:rsid w:val="00A15B81"/>
    <w:rsid w:val="00A15C3C"/>
    <w:rsid w:val="00A15DFF"/>
    <w:rsid w:val="00A15E6D"/>
    <w:rsid w:val="00A15EE5"/>
    <w:rsid w:val="00A15F48"/>
    <w:rsid w:val="00A15F71"/>
    <w:rsid w:val="00A160E9"/>
    <w:rsid w:val="00A16304"/>
    <w:rsid w:val="00A16386"/>
    <w:rsid w:val="00A164D3"/>
    <w:rsid w:val="00A1658E"/>
    <w:rsid w:val="00A16736"/>
    <w:rsid w:val="00A16770"/>
    <w:rsid w:val="00A1677F"/>
    <w:rsid w:val="00A169EF"/>
    <w:rsid w:val="00A16A61"/>
    <w:rsid w:val="00A16AED"/>
    <w:rsid w:val="00A16C30"/>
    <w:rsid w:val="00A16E86"/>
    <w:rsid w:val="00A16EC3"/>
    <w:rsid w:val="00A17169"/>
    <w:rsid w:val="00A176BE"/>
    <w:rsid w:val="00A1775A"/>
    <w:rsid w:val="00A177B2"/>
    <w:rsid w:val="00A178DB"/>
    <w:rsid w:val="00A178FD"/>
    <w:rsid w:val="00A17ACC"/>
    <w:rsid w:val="00A17AF7"/>
    <w:rsid w:val="00A17D12"/>
    <w:rsid w:val="00A20211"/>
    <w:rsid w:val="00A20298"/>
    <w:rsid w:val="00A20389"/>
    <w:rsid w:val="00A2044D"/>
    <w:rsid w:val="00A20500"/>
    <w:rsid w:val="00A208DD"/>
    <w:rsid w:val="00A20C36"/>
    <w:rsid w:val="00A20DAC"/>
    <w:rsid w:val="00A20DF7"/>
    <w:rsid w:val="00A20E1A"/>
    <w:rsid w:val="00A20E42"/>
    <w:rsid w:val="00A20FD2"/>
    <w:rsid w:val="00A21027"/>
    <w:rsid w:val="00A21044"/>
    <w:rsid w:val="00A2108C"/>
    <w:rsid w:val="00A210A7"/>
    <w:rsid w:val="00A212AD"/>
    <w:rsid w:val="00A21462"/>
    <w:rsid w:val="00A21573"/>
    <w:rsid w:val="00A21599"/>
    <w:rsid w:val="00A215F0"/>
    <w:rsid w:val="00A21621"/>
    <w:rsid w:val="00A21701"/>
    <w:rsid w:val="00A21982"/>
    <w:rsid w:val="00A21A2F"/>
    <w:rsid w:val="00A21A95"/>
    <w:rsid w:val="00A21C76"/>
    <w:rsid w:val="00A220B4"/>
    <w:rsid w:val="00A22104"/>
    <w:rsid w:val="00A2216D"/>
    <w:rsid w:val="00A22180"/>
    <w:rsid w:val="00A221AB"/>
    <w:rsid w:val="00A223AA"/>
    <w:rsid w:val="00A22585"/>
    <w:rsid w:val="00A22708"/>
    <w:rsid w:val="00A227C9"/>
    <w:rsid w:val="00A229B9"/>
    <w:rsid w:val="00A22AE4"/>
    <w:rsid w:val="00A22B21"/>
    <w:rsid w:val="00A22DAB"/>
    <w:rsid w:val="00A22F79"/>
    <w:rsid w:val="00A2313B"/>
    <w:rsid w:val="00A23382"/>
    <w:rsid w:val="00A23391"/>
    <w:rsid w:val="00A233D7"/>
    <w:rsid w:val="00A2344C"/>
    <w:rsid w:val="00A2357B"/>
    <w:rsid w:val="00A23657"/>
    <w:rsid w:val="00A23716"/>
    <w:rsid w:val="00A237BD"/>
    <w:rsid w:val="00A23847"/>
    <w:rsid w:val="00A23E07"/>
    <w:rsid w:val="00A23E5D"/>
    <w:rsid w:val="00A23E8F"/>
    <w:rsid w:val="00A240D3"/>
    <w:rsid w:val="00A24161"/>
    <w:rsid w:val="00A24307"/>
    <w:rsid w:val="00A2434A"/>
    <w:rsid w:val="00A243BB"/>
    <w:rsid w:val="00A243FB"/>
    <w:rsid w:val="00A24438"/>
    <w:rsid w:val="00A2461A"/>
    <w:rsid w:val="00A24705"/>
    <w:rsid w:val="00A24CE8"/>
    <w:rsid w:val="00A24DB3"/>
    <w:rsid w:val="00A24E5C"/>
    <w:rsid w:val="00A24FB5"/>
    <w:rsid w:val="00A251D1"/>
    <w:rsid w:val="00A25384"/>
    <w:rsid w:val="00A25502"/>
    <w:rsid w:val="00A257E3"/>
    <w:rsid w:val="00A25801"/>
    <w:rsid w:val="00A25818"/>
    <w:rsid w:val="00A2589E"/>
    <w:rsid w:val="00A25980"/>
    <w:rsid w:val="00A25B08"/>
    <w:rsid w:val="00A25C7C"/>
    <w:rsid w:val="00A25EAD"/>
    <w:rsid w:val="00A26080"/>
    <w:rsid w:val="00A26134"/>
    <w:rsid w:val="00A262B7"/>
    <w:rsid w:val="00A26374"/>
    <w:rsid w:val="00A264C0"/>
    <w:rsid w:val="00A264FA"/>
    <w:rsid w:val="00A2650B"/>
    <w:rsid w:val="00A2656A"/>
    <w:rsid w:val="00A26836"/>
    <w:rsid w:val="00A26858"/>
    <w:rsid w:val="00A26AD1"/>
    <w:rsid w:val="00A26B2F"/>
    <w:rsid w:val="00A26DFC"/>
    <w:rsid w:val="00A26E9F"/>
    <w:rsid w:val="00A27067"/>
    <w:rsid w:val="00A273D3"/>
    <w:rsid w:val="00A27529"/>
    <w:rsid w:val="00A275E4"/>
    <w:rsid w:val="00A2765B"/>
    <w:rsid w:val="00A2765F"/>
    <w:rsid w:val="00A277C7"/>
    <w:rsid w:val="00A2782E"/>
    <w:rsid w:val="00A27842"/>
    <w:rsid w:val="00A27856"/>
    <w:rsid w:val="00A27A23"/>
    <w:rsid w:val="00A27A4E"/>
    <w:rsid w:val="00A27C71"/>
    <w:rsid w:val="00A27CAF"/>
    <w:rsid w:val="00A27E4A"/>
    <w:rsid w:val="00A27FEA"/>
    <w:rsid w:val="00A300A2"/>
    <w:rsid w:val="00A3028B"/>
    <w:rsid w:val="00A302B5"/>
    <w:rsid w:val="00A3046E"/>
    <w:rsid w:val="00A305A0"/>
    <w:rsid w:val="00A30757"/>
    <w:rsid w:val="00A307FF"/>
    <w:rsid w:val="00A30828"/>
    <w:rsid w:val="00A308E1"/>
    <w:rsid w:val="00A30AFC"/>
    <w:rsid w:val="00A30D03"/>
    <w:rsid w:val="00A31349"/>
    <w:rsid w:val="00A314D9"/>
    <w:rsid w:val="00A3151B"/>
    <w:rsid w:val="00A315F9"/>
    <w:rsid w:val="00A3175B"/>
    <w:rsid w:val="00A31768"/>
    <w:rsid w:val="00A318A9"/>
    <w:rsid w:val="00A31928"/>
    <w:rsid w:val="00A31AA6"/>
    <w:rsid w:val="00A31DE3"/>
    <w:rsid w:val="00A31EDE"/>
    <w:rsid w:val="00A321B0"/>
    <w:rsid w:val="00A3221A"/>
    <w:rsid w:val="00A32257"/>
    <w:rsid w:val="00A322A2"/>
    <w:rsid w:val="00A322D3"/>
    <w:rsid w:val="00A32331"/>
    <w:rsid w:val="00A32342"/>
    <w:rsid w:val="00A32391"/>
    <w:rsid w:val="00A323CD"/>
    <w:rsid w:val="00A324BD"/>
    <w:rsid w:val="00A327EF"/>
    <w:rsid w:val="00A329F2"/>
    <w:rsid w:val="00A32A92"/>
    <w:rsid w:val="00A32AAD"/>
    <w:rsid w:val="00A32C40"/>
    <w:rsid w:val="00A32EBE"/>
    <w:rsid w:val="00A3324A"/>
    <w:rsid w:val="00A3324F"/>
    <w:rsid w:val="00A333F4"/>
    <w:rsid w:val="00A33438"/>
    <w:rsid w:val="00A3370D"/>
    <w:rsid w:val="00A33734"/>
    <w:rsid w:val="00A33BF2"/>
    <w:rsid w:val="00A340C4"/>
    <w:rsid w:val="00A342AB"/>
    <w:rsid w:val="00A343D7"/>
    <w:rsid w:val="00A3459C"/>
    <w:rsid w:val="00A345B7"/>
    <w:rsid w:val="00A347B6"/>
    <w:rsid w:val="00A347C1"/>
    <w:rsid w:val="00A3480A"/>
    <w:rsid w:val="00A3494D"/>
    <w:rsid w:val="00A34A83"/>
    <w:rsid w:val="00A34BEE"/>
    <w:rsid w:val="00A34CFD"/>
    <w:rsid w:val="00A35081"/>
    <w:rsid w:val="00A35085"/>
    <w:rsid w:val="00A3508C"/>
    <w:rsid w:val="00A3522E"/>
    <w:rsid w:val="00A353B3"/>
    <w:rsid w:val="00A35560"/>
    <w:rsid w:val="00A35593"/>
    <w:rsid w:val="00A3573E"/>
    <w:rsid w:val="00A3597B"/>
    <w:rsid w:val="00A359ED"/>
    <w:rsid w:val="00A35F08"/>
    <w:rsid w:val="00A36010"/>
    <w:rsid w:val="00A36108"/>
    <w:rsid w:val="00A36236"/>
    <w:rsid w:val="00A36252"/>
    <w:rsid w:val="00A36264"/>
    <w:rsid w:val="00A36362"/>
    <w:rsid w:val="00A363C7"/>
    <w:rsid w:val="00A363D5"/>
    <w:rsid w:val="00A364F0"/>
    <w:rsid w:val="00A36606"/>
    <w:rsid w:val="00A36620"/>
    <w:rsid w:val="00A3667B"/>
    <w:rsid w:val="00A366D6"/>
    <w:rsid w:val="00A36817"/>
    <w:rsid w:val="00A3693B"/>
    <w:rsid w:val="00A36BAE"/>
    <w:rsid w:val="00A37508"/>
    <w:rsid w:val="00A37528"/>
    <w:rsid w:val="00A37558"/>
    <w:rsid w:val="00A378A6"/>
    <w:rsid w:val="00A37B54"/>
    <w:rsid w:val="00A37DC2"/>
    <w:rsid w:val="00A4009B"/>
    <w:rsid w:val="00A401E9"/>
    <w:rsid w:val="00A40208"/>
    <w:rsid w:val="00A403A0"/>
    <w:rsid w:val="00A40405"/>
    <w:rsid w:val="00A407A7"/>
    <w:rsid w:val="00A408CF"/>
    <w:rsid w:val="00A40927"/>
    <w:rsid w:val="00A409E6"/>
    <w:rsid w:val="00A40B34"/>
    <w:rsid w:val="00A4102D"/>
    <w:rsid w:val="00A410B8"/>
    <w:rsid w:val="00A41101"/>
    <w:rsid w:val="00A41142"/>
    <w:rsid w:val="00A41226"/>
    <w:rsid w:val="00A412BB"/>
    <w:rsid w:val="00A4145D"/>
    <w:rsid w:val="00A4145E"/>
    <w:rsid w:val="00A41495"/>
    <w:rsid w:val="00A415BF"/>
    <w:rsid w:val="00A416DD"/>
    <w:rsid w:val="00A41702"/>
    <w:rsid w:val="00A41B1C"/>
    <w:rsid w:val="00A41C2E"/>
    <w:rsid w:val="00A41D3F"/>
    <w:rsid w:val="00A41F5B"/>
    <w:rsid w:val="00A42127"/>
    <w:rsid w:val="00A42467"/>
    <w:rsid w:val="00A4246D"/>
    <w:rsid w:val="00A4250A"/>
    <w:rsid w:val="00A4254E"/>
    <w:rsid w:val="00A42657"/>
    <w:rsid w:val="00A426BC"/>
    <w:rsid w:val="00A428D8"/>
    <w:rsid w:val="00A42957"/>
    <w:rsid w:val="00A429DA"/>
    <w:rsid w:val="00A42B21"/>
    <w:rsid w:val="00A42BEE"/>
    <w:rsid w:val="00A42C0F"/>
    <w:rsid w:val="00A42E2C"/>
    <w:rsid w:val="00A43107"/>
    <w:rsid w:val="00A43137"/>
    <w:rsid w:val="00A432C5"/>
    <w:rsid w:val="00A4342E"/>
    <w:rsid w:val="00A4353A"/>
    <w:rsid w:val="00A43751"/>
    <w:rsid w:val="00A43A7C"/>
    <w:rsid w:val="00A43AFD"/>
    <w:rsid w:val="00A43D6C"/>
    <w:rsid w:val="00A43E32"/>
    <w:rsid w:val="00A440DF"/>
    <w:rsid w:val="00A44142"/>
    <w:rsid w:val="00A4422A"/>
    <w:rsid w:val="00A44326"/>
    <w:rsid w:val="00A44438"/>
    <w:rsid w:val="00A444F1"/>
    <w:rsid w:val="00A4450B"/>
    <w:rsid w:val="00A44530"/>
    <w:rsid w:val="00A445BB"/>
    <w:rsid w:val="00A44690"/>
    <w:rsid w:val="00A447AE"/>
    <w:rsid w:val="00A44964"/>
    <w:rsid w:val="00A44A3B"/>
    <w:rsid w:val="00A44A8D"/>
    <w:rsid w:val="00A44D9E"/>
    <w:rsid w:val="00A44DAA"/>
    <w:rsid w:val="00A44DD3"/>
    <w:rsid w:val="00A45122"/>
    <w:rsid w:val="00A4516F"/>
    <w:rsid w:val="00A45248"/>
    <w:rsid w:val="00A453B5"/>
    <w:rsid w:val="00A45434"/>
    <w:rsid w:val="00A45485"/>
    <w:rsid w:val="00A454C7"/>
    <w:rsid w:val="00A4571B"/>
    <w:rsid w:val="00A45882"/>
    <w:rsid w:val="00A45DD7"/>
    <w:rsid w:val="00A45EA5"/>
    <w:rsid w:val="00A45EA9"/>
    <w:rsid w:val="00A46262"/>
    <w:rsid w:val="00A46531"/>
    <w:rsid w:val="00A46584"/>
    <w:rsid w:val="00A465A9"/>
    <w:rsid w:val="00A465EF"/>
    <w:rsid w:val="00A46836"/>
    <w:rsid w:val="00A4694B"/>
    <w:rsid w:val="00A46D65"/>
    <w:rsid w:val="00A46DE6"/>
    <w:rsid w:val="00A46E82"/>
    <w:rsid w:val="00A471D5"/>
    <w:rsid w:val="00A475B2"/>
    <w:rsid w:val="00A4760A"/>
    <w:rsid w:val="00A47662"/>
    <w:rsid w:val="00A47706"/>
    <w:rsid w:val="00A4772A"/>
    <w:rsid w:val="00A4794E"/>
    <w:rsid w:val="00A479B6"/>
    <w:rsid w:val="00A47A93"/>
    <w:rsid w:val="00A47B96"/>
    <w:rsid w:val="00A47E3A"/>
    <w:rsid w:val="00A47E83"/>
    <w:rsid w:val="00A47EE4"/>
    <w:rsid w:val="00A500B0"/>
    <w:rsid w:val="00A501E8"/>
    <w:rsid w:val="00A50474"/>
    <w:rsid w:val="00A5061B"/>
    <w:rsid w:val="00A507FB"/>
    <w:rsid w:val="00A50803"/>
    <w:rsid w:val="00A508B9"/>
    <w:rsid w:val="00A50BE9"/>
    <w:rsid w:val="00A50E5D"/>
    <w:rsid w:val="00A50E63"/>
    <w:rsid w:val="00A50E72"/>
    <w:rsid w:val="00A51036"/>
    <w:rsid w:val="00A5105F"/>
    <w:rsid w:val="00A51117"/>
    <w:rsid w:val="00A5117A"/>
    <w:rsid w:val="00A5119A"/>
    <w:rsid w:val="00A5166F"/>
    <w:rsid w:val="00A5174D"/>
    <w:rsid w:val="00A51ABD"/>
    <w:rsid w:val="00A51F59"/>
    <w:rsid w:val="00A52055"/>
    <w:rsid w:val="00A522CC"/>
    <w:rsid w:val="00A52411"/>
    <w:rsid w:val="00A5243B"/>
    <w:rsid w:val="00A5267D"/>
    <w:rsid w:val="00A52738"/>
    <w:rsid w:val="00A5274B"/>
    <w:rsid w:val="00A52782"/>
    <w:rsid w:val="00A5284E"/>
    <w:rsid w:val="00A52AAB"/>
    <w:rsid w:val="00A52B20"/>
    <w:rsid w:val="00A52BC8"/>
    <w:rsid w:val="00A52D23"/>
    <w:rsid w:val="00A52DC9"/>
    <w:rsid w:val="00A52EE2"/>
    <w:rsid w:val="00A52EF6"/>
    <w:rsid w:val="00A52FF1"/>
    <w:rsid w:val="00A53084"/>
    <w:rsid w:val="00A53446"/>
    <w:rsid w:val="00A53A28"/>
    <w:rsid w:val="00A53A81"/>
    <w:rsid w:val="00A53BB2"/>
    <w:rsid w:val="00A53DFD"/>
    <w:rsid w:val="00A53FA2"/>
    <w:rsid w:val="00A540C8"/>
    <w:rsid w:val="00A54111"/>
    <w:rsid w:val="00A54760"/>
    <w:rsid w:val="00A54903"/>
    <w:rsid w:val="00A5495F"/>
    <w:rsid w:val="00A549FE"/>
    <w:rsid w:val="00A54CBE"/>
    <w:rsid w:val="00A54F63"/>
    <w:rsid w:val="00A54FE9"/>
    <w:rsid w:val="00A55172"/>
    <w:rsid w:val="00A552F3"/>
    <w:rsid w:val="00A55A58"/>
    <w:rsid w:val="00A55BA2"/>
    <w:rsid w:val="00A55BF4"/>
    <w:rsid w:val="00A55C20"/>
    <w:rsid w:val="00A55C9D"/>
    <w:rsid w:val="00A55DDA"/>
    <w:rsid w:val="00A55F56"/>
    <w:rsid w:val="00A56258"/>
    <w:rsid w:val="00A56457"/>
    <w:rsid w:val="00A56490"/>
    <w:rsid w:val="00A565EE"/>
    <w:rsid w:val="00A56608"/>
    <w:rsid w:val="00A569F3"/>
    <w:rsid w:val="00A56B7E"/>
    <w:rsid w:val="00A56C03"/>
    <w:rsid w:val="00A56D37"/>
    <w:rsid w:val="00A56D71"/>
    <w:rsid w:val="00A56E10"/>
    <w:rsid w:val="00A56E17"/>
    <w:rsid w:val="00A571E4"/>
    <w:rsid w:val="00A573A9"/>
    <w:rsid w:val="00A5766C"/>
    <w:rsid w:val="00A576D9"/>
    <w:rsid w:val="00A576DC"/>
    <w:rsid w:val="00A57B00"/>
    <w:rsid w:val="00A57B9A"/>
    <w:rsid w:val="00A57DA7"/>
    <w:rsid w:val="00A57DFA"/>
    <w:rsid w:val="00A57F83"/>
    <w:rsid w:val="00A6002D"/>
    <w:rsid w:val="00A6007B"/>
    <w:rsid w:val="00A600E3"/>
    <w:rsid w:val="00A60296"/>
    <w:rsid w:val="00A6034A"/>
    <w:rsid w:val="00A603DD"/>
    <w:rsid w:val="00A60498"/>
    <w:rsid w:val="00A6054A"/>
    <w:rsid w:val="00A607E0"/>
    <w:rsid w:val="00A60877"/>
    <w:rsid w:val="00A608D9"/>
    <w:rsid w:val="00A609EA"/>
    <w:rsid w:val="00A60C03"/>
    <w:rsid w:val="00A60C6B"/>
    <w:rsid w:val="00A60D2E"/>
    <w:rsid w:val="00A60D31"/>
    <w:rsid w:val="00A60DDE"/>
    <w:rsid w:val="00A60F43"/>
    <w:rsid w:val="00A6104D"/>
    <w:rsid w:val="00A61216"/>
    <w:rsid w:val="00A61307"/>
    <w:rsid w:val="00A617C2"/>
    <w:rsid w:val="00A61888"/>
    <w:rsid w:val="00A61896"/>
    <w:rsid w:val="00A618E3"/>
    <w:rsid w:val="00A61C27"/>
    <w:rsid w:val="00A61E4A"/>
    <w:rsid w:val="00A6204E"/>
    <w:rsid w:val="00A62063"/>
    <w:rsid w:val="00A62134"/>
    <w:rsid w:val="00A62368"/>
    <w:rsid w:val="00A623FF"/>
    <w:rsid w:val="00A62411"/>
    <w:rsid w:val="00A6261D"/>
    <w:rsid w:val="00A6270E"/>
    <w:rsid w:val="00A62804"/>
    <w:rsid w:val="00A62871"/>
    <w:rsid w:val="00A6290B"/>
    <w:rsid w:val="00A6291A"/>
    <w:rsid w:val="00A629C9"/>
    <w:rsid w:val="00A62BA9"/>
    <w:rsid w:val="00A62D2E"/>
    <w:rsid w:val="00A62E1D"/>
    <w:rsid w:val="00A62E59"/>
    <w:rsid w:val="00A630A7"/>
    <w:rsid w:val="00A630B0"/>
    <w:rsid w:val="00A63129"/>
    <w:rsid w:val="00A6316B"/>
    <w:rsid w:val="00A63183"/>
    <w:rsid w:val="00A631C4"/>
    <w:rsid w:val="00A63249"/>
    <w:rsid w:val="00A6324E"/>
    <w:rsid w:val="00A63301"/>
    <w:rsid w:val="00A6351A"/>
    <w:rsid w:val="00A63A1F"/>
    <w:rsid w:val="00A63B0B"/>
    <w:rsid w:val="00A63B3F"/>
    <w:rsid w:val="00A63B6E"/>
    <w:rsid w:val="00A63B71"/>
    <w:rsid w:val="00A63DD1"/>
    <w:rsid w:val="00A63EEE"/>
    <w:rsid w:val="00A64416"/>
    <w:rsid w:val="00A644EC"/>
    <w:rsid w:val="00A6477B"/>
    <w:rsid w:val="00A648DE"/>
    <w:rsid w:val="00A64C6A"/>
    <w:rsid w:val="00A64EA1"/>
    <w:rsid w:val="00A650A4"/>
    <w:rsid w:val="00A6514F"/>
    <w:rsid w:val="00A6516C"/>
    <w:rsid w:val="00A65369"/>
    <w:rsid w:val="00A65470"/>
    <w:rsid w:val="00A658CB"/>
    <w:rsid w:val="00A65AE9"/>
    <w:rsid w:val="00A65AFC"/>
    <w:rsid w:val="00A65C4E"/>
    <w:rsid w:val="00A65C79"/>
    <w:rsid w:val="00A65D93"/>
    <w:rsid w:val="00A65E8C"/>
    <w:rsid w:val="00A65F56"/>
    <w:rsid w:val="00A663B3"/>
    <w:rsid w:val="00A664AB"/>
    <w:rsid w:val="00A666C2"/>
    <w:rsid w:val="00A66ED1"/>
    <w:rsid w:val="00A66F3F"/>
    <w:rsid w:val="00A66F6E"/>
    <w:rsid w:val="00A670D6"/>
    <w:rsid w:val="00A67238"/>
    <w:rsid w:val="00A67251"/>
    <w:rsid w:val="00A672EE"/>
    <w:rsid w:val="00A67470"/>
    <w:rsid w:val="00A67508"/>
    <w:rsid w:val="00A67692"/>
    <w:rsid w:val="00A676DF"/>
    <w:rsid w:val="00A67917"/>
    <w:rsid w:val="00A67A32"/>
    <w:rsid w:val="00A67C71"/>
    <w:rsid w:val="00A67CD1"/>
    <w:rsid w:val="00A67CDF"/>
    <w:rsid w:val="00A67CE2"/>
    <w:rsid w:val="00A67DC3"/>
    <w:rsid w:val="00A67E61"/>
    <w:rsid w:val="00A67F9B"/>
    <w:rsid w:val="00A7012D"/>
    <w:rsid w:val="00A701FC"/>
    <w:rsid w:val="00A7020D"/>
    <w:rsid w:val="00A70674"/>
    <w:rsid w:val="00A70678"/>
    <w:rsid w:val="00A70768"/>
    <w:rsid w:val="00A70866"/>
    <w:rsid w:val="00A7091C"/>
    <w:rsid w:val="00A7094B"/>
    <w:rsid w:val="00A70AC4"/>
    <w:rsid w:val="00A70B01"/>
    <w:rsid w:val="00A70C0E"/>
    <w:rsid w:val="00A70D15"/>
    <w:rsid w:val="00A70ECA"/>
    <w:rsid w:val="00A70F47"/>
    <w:rsid w:val="00A7109D"/>
    <w:rsid w:val="00A7118E"/>
    <w:rsid w:val="00A7125C"/>
    <w:rsid w:val="00A71280"/>
    <w:rsid w:val="00A71306"/>
    <w:rsid w:val="00A71489"/>
    <w:rsid w:val="00A714A2"/>
    <w:rsid w:val="00A7150D"/>
    <w:rsid w:val="00A71597"/>
    <w:rsid w:val="00A715FC"/>
    <w:rsid w:val="00A716AE"/>
    <w:rsid w:val="00A71772"/>
    <w:rsid w:val="00A7195E"/>
    <w:rsid w:val="00A71A0E"/>
    <w:rsid w:val="00A71AB4"/>
    <w:rsid w:val="00A71B09"/>
    <w:rsid w:val="00A71D7F"/>
    <w:rsid w:val="00A71E93"/>
    <w:rsid w:val="00A71F27"/>
    <w:rsid w:val="00A7204A"/>
    <w:rsid w:val="00A72159"/>
    <w:rsid w:val="00A722D9"/>
    <w:rsid w:val="00A722EE"/>
    <w:rsid w:val="00A722F2"/>
    <w:rsid w:val="00A7256E"/>
    <w:rsid w:val="00A7259A"/>
    <w:rsid w:val="00A7262C"/>
    <w:rsid w:val="00A72646"/>
    <w:rsid w:val="00A72732"/>
    <w:rsid w:val="00A72746"/>
    <w:rsid w:val="00A72989"/>
    <w:rsid w:val="00A72B46"/>
    <w:rsid w:val="00A72BB1"/>
    <w:rsid w:val="00A72E0A"/>
    <w:rsid w:val="00A72E2A"/>
    <w:rsid w:val="00A73019"/>
    <w:rsid w:val="00A730FE"/>
    <w:rsid w:val="00A7313E"/>
    <w:rsid w:val="00A73201"/>
    <w:rsid w:val="00A732A3"/>
    <w:rsid w:val="00A7337E"/>
    <w:rsid w:val="00A73627"/>
    <w:rsid w:val="00A737F6"/>
    <w:rsid w:val="00A73A4A"/>
    <w:rsid w:val="00A73AB7"/>
    <w:rsid w:val="00A73ABF"/>
    <w:rsid w:val="00A73C95"/>
    <w:rsid w:val="00A73D7D"/>
    <w:rsid w:val="00A73EB0"/>
    <w:rsid w:val="00A73F12"/>
    <w:rsid w:val="00A73F24"/>
    <w:rsid w:val="00A73FA3"/>
    <w:rsid w:val="00A73FAD"/>
    <w:rsid w:val="00A7400F"/>
    <w:rsid w:val="00A7404A"/>
    <w:rsid w:val="00A740DF"/>
    <w:rsid w:val="00A740F6"/>
    <w:rsid w:val="00A741D4"/>
    <w:rsid w:val="00A7437E"/>
    <w:rsid w:val="00A7465B"/>
    <w:rsid w:val="00A74851"/>
    <w:rsid w:val="00A74875"/>
    <w:rsid w:val="00A748BD"/>
    <w:rsid w:val="00A74967"/>
    <w:rsid w:val="00A7496B"/>
    <w:rsid w:val="00A749C5"/>
    <w:rsid w:val="00A749D2"/>
    <w:rsid w:val="00A749DF"/>
    <w:rsid w:val="00A74A11"/>
    <w:rsid w:val="00A74AAE"/>
    <w:rsid w:val="00A74BB7"/>
    <w:rsid w:val="00A74C25"/>
    <w:rsid w:val="00A74C50"/>
    <w:rsid w:val="00A74D4A"/>
    <w:rsid w:val="00A74F35"/>
    <w:rsid w:val="00A74F4C"/>
    <w:rsid w:val="00A751DB"/>
    <w:rsid w:val="00A753FA"/>
    <w:rsid w:val="00A75452"/>
    <w:rsid w:val="00A75AC3"/>
    <w:rsid w:val="00A75BA7"/>
    <w:rsid w:val="00A75DA8"/>
    <w:rsid w:val="00A75DFA"/>
    <w:rsid w:val="00A75ECC"/>
    <w:rsid w:val="00A75FF9"/>
    <w:rsid w:val="00A7606F"/>
    <w:rsid w:val="00A760E8"/>
    <w:rsid w:val="00A7626C"/>
    <w:rsid w:val="00A762E2"/>
    <w:rsid w:val="00A764E7"/>
    <w:rsid w:val="00A76529"/>
    <w:rsid w:val="00A76AB0"/>
    <w:rsid w:val="00A76BCF"/>
    <w:rsid w:val="00A76D2C"/>
    <w:rsid w:val="00A76D63"/>
    <w:rsid w:val="00A76E36"/>
    <w:rsid w:val="00A76E80"/>
    <w:rsid w:val="00A76F04"/>
    <w:rsid w:val="00A76FAD"/>
    <w:rsid w:val="00A77055"/>
    <w:rsid w:val="00A77112"/>
    <w:rsid w:val="00A77203"/>
    <w:rsid w:val="00A77427"/>
    <w:rsid w:val="00A77629"/>
    <w:rsid w:val="00A776CF"/>
    <w:rsid w:val="00A77765"/>
    <w:rsid w:val="00A7783D"/>
    <w:rsid w:val="00A7791F"/>
    <w:rsid w:val="00A77B2A"/>
    <w:rsid w:val="00A77B93"/>
    <w:rsid w:val="00A77DE9"/>
    <w:rsid w:val="00A77EB2"/>
    <w:rsid w:val="00A77FB5"/>
    <w:rsid w:val="00A80150"/>
    <w:rsid w:val="00A80159"/>
    <w:rsid w:val="00A802CA"/>
    <w:rsid w:val="00A803D6"/>
    <w:rsid w:val="00A80401"/>
    <w:rsid w:val="00A8040B"/>
    <w:rsid w:val="00A80438"/>
    <w:rsid w:val="00A80594"/>
    <w:rsid w:val="00A805BD"/>
    <w:rsid w:val="00A806E8"/>
    <w:rsid w:val="00A80797"/>
    <w:rsid w:val="00A807D3"/>
    <w:rsid w:val="00A808AE"/>
    <w:rsid w:val="00A808B5"/>
    <w:rsid w:val="00A808C5"/>
    <w:rsid w:val="00A80A44"/>
    <w:rsid w:val="00A80B78"/>
    <w:rsid w:val="00A80B88"/>
    <w:rsid w:val="00A80CCE"/>
    <w:rsid w:val="00A80D88"/>
    <w:rsid w:val="00A80E39"/>
    <w:rsid w:val="00A81046"/>
    <w:rsid w:val="00A811AB"/>
    <w:rsid w:val="00A81234"/>
    <w:rsid w:val="00A8124E"/>
    <w:rsid w:val="00A812FE"/>
    <w:rsid w:val="00A81375"/>
    <w:rsid w:val="00A8142D"/>
    <w:rsid w:val="00A81459"/>
    <w:rsid w:val="00A8159C"/>
    <w:rsid w:val="00A816D7"/>
    <w:rsid w:val="00A81BAE"/>
    <w:rsid w:val="00A81C83"/>
    <w:rsid w:val="00A81CB4"/>
    <w:rsid w:val="00A81CC6"/>
    <w:rsid w:val="00A81DEA"/>
    <w:rsid w:val="00A81EC4"/>
    <w:rsid w:val="00A81F4A"/>
    <w:rsid w:val="00A82053"/>
    <w:rsid w:val="00A820A3"/>
    <w:rsid w:val="00A8211E"/>
    <w:rsid w:val="00A8225B"/>
    <w:rsid w:val="00A82542"/>
    <w:rsid w:val="00A82694"/>
    <w:rsid w:val="00A82B4F"/>
    <w:rsid w:val="00A82C2D"/>
    <w:rsid w:val="00A82CFA"/>
    <w:rsid w:val="00A82F93"/>
    <w:rsid w:val="00A83002"/>
    <w:rsid w:val="00A83004"/>
    <w:rsid w:val="00A83055"/>
    <w:rsid w:val="00A83133"/>
    <w:rsid w:val="00A832E0"/>
    <w:rsid w:val="00A834F5"/>
    <w:rsid w:val="00A8367C"/>
    <w:rsid w:val="00A836FA"/>
    <w:rsid w:val="00A8378B"/>
    <w:rsid w:val="00A83980"/>
    <w:rsid w:val="00A83D07"/>
    <w:rsid w:val="00A83D61"/>
    <w:rsid w:val="00A83D84"/>
    <w:rsid w:val="00A83EF6"/>
    <w:rsid w:val="00A8402E"/>
    <w:rsid w:val="00A840ED"/>
    <w:rsid w:val="00A8419D"/>
    <w:rsid w:val="00A84341"/>
    <w:rsid w:val="00A843EE"/>
    <w:rsid w:val="00A84411"/>
    <w:rsid w:val="00A844A6"/>
    <w:rsid w:val="00A84733"/>
    <w:rsid w:val="00A84905"/>
    <w:rsid w:val="00A84C8B"/>
    <w:rsid w:val="00A84DBA"/>
    <w:rsid w:val="00A84E27"/>
    <w:rsid w:val="00A84F52"/>
    <w:rsid w:val="00A85015"/>
    <w:rsid w:val="00A85105"/>
    <w:rsid w:val="00A85221"/>
    <w:rsid w:val="00A85426"/>
    <w:rsid w:val="00A85474"/>
    <w:rsid w:val="00A854FE"/>
    <w:rsid w:val="00A85A37"/>
    <w:rsid w:val="00A85AFB"/>
    <w:rsid w:val="00A85B7A"/>
    <w:rsid w:val="00A85B9C"/>
    <w:rsid w:val="00A85BD1"/>
    <w:rsid w:val="00A85D41"/>
    <w:rsid w:val="00A85E9D"/>
    <w:rsid w:val="00A861DD"/>
    <w:rsid w:val="00A86374"/>
    <w:rsid w:val="00A86382"/>
    <w:rsid w:val="00A864EB"/>
    <w:rsid w:val="00A86605"/>
    <w:rsid w:val="00A86B12"/>
    <w:rsid w:val="00A86B23"/>
    <w:rsid w:val="00A86D7E"/>
    <w:rsid w:val="00A872C8"/>
    <w:rsid w:val="00A87486"/>
    <w:rsid w:val="00A875BE"/>
    <w:rsid w:val="00A8769D"/>
    <w:rsid w:val="00A876D2"/>
    <w:rsid w:val="00A877DA"/>
    <w:rsid w:val="00A8792E"/>
    <w:rsid w:val="00A87A49"/>
    <w:rsid w:val="00A87C76"/>
    <w:rsid w:val="00A90052"/>
    <w:rsid w:val="00A9013E"/>
    <w:rsid w:val="00A90211"/>
    <w:rsid w:val="00A906B3"/>
    <w:rsid w:val="00A9085E"/>
    <w:rsid w:val="00A90A33"/>
    <w:rsid w:val="00A90A77"/>
    <w:rsid w:val="00A90A98"/>
    <w:rsid w:val="00A90C20"/>
    <w:rsid w:val="00A90C5B"/>
    <w:rsid w:val="00A90F6D"/>
    <w:rsid w:val="00A91153"/>
    <w:rsid w:val="00A9116F"/>
    <w:rsid w:val="00A912FF"/>
    <w:rsid w:val="00A913A4"/>
    <w:rsid w:val="00A914F6"/>
    <w:rsid w:val="00A91518"/>
    <w:rsid w:val="00A91534"/>
    <w:rsid w:val="00A9171A"/>
    <w:rsid w:val="00A91768"/>
    <w:rsid w:val="00A9178E"/>
    <w:rsid w:val="00A917B4"/>
    <w:rsid w:val="00A91D82"/>
    <w:rsid w:val="00A91E8A"/>
    <w:rsid w:val="00A91FF5"/>
    <w:rsid w:val="00A92090"/>
    <w:rsid w:val="00A92104"/>
    <w:rsid w:val="00A9228C"/>
    <w:rsid w:val="00A9233F"/>
    <w:rsid w:val="00A92403"/>
    <w:rsid w:val="00A9244F"/>
    <w:rsid w:val="00A925B4"/>
    <w:rsid w:val="00A9261D"/>
    <w:rsid w:val="00A929AE"/>
    <w:rsid w:val="00A92B31"/>
    <w:rsid w:val="00A92CDB"/>
    <w:rsid w:val="00A92DD2"/>
    <w:rsid w:val="00A92EE5"/>
    <w:rsid w:val="00A92F31"/>
    <w:rsid w:val="00A931FF"/>
    <w:rsid w:val="00A932A9"/>
    <w:rsid w:val="00A93604"/>
    <w:rsid w:val="00A9370E"/>
    <w:rsid w:val="00A93882"/>
    <w:rsid w:val="00A938BE"/>
    <w:rsid w:val="00A938D4"/>
    <w:rsid w:val="00A939CA"/>
    <w:rsid w:val="00A93BD0"/>
    <w:rsid w:val="00A93EDB"/>
    <w:rsid w:val="00A93F97"/>
    <w:rsid w:val="00A946FD"/>
    <w:rsid w:val="00A948CE"/>
    <w:rsid w:val="00A9498D"/>
    <w:rsid w:val="00A94A65"/>
    <w:rsid w:val="00A94BCE"/>
    <w:rsid w:val="00A94D18"/>
    <w:rsid w:val="00A94D61"/>
    <w:rsid w:val="00A950A4"/>
    <w:rsid w:val="00A950C4"/>
    <w:rsid w:val="00A9528E"/>
    <w:rsid w:val="00A952A0"/>
    <w:rsid w:val="00A952C6"/>
    <w:rsid w:val="00A95308"/>
    <w:rsid w:val="00A95524"/>
    <w:rsid w:val="00A955F8"/>
    <w:rsid w:val="00A959A3"/>
    <w:rsid w:val="00A95A47"/>
    <w:rsid w:val="00A95A66"/>
    <w:rsid w:val="00A95A68"/>
    <w:rsid w:val="00A95ABA"/>
    <w:rsid w:val="00A95ADF"/>
    <w:rsid w:val="00A95CCE"/>
    <w:rsid w:val="00A95D61"/>
    <w:rsid w:val="00A95D68"/>
    <w:rsid w:val="00A95E50"/>
    <w:rsid w:val="00A95EFC"/>
    <w:rsid w:val="00A95F84"/>
    <w:rsid w:val="00A95FAD"/>
    <w:rsid w:val="00A9622C"/>
    <w:rsid w:val="00A9624E"/>
    <w:rsid w:val="00A9630E"/>
    <w:rsid w:val="00A96FDE"/>
    <w:rsid w:val="00A970C3"/>
    <w:rsid w:val="00A973F7"/>
    <w:rsid w:val="00A97498"/>
    <w:rsid w:val="00A974ED"/>
    <w:rsid w:val="00A97529"/>
    <w:rsid w:val="00A9780D"/>
    <w:rsid w:val="00A979FF"/>
    <w:rsid w:val="00A97A26"/>
    <w:rsid w:val="00A97AE1"/>
    <w:rsid w:val="00A97BD1"/>
    <w:rsid w:val="00A97C9E"/>
    <w:rsid w:val="00AA00C9"/>
    <w:rsid w:val="00AA0167"/>
    <w:rsid w:val="00AA03E4"/>
    <w:rsid w:val="00AA054D"/>
    <w:rsid w:val="00AA05C2"/>
    <w:rsid w:val="00AA06A9"/>
    <w:rsid w:val="00AA09D1"/>
    <w:rsid w:val="00AA0BF7"/>
    <w:rsid w:val="00AA0E76"/>
    <w:rsid w:val="00AA0F39"/>
    <w:rsid w:val="00AA113D"/>
    <w:rsid w:val="00AA115A"/>
    <w:rsid w:val="00AA1A10"/>
    <w:rsid w:val="00AA1AC0"/>
    <w:rsid w:val="00AA1BD1"/>
    <w:rsid w:val="00AA1F73"/>
    <w:rsid w:val="00AA1F93"/>
    <w:rsid w:val="00AA2060"/>
    <w:rsid w:val="00AA2105"/>
    <w:rsid w:val="00AA24DF"/>
    <w:rsid w:val="00AA2518"/>
    <w:rsid w:val="00AA2533"/>
    <w:rsid w:val="00AA2646"/>
    <w:rsid w:val="00AA279E"/>
    <w:rsid w:val="00AA2A3C"/>
    <w:rsid w:val="00AA2AEE"/>
    <w:rsid w:val="00AA2DA3"/>
    <w:rsid w:val="00AA2F33"/>
    <w:rsid w:val="00AA3060"/>
    <w:rsid w:val="00AA37B2"/>
    <w:rsid w:val="00AA388F"/>
    <w:rsid w:val="00AA3BD1"/>
    <w:rsid w:val="00AA3C2B"/>
    <w:rsid w:val="00AA3CB8"/>
    <w:rsid w:val="00AA3EE1"/>
    <w:rsid w:val="00AA3F7B"/>
    <w:rsid w:val="00AA409D"/>
    <w:rsid w:val="00AA4123"/>
    <w:rsid w:val="00AA427D"/>
    <w:rsid w:val="00AA4286"/>
    <w:rsid w:val="00AA4490"/>
    <w:rsid w:val="00AA44F7"/>
    <w:rsid w:val="00AA468A"/>
    <w:rsid w:val="00AA470D"/>
    <w:rsid w:val="00AA47D2"/>
    <w:rsid w:val="00AA486C"/>
    <w:rsid w:val="00AA48DD"/>
    <w:rsid w:val="00AA4B8F"/>
    <w:rsid w:val="00AA4DAD"/>
    <w:rsid w:val="00AA4E66"/>
    <w:rsid w:val="00AA522C"/>
    <w:rsid w:val="00AA5341"/>
    <w:rsid w:val="00AA547D"/>
    <w:rsid w:val="00AA5495"/>
    <w:rsid w:val="00AA55A0"/>
    <w:rsid w:val="00AA58C9"/>
    <w:rsid w:val="00AA58D8"/>
    <w:rsid w:val="00AA5933"/>
    <w:rsid w:val="00AA5A18"/>
    <w:rsid w:val="00AA5A5E"/>
    <w:rsid w:val="00AA5B1C"/>
    <w:rsid w:val="00AA5E2F"/>
    <w:rsid w:val="00AA5F7F"/>
    <w:rsid w:val="00AA6381"/>
    <w:rsid w:val="00AA640C"/>
    <w:rsid w:val="00AA6567"/>
    <w:rsid w:val="00AA65C6"/>
    <w:rsid w:val="00AA66BF"/>
    <w:rsid w:val="00AA6A4E"/>
    <w:rsid w:val="00AA6A6A"/>
    <w:rsid w:val="00AA6A78"/>
    <w:rsid w:val="00AA6B15"/>
    <w:rsid w:val="00AA6D3F"/>
    <w:rsid w:val="00AA6DFE"/>
    <w:rsid w:val="00AA6F7B"/>
    <w:rsid w:val="00AA710B"/>
    <w:rsid w:val="00AA725C"/>
    <w:rsid w:val="00AA72E6"/>
    <w:rsid w:val="00AA764B"/>
    <w:rsid w:val="00AA766A"/>
    <w:rsid w:val="00AA7687"/>
    <w:rsid w:val="00AA7839"/>
    <w:rsid w:val="00AA783A"/>
    <w:rsid w:val="00AA787F"/>
    <w:rsid w:val="00AA78BA"/>
    <w:rsid w:val="00AA78CD"/>
    <w:rsid w:val="00AA7A49"/>
    <w:rsid w:val="00AA7B41"/>
    <w:rsid w:val="00AA7B45"/>
    <w:rsid w:val="00AA7B8F"/>
    <w:rsid w:val="00AA7DD4"/>
    <w:rsid w:val="00AA7EA5"/>
    <w:rsid w:val="00AB00A0"/>
    <w:rsid w:val="00AB0281"/>
    <w:rsid w:val="00AB03A4"/>
    <w:rsid w:val="00AB04D6"/>
    <w:rsid w:val="00AB055F"/>
    <w:rsid w:val="00AB0593"/>
    <w:rsid w:val="00AB0597"/>
    <w:rsid w:val="00AB05A5"/>
    <w:rsid w:val="00AB0690"/>
    <w:rsid w:val="00AB0751"/>
    <w:rsid w:val="00AB08C5"/>
    <w:rsid w:val="00AB08EE"/>
    <w:rsid w:val="00AB0AA2"/>
    <w:rsid w:val="00AB0CE1"/>
    <w:rsid w:val="00AB0D31"/>
    <w:rsid w:val="00AB0DA4"/>
    <w:rsid w:val="00AB1043"/>
    <w:rsid w:val="00AB1075"/>
    <w:rsid w:val="00AB129D"/>
    <w:rsid w:val="00AB1376"/>
    <w:rsid w:val="00AB154D"/>
    <w:rsid w:val="00AB15FF"/>
    <w:rsid w:val="00AB173A"/>
    <w:rsid w:val="00AB1829"/>
    <w:rsid w:val="00AB188C"/>
    <w:rsid w:val="00AB193D"/>
    <w:rsid w:val="00AB1CB3"/>
    <w:rsid w:val="00AB20B5"/>
    <w:rsid w:val="00AB220D"/>
    <w:rsid w:val="00AB221D"/>
    <w:rsid w:val="00AB22E0"/>
    <w:rsid w:val="00AB2518"/>
    <w:rsid w:val="00AB26C5"/>
    <w:rsid w:val="00AB2721"/>
    <w:rsid w:val="00AB286E"/>
    <w:rsid w:val="00AB2AFB"/>
    <w:rsid w:val="00AB2B3F"/>
    <w:rsid w:val="00AB2D01"/>
    <w:rsid w:val="00AB2DD7"/>
    <w:rsid w:val="00AB3277"/>
    <w:rsid w:val="00AB3309"/>
    <w:rsid w:val="00AB347F"/>
    <w:rsid w:val="00AB3967"/>
    <w:rsid w:val="00AB3987"/>
    <w:rsid w:val="00AB3B10"/>
    <w:rsid w:val="00AB3BB3"/>
    <w:rsid w:val="00AB3CFA"/>
    <w:rsid w:val="00AB3D0E"/>
    <w:rsid w:val="00AB3D3A"/>
    <w:rsid w:val="00AB3DA8"/>
    <w:rsid w:val="00AB402D"/>
    <w:rsid w:val="00AB41CB"/>
    <w:rsid w:val="00AB433D"/>
    <w:rsid w:val="00AB4365"/>
    <w:rsid w:val="00AB44F2"/>
    <w:rsid w:val="00AB4599"/>
    <w:rsid w:val="00AB45AF"/>
    <w:rsid w:val="00AB4684"/>
    <w:rsid w:val="00AB493E"/>
    <w:rsid w:val="00AB4964"/>
    <w:rsid w:val="00AB4BC0"/>
    <w:rsid w:val="00AB4DAD"/>
    <w:rsid w:val="00AB4E47"/>
    <w:rsid w:val="00AB522E"/>
    <w:rsid w:val="00AB5259"/>
    <w:rsid w:val="00AB533C"/>
    <w:rsid w:val="00AB5499"/>
    <w:rsid w:val="00AB55DE"/>
    <w:rsid w:val="00AB56CA"/>
    <w:rsid w:val="00AB5779"/>
    <w:rsid w:val="00AB580A"/>
    <w:rsid w:val="00AB588A"/>
    <w:rsid w:val="00AB58D4"/>
    <w:rsid w:val="00AB5B57"/>
    <w:rsid w:val="00AB5C75"/>
    <w:rsid w:val="00AB5E06"/>
    <w:rsid w:val="00AB64C9"/>
    <w:rsid w:val="00AB65BF"/>
    <w:rsid w:val="00AB67FE"/>
    <w:rsid w:val="00AB69B2"/>
    <w:rsid w:val="00AB6A52"/>
    <w:rsid w:val="00AB6B85"/>
    <w:rsid w:val="00AB6CC0"/>
    <w:rsid w:val="00AB6FB9"/>
    <w:rsid w:val="00AB71B6"/>
    <w:rsid w:val="00AB731F"/>
    <w:rsid w:val="00AB73BD"/>
    <w:rsid w:val="00AB7446"/>
    <w:rsid w:val="00AB7484"/>
    <w:rsid w:val="00AB750A"/>
    <w:rsid w:val="00AB76C5"/>
    <w:rsid w:val="00AB76DC"/>
    <w:rsid w:val="00AB77D1"/>
    <w:rsid w:val="00AB79E9"/>
    <w:rsid w:val="00AB7C08"/>
    <w:rsid w:val="00AB7C46"/>
    <w:rsid w:val="00AB7EEE"/>
    <w:rsid w:val="00AC00E9"/>
    <w:rsid w:val="00AC00F1"/>
    <w:rsid w:val="00AC0196"/>
    <w:rsid w:val="00AC01EB"/>
    <w:rsid w:val="00AC025F"/>
    <w:rsid w:val="00AC0410"/>
    <w:rsid w:val="00AC04A4"/>
    <w:rsid w:val="00AC073E"/>
    <w:rsid w:val="00AC0AE7"/>
    <w:rsid w:val="00AC0C24"/>
    <w:rsid w:val="00AC0C40"/>
    <w:rsid w:val="00AC0D39"/>
    <w:rsid w:val="00AC0E8B"/>
    <w:rsid w:val="00AC0FD5"/>
    <w:rsid w:val="00AC103A"/>
    <w:rsid w:val="00AC1098"/>
    <w:rsid w:val="00AC12A1"/>
    <w:rsid w:val="00AC163E"/>
    <w:rsid w:val="00AC1695"/>
    <w:rsid w:val="00AC16CC"/>
    <w:rsid w:val="00AC1B57"/>
    <w:rsid w:val="00AC1BC8"/>
    <w:rsid w:val="00AC1CA8"/>
    <w:rsid w:val="00AC1CDA"/>
    <w:rsid w:val="00AC1D4D"/>
    <w:rsid w:val="00AC1D8F"/>
    <w:rsid w:val="00AC1E14"/>
    <w:rsid w:val="00AC2341"/>
    <w:rsid w:val="00AC256F"/>
    <w:rsid w:val="00AC2987"/>
    <w:rsid w:val="00AC2A1B"/>
    <w:rsid w:val="00AC2AF9"/>
    <w:rsid w:val="00AC2B46"/>
    <w:rsid w:val="00AC2B61"/>
    <w:rsid w:val="00AC2BE9"/>
    <w:rsid w:val="00AC2CE2"/>
    <w:rsid w:val="00AC33B0"/>
    <w:rsid w:val="00AC3524"/>
    <w:rsid w:val="00AC35D6"/>
    <w:rsid w:val="00AC37BC"/>
    <w:rsid w:val="00AC381D"/>
    <w:rsid w:val="00AC3950"/>
    <w:rsid w:val="00AC398A"/>
    <w:rsid w:val="00AC3C1F"/>
    <w:rsid w:val="00AC3CF6"/>
    <w:rsid w:val="00AC3EC2"/>
    <w:rsid w:val="00AC4154"/>
    <w:rsid w:val="00AC41F5"/>
    <w:rsid w:val="00AC42C6"/>
    <w:rsid w:val="00AC42DF"/>
    <w:rsid w:val="00AC43FC"/>
    <w:rsid w:val="00AC4469"/>
    <w:rsid w:val="00AC49D6"/>
    <w:rsid w:val="00AC4B3B"/>
    <w:rsid w:val="00AC4B65"/>
    <w:rsid w:val="00AC4BC1"/>
    <w:rsid w:val="00AC4C90"/>
    <w:rsid w:val="00AC4CF0"/>
    <w:rsid w:val="00AC4FD2"/>
    <w:rsid w:val="00AC5047"/>
    <w:rsid w:val="00AC5353"/>
    <w:rsid w:val="00AC5521"/>
    <w:rsid w:val="00AC557A"/>
    <w:rsid w:val="00AC5586"/>
    <w:rsid w:val="00AC56C2"/>
    <w:rsid w:val="00AC58C2"/>
    <w:rsid w:val="00AC5900"/>
    <w:rsid w:val="00AC5C0E"/>
    <w:rsid w:val="00AC5EBB"/>
    <w:rsid w:val="00AC5F95"/>
    <w:rsid w:val="00AC60C1"/>
    <w:rsid w:val="00AC61A5"/>
    <w:rsid w:val="00AC61D5"/>
    <w:rsid w:val="00AC620D"/>
    <w:rsid w:val="00AC62FF"/>
    <w:rsid w:val="00AC630D"/>
    <w:rsid w:val="00AC63DE"/>
    <w:rsid w:val="00AC64EC"/>
    <w:rsid w:val="00AC6543"/>
    <w:rsid w:val="00AC658A"/>
    <w:rsid w:val="00AC66BC"/>
    <w:rsid w:val="00AC66EB"/>
    <w:rsid w:val="00AC677E"/>
    <w:rsid w:val="00AC6885"/>
    <w:rsid w:val="00AC6A84"/>
    <w:rsid w:val="00AC6B9F"/>
    <w:rsid w:val="00AC6CEE"/>
    <w:rsid w:val="00AC6E34"/>
    <w:rsid w:val="00AC70F0"/>
    <w:rsid w:val="00AC7216"/>
    <w:rsid w:val="00AC72BD"/>
    <w:rsid w:val="00AC7601"/>
    <w:rsid w:val="00AC7640"/>
    <w:rsid w:val="00AC7683"/>
    <w:rsid w:val="00AC775B"/>
    <w:rsid w:val="00AC7775"/>
    <w:rsid w:val="00AC779E"/>
    <w:rsid w:val="00AC77D7"/>
    <w:rsid w:val="00AC7A42"/>
    <w:rsid w:val="00AC7D1D"/>
    <w:rsid w:val="00AC7D60"/>
    <w:rsid w:val="00AC7DFC"/>
    <w:rsid w:val="00AC7F60"/>
    <w:rsid w:val="00AC7FF2"/>
    <w:rsid w:val="00AD0087"/>
    <w:rsid w:val="00AD0140"/>
    <w:rsid w:val="00AD0240"/>
    <w:rsid w:val="00AD03A7"/>
    <w:rsid w:val="00AD0593"/>
    <w:rsid w:val="00AD0671"/>
    <w:rsid w:val="00AD095D"/>
    <w:rsid w:val="00AD0B57"/>
    <w:rsid w:val="00AD0D5A"/>
    <w:rsid w:val="00AD0DEA"/>
    <w:rsid w:val="00AD0E71"/>
    <w:rsid w:val="00AD0F0A"/>
    <w:rsid w:val="00AD103F"/>
    <w:rsid w:val="00AD1074"/>
    <w:rsid w:val="00AD1148"/>
    <w:rsid w:val="00AD1165"/>
    <w:rsid w:val="00AD13E3"/>
    <w:rsid w:val="00AD17D4"/>
    <w:rsid w:val="00AD19B2"/>
    <w:rsid w:val="00AD19FD"/>
    <w:rsid w:val="00AD1AED"/>
    <w:rsid w:val="00AD1C7E"/>
    <w:rsid w:val="00AD1DA8"/>
    <w:rsid w:val="00AD20B1"/>
    <w:rsid w:val="00AD2306"/>
    <w:rsid w:val="00AD253B"/>
    <w:rsid w:val="00AD2719"/>
    <w:rsid w:val="00AD2808"/>
    <w:rsid w:val="00AD28C5"/>
    <w:rsid w:val="00AD290E"/>
    <w:rsid w:val="00AD2A45"/>
    <w:rsid w:val="00AD2ADB"/>
    <w:rsid w:val="00AD2B12"/>
    <w:rsid w:val="00AD2C98"/>
    <w:rsid w:val="00AD2D7C"/>
    <w:rsid w:val="00AD2DF6"/>
    <w:rsid w:val="00AD2F48"/>
    <w:rsid w:val="00AD333D"/>
    <w:rsid w:val="00AD3432"/>
    <w:rsid w:val="00AD344D"/>
    <w:rsid w:val="00AD3764"/>
    <w:rsid w:val="00AD37AC"/>
    <w:rsid w:val="00AD37CA"/>
    <w:rsid w:val="00AD3920"/>
    <w:rsid w:val="00AD3964"/>
    <w:rsid w:val="00AD3A72"/>
    <w:rsid w:val="00AD3D35"/>
    <w:rsid w:val="00AD3D85"/>
    <w:rsid w:val="00AD3FB3"/>
    <w:rsid w:val="00AD40A5"/>
    <w:rsid w:val="00AD43C4"/>
    <w:rsid w:val="00AD46C0"/>
    <w:rsid w:val="00AD4821"/>
    <w:rsid w:val="00AD4A52"/>
    <w:rsid w:val="00AD4B2A"/>
    <w:rsid w:val="00AD4B9A"/>
    <w:rsid w:val="00AD4BE8"/>
    <w:rsid w:val="00AD4DAB"/>
    <w:rsid w:val="00AD4DED"/>
    <w:rsid w:val="00AD4F8C"/>
    <w:rsid w:val="00AD5175"/>
    <w:rsid w:val="00AD5244"/>
    <w:rsid w:val="00AD5577"/>
    <w:rsid w:val="00AD56C3"/>
    <w:rsid w:val="00AD5819"/>
    <w:rsid w:val="00AD594D"/>
    <w:rsid w:val="00AD5A98"/>
    <w:rsid w:val="00AD5C3C"/>
    <w:rsid w:val="00AD5C61"/>
    <w:rsid w:val="00AD6165"/>
    <w:rsid w:val="00AD61CF"/>
    <w:rsid w:val="00AD6385"/>
    <w:rsid w:val="00AD675C"/>
    <w:rsid w:val="00AD683A"/>
    <w:rsid w:val="00AD6AE1"/>
    <w:rsid w:val="00AD6F7D"/>
    <w:rsid w:val="00AD7007"/>
    <w:rsid w:val="00AD74D7"/>
    <w:rsid w:val="00AD75B9"/>
    <w:rsid w:val="00AD7603"/>
    <w:rsid w:val="00AD763A"/>
    <w:rsid w:val="00AD7681"/>
    <w:rsid w:val="00AD7BDE"/>
    <w:rsid w:val="00AD7C1F"/>
    <w:rsid w:val="00AD7CAE"/>
    <w:rsid w:val="00AD7E2D"/>
    <w:rsid w:val="00AD7E7F"/>
    <w:rsid w:val="00AD7F40"/>
    <w:rsid w:val="00AD7FB8"/>
    <w:rsid w:val="00AE017E"/>
    <w:rsid w:val="00AE040A"/>
    <w:rsid w:val="00AE04B0"/>
    <w:rsid w:val="00AE0502"/>
    <w:rsid w:val="00AE0610"/>
    <w:rsid w:val="00AE0697"/>
    <w:rsid w:val="00AE0806"/>
    <w:rsid w:val="00AE08E0"/>
    <w:rsid w:val="00AE099C"/>
    <w:rsid w:val="00AE09C7"/>
    <w:rsid w:val="00AE09E2"/>
    <w:rsid w:val="00AE0C52"/>
    <w:rsid w:val="00AE0E21"/>
    <w:rsid w:val="00AE12E6"/>
    <w:rsid w:val="00AE1467"/>
    <w:rsid w:val="00AE14AB"/>
    <w:rsid w:val="00AE15C8"/>
    <w:rsid w:val="00AE1759"/>
    <w:rsid w:val="00AE1825"/>
    <w:rsid w:val="00AE18B6"/>
    <w:rsid w:val="00AE1965"/>
    <w:rsid w:val="00AE1B71"/>
    <w:rsid w:val="00AE1E55"/>
    <w:rsid w:val="00AE1EFF"/>
    <w:rsid w:val="00AE2018"/>
    <w:rsid w:val="00AE208B"/>
    <w:rsid w:val="00AE20CD"/>
    <w:rsid w:val="00AE2369"/>
    <w:rsid w:val="00AE239E"/>
    <w:rsid w:val="00AE23AF"/>
    <w:rsid w:val="00AE2485"/>
    <w:rsid w:val="00AE263F"/>
    <w:rsid w:val="00AE2930"/>
    <w:rsid w:val="00AE2B0A"/>
    <w:rsid w:val="00AE2B6D"/>
    <w:rsid w:val="00AE2BFD"/>
    <w:rsid w:val="00AE2C0C"/>
    <w:rsid w:val="00AE2E2A"/>
    <w:rsid w:val="00AE2EA7"/>
    <w:rsid w:val="00AE306A"/>
    <w:rsid w:val="00AE3115"/>
    <w:rsid w:val="00AE3264"/>
    <w:rsid w:val="00AE33A9"/>
    <w:rsid w:val="00AE3567"/>
    <w:rsid w:val="00AE389F"/>
    <w:rsid w:val="00AE392F"/>
    <w:rsid w:val="00AE3A1F"/>
    <w:rsid w:val="00AE3B9D"/>
    <w:rsid w:val="00AE3BC6"/>
    <w:rsid w:val="00AE3D56"/>
    <w:rsid w:val="00AE3F01"/>
    <w:rsid w:val="00AE4027"/>
    <w:rsid w:val="00AE4171"/>
    <w:rsid w:val="00AE418F"/>
    <w:rsid w:val="00AE4264"/>
    <w:rsid w:val="00AE4359"/>
    <w:rsid w:val="00AE4509"/>
    <w:rsid w:val="00AE45B4"/>
    <w:rsid w:val="00AE45F7"/>
    <w:rsid w:val="00AE4A3C"/>
    <w:rsid w:val="00AE4A4E"/>
    <w:rsid w:val="00AE4B19"/>
    <w:rsid w:val="00AE4C46"/>
    <w:rsid w:val="00AE51AC"/>
    <w:rsid w:val="00AE5223"/>
    <w:rsid w:val="00AE5232"/>
    <w:rsid w:val="00AE54C2"/>
    <w:rsid w:val="00AE5A2E"/>
    <w:rsid w:val="00AE5B14"/>
    <w:rsid w:val="00AE5CAE"/>
    <w:rsid w:val="00AE5F8A"/>
    <w:rsid w:val="00AE6003"/>
    <w:rsid w:val="00AE60CC"/>
    <w:rsid w:val="00AE60E5"/>
    <w:rsid w:val="00AE60F3"/>
    <w:rsid w:val="00AE6125"/>
    <w:rsid w:val="00AE6345"/>
    <w:rsid w:val="00AE63AB"/>
    <w:rsid w:val="00AE6423"/>
    <w:rsid w:val="00AE645D"/>
    <w:rsid w:val="00AE685C"/>
    <w:rsid w:val="00AE6A5A"/>
    <w:rsid w:val="00AE6B1B"/>
    <w:rsid w:val="00AE6BD3"/>
    <w:rsid w:val="00AE6D00"/>
    <w:rsid w:val="00AE7226"/>
    <w:rsid w:val="00AE7256"/>
    <w:rsid w:val="00AE7318"/>
    <w:rsid w:val="00AE74C7"/>
    <w:rsid w:val="00AE778A"/>
    <w:rsid w:val="00AE7822"/>
    <w:rsid w:val="00AE7849"/>
    <w:rsid w:val="00AE7EF4"/>
    <w:rsid w:val="00AF0048"/>
    <w:rsid w:val="00AF004C"/>
    <w:rsid w:val="00AF01BD"/>
    <w:rsid w:val="00AF021F"/>
    <w:rsid w:val="00AF022A"/>
    <w:rsid w:val="00AF0379"/>
    <w:rsid w:val="00AF0532"/>
    <w:rsid w:val="00AF05D9"/>
    <w:rsid w:val="00AF0650"/>
    <w:rsid w:val="00AF0862"/>
    <w:rsid w:val="00AF0C75"/>
    <w:rsid w:val="00AF0C97"/>
    <w:rsid w:val="00AF0D1E"/>
    <w:rsid w:val="00AF0DA5"/>
    <w:rsid w:val="00AF0EC7"/>
    <w:rsid w:val="00AF104F"/>
    <w:rsid w:val="00AF1380"/>
    <w:rsid w:val="00AF14F7"/>
    <w:rsid w:val="00AF1543"/>
    <w:rsid w:val="00AF19E4"/>
    <w:rsid w:val="00AF1C3A"/>
    <w:rsid w:val="00AF1D63"/>
    <w:rsid w:val="00AF1DFA"/>
    <w:rsid w:val="00AF1E71"/>
    <w:rsid w:val="00AF1EF7"/>
    <w:rsid w:val="00AF1F71"/>
    <w:rsid w:val="00AF2001"/>
    <w:rsid w:val="00AF2005"/>
    <w:rsid w:val="00AF20DF"/>
    <w:rsid w:val="00AF23C1"/>
    <w:rsid w:val="00AF240B"/>
    <w:rsid w:val="00AF27AA"/>
    <w:rsid w:val="00AF27BF"/>
    <w:rsid w:val="00AF27EE"/>
    <w:rsid w:val="00AF287B"/>
    <w:rsid w:val="00AF2A0B"/>
    <w:rsid w:val="00AF2AD1"/>
    <w:rsid w:val="00AF2D82"/>
    <w:rsid w:val="00AF2D99"/>
    <w:rsid w:val="00AF2E2D"/>
    <w:rsid w:val="00AF2F3A"/>
    <w:rsid w:val="00AF2FF4"/>
    <w:rsid w:val="00AF3026"/>
    <w:rsid w:val="00AF30A2"/>
    <w:rsid w:val="00AF35DB"/>
    <w:rsid w:val="00AF374B"/>
    <w:rsid w:val="00AF38C3"/>
    <w:rsid w:val="00AF392A"/>
    <w:rsid w:val="00AF3B6D"/>
    <w:rsid w:val="00AF3BD4"/>
    <w:rsid w:val="00AF3CF4"/>
    <w:rsid w:val="00AF3D2B"/>
    <w:rsid w:val="00AF3E55"/>
    <w:rsid w:val="00AF3EC4"/>
    <w:rsid w:val="00AF3F84"/>
    <w:rsid w:val="00AF4031"/>
    <w:rsid w:val="00AF40A5"/>
    <w:rsid w:val="00AF429A"/>
    <w:rsid w:val="00AF42C7"/>
    <w:rsid w:val="00AF4465"/>
    <w:rsid w:val="00AF44E1"/>
    <w:rsid w:val="00AF45D9"/>
    <w:rsid w:val="00AF481F"/>
    <w:rsid w:val="00AF48E2"/>
    <w:rsid w:val="00AF4959"/>
    <w:rsid w:val="00AF4A1B"/>
    <w:rsid w:val="00AF4AB0"/>
    <w:rsid w:val="00AF4B72"/>
    <w:rsid w:val="00AF4C66"/>
    <w:rsid w:val="00AF4D36"/>
    <w:rsid w:val="00AF4E61"/>
    <w:rsid w:val="00AF51A2"/>
    <w:rsid w:val="00AF5359"/>
    <w:rsid w:val="00AF5363"/>
    <w:rsid w:val="00AF53DA"/>
    <w:rsid w:val="00AF5719"/>
    <w:rsid w:val="00AF5767"/>
    <w:rsid w:val="00AF576D"/>
    <w:rsid w:val="00AF5832"/>
    <w:rsid w:val="00AF585A"/>
    <w:rsid w:val="00AF5ABE"/>
    <w:rsid w:val="00AF5B88"/>
    <w:rsid w:val="00AF5C81"/>
    <w:rsid w:val="00AF5F7A"/>
    <w:rsid w:val="00AF63CA"/>
    <w:rsid w:val="00AF6420"/>
    <w:rsid w:val="00AF65D0"/>
    <w:rsid w:val="00AF672A"/>
    <w:rsid w:val="00AF677E"/>
    <w:rsid w:val="00AF6852"/>
    <w:rsid w:val="00AF68E6"/>
    <w:rsid w:val="00AF6A6A"/>
    <w:rsid w:val="00AF6B69"/>
    <w:rsid w:val="00AF6D6E"/>
    <w:rsid w:val="00AF6E34"/>
    <w:rsid w:val="00AF6E5C"/>
    <w:rsid w:val="00AF6ED3"/>
    <w:rsid w:val="00AF6ED6"/>
    <w:rsid w:val="00AF70CB"/>
    <w:rsid w:val="00AF70DE"/>
    <w:rsid w:val="00AF7478"/>
    <w:rsid w:val="00AF7606"/>
    <w:rsid w:val="00AF7767"/>
    <w:rsid w:val="00AF7867"/>
    <w:rsid w:val="00AF78B9"/>
    <w:rsid w:val="00AF78CB"/>
    <w:rsid w:val="00AF7AAF"/>
    <w:rsid w:val="00AF7BFF"/>
    <w:rsid w:val="00AF7E29"/>
    <w:rsid w:val="00B003B8"/>
    <w:rsid w:val="00B003C8"/>
    <w:rsid w:val="00B004A7"/>
    <w:rsid w:val="00B0058E"/>
    <w:rsid w:val="00B006B7"/>
    <w:rsid w:val="00B00712"/>
    <w:rsid w:val="00B0075E"/>
    <w:rsid w:val="00B008AF"/>
    <w:rsid w:val="00B00A68"/>
    <w:rsid w:val="00B00AF0"/>
    <w:rsid w:val="00B010DB"/>
    <w:rsid w:val="00B0123A"/>
    <w:rsid w:val="00B01246"/>
    <w:rsid w:val="00B012DC"/>
    <w:rsid w:val="00B012DF"/>
    <w:rsid w:val="00B013AE"/>
    <w:rsid w:val="00B01408"/>
    <w:rsid w:val="00B0144A"/>
    <w:rsid w:val="00B01508"/>
    <w:rsid w:val="00B0162D"/>
    <w:rsid w:val="00B01659"/>
    <w:rsid w:val="00B01665"/>
    <w:rsid w:val="00B016B4"/>
    <w:rsid w:val="00B016E1"/>
    <w:rsid w:val="00B0175A"/>
    <w:rsid w:val="00B018CB"/>
    <w:rsid w:val="00B01CB9"/>
    <w:rsid w:val="00B01E12"/>
    <w:rsid w:val="00B02177"/>
    <w:rsid w:val="00B021A3"/>
    <w:rsid w:val="00B021CD"/>
    <w:rsid w:val="00B02399"/>
    <w:rsid w:val="00B02582"/>
    <w:rsid w:val="00B02645"/>
    <w:rsid w:val="00B027D7"/>
    <w:rsid w:val="00B028D8"/>
    <w:rsid w:val="00B028FB"/>
    <w:rsid w:val="00B029A1"/>
    <w:rsid w:val="00B02BA8"/>
    <w:rsid w:val="00B02CE1"/>
    <w:rsid w:val="00B02D19"/>
    <w:rsid w:val="00B02E12"/>
    <w:rsid w:val="00B02F50"/>
    <w:rsid w:val="00B032E5"/>
    <w:rsid w:val="00B03333"/>
    <w:rsid w:val="00B036AE"/>
    <w:rsid w:val="00B03748"/>
    <w:rsid w:val="00B038E5"/>
    <w:rsid w:val="00B03E89"/>
    <w:rsid w:val="00B03F1E"/>
    <w:rsid w:val="00B03F8D"/>
    <w:rsid w:val="00B03FD8"/>
    <w:rsid w:val="00B04093"/>
    <w:rsid w:val="00B04278"/>
    <w:rsid w:val="00B045E0"/>
    <w:rsid w:val="00B04843"/>
    <w:rsid w:val="00B04B5E"/>
    <w:rsid w:val="00B04BF2"/>
    <w:rsid w:val="00B04CFF"/>
    <w:rsid w:val="00B04EA0"/>
    <w:rsid w:val="00B0503D"/>
    <w:rsid w:val="00B05073"/>
    <w:rsid w:val="00B051B1"/>
    <w:rsid w:val="00B0524D"/>
    <w:rsid w:val="00B0526E"/>
    <w:rsid w:val="00B05377"/>
    <w:rsid w:val="00B054B8"/>
    <w:rsid w:val="00B05813"/>
    <w:rsid w:val="00B059AA"/>
    <w:rsid w:val="00B05C90"/>
    <w:rsid w:val="00B05E0A"/>
    <w:rsid w:val="00B05E75"/>
    <w:rsid w:val="00B05F24"/>
    <w:rsid w:val="00B05FC2"/>
    <w:rsid w:val="00B06072"/>
    <w:rsid w:val="00B060EA"/>
    <w:rsid w:val="00B0651C"/>
    <w:rsid w:val="00B0660A"/>
    <w:rsid w:val="00B066C7"/>
    <w:rsid w:val="00B069AA"/>
    <w:rsid w:val="00B06C1A"/>
    <w:rsid w:val="00B06C43"/>
    <w:rsid w:val="00B06E53"/>
    <w:rsid w:val="00B06E67"/>
    <w:rsid w:val="00B06F09"/>
    <w:rsid w:val="00B07119"/>
    <w:rsid w:val="00B071AB"/>
    <w:rsid w:val="00B07327"/>
    <w:rsid w:val="00B07341"/>
    <w:rsid w:val="00B076FB"/>
    <w:rsid w:val="00B0775B"/>
    <w:rsid w:val="00B078D3"/>
    <w:rsid w:val="00B079D7"/>
    <w:rsid w:val="00B07A4A"/>
    <w:rsid w:val="00B07A9C"/>
    <w:rsid w:val="00B07B39"/>
    <w:rsid w:val="00B07D9B"/>
    <w:rsid w:val="00B07EAA"/>
    <w:rsid w:val="00B10031"/>
    <w:rsid w:val="00B100D8"/>
    <w:rsid w:val="00B1011A"/>
    <w:rsid w:val="00B105A6"/>
    <w:rsid w:val="00B10755"/>
    <w:rsid w:val="00B107DE"/>
    <w:rsid w:val="00B10A32"/>
    <w:rsid w:val="00B10C0F"/>
    <w:rsid w:val="00B10C87"/>
    <w:rsid w:val="00B10E43"/>
    <w:rsid w:val="00B111A8"/>
    <w:rsid w:val="00B111CF"/>
    <w:rsid w:val="00B11348"/>
    <w:rsid w:val="00B113BB"/>
    <w:rsid w:val="00B115D9"/>
    <w:rsid w:val="00B11617"/>
    <w:rsid w:val="00B1165A"/>
    <w:rsid w:val="00B1172C"/>
    <w:rsid w:val="00B11774"/>
    <w:rsid w:val="00B11798"/>
    <w:rsid w:val="00B117E6"/>
    <w:rsid w:val="00B11B15"/>
    <w:rsid w:val="00B11C68"/>
    <w:rsid w:val="00B11FE9"/>
    <w:rsid w:val="00B12157"/>
    <w:rsid w:val="00B121A7"/>
    <w:rsid w:val="00B121B4"/>
    <w:rsid w:val="00B12288"/>
    <w:rsid w:val="00B122B6"/>
    <w:rsid w:val="00B12945"/>
    <w:rsid w:val="00B129B3"/>
    <w:rsid w:val="00B12A40"/>
    <w:rsid w:val="00B12BED"/>
    <w:rsid w:val="00B12FF9"/>
    <w:rsid w:val="00B1325F"/>
    <w:rsid w:val="00B13278"/>
    <w:rsid w:val="00B1345D"/>
    <w:rsid w:val="00B138E1"/>
    <w:rsid w:val="00B13A2D"/>
    <w:rsid w:val="00B13B2C"/>
    <w:rsid w:val="00B13B94"/>
    <w:rsid w:val="00B13BAA"/>
    <w:rsid w:val="00B13CC0"/>
    <w:rsid w:val="00B13CC1"/>
    <w:rsid w:val="00B13D7B"/>
    <w:rsid w:val="00B13F36"/>
    <w:rsid w:val="00B13FD6"/>
    <w:rsid w:val="00B13FFB"/>
    <w:rsid w:val="00B14391"/>
    <w:rsid w:val="00B143CA"/>
    <w:rsid w:val="00B14444"/>
    <w:rsid w:val="00B1447B"/>
    <w:rsid w:val="00B1451C"/>
    <w:rsid w:val="00B14526"/>
    <w:rsid w:val="00B145D0"/>
    <w:rsid w:val="00B14753"/>
    <w:rsid w:val="00B14845"/>
    <w:rsid w:val="00B14924"/>
    <w:rsid w:val="00B14AF8"/>
    <w:rsid w:val="00B14C74"/>
    <w:rsid w:val="00B14EB1"/>
    <w:rsid w:val="00B150C3"/>
    <w:rsid w:val="00B153F5"/>
    <w:rsid w:val="00B1540F"/>
    <w:rsid w:val="00B154DD"/>
    <w:rsid w:val="00B15757"/>
    <w:rsid w:val="00B1599B"/>
    <w:rsid w:val="00B15A85"/>
    <w:rsid w:val="00B15B13"/>
    <w:rsid w:val="00B15CAB"/>
    <w:rsid w:val="00B15F5C"/>
    <w:rsid w:val="00B15FA7"/>
    <w:rsid w:val="00B16057"/>
    <w:rsid w:val="00B1609B"/>
    <w:rsid w:val="00B1615B"/>
    <w:rsid w:val="00B1629D"/>
    <w:rsid w:val="00B1640B"/>
    <w:rsid w:val="00B16486"/>
    <w:rsid w:val="00B164A7"/>
    <w:rsid w:val="00B16808"/>
    <w:rsid w:val="00B168E6"/>
    <w:rsid w:val="00B1693E"/>
    <w:rsid w:val="00B16A74"/>
    <w:rsid w:val="00B16AF3"/>
    <w:rsid w:val="00B16B9B"/>
    <w:rsid w:val="00B16BE5"/>
    <w:rsid w:val="00B16D65"/>
    <w:rsid w:val="00B170D0"/>
    <w:rsid w:val="00B17404"/>
    <w:rsid w:val="00B1748A"/>
    <w:rsid w:val="00B17748"/>
    <w:rsid w:val="00B178AC"/>
    <w:rsid w:val="00B178E2"/>
    <w:rsid w:val="00B17B24"/>
    <w:rsid w:val="00B17C40"/>
    <w:rsid w:val="00B17DB5"/>
    <w:rsid w:val="00B17E2E"/>
    <w:rsid w:val="00B17F2D"/>
    <w:rsid w:val="00B17F66"/>
    <w:rsid w:val="00B17FBF"/>
    <w:rsid w:val="00B201E0"/>
    <w:rsid w:val="00B202FC"/>
    <w:rsid w:val="00B2045B"/>
    <w:rsid w:val="00B206F4"/>
    <w:rsid w:val="00B20A99"/>
    <w:rsid w:val="00B20CFC"/>
    <w:rsid w:val="00B20DED"/>
    <w:rsid w:val="00B212E8"/>
    <w:rsid w:val="00B21335"/>
    <w:rsid w:val="00B21357"/>
    <w:rsid w:val="00B213A2"/>
    <w:rsid w:val="00B21431"/>
    <w:rsid w:val="00B21581"/>
    <w:rsid w:val="00B2176C"/>
    <w:rsid w:val="00B217D9"/>
    <w:rsid w:val="00B2185F"/>
    <w:rsid w:val="00B21C14"/>
    <w:rsid w:val="00B21EE6"/>
    <w:rsid w:val="00B22119"/>
    <w:rsid w:val="00B2216D"/>
    <w:rsid w:val="00B22225"/>
    <w:rsid w:val="00B2234F"/>
    <w:rsid w:val="00B223B7"/>
    <w:rsid w:val="00B22416"/>
    <w:rsid w:val="00B224EB"/>
    <w:rsid w:val="00B2255E"/>
    <w:rsid w:val="00B22704"/>
    <w:rsid w:val="00B22839"/>
    <w:rsid w:val="00B22A4D"/>
    <w:rsid w:val="00B22B4C"/>
    <w:rsid w:val="00B22BC9"/>
    <w:rsid w:val="00B22CF4"/>
    <w:rsid w:val="00B22D29"/>
    <w:rsid w:val="00B22D50"/>
    <w:rsid w:val="00B22D5F"/>
    <w:rsid w:val="00B22E98"/>
    <w:rsid w:val="00B23048"/>
    <w:rsid w:val="00B2307B"/>
    <w:rsid w:val="00B23100"/>
    <w:rsid w:val="00B23139"/>
    <w:rsid w:val="00B232B9"/>
    <w:rsid w:val="00B232BE"/>
    <w:rsid w:val="00B2340F"/>
    <w:rsid w:val="00B23592"/>
    <w:rsid w:val="00B2360F"/>
    <w:rsid w:val="00B236D5"/>
    <w:rsid w:val="00B23742"/>
    <w:rsid w:val="00B23982"/>
    <w:rsid w:val="00B2398C"/>
    <w:rsid w:val="00B239C3"/>
    <w:rsid w:val="00B23EBF"/>
    <w:rsid w:val="00B240E1"/>
    <w:rsid w:val="00B243CF"/>
    <w:rsid w:val="00B2468F"/>
    <w:rsid w:val="00B246B7"/>
    <w:rsid w:val="00B247DB"/>
    <w:rsid w:val="00B2483D"/>
    <w:rsid w:val="00B249B8"/>
    <w:rsid w:val="00B24AA3"/>
    <w:rsid w:val="00B24B72"/>
    <w:rsid w:val="00B24BE8"/>
    <w:rsid w:val="00B24C92"/>
    <w:rsid w:val="00B24FC1"/>
    <w:rsid w:val="00B25106"/>
    <w:rsid w:val="00B25360"/>
    <w:rsid w:val="00B253FF"/>
    <w:rsid w:val="00B2546B"/>
    <w:rsid w:val="00B25544"/>
    <w:rsid w:val="00B2555E"/>
    <w:rsid w:val="00B2558F"/>
    <w:rsid w:val="00B255BD"/>
    <w:rsid w:val="00B256D7"/>
    <w:rsid w:val="00B2595C"/>
    <w:rsid w:val="00B25A25"/>
    <w:rsid w:val="00B25AF8"/>
    <w:rsid w:val="00B25B0E"/>
    <w:rsid w:val="00B25C58"/>
    <w:rsid w:val="00B25EB4"/>
    <w:rsid w:val="00B25F3E"/>
    <w:rsid w:val="00B2606F"/>
    <w:rsid w:val="00B261C1"/>
    <w:rsid w:val="00B262E1"/>
    <w:rsid w:val="00B26373"/>
    <w:rsid w:val="00B263EE"/>
    <w:rsid w:val="00B26410"/>
    <w:rsid w:val="00B26776"/>
    <w:rsid w:val="00B267AC"/>
    <w:rsid w:val="00B2688D"/>
    <w:rsid w:val="00B26958"/>
    <w:rsid w:val="00B2697C"/>
    <w:rsid w:val="00B26AA1"/>
    <w:rsid w:val="00B26BD9"/>
    <w:rsid w:val="00B26C2E"/>
    <w:rsid w:val="00B26D06"/>
    <w:rsid w:val="00B26EC7"/>
    <w:rsid w:val="00B26F26"/>
    <w:rsid w:val="00B272A1"/>
    <w:rsid w:val="00B275B9"/>
    <w:rsid w:val="00B277FA"/>
    <w:rsid w:val="00B27928"/>
    <w:rsid w:val="00B27C12"/>
    <w:rsid w:val="00B27CC5"/>
    <w:rsid w:val="00B27E0C"/>
    <w:rsid w:val="00B27FC9"/>
    <w:rsid w:val="00B30002"/>
    <w:rsid w:val="00B30026"/>
    <w:rsid w:val="00B3020B"/>
    <w:rsid w:val="00B30239"/>
    <w:rsid w:val="00B303D2"/>
    <w:rsid w:val="00B303F9"/>
    <w:rsid w:val="00B30479"/>
    <w:rsid w:val="00B304A4"/>
    <w:rsid w:val="00B30542"/>
    <w:rsid w:val="00B30556"/>
    <w:rsid w:val="00B306CF"/>
    <w:rsid w:val="00B30802"/>
    <w:rsid w:val="00B3080D"/>
    <w:rsid w:val="00B30B36"/>
    <w:rsid w:val="00B30B3C"/>
    <w:rsid w:val="00B30C9E"/>
    <w:rsid w:val="00B30CD3"/>
    <w:rsid w:val="00B30E7A"/>
    <w:rsid w:val="00B30F57"/>
    <w:rsid w:val="00B311C5"/>
    <w:rsid w:val="00B3135F"/>
    <w:rsid w:val="00B313B5"/>
    <w:rsid w:val="00B31444"/>
    <w:rsid w:val="00B31683"/>
    <w:rsid w:val="00B31AA3"/>
    <w:rsid w:val="00B31F24"/>
    <w:rsid w:val="00B32032"/>
    <w:rsid w:val="00B322AF"/>
    <w:rsid w:val="00B32717"/>
    <w:rsid w:val="00B328F1"/>
    <w:rsid w:val="00B32C66"/>
    <w:rsid w:val="00B32CCC"/>
    <w:rsid w:val="00B32D8F"/>
    <w:rsid w:val="00B32F77"/>
    <w:rsid w:val="00B32FB3"/>
    <w:rsid w:val="00B3300A"/>
    <w:rsid w:val="00B33023"/>
    <w:rsid w:val="00B3315A"/>
    <w:rsid w:val="00B332F9"/>
    <w:rsid w:val="00B335A0"/>
    <w:rsid w:val="00B3361A"/>
    <w:rsid w:val="00B337DB"/>
    <w:rsid w:val="00B3380F"/>
    <w:rsid w:val="00B338A4"/>
    <w:rsid w:val="00B338C2"/>
    <w:rsid w:val="00B3392E"/>
    <w:rsid w:val="00B33C71"/>
    <w:rsid w:val="00B33E60"/>
    <w:rsid w:val="00B34117"/>
    <w:rsid w:val="00B34193"/>
    <w:rsid w:val="00B341AE"/>
    <w:rsid w:val="00B343BD"/>
    <w:rsid w:val="00B34413"/>
    <w:rsid w:val="00B34922"/>
    <w:rsid w:val="00B34A7C"/>
    <w:rsid w:val="00B34C98"/>
    <w:rsid w:val="00B34D82"/>
    <w:rsid w:val="00B34D89"/>
    <w:rsid w:val="00B34DE5"/>
    <w:rsid w:val="00B34DF9"/>
    <w:rsid w:val="00B34E2F"/>
    <w:rsid w:val="00B34E95"/>
    <w:rsid w:val="00B34EB5"/>
    <w:rsid w:val="00B34EC7"/>
    <w:rsid w:val="00B34F34"/>
    <w:rsid w:val="00B350E0"/>
    <w:rsid w:val="00B3522F"/>
    <w:rsid w:val="00B3537F"/>
    <w:rsid w:val="00B3538D"/>
    <w:rsid w:val="00B354BD"/>
    <w:rsid w:val="00B35570"/>
    <w:rsid w:val="00B3557C"/>
    <w:rsid w:val="00B355A0"/>
    <w:rsid w:val="00B356A0"/>
    <w:rsid w:val="00B35746"/>
    <w:rsid w:val="00B357DD"/>
    <w:rsid w:val="00B357EA"/>
    <w:rsid w:val="00B3580E"/>
    <w:rsid w:val="00B35A71"/>
    <w:rsid w:val="00B35D7A"/>
    <w:rsid w:val="00B35D95"/>
    <w:rsid w:val="00B35ED3"/>
    <w:rsid w:val="00B35FEA"/>
    <w:rsid w:val="00B360D1"/>
    <w:rsid w:val="00B361FA"/>
    <w:rsid w:val="00B3621D"/>
    <w:rsid w:val="00B36276"/>
    <w:rsid w:val="00B36408"/>
    <w:rsid w:val="00B3675D"/>
    <w:rsid w:val="00B3688A"/>
    <w:rsid w:val="00B369A6"/>
    <w:rsid w:val="00B36A49"/>
    <w:rsid w:val="00B36A61"/>
    <w:rsid w:val="00B36D24"/>
    <w:rsid w:val="00B36F33"/>
    <w:rsid w:val="00B3719C"/>
    <w:rsid w:val="00B371D2"/>
    <w:rsid w:val="00B37221"/>
    <w:rsid w:val="00B37693"/>
    <w:rsid w:val="00B377BC"/>
    <w:rsid w:val="00B377C7"/>
    <w:rsid w:val="00B378DF"/>
    <w:rsid w:val="00B37990"/>
    <w:rsid w:val="00B37998"/>
    <w:rsid w:val="00B37A3F"/>
    <w:rsid w:val="00B37A64"/>
    <w:rsid w:val="00B37A8D"/>
    <w:rsid w:val="00B37ABB"/>
    <w:rsid w:val="00B37B13"/>
    <w:rsid w:val="00B37C31"/>
    <w:rsid w:val="00B37CA3"/>
    <w:rsid w:val="00B37CD5"/>
    <w:rsid w:val="00B37CE8"/>
    <w:rsid w:val="00B37D5D"/>
    <w:rsid w:val="00B4005D"/>
    <w:rsid w:val="00B400ED"/>
    <w:rsid w:val="00B40146"/>
    <w:rsid w:val="00B401D4"/>
    <w:rsid w:val="00B401E2"/>
    <w:rsid w:val="00B402BD"/>
    <w:rsid w:val="00B40454"/>
    <w:rsid w:val="00B405B1"/>
    <w:rsid w:val="00B405C3"/>
    <w:rsid w:val="00B40652"/>
    <w:rsid w:val="00B40930"/>
    <w:rsid w:val="00B40B79"/>
    <w:rsid w:val="00B40E12"/>
    <w:rsid w:val="00B41064"/>
    <w:rsid w:val="00B41371"/>
    <w:rsid w:val="00B41436"/>
    <w:rsid w:val="00B41478"/>
    <w:rsid w:val="00B41588"/>
    <w:rsid w:val="00B41793"/>
    <w:rsid w:val="00B41A80"/>
    <w:rsid w:val="00B41CB1"/>
    <w:rsid w:val="00B41E0F"/>
    <w:rsid w:val="00B41F6D"/>
    <w:rsid w:val="00B420B1"/>
    <w:rsid w:val="00B421AE"/>
    <w:rsid w:val="00B422F3"/>
    <w:rsid w:val="00B4235B"/>
    <w:rsid w:val="00B42594"/>
    <w:rsid w:val="00B4285F"/>
    <w:rsid w:val="00B42930"/>
    <w:rsid w:val="00B43078"/>
    <w:rsid w:val="00B43184"/>
    <w:rsid w:val="00B432A2"/>
    <w:rsid w:val="00B433FC"/>
    <w:rsid w:val="00B43426"/>
    <w:rsid w:val="00B43627"/>
    <w:rsid w:val="00B436A9"/>
    <w:rsid w:val="00B436CB"/>
    <w:rsid w:val="00B43708"/>
    <w:rsid w:val="00B43A61"/>
    <w:rsid w:val="00B43AEC"/>
    <w:rsid w:val="00B43B6B"/>
    <w:rsid w:val="00B43BC1"/>
    <w:rsid w:val="00B43C82"/>
    <w:rsid w:val="00B43E46"/>
    <w:rsid w:val="00B43E60"/>
    <w:rsid w:val="00B4411D"/>
    <w:rsid w:val="00B443DA"/>
    <w:rsid w:val="00B4457C"/>
    <w:rsid w:val="00B4459E"/>
    <w:rsid w:val="00B4482A"/>
    <w:rsid w:val="00B448B5"/>
    <w:rsid w:val="00B44AF6"/>
    <w:rsid w:val="00B44C19"/>
    <w:rsid w:val="00B44D1C"/>
    <w:rsid w:val="00B44E92"/>
    <w:rsid w:val="00B4516C"/>
    <w:rsid w:val="00B4519A"/>
    <w:rsid w:val="00B45427"/>
    <w:rsid w:val="00B4543C"/>
    <w:rsid w:val="00B45B54"/>
    <w:rsid w:val="00B45B60"/>
    <w:rsid w:val="00B45C20"/>
    <w:rsid w:val="00B45CB8"/>
    <w:rsid w:val="00B45CCC"/>
    <w:rsid w:val="00B45DB5"/>
    <w:rsid w:val="00B45E2A"/>
    <w:rsid w:val="00B4617C"/>
    <w:rsid w:val="00B46183"/>
    <w:rsid w:val="00B46195"/>
    <w:rsid w:val="00B465C2"/>
    <w:rsid w:val="00B46648"/>
    <w:rsid w:val="00B46733"/>
    <w:rsid w:val="00B4687F"/>
    <w:rsid w:val="00B46904"/>
    <w:rsid w:val="00B46B2F"/>
    <w:rsid w:val="00B46CCC"/>
    <w:rsid w:val="00B47139"/>
    <w:rsid w:val="00B4721B"/>
    <w:rsid w:val="00B47B37"/>
    <w:rsid w:val="00B47D79"/>
    <w:rsid w:val="00B47EB0"/>
    <w:rsid w:val="00B50161"/>
    <w:rsid w:val="00B5017A"/>
    <w:rsid w:val="00B502DD"/>
    <w:rsid w:val="00B506DA"/>
    <w:rsid w:val="00B507D1"/>
    <w:rsid w:val="00B508A0"/>
    <w:rsid w:val="00B50D37"/>
    <w:rsid w:val="00B50DB5"/>
    <w:rsid w:val="00B50F2A"/>
    <w:rsid w:val="00B510BD"/>
    <w:rsid w:val="00B510EE"/>
    <w:rsid w:val="00B5116A"/>
    <w:rsid w:val="00B5130E"/>
    <w:rsid w:val="00B5142D"/>
    <w:rsid w:val="00B514CB"/>
    <w:rsid w:val="00B51610"/>
    <w:rsid w:val="00B51713"/>
    <w:rsid w:val="00B5171E"/>
    <w:rsid w:val="00B5188D"/>
    <w:rsid w:val="00B51990"/>
    <w:rsid w:val="00B51AC1"/>
    <w:rsid w:val="00B51C70"/>
    <w:rsid w:val="00B51CA8"/>
    <w:rsid w:val="00B51EC7"/>
    <w:rsid w:val="00B51F8E"/>
    <w:rsid w:val="00B52448"/>
    <w:rsid w:val="00B52455"/>
    <w:rsid w:val="00B5284B"/>
    <w:rsid w:val="00B529EA"/>
    <w:rsid w:val="00B52A00"/>
    <w:rsid w:val="00B52B90"/>
    <w:rsid w:val="00B53085"/>
    <w:rsid w:val="00B530B2"/>
    <w:rsid w:val="00B5314C"/>
    <w:rsid w:val="00B531CF"/>
    <w:rsid w:val="00B5326C"/>
    <w:rsid w:val="00B53414"/>
    <w:rsid w:val="00B5348C"/>
    <w:rsid w:val="00B53504"/>
    <w:rsid w:val="00B53605"/>
    <w:rsid w:val="00B538B2"/>
    <w:rsid w:val="00B539F3"/>
    <w:rsid w:val="00B53B1A"/>
    <w:rsid w:val="00B53B65"/>
    <w:rsid w:val="00B53BB1"/>
    <w:rsid w:val="00B53CCD"/>
    <w:rsid w:val="00B53D16"/>
    <w:rsid w:val="00B53D94"/>
    <w:rsid w:val="00B53E2D"/>
    <w:rsid w:val="00B5416C"/>
    <w:rsid w:val="00B544DE"/>
    <w:rsid w:val="00B54770"/>
    <w:rsid w:val="00B54784"/>
    <w:rsid w:val="00B547FD"/>
    <w:rsid w:val="00B5482F"/>
    <w:rsid w:val="00B54A50"/>
    <w:rsid w:val="00B54B2C"/>
    <w:rsid w:val="00B5513A"/>
    <w:rsid w:val="00B55154"/>
    <w:rsid w:val="00B55171"/>
    <w:rsid w:val="00B55189"/>
    <w:rsid w:val="00B551C4"/>
    <w:rsid w:val="00B55358"/>
    <w:rsid w:val="00B55664"/>
    <w:rsid w:val="00B5569F"/>
    <w:rsid w:val="00B5598C"/>
    <w:rsid w:val="00B559B1"/>
    <w:rsid w:val="00B55A82"/>
    <w:rsid w:val="00B55B82"/>
    <w:rsid w:val="00B55D38"/>
    <w:rsid w:val="00B55DD0"/>
    <w:rsid w:val="00B55E9F"/>
    <w:rsid w:val="00B55F1F"/>
    <w:rsid w:val="00B5600A"/>
    <w:rsid w:val="00B5600E"/>
    <w:rsid w:val="00B564C9"/>
    <w:rsid w:val="00B5653C"/>
    <w:rsid w:val="00B566A2"/>
    <w:rsid w:val="00B56769"/>
    <w:rsid w:val="00B567FE"/>
    <w:rsid w:val="00B56813"/>
    <w:rsid w:val="00B56962"/>
    <w:rsid w:val="00B569D0"/>
    <w:rsid w:val="00B56AEC"/>
    <w:rsid w:val="00B56CB4"/>
    <w:rsid w:val="00B56CFC"/>
    <w:rsid w:val="00B56D9C"/>
    <w:rsid w:val="00B56DBA"/>
    <w:rsid w:val="00B56DEE"/>
    <w:rsid w:val="00B5713D"/>
    <w:rsid w:val="00B57323"/>
    <w:rsid w:val="00B5745D"/>
    <w:rsid w:val="00B577FE"/>
    <w:rsid w:val="00B577FF"/>
    <w:rsid w:val="00B57A9D"/>
    <w:rsid w:val="00B57E31"/>
    <w:rsid w:val="00B57F34"/>
    <w:rsid w:val="00B57F86"/>
    <w:rsid w:val="00B57FBD"/>
    <w:rsid w:val="00B60120"/>
    <w:rsid w:val="00B601DB"/>
    <w:rsid w:val="00B60610"/>
    <w:rsid w:val="00B60623"/>
    <w:rsid w:val="00B607A7"/>
    <w:rsid w:val="00B60B01"/>
    <w:rsid w:val="00B60BD2"/>
    <w:rsid w:val="00B60C37"/>
    <w:rsid w:val="00B60C3F"/>
    <w:rsid w:val="00B60D04"/>
    <w:rsid w:val="00B60EE5"/>
    <w:rsid w:val="00B60F7D"/>
    <w:rsid w:val="00B61108"/>
    <w:rsid w:val="00B6143F"/>
    <w:rsid w:val="00B6152F"/>
    <w:rsid w:val="00B61787"/>
    <w:rsid w:val="00B617AE"/>
    <w:rsid w:val="00B618EF"/>
    <w:rsid w:val="00B6194D"/>
    <w:rsid w:val="00B619E5"/>
    <w:rsid w:val="00B61C7F"/>
    <w:rsid w:val="00B61D48"/>
    <w:rsid w:val="00B61E13"/>
    <w:rsid w:val="00B61F85"/>
    <w:rsid w:val="00B6217C"/>
    <w:rsid w:val="00B6219D"/>
    <w:rsid w:val="00B621D2"/>
    <w:rsid w:val="00B622C2"/>
    <w:rsid w:val="00B622E5"/>
    <w:rsid w:val="00B6240E"/>
    <w:rsid w:val="00B62463"/>
    <w:rsid w:val="00B624A8"/>
    <w:rsid w:val="00B62824"/>
    <w:rsid w:val="00B6286F"/>
    <w:rsid w:val="00B628CB"/>
    <w:rsid w:val="00B62B6E"/>
    <w:rsid w:val="00B62BF0"/>
    <w:rsid w:val="00B62CE2"/>
    <w:rsid w:val="00B62D7B"/>
    <w:rsid w:val="00B62DAF"/>
    <w:rsid w:val="00B62DC5"/>
    <w:rsid w:val="00B62EF6"/>
    <w:rsid w:val="00B63096"/>
    <w:rsid w:val="00B630BC"/>
    <w:rsid w:val="00B6327E"/>
    <w:rsid w:val="00B632A0"/>
    <w:rsid w:val="00B632EC"/>
    <w:rsid w:val="00B6338E"/>
    <w:rsid w:val="00B633BC"/>
    <w:rsid w:val="00B63526"/>
    <w:rsid w:val="00B635AB"/>
    <w:rsid w:val="00B635D1"/>
    <w:rsid w:val="00B6364B"/>
    <w:rsid w:val="00B6396F"/>
    <w:rsid w:val="00B63A1D"/>
    <w:rsid w:val="00B63B35"/>
    <w:rsid w:val="00B63BA2"/>
    <w:rsid w:val="00B63CBA"/>
    <w:rsid w:val="00B63DA9"/>
    <w:rsid w:val="00B63DF4"/>
    <w:rsid w:val="00B63F13"/>
    <w:rsid w:val="00B63F31"/>
    <w:rsid w:val="00B64036"/>
    <w:rsid w:val="00B643AF"/>
    <w:rsid w:val="00B64511"/>
    <w:rsid w:val="00B645E7"/>
    <w:rsid w:val="00B6496F"/>
    <w:rsid w:val="00B64AB4"/>
    <w:rsid w:val="00B64AF2"/>
    <w:rsid w:val="00B64E2F"/>
    <w:rsid w:val="00B64FA6"/>
    <w:rsid w:val="00B6503B"/>
    <w:rsid w:val="00B6530D"/>
    <w:rsid w:val="00B65478"/>
    <w:rsid w:val="00B654ED"/>
    <w:rsid w:val="00B65515"/>
    <w:rsid w:val="00B65573"/>
    <w:rsid w:val="00B6568E"/>
    <w:rsid w:val="00B6588D"/>
    <w:rsid w:val="00B658BE"/>
    <w:rsid w:val="00B65926"/>
    <w:rsid w:val="00B6599E"/>
    <w:rsid w:val="00B65D14"/>
    <w:rsid w:val="00B65E1E"/>
    <w:rsid w:val="00B65FF4"/>
    <w:rsid w:val="00B66011"/>
    <w:rsid w:val="00B66213"/>
    <w:rsid w:val="00B662B8"/>
    <w:rsid w:val="00B663DD"/>
    <w:rsid w:val="00B665A0"/>
    <w:rsid w:val="00B665FA"/>
    <w:rsid w:val="00B668CB"/>
    <w:rsid w:val="00B66AC4"/>
    <w:rsid w:val="00B66BF0"/>
    <w:rsid w:val="00B66D03"/>
    <w:rsid w:val="00B66D06"/>
    <w:rsid w:val="00B66E4C"/>
    <w:rsid w:val="00B67376"/>
    <w:rsid w:val="00B67653"/>
    <w:rsid w:val="00B6768A"/>
    <w:rsid w:val="00B676DD"/>
    <w:rsid w:val="00B6785A"/>
    <w:rsid w:val="00B67922"/>
    <w:rsid w:val="00B67A9A"/>
    <w:rsid w:val="00B67EBD"/>
    <w:rsid w:val="00B67EFA"/>
    <w:rsid w:val="00B67F23"/>
    <w:rsid w:val="00B70059"/>
    <w:rsid w:val="00B70061"/>
    <w:rsid w:val="00B70153"/>
    <w:rsid w:val="00B701A3"/>
    <w:rsid w:val="00B701BB"/>
    <w:rsid w:val="00B70387"/>
    <w:rsid w:val="00B705E1"/>
    <w:rsid w:val="00B7091D"/>
    <w:rsid w:val="00B70936"/>
    <w:rsid w:val="00B70BDD"/>
    <w:rsid w:val="00B70C58"/>
    <w:rsid w:val="00B70E8D"/>
    <w:rsid w:val="00B70FF0"/>
    <w:rsid w:val="00B71003"/>
    <w:rsid w:val="00B710B1"/>
    <w:rsid w:val="00B71666"/>
    <w:rsid w:val="00B716BA"/>
    <w:rsid w:val="00B71789"/>
    <w:rsid w:val="00B71876"/>
    <w:rsid w:val="00B71C05"/>
    <w:rsid w:val="00B71D26"/>
    <w:rsid w:val="00B71E33"/>
    <w:rsid w:val="00B71F47"/>
    <w:rsid w:val="00B71F9B"/>
    <w:rsid w:val="00B721C0"/>
    <w:rsid w:val="00B721ED"/>
    <w:rsid w:val="00B722D4"/>
    <w:rsid w:val="00B722E2"/>
    <w:rsid w:val="00B7250E"/>
    <w:rsid w:val="00B72510"/>
    <w:rsid w:val="00B725B0"/>
    <w:rsid w:val="00B7260B"/>
    <w:rsid w:val="00B72A66"/>
    <w:rsid w:val="00B72C3B"/>
    <w:rsid w:val="00B72CE4"/>
    <w:rsid w:val="00B72FAD"/>
    <w:rsid w:val="00B73052"/>
    <w:rsid w:val="00B7310D"/>
    <w:rsid w:val="00B73424"/>
    <w:rsid w:val="00B73432"/>
    <w:rsid w:val="00B734B1"/>
    <w:rsid w:val="00B73635"/>
    <w:rsid w:val="00B737C0"/>
    <w:rsid w:val="00B73842"/>
    <w:rsid w:val="00B738AC"/>
    <w:rsid w:val="00B738BB"/>
    <w:rsid w:val="00B73D15"/>
    <w:rsid w:val="00B73F1C"/>
    <w:rsid w:val="00B73F2B"/>
    <w:rsid w:val="00B73F9D"/>
    <w:rsid w:val="00B7417C"/>
    <w:rsid w:val="00B741FA"/>
    <w:rsid w:val="00B74247"/>
    <w:rsid w:val="00B742DA"/>
    <w:rsid w:val="00B74302"/>
    <w:rsid w:val="00B74345"/>
    <w:rsid w:val="00B7435D"/>
    <w:rsid w:val="00B743B5"/>
    <w:rsid w:val="00B74473"/>
    <w:rsid w:val="00B744EF"/>
    <w:rsid w:val="00B74502"/>
    <w:rsid w:val="00B74503"/>
    <w:rsid w:val="00B7469B"/>
    <w:rsid w:val="00B746A3"/>
    <w:rsid w:val="00B746AC"/>
    <w:rsid w:val="00B74828"/>
    <w:rsid w:val="00B749E1"/>
    <w:rsid w:val="00B74AEC"/>
    <w:rsid w:val="00B74B0E"/>
    <w:rsid w:val="00B74D44"/>
    <w:rsid w:val="00B74FA9"/>
    <w:rsid w:val="00B75442"/>
    <w:rsid w:val="00B75763"/>
    <w:rsid w:val="00B75E59"/>
    <w:rsid w:val="00B75EE4"/>
    <w:rsid w:val="00B75FBA"/>
    <w:rsid w:val="00B760DF"/>
    <w:rsid w:val="00B7613C"/>
    <w:rsid w:val="00B7619A"/>
    <w:rsid w:val="00B7657E"/>
    <w:rsid w:val="00B767CB"/>
    <w:rsid w:val="00B7683A"/>
    <w:rsid w:val="00B76A49"/>
    <w:rsid w:val="00B76F73"/>
    <w:rsid w:val="00B7701C"/>
    <w:rsid w:val="00B770F8"/>
    <w:rsid w:val="00B77410"/>
    <w:rsid w:val="00B7755E"/>
    <w:rsid w:val="00B77594"/>
    <w:rsid w:val="00B77608"/>
    <w:rsid w:val="00B776A0"/>
    <w:rsid w:val="00B777A1"/>
    <w:rsid w:val="00B778DB"/>
    <w:rsid w:val="00B778FB"/>
    <w:rsid w:val="00B77C50"/>
    <w:rsid w:val="00B77D1D"/>
    <w:rsid w:val="00B77D3B"/>
    <w:rsid w:val="00B77D72"/>
    <w:rsid w:val="00B77DAB"/>
    <w:rsid w:val="00B77DBB"/>
    <w:rsid w:val="00B77DDB"/>
    <w:rsid w:val="00B77E03"/>
    <w:rsid w:val="00B77F3B"/>
    <w:rsid w:val="00B8005C"/>
    <w:rsid w:val="00B80084"/>
    <w:rsid w:val="00B80155"/>
    <w:rsid w:val="00B8021F"/>
    <w:rsid w:val="00B80893"/>
    <w:rsid w:val="00B8093A"/>
    <w:rsid w:val="00B80B03"/>
    <w:rsid w:val="00B80B24"/>
    <w:rsid w:val="00B80C9F"/>
    <w:rsid w:val="00B80D7C"/>
    <w:rsid w:val="00B80E22"/>
    <w:rsid w:val="00B80F55"/>
    <w:rsid w:val="00B8120C"/>
    <w:rsid w:val="00B814FB"/>
    <w:rsid w:val="00B815FA"/>
    <w:rsid w:val="00B816F3"/>
    <w:rsid w:val="00B8175F"/>
    <w:rsid w:val="00B81867"/>
    <w:rsid w:val="00B81C83"/>
    <w:rsid w:val="00B81CAB"/>
    <w:rsid w:val="00B81CBC"/>
    <w:rsid w:val="00B81DAB"/>
    <w:rsid w:val="00B81F76"/>
    <w:rsid w:val="00B82111"/>
    <w:rsid w:val="00B8213D"/>
    <w:rsid w:val="00B821E6"/>
    <w:rsid w:val="00B823A2"/>
    <w:rsid w:val="00B826A4"/>
    <w:rsid w:val="00B827D9"/>
    <w:rsid w:val="00B8286E"/>
    <w:rsid w:val="00B82901"/>
    <w:rsid w:val="00B82A3D"/>
    <w:rsid w:val="00B82A74"/>
    <w:rsid w:val="00B82B37"/>
    <w:rsid w:val="00B82E0F"/>
    <w:rsid w:val="00B83055"/>
    <w:rsid w:val="00B8307E"/>
    <w:rsid w:val="00B830B1"/>
    <w:rsid w:val="00B832FC"/>
    <w:rsid w:val="00B83402"/>
    <w:rsid w:val="00B83413"/>
    <w:rsid w:val="00B834B0"/>
    <w:rsid w:val="00B83733"/>
    <w:rsid w:val="00B83735"/>
    <w:rsid w:val="00B83744"/>
    <w:rsid w:val="00B83774"/>
    <w:rsid w:val="00B83835"/>
    <w:rsid w:val="00B838A1"/>
    <w:rsid w:val="00B83959"/>
    <w:rsid w:val="00B83AA0"/>
    <w:rsid w:val="00B83B16"/>
    <w:rsid w:val="00B83B8D"/>
    <w:rsid w:val="00B83C65"/>
    <w:rsid w:val="00B83CCF"/>
    <w:rsid w:val="00B83E28"/>
    <w:rsid w:val="00B83F05"/>
    <w:rsid w:val="00B83F32"/>
    <w:rsid w:val="00B8424F"/>
    <w:rsid w:val="00B842CB"/>
    <w:rsid w:val="00B842F2"/>
    <w:rsid w:val="00B843E9"/>
    <w:rsid w:val="00B845D9"/>
    <w:rsid w:val="00B846A1"/>
    <w:rsid w:val="00B8491D"/>
    <w:rsid w:val="00B84A82"/>
    <w:rsid w:val="00B84AD2"/>
    <w:rsid w:val="00B84C03"/>
    <w:rsid w:val="00B84CEF"/>
    <w:rsid w:val="00B84F94"/>
    <w:rsid w:val="00B84F9F"/>
    <w:rsid w:val="00B84FA3"/>
    <w:rsid w:val="00B8505B"/>
    <w:rsid w:val="00B85281"/>
    <w:rsid w:val="00B8531A"/>
    <w:rsid w:val="00B8545B"/>
    <w:rsid w:val="00B85526"/>
    <w:rsid w:val="00B855BA"/>
    <w:rsid w:val="00B85783"/>
    <w:rsid w:val="00B859F3"/>
    <w:rsid w:val="00B85C12"/>
    <w:rsid w:val="00B85CA1"/>
    <w:rsid w:val="00B85CC2"/>
    <w:rsid w:val="00B85F1A"/>
    <w:rsid w:val="00B85F3F"/>
    <w:rsid w:val="00B860AD"/>
    <w:rsid w:val="00B86316"/>
    <w:rsid w:val="00B864AE"/>
    <w:rsid w:val="00B864ED"/>
    <w:rsid w:val="00B86602"/>
    <w:rsid w:val="00B86656"/>
    <w:rsid w:val="00B8681D"/>
    <w:rsid w:val="00B86890"/>
    <w:rsid w:val="00B868B3"/>
    <w:rsid w:val="00B868DA"/>
    <w:rsid w:val="00B86A15"/>
    <w:rsid w:val="00B86B3B"/>
    <w:rsid w:val="00B86E7C"/>
    <w:rsid w:val="00B86E83"/>
    <w:rsid w:val="00B86F10"/>
    <w:rsid w:val="00B86FD6"/>
    <w:rsid w:val="00B870EA"/>
    <w:rsid w:val="00B87184"/>
    <w:rsid w:val="00B871D6"/>
    <w:rsid w:val="00B871F4"/>
    <w:rsid w:val="00B87322"/>
    <w:rsid w:val="00B8744E"/>
    <w:rsid w:val="00B87575"/>
    <w:rsid w:val="00B877DE"/>
    <w:rsid w:val="00B8782F"/>
    <w:rsid w:val="00B878FB"/>
    <w:rsid w:val="00B87A50"/>
    <w:rsid w:val="00B87D8D"/>
    <w:rsid w:val="00B900F5"/>
    <w:rsid w:val="00B908AD"/>
    <w:rsid w:val="00B908D4"/>
    <w:rsid w:val="00B909EE"/>
    <w:rsid w:val="00B90B65"/>
    <w:rsid w:val="00B90BB5"/>
    <w:rsid w:val="00B90C54"/>
    <w:rsid w:val="00B90D19"/>
    <w:rsid w:val="00B90D2C"/>
    <w:rsid w:val="00B90F0C"/>
    <w:rsid w:val="00B9118A"/>
    <w:rsid w:val="00B913AB"/>
    <w:rsid w:val="00B91600"/>
    <w:rsid w:val="00B917EE"/>
    <w:rsid w:val="00B91C8C"/>
    <w:rsid w:val="00B91CF6"/>
    <w:rsid w:val="00B91F67"/>
    <w:rsid w:val="00B9204C"/>
    <w:rsid w:val="00B920F4"/>
    <w:rsid w:val="00B92130"/>
    <w:rsid w:val="00B921EC"/>
    <w:rsid w:val="00B922EA"/>
    <w:rsid w:val="00B92387"/>
    <w:rsid w:val="00B92448"/>
    <w:rsid w:val="00B9248F"/>
    <w:rsid w:val="00B92BB3"/>
    <w:rsid w:val="00B92CDE"/>
    <w:rsid w:val="00B92CF8"/>
    <w:rsid w:val="00B92DE4"/>
    <w:rsid w:val="00B92EAC"/>
    <w:rsid w:val="00B92F7A"/>
    <w:rsid w:val="00B92F8E"/>
    <w:rsid w:val="00B92FC5"/>
    <w:rsid w:val="00B9318E"/>
    <w:rsid w:val="00B933A8"/>
    <w:rsid w:val="00B93523"/>
    <w:rsid w:val="00B93561"/>
    <w:rsid w:val="00B9375B"/>
    <w:rsid w:val="00B93793"/>
    <w:rsid w:val="00B93876"/>
    <w:rsid w:val="00B93946"/>
    <w:rsid w:val="00B93A37"/>
    <w:rsid w:val="00B93A41"/>
    <w:rsid w:val="00B93CE8"/>
    <w:rsid w:val="00B93EA5"/>
    <w:rsid w:val="00B93F0E"/>
    <w:rsid w:val="00B94144"/>
    <w:rsid w:val="00B94379"/>
    <w:rsid w:val="00B94760"/>
    <w:rsid w:val="00B94928"/>
    <w:rsid w:val="00B9492C"/>
    <w:rsid w:val="00B94ACC"/>
    <w:rsid w:val="00B94CA2"/>
    <w:rsid w:val="00B94D69"/>
    <w:rsid w:val="00B94E34"/>
    <w:rsid w:val="00B94FAB"/>
    <w:rsid w:val="00B94FEB"/>
    <w:rsid w:val="00B9503E"/>
    <w:rsid w:val="00B95147"/>
    <w:rsid w:val="00B95384"/>
    <w:rsid w:val="00B953BF"/>
    <w:rsid w:val="00B9547F"/>
    <w:rsid w:val="00B95551"/>
    <w:rsid w:val="00B9556E"/>
    <w:rsid w:val="00B955A8"/>
    <w:rsid w:val="00B9569B"/>
    <w:rsid w:val="00B9574B"/>
    <w:rsid w:val="00B95784"/>
    <w:rsid w:val="00B95885"/>
    <w:rsid w:val="00B95890"/>
    <w:rsid w:val="00B95A15"/>
    <w:rsid w:val="00B95BEF"/>
    <w:rsid w:val="00B95BF8"/>
    <w:rsid w:val="00B95D75"/>
    <w:rsid w:val="00B95D7E"/>
    <w:rsid w:val="00B95FA8"/>
    <w:rsid w:val="00B9604C"/>
    <w:rsid w:val="00B96064"/>
    <w:rsid w:val="00B96069"/>
    <w:rsid w:val="00B961E5"/>
    <w:rsid w:val="00B96209"/>
    <w:rsid w:val="00B96229"/>
    <w:rsid w:val="00B96288"/>
    <w:rsid w:val="00B96305"/>
    <w:rsid w:val="00B9662C"/>
    <w:rsid w:val="00B9669D"/>
    <w:rsid w:val="00B966A9"/>
    <w:rsid w:val="00B96841"/>
    <w:rsid w:val="00B96A05"/>
    <w:rsid w:val="00B96AD3"/>
    <w:rsid w:val="00B96B14"/>
    <w:rsid w:val="00B96C2A"/>
    <w:rsid w:val="00B96D8C"/>
    <w:rsid w:val="00B96F52"/>
    <w:rsid w:val="00B96F95"/>
    <w:rsid w:val="00B96FC5"/>
    <w:rsid w:val="00B97098"/>
    <w:rsid w:val="00B97115"/>
    <w:rsid w:val="00B97153"/>
    <w:rsid w:val="00B97176"/>
    <w:rsid w:val="00B9740E"/>
    <w:rsid w:val="00B9773A"/>
    <w:rsid w:val="00B9773E"/>
    <w:rsid w:val="00B978E8"/>
    <w:rsid w:val="00B97917"/>
    <w:rsid w:val="00B97AAA"/>
    <w:rsid w:val="00B97D61"/>
    <w:rsid w:val="00B97D9B"/>
    <w:rsid w:val="00B97F92"/>
    <w:rsid w:val="00BA011D"/>
    <w:rsid w:val="00BA01E3"/>
    <w:rsid w:val="00BA02A9"/>
    <w:rsid w:val="00BA0443"/>
    <w:rsid w:val="00BA085E"/>
    <w:rsid w:val="00BA08DF"/>
    <w:rsid w:val="00BA0B9B"/>
    <w:rsid w:val="00BA0CE1"/>
    <w:rsid w:val="00BA0CEB"/>
    <w:rsid w:val="00BA0D06"/>
    <w:rsid w:val="00BA0E09"/>
    <w:rsid w:val="00BA0E93"/>
    <w:rsid w:val="00BA14EA"/>
    <w:rsid w:val="00BA1582"/>
    <w:rsid w:val="00BA17F2"/>
    <w:rsid w:val="00BA18AC"/>
    <w:rsid w:val="00BA19B9"/>
    <w:rsid w:val="00BA1BC2"/>
    <w:rsid w:val="00BA1CE3"/>
    <w:rsid w:val="00BA1DDC"/>
    <w:rsid w:val="00BA2016"/>
    <w:rsid w:val="00BA2145"/>
    <w:rsid w:val="00BA22B9"/>
    <w:rsid w:val="00BA22E4"/>
    <w:rsid w:val="00BA24FF"/>
    <w:rsid w:val="00BA263F"/>
    <w:rsid w:val="00BA2699"/>
    <w:rsid w:val="00BA26C4"/>
    <w:rsid w:val="00BA27CA"/>
    <w:rsid w:val="00BA2957"/>
    <w:rsid w:val="00BA2AD5"/>
    <w:rsid w:val="00BA2CFA"/>
    <w:rsid w:val="00BA2EE2"/>
    <w:rsid w:val="00BA329D"/>
    <w:rsid w:val="00BA3406"/>
    <w:rsid w:val="00BA3559"/>
    <w:rsid w:val="00BA36DE"/>
    <w:rsid w:val="00BA3A43"/>
    <w:rsid w:val="00BA3B7A"/>
    <w:rsid w:val="00BA3B9D"/>
    <w:rsid w:val="00BA3BE2"/>
    <w:rsid w:val="00BA3DBF"/>
    <w:rsid w:val="00BA3E46"/>
    <w:rsid w:val="00BA3EE7"/>
    <w:rsid w:val="00BA401D"/>
    <w:rsid w:val="00BA40A1"/>
    <w:rsid w:val="00BA42C5"/>
    <w:rsid w:val="00BA4566"/>
    <w:rsid w:val="00BA4578"/>
    <w:rsid w:val="00BA45EC"/>
    <w:rsid w:val="00BA48F8"/>
    <w:rsid w:val="00BA4BCD"/>
    <w:rsid w:val="00BA4CD7"/>
    <w:rsid w:val="00BA4D61"/>
    <w:rsid w:val="00BA4FD5"/>
    <w:rsid w:val="00BA55BA"/>
    <w:rsid w:val="00BA562B"/>
    <w:rsid w:val="00BA5782"/>
    <w:rsid w:val="00BA5856"/>
    <w:rsid w:val="00BA5B6D"/>
    <w:rsid w:val="00BA5BA9"/>
    <w:rsid w:val="00BA5C61"/>
    <w:rsid w:val="00BA5CE1"/>
    <w:rsid w:val="00BA5E0D"/>
    <w:rsid w:val="00BA5E78"/>
    <w:rsid w:val="00BA6097"/>
    <w:rsid w:val="00BA60BA"/>
    <w:rsid w:val="00BA6260"/>
    <w:rsid w:val="00BA62A2"/>
    <w:rsid w:val="00BA6424"/>
    <w:rsid w:val="00BA64CE"/>
    <w:rsid w:val="00BA64F8"/>
    <w:rsid w:val="00BA664F"/>
    <w:rsid w:val="00BA66A4"/>
    <w:rsid w:val="00BA68B3"/>
    <w:rsid w:val="00BA6995"/>
    <w:rsid w:val="00BA6B2B"/>
    <w:rsid w:val="00BA6DAC"/>
    <w:rsid w:val="00BA6DD7"/>
    <w:rsid w:val="00BA6EFA"/>
    <w:rsid w:val="00BA6F89"/>
    <w:rsid w:val="00BA71C2"/>
    <w:rsid w:val="00BA7250"/>
    <w:rsid w:val="00BA727E"/>
    <w:rsid w:val="00BA7281"/>
    <w:rsid w:val="00BA72B1"/>
    <w:rsid w:val="00BA72E4"/>
    <w:rsid w:val="00BA74A0"/>
    <w:rsid w:val="00BA779B"/>
    <w:rsid w:val="00BA7BCF"/>
    <w:rsid w:val="00BA7E57"/>
    <w:rsid w:val="00BA7F69"/>
    <w:rsid w:val="00BA7F8E"/>
    <w:rsid w:val="00BB04EB"/>
    <w:rsid w:val="00BB07F4"/>
    <w:rsid w:val="00BB0993"/>
    <w:rsid w:val="00BB09CF"/>
    <w:rsid w:val="00BB0A6C"/>
    <w:rsid w:val="00BB0A93"/>
    <w:rsid w:val="00BB0D2E"/>
    <w:rsid w:val="00BB0DA9"/>
    <w:rsid w:val="00BB10DC"/>
    <w:rsid w:val="00BB155F"/>
    <w:rsid w:val="00BB169C"/>
    <w:rsid w:val="00BB17A3"/>
    <w:rsid w:val="00BB18FB"/>
    <w:rsid w:val="00BB1A24"/>
    <w:rsid w:val="00BB1A2B"/>
    <w:rsid w:val="00BB1C46"/>
    <w:rsid w:val="00BB1C6F"/>
    <w:rsid w:val="00BB1D24"/>
    <w:rsid w:val="00BB1E32"/>
    <w:rsid w:val="00BB1E47"/>
    <w:rsid w:val="00BB1F73"/>
    <w:rsid w:val="00BB1FC5"/>
    <w:rsid w:val="00BB1FE9"/>
    <w:rsid w:val="00BB21D9"/>
    <w:rsid w:val="00BB2354"/>
    <w:rsid w:val="00BB2374"/>
    <w:rsid w:val="00BB2791"/>
    <w:rsid w:val="00BB2802"/>
    <w:rsid w:val="00BB2ADA"/>
    <w:rsid w:val="00BB2BB4"/>
    <w:rsid w:val="00BB2CF9"/>
    <w:rsid w:val="00BB2D89"/>
    <w:rsid w:val="00BB2EEA"/>
    <w:rsid w:val="00BB30FD"/>
    <w:rsid w:val="00BB31C5"/>
    <w:rsid w:val="00BB31CE"/>
    <w:rsid w:val="00BB31D2"/>
    <w:rsid w:val="00BB31F5"/>
    <w:rsid w:val="00BB32FD"/>
    <w:rsid w:val="00BB335A"/>
    <w:rsid w:val="00BB38D3"/>
    <w:rsid w:val="00BB3B38"/>
    <w:rsid w:val="00BB3D25"/>
    <w:rsid w:val="00BB3D5B"/>
    <w:rsid w:val="00BB3F70"/>
    <w:rsid w:val="00BB4050"/>
    <w:rsid w:val="00BB469E"/>
    <w:rsid w:val="00BB483D"/>
    <w:rsid w:val="00BB4895"/>
    <w:rsid w:val="00BB4ADE"/>
    <w:rsid w:val="00BB4CFF"/>
    <w:rsid w:val="00BB4DF5"/>
    <w:rsid w:val="00BB4F30"/>
    <w:rsid w:val="00BB5258"/>
    <w:rsid w:val="00BB53C5"/>
    <w:rsid w:val="00BB53C9"/>
    <w:rsid w:val="00BB544A"/>
    <w:rsid w:val="00BB551D"/>
    <w:rsid w:val="00BB5532"/>
    <w:rsid w:val="00BB5536"/>
    <w:rsid w:val="00BB55B3"/>
    <w:rsid w:val="00BB562D"/>
    <w:rsid w:val="00BB56BB"/>
    <w:rsid w:val="00BB572B"/>
    <w:rsid w:val="00BB5881"/>
    <w:rsid w:val="00BB5AAE"/>
    <w:rsid w:val="00BB5AB6"/>
    <w:rsid w:val="00BB5C03"/>
    <w:rsid w:val="00BB5D52"/>
    <w:rsid w:val="00BB5F95"/>
    <w:rsid w:val="00BB6079"/>
    <w:rsid w:val="00BB63BD"/>
    <w:rsid w:val="00BB64CC"/>
    <w:rsid w:val="00BB6518"/>
    <w:rsid w:val="00BB659E"/>
    <w:rsid w:val="00BB66E3"/>
    <w:rsid w:val="00BB6720"/>
    <w:rsid w:val="00BB67C9"/>
    <w:rsid w:val="00BB68AA"/>
    <w:rsid w:val="00BB68E6"/>
    <w:rsid w:val="00BB6A80"/>
    <w:rsid w:val="00BB6AD0"/>
    <w:rsid w:val="00BB6B5A"/>
    <w:rsid w:val="00BB6C7F"/>
    <w:rsid w:val="00BB6CE2"/>
    <w:rsid w:val="00BB6D4F"/>
    <w:rsid w:val="00BB6FCF"/>
    <w:rsid w:val="00BB7039"/>
    <w:rsid w:val="00BB7171"/>
    <w:rsid w:val="00BB71F9"/>
    <w:rsid w:val="00BB75DD"/>
    <w:rsid w:val="00BB760D"/>
    <w:rsid w:val="00BB776C"/>
    <w:rsid w:val="00BB7865"/>
    <w:rsid w:val="00BB7983"/>
    <w:rsid w:val="00BB7A86"/>
    <w:rsid w:val="00BB7B3B"/>
    <w:rsid w:val="00BB7C09"/>
    <w:rsid w:val="00BB7C2C"/>
    <w:rsid w:val="00BB7C2F"/>
    <w:rsid w:val="00BB7C3E"/>
    <w:rsid w:val="00BB7EB6"/>
    <w:rsid w:val="00BB7F63"/>
    <w:rsid w:val="00BC00C3"/>
    <w:rsid w:val="00BC00F6"/>
    <w:rsid w:val="00BC014C"/>
    <w:rsid w:val="00BC037F"/>
    <w:rsid w:val="00BC063D"/>
    <w:rsid w:val="00BC0665"/>
    <w:rsid w:val="00BC0759"/>
    <w:rsid w:val="00BC07D3"/>
    <w:rsid w:val="00BC081F"/>
    <w:rsid w:val="00BC09B8"/>
    <w:rsid w:val="00BC0A7D"/>
    <w:rsid w:val="00BC0A92"/>
    <w:rsid w:val="00BC0AE6"/>
    <w:rsid w:val="00BC0B1C"/>
    <w:rsid w:val="00BC0E1F"/>
    <w:rsid w:val="00BC0F14"/>
    <w:rsid w:val="00BC1166"/>
    <w:rsid w:val="00BC1312"/>
    <w:rsid w:val="00BC1364"/>
    <w:rsid w:val="00BC13A5"/>
    <w:rsid w:val="00BC1448"/>
    <w:rsid w:val="00BC14AF"/>
    <w:rsid w:val="00BC16A9"/>
    <w:rsid w:val="00BC1717"/>
    <w:rsid w:val="00BC1BB6"/>
    <w:rsid w:val="00BC1BC3"/>
    <w:rsid w:val="00BC1C77"/>
    <w:rsid w:val="00BC1E49"/>
    <w:rsid w:val="00BC1F8C"/>
    <w:rsid w:val="00BC2000"/>
    <w:rsid w:val="00BC213E"/>
    <w:rsid w:val="00BC227D"/>
    <w:rsid w:val="00BC2549"/>
    <w:rsid w:val="00BC267F"/>
    <w:rsid w:val="00BC2747"/>
    <w:rsid w:val="00BC288A"/>
    <w:rsid w:val="00BC2BCF"/>
    <w:rsid w:val="00BC2C83"/>
    <w:rsid w:val="00BC2E49"/>
    <w:rsid w:val="00BC3074"/>
    <w:rsid w:val="00BC31CF"/>
    <w:rsid w:val="00BC31E9"/>
    <w:rsid w:val="00BC325D"/>
    <w:rsid w:val="00BC32B9"/>
    <w:rsid w:val="00BC3657"/>
    <w:rsid w:val="00BC36D0"/>
    <w:rsid w:val="00BC39AE"/>
    <w:rsid w:val="00BC39B1"/>
    <w:rsid w:val="00BC3AEE"/>
    <w:rsid w:val="00BC3B9C"/>
    <w:rsid w:val="00BC3CD9"/>
    <w:rsid w:val="00BC3EAA"/>
    <w:rsid w:val="00BC3EE5"/>
    <w:rsid w:val="00BC3F04"/>
    <w:rsid w:val="00BC3F1E"/>
    <w:rsid w:val="00BC4104"/>
    <w:rsid w:val="00BC416C"/>
    <w:rsid w:val="00BC41AE"/>
    <w:rsid w:val="00BC423D"/>
    <w:rsid w:val="00BC42C3"/>
    <w:rsid w:val="00BC4432"/>
    <w:rsid w:val="00BC44E6"/>
    <w:rsid w:val="00BC460A"/>
    <w:rsid w:val="00BC4612"/>
    <w:rsid w:val="00BC46B3"/>
    <w:rsid w:val="00BC4761"/>
    <w:rsid w:val="00BC498C"/>
    <w:rsid w:val="00BC4ADC"/>
    <w:rsid w:val="00BC4BAA"/>
    <w:rsid w:val="00BC4F0C"/>
    <w:rsid w:val="00BC4FC8"/>
    <w:rsid w:val="00BC504D"/>
    <w:rsid w:val="00BC507D"/>
    <w:rsid w:val="00BC50E7"/>
    <w:rsid w:val="00BC517B"/>
    <w:rsid w:val="00BC53DD"/>
    <w:rsid w:val="00BC5450"/>
    <w:rsid w:val="00BC545C"/>
    <w:rsid w:val="00BC54A6"/>
    <w:rsid w:val="00BC5512"/>
    <w:rsid w:val="00BC56DE"/>
    <w:rsid w:val="00BC56F4"/>
    <w:rsid w:val="00BC5754"/>
    <w:rsid w:val="00BC583D"/>
    <w:rsid w:val="00BC584A"/>
    <w:rsid w:val="00BC5869"/>
    <w:rsid w:val="00BC5A21"/>
    <w:rsid w:val="00BC5B90"/>
    <w:rsid w:val="00BC5C5C"/>
    <w:rsid w:val="00BC5C89"/>
    <w:rsid w:val="00BC5D83"/>
    <w:rsid w:val="00BC60D0"/>
    <w:rsid w:val="00BC6297"/>
    <w:rsid w:val="00BC6374"/>
    <w:rsid w:val="00BC68CE"/>
    <w:rsid w:val="00BC6AD7"/>
    <w:rsid w:val="00BC6B24"/>
    <w:rsid w:val="00BC6C44"/>
    <w:rsid w:val="00BC6CB0"/>
    <w:rsid w:val="00BC6D08"/>
    <w:rsid w:val="00BC6DCE"/>
    <w:rsid w:val="00BC6EB1"/>
    <w:rsid w:val="00BC6F3B"/>
    <w:rsid w:val="00BC6F8B"/>
    <w:rsid w:val="00BC7266"/>
    <w:rsid w:val="00BC758E"/>
    <w:rsid w:val="00BC75DB"/>
    <w:rsid w:val="00BC75DC"/>
    <w:rsid w:val="00BC75EE"/>
    <w:rsid w:val="00BC77C2"/>
    <w:rsid w:val="00BC78A3"/>
    <w:rsid w:val="00BC78B8"/>
    <w:rsid w:val="00BC7C49"/>
    <w:rsid w:val="00BC7D0B"/>
    <w:rsid w:val="00BC7D28"/>
    <w:rsid w:val="00BC7F52"/>
    <w:rsid w:val="00BD014A"/>
    <w:rsid w:val="00BD0257"/>
    <w:rsid w:val="00BD02E3"/>
    <w:rsid w:val="00BD0396"/>
    <w:rsid w:val="00BD0552"/>
    <w:rsid w:val="00BD0636"/>
    <w:rsid w:val="00BD06FF"/>
    <w:rsid w:val="00BD0ACE"/>
    <w:rsid w:val="00BD0B46"/>
    <w:rsid w:val="00BD0BF9"/>
    <w:rsid w:val="00BD0C2A"/>
    <w:rsid w:val="00BD0CE8"/>
    <w:rsid w:val="00BD0D58"/>
    <w:rsid w:val="00BD0F48"/>
    <w:rsid w:val="00BD126F"/>
    <w:rsid w:val="00BD16DF"/>
    <w:rsid w:val="00BD18E9"/>
    <w:rsid w:val="00BD1B18"/>
    <w:rsid w:val="00BD1B6F"/>
    <w:rsid w:val="00BD1D71"/>
    <w:rsid w:val="00BD1E29"/>
    <w:rsid w:val="00BD216F"/>
    <w:rsid w:val="00BD2212"/>
    <w:rsid w:val="00BD23C8"/>
    <w:rsid w:val="00BD2466"/>
    <w:rsid w:val="00BD2545"/>
    <w:rsid w:val="00BD25A0"/>
    <w:rsid w:val="00BD26C3"/>
    <w:rsid w:val="00BD26C5"/>
    <w:rsid w:val="00BD27BC"/>
    <w:rsid w:val="00BD2B89"/>
    <w:rsid w:val="00BD2BE8"/>
    <w:rsid w:val="00BD2D22"/>
    <w:rsid w:val="00BD2E06"/>
    <w:rsid w:val="00BD2E37"/>
    <w:rsid w:val="00BD3103"/>
    <w:rsid w:val="00BD31EC"/>
    <w:rsid w:val="00BD357D"/>
    <w:rsid w:val="00BD37E2"/>
    <w:rsid w:val="00BD3AA6"/>
    <w:rsid w:val="00BD3B77"/>
    <w:rsid w:val="00BD3BA0"/>
    <w:rsid w:val="00BD3C1C"/>
    <w:rsid w:val="00BD3C71"/>
    <w:rsid w:val="00BD3C74"/>
    <w:rsid w:val="00BD3C84"/>
    <w:rsid w:val="00BD3DF9"/>
    <w:rsid w:val="00BD3F92"/>
    <w:rsid w:val="00BD4022"/>
    <w:rsid w:val="00BD402C"/>
    <w:rsid w:val="00BD431E"/>
    <w:rsid w:val="00BD43E7"/>
    <w:rsid w:val="00BD44B8"/>
    <w:rsid w:val="00BD4607"/>
    <w:rsid w:val="00BD4658"/>
    <w:rsid w:val="00BD4759"/>
    <w:rsid w:val="00BD4AA7"/>
    <w:rsid w:val="00BD4C71"/>
    <w:rsid w:val="00BD4D07"/>
    <w:rsid w:val="00BD4DEA"/>
    <w:rsid w:val="00BD4E97"/>
    <w:rsid w:val="00BD4F81"/>
    <w:rsid w:val="00BD501E"/>
    <w:rsid w:val="00BD5031"/>
    <w:rsid w:val="00BD5081"/>
    <w:rsid w:val="00BD52DD"/>
    <w:rsid w:val="00BD53BC"/>
    <w:rsid w:val="00BD552E"/>
    <w:rsid w:val="00BD5604"/>
    <w:rsid w:val="00BD56A5"/>
    <w:rsid w:val="00BD5870"/>
    <w:rsid w:val="00BD5ACD"/>
    <w:rsid w:val="00BD5B8C"/>
    <w:rsid w:val="00BD5CAA"/>
    <w:rsid w:val="00BD5E01"/>
    <w:rsid w:val="00BD5EA9"/>
    <w:rsid w:val="00BD5F21"/>
    <w:rsid w:val="00BD60FC"/>
    <w:rsid w:val="00BD6107"/>
    <w:rsid w:val="00BD61BE"/>
    <w:rsid w:val="00BD6232"/>
    <w:rsid w:val="00BD634B"/>
    <w:rsid w:val="00BD6521"/>
    <w:rsid w:val="00BD65A3"/>
    <w:rsid w:val="00BD667E"/>
    <w:rsid w:val="00BD6699"/>
    <w:rsid w:val="00BD6806"/>
    <w:rsid w:val="00BD6836"/>
    <w:rsid w:val="00BD689C"/>
    <w:rsid w:val="00BD69E1"/>
    <w:rsid w:val="00BD6A4B"/>
    <w:rsid w:val="00BD6D83"/>
    <w:rsid w:val="00BD7005"/>
    <w:rsid w:val="00BD7199"/>
    <w:rsid w:val="00BD72EE"/>
    <w:rsid w:val="00BD7305"/>
    <w:rsid w:val="00BD733F"/>
    <w:rsid w:val="00BD736F"/>
    <w:rsid w:val="00BD73D3"/>
    <w:rsid w:val="00BD7441"/>
    <w:rsid w:val="00BD7526"/>
    <w:rsid w:val="00BD7584"/>
    <w:rsid w:val="00BD7655"/>
    <w:rsid w:val="00BD7752"/>
    <w:rsid w:val="00BD7ABF"/>
    <w:rsid w:val="00BD7BAC"/>
    <w:rsid w:val="00BD7E45"/>
    <w:rsid w:val="00BE023C"/>
    <w:rsid w:val="00BE0412"/>
    <w:rsid w:val="00BE047D"/>
    <w:rsid w:val="00BE0A96"/>
    <w:rsid w:val="00BE0D73"/>
    <w:rsid w:val="00BE13AA"/>
    <w:rsid w:val="00BE13CE"/>
    <w:rsid w:val="00BE1442"/>
    <w:rsid w:val="00BE1553"/>
    <w:rsid w:val="00BE1662"/>
    <w:rsid w:val="00BE17E4"/>
    <w:rsid w:val="00BE18E0"/>
    <w:rsid w:val="00BE1951"/>
    <w:rsid w:val="00BE1B1F"/>
    <w:rsid w:val="00BE1CE7"/>
    <w:rsid w:val="00BE1D08"/>
    <w:rsid w:val="00BE1E33"/>
    <w:rsid w:val="00BE228E"/>
    <w:rsid w:val="00BE24EB"/>
    <w:rsid w:val="00BE2542"/>
    <w:rsid w:val="00BE2694"/>
    <w:rsid w:val="00BE26B1"/>
    <w:rsid w:val="00BE2879"/>
    <w:rsid w:val="00BE2C1A"/>
    <w:rsid w:val="00BE2C62"/>
    <w:rsid w:val="00BE2FA4"/>
    <w:rsid w:val="00BE2FFA"/>
    <w:rsid w:val="00BE3024"/>
    <w:rsid w:val="00BE302E"/>
    <w:rsid w:val="00BE3086"/>
    <w:rsid w:val="00BE30A9"/>
    <w:rsid w:val="00BE324B"/>
    <w:rsid w:val="00BE343F"/>
    <w:rsid w:val="00BE36E0"/>
    <w:rsid w:val="00BE39CE"/>
    <w:rsid w:val="00BE3AE9"/>
    <w:rsid w:val="00BE3FFB"/>
    <w:rsid w:val="00BE4131"/>
    <w:rsid w:val="00BE41EA"/>
    <w:rsid w:val="00BE430F"/>
    <w:rsid w:val="00BE4AFB"/>
    <w:rsid w:val="00BE4CB7"/>
    <w:rsid w:val="00BE4D7F"/>
    <w:rsid w:val="00BE4DB0"/>
    <w:rsid w:val="00BE4FC4"/>
    <w:rsid w:val="00BE503F"/>
    <w:rsid w:val="00BE53FD"/>
    <w:rsid w:val="00BE54B4"/>
    <w:rsid w:val="00BE54CF"/>
    <w:rsid w:val="00BE55F8"/>
    <w:rsid w:val="00BE581A"/>
    <w:rsid w:val="00BE5A41"/>
    <w:rsid w:val="00BE5B78"/>
    <w:rsid w:val="00BE5FA4"/>
    <w:rsid w:val="00BE5FDE"/>
    <w:rsid w:val="00BE612D"/>
    <w:rsid w:val="00BE6363"/>
    <w:rsid w:val="00BE6644"/>
    <w:rsid w:val="00BE672A"/>
    <w:rsid w:val="00BE6901"/>
    <w:rsid w:val="00BE6C64"/>
    <w:rsid w:val="00BE6C74"/>
    <w:rsid w:val="00BE6CA8"/>
    <w:rsid w:val="00BE6DB0"/>
    <w:rsid w:val="00BE6E0D"/>
    <w:rsid w:val="00BE6F05"/>
    <w:rsid w:val="00BE6F22"/>
    <w:rsid w:val="00BE6F3C"/>
    <w:rsid w:val="00BE72D0"/>
    <w:rsid w:val="00BE73B1"/>
    <w:rsid w:val="00BE7728"/>
    <w:rsid w:val="00BE775A"/>
    <w:rsid w:val="00BE7788"/>
    <w:rsid w:val="00BE79EB"/>
    <w:rsid w:val="00BE7A3A"/>
    <w:rsid w:val="00BE7A9A"/>
    <w:rsid w:val="00BE7B28"/>
    <w:rsid w:val="00BE7D2D"/>
    <w:rsid w:val="00BE7E74"/>
    <w:rsid w:val="00BF01A8"/>
    <w:rsid w:val="00BF086B"/>
    <w:rsid w:val="00BF09E9"/>
    <w:rsid w:val="00BF0FBB"/>
    <w:rsid w:val="00BF1086"/>
    <w:rsid w:val="00BF10C7"/>
    <w:rsid w:val="00BF11CF"/>
    <w:rsid w:val="00BF11DD"/>
    <w:rsid w:val="00BF126D"/>
    <w:rsid w:val="00BF12A0"/>
    <w:rsid w:val="00BF12AA"/>
    <w:rsid w:val="00BF1692"/>
    <w:rsid w:val="00BF1806"/>
    <w:rsid w:val="00BF1948"/>
    <w:rsid w:val="00BF1969"/>
    <w:rsid w:val="00BF1CF1"/>
    <w:rsid w:val="00BF1D28"/>
    <w:rsid w:val="00BF1E50"/>
    <w:rsid w:val="00BF1E97"/>
    <w:rsid w:val="00BF1EBE"/>
    <w:rsid w:val="00BF1F37"/>
    <w:rsid w:val="00BF2223"/>
    <w:rsid w:val="00BF222C"/>
    <w:rsid w:val="00BF2265"/>
    <w:rsid w:val="00BF2705"/>
    <w:rsid w:val="00BF276E"/>
    <w:rsid w:val="00BF28F3"/>
    <w:rsid w:val="00BF2BCF"/>
    <w:rsid w:val="00BF2D90"/>
    <w:rsid w:val="00BF2E4F"/>
    <w:rsid w:val="00BF3039"/>
    <w:rsid w:val="00BF30F9"/>
    <w:rsid w:val="00BF3171"/>
    <w:rsid w:val="00BF326E"/>
    <w:rsid w:val="00BF3343"/>
    <w:rsid w:val="00BF3527"/>
    <w:rsid w:val="00BF384A"/>
    <w:rsid w:val="00BF3A45"/>
    <w:rsid w:val="00BF3AD7"/>
    <w:rsid w:val="00BF3E8C"/>
    <w:rsid w:val="00BF4099"/>
    <w:rsid w:val="00BF40B6"/>
    <w:rsid w:val="00BF46CA"/>
    <w:rsid w:val="00BF4806"/>
    <w:rsid w:val="00BF4898"/>
    <w:rsid w:val="00BF4B10"/>
    <w:rsid w:val="00BF4C6F"/>
    <w:rsid w:val="00BF4D1A"/>
    <w:rsid w:val="00BF4D5B"/>
    <w:rsid w:val="00BF4D66"/>
    <w:rsid w:val="00BF4E30"/>
    <w:rsid w:val="00BF5048"/>
    <w:rsid w:val="00BF5054"/>
    <w:rsid w:val="00BF5069"/>
    <w:rsid w:val="00BF50BC"/>
    <w:rsid w:val="00BF5186"/>
    <w:rsid w:val="00BF519A"/>
    <w:rsid w:val="00BF52D8"/>
    <w:rsid w:val="00BF55F7"/>
    <w:rsid w:val="00BF55FC"/>
    <w:rsid w:val="00BF55FD"/>
    <w:rsid w:val="00BF5644"/>
    <w:rsid w:val="00BF566A"/>
    <w:rsid w:val="00BF578D"/>
    <w:rsid w:val="00BF57BC"/>
    <w:rsid w:val="00BF5832"/>
    <w:rsid w:val="00BF59EA"/>
    <w:rsid w:val="00BF5BE2"/>
    <w:rsid w:val="00BF5CFD"/>
    <w:rsid w:val="00BF5E14"/>
    <w:rsid w:val="00BF5FF7"/>
    <w:rsid w:val="00BF6081"/>
    <w:rsid w:val="00BF60DA"/>
    <w:rsid w:val="00BF61E6"/>
    <w:rsid w:val="00BF62B7"/>
    <w:rsid w:val="00BF657F"/>
    <w:rsid w:val="00BF6640"/>
    <w:rsid w:val="00BF6747"/>
    <w:rsid w:val="00BF6A8E"/>
    <w:rsid w:val="00BF6E8A"/>
    <w:rsid w:val="00BF6F29"/>
    <w:rsid w:val="00BF6F99"/>
    <w:rsid w:val="00BF71F7"/>
    <w:rsid w:val="00BF749A"/>
    <w:rsid w:val="00BF75FA"/>
    <w:rsid w:val="00BF75FB"/>
    <w:rsid w:val="00BF7A3D"/>
    <w:rsid w:val="00BF7BB4"/>
    <w:rsid w:val="00C00020"/>
    <w:rsid w:val="00C00107"/>
    <w:rsid w:val="00C0042B"/>
    <w:rsid w:val="00C004AA"/>
    <w:rsid w:val="00C006C2"/>
    <w:rsid w:val="00C00813"/>
    <w:rsid w:val="00C008EF"/>
    <w:rsid w:val="00C00976"/>
    <w:rsid w:val="00C009F7"/>
    <w:rsid w:val="00C00AAD"/>
    <w:rsid w:val="00C00D3B"/>
    <w:rsid w:val="00C00D81"/>
    <w:rsid w:val="00C00FFC"/>
    <w:rsid w:val="00C0108A"/>
    <w:rsid w:val="00C01168"/>
    <w:rsid w:val="00C014D2"/>
    <w:rsid w:val="00C014F3"/>
    <w:rsid w:val="00C01516"/>
    <w:rsid w:val="00C01573"/>
    <w:rsid w:val="00C015EC"/>
    <w:rsid w:val="00C016B3"/>
    <w:rsid w:val="00C01705"/>
    <w:rsid w:val="00C01710"/>
    <w:rsid w:val="00C01785"/>
    <w:rsid w:val="00C0179A"/>
    <w:rsid w:val="00C01A9B"/>
    <w:rsid w:val="00C01DBC"/>
    <w:rsid w:val="00C01E3A"/>
    <w:rsid w:val="00C02057"/>
    <w:rsid w:val="00C020E7"/>
    <w:rsid w:val="00C02118"/>
    <w:rsid w:val="00C02132"/>
    <w:rsid w:val="00C0223D"/>
    <w:rsid w:val="00C0244F"/>
    <w:rsid w:val="00C0247E"/>
    <w:rsid w:val="00C025AA"/>
    <w:rsid w:val="00C0261E"/>
    <w:rsid w:val="00C02624"/>
    <w:rsid w:val="00C026C4"/>
    <w:rsid w:val="00C028F0"/>
    <w:rsid w:val="00C02968"/>
    <w:rsid w:val="00C02A5B"/>
    <w:rsid w:val="00C02B33"/>
    <w:rsid w:val="00C02BDE"/>
    <w:rsid w:val="00C02E2D"/>
    <w:rsid w:val="00C02FE2"/>
    <w:rsid w:val="00C0300C"/>
    <w:rsid w:val="00C030FE"/>
    <w:rsid w:val="00C03110"/>
    <w:rsid w:val="00C032AE"/>
    <w:rsid w:val="00C03398"/>
    <w:rsid w:val="00C0350F"/>
    <w:rsid w:val="00C035A6"/>
    <w:rsid w:val="00C03950"/>
    <w:rsid w:val="00C03DCA"/>
    <w:rsid w:val="00C03FB0"/>
    <w:rsid w:val="00C03FD1"/>
    <w:rsid w:val="00C03FD4"/>
    <w:rsid w:val="00C03FF7"/>
    <w:rsid w:val="00C04025"/>
    <w:rsid w:val="00C0417C"/>
    <w:rsid w:val="00C041D9"/>
    <w:rsid w:val="00C04364"/>
    <w:rsid w:val="00C04591"/>
    <w:rsid w:val="00C045BC"/>
    <w:rsid w:val="00C046DA"/>
    <w:rsid w:val="00C0477D"/>
    <w:rsid w:val="00C0482F"/>
    <w:rsid w:val="00C04948"/>
    <w:rsid w:val="00C04991"/>
    <w:rsid w:val="00C04A95"/>
    <w:rsid w:val="00C04AC5"/>
    <w:rsid w:val="00C04B59"/>
    <w:rsid w:val="00C04F67"/>
    <w:rsid w:val="00C04F98"/>
    <w:rsid w:val="00C052AA"/>
    <w:rsid w:val="00C0554C"/>
    <w:rsid w:val="00C055C0"/>
    <w:rsid w:val="00C059A0"/>
    <w:rsid w:val="00C05A2E"/>
    <w:rsid w:val="00C05C0F"/>
    <w:rsid w:val="00C05C62"/>
    <w:rsid w:val="00C05EBE"/>
    <w:rsid w:val="00C05FF9"/>
    <w:rsid w:val="00C0615A"/>
    <w:rsid w:val="00C06174"/>
    <w:rsid w:val="00C06185"/>
    <w:rsid w:val="00C06190"/>
    <w:rsid w:val="00C0634E"/>
    <w:rsid w:val="00C06397"/>
    <w:rsid w:val="00C063A0"/>
    <w:rsid w:val="00C0642A"/>
    <w:rsid w:val="00C066B7"/>
    <w:rsid w:val="00C067B0"/>
    <w:rsid w:val="00C067BF"/>
    <w:rsid w:val="00C06984"/>
    <w:rsid w:val="00C06B2E"/>
    <w:rsid w:val="00C07193"/>
    <w:rsid w:val="00C074DC"/>
    <w:rsid w:val="00C07735"/>
    <w:rsid w:val="00C078F8"/>
    <w:rsid w:val="00C079BF"/>
    <w:rsid w:val="00C079DA"/>
    <w:rsid w:val="00C07C0B"/>
    <w:rsid w:val="00C07C43"/>
    <w:rsid w:val="00C07F39"/>
    <w:rsid w:val="00C101F6"/>
    <w:rsid w:val="00C102EB"/>
    <w:rsid w:val="00C1076E"/>
    <w:rsid w:val="00C10865"/>
    <w:rsid w:val="00C108DF"/>
    <w:rsid w:val="00C108EF"/>
    <w:rsid w:val="00C10D4D"/>
    <w:rsid w:val="00C10D8F"/>
    <w:rsid w:val="00C10D99"/>
    <w:rsid w:val="00C10E5E"/>
    <w:rsid w:val="00C10F51"/>
    <w:rsid w:val="00C110A6"/>
    <w:rsid w:val="00C1156D"/>
    <w:rsid w:val="00C11578"/>
    <w:rsid w:val="00C115A2"/>
    <w:rsid w:val="00C116DA"/>
    <w:rsid w:val="00C11C86"/>
    <w:rsid w:val="00C11D9C"/>
    <w:rsid w:val="00C11EDD"/>
    <w:rsid w:val="00C11EF0"/>
    <w:rsid w:val="00C11EF3"/>
    <w:rsid w:val="00C12167"/>
    <w:rsid w:val="00C122D3"/>
    <w:rsid w:val="00C12338"/>
    <w:rsid w:val="00C1237D"/>
    <w:rsid w:val="00C126B2"/>
    <w:rsid w:val="00C1277D"/>
    <w:rsid w:val="00C1296C"/>
    <w:rsid w:val="00C12B2A"/>
    <w:rsid w:val="00C12C68"/>
    <w:rsid w:val="00C12D93"/>
    <w:rsid w:val="00C12DDA"/>
    <w:rsid w:val="00C12DE2"/>
    <w:rsid w:val="00C12FCC"/>
    <w:rsid w:val="00C13427"/>
    <w:rsid w:val="00C13870"/>
    <w:rsid w:val="00C13BF3"/>
    <w:rsid w:val="00C13C04"/>
    <w:rsid w:val="00C13EA2"/>
    <w:rsid w:val="00C13F89"/>
    <w:rsid w:val="00C13FB3"/>
    <w:rsid w:val="00C13FDB"/>
    <w:rsid w:val="00C1409F"/>
    <w:rsid w:val="00C14240"/>
    <w:rsid w:val="00C14260"/>
    <w:rsid w:val="00C1429A"/>
    <w:rsid w:val="00C142C1"/>
    <w:rsid w:val="00C14300"/>
    <w:rsid w:val="00C14395"/>
    <w:rsid w:val="00C145D1"/>
    <w:rsid w:val="00C146C6"/>
    <w:rsid w:val="00C1489E"/>
    <w:rsid w:val="00C148F1"/>
    <w:rsid w:val="00C1491C"/>
    <w:rsid w:val="00C14A54"/>
    <w:rsid w:val="00C14AE9"/>
    <w:rsid w:val="00C14B96"/>
    <w:rsid w:val="00C14D2A"/>
    <w:rsid w:val="00C14E76"/>
    <w:rsid w:val="00C14F75"/>
    <w:rsid w:val="00C14F85"/>
    <w:rsid w:val="00C1522B"/>
    <w:rsid w:val="00C15237"/>
    <w:rsid w:val="00C153BB"/>
    <w:rsid w:val="00C15530"/>
    <w:rsid w:val="00C15651"/>
    <w:rsid w:val="00C15747"/>
    <w:rsid w:val="00C157D7"/>
    <w:rsid w:val="00C15934"/>
    <w:rsid w:val="00C1594C"/>
    <w:rsid w:val="00C15C75"/>
    <w:rsid w:val="00C15E4E"/>
    <w:rsid w:val="00C15E70"/>
    <w:rsid w:val="00C15E8B"/>
    <w:rsid w:val="00C15EE2"/>
    <w:rsid w:val="00C15EF8"/>
    <w:rsid w:val="00C15F53"/>
    <w:rsid w:val="00C16172"/>
    <w:rsid w:val="00C16270"/>
    <w:rsid w:val="00C165F2"/>
    <w:rsid w:val="00C166AC"/>
    <w:rsid w:val="00C16776"/>
    <w:rsid w:val="00C16B94"/>
    <w:rsid w:val="00C16F76"/>
    <w:rsid w:val="00C1709C"/>
    <w:rsid w:val="00C170BA"/>
    <w:rsid w:val="00C17117"/>
    <w:rsid w:val="00C174A9"/>
    <w:rsid w:val="00C17530"/>
    <w:rsid w:val="00C17578"/>
    <w:rsid w:val="00C17654"/>
    <w:rsid w:val="00C17A4A"/>
    <w:rsid w:val="00C17E17"/>
    <w:rsid w:val="00C17EF9"/>
    <w:rsid w:val="00C2038E"/>
    <w:rsid w:val="00C2038F"/>
    <w:rsid w:val="00C20453"/>
    <w:rsid w:val="00C2047D"/>
    <w:rsid w:val="00C20507"/>
    <w:rsid w:val="00C207FD"/>
    <w:rsid w:val="00C208A8"/>
    <w:rsid w:val="00C209A7"/>
    <w:rsid w:val="00C20A27"/>
    <w:rsid w:val="00C20BD6"/>
    <w:rsid w:val="00C20C24"/>
    <w:rsid w:val="00C20C60"/>
    <w:rsid w:val="00C20C73"/>
    <w:rsid w:val="00C20E72"/>
    <w:rsid w:val="00C212AB"/>
    <w:rsid w:val="00C21832"/>
    <w:rsid w:val="00C21AA8"/>
    <w:rsid w:val="00C21CF3"/>
    <w:rsid w:val="00C21DDE"/>
    <w:rsid w:val="00C21F80"/>
    <w:rsid w:val="00C22065"/>
    <w:rsid w:val="00C220F0"/>
    <w:rsid w:val="00C2216D"/>
    <w:rsid w:val="00C221A6"/>
    <w:rsid w:val="00C22209"/>
    <w:rsid w:val="00C22268"/>
    <w:rsid w:val="00C222A1"/>
    <w:rsid w:val="00C2236D"/>
    <w:rsid w:val="00C223A9"/>
    <w:rsid w:val="00C2260C"/>
    <w:rsid w:val="00C22671"/>
    <w:rsid w:val="00C2293E"/>
    <w:rsid w:val="00C23084"/>
    <w:rsid w:val="00C23166"/>
    <w:rsid w:val="00C231A1"/>
    <w:rsid w:val="00C23264"/>
    <w:rsid w:val="00C23356"/>
    <w:rsid w:val="00C23407"/>
    <w:rsid w:val="00C23529"/>
    <w:rsid w:val="00C2385D"/>
    <w:rsid w:val="00C23921"/>
    <w:rsid w:val="00C23AD5"/>
    <w:rsid w:val="00C23CA2"/>
    <w:rsid w:val="00C23CAC"/>
    <w:rsid w:val="00C2411A"/>
    <w:rsid w:val="00C24283"/>
    <w:rsid w:val="00C24686"/>
    <w:rsid w:val="00C24883"/>
    <w:rsid w:val="00C249D6"/>
    <w:rsid w:val="00C24AC1"/>
    <w:rsid w:val="00C24BAF"/>
    <w:rsid w:val="00C24DEF"/>
    <w:rsid w:val="00C24E26"/>
    <w:rsid w:val="00C251AF"/>
    <w:rsid w:val="00C25239"/>
    <w:rsid w:val="00C25296"/>
    <w:rsid w:val="00C25339"/>
    <w:rsid w:val="00C25385"/>
    <w:rsid w:val="00C254EE"/>
    <w:rsid w:val="00C25788"/>
    <w:rsid w:val="00C25901"/>
    <w:rsid w:val="00C25B85"/>
    <w:rsid w:val="00C25BC0"/>
    <w:rsid w:val="00C25C5D"/>
    <w:rsid w:val="00C25F4B"/>
    <w:rsid w:val="00C2667D"/>
    <w:rsid w:val="00C268AB"/>
    <w:rsid w:val="00C2696D"/>
    <w:rsid w:val="00C26AE3"/>
    <w:rsid w:val="00C26BEF"/>
    <w:rsid w:val="00C26C02"/>
    <w:rsid w:val="00C26DF0"/>
    <w:rsid w:val="00C26E3B"/>
    <w:rsid w:val="00C272B9"/>
    <w:rsid w:val="00C274F7"/>
    <w:rsid w:val="00C27555"/>
    <w:rsid w:val="00C27722"/>
    <w:rsid w:val="00C278F0"/>
    <w:rsid w:val="00C2792A"/>
    <w:rsid w:val="00C27B18"/>
    <w:rsid w:val="00C27BCF"/>
    <w:rsid w:val="00C27C68"/>
    <w:rsid w:val="00C27E5A"/>
    <w:rsid w:val="00C27F09"/>
    <w:rsid w:val="00C30072"/>
    <w:rsid w:val="00C300AA"/>
    <w:rsid w:val="00C30260"/>
    <w:rsid w:val="00C30362"/>
    <w:rsid w:val="00C30548"/>
    <w:rsid w:val="00C308D3"/>
    <w:rsid w:val="00C308F5"/>
    <w:rsid w:val="00C30A5B"/>
    <w:rsid w:val="00C30AA8"/>
    <w:rsid w:val="00C30CF9"/>
    <w:rsid w:val="00C30D62"/>
    <w:rsid w:val="00C30E60"/>
    <w:rsid w:val="00C30EA2"/>
    <w:rsid w:val="00C30EB6"/>
    <w:rsid w:val="00C310DD"/>
    <w:rsid w:val="00C3129E"/>
    <w:rsid w:val="00C3156D"/>
    <w:rsid w:val="00C3161B"/>
    <w:rsid w:val="00C31979"/>
    <w:rsid w:val="00C31A76"/>
    <w:rsid w:val="00C31B3A"/>
    <w:rsid w:val="00C31E08"/>
    <w:rsid w:val="00C31E22"/>
    <w:rsid w:val="00C31E75"/>
    <w:rsid w:val="00C31ECA"/>
    <w:rsid w:val="00C32157"/>
    <w:rsid w:val="00C32244"/>
    <w:rsid w:val="00C3224F"/>
    <w:rsid w:val="00C3231E"/>
    <w:rsid w:val="00C3261E"/>
    <w:rsid w:val="00C32671"/>
    <w:rsid w:val="00C32A98"/>
    <w:rsid w:val="00C32AAC"/>
    <w:rsid w:val="00C32BA6"/>
    <w:rsid w:val="00C32DA4"/>
    <w:rsid w:val="00C32E69"/>
    <w:rsid w:val="00C32E8A"/>
    <w:rsid w:val="00C32F5D"/>
    <w:rsid w:val="00C33023"/>
    <w:rsid w:val="00C330A4"/>
    <w:rsid w:val="00C3335E"/>
    <w:rsid w:val="00C33521"/>
    <w:rsid w:val="00C335C3"/>
    <w:rsid w:val="00C33A66"/>
    <w:rsid w:val="00C33BB1"/>
    <w:rsid w:val="00C33C16"/>
    <w:rsid w:val="00C33CB4"/>
    <w:rsid w:val="00C33D2C"/>
    <w:rsid w:val="00C33E05"/>
    <w:rsid w:val="00C33FE1"/>
    <w:rsid w:val="00C3429E"/>
    <w:rsid w:val="00C34370"/>
    <w:rsid w:val="00C344CB"/>
    <w:rsid w:val="00C345A2"/>
    <w:rsid w:val="00C3471A"/>
    <w:rsid w:val="00C34898"/>
    <w:rsid w:val="00C34965"/>
    <w:rsid w:val="00C34A9B"/>
    <w:rsid w:val="00C34CBA"/>
    <w:rsid w:val="00C34F76"/>
    <w:rsid w:val="00C350D6"/>
    <w:rsid w:val="00C351F1"/>
    <w:rsid w:val="00C35456"/>
    <w:rsid w:val="00C354B1"/>
    <w:rsid w:val="00C3551C"/>
    <w:rsid w:val="00C356C2"/>
    <w:rsid w:val="00C3591B"/>
    <w:rsid w:val="00C35A8B"/>
    <w:rsid w:val="00C35B6B"/>
    <w:rsid w:val="00C35CA9"/>
    <w:rsid w:val="00C35D9E"/>
    <w:rsid w:val="00C362C2"/>
    <w:rsid w:val="00C3638E"/>
    <w:rsid w:val="00C36400"/>
    <w:rsid w:val="00C366D8"/>
    <w:rsid w:val="00C3691B"/>
    <w:rsid w:val="00C36A6F"/>
    <w:rsid w:val="00C36B1C"/>
    <w:rsid w:val="00C36B7F"/>
    <w:rsid w:val="00C36BDB"/>
    <w:rsid w:val="00C36F18"/>
    <w:rsid w:val="00C3725C"/>
    <w:rsid w:val="00C37351"/>
    <w:rsid w:val="00C373CC"/>
    <w:rsid w:val="00C37625"/>
    <w:rsid w:val="00C376EE"/>
    <w:rsid w:val="00C378F5"/>
    <w:rsid w:val="00C37B1F"/>
    <w:rsid w:val="00C37C82"/>
    <w:rsid w:val="00C37D3B"/>
    <w:rsid w:val="00C39F1B"/>
    <w:rsid w:val="00C400D0"/>
    <w:rsid w:val="00C4039F"/>
    <w:rsid w:val="00C4048A"/>
    <w:rsid w:val="00C40490"/>
    <w:rsid w:val="00C404FC"/>
    <w:rsid w:val="00C405E8"/>
    <w:rsid w:val="00C40855"/>
    <w:rsid w:val="00C4098C"/>
    <w:rsid w:val="00C40AFD"/>
    <w:rsid w:val="00C40B6B"/>
    <w:rsid w:val="00C40C27"/>
    <w:rsid w:val="00C40C6B"/>
    <w:rsid w:val="00C4101B"/>
    <w:rsid w:val="00C4107B"/>
    <w:rsid w:val="00C4114B"/>
    <w:rsid w:val="00C412A8"/>
    <w:rsid w:val="00C41519"/>
    <w:rsid w:val="00C416FD"/>
    <w:rsid w:val="00C417D6"/>
    <w:rsid w:val="00C41869"/>
    <w:rsid w:val="00C418A1"/>
    <w:rsid w:val="00C41ACA"/>
    <w:rsid w:val="00C41C0B"/>
    <w:rsid w:val="00C41C85"/>
    <w:rsid w:val="00C41CA2"/>
    <w:rsid w:val="00C41DF4"/>
    <w:rsid w:val="00C41FA7"/>
    <w:rsid w:val="00C41FED"/>
    <w:rsid w:val="00C4204E"/>
    <w:rsid w:val="00C42593"/>
    <w:rsid w:val="00C4267D"/>
    <w:rsid w:val="00C4271E"/>
    <w:rsid w:val="00C428EA"/>
    <w:rsid w:val="00C42B0D"/>
    <w:rsid w:val="00C42C72"/>
    <w:rsid w:val="00C42DEC"/>
    <w:rsid w:val="00C42F45"/>
    <w:rsid w:val="00C42F97"/>
    <w:rsid w:val="00C4317D"/>
    <w:rsid w:val="00C43205"/>
    <w:rsid w:val="00C43478"/>
    <w:rsid w:val="00C436E7"/>
    <w:rsid w:val="00C4370F"/>
    <w:rsid w:val="00C4381F"/>
    <w:rsid w:val="00C4382E"/>
    <w:rsid w:val="00C4385F"/>
    <w:rsid w:val="00C4389F"/>
    <w:rsid w:val="00C4393E"/>
    <w:rsid w:val="00C43CAA"/>
    <w:rsid w:val="00C43DB2"/>
    <w:rsid w:val="00C43EB6"/>
    <w:rsid w:val="00C43FCD"/>
    <w:rsid w:val="00C43FF1"/>
    <w:rsid w:val="00C440F0"/>
    <w:rsid w:val="00C441CC"/>
    <w:rsid w:val="00C44966"/>
    <w:rsid w:val="00C44B83"/>
    <w:rsid w:val="00C44C20"/>
    <w:rsid w:val="00C44D0D"/>
    <w:rsid w:val="00C44DA4"/>
    <w:rsid w:val="00C44E96"/>
    <w:rsid w:val="00C44F97"/>
    <w:rsid w:val="00C44FFE"/>
    <w:rsid w:val="00C45176"/>
    <w:rsid w:val="00C451BC"/>
    <w:rsid w:val="00C4527B"/>
    <w:rsid w:val="00C4566B"/>
    <w:rsid w:val="00C457C0"/>
    <w:rsid w:val="00C45900"/>
    <w:rsid w:val="00C45A11"/>
    <w:rsid w:val="00C45BAF"/>
    <w:rsid w:val="00C45DF5"/>
    <w:rsid w:val="00C45FA7"/>
    <w:rsid w:val="00C46063"/>
    <w:rsid w:val="00C4608A"/>
    <w:rsid w:val="00C461FB"/>
    <w:rsid w:val="00C462CD"/>
    <w:rsid w:val="00C4646A"/>
    <w:rsid w:val="00C46BF5"/>
    <w:rsid w:val="00C47054"/>
    <w:rsid w:val="00C47221"/>
    <w:rsid w:val="00C47280"/>
    <w:rsid w:val="00C472F7"/>
    <w:rsid w:val="00C4736D"/>
    <w:rsid w:val="00C473D7"/>
    <w:rsid w:val="00C473F7"/>
    <w:rsid w:val="00C474B7"/>
    <w:rsid w:val="00C47604"/>
    <w:rsid w:val="00C47649"/>
    <w:rsid w:val="00C47712"/>
    <w:rsid w:val="00C4771D"/>
    <w:rsid w:val="00C47949"/>
    <w:rsid w:val="00C47BDB"/>
    <w:rsid w:val="00C5011A"/>
    <w:rsid w:val="00C5065B"/>
    <w:rsid w:val="00C50737"/>
    <w:rsid w:val="00C507FC"/>
    <w:rsid w:val="00C50DF5"/>
    <w:rsid w:val="00C50E58"/>
    <w:rsid w:val="00C51018"/>
    <w:rsid w:val="00C51058"/>
    <w:rsid w:val="00C511EF"/>
    <w:rsid w:val="00C51850"/>
    <w:rsid w:val="00C51913"/>
    <w:rsid w:val="00C51B8E"/>
    <w:rsid w:val="00C51D6A"/>
    <w:rsid w:val="00C52063"/>
    <w:rsid w:val="00C520D9"/>
    <w:rsid w:val="00C5221B"/>
    <w:rsid w:val="00C522E8"/>
    <w:rsid w:val="00C523F5"/>
    <w:rsid w:val="00C5245B"/>
    <w:rsid w:val="00C5286E"/>
    <w:rsid w:val="00C52908"/>
    <w:rsid w:val="00C52BB9"/>
    <w:rsid w:val="00C52C9F"/>
    <w:rsid w:val="00C52E70"/>
    <w:rsid w:val="00C5344B"/>
    <w:rsid w:val="00C53484"/>
    <w:rsid w:val="00C534A1"/>
    <w:rsid w:val="00C535BD"/>
    <w:rsid w:val="00C53676"/>
    <w:rsid w:val="00C536C4"/>
    <w:rsid w:val="00C537A3"/>
    <w:rsid w:val="00C5386B"/>
    <w:rsid w:val="00C53916"/>
    <w:rsid w:val="00C539C7"/>
    <w:rsid w:val="00C53B2E"/>
    <w:rsid w:val="00C53C87"/>
    <w:rsid w:val="00C53E76"/>
    <w:rsid w:val="00C53ECF"/>
    <w:rsid w:val="00C53FC1"/>
    <w:rsid w:val="00C54132"/>
    <w:rsid w:val="00C54166"/>
    <w:rsid w:val="00C54337"/>
    <w:rsid w:val="00C546B4"/>
    <w:rsid w:val="00C546BF"/>
    <w:rsid w:val="00C546F1"/>
    <w:rsid w:val="00C54A0B"/>
    <w:rsid w:val="00C54BE9"/>
    <w:rsid w:val="00C54C1A"/>
    <w:rsid w:val="00C54E3F"/>
    <w:rsid w:val="00C54E78"/>
    <w:rsid w:val="00C5509C"/>
    <w:rsid w:val="00C550EB"/>
    <w:rsid w:val="00C553C4"/>
    <w:rsid w:val="00C555AE"/>
    <w:rsid w:val="00C555D9"/>
    <w:rsid w:val="00C556CA"/>
    <w:rsid w:val="00C558D1"/>
    <w:rsid w:val="00C55A52"/>
    <w:rsid w:val="00C55AD6"/>
    <w:rsid w:val="00C55AF4"/>
    <w:rsid w:val="00C55B88"/>
    <w:rsid w:val="00C55E1C"/>
    <w:rsid w:val="00C55EA2"/>
    <w:rsid w:val="00C56136"/>
    <w:rsid w:val="00C5613E"/>
    <w:rsid w:val="00C56154"/>
    <w:rsid w:val="00C562EA"/>
    <w:rsid w:val="00C563EE"/>
    <w:rsid w:val="00C569BE"/>
    <w:rsid w:val="00C56B18"/>
    <w:rsid w:val="00C56C8B"/>
    <w:rsid w:val="00C56DC6"/>
    <w:rsid w:val="00C56DCA"/>
    <w:rsid w:val="00C5705A"/>
    <w:rsid w:val="00C570D9"/>
    <w:rsid w:val="00C57136"/>
    <w:rsid w:val="00C57173"/>
    <w:rsid w:val="00C5726B"/>
    <w:rsid w:val="00C57466"/>
    <w:rsid w:val="00C574E2"/>
    <w:rsid w:val="00C57647"/>
    <w:rsid w:val="00C576DF"/>
    <w:rsid w:val="00C57969"/>
    <w:rsid w:val="00C57A1A"/>
    <w:rsid w:val="00C57A9F"/>
    <w:rsid w:val="00C57AD9"/>
    <w:rsid w:val="00C57B36"/>
    <w:rsid w:val="00C57B50"/>
    <w:rsid w:val="00C57BC5"/>
    <w:rsid w:val="00C57C0D"/>
    <w:rsid w:val="00C57C6F"/>
    <w:rsid w:val="00C57E40"/>
    <w:rsid w:val="00C57E71"/>
    <w:rsid w:val="00C57E8F"/>
    <w:rsid w:val="00C57F65"/>
    <w:rsid w:val="00C600DE"/>
    <w:rsid w:val="00C60140"/>
    <w:rsid w:val="00C6018E"/>
    <w:rsid w:val="00C601A7"/>
    <w:rsid w:val="00C602E7"/>
    <w:rsid w:val="00C60576"/>
    <w:rsid w:val="00C60608"/>
    <w:rsid w:val="00C606AC"/>
    <w:rsid w:val="00C607C6"/>
    <w:rsid w:val="00C6099E"/>
    <w:rsid w:val="00C609B6"/>
    <w:rsid w:val="00C60B0F"/>
    <w:rsid w:val="00C60CA5"/>
    <w:rsid w:val="00C60EF2"/>
    <w:rsid w:val="00C60F3E"/>
    <w:rsid w:val="00C60F83"/>
    <w:rsid w:val="00C6108C"/>
    <w:rsid w:val="00C611AE"/>
    <w:rsid w:val="00C6139D"/>
    <w:rsid w:val="00C6161C"/>
    <w:rsid w:val="00C6163B"/>
    <w:rsid w:val="00C61A25"/>
    <w:rsid w:val="00C61B01"/>
    <w:rsid w:val="00C61B68"/>
    <w:rsid w:val="00C61B87"/>
    <w:rsid w:val="00C61BE0"/>
    <w:rsid w:val="00C61E8A"/>
    <w:rsid w:val="00C62062"/>
    <w:rsid w:val="00C6234D"/>
    <w:rsid w:val="00C6238F"/>
    <w:rsid w:val="00C6243F"/>
    <w:rsid w:val="00C626FD"/>
    <w:rsid w:val="00C6274B"/>
    <w:rsid w:val="00C62C21"/>
    <w:rsid w:val="00C62F4D"/>
    <w:rsid w:val="00C62F8A"/>
    <w:rsid w:val="00C63125"/>
    <w:rsid w:val="00C632C5"/>
    <w:rsid w:val="00C6364D"/>
    <w:rsid w:val="00C636B8"/>
    <w:rsid w:val="00C6376B"/>
    <w:rsid w:val="00C63C0E"/>
    <w:rsid w:val="00C6454D"/>
    <w:rsid w:val="00C6469E"/>
    <w:rsid w:val="00C64799"/>
    <w:rsid w:val="00C64ACA"/>
    <w:rsid w:val="00C64CBF"/>
    <w:rsid w:val="00C64CD6"/>
    <w:rsid w:val="00C64DC6"/>
    <w:rsid w:val="00C650D3"/>
    <w:rsid w:val="00C65238"/>
    <w:rsid w:val="00C652B3"/>
    <w:rsid w:val="00C652DF"/>
    <w:rsid w:val="00C6542D"/>
    <w:rsid w:val="00C654E2"/>
    <w:rsid w:val="00C654F8"/>
    <w:rsid w:val="00C65624"/>
    <w:rsid w:val="00C6567B"/>
    <w:rsid w:val="00C659CF"/>
    <w:rsid w:val="00C65B54"/>
    <w:rsid w:val="00C65BAC"/>
    <w:rsid w:val="00C65C4F"/>
    <w:rsid w:val="00C65C8D"/>
    <w:rsid w:val="00C65DD0"/>
    <w:rsid w:val="00C65E78"/>
    <w:rsid w:val="00C65ECD"/>
    <w:rsid w:val="00C65FB6"/>
    <w:rsid w:val="00C66077"/>
    <w:rsid w:val="00C66132"/>
    <w:rsid w:val="00C662CC"/>
    <w:rsid w:val="00C66360"/>
    <w:rsid w:val="00C669B7"/>
    <w:rsid w:val="00C669C9"/>
    <w:rsid w:val="00C669DF"/>
    <w:rsid w:val="00C66A30"/>
    <w:rsid w:val="00C66B0E"/>
    <w:rsid w:val="00C66DBF"/>
    <w:rsid w:val="00C66E03"/>
    <w:rsid w:val="00C66E75"/>
    <w:rsid w:val="00C670F6"/>
    <w:rsid w:val="00C67262"/>
    <w:rsid w:val="00C67356"/>
    <w:rsid w:val="00C67409"/>
    <w:rsid w:val="00C674A9"/>
    <w:rsid w:val="00C6750E"/>
    <w:rsid w:val="00C67729"/>
    <w:rsid w:val="00C67777"/>
    <w:rsid w:val="00C677D7"/>
    <w:rsid w:val="00C67804"/>
    <w:rsid w:val="00C67912"/>
    <w:rsid w:val="00C67A3D"/>
    <w:rsid w:val="00C67A83"/>
    <w:rsid w:val="00C67B3A"/>
    <w:rsid w:val="00C67E1C"/>
    <w:rsid w:val="00C67E61"/>
    <w:rsid w:val="00C67EFD"/>
    <w:rsid w:val="00C70028"/>
    <w:rsid w:val="00C7005B"/>
    <w:rsid w:val="00C70301"/>
    <w:rsid w:val="00C7033F"/>
    <w:rsid w:val="00C70397"/>
    <w:rsid w:val="00C70577"/>
    <w:rsid w:val="00C7066F"/>
    <w:rsid w:val="00C707C3"/>
    <w:rsid w:val="00C7088F"/>
    <w:rsid w:val="00C708BD"/>
    <w:rsid w:val="00C70902"/>
    <w:rsid w:val="00C70927"/>
    <w:rsid w:val="00C70CEF"/>
    <w:rsid w:val="00C70DA3"/>
    <w:rsid w:val="00C70FFF"/>
    <w:rsid w:val="00C7110D"/>
    <w:rsid w:val="00C711C6"/>
    <w:rsid w:val="00C71228"/>
    <w:rsid w:val="00C713B1"/>
    <w:rsid w:val="00C713D8"/>
    <w:rsid w:val="00C71494"/>
    <w:rsid w:val="00C714AE"/>
    <w:rsid w:val="00C715E6"/>
    <w:rsid w:val="00C716E1"/>
    <w:rsid w:val="00C716E7"/>
    <w:rsid w:val="00C71778"/>
    <w:rsid w:val="00C719C4"/>
    <w:rsid w:val="00C71AC3"/>
    <w:rsid w:val="00C71ADB"/>
    <w:rsid w:val="00C71B32"/>
    <w:rsid w:val="00C71B7E"/>
    <w:rsid w:val="00C71BFC"/>
    <w:rsid w:val="00C71C6C"/>
    <w:rsid w:val="00C71D17"/>
    <w:rsid w:val="00C71EBA"/>
    <w:rsid w:val="00C71FF5"/>
    <w:rsid w:val="00C72149"/>
    <w:rsid w:val="00C72283"/>
    <w:rsid w:val="00C72375"/>
    <w:rsid w:val="00C7252D"/>
    <w:rsid w:val="00C72B0B"/>
    <w:rsid w:val="00C72BEE"/>
    <w:rsid w:val="00C72C75"/>
    <w:rsid w:val="00C72F0C"/>
    <w:rsid w:val="00C72F20"/>
    <w:rsid w:val="00C73334"/>
    <w:rsid w:val="00C7342A"/>
    <w:rsid w:val="00C73456"/>
    <w:rsid w:val="00C735AD"/>
    <w:rsid w:val="00C737D3"/>
    <w:rsid w:val="00C73A4D"/>
    <w:rsid w:val="00C73AA6"/>
    <w:rsid w:val="00C73C14"/>
    <w:rsid w:val="00C73D8D"/>
    <w:rsid w:val="00C73DEC"/>
    <w:rsid w:val="00C73E1E"/>
    <w:rsid w:val="00C73F2D"/>
    <w:rsid w:val="00C73F9C"/>
    <w:rsid w:val="00C73FEC"/>
    <w:rsid w:val="00C74065"/>
    <w:rsid w:val="00C7421D"/>
    <w:rsid w:val="00C74279"/>
    <w:rsid w:val="00C7428C"/>
    <w:rsid w:val="00C742F1"/>
    <w:rsid w:val="00C74384"/>
    <w:rsid w:val="00C74447"/>
    <w:rsid w:val="00C745DE"/>
    <w:rsid w:val="00C747C5"/>
    <w:rsid w:val="00C748DA"/>
    <w:rsid w:val="00C74B0B"/>
    <w:rsid w:val="00C74B34"/>
    <w:rsid w:val="00C74B3F"/>
    <w:rsid w:val="00C74C65"/>
    <w:rsid w:val="00C74D49"/>
    <w:rsid w:val="00C74D91"/>
    <w:rsid w:val="00C74EAB"/>
    <w:rsid w:val="00C74ED0"/>
    <w:rsid w:val="00C751ED"/>
    <w:rsid w:val="00C7522D"/>
    <w:rsid w:val="00C753DE"/>
    <w:rsid w:val="00C75467"/>
    <w:rsid w:val="00C75482"/>
    <w:rsid w:val="00C7564B"/>
    <w:rsid w:val="00C75682"/>
    <w:rsid w:val="00C756FD"/>
    <w:rsid w:val="00C75849"/>
    <w:rsid w:val="00C758C7"/>
    <w:rsid w:val="00C75B59"/>
    <w:rsid w:val="00C75C99"/>
    <w:rsid w:val="00C75D6E"/>
    <w:rsid w:val="00C75D9E"/>
    <w:rsid w:val="00C75DCF"/>
    <w:rsid w:val="00C75E9B"/>
    <w:rsid w:val="00C76191"/>
    <w:rsid w:val="00C761D8"/>
    <w:rsid w:val="00C764DC"/>
    <w:rsid w:val="00C7652D"/>
    <w:rsid w:val="00C7653A"/>
    <w:rsid w:val="00C76580"/>
    <w:rsid w:val="00C765C2"/>
    <w:rsid w:val="00C76771"/>
    <w:rsid w:val="00C76889"/>
    <w:rsid w:val="00C76A6D"/>
    <w:rsid w:val="00C76B01"/>
    <w:rsid w:val="00C76BDC"/>
    <w:rsid w:val="00C76CFA"/>
    <w:rsid w:val="00C76FB4"/>
    <w:rsid w:val="00C76FBB"/>
    <w:rsid w:val="00C770B6"/>
    <w:rsid w:val="00C770D8"/>
    <w:rsid w:val="00C77163"/>
    <w:rsid w:val="00C77593"/>
    <w:rsid w:val="00C77BC4"/>
    <w:rsid w:val="00C77D52"/>
    <w:rsid w:val="00C77E80"/>
    <w:rsid w:val="00C80146"/>
    <w:rsid w:val="00C80212"/>
    <w:rsid w:val="00C8046D"/>
    <w:rsid w:val="00C8098B"/>
    <w:rsid w:val="00C809AB"/>
    <w:rsid w:val="00C80AF1"/>
    <w:rsid w:val="00C80B10"/>
    <w:rsid w:val="00C80D2C"/>
    <w:rsid w:val="00C80DC4"/>
    <w:rsid w:val="00C80EB5"/>
    <w:rsid w:val="00C80F00"/>
    <w:rsid w:val="00C80F44"/>
    <w:rsid w:val="00C81099"/>
    <w:rsid w:val="00C8129B"/>
    <w:rsid w:val="00C815FF"/>
    <w:rsid w:val="00C8164B"/>
    <w:rsid w:val="00C8170A"/>
    <w:rsid w:val="00C81762"/>
    <w:rsid w:val="00C81862"/>
    <w:rsid w:val="00C81A17"/>
    <w:rsid w:val="00C81B49"/>
    <w:rsid w:val="00C81B8B"/>
    <w:rsid w:val="00C81C5A"/>
    <w:rsid w:val="00C81CA0"/>
    <w:rsid w:val="00C82088"/>
    <w:rsid w:val="00C820B4"/>
    <w:rsid w:val="00C8217E"/>
    <w:rsid w:val="00C821FB"/>
    <w:rsid w:val="00C82220"/>
    <w:rsid w:val="00C822DE"/>
    <w:rsid w:val="00C82346"/>
    <w:rsid w:val="00C82407"/>
    <w:rsid w:val="00C82441"/>
    <w:rsid w:val="00C824C5"/>
    <w:rsid w:val="00C82936"/>
    <w:rsid w:val="00C829BF"/>
    <w:rsid w:val="00C82A51"/>
    <w:rsid w:val="00C82C96"/>
    <w:rsid w:val="00C82CEC"/>
    <w:rsid w:val="00C82D32"/>
    <w:rsid w:val="00C82E31"/>
    <w:rsid w:val="00C82F41"/>
    <w:rsid w:val="00C83232"/>
    <w:rsid w:val="00C83337"/>
    <w:rsid w:val="00C83347"/>
    <w:rsid w:val="00C8338C"/>
    <w:rsid w:val="00C833EE"/>
    <w:rsid w:val="00C83498"/>
    <w:rsid w:val="00C835E2"/>
    <w:rsid w:val="00C836D2"/>
    <w:rsid w:val="00C836DE"/>
    <w:rsid w:val="00C839AB"/>
    <w:rsid w:val="00C83CC7"/>
    <w:rsid w:val="00C83CEA"/>
    <w:rsid w:val="00C83DFC"/>
    <w:rsid w:val="00C83E11"/>
    <w:rsid w:val="00C840DD"/>
    <w:rsid w:val="00C84113"/>
    <w:rsid w:val="00C84589"/>
    <w:rsid w:val="00C845BF"/>
    <w:rsid w:val="00C845CA"/>
    <w:rsid w:val="00C8482C"/>
    <w:rsid w:val="00C848EB"/>
    <w:rsid w:val="00C84E5A"/>
    <w:rsid w:val="00C850DD"/>
    <w:rsid w:val="00C851B6"/>
    <w:rsid w:val="00C8534B"/>
    <w:rsid w:val="00C8547A"/>
    <w:rsid w:val="00C854EB"/>
    <w:rsid w:val="00C85598"/>
    <w:rsid w:val="00C85672"/>
    <w:rsid w:val="00C858D6"/>
    <w:rsid w:val="00C85C52"/>
    <w:rsid w:val="00C85C89"/>
    <w:rsid w:val="00C85D98"/>
    <w:rsid w:val="00C85E9A"/>
    <w:rsid w:val="00C85EC6"/>
    <w:rsid w:val="00C86043"/>
    <w:rsid w:val="00C86458"/>
    <w:rsid w:val="00C864B4"/>
    <w:rsid w:val="00C86508"/>
    <w:rsid w:val="00C865C8"/>
    <w:rsid w:val="00C86630"/>
    <w:rsid w:val="00C868AC"/>
    <w:rsid w:val="00C86958"/>
    <w:rsid w:val="00C86ADD"/>
    <w:rsid w:val="00C86B37"/>
    <w:rsid w:val="00C86C23"/>
    <w:rsid w:val="00C86D24"/>
    <w:rsid w:val="00C86FEE"/>
    <w:rsid w:val="00C8717F"/>
    <w:rsid w:val="00C8729C"/>
    <w:rsid w:val="00C87302"/>
    <w:rsid w:val="00C87436"/>
    <w:rsid w:val="00C8748C"/>
    <w:rsid w:val="00C87728"/>
    <w:rsid w:val="00C87963"/>
    <w:rsid w:val="00C87A45"/>
    <w:rsid w:val="00C87B74"/>
    <w:rsid w:val="00C87B75"/>
    <w:rsid w:val="00C87BB0"/>
    <w:rsid w:val="00C87D63"/>
    <w:rsid w:val="00C87DC7"/>
    <w:rsid w:val="00C87EB6"/>
    <w:rsid w:val="00C87FC3"/>
    <w:rsid w:val="00C90014"/>
    <w:rsid w:val="00C901F4"/>
    <w:rsid w:val="00C904DD"/>
    <w:rsid w:val="00C905A9"/>
    <w:rsid w:val="00C9061A"/>
    <w:rsid w:val="00C90681"/>
    <w:rsid w:val="00C906F6"/>
    <w:rsid w:val="00C9081D"/>
    <w:rsid w:val="00C9084F"/>
    <w:rsid w:val="00C90CCA"/>
    <w:rsid w:val="00C90CF9"/>
    <w:rsid w:val="00C90F06"/>
    <w:rsid w:val="00C9106F"/>
    <w:rsid w:val="00C913D5"/>
    <w:rsid w:val="00C91469"/>
    <w:rsid w:val="00C914BB"/>
    <w:rsid w:val="00C914E6"/>
    <w:rsid w:val="00C9178B"/>
    <w:rsid w:val="00C918F8"/>
    <w:rsid w:val="00C91A6F"/>
    <w:rsid w:val="00C91BAF"/>
    <w:rsid w:val="00C91ECF"/>
    <w:rsid w:val="00C91F41"/>
    <w:rsid w:val="00C91F9A"/>
    <w:rsid w:val="00C91FD5"/>
    <w:rsid w:val="00C9215C"/>
    <w:rsid w:val="00C92192"/>
    <w:rsid w:val="00C92281"/>
    <w:rsid w:val="00C92519"/>
    <w:rsid w:val="00C9255A"/>
    <w:rsid w:val="00C9271E"/>
    <w:rsid w:val="00C92A3F"/>
    <w:rsid w:val="00C92C8D"/>
    <w:rsid w:val="00C92D22"/>
    <w:rsid w:val="00C92DB6"/>
    <w:rsid w:val="00C92E09"/>
    <w:rsid w:val="00C92EA7"/>
    <w:rsid w:val="00C92F69"/>
    <w:rsid w:val="00C93025"/>
    <w:rsid w:val="00C930C6"/>
    <w:rsid w:val="00C930D3"/>
    <w:rsid w:val="00C936B3"/>
    <w:rsid w:val="00C93832"/>
    <w:rsid w:val="00C93982"/>
    <w:rsid w:val="00C93BCA"/>
    <w:rsid w:val="00C93CE6"/>
    <w:rsid w:val="00C93E0B"/>
    <w:rsid w:val="00C93F81"/>
    <w:rsid w:val="00C94024"/>
    <w:rsid w:val="00C941ED"/>
    <w:rsid w:val="00C94228"/>
    <w:rsid w:val="00C943E7"/>
    <w:rsid w:val="00C94517"/>
    <w:rsid w:val="00C945A3"/>
    <w:rsid w:val="00C9465F"/>
    <w:rsid w:val="00C94848"/>
    <w:rsid w:val="00C94895"/>
    <w:rsid w:val="00C94B2E"/>
    <w:rsid w:val="00C94B6C"/>
    <w:rsid w:val="00C94FD4"/>
    <w:rsid w:val="00C9501A"/>
    <w:rsid w:val="00C951E4"/>
    <w:rsid w:val="00C953C7"/>
    <w:rsid w:val="00C954F4"/>
    <w:rsid w:val="00C956B9"/>
    <w:rsid w:val="00C9576A"/>
    <w:rsid w:val="00C9582C"/>
    <w:rsid w:val="00C95A69"/>
    <w:rsid w:val="00C95A6A"/>
    <w:rsid w:val="00C95DE6"/>
    <w:rsid w:val="00C960AF"/>
    <w:rsid w:val="00C96153"/>
    <w:rsid w:val="00C964EF"/>
    <w:rsid w:val="00C9650C"/>
    <w:rsid w:val="00C966E3"/>
    <w:rsid w:val="00C96739"/>
    <w:rsid w:val="00C96A32"/>
    <w:rsid w:val="00C96A6A"/>
    <w:rsid w:val="00C96AF2"/>
    <w:rsid w:val="00C96C34"/>
    <w:rsid w:val="00C96C6B"/>
    <w:rsid w:val="00C96CD6"/>
    <w:rsid w:val="00C96EE9"/>
    <w:rsid w:val="00C973C5"/>
    <w:rsid w:val="00C9745C"/>
    <w:rsid w:val="00C974C2"/>
    <w:rsid w:val="00C97612"/>
    <w:rsid w:val="00C9789F"/>
    <w:rsid w:val="00C97A80"/>
    <w:rsid w:val="00C97B37"/>
    <w:rsid w:val="00C97C7D"/>
    <w:rsid w:val="00C97D96"/>
    <w:rsid w:val="00C97D9C"/>
    <w:rsid w:val="00CA00CC"/>
    <w:rsid w:val="00CA0149"/>
    <w:rsid w:val="00CA0392"/>
    <w:rsid w:val="00CA03F8"/>
    <w:rsid w:val="00CA043E"/>
    <w:rsid w:val="00CA050D"/>
    <w:rsid w:val="00CA05E6"/>
    <w:rsid w:val="00CA05FB"/>
    <w:rsid w:val="00CA0707"/>
    <w:rsid w:val="00CA07B3"/>
    <w:rsid w:val="00CA0921"/>
    <w:rsid w:val="00CA093E"/>
    <w:rsid w:val="00CA09BD"/>
    <w:rsid w:val="00CA0A24"/>
    <w:rsid w:val="00CA0BE5"/>
    <w:rsid w:val="00CA0C95"/>
    <w:rsid w:val="00CA0D28"/>
    <w:rsid w:val="00CA0D53"/>
    <w:rsid w:val="00CA0D92"/>
    <w:rsid w:val="00CA0F47"/>
    <w:rsid w:val="00CA1178"/>
    <w:rsid w:val="00CA118F"/>
    <w:rsid w:val="00CA1250"/>
    <w:rsid w:val="00CA167F"/>
    <w:rsid w:val="00CA170B"/>
    <w:rsid w:val="00CA1908"/>
    <w:rsid w:val="00CA192E"/>
    <w:rsid w:val="00CA1A2C"/>
    <w:rsid w:val="00CA1C5C"/>
    <w:rsid w:val="00CA2016"/>
    <w:rsid w:val="00CA206A"/>
    <w:rsid w:val="00CA217C"/>
    <w:rsid w:val="00CA2196"/>
    <w:rsid w:val="00CA2303"/>
    <w:rsid w:val="00CA24C3"/>
    <w:rsid w:val="00CA2608"/>
    <w:rsid w:val="00CA26CD"/>
    <w:rsid w:val="00CA2745"/>
    <w:rsid w:val="00CA279E"/>
    <w:rsid w:val="00CA2900"/>
    <w:rsid w:val="00CA2AA9"/>
    <w:rsid w:val="00CA2ACF"/>
    <w:rsid w:val="00CA2DF5"/>
    <w:rsid w:val="00CA2E0A"/>
    <w:rsid w:val="00CA2F13"/>
    <w:rsid w:val="00CA3130"/>
    <w:rsid w:val="00CA316B"/>
    <w:rsid w:val="00CA35BE"/>
    <w:rsid w:val="00CA35C8"/>
    <w:rsid w:val="00CA36CD"/>
    <w:rsid w:val="00CA3928"/>
    <w:rsid w:val="00CA3C29"/>
    <w:rsid w:val="00CA3C57"/>
    <w:rsid w:val="00CA3D8C"/>
    <w:rsid w:val="00CA3DBA"/>
    <w:rsid w:val="00CA3DC8"/>
    <w:rsid w:val="00CA3E47"/>
    <w:rsid w:val="00CA3E61"/>
    <w:rsid w:val="00CA4058"/>
    <w:rsid w:val="00CA420E"/>
    <w:rsid w:val="00CA4331"/>
    <w:rsid w:val="00CA438B"/>
    <w:rsid w:val="00CA468A"/>
    <w:rsid w:val="00CA473A"/>
    <w:rsid w:val="00CA4904"/>
    <w:rsid w:val="00CA49A4"/>
    <w:rsid w:val="00CA4A96"/>
    <w:rsid w:val="00CA4C80"/>
    <w:rsid w:val="00CA4C9D"/>
    <w:rsid w:val="00CA4CE1"/>
    <w:rsid w:val="00CA4CFC"/>
    <w:rsid w:val="00CA4D68"/>
    <w:rsid w:val="00CA4D88"/>
    <w:rsid w:val="00CA520C"/>
    <w:rsid w:val="00CA5269"/>
    <w:rsid w:val="00CA52FE"/>
    <w:rsid w:val="00CA56FF"/>
    <w:rsid w:val="00CA5898"/>
    <w:rsid w:val="00CA592B"/>
    <w:rsid w:val="00CA59B0"/>
    <w:rsid w:val="00CA59D0"/>
    <w:rsid w:val="00CA5AFC"/>
    <w:rsid w:val="00CA5B0A"/>
    <w:rsid w:val="00CA5BF9"/>
    <w:rsid w:val="00CA5C39"/>
    <w:rsid w:val="00CA5C90"/>
    <w:rsid w:val="00CA5E30"/>
    <w:rsid w:val="00CA6070"/>
    <w:rsid w:val="00CA609E"/>
    <w:rsid w:val="00CA6100"/>
    <w:rsid w:val="00CA6171"/>
    <w:rsid w:val="00CA61A3"/>
    <w:rsid w:val="00CA624E"/>
    <w:rsid w:val="00CA628A"/>
    <w:rsid w:val="00CA6412"/>
    <w:rsid w:val="00CA6567"/>
    <w:rsid w:val="00CA65FB"/>
    <w:rsid w:val="00CA6647"/>
    <w:rsid w:val="00CA66B6"/>
    <w:rsid w:val="00CA66D3"/>
    <w:rsid w:val="00CA69B9"/>
    <w:rsid w:val="00CA6A8D"/>
    <w:rsid w:val="00CA6C54"/>
    <w:rsid w:val="00CA6E2F"/>
    <w:rsid w:val="00CA6F22"/>
    <w:rsid w:val="00CA6F85"/>
    <w:rsid w:val="00CA70CB"/>
    <w:rsid w:val="00CA70E9"/>
    <w:rsid w:val="00CA70F1"/>
    <w:rsid w:val="00CA7175"/>
    <w:rsid w:val="00CA72AA"/>
    <w:rsid w:val="00CA76CE"/>
    <w:rsid w:val="00CA7886"/>
    <w:rsid w:val="00CA7920"/>
    <w:rsid w:val="00CA7999"/>
    <w:rsid w:val="00CA79E7"/>
    <w:rsid w:val="00CA7C90"/>
    <w:rsid w:val="00CA7EE0"/>
    <w:rsid w:val="00CA7F14"/>
    <w:rsid w:val="00CA7FA5"/>
    <w:rsid w:val="00CB0022"/>
    <w:rsid w:val="00CB0026"/>
    <w:rsid w:val="00CB021B"/>
    <w:rsid w:val="00CB037D"/>
    <w:rsid w:val="00CB03BF"/>
    <w:rsid w:val="00CB053C"/>
    <w:rsid w:val="00CB0558"/>
    <w:rsid w:val="00CB05B5"/>
    <w:rsid w:val="00CB05F5"/>
    <w:rsid w:val="00CB07CF"/>
    <w:rsid w:val="00CB084A"/>
    <w:rsid w:val="00CB09A0"/>
    <w:rsid w:val="00CB09BA"/>
    <w:rsid w:val="00CB0B18"/>
    <w:rsid w:val="00CB0C84"/>
    <w:rsid w:val="00CB0C89"/>
    <w:rsid w:val="00CB0F7A"/>
    <w:rsid w:val="00CB1020"/>
    <w:rsid w:val="00CB1105"/>
    <w:rsid w:val="00CB12FD"/>
    <w:rsid w:val="00CB1685"/>
    <w:rsid w:val="00CB1943"/>
    <w:rsid w:val="00CB1B9C"/>
    <w:rsid w:val="00CB1BB7"/>
    <w:rsid w:val="00CB1C11"/>
    <w:rsid w:val="00CB1C40"/>
    <w:rsid w:val="00CB1C7E"/>
    <w:rsid w:val="00CB1E39"/>
    <w:rsid w:val="00CB1E70"/>
    <w:rsid w:val="00CB21C9"/>
    <w:rsid w:val="00CB2269"/>
    <w:rsid w:val="00CB2277"/>
    <w:rsid w:val="00CB242F"/>
    <w:rsid w:val="00CB243A"/>
    <w:rsid w:val="00CB24FC"/>
    <w:rsid w:val="00CB2507"/>
    <w:rsid w:val="00CB25E1"/>
    <w:rsid w:val="00CB2935"/>
    <w:rsid w:val="00CB29B3"/>
    <w:rsid w:val="00CB29E0"/>
    <w:rsid w:val="00CB2A90"/>
    <w:rsid w:val="00CB2CA0"/>
    <w:rsid w:val="00CB30C2"/>
    <w:rsid w:val="00CB32BF"/>
    <w:rsid w:val="00CB3447"/>
    <w:rsid w:val="00CB34ED"/>
    <w:rsid w:val="00CB3559"/>
    <w:rsid w:val="00CB388A"/>
    <w:rsid w:val="00CB39C2"/>
    <w:rsid w:val="00CB3A31"/>
    <w:rsid w:val="00CB3A76"/>
    <w:rsid w:val="00CB3B05"/>
    <w:rsid w:val="00CB3B4A"/>
    <w:rsid w:val="00CB3C9A"/>
    <w:rsid w:val="00CB3EE4"/>
    <w:rsid w:val="00CB3F5D"/>
    <w:rsid w:val="00CB4077"/>
    <w:rsid w:val="00CB40D1"/>
    <w:rsid w:val="00CB4144"/>
    <w:rsid w:val="00CB43A2"/>
    <w:rsid w:val="00CB450F"/>
    <w:rsid w:val="00CB45E0"/>
    <w:rsid w:val="00CB4855"/>
    <w:rsid w:val="00CB487F"/>
    <w:rsid w:val="00CB4AF4"/>
    <w:rsid w:val="00CB4F34"/>
    <w:rsid w:val="00CB509F"/>
    <w:rsid w:val="00CB5239"/>
    <w:rsid w:val="00CB52D8"/>
    <w:rsid w:val="00CB534D"/>
    <w:rsid w:val="00CB53E4"/>
    <w:rsid w:val="00CB5566"/>
    <w:rsid w:val="00CB5677"/>
    <w:rsid w:val="00CB5934"/>
    <w:rsid w:val="00CB5A7E"/>
    <w:rsid w:val="00CB5B1B"/>
    <w:rsid w:val="00CB5B91"/>
    <w:rsid w:val="00CB5BCE"/>
    <w:rsid w:val="00CB5D89"/>
    <w:rsid w:val="00CB5EDA"/>
    <w:rsid w:val="00CB5FD7"/>
    <w:rsid w:val="00CB659F"/>
    <w:rsid w:val="00CB6630"/>
    <w:rsid w:val="00CB67D4"/>
    <w:rsid w:val="00CB6800"/>
    <w:rsid w:val="00CB6888"/>
    <w:rsid w:val="00CB69A2"/>
    <w:rsid w:val="00CB6A9F"/>
    <w:rsid w:val="00CB6AB2"/>
    <w:rsid w:val="00CB6B11"/>
    <w:rsid w:val="00CB6DC1"/>
    <w:rsid w:val="00CB6F91"/>
    <w:rsid w:val="00CB6F97"/>
    <w:rsid w:val="00CB71A8"/>
    <w:rsid w:val="00CB73CA"/>
    <w:rsid w:val="00CB73F5"/>
    <w:rsid w:val="00CB74DE"/>
    <w:rsid w:val="00CB7564"/>
    <w:rsid w:val="00CB7593"/>
    <w:rsid w:val="00CB75DA"/>
    <w:rsid w:val="00CB770F"/>
    <w:rsid w:val="00CB7748"/>
    <w:rsid w:val="00CB7767"/>
    <w:rsid w:val="00CB7911"/>
    <w:rsid w:val="00CB7999"/>
    <w:rsid w:val="00CB7A08"/>
    <w:rsid w:val="00CB7A1F"/>
    <w:rsid w:val="00CB7AA1"/>
    <w:rsid w:val="00CB7ACB"/>
    <w:rsid w:val="00CB7E00"/>
    <w:rsid w:val="00CB7E61"/>
    <w:rsid w:val="00CB7F2C"/>
    <w:rsid w:val="00CB7F59"/>
    <w:rsid w:val="00CC006F"/>
    <w:rsid w:val="00CC008B"/>
    <w:rsid w:val="00CC0292"/>
    <w:rsid w:val="00CC03C4"/>
    <w:rsid w:val="00CC053D"/>
    <w:rsid w:val="00CC0875"/>
    <w:rsid w:val="00CC0D61"/>
    <w:rsid w:val="00CC1039"/>
    <w:rsid w:val="00CC1604"/>
    <w:rsid w:val="00CC172D"/>
    <w:rsid w:val="00CC17AE"/>
    <w:rsid w:val="00CC1A25"/>
    <w:rsid w:val="00CC1A37"/>
    <w:rsid w:val="00CC1B49"/>
    <w:rsid w:val="00CC1B76"/>
    <w:rsid w:val="00CC1E09"/>
    <w:rsid w:val="00CC2001"/>
    <w:rsid w:val="00CC2024"/>
    <w:rsid w:val="00CC20EF"/>
    <w:rsid w:val="00CC23DA"/>
    <w:rsid w:val="00CC24A5"/>
    <w:rsid w:val="00CC2555"/>
    <w:rsid w:val="00CC2597"/>
    <w:rsid w:val="00CC260F"/>
    <w:rsid w:val="00CC268B"/>
    <w:rsid w:val="00CC26FC"/>
    <w:rsid w:val="00CC286C"/>
    <w:rsid w:val="00CC297D"/>
    <w:rsid w:val="00CC29B9"/>
    <w:rsid w:val="00CC2A72"/>
    <w:rsid w:val="00CC2A77"/>
    <w:rsid w:val="00CC2B80"/>
    <w:rsid w:val="00CC2B8F"/>
    <w:rsid w:val="00CC2BAE"/>
    <w:rsid w:val="00CC2C43"/>
    <w:rsid w:val="00CC2C7F"/>
    <w:rsid w:val="00CC2D99"/>
    <w:rsid w:val="00CC2DBF"/>
    <w:rsid w:val="00CC2DF9"/>
    <w:rsid w:val="00CC2FC7"/>
    <w:rsid w:val="00CC30BF"/>
    <w:rsid w:val="00CC3101"/>
    <w:rsid w:val="00CC318D"/>
    <w:rsid w:val="00CC31B1"/>
    <w:rsid w:val="00CC322F"/>
    <w:rsid w:val="00CC3741"/>
    <w:rsid w:val="00CC38B0"/>
    <w:rsid w:val="00CC3986"/>
    <w:rsid w:val="00CC39E0"/>
    <w:rsid w:val="00CC3AD3"/>
    <w:rsid w:val="00CC3B73"/>
    <w:rsid w:val="00CC3B94"/>
    <w:rsid w:val="00CC3D06"/>
    <w:rsid w:val="00CC3F36"/>
    <w:rsid w:val="00CC4110"/>
    <w:rsid w:val="00CC4133"/>
    <w:rsid w:val="00CC4199"/>
    <w:rsid w:val="00CC41C9"/>
    <w:rsid w:val="00CC41F4"/>
    <w:rsid w:val="00CC4B6D"/>
    <w:rsid w:val="00CC4D27"/>
    <w:rsid w:val="00CC4DCD"/>
    <w:rsid w:val="00CC52CB"/>
    <w:rsid w:val="00CC5486"/>
    <w:rsid w:val="00CC561B"/>
    <w:rsid w:val="00CC563C"/>
    <w:rsid w:val="00CC56BC"/>
    <w:rsid w:val="00CC5828"/>
    <w:rsid w:val="00CC5856"/>
    <w:rsid w:val="00CC5C7E"/>
    <w:rsid w:val="00CC5DDC"/>
    <w:rsid w:val="00CC5FAC"/>
    <w:rsid w:val="00CC616D"/>
    <w:rsid w:val="00CC62B5"/>
    <w:rsid w:val="00CC62C4"/>
    <w:rsid w:val="00CC6333"/>
    <w:rsid w:val="00CC677B"/>
    <w:rsid w:val="00CC6914"/>
    <w:rsid w:val="00CC6958"/>
    <w:rsid w:val="00CC6B00"/>
    <w:rsid w:val="00CC6BF6"/>
    <w:rsid w:val="00CC6BFD"/>
    <w:rsid w:val="00CC6CE0"/>
    <w:rsid w:val="00CC6E6D"/>
    <w:rsid w:val="00CC72B7"/>
    <w:rsid w:val="00CC73B5"/>
    <w:rsid w:val="00CC7891"/>
    <w:rsid w:val="00CC78BA"/>
    <w:rsid w:val="00CC798B"/>
    <w:rsid w:val="00CC7B3C"/>
    <w:rsid w:val="00CC7C88"/>
    <w:rsid w:val="00CC7D05"/>
    <w:rsid w:val="00CC7D56"/>
    <w:rsid w:val="00CC7DBE"/>
    <w:rsid w:val="00CC7F7D"/>
    <w:rsid w:val="00CD028D"/>
    <w:rsid w:val="00CD02F7"/>
    <w:rsid w:val="00CD0411"/>
    <w:rsid w:val="00CD06D4"/>
    <w:rsid w:val="00CD0DF1"/>
    <w:rsid w:val="00CD0E53"/>
    <w:rsid w:val="00CD1091"/>
    <w:rsid w:val="00CD10FF"/>
    <w:rsid w:val="00CD12ED"/>
    <w:rsid w:val="00CD148E"/>
    <w:rsid w:val="00CD1547"/>
    <w:rsid w:val="00CD1655"/>
    <w:rsid w:val="00CD16C3"/>
    <w:rsid w:val="00CD1B7F"/>
    <w:rsid w:val="00CD1DE4"/>
    <w:rsid w:val="00CD1F3B"/>
    <w:rsid w:val="00CD1F8E"/>
    <w:rsid w:val="00CD202A"/>
    <w:rsid w:val="00CD227E"/>
    <w:rsid w:val="00CD2537"/>
    <w:rsid w:val="00CD256C"/>
    <w:rsid w:val="00CD2749"/>
    <w:rsid w:val="00CD27A4"/>
    <w:rsid w:val="00CD28EC"/>
    <w:rsid w:val="00CD2ABB"/>
    <w:rsid w:val="00CD2B4A"/>
    <w:rsid w:val="00CD2B4B"/>
    <w:rsid w:val="00CD2BBD"/>
    <w:rsid w:val="00CD2E6E"/>
    <w:rsid w:val="00CD2EF0"/>
    <w:rsid w:val="00CD30FE"/>
    <w:rsid w:val="00CD3272"/>
    <w:rsid w:val="00CD338E"/>
    <w:rsid w:val="00CD344E"/>
    <w:rsid w:val="00CD3453"/>
    <w:rsid w:val="00CD3507"/>
    <w:rsid w:val="00CD39A7"/>
    <w:rsid w:val="00CD39F4"/>
    <w:rsid w:val="00CD3B85"/>
    <w:rsid w:val="00CD3C96"/>
    <w:rsid w:val="00CD3CB4"/>
    <w:rsid w:val="00CD3D40"/>
    <w:rsid w:val="00CD402C"/>
    <w:rsid w:val="00CD4306"/>
    <w:rsid w:val="00CD4646"/>
    <w:rsid w:val="00CD4682"/>
    <w:rsid w:val="00CD4728"/>
    <w:rsid w:val="00CD47C4"/>
    <w:rsid w:val="00CD47DC"/>
    <w:rsid w:val="00CD4A4A"/>
    <w:rsid w:val="00CD4ADE"/>
    <w:rsid w:val="00CD4B8E"/>
    <w:rsid w:val="00CD4B9F"/>
    <w:rsid w:val="00CD4C34"/>
    <w:rsid w:val="00CD4E3A"/>
    <w:rsid w:val="00CD4EBB"/>
    <w:rsid w:val="00CD4F5F"/>
    <w:rsid w:val="00CD50AF"/>
    <w:rsid w:val="00CD518E"/>
    <w:rsid w:val="00CD5228"/>
    <w:rsid w:val="00CD52AF"/>
    <w:rsid w:val="00CD5431"/>
    <w:rsid w:val="00CD5497"/>
    <w:rsid w:val="00CD5633"/>
    <w:rsid w:val="00CD570F"/>
    <w:rsid w:val="00CD572F"/>
    <w:rsid w:val="00CD5760"/>
    <w:rsid w:val="00CD5917"/>
    <w:rsid w:val="00CD5C0F"/>
    <w:rsid w:val="00CD5C5B"/>
    <w:rsid w:val="00CD5C89"/>
    <w:rsid w:val="00CD5DDC"/>
    <w:rsid w:val="00CD5EBC"/>
    <w:rsid w:val="00CD6094"/>
    <w:rsid w:val="00CD6436"/>
    <w:rsid w:val="00CD6934"/>
    <w:rsid w:val="00CD6C71"/>
    <w:rsid w:val="00CD6D53"/>
    <w:rsid w:val="00CD6E30"/>
    <w:rsid w:val="00CD6FA1"/>
    <w:rsid w:val="00CD6FFC"/>
    <w:rsid w:val="00CD70AC"/>
    <w:rsid w:val="00CD7124"/>
    <w:rsid w:val="00CD72CD"/>
    <w:rsid w:val="00CD750A"/>
    <w:rsid w:val="00CD75AB"/>
    <w:rsid w:val="00CD789E"/>
    <w:rsid w:val="00CD791F"/>
    <w:rsid w:val="00CD7FA5"/>
    <w:rsid w:val="00CD7FD8"/>
    <w:rsid w:val="00CE00DB"/>
    <w:rsid w:val="00CE0173"/>
    <w:rsid w:val="00CE028A"/>
    <w:rsid w:val="00CE0461"/>
    <w:rsid w:val="00CE0643"/>
    <w:rsid w:val="00CE084B"/>
    <w:rsid w:val="00CE0973"/>
    <w:rsid w:val="00CE0A74"/>
    <w:rsid w:val="00CE0AAF"/>
    <w:rsid w:val="00CE0B36"/>
    <w:rsid w:val="00CE0B4E"/>
    <w:rsid w:val="00CE0B88"/>
    <w:rsid w:val="00CE0BB8"/>
    <w:rsid w:val="00CE1199"/>
    <w:rsid w:val="00CE1553"/>
    <w:rsid w:val="00CE16D9"/>
    <w:rsid w:val="00CE1A10"/>
    <w:rsid w:val="00CE1B0A"/>
    <w:rsid w:val="00CE1B4B"/>
    <w:rsid w:val="00CE1BE0"/>
    <w:rsid w:val="00CE1CF4"/>
    <w:rsid w:val="00CE1EF6"/>
    <w:rsid w:val="00CE210A"/>
    <w:rsid w:val="00CE2272"/>
    <w:rsid w:val="00CE2274"/>
    <w:rsid w:val="00CE227A"/>
    <w:rsid w:val="00CE2580"/>
    <w:rsid w:val="00CE2655"/>
    <w:rsid w:val="00CE2697"/>
    <w:rsid w:val="00CE2752"/>
    <w:rsid w:val="00CE2865"/>
    <w:rsid w:val="00CE28C1"/>
    <w:rsid w:val="00CE29FD"/>
    <w:rsid w:val="00CE2C1F"/>
    <w:rsid w:val="00CE2C28"/>
    <w:rsid w:val="00CE2C31"/>
    <w:rsid w:val="00CE2C61"/>
    <w:rsid w:val="00CE2D83"/>
    <w:rsid w:val="00CE2E77"/>
    <w:rsid w:val="00CE2F27"/>
    <w:rsid w:val="00CE30AB"/>
    <w:rsid w:val="00CE34D1"/>
    <w:rsid w:val="00CE3699"/>
    <w:rsid w:val="00CE3ADB"/>
    <w:rsid w:val="00CE3B34"/>
    <w:rsid w:val="00CE3B89"/>
    <w:rsid w:val="00CE3D16"/>
    <w:rsid w:val="00CE40CB"/>
    <w:rsid w:val="00CE42D2"/>
    <w:rsid w:val="00CE4317"/>
    <w:rsid w:val="00CE44F6"/>
    <w:rsid w:val="00CE4633"/>
    <w:rsid w:val="00CE47AF"/>
    <w:rsid w:val="00CE4967"/>
    <w:rsid w:val="00CE4993"/>
    <w:rsid w:val="00CE4A73"/>
    <w:rsid w:val="00CE4BAA"/>
    <w:rsid w:val="00CE4D56"/>
    <w:rsid w:val="00CE4E19"/>
    <w:rsid w:val="00CE4E9E"/>
    <w:rsid w:val="00CE4FE5"/>
    <w:rsid w:val="00CE5062"/>
    <w:rsid w:val="00CE50F0"/>
    <w:rsid w:val="00CE51BD"/>
    <w:rsid w:val="00CE5223"/>
    <w:rsid w:val="00CE5304"/>
    <w:rsid w:val="00CE5481"/>
    <w:rsid w:val="00CE5531"/>
    <w:rsid w:val="00CE5601"/>
    <w:rsid w:val="00CE578B"/>
    <w:rsid w:val="00CE58DE"/>
    <w:rsid w:val="00CE59A5"/>
    <w:rsid w:val="00CE5A79"/>
    <w:rsid w:val="00CE5B68"/>
    <w:rsid w:val="00CE5CBA"/>
    <w:rsid w:val="00CE5E9D"/>
    <w:rsid w:val="00CE5FC1"/>
    <w:rsid w:val="00CE6075"/>
    <w:rsid w:val="00CE6191"/>
    <w:rsid w:val="00CE61A3"/>
    <w:rsid w:val="00CE6550"/>
    <w:rsid w:val="00CE6759"/>
    <w:rsid w:val="00CE69BC"/>
    <w:rsid w:val="00CE6A59"/>
    <w:rsid w:val="00CE6B26"/>
    <w:rsid w:val="00CE6DD1"/>
    <w:rsid w:val="00CE6DDB"/>
    <w:rsid w:val="00CE6F72"/>
    <w:rsid w:val="00CE7046"/>
    <w:rsid w:val="00CE704B"/>
    <w:rsid w:val="00CE70C5"/>
    <w:rsid w:val="00CE70E5"/>
    <w:rsid w:val="00CE71D2"/>
    <w:rsid w:val="00CE73A7"/>
    <w:rsid w:val="00CE7451"/>
    <w:rsid w:val="00CE7467"/>
    <w:rsid w:val="00CE7695"/>
    <w:rsid w:val="00CE77B3"/>
    <w:rsid w:val="00CE7807"/>
    <w:rsid w:val="00CE78F1"/>
    <w:rsid w:val="00CE7ACE"/>
    <w:rsid w:val="00CE7B1B"/>
    <w:rsid w:val="00CE7BA4"/>
    <w:rsid w:val="00CE7D84"/>
    <w:rsid w:val="00CE7E0D"/>
    <w:rsid w:val="00CE7E23"/>
    <w:rsid w:val="00CE7E9C"/>
    <w:rsid w:val="00CE7FF1"/>
    <w:rsid w:val="00CF009B"/>
    <w:rsid w:val="00CF009F"/>
    <w:rsid w:val="00CF0128"/>
    <w:rsid w:val="00CF017A"/>
    <w:rsid w:val="00CF0193"/>
    <w:rsid w:val="00CF01B0"/>
    <w:rsid w:val="00CF01F3"/>
    <w:rsid w:val="00CF02A1"/>
    <w:rsid w:val="00CF02C9"/>
    <w:rsid w:val="00CF038A"/>
    <w:rsid w:val="00CF03A5"/>
    <w:rsid w:val="00CF06DA"/>
    <w:rsid w:val="00CF07F0"/>
    <w:rsid w:val="00CF08F3"/>
    <w:rsid w:val="00CF094F"/>
    <w:rsid w:val="00CF09A3"/>
    <w:rsid w:val="00CF0D75"/>
    <w:rsid w:val="00CF0E9A"/>
    <w:rsid w:val="00CF0F63"/>
    <w:rsid w:val="00CF1183"/>
    <w:rsid w:val="00CF12ED"/>
    <w:rsid w:val="00CF176B"/>
    <w:rsid w:val="00CF1849"/>
    <w:rsid w:val="00CF199B"/>
    <w:rsid w:val="00CF1ACA"/>
    <w:rsid w:val="00CF1AE2"/>
    <w:rsid w:val="00CF1C5B"/>
    <w:rsid w:val="00CF1EC4"/>
    <w:rsid w:val="00CF20A8"/>
    <w:rsid w:val="00CF21D3"/>
    <w:rsid w:val="00CF23A0"/>
    <w:rsid w:val="00CF248C"/>
    <w:rsid w:val="00CF2668"/>
    <w:rsid w:val="00CF28D4"/>
    <w:rsid w:val="00CF2928"/>
    <w:rsid w:val="00CF2965"/>
    <w:rsid w:val="00CF2A19"/>
    <w:rsid w:val="00CF2A4A"/>
    <w:rsid w:val="00CF2C46"/>
    <w:rsid w:val="00CF2ED1"/>
    <w:rsid w:val="00CF3205"/>
    <w:rsid w:val="00CF33E2"/>
    <w:rsid w:val="00CF347B"/>
    <w:rsid w:val="00CF34E3"/>
    <w:rsid w:val="00CF35C3"/>
    <w:rsid w:val="00CF3690"/>
    <w:rsid w:val="00CF382A"/>
    <w:rsid w:val="00CF383C"/>
    <w:rsid w:val="00CF390B"/>
    <w:rsid w:val="00CF39E9"/>
    <w:rsid w:val="00CF39FF"/>
    <w:rsid w:val="00CF3B5A"/>
    <w:rsid w:val="00CF3BBD"/>
    <w:rsid w:val="00CF3FC3"/>
    <w:rsid w:val="00CF407B"/>
    <w:rsid w:val="00CF40A4"/>
    <w:rsid w:val="00CF4158"/>
    <w:rsid w:val="00CF421E"/>
    <w:rsid w:val="00CF42F4"/>
    <w:rsid w:val="00CF4334"/>
    <w:rsid w:val="00CF44EF"/>
    <w:rsid w:val="00CF45BB"/>
    <w:rsid w:val="00CF4792"/>
    <w:rsid w:val="00CF4954"/>
    <w:rsid w:val="00CF49EE"/>
    <w:rsid w:val="00CF4C74"/>
    <w:rsid w:val="00CF4F69"/>
    <w:rsid w:val="00CF5101"/>
    <w:rsid w:val="00CF5594"/>
    <w:rsid w:val="00CF55A7"/>
    <w:rsid w:val="00CF5627"/>
    <w:rsid w:val="00CF568F"/>
    <w:rsid w:val="00CF57CA"/>
    <w:rsid w:val="00CF580E"/>
    <w:rsid w:val="00CF5AD2"/>
    <w:rsid w:val="00CF5C50"/>
    <w:rsid w:val="00CF5D40"/>
    <w:rsid w:val="00CF5DC4"/>
    <w:rsid w:val="00CF5FA0"/>
    <w:rsid w:val="00CF5FAB"/>
    <w:rsid w:val="00CF60B0"/>
    <w:rsid w:val="00CF6110"/>
    <w:rsid w:val="00CF611D"/>
    <w:rsid w:val="00CF6122"/>
    <w:rsid w:val="00CF62F0"/>
    <w:rsid w:val="00CF6383"/>
    <w:rsid w:val="00CF653D"/>
    <w:rsid w:val="00CF6606"/>
    <w:rsid w:val="00CF6651"/>
    <w:rsid w:val="00CF676E"/>
    <w:rsid w:val="00CF68A5"/>
    <w:rsid w:val="00CF6924"/>
    <w:rsid w:val="00CF6B27"/>
    <w:rsid w:val="00CF6B4A"/>
    <w:rsid w:val="00CF6CD7"/>
    <w:rsid w:val="00CF6D64"/>
    <w:rsid w:val="00CF6DE2"/>
    <w:rsid w:val="00CF7036"/>
    <w:rsid w:val="00CF7038"/>
    <w:rsid w:val="00CF7342"/>
    <w:rsid w:val="00CF739A"/>
    <w:rsid w:val="00CF766F"/>
    <w:rsid w:val="00CF76E2"/>
    <w:rsid w:val="00CF77F2"/>
    <w:rsid w:val="00CF7806"/>
    <w:rsid w:val="00CF78B2"/>
    <w:rsid w:val="00CF78CF"/>
    <w:rsid w:val="00CF7B25"/>
    <w:rsid w:val="00CF7C16"/>
    <w:rsid w:val="00CF7DD9"/>
    <w:rsid w:val="00CF7F82"/>
    <w:rsid w:val="00D00222"/>
    <w:rsid w:val="00D00346"/>
    <w:rsid w:val="00D0039F"/>
    <w:rsid w:val="00D00480"/>
    <w:rsid w:val="00D009FF"/>
    <w:rsid w:val="00D00C6F"/>
    <w:rsid w:val="00D00D04"/>
    <w:rsid w:val="00D00DF7"/>
    <w:rsid w:val="00D00E97"/>
    <w:rsid w:val="00D00EC0"/>
    <w:rsid w:val="00D00F1D"/>
    <w:rsid w:val="00D00F6C"/>
    <w:rsid w:val="00D013F8"/>
    <w:rsid w:val="00D01694"/>
    <w:rsid w:val="00D016DE"/>
    <w:rsid w:val="00D0186D"/>
    <w:rsid w:val="00D01950"/>
    <w:rsid w:val="00D01BBB"/>
    <w:rsid w:val="00D01C20"/>
    <w:rsid w:val="00D01C42"/>
    <w:rsid w:val="00D01E3E"/>
    <w:rsid w:val="00D01F26"/>
    <w:rsid w:val="00D01FEB"/>
    <w:rsid w:val="00D022AD"/>
    <w:rsid w:val="00D0243F"/>
    <w:rsid w:val="00D024F8"/>
    <w:rsid w:val="00D02535"/>
    <w:rsid w:val="00D02687"/>
    <w:rsid w:val="00D026B4"/>
    <w:rsid w:val="00D02745"/>
    <w:rsid w:val="00D02A59"/>
    <w:rsid w:val="00D02A89"/>
    <w:rsid w:val="00D02AB0"/>
    <w:rsid w:val="00D02B88"/>
    <w:rsid w:val="00D02BBF"/>
    <w:rsid w:val="00D02C43"/>
    <w:rsid w:val="00D02C8F"/>
    <w:rsid w:val="00D02DCC"/>
    <w:rsid w:val="00D02FB3"/>
    <w:rsid w:val="00D03004"/>
    <w:rsid w:val="00D03027"/>
    <w:rsid w:val="00D03030"/>
    <w:rsid w:val="00D03184"/>
    <w:rsid w:val="00D03442"/>
    <w:rsid w:val="00D036BC"/>
    <w:rsid w:val="00D037AC"/>
    <w:rsid w:val="00D037D9"/>
    <w:rsid w:val="00D037E7"/>
    <w:rsid w:val="00D0382B"/>
    <w:rsid w:val="00D03D93"/>
    <w:rsid w:val="00D04365"/>
    <w:rsid w:val="00D0456B"/>
    <w:rsid w:val="00D046F0"/>
    <w:rsid w:val="00D047F7"/>
    <w:rsid w:val="00D04854"/>
    <w:rsid w:val="00D049CA"/>
    <w:rsid w:val="00D04AF1"/>
    <w:rsid w:val="00D04DE7"/>
    <w:rsid w:val="00D05001"/>
    <w:rsid w:val="00D05197"/>
    <w:rsid w:val="00D05259"/>
    <w:rsid w:val="00D052BD"/>
    <w:rsid w:val="00D05372"/>
    <w:rsid w:val="00D054A1"/>
    <w:rsid w:val="00D055BD"/>
    <w:rsid w:val="00D05703"/>
    <w:rsid w:val="00D0574B"/>
    <w:rsid w:val="00D057C2"/>
    <w:rsid w:val="00D05818"/>
    <w:rsid w:val="00D05B5B"/>
    <w:rsid w:val="00D05CBC"/>
    <w:rsid w:val="00D05D2C"/>
    <w:rsid w:val="00D05D3B"/>
    <w:rsid w:val="00D05E71"/>
    <w:rsid w:val="00D05FF9"/>
    <w:rsid w:val="00D061D0"/>
    <w:rsid w:val="00D0630B"/>
    <w:rsid w:val="00D06318"/>
    <w:rsid w:val="00D06737"/>
    <w:rsid w:val="00D06775"/>
    <w:rsid w:val="00D06AB1"/>
    <w:rsid w:val="00D06BC1"/>
    <w:rsid w:val="00D06C6C"/>
    <w:rsid w:val="00D06D50"/>
    <w:rsid w:val="00D072A0"/>
    <w:rsid w:val="00D072BE"/>
    <w:rsid w:val="00D079C7"/>
    <w:rsid w:val="00D07A1E"/>
    <w:rsid w:val="00D07AC4"/>
    <w:rsid w:val="00D07BC4"/>
    <w:rsid w:val="00D07D4D"/>
    <w:rsid w:val="00D10050"/>
    <w:rsid w:val="00D103CD"/>
    <w:rsid w:val="00D1047A"/>
    <w:rsid w:val="00D104A3"/>
    <w:rsid w:val="00D10540"/>
    <w:rsid w:val="00D10679"/>
    <w:rsid w:val="00D1077F"/>
    <w:rsid w:val="00D107CF"/>
    <w:rsid w:val="00D108DB"/>
    <w:rsid w:val="00D109E5"/>
    <w:rsid w:val="00D109EF"/>
    <w:rsid w:val="00D10D70"/>
    <w:rsid w:val="00D10FD5"/>
    <w:rsid w:val="00D11037"/>
    <w:rsid w:val="00D110E2"/>
    <w:rsid w:val="00D11286"/>
    <w:rsid w:val="00D112EA"/>
    <w:rsid w:val="00D1143F"/>
    <w:rsid w:val="00D1145E"/>
    <w:rsid w:val="00D114D9"/>
    <w:rsid w:val="00D116CD"/>
    <w:rsid w:val="00D11AE8"/>
    <w:rsid w:val="00D11BF1"/>
    <w:rsid w:val="00D11C49"/>
    <w:rsid w:val="00D11DE8"/>
    <w:rsid w:val="00D120CF"/>
    <w:rsid w:val="00D122D9"/>
    <w:rsid w:val="00D12405"/>
    <w:rsid w:val="00D127B3"/>
    <w:rsid w:val="00D128F5"/>
    <w:rsid w:val="00D1291D"/>
    <w:rsid w:val="00D12E0D"/>
    <w:rsid w:val="00D1313A"/>
    <w:rsid w:val="00D131A0"/>
    <w:rsid w:val="00D13250"/>
    <w:rsid w:val="00D133C0"/>
    <w:rsid w:val="00D1341C"/>
    <w:rsid w:val="00D13454"/>
    <w:rsid w:val="00D135DA"/>
    <w:rsid w:val="00D13600"/>
    <w:rsid w:val="00D1369F"/>
    <w:rsid w:val="00D136F8"/>
    <w:rsid w:val="00D13A8D"/>
    <w:rsid w:val="00D13B32"/>
    <w:rsid w:val="00D13FC4"/>
    <w:rsid w:val="00D13FF6"/>
    <w:rsid w:val="00D1421F"/>
    <w:rsid w:val="00D14220"/>
    <w:rsid w:val="00D1435E"/>
    <w:rsid w:val="00D1474F"/>
    <w:rsid w:val="00D15108"/>
    <w:rsid w:val="00D1512F"/>
    <w:rsid w:val="00D1514B"/>
    <w:rsid w:val="00D152BD"/>
    <w:rsid w:val="00D153C2"/>
    <w:rsid w:val="00D15638"/>
    <w:rsid w:val="00D1564C"/>
    <w:rsid w:val="00D15742"/>
    <w:rsid w:val="00D1597B"/>
    <w:rsid w:val="00D15994"/>
    <w:rsid w:val="00D15C07"/>
    <w:rsid w:val="00D15CA2"/>
    <w:rsid w:val="00D15D85"/>
    <w:rsid w:val="00D1603F"/>
    <w:rsid w:val="00D160B2"/>
    <w:rsid w:val="00D1627E"/>
    <w:rsid w:val="00D16283"/>
    <w:rsid w:val="00D16346"/>
    <w:rsid w:val="00D16410"/>
    <w:rsid w:val="00D16499"/>
    <w:rsid w:val="00D16519"/>
    <w:rsid w:val="00D16546"/>
    <w:rsid w:val="00D1658D"/>
    <w:rsid w:val="00D1660E"/>
    <w:rsid w:val="00D1665E"/>
    <w:rsid w:val="00D1669F"/>
    <w:rsid w:val="00D1672C"/>
    <w:rsid w:val="00D1673F"/>
    <w:rsid w:val="00D16B97"/>
    <w:rsid w:val="00D16C35"/>
    <w:rsid w:val="00D16D56"/>
    <w:rsid w:val="00D16E00"/>
    <w:rsid w:val="00D16E8F"/>
    <w:rsid w:val="00D16EC8"/>
    <w:rsid w:val="00D16EE9"/>
    <w:rsid w:val="00D171A4"/>
    <w:rsid w:val="00D171F0"/>
    <w:rsid w:val="00D1724E"/>
    <w:rsid w:val="00D1727B"/>
    <w:rsid w:val="00D1736A"/>
    <w:rsid w:val="00D173A0"/>
    <w:rsid w:val="00D173F8"/>
    <w:rsid w:val="00D17534"/>
    <w:rsid w:val="00D17657"/>
    <w:rsid w:val="00D177C7"/>
    <w:rsid w:val="00D17831"/>
    <w:rsid w:val="00D17BC8"/>
    <w:rsid w:val="00D17F28"/>
    <w:rsid w:val="00D17F8C"/>
    <w:rsid w:val="00D20055"/>
    <w:rsid w:val="00D201AD"/>
    <w:rsid w:val="00D20345"/>
    <w:rsid w:val="00D2061E"/>
    <w:rsid w:val="00D2067D"/>
    <w:rsid w:val="00D20950"/>
    <w:rsid w:val="00D20DBA"/>
    <w:rsid w:val="00D20E2A"/>
    <w:rsid w:val="00D20F96"/>
    <w:rsid w:val="00D2108C"/>
    <w:rsid w:val="00D212A8"/>
    <w:rsid w:val="00D21385"/>
    <w:rsid w:val="00D21423"/>
    <w:rsid w:val="00D21512"/>
    <w:rsid w:val="00D21601"/>
    <w:rsid w:val="00D218E0"/>
    <w:rsid w:val="00D2192E"/>
    <w:rsid w:val="00D21C43"/>
    <w:rsid w:val="00D21C82"/>
    <w:rsid w:val="00D22009"/>
    <w:rsid w:val="00D22289"/>
    <w:rsid w:val="00D22331"/>
    <w:rsid w:val="00D2240F"/>
    <w:rsid w:val="00D22424"/>
    <w:rsid w:val="00D2254A"/>
    <w:rsid w:val="00D225EF"/>
    <w:rsid w:val="00D2281D"/>
    <w:rsid w:val="00D228FB"/>
    <w:rsid w:val="00D22BC5"/>
    <w:rsid w:val="00D22CDD"/>
    <w:rsid w:val="00D22CED"/>
    <w:rsid w:val="00D22D95"/>
    <w:rsid w:val="00D22DFB"/>
    <w:rsid w:val="00D22EAC"/>
    <w:rsid w:val="00D22F28"/>
    <w:rsid w:val="00D230D9"/>
    <w:rsid w:val="00D23179"/>
    <w:rsid w:val="00D23228"/>
    <w:rsid w:val="00D23270"/>
    <w:rsid w:val="00D23325"/>
    <w:rsid w:val="00D234FF"/>
    <w:rsid w:val="00D23538"/>
    <w:rsid w:val="00D235CD"/>
    <w:rsid w:val="00D2379F"/>
    <w:rsid w:val="00D238E1"/>
    <w:rsid w:val="00D23915"/>
    <w:rsid w:val="00D23941"/>
    <w:rsid w:val="00D23A68"/>
    <w:rsid w:val="00D23CAB"/>
    <w:rsid w:val="00D23CFB"/>
    <w:rsid w:val="00D23CFD"/>
    <w:rsid w:val="00D23D3C"/>
    <w:rsid w:val="00D23DBF"/>
    <w:rsid w:val="00D23EAC"/>
    <w:rsid w:val="00D24522"/>
    <w:rsid w:val="00D24710"/>
    <w:rsid w:val="00D247D1"/>
    <w:rsid w:val="00D2494E"/>
    <w:rsid w:val="00D249E2"/>
    <w:rsid w:val="00D24A5B"/>
    <w:rsid w:val="00D24C2F"/>
    <w:rsid w:val="00D24D76"/>
    <w:rsid w:val="00D24D87"/>
    <w:rsid w:val="00D24D9B"/>
    <w:rsid w:val="00D25095"/>
    <w:rsid w:val="00D25270"/>
    <w:rsid w:val="00D25277"/>
    <w:rsid w:val="00D2530A"/>
    <w:rsid w:val="00D2532E"/>
    <w:rsid w:val="00D25668"/>
    <w:rsid w:val="00D25703"/>
    <w:rsid w:val="00D25960"/>
    <w:rsid w:val="00D259CA"/>
    <w:rsid w:val="00D25A0D"/>
    <w:rsid w:val="00D25B67"/>
    <w:rsid w:val="00D25DE0"/>
    <w:rsid w:val="00D26033"/>
    <w:rsid w:val="00D26082"/>
    <w:rsid w:val="00D261ED"/>
    <w:rsid w:val="00D2636D"/>
    <w:rsid w:val="00D265B7"/>
    <w:rsid w:val="00D26631"/>
    <w:rsid w:val="00D266F6"/>
    <w:rsid w:val="00D2677C"/>
    <w:rsid w:val="00D268D4"/>
    <w:rsid w:val="00D269F3"/>
    <w:rsid w:val="00D26AB5"/>
    <w:rsid w:val="00D26CDB"/>
    <w:rsid w:val="00D26D34"/>
    <w:rsid w:val="00D26DEA"/>
    <w:rsid w:val="00D26F5C"/>
    <w:rsid w:val="00D27286"/>
    <w:rsid w:val="00D273BF"/>
    <w:rsid w:val="00D273D6"/>
    <w:rsid w:val="00D2753C"/>
    <w:rsid w:val="00D27992"/>
    <w:rsid w:val="00D27C32"/>
    <w:rsid w:val="00D27C4A"/>
    <w:rsid w:val="00D27F1B"/>
    <w:rsid w:val="00D27FF2"/>
    <w:rsid w:val="00D30011"/>
    <w:rsid w:val="00D300AF"/>
    <w:rsid w:val="00D30179"/>
    <w:rsid w:val="00D302F8"/>
    <w:rsid w:val="00D30361"/>
    <w:rsid w:val="00D30650"/>
    <w:rsid w:val="00D30787"/>
    <w:rsid w:val="00D309A8"/>
    <w:rsid w:val="00D309F6"/>
    <w:rsid w:val="00D30A3C"/>
    <w:rsid w:val="00D30ACB"/>
    <w:rsid w:val="00D30C7B"/>
    <w:rsid w:val="00D30C8D"/>
    <w:rsid w:val="00D30D84"/>
    <w:rsid w:val="00D31058"/>
    <w:rsid w:val="00D3109F"/>
    <w:rsid w:val="00D310A6"/>
    <w:rsid w:val="00D31469"/>
    <w:rsid w:val="00D314F6"/>
    <w:rsid w:val="00D3150F"/>
    <w:rsid w:val="00D31553"/>
    <w:rsid w:val="00D315F8"/>
    <w:rsid w:val="00D316A3"/>
    <w:rsid w:val="00D31856"/>
    <w:rsid w:val="00D3186D"/>
    <w:rsid w:val="00D318D1"/>
    <w:rsid w:val="00D318EF"/>
    <w:rsid w:val="00D318FC"/>
    <w:rsid w:val="00D31A9D"/>
    <w:rsid w:val="00D31B91"/>
    <w:rsid w:val="00D31C84"/>
    <w:rsid w:val="00D31DCB"/>
    <w:rsid w:val="00D31E75"/>
    <w:rsid w:val="00D31EA8"/>
    <w:rsid w:val="00D320A6"/>
    <w:rsid w:val="00D32484"/>
    <w:rsid w:val="00D32518"/>
    <w:rsid w:val="00D32520"/>
    <w:rsid w:val="00D32526"/>
    <w:rsid w:val="00D325DE"/>
    <w:rsid w:val="00D32689"/>
    <w:rsid w:val="00D326FD"/>
    <w:rsid w:val="00D32710"/>
    <w:rsid w:val="00D3272A"/>
    <w:rsid w:val="00D3275C"/>
    <w:rsid w:val="00D32967"/>
    <w:rsid w:val="00D32BF2"/>
    <w:rsid w:val="00D32CF5"/>
    <w:rsid w:val="00D32F26"/>
    <w:rsid w:val="00D32F35"/>
    <w:rsid w:val="00D32F47"/>
    <w:rsid w:val="00D33010"/>
    <w:rsid w:val="00D3323D"/>
    <w:rsid w:val="00D33295"/>
    <w:rsid w:val="00D33316"/>
    <w:rsid w:val="00D33329"/>
    <w:rsid w:val="00D3338D"/>
    <w:rsid w:val="00D333B5"/>
    <w:rsid w:val="00D3343D"/>
    <w:rsid w:val="00D33548"/>
    <w:rsid w:val="00D33777"/>
    <w:rsid w:val="00D337B7"/>
    <w:rsid w:val="00D337F5"/>
    <w:rsid w:val="00D3388F"/>
    <w:rsid w:val="00D33AB1"/>
    <w:rsid w:val="00D33BE3"/>
    <w:rsid w:val="00D33D4B"/>
    <w:rsid w:val="00D33DFC"/>
    <w:rsid w:val="00D33F6B"/>
    <w:rsid w:val="00D34203"/>
    <w:rsid w:val="00D34365"/>
    <w:rsid w:val="00D344A5"/>
    <w:rsid w:val="00D345AD"/>
    <w:rsid w:val="00D345B7"/>
    <w:rsid w:val="00D345F1"/>
    <w:rsid w:val="00D3474B"/>
    <w:rsid w:val="00D34750"/>
    <w:rsid w:val="00D34858"/>
    <w:rsid w:val="00D34941"/>
    <w:rsid w:val="00D34A10"/>
    <w:rsid w:val="00D34C1E"/>
    <w:rsid w:val="00D34C5A"/>
    <w:rsid w:val="00D34CE6"/>
    <w:rsid w:val="00D34D89"/>
    <w:rsid w:val="00D34F13"/>
    <w:rsid w:val="00D34FD3"/>
    <w:rsid w:val="00D35096"/>
    <w:rsid w:val="00D351CC"/>
    <w:rsid w:val="00D354DA"/>
    <w:rsid w:val="00D354F3"/>
    <w:rsid w:val="00D35585"/>
    <w:rsid w:val="00D3564F"/>
    <w:rsid w:val="00D3573A"/>
    <w:rsid w:val="00D357A4"/>
    <w:rsid w:val="00D35833"/>
    <w:rsid w:val="00D358A4"/>
    <w:rsid w:val="00D3598E"/>
    <w:rsid w:val="00D35D46"/>
    <w:rsid w:val="00D35E6E"/>
    <w:rsid w:val="00D36190"/>
    <w:rsid w:val="00D361EC"/>
    <w:rsid w:val="00D36500"/>
    <w:rsid w:val="00D3667C"/>
    <w:rsid w:val="00D3673A"/>
    <w:rsid w:val="00D3677E"/>
    <w:rsid w:val="00D367EB"/>
    <w:rsid w:val="00D369D2"/>
    <w:rsid w:val="00D36A16"/>
    <w:rsid w:val="00D36A22"/>
    <w:rsid w:val="00D36AC0"/>
    <w:rsid w:val="00D36AE0"/>
    <w:rsid w:val="00D36C41"/>
    <w:rsid w:val="00D36CA1"/>
    <w:rsid w:val="00D36D81"/>
    <w:rsid w:val="00D36DBD"/>
    <w:rsid w:val="00D36F17"/>
    <w:rsid w:val="00D370B7"/>
    <w:rsid w:val="00D376D2"/>
    <w:rsid w:val="00D37831"/>
    <w:rsid w:val="00D3784F"/>
    <w:rsid w:val="00D378D2"/>
    <w:rsid w:val="00D37C10"/>
    <w:rsid w:val="00D37F70"/>
    <w:rsid w:val="00D37F9F"/>
    <w:rsid w:val="00D40091"/>
    <w:rsid w:val="00D40394"/>
    <w:rsid w:val="00D4055E"/>
    <w:rsid w:val="00D4059F"/>
    <w:rsid w:val="00D40728"/>
    <w:rsid w:val="00D408FD"/>
    <w:rsid w:val="00D409AD"/>
    <w:rsid w:val="00D40C34"/>
    <w:rsid w:val="00D40C5C"/>
    <w:rsid w:val="00D40CE3"/>
    <w:rsid w:val="00D40EC3"/>
    <w:rsid w:val="00D414F7"/>
    <w:rsid w:val="00D417AB"/>
    <w:rsid w:val="00D41C2D"/>
    <w:rsid w:val="00D41C47"/>
    <w:rsid w:val="00D41E7D"/>
    <w:rsid w:val="00D41E8E"/>
    <w:rsid w:val="00D41EF5"/>
    <w:rsid w:val="00D420A7"/>
    <w:rsid w:val="00D4213D"/>
    <w:rsid w:val="00D4216D"/>
    <w:rsid w:val="00D42676"/>
    <w:rsid w:val="00D4267C"/>
    <w:rsid w:val="00D429D9"/>
    <w:rsid w:val="00D42A47"/>
    <w:rsid w:val="00D42B94"/>
    <w:rsid w:val="00D42C69"/>
    <w:rsid w:val="00D43060"/>
    <w:rsid w:val="00D430E2"/>
    <w:rsid w:val="00D4323A"/>
    <w:rsid w:val="00D43550"/>
    <w:rsid w:val="00D437AA"/>
    <w:rsid w:val="00D437CC"/>
    <w:rsid w:val="00D43832"/>
    <w:rsid w:val="00D43853"/>
    <w:rsid w:val="00D43919"/>
    <w:rsid w:val="00D4392F"/>
    <w:rsid w:val="00D4393A"/>
    <w:rsid w:val="00D43A33"/>
    <w:rsid w:val="00D43DFB"/>
    <w:rsid w:val="00D43E84"/>
    <w:rsid w:val="00D4422B"/>
    <w:rsid w:val="00D44431"/>
    <w:rsid w:val="00D4460F"/>
    <w:rsid w:val="00D447D0"/>
    <w:rsid w:val="00D44D06"/>
    <w:rsid w:val="00D44D4F"/>
    <w:rsid w:val="00D45062"/>
    <w:rsid w:val="00D450F3"/>
    <w:rsid w:val="00D4537A"/>
    <w:rsid w:val="00D4560F"/>
    <w:rsid w:val="00D456C2"/>
    <w:rsid w:val="00D45987"/>
    <w:rsid w:val="00D45B38"/>
    <w:rsid w:val="00D45D62"/>
    <w:rsid w:val="00D45E84"/>
    <w:rsid w:val="00D45F3C"/>
    <w:rsid w:val="00D4609B"/>
    <w:rsid w:val="00D4615D"/>
    <w:rsid w:val="00D461D5"/>
    <w:rsid w:val="00D4623A"/>
    <w:rsid w:val="00D462F5"/>
    <w:rsid w:val="00D4634A"/>
    <w:rsid w:val="00D46431"/>
    <w:rsid w:val="00D46589"/>
    <w:rsid w:val="00D466C2"/>
    <w:rsid w:val="00D466DF"/>
    <w:rsid w:val="00D4671D"/>
    <w:rsid w:val="00D46DB9"/>
    <w:rsid w:val="00D46DD6"/>
    <w:rsid w:val="00D46E9C"/>
    <w:rsid w:val="00D46EBA"/>
    <w:rsid w:val="00D46FC2"/>
    <w:rsid w:val="00D4702D"/>
    <w:rsid w:val="00D47149"/>
    <w:rsid w:val="00D47288"/>
    <w:rsid w:val="00D47291"/>
    <w:rsid w:val="00D473AD"/>
    <w:rsid w:val="00D47441"/>
    <w:rsid w:val="00D474D5"/>
    <w:rsid w:val="00D47591"/>
    <w:rsid w:val="00D47606"/>
    <w:rsid w:val="00D476EA"/>
    <w:rsid w:val="00D47918"/>
    <w:rsid w:val="00D479A1"/>
    <w:rsid w:val="00D47A53"/>
    <w:rsid w:val="00D47BCF"/>
    <w:rsid w:val="00D47C40"/>
    <w:rsid w:val="00D47CE0"/>
    <w:rsid w:val="00D47DB0"/>
    <w:rsid w:val="00D47F43"/>
    <w:rsid w:val="00D50314"/>
    <w:rsid w:val="00D503BA"/>
    <w:rsid w:val="00D5051E"/>
    <w:rsid w:val="00D507E8"/>
    <w:rsid w:val="00D507F5"/>
    <w:rsid w:val="00D5080C"/>
    <w:rsid w:val="00D50974"/>
    <w:rsid w:val="00D509D5"/>
    <w:rsid w:val="00D50A13"/>
    <w:rsid w:val="00D50BA3"/>
    <w:rsid w:val="00D50D6E"/>
    <w:rsid w:val="00D50E16"/>
    <w:rsid w:val="00D50E2A"/>
    <w:rsid w:val="00D50E98"/>
    <w:rsid w:val="00D50EDE"/>
    <w:rsid w:val="00D510BF"/>
    <w:rsid w:val="00D5139F"/>
    <w:rsid w:val="00D517AF"/>
    <w:rsid w:val="00D51AFC"/>
    <w:rsid w:val="00D51BF1"/>
    <w:rsid w:val="00D51D0C"/>
    <w:rsid w:val="00D51E26"/>
    <w:rsid w:val="00D5201D"/>
    <w:rsid w:val="00D521D0"/>
    <w:rsid w:val="00D522F0"/>
    <w:rsid w:val="00D522FC"/>
    <w:rsid w:val="00D523D2"/>
    <w:rsid w:val="00D52571"/>
    <w:rsid w:val="00D525B2"/>
    <w:rsid w:val="00D52884"/>
    <w:rsid w:val="00D5295D"/>
    <w:rsid w:val="00D529EF"/>
    <w:rsid w:val="00D52A02"/>
    <w:rsid w:val="00D52B9F"/>
    <w:rsid w:val="00D52CC1"/>
    <w:rsid w:val="00D52CC9"/>
    <w:rsid w:val="00D52D2A"/>
    <w:rsid w:val="00D52FD0"/>
    <w:rsid w:val="00D5300E"/>
    <w:rsid w:val="00D530E5"/>
    <w:rsid w:val="00D53243"/>
    <w:rsid w:val="00D532F7"/>
    <w:rsid w:val="00D53367"/>
    <w:rsid w:val="00D533DA"/>
    <w:rsid w:val="00D5340F"/>
    <w:rsid w:val="00D534C6"/>
    <w:rsid w:val="00D5375D"/>
    <w:rsid w:val="00D537D0"/>
    <w:rsid w:val="00D53A4A"/>
    <w:rsid w:val="00D540EC"/>
    <w:rsid w:val="00D54221"/>
    <w:rsid w:val="00D543FA"/>
    <w:rsid w:val="00D54465"/>
    <w:rsid w:val="00D5463E"/>
    <w:rsid w:val="00D54ED4"/>
    <w:rsid w:val="00D54F1C"/>
    <w:rsid w:val="00D54F9E"/>
    <w:rsid w:val="00D54FE9"/>
    <w:rsid w:val="00D550FD"/>
    <w:rsid w:val="00D5532C"/>
    <w:rsid w:val="00D553FC"/>
    <w:rsid w:val="00D5545F"/>
    <w:rsid w:val="00D55637"/>
    <w:rsid w:val="00D55689"/>
    <w:rsid w:val="00D557AD"/>
    <w:rsid w:val="00D5599A"/>
    <w:rsid w:val="00D559C7"/>
    <w:rsid w:val="00D55D0A"/>
    <w:rsid w:val="00D561F1"/>
    <w:rsid w:val="00D5623A"/>
    <w:rsid w:val="00D56353"/>
    <w:rsid w:val="00D5679C"/>
    <w:rsid w:val="00D567FF"/>
    <w:rsid w:val="00D568DF"/>
    <w:rsid w:val="00D569D1"/>
    <w:rsid w:val="00D56B7A"/>
    <w:rsid w:val="00D56BA2"/>
    <w:rsid w:val="00D56C54"/>
    <w:rsid w:val="00D56F22"/>
    <w:rsid w:val="00D56F8F"/>
    <w:rsid w:val="00D57021"/>
    <w:rsid w:val="00D5738B"/>
    <w:rsid w:val="00D573F3"/>
    <w:rsid w:val="00D5748B"/>
    <w:rsid w:val="00D577DE"/>
    <w:rsid w:val="00D57A36"/>
    <w:rsid w:val="00D57AAB"/>
    <w:rsid w:val="00D57B73"/>
    <w:rsid w:val="00D57C99"/>
    <w:rsid w:val="00D57CE2"/>
    <w:rsid w:val="00D57DFC"/>
    <w:rsid w:val="00D57E0D"/>
    <w:rsid w:val="00D57EE2"/>
    <w:rsid w:val="00D600AD"/>
    <w:rsid w:val="00D600D4"/>
    <w:rsid w:val="00D601F5"/>
    <w:rsid w:val="00D60565"/>
    <w:rsid w:val="00D6059F"/>
    <w:rsid w:val="00D6076A"/>
    <w:rsid w:val="00D60C38"/>
    <w:rsid w:val="00D60C52"/>
    <w:rsid w:val="00D60D58"/>
    <w:rsid w:val="00D60E79"/>
    <w:rsid w:val="00D61018"/>
    <w:rsid w:val="00D61042"/>
    <w:rsid w:val="00D61428"/>
    <w:rsid w:val="00D614EB"/>
    <w:rsid w:val="00D61675"/>
    <w:rsid w:val="00D61A83"/>
    <w:rsid w:val="00D61F05"/>
    <w:rsid w:val="00D622D4"/>
    <w:rsid w:val="00D62618"/>
    <w:rsid w:val="00D62719"/>
    <w:rsid w:val="00D62E5A"/>
    <w:rsid w:val="00D62E77"/>
    <w:rsid w:val="00D62ECA"/>
    <w:rsid w:val="00D62F13"/>
    <w:rsid w:val="00D62F58"/>
    <w:rsid w:val="00D631F8"/>
    <w:rsid w:val="00D632AB"/>
    <w:rsid w:val="00D63372"/>
    <w:rsid w:val="00D636AA"/>
    <w:rsid w:val="00D63A7E"/>
    <w:rsid w:val="00D63B86"/>
    <w:rsid w:val="00D63CC7"/>
    <w:rsid w:val="00D644C1"/>
    <w:rsid w:val="00D6453D"/>
    <w:rsid w:val="00D6457E"/>
    <w:rsid w:val="00D64A07"/>
    <w:rsid w:val="00D650E3"/>
    <w:rsid w:val="00D650E6"/>
    <w:rsid w:val="00D65247"/>
    <w:rsid w:val="00D65330"/>
    <w:rsid w:val="00D654F2"/>
    <w:rsid w:val="00D65941"/>
    <w:rsid w:val="00D65B0F"/>
    <w:rsid w:val="00D65B79"/>
    <w:rsid w:val="00D65CFB"/>
    <w:rsid w:val="00D660E3"/>
    <w:rsid w:val="00D662A0"/>
    <w:rsid w:val="00D66467"/>
    <w:rsid w:val="00D666F8"/>
    <w:rsid w:val="00D66757"/>
    <w:rsid w:val="00D66798"/>
    <w:rsid w:val="00D6681F"/>
    <w:rsid w:val="00D669D6"/>
    <w:rsid w:val="00D66A41"/>
    <w:rsid w:val="00D66C01"/>
    <w:rsid w:val="00D66D4F"/>
    <w:rsid w:val="00D66F0C"/>
    <w:rsid w:val="00D66F66"/>
    <w:rsid w:val="00D67239"/>
    <w:rsid w:val="00D67341"/>
    <w:rsid w:val="00D6734E"/>
    <w:rsid w:val="00D6750E"/>
    <w:rsid w:val="00D67547"/>
    <w:rsid w:val="00D67569"/>
    <w:rsid w:val="00D6757A"/>
    <w:rsid w:val="00D67854"/>
    <w:rsid w:val="00D67AF4"/>
    <w:rsid w:val="00D67C6A"/>
    <w:rsid w:val="00D67DD4"/>
    <w:rsid w:val="00D7033D"/>
    <w:rsid w:val="00D70731"/>
    <w:rsid w:val="00D7077B"/>
    <w:rsid w:val="00D70AC2"/>
    <w:rsid w:val="00D70C45"/>
    <w:rsid w:val="00D70DDC"/>
    <w:rsid w:val="00D7106B"/>
    <w:rsid w:val="00D711CE"/>
    <w:rsid w:val="00D711CF"/>
    <w:rsid w:val="00D7120B"/>
    <w:rsid w:val="00D71275"/>
    <w:rsid w:val="00D713DB"/>
    <w:rsid w:val="00D71660"/>
    <w:rsid w:val="00D7188C"/>
    <w:rsid w:val="00D71898"/>
    <w:rsid w:val="00D7189C"/>
    <w:rsid w:val="00D719E9"/>
    <w:rsid w:val="00D71AEA"/>
    <w:rsid w:val="00D71C90"/>
    <w:rsid w:val="00D71D50"/>
    <w:rsid w:val="00D71D8F"/>
    <w:rsid w:val="00D720F5"/>
    <w:rsid w:val="00D72262"/>
    <w:rsid w:val="00D722A3"/>
    <w:rsid w:val="00D72535"/>
    <w:rsid w:val="00D728DB"/>
    <w:rsid w:val="00D72C97"/>
    <w:rsid w:val="00D72D29"/>
    <w:rsid w:val="00D72DAD"/>
    <w:rsid w:val="00D72DEA"/>
    <w:rsid w:val="00D72E63"/>
    <w:rsid w:val="00D73079"/>
    <w:rsid w:val="00D7308C"/>
    <w:rsid w:val="00D730A5"/>
    <w:rsid w:val="00D732A6"/>
    <w:rsid w:val="00D7332C"/>
    <w:rsid w:val="00D7337C"/>
    <w:rsid w:val="00D733EB"/>
    <w:rsid w:val="00D734A4"/>
    <w:rsid w:val="00D73733"/>
    <w:rsid w:val="00D73792"/>
    <w:rsid w:val="00D737F5"/>
    <w:rsid w:val="00D73875"/>
    <w:rsid w:val="00D73915"/>
    <w:rsid w:val="00D7395F"/>
    <w:rsid w:val="00D73A3E"/>
    <w:rsid w:val="00D73A76"/>
    <w:rsid w:val="00D73B6F"/>
    <w:rsid w:val="00D73BF6"/>
    <w:rsid w:val="00D73D01"/>
    <w:rsid w:val="00D73D5D"/>
    <w:rsid w:val="00D73E14"/>
    <w:rsid w:val="00D73E86"/>
    <w:rsid w:val="00D73FFB"/>
    <w:rsid w:val="00D74154"/>
    <w:rsid w:val="00D742B0"/>
    <w:rsid w:val="00D742F2"/>
    <w:rsid w:val="00D74389"/>
    <w:rsid w:val="00D743B3"/>
    <w:rsid w:val="00D743E0"/>
    <w:rsid w:val="00D745D2"/>
    <w:rsid w:val="00D74785"/>
    <w:rsid w:val="00D74893"/>
    <w:rsid w:val="00D748F1"/>
    <w:rsid w:val="00D74B8A"/>
    <w:rsid w:val="00D74E31"/>
    <w:rsid w:val="00D74EF1"/>
    <w:rsid w:val="00D750D1"/>
    <w:rsid w:val="00D75216"/>
    <w:rsid w:val="00D753F7"/>
    <w:rsid w:val="00D755A1"/>
    <w:rsid w:val="00D756C1"/>
    <w:rsid w:val="00D7589C"/>
    <w:rsid w:val="00D75969"/>
    <w:rsid w:val="00D75A14"/>
    <w:rsid w:val="00D75C6B"/>
    <w:rsid w:val="00D75D61"/>
    <w:rsid w:val="00D75DAA"/>
    <w:rsid w:val="00D75DC8"/>
    <w:rsid w:val="00D75F9F"/>
    <w:rsid w:val="00D7623E"/>
    <w:rsid w:val="00D762EF"/>
    <w:rsid w:val="00D76307"/>
    <w:rsid w:val="00D763DD"/>
    <w:rsid w:val="00D763E8"/>
    <w:rsid w:val="00D7644E"/>
    <w:rsid w:val="00D76966"/>
    <w:rsid w:val="00D76970"/>
    <w:rsid w:val="00D76A91"/>
    <w:rsid w:val="00D76D07"/>
    <w:rsid w:val="00D76DA5"/>
    <w:rsid w:val="00D76E37"/>
    <w:rsid w:val="00D771DD"/>
    <w:rsid w:val="00D77259"/>
    <w:rsid w:val="00D77294"/>
    <w:rsid w:val="00D77387"/>
    <w:rsid w:val="00D777D8"/>
    <w:rsid w:val="00D778F9"/>
    <w:rsid w:val="00D77918"/>
    <w:rsid w:val="00D77997"/>
    <w:rsid w:val="00D779D1"/>
    <w:rsid w:val="00D77B45"/>
    <w:rsid w:val="00D77B5B"/>
    <w:rsid w:val="00D77C1F"/>
    <w:rsid w:val="00D77D59"/>
    <w:rsid w:val="00D77F8C"/>
    <w:rsid w:val="00D8011E"/>
    <w:rsid w:val="00D80185"/>
    <w:rsid w:val="00D803EF"/>
    <w:rsid w:val="00D8053C"/>
    <w:rsid w:val="00D80584"/>
    <w:rsid w:val="00D80808"/>
    <w:rsid w:val="00D8081A"/>
    <w:rsid w:val="00D8092F"/>
    <w:rsid w:val="00D80A12"/>
    <w:rsid w:val="00D80ABB"/>
    <w:rsid w:val="00D80CF3"/>
    <w:rsid w:val="00D80D17"/>
    <w:rsid w:val="00D81192"/>
    <w:rsid w:val="00D812C8"/>
    <w:rsid w:val="00D814F7"/>
    <w:rsid w:val="00D81697"/>
    <w:rsid w:val="00D817A1"/>
    <w:rsid w:val="00D81DA5"/>
    <w:rsid w:val="00D81E1E"/>
    <w:rsid w:val="00D8200C"/>
    <w:rsid w:val="00D820B0"/>
    <w:rsid w:val="00D821A0"/>
    <w:rsid w:val="00D82448"/>
    <w:rsid w:val="00D8252C"/>
    <w:rsid w:val="00D825A9"/>
    <w:rsid w:val="00D825BC"/>
    <w:rsid w:val="00D825C1"/>
    <w:rsid w:val="00D825CB"/>
    <w:rsid w:val="00D8280D"/>
    <w:rsid w:val="00D828FF"/>
    <w:rsid w:val="00D82936"/>
    <w:rsid w:val="00D82B3C"/>
    <w:rsid w:val="00D82CF3"/>
    <w:rsid w:val="00D82D99"/>
    <w:rsid w:val="00D831D5"/>
    <w:rsid w:val="00D833ED"/>
    <w:rsid w:val="00D8342F"/>
    <w:rsid w:val="00D83492"/>
    <w:rsid w:val="00D8383C"/>
    <w:rsid w:val="00D83874"/>
    <w:rsid w:val="00D83A49"/>
    <w:rsid w:val="00D83AF8"/>
    <w:rsid w:val="00D83B22"/>
    <w:rsid w:val="00D83BAD"/>
    <w:rsid w:val="00D83F91"/>
    <w:rsid w:val="00D83FE2"/>
    <w:rsid w:val="00D840DF"/>
    <w:rsid w:val="00D84249"/>
    <w:rsid w:val="00D842F8"/>
    <w:rsid w:val="00D84364"/>
    <w:rsid w:val="00D844DE"/>
    <w:rsid w:val="00D845A0"/>
    <w:rsid w:val="00D845A9"/>
    <w:rsid w:val="00D8466F"/>
    <w:rsid w:val="00D846FE"/>
    <w:rsid w:val="00D84853"/>
    <w:rsid w:val="00D8488C"/>
    <w:rsid w:val="00D84969"/>
    <w:rsid w:val="00D84A97"/>
    <w:rsid w:val="00D84E94"/>
    <w:rsid w:val="00D84F08"/>
    <w:rsid w:val="00D84F2A"/>
    <w:rsid w:val="00D84F52"/>
    <w:rsid w:val="00D850B9"/>
    <w:rsid w:val="00D85281"/>
    <w:rsid w:val="00D85288"/>
    <w:rsid w:val="00D8540E"/>
    <w:rsid w:val="00D85450"/>
    <w:rsid w:val="00D85579"/>
    <w:rsid w:val="00D855DE"/>
    <w:rsid w:val="00D85643"/>
    <w:rsid w:val="00D856A5"/>
    <w:rsid w:val="00D856CF"/>
    <w:rsid w:val="00D857F6"/>
    <w:rsid w:val="00D85849"/>
    <w:rsid w:val="00D85967"/>
    <w:rsid w:val="00D8599B"/>
    <w:rsid w:val="00D85AE5"/>
    <w:rsid w:val="00D85BE7"/>
    <w:rsid w:val="00D85CD4"/>
    <w:rsid w:val="00D85E2A"/>
    <w:rsid w:val="00D85E67"/>
    <w:rsid w:val="00D86073"/>
    <w:rsid w:val="00D86580"/>
    <w:rsid w:val="00D86593"/>
    <w:rsid w:val="00D86735"/>
    <w:rsid w:val="00D867E8"/>
    <w:rsid w:val="00D8685A"/>
    <w:rsid w:val="00D86957"/>
    <w:rsid w:val="00D86A46"/>
    <w:rsid w:val="00D86CD3"/>
    <w:rsid w:val="00D86DC4"/>
    <w:rsid w:val="00D86DFD"/>
    <w:rsid w:val="00D86E63"/>
    <w:rsid w:val="00D86F5D"/>
    <w:rsid w:val="00D86F72"/>
    <w:rsid w:val="00D870C1"/>
    <w:rsid w:val="00D87315"/>
    <w:rsid w:val="00D874C7"/>
    <w:rsid w:val="00D874F4"/>
    <w:rsid w:val="00D874F5"/>
    <w:rsid w:val="00D87797"/>
    <w:rsid w:val="00D87804"/>
    <w:rsid w:val="00D8787F"/>
    <w:rsid w:val="00D879FC"/>
    <w:rsid w:val="00D87A07"/>
    <w:rsid w:val="00D87AC3"/>
    <w:rsid w:val="00D87B5D"/>
    <w:rsid w:val="00D87BB1"/>
    <w:rsid w:val="00D87BC2"/>
    <w:rsid w:val="00D87BF4"/>
    <w:rsid w:val="00D87DD2"/>
    <w:rsid w:val="00D87DE0"/>
    <w:rsid w:val="00D902DE"/>
    <w:rsid w:val="00D902F7"/>
    <w:rsid w:val="00D90354"/>
    <w:rsid w:val="00D90379"/>
    <w:rsid w:val="00D904D4"/>
    <w:rsid w:val="00D9059A"/>
    <w:rsid w:val="00D906BF"/>
    <w:rsid w:val="00D90983"/>
    <w:rsid w:val="00D90AB1"/>
    <w:rsid w:val="00D90DC3"/>
    <w:rsid w:val="00D90DCF"/>
    <w:rsid w:val="00D91225"/>
    <w:rsid w:val="00D91229"/>
    <w:rsid w:val="00D912BC"/>
    <w:rsid w:val="00D913D5"/>
    <w:rsid w:val="00D91430"/>
    <w:rsid w:val="00D914BC"/>
    <w:rsid w:val="00D915DE"/>
    <w:rsid w:val="00D91607"/>
    <w:rsid w:val="00D9165A"/>
    <w:rsid w:val="00D91677"/>
    <w:rsid w:val="00D916AA"/>
    <w:rsid w:val="00D916F9"/>
    <w:rsid w:val="00D91759"/>
    <w:rsid w:val="00D9177E"/>
    <w:rsid w:val="00D917C8"/>
    <w:rsid w:val="00D9196A"/>
    <w:rsid w:val="00D919AA"/>
    <w:rsid w:val="00D91C3B"/>
    <w:rsid w:val="00D91D32"/>
    <w:rsid w:val="00D91F1E"/>
    <w:rsid w:val="00D91F71"/>
    <w:rsid w:val="00D9206C"/>
    <w:rsid w:val="00D920D1"/>
    <w:rsid w:val="00D921FC"/>
    <w:rsid w:val="00D9247D"/>
    <w:rsid w:val="00D924D6"/>
    <w:rsid w:val="00D924E6"/>
    <w:rsid w:val="00D92665"/>
    <w:rsid w:val="00D92672"/>
    <w:rsid w:val="00D9288A"/>
    <w:rsid w:val="00D929AC"/>
    <w:rsid w:val="00D92AD2"/>
    <w:rsid w:val="00D92E7F"/>
    <w:rsid w:val="00D92E9B"/>
    <w:rsid w:val="00D92FA4"/>
    <w:rsid w:val="00D9325A"/>
    <w:rsid w:val="00D9325E"/>
    <w:rsid w:val="00D9343A"/>
    <w:rsid w:val="00D934B1"/>
    <w:rsid w:val="00D93553"/>
    <w:rsid w:val="00D93617"/>
    <w:rsid w:val="00D9370E"/>
    <w:rsid w:val="00D93984"/>
    <w:rsid w:val="00D93A49"/>
    <w:rsid w:val="00D93AF1"/>
    <w:rsid w:val="00D93B9C"/>
    <w:rsid w:val="00D93C6C"/>
    <w:rsid w:val="00D94146"/>
    <w:rsid w:val="00D94156"/>
    <w:rsid w:val="00D94267"/>
    <w:rsid w:val="00D94631"/>
    <w:rsid w:val="00D947D1"/>
    <w:rsid w:val="00D947E6"/>
    <w:rsid w:val="00D94972"/>
    <w:rsid w:val="00D94A70"/>
    <w:rsid w:val="00D94BED"/>
    <w:rsid w:val="00D94C40"/>
    <w:rsid w:val="00D94CA0"/>
    <w:rsid w:val="00D94CE0"/>
    <w:rsid w:val="00D94DFE"/>
    <w:rsid w:val="00D94F0D"/>
    <w:rsid w:val="00D94F37"/>
    <w:rsid w:val="00D94F81"/>
    <w:rsid w:val="00D94FE0"/>
    <w:rsid w:val="00D94FE2"/>
    <w:rsid w:val="00D95706"/>
    <w:rsid w:val="00D95737"/>
    <w:rsid w:val="00D958AC"/>
    <w:rsid w:val="00D958F7"/>
    <w:rsid w:val="00D95A68"/>
    <w:rsid w:val="00D95AC6"/>
    <w:rsid w:val="00D95B5B"/>
    <w:rsid w:val="00D95F05"/>
    <w:rsid w:val="00D95F22"/>
    <w:rsid w:val="00D9606A"/>
    <w:rsid w:val="00D960C5"/>
    <w:rsid w:val="00D96132"/>
    <w:rsid w:val="00D96315"/>
    <w:rsid w:val="00D964E0"/>
    <w:rsid w:val="00D96816"/>
    <w:rsid w:val="00D96CD3"/>
    <w:rsid w:val="00D96D58"/>
    <w:rsid w:val="00D96E45"/>
    <w:rsid w:val="00D96FF1"/>
    <w:rsid w:val="00D970B9"/>
    <w:rsid w:val="00D97162"/>
    <w:rsid w:val="00D971CB"/>
    <w:rsid w:val="00D97549"/>
    <w:rsid w:val="00D976CB"/>
    <w:rsid w:val="00D9770F"/>
    <w:rsid w:val="00D9783D"/>
    <w:rsid w:val="00D9791A"/>
    <w:rsid w:val="00D9796B"/>
    <w:rsid w:val="00D97DDC"/>
    <w:rsid w:val="00D97EFD"/>
    <w:rsid w:val="00D97F5F"/>
    <w:rsid w:val="00DA0030"/>
    <w:rsid w:val="00DA00A4"/>
    <w:rsid w:val="00DA0177"/>
    <w:rsid w:val="00DA042B"/>
    <w:rsid w:val="00DA04F2"/>
    <w:rsid w:val="00DA05F8"/>
    <w:rsid w:val="00DA0662"/>
    <w:rsid w:val="00DA07A8"/>
    <w:rsid w:val="00DA07B3"/>
    <w:rsid w:val="00DA095C"/>
    <w:rsid w:val="00DA0A67"/>
    <w:rsid w:val="00DA0B1B"/>
    <w:rsid w:val="00DA0B89"/>
    <w:rsid w:val="00DA0BB9"/>
    <w:rsid w:val="00DA0C6E"/>
    <w:rsid w:val="00DA0CE2"/>
    <w:rsid w:val="00DA0D38"/>
    <w:rsid w:val="00DA0DC6"/>
    <w:rsid w:val="00DA0E33"/>
    <w:rsid w:val="00DA0EE0"/>
    <w:rsid w:val="00DA0F5B"/>
    <w:rsid w:val="00DA1008"/>
    <w:rsid w:val="00DA13E3"/>
    <w:rsid w:val="00DA1735"/>
    <w:rsid w:val="00DA17A8"/>
    <w:rsid w:val="00DA183C"/>
    <w:rsid w:val="00DA19FD"/>
    <w:rsid w:val="00DA1A16"/>
    <w:rsid w:val="00DA1B75"/>
    <w:rsid w:val="00DA1C01"/>
    <w:rsid w:val="00DA1CB1"/>
    <w:rsid w:val="00DA1D5D"/>
    <w:rsid w:val="00DA1F30"/>
    <w:rsid w:val="00DA214D"/>
    <w:rsid w:val="00DA24B6"/>
    <w:rsid w:val="00DA24D6"/>
    <w:rsid w:val="00DA2729"/>
    <w:rsid w:val="00DA281A"/>
    <w:rsid w:val="00DA291A"/>
    <w:rsid w:val="00DA2AA9"/>
    <w:rsid w:val="00DA2BB6"/>
    <w:rsid w:val="00DA2BB7"/>
    <w:rsid w:val="00DA2CE1"/>
    <w:rsid w:val="00DA30B2"/>
    <w:rsid w:val="00DA3182"/>
    <w:rsid w:val="00DA3354"/>
    <w:rsid w:val="00DA379C"/>
    <w:rsid w:val="00DA37F9"/>
    <w:rsid w:val="00DA3A99"/>
    <w:rsid w:val="00DA3AAC"/>
    <w:rsid w:val="00DA3BFD"/>
    <w:rsid w:val="00DA3CF6"/>
    <w:rsid w:val="00DA3E38"/>
    <w:rsid w:val="00DA4077"/>
    <w:rsid w:val="00DA40A3"/>
    <w:rsid w:val="00DA40E6"/>
    <w:rsid w:val="00DA41EB"/>
    <w:rsid w:val="00DA424C"/>
    <w:rsid w:val="00DA4363"/>
    <w:rsid w:val="00DA43F4"/>
    <w:rsid w:val="00DA448D"/>
    <w:rsid w:val="00DA4492"/>
    <w:rsid w:val="00DA45CB"/>
    <w:rsid w:val="00DA47A3"/>
    <w:rsid w:val="00DA4AD7"/>
    <w:rsid w:val="00DA4DD0"/>
    <w:rsid w:val="00DA4E2A"/>
    <w:rsid w:val="00DA4EB2"/>
    <w:rsid w:val="00DA50FE"/>
    <w:rsid w:val="00DA514D"/>
    <w:rsid w:val="00DA532F"/>
    <w:rsid w:val="00DA53AA"/>
    <w:rsid w:val="00DA53C1"/>
    <w:rsid w:val="00DA55D6"/>
    <w:rsid w:val="00DA5699"/>
    <w:rsid w:val="00DA5746"/>
    <w:rsid w:val="00DA59DB"/>
    <w:rsid w:val="00DA5A16"/>
    <w:rsid w:val="00DA5B70"/>
    <w:rsid w:val="00DA5EAC"/>
    <w:rsid w:val="00DA5F18"/>
    <w:rsid w:val="00DA5F88"/>
    <w:rsid w:val="00DA5FAE"/>
    <w:rsid w:val="00DA6230"/>
    <w:rsid w:val="00DA624F"/>
    <w:rsid w:val="00DA6923"/>
    <w:rsid w:val="00DA6E05"/>
    <w:rsid w:val="00DA6F11"/>
    <w:rsid w:val="00DA6F78"/>
    <w:rsid w:val="00DA7046"/>
    <w:rsid w:val="00DA7149"/>
    <w:rsid w:val="00DA7181"/>
    <w:rsid w:val="00DA73CA"/>
    <w:rsid w:val="00DA74E2"/>
    <w:rsid w:val="00DA74FF"/>
    <w:rsid w:val="00DA787C"/>
    <w:rsid w:val="00DA7B24"/>
    <w:rsid w:val="00DA7B44"/>
    <w:rsid w:val="00DA7C0F"/>
    <w:rsid w:val="00DA7C74"/>
    <w:rsid w:val="00DA7CCF"/>
    <w:rsid w:val="00DB0013"/>
    <w:rsid w:val="00DB0219"/>
    <w:rsid w:val="00DB0286"/>
    <w:rsid w:val="00DB02E5"/>
    <w:rsid w:val="00DB0367"/>
    <w:rsid w:val="00DB0492"/>
    <w:rsid w:val="00DB07CB"/>
    <w:rsid w:val="00DB0910"/>
    <w:rsid w:val="00DB0F8D"/>
    <w:rsid w:val="00DB1023"/>
    <w:rsid w:val="00DB11F6"/>
    <w:rsid w:val="00DB11FD"/>
    <w:rsid w:val="00DB1210"/>
    <w:rsid w:val="00DB128D"/>
    <w:rsid w:val="00DB1380"/>
    <w:rsid w:val="00DB1500"/>
    <w:rsid w:val="00DB1581"/>
    <w:rsid w:val="00DB171E"/>
    <w:rsid w:val="00DB1792"/>
    <w:rsid w:val="00DB18C8"/>
    <w:rsid w:val="00DB1B57"/>
    <w:rsid w:val="00DB1CF3"/>
    <w:rsid w:val="00DB1DEB"/>
    <w:rsid w:val="00DB1E2B"/>
    <w:rsid w:val="00DB2034"/>
    <w:rsid w:val="00DB22A8"/>
    <w:rsid w:val="00DB22D2"/>
    <w:rsid w:val="00DB2338"/>
    <w:rsid w:val="00DB2434"/>
    <w:rsid w:val="00DB2534"/>
    <w:rsid w:val="00DB25BC"/>
    <w:rsid w:val="00DB26ED"/>
    <w:rsid w:val="00DB2A2A"/>
    <w:rsid w:val="00DB2AD1"/>
    <w:rsid w:val="00DB2DB7"/>
    <w:rsid w:val="00DB2E03"/>
    <w:rsid w:val="00DB2E72"/>
    <w:rsid w:val="00DB3224"/>
    <w:rsid w:val="00DB348F"/>
    <w:rsid w:val="00DB34E7"/>
    <w:rsid w:val="00DB3559"/>
    <w:rsid w:val="00DB365E"/>
    <w:rsid w:val="00DB3694"/>
    <w:rsid w:val="00DB36DD"/>
    <w:rsid w:val="00DB3867"/>
    <w:rsid w:val="00DB3917"/>
    <w:rsid w:val="00DB3AF1"/>
    <w:rsid w:val="00DB3EC1"/>
    <w:rsid w:val="00DB3EDF"/>
    <w:rsid w:val="00DB3EF0"/>
    <w:rsid w:val="00DB4014"/>
    <w:rsid w:val="00DB40BF"/>
    <w:rsid w:val="00DB4148"/>
    <w:rsid w:val="00DB419A"/>
    <w:rsid w:val="00DB44F0"/>
    <w:rsid w:val="00DB47C0"/>
    <w:rsid w:val="00DB492C"/>
    <w:rsid w:val="00DB49D8"/>
    <w:rsid w:val="00DB4B7A"/>
    <w:rsid w:val="00DB4BBC"/>
    <w:rsid w:val="00DB5117"/>
    <w:rsid w:val="00DB5142"/>
    <w:rsid w:val="00DB514A"/>
    <w:rsid w:val="00DB53E1"/>
    <w:rsid w:val="00DB57EE"/>
    <w:rsid w:val="00DB5A00"/>
    <w:rsid w:val="00DB5B42"/>
    <w:rsid w:val="00DB5D4B"/>
    <w:rsid w:val="00DB5E96"/>
    <w:rsid w:val="00DB5FE1"/>
    <w:rsid w:val="00DB61C6"/>
    <w:rsid w:val="00DB62B6"/>
    <w:rsid w:val="00DB62E6"/>
    <w:rsid w:val="00DB6328"/>
    <w:rsid w:val="00DB63E6"/>
    <w:rsid w:val="00DB64C8"/>
    <w:rsid w:val="00DB6564"/>
    <w:rsid w:val="00DB6584"/>
    <w:rsid w:val="00DB6A6D"/>
    <w:rsid w:val="00DB6AC4"/>
    <w:rsid w:val="00DB6AED"/>
    <w:rsid w:val="00DB6C84"/>
    <w:rsid w:val="00DB6CB3"/>
    <w:rsid w:val="00DB6CF7"/>
    <w:rsid w:val="00DB6F48"/>
    <w:rsid w:val="00DB6F64"/>
    <w:rsid w:val="00DB6F76"/>
    <w:rsid w:val="00DB708C"/>
    <w:rsid w:val="00DB70A6"/>
    <w:rsid w:val="00DB70AD"/>
    <w:rsid w:val="00DB717D"/>
    <w:rsid w:val="00DB7181"/>
    <w:rsid w:val="00DB7A45"/>
    <w:rsid w:val="00DB7AE8"/>
    <w:rsid w:val="00DB7B13"/>
    <w:rsid w:val="00DB7C35"/>
    <w:rsid w:val="00DB7D74"/>
    <w:rsid w:val="00DB7FBD"/>
    <w:rsid w:val="00DC01A4"/>
    <w:rsid w:val="00DC01C5"/>
    <w:rsid w:val="00DC05DB"/>
    <w:rsid w:val="00DC0612"/>
    <w:rsid w:val="00DC07E4"/>
    <w:rsid w:val="00DC0897"/>
    <w:rsid w:val="00DC097B"/>
    <w:rsid w:val="00DC0B94"/>
    <w:rsid w:val="00DC0CBF"/>
    <w:rsid w:val="00DC0DE7"/>
    <w:rsid w:val="00DC0E30"/>
    <w:rsid w:val="00DC1074"/>
    <w:rsid w:val="00DC129A"/>
    <w:rsid w:val="00DC18BB"/>
    <w:rsid w:val="00DC18D4"/>
    <w:rsid w:val="00DC18E2"/>
    <w:rsid w:val="00DC1949"/>
    <w:rsid w:val="00DC1A5D"/>
    <w:rsid w:val="00DC1CB4"/>
    <w:rsid w:val="00DC1D2E"/>
    <w:rsid w:val="00DC289A"/>
    <w:rsid w:val="00DC296E"/>
    <w:rsid w:val="00DC2A28"/>
    <w:rsid w:val="00DC2D8C"/>
    <w:rsid w:val="00DC2F22"/>
    <w:rsid w:val="00DC2FC3"/>
    <w:rsid w:val="00DC3048"/>
    <w:rsid w:val="00DC317B"/>
    <w:rsid w:val="00DC31B8"/>
    <w:rsid w:val="00DC33BD"/>
    <w:rsid w:val="00DC33DD"/>
    <w:rsid w:val="00DC366B"/>
    <w:rsid w:val="00DC37DB"/>
    <w:rsid w:val="00DC383E"/>
    <w:rsid w:val="00DC3850"/>
    <w:rsid w:val="00DC389B"/>
    <w:rsid w:val="00DC3A39"/>
    <w:rsid w:val="00DC3C86"/>
    <w:rsid w:val="00DC3D5F"/>
    <w:rsid w:val="00DC3E46"/>
    <w:rsid w:val="00DC3E7B"/>
    <w:rsid w:val="00DC4173"/>
    <w:rsid w:val="00DC4330"/>
    <w:rsid w:val="00DC435F"/>
    <w:rsid w:val="00DC4439"/>
    <w:rsid w:val="00DC4466"/>
    <w:rsid w:val="00DC4500"/>
    <w:rsid w:val="00DC456B"/>
    <w:rsid w:val="00DC47C9"/>
    <w:rsid w:val="00DC47EC"/>
    <w:rsid w:val="00DC483C"/>
    <w:rsid w:val="00DC4BF4"/>
    <w:rsid w:val="00DC4D2C"/>
    <w:rsid w:val="00DC4D4D"/>
    <w:rsid w:val="00DC4E91"/>
    <w:rsid w:val="00DC4F51"/>
    <w:rsid w:val="00DC501D"/>
    <w:rsid w:val="00DC525B"/>
    <w:rsid w:val="00DC566C"/>
    <w:rsid w:val="00DC5800"/>
    <w:rsid w:val="00DC5933"/>
    <w:rsid w:val="00DC5B78"/>
    <w:rsid w:val="00DC5C7F"/>
    <w:rsid w:val="00DC5D0B"/>
    <w:rsid w:val="00DC5D9A"/>
    <w:rsid w:val="00DC5EFE"/>
    <w:rsid w:val="00DC62F8"/>
    <w:rsid w:val="00DC6340"/>
    <w:rsid w:val="00DC65CB"/>
    <w:rsid w:val="00DC67F1"/>
    <w:rsid w:val="00DC6906"/>
    <w:rsid w:val="00DC6AD3"/>
    <w:rsid w:val="00DC6B92"/>
    <w:rsid w:val="00DC6BFB"/>
    <w:rsid w:val="00DC6D45"/>
    <w:rsid w:val="00DC706E"/>
    <w:rsid w:val="00DC7142"/>
    <w:rsid w:val="00DC71CF"/>
    <w:rsid w:val="00DC7305"/>
    <w:rsid w:val="00DC76E7"/>
    <w:rsid w:val="00DC7707"/>
    <w:rsid w:val="00DC786D"/>
    <w:rsid w:val="00DC7983"/>
    <w:rsid w:val="00DC7D43"/>
    <w:rsid w:val="00DC7D93"/>
    <w:rsid w:val="00DC7E87"/>
    <w:rsid w:val="00DC7E8F"/>
    <w:rsid w:val="00DC7F2C"/>
    <w:rsid w:val="00DC7F3A"/>
    <w:rsid w:val="00DC7F7C"/>
    <w:rsid w:val="00DD00F5"/>
    <w:rsid w:val="00DD01B7"/>
    <w:rsid w:val="00DD0484"/>
    <w:rsid w:val="00DD06B9"/>
    <w:rsid w:val="00DD087F"/>
    <w:rsid w:val="00DD096F"/>
    <w:rsid w:val="00DD0B1D"/>
    <w:rsid w:val="00DD0B4F"/>
    <w:rsid w:val="00DD0C30"/>
    <w:rsid w:val="00DD0DE4"/>
    <w:rsid w:val="00DD0E66"/>
    <w:rsid w:val="00DD0E97"/>
    <w:rsid w:val="00DD0FBD"/>
    <w:rsid w:val="00DD1163"/>
    <w:rsid w:val="00DD1241"/>
    <w:rsid w:val="00DD160D"/>
    <w:rsid w:val="00DD184C"/>
    <w:rsid w:val="00DD184E"/>
    <w:rsid w:val="00DD1902"/>
    <w:rsid w:val="00DD1907"/>
    <w:rsid w:val="00DD1A02"/>
    <w:rsid w:val="00DD1A6F"/>
    <w:rsid w:val="00DD1BD4"/>
    <w:rsid w:val="00DD1CD8"/>
    <w:rsid w:val="00DD1D53"/>
    <w:rsid w:val="00DD1D9A"/>
    <w:rsid w:val="00DD2013"/>
    <w:rsid w:val="00DD21F5"/>
    <w:rsid w:val="00DD24D6"/>
    <w:rsid w:val="00DD2552"/>
    <w:rsid w:val="00DD268C"/>
    <w:rsid w:val="00DD28AD"/>
    <w:rsid w:val="00DD2A7F"/>
    <w:rsid w:val="00DD2AA5"/>
    <w:rsid w:val="00DD2B3C"/>
    <w:rsid w:val="00DD2B7F"/>
    <w:rsid w:val="00DD2E4E"/>
    <w:rsid w:val="00DD30BF"/>
    <w:rsid w:val="00DD3213"/>
    <w:rsid w:val="00DD3439"/>
    <w:rsid w:val="00DD359C"/>
    <w:rsid w:val="00DD37E0"/>
    <w:rsid w:val="00DD3B19"/>
    <w:rsid w:val="00DD3BE2"/>
    <w:rsid w:val="00DD3DAF"/>
    <w:rsid w:val="00DD3E82"/>
    <w:rsid w:val="00DD3EEE"/>
    <w:rsid w:val="00DD4085"/>
    <w:rsid w:val="00DD41C1"/>
    <w:rsid w:val="00DD42C0"/>
    <w:rsid w:val="00DD44C4"/>
    <w:rsid w:val="00DD44DC"/>
    <w:rsid w:val="00DD46F4"/>
    <w:rsid w:val="00DD48A2"/>
    <w:rsid w:val="00DD48E4"/>
    <w:rsid w:val="00DD49EF"/>
    <w:rsid w:val="00DD4A1F"/>
    <w:rsid w:val="00DD4A82"/>
    <w:rsid w:val="00DD4CAD"/>
    <w:rsid w:val="00DD4E1F"/>
    <w:rsid w:val="00DD4E36"/>
    <w:rsid w:val="00DD5014"/>
    <w:rsid w:val="00DD50E0"/>
    <w:rsid w:val="00DD552C"/>
    <w:rsid w:val="00DD5559"/>
    <w:rsid w:val="00DD573C"/>
    <w:rsid w:val="00DD58E1"/>
    <w:rsid w:val="00DD59F6"/>
    <w:rsid w:val="00DD5B4D"/>
    <w:rsid w:val="00DD5BA8"/>
    <w:rsid w:val="00DD5C7E"/>
    <w:rsid w:val="00DD5EEA"/>
    <w:rsid w:val="00DD5FA2"/>
    <w:rsid w:val="00DD6417"/>
    <w:rsid w:val="00DD646B"/>
    <w:rsid w:val="00DD64D1"/>
    <w:rsid w:val="00DD6555"/>
    <w:rsid w:val="00DD6583"/>
    <w:rsid w:val="00DD6621"/>
    <w:rsid w:val="00DD665E"/>
    <w:rsid w:val="00DD670C"/>
    <w:rsid w:val="00DD6A54"/>
    <w:rsid w:val="00DD6AC8"/>
    <w:rsid w:val="00DD6B2F"/>
    <w:rsid w:val="00DD6E35"/>
    <w:rsid w:val="00DD6E3A"/>
    <w:rsid w:val="00DD6E69"/>
    <w:rsid w:val="00DD6F2B"/>
    <w:rsid w:val="00DD7078"/>
    <w:rsid w:val="00DD7092"/>
    <w:rsid w:val="00DD7094"/>
    <w:rsid w:val="00DD7195"/>
    <w:rsid w:val="00DD7204"/>
    <w:rsid w:val="00DD72A5"/>
    <w:rsid w:val="00DD748F"/>
    <w:rsid w:val="00DD7615"/>
    <w:rsid w:val="00DD768E"/>
    <w:rsid w:val="00DD7898"/>
    <w:rsid w:val="00DD7B4C"/>
    <w:rsid w:val="00DD7DAB"/>
    <w:rsid w:val="00DE0059"/>
    <w:rsid w:val="00DE0115"/>
    <w:rsid w:val="00DE02DA"/>
    <w:rsid w:val="00DE0375"/>
    <w:rsid w:val="00DE0623"/>
    <w:rsid w:val="00DE0988"/>
    <w:rsid w:val="00DE0C2B"/>
    <w:rsid w:val="00DE0D0E"/>
    <w:rsid w:val="00DE0E11"/>
    <w:rsid w:val="00DE0E5D"/>
    <w:rsid w:val="00DE0F25"/>
    <w:rsid w:val="00DE0F66"/>
    <w:rsid w:val="00DE0FD8"/>
    <w:rsid w:val="00DE11A8"/>
    <w:rsid w:val="00DE12AF"/>
    <w:rsid w:val="00DE1800"/>
    <w:rsid w:val="00DE18BD"/>
    <w:rsid w:val="00DE1BAA"/>
    <w:rsid w:val="00DE1BE6"/>
    <w:rsid w:val="00DE1C37"/>
    <w:rsid w:val="00DE1D92"/>
    <w:rsid w:val="00DE1E2B"/>
    <w:rsid w:val="00DE212B"/>
    <w:rsid w:val="00DE2597"/>
    <w:rsid w:val="00DE27D6"/>
    <w:rsid w:val="00DE2A2F"/>
    <w:rsid w:val="00DE2C43"/>
    <w:rsid w:val="00DE2CB8"/>
    <w:rsid w:val="00DE2F77"/>
    <w:rsid w:val="00DE301D"/>
    <w:rsid w:val="00DE310A"/>
    <w:rsid w:val="00DE321E"/>
    <w:rsid w:val="00DE32B3"/>
    <w:rsid w:val="00DE3359"/>
    <w:rsid w:val="00DE339A"/>
    <w:rsid w:val="00DE343A"/>
    <w:rsid w:val="00DE357D"/>
    <w:rsid w:val="00DE35FA"/>
    <w:rsid w:val="00DE3740"/>
    <w:rsid w:val="00DE375B"/>
    <w:rsid w:val="00DE3861"/>
    <w:rsid w:val="00DE3889"/>
    <w:rsid w:val="00DE3ACE"/>
    <w:rsid w:val="00DE3BCB"/>
    <w:rsid w:val="00DE3BEB"/>
    <w:rsid w:val="00DE3EA9"/>
    <w:rsid w:val="00DE3EEE"/>
    <w:rsid w:val="00DE3FB2"/>
    <w:rsid w:val="00DE3FEB"/>
    <w:rsid w:val="00DE4298"/>
    <w:rsid w:val="00DE43AC"/>
    <w:rsid w:val="00DE45D9"/>
    <w:rsid w:val="00DE4655"/>
    <w:rsid w:val="00DE4691"/>
    <w:rsid w:val="00DE4836"/>
    <w:rsid w:val="00DE4890"/>
    <w:rsid w:val="00DE48CC"/>
    <w:rsid w:val="00DE4919"/>
    <w:rsid w:val="00DE4A7E"/>
    <w:rsid w:val="00DE4B24"/>
    <w:rsid w:val="00DE4BCF"/>
    <w:rsid w:val="00DE4F37"/>
    <w:rsid w:val="00DE4F56"/>
    <w:rsid w:val="00DE5266"/>
    <w:rsid w:val="00DE5668"/>
    <w:rsid w:val="00DE57E6"/>
    <w:rsid w:val="00DE590B"/>
    <w:rsid w:val="00DE595B"/>
    <w:rsid w:val="00DE5ABE"/>
    <w:rsid w:val="00DE5D0B"/>
    <w:rsid w:val="00DE5D80"/>
    <w:rsid w:val="00DE5E79"/>
    <w:rsid w:val="00DE5F38"/>
    <w:rsid w:val="00DE5FE1"/>
    <w:rsid w:val="00DE6410"/>
    <w:rsid w:val="00DE6440"/>
    <w:rsid w:val="00DE64A5"/>
    <w:rsid w:val="00DE6675"/>
    <w:rsid w:val="00DE6821"/>
    <w:rsid w:val="00DE6833"/>
    <w:rsid w:val="00DE68E9"/>
    <w:rsid w:val="00DE6A04"/>
    <w:rsid w:val="00DE6B3C"/>
    <w:rsid w:val="00DE6ECB"/>
    <w:rsid w:val="00DE6F0C"/>
    <w:rsid w:val="00DE6F5F"/>
    <w:rsid w:val="00DE6FBF"/>
    <w:rsid w:val="00DE7050"/>
    <w:rsid w:val="00DE70C4"/>
    <w:rsid w:val="00DE7122"/>
    <w:rsid w:val="00DE71DF"/>
    <w:rsid w:val="00DE7256"/>
    <w:rsid w:val="00DE728E"/>
    <w:rsid w:val="00DE7415"/>
    <w:rsid w:val="00DE748F"/>
    <w:rsid w:val="00DE7588"/>
    <w:rsid w:val="00DE75F5"/>
    <w:rsid w:val="00DE7668"/>
    <w:rsid w:val="00DE7A77"/>
    <w:rsid w:val="00DE7A96"/>
    <w:rsid w:val="00DE7BC0"/>
    <w:rsid w:val="00DE7D88"/>
    <w:rsid w:val="00DE7EE9"/>
    <w:rsid w:val="00DE7FD1"/>
    <w:rsid w:val="00DF01AC"/>
    <w:rsid w:val="00DF0586"/>
    <w:rsid w:val="00DF0795"/>
    <w:rsid w:val="00DF0915"/>
    <w:rsid w:val="00DF0977"/>
    <w:rsid w:val="00DF0ABD"/>
    <w:rsid w:val="00DF0CEE"/>
    <w:rsid w:val="00DF0E86"/>
    <w:rsid w:val="00DF0ECB"/>
    <w:rsid w:val="00DF10B0"/>
    <w:rsid w:val="00DF1411"/>
    <w:rsid w:val="00DF1452"/>
    <w:rsid w:val="00DF18AE"/>
    <w:rsid w:val="00DF197A"/>
    <w:rsid w:val="00DF1984"/>
    <w:rsid w:val="00DF1A5F"/>
    <w:rsid w:val="00DF1A8B"/>
    <w:rsid w:val="00DF1E15"/>
    <w:rsid w:val="00DF1EDE"/>
    <w:rsid w:val="00DF202B"/>
    <w:rsid w:val="00DF21F8"/>
    <w:rsid w:val="00DF23C3"/>
    <w:rsid w:val="00DF2509"/>
    <w:rsid w:val="00DF2650"/>
    <w:rsid w:val="00DF26BB"/>
    <w:rsid w:val="00DF26D3"/>
    <w:rsid w:val="00DF2AB9"/>
    <w:rsid w:val="00DF2BE8"/>
    <w:rsid w:val="00DF2E33"/>
    <w:rsid w:val="00DF2E5A"/>
    <w:rsid w:val="00DF2E76"/>
    <w:rsid w:val="00DF3096"/>
    <w:rsid w:val="00DF329A"/>
    <w:rsid w:val="00DF33D2"/>
    <w:rsid w:val="00DF3456"/>
    <w:rsid w:val="00DF36DF"/>
    <w:rsid w:val="00DF37B9"/>
    <w:rsid w:val="00DF3BCA"/>
    <w:rsid w:val="00DF3D6B"/>
    <w:rsid w:val="00DF4071"/>
    <w:rsid w:val="00DF40E9"/>
    <w:rsid w:val="00DF4272"/>
    <w:rsid w:val="00DF427E"/>
    <w:rsid w:val="00DF4551"/>
    <w:rsid w:val="00DF47DC"/>
    <w:rsid w:val="00DF4851"/>
    <w:rsid w:val="00DF49A0"/>
    <w:rsid w:val="00DF4B65"/>
    <w:rsid w:val="00DF4BD5"/>
    <w:rsid w:val="00DF4BF3"/>
    <w:rsid w:val="00DF4BFB"/>
    <w:rsid w:val="00DF4C50"/>
    <w:rsid w:val="00DF4C7D"/>
    <w:rsid w:val="00DF4D1D"/>
    <w:rsid w:val="00DF4EC6"/>
    <w:rsid w:val="00DF502D"/>
    <w:rsid w:val="00DF509D"/>
    <w:rsid w:val="00DF5102"/>
    <w:rsid w:val="00DF5256"/>
    <w:rsid w:val="00DF5262"/>
    <w:rsid w:val="00DF5481"/>
    <w:rsid w:val="00DF5534"/>
    <w:rsid w:val="00DF55C8"/>
    <w:rsid w:val="00DF55F4"/>
    <w:rsid w:val="00DF55F6"/>
    <w:rsid w:val="00DF598A"/>
    <w:rsid w:val="00DF5B1C"/>
    <w:rsid w:val="00DF5BD2"/>
    <w:rsid w:val="00DF5C15"/>
    <w:rsid w:val="00DF5E50"/>
    <w:rsid w:val="00DF5FC4"/>
    <w:rsid w:val="00DF616E"/>
    <w:rsid w:val="00DF61A7"/>
    <w:rsid w:val="00DF61D6"/>
    <w:rsid w:val="00DF62AE"/>
    <w:rsid w:val="00DF6315"/>
    <w:rsid w:val="00DF63CA"/>
    <w:rsid w:val="00DF685C"/>
    <w:rsid w:val="00DF6DA3"/>
    <w:rsid w:val="00DF6DF1"/>
    <w:rsid w:val="00DF6EAB"/>
    <w:rsid w:val="00DF6EF5"/>
    <w:rsid w:val="00DF6F0C"/>
    <w:rsid w:val="00DF702C"/>
    <w:rsid w:val="00DF71A1"/>
    <w:rsid w:val="00DF724D"/>
    <w:rsid w:val="00DF756E"/>
    <w:rsid w:val="00DF771A"/>
    <w:rsid w:val="00DF776D"/>
    <w:rsid w:val="00DF7AB7"/>
    <w:rsid w:val="00DF7B8B"/>
    <w:rsid w:val="00DF7D6C"/>
    <w:rsid w:val="00DF7E18"/>
    <w:rsid w:val="00DF7EF7"/>
    <w:rsid w:val="00DF7F5C"/>
    <w:rsid w:val="00DF7FC8"/>
    <w:rsid w:val="00E00022"/>
    <w:rsid w:val="00E000BB"/>
    <w:rsid w:val="00E00214"/>
    <w:rsid w:val="00E00291"/>
    <w:rsid w:val="00E00645"/>
    <w:rsid w:val="00E0064E"/>
    <w:rsid w:val="00E0064F"/>
    <w:rsid w:val="00E007B4"/>
    <w:rsid w:val="00E0095C"/>
    <w:rsid w:val="00E009E4"/>
    <w:rsid w:val="00E00A12"/>
    <w:rsid w:val="00E00ABA"/>
    <w:rsid w:val="00E00F12"/>
    <w:rsid w:val="00E01051"/>
    <w:rsid w:val="00E01126"/>
    <w:rsid w:val="00E011B1"/>
    <w:rsid w:val="00E0123B"/>
    <w:rsid w:val="00E012DA"/>
    <w:rsid w:val="00E014C2"/>
    <w:rsid w:val="00E01522"/>
    <w:rsid w:val="00E01637"/>
    <w:rsid w:val="00E016DC"/>
    <w:rsid w:val="00E01AF6"/>
    <w:rsid w:val="00E01B55"/>
    <w:rsid w:val="00E01C9E"/>
    <w:rsid w:val="00E01CC0"/>
    <w:rsid w:val="00E01F01"/>
    <w:rsid w:val="00E02164"/>
    <w:rsid w:val="00E02326"/>
    <w:rsid w:val="00E0238C"/>
    <w:rsid w:val="00E0243D"/>
    <w:rsid w:val="00E024A3"/>
    <w:rsid w:val="00E0269A"/>
    <w:rsid w:val="00E0270B"/>
    <w:rsid w:val="00E02724"/>
    <w:rsid w:val="00E0277D"/>
    <w:rsid w:val="00E02B6D"/>
    <w:rsid w:val="00E02E56"/>
    <w:rsid w:val="00E02FE1"/>
    <w:rsid w:val="00E02FF5"/>
    <w:rsid w:val="00E030D6"/>
    <w:rsid w:val="00E0312E"/>
    <w:rsid w:val="00E032BE"/>
    <w:rsid w:val="00E032E4"/>
    <w:rsid w:val="00E0346B"/>
    <w:rsid w:val="00E034C7"/>
    <w:rsid w:val="00E03500"/>
    <w:rsid w:val="00E035D7"/>
    <w:rsid w:val="00E036F6"/>
    <w:rsid w:val="00E03709"/>
    <w:rsid w:val="00E03854"/>
    <w:rsid w:val="00E039DE"/>
    <w:rsid w:val="00E03D5B"/>
    <w:rsid w:val="00E040EF"/>
    <w:rsid w:val="00E041AF"/>
    <w:rsid w:val="00E04238"/>
    <w:rsid w:val="00E0435F"/>
    <w:rsid w:val="00E043DD"/>
    <w:rsid w:val="00E044C3"/>
    <w:rsid w:val="00E045A3"/>
    <w:rsid w:val="00E0474F"/>
    <w:rsid w:val="00E047C4"/>
    <w:rsid w:val="00E05000"/>
    <w:rsid w:val="00E0502C"/>
    <w:rsid w:val="00E05647"/>
    <w:rsid w:val="00E057B2"/>
    <w:rsid w:val="00E0583B"/>
    <w:rsid w:val="00E06002"/>
    <w:rsid w:val="00E06618"/>
    <w:rsid w:val="00E06666"/>
    <w:rsid w:val="00E066AF"/>
    <w:rsid w:val="00E066DC"/>
    <w:rsid w:val="00E06716"/>
    <w:rsid w:val="00E0676B"/>
    <w:rsid w:val="00E06AF7"/>
    <w:rsid w:val="00E06B02"/>
    <w:rsid w:val="00E06C32"/>
    <w:rsid w:val="00E06D00"/>
    <w:rsid w:val="00E06D80"/>
    <w:rsid w:val="00E073A2"/>
    <w:rsid w:val="00E07487"/>
    <w:rsid w:val="00E079F9"/>
    <w:rsid w:val="00E07B56"/>
    <w:rsid w:val="00E07C35"/>
    <w:rsid w:val="00E07C61"/>
    <w:rsid w:val="00E07C87"/>
    <w:rsid w:val="00E07CDD"/>
    <w:rsid w:val="00E07DB9"/>
    <w:rsid w:val="00E07F16"/>
    <w:rsid w:val="00E10087"/>
    <w:rsid w:val="00E1015C"/>
    <w:rsid w:val="00E10161"/>
    <w:rsid w:val="00E10175"/>
    <w:rsid w:val="00E103DB"/>
    <w:rsid w:val="00E106B7"/>
    <w:rsid w:val="00E108E0"/>
    <w:rsid w:val="00E1097C"/>
    <w:rsid w:val="00E1099F"/>
    <w:rsid w:val="00E10A34"/>
    <w:rsid w:val="00E10AEC"/>
    <w:rsid w:val="00E10B0D"/>
    <w:rsid w:val="00E10E84"/>
    <w:rsid w:val="00E1114A"/>
    <w:rsid w:val="00E111FE"/>
    <w:rsid w:val="00E1122B"/>
    <w:rsid w:val="00E112D9"/>
    <w:rsid w:val="00E113FC"/>
    <w:rsid w:val="00E11712"/>
    <w:rsid w:val="00E1178B"/>
    <w:rsid w:val="00E11915"/>
    <w:rsid w:val="00E11942"/>
    <w:rsid w:val="00E11B22"/>
    <w:rsid w:val="00E11CA5"/>
    <w:rsid w:val="00E11E1A"/>
    <w:rsid w:val="00E12061"/>
    <w:rsid w:val="00E12195"/>
    <w:rsid w:val="00E12333"/>
    <w:rsid w:val="00E12346"/>
    <w:rsid w:val="00E1258C"/>
    <w:rsid w:val="00E125D1"/>
    <w:rsid w:val="00E125D2"/>
    <w:rsid w:val="00E12828"/>
    <w:rsid w:val="00E128BE"/>
    <w:rsid w:val="00E12912"/>
    <w:rsid w:val="00E12926"/>
    <w:rsid w:val="00E1295E"/>
    <w:rsid w:val="00E1298A"/>
    <w:rsid w:val="00E129A7"/>
    <w:rsid w:val="00E129BF"/>
    <w:rsid w:val="00E12BEF"/>
    <w:rsid w:val="00E12E06"/>
    <w:rsid w:val="00E13290"/>
    <w:rsid w:val="00E13431"/>
    <w:rsid w:val="00E1344E"/>
    <w:rsid w:val="00E13645"/>
    <w:rsid w:val="00E137B9"/>
    <w:rsid w:val="00E137F1"/>
    <w:rsid w:val="00E13897"/>
    <w:rsid w:val="00E138A8"/>
    <w:rsid w:val="00E13B24"/>
    <w:rsid w:val="00E13C4A"/>
    <w:rsid w:val="00E13E62"/>
    <w:rsid w:val="00E13E9C"/>
    <w:rsid w:val="00E14026"/>
    <w:rsid w:val="00E1414F"/>
    <w:rsid w:val="00E14194"/>
    <w:rsid w:val="00E14247"/>
    <w:rsid w:val="00E142D2"/>
    <w:rsid w:val="00E14589"/>
    <w:rsid w:val="00E14E0B"/>
    <w:rsid w:val="00E14EF8"/>
    <w:rsid w:val="00E14FFF"/>
    <w:rsid w:val="00E1507B"/>
    <w:rsid w:val="00E1513B"/>
    <w:rsid w:val="00E15242"/>
    <w:rsid w:val="00E1536F"/>
    <w:rsid w:val="00E154A0"/>
    <w:rsid w:val="00E154A8"/>
    <w:rsid w:val="00E155EA"/>
    <w:rsid w:val="00E15772"/>
    <w:rsid w:val="00E1588E"/>
    <w:rsid w:val="00E15904"/>
    <w:rsid w:val="00E159F4"/>
    <w:rsid w:val="00E15A68"/>
    <w:rsid w:val="00E15F73"/>
    <w:rsid w:val="00E16248"/>
    <w:rsid w:val="00E162B8"/>
    <w:rsid w:val="00E16385"/>
    <w:rsid w:val="00E164A7"/>
    <w:rsid w:val="00E164FF"/>
    <w:rsid w:val="00E16516"/>
    <w:rsid w:val="00E166E0"/>
    <w:rsid w:val="00E167B0"/>
    <w:rsid w:val="00E168E9"/>
    <w:rsid w:val="00E168F0"/>
    <w:rsid w:val="00E16A45"/>
    <w:rsid w:val="00E16B8A"/>
    <w:rsid w:val="00E17257"/>
    <w:rsid w:val="00E17706"/>
    <w:rsid w:val="00E178D8"/>
    <w:rsid w:val="00E17A13"/>
    <w:rsid w:val="00E17AC2"/>
    <w:rsid w:val="00E17AE5"/>
    <w:rsid w:val="00E17B6C"/>
    <w:rsid w:val="00E17C16"/>
    <w:rsid w:val="00E17E23"/>
    <w:rsid w:val="00E17F97"/>
    <w:rsid w:val="00E17FAE"/>
    <w:rsid w:val="00E204ED"/>
    <w:rsid w:val="00E205A0"/>
    <w:rsid w:val="00E2075A"/>
    <w:rsid w:val="00E20932"/>
    <w:rsid w:val="00E2099A"/>
    <w:rsid w:val="00E20A51"/>
    <w:rsid w:val="00E20CEC"/>
    <w:rsid w:val="00E20E4C"/>
    <w:rsid w:val="00E20E7E"/>
    <w:rsid w:val="00E21179"/>
    <w:rsid w:val="00E2129B"/>
    <w:rsid w:val="00E21301"/>
    <w:rsid w:val="00E213A4"/>
    <w:rsid w:val="00E214CD"/>
    <w:rsid w:val="00E217D6"/>
    <w:rsid w:val="00E21937"/>
    <w:rsid w:val="00E21973"/>
    <w:rsid w:val="00E21A68"/>
    <w:rsid w:val="00E21AA5"/>
    <w:rsid w:val="00E21BC3"/>
    <w:rsid w:val="00E21C80"/>
    <w:rsid w:val="00E21EF7"/>
    <w:rsid w:val="00E21F1D"/>
    <w:rsid w:val="00E21F38"/>
    <w:rsid w:val="00E21F4F"/>
    <w:rsid w:val="00E22128"/>
    <w:rsid w:val="00E22153"/>
    <w:rsid w:val="00E221B1"/>
    <w:rsid w:val="00E221D4"/>
    <w:rsid w:val="00E22618"/>
    <w:rsid w:val="00E22624"/>
    <w:rsid w:val="00E22A49"/>
    <w:rsid w:val="00E22A7E"/>
    <w:rsid w:val="00E22C03"/>
    <w:rsid w:val="00E22C7D"/>
    <w:rsid w:val="00E22D15"/>
    <w:rsid w:val="00E22FBE"/>
    <w:rsid w:val="00E23456"/>
    <w:rsid w:val="00E235EF"/>
    <w:rsid w:val="00E23634"/>
    <w:rsid w:val="00E2376F"/>
    <w:rsid w:val="00E23773"/>
    <w:rsid w:val="00E23873"/>
    <w:rsid w:val="00E2391C"/>
    <w:rsid w:val="00E239FE"/>
    <w:rsid w:val="00E23B54"/>
    <w:rsid w:val="00E23C68"/>
    <w:rsid w:val="00E23E3F"/>
    <w:rsid w:val="00E23E6E"/>
    <w:rsid w:val="00E23E95"/>
    <w:rsid w:val="00E23E9C"/>
    <w:rsid w:val="00E23EBD"/>
    <w:rsid w:val="00E23F76"/>
    <w:rsid w:val="00E24065"/>
    <w:rsid w:val="00E24124"/>
    <w:rsid w:val="00E241B7"/>
    <w:rsid w:val="00E241D9"/>
    <w:rsid w:val="00E242D1"/>
    <w:rsid w:val="00E24358"/>
    <w:rsid w:val="00E243C4"/>
    <w:rsid w:val="00E246AB"/>
    <w:rsid w:val="00E2474A"/>
    <w:rsid w:val="00E247C2"/>
    <w:rsid w:val="00E2484E"/>
    <w:rsid w:val="00E249D7"/>
    <w:rsid w:val="00E249FE"/>
    <w:rsid w:val="00E24A08"/>
    <w:rsid w:val="00E24B3A"/>
    <w:rsid w:val="00E24B90"/>
    <w:rsid w:val="00E24C9F"/>
    <w:rsid w:val="00E24E18"/>
    <w:rsid w:val="00E24E73"/>
    <w:rsid w:val="00E24F32"/>
    <w:rsid w:val="00E2500A"/>
    <w:rsid w:val="00E25306"/>
    <w:rsid w:val="00E2571D"/>
    <w:rsid w:val="00E25765"/>
    <w:rsid w:val="00E2578C"/>
    <w:rsid w:val="00E25796"/>
    <w:rsid w:val="00E257AB"/>
    <w:rsid w:val="00E25D77"/>
    <w:rsid w:val="00E25E0A"/>
    <w:rsid w:val="00E25E67"/>
    <w:rsid w:val="00E25F50"/>
    <w:rsid w:val="00E262B8"/>
    <w:rsid w:val="00E26712"/>
    <w:rsid w:val="00E2685F"/>
    <w:rsid w:val="00E26916"/>
    <w:rsid w:val="00E269EC"/>
    <w:rsid w:val="00E26AA2"/>
    <w:rsid w:val="00E26AFE"/>
    <w:rsid w:val="00E26BAD"/>
    <w:rsid w:val="00E26CE1"/>
    <w:rsid w:val="00E26D83"/>
    <w:rsid w:val="00E26E7C"/>
    <w:rsid w:val="00E26F4D"/>
    <w:rsid w:val="00E26F54"/>
    <w:rsid w:val="00E27049"/>
    <w:rsid w:val="00E272D5"/>
    <w:rsid w:val="00E27637"/>
    <w:rsid w:val="00E27957"/>
    <w:rsid w:val="00E27C96"/>
    <w:rsid w:val="00E27F38"/>
    <w:rsid w:val="00E30081"/>
    <w:rsid w:val="00E3011B"/>
    <w:rsid w:val="00E30164"/>
    <w:rsid w:val="00E30497"/>
    <w:rsid w:val="00E304B8"/>
    <w:rsid w:val="00E30571"/>
    <w:rsid w:val="00E307D6"/>
    <w:rsid w:val="00E308DF"/>
    <w:rsid w:val="00E308E7"/>
    <w:rsid w:val="00E30968"/>
    <w:rsid w:val="00E30995"/>
    <w:rsid w:val="00E30A3F"/>
    <w:rsid w:val="00E30AFF"/>
    <w:rsid w:val="00E30C8C"/>
    <w:rsid w:val="00E30D98"/>
    <w:rsid w:val="00E30DE4"/>
    <w:rsid w:val="00E30E1D"/>
    <w:rsid w:val="00E30F1B"/>
    <w:rsid w:val="00E30F57"/>
    <w:rsid w:val="00E30FCB"/>
    <w:rsid w:val="00E310D1"/>
    <w:rsid w:val="00E311F4"/>
    <w:rsid w:val="00E313A3"/>
    <w:rsid w:val="00E313C1"/>
    <w:rsid w:val="00E3142B"/>
    <w:rsid w:val="00E3148A"/>
    <w:rsid w:val="00E314A5"/>
    <w:rsid w:val="00E316BC"/>
    <w:rsid w:val="00E31796"/>
    <w:rsid w:val="00E317C3"/>
    <w:rsid w:val="00E317F8"/>
    <w:rsid w:val="00E31B24"/>
    <w:rsid w:val="00E31B4C"/>
    <w:rsid w:val="00E31C62"/>
    <w:rsid w:val="00E31F94"/>
    <w:rsid w:val="00E31FA8"/>
    <w:rsid w:val="00E31FBB"/>
    <w:rsid w:val="00E32562"/>
    <w:rsid w:val="00E326A0"/>
    <w:rsid w:val="00E3285B"/>
    <w:rsid w:val="00E329DE"/>
    <w:rsid w:val="00E329EF"/>
    <w:rsid w:val="00E32A7A"/>
    <w:rsid w:val="00E32BE5"/>
    <w:rsid w:val="00E32C09"/>
    <w:rsid w:val="00E32D32"/>
    <w:rsid w:val="00E32D43"/>
    <w:rsid w:val="00E32DB1"/>
    <w:rsid w:val="00E32E9F"/>
    <w:rsid w:val="00E32FDD"/>
    <w:rsid w:val="00E33047"/>
    <w:rsid w:val="00E3333B"/>
    <w:rsid w:val="00E334FD"/>
    <w:rsid w:val="00E336DE"/>
    <w:rsid w:val="00E33795"/>
    <w:rsid w:val="00E338BC"/>
    <w:rsid w:val="00E338C5"/>
    <w:rsid w:val="00E33A33"/>
    <w:rsid w:val="00E33E2E"/>
    <w:rsid w:val="00E33F9E"/>
    <w:rsid w:val="00E33FBC"/>
    <w:rsid w:val="00E34074"/>
    <w:rsid w:val="00E3425B"/>
    <w:rsid w:val="00E343E0"/>
    <w:rsid w:val="00E34664"/>
    <w:rsid w:val="00E34788"/>
    <w:rsid w:val="00E3478D"/>
    <w:rsid w:val="00E347ED"/>
    <w:rsid w:val="00E3489B"/>
    <w:rsid w:val="00E34A62"/>
    <w:rsid w:val="00E34B6D"/>
    <w:rsid w:val="00E34CC5"/>
    <w:rsid w:val="00E34D0E"/>
    <w:rsid w:val="00E34D57"/>
    <w:rsid w:val="00E34EED"/>
    <w:rsid w:val="00E34F68"/>
    <w:rsid w:val="00E34FED"/>
    <w:rsid w:val="00E35049"/>
    <w:rsid w:val="00E3509F"/>
    <w:rsid w:val="00E351C5"/>
    <w:rsid w:val="00E356DF"/>
    <w:rsid w:val="00E3580C"/>
    <w:rsid w:val="00E35A3C"/>
    <w:rsid w:val="00E35A7A"/>
    <w:rsid w:val="00E35BA5"/>
    <w:rsid w:val="00E35CEE"/>
    <w:rsid w:val="00E35D93"/>
    <w:rsid w:val="00E35DE3"/>
    <w:rsid w:val="00E35E4E"/>
    <w:rsid w:val="00E35E55"/>
    <w:rsid w:val="00E3614C"/>
    <w:rsid w:val="00E3623F"/>
    <w:rsid w:val="00E3638F"/>
    <w:rsid w:val="00E363A9"/>
    <w:rsid w:val="00E36429"/>
    <w:rsid w:val="00E364F4"/>
    <w:rsid w:val="00E36523"/>
    <w:rsid w:val="00E3688F"/>
    <w:rsid w:val="00E36898"/>
    <w:rsid w:val="00E368D1"/>
    <w:rsid w:val="00E36A82"/>
    <w:rsid w:val="00E36DD1"/>
    <w:rsid w:val="00E36E00"/>
    <w:rsid w:val="00E37032"/>
    <w:rsid w:val="00E37050"/>
    <w:rsid w:val="00E37088"/>
    <w:rsid w:val="00E372F5"/>
    <w:rsid w:val="00E373D8"/>
    <w:rsid w:val="00E37436"/>
    <w:rsid w:val="00E3757A"/>
    <w:rsid w:val="00E3762E"/>
    <w:rsid w:val="00E37673"/>
    <w:rsid w:val="00E37CBC"/>
    <w:rsid w:val="00E37DC6"/>
    <w:rsid w:val="00E37E14"/>
    <w:rsid w:val="00E403EA"/>
    <w:rsid w:val="00E4056D"/>
    <w:rsid w:val="00E40626"/>
    <w:rsid w:val="00E40640"/>
    <w:rsid w:val="00E407AD"/>
    <w:rsid w:val="00E408B8"/>
    <w:rsid w:val="00E4096C"/>
    <w:rsid w:val="00E40AE0"/>
    <w:rsid w:val="00E40FEB"/>
    <w:rsid w:val="00E412E3"/>
    <w:rsid w:val="00E414E5"/>
    <w:rsid w:val="00E4160C"/>
    <w:rsid w:val="00E4197A"/>
    <w:rsid w:val="00E41B8B"/>
    <w:rsid w:val="00E41C02"/>
    <w:rsid w:val="00E41DAB"/>
    <w:rsid w:val="00E41DB8"/>
    <w:rsid w:val="00E41ED1"/>
    <w:rsid w:val="00E41F59"/>
    <w:rsid w:val="00E4209D"/>
    <w:rsid w:val="00E423B7"/>
    <w:rsid w:val="00E425F9"/>
    <w:rsid w:val="00E42723"/>
    <w:rsid w:val="00E4275E"/>
    <w:rsid w:val="00E4286B"/>
    <w:rsid w:val="00E4299C"/>
    <w:rsid w:val="00E429D0"/>
    <w:rsid w:val="00E429F8"/>
    <w:rsid w:val="00E42AF4"/>
    <w:rsid w:val="00E42BB7"/>
    <w:rsid w:val="00E42C00"/>
    <w:rsid w:val="00E42C9D"/>
    <w:rsid w:val="00E42D20"/>
    <w:rsid w:val="00E42DC9"/>
    <w:rsid w:val="00E42DF6"/>
    <w:rsid w:val="00E42E98"/>
    <w:rsid w:val="00E42ED9"/>
    <w:rsid w:val="00E430AA"/>
    <w:rsid w:val="00E4323A"/>
    <w:rsid w:val="00E43259"/>
    <w:rsid w:val="00E43431"/>
    <w:rsid w:val="00E4350D"/>
    <w:rsid w:val="00E4379C"/>
    <w:rsid w:val="00E43A2E"/>
    <w:rsid w:val="00E43AE6"/>
    <w:rsid w:val="00E43B5B"/>
    <w:rsid w:val="00E43BDA"/>
    <w:rsid w:val="00E43E2E"/>
    <w:rsid w:val="00E43EBC"/>
    <w:rsid w:val="00E43FB1"/>
    <w:rsid w:val="00E44214"/>
    <w:rsid w:val="00E4459C"/>
    <w:rsid w:val="00E44770"/>
    <w:rsid w:val="00E4483B"/>
    <w:rsid w:val="00E44BDB"/>
    <w:rsid w:val="00E44FD8"/>
    <w:rsid w:val="00E450FC"/>
    <w:rsid w:val="00E453B7"/>
    <w:rsid w:val="00E453F6"/>
    <w:rsid w:val="00E45526"/>
    <w:rsid w:val="00E455A2"/>
    <w:rsid w:val="00E455EA"/>
    <w:rsid w:val="00E455EC"/>
    <w:rsid w:val="00E45620"/>
    <w:rsid w:val="00E45653"/>
    <w:rsid w:val="00E4579F"/>
    <w:rsid w:val="00E458B0"/>
    <w:rsid w:val="00E458DF"/>
    <w:rsid w:val="00E4599E"/>
    <w:rsid w:val="00E45A8C"/>
    <w:rsid w:val="00E45AA7"/>
    <w:rsid w:val="00E45AE4"/>
    <w:rsid w:val="00E45C26"/>
    <w:rsid w:val="00E46030"/>
    <w:rsid w:val="00E46391"/>
    <w:rsid w:val="00E46569"/>
    <w:rsid w:val="00E4659E"/>
    <w:rsid w:val="00E46606"/>
    <w:rsid w:val="00E4665F"/>
    <w:rsid w:val="00E46789"/>
    <w:rsid w:val="00E468C9"/>
    <w:rsid w:val="00E46A97"/>
    <w:rsid w:val="00E46B00"/>
    <w:rsid w:val="00E46DEA"/>
    <w:rsid w:val="00E46E41"/>
    <w:rsid w:val="00E46EB5"/>
    <w:rsid w:val="00E46F7C"/>
    <w:rsid w:val="00E470C4"/>
    <w:rsid w:val="00E4718D"/>
    <w:rsid w:val="00E471F3"/>
    <w:rsid w:val="00E4729F"/>
    <w:rsid w:val="00E47593"/>
    <w:rsid w:val="00E477B6"/>
    <w:rsid w:val="00E47887"/>
    <w:rsid w:val="00E47889"/>
    <w:rsid w:val="00E47B1E"/>
    <w:rsid w:val="00E47C13"/>
    <w:rsid w:val="00E47CAE"/>
    <w:rsid w:val="00E47D08"/>
    <w:rsid w:val="00E47DEE"/>
    <w:rsid w:val="00E50224"/>
    <w:rsid w:val="00E5034E"/>
    <w:rsid w:val="00E50514"/>
    <w:rsid w:val="00E505F7"/>
    <w:rsid w:val="00E506E3"/>
    <w:rsid w:val="00E50854"/>
    <w:rsid w:val="00E508FD"/>
    <w:rsid w:val="00E50AE3"/>
    <w:rsid w:val="00E50C3E"/>
    <w:rsid w:val="00E50F2C"/>
    <w:rsid w:val="00E5100F"/>
    <w:rsid w:val="00E5135A"/>
    <w:rsid w:val="00E513D4"/>
    <w:rsid w:val="00E5142A"/>
    <w:rsid w:val="00E51BFC"/>
    <w:rsid w:val="00E51D99"/>
    <w:rsid w:val="00E51E30"/>
    <w:rsid w:val="00E51F0E"/>
    <w:rsid w:val="00E51F39"/>
    <w:rsid w:val="00E51F96"/>
    <w:rsid w:val="00E52144"/>
    <w:rsid w:val="00E52440"/>
    <w:rsid w:val="00E52697"/>
    <w:rsid w:val="00E527FF"/>
    <w:rsid w:val="00E528E6"/>
    <w:rsid w:val="00E52A1A"/>
    <w:rsid w:val="00E52A8D"/>
    <w:rsid w:val="00E52BB9"/>
    <w:rsid w:val="00E52F37"/>
    <w:rsid w:val="00E53022"/>
    <w:rsid w:val="00E535C3"/>
    <w:rsid w:val="00E5368B"/>
    <w:rsid w:val="00E538EF"/>
    <w:rsid w:val="00E53D1B"/>
    <w:rsid w:val="00E53D7D"/>
    <w:rsid w:val="00E53DCE"/>
    <w:rsid w:val="00E53E91"/>
    <w:rsid w:val="00E53F1C"/>
    <w:rsid w:val="00E543C1"/>
    <w:rsid w:val="00E54677"/>
    <w:rsid w:val="00E549F9"/>
    <w:rsid w:val="00E54A71"/>
    <w:rsid w:val="00E54B95"/>
    <w:rsid w:val="00E54D1D"/>
    <w:rsid w:val="00E54D21"/>
    <w:rsid w:val="00E54F3B"/>
    <w:rsid w:val="00E54F3D"/>
    <w:rsid w:val="00E54FA4"/>
    <w:rsid w:val="00E5501A"/>
    <w:rsid w:val="00E55081"/>
    <w:rsid w:val="00E551FD"/>
    <w:rsid w:val="00E553F8"/>
    <w:rsid w:val="00E5565A"/>
    <w:rsid w:val="00E55677"/>
    <w:rsid w:val="00E55B0F"/>
    <w:rsid w:val="00E55BAA"/>
    <w:rsid w:val="00E55C03"/>
    <w:rsid w:val="00E55FC9"/>
    <w:rsid w:val="00E56267"/>
    <w:rsid w:val="00E562B1"/>
    <w:rsid w:val="00E5655C"/>
    <w:rsid w:val="00E56596"/>
    <w:rsid w:val="00E565EE"/>
    <w:rsid w:val="00E566EF"/>
    <w:rsid w:val="00E56704"/>
    <w:rsid w:val="00E567AB"/>
    <w:rsid w:val="00E567E0"/>
    <w:rsid w:val="00E5698C"/>
    <w:rsid w:val="00E56A0A"/>
    <w:rsid w:val="00E56C0C"/>
    <w:rsid w:val="00E56DD1"/>
    <w:rsid w:val="00E57089"/>
    <w:rsid w:val="00E57208"/>
    <w:rsid w:val="00E57248"/>
    <w:rsid w:val="00E572C3"/>
    <w:rsid w:val="00E5734A"/>
    <w:rsid w:val="00E573A7"/>
    <w:rsid w:val="00E5750A"/>
    <w:rsid w:val="00E57577"/>
    <w:rsid w:val="00E575D1"/>
    <w:rsid w:val="00E5764F"/>
    <w:rsid w:val="00E576BF"/>
    <w:rsid w:val="00E576E1"/>
    <w:rsid w:val="00E5783D"/>
    <w:rsid w:val="00E57884"/>
    <w:rsid w:val="00E5788A"/>
    <w:rsid w:val="00E57C45"/>
    <w:rsid w:val="00E57CA5"/>
    <w:rsid w:val="00E57F37"/>
    <w:rsid w:val="00E6009E"/>
    <w:rsid w:val="00E60210"/>
    <w:rsid w:val="00E602AE"/>
    <w:rsid w:val="00E6038E"/>
    <w:rsid w:val="00E604DE"/>
    <w:rsid w:val="00E6054E"/>
    <w:rsid w:val="00E6061C"/>
    <w:rsid w:val="00E606C0"/>
    <w:rsid w:val="00E607C9"/>
    <w:rsid w:val="00E6083D"/>
    <w:rsid w:val="00E609B7"/>
    <w:rsid w:val="00E60A08"/>
    <w:rsid w:val="00E60A59"/>
    <w:rsid w:val="00E60B52"/>
    <w:rsid w:val="00E60BB3"/>
    <w:rsid w:val="00E60C74"/>
    <w:rsid w:val="00E6126E"/>
    <w:rsid w:val="00E615FE"/>
    <w:rsid w:val="00E6160D"/>
    <w:rsid w:val="00E6185B"/>
    <w:rsid w:val="00E61860"/>
    <w:rsid w:val="00E618E9"/>
    <w:rsid w:val="00E61A59"/>
    <w:rsid w:val="00E61A63"/>
    <w:rsid w:val="00E61AFC"/>
    <w:rsid w:val="00E61DCC"/>
    <w:rsid w:val="00E61DCF"/>
    <w:rsid w:val="00E62230"/>
    <w:rsid w:val="00E6229C"/>
    <w:rsid w:val="00E62513"/>
    <w:rsid w:val="00E62836"/>
    <w:rsid w:val="00E62898"/>
    <w:rsid w:val="00E628EB"/>
    <w:rsid w:val="00E62C74"/>
    <w:rsid w:val="00E62D2B"/>
    <w:rsid w:val="00E62DCB"/>
    <w:rsid w:val="00E62EB7"/>
    <w:rsid w:val="00E63047"/>
    <w:rsid w:val="00E63135"/>
    <w:rsid w:val="00E632BC"/>
    <w:rsid w:val="00E63558"/>
    <w:rsid w:val="00E63764"/>
    <w:rsid w:val="00E638EE"/>
    <w:rsid w:val="00E638F5"/>
    <w:rsid w:val="00E63A20"/>
    <w:rsid w:val="00E63A97"/>
    <w:rsid w:val="00E63AA1"/>
    <w:rsid w:val="00E63BC7"/>
    <w:rsid w:val="00E63C8A"/>
    <w:rsid w:val="00E63DA5"/>
    <w:rsid w:val="00E63DE2"/>
    <w:rsid w:val="00E63F80"/>
    <w:rsid w:val="00E63FA2"/>
    <w:rsid w:val="00E641F3"/>
    <w:rsid w:val="00E6466A"/>
    <w:rsid w:val="00E6467A"/>
    <w:rsid w:val="00E649BB"/>
    <w:rsid w:val="00E64A66"/>
    <w:rsid w:val="00E64C5E"/>
    <w:rsid w:val="00E64C75"/>
    <w:rsid w:val="00E64C81"/>
    <w:rsid w:val="00E64D1A"/>
    <w:rsid w:val="00E64D9E"/>
    <w:rsid w:val="00E64F59"/>
    <w:rsid w:val="00E64FA2"/>
    <w:rsid w:val="00E65018"/>
    <w:rsid w:val="00E6515F"/>
    <w:rsid w:val="00E652AF"/>
    <w:rsid w:val="00E65325"/>
    <w:rsid w:val="00E65607"/>
    <w:rsid w:val="00E65875"/>
    <w:rsid w:val="00E658EE"/>
    <w:rsid w:val="00E659FB"/>
    <w:rsid w:val="00E65AC1"/>
    <w:rsid w:val="00E65AD1"/>
    <w:rsid w:val="00E65AEE"/>
    <w:rsid w:val="00E65C29"/>
    <w:rsid w:val="00E65C91"/>
    <w:rsid w:val="00E65CAD"/>
    <w:rsid w:val="00E66042"/>
    <w:rsid w:val="00E66122"/>
    <w:rsid w:val="00E6623E"/>
    <w:rsid w:val="00E664FC"/>
    <w:rsid w:val="00E66647"/>
    <w:rsid w:val="00E6670A"/>
    <w:rsid w:val="00E6675A"/>
    <w:rsid w:val="00E66BA1"/>
    <w:rsid w:val="00E66C98"/>
    <w:rsid w:val="00E66CC7"/>
    <w:rsid w:val="00E66D0E"/>
    <w:rsid w:val="00E66ED2"/>
    <w:rsid w:val="00E6713E"/>
    <w:rsid w:val="00E671B2"/>
    <w:rsid w:val="00E6732B"/>
    <w:rsid w:val="00E673AE"/>
    <w:rsid w:val="00E677E0"/>
    <w:rsid w:val="00E67894"/>
    <w:rsid w:val="00E678FB"/>
    <w:rsid w:val="00E67919"/>
    <w:rsid w:val="00E6798E"/>
    <w:rsid w:val="00E67C53"/>
    <w:rsid w:val="00E67DCA"/>
    <w:rsid w:val="00E67DCB"/>
    <w:rsid w:val="00E67F50"/>
    <w:rsid w:val="00E67FBF"/>
    <w:rsid w:val="00E70038"/>
    <w:rsid w:val="00E7006F"/>
    <w:rsid w:val="00E7013A"/>
    <w:rsid w:val="00E70411"/>
    <w:rsid w:val="00E704E2"/>
    <w:rsid w:val="00E7058D"/>
    <w:rsid w:val="00E70730"/>
    <w:rsid w:val="00E7080F"/>
    <w:rsid w:val="00E70A18"/>
    <w:rsid w:val="00E70A73"/>
    <w:rsid w:val="00E70C1D"/>
    <w:rsid w:val="00E70CA0"/>
    <w:rsid w:val="00E70E27"/>
    <w:rsid w:val="00E71083"/>
    <w:rsid w:val="00E711D8"/>
    <w:rsid w:val="00E71246"/>
    <w:rsid w:val="00E71300"/>
    <w:rsid w:val="00E71534"/>
    <w:rsid w:val="00E71544"/>
    <w:rsid w:val="00E717E0"/>
    <w:rsid w:val="00E718F3"/>
    <w:rsid w:val="00E7197E"/>
    <w:rsid w:val="00E71E35"/>
    <w:rsid w:val="00E71F0B"/>
    <w:rsid w:val="00E71F42"/>
    <w:rsid w:val="00E720FD"/>
    <w:rsid w:val="00E724D2"/>
    <w:rsid w:val="00E72506"/>
    <w:rsid w:val="00E72626"/>
    <w:rsid w:val="00E726BA"/>
    <w:rsid w:val="00E726C8"/>
    <w:rsid w:val="00E72749"/>
    <w:rsid w:val="00E7278B"/>
    <w:rsid w:val="00E727B6"/>
    <w:rsid w:val="00E729AD"/>
    <w:rsid w:val="00E72CCB"/>
    <w:rsid w:val="00E72E19"/>
    <w:rsid w:val="00E73099"/>
    <w:rsid w:val="00E73232"/>
    <w:rsid w:val="00E7344B"/>
    <w:rsid w:val="00E736EE"/>
    <w:rsid w:val="00E7380F"/>
    <w:rsid w:val="00E73844"/>
    <w:rsid w:val="00E73B72"/>
    <w:rsid w:val="00E73CB0"/>
    <w:rsid w:val="00E73E48"/>
    <w:rsid w:val="00E73F2B"/>
    <w:rsid w:val="00E74365"/>
    <w:rsid w:val="00E74400"/>
    <w:rsid w:val="00E744E7"/>
    <w:rsid w:val="00E74586"/>
    <w:rsid w:val="00E7471C"/>
    <w:rsid w:val="00E74B1F"/>
    <w:rsid w:val="00E74C04"/>
    <w:rsid w:val="00E74C3C"/>
    <w:rsid w:val="00E74CA4"/>
    <w:rsid w:val="00E74D30"/>
    <w:rsid w:val="00E74D66"/>
    <w:rsid w:val="00E74D8B"/>
    <w:rsid w:val="00E74D97"/>
    <w:rsid w:val="00E74E39"/>
    <w:rsid w:val="00E74EAB"/>
    <w:rsid w:val="00E7526D"/>
    <w:rsid w:val="00E752D0"/>
    <w:rsid w:val="00E7530F"/>
    <w:rsid w:val="00E75334"/>
    <w:rsid w:val="00E7543E"/>
    <w:rsid w:val="00E75533"/>
    <w:rsid w:val="00E75656"/>
    <w:rsid w:val="00E756DD"/>
    <w:rsid w:val="00E75768"/>
    <w:rsid w:val="00E75998"/>
    <w:rsid w:val="00E75BB4"/>
    <w:rsid w:val="00E75C2C"/>
    <w:rsid w:val="00E75CB3"/>
    <w:rsid w:val="00E75E7A"/>
    <w:rsid w:val="00E75ECD"/>
    <w:rsid w:val="00E761D6"/>
    <w:rsid w:val="00E76203"/>
    <w:rsid w:val="00E7642A"/>
    <w:rsid w:val="00E76714"/>
    <w:rsid w:val="00E76A10"/>
    <w:rsid w:val="00E76AF1"/>
    <w:rsid w:val="00E76B22"/>
    <w:rsid w:val="00E76CAC"/>
    <w:rsid w:val="00E76D78"/>
    <w:rsid w:val="00E76D96"/>
    <w:rsid w:val="00E76FA9"/>
    <w:rsid w:val="00E771E9"/>
    <w:rsid w:val="00E77A50"/>
    <w:rsid w:val="00E77C5A"/>
    <w:rsid w:val="00E77E30"/>
    <w:rsid w:val="00E801E2"/>
    <w:rsid w:val="00E8025B"/>
    <w:rsid w:val="00E80408"/>
    <w:rsid w:val="00E80444"/>
    <w:rsid w:val="00E8056E"/>
    <w:rsid w:val="00E8059E"/>
    <w:rsid w:val="00E805F5"/>
    <w:rsid w:val="00E80C1B"/>
    <w:rsid w:val="00E80C59"/>
    <w:rsid w:val="00E80C6C"/>
    <w:rsid w:val="00E80CA1"/>
    <w:rsid w:val="00E810C5"/>
    <w:rsid w:val="00E81135"/>
    <w:rsid w:val="00E812E4"/>
    <w:rsid w:val="00E812F3"/>
    <w:rsid w:val="00E81396"/>
    <w:rsid w:val="00E8152F"/>
    <w:rsid w:val="00E81741"/>
    <w:rsid w:val="00E81A00"/>
    <w:rsid w:val="00E81F0A"/>
    <w:rsid w:val="00E81FEA"/>
    <w:rsid w:val="00E81FEB"/>
    <w:rsid w:val="00E820C9"/>
    <w:rsid w:val="00E82136"/>
    <w:rsid w:val="00E82239"/>
    <w:rsid w:val="00E823A9"/>
    <w:rsid w:val="00E82513"/>
    <w:rsid w:val="00E8251C"/>
    <w:rsid w:val="00E82722"/>
    <w:rsid w:val="00E827EC"/>
    <w:rsid w:val="00E828A8"/>
    <w:rsid w:val="00E8293F"/>
    <w:rsid w:val="00E82AD5"/>
    <w:rsid w:val="00E82E0D"/>
    <w:rsid w:val="00E83060"/>
    <w:rsid w:val="00E831AC"/>
    <w:rsid w:val="00E8321F"/>
    <w:rsid w:val="00E83304"/>
    <w:rsid w:val="00E8337B"/>
    <w:rsid w:val="00E83569"/>
    <w:rsid w:val="00E8360F"/>
    <w:rsid w:val="00E83672"/>
    <w:rsid w:val="00E83696"/>
    <w:rsid w:val="00E837B1"/>
    <w:rsid w:val="00E838C6"/>
    <w:rsid w:val="00E83A36"/>
    <w:rsid w:val="00E83BA6"/>
    <w:rsid w:val="00E83C3E"/>
    <w:rsid w:val="00E83CDE"/>
    <w:rsid w:val="00E83E1E"/>
    <w:rsid w:val="00E83E6F"/>
    <w:rsid w:val="00E83EE4"/>
    <w:rsid w:val="00E83F68"/>
    <w:rsid w:val="00E84019"/>
    <w:rsid w:val="00E84030"/>
    <w:rsid w:val="00E84083"/>
    <w:rsid w:val="00E841D8"/>
    <w:rsid w:val="00E84238"/>
    <w:rsid w:val="00E8452B"/>
    <w:rsid w:val="00E845A4"/>
    <w:rsid w:val="00E84687"/>
    <w:rsid w:val="00E8474A"/>
    <w:rsid w:val="00E847E0"/>
    <w:rsid w:val="00E848AF"/>
    <w:rsid w:val="00E84931"/>
    <w:rsid w:val="00E84A06"/>
    <w:rsid w:val="00E84A62"/>
    <w:rsid w:val="00E84ADB"/>
    <w:rsid w:val="00E84CB4"/>
    <w:rsid w:val="00E84E3E"/>
    <w:rsid w:val="00E850B7"/>
    <w:rsid w:val="00E850F8"/>
    <w:rsid w:val="00E8510E"/>
    <w:rsid w:val="00E851AF"/>
    <w:rsid w:val="00E8526C"/>
    <w:rsid w:val="00E8540E"/>
    <w:rsid w:val="00E855DD"/>
    <w:rsid w:val="00E85744"/>
    <w:rsid w:val="00E857B6"/>
    <w:rsid w:val="00E8591B"/>
    <w:rsid w:val="00E859B1"/>
    <w:rsid w:val="00E85B42"/>
    <w:rsid w:val="00E85BA2"/>
    <w:rsid w:val="00E85EBD"/>
    <w:rsid w:val="00E85F64"/>
    <w:rsid w:val="00E85FDB"/>
    <w:rsid w:val="00E86183"/>
    <w:rsid w:val="00E86259"/>
    <w:rsid w:val="00E86525"/>
    <w:rsid w:val="00E866D2"/>
    <w:rsid w:val="00E8673B"/>
    <w:rsid w:val="00E867DA"/>
    <w:rsid w:val="00E86923"/>
    <w:rsid w:val="00E869DD"/>
    <w:rsid w:val="00E86BDF"/>
    <w:rsid w:val="00E86F68"/>
    <w:rsid w:val="00E870CB"/>
    <w:rsid w:val="00E871A2"/>
    <w:rsid w:val="00E871BD"/>
    <w:rsid w:val="00E871C9"/>
    <w:rsid w:val="00E873A3"/>
    <w:rsid w:val="00E87699"/>
    <w:rsid w:val="00E87882"/>
    <w:rsid w:val="00E878C3"/>
    <w:rsid w:val="00E87921"/>
    <w:rsid w:val="00E87962"/>
    <w:rsid w:val="00E879D7"/>
    <w:rsid w:val="00E87B86"/>
    <w:rsid w:val="00E87B8C"/>
    <w:rsid w:val="00E87BB6"/>
    <w:rsid w:val="00E87C91"/>
    <w:rsid w:val="00E87EB3"/>
    <w:rsid w:val="00E87FB5"/>
    <w:rsid w:val="00E87FDB"/>
    <w:rsid w:val="00E90008"/>
    <w:rsid w:val="00E90059"/>
    <w:rsid w:val="00E9024D"/>
    <w:rsid w:val="00E90304"/>
    <w:rsid w:val="00E90440"/>
    <w:rsid w:val="00E905E9"/>
    <w:rsid w:val="00E9060E"/>
    <w:rsid w:val="00E90724"/>
    <w:rsid w:val="00E90972"/>
    <w:rsid w:val="00E909F0"/>
    <w:rsid w:val="00E90AD4"/>
    <w:rsid w:val="00E90AF4"/>
    <w:rsid w:val="00E90BEF"/>
    <w:rsid w:val="00E90D1D"/>
    <w:rsid w:val="00E90D6A"/>
    <w:rsid w:val="00E90F62"/>
    <w:rsid w:val="00E91075"/>
    <w:rsid w:val="00E911AA"/>
    <w:rsid w:val="00E9124A"/>
    <w:rsid w:val="00E91563"/>
    <w:rsid w:val="00E915DC"/>
    <w:rsid w:val="00E91834"/>
    <w:rsid w:val="00E91A6C"/>
    <w:rsid w:val="00E91BC9"/>
    <w:rsid w:val="00E91BE4"/>
    <w:rsid w:val="00E91CA1"/>
    <w:rsid w:val="00E91D0C"/>
    <w:rsid w:val="00E91D15"/>
    <w:rsid w:val="00E91D6D"/>
    <w:rsid w:val="00E91D7B"/>
    <w:rsid w:val="00E92060"/>
    <w:rsid w:val="00E9210F"/>
    <w:rsid w:val="00E923D0"/>
    <w:rsid w:val="00E927E4"/>
    <w:rsid w:val="00E92979"/>
    <w:rsid w:val="00E92ABD"/>
    <w:rsid w:val="00E92E00"/>
    <w:rsid w:val="00E92EE6"/>
    <w:rsid w:val="00E9309B"/>
    <w:rsid w:val="00E930BB"/>
    <w:rsid w:val="00E9355E"/>
    <w:rsid w:val="00E93A56"/>
    <w:rsid w:val="00E93ABB"/>
    <w:rsid w:val="00E93C40"/>
    <w:rsid w:val="00E93EC3"/>
    <w:rsid w:val="00E940FD"/>
    <w:rsid w:val="00E9418C"/>
    <w:rsid w:val="00E942D2"/>
    <w:rsid w:val="00E94344"/>
    <w:rsid w:val="00E943E2"/>
    <w:rsid w:val="00E9441C"/>
    <w:rsid w:val="00E94783"/>
    <w:rsid w:val="00E94959"/>
    <w:rsid w:val="00E94B5D"/>
    <w:rsid w:val="00E94C44"/>
    <w:rsid w:val="00E94C63"/>
    <w:rsid w:val="00E94CF6"/>
    <w:rsid w:val="00E94D66"/>
    <w:rsid w:val="00E94E0F"/>
    <w:rsid w:val="00E94F5F"/>
    <w:rsid w:val="00E9525B"/>
    <w:rsid w:val="00E9536A"/>
    <w:rsid w:val="00E95422"/>
    <w:rsid w:val="00E95595"/>
    <w:rsid w:val="00E95738"/>
    <w:rsid w:val="00E95753"/>
    <w:rsid w:val="00E95793"/>
    <w:rsid w:val="00E958A1"/>
    <w:rsid w:val="00E95927"/>
    <w:rsid w:val="00E9599D"/>
    <w:rsid w:val="00E96156"/>
    <w:rsid w:val="00E963A6"/>
    <w:rsid w:val="00E9640E"/>
    <w:rsid w:val="00E964B1"/>
    <w:rsid w:val="00E9666C"/>
    <w:rsid w:val="00E9671C"/>
    <w:rsid w:val="00E96898"/>
    <w:rsid w:val="00E96A40"/>
    <w:rsid w:val="00E96A57"/>
    <w:rsid w:val="00E96B24"/>
    <w:rsid w:val="00E96D78"/>
    <w:rsid w:val="00E96F88"/>
    <w:rsid w:val="00E96FCE"/>
    <w:rsid w:val="00E97437"/>
    <w:rsid w:val="00E9764C"/>
    <w:rsid w:val="00E976A5"/>
    <w:rsid w:val="00E976F7"/>
    <w:rsid w:val="00E97A7F"/>
    <w:rsid w:val="00E97B7A"/>
    <w:rsid w:val="00E97C1E"/>
    <w:rsid w:val="00E97C4C"/>
    <w:rsid w:val="00E97CFD"/>
    <w:rsid w:val="00E97DFC"/>
    <w:rsid w:val="00E97EBC"/>
    <w:rsid w:val="00EA0155"/>
    <w:rsid w:val="00EA015B"/>
    <w:rsid w:val="00EA019B"/>
    <w:rsid w:val="00EA0270"/>
    <w:rsid w:val="00EA02DA"/>
    <w:rsid w:val="00EA07B8"/>
    <w:rsid w:val="00EA09F4"/>
    <w:rsid w:val="00EA0D5E"/>
    <w:rsid w:val="00EA0DFA"/>
    <w:rsid w:val="00EA0ECB"/>
    <w:rsid w:val="00EA0F75"/>
    <w:rsid w:val="00EA0FAB"/>
    <w:rsid w:val="00EA11A7"/>
    <w:rsid w:val="00EA11EB"/>
    <w:rsid w:val="00EA16B4"/>
    <w:rsid w:val="00EA16DF"/>
    <w:rsid w:val="00EA16F4"/>
    <w:rsid w:val="00EA17CB"/>
    <w:rsid w:val="00EA17E8"/>
    <w:rsid w:val="00EA1ADE"/>
    <w:rsid w:val="00EA1B67"/>
    <w:rsid w:val="00EA1CF3"/>
    <w:rsid w:val="00EA1D1E"/>
    <w:rsid w:val="00EA1D72"/>
    <w:rsid w:val="00EA1DEF"/>
    <w:rsid w:val="00EA1F6A"/>
    <w:rsid w:val="00EA1F80"/>
    <w:rsid w:val="00EA208D"/>
    <w:rsid w:val="00EA2129"/>
    <w:rsid w:val="00EA2161"/>
    <w:rsid w:val="00EA2186"/>
    <w:rsid w:val="00EA2488"/>
    <w:rsid w:val="00EA24D4"/>
    <w:rsid w:val="00EA24F7"/>
    <w:rsid w:val="00EA2527"/>
    <w:rsid w:val="00EA27FB"/>
    <w:rsid w:val="00EA28E9"/>
    <w:rsid w:val="00EA2997"/>
    <w:rsid w:val="00EA29EA"/>
    <w:rsid w:val="00EA2BBB"/>
    <w:rsid w:val="00EA2BEC"/>
    <w:rsid w:val="00EA2D1D"/>
    <w:rsid w:val="00EA2D96"/>
    <w:rsid w:val="00EA2EB4"/>
    <w:rsid w:val="00EA319E"/>
    <w:rsid w:val="00EA31D3"/>
    <w:rsid w:val="00EA328B"/>
    <w:rsid w:val="00EA336D"/>
    <w:rsid w:val="00EA34A7"/>
    <w:rsid w:val="00EA3847"/>
    <w:rsid w:val="00EA38C8"/>
    <w:rsid w:val="00EA3956"/>
    <w:rsid w:val="00EA3B5B"/>
    <w:rsid w:val="00EA3C4E"/>
    <w:rsid w:val="00EA3CFF"/>
    <w:rsid w:val="00EA3FF8"/>
    <w:rsid w:val="00EA4120"/>
    <w:rsid w:val="00EA41E2"/>
    <w:rsid w:val="00EA4523"/>
    <w:rsid w:val="00EA4641"/>
    <w:rsid w:val="00EA46F5"/>
    <w:rsid w:val="00EA4738"/>
    <w:rsid w:val="00EA4A41"/>
    <w:rsid w:val="00EA4F05"/>
    <w:rsid w:val="00EA5071"/>
    <w:rsid w:val="00EA521A"/>
    <w:rsid w:val="00EA527F"/>
    <w:rsid w:val="00EA53AE"/>
    <w:rsid w:val="00EA55A9"/>
    <w:rsid w:val="00EA5747"/>
    <w:rsid w:val="00EA577C"/>
    <w:rsid w:val="00EA58F5"/>
    <w:rsid w:val="00EA5A67"/>
    <w:rsid w:val="00EA5ADE"/>
    <w:rsid w:val="00EA5BDC"/>
    <w:rsid w:val="00EA5C92"/>
    <w:rsid w:val="00EA5CEA"/>
    <w:rsid w:val="00EA5FC3"/>
    <w:rsid w:val="00EA6564"/>
    <w:rsid w:val="00EA65E8"/>
    <w:rsid w:val="00EA66A6"/>
    <w:rsid w:val="00EA680E"/>
    <w:rsid w:val="00EA6D90"/>
    <w:rsid w:val="00EA6DD0"/>
    <w:rsid w:val="00EA7177"/>
    <w:rsid w:val="00EA7248"/>
    <w:rsid w:val="00EA73FC"/>
    <w:rsid w:val="00EA751D"/>
    <w:rsid w:val="00EA760B"/>
    <w:rsid w:val="00EA78EC"/>
    <w:rsid w:val="00EA7B1A"/>
    <w:rsid w:val="00EA7C1D"/>
    <w:rsid w:val="00EB0155"/>
    <w:rsid w:val="00EB0317"/>
    <w:rsid w:val="00EB0330"/>
    <w:rsid w:val="00EB04D1"/>
    <w:rsid w:val="00EB0513"/>
    <w:rsid w:val="00EB08C8"/>
    <w:rsid w:val="00EB0980"/>
    <w:rsid w:val="00EB0B50"/>
    <w:rsid w:val="00EB0B73"/>
    <w:rsid w:val="00EB0C8F"/>
    <w:rsid w:val="00EB0EFD"/>
    <w:rsid w:val="00EB0F09"/>
    <w:rsid w:val="00EB115B"/>
    <w:rsid w:val="00EB125A"/>
    <w:rsid w:val="00EB12A3"/>
    <w:rsid w:val="00EB1512"/>
    <w:rsid w:val="00EB163A"/>
    <w:rsid w:val="00EB1713"/>
    <w:rsid w:val="00EB195D"/>
    <w:rsid w:val="00EB1D0C"/>
    <w:rsid w:val="00EB1E28"/>
    <w:rsid w:val="00EB1FFB"/>
    <w:rsid w:val="00EB216A"/>
    <w:rsid w:val="00EB227D"/>
    <w:rsid w:val="00EB236C"/>
    <w:rsid w:val="00EB2813"/>
    <w:rsid w:val="00EB285C"/>
    <w:rsid w:val="00EB2976"/>
    <w:rsid w:val="00EB29FE"/>
    <w:rsid w:val="00EB2A56"/>
    <w:rsid w:val="00EB2A62"/>
    <w:rsid w:val="00EB2AE4"/>
    <w:rsid w:val="00EB2B8C"/>
    <w:rsid w:val="00EB2BB2"/>
    <w:rsid w:val="00EB2C8D"/>
    <w:rsid w:val="00EB2EAC"/>
    <w:rsid w:val="00EB2F4B"/>
    <w:rsid w:val="00EB3175"/>
    <w:rsid w:val="00EB35ED"/>
    <w:rsid w:val="00EB3602"/>
    <w:rsid w:val="00EB3895"/>
    <w:rsid w:val="00EB3917"/>
    <w:rsid w:val="00EB3AAA"/>
    <w:rsid w:val="00EB3B18"/>
    <w:rsid w:val="00EB3C01"/>
    <w:rsid w:val="00EB3E96"/>
    <w:rsid w:val="00EB3EAB"/>
    <w:rsid w:val="00EB403A"/>
    <w:rsid w:val="00EB4259"/>
    <w:rsid w:val="00EB4432"/>
    <w:rsid w:val="00EB4488"/>
    <w:rsid w:val="00EB4652"/>
    <w:rsid w:val="00EB46A4"/>
    <w:rsid w:val="00EB46BC"/>
    <w:rsid w:val="00EB470F"/>
    <w:rsid w:val="00EB484D"/>
    <w:rsid w:val="00EB489C"/>
    <w:rsid w:val="00EB498E"/>
    <w:rsid w:val="00EB4D31"/>
    <w:rsid w:val="00EB4F55"/>
    <w:rsid w:val="00EB502E"/>
    <w:rsid w:val="00EB50AF"/>
    <w:rsid w:val="00EB50C9"/>
    <w:rsid w:val="00EB50DC"/>
    <w:rsid w:val="00EB53ED"/>
    <w:rsid w:val="00EB5472"/>
    <w:rsid w:val="00EB5504"/>
    <w:rsid w:val="00EB57A9"/>
    <w:rsid w:val="00EB5848"/>
    <w:rsid w:val="00EB5958"/>
    <w:rsid w:val="00EB5A58"/>
    <w:rsid w:val="00EB5CBF"/>
    <w:rsid w:val="00EB5E68"/>
    <w:rsid w:val="00EB5FF8"/>
    <w:rsid w:val="00EB608D"/>
    <w:rsid w:val="00EB6195"/>
    <w:rsid w:val="00EB62A1"/>
    <w:rsid w:val="00EB63B6"/>
    <w:rsid w:val="00EB651E"/>
    <w:rsid w:val="00EB65A5"/>
    <w:rsid w:val="00EB65C7"/>
    <w:rsid w:val="00EB67CF"/>
    <w:rsid w:val="00EB6962"/>
    <w:rsid w:val="00EB69C9"/>
    <w:rsid w:val="00EB6A03"/>
    <w:rsid w:val="00EB6AE9"/>
    <w:rsid w:val="00EB6B31"/>
    <w:rsid w:val="00EB6B78"/>
    <w:rsid w:val="00EB6DDD"/>
    <w:rsid w:val="00EB6FD9"/>
    <w:rsid w:val="00EB71FF"/>
    <w:rsid w:val="00EB75BB"/>
    <w:rsid w:val="00EB7897"/>
    <w:rsid w:val="00EB7A68"/>
    <w:rsid w:val="00EB7A87"/>
    <w:rsid w:val="00EB7B2D"/>
    <w:rsid w:val="00EB7D9C"/>
    <w:rsid w:val="00EB7FC0"/>
    <w:rsid w:val="00EC0066"/>
    <w:rsid w:val="00EC0241"/>
    <w:rsid w:val="00EC0338"/>
    <w:rsid w:val="00EC0436"/>
    <w:rsid w:val="00EC0C29"/>
    <w:rsid w:val="00EC0FBF"/>
    <w:rsid w:val="00EC11BB"/>
    <w:rsid w:val="00EC11C0"/>
    <w:rsid w:val="00EC11D7"/>
    <w:rsid w:val="00EC1327"/>
    <w:rsid w:val="00EC13CA"/>
    <w:rsid w:val="00EC13CB"/>
    <w:rsid w:val="00EC1830"/>
    <w:rsid w:val="00EC1C47"/>
    <w:rsid w:val="00EC1C88"/>
    <w:rsid w:val="00EC1E50"/>
    <w:rsid w:val="00EC1F8F"/>
    <w:rsid w:val="00EC1FF7"/>
    <w:rsid w:val="00EC2015"/>
    <w:rsid w:val="00EC206D"/>
    <w:rsid w:val="00EC2107"/>
    <w:rsid w:val="00EC2284"/>
    <w:rsid w:val="00EC22F5"/>
    <w:rsid w:val="00EC2445"/>
    <w:rsid w:val="00EC252A"/>
    <w:rsid w:val="00EC26EC"/>
    <w:rsid w:val="00EC27D1"/>
    <w:rsid w:val="00EC28E2"/>
    <w:rsid w:val="00EC2966"/>
    <w:rsid w:val="00EC2A3D"/>
    <w:rsid w:val="00EC2A8C"/>
    <w:rsid w:val="00EC2A98"/>
    <w:rsid w:val="00EC2B10"/>
    <w:rsid w:val="00EC2C3F"/>
    <w:rsid w:val="00EC2D6C"/>
    <w:rsid w:val="00EC2DF3"/>
    <w:rsid w:val="00EC302B"/>
    <w:rsid w:val="00EC3181"/>
    <w:rsid w:val="00EC31FD"/>
    <w:rsid w:val="00EC36B6"/>
    <w:rsid w:val="00EC37B1"/>
    <w:rsid w:val="00EC37BF"/>
    <w:rsid w:val="00EC397C"/>
    <w:rsid w:val="00EC3C4F"/>
    <w:rsid w:val="00EC3CFC"/>
    <w:rsid w:val="00EC3F0E"/>
    <w:rsid w:val="00EC4179"/>
    <w:rsid w:val="00EC4280"/>
    <w:rsid w:val="00EC42A3"/>
    <w:rsid w:val="00EC4305"/>
    <w:rsid w:val="00EC435E"/>
    <w:rsid w:val="00EC4461"/>
    <w:rsid w:val="00EC45DC"/>
    <w:rsid w:val="00EC4828"/>
    <w:rsid w:val="00EC4988"/>
    <w:rsid w:val="00EC4C2E"/>
    <w:rsid w:val="00EC4D3A"/>
    <w:rsid w:val="00EC4D88"/>
    <w:rsid w:val="00EC4E81"/>
    <w:rsid w:val="00EC4FAA"/>
    <w:rsid w:val="00EC519E"/>
    <w:rsid w:val="00EC5272"/>
    <w:rsid w:val="00EC52C9"/>
    <w:rsid w:val="00EC5366"/>
    <w:rsid w:val="00EC54C9"/>
    <w:rsid w:val="00EC5522"/>
    <w:rsid w:val="00EC5650"/>
    <w:rsid w:val="00EC5714"/>
    <w:rsid w:val="00EC5847"/>
    <w:rsid w:val="00EC5E56"/>
    <w:rsid w:val="00EC5E64"/>
    <w:rsid w:val="00EC5E9A"/>
    <w:rsid w:val="00EC5FA7"/>
    <w:rsid w:val="00EC6192"/>
    <w:rsid w:val="00EC626D"/>
    <w:rsid w:val="00EC6631"/>
    <w:rsid w:val="00EC6821"/>
    <w:rsid w:val="00EC689E"/>
    <w:rsid w:val="00EC693B"/>
    <w:rsid w:val="00EC6A2C"/>
    <w:rsid w:val="00EC6A59"/>
    <w:rsid w:val="00EC6A9A"/>
    <w:rsid w:val="00EC6BE3"/>
    <w:rsid w:val="00EC7152"/>
    <w:rsid w:val="00EC74A9"/>
    <w:rsid w:val="00EC75DA"/>
    <w:rsid w:val="00EC760C"/>
    <w:rsid w:val="00EC78FF"/>
    <w:rsid w:val="00EC7922"/>
    <w:rsid w:val="00EC7A24"/>
    <w:rsid w:val="00EC7C3C"/>
    <w:rsid w:val="00EC7C4D"/>
    <w:rsid w:val="00EC7C86"/>
    <w:rsid w:val="00EC7EE1"/>
    <w:rsid w:val="00ED00E9"/>
    <w:rsid w:val="00ED03A6"/>
    <w:rsid w:val="00ED0422"/>
    <w:rsid w:val="00ED04F7"/>
    <w:rsid w:val="00ED054C"/>
    <w:rsid w:val="00ED0557"/>
    <w:rsid w:val="00ED06A1"/>
    <w:rsid w:val="00ED0819"/>
    <w:rsid w:val="00ED09A5"/>
    <w:rsid w:val="00ED0C3D"/>
    <w:rsid w:val="00ED0DCA"/>
    <w:rsid w:val="00ED0F5F"/>
    <w:rsid w:val="00ED0FA9"/>
    <w:rsid w:val="00ED0FAE"/>
    <w:rsid w:val="00ED10AE"/>
    <w:rsid w:val="00ED11AA"/>
    <w:rsid w:val="00ED1226"/>
    <w:rsid w:val="00ED12D7"/>
    <w:rsid w:val="00ED139A"/>
    <w:rsid w:val="00ED13AB"/>
    <w:rsid w:val="00ED1438"/>
    <w:rsid w:val="00ED14ED"/>
    <w:rsid w:val="00ED1504"/>
    <w:rsid w:val="00ED1571"/>
    <w:rsid w:val="00ED15D3"/>
    <w:rsid w:val="00ED16EE"/>
    <w:rsid w:val="00ED189D"/>
    <w:rsid w:val="00ED1907"/>
    <w:rsid w:val="00ED1A50"/>
    <w:rsid w:val="00ED1B38"/>
    <w:rsid w:val="00ED1BD4"/>
    <w:rsid w:val="00ED1BEF"/>
    <w:rsid w:val="00ED1C84"/>
    <w:rsid w:val="00ED209B"/>
    <w:rsid w:val="00ED21B8"/>
    <w:rsid w:val="00ED2395"/>
    <w:rsid w:val="00ED295F"/>
    <w:rsid w:val="00ED2B1D"/>
    <w:rsid w:val="00ED2BA3"/>
    <w:rsid w:val="00ED2C66"/>
    <w:rsid w:val="00ED2C99"/>
    <w:rsid w:val="00ED2CD4"/>
    <w:rsid w:val="00ED2DB2"/>
    <w:rsid w:val="00ED3363"/>
    <w:rsid w:val="00ED33F7"/>
    <w:rsid w:val="00ED3475"/>
    <w:rsid w:val="00ED35AF"/>
    <w:rsid w:val="00ED367D"/>
    <w:rsid w:val="00ED372A"/>
    <w:rsid w:val="00ED3A93"/>
    <w:rsid w:val="00ED3B7C"/>
    <w:rsid w:val="00ED3C4D"/>
    <w:rsid w:val="00ED3CA0"/>
    <w:rsid w:val="00ED3D11"/>
    <w:rsid w:val="00ED3DAE"/>
    <w:rsid w:val="00ED3FB0"/>
    <w:rsid w:val="00ED404F"/>
    <w:rsid w:val="00ED409C"/>
    <w:rsid w:val="00ED40A7"/>
    <w:rsid w:val="00ED413F"/>
    <w:rsid w:val="00ED41EC"/>
    <w:rsid w:val="00ED42DF"/>
    <w:rsid w:val="00ED4350"/>
    <w:rsid w:val="00ED44F9"/>
    <w:rsid w:val="00ED4519"/>
    <w:rsid w:val="00ED4885"/>
    <w:rsid w:val="00ED49F2"/>
    <w:rsid w:val="00ED49FA"/>
    <w:rsid w:val="00ED4C07"/>
    <w:rsid w:val="00ED4CF0"/>
    <w:rsid w:val="00ED4D65"/>
    <w:rsid w:val="00ED4D6E"/>
    <w:rsid w:val="00ED5037"/>
    <w:rsid w:val="00ED505F"/>
    <w:rsid w:val="00ED5233"/>
    <w:rsid w:val="00ED555B"/>
    <w:rsid w:val="00ED585C"/>
    <w:rsid w:val="00ED58BD"/>
    <w:rsid w:val="00ED5B4D"/>
    <w:rsid w:val="00ED5DC6"/>
    <w:rsid w:val="00ED5F6C"/>
    <w:rsid w:val="00ED6268"/>
    <w:rsid w:val="00ED62B5"/>
    <w:rsid w:val="00ED6822"/>
    <w:rsid w:val="00ED6BF7"/>
    <w:rsid w:val="00ED6C0A"/>
    <w:rsid w:val="00ED6DEF"/>
    <w:rsid w:val="00ED6ED3"/>
    <w:rsid w:val="00ED709D"/>
    <w:rsid w:val="00ED716C"/>
    <w:rsid w:val="00ED71D8"/>
    <w:rsid w:val="00ED7290"/>
    <w:rsid w:val="00ED737F"/>
    <w:rsid w:val="00ED7588"/>
    <w:rsid w:val="00ED775D"/>
    <w:rsid w:val="00ED77FA"/>
    <w:rsid w:val="00ED785C"/>
    <w:rsid w:val="00ED7952"/>
    <w:rsid w:val="00ED7997"/>
    <w:rsid w:val="00ED7A75"/>
    <w:rsid w:val="00ED7E05"/>
    <w:rsid w:val="00ED7EB4"/>
    <w:rsid w:val="00ED7ED1"/>
    <w:rsid w:val="00ED7EF5"/>
    <w:rsid w:val="00EE021D"/>
    <w:rsid w:val="00EE02A7"/>
    <w:rsid w:val="00EE03B1"/>
    <w:rsid w:val="00EE044C"/>
    <w:rsid w:val="00EE05D4"/>
    <w:rsid w:val="00EE0620"/>
    <w:rsid w:val="00EE099E"/>
    <w:rsid w:val="00EE0A4E"/>
    <w:rsid w:val="00EE0C70"/>
    <w:rsid w:val="00EE0D2E"/>
    <w:rsid w:val="00EE0F5F"/>
    <w:rsid w:val="00EE0F67"/>
    <w:rsid w:val="00EE1048"/>
    <w:rsid w:val="00EE11D9"/>
    <w:rsid w:val="00EE11EB"/>
    <w:rsid w:val="00EE1321"/>
    <w:rsid w:val="00EE1416"/>
    <w:rsid w:val="00EE14C5"/>
    <w:rsid w:val="00EE160D"/>
    <w:rsid w:val="00EE1826"/>
    <w:rsid w:val="00EE18EB"/>
    <w:rsid w:val="00EE1900"/>
    <w:rsid w:val="00EE1A3F"/>
    <w:rsid w:val="00EE1B4B"/>
    <w:rsid w:val="00EE1B95"/>
    <w:rsid w:val="00EE1E08"/>
    <w:rsid w:val="00EE1F85"/>
    <w:rsid w:val="00EE2017"/>
    <w:rsid w:val="00EE2159"/>
    <w:rsid w:val="00EE2210"/>
    <w:rsid w:val="00EE2469"/>
    <w:rsid w:val="00EE24C3"/>
    <w:rsid w:val="00EE26FC"/>
    <w:rsid w:val="00EE272D"/>
    <w:rsid w:val="00EE277A"/>
    <w:rsid w:val="00EE284B"/>
    <w:rsid w:val="00EE28E7"/>
    <w:rsid w:val="00EE294F"/>
    <w:rsid w:val="00EE2994"/>
    <w:rsid w:val="00EE2AB9"/>
    <w:rsid w:val="00EE2ABC"/>
    <w:rsid w:val="00EE2D6C"/>
    <w:rsid w:val="00EE2E65"/>
    <w:rsid w:val="00EE2EA6"/>
    <w:rsid w:val="00EE2FBD"/>
    <w:rsid w:val="00EE3084"/>
    <w:rsid w:val="00EE33B4"/>
    <w:rsid w:val="00EE340F"/>
    <w:rsid w:val="00EE355D"/>
    <w:rsid w:val="00EE37CA"/>
    <w:rsid w:val="00EE382D"/>
    <w:rsid w:val="00EE3A3B"/>
    <w:rsid w:val="00EE3D4E"/>
    <w:rsid w:val="00EE3F0B"/>
    <w:rsid w:val="00EE3FFA"/>
    <w:rsid w:val="00EE400C"/>
    <w:rsid w:val="00EE415A"/>
    <w:rsid w:val="00EE43ED"/>
    <w:rsid w:val="00EE45D4"/>
    <w:rsid w:val="00EE4677"/>
    <w:rsid w:val="00EE4692"/>
    <w:rsid w:val="00EE472A"/>
    <w:rsid w:val="00EE47C2"/>
    <w:rsid w:val="00EE47C9"/>
    <w:rsid w:val="00EE48F7"/>
    <w:rsid w:val="00EE491A"/>
    <w:rsid w:val="00EE4AC8"/>
    <w:rsid w:val="00EE4B4A"/>
    <w:rsid w:val="00EE4B91"/>
    <w:rsid w:val="00EE4C61"/>
    <w:rsid w:val="00EE4C88"/>
    <w:rsid w:val="00EE4C8D"/>
    <w:rsid w:val="00EE4D72"/>
    <w:rsid w:val="00EE540F"/>
    <w:rsid w:val="00EE55AA"/>
    <w:rsid w:val="00EE5945"/>
    <w:rsid w:val="00EE5A17"/>
    <w:rsid w:val="00EE5A6C"/>
    <w:rsid w:val="00EE5BC7"/>
    <w:rsid w:val="00EE6039"/>
    <w:rsid w:val="00EE62C0"/>
    <w:rsid w:val="00EE62FF"/>
    <w:rsid w:val="00EE6665"/>
    <w:rsid w:val="00EE66A9"/>
    <w:rsid w:val="00EE6857"/>
    <w:rsid w:val="00EE6976"/>
    <w:rsid w:val="00EE6981"/>
    <w:rsid w:val="00EE6ADE"/>
    <w:rsid w:val="00EE6BC6"/>
    <w:rsid w:val="00EE6CD0"/>
    <w:rsid w:val="00EE6F9B"/>
    <w:rsid w:val="00EE70B5"/>
    <w:rsid w:val="00EE715B"/>
    <w:rsid w:val="00EE7229"/>
    <w:rsid w:val="00EE75A3"/>
    <w:rsid w:val="00EE767F"/>
    <w:rsid w:val="00EE7B3C"/>
    <w:rsid w:val="00EE7B82"/>
    <w:rsid w:val="00EE7C85"/>
    <w:rsid w:val="00EE7D14"/>
    <w:rsid w:val="00EE7E6B"/>
    <w:rsid w:val="00EF00CA"/>
    <w:rsid w:val="00EF03A1"/>
    <w:rsid w:val="00EF0540"/>
    <w:rsid w:val="00EF056F"/>
    <w:rsid w:val="00EF05EF"/>
    <w:rsid w:val="00EF07B5"/>
    <w:rsid w:val="00EF0999"/>
    <w:rsid w:val="00EF09F4"/>
    <w:rsid w:val="00EF0D79"/>
    <w:rsid w:val="00EF1224"/>
    <w:rsid w:val="00EF1359"/>
    <w:rsid w:val="00EF153C"/>
    <w:rsid w:val="00EF1A7C"/>
    <w:rsid w:val="00EF1AB3"/>
    <w:rsid w:val="00EF1B0B"/>
    <w:rsid w:val="00EF1E1F"/>
    <w:rsid w:val="00EF1E8B"/>
    <w:rsid w:val="00EF2261"/>
    <w:rsid w:val="00EF23DD"/>
    <w:rsid w:val="00EF263D"/>
    <w:rsid w:val="00EF2A3D"/>
    <w:rsid w:val="00EF2B95"/>
    <w:rsid w:val="00EF2C2D"/>
    <w:rsid w:val="00EF2DAF"/>
    <w:rsid w:val="00EF3172"/>
    <w:rsid w:val="00EF3212"/>
    <w:rsid w:val="00EF3692"/>
    <w:rsid w:val="00EF36FE"/>
    <w:rsid w:val="00EF38AF"/>
    <w:rsid w:val="00EF38E1"/>
    <w:rsid w:val="00EF3996"/>
    <w:rsid w:val="00EF3C54"/>
    <w:rsid w:val="00EF3D1D"/>
    <w:rsid w:val="00EF3D92"/>
    <w:rsid w:val="00EF3F56"/>
    <w:rsid w:val="00EF4083"/>
    <w:rsid w:val="00EF40C9"/>
    <w:rsid w:val="00EF4151"/>
    <w:rsid w:val="00EF4409"/>
    <w:rsid w:val="00EF4543"/>
    <w:rsid w:val="00EF459D"/>
    <w:rsid w:val="00EF464F"/>
    <w:rsid w:val="00EF46EC"/>
    <w:rsid w:val="00EF4855"/>
    <w:rsid w:val="00EF48D7"/>
    <w:rsid w:val="00EF4EA8"/>
    <w:rsid w:val="00EF4F0A"/>
    <w:rsid w:val="00EF4F22"/>
    <w:rsid w:val="00EF5008"/>
    <w:rsid w:val="00EF52B9"/>
    <w:rsid w:val="00EF53F8"/>
    <w:rsid w:val="00EF5599"/>
    <w:rsid w:val="00EF5767"/>
    <w:rsid w:val="00EF58C4"/>
    <w:rsid w:val="00EF59D8"/>
    <w:rsid w:val="00EF5A84"/>
    <w:rsid w:val="00EF5BA4"/>
    <w:rsid w:val="00EF5C07"/>
    <w:rsid w:val="00EF5CEB"/>
    <w:rsid w:val="00EF5D92"/>
    <w:rsid w:val="00EF5E69"/>
    <w:rsid w:val="00EF5F2D"/>
    <w:rsid w:val="00EF606C"/>
    <w:rsid w:val="00EF62FD"/>
    <w:rsid w:val="00EF64AF"/>
    <w:rsid w:val="00EF658F"/>
    <w:rsid w:val="00EF662B"/>
    <w:rsid w:val="00EF66D9"/>
    <w:rsid w:val="00EF68D2"/>
    <w:rsid w:val="00EF6A5E"/>
    <w:rsid w:val="00EF6A69"/>
    <w:rsid w:val="00EF6A76"/>
    <w:rsid w:val="00EF6B25"/>
    <w:rsid w:val="00EF6C53"/>
    <w:rsid w:val="00EF6D7B"/>
    <w:rsid w:val="00EF6F33"/>
    <w:rsid w:val="00EF71D8"/>
    <w:rsid w:val="00EF7392"/>
    <w:rsid w:val="00EF7599"/>
    <w:rsid w:val="00EF75AC"/>
    <w:rsid w:val="00EF75E4"/>
    <w:rsid w:val="00EF767E"/>
    <w:rsid w:val="00EF772E"/>
    <w:rsid w:val="00EF77CC"/>
    <w:rsid w:val="00EF7823"/>
    <w:rsid w:val="00EF7B6F"/>
    <w:rsid w:val="00EF7C65"/>
    <w:rsid w:val="00EF7CE4"/>
    <w:rsid w:val="00EF7DDD"/>
    <w:rsid w:val="00EF7E61"/>
    <w:rsid w:val="00EF7F0C"/>
    <w:rsid w:val="00EF7FF3"/>
    <w:rsid w:val="00F0014E"/>
    <w:rsid w:val="00F00293"/>
    <w:rsid w:val="00F00560"/>
    <w:rsid w:val="00F005D0"/>
    <w:rsid w:val="00F006CA"/>
    <w:rsid w:val="00F00706"/>
    <w:rsid w:val="00F00817"/>
    <w:rsid w:val="00F0087A"/>
    <w:rsid w:val="00F00892"/>
    <w:rsid w:val="00F008FB"/>
    <w:rsid w:val="00F00A01"/>
    <w:rsid w:val="00F00AC2"/>
    <w:rsid w:val="00F00D34"/>
    <w:rsid w:val="00F0101F"/>
    <w:rsid w:val="00F0116D"/>
    <w:rsid w:val="00F0120A"/>
    <w:rsid w:val="00F0177D"/>
    <w:rsid w:val="00F017CA"/>
    <w:rsid w:val="00F01959"/>
    <w:rsid w:val="00F01C4D"/>
    <w:rsid w:val="00F01C5A"/>
    <w:rsid w:val="00F01CB5"/>
    <w:rsid w:val="00F01CC1"/>
    <w:rsid w:val="00F01D34"/>
    <w:rsid w:val="00F01F3F"/>
    <w:rsid w:val="00F0200B"/>
    <w:rsid w:val="00F0222A"/>
    <w:rsid w:val="00F0223B"/>
    <w:rsid w:val="00F025FA"/>
    <w:rsid w:val="00F0265D"/>
    <w:rsid w:val="00F02740"/>
    <w:rsid w:val="00F028C5"/>
    <w:rsid w:val="00F02AB9"/>
    <w:rsid w:val="00F02BAB"/>
    <w:rsid w:val="00F02BD1"/>
    <w:rsid w:val="00F02D3E"/>
    <w:rsid w:val="00F02D73"/>
    <w:rsid w:val="00F02DD0"/>
    <w:rsid w:val="00F02E19"/>
    <w:rsid w:val="00F02E32"/>
    <w:rsid w:val="00F02F1E"/>
    <w:rsid w:val="00F03315"/>
    <w:rsid w:val="00F0344D"/>
    <w:rsid w:val="00F0349B"/>
    <w:rsid w:val="00F03624"/>
    <w:rsid w:val="00F036D9"/>
    <w:rsid w:val="00F036DA"/>
    <w:rsid w:val="00F037D3"/>
    <w:rsid w:val="00F038B0"/>
    <w:rsid w:val="00F03C1B"/>
    <w:rsid w:val="00F03E70"/>
    <w:rsid w:val="00F03EDC"/>
    <w:rsid w:val="00F0412C"/>
    <w:rsid w:val="00F04328"/>
    <w:rsid w:val="00F04381"/>
    <w:rsid w:val="00F044CF"/>
    <w:rsid w:val="00F045F2"/>
    <w:rsid w:val="00F048DD"/>
    <w:rsid w:val="00F04925"/>
    <w:rsid w:val="00F04B4E"/>
    <w:rsid w:val="00F04BB7"/>
    <w:rsid w:val="00F04C9B"/>
    <w:rsid w:val="00F04D70"/>
    <w:rsid w:val="00F04EE9"/>
    <w:rsid w:val="00F04F63"/>
    <w:rsid w:val="00F050C9"/>
    <w:rsid w:val="00F05210"/>
    <w:rsid w:val="00F0522C"/>
    <w:rsid w:val="00F0534D"/>
    <w:rsid w:val="00F05446"/>
    <w:rsid w:val="00F054F3"/>
    <w:rsid w:val="00F056F6"/>
    <w:rsid w:val="00F057C8"/>
    <w:rsid w:val="00F05815"/>
    <w:rsid w:val="00F05816"/>
    <w:rsid w:val="00F05B59"/>
    <w:rsid w:val="00F05E3C"/>
    <w:rsid w:val="00F05ED6"/>
    <w:rsid w:val="00F06235"/>
    <w:rsid w:val="00F06407"/>
    <w:rsid w:val="00F065B3"/>
    <w:rsid w:val="00F065DD"/>
    <w:rsid w:val="00F068FC"/>
    <w:rsid w:val="00F06A32"/>
    <w:rsid w:val="00F06F4D"/>
    <w:rsid w:val="00F06F5A"/>
    <w:rsid w:val="00F0700E"/>
    <w:rsid w:val="00F070C1"/>
    <w:rsid w:val="00F0714F"/>
    <w:rsid w:val="00F071F7"/>
    <w:rsid w:val="00F07265"/>
    <w:rsid w:val="00F072F5"/>
    <w:rsid w:val="00F073AA"/>
    <w:rsid w:val="00F073F1"/>
    <w:rsid w:val="00F0751D"/>
    <w:rsid w:val="00F07A66"/>
    <w:rsid w:val="00F07C40"/>
    <w:rsid w:val="00F07D44"/>
    <w:rsid w:val="00F07DB9"/>
    <w:rsid w:val="00F07E7F"/>
    <w:rsid w:val="00F07F4C"/>
    <w:rsid w:val="00F07FCE"/>
    <w:rsid w:val="00F102AD"/>
    <w:rsid w:val="00F1039A"/>
    <w:rsid w:val="00F103E8"/>
    <w:rsid w:val="00F1062D"/>
    <w:rsid w:val="00F1068F"/>
    <w:rsid w:val="00F107A4"/>
    <w:rsid w:val="00F10A96"/>
    <w:rsid w:val="00F10D2A"/>
    <w:rsid w:val="00F10D52"/>
    <w:rsid w:val="00F10DDC"/>
    <w:rsid w:val="00F10E22"/>
    <w:rsid w:val="00F10E25"/>
    <w:rsid w:val="00F10EC8"/>
    <w:rsid w:val="00F10F9A"/>
    <w:rsid w:val="00F11019"/>
    <w:rsid w:val="00F11110"/>
    <w:rsid w:val="00F11731"/>
    <w:rsid w:val="00F11B47"/>
    <w:rsid w:val="00F11B5A"/>
    <w:rsid w:val="00F11D9E"/>
    <w:rsid w:val="00F1205F"/>
    <w:rsid w:val="00F121C7"/>
    <w:rsid w:val="00F126C2"/>
    <w:rsid w:val="00F126E6"/>
    <w:rsid w:val="00F1284B"/>
    <w:rsid w:val="00F12A87"/>
    <w:rsid w:val="00F12A97"/>
    <w:rsid w:val="00F12B79"/>
    <w:rsid w:val="00F12B89"/>
    <w:rsid w:val="00F12D02"/>
    <w:rsid w:val="00F12F3D"/>
    <w:rsid w:val="00F13040"/>
    <w:rsid w:val="00F13092"/>
    <w:rsid w:val="00F130A0"/>
    <w:rsid w:val="00F130FF"/>
    <w:rsid w:val="00F1348C"/>
    <w:rsid w:val="00F13610"/>
    <w:rsid w:val="00F137CF"/>
    <w:rsid w:val="00F13811"/>
    <w:rsid w:val="00F13855"/>
    <w:rsid w:val="00F13988"/>
    <w:rsid w:val="00F139BF"/>
    <w:rsid w:val="00F139E2"/>
    <w:rsid w:val="00F13A28"/>
    <w:rsid w:val="00F13DC6"/>
    <w:rsid w:val="00F13F08"/>
    <w:rsid w:val="00F1402B"/>
    <w:rsid w:val="00F140C3"/>
    <w:rsid w:val="00F140F1"/>
    <w:rsid w:val="00F1415E"/>
    <w:rsid w:val="00F14268"/>
    <w:rsid w:val="00F1442C"/>
    <w:rsid w:val="00F144BF"/>
    <w:rsid w:val="00F1450F"/>
    <w:rsid w:val="00F1459B"/>
    <w:rsid w:val="00F146B1"/>
    <w:rsid w:val="00F14854"/>
    <w:rsid w:val="00F14A28"/>
    <w:rsid w:val="00F14B41"/>
    <w:rsid w:val="00F14B72"/>
    <w:rsid w:val="00F14B7D"/>
    <w:rsid w:val="00F14C23"/>
    <w:rsid w:val="00F14ED3"/>
    <w:rsid w:val="00F150AF"/>
    <w:rsid w:val="00F150BD"/>
    <w:rsid w:val="00F151B2"/>
    <w:rsid w:val="00F156C6"/>
    <w:rsid w:val="00F15789"/>
    <w:rsid w:val="00F157E4"/>
    <w:rsid w:val="00F15A1C"/>
    <w:rsid w:val="00F15AF1"/>
    <w:rsid w:val="00F16010"/>
    <w:rsid w:val="00F1619D"/>
    <w:rsid w:val="00F16245"/>
    <w:rsid w:val="00F16300"/>
    <w:rsid w:val="00F16357"/>
    <w:rsid w:val="00F16528"/>
    <w:rsid w:val="00F16774"/>
    <w:rsid w:val="00F16835"/>
    <w:rsid w:val="00F16AF8"/>
    <w:rsid w:val="00F16E75"/>
    <w:rsid w:val="00F16FB0"/>
    <w:rsid w:val="00F17072"/>
    <w:rsid w:val="00F17157"/>
    <w:rsid w:val="00F1716B"/>
    <w:rsid w:val="00F171A9"/>
    <w:rsid w:val="00F17347"/>
    <w:rsid w:val="00F1747A"/>
    <w:rsid w:val="00F174B4"/>
    <w:rsid w:val="00F175A3"/>
    <w:rsid w:val="00F175BE"/>
    <w:rsid w:val="00F175EC"/>
    <w:rsid w:val="00F176AB"/>
    <w:rsid w:val="00F177BB"/>
    <w:rsid w:val="00F17964"/>
    <w:rsid w:val="00F179F2"/>
    <w:rsid w:val="00F17AD8"/>
    <w:rsid w:val="00F17AFD"/>
    <w:rsid w:val="00F17B83"/>
    <w:rsid w:val="00F17BD7"/>
    <w:rsid w:val="00F17CFE"/>
    <w:rsid w:val="00F17D52"/>
    <w:rsid w:val="00F17E7D"/>
    <w:rsid w:val="00F17F0A"/>
    <w:rsid w:val="00F202F9"/>
    <w:rsid w:val="00F205CF"/>
    <w:rsid w:val="00F20603"/>
    <w:rsid w:val="00F20728"/>
    <w:rsid w:val="00F2086A"/>
    <w:rsid w:val="00F2090B"/>
    <w:rsid w:val="00F20E4E"/>
    <w:rsid w:val="00F20EEB"/>
    <w:rsid w:val="00F210C2"/>
    <w:rsid w:val="00F21361"/>
    <w:rsid w:val="00F213C9"/>
    <w:rsid w:val="00F21425"/>
    <w:rsid w:val="00F214B4"/>
    <w:rsid w:val="00F21597"/>
    <w:rsid w:val="00F2169F"/>
    <w:rsid w:val="00F21885"/>
    <w:rsid w:val="00F21A9F"/>
    <w:rsid w:val="00F21ABC"/>
    <w:rsid w:val="00F21B70"/>
    <w:rsid w:val="00F21C41"/>
    <w:rsid w:val="00F21C43"/>
    <w:rsid w:val="00F21C89"/>
    <w:rsid w:val="00F21D97"/>
    <w:rsid w:val="00F21DC2"/>
    <w:rsid w:val="00F21DE2"/>
    <w:rsid w:val="00F220EE"/>
    <w:rsid w:val="00F22130"/>
    <w:rsid w:val="00F221BE"/>
    <w:rsid w:val="00F2222B"/>
    <w:rsid w:val="00F22317"/>
    <w:rsid w:val="00F22340"/>
    <w:rsid w:val="00F22431"/>
    <w:rsid w:val="00F2244A"/>
    <w:rsid w:val="00F22516"/>
    <w:rsid w:val="00F228A7"/>
    <w:rsid w:val="00F22A1B"/>
    <w:rsid w:val="00F22B3F"/>
    <w:rsid w:val="00F22B52"/>
    <w:rsid w:val="00F22BC6"/>
    <w:rsid w:val="00F22DE1"/>
    <w:rsid w:val="00F230BC"/>
    <w:rsid w:val="00F2326F"/>
    <w:rsid w:val="00F232BD"/>
    <w:rsid w:val="00F232CB"/>
    <w:rsid w:val="00F232D6"/>
    <w:rsid w:val="00F235A6"/>
    <w:rsid w:val="00F23749"/>
    <w:rsid w:val="00F23904"/>
    <w:rsid w:val="00F2391B"/>
    <w:rsid w:val="00F23A1F"/>
    <w:rsid w:val="00F23A4B"/>
    <w:rsid w:val="00F23B1D"/>
    <w:rsid w:val="00F23CFE"/>
    <w:rsid w:val="00F23DB3"/>
    <w:rsid w:val="00F24058"/>
    <w:rsid w:val="00F24113"/>
    <w:rsid w:val="00F2422C"/>
    <w:rsid w:val="00F2430B"/>
    <w:rsid w:val="00F245E6"/>
    <w:rsid w:val="00F245FD"/>
    <w:rsid w:val="00F24683"/>
    <w:rsid w:val="00F2475A"/>
    <w:rsid w:val="00F247CE"/>
    <w:rsid w:val="00F248A4"/>
    <w:rsid w:val="00F248EC"/>
    <w:rsid w:val="00F24B09"/>
    <w:rsid w:val="00F24BA9"/>
    <w:rsid w:val="00F24EC0"/>
    <w:rsid w:val="00F24F25"/>
    <w:rsid w:val="00F2511F"/>
    <w:rsid w:val="00F252C7"/>
    <w:rsid w:val="00F25450"/>
    <w:rsid w:val="00F257B6"/>
    <w:rsid w:val="00F258D6"/>
    <w:rsid w:val="00F25995"/>
    <w:rsid w:val="00F259F1"/>
    <w:rsid w:val="00F25B5B"/>
    <w:rsid w:val="00F25BE9"/>
    <w:rsid w:val="00F25CC9"/>
    <w:rsid w:val="00F2603B"/>
    <w:rsid w:val="00F26216"/>
    <w:rsid w:val="00F2632C"/>
    <w:rsid w:val="00F263ED"/>
    <w:rsid w:val="00F26423"/>
    <w:rsid w:val="00F264CB"/>
    <w:rsid w:val="00F265EE"/>
    <w:rsid w:val="00F268F8"/>
    <w:rsid w:val="00F26CFF"/>
    <w:rsid w:val="00F26D1E"/>
    <w:rsid w:val="00F26DE6"/>
    <w:rsid w:val="00F26E00"/>
    <w:rsid w:val="00F2728B"/>
    <w:rsid w:val="00F27612"/>
    <w:rsid w:val="00F276B3"/>
    <w:rsid w:val="00F27CEE"/>
    <w:rsid w:val="00F27D5E"/>
    <w:rsid w:val="00F27DDD"/>
    <w:rsid w:val="00F300BF"/>
    <w:rsid w:val="00F301EE"/>
    <w:rsid w:val="00F30346"/>
    <w:rsid w:val="00F3038D"/>
    <w:rsid w:val="00F30511"/>
    <w:rsid w:val="00F305EB"/>
    <w:rsid w:val="00F307E6"/>
    <w:rsid w:val="00F30827"/>
    <w:rsid w:val="00F309AB"/>
    <w:rsid w:val="00F30E6B"/>
    <w:rsid w:val="00F31531"/>
    <w:rsid w:val="00F3155F"/>
    <w:rsid w:val="00F317EA"/>
    <w:rsid w:val="00F31825"/>
    <w:rsid w:val="00F31B98"/>
    <w:rsid w:val="00F31E8C"/>
    <w:rsid w:val="00F31F16"/>
    <w:rsid w:val="00F31F9A"/>
    <w:rsid w:val="00F32109"/>
    <w:rsid w:val="00F32118"/>
    <w:rsid w:val="00F3228A"/>
    <w:rsid w:val="00F3228F"/>
    <w:rsid w:val="00F322D9"/>
    <w:rsid w:val="00F32325"/>
    <w:rsid w:val="00F324A8"/>
    <w:rsid w:val="00F3279A"/>
    <w:rsid w:val="00F32871"/>
    <w:rsid w:val="00F330CE"/>
    <w:rsid w:val="00F333E9"/>
    <w:rsid w:val="00F333F3"/>
    <w:rsid w:val="00F335D6"/>
    <w:rsid w:val="00F3362E"/>
    <w:rsid w:val="00F336C0"/>
    <w:rsid w:val="00F33908"/>
    <w:rsid w:val="00F33937"/>
    <w:rsid w:val="00F33969"/>
    <w:rsid w:val="00F33FCE"/>
    <w:rsid w:val="00F33FF9"/>
    <w:rsid w:val="00F3401D"/>
    <w:rsid w:val="00F34371"/>
    <w:rsid w:val="00F34498"/>
    <w:rsid w:val="00F34639"/>
    <w:rsid w:val="00F34B76"/>
    <w:rsid w:val="00F34F12"/>
    <w:rsid w:val="00F3501C"/>
    <w:rsid w:val="00F35135"/>
    <w:rsid w:val="00F35192"/>
    <w:rsid w:val="00F35571"/>
    <w:rsid w:val="00F35904"/>
    <w:rsid w:val="00F35D0B"/>
    <w:rsid w:val="00F35D19"/>
    <w:rsid w:val="00F35DAC"/>
    <w:rsid w:val="00F35DB5"/>
    <w:rsid w:val="00F35DDE"/>
    <w:rsid w:val="00F35E45"/>
    <w:rsid w:val="00F35F03"/>
    <w:rsid w:val="00F35F2C"/>
    <w:rsid w:val="00F35F4D"/>
    <w:rsid w:val="00F35FCE"/>
    <w:rsid w:val="00F36158"/>
    <w:rsid w:val="00F36264"/>
    <w:rsid w:val="00F36318"/>
    <w:rsid w:val="00F36424"/>
    <w:rsid w:val="00F367AB"/>
    <w:rsid w:val="00F368EA"/>
    <w:rsid w:val="00F36AB5"/>
    <w:rsid w:val="00F36B0F"/>
    <w:rsid w:val="00F36E50"/>
    <w:rsid w:val="00F36F95"/>
    <w:rsid w:val="00F371BD"/>
    <w:rsid w:val="00F3754B"/>
    <w:rsid w:val="00F3757E"/>
    <w:rsid w:val="00F37662"/>
    <w:rsid w:val="00F3788F"/>
    <w:rsid w:val="00F378AF"/>
    <w:rsid w:val="00F378CB"/>
    <w:rsid w:val="00F37B56"/>
    <w:rsid w:val="00F37C9D"/>
    <w:rsid w:val="00F37CE4"/>
    <w:rsid w:val="00F37CF1"/>
    <w:rsid w:val="00F37D34"/>
    <w:rsid w:val="00F37E82"/>
    <w:rsid w:val="00F37F16"/>
    <w:rsid w:val="00F37F5A"/>
    <w:rsid w:val="00F401BE"/>
    <w:rsid w:val="00F401CA"/>
    <w:rsid w:val="00F402E1"/>
    <w:rsid w:val="00F402F4"/>
    <w:rsid w:val="00F40434"/>
    <w:rsid w:val="00F40859"/>
    <w:rsid w:val="00F408BA"/>
    <w:rsid w:val="00F408E6"/>
    <w:rsid w:val="00F40959"/>
    <w:rsid w:val="00F40984"/>
    <w:rsid w:val="00F40D07"/>
    <w:rsid w:val="00F4108E"/>
    <w:rsid w:val="00F4119B"/>
    <w:rsid w:val="00F411FE"/>
    <w:rsid w:val="00F41420"/>
    <w:rsid w:val="00F41861"/>
    <w:rsid w:val="00F41971"/>
    <w:rsid w:val="00F41CC1"/>
    <w:rsid w:val="00F41D17"/>
    <w:rsid w:val="00F42044"/>
    <w:rsid w:val="00F420A7"/>
    <w:rsid w:val="00F420CF"/>
    <w:rsid w:val="00F424B7"/>
    <w:rsid w:val="00F42664"/>
    <w:rsid w:val="00F427BA"/>
    <w:rsid w:val="00F427E3"/>
    <w:rsid w:val="00F4291A"/>
    <w:rsid w:val="00F4298A"/>
    <w:rsid w:val="00F42A30"/>
    <w:rsid w:val="00F42A9E"/>
    <w:rsid w:val="00F42ABA"/>
    <w:rsid w:val="00F42CD6"/>
    <w:rsid w:val="00F42D06"/>
    <w:rsid w:val="00F42E0F"/>
    <w:rsid w:val="00F42F1A"/>
    <w:rsid w:val="00F432A3"/>
    <w:rsid w:val="00F432B1"/>
    <w:rsid w:val="00F435E5"/>
    <w:rsid w:val="00F43631"/>
    <w:rsid w:val="00F43680"/>
    <w:rsid w:val="00F43C35"/>
    <w:rsid w:val="00F43DC4"/>
    <w:rsid w:val="00F43E7A"/>
    <w:rsid w:val="00F43F02"/>
    <w:rsid w:val="00F4451D"/>
    <w:rsid w:val="00F4469C"/>
    <w:rsid w:val="00F4470E"/>
    <w:rsid w:val="00F45047"/>
    <w:rsid w:val="00F450D0"/>
    <w:rsid w:val="00F450E8"/>
    <w:rsid w:val="00F45135"/>
    <w:rsid w:val="00F454DD"/>
    <w:rsid w:val="00F4563D"/>
    <w:rsid w:val="00F4566A"/>
    <w:rsid w:val="00F4584E"/>
    <w:rsid w:val="00F458A4"/>
    <w:rsid w:val="00F4598E"/>
    <w:rsid w:val="00F45C18"/>
    <w:rsid w:val="00F45DD0"/>
    <w:rsid w:val="00F45E18"/>
    <w:rsid w:val="00F45E9F"/>
    <w:rsid w:val="00F46318"/>
    <w:rsid w:val="00F46497"/>
    <w:rsid w:val="00F46730"/>
    <w:rsid w:val="00F469BF"/>
    <w:rsid w:val="00F46C35"/>
    <w:rsid w:val="00F46E66"/>
    <w:rsid w:val="00F46ED8"/>
    <w:rsid w:val="00F47015"/>
    <w:rsid w:val="00F47091"/>
    <w:rsid w:val="00F471BF"/>
    <w:rsid w:val="00F47206"/>
    <w:rsid w:val="00F47266"/>
    <w:rsid w:val="00F47333"/>
    <w:rsid w:val="00F47701"/>
    <w:rsid w:val="00F47802"/>
    <w:rsid w:val="00F47873"/>
    <w:rsid w:val="00F47989"/>
    <w:rsid w:val="00F47A90"/>
    <w:rsid w:val="00F47C00"/>
    <w:rsid w:val="00F47D70"/>
    <w:rsid w:val="00F5000E"/>
    <w:rsid w:val="00F5016D"/>
    <w:rsid w:val="00F50386"/>
    <w:rsid w:val="00F50511"/>
    <w:rsid w:val="00F5056E"/>
    <w:rsid w:val="00F50670"/>
    <w:rsid w:val="00F5090C"/>
    <w:rsid w:val="00F50BCE"/>
    <w:rsid w:val="00F50F7D"/>
    <w:rsid w:val="00F50FEB"/>
    <w:rsid w:val="00F51072"/>
    <w:rsid w:val="00F510BF"/>
    <w:rsid w:val="00F511B7"/>
    <w:rsid w:val="00F51418"/>
    <w:rsid w:val="00F5154F"/>
    <w:rsid w:val="00F51552"/>
    <w:rsid w:val="00F516A6"/>
    <w:rsid w:val="00F516B8"/>
    <w:rsid w:val="00F516F4"/>
    <w:rsid w:val="00F51B84"/>
    <w:rsid w:val="00F51BC6"/>
    <w:rsid w:val="00F51D15"/>
    <w:rsid w:val="00F51D80"/>
    <w:rsid w:val="00F51E03"/>
    <w:rsid w:val="00F51F1E"/>
    <w:rsid w:val="00F51FD8"/>
    <w:rsid w:val="00F52087"/>
    <w:rsid w:val="00F520A0"/>
    <w:rsid w:val="00F520AD"/>
    <w:rsid w:val="00F5227A"/>
    <w:rsid w:val="00F522C1"/>
    <w:rsid w:val="00F52346"/>
    <w:rsid w:val="00F52459"/>
    <w:rsid w:val="00F52565"/>
    <w:rsid w:val="00F5260D"/>
    <w:rsid w:val="00F5267C"/>
    <w:rsid w:val="00F52A35"/>
    <w:rsid w:val="00F52C21"/>
    <w:rsid w:val="00F52E1B"/>
    <w:rsid w:val="00F52E36"/>
    <w:rsid w:val="00F53015"/>
    <w:rsid w:val="00F5305D"/>
    <w:rsid w:val="00F5315D"/>
    <w:rsid w:val="00F53323"/>
    <w:rsid w:val="00F53415"/>
    <w:rsid w:val="00F534E0"/>
    <w:rsid w:val="00F5358B"/>
    <w:rsid w:val="00F53591"/>
    <w:rsid w:val="00F535F6"/>
    <w:rsid w:val="00F53967"/>
    <w:rsid w:val="00F539AB"/>
    <w:rsid w:val="00F53AFD"/>
    <w:rsid w:val="00F53E00"/>
    <w:rsid w:val="00F53E4E"/>
    <w:rsid w:val="00F53E70"/>
    <w:rsid w:val="00F53F44"/>
    <w:rsid w:val="00F53FA5"/>
    <w:rsid w:val="00F53FFA"/>
    <w:rsid w:val="00F54061"/>
    <w:rsid w:val="00F54129"/>
    <w:rsid w:val="00F541D0"/>
    <w:rsid w:val="00F54329"/>
    <w:rsid w:val="00F5449B"/>
    <w:rsid w:val="00F54687"/>
    <w:rsid w:val="00F54900"/>
    <w:rsid w:val="00F54BEA"/>
    <w:rsid w:val="00F54D1E"/>
    <w:rsid w:val="00F54E94"/>
    <w:rsid w:val="00F55013"/>
    <w:rsid w:val="00F5518E"/>
    <w:rsid w:val="00F557A3"/>
    <w:rsid w:val="00F55884"/>
    <w:rsid w:val="00F55AA4"/>
    <w:rsid w:val="00F55AB1"/>
    <w:rsid w:val="00F55BA9"/>
    <w:rsid w:val="00F55C57"/>
    <w:rsid w:val="00F55C99"/>
    <w:rsid w:val="00F55CE6"/>
    <w:rsid w:val="00F55D79"/>
    <w:rsid w:val="00F55D7D"/>
    <w:rsid w:val="00F55F19"/>
    <w:rsid w:val="00F560D7"/>
    <w:rsid w:val="00F56123"/>
    <w:rsid w:val="00F563D3"/>
    <w:rsid w:val="00F564AC"/>
    <w:rsid w:val="00F564D0"/>
    <w:rsid w:val="00F56866"/>
    <w:rsid w:val="00F56ECF"/>
    <w:rsid w:val="00F56EF0"/>
    <w:rsid w:val="00F57008"/>
    <w:rsid w:val="00F5720F"/>
    <w:rsid w:val="00F57271"/>
    <w:rsid w:val="00F572F2"/>
    <w:rsid w:val="00F57429"/>
    <w:rsid w:val="00F57B4F"/>
    <w:rsid w:val="00F57C58"/>
    <w:rsid w:val="00F57CAA"/>
    <w:rsid w:val="00F57CF1"/>
    <w:rsid w:val="00F57D6F"/>
    <w:rsid w:val="00F57EDD"/>
    <w:rsid w:val="00F57FFC"/>
    <w:rsid w:val="00F602ED"/>
    <w:rsid w:val="00F6035E"/>
    <w:rsid w:val="00F603D0"/>
    <w:rsid w:val="00F60420"/>
    <w:rsid w:val="00F605B0"/>
    <w:rsid w:val="00F60626"/>
    <w:rsid w:val="00F6067F"/>
    <w:rsid w:val="00F60803"/>
    <w:rsid w:val="00F60860"/>
    <w:rsid w:val="00F608A1"/>
    <w:rsid w:val="00F60BC6"/>
    <w:rsid w:val="00F60C0D"/>
    <w:rsid w:val="00F60D11"/>
    <w:rsid w:val="00F60E2E"/>
    <w:rsid w:val="00F61038"/>
    <w:rsid w:val="00F616F0"/>
    <w:rsid w:val="00F6170B"/>
    <w:rsid w:val="00F617C1"/>
    <w:rsid w:val="00F61B3C"/>
    <w:rsid w:val="00F61B4D"/>
    <w:rsid w:val="00F61BCD"/>
    <w:rsid w:val="00F61C1A"/>
    <w:rsid w:val="00F61C43"/>
    <w:rsid w:val="00F61FC5"/>
    <w:rsid w:val="00F6216F"/>
    <w:rsid w:val="00F621FA"/>
    <w:rsid w:val="00F621FB"/>
    <w:rsid w:val="00F6273F"/>
    <w:rsid w:val="00F6278E"/>
    <w:rsid w:val="00F627FF"/>
    <w:rsid w:val="00F6284D"/>
    <w:rsid w:val="00F62940"/>
    <w:rsid w:val="00F62A6D"/>
    <w:rsid w:val="00F62C4C"/>
    <w:rsid w:val="00F62CBD"/>
    <w:rsid w:val="00F62D33"/>
    <w:rsid w:val="00F62D73"/>
    <w:rsid w:val="00F62DCD"/>
    <w:rsid w:val="00F62E8E"/>
    <w:rsid w:val="00F6323A"/>
    <w:rsid w:val="00F63412"/>
    <w:rsid w:val="00F63519"/>
    <w:rsid w:val="00F635C3"/>
    <w:rsid w:val="00F6363E"/>
    <w:rsid w:val="00F6374B"/>
    <w:rsid w:val="00F6389B"/>
    <w:rsid w:val="00F6391C"/>
    <w:rsid w:val="00F639D2"/>
    <w:rsid w:val="00F63ACC"/>
    <w:rsid w:val="00F63D02"/>
    <w:rsid w:val="00F63D0A"/>
    <w:rsid w:val="00F63D8E"/>
    <w:rsid w:val="00F641DE"/>
    <w:rsid w:val="00F642BA"/>
    <w:rsid w:val="00F6444E"/>
    <w:rsid w:val="00F64529"/>
    <w:rsid w:val="00F645D6"/>
    <w:rsid w:val="00F6464A"/>
    <w:rsid w:val="00F64771"/>
    <w:rsid w:val="00F64C3B"/>
    <w:rsid w:val="00F64CAA"/>
    <w:rsid w:val="00F64FB1"/>
    <w:rsid w:val="00F65218"/>
    <w:rsid w:val="00F6524A"/>
    <w:rsid w:val="00F6529C"/>
    <w:rsid w:val="00F652C7"/>
    <w:rsid w:val="00F65305"/>
    <w:rsid w:val="00F6538F"/>
    <w:rsid w:val="00F6539B"/>
    <w:rsid w:val="00F654DC"/>
    <w:rsid w:val="00F658C3"/>
    <w:rsid w:val="00F65944"/>
    <w:rsid w:val="00F65AF7"/>
    <w:rsid w:val="00F65B5E"/>
    <w:rsid w:val="00F65CF7"/>
    <w:rsid w:val="00F65EAE"/>
    <w:rsid w:val="00F6605F"/>
    <w:rsid w:val="00F66188"/>
    <w:rsid w:val="00F6634E"/>
    <w:rsid w:val="00F6636E"/>
    <w:rsid w:val="00F6642A"/>
    <w:rsid w:val="00F66620"/>
    <w:rsid w:val="00F668DD"/>
    <w:rsid w:val="00F6695F"/>
    <w:rsid w:val="00F66994"/>
    <w:rsid w:val="00F669B8"/>
    <w:rsid w:val="00F66A87"/>
    <w:rsid w:val="00F66A90"/>
    <w:rsid w:val="00F66AC0"/>
    <w:rsid w:val="00F66AC7"/>
    <w:rsid w:val="00F66D25"/>
    <w:rsid w:val="00F66E56"/>
    <w:rsid w:val="00F66E5E"/>
    <w:rsid w:val="00F66F3F"/>
    <w:rsid w:val="00F671EA"/>
    <w:rsid w:val="00F67248"/>
    <w:rsid w:val="00F676AD"/>
    <w:rsid w:val="00F676C0"/>
    <w:rsid w:val="00F67857"/>
    <w:rsid w:val="00F678FE"/>
    <w:rsid w:val="00F67929"/>
    <w:rsid w:val="00F67B1C"/>
    <w:rsid w:val="00F67C01"/>
    <w:rsid w:val="00F67EE1"/>
    <w:rsid w:val="00F70001"/>
    <w:rsid w:val="00F7000C"/>
    <w:rsid w:val="00F70388"/>
    <w:rsid w:val="00F7048A"/>
    <w:rsid w:val="00F704CD"/>
    <w:rsid w:val="00F7061E"/>
    <w:rsid w:val="00F70933"/>
    <w:rsid w:val="00F70B4F"/>
    <w:rsid w:val="00F70C0A"/>
    <w:rsid w:val="00F70D66"/>
    <w:rsid w:val="00F70DD3"/>
    <w:rsid w:val="00F71040"/>
    <w:rsid w:val="00F712AE"/>
    <w:rsid w:val="00F7143A"/>
    <w:rsid w:val="00F7157D"/>
    <w:rsid w:val="00F7158B"/>
    <w:rsid w:val="00F7171C"/>
    <w:rsid w:val="00F717CC"/>
    <w:rsid w:val="00F7196C"/>
    <w:rsid w:val="00F71A22"/>
    <w:rsid w:val="00F71A50"/>
    <w:rsid w:val="00F71A9C"/>
    <w:rsid w:val="00F71AD7"/>
    <w:rsid w:val="00F71DF5"/>
    <w:rsid w:val="00F7205E"/>
    <w:rsid w:val="00F7220E"/>
    <w:rsid w:val="00F72230"/>
    <w:rsid w:val="00F722DE"/>
    <w:rsid w:val="00F725CB"/>
    <w:rsid w:val="00F72638"/>
    <w:rsid w:val="00F7264C"/>
    <w:rsid w:val="00F7275A"/>
    <w:rsid w:val="00F72849"/>
    <w:rsid w:val="00F72A0A"/>
    <w:rsid w:val="00F72A51"/>
    <w:rsid w:val="00F72B0B"/>
    <w:rsid w:val="00F72B73"/>
    <w:rsid w:val="00F72BDB"/>
    <w:rsid w:val="00F72BF7"/>
    <w:rsid w:val="00F72C68"/>
    <w:rsid w:val="00F72CD0"/>
    <w:rsid w:val="00F72D42"/>
    <w:rsid w:val="00F72E26"/>
    <w:rsid w:val="00F733B9"/>
    <w:rsid w:val="00F733DD"/>
    <w:rsid w:val="00F73524"/>
    <w:rsid w:val="00F7360E"/>
    <w:rsid w:val="00F7369B"/>
    <w:rsid w:val="00F7388F"/>
    <w:rsid w:val="00F7393B"/>
    <w:rsid w:val="00F73A38"/>
    <w:rsid w:val="00F73A67"/>
    <w:rsid w:val="00F73AD7"/>
    <w:rsid w:val="00F73C89"/>
    <w:rsid w:val="00F73DA0"/>
    <w:rsid w:val="00F73DEB"/>
    <w:rsid w:val="00F73F18"/>
    <w:rsid w:val="00F73F3C"/>
    <w:rsid w:val="00F74159"/>
    <w:rsid w:val="00F744E4"/>
    <w:rsid w:val="00F74513"/>
    <w:rsid w:val="00F74528"/>
    <w:rsid w:val="00F745C0"/>
    <w:rsid w:val="00F747DA"/>
    <w:rsid w:val="00F748E8"/>
    <w:rsid w:val="00F74908"/>
    <w:rsid w:val="00F74918"/>
    <w:rsid w:val="00F749B4"/>
    <w:rsid w:val="00F74A6A"/>
    <w:rsid w:val="00F74BFD"/>
    <w:rsid w:val="00F74D52"/>
    <w:rsid w:val="00F74D5D"/>
    <w:rsid w:val="00F74D66"/>
    <w:rsid w:val="00F74F9E"/>
    <w:rsid w:val="00F7519B"/>
    <w:rsid w:val="00F7534E"/>
    <w:rsid w:val="00F755E1"/>
    <w:rsid w:val="00F7566D"/>
    <w:rsid w:val="00F7568F"/>
    <w:rsid w:val="00F757AC"/>
    <w:rsid w:val="00F757AF"/>
    <w:rsid w:val="00F757E9"/>
    <w:rsid w:val="00F75830"/>
    <w:rsid w:val="00F75870"/>
    <w:rsid w:val="00F75B06"/>
    <w:rsid w:val="00F75B14"/>
    <w:rsid w:val="00F75C7B"/>
    <w:rsid w:val="00F761C5"/>
    <w:rsid w:val="00F7620B"/>
    <w:rsid w:val="00F76347"/>
    <w:rsid w:val="00F763D1"/>
    <w:rsid w:val="00F76427"/>
    <w:rsid w:val="00F76598"/>
    <w:rsid w:val="00F765FD"/>
    <w:rsid w:val="00F767F5"/>
    <w:rsid w:val="00F768C5"/>
    <w:rsid w:val="00F768F5"/>
    <w:rsid w:val="00F769EB"/>
    <w:rsid w:val="00F76AE8"/>
    <w:rsid w:val="00F76C11"/>
    <w:rsid w:val="00F76C53"/>
    <w:rsid w:val="00F76CC2"/>
    <w:rsid w:val="00F770C6"/>
    <w:rsid w:val="00F7716F"/>
    <w:rsid w:val="00F772D5"/>
    <w:rsid w:val="00F774DA"/>
    <w:rsid w:val="00F776A1"/>
    <w:rsid w:val="00F77C0B"/>
    <w:rsid w:val="00F77DBD"/>
    <w:rsid w:val="00F77E6D"/>
    <w:rsid w:val="00F77EA6"/>
    <w:rsid w:val="00F77EEF"/>
    <w:rsid w:val="00F77F31"/>
    <w:rsid w:val="00F8014D"/>
    <w:rsid w:val="00F80320"/>
    <w:rsid w:val="00F80332"/>
    <w:rsid w:val="00F80413"/>
    <w:rsid w:val="00F804A4"/>
    <w:rsid w:val="00F805F0"/>
    <w:rsid w:val="00F805FB"/>
    <w:rsid w:val="00F8062E"/>
    <w:rsid w:val="00F806B9"/>
    <w:rsid w:val="00F806DF"/>
    <w:rsid w:val="00F807F6"/>
    <w:rsid w:val="00F80A4F"/>
    <w:rsid w:val="00F80AEA"/>
    <w:rsid w:val="00F80B72"/>
    <w:rsid w:val="00F80D7E"/>
    <w:rsid w:val="00F80FEA"/>
    <w:rsid w:val="00F81553"/>
    <w:rsid w:val="00F81575"/>
    <w:rsid w:val="00F8176B"/>
    <w:rsid w:val="00F81986"/>
    <w:rsid w:val="00F81C1A"/>
    <w:rsid w:val="00F81C29"/>
    <w:rsid w:val="00F81EE5"/>
    <w:rsid w:val="00F8216D"/>
    <w:rsid w:val="00F8221C"/>
    <w:rsid w:val="00F822BC"/>
    <w:rsid w:val="00F823CD"/>
    <w:rsid w:val="00F8255C"/>
    <w:rsid w:val="00F82838"/>
    <w:rsid w:val="00F82845"/>
    <w:rsid w:val="00F8298F"/>
    <w:rsid w:val="00F82A37"/>
    <w:rsid w:val="00F82A58"/>
    <w:rsid w:val="00F82AC3"/>
    <w:rsid w:val="00F82B24"/>
    <w:rsid w:val="00F82C91"/>
    <w:rsid w:val="00F82EAC"/>
    <w:rsid w:val="00F83149"/>
    <w:rsid w:val="00F831AE"/>
    <w:rsid w:val="00F83291"/>
    <w:rsid w:val="00F8339D"/>
    <w:rsid w:val="00F83472"/>
    <w:rsid w:val="00F835FC"/>
    <w:rsid w:val="00F836F1"/>
    <w:rsid w:val="00F837C3"/>
    <w:rsid w:val="00F837D3"/>
    <w:rsid w:val="00F83800"/>
    <w:rsid w:val="00F83864"/>
    <w:rsid w:val="00F83BA3"/>
    <w:rsid w:val="00F84136"/>
    <w:rsid w:val="00F8418E"/>
    <w:rsid w:val="00F8433E"/>
    <w:rsid w:val="00F84491"/>
    <w:rsid w:val="00F8449B"/>
    <w:rsid w:val="00F84689"/>
    <w:rsid w:val="00F84774"/>
    <w:rsid w:val="00F8491C"/>
    <w:rsid w:val="00F84AC9"/>
    <w:rsid w:val="00F84B97"/>
    <w:rsid w:val="00F84D4E"/>
    <w:rsid w:val="00F84EF0"/>
    <w:rsid w:val="00F85380"/>
    <w:rsid w:val="00F85519"/>
    <w:rsid w:val="00F855F2"/>
    <w:rsid w:val="00F85707"/>
    <w:rsid w:val="00F85915"/>
    <w:rsid w:val="00F85994"/>
    <w:rsid w:val="00F85A93"/>
    <w:rsid w:val="00F85D20"/>
    <w:rsid w:val="00F85E0F"/>
    <w:rsid w:val="00F85FF6"/>
    <w:rsid w:val="00F860A6"/>
    <w:rsid w:val="00F860AA"/>
    <w:rsid w:val="00F860FA"/>
    <w:rsid w:val="00F861EC"/>
    <w:rsid w:val="00F86300"/>
    <w:rsid w:val="00F8634D"/>
    <w:rsid w:val="00F86502"/>
    <w:rsid w:val="00F865A6"/>
    <w:rsid w:val="00F866A2"/>
    <w:rsid w:val="00F86C1F"/>
    <w:rsid w:val="00F86D02"/>
    <w:rsid w:val="00F86D05"/>
    <w:rsid w:val="00F86D3F"/>
    <w:rsid w:val="00F86F64"/>
    <w:rsid w:val="00F86F77"/>
    <w:rsid w:val="00F86FB1"/>
    <w:rsid w:val="00F8702F"/>
    <w:rsid w:val="00F87241"/>
    <w:rsid w:val="00F87258"/>
    <w:rsid w:val="00F87366"/>
    <w:rsid w:val="00F874C2"/>
    <w:rsid w:val="00F875B7"/>
    <w:rsid w:val="00F87746"/>
    <w:rsid w:val="00F87779"/>
    <w:rsid w:val="00F87807"/>
    <w:rsid w:val="00F87A56"/>
    <w:rsid w:val="00F87AC0"/>
    <w:rsid w:val="00F87AEA"/>
    <w:rsid w:val="00F87AEC"/>
    <w:rsid w:val="00F87B60"/>
    <w:rsid w:val="00F87B6C"/>
    <w:rsid w:val="00F87C0E"/>
    <w:rsid w:val="00F87EFA"/>
    <w:rsid w:val="00F9018D"/>
    <w:rsid w:val="00F902E5"/>
    <w:rsid w:val="00F90300"/>
    <w:rsid w:val="00F90575"/>
    <w:rsid w:val="00F905D3"/>
    <w:rsid w:val="00F9060C"/>
    <w:rsid w:val="00F9076C"/>
    <w:rsid w:val="00F908FC"/>
    <w:rsid w:val="00F90B09"/>
    <w:rsid w:val="00F90B1C"/>
    <w:rsid w:val="00F90DCE"/>
    <w:rsid w:val="00F9120B"/>
    <w:rsid w:val="00F912E6"/>
    <w:rsid w:val="00F91324"/>
    <w:rsid w:val="00F9143C"/>
    <w:rsid w:val="00F9150D"/>
    <w:rsid w:val="00F91834"/>
    <w:rsid w:val="00F918BD"/>
    <w:rsid w:val="00F918C0"/>
    <w:rsid w:val="00F919E5"/>
    <w:rsid w:val="00F91BD3"/>
    <w:rsid w:val="00F91DD9"/>
    <w:rsid w:val="00F91FB8"/>
    <w:rsid w:val="00F92214"/>
    <w:rsid w:val="00F92399"/>
    <w:rsid w:val="00F923A7"/>
    <w:rsid w:val="00F925F5"/>
    <w:rsid w:val="00F926FB"/>
    <w:rsid w:val="00F927D4"/>
    <w:rsid w:val="00F927E0"/>
    <w:rsid w:val="00F927FE"/>
    <w:rsid w:val="00F928C2"/>
    <w:rsid w:val="00F92BC2"/>
    <w:rsid w:val="00F92CB4"/>
    <w:rsid w:val="00F92D95"/>
    <w:rsid w:val="00F92DE2"/>
    <w:rsid w:val="00F92F46"/>
    <w:rsid w:val="00F9326F"/>
    <w:rsid w:val="00F93323"/>
    <w:rsid w:val="00F9343D"/>
    <w:rsid w:val="00F93591"/>
    <w:rsid w:val="00F935EB"/>
    <w:rsid w:val="00F93617"/>
    <w:rsid w:val="00F93698"/>
    <w:rsid w:val="00F9398C"/>
    <w:rsid w:val="00F939A0"/>
    <w:rsid w:val="00F939AD"/>
    <w:rsid w:val="00F93BB6"/>
    <w:rsid w:val="00F93CB0"/>
    <w:rsid w:val="00F93DFA"/>
    <w:rsid w:val="00F93EA2"/>
    <w:rsid w:val="00F93F7B"/>
    <w:rsid w:val="00F93FE8"/>
    <w:rsid w:val="00F940ED"/>
    <w:rsid w:val="00F941A2"/>
    <w:rsid w:val="00F941C2"/>
    <w:rsid w:val="00F942BE"/>
    <w:rsid w:val="00F9437A"/>
    <w:rsid w:val="00F94399"/>
    <w:rsid w:val="00F943F9"/>
    <w:rsid w:val="00F945EB"/>
    <w:rsid w:val="00F946BD"/>
    <w:rsid w:val="00F946D2"/>
    <w:rsid w:val="00F94772"/>
    <w:rsid w:val="00F947B2"/>
    <w:rsid w:val="00F94A39"/>
    <w:rsid w:val="00F94D25"/>
    <w:rsid w:val="00F94D36"/>
    <w:rsid w:val="00F94DA3"/>
    <w:rsid w:val="00F94F09"/>
    <w:rsid w:val="00F94F86"/>
    <w:rsid w:val="00F95104"/>
    <w:rsid w:val="00F952CB"/>
    <w:rsid w:val="00F954B8"/>
    <w:rsid w:val="00F956F9"/>
    <w:rsid w:val="00F95725"/>
    <w:rsid w:val="00F9596D"/>
    <w:rsid w:val="00F95C69"/>
    <w:rsid w:val="00F95CCA"/>
    <w:rsid w:val="00F95D71"/>
    <w:rsid w:val="00F95E03"/>
    <w:rsid w:val="00F95F9C"/>
    <w:rsid w:val="00F95FA4"/>
    <w:rsid w:val="00F96110"/>
    <w:rsid w:val="00F961C3"/>
    <w:rsid w:val="00F96337"/>
    <w:rsid w:val="00F963D0"/>
    <w:rsid w:val="00F963EF"/>
    <w:rsid w:val="00F96480"/>
    <w:rsid w:val="00F964F4"/>
    <w:rsid w:val="00F96560"/>
    <w:rsid w:val="00F96648"/>
    <w:rsid w:val="00F96801"/>
    <w:rsid w:val="00F9681B"/>
    <w:rsid w:val="00F96937"/>
    <w:rsid w:val="00F96F8B"/>
    <w:rsid w:val="00F97133"/>
    <w:rsid w:val="00F975CF"/>
    <w:rsid w:val="00F97710"/>
    <w:rsid w:val="00F97767"/>
    <w:rsid w:val="00F9777D"/>
    <w:rsid w:val="00F977A2"/>
    <w:rsid w:val="00F978F0"/>
    <w:rsid w:val="00F97A50"/>
    <w:rsid w:val="00F97C5E"/>
    <w:rsid w:val="00F97D6F"/>
    <w:rsid w:val="00F97FE9"/>
    <w:rsid w:val="00FA02EF"/>
    <w:rsid w:val="00FA05C3"/>
    <w:rsid w:val="00FA0602"/>
    <w:rsid w:val="00FA065C"/>
    <w:rsid w:val="00FA067E"/>
    <w:rsid w:val="00FA079C"/>
    <w:rsid w:val="00FA0898"/>
    <w:rsid w:val="00FA09F6"/>
    <w:rsid w:val="00FA0AA7"/>
    <w:rsid w:val="00FA0C45"/>
    <w:rsid w:val="00FA0C4C"/>
    <w:rsid w:val="00FA0C52"/>
    <w:rsid w:val="00FA0C92"/>
    <w:rsid w:val="00FA0D43"/>
    <w:rsid w:val="00FA11C5"/>
    <w:rsid w:val="00FA11FD"/>
    <w:rsid w:val="00FA1296"/>
    <w:rsid w:val="00FA1330"/>
    <w:rsid w:val="00FA158D"/>
    <w:rsid w:val="00FA1718"/>
    <w:rsid w:val="00FA1B84"/>
    <w:rsid w:val="00FA1D9D"/>
    <w:rsid w:val="00FA1FF7"/>
    <w:rsid w:val="00FA2189"/>
    <w:rsid w:val="00FA2321"/>
    <w:rsid w:val="00FA281E"/>
    <w:rsid w:val="00FA2C30"/>
    <w:rsid w:val="00FA2C6C"/>
    <w:rsid w:val="00FA2EC8"/>
    <w:rsid w:val="00FA335C"/>
    <w:rsid w:val="00FA3397"/>
    <w:rsid w:val="00FA341D"/>
    <w:rsid w:val="00FA3514"/>
    <w:rsid w:val="00FA3591"/>
    <w:rsid w:val="00FA3627"/>
    <w:rsid w:val="00FA37F0"/>
    <w:rsid w:val="00FA3A3F"/>
    <w:rsid w:val="00FA3A49"/>
    <w:rsid w:val="00FA3C59"/>
    <w:rsid w:val="00FA3DFA"/>
    <w:rsid w:val="00FA3F71"/>
    <w:rsid w:val="00FA443A"/>
    <w:rsid w:val="00FA450D"/>
    <w:rsid w:val="00FA48CB"/>
    <w:rsid w:val="00FA48EA"/>
    <w:rsid w:val="00FA4A7F"/>
    <w:rsid w:val="00FA4B17"/>
    <w:rsid w:val="00FA4B5B"/>
    <w:rsid w:val="00FA4E13"/>
    <w:rsid w:val="00FA4E6E"/>
    <w:rsid w:val="00FA4E9B"/>
    <w:rsid w:val="00FA4F35"/>
    <w:rsid w:val="00FA5324"/>
    <w:rsid w:val="00FA5398"/>
    <w:rsid w:val="00FA5468"/>
    <w:rsid w:val="00FA5535"/>
    <w:rsid w:val="00FA55B2"/>
    <w:rsid w:val="00FA5783"/>
    <w:rsid w:val="00FA5969"/>
    <w:rsid w:val="00FA5A1D"/>
    <w:rsid w:val="00FA5B92"/>
    <w:rsid w:val="00FA5BE2"/>
    <w:rsid w:val="00FA5D05"/>
    <w:rsid w:val="00FA5D84"/>
    <w:rsid w:val="00FA5D92"/>
    <w:rsid w:val="00FA5DAD"/>
    <w:rsid w:val="00FA6078"/>
    <w:rsid w:val="00FA60F9"/>
    <w:rsid w:val="00FA63D4"/>
    <w:rsid w:val="00FA63DD"/>
    <w:rsid w:val="00FA66F7"/>
    <w:rsid w:val="00FA678B"/>
    <w:rsid w:val="00FA6927"/>
    <w:rsid w:val="00FA6A78"/>
    <w:rsid w:val="00FA6C33"/>
    <w:rsid w:val="00FA6CEF"/>
    <w:rsid w:val="00FA6D6A"/>
    <w:rsid w:val="00FA6D8F"/>
    <w:rsid w:val="00FA6EFE"/>
    <w:rsid w:val="00FA6F3C"/>
    <w:rsid w:val="00FA6F9F"/>
    <w:rsid w:val="00FA7007"/>
    <w:rsid w:val="00FA7020"/>
    <w:rsid w:val="00FA7295"/>
    <w:rsid w:val="00FA729E"/>
    <w:rsid w:val="00FA7323"/>
    <w:rsid w:val="00FA7608"/>
    <w:rsid w:val="00FA789C"/>
    <w:rsid w:val="00FA7B58"/>
    <w:rsid w:val="00FA7D8B"/>
    <w:rsid w:val="00FA7DF8"/>
    <w:rsid w:val="00FA7E90"/>
    <w:rsid w:val="00FA7EA0"/>
    <w:rsid w:val="00FA7F0A"/>
    <w:rsid w:val="00FB007C"/>
    <w:rsid w:val="00FB0179"/>
    <w:rsid w:val="00FB025C"/>
    <w:rsid w:val="00FB0267"/>
    <w:rsid w:val="00FB0317"/>
    <w:rsid w:val="00FB038F"/>
    <w:rsid w:val="00FB03AC"/>
    <w:rsid w:val="00FB03EB"/>
    <w:rsid w:val="00FB0803"/>
    <w:rsid w:val="00FB0875"/>
    <w:rsid w:val="00FB0B8B"/>
    <w:rsid w:val="00FB0BC0"/>
    <w:rsid w:val="00FB0C1F"/>
    <w:rsid w:val="00FB0CA7"/>
    <w:rsid w:val="00FB0E97"/>
    <w:rsid w:val="00FB12AD"/>
    <w:rsid w:val="00FB149C"/>
    <w:rsid w:val="00FB1544"/>
    <w:rsid w:val="00FB179C"/>
    <w:rsid w:val="00FB17A6"/>
    <w:rsid w:val="00FB18A0"/>
    <w:rsid w:val="00FB197F"/>
    <w:rsid w:val="00FB1A1E"/>
    <w:rsid w:val="00FB1FBC"/>
    <w:rsid w:val="00FB1FD4"/>
    <w:rsid w:val="00FB2118"/>
    <w:rsid w:val="00FB221A"/>
    <w:rsid w:val="00FB223F"/>
    <w:rsid w:val="00FB23A3"/>
    <w:rsid w:val="00FB24D3"/>
    <w:rsid w:val="00FB2554"/>
    <w:rsid w:val="00FB2873"/>
    <w:rsid w:val="00FB291E"/>
    <w:rsid w:val="00FB2974"/>
    <w:rsid w:val="00FB29F6"/>
    <w:rsid w:val="00FB2B09"/>
    <w:rsid w:val="00FB2BB1"/>
    <w:rsid w:val="00FB2C19"/>
    <w:rsid w:val="00FB2DA2"/>
    <w:rsid w:val="00FB2E58"/>
    <w:rsid w:val="00FB2F58"/>
    <w:rsid w:val="00FB2F78"/>
    <w:rsid w:val="00FB32E5"/>
    <w:rsid w:val="00FB3316"/>
    <w:rsid w:val="00FB3431"/>
    <w:rsid w:val="00FB34C5"/>
    <w:rsid w:val="00FB37D7"/>
    <w:rsid w:val="00FB3AFA"/>
    <w:rsid w:val="00FB3B29"/>
    <w:rsid w:val="00FB3E70"/>
    <w:rsid w:val="00FB3FC7"/>
    <w:rsid w:val="00FB436D"/>
    <w:rsid w:val="00FB4741"/>
    <w:rsid w:val="00FB48A2"/>
    <w:rsid w:val="00FB48B6"/>
    <w:rsid w:val="00FB4A02"/>
    <w:rsid w:val="00FB4B3E"/>
    <w:rsid w:val="00FB4B96"/>
    <w:rsid w:val="00FB4DDE"/>
    <w:rsid w:val="00FB4E14"/>
    <w:rsid w:val="00FB4E3E"/>
    <w:rsid w:val="00FB4E56"/>
    <w:rsid w:val="00FB4EDE"/>
    <w:rsid w:val="00FB4F13"/>
    <w:rsid w:val="00FB5185"/>
    <w:rsid w:val="00FB5209"/>
    <w:rsid w:val="00FB5298"/>
    <w:rsid w:val="00FB5754"/>
    <w:rsid w:val="00FB57F7"/>
    <w:rsid w:val="00FB5844"/>
    <w:rsid w:val="00FB5901"/>
    <w:rsid w:val="00FB5A52"/>
    <w:rsid w:val="00FB5B1C"/>
    <w:rsid w:val="00FB5B2C"/>
    <w:rsid w:val="00FB5C6E"/>
    <w:rsid w:val="00FB5F6B"/>
    <w:rsid w:val="00FB5FAD"/>
    <w:rsid w:val="00FB60D3"/>
    <w:rsid w:val="00FB61D6"/>
    <w:rsid w:val="00FB64AA"/>
    <w:rsid w:val="00FB650A"/>
    <w:rsid w:val="00FB67F2"/>
    <w:rsid w:val="00FB6A10"/>
    <w:rsid w:val="00FB6A99"/>
    <w:rsid w:val="00FB6AA4"/>
    <w:rsid w:val="00FB6B92"/>
    <w:rsid w:val="00FB6C59"/>
    <w:rsid w:val="00FB6CAA"/>
    <w:rsid w:val="00FB6CEC"/>
    <w:rsid w:val="00FB6D18"/>
    <w:rsid w:val="00FB6E0E"/>
    <w:rsid w:val="00FB6F18"/>
    <w:rsid w:val="00FB7212"/>
    <w:rsid w:val="00FB72CD"/>
    <w:rsid w:val="00FB72DE"/>
    <w:rsid w:val="00FB731D"/>
    <w:rsid w:val="00FB73C3"/>
    <w:rsid w:val="00FB74CF"/>
    <w:rsid w:val="00FB754B"/>
    <w:rsid w:val="00FB75CC"/>
    <w:rsid w:val="00FB78D0"/>
    <w:rsid w:val="00FB7902"/>
    <w:rsid w:val="00FB7A54"/>
    <w:rsid w:val="00FB7CBD"/>
    <w:rsid w:val="00FB7ED6"/>
    <w:rsid w:val="00FC0154"/>
    <w:rsid w:val="00FC03D9"/>
    <w:rsid w:val="00FC046A"/>
    <w:rsid w:val="00FC06E1"/>
    <w:rsid w:val="00FC0895"/>
    <w:rsid w:val="00FC08A2"/>
    <w:rsid w:val="00FC08AF"/>
    <w:rsid w:val="00FC09E6"/>
    <w:rsid w:val="00FC09FF"/>
    <w:rsid w:val="00FC0A6F"/>
    <w:rsid w:val="00FC0B8C"/>
    <w:rsid w:val="00FC0BCF"/>
    <w:rsid w:val="00FC0C79"/>
    <w:rsid w:val="00FC0CD5"/>
    <w:rsid w:val="00FC0F4B"/>
    <w:rsid w:val="00FC0F81"/>
    <w:rsid w:val="00FC0FF0"/>
    <w:rsid w:val="00FC103B"/>
    <w:rsid w:val="00FC1120"/>
    <w:rsid w:val="00FC1174"/>
    <w:rsid w:val="00FC11E3"/>
    <w:rsid w:val="00FC13E1"/>
    <w:rsid w:val="00FC13E5"/>
    <w:rsid w:val="00FC1490"/>
    <w:rsid w:val="00FC1536"/>
    <w:rsid w:val="00FC15E8"/>
    <w:rsid w:val="00FC198E"/>
    <w:rsid w:val="00FC1AA5"/>
    <w:rsid w:val="00FC1F6E"/>
    <w:rsid w:val="00FC219B"/>
    <w:rsid w:val="00FC22D2"/>
    <w:rsid w:val="00FC2370"/>
    <w:rsid w:val="00FC241A"/>
    <w:rsid w:val="00FC241E"/>
    <w:rsid w:val="00FC2508"/>
    <w:rsid w:val="00FC251E"/>
    <w:rsid w:val="00FC2527"/>
    <w:rsid w:val="00FC2532"/>
    <w:rsid w:val="00FC283A"/>
    <w:rsid w:val="00FC3077"/>
    <w:rsid w:val="00FC314B"/>
    <w:rsid w:val="00FC335E"/>
    <w:rsid w:val="00FC338A"/>
    <w:rsid w:val="00FC3489"/>
    <w:rsid w:val="00FC3720"/>
    <w:rsid w:val="00FC3779"/>
    <w:rsid w:val="00FC3ADE"/>
    <w:rsid w:val="00FC3C35"/>
    <w:rsid w:val="00FC431C"/>
    <w:rsid w:val="00FC4381"/>
    <w:rsid w:val="00FC4420"/>
    <w:rsid w:val="00FC4425"/>
    <w:rsid w:val="00FC443A"/>
    <w:rsid w:val="00FC44D5"/>
    <w:rsid w:val="00FC450F"/>
    <w:rsid w:val="00FC45F9"/>
    <w:rsid w:val="00FC4645"/>
    <w:rsid w:val="00FC487E"/>
    <w:rsid w:val="00FC4ED2"/>
    <w:rsid w:val="00FC5317"/>
    <w:rsid w:val="00FC53CB"/>
    <w:rsid w:val="00FC54DF"/>
    <w:rsid w:val="00FC5523"/>
    <w:rsid w:val="00FC5650"/>
    <w:rsid w:val="00FC5688"/>
    <w:rsid w:val="00FC5822"/>
    <w:rsid w:val="00FC5858"/>
    <w:rsid w:val="00FC5893"/>
    <w:rsid w:val="00FC590F"/>
    <w:rsid w:val="00FC5A84"/>
    <w:rsid w:val="00FC5BFB"/>
    <w:rsid w:val="00FC5C9E"/>
    <w:rsid w:val="00FC5CF9"/>
    <w:rsid w:val="00FC5D30"/>
    <w:rsid w:val="00FC5DE4"/>
    <w:rsid w:val="00FC5FC5"/>
    <w:rsid w:val="00FC6029"/>
    <w:rsid w:val="00FC6418"/>
    <w:rsid w:val="00FC645C"/>
    <w:rsid w:val="00FC65A7"/>
    <w:rsid w:val="00FC67DE"/>
    <w:rsid w:val="00FC67F2"/>
    <w:rsid w:val="00FC6BBA"/>
    <w:rsid w:val="00FC7263"/>
    <w:rsid w:val="00FC72E1"/>
    <w:rsid w:val="00FC73A6"/>
    <w:rsid w:val="00FC7596"/>
    <w:rsid w:val="00FC76A3"/>
    <w:rsid w:val="00FC7715"/>
    <w:rsid w:val="00FC79E0"/>
    <w:rsid w:val="00FC7C7B"/>
    <w:rsid w:val="00FC7CAE"/>
    <w:rsid w:val="00FC7D9E"/>
    <w:rsid w:val="00FC7FAC"/>
    <w:rsid w:val="00FD018D"/>
    <w:rsid w:val="00FD02F7"/>
    <w:rsid w:val="00FD0315"/>
    <w:rsid w:val="00FD046F"/>
    <w:rsid w:val="00FD04EA"/>
    <w:rsid w:val="00FD0540"/>
    <w:rsid w:val="00FD0618"/>
    <w:rsid w:val="00FD0841"/>
    <w:rsid w:val="00FD0981"/>
    <w:rsid w:val="00FD098D"/>
    <w:rsid w:val="00FD0E34"/>
    <w:rsid w:val="00FD0FB8"/>
    <w:rsid w:val="00FD0FD8"/>
    <w:rsid w:val="00FD0FF3"/>
    <w:rsid w:val="00FD12B5"/>
    <w:rsid w:val="00FD132E"/>
    <w:rsid w:val="00FD134E"/>
    <w:rsid w:val="00FD13DB"/>
    <w:rsid w:val="00FD1777"/>
    <w:rsid w:val="00FD1B21"/>
    <w:rsid w:val="00FD1CB3"/>
    <w:rsid w:val="00FD1D93"/>
    <w:rsid w:val="00FD1E33"/>
    <w:rsid w:val="00FD1F4D"/>
    <w:rsid w:val="00FD21B4"/>
    <w:rsid w:val="00FD229B"/>
    <w:rsid w:val="00FD22BD"/>
    <w:rsid w:val="00FD248D"/>
    <w:rsid w:val="00FD25CF"/>
    <w:rsid w:val="00FD2702"/>
    <w:rsid w:val="00FD27E4"/>
    <w:rsid w:val="00FD2912"/>
    <w:rsid w:val="00FD29D3"/>
    <w:rsid w:val="00FD2DC7"/>
    <w:rsid w:val="00FD2E5E"/>
    <w:rsid w:val="00FD30D9"/>
    <w:rsid w:val="00FD314F"/>
    <w:rsid w:val="00FD31B2"/>
    <w:rsid w:val="00FD3254"/>
    <w:rsid w:val="00FD3482"/>
    <w:rsid w:val="00FD3741"/>
    <w:rsid w:val="00FD3872"/>
    <w:rsid w:val="00FD3904"/>
    <w:rsid w:val="00FD39C5"/>
    <w:rsid w:val="00FD3BF0"/>
    <w:rsid w:val="00FD3D41"/>
    <w:rsid w:val="00FD3D46"/>
    <w:rsid w:val="00FD3FFE"/>
    <w:rsid w:val="00FD404A"/>
    <w:rsid w:val="00FD409C"/>
    <w:rsid w:val="00FD411C"/>
    <w:rsid w:val="00FD4182"/>
    <w:rsid w:val="00FD44AF"/>
    <w:rsid w:val="00FD44CE"/>
    <w:rsid w:val="00FD4649"/>
    <w:rsid w:val="00FD4670"/>
    <w:rsid w:val="00FD4B9B"/>
    <w:rsid w:val="00FD4E4C"/>
    <w:rsid w:val="00FD5169"/>
    <w:rsid w:val="00FD5172"/>
    <w:rsid w:val="00FD53A4"/>
    <w:rsid w:val="00FD54B8"/>
    <w:rsid w:val="00FD55F5"/>
    <w:rsid w:val="00FD5892"/>
    <w:rsid w:val="00FD58BC"/>
    <w:rsid w:val="00FD58C5"/>
    <w:rsid w:val="00FD5970"/>
    <w:rsid w:val="00FD59D1"/>
    <w:rsid w:val="00FD5AC6"/>
    <w:rsid w:val="00FD5BE5"/>
    <w:rsid w:val="00FD5D02"/>
    <w:rsid w:val="00FD5E33"/>
    <w:rsid w:val="00FD5FA9"/>
    <w:rsid w:val="00FD635D"/>
    <w:rsid w:val="00FD63BD"/>
    <w:rsid w:val="00FD643B"/>
    <w:rsid w:val="00FD64A7"/>
    <w:rsid w:val="00FD653D"/>
    <w:rsid w:val="00FD6649"/>
    <w:rsid w:val="00FD6667"/>
    <w:rsid w:val="00FD6821"/>
    <w:rsid w:val="00FD6D15"/>
    <w:rsid w:val="00FD6EA1"/>
    <w:rsid w:val="00FD707F"/>
    <w:rsid w:val="00FD70BD"/>
    <w:rsid w:val="00FD7146"/>
    <w:rsid w:val="00FD71D0"/>
    <w:rsid w:val="00FD725D"/>
    <w:rsid w:val="00FD7581"/>
    <w:rsid w:val="00FD7648"/>
    <w:rsid w:val="00FD797E"/>
    <w:rsid w:val="00FD7A80"/>
    <w:rsid w:val="00FD7C4C"/>
    <w:rsid w:val="00FD7ECE"/>
    <w:rsid w:val="00FE0206"/>
    <w:rsid w:val="00FE023E"/>
    <w:rsid w:val="00FE036A"/>
    <w:rsid w:val="00FE04B4"/>
    <w:rsid w:val="00FE05D4"/>
    <w:rsid w:val="00FE092E"/>
    <w:rsid w:val="00FE09F7"/>
    <w:rsid w:val="00FE0A09"/>
    <w:rsid w:val="00FE0C0B"/>
    <w:rsid w:val="00FE0C65"/>
    <w:rsid w:val="00FE0E28"/>
    <w:rsid w:val="00FE0F48"/>
    <w:rsid w:val="00FE1073"/>
    <w:rsid w:val="00FE1100"/>
    <w:rsid w:val="00FE1154"/>
    <w:rsid w:val="00FE178C"/>
    <w:rsid w:val="00FE18D8"/>
    <w:rsid w:val="00FE1A38"/>
    <w:rsid w:val="00FE1AD7"/>
    <w:rsid w:val="00FE1B14"/>
    <w:rsid w:val="00FE1B2F"/>
    <w:rsid w:val="00FE1BCB"/>
    <w:rsid w:val="00FE1F19"/>
    <w:rsid w:val="00FE1F2F"/>
    <w:rsid w:val="00FE20DC"/>
    <w:rsid w:val="00FE22BE"/>
    <w:rsid w:val="00FE22EF"/>
    <w:rsid w:val="00FE2349"/>
    <w:rsid w:val="00FE244B"/>
    <w:rsid w:val="00FE2457"/>
    <w:rsid w:val="00FE27B7"/>
    <w:rsid w:val="00FE286D"/>
    <w:rsid w:val="00FE2884"/>
    <w:rsid w:val="00FE2958"/>
    <w:rsid w:val="00FE29F5"/>
    <w:rsid w:val="00FE2CBE"/>
    <w:rsid w:val="00FE2CC1"/>
    <w:rsid w:val="00FE2D65"/>
    <w:rsid w:val="00FE2E36"/>
    <w:rsid w:val="00FE2F45"/>
    <w:rsid w:val="00FE2F8D"/>
    <w:rsid w:val="00FE3057"/>
    <w:rsid w:val="00FE32D3"/>
    <w:rsid w:val="00FE3310"/>
    <w:rsid w:val="00FE3322"/>
    <w:rsid w:val="00FE3413"/>
    <w:rsid w:val="00FE3440"/>
    <w:rsid w:val="00FE36B2"/>
    <w:rsid w:val="00FE38C4"/>
    <w:rsid w:val="00FE3932"/>
    <w:rsid w:val="00FE3B16"/>
    <w:rsid w:val="00FE3B4A"/>
    <w:rsid w:val="00FE3B7D"/>
    <w:rsid w:val="00FE3B89"/>
    <w:rsid w:val="00FE3C32"/>
    <w:rsid w:val="00FE3E16"/>
    <w:rsid w:val="00FE3F70"/>
    <w:rsid w:val="00FE4171"/>
    <w:rsid w:val="00FE439D"/>
    <w:rsid w:val="00FE44F0"/>
    <w:rsid w:val="00FE4861"/>
    <w:rsid w:val="00FE4C86"/>
    <w:rsid w:val="00FE4D6A"/>
    <w:rsid w:val="00FE4ECB"/>
    <w:rsid w:val="00FE4F41"/>
    <w:rsid w:val="00FE5033"/>
    <w:rsid w:val="00FE5046"/>
    <w:rsid w:val="00FE5118"/>
    <w:rsid w:val="00FE515D"/>
    <w:rsid w:val="00FE5201"/>
    <w:rsid w:val="00FE5308"/>
    <w:rsid w:val="00FE53EB"/>
    <w:rsid w:val="00FE55A6"/>
    <w:rsid w:val="00FE55B2"/>
    <w:rsid w:val="00FE591B"/>
    <w:rsid w:val="00FE5A88"/>
    <w:rsid w:val="00FE5B4B"/>
    <w:rsid w:val="00FE5B69"/>
    <w:rsid w:val="00FE5B94"/>
    <w:rsid w:val="00FE5DCB"/>
    <w:rsid w:val="00FE5DFE"/>
    <w:rsid w:val="00FE5F3E"/>
    <w:rsid w:val="00FE5FCE"/>
    <w:rsid w:val="00FE612E"/>
    <w:rsid w:val="00FE6304"/>
    <w:rsid w:val="00FE665D"/>
    <w:rsid w:val="00FE66E3"/>
    <w:rsid w:val="00FE6944"/>
    <w:rsid w:val="00FE6946"/>
    <w:rsid w:val="00FE6AC5"/>
    <w:rsid w:val="00FE6C2E"/>
    <w:rsid w:val="00FE6CD7"/>
    <w:rsid w:val="00FE6E3A"/>
    <w:rsid w:val="00FE6F06"/>
    <w:rsid w:val="00FE6FE0"/>
    <w:rsid w:val="00FE70A1"/>
    <w:rsid w:val="00FE71FB"/>
    <w:rsid w:val="00FE72A8"/>
    <w:rsid w:val="00FE7732"/>
    <w:rsid w:val="00FE779B"/>
    <w:rsid w:val="00FE792B"/>
    <w:rsid w:val="00FE7DB2"/>
    <w:rsid w:val="00FE7E15"/>
    <w:rsid w:val="00FE7EAF"/>
    <w:rsid w:val="00FF0131"/>
    <w:rsid w:val="00FF0263"/>
    <w:rsid w:val="00FF0289"/>
    <w:rsid w:val="00FF0559"/>
    <w:rsid w:val="00FF0730"/>
    <w:rsid w:val="00FF0880"/>
    <w:rsid w:val="00FF0AB1"/>
    <w:rsid w:val="00FF0B78"/>
    <w:rsid w:val="00FF11D6"/>
    <w:rsid w:val="00FF12E5"/>
    <w:rsid w:val="00FF1333"/>
    <w:rsid w:val="00FF1460"/>
    <w:rsid w:val="00FF153C"/>
    <w:rsid w:val="00FF1909"/>
    <w:rsid w:val="00FF19F1"/>
    <w:rsid w:val="00FF1F2D"/>
    <w:rsid w:val="00FF1FDE"/>
    <w:rsid w:val="00FF201B"/>
    <w:rsid w:val="00FF21E2"/>
    <w:rsid w:val="00FF21EB"/>
    <w:rsid w:val="00FF2469"/>
    <w:rsid w:val="00FF250B"/>
    <w:rsid w:val="00FF276D"/>
    <w:rsid w:val="00FF27F3"/>
    <w:rsid w:val="00FF2C72"/>
    <w:rsid w:val="00FF2DF4"/>
    <w:rsid w:val="00FF30D3"/>
    <w:rsid w:val="00FF32E2"/>
    <w:rsid w:val="00FF33B7"/>
    <w:rsid w:val="00FF357F"/>
    <w:rsid w:val="00FF38D6"/>
    <w:rsid w:val="00FF3A6B"/>
    <w:rsid w:val="00FF3C27"/>
    <w:rsid w:val="00FF4075"/>
    <w:rsid w:val="00FF42E6"/>
    <w:rsid w:val="00FF42EE"/>
    <w:rsid w:val="00FF4594"/>
    <w:rsid w:val="00FF4637"/>
    <w:rsid w:val="00FF4878"/>
    <w:rsid w:val="00FF48AD"/>
    <w:rsid w:val="00FF4A4B"/>
    <w:rsid w:val="00FF4B78"/>
    <w:rsid w:val="00FF4BDC"/>
    <w:rsid w:val="00FF4EA5"/>
    <w:rsid w:val="00FF4ECC"/>
    <w:rsid w:val="00FF50A5"/>
    <w:rsid w:val="00FF51B3"/>
    <w:rsid w:val="00FF526B"/>
    <w:rsid w:val="00FF52BB"/>
    <w:rsid w:val="00FF5552"/>
    <w:rsid w:val="00FF583E"/>
    <w:rsid w:val="00FF5CDA"/>
    <w:rsid w:val="00FF60D7"/>
    <w:rsid w:val="00FF61FC"/>
    <w:rsid w:val="00FF626F"/>
    <w:rsid w:val="00FF6283"/>
    <w:rsid w:val="00FF6389"/>
    <w:rsid w:val="00FF6469"/>
    <w:rsid w:val="00FF64F1"/>
    <w:rsid w:val="00FF65CE"/>
    <w:rsid w:val="00FF66EB"/>
    <w:rsid w:val="00FF6701"/>
    <w:rsid w:val="00FF6735"/>
    <w:rsid w:val="00FF6821"/>
    <w:rsid w:val="00FF6878"/>
    <w:rsid w:val="00FF6955"/>
    <w:rsid w:val="00FF6959"/>
    <w:rsid w:val="00FF69CC"/>
    <w:rsid w:val="00FF6ACE"/>
    <w:rsid w:val="00FF6C47"/>
    <w:rsid w:val="00FF6C9B"/>
    <w:rsid w:val="00FF6CF4"/>
    <w:rsid w:val="00FF6D8B"/>
    <w:rsid w:val="00FF6F94"/>
    <w:rsid w:val="00FF7364"/>
    <w:rsid w:val="00FF75DA"/>
    <w:rsid w:val="00FF7796"/>
    <w:rsid w:val="00FF780B"/>
    <w:rsid w:val="00FF7A1D"/>
    <w:rsid w:val="00FF7A90"/>
    <w:rsid w:val="00FF7E99"/>
    <w:rsid w:val="00FF7EFB"/>
    <w:rsid w:val="0112E842"/>
    <w:rsid w:val="01302109"/>
    <w:rsid w:val="014C55C8"/>
    <w:rsid w:val="0150B183"/>
    <w:rsid w:val="01D75BD6"/>
    <w:rsid w:val="02185FFC"/>
    <w:rsid w:val="0228AB80"/>
    <w:rsid w:val="02784B89"/>
    <w:rsid w:val="02833B6E"/>
    <w:rsid w:val="028AFCD6"/>
    <w:rsid w:val="0298556E"/>
    <w:rsid w:val="037F4536"/>
    <w:rsid w:val="0422E820"/>
    <w:rsid w:val="04327767"/>
    <w:rsid w:val="045BBAD7"/>
    <w:rsid w:val="04DBB76E"/>
    <w:rsid w:val="05119A48"/>
    <w:rsid w:val="05C7F2B5"/>
    <w:rsid w:val="060F7A5F"/>
    <w:rsid w:val="0642FD6B"/>
    <w:rsid w:val="06C9BA05"/>
    <w:rsid w:val="06EB13E1"/>
    <w:rsid w:val="06EE85E4"/>
    <w:rsid w:val="06F7D1D2"/>
    <w:rsid w:val="06F7F2E5"/>
    <w:rsid w:val="0725F6BA"/>
    <w:rsid w:val="0787D0AD"/>
    <w:rsid w:val="07ACA1A1"/>
    <w:rsid w:val="07C92228"/>
    <w:rsid w:val="0806100D"/>
    <w:rsid w:val="088330AA"/>
    <w:rsid w:val="08E857F3"/>
    <w:rsid w:val="0955F913"/>
    <w:rsid w:val="09D57790"/>
    <w:rsid w:val="09E94CB5"/>
    <w:rsid w:val="09E9A2DD"/>
    <w:rsid w:val="09EC91D8"/>
    <w:rsid w:val="0A16A353"/>
    <w:rsid w:val="0A1892A7"/>
    <w:rsid w:val="0A25B295"/>
    <w:rsid w:val="0AEB839B"/>
    <w:rsid w:val="0B49F649"/>
    <w:rsid w:val="0B5FFFF2"/>
    <w:rsid w:val="0C4A1D6E"/>
    <w:rsid w:val="0C59B5C4"/>
    <w:rsid w:val="0CB2AA5D"/>
    <w:rsid w:val="0D4A52E2"/>
    <w:rsid w:val="0D802C89"/>
    <w:rsid w:val="0DA3EC8E"/>
    <w:rsid w:val="0DDC8A6A"/>
    <w:rsid w:val="0DEEFD79"/>
    <w:rsid w:val="0E8A0289"/>
    <w:rsid w:val="0E8C117B"/>
    <w:rsid w:val="0E8E2F1D"/>
    <w:rsid w:val="0E9E4B7F"/>
    <w:rsid w:val="0EAA0EB1"/>
    <w:rsid w:val="0EDD2E12"/>
    <w:rsid w:val="0EE204E2"/>
    <w:rsid w:val="0F1978F4"/>
    <w:rsid w:val="0F77527F"/>
    <w:rsid w:val="0FB04DFA"/>
    <w:rsid w:val="102F2BB3"/>
    <w:rsid w:val="104A1B98"/>
    <w:rsid w:val="1077AAE3"/>
    <w:rsid w:val="109832BE"/>
    <w:rsid w:val="116A180A"/>
    <w:rsid w:val="118E1421"/>
    <w:rsid w:val="11B275F9"/>
    <w:rsid w:val="11D22A54"/>
    <w:rsid w:val="1229D9BA"/>
    <w:rsid w:val="125E0124"/>
    <w:rsid w:val="12617E1A"/>
    <w:rsid w:val="12C937B4"/>
    <w:rsid w:val="12D517A6"/>
    <w:rsid w:val="130EC61B"/>
    <w:rsid w:val="13193D87"/>
    <w:rsid w:val="137177F3"/>
    <w:rsid w:val="13FA3603"/>
    <w:rsid w:val="145CB5E8"/>
    <w:rsid w:val="146219AA"/>
    <w:rsid w:val="14C5F3CF"/>
    <w:rsid w:val="14CD8712"/>
    <w:rsid w:val="1505DCCB"/>
    <w:rsid w:val="150866D7"/>
    <w:rsid w:val="152E03DD"/>
    <w:rsid w:val="15310E05"/>
    <w:rsid w:val="157DAC12"/>
    <w:rsid w:val="15AEFEC6"/>
    <w:rsid w:val="15C221D5"/>
    <w:rsid w:val="15E25344"/>
    <w:rsid w:val="15EB6BE3"/>
    <w:rsid w:val="160CDB6E"/>
    <w:rsid w:val="16370EB3"/>
    <w:rsid w:val="16592B00"/>
    <w:rsid w:val="1678E583"/>
    <w:rsid w:val="16AB5AC9"/>
    <w:rsid w:val="16B8C1BF"/>
    <w:rsid w:val="16E654EF"/>
    <w:rsid w:val="16ED782C"/>
    <w:rsid w:val="172516E5"/>
    <w:rsid w:val="17326FF7"/>
    <w:rsid w:val="17B68CA7"/>
    <w:rsid w:val="18318737"/>
    <w:rsid w:val="184D0872"/>
    <w:rsid w:val="18E509F9"/>
    <w:rsid w:val="1981ECFE"/>
    <w:rsid w:val="19AC0884"/>
    <w:rsid w:val="19ED6E91"/>
    <w:rsid w:val="1A051974"/>
    <w:rsid w:val="1A501930"/>
    <w:rsid w:val="1ACDDBF3"/>
    <w:rsid w:val="1B088DFF"/>
    <w:rsid w:val="1B72BE17"/>
    <w:rsid w:val="1B8DB882"/>
    <w:rsid w:val="1BB833CA"/>
    <w:rsid w:val="1C0278A1"/>
    <w:rsid w:val="1C8368BF"/>
    <w:rsid w:val="1C8B421C"/>
    <w:rsid w:val="1C8FE91A"/>
    <w:rsid w:val="1CDE8506"/>
    <w:rsid w:val="1D00C04A"/>
    <w:rsid w:val="1D4989AC"/>
    <w:rsid w:val="1D586D34"/>
    <w:rsid w:val="1D598AF8"/>
    <w:rsid w:val="1E2C8CC1"/>
    <w:rsid w:val="1E341B15"/>
    <w:rsid w:val="1EB614FD"/>
    <w:rsid w:val="1EDAA9FF"/>
    <w:rsid w:val="1F2942EB"/>
    <w:rsid w:val="1F2DFB8B"/>
    <w:rsid w:val="1F4408FC"/>
    <w:rsid w:val="1F8E8B08"/>
    <w:rsid w:val="1FD9D8D9"/>
    <w:rsid w:val="2004DA27"/>
    <w:rsid w:val="202AB481"/>
    <w:rsid w:val="204D4945"/>
    <w:rsid w:val="207D8FF5"/>
    <w:rsid w:val="20CC347F"/>
    <w:rsid w:val="20D2AF1C"/>
    <w:rsid w:val="219770D5"/>
    <w:rsid w:val="223683C7"/>
    <w:rsid w:val="224237EA"/>
    <w:rsid w:val="22659E9D"/>
    <w:rsid w:val="22F0F282"/>
    <w:rsid w:val="231A7DEE"/>
    <w:rsid w:val="2323EDC6"/>
    <w:rsid w:val="232470D3"/>
    <w:rsid w:val="237472C8"/>
    <w:rsid w:val="23BA7410"/>
    <w:rsid w:val="23D25428"/>
    <w:rsid w:val="2418B823"/>
    <w:rsid w:val="24281E60"/>
    <w:rsid w:val="2428D657"/>
    <w:rsid w:val="247E6CBD"/>
    <w:rsid w:val="2486C24D"/>
    <w:rsid w:val="248B4061"/>
    <w:rsid w:val="2517B3BD"/>
    <w:rsid w:val="251A80E1"/>
    <w:rsid w:val="252DDF40"/>
    <w:rsid w:val="253065A4"/>
    <w:rsid w:val="256D3790"/>
    <w:rsid w:val="257E30B6"/>
    <w:rsid w:val="25C097A9"/>
    <w:rsid w:val="2637F726"/>
    <w:rsid w:val="264EAF3B"/>
    <w:rsid w:val="26A9E7A1"/>
    <w:rsid w:val="2715B823"/>
    <w:rsid w:val="272A4084"/>
    <w:rsid w:val="272E33CB"/>
    <w:rsid w:val="274A97ED"/>
    <w:rsid w:val="27DC25DB"/>
    <w:rsid w:val="28FA31A4"/>
    <w:rsid w:val="293EDEA1"/>
    <w:rsid w:val="294F325F"/>
    <w:rsid w:val="2953CA2D"/>
    <w:rsid w:val="2A188F97"/>
    <w:rsid w:val="2A54CCB1"/>
    <w:rsid w:val="2A927308"/>
    <w:rsid w:val="2ACD2B8B"/>
    <w:rsid w:val="2B01CF58"/>
    <w:rsid w:val="2B50C781"/>
    <w:rsid w:val="2B50D339"/>
    <w:rsid w:val="2B75E476"/>
    <w:rsid w:val="2BA024D1"/>
    <w:rsid w:val="2BD24171"/>
    <w:rsid w:val="2BDF62A7"/>
    <w:rsid w:val="2C0FBA35"/>
    <w:rsid w:val="2C20017A"/>
    <w:rsid w:val="2CD24260"/>
    <w:rsid w:val="2CE98162"/>
    <w:rsid w:val="2CED0609"/>
    <w:rsid w:val="2CFE958D"/>
    <w:rsid w:val="2DD8112D"/>
    <w:rsid w:val="2E129F39"/>
    <w:rsid w:val="2EB3DB58"/>
    <w:rsid w:val="2EE08169"/>
    <w:rsid w:val="2EEDB864"/>
    <w:rsid w:val="2F321E2F"/>
    <w:rsid w:val="2F36479B"/>
    <w:rsid w:val="2F93E49C"/>
    <w:rsid w:val="2FCB38FE"/>
    <w:rsid w:val="2FE8C8A3"/>
    <w:rsid w:val="30650349"/>
    <w:rsid w:val="30997D85"/>
    <w:rsid w:val="30C6E9B8"/>
    <w:rsid w:val="30CEEFF1"/>
    <w:rsid w:val="30E5F40E"/>
    <w:rsid w:val="30F9D416"/>
    <w:rsid w:val="310DC4A5"/>
    <w:rsid w:val="311A39C6"/>
    <w:rsid w:val="31912E27"/>
    <w:rsid w:val="31BC5671"/>
    <w:rsid w:val="31F07E97"/>
    <w:rsid w:val="3222FADC"/>
    <w:rsid w:val="32540D50"/>
    <w:rsid w:val="32B3554B"/>
    <w:rsid w:val="32BF02DD"/>
    <w:rsid w:val="330379F8"/>
    <w:rsid w:val="3322EF09"/>
    <w:rsid w:val="33846B96"/>
    <w:rsid w:val="33BCA80E"/>
    <w:rsid w:val="33C877E1"/>
    <w:rsid w:val="33D77983"/>
    <w:rsid w:val="33FFD9C1"/>
    <w:rsid w:val="34245366"/>
    <w:rsid w:val="34980873"/>
    <w:rsid w:val="34D9D538"/>
    <w:rsid w:val="355C5F60"/>
    <w:rsid w:val="356920FD"/>
    <w:rsid w:val="356A2866"/>
    <w:rsid w:val="35B1EEAB"/>
    <w:rsid w:val="35EB5C30"/>
    <w:rsid w:val="36418CA7"/>
    <w:rsid w:val="365F47D2"/>
    <w:rsid w:val="366AEBB0"/>
    <w:rsid w:val="3696C6BA"/>
    <w:rsid w:val="36E9CD2C"/>
    <w:rsid w:val="374CD29B"/>
    <w:rsid w:val="37685F29"/>
    <w:rsid w:val="376F5A89"/>
    <w:rsid w:val="37A98481"/>
    <w:rsid w:val="37B62987"/>
    <w:rsid w:val="37C664C5"/>
    <w:rsid w:val="37EBA4D1"/>
    <w:rsid w:val="38A271B3"/>
    <w:rsid w:val="38CC3754"/>
    <w:rsid w:val="39067208"/>
    <w:rsid w:val="3916EB92"/>
    <w:rsid w:val="391D4744"/>
    <w:rsid w:val="399B01A9"/>
    <w:rsid w:val="39ABA421"/>
    <w:rsid w:val="39D1FABE"/>
    <w:rsid w:val="39DB827D"/>
    <w:rsid w:val="3A772CEC"/>
    <w:rsid w:val="3A9A1E3B"/>
    <w:rsid w:val="3B0ECD1B"/>
    <w:rsid w:val="3B247334"/>
    <w:rsid w:val="3B44108F"/>
    <w:rsid w:val="3B71E4F4"/>
    <w:rsid w:val="3BA5776D"/>
    <w:rsid w:val="3BAA4BF2"/>
    <w:rsid w:val="3BC82D84"/>
    <w:rsid w:val="3BCFABAD"/>
    <w:rsid w:val="3BD0BC7B"/>
    <w:rsid w:val="3BEC8838"/>
    <w:rsid w:val="3C3AF544"/>
    <w:rsid w:val="3C5F23BA"/>
    <w:rsid w:val="3C9BFCE7"/>
    <w:rsid w:val="3CB566DB"/>
    <w:rsid w:val="3D5BE9C0"/>
    <w:rsid w:val="3DC27ED8"/>
    <w:rsid w:val="3E2C4DF9"/>
    <w:rsid w:val="3E51A615"/>
    <w:rsid w:val="3E9B811E"/>
    <w:rsid w:val="3F4BB550"/>
    <w:rsid w:val="3F6DFAAC"/>
    <w:rsid w:val="3FB75754"/>
    <w:rsid w:val="40106E0B"/>
    <w:rsid w:val="403D51A9"/>
    <w:rsid w:val="40ABA0FF"/>
    <w:rsid w:val="40E6F22C"/>
    <w:rsid w:val="4138B89D"/>
    <w:rsid w:val="42021510"/>
    <w:rsid w:val="424AFCD3"/>
    <w:rsid w:val="42915593"/>
    <w:rsid w:val="429DDC86"/>
    <w:rsid w:val="42B06DD1"/>
    <w:rsid w:val="4326DF9E"/>
    <w:rsid w:val="435EDB23"/>
    <w:rsid w:val="437A0B25"/>
    <w:rsid w:val="438160C1"/>
    <w:rsid w:val="43BA001A"/>
    <w:rsid w:val="43E94609"/>
    <w:rsid w:val="43ECC96D"/>
    <w:rsid w:val="453C18ED"/>
    <w:rsid w:val="453D66FF"/>
    <w:rsid w:val="4540D99D"/>
    <w:rsid w:val="454890BB"/>
    <w:rsid w:val="45BEC47D"/>
    <w:rsid w:val="45BFAFE5"/>
    <w:rsid w:val="45C7983D"/>
    <w:rsid w:val="45F89FCD"/>
    <w:rsid w:val="463AC3E7"/>
    <w:rsid w:val="46560873"/>
    <w:rsid w:val="46AF79D7"/>
    <w:rsid w:val="471BB5B9"/>
    <w:rsid w:val="47230A86"/>
    <w:rsid w:val="475263D0"/>
    <w:rsid w:val="4784C3F2"/>
    <w:rsid w:val="47964F8F"/>
    <w:rsid w:val="47ED3BC0"/>
    <w:rsid w:val="48DF1BEF"/>
    <w:rsid w:val="4B2B8E5A"/>
    <w:rsid w:val="4B7332D1"/>
    <w:rsid w:val="4BB5C99C"/>
    <w:rsid w:val="4BFC4738"/>
    <w:rsid w:val="4D5B92EE"/>
    <w:rsid w:val="4D6DFB51"/>
    <w:rsid w:val="4DCD05E1"/>
    <w:rsid w:val="4DE3A844"/>
    <w:rsid w:val="4E2FD464"/>
    <w:rsid w:val="4E47A1CB"/>
    <w:rsid w:val="4E89D188"/>
    <w:rsid w:val="4ED138C6"/>
    <w:rsid w:val="4FBFE2F6"/>
    <w:rsid w:val="501B129F"/>
    <w:rsid w:val="501F8DC3"/>
    <w:rsid w:val="50EDE601"/>
    <w:rsid w:val="50F891E7"/>
    <w:rsid w:val="50FDAB1E"/>
    <w:rsid w:val="510A3515"/>
    <w:rsid w:val="51B8B674"/>
    <w:rsid w:val="51BCB5FF"/>
    <w:rsid w:val="51FC5329"/>
    <w:rsid w:val="52495786"/>
    <w:rsid w:val="52A2FAA8"/>
    <w:rsid w:val="52CF24F4"/>
    <w:rsid w:val="533DBC58"/>
    <w:rsid w:val="53CEFE7C"/>
    <w:rsid w:val="53E02103"/>
    <w:rsid w:val="53EFA1AF"/>
    <w:rsid w:val="541DC15B"/>
    <w:rsid w:val="5421D49F"/>
    <w:rsid w:val="54515A0E"/>
    <w:rsid w:val="54CA4EC3"/>
    <w:rsid w:val="54DADFA4"/>
    <w:rsid w:val="54F83E26"/>
    <w:rsid w:val="552E717F"/>
    <w:rsid w:val="5533167F"/>
    <w:rsid w:val="55450377"/>
    <w:rsid w:val="557B23A8"/>
    <w:rsid w:val="559A481F"/>
    <w:rsid w:val="55D9DE46"/>
    <w:rsid w:val="56081879"/>
    <w:rsid w:val="56CCE098"/>
    <w:rsid w:val="5789FCF2"/>
    <w:rsid w:val="57AC1DC3"/>
    <w:rsid w:val="591AB4F9"/>
    <w:rsid w:val="59A1EB86"/>
    <w:rsid w:val="59D811BF"/>
    <w:rsid w:val="5A0ABF37"/>
    <w:rsid w:val="5A106FA0"/>
    <w:rsid w:val="5A39A9AF"/>
    <w:rsid w:val="5A61588B"/>
    <w:rsid w:val="5A7A1C41"/>
    <w:rsid w:val="5A8499EA"/>
    <w:rsid w:val="5AB4FA9B"/>
    <w:rsid w:val="5ACA9628"/>
    <w:rsid w:val="5AD64254"/>
    <w:rsid w:val="5B1DF298"/>
    <w:rsid w:val="5B729368"/>
    <w:rsid w:val="5BCF5CC4"/>
    <w:rsid w:val="5D88A392"/>
    <w:rsid w:val="5D94774B"/>
    <w:rsid w:val="5DD07215"/>
    <w:rsid w:val="5DE439C8"/>
    <w:rsid w:val="5EBF6C49"/>
    <w:rsid w:val="5F137322"/>
    <w:rsid w:val="5F2563B4"/>
    <w:rsid w:val="5F301378"/>
    <w:rsid w:val="5F312566"/>
    <w:rsid w:val="5FDF6460"/>
    <w:rsid w:val="60752D19"/>
    <w:rsid w:val="60E2A8C5"/>
    <w:rsid w:val="61117305"/>
    <w:rsid w:val="6112B7B2"/>
    <w:rsid w:val="6135D37F"/>
    <w:rsid w:val="61D6B8EE"/>
    <w:rsid w:val="62475A74"/>
    <w:rsid w:val="624F9072"/>
    <w:rsid w:val="629B5EDF"/>
    <w:rsid w:val="636439C0"/>
    <w:rsid w:val="63C16A5A"/>
    <w:rsid w:val="640BC0FD"/>
    <w:rsid w:val="641D58BB"/>
    <w:rsid w:val="642E7AB8"/>
    <w:rsid w:val="643CDC7D"/>
    <w:rsid w:val="644586BE"/>
    <w:rsid w:val="6500397C"/>
    <w:rsid w:val="65175E8B"/>
    <w:rsid w:val="65BABEA6"/>
    <w:rsid w:val="6604C6E3"/>
    <w:rsid w:val="6606D4E6"/>
    <w:rsid w:val="664BFF78"/>
    <w:rsid w:val="6690AAE8"/>
    <w:rsid w:val="67F80957"/>
    <w:rsid w:val="680D449D"/>
    <w:rsid w:val="682209B6"/>
    <w:rsid w:val="682E3046"/>
    <w:rsid w:val="684C3143"/>
    <w:rsid w:val="6856F773"/>
    <w:rsid w:val="68AB3B42"/>
    <w:rsid w:val="6926DAD0"/>
    <w:rsid w:val="694BF174"/>
    <w:rsid w:val="69583221"/>
    <w:rsid w:val="697FE344"/>
    <w:rsid w:val="69932A13"/>
    <w:rsid w:val="699F11C0"/>
    <w:rsid w:val="69A914FE"/>
    <w:rsid w:val="69B7A58F"/>
    <w:rsid w:val="69EEDDCD"/>
    <w:rsid w:val="6A82320F"/>
    <w:rsid w:val="6A9FA69F"/>
    <w:rsid w:val="6AA468F5"/>
    <w:rsid w:val="6AB22B37"/>
    <w:rsid w:val="6AC0AFA2"/>
    <w:rsid w:val="6AC57A3F"/>
    <w:rsid w:val="6AE49D8E"/>
    <w:rsid w:val="6B6C0991"/>
    <w:rsid w:val="6C0CAA6F"/>
    <w:rsid w:val="6C4DFB98"/>
    <w:rsid w:val="6C75CC39"/>
    <w:rsid w:val="6C798B21"/>
    <w:rsid w:val="6D62B227"/>
    <w:rsid w:val="6D786CA2"/>
    <w:rsid w:val="6DA0F93A"/>
    <w:rsid w:val="6DA6A91F"/>
    <w:rsid w:val="6DAA8159"/>
    <w:rsid w:val="6E161959"/>
    <w:rsid w:val="6E1FE2ED"/>
    <w:rsid w:val="6EBA965F"/>
    <w:rsid w:val="6F0495C3"/>
    <w:rsid w:val="6F0E5F11"/>
    <w:rsid w:val="6F66B172"/>
    <w:rsid w:val="6F66E48C"/>
    <w:rsid w:val="6F6BC00C"/>
    <w:rsid w:val="6FB1EFBF"/>
    <w:rsid w:val="7006AEBE"/>
    <w:rsid w:val="703F7D0C"/>
    <w:rsid w:val="70835C32"/>
    <w:rsid w:val="70CD0851"/>
    <w:rsid w:val="70FE529F"/>
    <w:rsid w:val="71A83F94"/>
    <w:rsid w:val="71F5F700"/>
    <w:rsid w:val="7238E373"/>
    <w:rsid w:val="7285F1A5"/>
    <w:rsid w:val="72BAC566"/>
    <w:rsid w:val="73779E3C"/>
    <w:rsid w:val="73CF8C7D"/>
    <w:rsid w:val="741E3A32"/>
    <w:rsid w:val="7439B5F4"/>
    <w:rsid w:val="7483809D"/>
    <w:rsid w:val="74B344B1"/>
    <w:rsid w:val="74B5802F"/>
    <w:rsid w:val="74C89DA9"/>
    <w:rsid w:val="753AE350"/>
    <w:rsid w:val="7554BA9D"/>
    <w:rsid w:val="756B851A"/>
    <w:rsid w:val="757FDA3F"/>
    <w:rsid w:val="75971659"/>
    <w:rsid w:val="75AC00E1"/>
    <w:rsid w:val="75B7222C"/>
    <w:rsid w:val="75C2B143"/>
    <w:rsid w:val="75F34994"/>
    <w:rsid w:val="760B6BBC"/>
    <w:rsid w:val="76C0829F"/>
    <w:rsid w:val="76E8DC6B"/>
    <w:rsid w:val="77AB9A13"/>
    <w:rsid w:val="77E7E2CE"/>
    <w:rsid w:val="79352362"/>
    <w:rsid w:val="795C2904"/>
    <w:rsid w:val="7988707F"/>
    <w:rsid w:val="79C0CA25"/>
    <w:rsid w:val="79D45A38"/>
    <w:rsid w:val="79FB2E3E"/>
    <w:rsid w:val="7A036355"/>
    <w:rsid w:val="7A10DE3A"/>
    <w:rsid w:val="7AD9DFA8"/>
    <w:rsid w:val="7ADFE169"/>
    <w:rsid w:val="7AE40425"/>
    <w:rsid w:val="7AF99638"/>
    <w:rsid w:val="7B4C2BEC"/>
    <w:rsid w:val="7B60B188"/>
    <w:rsid w:val="7BE6CE3F"/>
    <w:rsid w:val="7C1EBD67"/>
    <w:rsid w:val="7C3FA660"/>
    <w:rsid w:val="7CD1D330"/>
    <w:rsid w:val="7D102218"/>
    <w:rsid w:val="7D3E5D63"/>
    <w:rsid w:val="7D67BA08"/>
    <w:rsid w:val="7D781616"/>
    <w:rsid w:val="7D87CBE7"/>
    <w:rsid w:val="7D9CA92D"/>
    <w:rsid w:val="7DE3B273"/>
    <w:rsid w:val="7DEE2A76"/>
    <w:rsid w:val="7DEFBC2D"/>
    <w:rsid w:val="7F43F0DF"/>
    <w:rsid w:val="7F54BC26"/>
    <w:rsid w:val="7F84C2C2"/>
    <w:rsid w:val="7FA419D8"/>
    <w:rsid w:val="7FFC9C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BDBDB7"/>
  <w15:chartTrackingRefBased/>
  <w15:docId w15:val="{2D443D47-DC86-4B55-8BF3-BDBEE5809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qFormat="1"/>
    <w:lsdException w:name="table of figures" w:qFormat="1"/>
    <w:lsdException w:name="annotation reference" w:uiPriority="99"/>
    <w:lsdException w:name="List Bullet" w:uiPriority="1" w:qFormat="1"/>
    <w:lsdException w:name="List Number" w:uiPriority="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504"/>
    <w:rPr>
      <w:lang w:eastAsia="en-US"/>
    </w:rPr>
  </w:style>
  <w:style w:type="paragraph" w:styleId="Heading1">
    <w:name w:val="heading 1"/>
    <w:basedOn w:val="Normal"/>
    <w:next w:val="Normal"/>
    <w:link w:val="Heading1Char"/>
    <w:uiPriority w:val="9"/>
    <w:qFormat/>
    <w:rsid w:val="009175A7"/>
    <w:pPr>
      <w:keepNext/>
      <w:numPr>
        <w:numId w:val="6"/>
      </w:numPr>
      <w:tabs>
        <w:tab w:val="left" w:pos="993"/>
      </w:tabs>
      <w:spacing w:before="400" w:after="600"/>
      <w:outlineLvl w:val="0"/>
    </w:pPr>
    <w:rPr>
      <w:rFonts w:ascii="Public Sans" w:hAnsi="Public Sans" w:cs="Arial"/>
      <w:color w:val="002664"/>
      <w:kern w:val="28"/>
      <w:sz w:val="40"/>
      <w:szCs w:val="36"/>
      <w:lang w:val="en-AU"/>
    </w:rPr>
  </w:style>
  <w:style w:type="paragraph" w:styleId="Heading2">
    <w:name w:val="heading 2"/>
    <w:basedOn w:val="Normal"/>
    <w:next w:val="Normal"/>
    <w:link w:val="Heading2Char"/>
    <w:rsid w:val="003659C6"/>
    <w:pPr>
      <w:keepNext/>
      <w:widowControl w:val="0"/>
      <w:pBdr>
        <w:bottom w:val="single" w:sz="4" w:space="2" w:color="008EBA"/>
      </w:pBdr>
      <w:spacing w:before="240" w:after="100" w:line="240" w:lineRule="atLeast"/>
      <w:ind w:left="360" w:hanging="360"/>
      <w:outlineLvl w:val="1"/>
    </w:pPr>
    <w:rPr>
      <w:rFonts w:ascii="Arial" w:hAnsi="Arial"/>
      <w:b/>
      <w:color w:val="008EBA"/>
      <w:kern w:val="28"/>
      <w:sz w:val="28"/>
      <w:szCs w:val="36"/>
      <w:lang w:val="en-AU"/>
    </w:rPr>
  </w:style>
  <w:style w:type="paragraph" w:styleId="Heading3">
    <w:name w:val="heading 3"/>
    <w:link w:val="Heading3Char"/>
    <w:qFormat/>
    <w:rsid w:val="000C4EBE"/>
    <w:pPr>
      <w:spacing w:before="320" w:after="120" w:line="320" w:lineRule="exact"/>
      <w:outlineLvl w:val="2"/>
    </w:pPr>
    <w:rPr>
      <w:rFonts w:ascii="Public Sans SemiBold" w:hAnsi="Public Sans SemiBold"/>
      <w:b/>
      <w:color w:val="790013"/>
      <w:kern w:val="28"/>
      <w:sz w:val="26"/>
      <w:szCs w:val="36"/>
      <w:lang w:val="en-AU" w:eastAsia="en-US"/>
    </w:rPr>
  </w:style>
  <w:style w:type="paragraph" w:styleId="Heading4">
    <w:name w:val="heading 4"/>
    <w:basedOn w:val="Heading3"/>
    <w:next w:val="Normal"/>
    <w:link w:val="Heading4Char"/>
    <w:qFormat/>
    <w:rsid w:val="00356E02"/>
    <w:pPr>
      <w:outlineLvl w:val="3"/>
    </w:pPr>
    <w:rPr>
      <w:sz w:val="20"/>
    </w:rPr>
  </w:style>
  <w:style w:type="paragraph" w:styleId="Heading5">
    <w:name w:val="heading 5"/>
    <w:basedOn w:val="Heading4"/>
    <w:next w:val="Normal"/>
    <w:link w:val="Heading5Char"/>
    <w:qFormat/>
    <w:rsid w:val="00356E02"/>
    <w:pPr>
      <w:spacing w:after="60"/>
      <w:outlineLvl w:val="4"/>
    </w:pPr>
    <w:rPr>
      <w:b w:val="0"/>
      <w:i/>
    </w:rPr>
  </w:style>
  <w:style w:type="paragraph" w:styleId="Heading6">
    <w:name w:val="heading 6"/>
    <w:basedOn w:val="Heading1"/>
    <w:next w:val="Normal"/>
    <w:link w:val="Heading6Char"/>
    <w:qFormat/>
    <w:rsid w:val="00356E02"/>
    <w:pPr>
      <w:spacing w:before="120"/>
      <w:outlineLvl w:val="5"/>
    </w:pPr>
    <w:rPr>
      <w:rFonts w:ascii="Times New Roman" w:hAnsi="Times New Roman"/>
      <w:b/>
      <w:i/>
      <w:caps/>
      <w:kern w:val="0"/>
      <w:sz w:val="24"/>
    </w:rPr>
  </w:style>
  <w:style w:type="paragraph" w:styleId="Heading7">
    <w:name w:val="heading 7"/>
    <w:basedOn w:val="Heading5"/>
    <w:next w:val="Normal"/>
    <w:link w:val="Heading7Char"/>
    <w:qFormat/>
    <w:rsid w:val="00356E02"/>
    <w:pPr>
      <w:spacing w:before="120"/>
      <w:ind w:left="425"/>
      <w:jc w:val="both"/>
      <w:outlineLvl w:val="6"/>
    </w:pPr>
    <w:rPr>
      <w:i w:val="0"/>
      <w:sz w:val="23"/>
    </w:rPr>
  </w:style>
  <w:style w:type="paragraph" w:styleId="Heading8">
    <w:name w:val="heading 8"/>
    <w:basedOn w:val="Heading7"/>
    <w:next w:val="Normal"/>
    <w:link w:val="Heading8Char"/>
    <w:qFormat/>
    <w:rsid w:val="00356E02"/>
    <w:pPr>
      <w:outlineLvl w:val="7"/>
    </w:pPr>
    <w:rPr>
      <w:i/>
    </w:rPr>
  </w:style>
  <w:style w:type="paragraph" w:styleId="Heading9">
    <w:name w:val="heading 9"/>
    <w:basedOn w:val="Heading8"/>
    <w:next w:val="Normal"/>
    <w:link w:val="Heading9Char"/>
    <w:qFormat/>
    <w:rsid w:val="00356E02"/>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175A7"/>
    <w:rPr>
      <w:rFonts w:ascii="Public Sans" w:hAnsi="Public Sans" w:cs="Arial"/>
      <w:color w:val="002664"/>
      <w:kern w:val="28"/>
      <w:sz w:val="40"/>
      <w:szCs w:val="36"/>
      <w:lang w:val="en-AU" w:eastAsia="en-US"/>
    </w:rPr>
  </w:style>
  <w:style w:type="character" w:customStyle="1" w:styleId="Heading2Char">
    <w:name w:val="Heading 2 Char"/>
    <w:link w:val="Heading2"/>
    <w:rsid w:val="00A76E36"/>
    <w:rPr>
      <w:rFonts w:ascii="Arial" w:hAnsi="Arial"/>
      <w:b/>
      <w:color w:val="008EBA"/>
      <w:kern w:val="28"/>
      <w:sz w:val="28"/>
      <w:szCs w:val="36"/>
      <w:lang w:val="en-AU" w:eastAsia="en-US"/>
    </w:rPr>
  </w:style>
  <w:style w:type="character" w:customStyle="1" w:styleId="Heading3Char">
    <w:name w:val="Heading 3 Char"/>
    <w:link w:val="Heading3"/>
    <w:rsid w:val="006E0611"/>
    <w:rPr>
      <w:rFonts w:ascii="Public Sans SemiBold" w:hAnsi="Public Sans SemiBold"/>
      <w:b/>
      <w:color w:val="790013"/>
      <w:kern w:val="28"/>
      <w:sz w:val="26"/>
      <w:szCs w:val="36"/>
      <w:lang w:val="en-AU" w:eastAsia="en-US"/>
    </w:rPr>
  </w:style>
  <w:style w:type="character" w:customStyle="1" w:styleId="Heading4Char">
    <w:name w:val="Heading 4 Char"/>
    <w:link w:val="Heading4"/>
    <w:rsid w:val="008C6150"/>
    <w:rPr>
      <w:rFonts w:ascii="Arial" w:hAnsi="Arial"/>
      <w:b/>
      <w:kern w:val="28"/>
      <w:szCs w:val="36"/>
      <w:lang w:eastAsia="en-US"/>
    </w:rPr>
  </w:style>
  <w:style w:type="character" w:customStyle="1" w:styleId="Heading5Char">
    <w:name w:val="Heading 5 Char"/>
    <w:link w:val="Heading5"/>
    <w:rsid w:val="008C6150"/>
    <w:rPr>
      <w:rFonts w:ascii="Arial" w:hAnsi="Arial"/>
      <w:i/>
      <w:kern w:val="28"/>
      <w:szCs w:val="36"/>
      <w:lang w:eastAsia="en-US"/>
    </w:rPr>
  </w:style>
  <w:style w:type="character" w:customStyle="1" w:styleId="Heading6Char">
    <w:name w:val="Heading 6 Char"/>
    <w:link w:val="Heading6"/>
    <w:rsid w:val="008C6150"/>
    <w:rPr>
      <w:rFonts w:cs="Arial"/>
      <w:b/>
      <w:i/>
      <w:caps/>
      <w:color w:val="002664"/>
      <w:sz w:val="24"/>
      <w:szCs w:val="36"/>
      <w:lang w:val="en-AU" w:eastAsia="en-US"/>
    </w:rPr>
  </w:style>
  <w:style w:type="character" w:customStyle="1" w:styleId="Heading7Char">
    <w:name w:val="Heading 7 Char"/>
    <w:link w:val="Heading7"/>
    <w:rsid w:val="008C6150"/>
    <w:rPr>
      <w:rFonts w:ascii="Arial" w:hAnsi="Arial"/>
      <w:kern w:val="28"/>
      <w:sz w:val="23"/>
      <w:szCs w:val="36"/>
      <w:lang w:eastAsia="en-US"/>
    </w:rPr>
  </w:style>
  <w:style w:type="character" w:customStyle="1" w:styleId="Heading8Char">
    <w:name w:val="Heading 8 Char"/>
    <w:link w:val="Heading8"/>
    <w:rsid w:val="008C6150"/>
    <w:rPr>
      <w:rFonts w:ascii="Arial" w:hAnsi="Arial"/>
      <w:i/>
      <w:kern w:val="28"/>
      <w:sz w:val="23"/>
      <w:szCs w:val="36"/>
      <w:lang w:eastAsia="en-US"/>
    </w:rPr>
  </w:style>
  <w:style w:type="character" w:customStyle="1" w:styleId="Heading9Char">
    <w:name w:val="Heading 9 Char"/>
    <w:link w:val="Heading9"/>
    <w:rsid w:val="008C6150"/>
    <w:rPr>
      <w:rFonts w:ascii="Arial" w:hAnsi="Arial"/>
      <w:kern w:val="28"/>
      <w:sz w:val="23"/>
      <w:szCs w:val="36"/>
      <w:lang w:eastAsia="en-US"/>
    </w:rPr>
  </w:style>
  <w:style w:type="paragraph" w:styleId="Footer">
    <w:name w:val="footer"/>
    <w:basedOn w:val="Normal"/>
    <w:link w:val="FooterChar"/>
    <w:rsid w:val="002F09C8"/>
    <w:pPr>
      <w:tabs>
        <w:tab w:val="center" w:pos="4513"/>
        <w:tab w:val="right" w:pos="9026"/>
      </w:tabs>
    </w:pPr>
  </w:style>
  <w:style w:type="character" w:customStyle="1" w:styleId="FooterChar">
    <w:name w:val="Footer Char"/>
    <w:link w:val="Footer"/>
    <w:rsid w:val="00356E02"/>
    <w:rPr>
      <w:lang w:eastAsia="en-US"/>
    </w:rPr>
  </w:style>
  <w:style w:type="paragraph" w:styleId="Header">
    <w:name w:val="header"/>
    <w:basedOn w:val="Normal"/>
    <w:link w:val="HeaderChar"/>
    <w:uiPriority w:val="99"/>
    <w:rsid w:val="002F09C8"/>
    <w:pPr>
      <w:tabs>
        <w:tab w:val="center" w:pos="4513"/>
        <w:tab w:val="right" w:pos="9026"/>
      </w:tabs>
    </w:pPr>
  </w:style>
  <w:style w:type="character" w:customStyle="1" w:styleId="HeaderChar">
    <w:name w:val="Header Char"/>
    <w:link w:val="Header"/>
    <w:uiPriority w:val="99"/>
    <w:rsid w:val="00356E02"/>
    <w:rPr>
      <w:lang w:eastAsia="en-US"/>
    </w:rPr>
  </w:style>
  <w:style w:type="paragraph" w:styleId="Revision">
    <w:name w:val="Revision"/>
    <w:hidden/>
    <w:uiPriority w:val="99"/>
    <w:semiHidden/>
    <w:rsid w:val="00E867DA"/>
    <w:rPr>
      <w:lang w:eastAsia="en-US"/>
    </w:rPr>
  </w:style>
  <w:style w:type="character" w:styleId="CommentReference">
    <w:name w:val="annotation reference"/>
    <w:uiPriority w:val="99"/>
    <w:rsid w:val="006341DC"/>
    <w:rPr>
      <w:sz w:val="16"/>
      <w:szCs w:val="16"/>
    </w:rPr>
  </w:style>
  <w:style w:type="paragraph" w:styleId="CommentText">
    <w:name w:val="annotation text"/>
    <w:basedOn w:val="Normal"/>
    <w:link w:val="CommentTextChar"/>
    <w:uiPriority w:val="99"/>
    <w:rsid w:val="006341DC"/>
  </w:style>
  <w:style w:type="character" w:customStyle="1" w:styleId="CommentTextChar">
    <w:name w:val="Comment Text Char"/>
    <w:link w:val="CommentText"/>
    <w:uiPriority w:val="99"/>
    <w:rsid w:val="006341DC"/>
    <w:rPr>
      <w:lang w:val="en-US" w:eastAsia="en-US"/>
    </w:rPr>
  </w:style>
  <w:style w:type="paragraph" w:styleId="CommentSubject">
    <w:name w:val="annotation subject"/>
    <w:basedOn w:val="CommentText"/>
    <w:next w:val="CommentText"/>
    <w:link w:val="CommentSubjectChar"/>
    <w:uiPriority w:val="99"/>
    <w:rsid w:val="006341DC"/>
    <w:rPr>
      <w:b/>
      <w:bCs/>
    </w:rPr>
  </w:style>
  <w:style w:type="character" w:customStyle="1" w:styleId="CommentSubjectChar">
    <w:name w:val="Comment Subject Char"/>
    <w:link w:val="CommentSubject"/>
    <w:uiPriority w:val="99"/>
    <w:rsid w:val="006341DC"/>
    <w:rPr>
      <w:b/>
      <w:bCs/>
      <w:lang w:val="en-US" w:eastAsia="en-US"/>
    </w:rPr>
  </w:style>
  <w:style w:type="paragraph" w:customStyle="1" w:styleId="BP3ChartHeading">
    <w:name w:val="BP3 Chart Heading"/>
    <w:basedOn w:val="Normal"/>
    <w:link w:val="BP3ChartHeadingChar"/>
    <w:qFormat/>
    <w:rsid w:val="00824FA9"/>
    <w:pPr>
      <w:keepLines/>
      <w:numPr>
        <w:numId w:val="3"/>
      </w:numPr>
      <w:spacing w:before="240" w:after="120"/>
      <w:ind w:left="1418" w:hanging="1418"/>
    </w:pPr>
    <w:rPr>
      <w:rFonts w:ascii="Public Sans" w:hAnsi="Public Sans"/>
      <w:i/>
      <w:color w:val="4F4F4F"/>
      <w:sz w:val="22"/>
      <w:lang w:val="en-AU" w:eastAsia="en-AU"/>
    </w:rPr>
  </w:style>
  <w:style w:type="character" w:customStyle="1" w:styleId="BP3ChartHeadingChar">
    <w:name w:val="BP3 Chart Heading Char"/>
    <w:basedOn w:val="DefaultParagraphFont"/>
    <w:link w:val="BP3ChartHeading"/>
    <w:rsid w:val="00824FA9"/>
    <w:rPr>
      <w:rFonts w:ascii="Public Sans" w:hAnsi="Public Sans"/>
      <w:i/>
      <w:color w:val="4F4F4F"/>
      <w:sz w:val="22"/>
      <w:lang w:val="en-AU" w:eastAsia="en-AU"/>
    </w:rPr>
  </w:style>
  <w:style w:type="paragraph" w:customStyle="1" w:styleId="BP3Heading2">
    <w:name w:val="BP3 Heading 2"/>
    <w:basedOn w:val="Normal"/>
    <w:link w:val="BP3Heading2Char"/>
    <w:qFormat/>
    <w:rsid w:val="00C56154"/>
    <w:pPr>
      <w:numPr>
        <w:numId w:val="2"/>
      </w:numPr>
      <w:pBdr>
        <w:bottom w:val="single" w:sz="4" w:space="4" w:color="22272B"/>
      </w:pBdr>
      <w:spacing w:before="360" w:after="120"/>
      <w:ind w:left="851" w:hanging="851"/>
      <w:outlineLvl w:val="0"/>
    </w:pPr>
    <w:rPr>
      <w:rFonts w:ascii="Public Sans SemiBold" w:hAnsi="Public Sans SemiBold"/>
      <w:b/>
      <w:color w:val="22272B"/>
      <w:sz w:val="28"/>
      <w:lang w:val="en-AU"/>
    </w:rPr>
  </w:style>
  <w:style w:type="character" w:customStyle="1" w:styleId="BP3Heading2Char">
    <w:name w:val="BP3 Heading 2 Char"/>
    <w:basedOn w:val="Heading2Char"/>
    <w:link w:val="BP3Heading2"/>
    <w:rsid w:val="00C56154"/>
    <w:rPr>
      <w:rFonts w:ascii="Public Sans SemiBold" w:hAnsi="Public Sans SemiBold"/>
      <w:b/>
      <w:color w:val="22272B"/>
      <w:kern w:val="28"/>
      <w:sz w:val="28"/>
      <w:szCs w:val="36"/>
      <w:lang w:val="en-AU" w:eastAsia="en-US"/>
    </w:rPr>
  </w:style>
  <w:style w:type="paragraph" w:customStyle="1" w:styleId="BP3BodyText">
    <w:name w:val="BP3 Body Text"/>
    <w:basedOn w:val="Normal"/>
    <w:link w:val="BP3BodyTextChar"/>
    <w:qFormat/>
    <w:rsid w:val="00B665A0"/>
    <w:pPr>
      <w:spacing w:before="120" w:after="120"/>
    </w:pPr>
    <w:rPr>
      <w:rFonts w:ascii="Public Sans" w:eastAsia="Arial" w:hAnsi="Public Sans" w:cs="Arial"/>
      <w:color w:val="000000" w:themeColor="text1"/>
      <w:sz w:val="22"/>
      <w:szCs w:val="23"/>
      <w:lang w:val="en-AU"/>
    </w:rPr>
  </w:style>
  <w:style w:type="character" w:customStyle="1" w:styleId="BP3BodyTextChar">
    <w:name w:val="BP3 Body Text Char"/>
    <w:basedOn w:val="DefaultParagraphFont"/>
    <w:link w:val="BP3BodyText"/>
    <w:rsid w:val="00494BFF"/>
    <w:rPr>
      <w:rFonts w:ascii="Public Sans" w:eastAsia="Arial" w:hAnsi="Public Sans" w:cs="Arial"/>
      <w:color w:val="000000" w:themeColor="text1"/>
      <w:sz w:val="22"/>
      <w:szCs w:val="23"/>
      <w:lang w:val="en-AU" w:eastAsia="en-US"/>
    </w:rPr>
  </w:style>
  <w:style w:type="paragraph" w:customStyle="1" w:styleId="BP3BoxBullet">
    <w:name w:val="BP3 Box Bullet"/>
    <w:basedOn w:val="Normal"/>
    <w:link w:val="BP3BoxBulletChar"/>
    <w:qFormat/>
    <w:rsid w:val="00DA2CE1"/>
    <w:pPr>
      <w:keepNext/>
      <w:keepLines/>
      <w:numPr>
        <w:numId w:val="10"/>
      </w:numPr>
      <w:spacing w:before="120" w:after="120"/>
    </w:pPr>
    <w:rPr>
      <w:rFonts w:ascii="Public Sans" w:eastAsiaTheme="minorHAnsi" w:hAnsi="Public Sans" w:cs="Arial"/>
      <w:bCs/>
      <w:sz w:val="23"/>
      <w:szCs w:val="23"/>
      <w:lang w:val="en-AU" w:eastAsia="en-AU"/>
    </w:rPr>
  </w:style>
  <w:style w:type="character" w:customStyle="1" w:styleId="BP3BoxBulletChar">
    <w:name w:val="BP3 Box Bullet Char"/>
    <w:basedOn w:val="DefaultParagraphFont"/>
    <w:link w:val="BP3BoxBullet"/>
    <w:rsid w:val="00DA2CE1"/>
    <w:rPr>
      <w:rFonts w:ascii="Public Sans" w:eastAsiaTheme="minorHAnsi" w:hAnsi="Public Sans" w:cs="Arial"/>
      <w:bCs/>
      <w:sz w:val="23"/>
      <w:szCs w:val="23"/>
      <w:lang w:val="en-AU" w:eastAsia="en-AU"/>
    </w:rPr>
  </w:style>
  <w:style w:type="paragraph" w:customStyle="1" w:styleId="BP3BoxText">
    <w:name w:val="BP3 Box Text"/>
    <w:basedOn w:val="Normal"/>
    <w:link w:val="BP3BoxTextChar"/>
    <w:qFormat/>
    <w:rsid w:val="00AF1C3A"/>
    <w:pPr>
      <w:keepNext/>
      <w:keepLines/>
      <w:spacing w:before="120" w:after="120"/>
    </w:pPr>
    <w:rPr>
      <w:rFonts w:ascii="Public Sans" w:eastAsiaTheme="minorHAnsi" w:hAnsi="Public Sans" w:cs="Arial"/>
      <w:bCs/>
      <w:sz w:val="23"/>
      <w:szCs w:val="23"/>
      <w:lang w:val="en-AU" w:eastAsia="en-AU"/>
    </w:rPr>
  </w:style>
  <w:style w:type="character" w:customStyle="1" w:styleId="BP3BoxTextChar">
    <w:name w:val="BP3 Box Text Char"/>
    <w:basedOn w:val="DefaultParagraphFont"/>
    <w:link w:val="BP3BoxText"/>
    <w:rsid w:val="00AF1C3A"/>
    <w:rPr>
      <w:rFonts w:ascii="Public Sans" w:eastAsiaTheme="minorHAnsi" w:hAnsi="Public Sans" w:cs="Arial"/>
      <w:bCs/>
      <w:color w:val="008EBA"/>
      <w:sz w:val="23"/>
      <w:szCs w:val="23"/>
      <w:lang w:val="en-AU" w:eastAsia="en-AU"/>
    </w:rPr>
  </w:style>
  <w:style w:type="paragraph" w:customStyle="1" w:styleId="BP3TableHeading">
    <w:name w:val="BP3 Table Heading"/>
    <w:basedOn w:val="Normal"/>
    <w:link w:val="BP3TableHeadingChar"/>
    <w:qFormat/>
    <w:rsid w:val="00824FA9"/>
    <w:pPr>
      <w:widowControl w:val="0"/>
      <w:numPr>
        <w:numId w:val="4"/>
      </w:numPr>
      <w:spacing w:before="240" w:after="120"/>
      <w:ind w:left="1418" w:hanging="1418"/>
    </w:pPr>
    <w:rPr>
      <w:rFonts w:ascii="Public Sans" w:hAnsi="Public Sans"/>
      <w:bCs/>
      <w:i/>
      <w:color w:val="4F4F4F"/>
      <w:kern w:val="28"/>
      <w:sz w:val="22"/>
      <w:szCs w:val="22"/>
    </w:rPr>
  </w:style>
  <w:style w:type="character" w:customStyle="1" w:styleId="BP3TableHeadingChar">
    <w:name w:val="BP3 Table Heading Char"/>
    <w:basedOn w:val="DefaultParagraphFont"/>
    <w:link w:val="BP3TableHeading"/>
    <w:rsid w:val="00824FA9"/>
    <w:rPr>
      <w:rFonts w:ascii="Public Sans" w:hAnsi="Public Sans"/>
      <w:bCs/>
      <w:i/>
      <w:color w:val="4F4F4F"/>
      <w:kern w:val="28"/>
      <w:sz w:val="22"/>
      <w:szCs w:val="22"/>
      <w:lang w:eastAsia="en-US"/>
    </w:rPr>
  </w:style>
  <w:style w:type="paragraph" w:customStyle="1" w:styleId="BP3Heading1">
    <w:name w:val="BP3 Heading 1"/>
    <w:basedOn w:val="Heading1"/>
    <w:link w:val="BP3Heading1Char"/>
    <w:qFormat/>
    <w:rsid w:val="00126339"/>
    <w:pPr>
      <w:spacing w:before="0"/>
      <w:ind w:left="709" w:hanging="709"/>
    </w:pPr>
    <w:rPr>
      <w:rFonts w:ascii="Public Sans SemiBold" w:hAnsi="Public Sans SemiBold"/>
    </w:rPr>
  </w:style>
  <w:style w:type="character" w:customStyle="1" w:styleId="BP3Heading1Char">
    <w:name w:val="BP3 Heading 1 Char"/>
    <w:basedOn w:val="Heading1Char"/>
    <w:link w:val="BP3Heading1"/>
    <w:rsid w:val="009175A7"/>
    <w:rPr>
      <w:rFonts w:ascii="Public Sans SemiBold" w:hAnsi="Public Sans SemiBold" w:cs="Arial"/>
      <w:color w:val="002664"/>
      <w:kern w:val="28"/>
      <w:sz w:val="40"/>
      <w:szCs w:val="36"/>
      <w:lang w:val="en-AU" w:eastAsia="en-US"/>
    </w:rPr>
  </w:style>
  <w:style w:type="paragraph" w:customStyle="1" w:styleId="BP3Boxx">
    <w:name w:val="BP3 Box #.x"/>
    <w:basedOn w:val="Normal"/>
    <w:link w:val="BP3BoxxChar"/>
    <w:qFormat/>
    <w:rsid w:val="002E4C4A"/>
    <w:pPr>
      <w:numPr>
        <w:numId w:val="5"/>
      </w:numPr>
      <w:spacing w:before="80" w:after="60"/>
      <w:ind w:left="1134" w:hanging="1134"/>
      <w:outlineLvl w:val="2"/>
    </w:pPr>
    <w:rPr>
      <w:rFonts w:ascii="Public Sans" w:eastAsia="Arial" w:hAnsi="Public Sans" w:cs="Arial"/>
      <w:b/>
      <w:bCs/>
      <w:color w:val="002664"/>
      <w:sz w:val="22"/>
      <w:szCs w:val="22"/>
      <w:lang w:val="en-AU"/>
    </w:rPr>
  </w:style>
  <w:style w:type="character" w:customStyle="1" w:styleId="BP3BoxxChar">
    <w:name w:val="BP3 Box #.x Char"/>
    <w:basedOn w:val="DefaultParagraphFont"/>
    <w:link w:val="BP3Boxx"/>
    <w:rsid w:val="009D03D3"/>
    <w:rPr>
      <w:rFonts w:ascii="Public Sans" w:eastAsia="Arial" w:hAnsi="Public Sans" w:cs="Arial"/>
      <w:b/>
      <w:bCs/>
      <w:color w:val="002664"/>
      <w:sz w:val="22"/>
      <w:szCs w:val="22"/>
      <w:lang w:val="en-AU" w:eastAsia="en-US"/>
    </w:rPr>
  </w:style>
  <w:style w:type="paragraph" w:customStyle="1" w:styleId="BP3Bullet1">
    <w:name w:val="BP3 Bullet 1"/>
    <w:link w:val="BP3Bullet1Char"/>
    <w:qFormat/>
    <w:rsid w:val="00C71AC3"/>
    <w:pPr>
      <w:numPr>
        <w:numId w:val="23"/>
      </w:numPr>
      <w:tabs>
        <w:tab w:val="left" w:pos="1276"/>
      </w:tabs>
      <w:spacing w:before="120" w:after="120"/>
      <w:ind w:left="284" w:hanging="284"/>
    </w:pPr>
    <w:rPr>
      <w:rFonts w:ascii="Public Sans" w:eastAsia="Arial" w:hAnsi="Public Sans" w:cs="Arial"/>
      <w:iCs/>
      <w:sz w:val="22"/>
      <w:szCs w:val="22"/>
      <w:lang w:val="en-AU" w:eastAsia="en-AU"/>
    </w:rPr>
  </w:style>
  <w:style w:type="character" w:customStyle="1" w:styleId="BP3Bullet1Char">
    <w:name w:val="BP3 Bullet 1 Char"/>
    <w:basedOn w:val="DefaultParagraphFont"/>
    <w:link w:val="BP3Bullet1"/>
    <w:rsid w:val="00333F25"/>
    <w:rPr>
      <w:rFonts w:ascii="Public Sans" w:eastAsia="Arial" w:hAnsi="Public Sans" w:cs="Arial"/>
      <w:iCs/>
      <w:sz w:val="22"/>
      <w:szCs w:val="22"/>
      <w:lang w:val="en-AU" w:eastAsia="en-AU"/>
    </w:rPr>
  </w:style>
  <w:style w:type="paragraph" w:customStyle="1" w:styleId="BP3Bullet2">
    <w:name w:val="BP3 Bullet 2"/>
    <w:basedOn w:val="Normal"/>
    <w:link w:val="BP3Bullet2Char"/>
    <w:qFormat/>
    <w:rsid w:val="006E23FF"/>
    <w:pPr>
      <w:framePr w:wrap="around" w:hAnchor="text"/>
      <w:tabs>
        <w:tab w:val="left" w:pos="851"/>
        <w:tab w:val="left" w:pos="1276"/>
      </w:tabs>
      <w:spacing w:before="120" w:after="120"/>
    </w:pPr>
    <w:rPr>
      <w:rFonts w:ascii="Public Sans" w:hAnsi="Public Sans" w:cs="Arial"/>
      <w:iCs/>
      <w:sz w:val="22"/>
      <w:szCs w:val="22"/>
      <w:lang w:val="en-AU"/>
    </w:rPr>
  </w:style>
  <w:style w:type="character" w:customStyle="1" w:styleId="BP3Bullet2Char">
    <w:name w:val="BP3 Bullet 2 Char"/>
    <w:basedOn w:val="DefaultParagraphFont"/>
    <w:link w:val="BP3Bullet2"/>
    <w:rsid w:val="006E23FF"/>
    <w:rPr>
      <w:rFonts w:ascii="Public Sans" w:hAnsi="Public Sans" w:cs="Arial"/>
      <w:iCs/>
      <w:sz w:val="22"/>
      <w:szCs w:val="22"/>
      <w:lang w:val="en-AU" w:eastAsia="en-US"/>
    </w:rPr>
  </w:style>
  <w:style w:type="paragraph" w:customStyle="1" w:styleId="BP3Chartx">
    <w:name w:val="BP3 Chart #.x"/>
    <w:basedOn w:val="Normal"/>
    <w:link w:val="BP3ChartxChar"/>
    <w:qFormat/>
    <w:rsid w:val="00F177BB"/>
    <w:pPr>
      <w:keepLines/>
      <w:numPr>
        <w:numId w:val="16"/>
      </w:numPr>
      <w:spacing w:before="240" w:after="120"/>
      <w:ind w:left="1418" w:hanging="1418"/>
      <w:outlineLvl w:val="2"/>
    </w:pPr>
    <w:rPr>
      <w:rFonts w:ascii="Public Sans" w:hAnsi="Public Sans"/>
      <w:i/>
      <w:color w:val="4F4F4F"/>
      <w:sz w:val="22"/>
      <w:lang w:val="en-AU" w:eastAsia="en-AU"/>
    </w:rPr>
  </w:style>
  <w:style w:type="character" w:customStyle="1" w:styleId="BP3ChartxChar">
    <w:name w:val="BP3 Chart #.x Char"/>
    <w:basedOn w:val="DefaultParagraphFont"/>
    <w:link w:val="BP3Chartx"/>
    <w:rsid w:val="00F177BB"/>
    <w:rPr>
      <w:rFonts w:ascii="Public Sans" w:hAnsi="Public Sans"/>
      <w:i/>
      <w:color w:val="4F4F4F"/>
      <w:sz w:val="22"/>
      <w:lang w:val="en-AU" w:eastAsia="en-AU"/>
    </w:rPr>
  </w:style>
  <w:style w:type="paragraph" w:customStyle="1" w:styleId="BP3Heading4">
    <w:name w:val="BP3 Heading 4"/>
    <w:basedOn w:val="Heading4"/>
    <w:link w:val="BP3Heading4Char"/>
    <w:qFormat/>
    <w:rsid w:val="006E23FF"/>
    <w:rPr>
      <w:rFonts w:eastAsia="Yu Gothic Light" w:cs="Yu Gothic Light"/>
      <w:color w:val="22272B"/>
      <w:sz w:val="24"/>
    </w:rPr>
  </w:style>
  <w:style w:type="character" w:customStyle="1" w:styleId="BP3Heading4Char">
    <w:name w:val="BP3 Heading 4 Char"/>
    <w:basedOn w:val="Heading4Char"/>
    <w:link w:val="BP3Heading4"/>
    <w:rsid w:val="006E23FF"/>
    <w:rPr>
      <w:rFonts w:ascii="Public Sans SemiBold" w:eastAsia="Yu Gothic Light" w:hAnsi="Public Sans SemiBold" w:cs="Yu Gothic Light"/>
      <w:b/>
      <w:color w:val="22272B"/>
      <w:kern w:val="28"/>
      <w:sz w:val="24"/>
      <w:szCs w:val="36"/>
      <w:lang w:val="en-AU" w:eastAsia="en-US"/>
    </w:rPr>
  </w:style>
  <w:style w:type="paragraph" w:customStyle="1" w:styleId="BP3Heading5">
    <w:name w:val="BP3 Heading 5"/>
    <w:link w:val="BP3Heading5Char"/>
    <w:qFormat/>
    <w:rsid w:val="006E23FF"/>
    <w:pPr>
      <w:spacing w:before="320" w:after="60" w:line="320" w:lineRule="exact"/>
    </w:pPr>
    <w:rPr>
      <w:rFonts w:ascii="Public Sans SemiBold" w:hAnsi="Public Sans SemiBold"/>
      <w:bCs/>
      <w:i/>
      <w:color w:val="22272B"/>
      <w:kern w:val="28"/>
      <w:sz w:val="24"/>
      <w:szCs w:val="22"/>
      <w:lang w:eastAsia="en-US"/>
    </w:rPr>
  </w:style>
  <w:style w:type="character" w:customStyle="1" w:styleId="BP3Heading5Char">
    <w:name w:val="BP3 Heading 5 Char"/>
    <w:basedOn w:val="DefaultParagraphFont"/>
    <w:link w:val="BP3Heading5"/>
    <w:rsid w:val="006E23FF"/>
    <w:rPr>
      <w:rFonts w:ascii="Public Sans SemiBold" w:hAnsi="Public Sans SemiBold"/>
      <w:bCs/>
      <w:i/>
      <w:color w:val="22272B"/>
      <w:kern w:val="28"/>
      <w:sz w:val="24"/>
      <w:szCs w:val="22"/>
      <w:lang w:eastAsia="en-US"/>
    </w:rPr>
  </w:style>
  <w:style w:type="paragraph" w:customStyle="1" w:styleId="BP3Tablex">
    <w:name w:val="BP3 Table #.x"/>
    <w:basedOn w:val="Normal"/>
    <w:link w:val="BP3TablexChar"/>
    <w:qFormat/>
    <w:rsid w:val="006E23FF"/>
    <w:pPr>
      <w:widowControl w:val="0"/>
      <w:spacing w:before="240" w:after="120"/>
      <w:outlineLvl w:val="2"/>
    </w:pPr>
    <w:rPr>
      <w:rFonts w:ascii="Public Sans" w:hAnsi="Public Sans"/>
      <w:bCs/>
      <w:i/>
      <w:color w:val="4F4F4F"/>
      <w:kern w:val="28"/>
      <w:sz w:val="22"/>
      <w:szCs w:val="22"/>
    </w:rPr>
  </w:style>
  <w:style w:type="character" w:customStyle="1" w:styleId="BP3TablexChar">
    <w:name w:val="BP3 Table #.x Char"/>
    <w:basedOn w:val="DefaultParagraphFont"/>
    <w:link w:val="BP3Tablex"/>
    <w:rsid w:val="006E23FF"/>
    <w:rPr>
      <w:rFonts w:ascii="Public Sans" w:hAnsi="Public Sans"/>
      <w:bCs/>
      <w:i/>
      <w:color w:val="4F4F4F"/>
      <w:kern w:val="28"/>
      <w:sz w:val="22"/>
      <w:szCs w:val="22"/>
      <w:lang w:eastAsia="en-US"/>
    </w:rPr>
  </w:style>
  <w:style w:type="paragraph" w:customStyle="1" w:styleId="BP3TableText">
    <w:name w:val="BP3 Table Text"/>
    <w:basedOn w:val="Normal"/>
    <w:link w:val="BP3TableTextChar"/>
    <w:qFormat/>
    <w:rsid w:val="006E23FF"/>
    <w:pPr>
      <w:spacing w:before="60" w:after="80"/>
    </w:pPr>
    <w:rPr>
      <w:rFonts w:ascii="Public Sans" w:eastAsia="Yu Gothic Light" w:hAnsi="Public Sans" w:cs="Arial"/>
      <w:sz w:val="18"/>
      <w:szCs w:val="18"/>
      <w:lang w:val="en-AU"/>
    </w:rPr>
  </w:style>
  <w:style w:type="character" w:customStyle="1" w:styleId="BP3TableTextChar">
    <w:name w:val="BP3 Table Text Char"/>
    <w:basedOn w:val="DefaultParagraphFont"/>
    <w:link w:val="BP3TableText"/>
    <w:rsid w:val="006E23FF"/>
    <w:rPr>
      <w:rFonts w:ascii="Public Sans" w:eastAsia="Yu Gothic Light" w:hAnsi="Public Sans" w:cs="Arial"/>
      <w:sz w:val="18"/>
      <w:szCs w:val="18"/>
      <w:lang w:val="en-AU" w:eastAsia="en-US"/>
    </w:rPr>
  </w:style>
  <w:style w:type="paragraph" w:customStyle="1" w:styleId="BP3TableTextHeading">
    <w:name w:val="BP3 Table Text Heading"/>
    <w:basedOn w:val="Normal"/>
    <w:link w:val="BP3TableTextHeadingChar"/>
    <w:qFormat/>
    <w:rsid w:val="006E23FF"/>
    <w:pPr>
      <w:spacing w:before="80" w:after="60"/>
    </w:pPr>
    <w:rPr>
      <w:rFonts w:ascii="Public Sans" w:eastAsia="Yu Gothic Light" w:hAnsi="Public Sans" w:cs="Arial"/>
      <w:b/>
      <w:sz w:val="18"/>
      <w:szCs w:val="18"/>
      <w:lang w:val="en-AU"/>
    </w:rPr>
  </w:style>
  <w:style w:type="character" w:customStyle="1" w:styleId="BP3TableTextHeadingChar">
    <w:name w:val="BP3 Table Text Heading Char"/>
    <w:basedOn w:val="DefaultParagraphFont"/>
    <w:link w:val="BP3TableTextHeading"/>
    <w:rsid w:val="006E23FF"/>
    <w:rPr>
      <w:rFonts w:ascii="Public Sans" w:eastAsia="Yu Gothic Light" w:hAnsi="Public Sans" w:cs="Arial"/>
      <w:b/>
      <w:sz w:val="18"/>
      <w:szCs w:val="18"/>
      <w:lang w:val="en-AU" w:eastAsia="en-US"/>
    </w:rPr>
  </w:style>
  <w:style w:type="paragraph" w:customStyle="1" w:styleId="BP3Footnote">
    <w:name w:val="BP3 Footnote"/>
    <w:basedOn w:val="Normal"/>
    <w:link w:val="BP3FootnoteChar"/>
    <w:qFormat/>
    <w:rsid w:val="006E23FF"/>
    <w:pPr>
      <w:widowControl w:val="0"/>
      <w:numPr>
        <w:numId w:val="1"/>
      </w:numPr>
      <w:tabs>
        <w:tab w:val="left" w:pos="364"/>
        <w:tab w:val="right" w:pos="4196"/>
        <w:tab w:val="right" w:pos="5046"/>
        <w:tab w:val="right" w:pos="5897"/>
        <w:tab w:val="right" w:pos="6747"/>
        <w:tab w:val="right" w:pos="7598"/>
      </w:tabs>
      <w:autoSpaceDE w:val="0"/>
      <w:autoSpaceDN w:val="0"/>
      <w:spacing w:before="100" w:after="60"/>
      <w:contextualSpacing/>
    </w:pPr>
    <w:rPr>
      <w:rFonts w:ascii="Public Sans" w:hAnsi="Public Sans" w:cs="Arial"/>
      <w:kern w:val="28"/>
      <w:sz w:val="17"/>
      <w:szCs w:val="17"/>
    </w:rPr>
  </w:style>
  <w:style w:type="character" w:customStyle="1" w:styleId="BP3FootnoteChar">
    <w:name w:val="BP3 Footnote Char"/>
    <w:basedOn w:val="DefaultParagraphFont"/>
    <w:link w:val="BP3Footnote"/>
    <w:rsid w:val="006E23FF"/>
    <w:rPr>
      <w:rFonts w:ascii="Public Sans" w:hAnsi="Public Sans" w:cs="Arial"/>
      <w:kern w:val="28"/>
      <w:sz w:val="17"/>
      <w:szCs w:val="17"/>
      <w:lang w:eastAsia="en-US"/>
    </w:rPr>
  </w:style>
  <w:style w:type="character" w:styleId="Mention">
    <w:name w:val="Mention"/>
    <w:basedOn w:val="DefaultParagraphFont"/>
    <w:uiPriority w:val="99"/>
    <w:unhideWhenUsed/>
    <w:rsid w:val="00BB1E32"/>
    <w:rPr>
      <w:color w:val="2B579A"/>
      <w:shd w:val="clear" w:color="auto" w:fill="E1DFDD"/>
    </w:rPr>
  </w:style>
  <w:style w:type="paragraph" w:customStyle="1" w:styleId="BP3BoxHeading">
    <w:name w:val="BP3 Box Heading"/>
    <w:basedOn w:val="Normal"/>
    <w:link w:val="BP3BoxHeadingChar"/>
    <w:qFormat/>
    <w:rsid w:val="000A7329"/>
    <w:pPr>
      <w:spacing w:before="80" w:after="60"/>
      <w:ind w:left="360" w:hanging="360"/>
    </w:pPr>
    <w:rPr>
      <w:rFonts w:ascii="Public Sans" w:eastAsia="Arial" w:hAnsi="Public Sans" w:cs="Arial"/>
      <w:b/>
      <w:bCs/>
      <w:color w:val="002664"/>
      <w:sz w:val="22"/>
      <w:szCs w:val="22"/>
      <w:lang w:val="en-AU"/>
    </w:rPr>
  </w:style>
  <w:style w:type="character" w:customStyle="1" w:styleId="BP3BoxHeadingChar">
    <w:name w:val="BP3 Box Heading Char"/>
    <w:basedOn w:val="DefaultParagraphFont"/>
    <w:link w:val="BP3BoxHeading"/>
    <w:rsid w:val="000A7329"/>
    <w:rPr>
      <w:rFonts w:ascii="Public Sans" w:eastAsia="Arial" w:hAnsi="Public Sans" w:cs="Arial"/>
      <w:b/>
      <w:bCs/>
      <w:color w:val="002664"/>
      <w:sz w:val="22"/>
      <w:szCs w:val="22"/>
      <w:lang w:val="en-AU" w:eastAsia="en-US"/>
    </w:rPr>
  </w:style>
  <w:style w:type="paragraph" w:styleId="FootnoteText">
    <w:name w:val="footnote text"/>
    <w:basedOn w:val="Normal"/>
    <w:link w:val="FootnoteTextChar"/>
    <w:rsid w:val="00396532"/>
  </w:style>
  <w:style w:type="character" w:customStyle="1" w:styleId="FootnoteTextChar">
    <w:name w:val="Footnote Text Char"/>
    <w:basedOn w:val="DefaultParagraphFont"/>
    <w:link w:val="FootnoteText"/>
    <w:rsid w:val="00396532"/>
    <w:rPr>
      <w:lang w:eastAsia="en-US"/>
    </w:rPr>
  </w:style>
  <w:style w:type="character" w:styleId="FootnoteReference">
    <w:name w:val="footnote reference"/>
    <w:basedOn w:val="DefaultParagraphFont"/>
    <w:rsid w:val="00396532"/>
    <w:rPr>
      <w:vertAlign w:val="superscript"/>
    </w:rPr>
  </w:style>
  <w:style w:type="paragraph" w:customStyle="1" w:styleId="BP3Heading3">
    <w:name w:val="BP3 Heading 3"/>
    <w:basedOn w:val="BP3Heading4"/>
    <w:link w:val="BP3Heading3Char"/>
    <w:qFormat/>
    <w:rsid w:val="002027A3"/>
    <w:rPr>
      <w:sz w:val="26"/>
      <w:szCs w:val="26"/>
    </w:rPr>
  </w:style>
  <w:style w:type="character" w:customStyle="1" w:styleId="BP3Heading3Char">
    <w:name w:val="BP3 Heading 3 Char"/>
    <w:basedOn w:val="BP3Heading4Char"/>
    <w:link w:val="BP3Heading3"/>
    <w:rsid w:val="007B75A3"/>
    <w:rPr>
      <w:rFonts w:ascii="Public Sans SemiBold" w:eastAsia="Yu Gothic Light" w:hAnsi="Public Sans SemiBold" w:cs="Yu Gothic Light"/>
      <w:b/>
      <w:color w:val="22272B"/>
      <w:kern w:val="28"/>
      <w:sz w:val="26"/>
      <w:szCs w:val="26"/>
      <w:lang w:val="en-AU" w:eastAsia="en-US"/>
    </w:rPr>
  </w:style>
  <w:style w:type="paragraph" w:styleId="ListParagraph">
    <w:name w:val="List Paragraph"/>
    <w:basedOn w:val="Normal"/>
    <w:uiPriority w:val="1"/>
    <w:qFormat/>
    <w:rsid w:val="001B0F9D"/>
    <w:pPr>
      <w:ind w:left="720"/>
      <w:contextualSpacing/>
    </w:pPr>
  </w:style>
  <w:style w:type="character" w:styleId="Hyperlink">
    <w:name w:val="Hyperlink"/>
    <w:basedOn w:val="DefaultParagraphFont"/>
    <w:uiPriority w:val="99"/>
    <w:rsid w:val="001B0F9D"/>
    <w:rPr>
      <w:color w:val="E7E3E2" w:themeColor="hyperlink"/>
      <w:u w:val="single"/>
    </w:rPr>
  </w:style>
  <w:style w:type="character" w:styleId="UnresolvedMention">
    <w:name w:val="Unresolved Mention"/>
    <w:basedOn w:val="DefaultParagraphFont"/>
    <w:uiPriority w:val="99"/>
    <w:semiHidden/>
    <w:unhideWhenUsed/>
    <w:rsid w:val="001B0F9D"/>
    <w:rPr>
      <w:color w:val="605E5C"/>
      <w:shd w:val="clear" w:color="auto" w:fill="E1DFDD"/>
    </w:rPr>
  </w:style>
  <w:style w:type="character" w:customStyle="1" w:styleId="normaltextrun">
    <w:name w:val="normaltextrun"/>
    <w:basedOn w:val="DefaultParagraphFont"/>
    <w:rsid w:val="0058293B"/>
  </w:style>
  <w:style w:type="character" w:customStyle="1" w:styleId="ui-provider">
    <w:name w:val="ui-provider"/>
    <w:basedOn w:val="DefaultParagraphFont"/>
    <w:rsid w:val="0058293B"/>
  </w:style>
  <w:style w:type="table" w:styleId="TableGrid">
    <w:name w:val="Table Grid"/>
    <w:basedOn w:val="TableNormal"/>
    <w:uiPriority w:val="59"/>
    <w:rsid w:val="005829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58293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266">
      <w:bodyDiv w:val="1"/>
      <w:marLeft w:val="0"/>
      <w:marRight w:val="0"/>
      <w:marTop w:val="0"/>
      <w:marBottom w:val="0"/>
      <w:divBdr>
        <w:top w:val="none" w:sz="0" w:space="0" w:color="auto"/>
        <w:left w:val="none" w:sz="0" w:space="0" w:color="auto"/>
        <w:bottom w:val="none" w:sz="0" w:space="0" w:color="auto"/>
        <w:right w:val="none" w:sz="0" w:space="0" w:color="auto"/>
      </w:divBdr>
    </w:div>
    <w:div w:id="12264684">
      <w:bodyDiv w:val="1"/>
      <w:marLeft w:val="0"/>
      <w:marRight w:val="0"/>
      <w:marTop w:val="0"/>
      <w:marBottom w:val="0"/>
      <w:divBdr>
        <w:top w:val="none" w:sz="0" w:space="0" w:color="auto"/>
        <w:left w:val="none" w:sz="0" w:space="0" w:color="auto"/>
        <w:bottom w:val="none" w:sz="0" w:space="0" w:color="auto"/>
        <w:right w:val="none" w:sz="0" w:space="0" w:color="auto"/>
      </w:divBdr>
    </w:div>
    <w:div w:id="14894221">
      <w:bodyDiv w:val="1"/>
      <w:marLeft w:val="0"/>
      <w:marRight w:val="0"/>
      <w:marTop w:val="0"/>
      <w:marBottom w:val="0"/>
      <w:divBdr>
        <w:top w:val="none" w:sz="0" w:space="0" w:color="auto"/>
        <w:left w:val="none" w:sz="0" w:space="0" w:color="auto"/>
        <w:bottom w:val="none" w:sz="0" w:space="0" w:color="auto"/>
        <w:right w:val="none" w:sz="0" w:space="0" w:color="auto"/>
      </w:divBdr>
    </w:div>
    <w:div w:id="30541545">
      <w:bodyDiv w:val="1"/>
      <w:marLeft w:val="0"/>
      <w:marRight w:val="0"/>
      <w:marTop w:val="0"/>
      <w:marBottom w:val="0"/>
      <w:divBdr>
        <w:top w:val="none" w:sz="0" w:space="0" w:color="auto"/>
        <w:left w:val="none" w:sz="0" w:space="0" w:color="auto"/>
        <w:bottom w:val="none" w:sz="0" w:space="0" w:color="auto"/>
        <w:right w:val="none" w:sz="0" w:space="0" w:color="auto"/>
      </w:divBdr>
    </w:div>
    <w:div w:id="48766162">
      <w:bodyDiv w:val="1"/>
      <w:marLeft w:val="0"/>
      <w:marRight w:val="0"/>
      <w:marTop w:val="0"/>
      <w:marBottom w:val="0"/>
      <w:divBdr>
        <w:top w:val="none" w:sz="0" w:space="0" w:color="auto"/>
        <w:left w:val="none" w:sz="0" w:space="0" w:color="auto"/>
        <w:bottom w:val="none" w:sz="0" w:space="0" w:color="auto"/>
        <w:right w:val="none" w:sz="0" w:space="0" w:color="auto"/>
      </w:divBdr>
    </w:div>
    <w:div w:id="63383978">
      <w:bodyDiv w:val="1"/>
      <w:marLeft w:val="0"/>
      <w:marRight w:val="0"/>
      <w:marTop w:val="0"/>
      <w:marBottom w:val="0"/>
      <w:divBdr>
        <w:top w:val="none" w:sz="0" w:space="0" w:color="auto"/>
        <w:left w:val="none" w:sz="0" w:space="0" w:color="auto"/>
        <w:bottom w:val="none" w:sz="0" w:space="0" w:color="auto"/>
        <w:right w:val="none" w:sz="0" w:space="0" w:color="auto"/>
      </w:divBdr>
    </w:div>
    <w:div w:id="71241179">
      <w:bodyDiv w:val="1"/>
      <w:marLeft w:val="0"/>
      <w:marRight w:val="0"/>
      <w:marTop w:val="0"/>
      <w:marBottom w:val="0"/>
      <w:divBdr>
        <w:top w:val="none" w:sz="0" w:space="0" w:color="auto"/>
        <w:left w:val="none" w:sz="0" w:space="0" w:color="auto"/>
        <w:bottom w:val="none" w:sz="0" w:space="0" w:color="auto"/>
        <w:right w:val="none" w:sz="0" w:space="0" w:color="auto"/>
      </w:divBdr>
    </w:div>
    <w:div w:id="81415237">
      <w:bodyDiv w:val="1"/>
      <w:marLeft w:val="0"/>
      <w:marRight w:val="0"/>
      <w:marTop w:val="0"/>
      <w:marBottom w:val="0"/>
      <w:divBdr>
        <w:top w:val="none" w:sz="0" w:space="0" w:color="auto"/>
        <w:left w:val="none" w:sz="0" w:space="0" w:color="auto"/>
        <w:bottom w:val="none" w:sz="0" w:space="0" w:color="auto"/>
        <w:right w:val="none" w:sz="0" w:space="0" w:color="auto"/>
      </w:divBdr>
    </w:div>
    <w:div w:id="132842911">
      <w:bodyDiv w:val="1"/>
      <w:marLeft w:val="0"/>
      <w:marRight w:val="0"/>
      <w:marTop w:val="0"/>
      <w:marBottom w:val="0"/>
      <w:divBdr>
        <w:top w:val="none" w:sz="0" w:space="0" w:color="auto"/>
        <w:left w:val="none" w:sz="0" w:space="0" w:color="auto"/>
        <w:bottom w:val="none" w:sz="0" w:space="0" w:color="auto"/>
        <w:right w:val="single" w:sz="6" w:space="6" w:color="FFFFFF"/>
      </w:divBdr>
      <w:divsChild>
        <w:div w:id="1915235705">
          <w:marLeft w:val="0"/>
          <w:marRight w:val="0"/>
          <w:marTop w:val="0"/>
          <w:marBottom w:val="0"/>
          <w:divBdr>
            <w:top w:val="none" w:sz="0" w:space="0" w:color="auto"/>
            <w:left w:val="none" w:sz="0" w:space="0" w:color="auto"/>
            <w:bottom w:val="none" w:sz="0" w:space="0" w:color="auto"/>
            <w:right w:val="none" w:sz="0" w:space="0" w:color="auto"/>
          </w:divBdr>
          <w:divsChild>
            <w:div w:id="975987822">
              <w:marLeft w:val="0"/>
              <w:marRight w:val="0"/>
              <w:marTop w:val="0"/>
              <w:marBottom w:val="0"/>
              <w:divBdr>
                <w:top w:val="none" w:sz="0" w:space="0" w:color="auto"/>
                <w:left w:val="none" w:sz="0" w:space="0" w:color="auto"/>
                <w:bottom w:val="none" w:sz="0" w:space="0" w:color="auto"/>
                <w:right w:val="none" w:sz="0" w:space="0" w:color="auto"/>
              </w:divBdr>
              <w:divsChild>
                <w:div w:id="210182615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3239149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68998724">
                          <w:blockQuote w:val="1"/>
                          <w:marLeft w:val="340"/>
                          <w:marRight w:val="0"/>
                          <w:marTop w:val="160"/>
                          <w:marBottom w:val="200"/>
                          <w:divBdr>
                            <w:top w:val="none" w:sz="0" w:space="0" w:color="auto"/>
                            <w:left w:val="none" w:sz="0" w:space="0" w:color="auto"/>
                            <w:bottom w:val="none" w:sz="0" w:space="0" w:color="auto"/>
                            <w:right w:val="none" w:sz="0" w:space="0" w:color="auto"/>
                          </w:divBdr>
                        </w:div>
                        <w:div w:id="209008236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18806445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40195272">
      <w:bodyDiv w:val="1"/>
      <w:marLeft w:val="0"/>
      <w:marRight w:val="0"/>
      <w:marTop w:val="0"/>
      <w:marBottom w:val="0"/>
      <w:divBdr>
        <w:top w:val="none" w:sz="0" w:space="0" w:color="auto"/>
        <w:left w:val="none" w:sz="0" w:space="0" w:color="auto"/>
        <w:bottom w:val="none" w:sz="0" w:space="0" w:color="auto"/>
        <w:right w:val="none" w:sz="0" w:space="0" w:color="auto"/>
      </w:divBdr>
    </w:div>
    <w:div w:id="148638180">
      <w:bodyDiv w:val="1"/>
      <w:marLeft w:val="0"/>
      <w:marRight w:val="0"/>
      <w:marTop w:val="0"/>
      <w:marBottom w:val="0"/>
      <w:divBdr>
        <w:top w:val="none" w:sz="0" w:space="0" w:color="auto"/>
        <w:left w:val="none" w:sz="0" w:space="0" w:color="auto"/>
        <w:bottom w:val="none" w:sz="0" w:space="0" w:color="auto"/>
        <w:right w:val="none" w:sz="0" w:space="0" w:color="auto"/>
      </w:divBdr>
    </w:div>
    <w:div w:id="188108832">
      <w:bodyDiv w:val="1"/>
      <w:marLeft w:val="0"/>
      <w:marRight w:val="0"/>
      <w:marTop w:val="0"/>
      <w:marBottom w:val="0"/>
      <w:divBdr>
        <w:top w:val="none" w:sz="0" w:space="0" w:color="auto"/>
        <w:left w:val="none" w:sz="0" w:space="0" w:color="auto"/>
        <w:bottom w:val="none" w:sz="0" w:space="0" w:color="auto"/>
        <w:right w:val="none" w:sz="0" w:space="0" w:color="auto"/>
      </w:divBdr>
    </w:div>
    <w:div w:id="194314279">
      <w:bodyDiv w:val="1"/>
      <w:marLeft w:val="0"/>
      <w:marRight w:val="0"/>
      <w:marTop w:val="0"/>
      <w:marBottom w:val="0"/>
      <w:divBdr>
        <w:top w:val="none" w:sz="0" w:space="0" w:color="auto"/>
        <w:left w:val="none" w:sz="0" w:space="0" w:color="auto"/>
        <w:bottom w:val="none" w:sz="0" w:space="0" w:color="auto"/>
        <w:right w:val="none" w:sz="0" w:space="0" w:color="auto"/>
      </w:divBdr>
    </w:div>
    <w:div w:id="213658227">
      <w:bodyDiv w:val="1"/>
      <w:marLeft w:val="0"/>
      <w:marRight w:val="0"/>
      <w:marTop w:val="0"/>
      <w:marBottom w:val="0"/>
      <w:divBdr>
        <w:top w:val="none" w:sz="0" w:space="0" w:color="auto"/>
        <w:left w:val="none" w:sz="0" w:space="0" w:color="auto"/>
        <w:bottom w:val="none" w:sz="0" w:space="0" w:color="auto"/>
        <w:right w:val="none" w:sz="0" w:space="0" w:color="auto"/>
      </w:divBdr>
    </w:div>
    <w:div w:id="225409735">
      <w:bodyDiv w:val="1"/>
      <w:marLeft w:val="0"/>
      <w:marRight w:val="0"/>
      <w:marTop w:val="0"/>
      <w:marBottom w:val="0"/>
      <w:divBdr>
        <w:top w:val="none" w:sz="0" w:space="0" w:color="auto"/>
        <w:left w:val="none" w:sz="0" w:space="0" w:color="auto"/>
        <w:bottom w:val="none" w:sz="0" w:space="0" w:color="auto"/>
        <w:right w:val="none" w:sz="0" w:space="0" w:color="auto"/>
      </w:divBdr>
    </w:div>
    <w:div w:id="235480124">
      <w:bodyDiv w:val="1"/>
      <w:marLeft w:val="0"/>
      <w:marRight w:val="0"/>
      <w:marTop w:val="0"/>
      <w:marBottom w:val="0"/>
      <w:divBdr>
        <w:top w:val="none" w:sz="0" w:space="0" w:color="auto"/>
        <w:left w:val="none" w:sz="0" w:space="0" w:color="auto"/>
        <w:bottom w:val="none" w:sz="0" w:space="0" w:color="auto"/>
        <w:right w:val="none" w:sz="0" w:space="0" w:color="auto"/>
      </w:divBdr>
    </w:div>
    <w:div w:id="238834706">
      <w:bodyDiv w:val="1"/>
      <w:marLeft w:val="0"/>
      <w:marRight w:val="0"/>
      <w:marTop w:val="0"/>
      <w:marBottom w:val="0"/>
      <w:divBdr>
        <w:top w:val="none" w:sz="0" w:space="0" w:color="auto"/>
        <w:left w:val="none" w:sz="0" w:space="0" w:color="auto"/>
        <w:bottom w:val="none" w:sz="0" w:space="0" w:color="auto"/>
        <w:right w:val="none" w:sz="0" w:space="0" w:color="auto"/>
      </w:divBdr>
    </w:div>
    <w:div w:id="241722115">
      <w:bodyDiv w:val="1"/>
      <w:marLeft w:val="0"/>
      <w:marRight w:val="0"/>
      <w:marTop w:val="0"/>
      <w:marBottom w:val="0"/>
      <w:divBdr>
        <w:top w:val="none" w:sz="0" w:space="0" w:color="auto"/>
        <w:left w:val="none" w:sz="0" w:space="0" w:color="auto"/>
        <w:bottom w:val="none" w:sz="0" w:space="0" w:color="auto"/>
        <w:right w:val="none" w:sz="0" w:space="0" w:color="auto"/>
      </w:divBdr>
      <w:divsChild>
        <w:div w:id="220947618">
          <w:marLeft w:val="0"/>
          <w:marRight w:val="0"/>
          <w:marTop w:val="0"/>
          <w:marBottom w:val="0"/>
          <w:divBdr>
            <w:top w:val="none" w:sz="0" w:space="0" w:color="auto"/>
            <w:left w:val="none" w:sz="0" w:space="0" w:color="auto"/>
            <w:bottom w:val="none" w:sz="0" w:space="0" w:color="auto"/>
            <w:right w:val="none" w:sz="0" w:space="0" w:color="auto"/>
          </w:divBdr>
        </w:div>
        <w:div w:id="240674923">
          <w:marLeft w:val="0"/>
          <w:marRight w:val="0"/>
          <w:marTop w:val="0"/>
          <w:marBottom w:val="0"/>
          <w:divBdr>
            <w:top w:val="none" w:sz="0" w:space="0" w:color="auto"/>
            <w:left w:val="none" w:sz="0" w:space="0" w:color="auto"/>
            <w:bottom w:val="none" w:sz="0" w:space="0" w:color="auto"/>
            <w:right w:val="none" w:sz="0" w:space="0" w:color="auto"/>
          </w:divBdr>
        </w:div>
        <w:div w:id="723679803">
          <w:marLeft w:val="0"/>
          <w:marRight w:val="0"/>
          <w:marTop w:val="0"/>
          <w:marBottom w:val="0"/>
          <w:divBdr>
            <w:top w:val="none" w:sz="0" w:space="0" w:color="auto"/>
            <w:left w:val="none" w:sz="0" w:space="0" w:color="auto"/>
            <w:bottom w:val="none" w:sz="0" w:space="0" w:color="auto"/>
            <w:right w:val="none" w:sz="0" w:space="0" w:color="auto"/>
          </w:divBdr>
        </w:div>
        <w:div w:id="940454502">
          <w:marLeft w:val="0"/>
          <w:marRight w:val="0"/>
          <w:marTop w:val="0"/>
          <w:marBottom w:val="0"/>
          <w:divBdr>
            <w:top w:val="none" w:sz="0" w:space="0" w:color="auto"/>
            <w:left w:val="none" w:sz="0" w:space="0" w:color="auto"/>
            <w:bottom w:val="none" w:sz="0" w:space="0" w:color="auto"/>
            <w:right w:val="none" w:sz="0" w:space="0" w:color="auto"/>
          </w:divBdr>
        </w:div>
        <w:div w:id="966157750">
          <w:marLeft w:val="0"/>
          <w:marRight w:val="0"/>
          <w:marTop w:val="0"/>
          <w:marBottom w:val="0"/>
          <w:divBdr>
            <w:top w:val="none" w:sz="0" w:space="0" w:color="auto"/>
            <w:left w:val="none" w:sz="0" w:space="0" w:color="auto"/>
            <w:bottom w:val="none" w:sz="0" w:space="0" w:color="auto"/>
            <w:right w:val="none" w:sz="0" w:space="0" w:color="auto"/>
          </w:divBdr>
        </w:div>
        <w:div w:id="1198422348">
          <w:marLeft w:val="0"/>
          <w:marRight w:val="0"/>
          <w:marTop w:val="0"/>
          <w:marBottom w:val="0"/>
          <w:divBdr>
            <w:top w:val="none" w:sz="0" w:space="0" w:color="auto"/>
            <w:left w:val="none" w:sz="0" w:space="0" w:color="auto"/>
            <w:bottom w:val="none" w:sz="0" w:space="0" w:color="auto"/>
            <w:right w:val="none" w:sz="0" w:space="0" w:color="auto"/>
          </w:divBdr>
        </w:div>
        <w:div w:id="2048215536">
          <w:marLeft w:val="0"/>
          <w:marRight w:val="0"/>
          <w:marTop w:val="0"/>
          <w:marBottom w:val="0"/>
          <w:divBdr>
            <w:top w:val="none" w:sz="0" w:space="0" w:color="auto"/>
            <w:left w:val="none" w:sz="0" w:space="0" w:color="auto"/>
            <w:bottom w:val="none" w:sz="0" w:space="0" w:color="auto"/>
            <w:right w:val="none" w:sz="0" w:space="0" w:color="auto"/>
          </w:divBdr>
        </w:div>
      </w:divsChild>
    </w:div>
    <w:div w:id="272829811">
      <w:bodyDiv w:val="1"/>
      <w:marLeft w:val="0"/>
      <w:marRight w:val="0"/>
      <w:marTop w:val="0"/>
      <w:marBottom w:val="0"/>
      <w:divBdr>
        <w:top w:val="none" w:sz="0" w:space="0" w:color="auto"/>
        <w:left w:val="none" w:sz="0" w:space="0" w:color="auto"/>
        <w:bottom w:val="none" w:sz="0" w:space="0" w:color="auto"/>
        <w:right w:val="none" w:sz="0" w:space="0" w:color="auto"/>
      </w:divBdr>
      <w:divsChild>
        <w:div w:id="718941848">
          <w:marLeft w:val="0"/>
          <w:marRight w:val="0"/>
          <w:marTop w:val="0"/>
          <w:marBottom w:val="0"/>
          <w:divBdr>
            <w:top w:val="none" w:sz="0" w:space="0" w:color="auto"/>
            <w:left w:val="none" w:sz="0" w:space="0" w:color="auto"/>
            <w:bottom w:val="none" w:sz="0" w:space="0" w:color="auto"/>
            <w:right w:val="none" w:sz="0" w:space="0" w:color="auto"/>
          </w:divBdr>
        </w:div>
      </w:divsChild>
    </w:div>
    <w:div w:id="276527671">
      <w:bodyDiv w:val="1"/>
      <w:marLeft w:val="0"/>
      <w:marRight w:val="0"/>
      <w:marTop w:val="0"/>
      <w:marBottom w:val="0"/>
      <w:divBdr>
        <w:top w:val="none" w:sz="0" w:space="0" w:color="auto"/>
        <w:left w:val="none" w:sz="0" w:space="0" w:color="auto"/>
        <w:bottom w:val="none" w:sz="0" w:space="0" w:color="auto"/>
        <w:right w:val="none" w:sz="0" w:space="0" w:color="auto"/>
      </w:divBdr>
    </w:div>
    <w:div w:id="294411500">
      <w:bodyDiv w:val="1"/>
      <w:marLeft w:val="0"/>
      <w:marRight w:val="0"/>
      <w:marTop w:val="0"/>
      <w:marBottom w:val="0"/>
      <w:divBdr>
        <w:top w:val="none" w:sz="0" w:space="0" w:color="auto"/>
        <w:left w:val="none" w:sz="0" w:space="0" w:color="auto"/>
        <w:bottom w:val="none" w:sz="0" w:space="0" w:color="auto"/>
        <w:right w:val="none" w:sz="0" w:space="0" w:color="auto"/>
      </w:divBdr>
    </w:div>
    <w:div w:id="309600284">
      <w:bodyDiv w:val="1"/>
      <w:marLeft w:val="0"/>
      <w:marRight w:val="0"/>
      <w:marTop w:val="0"/>
      <w:marBottom w:val="0"/>
      <w:divBdr>
        <w:top w:val="none" w:sz="0" w:space="0" w:color="auto"/>
        <w:left w:val="none" w:sz="0" w:space="0" w:color="auto"/>
        <w:bottom w:val="none" w:sz="0" w:space="0" w:color="auto"/>
        <w:right w:val="none" w:sz="0" w:space="0" w:color="auto"/>
      </w:divBdr>
    </w:div>
    <w:div w:id="328826878">
      <w:bodyDiv w:val="1"/>
      <w:marLeft w:val="0"/>
      <w:marRight w:val="0"/>
      <w:marTop w:val="0"/>
      <w:marBottom w:val="0"/>
      <w:divBdr>
        <w:top w:val="none" w:sz="0" w:space="0" w:color="auto"/>
        <w:left w:val="none" w:sz="0" w:space="0" w:color="auto"/>
        <w:bottom w:val="none" w:sz="0" w:space="0" w:color="auto"/>
        <w:right w:val="none" w:sz="0" w:space="0" w:color="auto"/>
      </w:divBdr>
    </w:div>
    <w:div w:id="341516190">
      <w:bodyDiv w:val="1"/>
      <w:marLeft w:val="0"/>
      <w:marRight w:val="0"/>
      <w:marTop w:val="0"/>
      <w:marBottom w:val="0"/>
      <w:divBdr>
        <w:top w:val="none" w:sz="0" w:space="0" w:color="auto"/>
        <w:left w:val="none" w:sz="0" w:space="0" w:color="auto"/>
        <w:bottom w:val="none" w:sz="0" w:space="0" w:color="auto"/>
        <w:right w:val="none" w:sz="0" w:space="0" w:color="auto"/>
      </w:divBdr>
    </w:div>
    <w:div w:id="342050601">
      <w:bodyDiv w:val="1"/>
      <w:marLeft w:val="0"/>
      <w:marRight w:val="0"/>
      <w:marTop w:val="0"/>
      <w:marBottom w:val="0"/>
      <w:divBdr>
        <w:top w:val="none" w:sz="0" w:space="0" w:color="auto"/>
        <w:left w:val="none" w:sz="0" w:space="0" w:color="auto"/>
        <w:bottom w:val="none" w:sz="0" w:space="0" w:color="auto"/>
        <w:right w:val="none" w:sz="0" w:space="0" w:color="auto"/>
      </w:divBdr>
    </w:div>
    <w:div w:id="344020769">
      <w:bodyDiv w:val="1"/>
      <w:marLeft w:val="0"/>
      <w:marRight w:val="0"/>
      <w:marTop w:val="0"/>
      <w:marBottom w:val="0"/>
      <w:divBdr>
        <w:top w:val="none" w:sz="0" w:space="0" w:color="auto"/>
        <w:left w:val="none" w:sz="0" w:space="0" w:color="auto"/>
        <w:bottom w:val="none" w:sz="0" w:space="0" w:color="auto"/>
        <w:right w:val="none" w:sz="0" w:space="0" w:color="auto"/>
      </w:divBdr>
    </w:div>
    <w:div w:id="346833748">
      <w:bodyDiv w:val="1"/>
      <w:marLeft w:val="0"/>
      <w:marRight w:val="0"/>
      <w:marTop w:val="0"/>
      <w:marBottom w:val="0"/>
      <w:divBdr>
        <w:top w:val="none" w:sz="0" w:space="0" w:color="auto"/>
        <w:left w:val="none" w:sz="0" w:space="0" w:color="auto"/>
        <w:bottom w:val="none" w:sz="0" w:space="0" w:color="auto"/>
        <w:right w:val="none" w:sz="0" w:space="0" w:color="auto"/>
      </w:divBdr>
    </w:div>
    <w:div w:id="381832039">
      <w:bodyDiv w:val="1"/>
      <w:marLeft w:val="0"/>
      <w:marRight w:val="0"/>
      <w:marTop w:val="0"/>
      <w:marBottom w:val="0"/>
      <w:divBdr>
        <w:top w:val="none" w:sz="0" w:space="0" w:color="auto"/>
        <w:left w:val="none" w:sz="0" w:space="0" w:color="auto"/>
        <w:bottom w:val="none" w:sz="0" w:space="0" w:color="auto"/>
        <w:right w:val="none" w:sz="0" w:space="0" w:color="auto"/>
      </w:divBdr>
    </w:div>
    <w:div w:id="382871853">
      <w:bodyDiv w:val="1"/>
      <w:marLeft w:val="0"/>
      <w:marRight w:val="0"/>
      <w:marTop w:val="0"/>
      <w:marBottom w:val="0"/>
      <w:divBdr>
        <w:top w:val="none" w:sz="0" w:space="0" w:color="auto"/>
        <w:left w:val="none" w:sz="0" w:space="0" w:color="auto"/>
        <w:bottom w:val="none" w:sz="0" w:space="0" w:color="auto"/>
        <w:right w:val="none" w:sz="0" w:space="0" w:color="auto"/>
      </w:divBdr>
    </w:div>
    <w:div w:id="395663303">
      <w:bodyDiv w:val="1"/>
      <w:marLeft w:val="0"/>
      <w:marRight w:val="0"/>
      <w:marTop w:val="0"/>
      <w:marBottom w:val="0"/>
      <w:divBdr>
        <w:top w:val="none" w:sz="0" w:space="0" w:color="auto"/>
        <w:left w:val="none" w:sz="0" w:space="0" w:color="auto"/>
        <w:bottom w:val="none" w:sz="0" w:space="0" w:color="auto"/>
        <w:right w:val="none" w:sz="0" w:space="0" w:color="auto"/>
      </w:divBdr>
    </w:div>
    <w:div w:id="403843203">
      <w:bodyDiv w:val="1"/>
      <w:marLeft w:val="0"/>
      <w:marRight w:val="0"/>
      <w:marTop w:val="0"/>
      <w:marBottom w:val="0"/>
      <w:divBdr>
        <w:top w:val="none" w:sz="0" w:space="0" w:color="auto"/>
        <w:left w:val="none" w:sz="0" w:space="0" w:color="auto"/>
        <w:bottom w:val="none" w:sz="0" w:space="0" w:color="auto"/>
        <w:right w:val="none" w:sz="0" w:space="0" w:color="auto"/>
      </w:divBdr>
    </w:div>
    <w:div w:id="440539412">
      <w:bodyDiv w:val="1"/>
      <w:marLeft w:val="0"/>
      <w:marRight w:val="0"/>
      <w:marTop w:val="0"/>
      <w:marBottom w:val="0"/>
      <w:divBdr>
        <w:top w:val="none" w:sz="0" w:space="0" w:color="auto"/>
        <w:left w:val="none" w:sz="0" w:space="0" w:color="auto"/>
        <w:bottom w:val="none" w:sz="0" w:space="0" w:color="auto"/>
        <w:right w:val="none" w:sz="0" w:space="0" w:color="auto"/>
      </w:divBdr>
    </w:div>
    <w:div w:id="443885332">
      <w:bodyDiv w:val="1"/>
      <w:marLeft w:val="0"/>
      <w:marRight w:val="0"/>
      <w:marTop w:val="0"/>
      <w:marBottom w:val="0"/>
      <w:divBdr>
        <w:top w:val="none" w:sz="0" w:space="0" w:color="auto"/>
        <w:left w:val="none" w:sz="0" w:space="0" w:color="auto"/>
        <w:bottom w:val="none" w:sz="0" w:space="0" w:color="auto"/>
        <w:right w:val="none" w:sz="0" w:space="0" w:color="auto"/>
      </w:divBdr>
    </w:div>
    <w:div w:id="444732085">
      <w:bodyDiv w:val="1"/>
      <w:marLeft w:val="0"/>
      <w:marRight w:val="0"/>
      <w:marTop w:val="0"/>
      <w:marBottom w:val="0"/>
      <w:divBdr>
        <w:top w:val="none" w:sz="0" w:space="0" w:color="auto"/>
        <w:left w:val="none" w:sz="0" w:space="0" w:color="auto"/>
        <w:bottom w:val="none" w:sz="0" w:space="0" w:color="auto"/>
        <w:right w:val="none" w:sz="0" w:space="0" w:color="auto"/>
      </w:divBdr>
    </w:div>
    <w:div w:id="474762116">
      <w:bodyDiv w:val="1"/>
      <w:marLeft w:val="0"/>
      <w:marRight w:val="0"/>
      <w:marTop w:val="0"/>
      <w:marBottom w:val="0"/>
      <w:divBdr>
        <w:top w:val="none" w:sz="0" w:space="0" w:color="auto"/>
        <w:left w:val="none" w:sz="0" w:space="0" w:color="auto"/>
        <w:bottom w:val="none" w:sz="0" w:space="0" w:color="auto"/>
        <w:right w:val="none" w:sz="0" w:space="0" w:color="auto"/>
      </w:divBdr>
    </w:div>
    <w:div w:id="500587664">
      <w:bodyDiv w:val="1"/>
      <w:marLeft w:val="60"/>
      <w:marRight w:val="60"/>
      <w:marTop w:val="60"/>
      <w:marBottom w:val="15"/>
      <w:divBdr>
        <w:top w:val="none" w:sz="0" w:space="0" w:color="auto"/>
        <w:left w:val="none" w:sz="0" w:space="0" w:color="auto"/>
        <w:bottom w:val="none" w:sz="0" w:space="0" w:color="auto"/>
        <w:right w:val="none" w:sz="0" w:space="0" w:color="auto"/>
      </w:divBdr>
      <w:divsChild>
        <w:div w:id="188491397">
          <w:marLeft w:val="0"/>
          <w:marRight w:val="0"/>
          <w:marTop w:val="0"/>
          <w:marBottom w:val="0"/>
          <w:divBdr>
            <w:top w:val="none" w:sz="0" w:space="0" w:color="auto"/>
            <w:left w:val="none" w:sz="0" w:space="0" w:color="auto"/>
            <w:bottom w:val="none" w:sz="0" w:space="0" w:color="auto"/>
            <w:right w:val="none" w:sz="0" w:space="0" w:color="auto"/>
          </w:divBdr>
        </w:div>
        <w:div w:id="1558323123">
          <w:marLeft w:val="0"/>
          <w:marRight w:val="0"/>
          <w:marTop w:val="0"/>
          <w:marBottom w:val="0"/>
          <w:divBdr>
            <w:top w:val="none" w:sz="0" w:space="0" w:color="auto"/>
            <w:left w:val="none" w:sz="0" w:space="0" w:color="auto"/>
            <w:bottom w:val="none" w:sz="0" w:space="0" w:color="auto"/>
            <w:right w:val="none" w:sz="0" w:space="0" w:color="auto"/>
          </w:divBdr>
        </w:div>
      </w:divsChild>
    </w:div>
    <w:div w:id="503515352">
      <w:bodyDiv w:val="1"/>
      <w:marLeft w:val="0"/>
      <w:marRight w:val="0"/>
      <w:marTop w:val="0"/>
      <w:marBottom w:val="0"/>
      <w:divBdr>
        <w:top w:val="none" w:sz="0" w:space="0" w:color="auto"/>
        <w:left w:val="none" w:sz="0" w:space="0" w:color="auto"/>
        <w:bottom w:val="none" w:sz="0" w:space="0" w:color="auto"/>
        <w:right w:val="none" w:sz="0" w:space="0" w:color="auto"/>
      </w:divBdr>
    </w:div>
    <w:div w:id="504170112">
      <w:bodyDiv w:val="1"/>
      <w:marLeft w:val="0"/>
      <w:marRight w:val="0"/>
      <w:marTop w:val="0"/>
      <w:marBottom w:val="0"/>
      <w:divBdr>
        <w:top w:val="none" w:sz="0" w:space="0" w:color="auto"/>
        <w:left w:val="none" w:sz="0" w:space="0" w:color="auto"/>
        <w:bottom w:val="none" w:sz="0" w:space="0" w:color="auto"/>
        <w:right w:val="none" w:sz="0" w:space="0" w:color="auto"/>
      </w:divBdr>
    </w:div>
    <w:div w:id="514609629">
      <w:bodyDiv w:val="1"/>
      <w:marLeft w:val="0"/>
      <w:marRight w:val="0"/>
      <w:marTop w:val="0"/>
      <w:marBottom w:val="0"/>
      <w:divBdr>
        <w:top w:val="none" w:sz="0" w:space="0" w:color="auto"/>
        <w:left w:val="none" w:sz="0" w:space="0" w:color="auto"/>
        <w:bottom w:val="none" w:sz="0" w:space="0" w:color="auto"/>
        <w:right w:val="none" w:sz="0" w:space="0" w:color="auto"/>
      </w:divBdr>
    </w:div>
    <w:div w:id="535847971">
      <w:bodyDiv w:val="1"/>
      <w:marLeft w:val="0"/>
      <w:marRight w:val="0"/>
      <w:marTop w:val="0"/>
      <w:marBottom w:val="0"/>
      <w:divBdr>
        <w:top w:val="none" w:sz="0" w:space="0" w:color="auto"/>
        <w:left w:val="none" w:sz="0" w:space="0" w:color="auto"/>
        <w:bottom w:val="none" w:sz="0" w:space="0" w:color="auto"/>
        <w:right w:val="none" w:sz="0" w:space="0" w:color="auto"/>
      </w:divBdr>
    </w:div>
    <w:div w:id="542596999">
      <w:bodyDiv w:val="1"/>
      <w:marLeft w:val="0"/>
      <w:marRight w:val="0"/>
      <w:marTop w:val="0"/>
      <w:marBottom w:val="0"/>
      <w:divBdr>
        <w:top w:val="none" w:sz="0" w:space="0" w:color="auto"/>
        <w:left w:val="none" w:sz="0" w:space="0" w:color="auto"/>
        <w:bottom w:val="none" w:sz="0" w:space="0" w:color="auto"/>
        <w:right w:val="none" w:sz="0" w:space="0" w:color="auto"/>
      </w:divBdr>
    </w:div>
    <w:div w:id="548959726">
      <w:bodyDiv w:val="1"/>
      <w:marLeft w:val="0"/>
      <w:marRight w:val="0"/>
      <w:marTop w:val="0"/>
      <w:marBottom w:val="0"/>
      <w:divBdr>
        <w:top w:val="none" w:sz="0" w:space="0" w:color="auto"/>
        <w:left w:val="none" w:sz="0" w:space="0" w:color="auto"/>
        <w:bottom w:val="none" w:sz="0" w:space="0" w:color="auto"/>
        <w:right w:val="none" w:sz="0" w:space="0" w:color="auto"/>
      </w:divBdr>
    </w:div>
    <w:div w:id="563031208">
      <w:bodyDiv w:val="1"/>
      <w:marLeft w:val="0"/>
      <w:marRight w:val="0"/>
      <w:marTop w:val="0"/>
      <w:marBottom w:val="0"/>
      <w:divBdr>
        <w:top w:val="none" w:sz="0" w:space="0" w:color="auto"/>
        <w:left w:val="none" w:sz="0" w:space="0" w:color="auto"/>
        <w:bottom w:val="none" w:sz="0" w:space="0" w:color="auto"/>
        <w:right w:val="none" w:sz="0" w:space="0" w:color="auto"/>
      </w:divBdr>
    </w:div>
    <w:div w:id="565184607">
      <w:bodyDiv w:val="1"/>
      <w:marLeft w:val="0"/>
      <w:marRight w:val="0"/>
      <w:marTop w:val="0"/>
      <w:marBottom w:val="0"/>
      <w:divBdr>
        <w:top w:val="none" w:sz="0" w:space="0" w:color="auto"/>
        <w:left w:val="none" w:sz="0" w:space="0" w:color="auto"/>
        <w:bottom w:val="none" w:sz="0" w:space="0" w:color="auto"/>
        <w:right w:val="none" w:sz="0" w:space="0" w:color="auto"/>
      </w:divBdr>
    </w:div>
    <w:div w:id="579607566">
      <w:bodyDiv w:val="1"/>
      <w:marLeft w:val="0"/>
      <w:marRight w:val="0"/>
      <w:marTop w:val="0"/>
      <w:marBottom w:val="0"/>
      <w:divBdr>
        <w:top w:val="none" w:sz="0" w:space="0" w:color="auto"/>
        <w:left w:val="none" w:sz="0" w:space="0" w:color="auto"/>
        <w:bottom w:val="none" w:sz="0" w:space="0" w:color="auto"/>
        <w:right w:val="none" w:sz="0" w:space="0" w:color="auto"/>
      </w:divBdr>
    </w:div>
    <w:div w:id="630985155">
      <w:bodyDiv w:val="1"/>
      <w:marLeft w:val="0"/>
      <w:marRight w:val="0"/>
      <w:marTop w:val="0"/>
      <w:marBottom w:val="0"/>
      <w:divBdr>
        <w:top w:val="none" w:sz="0" w:space="0" w:color="auto"/>
        <w:left w:val="none" w:sz="0" w:space="0" w:color="auto"/>
        <w:bottom w:val="none" w:sz="0" w:space="0" w:color="auto"/>
        <w:right w:val="none" w:sz="0" w:space="0" w:color="auto"/>
      </w:divBdr>
    </w:div>
    <w:div w:id="636840487">
      <w:bodyDiv w:val="1"/>
      <w:marLeft w:val="0"/>
      <w:marRight w:val="0"/>
      <w:marTop w:val="0"/>
      <w:marBottom w:val="0"/>
      <w:divBdr>
        <w:top w:val="none" w:sz="0" w:space="0" w:color="auto"/>
        <w:left w:val="none" w:sz="0" w:space="0" w:color="auto"/>
        <w:bottom w:val="none" w:sz="0" w:space="0" w:color="auto"/>
        <w:right w:val="none" w:sz="0" w:space="0" w:color="auto"/>
      </w:divBdr>
    </w:div>
    <w:div w:id="649602623">
      <w:bodyDiv w:val="1"/>
      <w:marLeft w:val="0"/>
      <w:marRight w:val="0"/>
      <w:marTop w:val="0"/>
      <w:marBottom w:val="0"/>
      <w:divBdr>
        <w:top w:val="none" w:sz="0" w:space="0" w:color="auto"/>
        <w:left w:val="none" w:sz="0" w:space="0" w:color="auto"/>
        <w:bottom w:val="none" w:sz="0" w:space="0" w:color="auto"/>
        <w:right w:val="none" w:sz="0" w:space="0" w:color="auto"/>
      </w:divBdr>
    </w:div>
    <w:div w:id="649946007">
      <w:bodyDiv w:val="1"/>
      <w:marLeft w:val="0"/>
      <w:marRight w:val="0"/>
      <w:marTop w:val="0"/>
      <w:marBottom w:val="0"/>
      <w:divBdr>
        <w:top w:val="none" w:sz="0" w:space="0" w:color="auto"/>
        <w:left w:val="none" w:sz="0" w:space="0" w:color="auto"/>
        <w:bottom w:val="none" w:sz="0" w:space="0" w:color="auto"/>
        <w:right w:val="none" w:sz="0" w:space="0" w:color="auto"/>
      </w:divBdr>
    </w:div>
    <w:div w:id="652565818">
      <w:bodyDiv w:val="1"/>
      <w:marLeft w:val="0"/>
      <w:marRight w:val="0"/>
      <w:marTop w:val="0"/>
      <w:marBottom w:val="0"/>
      <w:divBdr>
        <w:top w:val="none" w:sz="0" w:space="0" w:color="auto"/>
        <w:left w:val="none" w:sz="0" w:space="0" w:color="auto"/>
        <w:bottom w:val="none" w:sz="0" w:space="0" w:color="auto"/>
        <w:right w:val="none" w:sz="0" w:space="0" w:color="auto"/>
      </w:divBdr>
    </w:div>
    <w:div w:id="668171036">
      <w:bodyDiv w:val="1"/>
      <w:marLeft w:val="0"/>
      <w:marRight w:val="0"/>
      <w:marTop w:val="0"/>
      <w:marBottom w:val="0"/>
      <w:divBdr>
        <w:top w:val="none" w:sz="0" w:space="0" w:color="auto"/>
        <w:left w:val="none" w:sz="0" w:space="0" w:color="auto"/>
        <w:bottom w:val="none" w:sz="0" w:space="0" w:color="auto"/>
        <w:right w:val="none" w:sz="0" w:space="0" w:color="auto"/>
      </w:divBdr>
    </w:div>
    <w:div w:id="669868577">
      <w:bodyDiv w:val="1"/>
      <w:marLeft w:val="0"/>
      <w:marRight w:val="0"/>
      <w:marTop w:val="0"/>
      <w:marBottom w:val="0"/>
      <w:divBdr>
        <w:top w:val="none" w:sz="0" w:space="0" w:color="auto"/>
        <w:left w:val="none" w:sz="0" w:space="0" w:color="auto"/>
        <w:bottom w:val="none" w:sz="0" w:space="0" w:color="auto"/>
        <w:right w:val="none" w:sz="0" w:space="0" w:color="auto"/>
      </w:divBdr>
    </w:div>
    <w:div w:id="675696498">
      <w:bodyDiv w:val="1"/>
      <w:marLeft w:val="0"/>
      <w:marRight w:val="0"/>
      <w:marTop w:val="0"/>
      <w:marBottom w:val="0"/>
      <w:divBdr>
        <w:top w:val="none" w:sz="0" w:space="0" w:color="auto"/>
        <w:left w:val="none" w:sz="0" w:space="0" w:color="auto"/>
        <w:bottom w:val="none" w:sz="0" w:space="0" w:color="auto"/>
        <w:right w:val="none" w:sz="0" w:space="0" w:color="auto"/>
      </w:divBdr>
    </w:div>
    <w:div w:id="710227249">
      <w:bodyDiv w:val="1"/>
      <w:marLeft w:val="0"/>
      <w:marRight w:val="0"/>
      <w:marTop w:val="0"/>
      <w:marBottom w:val="0"/>
      <w:divBdr>
        <w:top w:val="none" w:sz="0" w:space="0" w:color="auto"/>
        <w:left w:val="none" w:sz="0" w:space="0" w:color="auto"/>
        <w:bottom w:val="none" w:sz="0" w:space="0" w:color="auto"/>
        <w:right w:val="none" w:sz="0" w:space="0" w:color="auto"/>
      </w:divBdr>
    </w:div>
    <w:div w:id="714430494">
      <w:bodyDiv w:val="1"/>
      <w:marLeft w:val="0"/>
      <w:marRight w:val="0"/>
      <w:marTop w:val="0"/>
      <w:marBottom w:val="0"/>
      <w:divBdr>
        <w:top w:val="none" w:sz="0" w:space="0" w:color="auto"/>
        <w:left w:val="none" w:sz="0" w:space="0" w:color="auto"/>
        <w:bottom w:val="none" w:sz="0" w:space="0" w:color="auto"/>
        <w:right w:val="none" w:sz="0" w:space="0" w:color="auto"/>
      </w:divBdr>
    </w:div>
    <w:div w:id="763383714">
      <w:bodyDiv w:val="1"/>
      <w:marLeft w:val="0"/>
      <w:marRight w:val="0"/>
      <w:marTop w:val="0"/>
      <w:marBottom w:val="0"/>
      <w:divBdr>
        <w:top w:val="none" w:sz="0" w:space="0" w:color="auto"/>
        <w:left w:val="none" w:sz="0" w:space="0" w:color="auto"/>
        <w:bottom w:val="none" w:sz="0" w:space="0" w:color="auto"/>
        <w:right w:val="none" w:sz="0" w:space="0" w:color="auto"/>
      </w:divBdr>
    </w:div>
    <w:div w:id="778332253">
      <w:bodyDiv w:val="1"/>
      <w:marLeft w:val="0"/>
      <w:marRight w:val="0"/>
      <w:marTop w:val="0"/>
      <w:marBottom w:val="0"/>
      <w:divBdr>
        <w:top w:val="none" w:sz="0" w:space="0" w:color="auto"/>
        <w:left w:val="none" w:sz="0" w:space="0" w:color="auto"/>
        <w:bottom w:val="none" w:sz="0" w:space="0" w:color="auto"/>
        <w:right w:val="none" w:sz="0" w:space="0" w:color="auto"/>
      </w:divBdr>
    </w:div>
    <w:div w:id="780682781">
      <w:bodyDiv w:val="1"/>
      <w:marLeft w:val="0"/>
      <w:marRight w:val="0"/>
      <w:marTop w:val="0"/>
      <w:marBottom w:val="0"/>
      <w:divBdr>
        <w:top w:val="none" w:sz="0" w:space="0" w:color="auto"/>
        <w:left w:val="none" w:sz="0" w:space="0" w:color="auto"/>
        <w:bottom w:val="none" w:sz="0" w:space="0" w:color="auto"/>
        <w:right w:val="none" w:sz="0" w:space="0" w:color="auto"/>
      </w:divBdr>
    </w:div>
    <w:div w:id="794177131">
      <w:bodyDiv w:val="1"/>
      <w:marLeft w:val="0"/>
      <w:marRight w:val="0"/>
      <w:marTop w:val="0"/>
      <w:marBottom w:val="0"/>
      <w:divBdr>
        <w:top w:val="none" w:sz="0" w:space="0" w:color="auto"/>
        <w:left w:val="none" w:sz="0" w:space="0" w:color="auto"/>
        <w:bottom w:val="none" w:sz="0" w:space="0" w:color="auto"/>
        <w:right w:val="none" w:sz="0" w:space="0" w:color="auto"/>
      </w:divBdr>
    </w:div>
    <w:div w:id="796875918">
      <w:bodyDiv w:val="1"/>
      <w:marLeft w:val="0"/>
      <w:marRight w:val="0"/>
      <w:marTop w:val="0"/>
      <w:marBottom w:val="0"/>
      <w:divBdr>
        <w:top w:val="none" w:sz="0" w:space="0" w:color="auto"/>
        <w:left w:val="none" w:sz="0" w:space="0" w:color="auto"/>
        <w:bottom w:val="none" w:sz="0" w:space="0" w:color="auto"/>
        <w:right w:val="none" w:sz="0" w:space="0" w:color="auto"/>
      </w:divBdr>
    </w:div>
    <w:div w:id="840319291">
      <w:bodyDiv w:val="1"/>
      <w:marLeft w:val="0"/>
      <w:marRight w:val="0"/>
      <w:marTop w:val="0"/>
      <w:marBottom w:val="0"/>
      <w:divBdr>
        <w:top w:val="none" w:sz="0" w:space="0" w:color="auto"/>
        <w:left w:val="none" w:sz="0" w:space="0" w:color="auto"/>
        <w:bottom w:val="none" w:sz="0" w:space="0" w:color="auto"/>
        <w:right w:val="none" w:sz="0" w:space="0" w:color="auto"/>
      </w:divBdr>
    </w:div>
    <w:div w:id="850530938">
      <w:bodyDiv w:val="1"/>
      <w:marLeft w:val="0"/>
      <w:marRight w:val="0"/>
      <w:marTop w:val="0"/>
      <w:marBottom w:val="0"/>
      <w:divBdr>
        <w:top w:val="none" w:sz="0" w:space="0" w:color="auto"/>
        <w:left w:val="none" w:sz="0" w:space="0" w:color="auto"/>
        <w:bottom w:val="none" w:sz="0" w:space="0" w:color="auto"/>
        <w:right w:val="none" w:sz="0" w:space="0" w:color="auto"/>
      </w:divBdr>
    </w:div>
    <w:div w:id="877930531">
      <w:bodyDiv w:val="1"/>
      <w:marLeft w:val="0"/>
      <w:marRight w:val="0"/>
      <w:marTop w:val="0"/>
      <w:marBottom w:val="0"/>
      <w:divBdr>
        <w:top w:val="none" w:sz="0" w:space="0" w:color="auto"/>
        <w:left w:val="none" w:sz="0" w:space="0" w:color="auto"/>
        <w:bottom w:val="none" w:sz="0" w:space="0" w:color="auto"/>
        <w:right w:val="none" w:sz="0" w:space="0" w:color="auto"/>
      </w:divBdr>
    </w:div>
    <w:div w:id="882015520">
      <w:bodyDiv w:val="1"/>
      <w:marLeft w:val="0"/>
      <w:marRight w:val="0"/>
      <w:marTop w:val="0"/>
      <w:marBottom w:val="0"/>
      <w:divBdr>
        <w:top w:val="none" w:sz="0" w:space="0" w:color="auto"/>
        <w:left w:val="none" w:sz="0" w:space="0" w:color="auto"/>
        <w:bottom w:val="none" w:sz="0" w:space="0" w:color="auto"/>
        <w:right w:val="none" w:sz="0" w:space="0" w:color="auto"/>
      </w:divBdr>
    </w:div>
    <w:div w:id="900942610">
      <w:bodyDiv w:val="1"/>
      <w:marLeft w:val="0"/>
      <w:marRight w:val="0"/>
      <w:marTop w:val="0"/>
      <w:marBottom w:val="0"/>
      <w:divBdr>
        <w:top w:val="none" w:sz="0" w:space="0" w:color="auto"/>
        <w:left w:val="none" w:sz="0" w:space="0" w:color="auto"/>
        <w:bottom w:val="none" w:sz="0" w:space="0" w:color="auto"/>
        <w:right w:val="none" w:sz="0" w:space="0" w:color="auto"/>
      </w:divBdr>
    </w:div>
    <w:div w:id="909582827">
      <w:bodyDiv w:val="1"/>
      <w:marLeft w:val="0"/>
      <w:marRight w:val="0"/>
      <w:marTop w:val="0"/>
      <w:marBottom w:val="0"/>
      <w:divBdr>
        <w:top w:val="none" w:sz="0" w:space="0" w:color="auto"/>
        <w:left w:val="none" w:sz="0" w:space="0" w:color="auto"/>
        <w:bottom w:val="none" w:sz="0" w:space="0" w:color="auto"/>
        <w:right w:val="none" w:sz="0" w:space="0" w:color="auto"/>
      </w:divBdr>
      <w:divsChild>
        <w:div w:id="1199927859">
          <w:marLeft w:val="0"/>
          <w:marRight w:val="0"/>
          <w:marTop w:val="0"/>
          <w:marBottom w:val="0"/>
          <w:divBdr>
            <w:top w:val="none" w:sz="0" w:space="0" w:color="auto"/>
            <w:left w:val="none" w:sz="0" w:space="0" w:color="auto"/>
            <w:bottom w:val="none" w:sz="0" w:space="0" w:color="auto"/>
            <w:right w:val="none" w:sz="0" w:space="0" w:color="auto"/>
          </w:divBdr>
        </w:div>
      </w:divsChild>
    </w:div>
    <w:div w:id="933828873">
      <w:bodyDiv w:val="1"/>
      <w:marLeft w:val="60"/>
      <w:marRight w:val="60"/>
      <w:marTop w:val="60"/>
      <w:marBottom w:val="15"/>
      <w:divBdr>
        <w:top w:val="none" w:sz="0" w:space="0" w:color="auto"/>
        <w:left w:val="none" w:sz="0" w:space="0" w:color="auto"/>
        <w:bottom w:val="none" w:sz="0" w:space="0" w:color="auto"/>
        <w:right w:val="none" w:sz="0" w:space="0" w:color="auto"/>
      </w:divBdr>
      <w:divsChild>
        <w:div w:id="1925331593">
          <w:marLeft w:val="0"/>
          <w:marRight w:val="0"/>
          <w:marTop w:val="0"/>
          <w:marBottom w:val="0"/>
          <w:divBdr>
            <w:top w:val="none" w:sz="0" w:space="0" w:color="auto"/>
            <w:left w:val="none" w:sz="0" w:space="0" w:color="auto"/>
            <w:bottom w:val="none" w:sz="0" w:space="0" w:color="auto"/>
            <w:right w:val="none" w:sz="0" w:space="0" w:color="auto"/>
          </w:divBdr>
        </w:div>
      </w:divsChild>
    </w:div>
    <w:div w:id="943269157">
      <w:bodyDiv w:val="1"/>
      <w:marLeft w:val="0"/>
      <w:marRight w:val="0"/>
      <w:marTop w:val="0"/>
      <w:marBottom w:val="0"/>
      <w:divBdr>
        <w:top w:val="none" w:sz="0" w:space="0" w:color="auto"/>
        <w:left w:val="none" w:sz="0" w:space="0" w:color="auto"/>
        <w:bottom w:val="none" w:sz="0" w:space="0" w:color="auto"/>
        <w:right w:val="none" w:sz="0" w:space="0" w:color="auto"/>
      </w:divBdr>
    </w:div>
    <w:div w:id="946624801">
      <w:bodyDiv w:val="1"/>
      <w:marLeft w:val="0"/>
      <w:marRight w:val="0"/>
      <w:marTop w:val="0"/>
      <w:marBottom w:val="0"/>
      <w:divBdr>
        <w:top w:val="none" w:sz="0" w:space="0" w:color="auto"/>
        <w:left w:val="none" w:sz="0" w:space="0" w:color="auto"/>
        <w:bottom w:val="none" w:sz="0" w:space="0" w:color="auto"/>
        <w:right w:val="none" w:sz="0" w:space="0" w:color="auto"/>
      </w:divBdr>
    </w:div>
    <w:div w:id="1014310623">
      <w:bodyDiv w:val="1"/>
      <w:marLeft w:val="0"/>
      <w:marRight w:val="0"/>
      <w:marTop w:val="0"/>
      <w:marBottom w:val="0"/>
      <w:divBdr>
        <w:top w:val="none" w:sz="0" w:space="0" w:color="auto"/>
        <w:left w:val="none" w:sz="0" w:space="0" w:color="auto"/>
        <w:bottom w:val="none" w:sz="0" w:space="0" w:color="auto"/>
        <w:right w:val="none" w:sz="0" w:space="0" w:color="auto"/>
      </w:divBdr>
    </w:div>
    <w:div w:id="1023478318">
      <w:bodyDiv w:val="1"/>
      <w:marLeft w:val="0"/>
      <w:marRight w:val="0"/>
      <w:marTop w:val="0"/>
      <w:marBottom w:val="0"/>
      <w:divBdr>
        <w:top w:val="none" w:sz="0" w:space="0" w:color="auto"/>
        <w:left w:val="none" w:sz="0" w:space="0" w:color="auto"/>
        <w:bottom w:val="none" w:sz="0" w:space="0" w:color="auto"/>
        <w:right w:val="none" w:sz="0" w:space="0" w:color="auto"/>
      </w:divBdr>
      <w:divsChild>
        <w:div w:id="159584257">
          <w:marLeft w:val="0"/>
          <w:marRight w:val="0"/>
          <w:marTop w:val="0"/>
          <w:marBottom w:val="0"/>
          <w:divBdr>
            <w:top w:val="none" w:sz="0" w:space="0" w:color="auto"/>
            <w:left w:val="none" w:sz="0" w:space="0" w:color="auto"/>
            <w:bottom w:val="none" w:sz="0" w:space="0" w:color="auto"/>
            <w:right w:val="none" w:sz="0" w:space="0" w:color="auto"/>
          </w:divBdr>
        </w:div>
        <w:div w:id="171333847">
          <w:marLeft w:val="0"/>
          <w:marRight w:val="0"/>
          <w:marTop w:val="0"/>
          <w:marBottom w:val="0"/>
          <w:divBdr>
            <w:top w:val="none" w:sz="0" w:space="0" w:color="auto"/>
            <w:left w:val="none" w:sz="0" w:space="0" w:color="auto"/>
            <w:bottom w:val="none" w:sz="0" w:space="0" w:color="auto"/>
            <w:right w:val="none" w:sz="0" w:space="0" w:color="auto"/>
          </w:divBdr>
        </w:div>
        <w:div w:id="240214877">
          <w:marLeft w:val="0"/>
          <w:marRight w:val="0"/>
          <w:marTop w:val="0"/>
          <w:marBottom w:val="0"/>
          <w:divBdr>
            <w:top w:val="none" w:sz="0" w:space="0" w:color="auto"/>
            <w:left w:val="none" w:sz="0" w:space="0" w:color="auto"/>
            <w:bottom w:val="none" w:sz="0" w:space="0" w:color="auto"/>
            <w:right w:val="none" w:sz="0" w:space="0" w:color="auto"/>
          </w:divBdr>
        </w:div>
        <w:div w:id="263346360">
          <w:marLeft w:val="0"/>
          <w:marRight w:val="0"/>
          <w:marTop w:val="0"/>
          <w:marBottom w:val="0"/>
          <w:divBdr>
            <w:top w:val="none" w:sz="0" w:space="0" w:color="auto"/>
            <w:left w:val="none" w:sz="0" w:space="0" w:color="auto"/>
            <w:bottom w:val="none" w:sz="0" w:space="0" w:color="auto"/>
            <w:right w:val="none" w:sz="0" w:space="0" w:color="auto"/>
          </w:divBdr>
        </w:div>
        <w:div w:id="377899807">
          <w:marLeft w:val="0"/>
          <w:marRight w:val="0"/>
          <w:marTop w:val="0"/>
          <w:marBottom w:val="0"/>
          <w:divBdr>
            <w:top w:val="none" w:sz="0" w:space="0" w:color="auto"/>
            <w:left w:val="none" w:sz="0" w:space="0" w:color="auto"/>
            <w:bottom w:val="none" w:sz="0" w:space="0" w:color="auto"/>
            <w:right w:val="none" w:sz="0" w:space="0" w:color="auto"/>
          </w:divBdr>
        </w:div>
        <w:div w:id="395665832">
          <w:marLeft w:val="0"/>
          <w:marRight w:val="0"/>
          <w:marTop w:val="0"/>
          <w:marBottom w:val="0"/>
          <w:divBdr>
            <w:top w:val="none" w:sz="0" w:space="0" w:color="auto"/>
            <w:left w:val="none" w:sz="0" w:space="0" w:color="auto"/>
            <w:bottom w:val="none" w:sz="0" w:space="0" w:color="auto"/>
            <w:right w:val="none" w:sz="0" w:space="0" w:color="auto"/>
          </w:divBdr>
        </w:div>
        <w:div w:id="988091083">
          <w:marLeft w:val="0"/>
          <w:marRight w:val="0"/>
          <w:marTop w:val="0"/>
          <w:marBottom w:val="0"/>
          <w:divBdr>
            <w:top w:val="none" w:sz="0" w:space="0" w:color="auto"/>
            <w:left w:val="none" w:sz="0" w:space="0" w:color="auto"/>
            <w:bottom w:val="none" w:sz="0" w:space="0" w:color="auto"/>
            <w:right w:val="none" w:sz="0" w:space="0" w:color="auto"/>
          </w:divBdr>
        </w:div>
        <w:div w:id="1517118308">
          <w:marLeft w:val="0"/>
          <w:marRight w:val="0"/>
          <w:marTop w:val="0"/>
          <w:marBottom w:val="0"/>
          <w:divBdr>
            <w:top w:val="none" w:sz="0" w:space="0" w:color="auto"/>
            <w:left w:val="none" w:sz="0" w:space="0" w:color="auto"/>
            <w:bottom w:val="none" w:sz="0" w:space="0" w:color="auto"/>
            <w:right w:val="none" w:sz="0" w:space="0" w:color="auto"/>
          </w:divBdr>
        </w:div>
        <w:div w:id="1869638045">
          <w:marLeft w:val="0"/>
          <w:marRight w:val="0"/>
          <w:marTop w:val="0"/>
          <w:marBottom w:val="0"/>
          <w:divBdr>
            <w:top w:val="none" w:sz="0" w:space="0" w:color="auto"/>
            <w:left w:val="none" w:sz="0" w:space="0" w:color="auto"/>
            <w:bottom w:val="none" w:sz="0" w:space="0" w:color="auto"/>
            <w:right w:val="none" w:sz="0" w:space="0" w:color="auto"/>
          </w:divBdr>
        </w:div>
        <w:div w:id="2044330188">
          <w:marLeft w:val="0"/>
          <w:marRight w:val="0"/>
          <w:marTop w:val="0"/>
          <w:marBottom w:val="0"/>
          <w:divBdr>
            <w:top w:val="none" w:sz="0" w:space="0" w:color="auto"/>
            <w:left w:val="none" w:sz="0" w:space="0" w:color="auto"/>
            <w:bottom w:val="none" w:sz="0" w:space="0" w:color="auto"/>
            <w:right w:val="none" w:sz="0" w:space="0" w:color="auto"/>
          </w:divBdr>
        </w:div>
      </w:divsChild>
    </w:div>
    <w:div w:id="1026295847">
      <w:bodyDiv w:val="1"/>
      <w:marLeft w:val="0"/>
      <w:marRight w:val="0"/>
      <w:marTop w:val="0"/>
      <w:marBottom w:val="0"/>
      <w:divBdr>
        <w:top w:val="none" w:sz="0" w:space="0" w:color="auto"/>
        <w:left w:val="none" w:sz="0" w:space="0" w:color="auto"/>
        <w:bottom w:val="none" w:sz="0" w:space="0" w:color="auto"/>
        <w:right w:val="none" w:sz="0" w:space="0" w:color="auto"/>
      </w:divBdr>
    </w:div>
    <w:div w:id="1034308130">
      <w:bodyDiv w:val="1"/>
      <w:marLeft w:val="0"/>
      <w:marRight w:val="0"/>
      <w:marTop w:val="0"/>
      <w:marBottom w:val="0"/>
      <w:divBdr>
        <w:top w:val="none" w:sz="0" w:space="0" w:color="auto"/>
        <w:left w:val="none" w:sz="0" w:space="0" w:color="auto"/>
        <w:bottom w:val="none" w:sz="0" w:space="0" w:color="auto"/>
        <w:right w:val="none" w:sz="0" w:space="0" w:color="auto"/>
      </w:divBdr>
    </w:div>
    <w:div w:id="1035080835">
      <w:bodyDiv w:val="1"/>
      <w:marLeft w:val="0"/>
      <w:marRight w:val="0"/>
      <w:marTop w:val="0"/>
      <w:marBottom w:val="0"/>
      <w:divBdr>
        <w:top w:val="none" w:sz="0" w:space="0" w:color="auto"/>
        <w:left w:val="none" w:sz="0" w:space="0" w:color="auto"/>
        <w:bottom w:val="none" w:sz="0" w:space="0" w:color="auto"/>
        <w:right w:val="none" w:sz="0" w:space="0" w:color="auto"/>
      </w:divBdr>
    </w:div>
    <w:div w:id="1048531717">
      <w:bodyDiv w:val="1"/>
      <w:marLeft w:val="0"/>
      <w:marRight w:val="0"/>
      <w:marTop w:val="0"/>
      <w:marBottom w:val="0"/>
      <w:divBdr>
        <w:top w:val="none" w:sz="0" w:space="0" w:color="auto"/>
        <w:left w:val="none" w:sz="0" w:space="0" w:color="auto"/>
        <w:bottom w:val="none" w:sz="0" w:space="0" w:color="auto"/>
        <w:right w:val="none" w:sz="0" w:space="0" w:color="auto"/>
      </w:divBdr>
    </w:div>
    <w:div w:id="1051198330">
      <w:bodyDiv w:val="1"/>
      <w:marLeft w:val="0"/>
      <w:marRight w:val="0"/>
      <w:marTop w:val="0"/>
      <w:marBottom w:val="0"/>
      <w:divBdr>
        <w:top w:val="none" w:sz="0" w:space="0" w:color="auto"/>
        <w:left w:val="none" w:sz="0" w:space="0" w:color="auto"/>
        <w:bottom w:val="none" w:sz="0" w:space="0" w:color="auto"/>
        <w:right w:val="none" w:sz="0" w:space="0" w:color="auto"/>
      </w:divBdr>
    </w:div>
    <w:div w:id="1082683204">
      <w:bodyDiv w:val="1"/>
      <w:marLeft w:val="0"/>
      <w:marRight w:val="0"/>
      <w:marTop w:val="0"/>
      <w:marBottom w:val="0"/>
      <w:divBdr>
        <w:top w:val="none" w:sz="0" w:space="0" w:color="auto"/>
        <w:left w:val="none" w:sz="0" w:space="0" w:color="auto"/>
        <w:bottom w:val="none" w:sz="0" w:space="0" w:color="auto"/>
        <w:right w:val="none" w:sz="0" w:space="0" w:color="auto"/>
      </w:divBdr>
    </w:div>
    <w:div w:id="1119956783">
      <w:bodyDiv w:val="1"/>
      <w:marLeft w:val="0"/>
      <w:marRight w:val="0"/>
      <w:marTop w:val="0"/>
      <w:marBottom w:val="0"/>
      <w:divBdr>
        <w:top w:val="none" w:sz="0" w:space="0" w:color="auto"/>
        <w:left w:val="none" w:sz="0" w:space="0" w:color="auto"/>
        <w:bottom w:val="none" w:sz="0" w:space="0" w:color="auto"/>
        <w:right w:val="none" w:sz="0" w:space="0" w:color="auto"/>
      </w:divBdr>
    </w:div>
    <w:div w:id="1131049219">
      <w:bodyDiv w:val="1"/>
      <w:marLeft w:val="0"/>
      <w:marRight w:val="0"/>
      <w:marTop w:val="0"/>
      <w:marBottom w:val="0"/>
      <w:divBdr>
        <w:top w:val="none" w:sz="0" w:space="0" w:color="auto"/>
        <w:left w:val="none" w:sz="0" w:space="0" w:color="auto"/>
        <w:bottom w:val="none" w:sz="0" w:space="0" w:color="auto"/>
        <w:right w:val="none" w:sz="0" w:space="0" w:color="auto"/>
      </w:divBdr>
    </w:div>
    <w:div w:id="1135870573">
      <w:bodyDiv w:val="1"/>
      <w:marLeft w:val="0"/>
      <w:marRight w:val="0"/>
      <w:marTop w:val="0"/>
      <w:marBottom w:val="0"/>
      <w:divBdr>
        <w:top w:val="none" w:sz="0" w:space="0" w:color="auto"/>
        <w:left w:val="none" w:sz="0" w:space="0" w:color="auto"/>
        <w:bottom w:val="none" w:sz="0" w:space="0" w:color="auto"/>
        <w:right w:val="none" w:sz="0" w:space="0" w:color="auto"/>
      </w:divBdr>
    </w:div>
    <w:div w:id="1169060187">
      <w:bodyDiv w:val="1"/>
      <w:marLeft w:val="0"/>
      <w:marRight w:val="0"/>
      <w:marTop w:val="0"/>
      <w:marBottom w:val="0"/>
      <w:divBdr>
        <w:top w:val="none" w:sz="0" w:space="0" w:color="auto"/>
        <w:left w:val="none" w:sz="0" w:space="0" w:color="auto"/>
        <w:bottom w:val="none" w:sz="0" w:space="0" w:color="auto"/>
        <w:right w:val="none" w:sz="0" w:space="0" w:color="auto"/>
      </w:divBdr>
    </w:div>
    <w:div w:id="1197691331">
      <w:bodyDiv w:val="1"/>
      <w:marLeft w:val="0"/>
      <w:marRight w:val="0"/>
      <w:marTop w:val="0"/>
      <w:marBottom w:val="0"/>
      <w:divBdr>
        <w:top w:val="none" w:sz="0" w:space="0" w:color="auto"/>
        <w:left w:val="none" w:sz="0" w:space="0" w:color="auto"/>
        <w:bottom w:val="none" w:sz="0" w:space="0" w:color="auto"/>
        <w:right w:val="none" w:sz="0" w:space="0" w:color="auto"/>
      </w:divBdr>
    </w:div>
    <w:div w:id="1252618404">
      <w:bodyDiv w:val="1"/>
      <w:marLeft w:val="0"/>
      <w:marRight w:val="0"/>
      <w:marTop w:val="0"/>
      <w:marBottom w:val="0"/>
      <w:divBdr>
        <w:top w:val="none" w:sz="0" w:space="0" w:color="auto"/>
        <w:left w:val="none" w:sz="0" w:space="0" w:color="auto"/>
        <w:bottom w:val="none" w:sz="0" w:space="0" w:color="auto"/>
        <w:right w:val="none" w:sz="0" w:space="0" w:color="auto"/>
      </w:divBdr>
    </w:div>
    <w:div w:id="1265385193">
      <w:bodyDiv w:val="1"/>
      <w:marLeft w:val="0"/>
      <w:marRight w:val="0"/>
      <w:marTop w:val="0"/>
      <w:marBottom w:val="0"/>
      <w:divBdr>
        <w:top w:val="none" w:sz="0" w:space="0" w:color="auto"/>
        <w:left w:val="none" w:sz="0" w:space="0" w:color="auto"/>
        <w:bottom w:val="none" w:sz="0" w:space="0" w:color="auto"/>
        <w:right w:val="none" w:sz="0" w:space="0" w:color="auto"/>
      </w:divBdr>
    </w:div>
    <w:div w:id="1334993685">
      <w:bodyDiv w:val="1"/>
      <w:marLeft w:val="0"/>
      <w:marRight w:val="0"/>
      <w:marTop w:val="0"/>
      <w:marBottom w:val="0"/>
      <w:divBdr>
        <w:top w:val="none" w:sz="0" w:space="0" w:color="auto"/>
        <w:left w:val="none" w:sz="0" w:space="0" w:color="auto"/>
        <w:bottom w:val="none" w:sz="0" w:space="0" w:color="auto"/>
        <w:right w:val="none" w:sz="0" w:space="0" w:color="auto"/>
      </w:divBdr>
    </w:div>
    <w:div w:id="1337725939">
      <w:bodyDiv w:val="1"/>
      <w:marLeft w:val="0"/>
      <w:marRight w:val="0"/>
      <w:marTop w:val="0"/>
      <w:marBottom w:val="0"/>
      <w:divBdr>
        <w:top w:val="none" w:sz="0" w:space="0" w:color="auto"/>
        <w:left w:val="none" w:sz="0" w:space="0" w:color="auto"/>
        <w:bottom w:val="none" w:sz="0" w:space="0" w:color="auto"/>
        <w:right w:val="none" w:sz="0" w:space="0" w:color="auto"/>
      </w:divBdr>
    </w:div>
    <w:div w:id="1369798843">
      <w:bodyDiv w:val="1"/>
      <w:marLeft w:val="0"/>
      <w:marRight w:val="0"/>
      <w:marTop w:val="0"/>
      <w:marBottom w:val="0"/>
      <w:divBdr>
        <w:top w:val="none" w:sz="0" w:space="0" w:color="auto"/>
        <w:left w:val="none" w:sz="0" w:space="0" w:color="auto"/>
        <w:bottom w:val="none" w:sz="0" w:space="0" w:color="auto"/>
        <w:right w:val="none" w:sz="0" w:space="0" w:color="auto"/>
      </w:divBdr>
    </w:div>
    <w:div w:id="1387608762">
      <w:bodyDiv w:val="1"/>
      <w:marLeft w:val="0"/>
      <w:marRight w:val="0"/>
      <w:marTop w:val="0"/>
      <w:marBottom w:val="0"/>
      <w:divBdr>
        <w:top w:val="none" w:sz="0" w:space="0" w:color="auto"/>
        <w:left w:val="none" w:sz="0" w:space="0" w:color="auto"/>
        <w:bottom w:val="none" w:sz="0" w:space="0" w:color="auto"/>
        <w:right w:val="none" w:sz="0" w:space="0" w:color="auto"/>
      </w:divBdr>
    </w:div>
    <w:div w:id="1389843636">
      <w:bodyDiv w:val="1"/>
      <w:marLeft w:val="0"/>
      <w:marRight w:val="0"/>
      <w:marTop w:val="0"/>
      <w:marBottom w:val="0"/>
      <w:divBdr>
        <w:top w:val="none" w:sz="0" w:space="0" w:color="auto"/>
        <w:left w:val="none" w:sz="0" w:space="0" w:color="auto"/>
        <w:bottom w:val="none" w:sz="0" w:space="0" w:color="auto"/>
        <w:right w:val="none" w:sz="0" w:space="0" w:color="auto"/>
      </w:divBdr>
    </w:div>
    <w:div w:id="1394541636">
      <w:bodyDiv w:val="1"/>
      <w:marLeft w:val="0"/>
      <w:marRight w:val="0"/>
      <w:marTop w:val="0"/>
      <w:marBottom w:val="0"/>
      <w:divBdr>
        <w:top w:val="none" w:sz="0" w:space="0" w:color="auto"/>
        <w:left w:val="none" w:sz="0" w:space="0" w:color="auto"/>
        <w:bottom w:val="none" w:sz="0" w:space="0" w:color="auto"/>
        <w:right w:val="none" w:sz="0" w:space="0" w:color="auto"/>
      </w:divBdr>
      <w:divsChild>
        <w:div w:id="1902250691">
          <w:marLeft w:val="0"/>
          <w:marRight w:val="0"/>
          <w:marTop w:val="0"/>
          <w:marBottom w:val="0"/>
          <w:divBdr>
            <w:top w:val="none" w:sz="0" w:space="0" w:color="auto"/>
            <w:left w:val="none" w:sz="0" w:space="0" w:color="auto"/>
            <w:bottom w:val="none" w:sz="0" w:space="0" w:color="auto"/>
            <w:right w:val="none" w:sz="0" w:space="0" w:color="auto"/>
          </w:divBdr>
        </w:div>
      </w:divsChild>
    </w:div>
    <w:div w:id="1396198337">
      <w:bodyDiv w:val="1"/>
      <w:marLeft w:val="0"/>
      <w:marRight w:val="0"/>
      <w:marTop w:val="0"/>
      <w:marBottom w:val="0"/>
      <w:divBdr>
        <w:top w:val="none" w:sz="0" w:space="0" w:color="auto"/>
        <w:left w:val="none" w:sz="0" w:space="0" w:color="auto"/>
        <w:bottom w:val="none" w:sz="0" w:space="0" w:color="auto"/>
        <w:right w:val="none" w:sz="0" w:space="0" w:color="auto"/>
      </w:divBdr>
    </w:div>
    <w:div w:id="1399670874">
      <w:bodyDiv w:val="1"/>
      <w:marLeft w:val="0"/>
      <w:marRight w:val="0"/>
      <w:marTop w:val="0"/>
      <w:marBottom w:val="0"/>
      <w:divBdr>
        <w:top w:val="none" w:sz="0" w:space="0" w:color="auto"/>
        <w:left w:val="none" w:sz="0" w:space="0" w:color="auto"/>
        <w:bottom w:val="none" w:sz="0" w:space="0" w:color="auto"/>
        <w:right w:val="none" w:sz="0" w:space="0" w:color="auto"/>
      </w:divBdr>
    </w:div>
    <w:div w:id="1412703211">
      <w:bodyDiv w:val="1"/>
      <w:marLeft w:val="0"/>
      <w:marRight w:val="0"/>
      <w:marTop w:val="0"/>
      <w:marBottom w:val="0"/>
      <w:divBdr>
        <w:top w:val="none" w:sz="0" w:space="0" w:color="auto"/>
        <w:left w:val="none" w:sz="0" w:space="0" w:color="auto"/>
        <w:bottom w:val="none" w:sz="0" w:space="0" w:color="auto"/>
        <w:right w:val="none" w:sz="0" w:space="0" w:color="auto"/>
      </w:divBdr>
      <w:divsChild>
        <w:div w:id="980580199">
          <w:marLeft w:val="0"/>
          <w:marRight w:val="0"/>
          <w:marTop w:val="0"/>
          <w:marBottom w:val="0"/>
          <w:divBdr>
            <w:top w:val="none" w:sz="0" w:space="0" w:color="auto"/>
            <w:left w:val="none" w:sz="0" w:space="0" w:color="auto"/>
            <w:bottom w:val="none" w:sz="0" w:space="0" w:color="auto"/>
            <w:right w:val="none" w:sz="0" w:space="0" w:color="auto"/>
          </w:divBdr>
        </w:div>
      </w:divsChild>
    </w:div>
    <w:div w:id="1421876254">
      <w:bodyDiv w:val="1"/>
      <w:marLeft w:val="0"/>
      <w:marRight w:val="0"/>
      <w:marTop w:val="0"/>
      <w:marBottom w:val="0"/>
      <w:divBdr>
        <w:top w:val="none" w:sz="0" w:space="0" w:color="auto"/>
        <w:left w:val="none" w:sz="0" w:space="0" w:color="auto"/>
        <w:bottom w:val="none" w:sz="0" w:space="0" w:color="auto"/>
        <w:right w:val="none" w:sz="0" w:space="0" w:color="auto"/>
      </w:divBdr>
    </w:div>
    <w:div w:id="1428388216">
      <w:bodyDiv w:val="1"/>
      <w:marLeft w:val="0"/>
      <w:marRight w:val="0"/>
      <w:marTop w:val="0"/>
      <w:marBottom w:val="0"/>
      <w:divBdr>
        <w:top w:val="none" w:sz="0" w:space="0" w:color="auto"/>
        <w:left w:val="none" w:sz="0" w:space="0" w:color="auto"/>
        <w:bottom w:val="none" w:sz="0" w:space="0" w:color="auto"/>
        <w:right w:val="none" w:sz="0" w:space="0" w:color="auto"/>
      </w:divBdr>
    </w:div>
    <w:div w:id="1429037403">
      <w:bodyDiv w:val="1"/>
      <w:marLeft w:val="0"/>
      <w:marRight w:val="0"/>
      <w:marTop w:val="0"/>
      <w:marBottom w:val="0"/>
      <w:divBdr>
        <w:top w:val="none" w:sz="0" w:space="0" w:color="auto"/>
        <w:left w:val="none" w:sz="0" w:space="0" w:color="auto"/>
        <w:bottom w:val="none" w:sz="0" w:space="0" w:color="auto"/>
        <w:right w:val="none" w:sz="0" w:space="0" w:color="auto"/>
      </w:divBdr>
    </w:div>
    <w:div w:id="1454981524">
      <w:bodyDiv w:val="1"/>
      <w:marLeft w:val="0"/>
      <w:marRight w:val="0"/>
      <w:marTop w:val="0"/>
      <w:marBottom w:val="0"/>
      <w:divBdr>
        <w:top w:val="none" w:sz="0" w:space="0" w:color="auto"/>
        <w:left w:val="none" w:sz="0" w:space="0" w:color="auto"/>
        <w:bottom w:val="none" w:sz="0" w:space="0" w:color="auto"/>
        <w:right w:val="none" w:sz="0" w:space="0" w:color="auto"/>
      </w:divBdr>
    </w:div>
    <w:div w:id="1463302514">
      <w:bodyDiv w:val="1"/>
      <w:marLeft w:val="0"/>
      <w:marRight w:val="0"/>
      <w:marTop w:val="0"/>
      <w:marBottom w:val="0"/>
      <w:divBdr>
        <w:top w:val="none" w:sz="0" w:space="0" w:color="auto"/>
        <w:left w:val="none" w:sz="0" w:space="0" w:color="auto"/>
        <w:bottom w:val="none" w:sz="0" w:space="0" w:color="auto"/>
        <w:right w:val="none" w:sz="0" w:space="0" w:color="auto"/>
      </w:divBdr>
      <w:divsChild>
        <w:div w:id="879559792">
          <w:marLeft w:val="0"/>
          <w:marRight w:val="0"/>
          <w:marTop w:val="0"/>
          <w:marBottom w:val="0"/>
          <w:divBdr>
            <w:top w:val="none" w:sz="0" w:space="0" w:color="auto"/>
            <w:left w:val="none" w:sz="0" w:space="0" w:color="auto"/>
            <w:bottom w:val="none" w:sz="0" w:space="0" w:color="auto"/>
            <w:right w:val="none" w:sz="0" w:space="0" w:color="auto"/>
          </w:divBdr>
        </w:div>
      </w:divsChild>
    </w:div>
    <w:div w:id="1509325404">
      <w:bodyDiv w:val="1"/>
      <w:marLeft w:val="0"/>
      <w:marRight w:val="0"/>
      <w:marTop w:val="0"/>
      <w:marBottom w:val="0"/>
      <w:divBdr>
        <w:top w:val="none" w:sz="0" w:space="0" w:color="auto"/>
        <w:left w:val="none" w:sz="0" w:space="0" w:color="auto"/>
        <w:bottom w:val="none" w:sz="0" w:space="0" w:color="auto"/>
        <w:right w:val="none" w:sz="0" w:space="0" w:color="auto"/>
      </w:divBdr>
    </w:div>
    <w:div w:id="1509441327">
      <w:bodyDiv w:val="1"/>
      <w:marLeft w:val="0"/>
      <w:marRight w:val="0"/>
      <w:marTop w:val="0"/>
      <w:marBottom w:val="0"/>
      <w:divBdr>
        <w:top w:val="none" w:sz="0" w:space="0" w:color="auto"/>
        <w:left w:val="none" w:sz="0" w:space="0" w:color="auto"/>
        <w:bottom w:val="none" w:sz="0" w:space="0" w:color="auto"/>
        <w:right w:val="none" w:sz="0" w:space="0" w:color="auto"/>
      </w:divBdr>
    </w:div>
    <w:div w:id="1513035978">
      <w:bodyDiv w:val="1"/>
      <w:marLeft w:val="0"/>
      <w:marRight w:val="0"/>
      <w:marTop w:val="0"/>
      <w:marBottom w:val="0"/>
      <w:divBdr>
        <w:top w:val="none" w:sz="0" w:space="0" w:color="auto"/>
        <w:left w:val="none" w:sz="0" w:space="0" w:color="auto"/>
        <w:bottom w:val="none" w:sz="0" w:space="0" w:color="auto"/>
        <w:right w:val="none" w:sz="0" w:space="0" w:color="auto"/>
      </w:divBdr>
    </w:div>
    <w:div w:id="1548713400">
      <w:bodyDiv w:val="1"/>
      <w:marLeft w:val="0"/>
      <w:marRight w:val="0"/>
      <w:marTop w:val="0"/>
      <w:marBottom w:val="0"/>
      <w:divBdr>
        <w:top w:val="none" w:sz="0" w:space="0" w:color="auto"/>
        <w:left w:val="none" w:sz="0" w:space="0" w:color="auto"/>
        <w:bottom w:val="none" w:sz="0" w:space="0" w:color="auto"/>
        <w:right w:val="none" w:sz="0" w:space="0" w:color="auto"/>
      </w:divBdr>
    </w:div>
    <w:div w:id="1551914988">
      <w:bodyDiv w:val="1"/>
      <w:marLeft w:val="0"/>
      <w:marRight w:val="0"/>
      <w:marTop w:val="0"/>
      <w:marBottom w:val="0"/>
      <w:divBdr>
        <w:top w:val="none" w:sz="0" w:space="0" w:color="auto"/>
        <w:left w:val="none" w:sz="0" w:space="0" w:color="auto"/>
        <w:bottom w:val="none" w:sz="0" w:space="0" w:color="auto"/>
        <w:right w:val="none" w:sz="0" w:space="0" w:color="auto"/>
      </w:divBdr>
    </w:div>
    <w:div w:id="1557857383">
      <w:bodyDiv w:val="1"/>
      <w:marLeft w:val="0"/>
      <w:marRight w:val="0"/>
      <w:marTop w:val="0"/>
      <w:marBottom w:val="0"/>
      <w:divBdr>
        <w:top w:val="none" w:sz="0" w:space="0" w:color="auto"/>
        <w:left w:val="none" w:sz="0" w:space="0" w:color="auto"/>
        <w:bottom w:val="none" w:sz="0" w:space="0" w:color="auto"/>
        <w:right w:val="none" w:sz="0" w:space="0" w:color="auto"/>
      </w:divBdr>
    </w:div>
    <w:div w:id="1568419487">
      <w:bodyDiv w:val="1"/>
      <w:marLeft w:val="0"/>
      <w:marRight w:val="0"/>
      <w:marTop w:val="0"/>
      <w:marBottom w:val="0"/>
      <w:divBdr>
        <w:top w:val="none" w:sz="0" w:space="0" w:color="auto"/>
        <w:left w:val="none" w:sz="0" w:space="0" w:color="auto"/>
        <w:bottom w:val="none" w:sz="0" w:space="0" w:color="auto"/>
        <w:right w:val="none" w:sz="0" w:space="0" w:color="auto"/>
      </w:divBdr>
    </w:div>
    <w:div w:id="1577788567">
      <w:bodyDiv w:val="1"/>
      <w:marLeft w:val="0"/>
      <w:marRight w:val="0"/>
      <w:marTop w:val="0"/>
      <w:marBottom w:val="0"/>
      <w:divBdr>
        <w:top w:val="none" w:sz="0" w:space="0" w:color="auto"/>
        <w:left w:val="none" w:sz="0" w:space="0" w:color="auto"/>
        <w:bottom w:val="none" w:sz="0" w:space="0" w:color="auto"/>
        <w:right w:val="none" w:sz="0" w:space="0" w:color="auto"/>
      </w:divBdr>
    </w:div>
    <w:div w:id="1583106469">
      <w:bodyDiv w:val="1"/>
      <w:marLeft w:val="0"/>
      <w:marRight w:val="0"/>
      <w:marTop w:val="0"/>
      <w:marBottom w:val="0"/>
      <w:divBdr>
        <w:top w:val="none" w:sz="0" w:space="0" w:color="auto"/>
        <w:left w:val="none" w:sz="0" w:space="0" w:color="auto"/>
        <w:bottom w:val="none" w:sz="0" w:space="0" w:color="auto"/>
        <w:right w:val="none" w:sz="0" w:space="0" w:color="auto"/>
      </w:divBdr>
    </w:div>
    <w:div w:id="1608123463">
      <w:bodyDiv w:val="1"/>
      <w:marLeft w:val="0"/>
      <w:marRight w:val="0"/>
      <w:marTop w:val="0"/>
      <w:marBottom w:val="0"/>
      <w:divBdr>
        <w:top w:val="none" w:sz="0" w:space="0" w:color="auto"/>
        <w:left w:val="none" w:sz="0" w:space="0" w:color="auto"/>
        <w:bottom w:val="none" w:sz="0" w:space="0" w:color="auto"/>
        <w:right w:val="none" w:sz="0" w:space="0" w:color="auto"/>
      </w:divBdr>
    </w:div>
    <w:div w:id="1621258557">
      <w:bodyDiv w:val="1"/>
      <w:marLeft w:val="0"/>
      <w:marRight w:val="0"/>
      <w:marTop w:val="0"/>
      <w:marBottom w:val="0"/>
      <w:divBdr>
        <w:top w:val="none" w:sz="0" w:space="0" w:color="auto"/>
        <w:left w:val="none" w:sz="0" w:space="0" w:color="auto"/>
        <w:bottom w:val="none" w:sz="0" w:space="0" w:color="auto"/>
        <w:right w:val="none" w:sz="0" w:space="0" w:color="auto"/>
      </w:divBdr>
    </w:div>
    <w:div w:id="1635284699">
      <w:bodyDiv w:val="1"/>
      <w:marLeft w:val="0"/>
      <w:marRight w:val="0"/>
      <w:marTop w:val="0"/>
      <w:marBottom w:val="0"/>
      <w:divBdr>
        <w:top w:val="none" w:sz="0" w:space="0" w:color="auto"/>
        <w:left w:val="none" w:sz="0" w:space="0" w:color="auto"/>
        <w:bottom w:val="none" w:sz="0" w:space="0" w:color="auto"/>
        <w:right w:val="none" w:sz="0" w:space="0" w:color="auto"/>
      </w:divBdr>
    </w:div>
    <w:div w:id="1655910107">
      <w:bodyDiv w:val="1"/>
      <w:marLeft w:val="0"/>
      <w:marRight w:val="0"/>
      <w:marTop w:val="0"/>
      <w:marBottom w:val="0"/>
      <w:divBdr>
        <w:top w:val="none" w:sz="0" w:space="0" w:color="auto"/>
        <w:left w:val="none" w:sz="0" w:space="0" w:color="auto"/>
        <w:bottom w:val="none" w:sz="0" w:space="0" w:color="auto"/>
        <w:right w:val="none" w:sz="0" w:space="0" w:color="auto"/>
      </w:divBdr>
    </w:div>
    <w:div w:id="1741711751">
      <w:bodyDiv w:val="1"/>
      <w:marLeft w:val="0"/>
      <w:marRight w:val="0"/>
      <w:marTop w:val="0"/>
      <w:marBottom w:val="0"/>
      <w:divBdr>
        <w:top w:val="none" w:sz="0" w:space="0" w:color="auto"/>
        <w:left w:val="none" w:sz="0" w:space="0" w:color="auto"/>
        <w:bottom w:val="none" w:sz="0" w:space="0" w:color="auto"/>
        <w:right w:val="none" w:sz="0" w:space="0" w:color="auto"/>
      </w:divBdr>
    </w:div>
    <w:div w:id="1750497933">
      <w:bodyDiv w:val="1"/>
      <w:marLeft w:val="0"/>
      <w:marRight w:val="0"/>
      <w:marTop w:val="0"/>
      <w:marBottom w:val="0"/>
      <w:divBdr>
        <w:top w:val="none" w:sz="0" w:space="0" w:color="auto"/>
        <w:left w:val="none" w:sz="0" w:space="0" w:color="auto"/>
        <w:bottom w:val="none" w:sz="0" w:space="0" w:color="auto"/>
        <w:right w:val="none" w:sz="0" w:space="0" w:color="auto"/>
      </w:divBdr>
    </w:div>
    <w:div w:id="1761559190">
      <w:bodyDiv w:val="1"/>
      <w:marLeft w:val="0"/>
      <w:marRight w:val="0"/>
      <w:marTop w:val="0"/>
      <w:marBottom w:val="0"/>
      <w:divBdr>
        <w:top w:val="none" w:sz="0" w:space="0" w:color="auto"/>
        <w:left w:val="none" w:sz="0" w:space="0" w:color="auto"/>
        <w:bottom w:val="none" w:sz="0" w:space="0" w:color="auto"/>
        <w:right w:val="none" w:sz="0" w:space="0" w:color="auto"/>
      </w:divBdr>
    </w:div>
    <w:div w:id="1772626172">
      <w:bodyDiv w:val="1"/>
      <w:marLeft w:val="0"/>
      <w:marRight w:val="0"/>
      <w:marTop w:val="0"/>
      <w:marBottom w:val="0"/>
      <w:divBdr>
        <w:top w:val="none" w:sz="0" w:space="0" w:color="auto"/>
        <w:left w:val="none" w:sz="0" w:space="0" w:color="auto"/>
        <w:bottom w:val="none" w:sz="0" w:space="0" w:color="auto"/>
        <w:right w:val="none" w:sz="0" w:space="0" w:color="auto"/>
      </w:divBdr>
    </w:div>
    <w:div w:id="1801532622">
      <w:bodyDiv w:val="1"/>
      <w:marLeft w:val="0"/>
      <w:marRight w:val="0"/>
      <w:marTop w:val="0"/>
      <w:marBottom w:val="0"/>
      <w:divBdr>
        <w:top w:val="none" w:sz="0" w:space="0" w:color="auto"/>
        <w:left w:val="none" w:sz="0" w:space="0" w:color="auto"/>
        <w:bottom w:val="none" w:sz="0" w:space="0" w:color="auto"/>
        <w:right w:val="none" w:sz="0" w:space="0" w:color="auto"/>
      </w:divBdr>
    </w:div>
    <w:div w:id="1802840696">
      <w:bodyDiv w:val="1"/>
      <w:marLeft w:val="0"/>
      <w:marRight w:val="0"/>
      <w:marTop w:val="0"/>
      <w:marBottom w:val="0"/>
      <w:divBdr>
        <w:top w:val="none" w:sz="0" w:space="0" w:color="auto"/>
        <w:left w:val="none" w:sz="0" w:space="0" w:color="auto"/>
        <w:bottom w:val="none" w:sz="0" w:space="0" w:color="auto"/>
        <w:right w:val="none" w:sz="0" w:space="0" w:color="auto"/>
      </w:divBdr>
    </w:div>
    <w:div w:id="1807089873">
      <w:bodyDiv w:val="1"/>
      <w:marLeft w:val="0"/>
      <w:marRight w:val="0"/>
      <w:marTop w:val="0"/>
      <w:marBottom w:val="0"/>
      <w:divBdr>
        <w:top w:val="none" w:sz="0" w:space="0" w:color="auto"/>
        <w:left w:val="none" w:sz="0" w:space="0" w:color="auto"/>
        <w:bottom w:val="none" w:sz="0" w:space="0" w:color="auto"/>
        <w:right w:val="none" w:sz="0" w:space="0" w:color="auto"/>
      </w:divBdr>
    </w:div>
    <w:div w:id="1832990647">
      <w:bodyDiv w:val="1"/>
      <w:marLeft w:val="0"/>
      <w:marRight w:val="0"/>
      <w:marTop w:val="0"/>
      <w:marBottom w:val="0"/>
      <w:divBdr>
        <w:top w:val="none" w:sz="0" w:space="0" w:color="auto"/>
        <w:left w:val="none" w:sz="0" w:space="0" w:color="auto"/>
        <w:bottom w:val="none" w:sz="0" w:space="0" w:color="auto"/>
        <w:right w:val="none" w:sz="0" w:space="0" w:color="auto"/>
      </w:divBdr>
    </w:div>
    <w:div w:id="1876624830">
      <w:bodyDiv w:val="1"/>
      <w:marLeft w:val="0"/>
      <w:marRight w:val="0"/>
      <w:marTop w:val="0"/>
      <w:marBottom w:val="0"/>
      <w:divBdr>
        <w:top w:val="none" w:sz="0" w:space="0" w:color="auto"/>
        <w:left w:val="none" w:sz="0" w:space="0" w:color="auto"/>
        <w:bottom w:val="none" w:sz="0" w:space="0" w:color="auto"/>
        <w:right w:val="none" w:sz="0" w:space="0" w:color="auto"/>
      </w:divBdr>
    </w:div>
    <w:div w:id="1879589772">
      <w:bodyDiv w:val="1"/>
      <w:marLeft w:val="0"/>
      <w:marRight w:val="0"/>
      <w:marTop w:val="0"/>
      <w:marBottom w:val="0"/>
      <w:divBdr>
        <w:top w:val="none" w:sz="0" w:space="0" w:color="auto"/>
        <w:left w:val="none" w:sz="0" w:space="0" w:color="auto"/>
        <w:bottom w:val="none" w:sz="0" w:space="0" w:color="auto"/>
        <w:right w:val="none" w:sz="0" w:space="0" w:color="auto"/>
      </w:divBdr>
    </w:div>
    <w:div w:id="1901747066">
      <w:bodyDiv w:val="1"/>
      <w:marLeft w:val="0"/>
      <w:marRight w:val="0"/>
      <w:marTop w:val="0"/>
      <w:marBottom w:val="0"/>
      <w:divBdr>
        <w:top w:val="none" w:sz="0" w:space="0" w:color="auto"/>
        <w:left w:val="none" w:sz="0" w:space="0" w:color="auto"/>
        <w:bottom w:val="none" w:sz="0" w:space="0" w:color="auto"/>
        <w:right w:val="none" w:sz="0" w:space="0" w:color="auto"/>
      </w:divBdr>
    </w:div>
    <w:div w:id="1912616127">
      <w:bodyDiv w:val="1"/>
      <w:marLeft w:val="0"/>
      <w:marRight w:val="0"/>
      <w:marTop w:val="0"/>
      <w:marBottom w:val="0"/>
      <w:divBdr>
        <w:top w:val="none" w:sz="0" w:space="0" w:color="auto"/>
        <w:left w:val="none" w:sz="0" w:space="0" w:color="auto"/>
        <w:bottom w:val="none" w:sz="0" w:space="0" w:color="auto"/>
        <w:right w:val="none" w:sz="0" w:space="0" w:color="auto"/>
      </w:divBdr>
    </w:div>
    <w:div w:id="1926260959">
      <w:bodyDiv w:val="1"/>
      <w:marLeft w:val="0"/>
      <w:marRight w:val="0"/>
      <w:marTop w:val="0"/>
      <w:marBottom w:val="0"/>
      <w:divBdr>
        <w:top w:val="none" w:sz="0" w:space="0" w:color="auto"/>
        <w:left w:val="none" w:sz="0" w:space="0" w:color="auto"/>
        <w:bottom w:val="none" w:sz="0" w:space="0" w:color="auto"/>
        <w:right w:val="none" w:sz="0" w:space="0" w:color="auto"/>
      </w:divBdr>
    </w:div>
    <w:div w:id="1939678238">
      <w:bodyDiv w:val="1"/>
      <w:marLeft w:val="0"/>
      <w:marRight w:val="0"/>
      <w:marTop w:val="0"/>
      <w:marBottom w:val="0"/>
      <w:divBdr>
        <w:top w:val="none" w:sz="0" w:space="0" w:color="auto"/>
        <w:left w:val="none" w:sz="0" w:space="0" w:color="auto"/>
        <w:bottom w:val="none" w:sz="0" w:space="0" w:color="auto"/>
        <w:right w:val="none" w:sz="0" w:space="0" w:color="auto"/>
      </w:divBdr>
    </w:div>
    <w:div w:id="1941521859">
      <w:bodyDiv w:val="1"/>
      <w:marLeft w:val="0"/>
      <w:marRight w:val="0"/>
      <w:marTop w:val="0"/>
      <w:marBottom w:val="0"/>
      <w:divBdr>
        <w:top w:val="none" w:sz="0" w:space="0" w:color="auto"/>
        <w:left w:val="none" w:sz="0" w:space="0" w:color="auto"/>
        <w:bottom w:val="none" w:sz="0" w:space="0" w:color="auto"/>
        <w:right w:val="none" w:sz="0" w:space="0" w:color="auto"/>
      </w:divBdr>
    </w:div>
    <w:div w:id="1943342170">
      <w:bodyDiv w:val="1"/>
      <w:marLeft w:val="0"/>
      <w:marRight w:val="0"/>
      <w:marTop w:val="0"/>
      <w:marBottom w:val="0"/>
      <w:divBdr>
        <w:top w:val="none" w:sz="0" w:space="0" w:color="auto"/>
        <w:left w:val="none" w:sz="0" w:space="0" w:color="auto"/>
        <w:bottom w:val="none" w:sz="0" w:space="0" w:color="auto"/>
        <w:right w:val="none" w:sz="0" w:space="0" w:color="auto"/>
      </w:divBdr>
    </w:div>
    <w:div w:id="1978684117">
      <w:bodyDiv w:val="1"/>
      <w:marLeft w:val="0"/>
      <w:marRight w:val="0"/>
      <w:marTop w:val="0"/>
      <w:marBottom w:val="0"/>
      <w:divBdr>
        <w:top w:val="none" w:sz="0" w:space="0" w:color="auto"/>
        <w:left w:val="none" w:sz="0" w:space="0" w:color="auto"/>
        <w:bottom w:val="none" w:sz="0" w:space="0" w:color="auto"/>
        <w:right w:val="none" w:sz="0" w:space="0" w:color="auto"/>
      </w:divBdr>
    </w:div>
    <w:div w:id="1999532685">
      <w:bodyDiv w:val="1"/>
      <w:marLeft w:val="0"/>
      <w:marRight w:val="0"/>
      <w:marTop w:val="0"/>
      <w:marBottom w:val="0"/>
      <w:divBdr>
        <w:top w:val="none" w:sz="0" w:space="0" w:color="auto"/>
        <w:left w:val="none" w:sz="0" w:space="0" w:color="auto"/>
        <w:bottom w:val="none" w:sz="0" w:space="0" w:color="auto"/>
        <w:right w:val="none" w:sz="0" w:space="0" w:color="auto"/>
      </w:divBdr>
    </w:div>
    <w:div w:id="2001273910">
      <w:bodyDiv w:val="1"/>
      <w:marLeft w:val="0"/>
      <w:marRight w:val="0"/>
      <w:marTop w:val="0"/>
      <w:marBottom w:val="0"/>
      <w:divBdr>
        <w:top w:val="none" w:sz="0" w:space="0" w:color="auto"/>
        <w:left w:val="none" w:sz="0" w:space="0" w:color="auto"/>
        <w:bottom w:val="none" w:sz="0" w:space="0" w:color="auto"/>
        <w:right w:val="none" w:sz="0" w:space="0" w:color="auto"/>
      </w:divBdr>
    </w:div>
    <w:div w:id="2004894057">
      <w:bodyDiv w:val="1"/>
      <w:marLeft w:val="0"/>
      <w:marRight w:val="0"/>
      <w:marTop w:val="0"/>
      <w:marBottom w:val="0"/>
      <w:divBdr>
        <w:top w:val="none" w:sz="0" w:space="0" w:color="auto"/>
        <w:left w:val="none" w:sz="0" w:space="0" w:color="auto"/>
        <w:bottom w:val="none" w:sz="0" w:space="0" w:color="auto"/>
        <w:right w:val="none" w:sz="0" w:space="0" w:color="auto"/>
      </w:divBdr>
    </w:div>
    <w:div w:id="2015569444">
      <w:bodyDiv w:val="1"/>
      <w:marLeft w:val="0"/>
      <w:marRight w:val="0"/>
      <w:marTop w:val="0"/>
      <w:marBottom w:val="0"/>
      <w:divBdr>
        <w:top w:val="none" w:sz="0" w:space="0" w:color="auto"/>
        <w:left w:val="none" w:sz="0" w:space="0" w:color="auto"/>
        <w:bottom w:val="none" w:sz="0" w:space="0" w:color="auto"/>
        <w:right w:val="none" w:sz="0" w:space="0" w:color="auto"/>
      </w:divBdr>
    </w:div>
    <w:div w:id="2019774175">
      <w:bodyDiv w:val="1"/>
      <w:marLeft w:val="0"/>
      <w:marRight w:val="0"/>
      <w:marTop w:val="0"/>
      <w:marBottom w:val="0"/>
      <w:divBdr>
        <w:top w:val="none" w:sz="0" w:space="0" w:color="auto"/>
        <w:left w:val="none" w:sz="0" w:space="0" w:color="auto"/>
        <w:bottom w:val="none" w:sz="0" w:space="0" w:color="auto"/>
        <w:right w:val="none" w:sz="0" w:space="0" w:color="auto"/>
      </w:divBdr>
    </w:div>
    <w:div w:id="2033066668">
      <w:bodyDiv w:val="1"/>
      <w:marLeft w:val="0"/>
      <w:marRight w:val="0"/>
      <w:marTop w:val="0"/>
      <w:marBottom w:val="0"/>
      <w:divBdr>
        <w:top w:val="none" w:sz="0" w:space="0" w:color="auto"/>
        <w:left w:val="none" w:sz="0" w:space="0" w:color="auto"/>
        <w:bottom w:val="none" w:sz="0" w:space="0" w:color="auto"/>
        <w:right w:val="none" w:sz="0" w:space="0" w:color="auto"/>
      </w:divBdr>
      <w:divsChild>
        <w:div w:id="1587808510">
          <w:marLeft w:val="0"/>
          <w:marRight w:val="0"/>
          <w:marTop w:val="0"/>
          <w:marBottom w:val="0"/>
          <w:divBdr>
            <w:top w:val="none" w:sz="0" w:space="0" w:color="auto"/>
            <w:left w:val="none" w:sz="0" w:space="0" w:color="auto"/>
            <w:bottom w:val="none" w:sz="0" w:space="0" w:color="auto"/>
            <w:right w:val="none" w:sz="0" w:space="0" w:color="auto"/>
          </w:divBdr>
        </w:div>
      </w:divsChild>
    </w:div>
    <w:div w:id="2046170554">
      <w:bodyDiv w:val="1"/>
      <w:marLeft w:val="0"/>
      <w:marRight w:val="0"/>
      <w:marTop w:val="0"/>
      <w:marBottom w:val="0"/>
      <w:divBdr>
        <w:top w:val="none" w:sz="0" w:space="0" w:color="auto"/>
        <w:left w:val="none" w:sz="0" w:space="0" w:color="auto"/>
        <w:bottom w:val="none" w:sz="0" w:space="0" w:color="auto"/>
        <w:right w:val="none" w:sz="0" w:space="0" w:color="auto"/>
      </w:divBdr>
    </w:div>
    <w:div w:id="2052534173">
      <w:bodyDiv w:val="1"/>
      <w:marLeft w:val="0"/>
      <w:marRight w:val="0"/>
      <w:marTop w:val="0"/>
      <w:marBottom w:val="0"/>
      <w:divBdr>
        <w:top w:val="none" w:sz="0" w:space="0" w:color="auto"/>
        <w:left w:val="none" w:sz="0" w:space="0" w:color="auto"/>
        <w:bottom w:val="none" w:sz="0" w:space="0" w:color="auto"/>
        <w:right w:val="none" w:sz="0" w:space="0" w:color="auto"/>
      </w:divBdr>
    </w:div>
    <w:div w:id="2083794608">
      <w:bodyDiv w:val="1"/>
      <w:marLeft w:val="0"/>
      <w:marRight w:val="0"/>
      <w:marTop w:val="0"/>
      <w:marBottom w:val="0"/>
      <w:divBdr>
        <w:top w:val="none" w:sz="0" w:space="0" w:color="auto"/>
        <w:left w:val="none" w:sz="0" w:space="0" w:color="auto"/>
        <w:bottom w:val="none" w:sz="0" w:space="0" w:color="auto"/>
        <w:right w:val="none" w:sz="0" w:space="0" w:color="auto"/>
      </w:divBdr>
    </w:div>
    <w:div w:id="2110273440">
      <w:bodyDiv w:val="1"/>
      <w:marLeft w:val="0"/>
      <w:marRight w:val="0"/>
      <w:marTop w:val="0"/>
      <w:marBottom w:val="0"/>
      <w:divBdr>
        <w:top w:val="none" w:sz="0" w:space="0" w:color="auto"/>
        <w:left w:val="none" w:sz="0" w:space="0" w:color="auto"/>
        <w:bottom w:val="none" w:sz="0" w:space="0" w:color="auto"/>
        <w:right w:val="none" w:sz="0" w:space="0" w:color="auto"/>
      </w:divBdr>
    </w:div>
    <w:div w:id="2112969018">
      <w:bodyDiv w:val="1"/>
      <w:marLeft w:val="0"/>
      <w:marRight w:val="0"/>
      <w:marTop w:val="0"/>
      <w:marBottom w:val="0"/>
      <w:divBdr>
        <w:top w:val="none" w:sz="0" w:space="0" w:color="auto"/>
        <w:left w:val="none" w:sz="0" w:space="0" w:color="auto"/>
        <w:bottom w:val="none" w:sz="0" w:space="0" w:color="auto"/>
        <w:right w:val="none" w:sz="0" w:space="0" w:color="auto"/>
      </w:divBdr>
      <w:divsChild>
        <w:div w:id="45951797">
          <w:marLeft w:val="0"/>
          <w:marRight w:val="0"/>
          <w:marTop w:val="0"/>
          <w:marBottom w:val="0"/>
          <w:divBdr>
            <w:top w:val="none" w:sz="0" w:space="0" w:color="auto"/>
            <w:left w:val="none" w:sz="0" w:space="0" w:color="auto"/>
            <w:bottom w:val="none" w:sz="0" w:space="0" w:color="auto"/>
            <w:right w:val="none" w:sz="0" w:space="0" w:color="auto"/>
          </w:divBdr>
        </w:div>
        <w:div w:id="262035722">
          <w:marLeft w:val="0"/>
          <w:marRight w:val="0"/>
          <w:marTop w:val="0"/>
          <w:marBottom w:val="0"/>
          <w:divBdr>
            <w:top w:val="none" w:sz="0" w:space="0" w:color="auto"/>
            <w:left w:val="none" w:sz="0" w:space="0" w:color="auto"/>
            <w:bottom w:val="none" w:sz="0" w:space="0" w:color="auto"/>
            <w:right w:val="none" w:sz="0" w:space="0" w:color="auto"/>
          </w:divBdr>
        </w:div>
        <w:div w:id="312609411">
          <w:marLeft w:val="0"/>
          <w:marRight w:val="0"/>
          <w:marTop w:val="0"/>
          <w:marBottom w:val="0"/>
          <w:divBdr>
            <w:top w:val="none" w:sz="0" w:space="0" w:color="auto"/>
            <w:left w:val="none" w:sz="0" w:space="0" w:color="auto"/>
            <w:bottom w:val="none" w:sz="0" w:space="0" w:color="auto"/>
            <w:right w:val="none" w:sz="0" w:space="0" w:color="auto"/>
          </w:divBdr>
        </w:div>
        <w:div w:id="351036397">
          <w:marLeft w:val="0"/>
          <w:marRight w:val="0"/>
          <w:marTop w:val="0"/>
          <w:marBottom w:val="0"/>
          <w:divBdr>
            <w:top w:val="none" w:sz="0" w:space="0" w:color="auto"/>
            <w:left w:val="none" w:sz="0" w:space="0" w:color="auto"/>
            <w:bottom w:val="none" w:sz="0" w:space="0" w:color="auto"/>
            <w:right w:val="none" w:sz="0" w:space="0" w:color="auto"/>
          </w:divBdr>
        </w:div>
        <w:div w:id="356809150">
          <w:marLeft w:val="0"/>
          <w:marRight w:val="0"/>
          <w:marTop w:val="0"/>
          <w:marBottom w:val="0"/>
          <w:divBdr>
            <w:top w:val="none" w:sz="0" w:space="0" w:color="auto"/>
            <w:left w:val="none" w:sz="0" w:space="0" w:color="auto"/>
            <w:bottom w:val="none" w:sz="0" w:space="0" w:color="auto"/>
            <w:right w:val="none" w:sz="0" w:space="0" w:color="auto"/>
          </w:divBdr>
        </w:div>
        <w:div w:id="961377031">
          <w:marLeft w:val="0"/>
          <w:marRight w:val="0"/>
          <w:marTop w:val="0"/>
          <w:marBottom w:val="0"/>
          <w:divBdr>
            <w:top w:val="none" w:sz="0" w:space="0" w:color="auto"/>
            <w:left w:val="none" w:sz="0" w:space="0" w:color="auto"/>
            <w:bottom w:val="none" w:sz="0" w:space="0" w:color="auto"/>
            <w:right w:val="none" w:sz="0" w:space="0" w:color="auto"/>
          </w:divBdr>
        </w:div>
        <w:div w:id="1021470994">
          <w:marLeft w:val="0"/>
          <w:marRight w:val="0"/>
          <w:marTop w:val="0"/>
          <w:marBottom w:val="0"/>
          <w:divBdr>
            <w:top w:val="none" w:sz="0" w:space="0" w:color="auto"/>
            <w:left w:val="none" w:sz="0" w:space="0" w:color="auto"/>
            <w:bottom w:val="none" w:sz="0" w:space="0" w:color="auto"/>
            <w:right w:val="none" w:sz="0" w:space="0" w:color="auto"/>
          </w:divBdr>
        </w:div>
        <w:div w:id="1431049407">
          <w:marLeft w:val="0"/>
          <w:marRight w:val="0"/>
          <w:marTop w:val="0"/>
          <w:marBottom w:val="0"/>
          <w:divBdr>
            <w:top w:val="none" w:sz="0" w:space="0" w:color="auto"/>
            <w:left w:val="none" w:sz="0" w:space="0" w:color="auto"/>
            <w:bottom w:val="none" w:sz="0" w:space="0" w:color="auto"/>
            <w:right w:val="none" w:sz="0" w:space="0" w:color="auto"/>
          </w:divBdr>
        </w:div>
        <w:div w:id="1489707134">
          <w:marLeft w:val="0"/>
          <w:marRight w:val="0"/>
          <w:marTop w:val="0"/>
          <w:marBottom w:val="0"/>
          <w:divBdr>
            <w:top w:val="none" w:sz="0" w:space="0" w:color="auto"/>
            <w:left w:val="none" w:sz="0" w:space="0" w:color="auto"/>
            <w:bottom w:val="none" w:sz="0" w:space="0" w:color="auto"/>
            <w:right w:val="none" w:sz="0" w:space="0" w:color="auto"/>
          </w:divBdr>
        </w:div>
        <w:div w:id="1915436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chart" Target="charts/chart4.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chart" Target="charts/chart7.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3.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https://nswgov.sharepoint.com/sites/TSY2019-20Budget/Shared%20Documents/General/2023-24%20Budget/03.%20Budget%20Paper%20No%203%20(Infrastructure%20Statement)/Ch1%20-%20Investment%20Program/Budget%20Model%202022-23%20V2%20(AV%20SV%20Edit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https://nswgov.sharepoint.com/sites/TSY2019-20Budget/Shared%20Documents/General/2023-24%20Budget/03.%20Budget%20Paper%20No%203%20(Infrastructure%20Statement)/Ch1%20-%20Investment%20Program/Budget%20Model%202022-23%20V2%20(AV%20SV%20Edits).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https://nswgov.sharepoint.com/sites/TSY2019-20Budget/Shared%20Documents/General/2023-24%20Budget/03.%20Budget%20Paper%20No%203%20(Infrastructure%20Statement)/Ch1%20-%20Investment%20Program/Budget%20Model%202022-23%20V2%20(AV%20SV%20Edi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nswgov.sharepoint.com/sites/TSY2019-20Budget/Shared%20Documents/General/2023-24%20Budget/03.%20Budget%20Paper%20No%203%20(Infrastructure%20Statement)/Ch1%20-%20Investment%20Program/Budget%20Model%202022-23%20V2%20(AV%20SV%20Edits).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3-24%20Budget/03.%20Budget%20Paper%20No%203%20(Infrastructure%20Statement)/Ch1%20-%20Investment%20Program/Budget%20Model%202022-23%20V2%20(AV%20SV%20Edits).xlsx" TargetMode="External"/><Relationship Id="rId2" Type="http://schemas.microsoft.com/office/2011/relationships/chartColorStyle" Target="colors1.xml"/><Relationship Id="rId1" Type="http://schemas.microsoft.com/office/2011/relationships/chartStyle" Target="style1.xml"/></Relationships>
</file>

<file path=word/charts/_rels/chart6.xml.rels><?xml version="1.0" encoding="UTF-8" standalone="yes"?>
<Relationships xmlns="http://schemas.openxmlformats.org/package/2006/relationships"><Relationship Id="rId2" Type="http://schemas.openxmlformats.org/officeDocument/2006/relationships/oleObject" Target="https://nswgov.sharepoint.com/sites/TSY2019-20Budget/Shared%20Documents/General/2023-24%20Budget/03.%20Budget%20Paper%20No%203%20(Infrastructure%20Statement)/Ch1%20-%20Investment%20Program/Budget%20Model%202022-23%20V2%20(AV%20SV%20Edits).xlsx" TargetMode="External"/><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3-24%20Budget/03.%20Budget%20Paper%20No%203%20(Infrastructure%20Statement)/Ch1%20-%20Investment%20Program/Budget%20Model%202022-23%20V2%20(AV%20SV%20Edit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177005773200868E-2"/>
          <c:y val="4.9346259523877507E-2"/>
          <c:w val="0.89701506937801001"/>
          <c:h val="0.76069920471460062"/>
        </c:manualLayout>
      </c:layout>
      <c:barChart>
        <c:barDir val="col"/>
        <c:grouping val="stacked"/>
        <c:varyColors val="0"/>
        <c:ser>
          <c:idx val="2"/>
          <c:order val="0"/>
          <c:tx>
            <c:strRef>
              <c:f>'Trans Edu Health'!$A$19</c:f>
              <c:strCache>
                <c:ptCount val="1"/>
                <c:pt idx="0">
                  <c:v>Health capital expenditure</c:v>
                </c:pt>
              </c:strCache>
            </c:strRef>
          </c:tx>
          <c:spPr>
            <a:solidFill>
              <a:srgbClr val="002664"/>
            </a:solidFill>
          </c:spPr>
          <c:invertIfNegative val="0"/>
          <c:cat>
            <c:multiLvlStrRef>
              <c:f>'Trans Edu Health'!$B$16:$M$17</c:f>
              <c:multiLvlStrCache>
                <c:ptCount val="12"/>
                <c:lvl>
                  <c:pt idx="0">
                    <c:v>Actual</c:v>
                  </c:pt>
                  <c:pt idx="1">
                    <c:v>Actual</c:v>
                  </c:pt>
                  <c:pt idx="2">
                    <c:v>Actual</c:v>
                  </c:pt>
                  <c:pt idx="3">
                    <c:v>Actual</c:v>
                  </c:pt>
                  <c:pt idx="4">
                    <c:v>Actual</c:v>
                  </c:pt>
                  <c:pt idx="5">
                    <c:v>Actual</c:v>
                  </c:pt>
                  <c:pt idx="6">
                    <c:v>Actual</c:v>
                  </c:pt>
                  <c:pt idx="7">
                    <c:v>Est. Actual</c:v>
                  </c:pt>
                  <c:pt idx="8">
                    <c:v>Budget</c:v>
                  </c:pt>
                  <c:pt idx="9">
                    <c:v>Estimate</c:v>
                  </c:pt>
                  <c:pt idx="10">
                    <c:v>Estimate</c:v>
                  </c:pt>
                  <c:pt idx="11">
                    <c:v>Estimate</c:v>
                  </c:pt>
                </c:lvl>
                <c:lvl>
                  <c:pt idx="0">
                    <c:v>2015-16</c:v>
                  </c:pt>
                  <c:pt idx="1">
                    <c:v>2016-17</c:v>
                  </c:pt>
                  <c:pt idx="2">
                    <c:v>2017-18</c:v>
                  </c:pt>
                  <c:pt idx="3">
                    <c:v>2018-19</c:v>
                  </c:pt>
                  <c:pt idx="4">
                    <c:v>2019-20</c:v>
                  </c:pt>
                  <c:pt idx="5">
                    <c:v>2020-21</c:v>
                  </c:pt>
                  <c:pt idx="6">
                    <c:v>2021-22</c:v>
                  </c:pt>
                  <c:pt idx="7">
                    <c:v>2022-23</c:v>
                  </c:pt>
                  <c:pt idx="8">
                    <c:v>2023-24</c:v>
                  </c:pt>
                  <c:pt idx="9">
                    <c:v>2024-25</c:v>
                  </c:pt>
                  <c:pt idx="10">
                    <c:v>2025-26</c:v>
                  </c:pt>
                  <c:pt idx="11">
                    <c:v>2026-27</c:v>
                  </c:pt>
                </c:lvl>
              </c:multiLvlStrCache>
            </c:multiLvlStrRef>
          </c:cat>
          <c:val>
            <c:numRef>
              <c:f>'Trans Edu Health'!$B$19:$M$19</c:f>
              <c:numCache>
                <c:formatCode>_-* #,##0_-;\-* #,##0_-;_-* "-"??_-;_-@_-</c:formatCode>
                <c:ptCount val="12"/>
                <c:pt idx="0">
                  <c:v>1230.1110000000001</c:v>
                </c:pt>
                <c:pt idx="1">
                  <c:v>1301.277229</c:v>
                </c:pt>
                <c:pt idx="2">
                  <c:v>1563.7909689999999</c:v>
                </c:pt>
                <c:pt idx="3">
                  <c:v>2223.0601645000002</c:v>
                </c:pt>
                <c:pt idx="4">
                  <c:v>2524.89537088</c:v>
                </c:pt>
                <c:pt idx="5">
                  <c:v>2612.2053917500002</c:v>
                </c:pt>
                <c:pt idx="6">
                  <c:v>1904.4096554600001</c:v>
                </c:pt>
                <c:pt idx="7">
                  <c:v>2338.4677280000001</c:v>
                </c:pt>
                <c:pt idx="8">
                  <c:v>3307.3679999999999</c:v>
                </c:pt>
                <c:pt idx="9">
                  <c:v>3570.8130000000001</c:v>
                </c:pt>
                <c:pt idx="10">
                  <c:v>3145.9830000000002</c:v>
                </c:pt>
                <c:pt idx="11">
                  <c:v>3170.7950000000001</c:v>
                </c:pt>
              </c:numCache>
            </c:numRef>
          </c:val>
          <c:extLst>
            <c:ext xmlns:c16="http://schemas.microsoft.com/office/drawing/2014/chart" uri="{C3380CC4-5D6E-409C-BE32-E72D297353CC}">
              <c16:uniqueId val="{00000000-69C8-426C-82BE-FB12EEEA9560}"/>
            </c:ext>
          </c:extLst>
        </c:ser>
        <c:dLbls>
          <c:showLegendKey val="0"/>
          <c:showVal val="0"/>
          <c:showCatName val="0"/>
          <c:showSerName val="0"/>
          <c:showPercent val="0"/>
          <c:showBubbleSize val="0"/>
        </c:dLbls>
        <c:gapWidth val="150"/>
        <c:overlap val="100"/>
        <c:axId val="693073408"/>
        <c:axId val="693074944"/>
      </c:barChart>
      <c:catAx>
        <c:axId val="693073408"/>
        <c:scaling>
          <c:orientation val="minMax"/>
        </c:scaling>
        <c:delete val="0"/>
        <c:axPos val="b"/>
        <c:numFmt formatCode="General" sourceLinked="0"/>
        <c:majorTickMark val="out"/>
        <c:minorTickMark val="none"/>
        <c:tickLblPos val="nextTo"/>
        <c:spPr>
          <a:ln w="3175">
            <a:noFill/>
          </a:ln>
        </c:spPr>
        <c:txPr>
          <a:bodyPr rot="0" vert="horz"/>
          <a:lstStyle/>
          <a:p>
            <a:pPr>
              <a:defRPr sz="700">
                <a:solidFill>
                  <a:srgbClr val="57514D"/>
                </a:solidFill>
              </a:defRPr>
            </a:pPr>
            <a:endParaRPr lang="en-US"/>
          </a:p>
        </c:txPr>
        <c:crossAx val="693074944"/>
        <c:crosses val="autoZero"/>
        <c:auto val="1"/>
        <c:lblAlgn val="ctr"/>
        <c:lblOffset val="100"/>
        <c:noMultiLvlLbl val="1"/>
      </c:catAx>
      <c:valAx>
        <c:axId val="693074944"/>
        <c:scaling>
          <c:orientation val="minMax"/>
          <c:max val="3800"/>
          <c:min val="0"/>
        </c:scaling>
        <c:delete val="0"/>
        <c:axPos val="l"/>
        <c:majorGridlines>
          <c:spPr>
            <a:ln w="3175">
              <a:solidFill>
                <a:srgbClr val="DFDCDA"/>
              </a:solidFill>
              <a:prstDash val="solid"/>
            </a:ln>
          </c:spPr>
        </c:majorGridlines>
        <c:title>
          <c:tx>
            <c:rich>
              <a:bodyPr rot="-5400000" vert="horz"/>
              <a:lstStyle/>
              <a:p>
                <a:pPr>
                  <a:defRPr sz="700" b="1"/>
                </a:pPr>
                <a:r>
                  <a:rPr lang="en-US" sz="700" b="1"/>
                  <a:t>$ millions</a:t>
                </a:r>
              </a:p>
            </c:rich>
          </c:tx>
          <c:layout>
            <c:manualLayout>
              <c:xMode val="edge"/>
              <c:yMode val="edge"/>
              <c:x val="9.3287871726314611E-3"/>
              <c:y val="0.36239032421655193"/>
            </c:manualLayout>
          </c:layout>
          <c:overlay val="0"/>
        </c:title>
        <c:numFmt formatCode="#,##0" sourceLinked="0"/>
        <c:majorTickMark val="out"/>
        <c:minorTickMark val="none"/>
        <c:tickLblPos val="nextTo"/>
        <c:spPr>
          <a:ln w="3175">
            <a:noFill/>
          </a:ln>
        </c:spPr>
        <c:txPr>
          <a:bodyPr/>
          <a:lstStyle/>
          <a:p>
            <a:pPr>
              <a:defRPr sz="700"/>
            </a:pPr>
            <a:endParaRPr lang="en-US"/>
          </a:p>
        </c:txPr>
        <c:crossAx val="693073408"/>
        <c:crossesAt val="1"/>
        <c:crossBetween val="between"/>
        <c:majorUnit val="500"/>
        <c:minorUnit val="500"/>
      </c:valAx>
      <c:spPr>
        <a:solidFill>
          <a:schemeClr val="accent6">
            <a:lumMod val="20000"/>
            <a:lumOff val="80000"/>
          </a:schemeClr>
        </a:solidFill>
      </c:spPr>
    </c:plotArea>
    <c:legend>
      <c:legendPos val="b"/>
      <c:overlay val="0"/>
    </c:legend>
    <c:plotVisOnly val="1"/>
    <c:dispBlanksAs val="gap"/>
    <c:showDLblsOverMax val="0"/>
  </c:chart>
  <c:spPr>
    <a:noFill/>
    <a:ln>
      <a:noFill/>
    </a:ln>
  </c:spPr>
  <c:txPr>
    <a:bodyPr/>
    <a:lstStyle/>
    <a:p>
      <a:pPr>
        <a:defRPr sz="650">
          <a:solidFill>
            <a:srgbClr val="57514D"/>
          </a:solidFill>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177005773200868E-2"/>
          <c:y val="4.9346259523877507E-2"/>
          <c:w val="0.89701506937801001"/>
          <c:h val="0.76069920471460062"/>
        </c:manualLayout>
      </c:layout>
      <c:barChart>
        <c:barDir val="col"/>
        <c:grouping val="stacked"/>
        <c:varyColors val="0"/>
        <c:ser>
          <c:idx val="1"/>
          <c:order val="0"/>
          <c:tx>
            <c:strRef>
              <c:f>'Trans Edu Health'!$A$20</c:f>
              <c:strCache>
                <c:ptCount val="1"/>
                <c:pt idx="0">
                  <c:v>Education and Skills capital expenditure</c:v>
                </c:pt>
              </c:strCache>
            </c:strRef>
          </c:tx>
          <c:spPr>
            <a:solidFill>
              <a:srgbClr val="002664"/>
            </a:solidFill>
          </c:spPr>
          <c:invertIfNegative val="0"/>
          <c:cat>
            <c:multiLvlStrRef>
              <c:f>'Trans Edu Health'!$B$16:$M$17</c:f>
              <c:multiLvlStrCache>
                <c:ptCount val="12"/>
                <c:lvl>
                  <c:pt idx="0">
                    <c:v>Actual</c:v>
                  </c:pt>
                  <c:pt idx="1">
                    <c:v>Actual</c:v>
                  </c:pt>
                  <c:pt idx="2">
                    <c:v>Actual</c:v>
                  </c:pt>
                  <c:pt idx="3">
                    <c:v>Actual</c:v>
                  </c:pt>
                  <c:pt idx="4">
                    <c:v>Actual</c:v>
                  </c:pt>
                  <c:pt idx="5">
                    <c:v>Actual</c:v>
                  </c:pt>
                  <c:pt idx="6">
                    <c:v>Actual</c:v>
                  </c:pt>
                  <c:pt idx="7">
                    <c:v>Est. Actual</c:v>
                  </c:pt>
                  <c:pt idx="8">
                    <c:v>Budget</c:v>
                  </c:pt>
                  <c:pt idx="9">
                    <c:v>Estimate</c:v>
                  </c:pt>
                  <c:pt idx="10">
                    <c:v>Estimate</c:v>
                  </c:pt>
                  <c:pt idx="11">
                    <c:v>Estimate</c:v>
                  </c:pt>
                </c:lvl>
                <c:lvl>
                  <c:pt idx="0">
                    <c:v>2015-16</c:v>
                  </c:pt>
                  <c:pt idx="1">
                    <c:v>2016-17</c:v>
                  </c:pt>
                  <c:pt idx="2">
                    <c:v>2017-18</c:v>
                  </c:pt>
                  <c:pt idx="3">
                    <c:v>2018-19</c:v>
                  </c:pt>
                  <c:pt idx="4">
                    <c:v>2019-20</c:v>
                  </c:pt>
                  <c:pt idx="5">
                    <c:v>2020-21</c:v>
                  </c:pt>
                  <c:pt idx="6">
                    <c:v>2021-22</c:v>
                  </c:pt>
                  <c:pt idx="7">
                    <c:v>2022-23</c:v>
                  </c:pt>
                  <c:pt idx="8">
                    <c:v>2023-24</c:v>
                  </c:pt>
                  <c:pt idx="9">
                    <c:v>2024-25</c:v>
                  </c:pt>
                  <c:pt idx="10">
                    <c:v>2025-26</c:v>
                  </c:pt>
                  <c:pt idx="11">
                    <c:v>2026-27</c:v>
                  </c:pt>
                </c:lvl>
              </c:multiLvlStrCache>
            </c:multiLvlStrRef>
          </c:cat>
          <c:val>
            <c:numRef>
              <c:f>'Trans Edu Health'!$B$20:$M$20</c:f>
              <c:numCache>
                <c:formatCode>_-* #,##0_-;\-* #,##0_-;_-* "-"??_-;_-@_-</c:formatCode>
                <c:ptCount val="12"/>
                <c:pt idx="0">
                  <c:v>405.63299999999998</c:v>
                </c:pt>
                <c:pt idx="1">
                  <c:v>495.06487594000004</c:v>
                </c:pt>
                <c:pt idx="2">
                  <c:v>854.52882405999992</c:v>
                </c:pt>
                <c:pt idx="3">
                  <c:v>1779.8413603399999</c:v>
                </c:pt>
                <c:pt idx="4">
                  <c:v>2188.8540688600001</c:v>
                </c:pt>
                <c:pt idx="5">
                  <c:v>2202.2617104500032</c:v>
                </c:pt>
                <c:pt idx="6">
                  <c:v>1975.5444733599982</c:v>
                </c:pt>
                <c:pt idx="7">
                  <c:v>2656.3709608599979</c:v>
                </c:pt>
                <c:pt idx="8">
                  <c:v>2828.8820000000001</c:v>
                </c:pt>
                <c:pt idx="9">
                  <c:v>2537.549</c:v>
                </c:pt>
                <c:pt idx="10">
                  <c:v>2425.9340000000002</c:v>
                </c:pt>
                <c:pt idx="11">
                  <c:v>2006.961</c:v>
                </c:pt>
              </c:numCache>
            </c:numRef>
          </c:val>
          <c:extLst>
            <c:ext xmlns:c16="http://schemas.microsoft.com/office/drawing/2014/chart" uri="{C3380CC4-5D6E-409C-BE32-E72D297353CC}">
              <c16:uniqueId val="{00000000-B58B-4D7A-8CA9-BC04CE35AE8D}"/>
            </c:ext>
          </c:extLst>
        </c:ser>
        <c:dLbls>
          <c:showLegendKey val="0"/>
          <c:showVal val="0"/>
          <c:showCatName val="0"/>
          <c:showSerName val="0"/>
          <c:showPercent val="0"/>
          <c:showBubbleSize val="0"/>
        </c:dLbls>
        <c:gapWidth val="150"/>
        <c:overlap val="100"/>
        <c:axId val="693073408"/>
        <c:axId val="693074944"/>
      </c:barChart>
      <c:catAx>
        <c:axId val="693073408"/>
        <c:scaling>
          <c:orientation val="minMax"/>
        </c:scaling>
        <c:delete val="0"/>
        <c:axPos val="b"/>
        <c:numFmt formatCode="General" sourceLinked="0"/>
        <c:majorTickMark val="out"/>
        <c:minorTickMark val="none"/>
        <c:tickLblPos val="nextTo"/>
        <c:spPr>
          <a:ln w="3175">
            <a:noFill/>
          </a:ln>
        </c:spPr>
        <c:txPr>
          <a:bodyPr rot="0" vert="horz"/>
          <a:lstStyle/>
          <a:p>
            <a:pPr>
              <a:defRPr sz="700">
                <a:solidFill>
                  <a:srgbClr val="57514D"/>
                </a:solidFill>
              </a:defRPr>
            </a:pPr>
            <a:endParaRPr lang="en-US"/>
          </a:p>
        </c:txPr>
        <c:crossAx val="693074944"/>
        <c:crosses val="autoZero"/>
        <c:auto val="1"/>
        <c:lblAlgn val="ctr"/>
        <c:lblOffset val="100"/>
        <c:noMultiLvlLbl val="1"/>
      </c:catAx>
      <c:valAx>
        <c:axId val="693074944"/>
        <c:scaling>
          <c:orientation val="minMax"/>
          <c:max val="3000"/>
          <c:min val="0"/>
        </c:scaling>
        <c:delete val="0"/>
        <c:axPos val="l"/>
        <c:majorGridlines>
          <c:spPr>
            <a:ln w="3175">
              <a:solidFill>
                <a:srgbClr val="DFDCDA"/>
              </a:solidFill>
              <a:prstDash val="solid"/>
            </a:ln>
          </c:spPr>
        </c:majorGridlines>
        <c:title>
          <c:tx>
            <c:rich>
              <a:bodyPr rot="-5400000" vert="horz"/>
              <a:lstStyle/>
              <a:p>
                <a:pPr>
                  <a:defRPr sz="700" b="0"/>
                </a:pPr>
                <a:r>
                  <a:rPr lang="en-US" sz="700" b="0"/>
                  <a:t>$ millions</a:t>
                </a:r>
              </a:p>
            </c:rich>
          </c:tx>
          <c:layout>
            <c:manualLayout>
              <c:xMode val="edge"/>
              <c:yMode val="edge"/>
              <c:x val="9.3287871726314611E-3"/>
              <c:y val="0.36239032421655193"/>
            </c:manualLayout>
          </c:layout>
          <c:overlay val="0"/>
        </c:title>
        <c:numFmt formatCode="#,##0" sourceLinked="0"/>
        <c:majorTickMark val="out"/>
        <c:minorTickMark val="none"/>
        <c:tickLblPos val="nextTo"/>
        <c:spPr>
          <a:ln w="3175">
            <a:noFill/>
          </a:ln>
        </c:spPr>
        <c:txPr>
          <a:bodyPr/>
          <a:lstStyle/>
          <a:p>
            <a:pPr>
              <a:defRPr sz="700"/>
            </a:pPr>
            <a:endParaRPr lang="en-US"/>
          </a:p>
        </c:txPr>
        <c:crossAx val="693073408"/>
        <c:crossesAt val="1"/>
        <c:crossBetween val="between"/>
        <c:majorUnit val="500"/>
        <c:minorUnit val="500"/>
      </c:valAx>
      <c:spPr>
        <a:solidFill>
          <a:schemeClr val="accent6">
            <a:lumMod val="20000"/>
            <a:lumOff val="80000"/>
          </a:schemeClr>
        </a:solidFill>
      </c:spPr>
    </c:plotArea>
    <c:legend>
      <c:legendPos val="b"/>
      <c:layout>
        <c:manualLayout>
          <c:xMode val="edge"/>
          <c:yMode val="edge"/>
          <c:x val="0.20590981502607006"/>
          <c:y val="0.91535537892659757"/>
          <c:w val="0.55890647660777681"/>
          <c:h val="5.1371256163073073E-2"/>
        </c:manualLayout>
      </c:layout>
      <c:overlay val="0"/>
    </c:legend>
    <c:plotVisOnly val="1"/>
    <c:dispBlanksAs val="gap"/>
    <c:showDLblsOverMax val="0"/>
  </c:chart>
  <c:spPr>
    <a:noFill/>
    <a:ln>
      <a:noFill/>
    </a:ln>
  </c:spPr>
  <c:txPr>
    <a:bodyPr/>
    <a:lstStyle/>
    <a:p>
      <a:pPr>
        <a:defRPr sz="650">
          <a:solidFill>
            <a:srgbClr val="57514D"/>
          </a:solidFill>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9177005773200868E-2"/>
          <c:y val="4.9346259523877507E-2"/>
          <c:w val="0.89701506937801001"/>
          <c:h val="0.76069920471460062"/>
        </c:manualLayout>
      </c:layout>
      <c:barChart>
        <c:barDir val="col"/>
        <c:grouping val="stacked"/>
        <c:varyColors val="0"/>
        <c:ser>
          <c:idx val="0"/>
          <c:order val="0"/>
          <c:tx>
            <c:strRef>
              <c:f>'Chart 1.1 GG-PNFC chart '!$B$43</c:f>
              <c:strCache>
                <c:ptCount val="1"/>
                <c:pt idx="0">
                  <c:v>General Government Sector</c:v>
                </c:pt>
              </c:strCache>
            </c:strRef>
          </c:tx>
          <c:spPr>
            <a:solidFill>
              <a:srgbClr val="002664"/>
            </a:solidFill>
            <a:ln>
              <a:noFill/>
            </a:ln>
          </c:spPr>
          <c:invertIfNegative val="0"/>
          <c:cat>
            <c:multiLvlStrRef>
              <c:f>'Chart 1.1 GG-PNFC chart '!$K$41:$Z$42</c:f>
              <c:multiLvlStrCache>
                <c:ptCount val="16"/>
                <c:lvl>
                  <c:pt idx="0">
                    <c:v>Actual</c:v>
                  </c:pt>
                  <c:pt idx="1">
                    <c:v>Actual</c:v>
                  </c:pt>
                  <c:pt idx="2">
                    <c:v>Actual</c:v>
                  </c:pt>
                  <c:pt idx="3">
                    <c:v>Actual</c:v>
                  </c:pt>
                  <c:pt idx="4">
                    <c:v>Actual</c:v>
                  </c:pt>
                  <c:pt idx="5">
                    <c:v>Actual</c:v>
                  </c:pt>
                  <c:pt idx="6">
                    <c:v>Actual</c:v>
                  </c:pt>
                  <c:pt idx="7">
                    <c:v>Actual</c:v>
                  </c:pt>
                  <c:pt idx="8">
                    <c:v>Actual</c:v>
                  </c:pt>
                  <c:pt idx="9">
                    <c:v>Actual</c:v>
                  </c:pt>
                  <c:pt idx="10">
                    <c:v>Actual</c:v>
                  </c:pt>
                  <c:pt idx="11">
                    <c:v>Est. Act</c:v>
                  </c:pt>
                  <c:pt idx="12">
                    <c:v>Budget</c:v>
                  </c:pt>
                  <c:pt idx="13">
                    <c:v>Estimate</c:v>
                  </c:pt>
                  <c:pt idx="14">
                    <c:v>Estimate</c:v>
                  </c:pt>
                  <c:pt idx="15">
                    <c:v>Estimate</c:v>
                  </c:pt>
                </c:lvl>
                <c:lvl>
                  <c:pt idx="0">
                    <c:v>2011-12</c:v>
                  </c:pt>
                  <c:pt idx="1">
                    <c:v>2012-13</c:v>
                  </c:pt>
                  <c:pt idx="2">
                    <c:v> 2013-14</c:v>
                  </c:pt>
                  <c:pt idx="3">
                    <c:v>2014-15</c:v>
                  </c:pt>
                  <c:pt idx="4">
                    <c:v>2015-16</c:v>
                  </c:pt>
                  <c:pt idx="5">
                    <c:v>2016-17</c:v>
                  </c:pt>
                  <c:pt idx="6">
                    <c:v>2017-18</c:v>
                  </c:pt>
                  <c:pt idx="7">
                    <c:v>2018-19</c:v>
                  </c:pt>
                  <c:pt idx="8">
                    <c:v>2019-20</c:v>
                  </c:pt>
                  <c:pt idx="9">
                    <c:v>2020-21</c:v>
                  </c:pt>
                  <c:pt idx="10">
                    <c:v>2021-22</c:v>
                  </c:pt>
                  <c:pt idx="11">
                    <c:v>2022-23</c:v>
                  </c:pt>
                  <c:pt idx="12">
                    <c:v>2023-24</c:v>
                  </c:pt>
                  <c:pt idx="13">
                    <c:v>2024-25</c:v>
                  </c:pt>
                  <c:pt idx="14">
                    <c:v>2025-26</c:v>
                  </c:pt>
                  <c:pt idx="15">
                    <c:v>2026-27</c:v>
                  </c:pt>
                </c:lvl>
              </c:multiLvlStrCache>
            </c:multiLvlStrRef>
          </c:cat>
          <c:val>
            <c:numRef>
              <c:f>'Chart 1.1 GG-PNFC chart '!$K$43:$Z$43</c:f>
              <c:numCache>
                <c:formatCode>_-* #,##0_-;\-* #,##0_-;_-* "-"??_-;_-@_-</c:formatCode>
                <c:ptCount val="16"/>
                <c:pt idx="0">
                  <c:v>5880.8320000000003</c:v>
                </c:pt>
                <c:pt idx="1">
                  <c:v>7872.6220000000003</c:v>
                </c:pt>
                <c:pt idx="2">
                  <c:v>8545.9950000000008</c:v>
                </c:pt>
                <c:pt idx="3">
                  <c:v>9483.5220000000008</c:v>
                </c:pt>
                <c:pt idx="4">
                  <c:v>9351.3639987299994</c:v>
                </c:pt>
                <c:pt idx="5">
                  <c:v>10546.352999999999</c:v>
                </c:pt>
                <c:pt idx="6">
                  <c:v>12121.065581140007</c:v>
                </c:pt>
                <c:pt idx="7">
                  <c:v>16622.816443531599</c:v>
                </c:pt>
                <c:pt idx="8">
                  <c:v>20357.547232537898</c:v>
                </c:pt>
                <c:pt idx="9">
                  <c:v>18818.1966514263</c:v>
                </c:pt>
                <c:pt idx="10">
                  <c:v>20599.865795317699</c:v>
                </c:pt>
                <c:pt idx="11">
                  <c:v>21745.709888770001</c:v>
                </c:pt>
                <c:pt idx="12">
                  <c:v>22227.12806404</c:v>
                </c:pt>
                <c:pt idx="13">
                  <c:v>22973.094554479998</c:v>
                </c:pt>
                <c:pt idx="14">
                  <c:v>20455.554563040001</c:v>
                </c:pt>
                <c:pt idx="15">
                  <c:v>19919.435229810002</c:v>
                </c:pt>
              </c:numCache>
            </c:numRef>
          </c:val>
          <c:extLst>
            <c:ext xmlns:c16="http://schemas.microsoft.com/office/drawing/2014/chart" uri="{C3380CC4-5D6E-409C-BE32-E72D297353CC}">
              <c16:uniqueId val="{00000000-7F08-42FB-B075-67A03D610874}"/>
            </c:ext>
          </c:extLst>
        </c:ser>
        <c:ser>
          <c:idx val="2"/>
          <c:order val="4"/>
          <c:tx>
            <c:strRef>
              <c:f>'Chart 1.1 GG-PNFC chart '!$B$44</c:f>
              <c:strCache>
                <c:ptCount val="1"/>
                <c:pt idx="0">
                  <c:v>Public Non-Financial Corporations Sector</c:v>
                </c:pt>
              </c:strCache>
            </c:strRef>
          </c:tx>
          <c:spPr>
            <a:solidFill>
              <a:srgbClr val="8CE0FF"/>
            </a:solidFill>
          </c:spPr>
          <c:invertIfNegative val="0"/>
          <c:cat>
            <c:multiLvlStrRef>
              <c:f>'Chart 1.1 GG-PNFC chart '!$K$41:$Z$42</c:f>
              <c:multiLvlStrCache>
                <c:ptCount val="16"/>
                <c:lvl>
                  <c:pt idx="0">
                    <c:v>Actual</c:v>
                  </c:pt>
                  <c:pt idx="1">
                    <c:v>Actual</c:v>
                  </c:pt>
                  <c:pt idx="2">
                    <c:v>Actual</c:v>
                  </c:pt>
                  <c:pt idx="3">
                    <c:v>Actual</c:v>
                  </c:pt>
                  <c:pt idx="4">
                    <c:v>Actual</c:v>
                  </c:pt>
                  <c:pt idx="5">
                    <c:v>Actual</c:v>
                  </c:pt>
                  <c:pt idx="6">
                    <c:v>Actual</c:v>
                  </c:pt>
                  <c:pt idx="7">
                    <c:v>Actual</c:v>
                  </c:pt>
                  <c:pt idx="8">
                    <c:v>Actual</c:v>
                  </c:pt>
                  <c:pt idx="9">
                    <c:v>Actual</c:v>
                  </c:pt>
                  <c:pt idx="10">
                    <c:v>Actual</c:v>
                  </c:pt>
                  <c:pt idx="11">
                    <c:v>Est. Act</c:v>
                  </c:pt>
                  <c:pt idx="12">
                    <c:v>Budget</c:v>
                  </c:pt>
                  <c:pt idx="13">
                    <c:v>Estimate</c:v>
                  </c:pt>
                  <c:pt idx="14">
                    <c:v>Estimate</c:v>
                  </c:pt>
                  <c:pt idx="15">
                    <c:v>Estimate</c:v>
                  </c:pt>
                </c:lvl>
                <c:lvl>
                  <c:pt idx="0">
                    <c:v>2011-12</c:v>
                  </c:pt>
                  <c:pt idx="1">
                    <c:v>2012-13</c:v>
                  </c:pt>
                  <c:pt idx="2">
                    <c:v> 2013-14</c:v>
                  </c:pt>
                  <c:pt idx="3">
                    <c:v>2014-15</c:v>
                  </c:pt>
                  <c:pt idx="4">
                    <c:v>2015-16</c:v>
                  </c:pt>
                  <c:pt idx="5">
                    <c:v>2016-17</c:v>
                  </c:pt>
                  <c:pt idx="6">
                    <c:v>2017-18</c:v>
                  </c:pt>
                  <c:pt idx="7">
                    <c:v>2018-19</c:v>
                  </c:pt>
                  <c:pt idx="8">
                    <c:v>2019-20</c:v>
                  </c:pt>
                  <c:pt idx="9">
                    <c:v>2020-21</c:v>
                  </c:pt>
                  <c:pt idx="10">
                    <c:v>2021-22</c:v>
                  </c:pt>
                  <c:pt idx="11">
                    <c:v>2022-23</c:v>
                  </c:pt>
                  <c:pt idx="12">
                    <c:v>2023-24</c:v>
                  </c:pt>
                  <c:pt idx="13">
                    <c:v>2024-25</c:v>
                  </c:pt>
                  <c:pt idx="14">
                    <c:v>2025-26</c:v>
                  </c:pt>
                  <c:pt idx="15">
                    <c:v>2026-27</c:v>
                  </c:pt>
                </c:lvl>
              </c:multiLvlStrCache>
            </c:multiLvlStrRef>
          </c:cat>
          <c:val>
            <c:numRef>
              <c:f>'Chart 1.1 GG-PNFC chart '!$K$44:$Z$44</c:f>
              <c:numCache>
                <c:formatCode>#,##0</c:formatCode>
                <c:ptCount val="16"/>
                <c:pt idx="0">
                  <c:v>7187.7150000000001</c:v>
                </c:pt>
                <c:pt idx="1">
                  <c:v>6279.6369999999997</c:v>
                </c:pt>
                <c:pt idx="2">
                  <c:v>5331.5860000000002</c:v>
                </c:pt>
                <c:pt idx="3">
                  <c:v>3928.1379999999999</c:v>
                </c:pt>
                <c:pt idx="4">
                  <c:v>6823.3591207399995</c:v>
                </c:pt>
                <c:pt idx="5">
                  <c:v>7650.8899999999985</c:v>
                </c:pt>
                <c:pt idx="6">
                  <c:v>5762.5146773699998</c:v>
                </c:pt>
                <c:pt idx="7">
                  <c:v>5202.48123442</c:v>
                </c:pt>
                <c:pt idx="8">
                  <c:v>4458.9572739499999</c:v>
                </c:pt>
                <c:pt idx="9">
                  <c:v>5266.90753184</c:v>
                </c:pt>
                <c:pt idx="10">
                  <c:v>5216.4862865499999</c:v>
                </c:pt>
                <c:pt idx="11">
                  <c:v>5600.0383375299998</c:v>
                </c:pt>
                <c:pt idx="12">
                  <c:v>7638.3355848599995</c:v>
                </c:pt>
                <c:pt idx="13">
                  <c:v>8311.1513539900006</c:v>
                </c:pt>
                <c:pt idx="14">
                  <c:v>7886.8311985299997</c:v>
                </c:pt>
                <c:pt idx="15">
                  <c:v>7124.4263478999992</c:v>
                </c:pt>
              </c:numCache>
            </c:numRef>
          </c:val>
          <c:extLst>
            <c:ext xmlns:c16="http://schemas.microsoft.com/office/drawing/2014/chart" uri="{C3380CC4-5D6E-409C-BE32-E72D297353CC}">
              <c16:uniqueId val="{00000001-7F08-42FB-B075-67A03D610874}"/>
            </c:ext>
          </c:extLst>
        </c:ser>
        <c:dLbls>
          <c:showLegendKey val="0"/>
          <c:showVal val="0"/>
          <c:showCatName val="0"/>
          <c:showSerName val="0"/>
          <c:showPercent val="0"/>
          <c:showBubbleSize val="0"/>
        </c:dLbls>
        <c:gapWidth val="150"/>
        <c:overlap val="100"/>
        <c:axId val="693073408"/>
        <c:axId val="693074944"/>
      </c:barChart>
      <c:lineChart>
        <c:grouping val="standard"/>
        <c:varyColors val="0"/>
        <c:ser>
          <c:idx val="4"/>
          <c:order val="1"/>
          <c:tx>
            <c:strRef>
              <c:f>'Chart 1.1 GG-PNFC chart '!$AE$41:$AF$41</c:f>
              <c:strCache>
                <c:ptCount val="2"/>
                <c:pt idx="0">
                  <c:v>over 4 years to 2022-23</c:v>
                </c:pt>
              </c:strCache>
            </c:strRef>
          </c:tx>
          <c:spPr>
            <a:ln w="31750">
              <a:solidFill>
                <a:schemeClr val="tx1"/>
              </a:solidFill>
              <a:prstDash val="sysDash"/>
            </a:ln>
          </c:spPr>
          <c:marker>
            <c:symbol val="none"/>
          </c:marker>
          <c:cat>
            <c:multiLvlStrRef>
              <c:f>'Chart 1.1 GG-PNFC chart '!$K$41:$Z$42</c:f>
              <c:multiLvlStrCache>
                <c:ptCount val="16"/>
                <c:lvl>
                  <c:pt idx="0">
                    <c:v>Actual</c:v>
                  </c:pt>
                  <c:pt idx="1">
                    <c:v>Actual</c:v>
                  </c:pt>
                  <c:pt idx="2">
                    <c:v>Actual</c:v>
                  </c:pt>
                  <c:pt idx="3">
                    <c:v>Actual</c:v>
                  </c:pt>
                  <c:pt idx="4">
                    <c:v>Actual</c:v>
                  </c:pt>
                  <c:pt idx="5">
                    <c:v>Actual</c:v>
                  </c:pt>
                  <c:pt idx="6">
                    <c:v>Actual</c:v>
                  </c:pt>
                  <c:pt idx="7">
                    <c:v>Actual</c:v>
                  </c:pt>
                  <c:pt idx="8">
                    <c:v>Actual</c:v>
                  </c:pt>
                  <c:pt idx="9">
                    <c:v>Actual</c:v>
                  </c:pt>
                  <c:pt idx="10">
                    <c:v>Actual</c:v>
                  </c:pt>
                  <c:pt idx="11">
                    <c:v>Est. Act</c:v>
                  </c:pt>
                  <c:pt idx="12">
                    <c:v>Budget</c:v>
                  </c:pt>
                  <c:pt idx="13">
                    <c:v>Estimate</c:v>
                  </c:pt>
                  <c:pt idx="14">
                    <c:v>Estimate</c:v>
                  </c:pt>
                  <c:pt idx="15">
                    <c:v>Estimate</c:v>
                  </c:pt>
                </c:lvl>
                <c:lvl>
                  <c:pt idx="0">
                    <c:v>2011-12</c:v>
                  </c:pt>
                  <c:pt idx="1">
                    <c:v>2012-13</c:v>
                  </c:pt>
                  <c:pt idx="2">
                    <c:v> 2013-14</c:v>
                  </c:pt>
                  <c:pt idx="3">
                    <c:v>2014-15</c:v>
                  </c:pt>
                  <c:pt idx="4">
                    <c:v>2015-16</c:v>
                  </c:pt>
                  <c:pt idx="5">
                    <c:v>2016-17</c:v>
                  </c:pt>
                  <c:pt idx="6">
                    <c:v>2017-18</c:v>
                  </c:pt>
                  <c:pt idx="7">
                    <c:v>2018-19</c:v>
                  </c:pt>
                  <c:pt idx="8">
                    <c:v>2019-20</c:v>
                  </c:pt>
                  <c:pt idx="9">
                    <c:v>2020-21</c:v>
                  </c:pt>
                  <c:pt idx="10">
                    <c:v>2021-22</c:v>
                  </c:pt>
                  <c:pt idx="11">
                    <c:v>2022-23</c:v>
                  </c:pt>
                  <c:pt idx="12">
                    <c:v>2023-24</c:v>
                  </c:pt>
                  <c:pt idx="13">
                    <c:v>2024-25</c:v>
                  </c:pt>
                  <c:pt idx="14">
                    <c:v>2025-26</c:v>
                  </c:pt>
                  <c:pt idx="15">
                    <c:v>2026-27</c:v>
                  </c:pt>
                </c:lvl>
              </c:multiLvlStrCache>
            </c:multiLvlStrRef>
          </c:cat>
          <c:val>
            <c:numRef>
              <c:f>'Chart 1.1 GG-PNFC chart '!$K$53:$Z$53</c:f>
              <c:numCache>
                <c:formatCode>General</c:formatCode>
                <c:ptCount val="16"/>
                <c:pt idx="8" formatCode="_-* #,##0_-;\-* #,##0_-;_-* &quot;-&quot;??_-;_-@_-">
                  <c:v>25610.328777016526</c:v>
                </c:pt>
                <c:pt idx="9" formatCode="_-* #,##0_-;\-* #,##0_-;_-* &quot;-&quot;??_-;_-@_-">
                  <c:v>25610.328777016526</c:v>
                </c:pt>
                <c:pt idx="10" formatCode="_-* #,##0_-;\-* #,##0_-;_-* &quot;-&quot;??_-;_-@_-">
                  <c:v>25610.328777016526</c:v>
                </c:pt>
                <c:pt idx="11" formatCode="_-* #,##0_-;\-* #,##0_-;_-* &quot;-&quot;??_-;_-@_-">
                  <c:v>25610.328777016526</c:v>
                </c:pt>
              </c:numCache>
            </c:numRef>
          </c:val>
          <c:smooth val="0"/>
          <c:extLst>
            <c:ext xmlns:c16="http://schemas.microsoft.com/office/drawing/2014/chart" uri="{C3380CC4-5D6E-409C-BE32-E72D297353CC}">
              <c16:uniqueId val="{00000002-7F08-42FB-B075-67A03D610874}"/>
            </c:ext>
          </c:extLst>
        </c:ser>
        <c:ser>
          <c:idx val="5"/>
          <c:order val="2"/>
          <c:tx>
            <c:strRef>
              <c:f>'Chart 1.1 GG-PNFC chart '!$AG$41:$AH$41</c:f>
              <c:strCache>
                <c:ptCount val="2"/>
                <c:pt idx="0">
                  <c:v>over 4 years to 2026-27</c:v>
                </c:pt>
              </c:strCache>
            </c:strRef>
          </c:tx>
          <c:spPr>
            <a:ln w="31750">
              <a:solidFill>
                <a:schemeClr val="tx1"/>
              </a:solidFill>
              <a:prstDash val="sysDash"/>
            </a:ln>
          </c:spPr>
          <c:marker>
            <c:symbol val="none"/>
          </c:marker>
          <c:cat>
            <c:multiLvlStrRef>
              <c:f>'Chart 1.1 GG-PNFC chart '!$K$41:$Z$42</c:f>
              <c:multiLvlStrCache>
                <c:ptCount val="16"/>
                <c:lvl>
                  <c:pt idx="0">
                    <c:v>Actual</c:v>
                  </c:pt>
                  <c:pt idx="1">
                    <c:v>Actual</c:v>
                  </c:pt>
                  <c:pt idx="2">
                    <c:v>Actual</c:v>
                  </c:pt>
                  <c:pt idx="3">
                    <c:v>Actual</c:v>
                  </c:pt>
                  <c:pt idx="4">
                    <c:v>Actual</c:v>
                  </c:pt>
                  <c:pt idx="5">
                    <c:v>Actual</c:v>
                  </c:pt>
                  <c:pt idx="6">
                    <c:v>Actual</c:v>
                  </c:pt>
                  <c:pt idx="7">
                    <c:v>Actual</c:v>
                  </c:pt>
                  <c:pt idx="8">
                    <c:v>Actual</c:v>
                  </c:pt>
                  <c:pt idx="9">
                    <c:v>Actual</c:v>
                  </c:pt>
                  <c:pt idx="10">
                    <c:v>Actual</c:v>
                  </c:pt>
                  <c:pt idx="11">
                    <c:v>Est. Act</c:v>
                  </c:pt>
                  <c:pt idx="12">
                    <c:v>Budget</c:v>
                  </c:pt>
                  <c:pt idx="13">
                    <c:v>Estimate</c:v>
                  </c:pt>
                  <c:pt idx="14">
                    <c:v>Estimate</c:v>
                  </c:pt>
                  <c:pt idx="15">
                    <c:v>Estimate</c:v>
                  </c:pt>
                </c:lvl>
                <c:lvl>
                  <c:pt idx="0">
                    <c:v>2011-12</c:v>
                  </c:pt>
                  <c:pt idx="1">
                    <c:v>2012-13</c:v>
                  </c:pt>
                  <c:pt idx="2">
                    <c:v> 2013-14</c:v>
                  </c:pt>
                  <c:pt idx="3">
                    <c:v>2014-15</c:v>
                  </c:pt>
                  <c:pt idx="4">
                    <c:v>2015-16</c:v>
                  </c:pt>
                  <c:pt idx="5">
                    <c:v>2016-17</c:v>
                  </c:pt>
                  <c:pt idx="6">
                    <c:v>2017-18</c:v>
                  </c:pt>
                  <c:pt idx="7">
                    <c:v>2018-19</c:v>
                  </c:pt>
                  <c:pt idx="8">
                    <c:v>2019-20</c:v>
                  </c:pt>
                  <c:pt idx="9">
                    <c:v>2020-21</c:v>
                  </c:pt>
                  <c:pt idx="10">
                    <c:v>2021-22</c:v>
                  </c:pt>
                  <c:pt idx="11">
                    <c:v>2022-23</c:v>
                  </c:pt>
                  <c:pt idx="12">
                    <c:v>2023-24</c:v>
                  </c:pt>
                  <c:pt idx="13">
                    <c:v>2024-25</c:v>
                  </c:pt>
                  <c:pt idx="14">
                    <c:v>2025-26</c:v>
                  </c:pt>
                  <c:pt idx="15">
                    <c:v>2026-27</c:v>
                  </c:pt>
                </c:lvl>
              </c:multiLvlStrCache>
            </c:multiLvlStrRef>
          </c:cat>
          <c:val>
            <c:numRef>
              <c:f>'Chart 1.1 GG-PNFC chart '!$K$54:$Z$54</c:f>
              <c:numCache>
                <c:formatCode>General</c:formatCode>
                <c:ptCount val="16"/>
                <c:pt idx="12" formatCode="_-* #,##0_-;\-* #,##0_-;_-* &quot;-&quot;??_-;_-@_-">
                  <c:v>29133.7784741625</c:v>
                </c:pt>
                <c:pt idx="13" formatCode="_-* #,##0_-;\-* #,##0_-;_-* &quot;-&quot;??_-;_-@_-">
                  <c:v>29133.7784741625</c:v>
                </c:pt>
                <c:pt idx="14" formatCode="_-* #,##0_-;\-* #,##0_-;_-* &quot;-&quot;??_-;_-@_-">
                  <c:v>29133.7784741625</c:v>
                </c:pt>
                <c:pt idx="15" formatCode="_-* #,##0_-;\-* #,##0_-;_-* &quot;-&quot;??_-;_-@_-">
                  <c:v>29133.7784741625</c:v>
                </c:pt>
              </c:numCache>
            </c:numRef>
          </c:val>
          <c:smooth val="0"/>
          <c:extLst>
            <c:ext xmlns:c16="http://schemas.microsoft.com/office/drawing/2014/chart" uri="{C3380CC4-5D6E-409C-BE32-E72D297353CC}">
              <c16:uniqueId val="{00000003-7F08-42FB-B075-67A03D610874}"/>
            </c:ext>
          </c:extLst>
        </c:ser>
        <c:ser>
          <c:idx val="1"/>
          <c:order val="3"/>
          <c:tx>
            <c:strRef>
              <c:f>'Chart 1.1 GG-PNFC chart '!$AC$41:$AD$41</c:f>
              <c:strCache>
                <c:ptCount val="2"/>
                <c:pt idx="0">
                  <c:v>over 4 years to 2018-19</c:v>
                </c:pt>
              </c:strCache>
            </c:strRef>
          </c:tx>
          <c:spPr>
            <a:ln w="31750">
              <a:solidFill>
                <a:schemeClr val="tx1"/>
              </a:solidFill>
              <a:prstDash val="sysDash"/>
            </a:ln>
          </c:spPr>
          <c:marker>
            <c:symbol val="none"/>
          </c:marker>
          <c:cat>
            <c:multiLvlStrRef>
              <c:f>'Chart 1.1 GG-PNFC chart '!$K$41:$Z$42</c:f>
              <c:multiLvlStrCache>
                <c:ptCount val="16"/>
                <c:lvl>
                  <c:pt idx="0">
                    <c:v>Actual</c:v>
                  </c:pt>
                  <c:pt idx="1">
                    <c:v>Actual</c:v>
                  </c:pt>
                  <c:pt idx="2">
                    <c:v>Actual</c:v>
                  </c:pt>
                  <c:pt idx="3">
                    <c:v>Actual</c:v>
                  </c:pt>
                  <c:pt idx="4">
                    <c:v>Actual</c:v>
                  </c:pt>
                  <c:pt idx="5">
                    <c:v>Actual</c:v>
                  </c:pt>
                  <c:pt idx="6">
                    <c:v>Actual</c:v>
                  </c:pt>
                  <c:pt idx="7">
                    <c:v>Actual</c:v>
                  </c:pt>
                  <c:pt idx="8">
                    <c:v>Actual</c:v>
                  </c:pt>
                  <c:pt idx="9">
                    <c:v>Actual</c:v>
                  </c:pt>
                  <c:pt idx="10">
                    <c:v>Actual</c:v>
                  </c:pt>
                  <c:pt idx="11">
                    <c:v>Est. Act</c:v>
                  </c:pt>
                  <c:pt idx="12">
                    <c:v>Budget</c:v>
                  </c:pt>
                  <c:pt idx="13">
                    <c:v>Estimate</c:v>
                  </c:pt>
                  <c:pt idx="14">
                    <c:v>Estimate</c:v>
                  </c:pt>
                  <c:pt idx="15">
                    <c:v>Estimate</c:v>
                  </c:pt>
                </c:lvl>
                <c:lvl>
                  <c:pt idx="0">
                    <c:v>2011-12</c:v>
                  </c:pt>
                  <c:pt idx="1">
                    <c:v>2012-13</c:v>
                  </c:pt>
                  <c:pt idx="2">
                    <c:v> 2013-14</c:v>
                  </c:pt>
                  <c:pt idx="3">
                    <c:v>2014-15</c:v>
                  </c:pt>
                  <c:pt idx="4">
                    <c:v>2015-16</c:v>
                  </c:pt>
                  <c:pt idx="5">
                    <c:v>2016-17</c:v>
                  </c:pt>
                  <c:pt idx="6">
                    <c:v>2017-18</c:v>
                  </c:pt>
                  <c:pt idx="7">
                    <c:v>2018-19</c:v>
                  </c:pt>
                  <c:pt idx="8">
                    <c:v>2019-20</c:v>
                  </c:pt>
                  <c:pt idx="9">
                    <c:v>2020-21</c:v>
                  </c:pt>
                  <c:pt idx="10">
                    <c:v>2021-22</c:v>
                  </c:pt>
                  <c:pt idx="11">
                    <c:v>2022-23</c:v>
                  </c:pt>
                  <c:pt idx="12">
                    <c:v>2023-24</c:v>
                  </c:pt>
                  <c:pt idx="13">
                    <c:v>2024-25</c:v>
                  </c:pt>
                  <c:pt idx="14">
                    <c:v>2025-26</c:v>
                  </c:pt>
                  <c:pt idx="15">
                    <c:v>2026-27</c:v>
                  </c:pt>
                </c:lvl>
              </c:multiLvlStrCache>
            </c:multiLvlStrRef>
          </c:cat>
          <c:val>
            <c:numRef>
              <c:f>'Chart 1.1 GG-PNFC chart '!$K$52:$Z$52</c:f>
              <c:numCache>
                <c:formatCode>General</c:formatCode>
                <c:ptCount val="16"/>
                <c:pt idx="4" formatCode="_-* #,##0_-;\-* #,##0_-;_-* &quot;-&quot;??_-;_-@_-">
                  <c:v>18520.211013982902</c:v>
                </c:pt>
                <c:pt idx="5" formatCode="_-* #,##0_-;\-* #,##0_-;_-* &quot;-&quot;??_-;_-@_-">
                  <c:v>18520.211013982902</c:v>
                </c:pt>
                <c:pt idx="6" formatCode="_-* #,##0_-;\-* #,##0_-;_-* &quot;-&quot;??_-;_-@_-">
                  <c:v>18520.211013982902</c:v>
                </c:pt>
                <c:pt idx="7" formatCode="_-* #,##0_-;\-* #,##0_-;_-* &quot;-&quot;??_-;_-@_-">
                  <c:v>18520.211013982902</c:v>
                </c:pt>
              </c:numCache>
            </c:numRef>
          </c:val>
          <c:smooth val="0"/>
          <c:extLst>
            <c:ext xmlns:c16="http://schemas.microsoft.com/office/drawing/2014/chart" uri="{C3380CC4-5D6E-409C-BE32-E72D297353CC}">
              <c16:uniqueId val="{00000004-7F08-42FB-B075-67A03D610874}"/>
            </c:ext>
          </c:extLst>
        </c:ser>
        <c:ser>
          <c:idx val="3"/>
          <c:order val="5"/>
          <c:tx>
            <c:strRef>
              <c:f>'Chart 1.1 GG-PNFC chart '!$B$51</c:f>
              <c:strCache>
                <c:ptCount val="1"/>
                <c:pt idx="0">
                  <c:v>over 4 years to 2014-15</c:v>
                </c:pt>
              </c:strCache>
            </c:strRef>
          </c:tx>
          <c:spPr>
            <a:ln w="31750">
              <a:solidFill>
                <a:schemeClr val="tx1"/>
              </a:solidFill>
              <a:prstDash val="sysDash"/>
            </a:ln>
          </c:spPr>
          <c:marker>
            <c:symbol val="none"/>
          </c:marker>
          <c:cat>
            <c:multiLvlStrRef>
              <c:f>'Chart 1.1 GG-PNFC chart '!$K$41:$Z$42</c:f>
              <c:multiLvlStrCache>
                <c:ptCount val="16"/>
                <c:lvl>
                  <c:pt idx="0">
                    <c:v>Actual</c:v>
                  </c:pt>
                  <c:pt idx="1">
                    <c:v>Actual</c:v>
                  </c:pt>
                  <c:pt idx="2">
                    <c:v>Actual</c:v>
                  </c:pt>
                  <c:pt idx="3">
                    <c:v>Actual</c:v>
                  </c:pt>
                  <c:pt idx="4">
                    <c:v>Actual</c:v>
                  </c:pt>
                  <c:pt idx="5">
                    <c:v>Actual</c:v>
                  </c:pt>
                  <c:pt idx="6">
                    <c:v>Actual</c:v>
                  </c:pt>
                  <c:pt idx="7">
                    <c:v>Actual</c:v>
                  </c:pt>
                  <c:pt idx="8">
                    <c:v>Actual</c:v>
                  </c:pt>
                  <c:pt idx="9">
                    <c:v>Actual</c:v>
                  </c:pt>
                  <c:pt idx="10">
                    <c:v>Actual</c:v>
                  </c:pt>
                  <c:pt idx="11">
                    <c:v>Est. Act</c:v>
                  </c:pt>
                  <c:pt idx="12">
                    <c:v>Budget</c:v>
                  </c:pt>
                  <c:pt idx="13">
                    <c:v>Estimate</c:v>
                  </c:pt>
                  <c:pt idx="14">
                    <c:v>Estimate</c:v>
                  </c:pt>
                  <c:pt idx="15">
                    <c:v>Estimate</c:v>
                  </c:pt>
                </c:lvl>
                <c:lvl>
                  <c:pt idx="0">
                    <c:v>2011-12</c:v>
                  </c:pt>
                  <c:pt idx="1">
                    <c:v>2012-13</c:v>
                  </c:pt>
                  <c:pt idx="2">
                    <c:v> 2013-14</c:v>
                  </c:pt>
                  <c:pt idx="3">
                    <c:v>2014-15</c:v>
                  </c:pt>
                  <c:pt idx="4">
                    <c:v>2015-16</c:v>
                  </c:pt>
                  <c:pt idx="5">
                    <c:v>2016-17</c:v>
                  </c:pt>
                  <c:pt idx="6">
                    <c:v>2017-18</c:v>
                  </c:pt>
                  <c:pt idx="7">
                    <c:v>2018-19</c:v>
                  </c:pt>
                  <c:pt idx="8">
                    <c:v>2019-20</c:v>
                  </c:pt>
                  <c:pt idx="9">
                    <c:v>2020-21</c:v>
                  </c:pt>
                  <c:pt idx="10">
                    <c:v>2021-22</c:v>
                  </c:pt>
                  <c:pt idx="11">
                    <c:v>2022-23</c:v>
                  </c:pt>
                  <c:pt idx="12">
                    <c:v>2023-24</c:v>
                  </c:pt>
                  <c:pt idx="13">
                    <c:v>2024-25</c:v>
                  </c:pt>
                  <c:pt idx="14">
                    <c:v>2025-26</c:v>
                  </c:pt>
                  <c:pt idx="15">
                    <c:v>2026-27</c:v>
                  </c:pt>
                </c:lvl>
              </c:multiLvlStrCache>
            </c:multiLvlStrRef>
          </c:cat>
          <c:val>
            <c:numRef>
              <c:f>'Chart 1.1 GG-PNFC chart '!$K$51:$Z$51</c:f>
              <c:numCache>
                <c:formatCode>_-* #,##0_-;\-* #,##0_-;_-* "-"??_-;_-@_-</c:formatCode>
                <c:ptCount val="16"/>
                <c:pt idx="0">
                  <c:v>13627.511750000001</c:v>
                </c:pt>
                <c:pt idx="1">
                  <c:v>13627.511750000001</c:v>
                </c:pt>
                <c:pt idx="2">
                  <c:v>13627.511750000001</c:v>
                </c:pt>
                <c:pt idx="3">
                  <c:v>13627.511750000001</c:v>
                </c:pt>
                <c:pt idx="15" formatCode="General">
                  <c:v>115063.74448528</c:v>
                </c:pt>
              </c:numCache>
            </c:numRef>
          </c:val>
          <c:smooth val="0"/>
          <c:extLst>
            <c:ext xmlns:c16="http://schemas.microsoft.com/office/drawing/2014/chart" uri="{C3380CC4-5D6E-409C-BE32-E72D297353CC}">
              <c16:uniqueId val="{00000005-7F08-42FB-B075-67A03D610874}"/>
            </c:ext>
          </c:extLst>
        </c:ser>
        <c:dLbls>
          <c:showLegendKey val="0"/>
          <c:showVal val="0"/>
          <c:showCatName val="0"/>
          <c:showSerName val="0"/>
          <c:showPercent val="0"/>
          <c:showBubbleSize val="0"/>
        </c:dLbls>
        <c:marker val="1"/>
        <c:smooth val="0"/>
        <c:axId val="693073408"/>
        <c:axId val="693074944"/>
      </c:lineChart>
      <c:catAx>
        <c:axId val="693073408"/>
        <c:scaling>
          <c:orientation val="minMax"/>
        </c:scaling>
        <c:delete val="0"/>
        <c:axPos val="b"/>
        <c:numFmt formatCode="General" sourceLinked="0"/>
        <c:majorTickMark val="out"/>
        <c:minorTickMark val="none"/>
        <c:tickLblPos val="nextTo"/>
        <c:spPr>
          <a:ln w="3175">
            <a:noFill/>
          </a:ln>
        </c:spPr>
        <c:txPr>
          <a:bodyPr rot="0" vert="horz"/>
          <a:lstStyle/>
          <a:p>
            <a:pPr>
              <a:defRPr/>
            </a:pPr>
            <a:endParaRPr lang="en-US"/>
          </a:p>
        </c:txPr>
        <c:crossAx val="693074944"/>
        <c:crosses val="autoZero"/>
        <c:auto val="1"/>
        <c:lblAlgn val="ctr"/>
        <c:lblOffset val="100"/>
        <c:noMultiLvlLbl val="1"/>
      </c:catAx>
      <c:valAx>
        <c:axId val="693074944"/>
        <c:scaling>
          <c:orientation val="minMax"/>
          <c:max val="35000"/>
          <c:min val="0"/>
        </c:scaling>
        <c:delete val="0"/>
        <c:axPos val="l"/>
        <c:majorGridlines>
          <c:spPr>
            <a:ln w="3175">
              <a:solidFill>
                <a:srgbClr val="DFDCDA"/>
              </a:solidFill>
              <a:prstDash val="solid"/>
            </a:ln>
          </c:spPr>
        </c:majorGridlines>
        <c:title>
          <c:tx>
            <c:rich>
              <a:bodyPr rot="-5400000" vert="horz"/>
              <a:lstStyle/>
              <a:p>
                <a:pPr>
                  <a:defRPr b="0"/>
                </a:pPr>
                <a:r>
                  <a:rPr lang="en-US" b="0"/>
                  <a:t>$ millions</a:t>
                </a:r>
              </a:p>
            </c:rich>
          </c:tx>
          <c:layout>
            <c:manualLayout>
              <c:xMode val="edge"/>
              <c:yMode val="edge"/>
              <c:x val="9.3287871726314611E-3"/>
              <c:y val="0.36239032421655193"/>
            </c:manualLayout>
          </c:layout>
          <c:overlay val="0"/>
        </c:title>
        <c:numFmt formatCode="#,##0" sourceLinked="0"/>
        <c:majorTickMark val="out"/>
        <c:minorTickMark val="none"/>
        <c:tickLblPos val="nextTo"/>
        <c:spPr>
          <a:ln w="3175">
            <a:noFill/>
          </a:ln>
        </c:spPr>
        <c:crossAx val="693073408"/>
        <c:crossesAt val="1"/>
        <c:crossBetween val="between"/>
        <c:majorUnit val="3000"/>
      </c:valAx>
    </c:plotArea>
    <c:legend>
      <c:legendPos val="b"/>
      <c:legendEntry>
        <c:idx val="2"/>
        <c:delete val="1"/>
      </c:legendEntry>
      <c:legendEntry>
        <c:idx val="3"/>
        <c:delete val="1"/>
      </c:legendEntry>
      <c:legendEntry>
        <c:idx val="4"/>
        <c:delete val="1"/>
      </c:legendEntry>
      <c:legendEntry>
        <c:idx val="5"/>
        <c:delete val="1"/>
      </c:legendEntry>
      <c:layout>
        <c:manualLayout>
          <c:xMode val="edge"/>
          <c:yMode val="edge"/>
          <c:x val="0.13144067467565348"/>
          <c:y val="0.91535537892659757"/>
          <c:w val="0.75210329009769417"/>
          <c:h val="4.8076311202801696E-2"/>
        </c:manualLayout>
      </c:layout>
      <c:overlay val="0"/>
    </c:legend>
    <c:plotVisOnly val="1"/>
    <c:dispBlanksAs val="gap"/>
    <c:showDLblsOverMax val="0"/>
  </c:chart>
  <c:spPr>
    <a:noFill/>
    <a:ln>
      <a:noFill/>
    </a:ln>
  </c:spPr>
  <c:txPr>
    <a:bodyPr/>
    <a:lstStyle/>
    <a:p>
      <a:pPr>
        <a:defRPr sz="650">
          <a:solidFill>
            <a:srgbClr val="57514D"/>
          </a:solidFill>
          <a:latin typeface="Public Sans" pitchFamily="2" charset="0"/>
          <a:cs typeface="Arial" panose="020B0604020202020204" pitchFamily="34" charset="0"/>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6586054605648638E-2"/>
          <c:y val="4.7408490462289898E-2"/>
          <c:w val="0.88812494347040982"/>
          <c:h val="0.88003915711907987"/>
        </c:manualLayout>
      </c:layout>
      <c:barChart>
        <c:barDir val="col"/>
        <c:grouping val="stacked"/>
        <c:varyColors val="0"/>
        <c:ser>
          <c:idx val="0"/>
          <c:order val="0"/>
          <c:tx>
            <c:strRef>
              <c:f>'Chart 1.2 CAPEX and Funding S.'!$A$29</c:f>
              <c:strCache>
                <c:ptCount val="1"/>
                <c:pt idx="0">
                  <c:v>General Government 
84.2</c:v>
                </c:pt>
              </c:strCache>
            </c:strRef>
          </c:tx>
          <c:spPr>
            <a:solidFill>
              <a:srgbClr val="002664"/>
            </a:solidFill>
            <a:ln>
              <a:noFill/>
            </a:ln>
          </c:spPr>
          <c:invertIfNegative val="0"/>
          <c:dPt>
            <c:idx val="0"/>
            <c:invertIfNegative val="0"/>
            <c:bubble3D val="0"/>
            <c:spPr>
              <a:solidFill>
                <a:srgbClr val="002664"/>
              </a:solidFill>
              <a:ln w="25400" cap="flat" cmpd="sng" algn="ctr">
                <a:noFill/>
                <a:prstDash val="solid"/>
              </a:ln>
              <a:effectLst/>
            </c:spPr>
            <c:extLst>
              <c:ext xmlns:c16="http://schemas.microsoft.com/office/drawing/2014/chart" uri="{C3380CC4-5D6E-409C-BE32-E72D297353CC}">
                <c16:uniqueId val="{00000001-FE40-4E19-85EF-0163AB7FB82E}"/>
              </c:ext>
            </c:extLst>
          </c:dPt>
          <c:dLbls>
            <c:dLbl>
              <c:idx val="0"/>
              <c:tx>
                <c:strRef>
                  <c:f>'Chart 1.2 CAPEX and Funding S.'!$T$29</c:f>
                  <c:strCache>
                    <c:ptCount val="1"/>
                    <c:pt idx="0">
                      <c:v>General Government: $85.6 billion</c:v>
                    </c:pt>
                  </c:strCache>
                </c:strRef>
              </c:tx>
              <c:numFmt formatCode="#,##0.0_ ;[Red]\-#,##0.0\ " sourceLinked="0"/>
              <c:spPr/>
              <c:txPr>
                <a:bodyPr/>
                <a:lstStyle/>
                <a:p>
                  <a:pPr>
                    <a:defRPr sz="650">
                      <a:solidFill>
                        <a:schemeClr val="bg1"/>
                      </a:solidFill>
                      <a:latin typeface="Public Sans" pitchFamily="2" charset="0"/>
                    </a:defRPr>
                  </a:pPr>
                  <a:endParaRPr lang="en-US"/>
                </a:p>
              </c:txPr>
              <c:dLblPos val="ctr"/>
              <c:showLegendKey val="0"/>
              <c:showVal val="0"/>
              <c:showCatName val="0"/>
              <c:showSerName val="1"/>
              <c:showPercent val="0"/>
              <c:showBubbleSize val="0"/>
              <c:separator>
</c:separator>
              <c:extLst>
                <c:ext xmlns:c15="http://schemas.microsoft.com/office/drawing/2012/chart" uri="{CE6537A1-D6FC-4f65-9D91-7224C49458BB}">
                  <c15:layout>
                    <c:manualLayout>
                      <c:w val="0.12559245592455925"/>
                      <c:h val="0.12481645943203694"/>
                    </c:manualLayout>
                  </c15:layout>
                  <c15:dlblFieldTable>
                    <c15:dlblFTEntry>
                      <c15:txfldGUID>{193BBF56-09FE-4FBD-ADD7-52C8BDF720CF}</c15:txfldGUID>
                      <c15:f>'Chart 1.2 CAPEX and Funding S.'!$T$29</c15:f>
                      <c15:dlblFieldTableCache>
                        <c:ptCount val="1"/>
                        <c:pt idx="0">
                          <c:v>General Government: $85.6 billion</c:v>
                        </c:pt>
                      </c15:dlblFieldTableCache>
                    </c15:dlblFTEntry>
                  </c15:dlblFieldTable>
                  <c15:showDataLabelsRange val="0"/>
                </c:ext>
                <c:ext xmlns:c16="http://schemas.microsoft.com/office/drawing/2014/chart" uri="{C3380CC4-5D6E-409C-BE32-E72D297353CC}">
                  <c16:uniqueId val="{00000001-FE40-4E19-85EF-0163AB7FB82E}"/>
                </c:ext>
              </c:extLst>
            </c:dLbl>
            <c:dLbl>
              <c:idx val="1"/>
              <c:tx>
                <c:rich>
                  <a:bodyPr/>
                  <a:lstStyle/>
                  <a:p>
                    <a:endParaRPr lang="en-AU"/>
                  </a:p>
                </c:rich>
              </c:tx>
              <c:dLblPos val="ctr"/>
              <c:showLegendKey val="0"/>
              <c:showVal val="0"/>
              <c:showCatName val="0"/>
              <c:showSerName val="1"/>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FE40-4E19-85EF-0163AB7FB82E}"/>
                </c:ext>
              </c:extLst>
            </c:dLbl>
            <c:numFmt formatCode="#,##0.0" sourceLinked="0"/>
            <c:spPr>
              <a:noFill/>
              <a:ln>
                <a:noFill/>
              </a:ln>
              <a:effectLst/>
            </c:spPr>
            <c:txPr>
              <a:bodyPr/>
              <a:lstStyle/>
              <a:p>
                <a:pPr>
                  <a:defRPr sz="650">
                    <a:solidFill>
                      <a:schemeClr val="bg1"/>
                    </a:solidFill>
                  </a:defRPr>
                </a:pPr>
                <a:endParaRPr lang="en-US"/>
              </a:p>
            </c:txPr>
            <c:dLblPos val="ctr"/>
            <c:showLegendKey val="0"/>
            <c:showVal val="0"/>
            <c:showCatName val="0"/>
            <c:showSerName val="1"/>
            <c:showPercent val="0"/>
            <c:showBubbleSize val="0"/>
            <c:showLeaderLines val="0"/>
            <c:extLst>
              <c:ext xmlns:c15="http://schemas.microsoft.com/office/drawing/2012/chart" uri="{CE6537A1-D6FC-4f65-9D91-7224C49458BB}">
                <c15:showDataLabelsRange val="1"/>
                <c15:showLeaderLines val="0"/>
              </c:ext>
            </c:extLst>
          </c:dLbls>
          <c:cat>
            <c:numRef>
              <c:f>'Chart 1.2 CAPEX and Funding S.'!$R$28:$S$28</c:f>
              <c:numCache>
                <c:formatCode>General</c:formatCode>
                <c:ptCount val="2"/>
              </c:numCache>
            </c:numRef>
          </c:cat>
          <c:val>
            <c:numRef>
              <c:f>'Chart 1.2 CAPEX and Funding S.'!$R$29:$S$29</c:f>
              <c:numCache>
                <c:formatCode>General</c:formatCode>
                <c:ptCount val="2"/>
                <c:pt idx="0" formatCode="_-* #,##0_-;\-* #,##0_-;_-* &quot;-&quot;??_-;_-@_-">
                  <c:v>85575.212411369997</c:v>
                </c:pt>
              </c:numCache>
            </c:numRef>
          </c:val>
          <c:extLst>
            <c:ext xmlns:c16="http://schemas.microsoft.com/office/drawing/2014/chart" uri="{C3380CC4-5D6E-409C-BE32-E72D297353CC}">
              <c16:uniqueId val="{00000003-FE40-4E19-85EF-0163AB7FB82E}"/>
            </c:ext>
          </c:extLst>
        </c:ser>
        <c:ser>
          <c:idx val="1"/>
          <c:order val="1"/>
          <c:tx>
            <c:strRef>
              <c:f>'Chart 1.2 CAPEX and Funding S.'!$A$30</c:f>
              <c:strCache>
                <c:ptCount val="1"/>
                <c:pt idx="0">
                  <c:v>Public Non-Financial Corporations 22.9
</c:v>
                </c:pt>
              </c:strCache>
            </c:strRef>
          </c:tx>
          <c:spPr>
            <a:solidFill>
              <a:srgbClr val="146CFD"/>
            </a:solidFill>
            <a:ln w="25400" cap="flat" cmpd="sng" algn="ctr">
              <a:noFill/>
              <a:prstDash val="solid"/>
            </a:ln>
            <a:effectLst/>
          </c:spPr>
          <c:invertIfNegative val="0"/>
          <c:dLbls>
            <c:dLbl>
              <c:idx val="0"/>
              <c:tx>
                <c:strRef>
                  <c:f>'Chart 1.2 CAPEX and Funding S.'!$T$30</c:f>
                  <c:strCache>
                    <c:ptCount val="1"/>
                    <c:pt idx="0">
                      <c:v>Public Non-Financial Corporations: $31 billion</c:v>
                    </c:pt>
                  </c:strCache>
                </c:strRef>
              </c:tx>
              <c:spPr>
                <a:noFill/>
                <a:ln>
                  <a:noFill/>
                </a:ln>
                <a:effectLst/>
              </c:spPr>
              <c:txPr>
                <a:bodyPr wrap="square" lIns="38100" tIns="19050" rIns="38100" bIns="19050" anchor="ctr">
                  <a:noAutofit/>
                </a:bodyPr>
                <a:lstStyle/>
                <a:p>
                  <a:pPr>
                    <a:defRPr>
                      <a:solidFill>
                        <a:schemeClr val="bg1"/>
                      </a:solidFill>
                      <a:latin typeface="Public Sans" pitchFamily="2" charset="0"/>
                    </a:defRPr>
                  </a:pPr>
                  <a:endParaRPr lang="en-US"/>
                </a:p>
              </c:txPr>
              <c:dLblPos val="ct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0.12658473041423327"/>
                      <c:h val="0.14257716805487503"/>
                    </c:manualLayout>
                  </c15:layout>
                  <c15:dlblFieldTable>
                    <c15:dlblFTEntry>
                      <c15:txfldGUID>{52FB255E-DD16-4348-A606-EFC23737B49A}</c15:txfldGUID>
                      <c15:f>'Chart 1.2 CAPEX and Funding S.'!$T$30</c15:f>
                      <c15:dlblFieldTableCache>
                        <c:ptCount val="1"/>
                        <c:pt idx="0">
                          <c:v>Public Non-Financial Corporations: $31 billion</c:v>
                        </c:pt>
                      </c15:dlblFieldTableCache>
                    </c15:dlblFTEntry>
                  </c15:dlblFieldTable>
                  <c15:showDataLabelsRange val="1"/>
                </c:ext>
                <c:ext xmlns:c16="http://schemas.microsoft.com/office/drawing/2014/chart" uri="{C3380CC4-5D6E-409C-BE32-E72D297353CC}">
                  <c16:uniqueId val="{00000004-FE40-4E19-85EF-0163AB7FB82E}"/>
                </c:ext>
              </c:extLst>
            </c:dLbl>
            <c:dLbl>
              <c:idx val="1"/>
              <c:tx>
                <c:rich>
                  <a:bodyPr/>
                  <a:lstStyle/>
                  <a:p>
                    <a:endParaRPr lang="en-US"/>
                  </a:p>
                </c:rich>
              </c:tx>
              <c:dLblPos val="ctr"/>
              <c:showLegendKey val="0"/>
              <c:showVal val="0"/>
              <c:showCatName val="0"/>
              <c:showSerName val="1"/>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FE40-4E19-85EF-0163AB7FB82E}"/>
                </c:ext>
              </c:extLst>
            </c:dLbl>
            <c:spPr>
              <a:noFill/>
              <a:ln>
                <a:noFill/>
              </a:ln>
              <a:effectLst/>
            </c:spPr>
            <c:dLblPos val="ctr"/>
            <c:showLegendKey val="0"/>
            <c:showVal val="0"/>
            <c:showCatName val="0"/>
            <c:showSerName val="1"/>
            <c:showPercent val="0"/>
            <c:showBubbleSize val="0"/>
            <c:showLeaderLines val="0"/>
            <c:extLst>
              <c:ext xmlns:c15="http://schemas.microsoft.com/office/drawing/2012/chart" uri="{CE6537A1-D6FC-4f65-9D91-7224C49458BB}">
                <c15:showDataLabelsRange val="1"/>
                <c15:showLeaderLines val="0"/>
              </c:ext>
            </c:extLst>
          </c:dLbls>
          <c:cat>
            <c:numRef>
              <c:f>'Chart 1.2 CAPEX and Funding S.'!$R$28:$S$28</c:f>
              <c:numCache>
                <c:formatCode>General</c:formatCode>
                <c:ptCount val="2"/>
              </c:numCache>
            </c:numRef>
          </c:cat>
          <c:val>
            <c:numRef>
              <c:f>'Chart 1.2 CAPEX and Funding S.'!$R$30:$S$30</c:f>
              <c:numCache>
                <c:formatCode>General</c:formatCode>
                <c:ptCount val="2"/>
                <c:pt idx="0" formatCode="_-* #,##0_-;\-* #,##0_-;_-* &quot;-&quot;??_-;_-@_-">
                  <c:v>30960.74448528</c:v>
                </c:pt>
              </c:numCache>
            </c:numRef>
          </c:val>
          <c:extLst>
            <c:ext xmlns:c15="http://schemas.microsoft.com/office/drawing/2012/chart" uri="{02D57815-91ED-43cb-92C2-25804820EDAC}">
              <c15:datalabelsRange>
                <c15:f>'Chart 1.2 CAPEX and Funding S.'!$A$30</c15:f>
                <c15:dlblRangeCache>
                  <c:ptCount val="1"/>
                  <c:pt idx="0">
                    <c:v>Public Non-Financial Corporations 22.9
</c:v>
                  </c:pt>
                </c15:dlblRangeCache>
              </c15:datalabelsRange>
            </c:ext>
            <c:ext xmlns:c16="http://schemas.microsoft.com/office/drawing/2014/chart" uri="{C3380CC4-5D6E-409C-BE32-E72D297353CC}">
              <c16:uniqueId val="{00000006-FE40-4E19-85EF-0163AB7FB82E}"/>
            </c:ext>
          </c:extLst>
        </c:ser>
        <c:ser>
          <c:idx val="5"/>
          <c:order val="2"/>
          <c:tx>
            <c:strRef>
              <c:f>'Chart 1.2 CAPEX and Funding S.'!$A$50</c:f>
              <c:strCache>
                <c:ptCount val="1"/>
                <c:pt idx="0">
                  <c:v>State sources: $76.4 billion</c:v>
                </c:pt>
              </c:strCache>
            </c:strRef>
          </c:tx>
          <c:spPr>
            <a:solidFill>
              <a:srgbClr val="002664"/>
            </a:solidFill>
            <a:ln w="25400" cap="flat" cmpd="sng" algn="ctr">
              <a:noFill/>
              <a:prstDash val="solid"/>
            </a:ln>
            <a:effectLst/>
          </c:spPr>
          <c:invertIfNegative val="0"/>
          <c:dLbls>
            <c:dLbl>
              <c:idx val="0"/>
              <c:tx>
                <c:rich>
                  <a:bodyPr/>
                  <a:lstStyle/>
                  <a:p>
                    <a:endParaRPr lang="en-US"/>
                  </a:p>
                </c:rich>
              </c:tx>
              <c:dLblPos val="ct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FE40-4E19-85EF-0163AB7FB82E}"/>
                </c:ext>
              </c:extLst>
            </c:dLbl>
            <c:dLbl>
              <c:idx val="1"/>
              <c:layout>
                <c:manualLayout>
                  <c:x val="6.4567574809606362E-8"/>
                  <c:y val="5.8794708476237141E-2"/>
                </c:manualLayout>
              </c:layout>
              <c:tx>
                <c:strRef>
                  <c:f>'Chart 1.2 CAPEX and Funding S.'!$T$34</c:f>
                  <c:strCache>
                    <c:ptCount val="1"/>
                    <c:pt idx="0">
                      <c:v>State sources: $76.4 billion</c:v>
                    </c:pt>
                  </c:strCache>
                </c:strRef>
              </c:tx>
              <c:spPr>
                <a:noFill/>
                <a:ln>
                  <a:noFill/>
                </a:ln>
                <a:effectLst/>
              </c:spPr>
              <c:txPr>
                <a:bodyPr wrap="square" lIns="38100" tIns="19050" rIns="38100" bIns="19050" anchor="ctr">
                  <a:noAutofit/>
                </a:bodyPr>
                <a:lstStyle/>
                <a:p>
                  <a:pPr>
                    <a:defRPr baseline="0">
                      <a:solidFill>
                        <a:schemeClr val="bg1"/>
                      </a:solidFill>
                      <a:latin typeface="Public Sans" pitchFamily="2" charset="0"/>
                    </a:defRPr>
                  </a:pPr>
                  <a:endParaRPr lang="en-US"/>
                </a:p>
              </c:txPr>
              <c:dLblPos val="ctr"/>
              <c:showLegendKey val="0"/>
              <c:showVal val="0"/>
              <c:showCatName val="0"/>
              <c:showSerName val="1"/>
              <c:showPercent val="0"/>
              <c:showBubbleSize val="0"/>
              <c:extLst>
                <c:ext xmlns:c15="http://schemas.microsoft.com/office/drawing/2012/chart" uri="{CE6537A1-D6FC-4f65-9D91-7224C49458BB}">
                  <c15:spPr xmlns:c15="http://schemas.microsoft.com/office/drawing/2012/chart">
                    <a:prstGeom prst="rect">
                      <a:avLst/>
                    </a:prstGeom>
                  </c15:spPr>
                  <c15:layout>
                    <c:manualLayout>
                      <c:w val="0.1182041174742456"/>
                      <c:h val="0.12273395394414503"/>
                    </c:manualLayout>
                  </c15:layout>
                  <c15:dlblFieldTable>
                    <c15:dlblFTEntry>
                      <c15:txfldGUID>{DAD47930-D5AA-4B08-B876-DDC3F75E50CE}</c15:txfldGUID>
                      <c15:f>'Chart 1.2 CAPEX and Funding S.'!$T$34</c15:f>
                      <c15:dlblFieldTableCache>
                        <c:ptCount val="1"/>
                        <c:pt idx="0">
                          <c:v>State sources: $76.4 billion</c:v>
                        </c:pt>
                      </c15:dlblFieldTableCache>
                    </c15:dlblFTEntry>
                  </c15:dlblFieldTable>
                  <c15:showDataLabelsRange val="1"/>
                </c:ext>
                <c:ext xmlns:c16="http://schemas.microsoft.com/office/drawing/2014/chart" uri="{C3380CC4-5D6E-409C-BE32-E72D297353CC}">
                  <c16:uniqueId val="{00000008-FE40-4E19-85EF-0163AB7FB82E}"/>
                </c:ext>
              </c:extLst>
            </c:dLbl>
            <c:spPr>
              <a:noFill/>
              <a:ln>
                <a:noFill/>
              </a:ln>
              <a:effectLst/>
            </c:sp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ext>
            </c:extLst>
          </c:dLbls>
          <c:cat>
            <c:numRef>
              <c:f>'Chart 1.2 CAPEX and Funding S.'!$R$28:$S$28</c:f>
              <c:numCache>
                <c:formatCode>General</c:formatCode>
                <c:ptCount val="2"/>
              </c:numCache>
            </c:numRef>
          </c:cat>
          <c:val>
            <c:numRef>
              <c:f>'Chart 1.2 CAPEX and Funding S.'!$R$50:$S$50</c:f>
              <c:numCache>
                <c:formatCode>_-* #,##0_-;\-* #,##0_-;_-* "-"??_-;_-@_-</c:formatCode>
                <c:ptCount val="2"/>
                <c:pt idx="1">
                  <c:v>76394.00789665</c:v>
                </c:pt>
              </c:numCache>
            </c:numRef>
          </c:val>
          <c:extLst>
            <c:ext xmlns:c15="http://schemas.microsoft.com/office/drawing/2012/chart" uri="{02D57815-91ED-43cb-92C2-25804820EDAC}">
              <c15:datalabelsRange>
                <c15:f>'Chart 1.2 CAPEX and Funding S.'!$A$34</c15:f>
                <c15:dlblRangeCache>
                  <c:ptCount val="1"/>
                  <c:pt idx="0">
                    <c:v>State sources
76.5</c:v>
                  </c:pt>
                </c15:dlblRangeCache>
              </c15:datalabelsRange>
            </c:ext>
            <c:ext xmlns:c16="http://schemas.microsoft.com/office/drawing/2014/chart" uri="{C3380CC4-5D6E-409C-BE32-E72D297353CC}">
              <c16:uniqueId val="{00000009-FE40-4E19-85EF-0163AB7FB82E}"/>
            </c:ext>
          </c:extLst>
        </c:ser>
        <c:ser>
          <c:idx val="4"/>
          <c:order val="3"/>
          <c:tx>
            <c:strRef>
              <c:f>'Chart 1.2 CAPEX and Funding S.'!$A$49</c:f>
              <c:strCache>
                <c:ptCount val="1"/>
                <c:pt idx="0">
                  <c:v>Australian Government: $14.2 billion</c:v>
                </c:pt>
              </c:strCache>
            </c:strRef>
          </c:tx>
          <c:spPr>
            <a:solidFill>
              <a:srgbClr val="0A7CB9"/>
            </a:solidFill>
            <a:ln w="25400" cap="flat" cmpd="sng" algn="ctr">
              <a:noFill/>
              <a:prstDash val="solid"/>
            </a:ln>
            <a:effectLst/>
          </c:spPr>
          <c:invertIfNegative val="0"/>
          <c:dLbls>
            <c:dLbl>
              <c:idx val="0"/>
              <c:tx>
                <c:rich>
                  <a:bodyPr/>
                  <a:lstStyle/>
                  <a:p>
                    <a:endParaRPr lang="en-AU"/>
                  </a:p>
                </c:rich>
              </c:tx>
              <c:dLblPos val="ctr"/>
              <c:showLegendKey val="0"/>
              <c:showVal val="0"/>
              <c:showCatName val="0"/>
              <c:showSerName val="1"/>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A-FE40-4E19-85EF-0163AB7FB82E}"/>
                </c:ext>
              </c:extLst>
            </c:dLbl>
            <c:dLbl>
              <c:idx val="1"/>
              <c:layout>
                <c:manualLayout>
                  <c:x val="1.476079327722411E-3"/>
                  <c:y val="-2.4806428838727347E-4"/>
                </c:manualLayout>
              </c:layout>
              <c:tx>
                <c:strRef>
                  <c:f>'Chart 1.2 CAPEX and Funding S.'!$T$33</c:f>
                  <c:strCache>
                    <c:ptCount val="1"/>
                    <c:pt idx="0">
                      <c:v>Australian Government: $14.2 billion</c:v>
                    </c:pt>
                  </c:strCache>
                </c:strRef>
              </c:tx>
              <c:numFmt formatCode="#,##0.0" sourceLinked="0"/>
              <c:spPr>
                <a:solidFill>
                  <a:srgbClr val="146CFD"/>
                </a:solidFill>
                <a:ln>
                  <a:noFill/>
                </a:ln>
              </c:spPr>
              <c:txPr>
                <a:bodyPr/>
                <a:lstStyle/>
                <a:p>
                  <a:pPr>
                    <a:defRPr sz="650">
                      <a:solidFill>
                        <a:schemeClr val="bg1"/>
                      </a:solidFill>
                      <a:latin typeface="Public Sans" pitchFamily="2" charset="0"/>
                    </a:defRPr>
                  </a:pPr>
                  <a:endParaRPr lang="en-US"/>
                </a:p>
              </c:txPr>
              <c:dLblPos val="ctr"/>
              <c:showLegendKey val="0"/>
              <c:showVal val="0"/>
              <c:showCatName val="0"/>
              <c:showSerName val="1"/>
              <c:showPercent val="0"/>
              <c:showBubbleSize val="0"/>
              <c:separator>
</c:separator>
              <c:extLst>
                <c:ext xmlns:c15="http://schemas.microsoft.com/office/drawing/2012/chart" uri="{CE6537A1-D6FC-4f65-9D91-7224C49458BB}">
                  <c15:layout>
                    <c:manualLayout>
                      <c:w val="0.14659267222593483"/>
                      <c:h val="7.8115945942817899E-2"/>
                    </c:manualLayout>
                  </c15:layout>
                  <c15:dlblFieldTable>
                    <c15:dlblFTEntry>
                      <c15:txfldGUID>{B64EADC0-EF30-47AB-A94C-8D59E763C588}</c15:txfldGUID>
                      <c15:f>'Chart 1.2 CAPEX and Funding S.'!$T$33</c15:f>
                      <c15:dlblFieldTableCache>
                        <c:ptCount val="1"/>
                        <c:pt idx="0">
                          <c:v>Australian Government: $14.2 billion</c:v>
                        </c:pt>
                      </c15:dlblFieldTableCache>
                    </c15:dlblFTEntry>
                  </c15:dlblFieldTable>
                  <c15:showDataLabelsRange val="0"/>
                </c:ext>
                <c:ext xmlns:c16="http://schemas.microsoft.com/office/drawing/2014/chart" uri="{C3380CC4-5D6E-409C-BE32-E72D297353CC}">
                  <c16:uniqueId val="{0000000B-FE40-4E19-85EF-0163AB7FB82E}"/>
                </c:ext>
              </c:extLst>
            </c:dLbl>
            <c:numFmt formatCode="#,##0.0" sourceLinked="0"/>
            <c:spPr>
              <a:solidFill>
                <a:srgbClr val="146CFD"/>
              </a:solidFill>
              <a:ln>
                <a:noFill/>
              </a:ln>
            </c:spPr>
            <c:txPr>
              <a:bodyPr/>
              <a:lstStyle/>
              <a:p>
                <a:pPr>
                  <a:defRPr sz="650">
                    <a:solidFill>
                      <a:schemeClr val="bg1"/>
                    </a:solidFill>
                  </a:defRPr>
                </a:pPr>
                <a:endParaRPr lang="en-US"/>
              </a:p>
            </c:txPr>
            <c:dLblPos val="ctr"/>
            <c:showLegendKey val="0"/>
            <c:showVal val="0"/>
            <c:showCatName val="0"/>
            <c:showSerName val="1"/>
            <c:showPercent val="0"/>
            <c:showBubbleSize val="0"/>
            <c:separator>
</c:separator>
            <c:showLeaderLines val="0"/>
            <c:extLst>
              <c:ext xmlns:c15="http://schemas.microsoft.com/office/drawing/2012/chart" uri="{CE6537A1-D6FC-4f65-9D91-7224C49458BB}">
                <c15:showDataLabelsRange val="1"/>
                <c15:showLeaderLines val="0"/>
              </c:ext>
            </c:extLst>
          </c:dLbls>
          <c:cat>
            <c:numRef>
              <c:f>'Chart 1.2 CAPEX and Funding S.'!$R$28:$S$28</c:f>
              <c:numCache>
                <c:formatCode>General</c:formatCode>
                <c:ptCount val="2"/>
              </c:numCache>
            </c:numRef>
          </c:cat>
          <c:val>
            <c:numRef>
              <c:f>'Chart 1.2 CAPEX and Funding S.'!$R$33:$S$33</c:f>
              <c:numCache>
                <c:formatCode>_-* #,##0_-;\-* #,##0_-;_-* "-"??_-;_-@_-</c:formatCode>
                <c:ptCount val="2"/>
                <c:pt idx="1">
                  <c:v>14170.374</c:v>
                </c:pt>
              </c:numCache>
            </c:numRef>
          </c:val>
          <c:extLst>
            <c:ext xmlns:c16="http://schemas.microsoft.com/office/drawing/2014/chart" uri="{C3380CC4-5D6E-409C-BE32-E72D297353CC}">
              <c16:uniqueId val="{0000000C-FE40-4E19-85EF-0163AB7FB82E}"/>
            </c:ext>
          </c:extLst>
        </c:ser>
        <c:ser>
          <c:idx val="2"/>
          <c:order val="4"/>
          <c:tx>
            <c:strRef>
              <c:f>'Chart 1.2 CAPEX and Funding S.'!$A$31</c:f>
              <c:strCache>
                <c:ptCount val="1"/>
                <c:pt idx="0">
                  <c:v>PNFC own-sources 26.0</c:v>
                </c:pt>
              </c:strCache>
            </c:strRef>
          </c:tx>
          <c:spPr>
            <a:solidFill>
              <a:srgbClr val="8CE0FF"/>
            </a:solidFill>
            <a:ln>
              <a:noFill/>
            </a:ln>
          </c:spPr>
          <c:invertIfNegative val="0"/>
          <c:dPt>
            <c:idx val="1"/>
            <c:invertIfNegative val="0"/>
            <c:bubble3D val="0"/>
            <c:spPr>
              <a:solidFill>
                <a:srgbClr val="8CE0FF"/>
              </a:solidFill>
              <a:ln w="25400" cap="flat" cmpd="sng" algn="ctr">
                <a:noFill/>
                <a:prstDash val="solid"/>
              </a:ln>
              <a:effectLst/>
            </c:spPr>
            <c:extLst>
              <c:ext xmlns:c16="http://schemas.microsoft.com/office/drawing/2014/chart" uri="{C3380CC4-5D6E-409C-BE32-E72D297353CC}">
                <c16:uniqueId val="{0000000E-FE40-4E19-85EF-0163AB7FB82E}"/>
              </c:ext>
            </c:extLst>
          </c:dPt>
          <c:dLbls>
            <c:dLbl>
              <c:idx val="0"/>
              <c:tx>
                <c:rich>
                  <a:bodyPr/>
                  <a:lstStyle/>
                  <a:p>
                    <a:endParaRPr lang="en-US"/>
                  </a:p>
                </c:rich>
              </c:tx>
              <c:dLblPos val="ctr"/>
              <c:showLegendKey val="0"/>
              <c:showVal val="0"/>
              <c:showCatName val="0"/>
              <c:showSerName val="1"/>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FE40-4E19-85EF-0163AB7FB82E}"/>
                </c:ext>
              </c:extLst>
            </c:dLbl>
            <c:dLbl>
              <c:idx val="1"/>
              <c:layout>
                <c:manualLayout>
                  <c:x val="6.0169231613575978E-3"/>
                  <c:y val="-2.698036704255672E-3"/>
                </c:manualLayout>
              </c:layout>
              <c:tx>
                <c:strRef>
                  <c:f>'Chart 1.2 CAPEX and Funding S.'!$T$31</c:f>
                  <c:strCache>
                    <c:ptCount val="1"/>
                    <c:pt idx="0">
                      <c:v>PNFC own-sources: $26 billion</c:v>
                    </c:pt>
                  </c:strCache>
                </c:strRef>
              </c:tx>
              <c:numFmt formatCode="#,##0.0" sourceLinked="0"/>
              <c:spPr>
                <a:noFill/>
                <a:ln>
                  <a:noFill/>
                </a:ln>
              </c:spPr>
              <c:txPr>
                <a:bodyPr anchorCtr="0"/>
                <a:lstStyle/>
                <a:p>
                  <a:pPr algn="ctr">
                    <a:defRPr sz="650" b="0" baseline="0">
                      <a:solidFill>
                        <a:sysClr val="windowText" lastClr="000000"/>
                      </a:solidFill>
                      <a:latin typeface="Public Sans" pitchFamily="2" charset="0"/>
                    </a:defRPr>
                  </a:pPr>
                  <a:endParaRPr lang="en-US"/>
                </a:p>
              </c:txPr>
              <c:dLblPos val="ctr"/>
              <c:showLegendKey val="0"/>
              <c:showVal val="0"/>
              <c:showCatName val="0"/>
              <c:showSerName val="1"/>
              <c:showPercent val="0"/>
              <c:showBubbleSize val="0"/>
              <c:separator>
</c:separator>
              <c:extLst>
                <c:ext xmlns:c15="http://schemas.microsoft.com/office/drawing/2012/chart" uri="{CE6537A1-D6FC-4f65-9D91-7224C49458BB}">
                  <c15:layout>
                    <c:manualLayout>
                      <c:w val="0.14215713810681413"/>
                      <c:h val="0.11322996678330444"/>
                    </c:manualLayout>
                  </c15:layout>
                  <c15:dlblFieldTable>
                    <c15:dlblFTEntry>
                      <c15:txfldGUID>{7230EF2C-5D4C-4DF9-83B7-944FDE5E7623}</c15:txfldGUID>
                      <c15:f>'Chart 1.2 CAPEX and Funding S.'!$T$31</c15:f>
                      <c15:dlblFieldTableCache>
                        <c:ptCount val="1"/>
                        <c:pt idx="0">
                          <c:v>PNFC own-sources: $26 billion</c:v>
                        </c:pt>
                      </c15:dlblFieldTableCache>
                    </c15:dlblFTEntry>
                  </c15:dlblFieldTable>
                  <c15:showDataLabelsRange val="1"/>
                </c:ext>
                <c:ext xmlns:c16="http://schemas.microsoft.com/office/drawing/2014/chart" uri="{C3380CC4-5D6E-409C-BE32-E72D297353CC}">
                  <c16:uniqueId val="{0000000E-FE40-4E19-85EF-0163AB7FB82E}"/>
                </c:ext>
              </c:extLst>
            </c:dLbl>
            <c:spPr>
              <a:solidFill>
                <a:sysClr val="window" lastClr="FFFFFF"/>
              </a:solidFill>
              <a:ln>
                <a:noFill/>
              </a:ln>
              <a:effectLst/>
            </c:spPr>
            <c:txPr>
              <a:bodyPr wrap="square" lIns="38100" tIns="19050" rIns="38100" bIns="19050" anchor="ctr">
                <a:spAutoFit/>
              </a:bodyPr>
              <a:lstStyle/>
              <a:p>
                <a:pPr>
                  <a:defRPr sz="650" b="0" baseline="0">
                    <a:solidFill>
                      <a:sysClr val="windowText" lastClr="000000"/>
                    </a:solidFill>
                  </a:defRPr>
                </a:pPr>
                <a:endParaRPr lang="en-US"/>
              </a:p>
            </c:txPr>
            <c:dLblPos val="ctr"/>
            <c:showLegendKey val="0"/>
            <c:showVal val="0"/>
            <c:showCatName val="0"/>
            <c:showSerName val="1"/>
            <c:showPercent val="0"/>
            <c:showBubbleSize val="0"/>
            <c:showLeaderLines val="0"/>
            <c:extLst>
              <c:ext xmlns:c15="http://schemas.microsoft.com/office/drawing/2012/chart" uri="{CE6537A1-D6FC-4f65-9D91-7224C49458BB}">
                <c15:showDataLabelsRange val="1"/>
                <c15:showLeaderLines val="0"/>
              </c:ext>
            </c:extLst>
          </c:dLbls>
          <c:cat>
            <c:numRef>
              <c:f>'Chart 1.2 CAPEX and Funding S.'!$R$28:$S$28</c:f>
              <c:numCache>
                <c:formatCode>General</c:formatCode>
                <c:ptCount val="2"/>
              </c:numCache>
            </c:numRef>
          </c:cat>
          <c:val>
            <c:numRef>
              <c:f>'Chart 1.2 CAPEX and Funding S.'!$R$31:$S$31</c:f>
              <c:numCache>
                <c:formatCode>_-* #,##0_-;\-* #,##0_-;_-* "-"??_-;_-@_-</c:formatCode>
                <c:ptCount val="2"/>
                <c:pt idx="1">
                  <c:v>25971.574999999997</c:v>
                </c:pt>
              </c:numCache>
            </c:numRef>
          </c:val>
          <c:extLst>
            <c:ext xmlns:c15="http://schemas.microsoft.com/office/drawing/2012/chart" uri="{02D57815-91ED-43cb-92C2-25804820EDAC}">
              <c15:datalabelsRange>
                <c15:f>'Chart 1.2 CAPEX and Funding S.'!$A$31</c15:f>
                <c15:dlblRangeCache>
                  <c:ptCount val="1"/>
                  <c:pt idx="0">
                    <c:v>PNFC own-sources 26.0</c:v>
                  </c:pt>
                </c15:dlblRangeCache>
              </c15:datalabelsRange>
            </c:ext>
            <c:ext xmlns:c16="http://schemas.microsoft.com/office/drawing/2014/chart" uri="{C3380CC4-5D6E-409C-BE32-E72D297353CC}">
              <c16:uniqueId val="{00000010-FE40-4E19-85EF-0163AB7FB82E}"/>
            </c:ext>
          </c:extLst>
        </c:ser>
        <c:dLbls>
          <c:dLblPos val="ctr"/>
          <c:showLegendKey val="0"/>
          <c:showVal val="1"/>
          <c:showCatName val="0"/>
          <c:showSerName val="0"/>
          <c:showPercent val="0"/>
          <c:showBubbleSize val="0"/>
        </c:dLbls>
        <c:gapWidth val="200"/>
        <c:overlap val="100"/>
        <c:axId val="590079104"/>
        <c:axId val="590080640"/>
        <c:extLst>
          <c:ext xmlns:c15="http://schemas.microsoft.com/office/drawing/2012/chart" uri="{02D57815-91ED-43cb-92C2-25804820EDAC}">
            <c15:filteredBarSeries>
              <c15:ser>
                <c:idx val="6"/>
                <c:order val="5"/>
                <c:tx>
                  <c:strRef>
                    <c:extLst>
                      <c:ext uri="{02D57815-91ED-43cb-92C2-25804820EDAC}">
                        <c15:formulaRef>
                          <c15:sqref>'[39]Chart 1'!#REF!</c15:sqref>
                        </c15:formulaRef>
                      </c:ext>
                    </c:extLst>
                    <c:strCache>
                      <c:ptCount val="1"/>
                      <c:pt idx="0">
                        <c:v>#REF!</c:v>
                      </c:pt>
                    </c:strCache>
                  </c:strRef>
                </c:tx>
                <c:invertIfNegative val="0"/>
                <c:dLbls>
                  <c:dLbl>
                    <c:idx val="0"/>
                    <c:delete val="1"/>
                    <c:extLst>
                      <c:ext uri="{CE6537A1-D6FC-4f65-9D91-7224C49458BB}"/>
                      <c:ext xmlns:c16="http://schemas.microsoft.com/office/drawing/2014/chart" uri="{C3380CC4-5D6E-409C-BE32-E72D297353CC}">
                        <c16:uniqueId val="{00000011-FE40-4E19-85EF-0163AB7FB82E}"/>
                      </c:ext>
                    </c:extLst>
                  </c:dLbl>
                  <c:dLbl>
                    <c:idx val="1"/>
                    <c:tx>
                      <c:rich>
                        <a:bodyPr/>
                        <a:lstStyle/>
                        <a:p>
                          <a:r>
                            <a:rPr lang="en-US"/>
                            <a:t>Borrowing 12.6</a:t>
                          </a:r>
                        </a:p>
                      </c:rich>
                    </c:tx>
                    <c:dLblPos val="ctr"/>
                    <c:showLegendKey val="0"/>
                    <c:showVal val="1"/>
                    <c:showCatName val="0"/>
                    <c:showSerName val="0"/>
                    <c:showPercent val="0"/>
                    <c:showBubbleSize val="0"/>
                    <c:extLst>
                      <c:ext uri="{CE6537A1-D6FC-4f65-9D91-7224C49458BB}">
                        <c15:showDataLabelsRange val="0"/>
                      </c:ext>
                      <c:ext xmlns:c16="http://schemas.microsoft.com/office/drawing/2014/chart" uri="{C3380CC4-5D6E-409C-BE32-E72D297353CC}">
                        <c16:uniqueId val="{00000012-FE40-4E19-85EF-0163AB7FB82E}"/>
                      </c:ext>
                    </c:extLst>
                  </c:dLbl>
                  <c:spPr>
                    <a:noFill/>
                    <a:ln>
                      <a:noFill/>
                    </a:ln>
                    <a:effectLst/>
                  </c:spPr>
                  <c:dLblPos val="ctr"/>
                  <c:showLegendKey val="0"/>
                  <c:showVal val="1"/>
                  <c:showCatName val="0"/>
                  <c:showSerName val="0"/>
                  <c:showPercent val="0"/>
                  <c:showBubbleSize val="0"/>
                  <c:showLeaderLines val="0"/>
                  <c:extLst>
                    <c:ext uri="{CE6537A1-D6FC-4f65-9D91-7224C49458BB}">
                      <c15:showLeaderLines val="1"/>
                    </c:ext>
                  </c:extLst>
                </c:dLbls>
                <c:cat>
                  <c:numRef>
                    <c:extLst>
                      <c:ext uri="{02D57815-91ED-43cb-92C2-25804820EDAC}">
                        <c15:formulaRef>
                          <c15:sqref>'Chart 1.2 CAPEX and Funding S.'!$R$28:$S$28</c15:sqref>
                        </c15:formulaRef>
                      </c:ext>
                    </c:extLst>
                    <c:numCache>
                      <c:formatCode>General</c:formatCode>
                      <c:ptCount val="2"/>
                    </c:numCache>
                  </c:numRef>
                </c:cat>
                <c:val>
                  <c:numRef>
                    <c:extLst>
                      <c:ext uri="{02D57815-91ED-43cb-92C2-25804820EDAC}">
                        <c15:formulaRef>
                          <c15:sqref>'[39]Chart 1'!#REF!</c15:sqref>
                        </c15:formulaRef>
                      </c:ext>
                    </c:extLst>
                    <c:numCache>
                      <c:formatCode>General</c:formatCode>
                      <c:ptCount val="1"/>
                      <c:pt idx="0">
                        <c:v>1</c:v>
                      </c:pt>
                    </c:numCache>
                  </c:numRef>
                </c:val>
                <c:extLst>
                  <c:ext xmlns:c16="http://schemas.microsoft.com/office/drawing/2014/chart" uri="{C3380CC4-5D6E-409C-BE32-E72D297353CC}">
                    <c16:uniqueId val="{00000013-FE40-4E19-85EF-0163AB7FB82E}"/>
                  </c:ext>
                </c:extLst>
              </c15:ser>
            </c15:filteredBarSeries>
            <c15:filteredBarSeries>
              <c15:ser>
                <c:idx val="7"/>
                <c:order val="6"/>
                <c:tx>
                  <c:strRef>
                    <c:extLst xmlns:c15="http://schemas.microsoft.com/office/drawing/2012/chart">
                      <c:ext xmlns:c15="http://schemas.microsoft.com/office/drawing/2012/chart" uri="{02D57815-91ED-43cb-92C2-25804820EDAC}">
                        <c15:formulaRef>
                          <c15:sqref>'[39]Chart 1'!#REF!</c15:sqref>
                        </c15:formulaRef>
                      </c:ext>
                    </c:extLst>
                    <c:strCache>
                      <c:ptCount val="1"/>
                      <c:pt idx="0">
                        <c:v>#REF!</c:v>
                      </c:pt>
                    </c:strCache>
                  </c:strRef>
                </c:tx>
                <c:invertIfNegative val="0"/>
                <c:dLbls>
                  <c:delete val="1"/>
                </c:dLbls>
                <c:cat>
                  <c:numRef>
                    <c:extLst xmlns:c15="http://schemas.microsoft.com/office/drawing/2012/chart">
                      <c:ext xmlns:c15="http://schemas.microsoft.com/office/drawing/2012/chart" uri="{02D57815-91ED-43cb-92C2-25804820EDAC}">
                        <c15:formulaRef>
                          <c15:sqref>'Chart 1.2 CAPEX and Funding S.'!$R$28:$S$28</c15:sqref>
                        </c15:formulaRef>
                      </c:ext>
                    </c:extLst>
                    <c:numCache>
                      <c:formatCode>General</c:formatCode>
                      <c:ptCount val="2"/>
                    </c:numCache>
                  </c:numRef>
                </c:cat>
                <c:val>
                  <c:numRef>
                    <c:extLst xmlns:c15="http://schemas.microsoft.com/office/drawing/2012/chart">
                      <c:ext xmlns:c15="http://schemas.microsoft.com/office/drawing/2012/chart" uri="{02D57815-91ED-43cb-92C2-25804820EDAC}">
                        <c15:formulaRef>
                          <c15:sqref>'[39]Chart 1'!#REF!</c15:sqref>
                        </c15:formulaRef>
                      </c:ext>
                    </c:extLst>
                    <c:numCache>
                      <c:formatCode>General</c:formatCode>
                      <c:ptCount val="1"/>
                      <c:pt idx="0">
                        <c:v>1</c:v>
                      </c:pt>
                    </c:numCache>
                  </c:numRef>
                </c:val>
                <c:extLst xmlns:c15="http://schemas.microsoft.com/office/drawing/2012/chart">
                  <c:ext xmlns:c16="http://schemas.microsoft.com/office/drawing/2014/chart" uri="{C3380CC4-5D6E-409C-BE32-E72D297353CC}">
                    <c16:uniqueId val="{00000014-FE40-4E19-85EF-0163AB7FB82E}"/>
                  </c:ext>
                </c:extLst>
              </c15:ser>
            </c15:filteredBarSeries>
          </c:ext>
        </c:extLst>
      </c:barChart>
      <c:catAx>
        <c:axId val="590079104"/>
        <c:scaling>
          <c:orientation val="minMax"/>
        </c:scaling>
        <c:delete val="0"/>
        <c:axPos val="b"/>
        <c:numFmt formatCode="General" sourceLinked="0"/>
        <c:majorTickMark val="out"/>
        <c:minorTickMark val="none"/>
        <c:tickLblPos val="nextTo"/>
        <c:spPr>
          <a:ln>
            <a:noFill/>
          </a:ln>
        </c:spPr>
        <c:crossAx val="590080640"/>
        <c:crosses val="autoZero"/>
        <c:auto val="1"/>
        <c:lblAlgn val="ctr"/>
        <c:lblOffset val="100"/>
        <c:noMultiLvlLbl val="0"/>
      </c:catAx>
      <c:valAx>
        <c:axId val="590080640"/>
        <c:scaling>
          <c:orientation val="minMax"/>
        </c:scaling>
        <c:delete val="0"/>
        <c:axPos val="l"/>
        <c:majorGridlines>
          <c:spPr>
            <a:ln w="3175" cap="flat">
              <a:solidFill>
                <a:srgbClr val="DFDCDA"/>
              </a:solidFill>
              <a:prstDash val="solid"/>
            </a:ln>
          </c:spPr>
        </c:majorGridlines>
        <c:numFmt formatCode="#,##0" sourceLinked="0"/>
        <c:majorTickMark val="out"/>
        <c:minorTickMark val="none"/>
        <c:tickLblPos val="nextTo"/>
        <c:spPr>
          <a:ln cmpd="dbl">
            <a:noFill/>
            <a:prstDash val="solid"/>
          </a:ln>
        </c:spPr>
        <c:txPr>
          <a:bodyPr/>
          <a:lstStyle/>
          <a:p>
            <a:pPr>
              <a:defRPr>
                <a:latin typeface="Public Sans" pitchFamily="2" charset="0"/>
              </a:defRPr>
            </a:pPr>
            <a:endParaRPr lang="en-US"/>
          </a:p>
        </c:txPr>
        <c:crossAx val="590079104"/>
        <c:crosses val="autoZero"/>
        <c:crossBetween val="between"/>
        <c:dispUnits>
          <c:builtInUnit val="thousands"/>
          <c:dispUnitsLbl>
            <c:layout>
              <c:manualLayout>
                <c:xMode val="edge"/>
                <c:yMode val="edge"/>
                <c:x val="1.0508319739481438E-2"/>
                <c:y val="0.37667131439029822"/>
              </c:manualLayout>
            </c:layout>
            <c:tx>
              <c:rich>
                <a:bodyPr/>
                <a:lstStyle/>
                <a:p>
                  <a:pPr>
                    <a:defRPr b="0"/>
                  </a:pPr>
                  <a:r>
                    <a:rPr lang="en-US" b="0"/>
                    <a:t>$</a:t>
                  </a:r>
                  <a:r>
                    <a:rPr lang="en-US" b="0" baseline="0"/>
                    <a:t> billions</a:t>
                  </a:r>
                  <a:endParaRPr lang="en-US" b="0"/>
                </a:p>
              </c:rich>
            </c:tx>
          </c:dispUnitsLbl>
        </c:dispUnits>
      </c:valAx>
      <c:spPr>
        <a:noFill/>
        <a:ln>
          <a:prstDash val="solid"/>
        </a:ln>
      </c:spPr>
    </c:plotArea>
    <c:plotVisOnly val="1"/>
    <c:dispBlanksAs val="gap"/>
    <c:showDLblsOverMax val="0"/>
  </c:chart>
  <c:spPr>
    <a:ln>
      <a:noFill/>
    </a:ln>
  </c:spPr>
  <c:txPr>
    <a:bodyPr/>
    <a:lstStyle/>
    <a:p>
      <a:pPr>
        <a:defRPr sz="700">
          <a:solidFill>
            <a:srgbClr val="57514D"/>
          </a:solidFill>
          <a:latin typeface="Arial" panose="020B0604020202020204" pitchFamily="34" charset="0"/>
          <a:cs typeface="Arial" panose="020B0604020202020204" pitchFamily="3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67847769028873"/>
          <c:y val="9.4432132963988932E-2"/>
          <c:w val="0.84732152230971125"/>
          <c:h val="0.66518899818963073"/>
        </c:manualLayout>
      </c:layout>
      <c:barChart>
        <c:barDir val="col"/>
        <c:grouping val="stacked"/>
        <c:varyColors val="0"/>
        <c:ser>
          <c:idx val="1"/>
          <c:order val="0"/>
          <c:tx>
            <c:strRef>
              <c:f>'New CH 1.3 -Cth &amp; State-funded '!$A$39</c:f>
              <c:strCache>
                <c:ptCount val="1"/>
                <c:pt idx="0">
                  <c:v>State funded and other sources</c:v>
                </c:pt>
              </c:strCache>
            </c:strRef>
          </c:tx>
          <c:spPr>
            <a:solidFill>
              <a:srgbClr val="002664"/>
            </a:solidFill>
            <a:ln>
              <a:noFill/>
            </a:ln>
            <a:effectLst/>
          </c:spPr>
          <c:invertIfNegative val="0"/>
          <c:cat>
            <c:multiLvlStrRef>
              <c:f>'New CH 1.3 -Cth &amp; State-funded '!$N$36:$Y$37</c:f>
              <c:multiLvlStrCache>
                <c:ptCount val="12"/>
                <c:lvl>
                  <c:pt idx="0">
                    <c:v>Actual</c:v>
                  </c:pt>
                  <c:pt idx="1">
                    <c:v>Actual</c:v>
                  </c:pt>
                  <c:pt idx="2">
                    <c:v>Actual</c:v>
                  </c:pt>
                  <c:pt idx="3">
                    <c:v>Actual</c:v>
                  </c:pt>
                  <c:pt idx="4">
                    <c:v>Actual</c:v>
                  </c:pt>
                  <c:pt idx="5">
                    <c:v>Actual</c:v>
                  </c:pt>
                  <c:pt idx="6">
                    <c:v>Actual</c:v>
                  </c:pt>
                  <c:pt idx="7">
                    <c:v>Est. Act</c:v>
                  </c:pt>
                  <c:pt idx="8">
                    <c:v>Budget</c:v>
                  </c:pt>
                  <c:pt idx="9">
                    <c:v>Estimate</c:v>
                  </c:pt>
                  <c:pt idx="10">
                    <c:v>Estimate</c:v>
                  </c:pt>
                  <c:pt idx="11">
                    <c:v>Estimate</c:v>
                  </c:pt>
                </c:lvl>
                <c:lvl>
                  <c:pt idx="0">
                    <c:v>2015-16</c:v>
                  </c:pt>
                  <c:pt idx="1">
                    <c:v>2016-17</c:v>
                  </c:pt>
                  <c:pt idx="2">
                    <c:v>2017-18</c:v>
                  </c:pt>
                  <c:pt idx="3">
                    <c:v>2018-19</c:v>
                  </c:pt>
                  <c:pt idx="4">
                    <c:v>2019-20</c:v>
                  </c:pt>
                  <c:pt idx="5">
                    <c:v>2020-21</c:v>
                  </c:pt>
                  <c:pt idx="6">
                    <c:v>2021-22</c:v>
                  </c:pt>
                  <c:pt idx="7">
                    <c:v>2022-23</c:v>
                  </c:pt>
                  <c:pt idx="8">
                    <c:v>2023-24</c:v>
                  </c:pt>
                  <c:pt idx="9">
                    <c:v>2024-25</c:v>
                  </c:pt>
                  <c:pt idx="10">
                    <c:v>2025-26</c:v>
                  </c:pt>
                  <c:pt idx="11">
                    <c:v>2026-27</c:v>
                  </c:pt>
                </c:lvl>
              </c:multiLvlStrCache>
            </c:multiLvlStrRef>
          </c:cat>
          <c:val>
            <c:numRef>
              <c:f>'New CH 1.3 -Cth &amp; State-funded '!$N$39:$Y$39</c:f>
              <c:numCache>
                <c:formatCode>#,##0</c:formatCode>
                <c:ptCount val="12"/>
                <c:pt idx="0">
                  <c:v>14094.883150309999</c:v>
                </c:pt>
                <c:pt idx="1">
                  <c:v>14848.513733999998</c:v>
                </c:pt>
                <c:pt idx="2">
                  <c:v>14480.216091850005</c:v>
                </c:pt>
                <c:pt idx="3">
                  <c:v>20324.297677951599</c:v>
                </c:pt>
                <c:pt idx="4">
                  <c:v>24183.925506487896</c:v>
                </c:pt>
                <c:pt idx="5">
                  <c:v>22351.507183266298</c:v>
                </c:pt>
                <c:pt idx="6">
                  <c:v>23558.522081867697</c:v>
                </c:pt>
                <c:pt idx="7">
                  <c:v>25024.663226300003</c:v>
                </c:pt>
                <c:pt idx="8">
                  <c:v>26733.762648899999</c:v>
                </c:pt>
                <c:pt idx="9">
                  <c:v>27060.844908469997</c:v>
                </c:pt>
                <c:pt idx="10">
                  <c:v>24726.95976157</c:v>
                </c:pt>
                <c:pt idx="11">
                  <c:v>23844.015577710001</c:v>
                </c:pt>
              </c:numCache>
            </c:numRef>
          </c:val>
          <c:extLst>
            <c:ext xmlns:c16="http://schemas.microsoft.com/office/drawing/2014/chart" uri="{C3380CC4-5D6E-409C-BE32-E72D297353CC}">
              <c16:uniqueId val="{00000000-C54E-4D4E-8022-48A4F29D8C6C}"/>
            </c:ext>
          </c:extLst>
        </c:ser>
        <c:ser>
          <c:idx val="0"/>
          <c:order val="1"/>
          <c:tx>
            <c:strRef>
              <c:f>'New CH 1.3 -Cth &amp; State-funded '!$A$38</c:f>
              <c:strCache>
                <c:ptCount val="1"/>
                <c:pt idx="0">
                  <c:v>Australian Government Funding</c:v>
                </c:pt>
              </c:strCache>
            </c:strRef>
          </c:tx>
          <c:spPr>
            <a:solidFill>
              <a:srgbClr val="8CE0FF"/>
            </a:solidFill>
            <a:ln>
              <a:noFill/>
            </a:ln>
            <a:effectLst/>
          </c:spPr>
          <c:invertIfNegative val="0"/>
          <c:cat>
            <c:multiLvlStrRef>
              <c:f>'New CH 1.3 -Cth &amp; State-funded '!$N$36:$Y$37</c:f>
              <c:multiLvlStrCache>
                <c:ptCount val="12"/>
                <c:lvl>
                  <c:pt idx="0">
                    <c:v>Actual</c:v>
                  </c:pt>
                  <c:pt idx="1">
                    <c:v>Actual</c:v>
                  </c:pt>
                  <c:pt idx="2">
                    <c:v>Actual</c:v>
                  </c:pt>
                  <c:pt idx="3">
                    <c:v>Actual</c:v>
                  </c:pt>
                  <c:pt idx="4">
                    <c:v>Actual</c:v>
                  </c:pt>
                  <c:pt idx="5">
                    <c:v>Actual</c:v>
                  </c:pt>
                  <c:pt idx="6">
                    <c:v>Actual</c:v>
                  </c:pt>
                  <c:pt idx="7">
                    <c:v>Est. Act</c:v>
                  </c:pt>
                  <c:pt idx="8">
                    <c:v>Budget</c:v>
                  </c:pt>
                  <c:pt idx="9">
                    <c:v>Estimate</c:v>
                  </c:pt>
                  <c:pt idx="10">
                    <c:v>Estimate</c:v>
                  </c:pt>
                  <c:pt idx="11">
                    <c:v>Estimate</c:v>
                  </c:pt>
                </c:lvl>
                <c:lvl>
                  <c:pt idx="0">
                    <c:v>2015-16</c:v>
                  </c:pt>
                  <c:pt idx="1">
                    <c:v>2016-17</c:v>
                  </c:pt>
                  <c:pt idx="2">
                    <c:v>2017-18</c:v>
                  </c:pt>
                  <c:pt idx="3">
                    <c:v>2018-19</c:v>
                  </c:pt>
                  <c:pt idx="4">
                    <c:v>2019-20</c:v>
                  </c:pt>
                  <c:pt idx="5">
                    <c:v>2020-21</c:v>
                  </c:pt>
                  <c:pt idx="6">
                    <c:v>2021-22</c:v>
                  </c:pt>
                  <c:pt idx="7">
                    <c:v>2022-23</c:v>
                  </c:pt>
                  <c:pt idx="8">
                    <c:v>2023-24</c:v>
                  </c:pt>
                  <c:pt idx="9">
                    <c:v>2024-25</c:v>
                  </c:pt>
                  <c:pt idx="10">
                    <c:v>2025-26</c:v>
                  </c:pt>
                  <c:pt idx="11">
                    <c:v>2026-27</c:v>
                  </c:pt>
                </c:lvl>
              </c:multiLvlStrCache>
            </c:multiLvlStrRef>
          </c:cat>
          <c:val>
            <c:numRef>
              <c:f>'New CH 1.3 -Cth &amp; State-funded '!$N$38:$Y$38</c:f>
              <c:numCache>
                <c:formatCode>#,##0</c:formatCode>
                <c:ptCount val="12"/>
                <c:pt idx="0">
                  <c:v>2079.8399691600002</c:v>
                </c:pt>
                <c:pt idx="1">
                  <c:v>3348.7292659999998</c:v>
                </c:pt>
                <c:pt idx="2">
                  <c:v>3403.3641666600006</c:v>
                </c:pt>
                <c:pt idx="3">
                  <c:v>1501</c:v>
                </c:pt>
                <c:pt idx="4">
                  <c:v>632.57899999999995</c:v>
                </c:pt>
                <c:pt idx="5">
                  <c:v>1733.597</c:v>
                </c:pt>
                <c:pt idx="6">
                  <c:v>2257.83</c:v>
                </c:pt>
                <c:pt idx="7">
                  <c:v>2321.085</c:v>
                </c:pt>
                <c:pt idx="8">
                  <c:v>3131.701</c:v>
                </c:pt>
                <c:pt idx="9">
                  <c:v>4223.4009999999998</c:v>
                </c:pt>
                <c:pt idx="10">
                  <c:v>3615.4259999999999</c:v>
                </c:pt>
                <c:pt idx="11">
                  <c:v>3199.846</c:v>
                </c:pt>
              </c:numCache>
            </c:numRef>
          </c:val>
          <c:extLst>
            <c:ext xmlns:c16="http://schemas.microsoft.com/office/drawing/2014/chart" uri="{C3380CC4-5D6E-409C-BE32-E72D297353CC}">
              <c16:uniqueId val="{00000001-C54E-4D4E-8022-48A4F29D8C6C}"/>
            </c:ext>
          </c:extLst>
        </c:ser>
        <c:dLbls>
          <c:showLegendKey val="0"/>
          <c:showVal val="0"/>
          <c:showCatName val="0"/>
          <c:showSerName val="0"/>
          <c:showPercent val="0"/>
          <c:showBubbleSize val="0"/>
        </c:dLbls>
        <c:gapWidth val="219"/>
        <c:overlap val="100"/>
        <c:axId val="1045396175"/>
        <c:axId val="1029637727"/>
      </c:barChart>
      <c:catAx>
        <c:axId val="1045396175"/>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lang="en-US" sz="700" b="0" i="0" u="none" strike="noStrike" kern="1200" baseline="0">
                <a:solidFill>
                  <a:srgbClr val="57514D"/>
                </a:solidFill>
                <a:latin typeface="Public Sans" pitchFamily="2" charset="0"/>
                <a:ea typeface="+mn-ea"/>
                <a:cs typeface="Arial" panose="020B0604020202020204" pitchFamily="34" charset="0"/>
              </a:defRPr>
            </a:pPr>
            <a:endParaRPr lang="en-US"/>
          </a:p>
        </c:txPr>
        <c:crossAx val="1029637727"/>
        <c:crosses val="autoZero"/>
        <c:auto val="1"/>
        <c:lblAlgn val="ctr"/>
        <c:lblOffset val="100"/>
        <c:noMultiLvlLbl val="0"/>
      </c:catAx>
      <c:valAx>
        <c:axId val="102963772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700" b="0" i="0" u="none" strike="noStrike" kern="1200" baseline="0">
                    <a:solidFill>
                      <a:srgbClr val="57514D"/>
                    </a:solidFill>
                    <a:latin typeface="Public Sans" pitchFamily="2" charset="0"/>
                    <a:ea typeface="+mn-ea"/>
                    <a:cs typeface="Arial" panose="020B0604020202020204" pitchFamily="34" charset="0"/>
                  </a:defRPr>
                </a:pPr>
                <a:r>
                  <a:rPr lang="en-AU"/>
                  <a:t>$ millions</a:t>
                </a:r>
              </a:p>
            </c:rich>
          </c:tx>
          <c:layout>
            <c:manualLayout>
              <c:xMode val="edge"/>
              <c:yMode val="edge"/>
              <c:x val="2.0832690031393136E-2"/>
              <c:y val="0.36156340185983538"/>
            </c:manualLayout>
          </c:layout>
          <c:overlay val="0"/>
          <c:spPr>
            <a:noFill/>
            <a:ln>
              <a:noFill/>
            </a:ln>
            <a:effectLst/>
          </c:spPr>
          <c:txPr>
            <a:bodyPr rot="-5400000" spcFirstLastPara="1" vertOverflow="ellipsis" vert="horz" wrap="square" anchor="ctr" anchorCtr="1"/>
            <a:lstStyle/>
            <a:p>
              <a:pPr>
                <a:defRPr lang="en-US" sz="700" b="0" i="0" u="none" strike="noStrike" kern="1200" baseline="0">
                  <a:solidFill>
                    <a:srgbClr val="57514D"/>
                  </a:solidFill>
                  <a:latin typeface="Public Sans" pitchFamily="2"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700" b="0" i="0" u="none" strike="noStrike" kern="1200" baseline="0">
                <a:solidFill>
                  <a:srgbClr val="57514D"/>
                </a:solidFill>
                <a:latin typeface="Public Sans" pitchFamily="2" charset="0"/>
                <a:ea typeface="+mn-ea"/>
                <a:cs typeface="Arial" panose="020B0604020202020204" pitchFamily="34" charset="0"/>
              </a:defRPr>
            </a:pPr>
            <a:endParaRPr lang="en-US"/>
          </a:p>
        </c:txPr>
        <c:crossAx val="1045396175"/>
        <c:crosses val="autoZero"/>
        <c:crossBetween val="between"/>
      </c:valAx>
      <c:spPr>
        <a:noFill/>
        <a:ln>
          <a:noFill/>
        </a:ln>
        <a:effectLst/>
      </c:spPr>
    </c:plotArea>
    <c:legend>
      <c:legendPos val="b"/>
      <c:layout>
        <c:manualLayout>
          <c:xMode val="edge"/>
          <c:yMode val="edge"/>
          <c:x val="0.15322743087346641"/>
          <c:y val="0.90835201333594329"/>
          <c:w val="0.71638566981452911"/>
          <c:h val="7.5609494282340609E-2"/>
        </c:manualLayout>
      </c:layout>
      <c:overlay val="0"/>
      <c:spPr>
        <a:noFill/>
        <a:ln>
          <a:noFill/>
        </a:ln>
        <a:effectLst/>
      </c:spPr>
      <c:txPr>
        <a:bodyPr rot="0" spcFirstLastPara="1" vertOverflow="ellipsis" vert="horz" wrap="square" anchor="ctr" anchorCtr="1"/>
        <a:lstStyle/>
        <a:p>
          <a:pPr>
            <a:defRPr lang="en-US" sz="700" b="0" i="0" u="none" strike="noStrike" kern="1200" baseline="0">
              <a:solidFill>
                <a:srgbClr val="57514D"/>
              </a:solidFill>
              <a:latin typeface="Public Sans" pitchFamily="2"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lgn="ctr">
        <a:defRPr lang="en-US" sz="700" b="0" i="0" u="none" strike="noStrike" kern="1200" baseline="0">
          <a:solidFill>
            <a:srgbClr val="57514D"/>
          </a:solidFill>
          <a:latin typeface="Public Sans" pitchFamily="2" charset="0"/>
          <a:ea typeface="+mn-ea"/>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doughnutChart>
        <c:varyColors val="1"/>
        <c:ser>
          <c:idx val="0"/>
          <c:order val="0"/>
          <c:dPt>
            <c:idx val="0"/>
            <c:bubble3D val="0"/>
            <c:spPr>
              <a:solidFill>
                <a:srgbClr val="146CFD"/>
              </a:solidFill>
              <a:ln>
                <a:solidFill>
                  <a:srgbClr val="0579B9"/>
                </a:solidFill>
              </a:ln>
            </c:spPr>
            <c:extLst>
              <c:ext xmlns:c16="http://schemas.microsoft.com/office/drawing/2014/chart" uri="{C3380CC4-5D6E-409C-BE32-E72D297353CC}">
                <c16:uniqueId val="{00000001-A248-48ED-B1D9-99CA05A04E68}"/>
              </c:ext>
            </c:extLst>
          </c:dPt>
          <c:dPt>
            <c:idx val="1"/>
            <c:bubble3D val="0"/>
            <c:spPr>
              <a:solidFill>
                <a:srgbClr val="8CE0FF"/>
              </a:solidFill>
            </c:spPr>
            <c:extLst>
              <c:ext xmlns:c16="http://schemas.microsoft.com/office/drawing/2014/chart" uri="{C3380CC4-5D6E-409C-BE32-E72D297353CC}">
                <c16:uniqueId val="{00000003-A248-48ED-B1D9-99CA05A04E68}"/>
              </c:ext>
            </c:extLst>
          </c:dPt>
          <c:dPt>
            <c:idx val="2"/>
            <c:bubble3D val="0"/>
            <c:spPr>
              <a:solidFill>
                <a:srgbClr val="CBEDFD"/>
              </a:solidFill>
            </c:spPr>
            <c:extLst>
              <c:ext xmlns:c16="http://schemas.microsoft.com/office/drawing/2014/chart" uri="{C3380CC4-5D6E-409C-BE32-E72D297353CC}">
                <c16:uniqueId val="{00000005-A248-48ED-B1D9-99CA05A04E68}"/>
              </c:ext>
            </c:extLst>
          </c:dPt>
          <c:dPt>
            <c:idx val="3"/>
            <c:bubble3D val="0"/>
            <c:spPr>
              <a:solidFill>
                <a:srgbClr val="002664"/>
              </a:solidFill>
            </c:spPr>
            <c:extLst>
              <c:ext xmlns:c16="http://schemas.microsoft.com/office/drawing/2014/chart" uri="{C3380CC4-5D6E-409C-BE32-E72D297353CC}">
                <c16:uniqueId val="{00000007-A248-48ED-B1D9-99CA05A04E68}"/>
              </c:ext>
            </c:extLst>
          </c:dPt>
          <c:dPt>
            <c:idx val="4"/>
            <c:bubble3D val="0"/>
            <c:spPr>
              <a:solidFill>
                <a:srgbClr val="57514D"/>
              </a:solidFill>
            </c:spPr>
            <c:extLst>
              <c:ext xmlns:c16="http://schemas.microsoft.com/office/drawing/2014/chart" uri="{C3380CC4-5D6E-409C-BE32-E72D297353CC}">
                <c16:uniqueId val="{00000009-A248-48ED-B1D9-99CA05A04E68}"/>
              </c:ext>
            </c:extLst>
          </c:dPt>
          <c:dPt>
            <c:idx val="5"/>
            <c:bubble3D val="0"/>
            <c:spPr>
              <a:solidFill>
                <a:srgbClr val="57514D">
                  <a:alpha val="50000"/>
                </a:srgbClr>
              </a:solidFill>
            </c:spPr>
            <c:extLst>
              <c:ext xmlns:c16="http://schemas.microsoft.com/office/drawing/2014/chart" uri="{C3380CC4-5D6E-409C-BE32-E72D297353CC}">
                <c16:uniqueId val="{0000000B-A248-48ED-B1D9-99CA05A04E68}"/>
              </c:ext>
            </c:extLst>
          </c:dPt>
          <c:dPt>
            <c:idx val="6"/>
            <c:bubble3D val="0"/>
            <c:spPr>
              <a:solidFill>
                <a:srgbClr val="0579B9">
                  <a:alpha val="50000"/>
                </a:srgbClr>
              </a:solidFill>
            </c:spPr>
            <c:extLst>
              <c:ext xmlns:c16="http://schemas.microsoft.com/office/drawing/2014/chart" uri="{C3380CC4-5D6E-409C-BE32-E72D297353CC}">
                <c16:uniqueId val="{0000000D-A248-48ED-B1D9-99CA05A04E68}"/>
              </c:ext>
            </c:extLst>
          </c:dPt>
          <c:dPt>
            <c:idx val="7"/>
            <c:bubble3D val="0"/>
            <c:spPr>
              <a:solidFill>
                <a:srgbClr val="95C11F">
                  <a:alpha val="50000"/>
                </a:srgbClr>
              </a:solidFill>
            </c:spPr>
            <c:extLst>
              <c:ext xmlns:c16="http://schemas.microsoft.com/office/drawing/2014/chart" uri="{C3380CC4-5D6E-409C-BE32-E72D297353CC}">
                <c16:uniqueId val="{0000000F-A248-48ED-B1D9-99CA05A04E68}"/>
              </c:ext>
            </c:extLst>
          </c:dPt>
          <c:dPt>
            <c:idx val="8"/>
            <c:bubble3D val="0"/>
            <c:spPr>
              <a:solidFill>
                <a:srgbClr val="0579B9"/>
              </a:solidFill>
            </c:spPr>
            <c:extLst>
              <c:ext xmlns:c16="http://schemas.microsoft.com/office/drawing/2014/chart" uri="{C3380CC4-5D6E-409C-BE32-E72D297353CC}">
                <c16:uniqueId val="{00000011-A248-48ED-B1D9-99CA05A04E68}"/>
              </c:ext>
            </c:extLst>
          </c:dPt>
          <c:dPt>
            <c:idx val="9"/>
            <c:bubble3D val="0"/>
            <c:spPr>
              <a:solidFill>
                <a:srgbClr val="202D61"/>
              </a:solidFill>
            </c:spPr>
            <c:extLst>
              <c:ext xmlns:c16="http://schemas.microsoft.com/office/drawing/2014/chart" uri="{C3380CC4-5D6E-409C-BE32-E72D297353CC}">
                <c16:uniqueId val="{00000013-A248-48ED-B1D9-99CA05A04E68}"/>
              </c:ext>
            </c:extLst>
          </c:dPt>
          <c:dPt>
            <c:idx val="10"/>
            <c:bubble3D val="0"/>
            <c:spPr>
              <a:solidFill>
                <a:srgbClr val="00A1DE"/>
              </a:solidFill>
            </c:spPr>
            <c:extLst>
              <c:ext xmlns:c16="http://schemas.microsoft.com/office/drawing/2014/chart" uri="{C3380CC4-5D6E-409C-BE32-E72D297353CC}">
                <c16:uniqueId val="{00000015-A248-48ED-B1D9-99CA05A04E68}"/>
              </c:ext>
            </c:extLst>
          </c:dPt>
          <c:dLbls>
            <c:dLbl>
              <c:idx val="0"/>
              <c:layout>
                <c:manualLayout>
                  <c:x val="1.2639662201204027E-2"/>
                  <c:y val="0.1256740857032465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248-48ED-B1D9-99CA05A04E68}"/>
                </c:ext>
              </c:extLst>
            </c:dLbl>
            <c:dLbl>
              <c:idx val="1"/>
              <c:layout>
                <c:manualLayout>
                  <c:x val="-7.4050434510167421E-2"/>
                  <c:y val="-0.1176989447461232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248-48ED-B1D9-99CA05A04E68}"/>
                </c:ext>
              </c:extLst>
            </c:dLbl>
            <c:dLbl>
              <c:idx val="2"/>
              <c:layout>
                <c:manualLayout>
                  <c:x val="-5.5104713218037324E-2"/>
                  <c:y val="-0.12657221174998176"/>
                </c:manualLayout>
              </c:layout>
              <c:numFmt formatCode="0.0%" sourceLinked="0"/>
              <c:spPr>
                <a:noFill/>
                <a:ln>
                  <a:noFill/>
                </a:ln>
              </c:spPr>
              <c:txPr>
                <a:bodyPr/>
                <a:lstStyle/>
                <a:p>
                  <a:pPr>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168457700957315"/>
                      <c:h val="0.16444292586293605"/>
                    </c:manualLayout>
                  </c15:layout>
                </c:ext>
                <c:ext xmlns:c16="http://schemas.microsoft.com/office/drawing/2014/chart" uri="{C3380CC4-5D6E-409C-BE32-E72D297353CC}">
                  <c16:uniqueId val="{00000005-A248-48ED-B1D9-99CA05A04E68}"/>
                </c:ext>
              </c:extLst>
            </c:dLbl>
            <c:dLbl>
              <c:idx val="3"/>
              <c:layout>
                <c:manualLayout>
                  <c:x val="0.13381004286954096"/>
                  <c:y val="4.4946855793690448E-2"/>
                </c:manualLayout>
              </c:layout>
              <c:tx>
                <c:rich>
                  <a:bodyPr/>
                  <a:lstStyle/>
                  <a:p>
                    <a:fld id="{2FF80DBB-A247-4A48-A7AF-B4A9021368F0}" type="CATEGORYNAME">
                      <a:rPr lang="en-US"/>
                      <a:pPr/>
                      <a:t>[CATEGORY NAME]</a:t>
                    </a:fld>
                    <a:r>
                      <a:rPr lang="en-US" baseline="30000"/>
                      <a:t>(a)</a:t>
                    </a:r>
                    <a:r>
                      <a:rPr lang="en-US" baseline="0"/>
                      <a:t>
</a:t>
                    </a:r>
                    <a:fld id="{99D5D2D0-3C95-4757-82B0-635219D6A1A4}"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A248-48ED-B1D9-99CA05A04E68}"/>
                </c:ext>
              </c:extLst>
            </c:dLbl>
            <c:dLbl>
              <c:idx val="4"/>
              <c:layout>
                <c:manualLayout>
                  <c:x val="0.12228755555114046"/>
                  <c:y val="9.311742236060964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A248-48ED-B1D9-99CA05A04E68}"/>
                </c:ext>
              </c:extLst>
            </c:dLbl>
            <c:dLbl>
              <c:idx val="5"/>
              <c:layout>
                <c:manualLayout>
                  <c:x val="1.21097382267341E-2"/>
                  <c:y val="3.821622615644382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A248-48ED-B1D9-99CA05A04E68}"/>
                </c:ext>
              </c:extLst>
            </c:dLbl>
            <c:dLbl>
              <c:idx val="6"/>
              <c:layout>
                <c:manualLayout>
                  <c:x val="9.814885114477331E-3"/>
                  <c:y val="1.954661718240633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A248-48ED-B1D9-99CA05A04E68}"/>
                </c:ext>
              </c:extLst>
            </c:dLbl>
            <c:dLbl>
              <c:idx val="7"/>
              <c:layout>
                <c:manualLayout>
                  <c:x val="1.0368066355624676E-2"/>
                  <c:y val="6.8077636792216257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A248-48ED-B1D9-99CA05A04E68}"/>
                </c:ext>
              </c:extLst>
            </c:dLbl>
            <c:dLbl>
              <c:idx val="8"/>
              <c:layout>
                <c:manualLayout>
                  <c:x val="3.9259867011180371E-3"/>
                  <c:y val="2.010833040774361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A248-48ED-B1D9-99CA05A04E68}"/>
                </c:ext>
              </c:extLst>
            </c:dLbl>
            <c:dLbl>
              <c:idx val="9"/>
              <c:layout>
                <c:manualLayout>
                  <c:x val="7.409330443336885E-3"/>
                  <c:y val="5.039370078740157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A248-48ED-B1D9-99CA05A04E68}"/>
                </c:ext>
              </c:extLst>
            </c:dLbl>
            <c:dLbl>
              <c:idx val="10"/>
              <c:layout>
                <c:manualLayout>
                  <c:x val="1.3105546776482664E-2"/>
                  <c:y val="0"/>
                </c:manualLayout>
              </c:layout>
              <c:tx>
                <c:rich>
                  <a:bodyPr/>
                  <a:lstStyle/>
                  <a:p>
                    <a:r>
                      <a:t>Add text</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15-A248-48ED-B1D9-99CA05A04E68}"/>
                </c:ext>
              </c:extLst>
            </c:dLbl>
            <c:numFmt formatCode="0.0%" sourceLinked="0"/>
            <c:spPr>
              <a:noFill/>
              <a:ln>
                <a:noFill/>
              </a:ln>
            </c:spPr>
            <c:showLegendKey val="0"/>
            <c:showVal val="0"/>
            <c:showCatName val="1"/>
            <c:showSerName val="0"/>
            <c:showPercent val="1"/>
            <c:showBubbleSize val="0"/>
            <c:showLeaderLines val="0"/>
            <c:extLst>
              <c:ext xmlns:c15="http://schemas.microsoft.com/office/drawing/2012/chart" uri="{CE6537A1-D6FC-4f65-9D91-7224C49458BB}"/>
            </c:extLst>
          </c:dLbls>
          <c:cat>
            <c:strRef>
              <c:f>'Chart 1.4 Physical Assets '!$D$26:$H$26</c:f>
              <c:strCache>
                <c:ptCount val="5"/>
                <c:pt idx="0">
                  <c:v>Land</c:v>
                </c:pt>
                <c:pt idx="1">
                  <c:v>Buildings</c:v>
                </c:pt>
                <c:pt idx="2">
                  <c:v>Plant and 
Equipment</c:v>
                </c:pt>
                <c:pt idx="3">
                  <c:v>Infrastructure
Systems</c:v>
                </c:pt>
                <c:pt idx="4">
                  <c:v>Investment Properties</c:v>
                </c:pt>
              </c:strCache>
            </c:strRef>
          </c:cat>
          <c:val>
            <c:numRef>
              <c:f>'Chart 1.4 Physical Assets '!$D$29:$H$29</c:f>
              <c:numCache>
                <c:formatCode>#,##0\ \ ;\(#,##0\)\ \ ;...\ \ \ </c:formatCode>
                <c:ptCount val="5"/>
                <c:pt idx="0">
                  <c:v>87419453.595660016</c:v>
                </c:pt>
                <c:pt idx="1">
                  <c:v>110890277.06358999</c:v>
                </c:pt>
                <c:pt idx="2">
                  <c:v>17529851.807645001</c:v>
                </c:pt>
                <c:pt idx="3">
                  <c:v>220313500.578906</c:v>
                </c:pt>
                <c:pt idx="4">
                  <c:v>610624.03949</c:v>
                </c:pt>
              </c:numCache>
            </c:numRef>
          </c:val>
          <c:extLst>
            <c:ext xmlns:c16="http://schemas.microsoft.com/office/drawing/2014/chart" uri="{C3380CC4-5D6E-409C-BE32-E72D297353CC}">
              <c16:uniqueId val="{00000016-A248-48ED-B1D9-99CA05A04E68}"/>
            </c:ext>
          </c:extLst>
        </c:ser>
        <c:dLbls>
          <c:showLegendKey val="0"/>
          <c:showVal val="1"/>
          <c:showCatName val="0"/>
          <c:showSerName val="0"/>
          <c:showPercent val="0"/>
          <c:showBubbleSize val="0"/>
          <c:showLeaderLines val="0"/>
        </c:dLbls>
        <c:firstSliceAng val="150"/>
        <c:holeSize val="60"/>
      </c:doughnutChart>
      <c:spPr>
        <a:noFill/>
        <a:ln>
          <a:noFill/>
        </a:ln>
      </c:spPr>
    </c:plotArea>
    <c:plotVisOnly val="1"/>
    <c:dispBlanksAs val="gap"/>
    <c:showDLblsOverMax val="0"/>
  </c:chart>
  <c:spPr>
    <a:noFill/>
    <a:ln>
      <a:noFill/>
    </a:ln>
  </c:spPr>
  <c:txPr>
    <a:bodyPr/>
    <a:lstStyle/>
    <a:p>
      <a:pPr>
        <a:defRPr sz="700">
          <a:solidFill>
            <a:srgbClr val="57514D"/>
          </a:solidFill>
          <a:latin typeface="Public Sans" pitchFamily="2" charset="0"/>
          <a:cs typeface="Arial" panose="020B0604020202020204" pitchFamily="34"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89136718258824"/>
          <c:y val="9.4432201588273784E-2"/>
          <c:w val="0.84732152230971125"/>
          <c:h val="0.66518899818963073"/>
        </c:manualLayout>
      </c:layout>
      <c:barChart>
        <c:barDir val="col"/>
        <c:grouping val="stacked"/>
        <c:varyColors val="0"/>
        <c:ser>
          <c:idx val="1"/>
          <c:order val="0"/>
          <c:tx>
            <c:strRef>
              <c:f>'Maintenance chart'!$C$22</c:f>
              <c:strCache>
                <c:ptCount val="1"/>
                <c:pt idx="0">
                  <c:v>General Government Sector</c:v>
                </c:pt>
              </c:strCache>
            </c:strRef>
          </c:tx>
          <c:spPr>
            <a:solidFill>
              <a:srgbClr val="002664"/>
            </a:solidFill>
            <a:ln>
              <a:noFill/>
            </a:ln>
            <a:effectLst/>
          </c:spPr>
          <c:invertIfNegative val="0"/>
          <c:cat>
            <c:multiLvlStrRef>
              <c:f>'Maintenance chart'!$F$18:$S$19</c:f>
              <c:multiLvlStrCache>
                <c:ptCount val="14"/>
                <c:lvl>
                  <c:pt idx="0">
                    <c:v>2013-14</c:v>
                  </c:pt>
                  <c:pt idx="1">
                    <c:v>2014-15</c:v>
                  </c:pt>
                  <c:pt idx="2">
                    <c:v>2015-16</c:v>
                  </c:pt>
                  <c:pt idx="3">
                    <c:v>2016-17</c:v>
                  </c:pt>
                  <c:pt idx="4">
                    <c:v>2017-18</c:v>
                  </c:pt>
                  <c:pt idx="5">
                    <c:v>2018-19</c:v>
                  </c:pt>
                  <c:pt idx="6">
                    <c:v>2019-20</c:v>
                  </c:pt>
                  <c:pt idx="7">
                    <c:v>2020-21</c:v>
                  </c:pt>
                  <c:pt idx="8">
                    <c:v>2021-22</c:v>
                  </c:pt>
                  <c:pt idx="9">
                    <c:v>2022-23 </c:v>
                  </c:pt>
                  <c:pt idx="10">
                    <c:v>2023-24</c:v>
                  </c:pt>
                  <c:pt idx="11">
                    <c:v>2024-25</c:v>
                  </c:pt>
                  <c:pt idx="12">
                    <c:v>2025-26</c:v>
                  </c:pt>
                  <c:pt idx="13">
                    <c:v>2026-27</c:v>
                  </c:pt>
                </c:lvl>
                <c:lvl>
                  <c:pt idx="0">
                    <c:v>Actual</c:v>
                  </c:pt>
                  <c:pt idx="1">
                    <c:v>Actual</c:v>
                  </c:pt>
                  <c:pt idx="2">
                    <c:v>Actual</c:v>
                  </c:pt>
                  <c:pt idx="3">
                    <c:v>Actual</c:v>
                  </c:pt>
                  <c:pt idx="4">
                    <c:v>Actual</c:v>
                  </c:pt>
                  <c:pt idx="5">
                    <c:v>Actual</c:v>
                  </c:pt>
                  <c:pt idx="6">
                    <c:v>Actual</c:v>
                  </c:pt>
                  <c:pt idx="7">
                    <c:v>Actual</c:v>
                  </c:pt>
                  <c:pt idx="8">
                    <c:v>Actual</c:v>
                  </c:pt>
                  <c:pt idx="9">
                    <c:v>Est. Actual</c:v>
                  </c:pt>
                  <c:pt idx="10">
                    <c:v>Budget</c:v>
                  </c:pt>
                  <c:pt idx="11">
                    <c:v>Estimate</c:v>
                  </c:pt>
                  <c:pt idx="12">
                    <c:v>Estimate</c:v>
                  </c:pt>
                  <c:pt idx="13">
                    <c:v>Estimate</c:v>
                  </c:pt>
                </c:lvl>
              </c:multiLvlStrCache>
            </c:multiLvlStrRef>
          </c:cat>
          <c:val>
            <c:numRef>
              <c:f>'Maintenance chart'!$F$22:$S$22</c:f>
              <c:numCache>
                <c:formatCode>#,##0;\(#,##0\);...</c:formatCode>
                <c:ptCount val="14"/>
                <c:pt idx="0">
                  <c:v>1954.7392111001955</c:v>
                </c:pt>
                <c:pt idx="1">
                  <c:v>1841.2617060428274</c:v>
                </c:pt>
                <c:pt idx="2">
                  <c:v>1901.6176641719182</c:v>
                </c:pt>
                <c:pt idx="3">
                  <c:v>2037.4623189216036</c:v>
                </c:pt>
                <c:pt idx="4">
                  <c:v>2195.1341614248031</c:v>
                </c:pt>
                <c:pt idx="5">
                  <c:v>2144.0564496397542</c:v>
                </c:pt>
                <c:pt idx="6">
                  <c:v>2162.6520112643288</c:v>
                </c:pt>
                <c:pt idx="7">
                  <c:v>1901.4524089563722</c:v>
                </c:pt>
                <c:pt idx="8">
                  <c:v>2158.8453496632424</c:v>
                </c:pt>
                <c:pt idx="9">
                  <c:v>2826.2327630183731</c:v>
                </c:pt>
                <c:pt idx="10">
                  <c:v>2346.2613643514105</c:v>
                </c:pt>
                <c:pt idx="11">
                  <c:v>2069.8423654373823</c:v>
                </c:pt>
                <c:pt idx="12">
                  <c:v>2194.4073095497715</c:v>
                </c:pt>
                <c:pt idx="13">
                  <c:v>2273.064764419536</c:v>
                </c:pt>
              </c:numCache>
            </c:numRef>
          </c:val>
          <c:extLst>
            <c:ext xmlns:c16="http://schemas.microsoft.com/office/drawing/2014/chart" uri="{C3380CC4-5D6E-409C-BE32-E72D297353CC}">
              <c16:uniqueId val="{00000000-71A2-41D3-B9E3-41AFC324728D}"/>
            </c:ext>
          </c:extLst>
        </c:ser>
        <c:ser>
          <c:idx val="0"/>
          <c:order val="1"/>
          <c:tx>
            <c:strRef>
              <c:f>'Maintenance chart'!$C$23</c:f>
              <c:strCache>
                <c:ptCount val="1"/>
                <c:pt idx="0">
                  <c:v>Public Non-Financial Corporation Sector</c:v>
                </c:pt>
              </c:strCache>
            </c:strRef>
          </c:tx>
          <c:spPr>
            <a:solidFill>
              <a:srgbClr val="8CE0FF"/>
            </a:solidFill>
            <a:ln>
              <a:noFill/>
            </a:ln>
            <a:effectLst/>
          </c:spPr>
          <c:invertIfNegative val="0"/>
          <c:cat>
            <c:multiLvlStrRef>
              <c:f>'Maintenance chart'!$F$18:$S$19</c:f>
              <c:multiLvlStrCache>
                <c:ptCount val="14"/>
                <c:lvl>
                  <c:pt idx="0">
                    <c:v>2013-14</c:v>
                  </c:pt>
                  <c:pt idx="1">
                    <c:v>2014-15</c:v>
                  </c:pt>
                  <c:pt idx="2">
                    <c:v>2015-16</c:v>
                  </c:pt>
                  <c:pt idx="3">
                    <c:v>2016-17</c:v>
                  </c:pt>
                  <c:pt idx="4">
                    <c:v>2017-18</c:v>
                  </c:pt>
                  <c:pt idx="5">
                    <c:v>2018-19</c:v>
                  </c:pt>
                  <c:pt idx="6">
                    <c:v>2019-20</c:v>
                  </c:pt>
                  <c:pt idx="7">
                    <c:v>2020-21</c:v>
                  </c:pt>
                  <c:pt idx="8">
                    <c:v>2021-22</c:v>
                  </c:pt>
                  <c:pt idx="9">
                    <c:v>2022-23 </c:v>
                  </c:pt>
                  <c:pt idx="10">
                    <c:v>2023-24</c:v>
                  </c:pt>
                  <c:pt idx="11">
                    <c:v>2024-25</c:v>
                  </c:pt>
                  <c:pt idx="12">
                    <c:v>2025-26</c:v>
                  </c:pt>
                  <c:pt idx="13">
                    <c:v>2026-27</c:v>
                  </c:pt>
                </c:lvl>
                <c:lvl>
                  <c:pt idx="0">
                    <c:v>Actual</c:v>
                  </c:pt>
                  <c:pt idx="1">
                    <c:v>Actual</c:v>
                  </c:pt>
                  <c:pt idx="2">
                    <c:v>Actual</c:v>
                  </c:pt>
                  <c:pt idx="3">
                    <c:v>Actual</c:v>
                  </c:pt>
                  <c:pt idx="4">
                    <c:v>Actual</c:v>
                  </c:pt>
                  <c:pt idx="5">
                    <c:v>Actual</c:v>
                  </c:pt>
                  <c:pt idx="6">
                    <c:v>Actual</c:v>
                  </c:pt>
                  <c:pt idx="7">
                    <c:v>Actual</c:v>
                  </c:pt>
                  <c:pt idx="8">
                    <c:v>Actual</c:v>
                  </c:pt>
                  <c:pt idx="9">
                    <c:v>Est. Actual</c:v>
                  </c:pt>
                  <c:pt idx="10">
                    <c:v>Budget</c:v>
                  </c:pt>
                  <c:pt idx="11">
                    <c:v>Estimate</c:v>
                  </c:pt>
                  <c:pt idx="12">
                    <c:v>Estimate</c:v>
                  </c:pt>
                  <c:pt idx="13">
                    <c:v>Estimate</c:v>
                  </c:pt>
                </c:lvl>
              </c:multiLvlStrCache>
            </c:multiLvlStrRef>
          </c:cat>
          <c:val>
            <c:numRef>
              <c:f>'Maintenance chart'!$F$23:$S$23</c:f>
              <c:numCache>
                <c:formatCode>#,##0;\(#,##0\);...</c:formatCode>
                <c:ptCount val="14"/>
                <c:pt idx="0">
                  <c:v>1879.1766566184394</c:v>
                </c:pt>
                <c:pt idx="1">
                  <c:v>2388.7003068842005</c:v>
                </c:pt>
                <c:pt idx="2">
                  <c:v>2294.3716996325179</c:v>
                </c:pt>
                <c:pt idx="3">
                  <c:v>2090.6529834754701</c:v>
                </c:pt>
                <c:pt idx="4">
                  <c:v>1498.3935203395042</c:v>
                </c:pt>
                <c:pt idx="5">
                  <c:v>1560.2455359074106</c:v>
                </c:pt>
                <c:pt idx="6">
                  <c:v>1699.6106737309869</c:v>
                </c:pt>
                <c:pt idx="7">
                  <c:v>1819.788896729712</c:v>
                </c:pt>
                <c:pt idx="8">
                  <c:v>1799.7384960768932</c:v>
                </c:pt>
                <c:pt idx="9">
                  <c:v>1953.5619567917454</c:v>
                </c:pt>
                <c:pt idx="10">
                  <c:v>2565.8901316223405</c:v>
                </c:pt>
                <c:pt idx="11">
                  <c:v>2456.9111199036197</c:v>
                </c:pt>
                <c:pt idx="12">
                  <c:v>2511.0438748788747</c:v>
                </c:pt>
                <c:pt idx="13">
                  <c:v>2484.4132065790595</c:v>
                </c:pt>
              </c:numCache>
            </c:numRef>
          </c:val>
          <c:extLst>
            <c:ext xmlns:c16="http://schemas.microsoft.com/office/drawing/2014/chart" uri="{C3380CC4-5D6E-409C-BE32-E72D297353CC}">
              <c16:uniqueId val="{00000001-71A2-41D3-B9E3-41AFC324728D}"/>
            </c:ext>
          </c:extLst>
        </c:ser>
        <c:dLbls>
          <c:showLegendKey val="0"/>
          <c:showVal val="0"/>
          <c:showCatName val="0"/>
          <c:showSerName val="0"/>
          <c:showPercent val="0"/>
          <c:showBubbleSize val="0"/>
        </c:dLbls>
        <c:gapWidth val="219"/>
        <c:overlap val="100"/>
        <c:axId val="1045396175"/>
        <c:axId val="1029637727"/>
      </c:barChart>
      <c:catAx>
        <c:axId val="1045396175"/>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lang="en-US" sz="700" b="0" i="0" u="none" strike="noStrike" kern="1200" baseline="0">
                <a:solidFill>
                  <a:srgbClr val="57514D"/>
                </a:solidFill>
                <a:latin typeface="Arial" panose="020B0604020202020204" pitchFamily="34" charset="0"/>
                <a:ea typeface="+mn-ea"/>
                <a:cs typeface="Arial" panose="020B0604020202020204" pitchFamily="34" charset="0"/>
              </a:defRPr>
            </a:pPr>
            <a:endParaRPr lang="en-US"/>
          </a:p>
        </c:txPr>
        <c:crossAx val="1029637727"/>
        <c:crosses val="autoZero"/>
        <c:auto val="1"/>
        <c:lblAlgn val="ctr"/>
        <c:lblOffset val="100"/>
        <c:noMultiLvlLbl val="0"/>
      </c:catAx>
      <c:valAx>
        <c:axId val="1029637727"/>
        <c:scaling>
          <c:orientation val="minMax"/>
          <c:max val="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700" b="0" i="0" u="none" strike="noStrike" kern="1200" baseline="0">
                    <a:solidFill>
                      <a:srgbClr val="57514D"/>
                    </a:solidFill>
                    <a:latin typeface="Public Sans" pitchFamily="2" charset="0"/>
                    <a:ea typeface="+mn-ea"/>
                    <a:cs typeface="Arial" panose="020B0604020202020204" pitchFamily="34" charset="0"/>
                  </a:defRPr>
                </a:pPr>
                <a:r>
                  <a:rPr lang="en-AU">
                    <a:latin typeface="Public Sans" pitchFamily="2" charset="0"/>
                  </a:rPr>
                  <a:t>$ millions</a:t>
                </a:r>
              </a:p>
            </c:rich>
          </c:tx>
          <c:layout>
            <c:manualLayout>
              <c:xMode val="edge"/>
              <c:yMode val="edge"/>
              <c:x val="2.1015674888045319E-2"/>
              <c:y val="0.33298772697518664"/>
            </c:manualLayout>
          </c:layout>
          <c:overlay val="0"/>
          <c:spPr>
            <a:noFill/>
            <a:ln>
              <a:noFill/>
            </a:ln>
            <a:effectLst/>
          </c:spPr>
          <c:txPr>
            <a:bodyPr rot="-5400000" spcFirstLastPara="1" vertOverflow="ellipsis" vert="horz" wrap="square" anchor="ctr" anchorCtr="1"/>
            <a:lstStyle/>
            <a:p>
              <a:pPr>
                <a:defRPr lang="en-US" sz="700" b="0" i="0" u="none" strike="noStrike" kern="1200" baseline="0">
                  <a:solidFill>
                    <a:srgbClr val="57514D"/>
                  </a:solidFill>
                  <a:latin typeface="Public Sans" pitchFamily="2" charset="0"/>
                  <a:ea typeface="+mn-ea"/>
                  <a:cs typeface="Arial" panose="020B0604020202020204" pitchFamily="34" charset="0"/>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lang="en-US" sz="700" b="0" i="0" u="none" strike="noStrike" kern="1200" baseline="0">
                <a:solidFill>
                  <a:srgbClr val="57514D"/>
                </a:solidFill>
                <a:latin typeface="Arial" panose="020B0604020202020204" pitchFamily="34" charset="0"/>
                <a:ea typeface="+mn-ea"/>
                <a:cs typeface="Arial" panose="020B0604020202020204" pitchFamily="34" charset="0"/>
              </a:defRPr>
            </a:pPr>
            <a:endParaRPr lang="en-US"/>
          </a:p>
        </c:txPr>
        <c:crossAx val="1045396175"/>
        <c:crosses val="autoZero"/>
        <c:crossBetween val="between"/>
      </c:valAx>
      <c:spPr>
        <a:noFill/>
        <a:ln>
          <a:noFill/>
        </a:ln>
        <a:effectLst/>
      </c:spPr>
    </c:plotArea>
    <c:legend>
      <c:legendPos val="b"/>
      <c:layout>
        <c:manualLayout>
          <c:xMode val="edge"/>
          <c:yMode val="edge"/>
          <c:x val="0.2162409690438836"/>
          <c:y val="0.9265340228622182"/>
          <c:w val="0.56751806191223275"/>
          <c:h val="6.2773648883304181E-2"/>
        </c:manualLayout>
      </c:layout>
      <c:overlay val="0"/>
      <c:spPr>
        <a:noFill/>
        <a:ln>
          <a:noFill/>
        </a:ln>
        <a:effectLst/>
      </c:spPr>
      <c:txPr>
        <a:bodyPr rot="0" spcFirstLastPara="1" vertOverflow="ellipsis" vert="horz" wrap="square" anchor="ctr" anchorCtr="1"/>
        <a:lstStyle/>
        <a:p>
          <a:pPr>
            <a:defRPr lang="en-US" sz="700" b="0" i="0" u="none" strike="noStrike" kern="1200" baseline="0">
              <a:solidFill>
                <a:srgbClr val="57514D"/>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lgn="ctr">
        <a:defRPr lang="en-US" sz="700" b="0" i="0" u="none" strike="noStrike" kern="1200" baseline="0">
          <a:solidFill>
            <a:srgbClr val="57514D"/>
          </a:solidFill>
          <a:latin typeface="Arial" panose="020B0604020202020204" pitchFamily="34" charset="0"/>
          <a:ea typeface="+mn-ea"/>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0.72565</cdr:x>
      <cdr:y>0.00767</cdr:y>
    </cdr:from>
    <cdr:to>
      <cdr:x>0.96887</cdr:x>
      <cdr:y>0.07807</cdr:y>
    </cdr:to>
    <cdr:sp macro="" textlink="">
      <cdr:nvSpPr>
        <cdr:cNvPr id="3" name="TextBox 3"/>
        <cdr:cNvSpPr txBox="1"/>
      </cdr:nvSpPr>
      <cdr:spPr>
        <a:xfrm xmlns:a="http://schemas.openxmlformats.org/drawingml/2006/main">
          <a:off x="4502652" y="21166"/>
          <a:ext cx="1509182" cy="194332"/>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fld id="{639AC509-FABC-4598-B828-720C419032A4}" type="TxLink">
            <a:rPr lang="en-US" sz="700" b="1" i="0" u="none" strike="noStrike">
              <a:solidFill>
                <a:sysClr val="windowText" lastClr="000000"/>
              </a:solidFill>
              <a:latin typeface="Arial" panose="020B0604020202020204" pitchFamily="34" charset="0"/>
              <a:cs typeface="Arial" panose="020B0604020202020204" pitchFamily="34" charset="0"/>
            </a:rPr>
            <a:pPr algn="ctr"/>
            <a:t> </a:t>
          </a:fld>
          <a:endParaRPr lang="en-AU" sz="700" b="1">
            <a:solidFill>
              <a:sysClr val="windowText" lastClr="000000"/>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0.42346</cdr:x>
      <cdr:y>0.13357</cdr:y>
    </cdr:from>
    <cdr:to>
      <cdr:x>0.65788</cdr:x>
      <cdr:y>0.18971</cdr:y>
    </cdr:to>
    <cdr:sp macro="" textlink="">
      <cdr:nvSpPr>
        <cdr:cNvPr id="4" name="TextBox 3"/>
        <cdr:cNvSpPr txBox="1"/>
      </cdr:nvSpPr>
      <cdr:spPr>
        <a:xfrm xmlns:a="http://schemas.openxmlformats.org/drawingml/2006/main">
          <a:off x="2620412" y="364890"/>
          <a:ext cx="1450608" cy="15336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fld id="{D1D38BC2-8567-427A-818F-AF9D08EB6949}" type="TxLink">
            <a:rPr lang="en-US" sz="700" b="1" i="0" u="none" strike="noStrike">
              <a:solidFill>
                <a:srgbClr val="57514D"/>
              </a:solidFill>
              <a:latin typeface="Arial" panose="020B0604020202020204" pitchFamily="34" charset="0"/>
              <a:cs typeface="Arial" panose="020B0604020202020204" pitchFamily="34" charset="0"/>
            </a:rPr>
            <a:pPr algn="ctr"/>
            <a:t> </a:t>
          </a:fld>
          <a:endParaRPr lang="en-AU" sz="700" b="1">
            <a:solidFill>
              <a:srgbClr val="57514D"/>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0.15293</cdr:x>
      <cdr:y>0.31442</cdr:y>
    </cdr:from>
    <cdr:to>
      <cdr:x>0.3345</cdr:x>
      <cdr:y>0.37325</cdr:y>
    </cdr:to>
    <cdr:sp macro="" textlink="">
      <cdr:nvSpPr>
        <cdr:cNvPr id="6" name="TextBox 5"/>
        <cdr:cNvSpPr txBox="1"/>
      </cdr:nvSpPr>
      <cdr:spPr>
        <a:xfrm xmlns:a="http://schemas.openxmlformats.org/drawingml/2006/main">
          <a:off x="946328" y="858949"/>
          <a:ext cx="1123569" cy="16071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B05BE7C0-69C0-4F3D-8642-2C14A3FE3E7E}" type="TxLink">
            <a:rPr lang="en-US" sz="700" b="1" i="0" u="none" strike="noStrike">
              <a:solidFill>
                <a:srgbClr val="57514D"/>
              </a:solidFill>
              <a:latin typeface="Arial" panose="020B0604020202020204" pitchFamily="34" charset="0"/>
              <a:cs typeface="Arial" panose="020B0604020202020204" pitchFamily="34" charset="0"/>
            </a:rPr>
            <a:pPr/>
            <a:t> </a:t>
          </a:fld>
          <a:endParaRPr lang="en-AU" sz="700" b="1">
            <a:solidFill>
              <a:srgbClr val="57514D"/>
            </a:solidFill>
            <a:latin typeface="Arial" panose="020B0604020202020204" pitchFamily="34" charset="0"/>
            <a:cs typeface="Arial" panose="020B0604020202020204"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0.72565</cdr:x>
      <cdr:y>0.00767</cdr:y>
    </cdr:from>
    <cdr:to>
      <cdr:x>0.96887</cdr:x>
      <cdr:y>0.07807</cdr:y>
    </cdr:to>
    <cdr:sp macro="" textlink="">
      <cdr:nvSpPr>
        <cdr:cNvPr id="3" name="TextBox 3"/>
        <cdr:cNvSpPr txBox="1"/>
      </cdr:nvSpPr>
      <cdr:spPr>
        <a:xfrm xmlns:a="http://schemas.openxmlformats.org/drawingml/2006/main">
          <a:off x="4502652" y="21166"/>
          <a:ext cx="1509182" cy="194332"/>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fld id="{639AC509-FABC-4598-B828-720C419032A4}" type="TxLink">
            <a:rPr lang="en-US" sz="700" b="1" i="0" u="none" strike="noStrike">
              <a:solidFill>
                <a:sysClr val="windowText" lastClr="000000"/>
              </a:solidFill>
              <a:latin typeface="Arial" panose="020B0604020202020204" pitchFamily="34" charset="0"/>
              <a:cs typeface="Arial" panose="020B0604020202020204" pitchFamily="34" charset="0"/>
            </a:rPr>
            <a:pPr algn="ctr"/>
            <a:t> </a:t>
          </a:fld>
          <a:endParaRPr lang="en-AU" sz="700" b="1">
            <a:solidFill>
              <a:sysClr val="windowText" lastClr="000000"/>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0.42346</cdr:x>
      <cdr:y>0.13357</cdr:y>
    </cdr:from>
    <cdr:to>
      <cdr:x>0.65788</cdr:x>
      <cdr:y>0.18971</cdr:y>
    </cdr:to>
    <cdr:sp macro="" textlink="">
      <cdr:nvSpPr>
        <cdr:cNvPr id="4" name="TextBox 3"/>
        <cdr:cNvSpPr txBox="1"/>
      </cdr:nvSpPr>
      <cdr:spPr>
        <a:xfrm xmlns:a="http://schemas.openxmlformats.org/drawingml/2006/main">
          <a:off x="2620412" y="364890"/>
          <a:ext cx="1450608" cy="15336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fld id="{D1D38BC2-8567-427A-818F-AF9D08EB6949}" type="TxLink">
            <a:rPr lang="en-US" sz="700" b="1" i="0" u="none" strike="noStrike">
              <a:solidFill>
                <a:srgbClr val="57514D"/>
              </a:solidFill>
              <a:latin typeface="Arial" panose="020B0604020202020204" pitchFamily="34" charset="0"/>
              <a:cs typeface="Arial" panose="020B0604020202020204" pitchFamily="34" charset="0"/>
            </a:rPr>
            <a:pPr algn="ctr"/>
            <a:t> </a:t>
          </a:fld>
          <a:endParaRPr lang="en-AU" sz="700" b="1">
            <a:solidFill>
              <a:srgbClr val="57514D"/>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0.15293</cdr:x>
      <cdr:y>0.31442</cdr:y>
    </cdr:from>
    <cdr:to>
      <cdr:x>0.3345</cdr:x>
      <cdr:y>0.37325</cdr:y>
    </cdr:to>
    <cdr:sp macro="" textlink="">
      <cdr:nvSpPr>
        <cdr:cNvPr id="6" name="TextBox 5"/>
        <cdr:cNvSpPr txBox="1"/>
      </cdr:nvSpPr>
      <cdr:spPr>
        <a:xfrm xmlns:a="http://schemas.openxmlformats.org/drawingml/2006/main">
          <a:off x="946328" y="858949"/>
          <a:ext cx="1123569" cy="16071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B05BE7C0-69C0-4F3D-8642-2C14A3FE3E7E}" type="TxLink">
            <a:rPr lang="en-US" sz="700" b="1" i="0" u="none" strike="noStrike">
              <a:solidFill>
                <a:srgbClr val="57514D"/>
              </a:solidFill>
              <a:latin typeface="Arial" panose="020B0604020202020204" pitchFamily="34" charset="0"/>
              <a:cs typeface="Arial" panose="020B0604020202020204" pitchFamily="34" charset="0"/>
            </a:rPr>
            <a:pPr/>
            <a:t> </a:t>
          </a:fld>
          <a:endParaRPr lang="en-AU" sz="700" b="1">
            <a:solidFill>
              <a:srgbClr val="57514D"/>
            </a:solidFill>
            <a:latin typeface="Arial" panose="020B0604020202020204" pitchFamily="34" charset="0"/>
            <a:cs typeface="Arial" panose="020B0604020202020204" pitchFamily="34"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0.72565</cdr:x>
      <cdr:y>0.00767</cdr:y>
    </cdr:from>
    <cdr:to>
      <cdr:x>0.96887</cdr:x>
      <cdr:y>0.07807</cdr:y>
    </cdr:to>
    <cdr:sp macro="" textlink="">
      <cdr:nvSpPr>
        <cdr:cNvPr id="3" name="TextBox 3"/>
        <cdr:cNvSpPr txBox="1"/>
      </cdr:nvSpPr>
      <cdr:spPr>
        <a:xfrm xmlns:a="http://schemas.openxmlformats.org/drawingml/2006/main">
          <a:off x="4502652" y="21166"/>
          <a:ext cx="1509182" cy="194332"/>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fld id="{639AC509-FABC-4598-B828-720C419032A4}" type="TxLink">
            <a:rPr lang="en-US" sz="700" b="1" i="0" u="none" strike="noStrike">
              <a:solidFill>
                <a:sysClr val="windowText" lastClr="000000"/>
              </a:solidFill>
              <a:latin typeface="Arial" panose="020B0604020202020204" pitchFamily="34" charset="0"/>
              <a:cs typeface="Arial" panose="020B0604020202020204" pitchFamily="34" charset="0"/>
            </a:rPr>
            <a:pPr algn="ctr"/>
            <a:t> </a:t>
          </a:fld>
          <a:endParaRPr lang="en-AU" sz="700" b="1">
            <a:solidFill>
              <a:sysClr val="windowText" lastClr="000000"/>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0.42346</cdr:x>
      <cdr:y>0.13357</cdr:y>
    </cdr:from>
    <cdr:to>
      <cdr:x>0.65788</cdr:x>
      <cdr:y>0.18971</cdr:y>
    </cdr:to>
    <cdr:sp macro="" textlink="">
      <cdr:nvSpPr>
        <cdr:cNvPr id="4" name="TextBox 3"/>
        <cdr:cNvSpPr txBox="1"/>
      </cdr:nvSpPr>
      <cdr:spPr>
        <a:xfrm xmlns:a="http://schemas.openxmlformats.org/drawingml/2006/main">
          <a:off x="2620412" y="364890"/>
          <a:ext cx="1450608" cy="15336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fld id="{D1D38BC2-8567-427A-818F-AF9D08EB6949}" type="TxLink">
            <a:rPr lang="en-US" sz="700" b="1" i="0" u="none" strike="noStrike">
              <a:solidFill>
                <a:srgbClr val="57514D"/>
              </a:solidFill>
              <a:latin typeface="Arial" panose="020B0604020202020204" pitchFamily="34" charset="0"/>
              <a:cs typeface="Arial" panose="020B0604020202020204" pitchFamily="34" charset="0"/>
            </a:rPr>
            <a:pPr algn="ctr"/>
            <a:t> </a:t>
          </a:fld>
          <a:endParaRPr lang="en-AU" sz="700" b="1">
            <a:solidFill>
              <a:srgbClr val="57514D"/>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0.15293</cdr:x>
      <cdr:y>0.31442</cdr:y>
    </cdr:from>
    <cdr:to>
      <cdr:x>0.3345</cdr:x>
      <cdr:y>0.37325</cdr:y>
    </cdr:to>
    <cdr:sp macro="" textlink="">
      <cdr:nvSpPr>
        <cdr:cNvPr id="6" name="TextBox 5"/>
        <cdr:cNvSpPr txBox="1"/>
      </cdr:nvSpPr>
      <cdr:spPr>
        <a:xfrm xmlns:a="http://schemas.openxmlformats.org/drawingml/2006/main">
          <a:off x="946328" y="858949"/>
          <a:ext cx="1123569" cy="16071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B05BE7C0-69C0-4F3D-8642-2C14A3FE3E7E}" type="TxLink">
            <a:rPr lang="en-US" sz="700" b="1" i="0" u="none" strike="noStrike">
              <a:solidFill>
                <a:srgbClr val="57514D"/>
              </a:solidFill>
              <a:latin typeface="Arial" panose="020B0604020202020204" pitchFamily="34" charset="0"/>
              <a:cs typeface="Arial" panose="020B0604020202020204" pitchFamily="34" charset="0"/>
            </a:rPr>
            <a:pPr/>
            <a:t> </a:t>
          </a:fld>
          <a:endParaRPr lang="en-AU" sz="700" b="1">
            <a:solidFill>
              <a:srgbClr val="57514D"/>
            </a:solidFill>
            <a:latin typeface="Arial" panose="020B0604020202020204" pitchFamily="34" charset="0"/>
            <a:cs typeface="Arial" panose="020B0604020202020204" pitchFamily="34" charset="0"/>
          </a:endParaRPr>
        </a:p>
      </cdr:txBody>
    </cdr:sp>
  </cdr:relSizeAnchor>
</c:userShapes>
</file>

<file path=word/theme/theme1.xml><?xml version="1.0" encoding="utf-8"?>
<a:theme xmlns:a="http://schemas.openxmlformats.org/drawingml/2006/main" name="Office Theme">
  <a:themeElements>
    <a:clrScheme name="Budget Paper 3">
      <a:dk1>
        <a:sysClr val="windowText" lastClr="000000"/>
      </a:dk1>
      <a:lt1>
        <a:sysClr val="window" lastClr="FFFFFF"/>
      </a:lt1>
      <a:dk2>
        <a:srgbClr val="002664"/>
      </a:dk2>
      <a:lt2>
        <a:srgbClr val="CDD2D7"/>
      </a:lt2>
      <a:accent1>
        <a:srgbClr val="006AB5"/>
      </a:accent1>
      <a:accent2>
        <a:srgbClr val="90CEF0"/>
      </a:accent2>
      <a:accent3>
        <a:srgbClr val="D9EBF9"/>
      </a:accent3>
      <a:accent4>
        <a:srgbClr val="0F1918"/>
      </a:accent4>
      <a:accent5>
        <a:srgbClr val="3F4F5E"/>
      </a:accent5>
      <a:accent6>
        <a:srgbClr val="BFC5C6"/>
      </a:accent6>
      <a:hlink>
        <a:srgbClr val="E7E3E2"/>
      </a:hlink>
      <a:folHlink>
        <a:srgbClr val="63001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Budget">
    <a:dk1>
      <a:srgbClr val="57514D"/>
    </a:dk1>
    <a:lt1>
      <a:srgbClr val="FFFFFF"/>
    </a:lt1>
    <a:dk2>
      <a:srgbClr val="1D3278"/>
    </a:dk2>
    <a:lt2>
      <a:srgbClr val="DD0332"/>
    </a:lt2>
    <a:accent1>
      <a:srgbClr val="0579B9"/>
    </a:accent1>
    <a:accent2>
      <a:srgbClr val="EB8C00"/>
    </a:accent2>
    <a:accent3>
      <a:srgbClr val="951C7D"/>
    </a:accent3>
    <a:accent4>
      <a:srgbClr val="95C11F"/>
    </a:accent4>
    <a:accent5>
      <a:srgbClr val="13421F"/>
    </a:accent5>
    <a:accent6>
      <a:srgbClr val="25A9E1"/>
    </a:accent6>
    <a:hlink>
      <a:srgbClr val="000000"/>
    </a:hlink>
    <a:folHlink>
      <a:srgbClr val="000000"/>
    </a:folHlink>
  </a:clrScheme>
  <a:fontScheme name="Budge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a5968-9419-4033-b9de-7ffe8168468e">
      <UserInfo>
        <DisplayName>Danielle Burgess</DisplayName>
        <AccountId>27</AccountId>
        <AccountType/>
      </UserInfo>
      <UserInfo>
        <DisplayName>Cassandra Wilkinson</DisplayName>
        <AccountId>159</AccountId>
        <AccountType/>
      </UserInfo>
      <UserInfo>
        <DisplayName>Sajiv De Silva</DisplayName>
        <AccountId>15</AccountId>
        <AccountType/>
      </UserInfo>
      <UserInfo>
        <DisplayName>Emma Finnerty</DisplayName>
        <AccountId>507</AccountId>
        <AccountType/>
      </UserInfo>
      <UserInfo>
        <DisplayName>Shazmeen Chunara</DisplayName>
        <AccountId>709</AccountId>
        <AccountType/>
      </UserInfo>
      <UserInfo>
        <DisplayName>Alex Petrillo</DisplayName>
        <AccountId>713</AccountId>
        <AccountType/>
      </UserInfo>
      <UserInfo>
        <DisplayName>Anthony Luu</DisplayName>
        <AccountId>1342</AccountId>
        <AccountType/>
      </UserInfo>
      <UserInfo>
        <DisplayName>Kim Garvey</DisplayName>
        <AccountId>1347</AccountId>
        <AccountType/>
      </UserInfo>
      <UserInfo>
        <DisplayName>Giuseppe Madaffari</DisplayName>
        <AccountId>14</AccountId>
        <AccountType/>
      </UserInfo>
      <UserInfo>
        <DisplayName>Nayeem Haque</DisplayName>
        <AccountId>1327</AccountId>
        <AccountType/>
      </UserInfo>
      <UserInfo>
        <DisplayName>Sean O'Shannassy</DisplayName>
        <AccountId>125</AccountId>
        <AccountType/>
      </UserInfo>
      <UserInfo>
        <DisplayName>Jason Lau</DisplayName>
        <AccountId>734</AccountId>
        <AccountType/>
      </UserInfo>
      <UserInfo>
        <DisplayName>Mohammad Iqbal</DisplayName>
        <AccountId>115</AccountId>
        <AccountType/>
      </UserInfo>
      <UserInfo>
        <DisplayName>Jimmy Lam</DisplayName>
        <AccountId>716</AccountId>
        <AccountType/>
      </UserInfo>
      <UserInfo>
        <DisplayName>Jun Wen</DisplayName>
        <AccountId>84</AccountId>
        <AccountType/>
      </UserInfo>
      <UserInfo>
        <DisplayName>Gareth Wymond</DisplayName>
        <AccountId>13</AccountId>
        <AccountType/>
      </UserInfo>
      <UserInfo>
        <DisplayName>Juliet Toohey</DisplayName>
        <AccountId>193</AccountId>
        <AccountType/>
      </UserInfo>
      <UserInfo>
        <DisplayName>Calvin Cheng (Treasury)</DisplayName>
        <AccountId>163</AccountId>
        <AccountType/>
      </UserInfo>
      <UserInfo>
        <DisplayName>Jessica Chu</DisplayName>
        <AccountId>2199</AccountId>
        <AccountType/>
      </UserInfo>
      <UserInfo>
        <DisplayName>Caleb Morgan</DisplayName>
        <AccountId>1896</AccountId>
        <AccountType/>
      </UserInfo>
      <UserInfo>
        <DisplayName>Joe lan</DisplayName>
        <AccountId>3181</AccountId>
        <AccountType/>
      </UserInfo>
      <UserInfo>
        <DisplayName>Vincent Mercuri</DisplayName>
        <AccountId>737</AccountId>
        <AccountType/>
      </UserInfo>
      <UserInfo>
        <DisplayName>Sam Horin</DisplayName>
        <AccountId>61</AccountId>
        <AccountType/>
      </UserInfo>
      <UserInfo>
        <DisplayName>Bhupendra Pant</DisplayName>
        <AccountId>3110</AccountId>
        <AccountType/>
      </UserInfo>
      <UserInfo>
        <DisplayName>Roland Stanmore</DisplayName>
        <AccountId>234</AccountId>
        <AccountType/>
      </UserInfo>
      <UserInfo>
        <DisplayName>Olivia Jekic</DisplayName>
        <AccountId>120</AccountId>
        <AccountType/>
      </UserInfo>
      <UserInfo>
        <DisplayName>Josh Milner</DisplayName>
        <AccountId>186</AccountId>
        <AccountType/>
      </UserInfo>
      <UserInfo>
        <DisplayName>Matt Greiss</DisplayName>
        <AccountId>143</AccountId>
        <AccountType/>
      </UserInfo>
    </SharedWithUsers>
    <_Flow_SignoffStatus xmlns="1c478e85-8130-4c67-8ee4-8bdf1c0e6049" xsi:nil="true"/>
    <lcf76f155ced4ddcb4097134ff3c332f xmlns="1c478e85-8130-4c67-8ee4-8bdf1c0e6049">
      <Terms xmlns="http://schemas.microsoft.com/office/infopath/2007/PartnerControls"/>
    </lcf76f155ced4ddcb4097134ff3c332f>
    <TaxCatchAll xmlns="9f0ac7ce-5f57-4ea0-9af7-01d4f3f1cc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8" ma:contentTypeDescription="Create a new document." ma:contentTypeScope="" ma:versionID="b84699f8718cfaaccf8ae66a81ad7cf5">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b5bb7e07b68b4de85e92be5b8e3a6a2"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56981-04AC-4029-A4D1-CECB1D71233F}">
  <ds:schemaRefs>
    <ds:schemaRef ds:uri="http://www.w3.org/XML/1998/namespace"/>
    <ds:schemaRef ds:uri="9f0ac7ce-5f57-4ea0-9af7-01d4f3f1ccae"/>
    <ds:schemaRef ds:uri="http://schemas.microsoft.com/office/2006/documentManagement/types"/>
    <ds:schemaRef ds:uri="http://purl.org/dc/dcmitype/"/>
    <ds:schemaRef ds:uri="http://purl.org/dc/term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1c478e85-8130-4c67-8ee4-8bdf1c0e6049"/>
    <ds:schemaRef ds:uri="801a5968-9419-4033-b9de-7ffe8168468e"/>
  </ds:schemaRefs>
</ds:datastoreItem>
</file>

<file path=customXml/itemProps2.xml><?xml version="1.0" encoding="utf-8"?>
<ds:datastoreItem xmlns:ds="http://schemas.openxmlformats.org/officeDocument/2006/customXml" ds:itemID="{2A522357-6383-4B88-808C-FAFCB94D862A}">
  <ds:schemaRefs>
    <ds:schemaRef ds:uri="http://schemas.microsoft.com/sharepoint/v3/contenttype/forms"/>
  </ds:schemaRefs>
</ds:datastoreItem>
</file>

<file path=customXml/itemProps3.xml><?xml version="1.0" encoding="utf-8"?>
<ds:datastoreItem xmlns:ds="http://schemas.openxmlformats.org/officeDocument/2006/customXml" ds:itemID="{D89BCDCD-7001-499A-9CC0-113623BF1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7BC0C8-FFF5-4F91-8EC4-CDD458D66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6653</TotalTime>
  <Pages>18</Pages>
  <Words>4702</Words>
  <Characters>27175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2023-24 Budget Paper No. 3 - Investment program overview</vt:lpstr>
    </vt:vector>
  </TitlesOfParts>
  <Company>NSW Treasury</Company>
  <LinksUpToDate>false</LinksUpToDate>
  <CharactersWithSpaces>31814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Budget Paper No. 3 - Investment program overview</dc:title>
  <dc:subject/>
  <dc:creator>The Treasury</dc:creator>
  <cp:keywords/>
  <dc:description/>
  <cp:lastModifiedBy>Francess Lavorato</cp:lastModifiedBy>
  <cp:revision>7157</cp:revision>
  <cp:lastPrinted>2022-06-16T02:40:00Z</cp:lastPrinted>
  <dcterms:created xsi:type="dcterms:W3CDTF">2019-05-19T11:34:00Z</dcterms:created>
  <dcterms:modified xsi:type="dcterms:W3CDTF">2023-09-16T10:43:00Z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0x010100F02F16F1AFBDE54EBD2685E90FE1922F</vt:lpwstr>
  </property>
  <property fmtid="{D5CDD505-2E9C-101B-9397-08002B2CF9AE}" pid="3" name="MediaServiceImageTags">
    <vt:lpwstr/>
  </property>
</Properties>
</file>