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B431C" w14:textId="4ABCA1FB" w:rsidR="00C626D7" w:rsidRPr="00A903EA" w:rsidRDefault="0080467E" w:rsidP="00697B15">
      <w:pPr>
        <w:pStyle w:val="Heading1"/>
      </w:pPr>
      <w:r>
        <w:t>b.</w:t>
      </w:r>
      <w:r w:rsidR="00262768" w:rsidRPr="00CA7632">
        <w:tab/>
      </w:r>
      <w:r w:rsidR="00E26BF5" w:rsidRPr="00D47919">
        <w:t>Fiscal Risks and Budget Sensitivities</w:t>
      </w:r>
    </w:p>
    <w:p w14:paraId="3854BEC6" w14:textId="65DC34B7" w:rsidR="00B37C56" w:rsidRDefault="007E307E" w:rsidP="00367CD6">
      <w:pPr>
        <w:pStyle w:val="BodyText"/>
      </w:pPr>
      <w:r w:rsidRPr="0AD29FE6">
        <w:rPr>
          <w:lang w:val="en-US"/>
        </w:rPr>
        <w:t>The preparation of the 202</w:t>
      </w:r>
      <w:r w:rsidR="001B59F1">
        <w:t>4</w:t>
      </w:r>
      <w:r w:rsidRPr="00416FB8">
        <w:t>-2</w:t>
      </w:r>
      <w:r w:rsidR="001B59F1">
        <w:t>5</w:t>
      </w:r>
      <w:r w:rsidRPr="00416FB8">
        <w:t xml:space="preserve"> Budget </w:t>
      </w:r>
      <w:r w:rsidR="00DF77B5" w:rsidRPr="00416FB8">
        <w:t xml:space="preserve">is informed by </w:t>
      </w:r>
      <w:r w:rsidRPr="00416FB8">
        <w:t>a range of forecasts and assumptions that are inherently uncertain</w:t>
      </w:r>
      <w:r w:rsidR="00823AE4" w:rsidRPr="00416FB8">
        <w:t xml:space="preserve">. </w:t>
      </w:r>
      <w:r w:rsidR="00B37C56" w:rsidRPr="00416FB8">
        <w:t>This Appendix provide</w:t>
      </w:r>
      <w:r w:rsidR="00BC78C0" w:rsidRPr="00416FB8">
        <w:t>s</w:t>
      </w:r>
      <w:r w:rsidR="00B37C56" w:rsidRPr="00416FB8">
        <w:t xml:space="preserve"> </w:t>
      </w:r>
      <w:r w:rsidR="00DB138D" w:rsidRPr="00416FB8">
        <w:t>insight</w:t>
      </w:r>
      <w:r w:rsidR="00C86320" w:rsidRPr="00416FB8">
        <w:t xml:space="preserve"> into</w:t>
      </w:r>
      <w:r w:rsidR="00B37C56" w:rsidRPr="00416FB8">
        <w:t xml:space="preserve"> potential fiscal risks </w:t>
      </w:r>
      <w:r w:rsidR="001C2D6E" w:rsidRPr="00416FB8">
        <w:t>and budget sensitivities</w:t>
      </w:r>
      <w:r w:rsidR="00B37C56" w:rsidRPr="00416FB8">
        <w:t xml:space="preserve"> </w:t>
      </w:r>
      <w:r w:rsidR="00745B87" w:rsidRPr="00416FB8">
        <w:t xml:space="preserve">that cannot be determined with sufficient certainty to be incorporated into the Budget. </w:t>
      </w:r>
    </w:p>
    <w:p w14:paraId="7C0CC9D1" w14:textId="23B6FE91" w:rsidR="004A5182" w:rsidRPr="0016410E" w:rsidRDefault="004A5182" w:rsidP="00367CD6">
      <w:pPr>
        <w:pStyle w:val="BodyText"/>
      </w:pPr>
      <w:r w:rsidRPr="00416FB8">
        <w:t xml:space="preserve">The </w:t>
      </w:r>
      <w:r w:rsidR="00167757" w:rsidRPr="00416FB8">
        <w:t>Appendix does not</w:t>
      </w:r>
      <w:r w:rsidR="00B3585E" w:rsidRPr="00416FB8">
        <w:t xml:space="preserve"> consider </w:t>
      </w:r>
      <w:r w:rsidRPr="00416FB8">
        <w:t xml:space="preserve">the </w:t>
      </w:r>
      <w:r w:rsidR="00B3585E" w:rsidRPr="00416FB8">
        <w:t>policy</w:t>
      </w:r>
      <w:r w:rsidRPr="00416FB8">
        <w:t xml:space="preserve"> </w:t>
      </w:r>
      <w:r w:rsidR="00167757" w:rsidRPr="00416FB8">
        <w:t>risks</w:t>
      </w:r>
      <w:r w:rsidRPr="00416FB8">
        <w:t xml:space="preserve"> associated with future extensions or changes to </w:t>
      </w:r>
      <w:r w:rsidR="006A1868" w:rsidRPr="00416FB8">
        <w:t xml:space="preserve">financial </w:t>
      </w:r>
      <w:r w:rsidRPr="00416FB8">
        <w:t xml:space="preserve">decisions </w:t>
      </w:r>
      <w:r w:rsidR="0097044B" w:rsidRPr="00416FB8">
        <w:t xml:space="preserve">made </w:t>
      </w:r>
      <w:r w:rsidR="00B3585E" w:rsidRPr="00416FB8">
        <w:t xml:space="preserve">by the NSW Government </w:t>
      </w:r>
      <w:r w:rsidRPr="00416FB8">
        <w:t>or the Australian Government.</w:t>
      </w:r>
    </w:p>
    <w:p w14:paraId="650D5A88" w14:textId="07E72F49" w:rsidR="00650CF8" w:rsidRPr="004D2D27" w:rsidRDefault="00650CF8" w:rsidP="006B6116">
      <w:pPr>
        <w:pStyle w:val="B1Heading2"/>
      </w:pPr>
      <w:bookmarkStart w:id="0" w:name="_Hlk516140952"/>
      <w:r>
        <w:t>Operating statement</w:t>
      </w:r>
      <w:r w:rsidRPr="004D2D27">
        <w:t xml:space="preserve"> risks</w:t>
      </w:r>
      <w:r>
        <w:t xml:space="preserve"> and </w:t>
      </w:r>
      <w:r w:rsidRPr="00334198">
        <w:t>sensitivities</w:t>
      </w:r>
    </w:p>
    <w:bookmarkEnd w:id="0"/>
    <w:p w14:paraId="4C56EE12" w14:textId="5B5AEC48" w:rsidR="00650CF8" w:rsidRPr="00A21502" w:rsidRDefault="00650CF8" w:rsidP="00A033B6">
      <w:pPr>
        <w:pStyle w:val="Heading3"/>
      </w:pPr>
      <w:r>
        <w:t xml:space="preserve">State taxation </w:t>
      </w:r>
      <w:proofErr w:type="gramStart"/>
      <w:r>
        <w:t>revenue</w:t>
      </w:r>
      <w:proofErr w:type="gramEnd"/>
    </w:p>
    <w:p w14:paraId="4BE06CF7" w14:textId="4A2435FD" w:rsidR="00D712F3" w:rsidRDefault="00D712F3" w:rsidP="00367CD6">
      <w:pPr>
        <w:pStyle w:val="BodyText"/>
      </w:pPr>
      <w:r w:rsidRPr="2BAD2824">
        <w:t>The state of the economy affects the level of tax collected. Changes in a range of macroeconomic drivers – from property sale</w:t>
      </w:r>
      <w:r w:rsidR="003221C4" w:rsidRPr="2BAD2824">
        <w:t>s</w:t>
      </w:r>
      <w:r w:rsidRPr="2BAD2824">
        <w:t xml:space="preserve"> volumes and prices to employment levels and wage growth – can lead to major changes in the level of tax collected, </w:t>
      </w:r>
      <w:proofErr w:type="gramStart"/>
      <w:r w:rsidRPr="2BAD2824">
        <w:t>increasing</w:t>
      </w:r>
      <w:proofErr w:type="gramEnd"/>
      <w:r w:rsidRPr="2BAD2824">
        <w:t xml:space="preserve"> or decreasing government revenues accordingly. </w:t>
      </w:r>
    </w:p>
    <w:p w14:paraId="7BC113A6" w14:textId="60BAC494" w:rsidR="00D712F3" w:rsidRDefault="00AF473F" w:rsidP="00367CD6">
      <w:pPr>
        <w:pStyle w:val="BodyText"/>
      </w:pPr>
      <w:r w:rsidRPr="00BB4DC1">
        <w:t xml:space="preserve">NSW Treasury’s </w:t>
      </w:r>
      <w:r w:rsidR="00D712F3" w:rsidRPr="00501363">
        <w:t xml:space="preserve">own forecast assumptions for key macroeconomic variables across the </w:t>
      </w:r>
      <w:r w:rsidR="00BD59EB" w:rsidRPr="00501363">
        <w:t>b</w:t>
      </w:r>
      <w:r w:rsidR="00D712F3" w:rsidRPr="00501363">
        <w:t>udget and forward estimates (as set out in Table B.1 below) are used to inform the revenue forecasts.</w:t>
      </w:r>
    </w:p>
    <w:p w14:paraId="65099943" w14:textId="3CA864F9" w:rsidR="00650CF8" w:rsidRPr="0016410E" w:rsidRDefault="00D712F3" w:rsidP="00367CD6">
      <w:pPr>
        <w:pStyle w:val="BodyText"/>
        <w:rPr>
          <w:rFonts w:eastAsia="Arial"/>
        </w:rPr>
      </w:pPr>
      <w:r w:rsidRPr="2BAD2824">
        <w:t xml:space="preserve">The forecasts prepared for the </w:t>
      </w:r>
      <w:r w:rsidR="00DA2085" w:rsidRPr="2BAD2824">
        <w:t>B</w:t>
      </w:r>
      <w:r w:rsidRPr="2BAD2824">
        <w:t>udget are based on the latest available information. These forecasts are predictions about the future and the actual results may change as unknown events unfold. The extent of the variation will depend on the weighting accorded to each macroeconomic variable when forecasting the tax in question. Table B.1 summarises these weightings.</w:t>
      </w:r>
    </w:p>
    <w:p w14:paraId="3C499C2C" w14:textId="6ABE0882" w:rsidR="00650CF8" w:rsidRDefault="00650CF8" w:rsidP="0024246B">
      <w:pPr>
        <w:pStyle w:val="TableBX"/>
      </w:pPr>
      <w:r w:rsidRPr="5BBA932E">
        <w:t>Forecasting revenue –</w:t>
      </w:r>
      <w:r>
        <w:t xml:space="preserve"> W</w:t>
      </w:r>
      <w:r w:rsidRPr="5BBA932E">
        <w:t>hat</w:t>
      </w:r>
      <w:r>
        <w:t xml:space="preserve"> weighting </w:t>
      </w:r>
      <w:r w:rsidRPr="5BBA932E">
        <w:t xml:space="preserve">is </w:t>
      </w:r>
      <w:r>
        <w:t xml:space="preserve">given to </w:t>
      </w:r>
      <w:r w:rsidRPr="5BBA932E">
        <w:t>different</w:t>
      </w:r>
      <w:r>
        <w:t xml:space="preserve"> variables</w:t>
      </w:r>
      <w:r w:rsidR="00174D6A" w:rsidRPr="00350587">
        <w:rPr>
          <w:vertAlign w:val="superscript"/>
        </w:rPr>
        <w:t>(a)(b)</w:t>
      </w:r>
    </w:p>
    <w:tbl>
      <w:tblPr>
        <w:tblW w:w="9639" w:type="dxa"/>
        <w:tblLayout w:type="fixed"/>
        <w:tblLook w:val="06A0" w:firstRow="1" w:lastRow="0" w:firstColumn="1" w:lastColumn="0" w:noHBand="1" w:noVBand="1"/>
        <w:tblCaption w:val="Table B.1:  Forecasting revenue – What weighting is given to different variables"/>
        <w:tblDescription w:val="Table B.1:  Forecasting revenue – What weighting is given to different variables"/>
      </w:tblPr>
      <w:tblGrid>
        <w:gridCol w:w="1701"/>
        <w:gridCol w:w="1013"/>
        <w:gridCol w:w="1154"/>
        <w:gridCol w:w="1094"/>
        <w:gridCol w:w="1134"/>
        <w:gridCol w:w="992"/>
        <w:gridCol w:w="1134"/>
        <w:gridCol w:w="1417"/>
      </w:tblGrid>
      <w:tr w:rsidR="00E711EC" w:rsidRPr="00E711EC" w14:paraId="7768D830" w14:textId="77777777" w:rsidTr="00350587">
        <w:trPr>
          <w:trHeight w:val="283"/>
        </w:trPr>
        <w:tc>
          <w:tcPr>
            <w:tcW w:w="1701" w:type="dxa"/>
            <w:shd w:val="clear" w:color="auto" w:fill="EBEBEB"/>
          </w:tcPr>
          <w:p w14:paraId="6EF90EFC" w14:textId="77777777" w:rsidR="00650CF8" w:rsidRPr="00367CD6" w:rsidRDefault="00650CF8" w:rsidP="00703770">
            <w:pPr>
              <w:rPr>
                <w:rFonts w:ascii="Public Sans" w:eastAsia="Arial" w:hAnsi="Public Sans" w:cs="Arial"/>
                <w:sz w:val="17"/>
                <w:szCs w:val="17"/>
              </w:rPr>
            </w:pPr>
          </w:p>
        </w:tc>
        <w:tc>
          <w:tcPr>
            <w:tcW w:w="7938" w:type="dxa"/>
            <w:gridSpan w:val="7"/>
            <w:shd w:val="clear" w:color="auto" w:fill="EBEBEB"/>
            <w:vAlign w:val="bottom"/>
          </w:tcPr>
          <w:p w14:paraId="63C0D2EE" w14:textId="77777777" w:rsidR="00650CF8" w:rsidRPr="00367CD6" w:rsidRDefault="00650CF8" w:rsidP="00146A09">
            <w:pPr>
              <w:jc w:val="center"/>
              <w:rPr>
                <w:rFonts w:ascii="Public Sans" w:eastAsia="Arial" w:hAnsi="Public Sans" w:cs="Arial"/>
                <w:sz w:val="17"/>
                <w:szCs w:val="17"/>
              </w:rPr>
            </w:pPr>
            <w:r w:rsidRPr="00367CD6">
              <w:rPr>
                <w:rFonts w:ascii="Public Sans" w:eastAsia="Arial" w:hAnsi="Public Sans" w:cs="Arial"/>
                <w:sz w:val="17"/>
                <w:szCs w:val="17"/>
              </w:rPr>
              <w:t>Forecast weightings</w:t>
            </w:r>
          </w:p>
        </w:tc>
      </w:tr>
      <w:tr w:rsidR="00E711EC" w:rsidRPr="00E711EC" w14:paraId="0805CD10" w14:textId="77777777" w:rsidTr="00620ED9">
        <w:trPr>
          <w:trHeight w:val="510"/>
        </w:trPr>
        <w:tc>
          <w:tcPr>
            <w:tcW w:w="1701" w:type="dxa"/>
            <w:shd w:val="clear" w:color="auto" w:fill="EBEBEB"/>
            <w:vAlign w:val="bottom"/>
          </w:tcPr>
          <w:p w14:paraId="0C3AA094" w14:textId="2F1AB96E" w:rsidR="00650CF8" w:rsidRPr="00367CD6" w:rsidRDefault="00650CF8" w:rsidP="0062255E">
            <w:pPr>
              <w:jc w:val="center"/>
              <w:rPr>
                <w:rFonts w:ascii="Public Sans" w:hAnsi="Public Sans"/>
                <w:sz w:val="17"/>
                <w:szCs w:val="17"/>
              </w:rPr>
            </w:pPr>
          </w:p>
        </w:tc>
        <w:tc>
          <w:tcPr>
            <w:tcW w:w="1013" w:type="dxa"/>
            <w:shd w:val="clear" w:color="auto" w:fill="EBEBEB"/>
            <w:vAlign w:val="center"/>
          </w:tcPr>
          <w:p w14:paraId="402EFA0C" w14:textId="77777777" w:rsidR="00650CF8" w:rsidRPr="00367CD6" w:rsidRDefault="00650CF8" w:rsidP="00E97692">
            <w:pPr>
              <w:jc w:val="center"/>
              <w:rPr>
                <w:rFonts w:ascii="Public Sans" w:eastAsia="Arial" w:hAnsi="Public Sans" w:cs="Arial"/>
                <w:sz w:val="17"/>
                <w:szCs w:val="17"/>
              </w:rPr>
            </w:pPr>
            <w:r w:rsidRPr="00367CD6">
              <w:rPr>
                <w:rFonts w:ascii="Public Sans" w:eastAsia="Arial" w:hAnsi="Public Sans" w:cs="Arial"/>
                <w:sz w:val="17"/>
                <w:szCs w:val="17"/>
              </w:rPr>
              <w:t>GST</w:t>
            </w:r>
          </w:p>
        </w:tc>
        <w:tc>
          <w:tcPr>
            <w:tcW w:w="1154" w:type="dxa"/>
            <w:shd w:val="clear" w:color="auto" w:fill="EBEBEB"/>
            <w:vAlign w:val="center"/>
          </w:tcPr>
          <w:p w14:paraId="653B859C" w14:textId="77777777" w:rsidR="00650CF8" w:rsidRPr="00367CD6" w:rsidRDefault="00650CF8" w:rsidP="00E97692">
            <w:pPr>
              <w:jc w:val="center"/>
              <w:rPr>
                <w:rFonts w:ascii="Public Sans" w:eastAsia="Arial" w:hAnsi="Public Sans" w:cs="Arial"/>
                <w:sz w:val="17"/>
                <w:szCs w:val="17"/>
              </w:rPr>
            </w:pPr>
            <w:r w:rsidRPr="00367CD6">
              <w:rPr>
                <w:rFonts w:ascii="Public Sans" w:eastAsia="Arial" w:hAnsi="Public Sans" w:cs="Arial"/>
                <w:sz w:val="17"/>
                <w:szCs w:val="17"/>
              </w:rPr>
              <w:t>Payroll tax</w:t>
            </w:r>
          </w:p>
        </w:tc>
        <w:tc>
          <w:tcPr>
            <w:tcW w:w="1094" w:type="dxa"/>
            <w:shd w:val="clear" w:color="auto" w:fill="EBEBEB"/>
            <w:vAlign w:val="center"/>
          </w:tcPr>
          <w:p w14:paraId="3781970D" w14:textId="77777777" w:rsidR="00650CF8" w:rsidRPr="00367CD6" w:rsidRDefault="00650CF8" w:rsidP="00E97692">
            <w:pPr>
              <w:jc w:val="center"/>
              <w:rPr>
                <w:rFonts w:ascii="Public Sans" w:eastAsia="Arial" w:hAnsi="Public Sans" w:cs="Arial"/>
                <w:sz w:val="17"/>
                <w:szCs w:val="17"/>
              </w:rPr>
            </w:pPr>
            <w:r w:rsidRPr="00367CD6">
              <w:rPr>
                <w:rFonts w:ascii="Public Sans" w:eastAsia="Arial" w:hAnsi="Public Sans" w:cs="Arial"/>
                <w:sz w:val="17"/>
                <w:szCs w:val="17"/>
              </w:rPr>
              <w:t>Transfer duty</w:t>
            </w:r>
          </w:p>
        </w:tc>
        <w:tc>
          <w:tcPr>
            <w:tcW w:w="1134" w:type="dxa"/>
            <w:shd w:val="clear" w:color="auto" w:fill="EBEBEB"/>
            <w:vAlign w:val="center"/>
          </w:tcPr>
          <w:p w14:paraId="018C9E5A" w14:textId="77777777" w:rsidR="00650CF8" w:rsidRPr="00367CD6" w:rsidRDefault="00650CF8" w:rsidP="00E97692">
            <w:pPr>
              <w:jc w:val="center"/>
              <w:rPr>
                <w:rFonts w:ascii="Public Sans" w:eastAsia="Arial" w:hAnsi="Public Sans" w:cs="Arial"/>
                <w:sz w:val="17"/>
                <w:szCs w:val="17"/>
              </w:rPr>
            </w:pPr>
            <w:r w:rsidRPr="00367CD6">
              <w:rPr>
                <w:rFonts w:ascii="Public Sans" w:eastAsia="Arial" w:hAnsi="Public Sans" w:cs="Arial"/>
                <w:sz w:val="17"/>
                <w:szCs w:val="17"/>
              </w:rPr>
              <w:t>Mineral royalties</w:t>
            </w:r>
          </w:p>
        </w:tc>
        <w:tc>
          <w:tcPr>
            <w:tcW w:w="992" w:type="dxa"/>
            <w:shd w:val="clear" w:color="auto" w:fill="EBEBEB"/>
            <w:vAlign w:val="center"/>
          </w:tcPr>
          <w:p w14:paraId="0AA380E5" w14:textId="77777777" w:rsidR="00650CF8" w:rsidRPr="00367CD6" w:rsidRDefault="00650CF8" w:rsidP="00E97692">
            <w:pPr>
              <w:jc w:val="center"/>
              <w:rPr>
                <w:rFonts w:ascii="Public Sans" w:eastAsia="Arial" w:hAnsi="Public Sans" w:cs="Arial"/>
                <w:sz w:val="17"/>
                <w:szCs w:val="17"/>
              </w:rPr>
            </w:pPr>
            <w:r w:rsidRPr="00367CD6">
              <w:rPr>
                <w:rFonts w:ascii="Public Sans" w:eastAsia="Arial" w:hAnsi="Public Sans" w:cs="Arial"/>
                <w:sz w:val="17"/>
                <w:szCs w:val="17"/>
              </w:rPr>
              <w:t>Land tax</w:t>
            </w:r>
          </w:p>
        </w:tc>
        <w:tc>
          <w:tcPr>
            <w:tcW w:w="1134" w:type="dxa"/>
            <w:shd w:val="clear" w:color="auto" w:fill="EBEBEB"/>
            <w:vAlign w:val="center"/>
          </w:tcPr>
          <w:p w14:paraId="3D948C63" w14:textId="77777777" w:rsidR="00650CF8" w:rsidRPr="00367CD6" w:rsidRDefault="00650CF8" w:rsidP="00E97692">
            <w:pPr>
              <w:jc w:val="center"/>
              <w:rPr>
                <w:rFonts w:ascii="Public Sans" w:eastAsia="Arial" w:hAnsi="Public Sans" w:cs="Arial"/>
                <w:sz w:val="17"/>
                <w:szCs w:val="17"/>
              </w:rPr>
            </w:pPr>
            <w:r w:rsidRPr="00367CD6">
              <w:rPr>
                <w:rFonts w:ascii="Public Sans" w:eastAsia="Arial" w:hAnsi="Public Sans" w:cs="Arial"/>
                <w:sz w:val="17"/>
                <w:szCs w:val="17"/>
              </w:rPr>
              <w:t>Gambling taxes</w:t>
            </w:r>
          </w:p>
        </w:tc>
        <w:tc>
          <w:tcPr>
            <w:tcW w:w="1417" w:type="dxa"/>
            <w:shd w:val="clear" w:color="auto" w:fill="EBEBEB"/>
            <w:vAlign w:val="center"/>
          </w:tcPr>
          <w:p w14:paraId="06DA83FA" w14:textId="77777777" w:rsidR="00650CF8" w:rsidRPr="00367CD6" w:rsidRDefault="00650CF8" w:rsidP="00E97692">
            <w:pPr>
              <w:jc w:val="center"/>
              <w:rPr>
                <w:rFonts w:ascii="Public Sans" w:eastAsia="Arial" w:hAnsi="Public Sans" w:cs="Arial"/>
                <w:sz w:val="17"/>
                <w:szCs w:val="17"/>
              </w:rPr>
            </w:pPr>
            <w:r w:rsidRPr="00367CD6">
              <w:rPr>
                <w:rFonts w:ascii="Public Sans" w:eastAsia="Arial" w:hAnsi="Public Sans" w:cs="Arial"/>
                <w:sz w:val="17"/>
                <w:szCs w:val="17"/>
              </w:rPr>
              <w:t>Motor vehicle taxes</w:t>
            </w:r>
          </w:p>
        </w:tc>
      </w:tr>
      <w:tr w:rsidR="00650CF8" w:rsidRPr="00D0081E" w14:paraId="380F8DA1" w14:textId="77777777" w:rsidTr="00350587">
        <w:trPr>
          <w:trHeight w:val="283"/>
        </w:trPr>
        <w:tc>
          <w:tcPr>
            <w:tcW w:w="1701" w:type="dxa"/>
            <w:vAlign w:val="center"/>
          </w:tcPr>
          <w:p w14:paraId="61989DFA" w14:textId="77777777" w:rsidR="00650CF8" w:rsidRPr="00D0081E" w:rsidRDefault="00650CF8" w:rsidP="00D0081E">
            <w:pPr>
              <w:ind w:right="-113"/>
              <w:rPr>
                <w:rFonts w:ascii="Public Sans" w:hAnsi="Public Sans" w:cs="Arial"/>
                <w:sz w:val="16"/>
                <w:szCs w:val="16"/>
              </w:rPr>
            </w:pPr>
            <w:r w:rsidRPr="00D0081E">
              <w:rPr>
                <w:rFonts w:ascii="Public Sans" w:eastAsia="Arial" w:hAnsi="Public Sans" w:cs="Arial"/>
                <w:sz w:val="16"/>
                <w:szCs w:val="16"/>
              </w:rPr>
              <w:t>Employment</w:t>
            </w:r>
          </w:p>
        </w:tc>
        <w:tc>
          <w:tcPr>
            <w:tcW w:w="1013" w:type="dxa"/>
            <w:vAlign w:val="center"/>
          </w:tcPr>
          <w:p w14:paraId="36F15E61"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Medium</w:t>
            </w:r>
          </w:p>
        </w:tc>
        <w:tc>
          <w:tcPr>
            <w:tcW w:w="1154" w:type="dxa"/>
            <w:vAlign w:val="center"/>
          </w:tcPr>
          <w:p w14:paraId="64BE91EB"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High</w:t>
            </w:r>
          </w:p>
        </w:tc>
        <w:tc>
          <w:tcPr>
            <w:tcW w:w="1094" w:type="dxa"/>
            <w:vAlign w:val="center"/>
          </w:tcPr>
          <w:p w14:paraId="7DF0C6AC"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N/A</w:t>
            </w:r>
          </w:p>
        </w:tc>
        <w:tc>
          <w:tcPr>
            <w:tcW w:w="1134" w:type="dxa"/>
            <w:vAlign w:val="center"/>
          </w:tcPr>
          <w:p w14:paraId="1902C0AE" w14:textId="77777777" w:rsidR="00650CF8" w:rsidRPr="0077636B" w:rsidRDefault="00650CF8" w:rsidP="00703770">
            <w:pPr>
              <w:jc w:val="center"/>
              <w:rPr>
                <w:rFonts w:ascii="Public Sans" w:eastAsia="Calibri" w:hAnsi="Public Sans" w:cs="Arial"/>
                <w:sz w:val="16"/>
                <w:szCs w:val="16"/>
              </w:rPr>
            </w:pPr>
            <w:r w:rsidRPr="0077636B">
              <w:rPr>
                <w:rFonts w:ascii="Public Sans" w:eastAsia="Arial" w:hAnsi="Public Sans" w:cs="Arial"/>
                <w:sz w:val="16"/>
                <w:szCs w:val="16"/>
              </w:rPr>
              <w:t>N</w:t>
            </w:r>
            <w:r w:rsidRPr="0077636B">
              <w:rPr>
                <w:rFonts w:ascii="Public Sans" w:eastAsia="Calibri" w:hAnsi="Public Sans" w:cs="Arial"/>
                <w:sz w:val="16"/>
                <w:szCs w:val="16"/>
              </w:rPr>
              <w:t>/A</w:t>
            </w:r>
          </w:p>
        </w:tc>
        <w:tc>
          <w:tcPr>
            <w:tcW w:w="992" w:type="dxa"/>
            <w:vAlign w:val="center"/>
          </w:tcPr>
          <w:p w14:paraId="19A680FF"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N/A</w:t>
            </w:r>
          </w:p>
        </w:tc>
        <w:tc>
          <w:tcPr>
            <w:tcW w:w="1134" w:type="dxa"/>
            <w:vAlign w:val="center"/>
          </w:tcPr>
          <w:p w14:paraId="23AF6971"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Medium</w:t>
            </w:r>
          </w:p>
        </w:tc>
        <w:tc>
          <w:tcPr>
            <w:tcW w:w="1417" w:type="dxa"/>
            <w:vAlign w:val="center"/>
          </w:tcPr>
          <w:p w14:paraId="1B6CCD60"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High</w:t>
            </w:r>
          </w:p>
        </w:tc>
      </w:tr>
      <w:tr w:rsidR="00650CF8" w:rsidRPr="00D0081E" w14:paraId="25031857" w14:textId="77777777" w:rsidTr="00350587">
        <w:trPr>
          <w:trHeight w:val="283"/>
        </w:trPr>
        <w:tc>
          <w:tcPr>
            <w:tcW w:w="1701" w:type="dxa"/>
            <w:vAlign w:val="center"/>
          </w:tcPr>
          <w:p w14:paraId="47B92457" w14:textId="77777777" w:rsidR="00650CF8" w:rsidRPr="00D0081E" w:rsidRDefault="00650CF8" w:rsidP="00D0081E">
            <w:pPr>
              <w:ind w:right="-113"/>
              <w:rPr>
                <w:rFonts w:ascii="Public Sans" w:hAnsi="Public Sans" w:cs="Arial"/>
                <w:sz w:val="16"/>
                <w:szCs w:val="16"/>
              </w:rPr>
            </w:pPr>
            <w:r w:rsidRPr="00D0081E">
              <w:rPr>
                <w:rFonts w:ascii="Public Sans" w:eastAsia="Arial" w:hAnsi="Public Sans" w:cs="Arial"/>
                <w:sz w:val="16"/>
                <w:szCs w:val="16"/>
              </w:rPr>
              <w:t>Wages</w:t>
            </w:r>
          </w:p>
        </w:tc>
        <w:tc>
          <w:tcPr>
            <w:tcW w:w="1013" w:type="dxa"/>
            <w:vAlign w:val="center"/>
          </w:tcPr>
          <w:p w14:paraId="24B4090E"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Medium</w:t>
            </w:r>
          </w:p>
        </w:tc>
        <w:tc>
          <w:tcPr>
            <w:tcW w:w="1154" w:type="dxa"/>
            <w:vAlign w:val="center"/>
          </w:tcPr>
          <w:p w14:paraId="29CC23B2"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High</w:t>
            </w:r>
          </w:p>
        </w:tc>
        <w:tc>
          <w:tcPr>
            <w:tcW w:w="1094" w:type="dxa"/>
            <w:vAlign w:val="center"/>
          </w:tcPr>
          <w:p w14:paraId="178233B1"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N/A</w:t>
            </w:r>
          </w:p>
        </w:tc>
        <w:tc>
          <w:tcPr>
            <w:tcW w:w="1134" w:type="dxa"/>
            <w:vAlign w:val="center"/>
          </w:tcPr>
          <w:p w14:paraId="7905C079" w14:textId="77777777" w:rsidR="00650CF8" w:rsidRPr="0077636B" w:rsidRDefault="00650CF8" w:rsidP="00703770">
            <w:pPr>
              <w:jc w:val="center"/>
              <w:rPr>
                <w:rFonts w:ascii="Public Sans" w:eastAsia="Calibri" w:hAnsi="Public Sans" w:cs="Arial"/>
                <w:sz w:val="16"/>
                <w:szCs w:val="16"/>
              </w:rPr>
            </w:pPr>
            <w:r w:rsidRPr="0077636B">
              <w:rPr>
                <w:rFonts w:ascii="Public Sans" w:eastAsia="Arial" w:hAnsi="Public Sans" w:cs="Arial"/>
                <w:sz w:val="16"/>
                <w:szCs w:val="16"/>
              </w:rPr>
              <w:t>N</w:t>
            </w:r>
            <w:r w:rsidRPr="0077636B">
              <w:rPr>
                <w:rFonts w:ascii="Public Sans" w:eastAsia="Calibri" w:hAnsi="Public Sans" w:cs="Arial"/>
                <w:sz w:val="16"/>
                <w:szCs w:val="16"/>
              </w:rPr>
              <w:t>/A</w:t>
            </w:r>
          </w:p>
        </w:tc>
        <w:tc>
          <w:tcPr>
            <w:tcW w:w="992" w:type="dxa"/>
            <w:vAlign w:val="center"/>
          </w:tcPr>
          <w:p w14:paraId="6CB5E47B"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N/A</w:t>
            </w:r>
          </w:p>
        </w:tc>
        <w:tc>
          <w:tcPr>
            <w:tcW w:w="1134" w:type="dxa"/>
            <w:vAlign w:val="center"/>
          </w:tcPr>
          <w:p w14:paraId="190B2CB6"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Medium</w:t>
            </w:r>
          </w:p>
        </w:tc>
        <w:tc>
          <w:tcPr>
            <w:tcW w:w="1417" w:type="dxa"/>
            <w:vAlign w:val="center"/>
          </w:tcPr>
          <w:p w14:paraId="5CBEF67E"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Medium</w:t>
            </w:r>
          </w:p>
        </w:tc>
      </w:tr>
      <w:tr w:rsidR="00650CF8" w:rsidRPr="00D0081E" w14:paraId="01D69D69" w14:textId="77777777" w:rsidTr="00350587">
        <w:trPr>
          <w:trHeight w:val="283"/>
        </w:trPr>
        <w:tc>
          <w:tcPr>
            <w:tcW w:w="1701" w:type="dxa"/>
            <w:vAlign w:val="center"/>
          </w:tcPr>
          <w:p w14:paraId="02C98FE9" w14:textId="77777777" w:rsidR="00650CF8" w:rsidRPr="00D0081E" w:rsidRDefault="00650CF8" w:rsidP="00D0081E">
            <w:pPr>
              <w:ind w:right="-113"/>
              <w:rPr>
                <w:rFonts w:ascii="Public Sans" w:hAnsi="Public Sans" w:cs="Arial"/>
                <w:sz w:val="16"/>
                <w:szCs w:val="16"/>
              </w:rPr>
            </w:pPr>
            <w:r w:rsidRPr="00D0081E">
              <w:rPr>
                <w:rFonts w:ascii="Public Sans" w:eastAsia="Arial" w:hAnsi="Public Sans" w:cs="Arial"/>
                <w:sz w:val="16"/>
                <w:szCs w:val="16"/>
              </w:rPr>
              <w:t>Consumption</w:t>
            </w:r>
          </w:p>
        </w:tc>
        <w:tc>
          <w:tcPr>
            <w:tcW w:w="1013" w:type="dxa"/>
            <w:vAlign w:val="center"/>
          </w:tcPr>
          <w:p w14:paraId="09A28A01"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High</w:t>
            </w:r>
          </w:p>
        </w:tc>
        <w:tc>
          <w:tcPr>
            <w:tcW w:w="1154" w:type="dxa"/>
            <w:vAlign w:val="center"/>
          </w:tcPr>
          <w:p w14:paraId="3B951039" w14:textId="77777777" w:rsidR="00650CF8" w:rsidRPr="0077636B" w:rsidRDefault="00650CF8" w:rsidP="00703770">
            <w:pPr>
              <w:jc w:val="center"/>
              <w:rPr>
                <w:rFonts w:ascii="Public Sans" w:eastAsia="Calibri" w:hAnsi="Public Sans" w:cs="Arial"/>
                <w:sz w:val="16"/>
                <w:szCs w:val="16"/>
              </w:rPr>
            </w:pPr>
            <w:r w:rsidRPr="0077636B">
              <w:rPr>
                <w:rFonts w:ascii="Public Sans" w:eastAsia="Arial" w:hAnsi="Public Sans" w:cs="Arial"/>
                <w:sz w:val="16"/>
                <w:szCs w:val="16"/>
              </w:rPr>
              <w:t>N</w:t>
            </w:r>
            <w:r w:rsidRPr="0077636B">
              <w:rPr>
                <w:rFonts w:ascii="Public Sans" w:eastAsia="Calibri" w:hAnsi="Public Sans" w:cs="Arial"/>
                <w:sz w:val="16"/>
                <w:szCs w:val="16"/>
              </w:rPr>
              <w:t>/A</w:t>
            </w:r>
          </w:p>
        </w:tc>
        <w:tc>
          <w:tcPr>
            <w:tcW w:w="1094" w:type="dxa"/>
            <w:vAlign w:val="center"/>
          </w:tcPr>
          <w:p w14:paraId="609C2C98"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N/A</w:t>
            </w:r>
          </w:p>
        </w:tc>
        <w:tc>
          <w:tcPr>
            <w:tcW w:w="1134" w:type="dxa"/>
            <w:vAlign w:val="center"/>
          </w:tcPr>
          <w:p w14:paraId="6267A23A" w14:textId="77777777" w:rsidR="00650CF8" w:rsidRPr="0077636B" w:rsidRDefault="00650CF8" w:rsidP="00703770">
            <w:pPr>
              <w:jc w:val="center"/>
              <w:rPr>
                <w:rFonts w:ascii="Public Sans" w:eastAsia="Calibri" w:hAnsi="Public Sans" w:cs="Arial"/>
                <w:sz w:val="16"/>
                <w:szCs w:val="16"/>
              </w:rPr>
            </w:pPr>
            <w:r w:rsidRPr="0077636B">
              <w:rPr>
                <w:rFonts w:ascii="Public Sans" w:eastAsia="Arial" w:hAnsi="Public Sans" w:cs="Arial"/>
                <w:sz w:val="16"/>
                <w:szCs w:val="16"/>
              </w:rPr>
              <w:t>N</w:t>
            </w:r>
            <w:r w:rsidRPr="0077636B">
              <w:rPr>
                <w:rFonts w:ascii="Public Sans" w:eastAsia="Calibri" w:hAnsi="Public Sans" w:cs="Arial"/>
                <w:sz w:val="16"/>
                <w:szCs w:val="16"/>
              </w:rPr>
              <w:t>/A</w:t>
            </w:r>
          </w:p>
        </w:tc>
        <w:tc>
          <w:tcPr>
            <w:tcW w:w="992" w:type="dxa"/>
            <w:vAlign w:val="center"/>
          </w:tcPr>
          <w:p w14:paraId="3CC77133"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N/A</w:t>
            </w:r>
          </w:p>
        </w:tc>
        <w:tc>
          <w:tcPr>
            <w:tcW w:w="1134" w:type="dxa"/>
            <w:vAlign w:val="center"/>
          </w:tcPr>
          <w:p w14:paraId="4A4E7B1B"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High</w:t>
            </w:r>
          </w:p>
        </w:tc>
        <w:tc>
          <w:tcPr>
            <w:tcW w:w="1417" w:type="dxa"/>
            <w:vAlign w:val="center"/>
          </w:tcPr>
          <w:p w14:paraId="3FD5A2E2"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Medium</w:t>
            </w:r>
          </w:p>
        </w:tc>
      </w:tr>
      <w:tr w:rsidR="00650CF8" w:rsidRPr="00D0081E" w14:paraId="65E55381" w14:textId="77777777" w:rsidTr="00350587">
        <w:trPr>
          <w:trHeight w:val="283"/>
        </w:trPr>
        <w:tc>
          <w:tcPr>
            <w:tcW w:w="1701" w:type="dxa"/>
            <w:vAlign w:val="center"/>
          </w:tcPr>
          <w:p w14:paraId="21616870" w14:textId="77777777" w:rsidR="00650CF8" w:rsidRPr="00D0081E" w:rsidRDefault="00650CF8" w:rsidP="00D0081E">
            <w:pPr>
              <w:ind w:right="-113"/>
              <w:rPr>
                <w:rFonts w:ascii="Public Sans" w:hAnsi="Public Sans" w:cs="Arial"/>
                <w:sz w:val="16"/>
                <w:szCs w:val="16"/>
              </w:rPr>
            </w:pPr>
            <w:r w:rsidRPr="00D0081E">
              <w:rPr>
                <w:rFonts w:ascii="Public Sans" w:eastAsia="Arial" w:hAnsi="Public Sans" w:cs="Arial"/>
                <w:sz w:val="16"/>
                <w:szCs w:val="16"/>
              </w:rPr>
              <w:t>Dwelling investment</w:t>
            </w:r>
          </w:p>
        </w:tc>
        <w:tc>
          <w:tcPr>
            <w:tcW w:w="1013" w:type="dxa"/>
            <w:vAlign w:val="center"/>
          </w:tcPr>
          <w:p w14:paraId="30F0595F"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High</w:t>
            </w:r>
          </w:p>
        </w:tc>
        <w:tc>
          <w:tcPr>
            <w:tcW w:w="1154" w:type="dxa"/>
            <w:vAlign w:val="center"/>
          </w:tcPr>
          <w:p w14:paraId="0FA16356" w14:textId="77777777" w:rsidR="00650CF8" w:rsidRPr="0077636B" w:rsidRDefault="00650CF8" w:rsidP="00703770">
            <w:pPr>
              <w:jc w:val="center"/>
              <w:rPr>
                <w:rFonts w:ascii="Public Sans" w:eastAsia="Calibri" w:hAnsi="Public Sans" w:cs="Arial"/>
                <w:sz w:val="16"/>
                <w:szCs w:val="16"/>
              </w:rPr>
            </w:pPr>
            <w:r w:rsidRPr="0077636B">
              <w:rPr>
                <w:rFonts w:ascii="Public Sans" w:eastAsia="Arial" w:hAnsi="Public Sans" w:cs="Arial"/>
                <w:sz w:val="16"/>
                <w:szCs w:val="16"/>
              </w:rPr>
              <w:t>N</w:t>
            </w:r>
            <w:r w:rsidRPr="0077636B">
              <w:rPr>
                <w:rFonts w:ascii="Public Sans" w:eastAsia="Calibri" w:hAnsi="Public Sans" w:cs="Arial"/>
                <w:sz w:val="16"/>
                <w:szCs w:val="16"/>
              </w:rPr>
              <w:t>/A</w:t>
            </w:r>
          </w:p>
        </w:tc>
        <w:tc>
          <w:tcPr>
            <w:tcW w:w="1094" w:type="dxa"/>
            <w:vAlign w:val="center"/>
          </w:tcPr>
          <w:p w14:paraId="3D6C9B35"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Medium</w:t>
            </w:r>
          </w:p>
        </w:tc>
        <w:tc>
          <w:tcPr>
            <w:tcW w:w="1134" w:type="dxa"/>
            <w:vAlign w:val="center"/>
          </w:tcPr>
          <w:p w14:paraId="0A8B063E" w14:textId="77777777" w:rsidR="00650CF8" w:rsidRPr="0077636B" w:rsidRDefault="00650CF8" w:rsidP="00703770">
            <w:pPr>
              <w:jc w:val="center"/>
              <w:rPr>
                <w:rFonts w:ascii="Public Sans" w:eastAsia="Calibri" w:hAnsi="Public Sans" w:cs="Arial"/>
                <w:sz w:val="16"/>
                <w:szCs w:val="16"/>
              </w:rPr>
            </w:pPr>
            <w:r w:rsidRPr="0077636B">
              <w:rPr>
                <w:rFonts w:ascii="Public Sans" w:eastAsia="Arial" w:hAnsi="Public Sans" w:cs="Arial"/>
                <w:sz w:val="16"/>
                <w:szCs w:val="16"/>
              </w:rPr>
              <w:t>N</w:t>
            </w:r>
            <w:r w:rsidRPr="0077636B">
              <w:rPr>
                <w:rFonts w:ascii="Public Sans" w:eastAsia="Calibri" w:hAnsi="Public Sans" w:cs="Arial"/>
                <w:sz w:val="16"/>
                <w:szCs w:val="16"/>
              </w:rPr>
              <w:t>/A</w:t>
            </w:r>
          </w:p>
        </w:tc>
        <w:tc>
          <w:tcPr>
            <w:tcW w:w="992" w:type="dxa"/>
            <w:vAlign w:val="center"/>
          </w:tcPr>
          <w:p w14:paraId="127B1EAA"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N/A</w:t>
            </w:r>
          </w:p>
        </w:tc>
        <w:tc>
          <w:tcPr>
            <w:tcW w:w="1134" w:type="dxa"/>
            <w:vAlign w:val="center"/>
          </w:tcPr>
          <w:p w14:paraId="185424B2"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N/A</w:t>
            </w:r>
          </w:p>
        </w:tc>
        <w:tc>
          <w:tcPr>
            <w:tcW w:w="1417" w:type="dxa"/>
            <w:vAlign w:val="center"/>
          </w:tcPr>
          <w:p w14:paraId="6F107855"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N/A</w:t>
            </w:r>
          </w:p>
        </w:tc>
      </w:tr>
      <w:tr w:rsidR="00650CF8" w:rsidRPr="00D0081E" w14:paraId="465CA073" w14:textId="77777777" w:rsidTr="00350587">
        <w:trPr>
          <w:trHeight w:val="283"/>
        </w:trPr>
        <w:tc>
          <w:tcPr>
            <w:tcW w:w="1701" w:type="dxa"/>
            <w:vAlign w:val="center"/>
          </w:tcPr>
          <w:p w14:paraId="29C17B2B" w14:textId="77777777" w:rsidR="00650CF8" w:rsidRPr="00D0081E" w:rsidRDefault="00650CF8" w:rsidP="00D0081E">
            <w:pPr>
              <w:ind w:right="-113"/>
              <w:rPr>
                <w:rFonts w:ascii="Public Sans" w:hAnsi="Public Sans" w:cs="Arial"/>
                <w:sz w:val="16"/>
                <w:szCs w:val="16"/>
              </w:rPr>
            </w:pPr>
            <w:r w:rsidRPr="00D0081E">
              <w:rPr>
                <w:rFonts w:ascii="Public Sans" w:eastAsia="Arial" w:hAnsi="Public Sans" w:cs="Arial"/>
                <w:sz w:val="16"/>
                <w:szCs w:val="16"/>
              </w:rPr>
              <w:t>Dwelling prices</w:t>
            </w:r>
          </w:p>
        </w:tc>
        <w:tc>
          <w:tcPr>
            <w:tcW w:w="1013" w:type="dxa"/>
            <w:vAlign w:val="center"/>
          </w:tcPr>
          <w:p w14:paraId="7E9EEB65"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Low</w:t>
            </w:r>
          </w:p>
        </w:tc>
        <w:tc>
          <w:tcPr>
            <w:tcW w:w="1154" w:type="dxa"/>
            <w:vAlign w:val="center"/>
          </w:tcPr>
          <w:p w14:paraId="31B98C89" w14:textId="77777777" w:rsidR="00650CF8" w:rsidRPr="0077636B" w:rsidRDefault="00650CF8" w:rsidP="00703770">
            <w:pPr>
              <w:jc w:val="center"/>
              <w:rPr>
                <w:rFonts w:ascii="Public Sans" w:eastAsia="Calibri" w:hAnsi="Public Sans" w:cs="Arial"/>
                <w:sz w:val="16"/>
                <w:szCs w:val="16"/>
              </w:rPr>
            </w:pPr>
            <w:r w:rsidRPr="0077636B">
              <w:rPr>
                <w:rFonts w:ascii="Public Sans" w:eastAsia="Arial" w:hAnsi="Public Sans" w:cs="Arial"/>
                <w:sz w:val="16"/>
                <w:szCs w:val="16"/>
              </w:rPr>
              <w:t>N</w:t>
            </w:r>
            <w:r w:rsidRPr="0077636B">
              <w:rPr>
                <w:rFonts w:ascii="Public Sans" w:eastAsia="Calibri" w:hAnsi="Public Sans" w:cs="Arial"/>
                <w:sz w:val="16"/>
                <w:szCs w:val="16"/>
              </w:rPr>
              <w:t>/A</w:t>
            </w:r>
          </w:p>
        </w:tc>
        <w:tc>
          <w:tcPr>
            <w:tcW w:w="1094" w:type="dxa"/>
            <w:vAlign w:val="center"/>
          </w:tcPr>
          <w:p w14:paraId="36512D93"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High</w:t>
            </w:r>
          </w:p>
        </w:tc>
        <w:tc>
          <w:tcPr>
            <w:tcW w:w="1134" w:type="dxa"/>
            <w:vAlign w:val="center"/>
          </w:tcPr>
          <w:p w14:paraId="634E3705" w14:textId="77777777" w:rsidR="00650CF8" w:rsidRPr="0077636B" w:rsidRDefault="00650CF8" w:rsidP="00703770">
            <w:pPr>
              <w:jc w:val="center"/>
              <w:rPr>
                <w:rFonts w:ascii="Public Sans" w:eastAsia="Calibri" w:hAnsi="Public Sans" w:cs="Arial"/>
                <w:sz w:val="16"/>
                <w:szCs w:val="16"/>
              </w:rPr>
            </w:pPr>
            <w:r w:rsidRPr="0077636B">
              <w:rPr>
                <w:rFonts w:ascii="Public Sans" w:eastAsia="Arial" w:hAnsi="Public Sans" w:cs="Arial"/>
                <w:sz w:val="16"/>
                <w:szCs w:val="16"/>
              </w:rPr>
              <w:t>N</w:t>
            </w:r>
            <w:r w:rsidRPr="0077636B">
              <w:rPr>
                <w:rFonts w:ascii="Public Sans" w:eastAsia="Calibri" w:hAnsi="Public Sans" w:cs="Arial"/>
                <w:sz w:val="16"/>
                <w:szCs w:val="16"/>
              </w:rPr>
              <w:t>/A</w:t>
            </w:r>
          </w:p>
        </w:tc>
        <w:tc>
          <w:tcPr>
            <w:tcW w:w="992" w:type="dxa"/>
            <w:vAlign w:val="center"/>
          </w:tcPr>
          <w:p w14:paraId="4AA193C2"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High</w:t>
            </w:r>
          </w:p>
        </w:tc>
        <w:tc>
          <w:tcPr>
            <w:tcW w:w="1134" w:type="dxa"/>
            <w:vAlign w:val="center"/>
          </w:tcPr>
          <w:p w14:paraId="33AE4442"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N/A</w:t>
            </w:r>
          </w:p>
        </w:tc>
        <w:tc>
          <w:tcPr>
            <w:tcW w:w="1417" w:type="dxa"/>
            <w:vAlign w:val="center"/>
          </w:tcPr>
          <w:p w14:paraId="3F7D5618"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Medium</w:t>
            </w:r>
          </w:p>
        </w:tc>
      </w:tr>
      <w:tr w:rsidR="00650CF8" w:rsidRPr="00D0081E" w14:paraId="1567FB32" w14:textId="77777777" w:rsidTr="00350587">
        <w:trPr>
          <w:trHeight w:val="283"/>
        </w:trPr>
        <w:tc>
          <w:tcPr>
            <w:tcW w:w="1701" w:type="dxa"/>
            <w:vAlign w:val="center"/>
          </w:tcPr>
          <w:p w14:paraId="6A842B6D" w14:textId="77777777" w:rsidR="00650CF8" w:rsidRPr="00D0081E" w:rsidRDefault="00650CF8" w:rsidP="00D0081E">
            <w:pPr>
              <w:ind w:right="-113"/>
              <w:rPr>
                <w:rFonts w:ascii="Public Sans" w:hAnsi="Public Sans" w:cs="Arial"/>
                <w:sz w:val="16"/>
                <w:szCs w:val="16"/>
              </w:rPr>
            </w:pPr>
            <w:r w:rsidRPr="00D0081E">
              <w:rPr>
                <w:rFonts w:ascii="Public Sans" w:eastAsia="Arial" w:hAnsi="Public Sans" w:cs="Arial"/>
                <w:sz w:val="16"/>
                <w:szCs w:val="16"/>
              </w:rPr>
              <w:t>Population growth</w:t>
            </w:r>
          </w:p>
        </w:tc>
        <w:tc>
          <w:tcPr>
            <w:tcW w:w="1013" w:type="dxa"/>
            <w:vAlign w:val="center"/>
          </w:tcPr>
          <w:p w14:paraId="6B82D1A8"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High</w:t>
            </w:r>
          </w:p>
        </w:tc>
        <w:tc>
          <w:tcPr>
            <w:tcW w:w="1154" w:type="dxa"/>
            <w:vAlign w:val="center"/>
          </w:tcPr>
          <w:p w14:paraId="14B20ACD" w14:textId="77777777" w:rsidR="00650CF8" w:rsidRPr="0077636B" w:rsidRDefault="00650CF8" w:rsidP="00703770">
            <w:pPr>
              <w:jc w:val="center"/>
              <w:rPr>
                <w:rFonts w:ascii="Public Sans" w:eastAsia="Calibri" w:hAnsi="Public Sans" w:cs="Arial"/>
                <w:sz w:val="16"/>
                <w:szCs w:val="16"/>
              </w:rPr>
            </w:pPr>
            <w:r w:rsidRPr="0077636B">
              <w:rPr>
                <w:rFonts w:ascii="Public Sans" w:eastAsia="Arial" w:hAnsi="Public Sans" w:cs="Arial"/>
                <w:sz w:val="16"/>
                <w:szCs w:val="16"/>
              </w:rPr>
              <w:t>Low</w:t>
            </w:r>
          </w:p>
        </w:tc>
        <w:tc>
          <w:tcPr>
            <w:tcW w:w="1094" w:type="dxa"/>
            <w:vAlign w:val="center"/>
          </w:tcPr>
          <w:p w14:paraId="0D551C30"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Medium</w:t>
            </w:r>
          </w:p>
        </w:tc>
        <w:tc>
          <w:tcPr>
            <w:tcW w:w="1134" w:type="dxa"/>
            <w:vAlign w:val="center"/>
          </w:tcPr>
          <w:p w14:paraId="15271C61" w14:textId="77777777" w:rsidR="00650CF8" w:rsidRPr="0077636B" w:rsidRDefault="00650CF8" w:rsidP="00703770">
            <w:pPr>
              <w:jc w:val="center"/>
              <w:rPr>
                <w:rFonts w:ascii="Public Sans" w:eastAsia="Calibri" w:hAnsi="Public Sans" w:cs="Arial"/>
                <w:sz w:val="16"/>
                <w:szCs w:val="16"/>
              </w:rPr>
            </w:pPr>
            <w:r w:rsidRPr="0077636B">
              <w:rPr>
                <w:rFonts w:ascii="Public Sans" w:eastAsia="Arial" w:hAnsi="Public Sans" w:cs="Arial"/>
                <w:sz w:val="16"/>
                <w:szCs w:val="16"/>
              </w:rPr>
              <w:t>N</w:t>
            </w:r>
            <w:r w:rsidRPr="0077636B">
              <w:rPr>
                <w:rFonts w:ascii="Public Sans" w:eastAsia="Calibri" w:hAnsi="Public Sans" w:cs="Arial"/>
                <w:sz w:val="16"/>
                <w:szCs w:val="16"/>
              </w:rPr>
              <w:t>/A</w:t>
            </w:r>
          </w:p>
        </w:tc>
        <w:tc>
          <w:tcPr>
            <w:tcW w:w="992" w:type="dxa"/>
            <w:vAlign w:val="center"/>
          </w:tcPr>
          <w:p w14:paraId="18787EE5" w14:textId="77777777" w:rsidR="00650CF8" w:rsidRPr="0077636B" w:rsidRDefault="00650CF8" w:rsidP="00703770">
            <w:pPr>
              <w:jc w:val="center"/>
              <w:rPr>
                <w:rFonts w:ascii="Public Sans" w:eastAsia="Arial" w:hAnsi="Public Sans"/>
                <w:sz w:val="16"/>
                <w:szCs w:val="16"/>
              </w:rPr>
            </w:pPr>
            <w:r w:rsidRPr="0077636B">
              <w:rPr>
                <w:rFonts w:ascii="Public Sans" w:eastAsia="Arial" w:hAnsi="Public Sans" w:cs="Arial"/>
                <w:sz w:val="16"/>
                <w:szCs w:val="16"/>
              </w:rPr>
              <w:t>Low</w:t>
            </w:r>
          </w:p>
        </w:tc>
        <w:tc>
          <w:tcPr>
            <w:tcW w:w="1134" w:type="dxa"/>
            <w:vAlign w:val="center"/>
          </w:tcPr>
          <w:p w14:paraId="61A8DFDF"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Low</w:t>
            </w:r>
          </w:p>
        </w:tc>
        <w:tc>
          <w:tcPr>
            <w:tcW w:w="1417" w:type="dxa"/>
            <w:vAlign w:val="center"/>
          </w:tcPr>
          <w:p w14:paraId="26A14F32"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Low</w:t>
            </w:r>
          </w:p>
        </w:tc>
      </w:tr>
      <w:tr w:rsidR="00650CF8" w:rsidRPr="00D0081E" w14:paraId="5062140F" w14:textId="77777777" w:rsidTr="00350587">
        <w:trPr>
          <w:trHeight w:val="283"/>
        </w:trPr>
        <w:tc>
          <w:tcPr>
            <w:tcW w:w="1701" w:type="dxa"/>
            <w:vAlign w:val="center"/>
          </w:tcPr>
          <w:p w14:paraId="511C7252" w14:textId="77777777" w:rsidR="00650CF8" w:rsidRPr="00D0081E" w:rsidRDefault="00650CF8" w:rsidP="00D0081E">
            <w:pPr>
              <w:ind w:right="-113"/>
              <w:rPr>
                <w:rFonts w:ascii="Public Sans" w:hAnsi="Public Sans" w:cs="Arial"/>
                <w:sz w:val="16"/>
                <w:szCs w:val="16"/>
              </w:rPr>
            </w:pPr>
            <w:r w:rsidRPr="00D0081E">
              <w:rPr>
                <w:rFonts w:ascii="Public Sans" w:eastAsia="Arial" w:hAnsi="Public Sans" w:cs="Arial"/>
                <w:sz w:val="16"/>
                <w:szCs w:val="16"/>
              </w:rPr>
              <w:t>AUD exchange rate</w:t>
            </w:r>
          </w:p>
        </w:tc>
        <w:tc>
          <w:tcPr>
            <w:tcW w:w="1013" w:type="dxa"/>
            <w:vAlign w:val="center"/>
          </w:tcPr>
          <w:p w14:paraId="4B5AA6BB" w14:textId="77777777" w:rsidR="00650CF8" w:rsidRPr="0077636B" w:rsidRDefault="00650CF8" w:rsidP="00703770">
            <w:pPr>
              <w:jc w:val="center"/>
              <w:rPr>
                <w:rFonts w:ascii="Public Sans" w:eastAsia="Calibri" w:hAnsi="Public Sans" w:cs="Arial"/>
                <w:sz w:val="16"/>
                <w:szCs w:val="16"/>
              </w:rPr>
            </w:pPr>
            <w:r w:rsidRPr="0077636B">
              <w:rPr>
                <w:rFonts w:ascii="Public Sans" w:eastAsia="Arial" w:hAnsi="Public Sans" w:cs="Arial"/>
                <w:sz w:val="16"/>
                <w:szCs w:val="16"/>
              </w:rPr>
              <w:t>N</w:t>
            </w:r>
            <w:r w:rsidRPr="0077636B">
              <w:rPr>
                <w:rFonts w:ascii="Public Sans" w:eastAsia="Calibri" w:hAnsi="Public Sans" w:cs="Arial"/>
                <w:sz w:val="16"/>
                <w:szCs w:val="16"/>
              </w:rPr>
              <w:t>/A</w:t>
            </w:r>
          </w:p>
        </w:tc>
        <w:tc>
          <w:tcPr>
            <w:tcW w:w="1154" w:type="dxa"/>
            <w:vAlign w:val="center"/>
          </w:tcPr>
          <w:p w14:paraId="6FBB1FD5" w14:textId="77777777" w:rsidR="00650CF8" w:rsidRPr="0077636B" w:rsidRDefault="00650CF8" w:rsidP="00703770">
            <w:pPr>
              <w:jc w:val="center"/>
              <w:rPr>
                <w:rFonts w:ascii="Public Sans" w:eastAsia="Calibri" w:hAnsi="Public Sans" w:cs="Arial"/>
                <w:sz w:val="16"/>
                <w:szCs w:val="16"/>
              </w:rPr>
            </w:pPr>
            <w:r w:rsidRPr="0077636B">
              <w:rPr>
                <w:rFonts w:ascii="Public Sans" w:eastAsia="Arial" w:hAnsi="Public Sans" w:cs="Arial"/>
                <w:sz w:val="16"/>
                <w:szCs w:val="16"/>
              </w:rPr>
              <w:t>N</w:t>
            </w:r>
            <w:r w:rsidRPr="0077636B">
              <w:rPr>
                <w:rFonts w:ascii="Public Sans" w:eastAsia="Calibri" w:hAnsi="Public Sans" w:cs="Arial"/>
                <w:sz w:val="16"/>
                <w:szCs w:val="16"/>
              </w:rPr>
              <w:t>/A</w:t>
            </w:r>
          </w:p>
        </w:tc>
        <w:tc>
          <w:tcPr>
            <w:tcW w:w="1094" w:type="dxa"/>
            <w:vAlign w:val="center"/>
          </w:tcPr>
          <w:p w14:paraId="78C12EA7" w14:textId="77777777" w:rsidR="00650CF8" w:rsidRPr="0077636B" w:rsidRDefault="00650CF8" w:rsidP="00703770">
            <w:pPr>
              <w:jc w:val="center"/>
              <w:rPr>
                <w:rFonts w:ascii="Public Sans" w:eastAsia="Calibri" w:hAnsi="Public Sans" w:cs="Arial"/>
                <w:sz w:val="16"/>
                <w:szCs w:val="16"/>
              </w:rPr>
            </w:pPr>
            <w:r w:rsidRPr="0077636B">
              <w:rPr>
                <w:rFonts w:ascii="Public Sans" w:eastAsia="Arial" w:hAnsi="Public Sans" w:cs="Arial"/>
                <w:sz w:val="16"/>
                <w:szCs w:val="16"/>
              </w:rPr>
              <w:t>N</w:t>
            </w:r>
            <w:r w:rsidRPr="0077636B">
              <w:rPr>
                <w:rFonts w:ascii="Public Sans" w:eastAsia="Calibri" w:hAnsi="Public Sans" w:cs="Arial"/>
                <w:sz w:val="16"/>
                <w:szCs w:val="16"/>
              </w:rPr>
              <w:t>/A</w:t>
            </w:r>
          </w:p>
        </w:tc>
        <w:tc>
          <w:tcPr>
            <w:tcW w:w="1134" w:type="dxa"/>
            <w:vAlign w:val="center"/>
          </w:tcPr>
          <w:p w14:paraId="2627BBAC" w14:textId="77777777" w:rsidR="00650CF8" w:rsidRPr="0077636B" w:rsidRDefault="00650CF8" w:rsidP="00703770">
            <w:pPr>
              <w:jc w:val="center"/>
              <w:rPr>
                <w:rFonts w:ascii="Public Sans" w:eastAsia="Calibri" w:hAnsi="Public Sans" w:cs="Arial"/>
                <w:sz w:val="16"/>
                <w:szCs w:val="16"/>
              </w:rPr>
            </w:pPr>
            <w:r w:rsidRPr="0077636B">
              <w:rPr>
                <w:rFonts w:ascii="Public Sans" w:eastAsia="Arial" w:hAnsi="Public Sans" w:cs="Arial"/>
                <w:sz w:val="16"/>
                <w:szCs w:val="16"/>
              </w:rPr>
              <w:t>High</w:t>
            </w:r>
          </w:p>
        </w:tc>
        <w:tc>
          <w:tcPr>
            <w:tcW w:w="992" w:type="dxa"/>
            <w:vAlign w:val="center"/>
          </w:tcPr>
          <w:p w14:paraId="5D578AD4"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N/A</w:t>
            </w:r>
          </w:p>
        </w:tc>
        <w:tc>
          <w:tcPr>
            <w:tcW w:w="1134" w:type="dxa"/>
            <w:vAlign w:val="center"/>
          </w:tcPr>
          <w:p w14:paraId="0275BC96"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N/A</w:t>
            </w:r>
          </w:p>
        </w:tc>
        <w:tc>
          <w:tcPr>
            <w:tcW w:w="1417" w:type="dxa"/>
            <w:vAlign w:val="center"/>
          </w:tcPr>
          <w:p w14:paraId="79D08A99"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N/A</w:t>
            </w:r>
          </w:p>
        </w:tc>
      </w:tr>
      <w:tr w:rsidR="00650CF8" w:rsidRPr="00D0081E" w14:paraId="387762A7" w14:textId="77777777" w:rsidTr="00350587">
        <w:trPr>
          <w:trHeight w:val="283"/>
        </w:trPr>
        <w:tc>
          <w:tcPr>
            <w:tcW w:w="1701" w:type="dxa"/>
            <w:tcBorders>
              <w:bottom w:val="single" w:sz="4" w:space="0" w:color="auto"/>
            </w:tcBorders>
            <w:vAlign w:val="center"/>
          </w:tcPr>
          <w:p w14:paraId="5DA85365" w14:textId="77777777" w:rsidR="00650CF8" w:rsidRPr="00D0081E" w:rsidRDefault="00650CF8" w:rsidP="00D0081E">
            <w:pPr>
              <w:ind w:right="-113"/>
              <w:rPr>
                <w:rFonts w:ascii="Public Sans" w:hAnsi="Public Sans" w:cs="Arial"/>
                <w:sz w:val="16"/>
                <w:szCs w:val="16"/>
              </w:rPr>
            </w:pPr>
            <w:r w:rsidRPr="00D0081E">
              <w:rPr>
                <w:rFonts w:ascii="Public Sans" w:eastAsia="Arial" w:hAnsi="Public Sans" w:cs="Arial"/>
                <w:sz w:val="16"/>
                <w:szCs w:val="16"/>
              </w:rPr>
              <w:t>Energy demand</w:t>
            </w:r>
          </w:p>
        </w:tc>
        <w:tc>
          <w:tcPr>
            <w:tcW w:w="1013" w:type="dxa"/>
            <w:tcBorders>
              <w:bottom w:val="single" w:sz="4" w:space="0" w:color="auto"/>
            </w:tcBorders>
            <w:vAlign w:val="center"/>
          </w:tcPr>
          <w:p w14:paraId="1D9442A1" w14:textId="77777777" w:rsidR="00650CF8" w:rsidRPr="0077636B" w:rsidRDefault="00650CF8" w:rsidP="00703770">
            <w:pPr>
              <w:jc w:val="center"/>
              <w:rPr>
                <w:rFonts w:ascii="Public Sans" w:eastAsia="Calibri" w:hAnsi="Public Sans" w:cs="Arial"/>
                <w:sz w:val="16"/>
                <w:szCs w:val="16"/>
              </w:rPr>
            </w:pPr>
            <w:r w:rsidRPr="0077636B">
              <w:rPr>
                <w:rFonts w:ascii="Public Sans" w:eastAsia="Arial" w:hAnsi="Public Sans" w:cs="Arial"/>
                <w:sz w:val="16"/>
                <w:szCs w:val="16"/>
              </w:rPr>
              <w:t>N</w:t>
            </w:r>
            <w:r w:rsidRPr="0077636B">
              <w:rPr>
                <w:rFonts w:ascii="Public Sans" w:eastAsia="Calibri" w:hAnsi="Public Sans" w:cs="Arial"/>
                <w:sz w:val="16"/>
                <w:szCs w:val="16"/>
              </w:rPr>
              <w:t>/A</w:t>
            </w:r>
          </w:p>
        </w:tc>
        <w:tc>
          <w:tcPr>
            <w:tcW w:w="1154" w:type="dxa"/>
            <w:tcBorders>
              <w:bottom w:val="single" w:sz="4" w:space="0" w:color="auto"/>
            </w:tcBorders>
            <w:vAlign w:val="center"/>
          </w:tcPr>
          <w:p w14:paraId="5BCCD468" w14:textId="77777777" w:rsidR="00650CF8" w:rsidRPr="0077636B" w:rsidRDefault="00650CF8" w:rsidP="00703770">
            <w:pPr>
              <w:jc w:val="center"/>
              <w:rPr>
                <w:rFonts w:ascii="Public Sans" w:eastAsia="Calibri" w:hAnsi="Public Sans" w:cs="Arial"/>
                <w:sz w:val="16"/>
                <w:szCs w:val="16"/>
              </w:rPr>
            </w:pPr>
            <w:r w:rsidRPr="0077636B">
              <w:rPr>
                <w:rFonts w:ascii="Public Sans" w:eastAsia="Arial" w:hAnsi="Public Sans" w:cs="Arial"/>
                <w:sz w:val="16"/>
                <w:szCs w:val="16"/>
              </w:rPr>
              <w:t>N</w:t>
            </w:r>
            <w:r w:rsidRPr="0077636B">
              <w:rPr>
                <w:rFonts w:ascii="Public Sans" w:eastAsia="Calibri" w:hAnsi="Public Sans" w:cs="Arial"/>
                <w:sz w:val="16"/>
                <w:szCs w:val="16"/>
              </w:rPr>
              <w:t>/A</w:t>
            </w:r>
          </w:p>
        </w:tc>
        <w:tc>
          <w:tcPr>
            <w:tcW w:w="1094" w:type="dxa"/>
            <w:tcBorders>
              <w:bottom w:val="single" w:sz="4" w:space="0" w:color="auto"/>
            </w:tcBorders>
            <w:vAlign w:val="center"/>
          </w:tcPr>
          <w:p w14:paraId="5BFD8347" w14:textId="77777777" w:rsidR="00650CF8" w:rsidRPr="0077636B" w:rsidRDefault="00650CF8" w:rsidP="00703770">
            <w:pPr>
              <w:jc w:val="center"/>
              <w:rPr>
                <w:rFonts w:ascii="Public Sans" w:eastAsia="Calibri" w:hAnsi="Public Sans" w:cs="Arial"/>
                <w:sz w:val="16"/>
                <w:szCs w:val="16"/>
              </w:rPr>
            </w:pPr>
            <w:r w:rsidRPr="0077636B">
              <w:rPr>
                <w:rFonts w:ascii="Public Sans" w:eastAsia="Arial" w:hAnsi="Public Sans" w:cs="Arial"/>
                <w:sz w:val="16"/>
                <w:szCs w:val="16"/>
              </w:rPr>
              <w:t>N</w:t>
            </w:r>
            <w:r w:rsidRPr="0077636B">
              <w:rPr>
                <w:rFonts w:ascii="Public Sans" w:eastAsia="Calibri" w:hAnsi="Public Sans" w:cs="Arial"/>
                <w:sz w:val="16"/>
                <w:szCs w:val="16"/>
              </w:rPr>
              <w:t>/A</w:t>
            </w:r>
          </w:p>
        </w:tc>
        <w:tc>
          <w:tcPr>
            <w:tcW w:w="1134" w:type="dxa"/>
            <w:tcBorders>
              <w:bottom w:val="single" w:sz="4" w:space="0" w:color="auto"/>
            </w:tcBorders>
            <w:vAlign w:val="center"/>
          </w:tcPr>
          <w:p w14:paraId="27A23168" w14:textId="77777777" w:rsidR="00650CF8" w:rsidRPr="0077636B" w:rsidRDefault="00650CF8" w:rsidP="00703770">
            <w:pPr>
              <w:jc w:val="center"/>
              <w:rPr>
                <w:rFonts w:ascii="Public Sans" w:eastAsia="Calibri" w:hAnsi="Public Sans" w:cs="Arial"/>
                <w:sz w:val="16"/>
                <w:szCs w:val="16"/>
              </w:rPr>
            </w:pPr>
            <w:r w:rsidRPr="0077636B">
              <w:rPr>
                <w:rFonts w:ascii="Public Sans" w:eastAsia="Arial" w:hAnsi="Public Sans" w:cs="Arial"/>
                <w:sz w:val="16"/>
                <w:szCs w:val="16"/>
              </w:rPr>
              <w:t>Low</w:t>
            </w:r>
          </w:p>
        </w:tc>
        <w:tc>
          <w:tcPr>
            <w:tcW w:w="992" w:type="dxa"/>
            <w:tcBorders>
              <w:bottom w:val="single" w:sz="4" w:space="0" w:color="auto"/>
            </w:tcBorders>
            <w:vAlign w:val="center"/>
          </w:tcPr>
          <w:p w14:paraId="144E2ADE"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N/A</w:t>
            </w:r>
          </w:p>
        </w:tc>
        <w:tc>
          <w:tcPr>
            <w:tcW w:w="1134" w:type="dxa"/>
            <w:tcBorders>
              <w:bottom w:val="single" w:sz="4" w:space="0" w:color="auto"/>
            </w:tcBorders>
            <w:vAlign w:val="center"/>
          </w:tcPr>
          <w:p w14:paraId="15CF3016"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N/A</w:t>
            </w:r>
          </w:p>
        </w:tc>
        <w:tc>
          <w:tcPr>
            <w:tcW w:w="1417" w:type="dxa"/>
            <w:tcBorders>
              <w:bottom w:val="single" w:sz="4" w:space="0" w:color="auto"/>
            </w:tcBorders>
            <w:vAlign w:val="center"/>
          </w:tcPr>
          <w:p w14:paraId="487480A0" w14:textId="77777777" w:rsidR="00650CF8" w:rsidRPr="0077636B" w:rsidRDefault="00650CF8" w:rsidP="00703770">
            <w:pPr>
              <w:jc w:val="center"/>
              <w:rPr>
                <w:rFonts w:ascii="Public Sans" w:eastAsia="Arial" w:hAnsi="Public Sans" w:cs="Arial"/>
                <w:sz w:val="16"/>
                <w:szCs w:val="16"/>
              </w:rPr>
            </w:pPr>
            <w:r w:rsidRPr="0077636B">
              <w:rPr>
                <w:rFonts w:ascii="Public Sans" w:eastAsia="Arial" w:hAnsi="Public Sans" w:cs="Arial"/>
                <w:sz w:val="16"/>
                <w:szCs w:val="16"/>
              </w:rPr>
              <w:t>N/A</w:t>
            </w:r>
          </w:p>
        </w:tc>
      </w:tr>
    </w:tbl>
    <w:p w14:paraId="5710630E" w14:textId="77777777" w:rsidR="00650CF8" w:rsidRPr="00FA7740" w:rsidRDefault="00650CF8" w:rsidP="00650CF8">
      <w:pPr>
        <w:rPr>
          <w:rFonts w:ascii="Arial" w:hAnsi="Arial" w:cs="Arial"/>
          <w:sz w:val="6"/>
          <w:szCs w:val="6"/>
        </w:rPr>
      </w:pPr>
    </w:p>
    <w:p w14:paraId="791D3F2A" w14:textId="77777777" w:rsidR="00650CF8" w:rsidRPr="00E711EC" w:rsidRDefault="00650CF8" w:rsidP="00674B22">
      <w:pPr>
        <w:pStyle w:val="ListParagraph"/>
        <w:numPr>
          <w:ilvl w:val="0"/>
          <w:numId w:val="6"/>
        </w:numPr>
        <w:rPr>
          <w:rFonts w:ascii="Public Sans" w:eastAsiaTheme="minorEastAsia" w:hAnsi="Public Sans" w:cstheme="minorBidi"/>
          <w:sz w:val="17"/>
          <w:szCs w:val="17"/>
        </w:rPr>
      </w:pPr>
      <w:r w:rsidRPr="00E711EC">
        <w:rPr>
          <w:rFonts w:ascii="Public Sans" w:eastAsia="Arial" w:hAnsi="Public Sans" w:cs="Arial"/>
          <w:sz w:val="17"/>
          <w:szCs w:val="17"/>
        </w:rPr>
        <w:t xml:space="preserve">High, </w:t>
      </w:r>
      <w:proofErr w:type="gramStart"/>
      <w:r w:rsidRPr="00E711EC">
        <w:rPr>
          <w:rFonts w:ascii="Public Sans" w:eastAsia="Arial" w:hAnsi="Public Sans" w:cs="Arial"/>
          <w:sz w:val="17"/>
          <w:szCs w:val="17"/>
        </w:rPr>
        <w:t>medium</w:t>
      </w:r>
      <w:proofErr w:type="gramEnd"/>
      <w:r w:rsidRPr="00E711EC">
        <w:rPr>
          <w:rFonts w:ascii="Public Sans" w:eastAsia="Arial" w:hAnsi="Public Sans" w:cs="Arial"/>
          <w:sz w:val="17"/>
          <w:szCs w:val="17"/>
        </w:rPr>
        <w:t xml:space="preserve"> and low provide only a broad indication of the model weighting for illustration.  </w:t>
      </w:r>
    </w:p>
    <w:p w14:paraId="720D20AC" w14:textId="679CEC23" w:rsidR="00650CF8" w:rsidRPr="00E711EC" w:rsidRDefault="00650CF8" w:rsidP="00674B22">
      <w:pPr>
        <w:pStyle w:val="ListParagraph"/>
        <w:numPr>
          <w:ilvl w:val="0"/>
          <w:numId w:val="6"/>
        </w:numPr>
        <w:rPr>
          <w:rFonts w:ascii="Public Sans" w:eastAsia="Arial" w:hAnsi="Public Sans" w:cs="Arial"/>
          <w:sz w:val="17"/>
          <w:szCs w:val="17"/>
        </w:rPr>
      </w:pPr>
      <w:r w:rsidRPr="00E711EC">
        <w:rPr>
          <w:rFonts w:ascii="Public Sans" w:eastAsia="Arial" w:hAnsi="Public Sans" w:cs="Arial"/>
          <w:sz w:val="17"/>
          <w:szCs w:val="17"/>
        </w:rPr>
        <w:t xml:space="preserve">N/A indicates only that the factor is not directly included as a variable in the relevant forecasting </w:t>
      </w:r>
      <w:r w:rsidR="00A5029A" w:rsidRPr="00E711EC">
        <w:rPr>
          <w:rFonts w:ascii="Public Sans" w:eastAsia="Arial" w:hAnsi="Public Sans" w:cs="Arial"/>
          <w:sz w:val="17"/>
          <w:szCs w:val="17"/>
        </w:rPr>
        <w:t>model and</w:t>
      </w:r>
      <w:r w:rsidRPr="00E711EC">
        <w:rPr>
          <w:rFonts w:ascii="Public Sans" w:eastAsia="Arial" w:hAnsi="Public Sans" w:cs="Arial"/>
          <w:sz w:val="17"/>
          <w:szCs w:val="17"/>
        </w:rPr>
        <w:t xml:space="preserve"> does not signify that there is no relationship between the respective variable and </w:t>
      </w:r>
      <w:r w:rsidR="28592EA3" w:rsidRPr="00E711EC">
        <w:rPr>
          <w:rFonts w:ascii="Public Sans" w:eastAsia="Arial" w:hAnsi="Public Sans" w:cs="Arial"/>
          <w:sz w:val="17"/>
          <w:szCs w:val="17"/>
        </w:rPr>
        <w:t xml:space="preserve">the </w:t>
      </w:r>
      <w:r w:rsidRPr="00E711EC">
        <w:rPr>
          <w:rFonts w:ascii="Public Sans" w:eastAsia="Arial" w:hAnsi="Public Sans" w:cs="Arial"/>
          <w:sz w:val="17"/>
          <w:szCs w:val="17"/>
        </w:rPr>
        <w:t>tax.</w:t>
      </w:r>
    </w:p>
    <w:p w14:paraId="7CAB4E68" w14:textId="77777777" w:rsidR="00650CF8" w:rsidRDefault="00650CF8" w:rsidP="00650CF8">
      <w:pPr>
        <w:rPr>
          <w:rFonts w:eastAsia="Arial"/>
        </w:rPr>
      </w:pPr>
    </w:p>
    <w:p w14:paraId="6634C6C7" w14:textId="78F4BE91" w:rsidR="008446E1" w:rsidRDefault="003F6AB2" w:rsidP="00367CD6">
      <w:pPr>
        <w:pStyle w:val="BodyText"/>
        <w:rPr>
          <w:highlight w:val="yellow"/>
        </w:rPr>
      </w:pPr>
      <w:r w:rsidRPr="7CEC90E3">
        <w:t xml:space="preserve">The main driver of payroll tax is total employee compensation, which in turn is a function of both wage and employment levels. </w:t>
      </w:r>
      <w:r w:rsidR="000449FC" w:rsidRPr="7CEC90E3">
        <w:t>A resilient labour market has continued to support payroll tax revenue throughout 2023-24.</w:t>
      </w:r>
      <w:r w:rsidR="00D4709E" w:rsidRPr="7CEC90E3">
        <w:t xml:space="preserve"> Employment and wage growth have been supported by strong population growth from international migration.</w:t>
      </w:r>
      <w:r w:rsidR="000449FC" w:rsidRPr="7CEC90E3">
        <w:t xml:space="preserve"> </w:t>
      </w:r>
    </w:p>
    <w:p w14:paraId="413A9974" w14:textId="2E815DC3" w:rsidR="001E6184" w:rsidRDefault="0055405E" w:rsidP="00367CD6">
      <w:pPr>
        <w:pStyle w:val="BodyText"/>
        <w:rPr>
          <w:rFonts w:cs="Times New Roman"/>
          <w:szCs w:val="22"/>
          <w:lang w:val="en-US"/>
        </w:rPr>
      </w:pPr>
      <w:r w:rsidRPr="00BB4DC1">
        <w:t xml:space="preserve">Payroll tax revenues are forecast by applying growth rates, anticipated in Treasury’s forecasts for NSW </w:t>
      </w:r>
      <w:r w:rsidR="009A6FE5">
        <w:t>a</w:t>
      </w:r>
      <w:r w:rsidRPr="00BB4DC1">
        <w:t xml:space="preserve">verage </w:t>
      </w:r>
      <w:r w:rsidR="009A6FE5">
        <w:t>c</w:t>
      </w:r>
      <w:r w:rsidRPr="00BB4DC1">
        <w:t xml:space="preserve">ompensation of </w:t>
      </w:r>
      <w:r w:rsidR="009A6FE5">
        <w:t>e</w:t>
      </w:r>
      <w:r w:rsidRPr="00BB4DC1">
        <w:t xml:space="preserve">mployees and NSW </w:t>
      </w:r>
      <w:r w:rsidR="00D21478" w:rsidRPr="00452819">
        <w:rPr>
          <w:rFonts w:cs="Times New Roman"/>
          <w:szCs w:val="22"/>
          <w:lang w:val="en-US"/>
        </w:rPr>
        <w:t>e</w:t>
      </w:r>
      <w:r w:rsidRPr="00452819">
        <w:rPr>
          <w:rFonts w:cs="Times New Roman"/>
          <w:szCs w:val="22"/>
          <w:lang w:val="en-US"/>
        </w:rPr>
        <w:t xml:space="preserve">mployment, to underlying payroll tax levels. </w:t>
      </w:r>
    </w:p>
    <w:p w14:paraId="5500A6F7" w14:textId="0AE6543F" w:rsidR="0024246B" w:rsidRPr="0016410E" w:rsidRDefault="0055405E" w:rsidP="00367CD6">
      <w:pPr>
        <w:pStyle w:val="BodyText"/>
      </w:pPr>
      <w:r w:rsidRPr="7CEC90E3">
        <w:lastRenderedPageBreak/>
        <w:t>Table B.2 denotes the sensitivity of forecast payroll tax to a one percentage point increase in each of these variables respectively.</w:t>
      </w:r>
    </w:p>
    <w:p w14:paraId="5283851A" w14:textId="77777777" w:rsidR="00650CF8" w:rsidRDefault="00650CF8" w:rsidP="0068495A">
      <w:pPr>
        <w:pStyle w:val="TableBX"/>
      </w:pPr>
      <w:r>
        <w:t xml:space="preserve">Revenue </w:t>
      </w:r>
      <w:r w:rsidRPr="3FF2B713">
        <w:t>sensitivities – Payroll tax</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B.2:  Revenue sensitivities – Payroll tax"/>
        <w:tblDescription w:val="Table B.2:  Revenue sensitivities – Payroll tax"/>
      </w:tblPr>
      <w:tblGrid>
        <w:gridCol w:w="3261"/>
        <w:gridCol w:w="1098"/>
        <w:gridCol w:w="1098"/>
        <w:gridCol w:w="1099"/>
        <w:gridCol w:w="1099"/>
        <w:gridCol w:w="1984"/>
      </w:tblGrid>
      <w:tr w:rsidR="00245782" w:rsidRPr="008432E4" w14:paraId="1925854F" w14:textId="77777777" w:rsidTr="00177242">
        <w:trPr>
          <w:trHeight w:val="283"/>
        </w:trPr>
        <w:tc>
          <w:tcPr>
            <w:tcW w:w="3261" w:type="dxa"/>
            <w:vMerge w:val="restart"/>
            <w:shd w:val="clear" w:color="auto" w:fill="EBEBEB"/>
            <w:vAlign w:val="center"/>
          </w:tcPr>
          <w:p w14:paraId="1A961AED" w14:textId="77777777" w:rsidR="00650CF8" w:rsidRPr="00367CD6" w:rsidRDefault="00650CF8" w:rsidP="00703770">
            <w:pPr>
              <w:rPr>
                <w:rFonts w:ascii="Public Sans" w:eastAsia="Arial" w:hAnsi="Public Sans" w:cs="Arial"/>
                <w:sz w:val="17"/>
                <w:szCs w:val="17"/>
              </w:rPr>
            </w:pPr>
            <w:r w:rsidRPr="00367CD6">
              <w:rPr>
                <w:rFonts w:ascii="Public Sans" w:eastAsia="Arial" w:hAnsi="Public Sans" w:cs="Arial"/>
                <w:sz w:val="17"/>
                <w:szCs w:val="17"/>
              </w:rPr>
              <w:t>Factors affecting payroll tax</w:t>
            </w:r>
          </w:p>
        </w:tc>
        <w:tc>
          <w:tcPr>
            <w:tcW w:w="1098" w:type="dxa"/>
            <w:shd w:val="clear" w:color="auto" w:fill="EBEBEB"/>
            <w:vAlign w:val="bottom"/>
          </w:tcPr>
          <w:p w14:paraId="0B93BFD5" w14:textId="530F640B" w:rsidR="00650CF8" w:rsidRPr="00367CD6" w:rsidRDefault="0093483A" w:rsidP="00703770">
            <w:pPr>
              <w:jc w:val="center"/>
              <w:rPr>
                <w:rFonts w:ascii="Public Sans" w:eastAsia="Arial" w:hAnsi="Public Sans" w:cs="Arial"/>
                <w:sz w:val="17"/>
                <w:szCs w:val="17"/>
              </w:rPr>
            </w:pPr>
            <w:r w:rsidRPr="00367CD6">
              <w:rPr>
                <w:rFonts w:ascii="Public Sans" w:eastAsia="Arial" w:hAnsi="Public Sans" w:cs="Arial"/>
                <w:sz w:val="17"/>
                <w:szCs w:val="17"/>
              </w:rPr>
              <w:t>202</w:t>
            </w:r>
            <w:r w:rsidR="00713AA4" w:rsidRPr="00367CD6">
              <w:rPr>
                <w:rFonts w:ascii="Public Sans" w:eastAsia="Arial" w:hAnsi="Public Sans" w:cs="Arial"/>
                <w:sz w:val="17"/>
                <w:szCs w:val="17"/>
              </w:rPr>
              <w:t>4</w:t>
            </w:r>
            <w:r w:rsidRPr="00367CD6">
              <w:rPr>
                <w:rFonts w:ascii="Public Sans" w:eastAsia="Arial" w:hAnsi="Public Sans" w:cs="Arial"/>
                <w:sz w:val="17"/>
                <w:szCs w:val="17"/>
              </w:rPr>
              <w:t>-2</w:t>
            </w:r>
            <w:r w:rsidR="00713AA4" w:rsidRPr="00367CD6">
              <w:rPr>
                <w:rFonts w:ascii="Public Sans" w:eastAsia="Arial" w:hAnsi="Public Sans" w:cs="Arial"/>
                <w:sz w:val="17"/>
                <w:szCs w:val="17"/>
              </w:rPr>
              <w:t>5</w:t>
            </w:r>
          </w:p>
        </w:tc>
        <w:tc>
          <w:tcPr>
            <w:tcW w:w="1098" w:type="dxa"/>
            <w:shd w:val="clear" w:color="auto" w:fill="EBEBEB"/>
            <w:vAlign w:val="bottom"/>
          </w:tcPr>
          <w:p w14:paraId="3E32F7AA" w14:textId="1938FDD8" w:rsidR="00650CF8" w:rsidRPr="00367CD6" w:rsidRDefault="0093483A" w:rsidP="00703770">
            <w:pPr>
              <w:jc w:val="center"/>
              <w:rPr>
                <w:rFonts w:ascii="Public Sans" w:eastAsia="Arial" w:hAnsi="Public Sans" w:cs="Arial"/>
                <w:sz w:val="17"/>
                <w:szCs w:val="17"/>
              </w:rPr>
            </w:pPr>
            <w:r w:rsidRPr="00367CD6">
              <w:rPr>
                <w:rFonts w:ascii="Public Sans" w:eastAsia="Arial" w:hAnsi="Public Sans" w:cs="Arial"/>
                <w:sz w:val="17"/>
                <w:szCs w:val="17"/>
              </w:rPr>
              <w:t>202</w:t>
            </w:r>
            <w:r w:rsidR="00713AA4" w:rsidRPr="00367CD6">
              <w:rPr>
                <w:rFonts w:ascii="Public Sans" w:eastAsia="Arial" w:hAnsi="Public Sans" w:cs="Arial"/>
                <w:sz w:val="17"/>
                <w:szCs w:val="17"/>
              </w:rPr>
              <w:t>5</w:t>
            </w:r>
            <w:r w:rsidRPr="00367CD6">
              <w:rPr>
                <w:rFonts w:ascii="Public Sans" w:eastAsia="Arial" w:hAnsi="Public Sans" w:cs="Arial"/>
                <w:sz w:val="17"/>
                <w:szCs w:val="17"/>
              </w:rPr>
              <w:t>-2</w:t>
            </w:r>
            <w:r w:rsidR="00713AA4" w:rsidRPr="00367CD6">
              <w:rPr>
                <w:rFonts w:ascii="Public Sans" w:eastAsia="Arial" w:hAnsi="Public Sans" w:cs="Arial"/>
                <w:sz w:val="17"/>
                <w:szCs w:val="17"/>
              </w:rPr>
              <w:t>6</w:t>
            </w:r>
          </w:p>
        </w:tc>
        <w:tc>
          <w:tcPr>
            <w:tcW w:w="1099" w:type="dxa"/>
            <w:shd w:val="clear" w:color="auto" w:fill="EBEBEB"/>
            <w:vAlign w:val="bottom"/>
          </w:tcPr>
          <w:p w14:paraId="445411D2" w14:textId="69ACAB0B" w:rsidR="00650CF8" w:rsidRPr="00367CD6" w:rsidRDefault="0093483A" w:rsidP="00703770">
            <w:pPr>
              <w:jc w:val="center"/>
              <w:rPr>
                <w:rFonts w:ascii="Public Sans" w:eastAsia="Arial" w:hAnsi="Public Sans" w:cs="Arial"/>
                <w:sz w:val="17"/>
                <w:szCs w:val="17"/>
              </w:rPr>
            </w:pPr>
            <w:r w:rsidRPr="00367CD6">
              <w:rPr>
                <w:rFonts w:ascii="Public Sans" w:eastAsia="Arial" w:hAnsi="Public Sans" w:cs="Arial"/>
                <w:sz w:val="17"/>
                <w:szCs w:val="17"/>
              </w:rPr>
              <w:t>202</w:t>
            </w:r>
            <w:r w:rsidR="00713AA4" w:rsidRPr="00367CD6">
              <w:rPr>
                <w:rFonts w:ascii="Public Sans" w:eastAsia="Arial" w:hAnsi="Public Sans" w:cs="Arial"/>
                <w:sz w:val="17"/>
                <w:szCs w:val="17"/>
              </w:rPr>
              <w:t>6</w:t>
            </w:r>
            <w:r w:rsidRPr="00367CD6">
              <w:rPr>
                <w:rFonts w:ascii="Public Sans" w:eastAsia="Arial" w:hAnsi="Public Sans" w:cs="Arial"/>
                <w:sz w:val="17"/>
                <w:szCs w:val="17"/>
              </w:rPr>
              <w:t>-2</w:t>
            </w:r>
            <w:r w:rsidR="00713AA4" w:rsidRPr="00367CD6">
              <w:rPr>
                <w:rFonts w:ascii="Public Sans" w:eastAsia="Arial" w:hAnsi="Public Sans" w:cs="Arial"/>
                <w:sz w:val="17"/>
                <w:szCs w:val="17"/>
              </w:rPr>
              <w:t>7</w:t>
            </w:r>
          </w:p>
        </w:tc>
        <w:tc>
          <w:tcPr>
            <w:tcW w:w="1099" w:type="dxa"/>
            <w:shd w:val="clear" w:color="auto" w:fill="EBEBEB"/>
            <w:vAlign w:val="bottom"/>
          </w:tcPr>
          <w:p w14:paraId="683C6FB1" w14:textId="3B1D7CF4" w:rsidR="00650CF8" w:rsidRPr="00367CD6" w:rsidRDefault="0093483A" w:rsidP="00703770">
            <w:pPr>
              <w:jc w:val="center"/>
              <w:rPr>
                <w:rFonts w:ascii="Public Sans" w:eastAsia="Arial" w:hAnsi="Public Sans" w:cs="Arial"/>
                <w:sz w:val="17"/>
                <w:szCs w:val="17"/>
              </w:rPr>
            </w:pPr>
            <w:r w:rsidRPr="00367CD6">
              <w:rPr>
                <w:rFonts w:ascii="Public Sans" w:eastAsia="Arial" w:hAnsi="Public Sans" w:cs="Arial"/>
                <w:sz w:val="17"/>
                <w:szCs w:val="17"/>
              </w:rPr>
              <w:t>202</w:t>
            </w:r>
            <w:r w:rsidR="00713AA4" w:rsidRPr="00367CD6">
              <w:rPr>
                <w:rFonts w:ascii="Public Sans" w:eastAsia="Arial" w:hAnsi="Public Sans" w:cs="Arial"/>
                <w:sz w:val="17"/>
                <w:szCs w:val="17"/>
              </w:rPr>
              <w:t>7</w:t>
            </w:r>
            <w:r w:rsidRPr="00367CD6">
              <w:rPr>
                <w:rFonts w:ascii="Public Sans" w:eastAsia="Arial" w:hAnsi="Public Sans" w:cs="Arial"/>
                <w:sz w:val="17"/>
                <w:szCs w:val="17"/>
              </w:rPr>
              <w:t>-2</w:t>
            </w:r>
            <w:r w:rsidR="00713AA4" w:rsidRPr="00367CD6">
              <w:rPr>
                <w:rFonts w:ascii="Public Sans" w:eastAsia="Arial" w:hAnsi="Public Sans" w:cs="Arial"/>
                <w:sz w:val="17"/>
                <w:szCs w:val="17"/>
              </w:rPr>
              <w:t>8</w:t>
            </w:r>
          </w:p>
        </w:tc>
        <w:tc>
          <w:tcPr>
            <w:tcW w:w="1984" w:type="dxa"/>
            <w:vMerge w:val="restart"/>
            <w:tcBorders>
              <w:bottom w:val="single" w:sz="4" w:space="0" w:color="auto"/>
            </w:tcBorders>
            <w:shd w:val="clear" w:color="auto" w:fill="4B5051"/>
            <w:vAlign w:val="center"/>
          </w:tcPr>
          <w:p w14:paraId="7195C14C" w14:textId="77777777" w:rsidR="00650CF8" w:rsidRPr="00367CD6" w:rsidRDefault="00650CF8" w:rsidP="00703770">
            <w:pPr>
              <w:jc w:val="center"/>
              <w:rPr>
                <w:rFonts w:ascii="Public Sans" w:eastAsia="Arial" w:hAnsi="Public Sans" w:cs="Arial"/>
                <w:sz w:val="17"/>
                <w:szCs w:val="17"/>
              </w:rPr>
            </w:pPr>
            <w:r w:rsidRPr="00367CD6">
              <w:rPr>
                <w:rFonts w:ascii="Public Sans" w:eastAsia="Arial" w:hAnsi="Public Sans" w:cs="Arial"/>
                <w:color w:val="FFFFFF" w:themeColor="background1"/>
                <w:sz w:val="17"/>
                <w:szCs w:val="17"/>
              </w:rPr>
              <w:t>Sensitivity</w:t>
            </w:r>
          </w:p>
        </w:tc>
      </w:tr>
      <w:tr w:rsidR="008432E4" w:rsidRPr="008432E4" w14:paraId="0BA57B53" w14:textId="77777777" w:rsidTr="763E0C43">
        <w:trPr>
          <w:trHeight w:val="227"/>
        </w:trPr>
        <w:tc>
          <w:tcPr>
            <w:tcW w:w="3261" w:type="dxa"/>
            <w:vMerge/>
          </w:tcPr>
          <w:p w14:paraId="4F77F58D" w14:textId="77777777" w:rsidR="00650CF8" w:rsidRPr="00367CD6" w:rsidRDefault="00650CF8" w:rsidP="00703770">
            <w:pPr>
              <w:rPr>
                <w:rFonts w:ascii="Public Sans" w:hAnsi="Public Sans"/>
                <w:sz w:val="17"/>
                <w:szCs w:val="17"/>
              </w:rPr>
            </w:pPr>
          </w:p>
        </w:tc>
        <w:tc>
          <w:tcPr>
            <w:tcW w:w="1098" w:type="dxa"/>
            <w:shd w:val="clear" w:color="auto" w:fill="EBEBEB"/>
          </w:tcPr>
          <w:p w14:paraId="4813F17F" w14:textId="77777777" w:rsidR="00650CF8" w:rsidRPr="00367CD6" w:rsidRDefault="00650CF8" w:rsidP="00703770">
            <w:pPr>
              <w:jc w:val="center"/>
              <w:rPr>
                <w:rFonts w:ascii="Public Sans" w:eastAsia="Arial" w:hAnsi="Public Sans" w:cs="Arial"/>
                <w:sz w:val="17"/>
                <w:szCs w:val="17"/>
              </w:rPr>
            </w:pPr>
            <w:r w:rsidRPr="00367CD6">
              <w:rPr>
                <w:rFonts w:ascii="Public Sans" w:eastAsia="Arial" w:hAnsi="Public Sans" w:cs="Arial"/>
                <w:sz w:val="17"/>
                <w:szCs w:val="17"/>
              </w:rPr>
              <w:t>Budget</w:t>
            </w:r>
          </w:p>
        </w:tc>
        <w:tc>
          <w:tcPr>
            <w:tcW w:w="3296" w:type="dxa"/>
            <w:gridSpan w:val="3"/>
            <w:shd w:val="clear" w:color="auto" w:fill="EBEBEB"/>
          </w:tcPr>
          <w:p w14:paraId="402475B8" w14:textId="77777777" w:rsidR="00650CF8" w:rsidRPr="00367CD6" w:rsidRDefault="00650CF8" w:rsidP="00703770">
            <w:pPr>
              <w:jc w:val="center"/>
              <w:rPr>
                <w:rFonts w:ascii="Public Sans" w:eastAsia="Arial" w:hAnsi="Public Sans" w:cs="Arial"/>
                <w:sz w:val="17"/>
                <w:szCs w:val="17"/>
              </w:rPr>
            </w:pPr>
            <w:r w:rsidRPr="00367CD6">
              <w:rPr>
                <w:rFonts w:ascii="Public Sans" w:eastAsia="Arial" w:hAnsi="Public Sans" w:cs="Arial"/>
                <w:sz w:val="17"/>
                <w:szCs w:val="17"/>
              </w:rPr>
              <w:t>Forward estimates</w:t>
            </w:r>
          </w:p>
        </w:tc>
        <w:tc>
          <w:tcPr>
            <w:tcW w:w="1984" w:type="dxa"/>
            <w:vMerge/>
          </w:tcPr>
          <w:p w14:paraId="51C4F2DA" w14:textId="77777777" w:rsidR="00650CF8" w:rsidRPr="00367CD6" w:rsidRDefault="00650CF8" w:rsidP="00703770">
            <w:pPr>
              <w:jc w:val="center"/>
              <w:rPr>
                <w:rFonts w:ascii="Public Sans" w:eastAsia="Arial" w:hAnsi="Public Sans" w:cs="Arial"/>
                <w:sz w:val="17"/>
                <w:szCs w:val="17"/>
              </w:rPr>
            </w:pPr>
          </w:p>
        </w:tc>
      </w:tr>
      <w:tr w:rsidR="002D7E32" w:rsidRPr="008432E4" w14:paraId="6750D788" w14:textId="77777777" w:rsidTr="00620ED9">
        <w:trPr>
          <w:trHeight w:val="283"/>
        </w:trPr>
        <w:tc>
          <w:tcPr>
            <w:tcW w:w="3261" w:type="dxa"/>
            <w:shd w:val="clear" w:color="auto" w:fill="EBEBEB"/>
          </w:tcPr>
          <w:p w14:paraId="6678E8BB" w14:textId="77777777" w:rsidR="00650CF8" w:rsidRPr="00367CD6" w:rsidRDefault="00650CF8" w:rsidP="00703770">
            <w:pPr>
              <w:rPr>
                <w:rFonts w:ascii="Public Sans" w:hAnsi="Public Sans"/>
                <w:sz w:val="17"/>
                <w:szCs w:val="17"/>
              </w:rPr>
            </w:pPr>
          </w:p>
        </w:tc>
        <w:tc>
          <w:tcPr>
            <w:tcW w:w="1098" w:type="dxa"/>
            <w:shd w:val="clear" w:color="auto" w:fill="EBEBEB"/>
          </w:tcPr>
          <w:p w14:paraId="47853602" w14:textId="77777777" w:rsidR="00650CF8" w:rsidRPr="00367CD6" w:rsidRDefault="00650CF8" w:rsidP="00703770">
            <w:pPr>
              <w:jc w:val="center"/>
              <w:rPr>
                <w:rFonts w:ascii="Public Sans" w:eastAsia="Arial" w:hAnsi="Public Sans" w:cs="Arial"/>
                <w:sz w:val="17"/>
                <w:szCs w:val="17"/>
              </w:rPr>
            </w:pPr>
            <w:r w:rsidRPr="00367CD6">
              <w:rPr>
                <w:rFonts w:ascii="Public Sans" w:eastAsia="Arial" w:hAnsi="Public Sans" w:cs="Arial"/>
                <w:sz w:val="17"/>
                <w:szCs w:val="17"/>
              </w:rPr>
              <w:t>$m</w:t>
            </w:r>
          </w:p>
        </w:tc>
        <w:tc>
          <w:tcPr>
            <w:tcW w:w="1098" w:type="dxa"/>
            <w:shd w:val="clear" w:color="auto" w:fill="EBEBEB"/>
          </w:tcPr>
          <w:p w14:paraId="5C75D007" w14:textId="77777777" w:rsidR="00650CF8" w:rsidRPr="00367CD6" w:rsidRDefault="00650CF8" w:rsidP="00703770">
            <w:pPr>
              <w:jc w:val="center"/>
              <w:rPr>
                <w:rFonts w:ascii="Public Sans" w:eastAsia="Arial" w:hAnsi="Public Sans" w:cs="Arial"/>
                <w:sz w:val="17"/>
                <w:szCs w:val="17"/>
              </w:rPr>
            </w:pPr>
            <w:r w:rsidRPr="00367CD6">
              <w:rPr>
                <w:rFonts w:ascii="Public Sans" w:eastAsia="Arial" w:hAnsi="Public Sans" w:cs="Arial"/>
                <w:sz w:val="17"/>
                <w:szCs w:val="17"/>
              </w:rPr>
              <w:t>$m</w:t>
            </w:r>
          </w:p>
        </w:tc>
        <w:tc>
          <w:tcPr>
            <w:tcW w:w="1099" w:type="dxa"/>
            <w:shd w:val="clear" w:color="auto" w:fill="EBEBEB"/>
          </w:tcPr>
          <w:p w14:paraId="2EBA8C90" w14:textId="77777777" w:rsidR="00650CF8" w:rsidRPr="00367CD6" w:rsidRDefault="00650CF8" w:rsidP="00703770">
            <w:pPr>
              <w:jc w:val="center"/>
              <w:rPr>
                <w:rFonts w:ascii="Public Sans" w:eastAsia="Arial" w:hAnsi="Public Sans" w:cs="Arial"/>
                <w:sz w:val="17"/>
                <w:szCs w:val="17"/>
              </w:rPr>
            </w:pPr>
            <w:r w:rsidRPr="00367CD6">
              <w:rPr>
                <w:rFonts w:ascii="Public Sans" w:eastAsia="Arial" w:hAnsi="Public Sans" w:cs="Arial"/>
                <w:sz w:val="17"/>
                <w:szCs w:val="17"/>
              </w:rPr>
              <w:t>$m</w:t>
            </w:r>
          </w:p>
        </w:tc>
        <w:tc>
          <w:tcPr>
            <w:tcW w:w="1099" w:type="dxa"/>
            <w:shd w:val="clear" w:color="auto" w:fill="EBEBEB"/>
          </w:tcPr>
          <w:p w14:paraId="45AF38FE" w14:textId="77777777" w:rsidR="00650CF8" w:rsidRPr="00367CD6" w:rsidRDefault="00650CF8" w:rsidP="00703770">
            <w:pPr>
              <w:jc w:val="center"/>
              <w:rPr>
                <w:rFonts w:ascii="Public Sans" w:eastAsia="Arial" w:hAnsi="Public Sans" w:cs="Arial"/>
                <w:sz w:val="17"/>
                <w:szCs w:val="17"/>
              </w:rPr>
            </w:pPr>
            <w:r w:rsidRPr="00367CD6">
              <w:rPr>
                <w:rFonts w:ascii="Public Sans" w:eastAsia="Arial" w:hAnsi="Public Sans" w:cs="Arial"/>
                <w:sz w:val="17"/>
                <w:szCs w:val="17"/>
              </w:rPr>
              <w:t>$m</w:t>
            </w:r>
          </w:p>
        </w:tc>
        <w:tc>
          <w:tcPr>
            <w:tcW w:w="1984" w:type="dxa"/>
            <w:vMerge/>
          </w:tcPr>
          <w:p w14:paraId="6E2A4974" w14:textId="77777777" w:rsidR="00650CF8" w:rsidRPr="00367CD6" w:rsidRDefault="00650CF8" w:rsidP="00703770">
            <w:pPr>
              <w:jc w:val="center"/>
              <w:rPr>
                <w:rFonts w:ascii="Public Sans" w:eastAsia="Arial" w:hAnsi="Public Sans" w:cs="Arial"/>
                <w:sz w:val="17"/>
                <w:szCs w:val="17"/>
              </w:rPr>
            </w:pPr>
          </w:p>
        </w:tc>
      </w:tr>
      <w:tr w:rsidR="00650CF8" w:rsidRPr="008432E4" w14:paraId="310BC8DA" w14:textId="77777777" w:rsidTr="00620ED9">
        <w:trPr>
          <w:trHeight w:val="283"/>
        </w:trPr>
        <w:tc>
          <w:tcPr>
            <w:tcW w:w="3261" w:type="dxa"/>
          </w:tcPr>
          <w:p w14:paraId="236967EE" w14:textId="77777777" w:rsidR="00650CF8" w:rsidRPr="00367CD6" w:rsidRDefault="00650CF8" w:rsidP="00620ED9">
            <w:pPr>
              <w:spacing w:before="60"/>
              <w:ind w:left="113" w:hanging="113"/>
              <w:rPr>
                <w:rFonts w:ascii="Public Sans" w:eastAsia="Arial" w:hAnsi="Public Sans" w:cs="Arial"/>
                <w:sz w:val="16"/>
                <w:szCs w:val="16"/>
              </w:rPr>
            </w:pPr>
            <w:r w:rsidRPr="00367CD6">
              <w:rPr>
                <w:rFonts w:ascii="Public Sans" w:eastAsia="Arial" w:hAnsi="Public Sans" w:cs="Arial"/>
                <w:sz w:val="16"/>
                <w:szCs w:val="16"/>
              </w:rPr>
              <w:t>Average compensation of employees</w:t>
            </w:r>
          </w:p>
        </w:tc>
        <w:tc>
          <w:tcPr>
            <w:tcW w:w="1098" w:type="dxa"/>
          </w:tcPr>
          <w:p w14:paraId="1DC4E20A" w14:textId="408A195E" w:rsidR="00650CF8" w:rsidRPr="00367CD6" w:rsidRDefault="43D76F80" w:rsidP="00592CD5">
            <w:pPr>
              <w:spacing w:before="60"/>
              <w:jc w:val="center"/>
              <w:rPr>
                <w:rFonts w:ascii="Public Sans" w:eastAsia="Arial" w:hAnsi="Public Sans" w:cs="Arial"/>
                <w:sz w:val="16"/>
                <w:szCs w:val="16"/>
              </w:rPr>
            </w:pPr>
            <w:r w:rsidRPr="00367CD6">
              <w:rPr>
                <w:rFonts w:ascii="Public Sans" w:eastAsia="Arial" w:hAnsi="Public Sans" w:cs="Arial"/>
                <w:sz w:val="16"/>
                <w:szCs w:val="16"/>
              </w:rPr>
              <w:t>152</w:t>
            </w:r>
          </w:p>
        </w:tc>
        <w:tc>
          <w:tcPr>
            <w:tcW w:w="1098" w:type="dxa"/>
            <w:shd w:val="clear" w:color="auto" w:fill="auto"/>
          </w:tcPr>
          <w:p w14:paraId="2520658A" w14:textId="2C00555D" w:rsidR="00650CF8" w:rsidRPr="00367CD6" w:rsidRDefault="43D76F80" w:rsidP="00592CD5">
            <w:pPr>
              <w:spacing w:before="60"/>
              <w:jc w:val="center"/>
              <w:rPr>
                <w:rFonts w:ascii="Public Sans" w:eastAsia="Arial" w:hAnsi="Public Sans" w:cs="Arial"/>
                <w:sz w:val="16"/>
                <w:szCs w:val="16"/>
              </w:rPr>
            </w:pPr>
            <w:r w:rsidRPr="00367CD6">
              <w:rPr>
                <w:rFonts w:ascii="Public Sans" w:eastAsia="Arial" w:hAnsi="Public Sans" w:cs="Arial"/>
                <w:sz w:val="16"/>
                <w:szCs w:val="16"/>
              </w:rPr>
              <w:t>158</w:t>
            </w:r>
          </w:p>
        </w:tc>
        <w:tc>
          <w:tcPr>
            <w:tcW w:w="1099" w:type="dxa"/>
            <w:shd w:val="clear" w:color="auto" w:fill="auto"/>
          </w:tcPr>
          <w:p w14:paraId="66E412AE" w14:textId="461D6345" w:rsidR="00650CF8" w:rsidRPr="00367CD6" w:rsidRDefault="43D76F80" w:rsidP="00592CD5">
            <w:pPr>
              <w:spacing w:before="60"/>
              <w:jc w:val="center"/>
              <w:rPr>
                <w:rFonts w:ascii="Public Sans" w:eastAsia="Arial" w:hAnsi="Public Sans" w:cs="Arial"/>
                <w:sz w:val="16"/>
                <w:szCs w:val="16"/>
              </w:rPr>
            </w:pPr>
            <w:r w:rsidRPr="00367CD6">
              <w:rPr>
                <w:rFonts w:ascii="Public Sans" w:eastAsia="Arial" w:hAnsi="Public Sans" w:cs="Arial"/>
                <w:sz w:val="16"/>
                <w:szCs w:val="16"/>
              </w:rPr>
              <w:t>166</w:t>
            </w:r>
          </w:p>
        </w:tc>
        <w:tc>
          <w:tcPr>
            <w:tcW w:w="1099" w:type="dxa"/>
            <w:shd w:val="clear" w:color="auto" w:fill="auto"/>
          </w:tcPr>
          <w:p w14:paraId="56AD9C37" w14:textId="4200FCDE" w:rsidR="00650CF8" w:rsidRPr="00367CD6" w:rsidRDefault="43D76F80" w:rsidP="00592CD5">
            <w:pPr>
              <w:spacing w:before="60"/>
              <w:jc w:val="center"/>
              <w:rPr>
                <w:rFonts w:ascii="Public Sans" w:eastAsia="Arial" w:hAnsi="Public Sans" w:cs="Arial"/>
                <w:sz w:val="16"/>
                <w:szCs w:val="16"/>
              </w:rPr>
            </w:pPr>
            <w:r w:rsidRPr="00367CD6">
              <w:rPr>
                <w:rFonts w:ascii="Public Sans" w:eastAsia="Arial" w:hAnsi="Public Sans" w:cs="Arial"/>
                <w:sz w:val="16"/>
                <w:szCs w:val="16"/>
              </w:rPr>
              <w:t>175</w:t>
            </w:r>
          </w:p>
        </w:tc>
        <w:tc>
          <w:tcPr>
            <w:tcW w:w="1984" w:type="dxa"/>
            <w:vMerge w:val="restart"/>
            <w:tcBorders>
              <w:bottom w:val="single" w:sz="4" w:space="0" w:color="auto"/>
            </w:tcBorders>
            <w:vAlign w:val="center"/>
          </w:tcPr>
          <w:p w14:paraId="5D4EBF3F" w14:textId="77777777" w:rsidR="00650CF8" w:rsidRPr="00367CD6" w:rsidRDefault="00650CF8" w:rsidP="00E22946">
            <w:pPr>
              <w:spacing w:before="60"/>
              <w:jc w:val="center"/>
              <w:rPr>
                <w:rFonts w:ascii="Public Sans" w:eastAsia="Arial" w:hAnsi="Public Sans" w:cs="Arial"/>
                <w:sz w:val="16"/>
                <w:szCs w:val="16"/>
              </w:rPr>
            </w:pPr>
            <w:r w:rsidRPr="00367CD6">
              <w:rPr>
                <w:rFonts w:ascii="Public Sans" w:eastAsia="Arial" w:hAnsi="Public Sans" w:cs="Arial"/>
                <w:sz w:val="16"/>
                <w:szCs w:val="16"/>
              </w:rPr>
              <w:t>Single percentage point increase in factor</w:t>
            </w:r>
          </w:p>
        </w:tc>
      </w:tr>
      <w:tr w:rsidR="002D7E32" w:rsidRPr="008432E4" w14:paraId="33F2C3B8" w14:textId="77777777" w:rsidTr="00620ED9">
        <w:trPr>
          <w:trHeight w:val="340"/>
        </w:trPr>
        <w:tc>
          <w:tcPr>
            <w:tcW w:w="3261" w:type="dxa"/>
            <w:tcBorders>
              <w:bottom w:val="single" w:sz="4" w:space="0" w:color="auto"/>
            </w:tcBorders>
          </w:tcPr>
          <w:p w14:paraId="2C251B6D" w14:textId="77777777" w:rsidR="00650CF8" w:rsidRPr="00367CD6" w:rsidRDefault="00650CF8" w:rsidP="00703770">
            <w:pPr>
              <w:spacing w:before="60"/>
              <w:rPr>
                <w:rFonts w:ascii="Public Sans" w:hAnsi="Public Sans"/>
                <w:sz w:val="16"/>
                <w:szCs w:val="16"/>
              </w:rPr>
            </w:pPr>
            <w:r w:rsidRPr="00367CD6">
              <w:rPr>
                <w:rFonts w:ascii="Public Sans" w:eastAsia="Arial" w:hAnsi="Public Sans" w:cs="Arial"/>
                <w:sz w:val="16"/>
                <w:szCs w:val="16"/>
              </w:rPr>
              <w:t>Employment</w:t>
            </w:r>
          </w:p>
        </w:tc>
        <w:tc>
          <w:tcPr>
            <w:tcW w:w="1098" w:type="dxa"/>
            <w:tcBorders>
              <w:bottom w:val="single" w:sz="4" w:space="0" w:color="auto"/>
            </w:tcBorders>
          </w:tcPr>
          <w:p w14:paraId="269A0256" w14:textId="4F4DFCE9" w:rsidR="00650CF8" w:rsidRPr="00367CD6" w:rsidRDefault="7023E985" w:rsidP="00592CD5">
            <w:pPr>
              <w:spacing w:before="60"/>
              <w:jc w:val="center"/>
              <w:rPr>
                <w:rFonts w:ascii="Public Sans" w:eastAsia="Arial" w:hAnsi="Public Sans" w:cs="Arial"/>
                <w:sz w:val="16"/>
                <w:szCs w:val="16"/>
              </w:rPr>
            </w:pPr>
            <w:r w:rsidRPr="00367CD6">
              <w:rPr>
                <w:rFonts w:ascii="Public Sans" w:eastAsia="Arial" w:hAnsi="Public Sans" w:cs="Arial"/>
                <w:sz w:val="16"/>
                <w:szCs w:val="16"/>
              </w:rPr>
              <w:t>154</w:t>
            </w:r>
          </w:p>
        </w:tc>
        <w:tc>
          <w:tcPr>
            <w:tcW w:w="1098" w:type="dxa"/>
            <w:tcBorders>
              <w:bottom w:val="single" w:sz="4" w:space="0" w:color="auto"/>
            </w:tcBorders>
            <w:shd w:val="clear" w:color="auto" w:fill="FFFFFF" w:themeFill="background1"/>
          </w:tcPr>
          <w:p w14:paraId="7D5859A2" w14:textId="5006710B" w:rsidR="00650CF8" w:rsidRPr="00367CD6" w:rsidRDefault="7023E985" w:rsidP="00592CD5">
            <w:pPr>
              <w:spacing w:before="60"/>
              <w:jc w:val="center"/>
              <w:rPr>
                <w:rFonts w:ascii="Public Sans" w:eastAsia="Arial" w:hAnsi="Public Sans" w:cs="Arial"/>
                <w:sz w:val="16"/>
                <w:szCs w:val="16"/>
              </w:rPr>
            </w:pPr>
            <w:r w:rsidRPr="00367CD6">
              <w:rPr>
                <w:rFonts w:ascii="Public Sans" w:eastAsia="Arial" w:hAnsi="Public Sans" w:cs="Arial"/>
                <w:sz w:val="16"/>
                <w:szCs w:val="16"/>
              </w:rPr>
              <w:t>160</w:t>
            </w:r>
          </w:p>
        </w:tc>
        <w:tc>
          <w:tcPr>
            <w:tcW w:w="1099" w:type="dxa"/>
            <w:tcBorders>
              <w:bottom w:val="single" w:sz="4" w:space="0" w:color="auto"/>
            </w:tcBorders>
            <w:shd w:val="clear" w:color="auto" w:fill="FFFFFF" w:themeFill="background1"/>
          </w:tcPr>
          <w:p w14:paraId="41738520" w14:textId="1C8734F7" w:rsidR="00650CF8" w:rsidRPr="00367CD6" w:rsidRDefault="7023E985" w:rsidP="00592CD5">
            <w:pPr>
              <w:spacing w:before="60"/>
              <w:jc w:val="center"/>
              <w:rPr>
                <w:rFonts w:ascii="Public Sans" w:eastAsia="Arial" w:hAnsi="Public Sans" w:cs="Arial"/>
                <w:sz w:val="16"/>
                <w:szCs w:val="16"/>
              </w:rPr>
            </w:pPr>
            <w:r w:rsidRPr="00367CD6">
              <w:rPr>
                <w:rFonts w:ascii="Public Sans" w:eastAsia="Arial" w:hAnsi="Public Sans" w:cs="Arial"/>
                <w:sz w:val="16"/>
                <w:szCs w:val="16"/>
              </w:rPr>
              <w:t>169</w:t>
            </w:r>
          </w:p>
        </w:tc>
        <w:tc>
          <w:tcPr>
            <w:tcW w:w="1099" w:type="dxa"/>
            <w:tcBorders>
              <w:bottom w:val="single" w:sz="4" w:space="0" w:color="auto"/>
            </w:tcBorders>
            <w:shd w:val="clear" w:color="auto" w:fill="FFFFFF" w:themeFill="background1"/>
          </w:tcPr>
          <w:p w14:paraId="07C6FE69" w14:textId="0AB06805" w:rsidR="00650CF8" w:rsidRPr="00367CD6" w:rsidRDefault="7023E985" w:rsidP="00592CD5">
            <w:pPr>
              <w:spacing w:before="60"/>
              <w:jc w:val="center"/>
              <w:rPr>
                <w:rFonts w:ascii="Public Sans" w:eastAsia="Arial" w:hAnsi="Public Sans" w:cs="Arial"/>
                <w:sz w:val="16"/>
                <w:szCs w:val="16"/>
              </w:rPr>
            </w:pPr>
            <w:r w:rsidRPr="00367CD6">
              <w:rPr>
                <w:rFonts w:ascii="Public Sans" w:eastAsia="Arial" w:hAnsi="Public Sans" w:cs="Arial"/>
                <w:sz w:val="16"/>
                <w:szCs w:val="16"/>
              </w:rPr>
              <w:t>177</w:t>
            </w:r>
          </w:p>
        </w:tc>
        <w:tc>
          <w:tcPr>
            <w:tcW w:w="1984" w:type="dxa"/>
            <w:vMerge/>
            <w:tcBorders>
              <w:top w:val="single" w:sz="4" w:space="0" w:color="auto"/>
              <w:bottom w:val="single" w:sz="4" w:space="0" w:color="auto"/>
            </w:tcBorders>
          </w:tcPr>
          <w:p w14:paraId="781AB731" w14:textId="77777777" w:rsidR="00650CF8" w:rsidRPr="00367CD6" w:rsidRDefault="00650CF8" w:rsidP="00703770">
            <w:pPr>
              <w:jc w:val="center"/>
              <w:rPr>
                <w:rFonts w:ascii="Public Sans" w:eastAsia="Arial" w:hAnsi="Public Sans" w:cs="Arial"/>
                <w:sz w:val="16"/>
                <w:szCs w:val="16"/>
              </w:rPr>
            </w:pPr>
          </w:p>
        </w:tc>
      </w:tr>
    </w:tbl>
    <w:p w14:paraId="3C1F986C" w14:textId="77777777" w:rsidR="00650CF8" w:rsidRDefault="00650CF8" w:rsidP="00706319"/>
    <w:p w14:paraId="3FFE9981" w14:textId="2E333FCC" w:rsidR="000F7DA2" w:rsidRPr="0016410E" w:rsidRDefault="00CA1813" w:rsidP="00367CD6">
      <w:pPr>
        <w:pStyle w:val="BodyText"/>
      </w:pPr>
      <w:r w:rsidRPr="18A75C0A">
        <w:t xml:space="preserve">Transfer duty </w:t>
      </w:r>
      <w:r w:rsidR="5AF97AD3" w:rsidRPr="18A75C0A">
        <w:t>revenue forecasts</w:t>
      </w:r>
      <w:r w:rsidRPr="18A75C0A">
        <w:t xml:space="preserve"> rely on the performance of the housing market, including both the volume of residential property sales and the average transacted price. </w:t>
      </w:r>
      <w:r w:rsidR="00DD4742" w:rsidRPr="18A75C0A">
        <w:t xml:space="preserve">Transfer duty is expected to </w:t>
      </w:r>
      <w:r w:rsidR="00E66B2F" w:rsidRPr="7766A1E8">
        <w:t>pick up strongly</w:t>
      </w:r>
      <w:r w:rsidR="00DD4742" w:rsidRPr="18A75C0A">
        <w:t xml:space="preserve"> in 2024-25</w:t>
      </w:r>
      <w:r w:rsidR="00E66B2F" w:rsidRPr="7766A1E8">
        <w:t xml:space="preserve">, supported by </w:t>
      </w:r>
      <w:r w:rsidR="000F5CDB" w:rsidRPr="7766A1E8">
        <w:t xml:space="preserve">an </w:t>
      </w:r>
      <w:r w:rsidR="00E66B2F" w:rsidRPr="7766A1E8">
        <w:t>uplift in both residential property</w:t>
      </w:r>
      <w:r w:rsidR="00DD4742" w:rsidRPr="18A75C0A">
        <w:t xml:space="preserve"> prices and transaction </w:t>
      </w:r>
      <w:r w:rsidR="00E66B2F" w:rsidRPr="7766A1E8">
        <w:t>volumes.</w:t>
      </w:r>
      <w:r w:rsidR="000820D3">
        <w:t xml:space="preserve"> </w:t>
      </w:r>
      <w:r w:rsidRPr="2BAD2824">
        <w:rPr>
          <w:lang w:val="en-US"/>
        </w:rPr>
        <w:t>Table B.3 denotes the sensitivity of forecast transfer duty to a one percentage point increase in residential transacted prices and volumes respectively.</w:t>
      </w:r>
    </w:p>
    <w:p w14:paraId="67CD9352" w14:textId="77777777" w:rsidR="00650CF8" w:rsidRDefault="00650CF8" w:rsidP="00A844F2">
      <w:pPr>
        <w:pStyle w:val="TableBX"/>
      </w:pPr>
      <w:r w:rsidRPr="3FF2B713">
        <w:t>Revenue sensitivities – Transfer duty</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B.3:  Revenue sensitivities – Transfer duty"/>
        <w:tblDescription w:val="Table B.3:  Revenue sensitivities – Transfer duty"/>
      </w:tblPr>
      <w:tblGrid>
        <w:gridCol w:w="3261"/>
        <w:gridCol w:w="1077"/>
        <w:gridCol w:w="1105"/>
        <w:gridCol w:w="1106"/>
        <w:gridCol w:w="1106"/>
        <w:gridCol w:w="1984"/>
      </w:tblGrid>
      <w:tr w:rsidR="00CF01BA" w:rsidRPr="008432E4" w14:paraId="1BA0E97C" w14:textId="77777777" w:rsidTr="009C1B09">
        <w:trPr>
          <w:trHeight w:val="283"/>
        </w:trPr>
        <w:tc>
          <w:tcPr>
            <w:tcW w:w="3261" w:type="dxa"/>
            <w:vMerge w:val="restart"/>
            <w:shd w:val="clear" w:color="auto" w:fill="EBEBEB"/>
            <w:vAlign w:val="center"/>
          </w:tcPr>
          <w:p w14:paraId="5499AD52" w14:textId="77777777" w:rsidR="00650CF8" w:rsidRPr="00367CD6" w:rsidRDefault="00650CF8" w:rsidP="00703770">
            <w:pPr>
              <w:rPr>
                <w:rFonts w:ascii="Public Sans" w:eastAsia="Arial" w:hAnsi="Public Sans" w:cs="Arial"/>
                <w:sz w:val="17"/>
                <w:szCs w:val="17"/>
              </w:rPr>
            </w:pPr>
            <w:r w:rsidRPr="00367CD6">
              <w:rPr>
                <w:rFonts w:ascii="Public Sans" w:eastAsia="Arial" w:hAnsi="Public Sans" w:cs="Arial"/>
                <w:sz w:val="17"/>
                <w:szCs w:val="17"/>
              </w:rPr>
              <w:t>Factors affecting transfer duty</w:t>
            </w:r>
          </w:p>
        </w:tc>
        <w:tc>
          <w:tcPr>
            <w:tcW w:w="1077" w:type="dxa"/>
            <w:shd w:val="clear" w:color="auto" w:fill="EBEBEB"/>
            <w:vAlign w:val="bottom"/>
          </w:tcPr>
          <w:p w14:paraId="269AF849" w14:textId="63BAD56E" w:rsidR="00650CF8" w:rsidRPr="00367CD6" w:rsidRDefault="0018605A" w:rsidP="00703770">
            <w:pPr>
              <w:jc w:val="center"/>
              <w:rPr>
                <w:rFonts w:ascii="Public Sans" w:eastAsia="Arial" w:hAnsi="Public Sans" w:cs="Arial"/>
                <w:sz w:val="17"/>
                <w:szCs w:val="17"/>
              </w:rPr>
            </w:pPr>
            <w:r w:rsidRPr="00367CD6">
              <w:rPr>
                <w:rFonts w:ascii="Public Sans" w:eastAsia="Arial" w:hAnsi="Public Sans" w:cs="Arial"/>
                <w:sz w:val="17"/>
                <w:szCs w:val="17"/>
              </w:rPr>
              <w:t>202</w:t>
            </w:r>
            <w:r w:rsidR="004A24BA" w:rsidRPr="00367CD6">
              <w:rPr>
                <w:rFonts w:ascii="Public Sans" w:eastAsia="Arial" w:hAnsi="Public Sans" w:cs="Arial"/>
                <w:sz w:val="17"/>
                <w:szCs w:val="17"/>
              </w:rPr>
              <w:t>4</w:t>
            </w:r>
            <w:r w:rsidRPr="00367CD6">
              <w:rPr>
                <w:rFonts w:ascii="Public Sans" w:eastAsia="Arial" w:hAnsi="Public Sans" w:cs="Arial"/>
                <w:sz w:val="17"/>
                <w:szCs w:val="17"/>
              </w:rPr>
              <w:t>-2</w:t>
            </w:r>
            <w:r w:rsidR="004A24BA" w:rsidRPr="00367CD6">
              <w:rPr>
                <w:rFonts w:ascii="Public Sans" w:eastAsia="Arial" w:hAnsi="Public Sans" w:cs="Arial"/>
                <w:sz w:val="17"/>
                <w:szCs w:val="17"/>
              </w:rPr>
              <w:t>5</w:t>
            </w:r>
          </w:p>
        </w:tc>
        <w:tc>
          <w:tcPr>
            <w:tcW w:w="1105" w:type="dxa"/>
            <w:shd w:val="clear" w:color="auto" w:fill="EBEBEB"/>
            <w:vAlign w:val="bottom"/>
          </w:tcPr>
          <w:p w14:paraId="2233C5AA" w14:textId="5197A40A" w:rsidR="00650CF8" w:rsidRPr="00367CD6" w:rsidRDefault="0018605A" w:rsidP="00703770">
            <w:pPr>
              <w:jc w:val="center"/>
              <w:rPr>
                <w:rFonts w:ascii="Public Sans" w:eastAsia="Arial" w:hAnsi="Public Sans" w:cs="Arial"/>
                <w:sz w:val="17"/>
                <w:szCs w:val="17"/>
              </w:rPr>
            </w:pPr>
            <w:r w:rsidRPr="00367CD6">
              <w:rPr>
                <w:rFonts w:ascii="Public Sans" w:eastAsia="Arial" w:hAnsi="Public Sans" w:cs="Arial"/>
                <w:sz w:val="17"/>
                <w:szCs w:val="17"/>
              </w:rPr>
              <w:t>202</w:t>
            </w:r>
            <w:r w:rsidR="004A24BA" w:rsidRPr="00367CD6">
              <w:rPr>
                <w:rFonts w:ascii="Public Sans" w:eastAsia="Arial" w:hAnsi="Public Sans" w:cs="Arial"/>
                <w:sz w:val="17"/>
                <w:szCs w:val="17"/>
              </w:rPr>
              <w:t>5</w:t>
            </w:r>
            <w:r w:rsidRPr="00367CD6">
              <w:rPr>
                <w:rFonts w:ascii="Public Sans" w:eastAsia="Arial" w:hAnsi="Public Sans" w:cs="Arial"/>
                <w:sz w:val="17"/>
                <w:szCs w:val="17"/>
              </w:rPr>
              <w:t>-2</w:t>
            </w:r>
            <w:r w:rsidR="004A24BA" w:rsidRPr="00367CD6">
              <w:rPr>
                <w:rFonts w:ascii="Public Sans" w:eastAsia="Arial" w:hAnsi="Public Sans" w:cs="Arial"/>
                <w:sz w:val="17"/>
                <w:szCs w:val="17"/>
              </w:rPr>
              <w:t>6</w:t>
            </w:r>
          </w:p>
        </w:tc>
        <w:tc>
          <w:tcPr>
            <w:tcW w:w="1106" w:type="dxa"/>
            <w:shd w:val="clear" w:color="auto" w:fill="EBEBEB"/>
            <w:vAlign w:val="bottom"/>
          </w:tcPr>
          <w:p w14:paraId="3732C6A0" w14:textId="2A453734" w:rsidR="00650CF8" w:rsidRPr="00367CD6" w:rsidRDefault="0018605A" w:rsidP="00703770">
            <w:pPr>
              <w:jc w:val="center"/>
              <w:rPr>
                <w:rFonts w:ascii="Public Sans" w:eastAsia="Arial" w:hAnsi="Public Sans" w:cs="Arial"/>
                <w:sz w:val="17"/>
                <w:szCs w:val="17"/>
              </w:rPr>
            </w:pPr>
            <w:r w:rsidRPr="00367CD6">
              <w:rPr>
                <w:rFonts w:ascii="Public Sans" w:eastAsia="Arial" w:hAnsi="Public Sans" w:cs="Arial"/>
                <w:sz w:val="17"/>
                <w:szCs w:val="17"/>
              </w:rPr>
              <w:t>202</w:t>
            </w:r>
            <w:r w:rsidR="004A24BA" w:rsidRPr="00367CD6">
              <w:rPr>
                <w:rFonts w:ascii="Public Sans" w:eastAsia="Arial" w:hAnsi="Public Sans" w:cs="Arial"/>
                <w:sz w:val="17"/>
                <w:szCs w:val="17"/>
              </w:rPr>
              <w:t>6</w:t>
            </w:r>
            <w:r w:rsidRPr="00367CD6">
              <w:rPr>
                <w:rFonts w:ascii="Public Sans" w:eastAsia="Arial" w:hAnsi="Public Sans" w:cs="Arial"/>
                <w:sz w:val="17"/>
                <w:szCs w:val="17"/>
              </w:rPr>
              <w:t>-2</w:t>
            </w:r>
            <w:r w:rsidR="004A24BA" w:rsidRPr="00367CD6">
              <w:rPr>
                <w:rFonts w:ascii="Public Sans" w:eastAsia="Arial" w:hAnsi="Public Sans" w:cs="Arial"/>
                <w:sz w:val="17"/>
                <w:szCs w:val="17"/>
              </w:rPr>
              <w:t>7</w:t>
            </w:r>
          </w:p>
        </w:tc>
        <w:tc>
          <w:tcPr>
            <w:tcW w:w="1106" w:type="dxa"/>
            <w:shd w:val="clear" w:color="auto" w:fill="EBEBEB"/>
            <w:vAlign w:val="bottom"/>
          </w:tcPr>
          <w:p w14:paraId="31FAC6FC" w14:textId="4C4F2489" w:rsidR="00650CF8" w:rsidRPr="00367CD6" w:rsidRDefault="0018605A" w:rsidP="00703770">
            <w:pPr>
              <w:jc w:val="center"/>
              <w:rPr>
                <w:rFonts w:ascii="Public Sans" w:eastAsia="Arial" w:hAnsi="Public Sans" w:cs="Arial"/>
                <w:sz w:val="17"/>
                <w:szCs w:val="17"/>
              </w:rPr>
            </w:pPr>
            <w:r w:rsidRPr="00367CD6">
              <w:rPr>
                <w:rFonts w:ascii="Public Sans" w:eastAsia="Arial" w:hAnsi="Public Sans" w:cs="Arial"/>
                <w:sz w:val="17"/>
                <w:szCs w:val="17"/>
              </w:rPr>
              <w:t>202</w:t>
            </w:r>
            <w:r w:rsidR="00DD6556" w:rsidRPr="00367CD6">
              <w:rPr>
                <w:rFonts w:ascii="Public Sans" w:eastAsia="Arial" w:hAnsi="Public Sans" w:cs="Arial"/>
                <w:sz w:val="17"/>
                <w:szCs w:val="17"/>
              </w:rPr>
              <w:t>7</w:t>
            </w:r>
            <w:r w:rsidRPr="00367CD6">
              <w:rPr>
                <w:rFonts w:ascii="Public Sans" w:eastAsia="Arial" w:hAnsi="Public Sans" w:cs="Arial"/>
                <w:sz w:val="17"/>
                <w:szCs w:val="17"/>
              </w:rPr>
              <w:t>-2</w:t>
            </w:r>
            <w:r w:rsidR="00DD6556" w:rsidRPr="00367CD6">
              <w:rPr>
                <w:rFonts w:ascii="Public Sans" w:eastAsia="Arial" w:hAnsi="Public Sans" w:cs="Arial"/>
                <w:sz w:val="17"/>
                <w:szCs w:val="17"/>
              </w:rPr>
              <w:t>8</w:t>
            </w:r>
          </w:p>
        </w:tc>
        <w:tc>
          <w:tcPr>
            <w:tcW w:w="1984" w:type="dxa"/>
            <w:vMerge w:val="restart"/>
            <w:shd w:val="clear" w:color="auto" w:fill="4F4F4F"/>
            <w:vAlign w:val="center"/>
          </w:tcPr>
          <w:p w14:paraId="7CB089BC" w14:textId="77777777" w:rsidR="00650CF8" w:rsidRPr="00367CD6" w:rsidRDefault="00650CF8" w:rsidP="00703770">
            <w:pPr>
              <w:jc w:val="center"/>
              <w:rPr>
                <w:rFonts w:ascii="Public Sans" w:eastAsia="Arial" w:hAnsi="Public Sans" w:cs="Arial"/>
                <w:color w:val="FFFFFF" w:themeColor="background1"/>
                <w:sz w:val="17"/>
                <w:szCs w:val="17"/>
              </w:rPr>
            </w:pPr>
            <w:r w:rsidRPr="00367CD6">
              <w:rPr>
                <w:rFonts w:ascii="Public Sans" w:eastAsia="Arial" w:hAnsi="Public Sans" w:cs="Arial"/>
                <w:color w:val="FFFFFF" w:themeColor="background1"/>
                <w:sz w:val="17"/>
                <w:szCs w:val="17"/>
              </w:rPr>
              <w:t>Sensitivity</w:t>
            </w:r>
          </w:p>
        </w:tc>
      </w:tr>
      <w:tr w:rsidR="00BE7FE6" w:rsidRPr="008432E4" w14:paraId="04FA7164" w14:textId="77777777" w:rsidTr="00367CD6">
        <w:trPr>
          <w:trHeight w:val="227"/>
        </w:trPr>
        <w:tc>
          <w:tcPr>
            <w:tcW w:w="3261" w:type="dxa"/>
            <w:vMerge/>
          </w:tcPr>
          <w:p w14:paraId="0729FB03" w14:textId="77777777" w:rsidR="00650CF8" w:rsidRPr="00367CD6" w:rsidRDefault="00650CF8" w:rsidP="00703770">
            <w:pPr>
              <w:rPr>
                <w:rFonts w:ascii="Public Sans" w:hAnsi="Public Sans"/>
                <w:sz w:val="17"/>
                <w:szCs w:val="17"/>
              </w:rPr>
            </w:pPr>
          </w:p>
        </w:tc>
        <w:tc>
          <w:tcPr>
            <w:tcW w:w="1077" w:type="dxa"/>
            <w:shd w:val="clear" w:color="auto" w:fill="EBEBEB"/>
          </w:tcPr>
          <w:p w14:paraId="708F6812" w14:textId="0BFBA71D" w:rsidR="00650CF8" w:rsidRPr="00367CD6" w:rsidRDefault="00650CF8" w:rsidP="00703770">
            <w:pPr>
              <w:jc w:val="center"/>
              <w:rPr>
                <w:rFonts w:ascii="Public Sans" w:eastAsia="Arial" w:hAnsi="Public Sans" w:cs="Arial"/>
                <w:sz w:val="17"/>
                <w:szCs w:val="17"/>
              </w:rPr>
            </w:pPr>
            <w:r w:rsidRPr="00367CD6">
              <w:rPr>
                <w:rFonts w:ascii="Public Sans" w:eastAsia="Arial" w:hAnsi="Public Sans" w:cs="Arial"/>
                <w:sz w:val="17"/>
                <w:szCs w:val="17"/>
              </w:rPr>
              <w:t>Budget</w:t>
            </w:r>
          </w:p>
        </w:tc>
        <w:tc>
          <w:tcPr>
            <w:tcW w:w="3317" w:type="dxa"/>
            <w:gridSpan w:val="3"/>
            <w:shd w:val="clear" w:color="auto" w:fill="EBEBEB"/>
          </w:tcPr>
          <w:p w14:paraId="48986D67" w14:textId="4471B98E" w:rsidR="00650CF8" w:rsidRPr="00367CD6" w:rsidRDefault="00650CF8" w:rsidP="00703770">
            <w:pPr>
              <w:jc w:val="center"/>
              <w:rPr>
                <w:rFonts w:ascii="Public Sans" w:eastAsia="Arial" w:hAnsi="Public Sans" w:cs="Arial"/>
                <w:sz w:val="17"/>
                <w:szCs w:val="17"/>
              </w:rPr>
            </w:pPr>
            <w:r w:rsidRPr="00367CD6">
              <w:rPr>
                <w:rFonts w:ascii="Public Sans" w:eastAsia="Arial" w:hAnsi="Public Sans" w:cs="Arial"/>
                <w:sz w:val="17"/>
                <w:szCs w:val="17"/>
              </w:rPr>
              <w:t>Forward estimates</w:t>
            </w:r>
          </w:p>
        </w:tc>
        <w:tc>
          <w:tcPr>
            <w:tcW w:w="1984" w:type="dxa"/>
            <w:vMerge/>
          </w:tcPr>
          <w:p w14:paraId="1AA9F3CB" w14:textId="77777777" w:rsidR="00650CF8" w:rsidRPr="00367CD6" w:rsidRDefault="00650CF8" w:rsidP="00703770">
            <w:pPr>
              <w:jc w:val="center"/>
              <w:rPr>
                <w:rFonts w:ascii="Public Sans" w:eastAsia="Arial" w:hAnsi="Public Sans" w:cs="Arial"/>
                <w:color w:val="FFFFFF" w:themeColor="background1"/>
                <w:sz w:val="17"/>
                <w:szCs w:val="17"/>
              </w:rPr>
            </w:pPr>
          </w:p>
        </w:tc>
      </w:tr>
      <w:tr w:rsidR="00A844F2" w:rsidRPr="008432E4" w14:paraId="75A5CCC5" w14:textId="77777777" w:rsidTr="00367CD6">
        <w:trPr>
          <w:trHeight w:val="283"/>
        </w:trPr>
        <w:tc>
          <w:tcPr>
            <w:tcW w:w="3261" w:type="dxa"/>
            <w:shd w:val="clear" w:color="auto" w:fill="EBEBEB"/>
          </w:tcPr>
          <w:p w14:paraId="16DCB71D" w14:textId="77777777" w:rsidR="00650CF8" w:rsidRPr="00367CD6" w:rsidRDefault="00650CF8" w:rsidP="00703770">
            <w:pPr>
              <w:rPr>
                <w:rFonts w:ascii="Public Sans" w:hAnsi="Public Sans"/>
                <w:sz w:val="17"/>
                <w:szCs w:val="17"/>
              </w:rPr>
            </w:pPr>
          </w:p>
        </w:tc>
        <w:tc>
          <w:tcPr>
            <w:tcW w:w="1077" w:type="dxa"/>
            <w:shd w:val="clear" w:color="auto" w:fill="EBEBEB"/>
          </w:tcPr>
          <w:p w14:paraId="2C698657" w14:textId="77777777" w:rsidR="00650CF8" w:rsidRPr="00367CD6" w:rsidRDefault="00650CF8" w:rsidP="00703770">
            <w:pPr>
              <w:jc w:val="center"/>
              <w:rPr>
                <w:rFonts w:ascii="Public Sans" w:eastAsia="Arial" w:hAnsi="Public Sans" w:cs="Arial"/>
                <w:sz w:val="17"/>
                <w:szCs w:val="17"/>
              </w:rPr>
            </w:pPr>
            <w:r w:rsidRPr="00367CD6">
              <w:rPr>
                <w:rFonts w:ascii="Public Sans" w:eastAsia="Arial" w:hAnsi="Public Sans" w:cs="Arial"/>
                <w:sz w:val="17"/>
                <w:szCs w:val="17"/>
              </w:rPr>
              <w:t>$m</w:t>
            </w:r>
          </w:p>
        </w:tc>
        <w:tc>
          <w:tcPr>
            <w:tcW w:w="1105" w:type="dxa"/>
            <w:shd w:val="clear" w:color="auto" w:fill="EBEBEB"/>
          </w:tcPr>
          <w:p w14:paraId="675370EC" w14:textId="77777777" w:rsidR="00650CF8" w:rsidRPr="00367CD6" w:rsidRDefault="00650CF8" w:rsidP="00703770">
            <w:pPr>
              <w:jc w:val="center"/>
              <w:rPr>
                <w:rFonts w:ascii="Public Sans" w:eastAsia="Arial" w:hAnsi="Public Sans" w:cs="Arial"/>
                <w:sz w:val="17"/>
                <w:szCs w:val="17"/>
              </w:rPr>
            </w:pPr>
            <w:r w:rsidRPr="00367CD6">
              <w:rPr>
                <w:rFonts w:ascii="Public Sans" w:eastAsia="Arial" w:hAnsi="Public Sans" w:cs="Arial"/>
                <w:sz w:val="17"/>
                <w:szCs w:val="17"/>
              </w:rPr>
              <w:t>$m</w:t>
            </w:r>
          </w:p>
        </w:tc>
        <w:tc>
          <w:tcPr>
            <w:tcW w:w="1106" w:type="dxa"/>
            <w:shd w:val="clear" w:color="auto" w:fill="EBEBEB"/>
          </w:tcPr>
          <w:p w14:paraId="07200C38" w14:textId="77777777" w:rsidR="00650CF8" w:rsidRPr="00367CD6" w:rsidRDefault="00650CF8" w:rsidP="00703770">
            <w:pPr>
              <w:jc w:val="center"/>
              <w:rPr>
                <w:rFonts w:ascii="Public Sans" w:eastAsia="Arial" w:hAnsi="Public Sans" w:cs="Arial"/>
                <w:sz w:val="17"/>
                <w:szCs w:val="17"/>
              </w:rPr>
            </w:pPr>
            <w:r w:rsidRPr="00367CD6">
              <w:rPr>
                <w:rFonts w:ascii="Public Sans" w:eastAsia="Arial" w:hAnsi="Public Sans" w:cs="Arial"/>
                <w:sz w:val="17"/>
                <w:szCs w:val="17"/>
              </w:rPr>
              <w:t>$m</w:t>
            </w:r>
          </w:p>
        </w:tc>
        <w:tc>
          <w:tcPr>
            <w:tcW w:w="1106" w:type="dxa"/>
            <w:shd w:val="clear" w:color="auto" w:fill="EBEBEB"/>
          </w:tcPr>
          <w:p w14:paraId="738164D5" w14:textId="77777777" w:rsidR="00650CF8" w:rsidRPr="00367CD6" w:rsidRDefault="00650CF8" w:rsidP="00703770">
            <w:pPr>
              <w:jc w:val="center"/>
              <w:rPr>
                <w:rFonts w:ascii="Public Sans" w:eastAsia="Arial" w:hAnsi="Public Sans" w:cs="Arial"/>
                <w:sz w:val="17"/>
                <w:szCs w:val="17"/>
              </w:rPr>
            </w:pPr>
            <w:r w:rsidRPr="00367CD6">
              <w:rPr>
                <w:rFonts w:ascii="Public Sans" w:eastAsia="Arial" w:hAnsi="Public Sans" w:cs="Arial"/>
                <w:sz w:val="17"/>
                <w:szCs w:val="17"/>
              </w:rPr>
              <w:t>$m</w:t>
            </w:r>
          </w:p>
        </w:tc>
        <w:tc>
          <w:tcPr>
            <w:tcW w:w="1984" w:type="dxa"/>
            <w:vMerge/>
          </w:tcPr>
          <w:p w14:paraId="46062AD3" w14:textId="77777777" w:rsidR="00650CF8" w:rsidRPr="00367CD6" w:rsidRDefault="00650CF8" w:rsidP="00703770">
            <w:pPr>
              <w:jc w:val="center"/>
              <w:rPr>
                <w:rFonts w:ascii="Public Sans" w:eastAsia="Arial" w:hAnsi="Public Sans" w:cs="Arial"/>
                <w:color w:val="FFFFFF" w:themeColor="background1"/>
                <w:sz w:val="17"/>
                <w:szCs w:val="17"/>
              </w:rPr>
            </w:pPr>
          </w:p>
        </w:tc>
      </w:tr>
      <w:tr w:rsidR="00650CF8" w:rsidRPr="008432E4" w14:paraId="34738A29" w14:textId="77777777" w:rsidTr="00367CD6">
        <w:trPr>
          <w:trHeight w:val="480"/>
        </w:trPr>
        <w:tc>
          <w:tcPr>
            <w:tcW w:w="3261" w:type="dxa"/>
            <w:shd w:val="clear" w:color="auto" w:fill="auto"/>
          </w:tcPr>
          <w:p w14:paraId="74ADA5E3" w14:textId="77777777" w:rsidR="00650CF8" w:rsidRPr="00367CD6" w:rsidRDefault="00650CF8" w:rsidP="00620ED9">
            <w:pPr>
              <w:spacing w:before="60"/>
              <w:ind w:left="113" w:hanging="113"/>
              <w:rPr>
                <w:rFonts w:ascii="Public Sans" w:hAnsi="Public Sans"/>
                <w:sz w:val="16"/>
                <w:szCs w:val="16"/>
              </w:rPr>
            </w:pPr>
            <w:r w:rsidRPr="00367CD6">
              <w:rPr>
                <w:rFonts w:ascii="Public Sans" w:eastAsia="Arial" w:hAnsi="Public Sans" w:cs="Arial"/>
                <w:sz w:val="16"/>
                <w:szCs w:val="16"/>
              </w:rPr>
              <w:t>Residential prices (average transacted price)</w:t>
            </w:r>
          </w:p>
        </w:tc>
        <w:tc>
          <w:tcPr>
            <w:tcW w:w="1077" w:type="dxa"/>
            <w:shd w:val="clear" w:color="auto" w:fill="auto"/>
          </w:tcPr>
          <w:p w14:paraId="44C1ED46" w14:textId="4C77684E" w:rsidR="00650CF8" w:rsidRPr="00367CD6" w:rsidRDefault="598DA960" w:rsidP="00703770">
            <w:pPr>
              <w:spacing w:before="60"/>
              <w:jc w:val="center"/>
              <w:rPr>
                <w:rFonts w:ascii="Public Sans" w:eastAsia="Arial" w:hAnsi="Public Sans" w:cs="Arial"/>
                <w:sz w:val="16"/>
                <w:szCs w:val="16"/>
              </w:rPr>
            </w:pPr>
            <w:r w:rsidRPr="00367CD6">
              <w:rPr>
                <w:rFonts w:ascii="Public Sans" w:eastAsia="Arial" w:hAnsi="Public Sans" w:cs="Arial"/>
                <w:sz w:val="16"/>
                <w:szCs w:val="16"/>
              </w:rPr>
              <w:t>123</w:t>
            </w:r>
          </w:p>
        </w:tc>
        <w:tc>
          <w:tcPr>
            <w:tcW w:w="1105" w:type="dxa"/>
            <w:shd w:val="clear" w:color="auto" w:fill="auto"/>
          </w:tcPr>
          <w:p w14:paraId="5EB8815A" w14:textId="7E36847F" w:rsidR="00650CF8" w:rsidRPr="00367CD6" w:rsidRDefault="598DA960" w:rsidP="00703770">
            <w:pPr>
              <w:spacing w:before="60"/>
              <w:jc w:val="center"/>
              <w:rPr>
                <w:rFonts w:ascii="Public Sans" w:eastAsia="Arial" w:hAnsi="Public Sans" w:cs="Arial"/>
                <w:sz w:val="16"/>
                <w:szCs w:val="16"/>
              </w:rPr>
            </w:pPr>
            <w:r w:rsidRPr="00367CD6">
              <w:rPr>
                <w:rFonts w:ascii="Public Sans" w:eastAsia="Arial" w:hAnsi="Public Sans" w:cs="Arial"/>
                <w:sz w:val="16"/>
                <w:szCs w:val="16"/>
              </w:rPr>
              <w:t>134</w:t>
            </w:r>
          </w:p>
        </w:tc>
        <w:tc>
          <w:tcPr>
            <w:tcW w:w="1106" w:type="dxa"/>
            <w:shd w:val="clear" w:color="auto" w:fill="auto"/>
          </w:tcPr>
          <w:p w14:paraId="67473B40" w14:textId="30967D3B" w:rsidR="00650CF8" w:rsidRPr="00367CD6" w:rsidRDefault="598DA960" w:rsidP="00703770">
            <w:pPr>
              <w:spacing w:before="60"/>
              <w:jc w:val="center"/>
              <w:rPr>
                <w:rFonts w:ascii="Public Sans" w:eastAsia="Arial" w:hAnsi="Public Sans" w:cs="Arial"/>
                <w:sz w:val="16"/>
                <w:szCs w:val="16"/>
              </w:rPr>
            </w:pPr>
            <w:r w:rsidRPr="00367CD6">
              <w:rPr>
                <w:rFonts w:ascii="Public Sans" w:eastAsia="Arial" w:hAnsi="Public Sans" w:cs="Arial"/>
                <w:sz w:val="16"/>
                <w:szCs w:val="16"/>
              </w:rPr>
              <w:t>129</w:t>
            </w:r>
          </w:p>
        </w:tc>
        <w:tc>
          <w:tcPr>
            <w:tcW w:w="1106" w:type="dxa"/>
            <w:shd w:val="clear" w:color="auto" w:fill="auto"/>
          </w:tcPr>
          <w:p w14:paraId="32B8F31F" w14:textId="05D46E4A" w:rsidR="00650CF8" w:rsidRPr="00367CD6" w:rsidRDefault="598DA960" w:rsidP="00703770">
            <w:pPr>
              <w:spacing w:before="60"/>
              <w:jc w:val="center"/>
              <w:rPr>
                <w:rFonts w:ascii="Public Sans" w:eastAsia="Arial" w:hAnsi="Public Sans" w:cs="Arial"/>
                <w:sz w:val="16"/>
                <w:szCs w:val="16"/>
              </w:rPr>
            </w:pPr>
            <w:r w:rsidRPr="00367CD6">
              <w:rPr>
                <w:rFonts w:ascii="Public Sans" w:eastAsia="Arial" w:hAnsi="Public Sans" w:cs="Arial"/>
                <w:sz w:val="16"/>
                <w:szCs w:val="16"/>
              </w:rPr>
              <w:t>131</w:t>
            </w:r>
          </w:p>
        </w:tc>
        <w:tc>
          <w:tcPr>
            <w:tcW w:w="1984" w:type="dxa"/>
            <w:vMerge w:val="restart"/>
            <w:tcBorders>
              <w:bottom w:val="single" w:sz="4" w:space="0" w:color="auto"/>
            </w:tcBorders>
            <w:shd w:val="clear" w:color="auto" w:fill="auto"/>
            <w:vAlign w:val="center"/>
          </w:tcPr>
          <w:p w14:paraId="7C53C32D" w14:textId="77777777" w:rsidR="00650CF8" w:rsidRPr="00367CD6" w:rsidRDefault="00650CF8" w:rsidP="00E22946">
            <w:pPr>
              <w:spacing w:before="60"/>
              <w:jc w:val="center"/>
              <w:rPr>
                <w:rFonts w:ascii="Public Sans" w:eastAsia="Arial" w:hAnsi="Public Sans" w:cs="Arial"/>
                <w:sz w:val="16"/>
                <w:szCs w:val="16"/>
              </w:rPr>
            </w:pPr>
            <w:r w:rsidRPr="00367CD6">
              <w:rPr>
                <w:rFonts w:ascii="Public Sans" w:eastAsia="Arial" w:hAnsi="Public Sans" w:cs="Arial"/>
                <w:sz w:val="16"/>
                <w:szCs w:val="16"/>
              </w:rPr>
              <w:t>Single percentage point increase in factor</w:t>
            </w:r>
          </w:p>
        </w:tc>
      </w:tr>
      <w:tr w:rsidR="00650CF8" w:rsidRPr="008432E4" w14:paraId="198FD508" w14:textId="77777777" w:rsidTr="00367CD6">
        <w:trPr>
          <w:trHeight w:val="340"/>
        </w:trPr>
        <w:tc>
          <w:tcPr>
            <w:tcW w:w="3261" w:type="dxa"/>
            <w:tcBorders>
              <w:bottom w:val="single" w:sz="4" w:space="0" w:color="auto"/>
            </w:tcBorders>
          </w:tcPr>
          <w:p w14:paraId="4F8827A0" w14:textId="77777777" w:rsidR="00650CF8" w:rsidRPr="00367CD6" w:rsidRDefault="00650CF8" w:rsidP="00703770">
            <w:pPr>
              <w:spacing w:before="60"/>
              <w:rPr>
                <w:rFonts w:ascii="Public Sans" w:hAnsi="Public Sans"/>
                <w:sz w:val="16"/>
                <w:szCs w:val="16"/>
              </w:rPr>
            </w:pPr>
            <w:r w:rsidRPr="00367CD6">
              <w:rPr>
                <w:rFonts w:ascii="Public Sans" w:eastAsia="Arial" w:hAnsi="Public Sans" w:cs="Arial"/>
                <w:sz w:val="16"/>
                <w:szCs w:val="16"/>
              </w:rPr>
              <w:t>Residential transaction volumes</w:t>
            </w:r>
          </w:p>
        </w:tc>
        <w:tc>
          <w:tcPr>
            <w:tcW w:w="1077" w:type="dxa"/>
            <w:tcBorders>
              <w:bottom w:val="single" w:sz="4" w:space="0" w:color="auto"/>
            </w:tcBorders>
          </w:tcPr>
          <w:p w14:paraId="35651212" w14:textId="39DA957F" w:rsidR="00650CF8" w:rsidRPr="00367CD6" w:rsidRDefault="5CE9593A" w:rsidP="00703770">
            <w:pPr>
              <w:spacing w:before="60"/>
              <w:jc w:val="center"/>
              <w:rPr>
                <w:rFonts w:ascii="Public Sans" w:eastAsia="Arial" w:hAnsi="Public Sans" w:cs="Arial"/>
                <w:sz w:val="16"/>
                <w:szCs w:val="16"/>
              </w:rPr>
            </w:pPr>
            <w:r w:rsidRPr="00367CD6">
              <w:rPr>
                <w:rFonts w:ascii="Public Sans" w:eastAsia="Arial" w:hAnsi="Public Sans" w:cs="Arial"/>
                <w:sz w:val="16"/>
                <w:szCs w:val="16"/>
              </w:rPr>
              <w:t>108</w:t>
            </w:r>
          </w:p>
        </w:tc>
        <w:tc>
          <w:tcPr>
            <w:tcW w:w="1105" w:type="dxa"/>
            <w:tcBorders>
              <w:bottom w:val="single" w:sz="4" w:space="0" w:color="auto"/>
            </w:tcBorders>
            <w:shd w:val="clear" w:color="auto" w:fill="FFFFFF" w:themeFill="background1"/>
          </w:tcPr>
          <w:p w14:paraId="01731A6E" w14:textId="32FA828B" w:rsidR="00650CF8" w:rsidRPr="00367CD6" w:rsidRDefault="5CE9593A" w:rsidP="00703770">
            <w:pPr>
              <w:spacing w:before="60"/>
              <w:jc w:val="center"/>
              <w:rPr>
                <w:rFonts w:ascii="Public Sans" w:eastAsia="Arial" w:hAnsi="Public Sans" w:cs="Arial"/>
                <w:sz w:val="16"/>
                <w:szCs w:val="16"/>
              </w:rPr>
            </w:pPr>
            <w:r w:rsidRPr="00367CD6">
              <w:rPr>
                <w:rFonts w:ascii="Public Sans" w:eastAsia="Arial" w:hAnsi="Public Sans" w:cs="Arial"/>
                <w:sz w:val="16"/>
                <w:szCs w:val="16"/>
              </w:rPr>
              <w:t>115</w:t>
            </w:r>
          </w:p>
        </w:tc>
        <w:tc>
          <w:tcPr>
            <w:tcW w:w="1106" w:type="dxa"/>
            <w:tcBorders>
              <w:bottom w:val="single" w:sz="4" w:space="0" w:color="auto"/>
            </w:tcBorders>
            <w:shd w:val="clear" w:color="auto" w:fill="FFFFFF" w:themeFill="background1"/>
          </w:tcPr>
          <w:p w14:paraId="37C991ED" w14:textId="2CDEEFA5" w:rsidR="00650CF8" w:rsidRPr="00367CD6" w:rsidRDefault="5CE9593A" w:rsidP="00703770">
            <w:pPr>
              <w:spacing w:before="60"/>
              <w:jc w:val="center"/>
              <w:rPr>
                <w:rFonts w:ascii="Public Sans" w:eastAsia="Arial" w:hAnsi="Public Sans" w:cs="Arial"/>
                <w:sz w:val="16"/>
                <w:szCs w:val="16"/>
              </w:rPr>
            </w:pPr>
            <w:r w:rsidRPr="00367CD6">
              <w:rPr>
                <w:rFonts w:ascii="Public Sans" w:eastAsia="Arial" w:hAnsi="Public Sans" w:cs="Arial"/>
                <w:sz w:val="16"/>
                <w:szCs w:val="16"/>
              </w:rPr>
              <w:t>112</w:t>
            </w:r>
          </w:p>
        </w:tc>
        <w:tc>
          <w:tcPr>
            <w:tcW w:w="1106" w:type="dxa"/>
            <w:tcBorders>
              <w:bottom w:val="single" w:sz="4" w:space="0" w:color="auto"/>
            </w:tcBorders>
            <w:shd w:val="clear" w:color="auto" w:fill="FFFFFF" w:themeFill="background1"/>
          </w:tcPr>
          <w:p w14:paraId="4AF01221" w14:textId="7787AA29" w:rsidR="00650CF8" w:rsidRPr="00367CD6" w:rsidRDefault="5CE9593A" w:rsidP="00703770">
            <w:pPr>
              <w:spacing w:before="60"/>
              <w:jc w:val="center"/>
              <w:rPr>
                <w:rFonts w:ascii="Public Sans" w:eastAsia="Arial" w:hAnsi="Public Sans" w:cs="Arial"/>
                <w:sz w:val="16"/>
                <w:szCs w:val="16"/>
              </w:rPr>
            </w:pPr>
            <w:r w:rsidRPr="00367CD6">
              <w:rPr>
                <w:rFonts w:ascii="Public Sans" w:eastAsia="Arial" w:hAnsi="Public Sans" w:cs="Arial"/>
                <w:sz w:val="16"/>
                <w:szCs w:val="16"/>
              </w:rPr>
              <w:t>113</w:t>
            </w:r>
          </w:p>
        </w:tc>
        <w:tc>
          <w:tcPr>
            <w:tcW w:w="1984" w:type="dxa"/>
            <w:vMerge/>
            <w:tcBorders>
              <w:top w:val="single" w:sz="4" w:space="0" w:color="auto"/>
              <w:bottom w:val="single" w:sz="4" w:space="0" w:color="auto"/>
            </w:tcBorders>
          </w:tcPr>
          <w:p w14:paraId="76F469E8" w14:textId="77777777" w:rsidR="00650CF8" w:rsidRPr="00367CD6" w:rsidRDefault="00650CF8" w:rsidP="00703770">
            <w:pPr>
              <w:rPr>
                <w:rFonts w:ascii="Public Sans" w:hAnsi="Public Sans"/>
                <w:sz w:val="16"/>
                <w:szCs w:val="16"/>
              </w:rPr>
            </w:pPr>
          </w:p>
        </w:tc>
      </w:tr>
    </w:tbl>
    <w:p w14:paraId="3DEC4F2D" w14:textId="77777777" w:rsidR="00650CF8" w:rsidRDefault="00650CF8" w:rsidP="00650CF8">
      <w:pPr>
        <w:rPr>
          <w:rFonts w:eastAsiaTheme="minorEastAsia"/>
        </w:rPr>
      </w:pPr>
    </w:p>
    <w:p w14:paraId="5F62EB10" w14:textId="5ECE2773" w:rsidR="001D6290" w:rsidRPr="0016410E" w:rsidRDefault="004B7F2D" w:rsidP="00367CD6">
      <w:pPr>
        <w:pStyle w:val="BodyText"/>
      </w:pPr>
      <w:bookmarkStart w:id="1" w:name="_Hlk516140863"/>
      <w:r w:rsidRPr="7DAFA246">
        <w:t>Other state taxes are typically less volatile than those mentioned above</w:t>
      </w:r>
      <w:r w:rsidR="00DE7974">
        <w:t xml:space="preserve"> </w:t>
      </w:r>
      <w:r w:rsidRPr="7DAFA246">
        <w:t xml:space="preserve">and generally correlate to changes in the broader economy. For example, revenue from motor vehicle taxes, gambling taxes and other stamp duties typically rise and fall with consumption patterns. </w:t>
      </w:r>
    </w:p>
    <w:p w14:paraId="5DC4F772" w14:textId="29308683" w:rsidR="00650CF8" w:rsidRPr="00A21502" w:rsidRDefault="00650CF8" w:rsidP="00650CF8">
      <w:pPr>
        <w:pStyle w:val="Heading3"/>
      </w:pPr>
      <w:r>
        <w:t xml:space="preserve">GST and other </w:t>
      </w:r>
      <w:r w:rsidR="002A3A79">
        <w:t>Australian Government</w:t>
      </w:r>
      <w:r>
        <w:t xml:space="preserve"> payments</w:t>
      </w:r>
    </w:p>
    <w:p w14:paraId="53720F17" w14:textId="35E17F90" w:rsidR="001E37A5" w:rsidRDefault="00103BB8" w:rsidP="00367CD6">
      <w:pPr>
        <w:pStyle w:val="BodyText"/>
      </w:pPr>
      <w:r w:rsidRPr="2BAD2824">
        <w:t xml:space="preserve">GST is collected by the </w:t>
      </w:r>
      <w:r w:rsidR="00FA41AD" w:rsidRPr="2BAD2824">
        <w:t>Au</w:t>
      </w:r>
      <w:r w:rsidR="002836A8" w:rsidRPr="2BAD2824">
        <w:t>st</w:t>
      </w:r>
      <w:r w:rsidR="00FA41AD" w:rsidRPr="2BAD2824">
        <w:t>ralian</w:t>
      </w:r>
      <w:r w:rsidRPr="2BAD2824">
        <w:t xml:space="preserve"> Government and then apportioned to the states. Three main factors determine how much GST New South Wales receives over coming years:</w:t>
      </w:r>
    </w:p>
    <w:p w14:paraId="2E84553F" w14:textId="44A04489" w:rsidR="00103BB8" w:rsidRPr="00396E62" w:rsidRDefault="00103BB8" w:rsidP="00367CD6">
      <w:pPr>
        <w:pStyle w:val="Bullet1"/>
        <w:rPr>
          <w:rFonts w:cstheme="minorBidi"/>
          <w:sz w:val="20"/>
          <w:szCs w:val="22"/>
          <w:lang w:val="en-US"/>
        </w:rPr>
      </w:pPr>
      <w:r w:rsidRPr="00C55553">
        <w:t>how much is collected in total across the nation (called the pool size)</w:t>
      </w:r>
    </w:p>
    <w:p w14:paraId="635F1BCF" w14:textId="218A7715" w:rsidR="00AC1750" w:rsidRPr="00396E62" w:rsidRDefault="00103BB8" w:rsidP="00367CD6">
      <w:pPr>
        <w:pStyle w:val="Bullet1"/>
      </w:pPr>
      <w:r w:rsidRPr="00C55553">
        <w:t xml:space="preserve">New </w:t>
      </w:r>
      <w:r w:rsidR="00474AC9">
        <w:t>S</w:t>
      </w:r>
      <w:r w:rsidR="00475C1E">
        <w:t xml:space="preserve">outh </w:t>
      </w:r>
      <w:proofErr w:type="spellStart"/>
      <w:r w:rsidRPr="00C55553">
        <w:t>W</w:t>
      </w:r>
      <w:r w:rsidR="00475C1E">
        <w:t>ales</w:t>
      </w:r>
      <w:r w:rsidRPr="00C55553">
        <w:t>’</w:t>
      </w:r>
      <w:proofErr w:type="spellEnd"/>
      <w:r w:rsidRPr="00C55553">
        <w:t xml:space="preserve"> population as a proportion of the national population (called the population share)</w:t>
      </w:r>
    </w:p>
    <w:p w14:paraId="62CBC86D" w14:textId="58071DEB" w:rsidR="00103BB8" w:rsidRPr="00396E62" w:rsidRDefault="00475C1E" w:rsidP="00367CD6">
      <w:pPr>
        <w:pStyle w:val="Bullet1"/>
        <w:rPr>
          <w:rFonts w:cs="Times New Roman"/>
          <w:sz w:val="20"/>
          <w:szCs w:val="22"/>
          <w:lang w:val="en-US"/>
        </w:rPr>
      </w:pPr>
      <w:r>
        <w:t>the</w:t>
      </w:r>
      <w:r w:rsidR="00103BB8" w:rsidRPr="00C55553">
        <w:t xml:space="preserve"> </w:t>
      </w:r>
      <w:r>
        <w:t>pro</w:t>
      </w:r>
      <w:r w:rsidR="00103BB8" w:rsidRPr="00C55553">
        <w:t xml:space="preserve">portion of the pool </w:t>
      </w:r>
      <w:r>
        <w:t>that</w:t>
      </w:r>
      <w:r w:rsidR="00103BB8" w:rsidRPr="00C55553">
        <w:t xml:space="preserve"> is allocated to New South Wales (called the relativity).</w:t>
      </w:r>
    </w:p>
    <w:p w14:paraId="59CD0D49" w14:textId="1C53C2B1" w:rsidR="00393657" w:rsidRPr="0016410E" w:rsidRDefault="00103BB8" w:rsidP="00367CD6">
      <w:pPr>
        <w:pStyle w:val="BodyText"/>
      </w:pPr>
      <w:r w:rsidRPr="00145FDE">
        <w:t>None of these components are fixed.</w:t>
      </w:r>
    </w:p>
    <w:p w14:paraId="06C9D052" w14:textId="5DF059F0" w:rsidR="00103BB8" w:rsidRPr="0016410E" w:rsidRDefault="00103BB8" w:rsidP="00367CD6">
      <w:pPr>
        <w:pStyle w:val="BodyText"/>
      </w:pPr>
      <w:r w:rsidRPr="00145FDE">
        <w:t>Table B.</w:t>
      </w:r>
      <w:r w:rsidR="00B413B4" w:rsidRPr="007A500E">
        <w:t>4</w:t>
      </w:r>
      <w:r w:rsidRPr="007A500E">
        <w:t xml:space="preserve"> illustrates the sensitivity of forecast GST distribution to New South Wales to a one percentage point increase in taxable consumption and dwelling investment (the main drivers of the GST pool size), and NSW population share (in absolute terms).</w:t>
      </w:r>
    </w:p>
    <w:p w14:paraId="32E070F9" w14:textId="77777777" w:rsidR="00650CF8" w:rsidRDefault="00650CF8" w:rsidP="001D6290">
      <w:pPr>
        <w:pStyle w:val="TableBX"/>
      </w:pPr>
      <w:r>
        <w:t>Revenue sensitivities – GST</w:t>
      </w:r>
    </w:p>
    <w:tbl>
      <w:tblPr>
        <w:tblStyle w:val="TableGrid"/>
        <w:tblpPr w:leftFromText="180" w:rightFromText="180" w:vertAnchor="text" w:horzAnchor="margin" w:tblpY="-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B.4:  Revenue sensitivities – GST"/>
        <w:tblDescription w:val="Table B.4:  Revenue sensitivities – GST"/>
      </w:tblPr>
      <w:tblGrid>
        <w:gridCol w:w="3402"/>
        <w:gridCol w:w="996"/>
        <w:gridCol w:w="1085"/>
        <w:gridCol w:w="1086"/>
        <w:gridCol w:w="1086"/>
        <w:gridCol w:w="1984"/>
      </w:tblGrid>
      <w:tr w:rsidR="00DD6556" w:rsidRPr="008432E4" w14:paraId="20D364D8" w14:textId="77777777" w:rsidTr="00177242">
        <w:trPr>
          <w:trHeight w:val="283"/>
        </w:trPr>
        <w:tc>
          <w:tcPr>
            <w:tcW w:w="3402" w:type="dxa"/>
            <w:vMerge w:val="restart"/>
            <w:shd w:val="clear" w:color="auto" w:fill="EBEBEB"/>
            <w:vAlign w:val="center"/>
          </w:tcPr>
          <w:p w14:paraId="675AC0AB" w14:textId="77777777" w:rsidR="00DD6556" w:rsidRPr="00367CD6" w:rsidRDefault="00DD6556" w:rsidP="00DD6556">
            <w:pPr>
              <w:rPr>
                <w:rFonts w:ascii="Public Sans" w:hAnsi="Public Sans" w:cs="Arial"/>
                <w:sz w:val="17"/>
                <w:szCs w:val="17"/>
                <w:lang w:eastAsia="en-AU"/>
              </w:rPr>
            </w:pPr>
            <w:r w:rsidRPr="00367CD6">
              <w:rPr>
                <w:rFonts w:ascii="Public Sans" w:hAnsi="Public Sans" w:cs="Arial"/>
                <w:sz w:val="17"/>
                <w:szCs w:val="17"/>
                <w:lang w:eastAsia="en-AU"/>
              </w:rPr>
              <w:t>Factors affecting GST</w:t>
            </w:r>
          </w:p>
        </w:tc>
        <w:tc>
          <w:tcPr>
            <w:tcW w:w="996" w:type="dxa"/>
            <w:shd w:val="clear" w:color="auto" w:fill="EBEBEB"/>
            <w:vAlign w:val="bottom"/>
          </w:tcPr>
          <w:p w14:paraId="1F9E5383" w14:textId="0427D057" w:rsidR="00DD6556" w:rsidRPr="00367CD6" w:rsidRDefault="00DD6556" w:rsidP="00DD6556">
            <w:pPr>
              <w:jc w:val="center"/>
              <w:rPr>
                <w:rFonts w:ascii="Public Sans" w:hAnsi="Public Sans" w:cs="Arial"/>
                <w:sz w:val="17"/>
                <w:szCs w:val="17"/>
                <w:lang w:eastAsia="en-AU"/>
              </w:rPr>
            </w:pPr>
            <w:r w:rsidRPr="00367CD6">
              <w:rPr>
                <w:rFonts w:ascii="Public Sans" w:eastAsia="Arial" w:hAnsi="Public Sans" w:cs="Arial"/>
                <w:sz w:val="17"/>
                <w:szCs w:val="17"/>
              </w:rPr>
              <w:t>2024-25</w:t>
            </w:r>
          </w:p>
        </w:tc>
        <w:tc>
          <w:tcPr>
            <w:tcW w:w="1085" w:type="dxa"/>
            <w:shd w:val="clear" w:color="auto" w:fill="EBEBEB"/>
            <w:vAlign w:val="bottom"/>
          </w:tcPr>
          <w:p w14:paraId="17F697F1" w14:textId="1AC32D67" w:rsidR="00DD6556" w:rsidRPr="00367CD6" w:rsidRDefault="00DD6556" w:rsidP="00DD6556">
            <w:pPr>
              <w:jc w:val="center"/>
              <w:rPr>
                <w:rFonts w:ascii="Public Sans" w:hAnsi="Public Sans" w:cs="Arial"/>
                <w:sz w:val="17"/>
                <w:szCs w:val="17"/>
                <w:lang w:eastAsia="en-AU"/>
              </w:rPr>
            </w:pPr>
            <w:r w:rsidRPr="00367CD6">
              <w:rPr>
                <w:rFonts w:ascii="Public Sans" w:eastAsia="Arial" w:hAnsi="Public Sans" w:cs="Arial"/>
                <w:sz w:val="17"/>
                <w:szCs w:val="17"/>
              </w:rPr>
              <w:t>2025-26</w:t>
            </w:r>
          </w:p>
        </w:tc>
        <w:tc>
          <w:tcPr>
            <w:tcW w:w="1086" w:type="dxa"/>
            <w:shd w:val="clear" w:color="auto" w:fill="EBEBEB"/>
            <w:vAlign w:val="bottom"/>
          </w:tcPr>
          <w:p w14:paraId="6A2FB9BC" w14:textId="50D3A763" w:rsidR="00DD6556" w:rsidRPr="00367CD6" w:rsidRDefault="00DD6556" w:rsidP="00DD6556">
            <w:pPr>
              <w:jc w:val="center"/>
              <w:rPr>
                <w:rFonts w:ascii="Public Sans" w:hAnsi="Public Sans" w:cs="Arial"/>
                <w:sz w:val="17"/>
                <w:szCs w:val="17"/>
                <w:lang w:eastAsia="en-AU"/>
              </w:rPr>
            </w:pPr>
            <w:r w:rsidRPr="00367CD6">
              <w:rPr>
                <w:rFonts w:ascii="Public Sans" w:eastAsia="Arial" w:hAnsi="Public Sans" w:cs="Arial"/>
                <w:sz w:val="17"/>
                <w:szCs w:val="17"/>
              </w:rPr>
              <w:t>2026-27</w:t>
            </w:r>
          </w:p>
        </w:tc>
        <w:tc>
          <w:tcPr>
            <w:tcW w:w="1086" w:type="dxa"/>
            <w:shd w:val="clear" w:color="auto" w:fill="EBEBEB"/>
            <w:vAlign w:val="bottom"/>
          </w:tcPr>
          <w:p w14:paraId="43F5628C" w14:textId="6353EF7F" w:rsidR="00DD6556" w:rsidRPr="00367CD6" w:rsidRDefault="00DD6556" w:rsidP="00DD6556">
            <w:pPr>
              <w:jc w:val="center"/>
              <w:rPr>
                <w:rFonts w:ascii="Public Sans" w:hAnsi="Public Sans" w:cs="Arial"/>
                <w:sz w:val="17"/>
                <w:szCs w:val="17"/>
                <w:lang w:eastAsia="en-AU"/>
              </w:rPr>
            </w:pPr>
            <w:r w:rsidRPr="00367CD6">
              <w:rPr>
                <w:rFonts w:ascii="Public Sans" w:eastAsia="Arial" w:hAnsi="Public Sans" w:cs="Arial"/>
                <w:sz w:val="17"/>
                <w:szCs w:val="17"/>
              </w:rPr>
              <w:t>2027-28</w:t>
            </w:r>
          </w:p>
        </w:tc>
        <w:tc>
          <w:tcPr>
            <w:tcW w:w="1984" w:type="dxa"/>
            <w:vMerge w:val="restart"/>
            <w:shd w:val="clear" w:color="auto" w:fill="4B5051"/>
            <w:vAlign w:val="center"/>
          </w:tcPr>
          <w:p w14:paraId="37D27B5D" w14:textId="77777777" w:rsidR="00DD6556" w:rsidRPr="00367CD6" w:rsidRDefault="00DD6556" w:rsidP="00DD6556">
            <w:pPr>
              <w:jc w:val="center"/>
              <w:rPr>
                <w:rFonts w:ascii="Public Sans" w:hAnsi="Public Sans" w:cs="Arial"/>
                <w:color w:val="FFFFFF" w:themeColor="background1"/>
                <w:sz w:val="17"/>
                <w:szCs w:val="17"/>
                <w:lang w:eastAsia="en-AU"/>
              </w:rPr>
            </w:pPr>
            <w:r w:rsidRPr="00367CD6">
              <w:rPr>
                <w:rFonts w:ascii="Public Sans" w:hAnsi="Public Sans" w:cs="Arial"/>
                <w:color w:val="FFFFFF" w:themeColor="background1"/>
                <w:sz w:val="17"/>
                <w:szCs w:val="17"/>
                <w:lang w:eastAsia="en-AU"/>
              </w:rPr>
              <w:t>Sensitivity</w:t>
            </w:r>
          </w:p>
        </w:tc>
      </w:tr>
      <w:tr w:rsidR="00650CF8" w:rsidRPr="008432E4" w14:paraId="010321D5" w14:textId="77777777" w:rsidTr="00367CD6">
        <w:trPr>
          <w:trHeight w:val="227"/>
        </w:trPr>
        <w:tc>
          <w:tcPr>
            <w:tcW w:w="3402" w:type="dxa"/>
            <w:vMerge/>
          </w:tcPr>
          <w:p w14:paraId="68D085F0" w14:textId="77777777" w:rsidR="00650CF8" w:rsidRPr="00367CD6" w:rsidRDefault="00650CF8" w:rsidP="00703770">
            <w:pPr>
              <w:jc w:val="center"/>
              <w:rPr>
                <w:rFonts w:ascii="Public Sans" w:hAnsi="Public Sans" w:cs="Arial"/>
                <w:sz w:val="17"/>
                <w:szCs w:val="17"/>
                <w:lang w:eastAsia="en-AU"/>
              </w:rPr>
            </w:pPr>
          </w:p>
        </w:tc>
        <w:tc>
          <w:tcPr>
            <w:tcW w:w="996" w:type="dxa"/>
            <w:shd w:val="clear" w:color="auto" w:fill="EBEBEB"/>
          </w:tcPr>
          <w:p w14:paraId="22AF2F5E" w14:textId="76217731" w:rsidR="00650CF8" w:rsidRPr="00367CD6" w:rsidRDefault="00650CF8" w:rsidP="00703770">
            <w:pPr>
              <w:jc w:val="center"/>
              <w:rPr>
                <w:rFonts w:ascii="Public Sans" w:hAnsi="Public Sans" w:cs="Arial"/>
                <w:sz w:val="17"/>
                <w:szCs w:val="17"/>
                <w:lang w:eastAsia="en-AU"/>
              </w:rPr>
            </w:pPr>
            <w:r w:rsidRPr="00367CD6">
              <w:rPr>
                <w:rFonts w:ascii="Public Sans" w:eastAsia="Arial" w:hAnsi="Public Sans" w:cs="Arial"/>
                <w:sz w:val="17"/>
                <w:szCs w:val="17"/>
              </w:rPr>
              <w:t>Budget</w:t>
            </w:r>
          </w:p>
        </w:tc>
        <w:tc>
          <w:tcPr>
            <w:tcW w:w="3257" w:type="dxa"/>
            <w:gridSpan w:val="3"/>
            <w:shd w:val="clear" w:color="auto" w:fill="EBEBEB"/>
          </w:tcPr>
          <w:p w14:paraId="35B8E132" w14:textId="32C254A2" w:rsidR="00650CF8" w:rsidRPr="00367CD6" w:rsidRDefault="00650CF8" w:rsidP="00703770">
            <w:pPr>
              <w:jc w:val="center"/>
              <w:rPr>
                <w:rFonts w:ascii="Public Sans" w:hAnsi="Public Sans" w:cs="Arial"/>
                <w:sz w:val="17"/>
                <w:szCs w:val="17"/>
                <w:lang w:eastAsia="en-AU"/>
              </w:rPr>
            </w:pPr>
            <w:r w:rsidRPr="00367CD6">
              <w:rPr>
                <w:rFonts w:ascii="Public Sans" w:eastAsia="Arial" w:hAnsi="Public Sans" w:cs="Arial"/>
                <w:sz w:val="17"/>
                <w:szCs w:val="17"/>
              </w:rPr>
              <w:t>Forward estimates</w:t>
            </w:r>
          </w:p>
        </w:tc>
        <w:tc>
          <w:tcPr>
            <w:tcW w:w="1984" w:type="dxa"/>
            <w:vMerge/>
            <w:vAlign w:val="center"/>
          </w:tcPr>
          <w:p w14:paraId="10A40FE9" w14:textId="77777777" w:rsidR="00650CF8" w:rsidRPr="00367CD6" w:rsidRDefault="00650CF8" w:rsidP="00703770">
            <w:pPr>
              <w:jc w:val="center"/>
              <w:rPr>
                <w:rFonts w:ascii="Public Sans" w:hAnsi="Public Sans" w:cs="Arial"/>
                <w:color w:val="FFFFFF" w:themeColor="background1"/>
                <w:sz w:val="17"/>
                <w:szCs w:val="17"/>
                <w:lang w:eastAsia="en-AU"/>
              </w:rPr>
            </w:pPr>
          </w:p>
        </w:tc>
      </w:tr>
      <w:tr w:rsidR="00EB1C95" w:rsidRPr="008432E4" w14:paraId="476256C7" w14:textId="77777777" w:rsidTr="00177242">
        <w:trPr>
          <w:trHeight w:val="283"/>
        </w:trPr>
        <w:tc>
          <w:tcPr>
            <w:tcW w:w="3402" w:type="dxa"/>
            <w:shd w:val="clear" w:color="auto" w:fill="EBEBEB"/>
          </w:tcPr>
          <w:p w14:paraId="7035A717" w14:textId="77777777" w:rsidR="00650CF8" w:rsidRPr="00367CD6" w:rsidRDefault="00650CF8" w:rsidP="00703770">
            <w:pPr>
              <w:jc w:val="center"/>
              <w:rPr>
                <w:rFonts w:ascii="Public Sans" w:hAnsi="Public Sans" w:cs="Arial"/>
                <w:sz w:val="17"/>
                <w:szCs w:val="17"/>
                <w:lang w:eastAsia="en-AU"/>
              </w:rPr>
            </w:pPr>
          </w:p>
        </w:tc>
        <w:tc>
          <w:tcPr>
            <w:tcW w:w="996" w:type="dxa"/>
            <w:shd w:val="clear" w:color="auto" w:fill="EBEBEB"/>
          </w:tcPr>
          <w:p w14:paraId="55581ED5" w14:textId="77777777" w:rsidR="00650CF8" w:rsidRPr="00367CD6" w:rsidRDefault="00650CF8" w:rsidP="00703770">
            <w:pPr>
              <w:jc w:val="center"/>
              <w:rPr>
                <w:rFonts w:ascii="Public Sans" w:hAnsi="Public Sans" w:cs="Arial"/>
                <w:sz w:val="17"/>
                <w:szCs w:val="17"/>
                <w:lang w:eastAsia="en-AU"/>
              </w:rPr>
            </w:pPr>
            <w:r w:rsidRPr="00367CD6">
              <w:rPr>
                <w:rFonts w:ascii="Public Sans" w:hAnsi="Public Sans" w:cs="Arial"/>
                <w:sz w:val="17"/>
                <w:szCs w:val="17"/>
                <w:lang w:eastAsia="en-AU"/>
              </w:rPr>
              <w:t>$m</w:t>
            </w:r>
          </w:p>
        </w:tc>
        <w:tc>
          <w:tcPr>
            <w:tcW w:w="1085" w:type="dxa"/>
            <w:shd w:val="clear" w:color="auto" w:fill="EBEBEB"/>
          </w:tcPr>
          <w:p w14:paraId="30A3B1F6" w14:textId="77777777" w:rsidR="00650CF8" w:rsidRPr="00367CD6" w:rsidRDefault="00650CF8" w:rsidP="00703770">
            <w:pPr>
              <w:jc w:val="center"/>
              <w:rPr>
                <w:rFonts w:ascii="Public Sans" w:hAnsi="Public Sans" w:cs="Arial"/>
                <w:sz w:val="17"/>
                <w:szCs w:val="17"/>
                <w:lang w:eastAsia="en-AU"/>
              </w:rPr>
            </w:pPr>
            <w:r w:rsidRPr="00367CD6">
              <w:rPr>
                <w:rFonts w:ascii="Public Sans" w:hAnsi="Public Sans" w:cs="Arial"/>
                <w:sz w:val="17"/>
                <w:szCs w:val="17"/>
                <w:lang w:eastAsia="en-AU"/>
              </w:rPr>
              <w:t>$m</w:t>
            </w:r>
          </w:p>
        </w:tc>
        <w:tc>
          <w:tcPr>
            <w:tcW w:w="1086" w:type="dxa"/>
            <w:shd w:val="clear" w:color="auto" w:fill="EBEBEB"/>
          </w:tcPr>
          <w:p w14:paraId="12EF0961" w14:textId="77777777" w:rsidR="00650CF8" w:rsidRPr="00367CD6" w:rsidRDefault="00650CF8" w:rsidP="00703770">
            <w:pPr>
              <w:jc w:val="center"/>
              <w:rPr>
                <w:rFonts w:ascii="Public Sans" w:hAnsi="Public Sans" w:cs="Arial"/>
                <w:sz w:val="17"/>
                <w:szCs w:val="17"/>
                <w:lang w:eastAsia="en-AU"/>
              </w:rPr>
            </w:pPr>
            <w:r w:rsidRPr="00367CD6">
              <w:rPr>
                <w:rFonts w:ascii="Public Sans" w:hAnsi="Public Sans" w:cs="Arial"/>
                <w:sz w:val="17"/>
                <w:szCs w:val="17"/>
                <w:lang w:eastAsia="en-AU"/>
              </w:rPr>
              <w:t>$m</w:t>
            </w:r>
          </w:p>
        </w:tc>
        <w:tc>
          <w:tcPr>
            <w:tcW w:w="1086" w:type="dxa"/>
            <w:shd w:val="clear" w:color="auto" w:fill="EBEBEB"/>
          </w:tcPr>
          <w:p w14:paraId="77478E00" w14:textId="77777777" w:rsidR="00650CF8" w:rsidRPr="00367CD6" w:rsidRDefault="00650CF8" w:rsidP="00703770">
            <w:pPr>
              <w:jc w:val="center"/>
              <w:rPr>
                <w:rFonts w:ascii="Public Sans" w:hAnsi="Public Sans" w:cs="Arial"/>
                <w:sz w:val="17"/>
                <w:szCs w:val="17"/>
                <w:lang w:eastAsia="en-AU"/>
              </w:rPr>
            </w:pPr>
            <w:r w:rsidRPr="00367CD6">
              <w:rPr>
                <w:rFonts w:ascii="Public Sans" w:hAnsi="Public Sans" w:cs="Arial"/>
                <w:sz w:val="17"/>
                <w:szCs w:val="17"/>
                <w:lang w:eastAsia="en-AU"/>
              </w:rPr>
              <w:t>$m</w:t>
            </w:r>
          </w:p>
        </w:tc>
        <w:tc>
          <w:tcPr>
            <w:tcW w:w="1984" w:type="dxa"/>
            <w:vMerge/>
            <w:vAlign w:val="center"/>
          </w:tcPr>
          <w:p w14:paraId="0F1F85F2" w14:textId="77777777" w:rsidR="00650CF8" w:rsidRPr="00367CD6" w:rsidRDefault="00650CF8" w:rsidP="00703770">
            <w:pPr>
              <w:jc w:val="center"/>
              <w:rPr>
                <w:rFonts w:ascii="Public Sans" w:hAnsi="Public Sans" w:cs="Arial"/>
                <w:color w:val="FFFFFF" w:themeColor="background1"/>
                <w:sz w:val="17"/>
                <w:szCs w:val="17"/>
                <w:lang w:eastAsia="en-AU"/>
              </w:rPr>
            </w:pPr>
          </w:p>
        </w:tc>
      </w:tr>
      <w:tr w:rsidR="00650CF8" w:rsidRPr="008432E4" w14:paraId="0B18AAD9" w14:textId="77777777" w:rsidTr="00CB3C42">
        <w:trPr>
          <w:trHeight w:val="283"/>
        </w:trPr>
        <w:tc>
          <w:tcPr>
            <w:tcW w:w="3402" w:type="dxa"/>
            <w:shd w:val="clear" w:color="auto" w:fill="auto"/>
            <w:vAlign w:val="center"/>
          </w:tcPr>
          <w:p w14:paraId="22A7DD2C" w14:textId="77777777" w:rsidR="00650CF8" w:rsidRPr="00367CD6" w:rsidRDefault="00650CF8" w:rsidP="00703770">
            <w:pPr>
              <w:rPr>
                <w:rFonts w:ascii="Public Sans" w:hAnsi="Public Sans" w:cs="Arial"/>
                <w:sz w:val="16"/>
                <w:szCs w:val="16"/>
              </w:rPr>
            </w:pPr>
            <w:r w:rsidRPr="00367CD6">
              <w:rPr>
                <w:rFonts w:ascii="Public Sans" w:hAnsi="Public Sans" w:cs="Arial"/>
                <w:sz w:val="16"/>
                <w:szCs w:val="16"/>
              </w:rPr>
              <w:t>Taxable consumption</w:t>
            </w:r>
          </w:p>
        </w:tc>
        <w:tc>
          <w:tcPr>
            <w:tcW w:w="996" w:type="dxa"/>
            <w:vAlign w:val="center"/>
          </w:tcPr>
          <w:p w14:paraId="1CDCA266" w14:textId="688F54F5" w:rsidR="00650CF8" w:rsidRPr="00367CD6" w:rsidRDefault="253394BD" w:rsidP="00CB3C42">
            <w:pPr>
              <w:ind w:right="170"/>
              <w:jc w:val="center"/>
              <w:rPr>
                <w:rFonts w:ascii="Public Sans" w:hAnsi="Public Sans" w:cs="Arial"/>
                <w:sz w:val="16"/>
                <w:szCs w:val="16"/>
              </w:rPr>
            </w:pPr>
            <w:r w:rsidRPr="00367CD6">
              <w:rPr>
                <w:rFonts w:ascii="Public Sans" w:hAnsi="Public Sans" w:cs="Arial"/>
                <w:sz w:val="16"/>
                <w:szCs w:val="16"/>
              </w:rPr>
              <w:t>60</w:t>
            </w:r>
          </w:p>
        </w:tc>
        <w:tc>
          <w:tcPr>
            <w:tcW w:w="1085" w:type="dxa"/>
            <w:shd w:val="clear" w:color="auto" w:fill="auto"/>
            <w:vAlign w:val="center"/>
          </w:tcPr>
          <w:p w14:paraId="574EEC7C" w14:textId="7A5BC450" w:rsidR="00650CF8" w:rsidRPr="00367CD6" w:rsidRDefault="253394BD" w:rsidP="00CB3C42">
            <w:pPr>
              <w:ind w:right="170"/>
              <w:jc w:val="center"/>
              <w:rPr>
                <w:rFonts w:ascii="Public Sans" w:eastAsia="Arial" w:hAnsi="Public Sans" w:cs="Arial"/>
                <w:sz w:val="16"/>
                <w:szCs w:val="16"/>
              </w:rPr>
            </w:pPr>
            <w:r w:rsidRPr="00367CD6">
              <w:rPr>
                <w:rFonts w:ascii="Public Sans" w:eastAsia="Arial" w:hAnsi="Public Sans" w:cs="Arial"/>
                <w:sz w:val="16"/>
                <w:szCs w:val="16"/>
              </w:rPr>
              <w:t>60</w:t>
            </w:r>
          </w:p>
        </w:tc>
        <w:tc>
          <w:tcPr>
            <w:tcW w:w="1086" w:type="dxa"/>
            <w:shd w:val="clear" w:color="auto" w:fill="auto"/>
            <w:vAlign w:val="center"/>
          </w:tcPr>
          <w:p w14:paraId="09D32B30" w14:textId="553F809E" w:rsidR="00650CF8" w:rsidRPr="00367CD6" w:rsidRDefault="253394BD" w:rsidP="00CB3C42">
            <w:pPr>
              <w:ind w:right="170"/>
              <w:jc w:val="center"/>
              <w:rPr>
                <w:rFonts w:ascii="Public Sans" w:hAnsi="Public Sans" w:cs="Arial"/>
                <w:sz w:val="16"/>
                <w:szCs w:val="16"/>
              </w:rPr>
            </w:pPr>
            <w:r w:rsidRPr="00367CD6">
              <w:rPr>
                <w:rFonts w:ascii="Public Sans" w:hAnsi="Public Sans" w:cs="Arial"/>
                <w:sz w:val="16"/>
                <w:szCs w:val="16"/>
              </w:rPr>
              <w:t>65</w:t>
            </w:r>
          </w:p>
        </w:tc>
        <w:tc>
          <w:tcPr>
            <w:tcW w:w="1086" w:type="dxa"/>
            <w:shd w:val="clear" w:color="auto" w:fill="auto"/>
            <w:vAlign w:val="center"/>
          </w:tcPr>
          <w:p w14:paraId="052C97A0" w14:textId="003F7357" w:rsidR="00650CF8" w:rsidRPr="00367CD6" w:rsidRDefault="253394BD" w:rsidP="00CB3C42">
            <w:pPr>
              <w:ind w:right="170"/>
              <w:jc w:val="center"/>
              <w:rPr>
                <w:rFonts w:ascii="Public Sans" w:hAnsi="Public Sans" w:cs="Arial"/>
                <w:sz w:val="16"/>
                <w:szCs w:val="16"/>
              </w:rPr>
            </w:pPr>
            <w:r w:rsidRPr="00367CD6">
              <w:rPr>
                <w:rFonts w:ascii="Public Sans" w:hAnsi="Public Sans" w:cs="Arial"/>
                <w:sz w:val="16"/>
                <w:szCs w:val="16"/>
              </w:rPr>
              <w:t>71</w:t>
            </w:r>
          </w:p>
        </w:tc>
        <w:tc>
          <w:tcPr>
            <w:tcW w:w="1984" w:type="dxa"/>
            <w:vMerge w:val="restart"/>
            <w:tcBorders>
              <w:bottom w:val="single" w:sz="4" w:space="0" w:color="auto"/>
            </w:tcBorders>
            <w:vAlign w:val="center"/>
          </w:tcPr>
          <w:p w14:paraId="1AC177AB" w14:textId="77777777" w:rsidR="00650CF8" w:rsidRPr="00367CD6" w:rsidRDefault="00650CF8" w:rsidP="00703770">
            <w:pPr>
              <w:jc w:val="center"/>
              <w:rPr>
                <w:rFonts w:ascii="Public Sans" w:hAnsi="Public Sans" w:cs="Arial"/>
                <w:sz w:val="16"/>
                <w:szCs w:val="16"/>
              </w:rPr>
            </w:pPr>
            <w:r w:rsidRPr="00367CD6">
              <w:rPr>
                <w:rFonts w:ascii="Public Sans" w:hAnsi="Public Sans" w:cs="Arial"/>
                <w:sz w:val="16"/>
                <w:szCs w:val="16"/>
              </w:rPr>
              <w:t>Single percentage point increase in factor</w:t>
            </w:r>
          </w:p>
        </w:tc>
      </w:tr>
      <w:tr w:rsidR="00650CF8" w:rsidRPr="008432E4" w14:paraId="31D70F2C" w14:textId="77777777" w:rsidTr="00CB3C42">
        <w:trPr>
          <w:trHeight w:val="283"/>
        </w:trPr>
        <w:tc>
          <w:tcPr>
            <w:tcW w:w="3402" w:type="dxa"/>
            <w:shd w:val="clear" w:color="auto" w:fill="auto"/>
            <w:vAlign w:val="center"/>
          </w:tcPr>
          <w:p w14:paraId="4C5F047F" w14:textId="77777777" w:rsidR="00650CF8" w:rsidRPr="00367CD6" w:rsidRDefault="00650CF8" w:rsidP="00703770">
            <w:pPr>
              <w:rPr>
                <w:rFonts w:ascii="Public Sans" w:hAnsi="Public Sans" w:cs="Arial"/>
                <w:sz w:val="16"/>
                <w:szCs w:val="16"/>
              </w:rPr>
            </w:pPr>
            <w:r w:rsidRPr="00367CD6">
              <w:rPr>
                <w:rFonts w:ascii="Public Sans" w:hAnsi="Public Sans" w:cs="Arial"/>
                <w:sz w:val="16"/>
                <w:szCs w:val="16"/>
              </w:rPr>
              <w:t>Dwelling investment</w:t>
            </w:r>
          </w:p>
        </w:tc>
        <w:tc>
          <w:tcPr>
            <w:tcW w:w="996" w:type="dxa"/>
            <w:vAlign w:val="center"/>
          </w:tcPr>
          <w:p w14:paraId="743C68C8" w14:textId="02243E4D" w:rsidR="00650CF8" w:rsidRPr="00367CD6" w:rsidRDefault="453A4263" w:rsidP="00CB3C42">
            <w:pPr>
              <w:ind w:right="170"/>
              <w:jc w:val="center"/>
              <w:rPr>
                <w:rFonts w:ascii="Public Sans" w:hAnsi="Public Sans" w:cs="Arial"/>
                <w:sz w:val="16"/>
                <w:szCs w:val="16"/>
              </w:rPr>
            </w:pPr>
            <w:r w:rsidRPr="00367CD6">
              <w:rPr>
                <w:rFonts w:ascii="Public Sans" w:hAnsi="Public Sans" w:cs="Arial"/>
                <w:sz w:val="16"/>
                <w:szCs w:val="16"/>
              </w:rPr>
              <w:t>17</w:t>
            </w:r>
          </w:p>
        </w:tc>
        <w:tc>
          <w:tcPr>
            <w:tcW w:w="1085" w:type="dxa"/>
            <w:shd w:val="clear" w:color="auto" w:fill="auto"/>
            <w:vAlign w:val="center"/>
          </w:tcPr>
          <w:p w14:paraId="4C8CA908" w14:textId="7408A26E" w:rsidR="00650CF8" w:rsidRPr="00367CD6" w:rsidRDefault="453A4263" w:rsidP="00CB3C42">
            <w:pPr>
              <w:ind w:right="170"/>
              <w:jc w:val="center"/>
              <w:rPr>
                <w:rFonts w:ascii="Public Sans" w:eastAsia="Arial" w:hAnsi="Public Sans" w:cs="Arial"/>
                <w:sz w:val="16"/>
                <w:szCs w:val="16"/>
              </w:rPr>
            </w:pPr>
            <w:r w:rsidRPr="00367CD6">
              <w:rPr>
                <w:rFonts w:ascii="Public Sans" w:eastAsia="Arial" w:hAnsi="Public Sans" w:cs="Arial"/>
                <w:sz w:val="16"/>
                <w:szCs w:val="16"/>
              </w:rPr>
              <w:t>17</w:t>
            </w:r>
          </w:p>
        </w:tc>
        <w:tc>
          <w:tcPr>
            <w:tcW w:w="1086" w:type="dxa"/>
            <w:shd w:val="clear" w:color="auto" w:fill="auto"/>
            <w:vAlign w:val="center"/>
          </w:tcPr>
          <w:p w14:paraId="4B3D72CB" w14:textId="1DC42B99" w:rsidR="00650CF8" w:rsidRPr="00367CD6" w:rsidRDefault="453A4263" w:rsidP="00CB3C42">
            <w:pPr>
              <w:ind w:right="170"/>
              <w:jc w:val="center"/>
              <w:rPr>
                <w:rFonts w:ascii="Public Sans" w:hAnsi="Public Sans" w:cs="Arial"/>
                <w:sz w:val="16"/>
                <w:szCs w:val="16"/>
              </w:rPr>
            </w:pPr>
            <w:r w:rsidRPr="00367CD6">
              <w:rPr>
                <w:rFonts w:ascii="Public Sans" w:hAnsi="Public Sans" w:cs="Arial"/>
                <w:sz w:val="16"/>
                <w:szCs w:val="16"/>
              </w:rPr>
              <w:t>19</w:t>
            </w:r>
          </w:p>
        </w:tc>
        <w:tc>
          <w:tcPr>
            <w:tcW w:w="1086" w:type="dxa"/>
            <w:shd w:val="clear" w:color="auto" w:fill="auto"/>
            <w:vAlign w:val="center"/>
          </w:tcPr>
          <w:p w14:paraId="0F69BC40" w14:textId="441E8D31" w:rsidR="00650CF8" w:rsidRPr="00367CD6" w:rsidRDefault="453A4263" w:rsidP="00CB3C42">
            <w:pPr>
              <w:ind w:right="170"/>
              <w:jc w:val="center"/>
              <w:rPr>
                <w:rFonts w:ascii="Public Sans" w:hAnsi="Public Sans" w:cs="Arial"/>
                <w:sz w:val="16"/>
                <w:szCs w:val="16"/>
              </w:rPr>
            </w:pPr>
            <w:r w:rsidRPr="00367CD6">
              <w:rPr>
                <w:rFonts w:ascii="Public Sans" w:hAnsi="Public Sans" w:cs="Arial"/>
                <w:sz w:val="16"/>
                <w:szCs w:val="16"/>
              </w:rPr>
              <w:t>21</w:t>
            </w:r>
          </w:p>
        </w:tc>
        <w:tc>
          <w:tcPr>
            <w:tcW w:w="1984" w:type="dxa"/>
            <w:vMerge/>
            <w:tcBorders>
              <w:bottom w:val="single" w:sz="4" w:space="0" w:color="auto"/>
            </w:tcBorders>
          </w:tcPr>
          <w:p w14:paraId="6667A94E" w14:textId="77777777" w:rsidR="00650CF8" w:rsidRPr="00367CD6" w:rsidRDefault="00650CF8" w:rsidP="00703770">
            <w:pPr>
              <w:jc w:val="center"/>
              <w:rPr>
                <w:rFonts w:ascii="Public Sans" w:hAnsi="Public Sans" w:cs="Arial"/>
                <w:sz w:val="16"/>
                <w:szCs w:val="16"/>
              </w:rPr>
            </w:pPr>
          </w:p>
        </w:tc>
      </w:tr>
      <w:tr w:rsidR="00650CF8" w:rsidRPr="008432E4" w14:paraId="1F92F10C" w14:textId="77777777" w:rsidTr="00CB3C42">
        <w:trPr>
          <w:trHeight w:val="283"/>
        </w:trPr>
        <w:tc>
          <w:tcPr>
            <w:tcW w:w="3402" w:type="dxa"/>
            <w:tcBorders>
              <w:bottom w:val="single" w:sz="4" w:space="0" w:color="auto"/>
            </w:tcBorders>
            <w:shd w:val="clear" w:color="auto" w:fill="auto"/>
            <w:vAlign w:val="center"/>
          </w:tcPr>
          <w:p w14:paraId="226DCBCD" w14:textId="77777777" w:rsidR="00650CF8" w:rsidRPr="00367CD6" w:rsidRDefault="00650CF8" w:rsidP="00703770">
            <w:pPr>
              <w:rPr>
                <w:rFonts w:ascii="Public Sans" w:hAnsi="Public Sans" w:cs="Arial"/>
                <w:sz w:val="16"/>
                <w:szCs w:val="16"/>
              </w:rPr>
            </w:pPr>
            <w:r w:rsidRPr="00367CD6">
              <w:rPr>
                <w:rFonts w:ascii="Public Sans" w:hAnsi="Public Sans" w:cs="Arial"/>
                <w:sz w:val="16"/>
                <w:szCs w:val="16"/>
              </w:rPr>
              <w:t>Population share</w:t>
            </w:r>
          </w:p>
        </w:tc>
        <w:tc>
          <w:tcPr>
            <w:tcW w:w="996" w:type="dxa"/>
            <w:tcBorders>
              <w:top w:val="nil"/>
              <w:left w:val="nil"/>
              <w:bottom w:val="single" w:sz="4" w:space="0" w:color="auto"/>
              <w:right w:val="nil"/>
            </w:tcBorders>
            <w:vAlign w:val="center"/>
          </w:tcPr>
          <w:p w14:paraId="69302F84" w14:textId="547FD114" w:rsidR="00650CF8" w:rsidRPr="00367CD6" w:rsidRDefault="5121626F" w:rsidP="00CB3C42">
            <w:pPr>
              <w:ind w:right="170"/>
              <w:jc w:val="center"/>
              <w:rPr>
                <w:rFonts w:ascii="Public Sans" w:hAnsi="Public Sans" w:cs="Arial"/>
                <w:sz w:val="16"/>
                <w:szCs w:val="16"/>
              </w:rPr>
            </w:pPr>
            <w:r w:rsidRPr="00367CD6">
              <w:rPr>
                <w:rFonts w:ascii="Public Sans" w:hAnsi="Public Sans" w:cs="Arial"/>
                <w:sz w:val="16"/>
                <w:szCs w:val="16"/>
              </w:rPr>
              <w:t>848</w:t>
            </w:r>
          </w:p>
        </w:tc>
        <w:tc>
          <w:tcPr>
            <w:tcW w:w="1085" w:type="dxa"/>
            <w:tcBorders>
              <w:top w:val="nil"/>
              <w:left w:val="nil"/>
              <w:bottom w:val="single" w:sz="4" w:space="0" w:color="auto"/>
              <w:right w:val="nil"/>
            </w:tcBorders>
            <w:shd w:val="clear" w:color="auto" w:fill="auto"/>
            <w:vAlign w:val="center"/>
          </w:tcPr>
          <w:p w14:paraId="789BD60F" w14:textId="1F1B3F0F" w:rsidR="00650CF8" w:rsidRPr="00367CD6" w:rsidRDefault="5121626F" w:rsidP="00CB3C42">
            <w:pPr>
              <w:ind w:right="170"/>
              <w:jc w:val="center"/>
              <w:rPr>
                <w:rFonts w:ascii="Public Sans" w:hAnsi="Public Sans" w:cs="Arial"/>
                <w:sz w:val="16"/>
                <w:szCs w:val="16"/>
              </w:rPr>
            </w:pPr>
            <w:r w:rsidRPr="00367CD6">
              <w:rPr>
                <w:rFonts w:ascii="Public Sans" w:hAnsi="Public Sans" w:cs="Arial"/>
                <w:sz w:val="16"/>
                <w:szCs w:val="16"/>
              </w:rPr>
              <w:t>859</w:t>
            </w:r>
          </w:p>
        </w:tc>
        <w:tc>
          <w:tcPr>
            <w:tcW w:w="1086" w:type="dxa"/>
            <w:tcBorders>
              <w:top w:val="nil"/>
              <w:left w:val="nil"/>
              <w:bottom w:val="single" w:sz="4" w:space="0" w:color="auto"/>
              <w:right w:val="nil"/>
            </w:tcBorders>
            <w:shd w:val="clear" w:color="auto" w:fill="auto"/>
            <w:vAlign w:val="center"/>
          </w:tcPr>
          <w:p w14:paraId="0D6FE800" w14:textId="4A4852DD" w:rsidR="00650CF8" w:rsidRPr="00367CD6" w:rsidRDefault="5121626F" w:rsidP="00CB3C42">
            <w:pPr>
              <w:ind w:right="170"/>
              <w:jc w:val="center"/>
              <w:rPr>
                <w:rFonts w:ascii="Public Sans" w:eastAsia="Arial" w:hAnsi="Public Sans" w:cs="Arial"/>
                <w:sz w:val="16"/>
                <w:szCs w:val="16"/>
              </w:rPr>
            </w:pPr>
            <w:r w:rsidRPr="00367CD6">
              <w:rPr>
                <w:rFonts w:ascii="Public Sans" w:eastAsia="Arial" w:hAnsi="Public Sans" w:cs="Arial"/>
                <w:sz w:val="16"/>
                <w:szCs w:val="16"/>
              </w:rPr>
              <w:t>881</w:t>
            </w:r>
          </w:p>
        </w:tc>
        <w:tc>
          <w:tcPr>
            <w:tcW w:w="1086" w:type="dxa"/>
            <w:tcBorders>
              <w:top w:val="nil"/>
              <w:left w:val="nil"/>
              <w:bottom w:val="single" w:sz="4" w:space="0" w:color="auto"/>
              <w:right w:val="nil"/>
            </w:tcBorders>
            <w:shd w:val="clear" w:color="auto" w:fill="auto"/>
            <w:vAlign w:val="center"/>
          </w:tcPr>
          <w:p w14:paraId="192406DE" w14:textId="68A4563E" w:rsidR="00650CF8" w:rsidRPr="00367CD6" w:rsidRDefault="5121626F" w:rsidP="00CB3C42">
            <w:pPr>
              <w:ind w:right="170"/>
              <w:jc w:val="center"/>
              <w:rPr>
                <w:rFonts w:ascii="Public Sans" w:hAnsi="Public Sans" w:cs="Arial"/>
                <w:sz w:val="16"/>
                <w:szCs w:val="16"/>
              </w:rPr>
            </w:pPr>
            <w:r w:rsidRPr="00367CD6">
              <w:rPr>
                <w:rFonts w:ascii="Public Sans" w:hAnsi="Public Sans" w:cs="Arial"/>
                <w:sz w:val="16"/>
                <w:szCs w:val="16"/>
              </w:rPr>
              <w:t>920</w:t>
            </w:r>
          </w:p>
        </w:tc>
        <w:tc>
          <w:tcPr>
            <w:tcW w:w="1984" w:type="dxa"/>
            <w:vMerge/>
            <w:tcBorders>
              <w:bottom w:val="single" w:sz="4" w:space="0" w:color="auto"/>
            </w:tcBorders>
          </w:tcPr>
          <w:p w14:paraId="16283556" w14:textId="77777777" w:rsidR="00650CF8" w:rsidRPr="00367CD6" w:rsidRDefault="00650CF8" w:rsidP="00703770">
            <w:pPr>
              <w:jc w:val="center"/>
              <w:rPr>
                <w:rFonts w:ascii="Public Sans" w:hAnsi="Public Sans" w:cs="Arial"/>
                <w:sz w:val="16"/>
                <w:szCs w:val="16"/>
              </w:rPr>
            </w:pPr>
          </w:p>
        </w:tc>
      </w:tr>
    </w:tbl>
    <w:p w14:paraId="45DC969E" w14:textId="77777777" w:rsidR="00570F28" w:rsidRDefault="00570F28" w:rsidP="00367CD6">
      <w:pPr>
        <w:pStyle w:val="BodyText"/>
      </w:pPr>
    </w:p>
    <w:p w14:paraId="6A4FB3EE" w14:textId="0CC1C86A" w:rsidR="00B64574" w:rsidRDefault="00B64574">
      <w:pPr>
        <w:rPr>
          <w:rFonts w:ascii="Public Sans" w:hAnsi="Public Sans" w:cs="Arial"/>
          <w:sz w:val="22"/>
          <w:lang w:val="en-AU"/>
        </w:rPr>
      </w:pPr>
      <w:r>
        <w:br w:type="page"/>
      </w:r>
    </w:p>
    <w:p w14:paraId="1932DE23" w14:textId="53A7DB87" w:rsidR="00291C25" w:rsidRPr="0016410E" w:rsidRDefault="00291C25" w:rsidP="00367CD6">
      <w:pPr>
        <w:pStyle w:val="BodyText"/>
      </w:pPr>
      <w:r w:rsidRPr="7CEC90E3">
        <w:lastRenderedPageBreak/>
        <w:t xml:space="preserve">The Commonwealth Grants Commission (CGC) uses a formula to determine each state’s relativity (measure of relative fiscal capacity), which then drives how much GST each state receives. Under this formula, the following events can lead to a changed share to New South Wales: </w:t>
      </w:r>
    </w:p>
    <w:p w14:paraId="4F80A933" w14:textId="2BC392DA" w:rsidR="00291C25" w:rsidRPr="00291C25" w:rsidRDefault="008F63DF" w:rsidP="00367CD6">
      <w:pPr>
        <w:pStyle w:val="Bullet1"/>
        <w:rPr>
          <w:rFonts w:eastAsia="Times New Roman"/>
        </w:rPr>
      </w:pPr>
      <w:r w:rsidRPr="7CEC90E3">
        <w:t xml:space="preserve">a </w:t>
      </w:r>
      <w:r w:rsidR="00291C25" w:rsidRPr="7CEC90E3">
        <w:t>change</w:t>
      </w:r>
      <w:r w:rsidRPr="7CEC90E3">
        <w:t xml:space="preserve"> in the CGC’s assessment of how much revenue New South Wales </w:t>
      </w:r>
      <w:r w:rsidR="008D002C" w:rsidRPr="7CEC90E3">
        <w:t>could</w:t>
      </w:r>
      <w:r w:rsidRPr="7CEC90E3">
        <w:t xml:space="preserve"> generate</w:t>
      </w:r>
      <w:r w:rsidR="00163CBC" w:rsidRPr="7CEC90E3">
        <w:t>, relative to other states,</w:t>
      </w:r>
      <w:r w:rsidR="00D57A47" w:rsidRPr="7CEC90E3">
        <w:t xml:space="preserve"> if it </w:t>
      </w:r>
      <w:r w:rsidR="00041689" w:rsidRPr="7CEC90E3">
        <w:t>followed</w:t>
      </w:r>
      <w:r w:rsidR="000A04D7" w:rsidRPr="7CEC90E3">
        <w:t xml:space="preserve"> average </w:t>
      </w:r>
      <w:r w:rsidR="00163CBC" w:rsidRPr="7CEC90E3">
        <w:t xml:space="preserve">revenue </w:t>
      </w:r>
      <w:proofErr w:type="gramStart"/>
      <w:r w:rsidR="00163CBC" w:rsidRPr="7CEC90E3">
        <w:t>policies</w:t>
      </w:r>
      <w:proofErr w:type="gramEnd"/>
      <w:r w:rsidR="00163CBC" w:rsidRPr="7CEC90E3">
        <w:t xml:space="preserve"> </w:t>
      </w:r>
    </w:p>
    <w:p w14:paraId="15E7E41E" w14:textId="08E59003" w:rsidR="00291C25" w:rsidRPr="00291C25" w:rsidRDefault="00291C25" w:rsidP="00367CD6">
      <w:pPr>
        <w:pStyle w:val="Bullet1"/>
        <w:rPr>
          <w:rFonts w:eastAsia="Times New Roman"/>
        </w:rPr>
      </w:pPr>
      <w:r w:rsidRPr="00291C25">
        <w:t>a</w:t>
      </w:r>
      <w:r w:rsidRPr="00291C25" w:rsidDel="0088636D">
        <w:t xml:space="preserve"> </w:t>
      </w:r>
      <w:r w:rsidRPr="00291C25">
        <w:t xml:space="preserve">change in the CGC’s assessment of how much expenditure New South Wales needs, compared to other states, to deliver an average standard of service and associated </w:t>
      </w:r>
      <w:proofErr w:type="gramStart"/>
      <w:r w:rsidRPr="00291C25">
        <w:t>infrastructure</w:t>
      </w:r>
      <w:proofErr w:type="gramEnd"/>
    </w:p>
    <w:p w14:paraId="7C271D86" w14:textId="69D27C42" w:rsidR="00291C25" w:rsidRPr="00291C25" w:rsidRDefault="00291C25" w:rsidP="00367CD6">
      <w:pPr>
        <w:pStyle w:val="Bullet1"/>
        <w:rPr>
          <w:rFonts w:eastAsia="Times New Roman"/>
        </w:rPr>
      </w:pPr>
      <w:r w:rsidRPr="7CEC90E3">
        <w:t xml:space="preserve">a change to National Agreement and </w:t>
      </w:r>
      <w:r w:rsidR="00AD1A69" w:rsidRPr="7CEC90E3">
        <w:t>Federation Funding Agreement</w:t>
      </w:r>
      <w:r w:rsidRPr="7CEC90E3">
        <w:t xml:space="preserve"> payments relative to other states.</w:t>
      </w:r>
    </w:p>
    <w:p w14:paraId="5A45AF0B" w14:textId="119E49F5" w:rsidR="00F94547" w:rsidRPr="00396E62" w:rsidRDefault="00053E47" w:rsidP="00367CD6">
      <w:pPr>
        <w:pStyle w:val="BodyText"/>
        <w:rPr>
          <w:highlight w:val="yellow"/>
        </w:rPr>
      </w:pPr>
      <w:r w:rsidRPr="7CEC90E3">
        <w:t xml:space="preserve">The CGC assesses states’ GST needs based on the average spending and revenue policies of all states. The averages vary over time due to underlying changes in state policies as well as updated or new data. As such, projections of </w:t>
      </w:r>
      <w:r w:rsidR="009343E8" w:rsidRPr="7CEC90E3">
        <w:t>New South Wales</w:t>
      </w:r>
      <w:r w:rsidRPr="7CEC90E3">
        <w:t xml:space="preserve"> relativities are subject to a high degree of uncertainty. The forecasts in this Budget </w:t>
      </w:r>
      <w:proofErr w:type="gramStart"/>
      <w:r w:rsidRPr="7CEC90E3">
        <w:t>take into account</w:t>
      </w:r>
      <w:proofErr w:type="gramEnd"/>
      <w:r w:rsidRPr="7CEC90E3">
        <w:t xml:space="preserve"> expected National Agreement and </w:t>
      </w:r>
      <w:r w:rsidR="007E073A" w:rsidRPr="7CEC90E3">
        <w:t>Federation Funding Agreement</w:t>
      </w:r>
      <w:r w:rsidRPr="7CEC90E3">
        <w:t xml:space="preserve"> Payments and anticipated infrastructure project delivery. Actual results can vary from forecasts if there are new, renegotiated or ceased programs and infrastructure projects over the forward estimates period.  </w:t>
      </w:r>
    </w:p>
    <w:p w14:paraId="698CDFC9" w14:textId="7C599BDA" w:rsidR="00657B6F" w:rsidRDefault="008E5411" w:rsidP="00367CD6">
      <w:pPr>
        <w:pStyle w:val="BodyText"/>
      </w:pPr>
      <w:r w:rsidRPr="7CEC90E3">
        <w:t>In addition to GST, t</w:t>
      </w:r>
      <w:r w:rsidR="0074124A" w:rsidRPr="7CEC90E3">
        <w:t xml:space="preserve">he </w:t>
      </w:r>
      <w:r w:rsidR="001A4416" w:rsidRPr="7CEC90E3">
        <w:t>Australian</w:t>
      </w:r>
      <w:r w:rsidR="0074124A" w:rsidRPr="7CEC90E3">
        <w:t xml:space="preserve"> Govern</w:t>
      </w:r>
      <w:r w:rsidR="00006410" w:rsidRPr="7CEC90E3">
        <w:t xml:space="preserve">ment </w:t>
      </w:r>
      <w:r w:rsidR="001A4416" w:rsidRPr="7CEC90E3">
        <w:t>provides</w:t>
      </w:r>
      <w:r w:rsidR="00006410" w:rsidRPr="7CEC90E3">
        <w:t xml:space="preserve"> funding to all states and territories </w:t>
      </w:r>
      <w:r w:rsidR="00663FBC" w:rsidRPr="7CEC90E3">
        <w:t xml:space="preserve">through </w:t>
      </w:r>
      <w:r w:rsidR="001A4416" w:rsidRPr="7CEC90E3">
        <w:t xml:space="preserve">National Agreements and </w:t>
      </w:r>
      <w:r w:rsidR="00663FBC" w:rsidRPr="7CEC90E3">
        <w:t>Federa</w:t>
      </w:r>
      <w:r w:rsidR="007E756C" w:rsidRPr="7CEC90E3">
        <w:t>tion</w:t>
      </w:r>
      <w:r w:rsidR="00663FBC" w:rsidRPr="7CEC90E3">
        <w:t xml:space="preserve"> </w:t>
      </w:r>
      <w:r w:rsidR="001A4416" w:rsidRPr="7CEC90E3">
        <w:t>Funding Agreements to assist</w:t>
      </w:r>
      <w:r w:rsidR="001E7005" w:rsidRPr="7CEC90E3">
        <w:t xml:space="preserve"> in the delivery of </w:t>
      </w:r>
      <w:r w:rsidR="001A4416" w:rsidRPr="7CEC90E3">
        <w:t xml:space="preserve">key </w:t>
      </w:r>
      <w:r w:rsidR="001E7005" w:rsidRPr="7CEC90E3">
        <w:t xml:space="preserve">public </w:t>
      </w:r>
      <w:r w:rsidR="001A4416" w:rsidRPr="7CEC90E3">
        <w:t xml:space="preserve">services. Several significant National Agreements, including agreements on education, health, </w:t>
      </w:r>
      <w:r w:rsidR="006F388E" w:rsidRPr="7CEC90E3">
        <w:t xml:space="preserve">and </w:t>
      </w:r>
      <w:r w:rsidR="00D431F1" w:rsidRPr="7CEC90E3">
        <w:t xml:space="preserve">a </w:t>
      </w:r>
      <w:r w:rsidR="00DA6196" w:rsidRPr="7CEC90E3">
        <w:t>n</w:t>
      </w:r>
      <w:r w:rsidR="00D431F1" w:rsidRPr="7CEC90E3">
        <w:t>e</w:t>
      </w:r>
      <w:r w:rsidR="00687B8D" w:rsidRPr="7CEC90E3">
        <w:t xml:space="preserve">w Foundational </w:t>
      </w:r>
      <w:r w:rsidR="00ED713D" w:rsidRPr="7CEC90E3">
        <w:t>S</w:t>
      </w:r>
      <w:r w:rsidR="00936CB9" w:rsidRPr="7CEC90E3">
        <w:t xml:space="preserve">upport </w:t>
      </w:r>
      <w:r w:rsidR="00ED713D" w:rsidRPr="7CEC90E3">
        <w:t>S</w:t>
      </w:r>
      <w:r w:rsidR="00936CB9" w:rsidRPr="7CEC90E3">
        <w:t>ystem</w:t>
      </w:r>
      <w:r w:rsidR="001A4416" w:rsidRPr="7CEC90E3">
        <w:t xml:space="preserve"> are currently under negotiation. Depending on the outcomes of these negotiations, additional NSW</w:t>
      </w:r>
      <w:r w:rsidR="008B7BDA" w:rsidRPr="7CEC90E3">
        <w:t xml:space="preserve"> Government funding </w:t>
      </w:r>
      <w:r w:rsidR="001A4416" w:rsidRPr="7CEC90E3">
        <w:t xml:space="preserve">or capital expenditure may </w:t>
      </w:r>
      <w:r w:rsidR="00934198" w:rsidRPr="7CEC90E3">
        <w:t xml:space="preserve">be </w:t>
      </w:r>
      <w:r w:rsidR="001A4416" w:rsidRPr="7CEC90E3">
        <w:t>required to maintain service delivery standards, impacting the State’s fiscal position over the forward estimates.</w:t>
      </w:r>
    </w:p>
    <w:p w14:paraId="24536704" w14:textId="77777777" w:rsidR="00650CF8" w:rsidRDefault="00650CF8" w:rsidP="00650CF8">
      <w:pPr>
        <w:pStyle w:val="Heading3"/>
        <w:rPr>
          <w:rFonts w:asciiTheme="minorHAnsi" w:eastAsiaTheme="minorEastAsia" w:hAnsiTheme="minorHAnsi" w:cstheme="minorBidi"/>
        </w:rPr>
      </w:pPr>
      <w:r w:rsidRPr="61B12E0D">
        <w:rPr>
          <w:rFonts w:eastAsia="Arial Bold"/>
        </w:rPr>
        <w:t>Royalties</w:t>
      </w:r>
    </w:p>
    <w:bookmarkEnd w:id="1"/>
    <w:p w14:paraId="2764FDE4" w14:textId="168643D1" w:rsidR="00830990" w:rsidRPr="00D06399" w:rsidRDefault="00145FDE" w:rsidP="00367CD6">
      <w:pPr>
        <w:pStyle w:val="BodyText"/>
      </w:pPr>
      <w:r w:rsidRPr="3C48B1A5">
        <w:t>A</w:t>
      </w:r>
      <w:r w:rsidR="00830990" w:rsidRPr="3C48B1A5">
        <w:t xml:space="preserve"> large share of </w:t>
      </w:r>
      <w:r w:rsidR="0004329D">
        <w:t xml:space="preserve">revenue from </w:t>
      </w:r>
      <w:r w:rsidR="00830990" w:rsidRPr="3C48B1A5">
        <w:t>royalties is generated from thermal and coking coal exports, which means that the amount of royalties collected are sensitive to changes in:</w:t>
      </w:r>
    </w:p>
    <w:p w14:paraId="686CD696" w14:textId="3D4A3B62" w:rsidR="00830990" w:rsidRPr="00595D93" w:rsidRDefault="00830990" w:rsidP="00367CD6">
      <w:pPr>
        <w:pStyle w:val="Bullet1"/>
      </w:pPr>
      <w:r w:rsidRPr="2BAD2824">
        <w:t xml:space="preserve">coal production volumes – an increase in coal volumes increases the quantity of coal that royalties are charged on, hence increasing royalties </w:t>
      </w:r>
      <w:proofErr w:type="gramStart"/>
      <w:r w:rsidRPr="2BAD2824">
        <w:t>revenue</w:t>
      </w:r>
      <w:proofErr w:type="gramEnd"/>
    </w:p>
    <w:p w14:paraId="327132A0" w14:textId="468912DE" w:rsidR="00830990" w:rsidRPr="00595D93" w:rsidRDefault="00830990" w:rsidP="00367CD6">
      <w:pPr>
        <w:pStyle w:val="Bullet1"/>
      </w:pPr>
      <w:r w:rsidRPr="2BAD2824">
        <w:t xml:space="preserve">coal prices – an increase in </w:t>
      </w:r>
      <w:r w:rsidR="7EB84E39" w:rsidRPr="2BAD2824">
        <w:t>United States (</w:t>
      </w:r>
      <w:r w:rsidRPr="2BAD2824">
        <w:t>US</w:t>
      </w:r>
      <w:r w:rsidR="75CD2247" w:rsidRPr="2BAD2824">
        <w:t>)</w:t>
      </w:r>
      <w:r w:rsidRPr="2BAD2824">
        <w:t xml:space="preserve"> dollar coal price</w:t>
      </w:r>
      <w:r w:rsidR="16840DCE" w:rsidRPr="2BAD2824">
        <w:t>s</w:t>
      </w:r>
      <w:r w:rsidRPr="2BAD2824">
        <w:t xml:space="preserve"> increases the value of coal sold to domestic and international customers, also increasing royalties </w:t>
      </w:r>
      <w:proofErr w:type="gramStart"/>
      <w:r w:rsidRPr="2BAD2824">
        <w:t>revenue</w:t>
      </w:r>
      <w:proofErr w:type="gramEnd"/>
    </w:p>
    <w:p w14:paraId="3BB000D0" w14:textId="77777777" w:rsidR="00830990" w:rsidRPr="000F4B68" w:rsidRDefault="00830990" w:rsidP="00367CD6">
      <w:pPr>
        <w:pStyle w:val="Bullet1"/>
        <w:rPr>
          <w:rFonts w:asciiTheme="minorHAnsi" w:hAnsiTheme="minorHAnsi" w:cstheme="minorBidi"/>
        </w:rPr>
      </w:pPr>
      <w:r w:rsidRPr="4E12497B">
        <w:t>exchange rates – an appreciation of the Australian-US exchange rate reduces the Australian dollar value of coal exports because coal exports are typically transacted in US dollars.</w:t>
      </w:r>
    </w:p>
    <w:p w14:paraId="29C77C4D" w14:textId="16B8A404" w:rsidR="00B81463" w:rsidRPr="0016410E" w:rsidRDefault="00830990" w:rsidP="00367CD6">
      <w:pPr>
        <w:pStyle w:val="BodyText"/>
      </w:pPr>
      <w:r w:rsidRPr="2BAD2824">
        <w:t xml:space="preserve">Table B.5 denotes the sensitivity of forecast </w:t>
      </w:r>
      <w:proofErr w:type="gramStart"/>
      <w:r w:rsidRPr="2BAD2824">
        <w:t>royalties</w:t>
      </w:r>
      <w:proofErr w:type="gramEnd"/>
      <w:r w:rsidRPr="2BAD2824">
        <w:t xml:space="preserve"> revenue to a one percentage point increase in coal prices, coal production volumes and the Australian-US exchange rate.</w:t>
      </w:r>
    </w:p>
    <w:p w14:paraId="708DC448" w14:textId="77777777" w:rsidR="00650CF8" w:rsidRDefault="00650CF8" w:rsidP="006E1625">
      <w:pPr>
        <w:pStyle w:val="TableBX"/>
      </w:pPr>
      <w:r>
        <w:t>Revenue sensitivities – Coal royalties</w:t>
      </w:r>
    </w:p>
    <w:tbl>
      <w:tblPr>
        <w:tblStyle w:val="TableGrid"/>
        <w:tblpPr w:leftFromText="180" w:rightFromText="180" w:vertAnchor="text" w:horzAnchor="margin" w:tblpXSpec="center" w:tblpY="-9"/>
        <w:tblW w:w="9639"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B.5:  Revenue sensitivities – Coal royalties"/>
        <w:tblDescription w:val="Table B.5:  Revenue sensitivities – Coal royalties"/>
      </w:tblPr>
      <w:tblGrid>
        <w:gridCol w:w="3683"/>
        <w:gridCol w:w="996"/>
        <w:gridCol w:w="992"/>
        <w:gridCol w:w="992"/>
        <w:gridCol w:w="993"/>
        <w:gridCol w:w="1983"/>
      </w:tblGrid>
      <w:tr w:rsidR="001D0B5F" w:rsidRPr="00CC290E" w14:paraId="2812A772" w14:textId="77777777" w:rsidTr="00177242">
        <w:trPr>
          <w:trHeight w:val="283"/>
          <w:jc w:val="center"/>
        </w:trPr>
        <w:tc>
          <w:tcPr>
            <w:tcW w:w="3683" w:type="dxa"/>
            <w:vMerge w:val="restart"/>
            <w:shd w:val="clear" w:color="auto" w:fill="EBEBEB"/>
            <w:vAlign w:val="center"/>
          </w:tcPr>
          <w:p w14:paraId="09AFE1E4" w14:textId="77777777" w:rsidR="00DD6556" w:rsidRPr="00367CD6" w:rsidRDefault="00DD6556" w:rsidP="00DD6556">
            <w:pPr>
              <w:rPr>
                <w:rFonts w:ascii="Public Sans" w:hAnsi="Public Sans" w:cs="Arial"/>
                <w:sz w:val="17"/>
                <w:szCs w:val="17"/>
                <w:lang w:eastAsia="en-AU"/>
              </w:rPr>
            </w:pPr>
            <w:r w:rsidRPr="00367CD6">
              <w:rPr>
                <w:rFonts w:ascii="Public Sans" w:hAnsi="Public Sans" w:cs="Arial"/>
                <w:sz w:val="17"/>
                <w:szCs w:val="17"/>
                <w:lang w:eastAsia="en-AU"/>
              </w:rPr>
              <w:t xml:space="preserve">Factors affecting </w:t>
            </w:r>
            <w:proofErr w:type="gramStart"/>
            <w:r w:rsidRPr="00367CD6">
              <w:rPr>
                <w:rFonts w:ascii="Public Sans" w:hAnsi="Public Sans" w:cs="Arial"/>
                <w:sz w:val="17"/>
                <w:szCs w:val="17"/>
                <w:lang w:eastAsia="en-AU"/>
              </w:rPr>
              <w:t>royalties</w:t>
            </w:r>
            <w:proofErr w:type="gramEnd"/>
            <w:r w:rsidRPr="00367CD6">
              <w:rPr>
                <w:rFonts w:ascii="Public Sans" w:hAnsi="Public Sans" w:cs="Arial"/>
                <w:sz w:val="17"/>
                <w:szCs w:val="17"/>
                <w:lang w:eastAsia="en-AU"/>
              </w:rPr>
              <w:t xml:space="preserve"> revenue</w:t>
            </w:r>
          </w:p>
        </w:tc>
        <w:tc>
          <w:tcPr>
            <w:tcW w:w="996" w:type="dxa"/>
            <w:shd w:val="clear" w:color="auto" w:fill="EBEBEB"/>
            <w:vAlign w:val="bottom"/>
          </w:tcPr>
          <w:p w14:paraId="3B799250" w14:textId="226361C3" w:rsidR="00DD6556" w:rsidRPr="00367CD6" w:rsidRDefault="00DD6556" w:rsidP="00DD6556">
            <w:pPr>
              <w:jc w:val="center"/>
              <w:rPr>
                <w:rFonts w:ascii="Public Sans" w:hAnsi="Public Sans" w:cs="Arial"/>
                <w:sz w:val="17"/>
                <w:szCs w:val="17"/>
                <w:lang w:eastAsia="en-AU"/>
              </w:rPr>
            </w:pPr>
            <w:r w:rsidRPr="00367CD6">
              <w:rPr>
                <w:rFonts w:ascii="Public Sans" w:eastAsia="Arial" w:hAnsi="Public Sans" w:cs="Arial"/>
                <w:sz w:val="17"/>
                <w:szCs w:val="17"/>
              </w:rPr>
              <w:t>2024-25</w:t>
            </w:r>
          </w:p>
        </w:tc>
        <w:tc>
          <w:tcPr>
            <w:tcW w:w="992" w:type="dxa"/>
            <w:shd w:val="clear" w:color="auto" w:fill="EBEBEB"/>
            <w:vAlign w:val="bottom"/>
          </w:tcPr>
          <w:p w14:paraId="41EEE087" w14:textId="707894AA" w:rsidR="00DD6556" w:rsidRPr="00367CD6" w:rsidRDefault="00DD6556" w:rsidP="00DD6556">
            <w:pPr>
              <w:jc w:val="center"/>
              <w:rPr>
                <w:rFonts w:ascii="Public Sans" w:hAnsi="Public Sans" w:cs="Arial"/>
                <w:sz w:val="17"/>
                <w:szCs w:val="17"/>
                <w:lang w:eastAsia="en-AU"/>
              </w:rPr>
            </w:pPr>
            <w:r w:rsidRPr="00367CD6">
              <w:rPr>
                <w:rFonts w:ascii="Public Sans" w:eastAsia="Arial" w:hAnsi="Public Sans" w:cs="Arial"/>
                <w:sz w:val="17"/>
                <w:szCs w:val="17"/>
              </w:rPr>
              <w:t>2025-26</w:t>
            </w:r>
          </w:p>
        </w:tc>
        <w:tc>
          <w:tcPr>
            <w:tcW w:w="992" w:type="dxa"/>
            <w:shd w:val="clear" w:color="auto" w:fill="EBEBEB"/>
            <w:vAlign w:val="bottom"/>
          </w:tcPr>
          <w:p w14:paraId="0428703E" w14:textId="6B0F7AC5" w:rsidR="00DD6556" w:rsidRPr="00367CD6" w:rsidRDefault="00DD6556" w:rsidP="00DD6556">
            <w:pPr>
              <w:jc w:val="center"/>
              <w:rPr>
                <w:rFonts w:ascii="Public Sans" w:hAnsi="Public Sans" w:cs="Arial"/>
                <w:sz w:val="17"/>
                <w:szCs w:val="17"/>
                <w:lang w:eastAsia="en-AU"/>
              </w:rPr>
            </w:pPr>
            <w:r w:rsidRPr="00367CD6">
              <w:rPr>
                <w:rFonts w:ascii="Public Sans" w:eastAsia="Arial" w:hAnsi="Public Sans" w:cs="Arial"/>
                <w:sz w:val="17"/>
                <w:szCs w:val="17"/>
              </w:rPr>
              <w:t>2026-27</w:t>
            </w:r>
          </w:p>
        </w:tc>
        <w:tc>
          <w:tcPr>
            <w:tcW w:w="993" w:type="dxa"/>
            <w:shd w:val="clear" w:color="auto" w:fill="EBEBEB"/>
            <w:vAlign w:val="bottom"/>
          </w:tcPr>
          <w:p w14:paraId="1E669BCB" w14:textId="4B57151B" w:rsidR="00DD6556" w:rsidRPr="00367CD6" w:rsidRDefault="00DD6556" w:rsidP="00DD6556">
            <w:pPr>
              <w:jc w:val="center"/>
              <w:rPr>
                <w:rFonts w:ascii="Public Sans" w:hAnsi="Public Sans" w:cs="Arial"/>
                <w:sz w:val="17"/>
                <w:szCs w:val="17"/>
                <w:lang w:eastAsia="en-AU"/>
              </w:rPr>
            </w:pPr>
            <w:r w:rsidRPr="00367CD6">
              <w:rPr>
                <w:rFonts w:ascii="Public Sans" w:eastAsia="Arial" w:hAnsi="Public Sans" w:cs="Arial"/>
                <w:sz w:val="17"/>
                <w:szCs w:val="17"/>
              </w:rPr>
              <w:t>2027-28</w:t>
            </w:r>
          </w:p>
        </w:tc>
        <w:tc>
          <w:tcPr>
            <w:tcW w:w="1983" w:type="dxa"/>
            <w:vMerge w:val="restart"/>
            <w:shd w:val="clear" w:color="auto" w:fill="4B5051"/>
            <w:vAlign w:val="center"/>
          </w:tcPr>
          <w:p w14:paraId="61738719" w14:textId="77777777" w:rsidR="00DD6556" w:rsidRPr="00367CD6" w:rsidRDefault="00DD6556" w:rsidP="00DD6556">
            <w:pPr>
              <w:jc w:val="center"/>
              <w:rPr>
                <w:rFonts w:ascii="Public Sans" w:hAnsi="Public Sans" w:cs="Arial"/>
                <w:color w:val="FFFFFF" w:themeColor="background1"/>
                <w:sz w:val="17"/>
                <w:szCs w:val="17"/>
                <w:lang w:eastAsia="en-AU"/>
              </w:rPr>
            </w:pPr>
            <w:r w:rsidRPr="00367CD6">
              <w:rPr>
                <w:rFonts w:ascii="Public Sans" w:hAnsi="Public Sans" w:cs="Arial"/>
                <w:color w:val="FFFFFF" w:themeColor="background1"/>
                <w:sz w:val="17"/>
                <w:szCs w:val="17"/>
                <w:lang w:eastAsia="en-AU"/>
              </w:rPr>
              <w:t>Sensitivity</w:t>
            </w:r>
          </w:p>
        </w:tc>
      </w:tr>
      <w:tr w:rsidR="00650CF8" w:rsidRPr="00CC290E" w14:paraId="482D4F3E" w14:textId="77777777" w:rsidTr="003437AB">
        <w:trPr>
          <w:trHeight w:val="227"/>
          <w:jc w:val="center"/>
        </w:trPr>
        <w:tc>
          <w:tcPr>
            <w:tcW w:w="3683" w:type="dxa"/>
            <w:vMerge/>
          </w:tcPr>
          <w:p w14:paraId="6EAE8053" w14:textId="77777777" w:rsidR="00650CF8" w:rsidRPr="00367CD6" w:rsidRDefault="00650CF8" w:rsidP="00703770">
            <w:pPr>
              <w:jc w:val="center"/>
              <w:rPr>
                <w:rFonts w:ascii="Public Sans" w:hAnsi="Public Sans" w:cs="Arial"/>
                <w:sz w:val="17"/>
                <w:szCs w:val="17"/>
                <w:lang w:eastAsia="en-AU"/>
              </w:rPr>
            </w:pPr>
          </w:p>
        </w:tc>
        <w:tc>
          <w:tcPr>
            <w:tcW w:w="996" w:type="dxa"/>
            <w:shd w:val="clear" w:color="auto" w:fill="EBEBEB"/>
          </w:tcPr>
          <w:p w14:paraId="377DEE08" w14:textId="688A0B66" w:rsidR="00650CF8" w:rsidRPr="00367CD6" w:rsidRDefault="00650CF8" w:rsidP="00703770">
            <w:pPr>
              <w:jc w:val="center"/>
              <w:rPr>
                <w:rFonts w:ascii="Public Sans" w:hAnsi="Public Sans" w:cs="Arial"/>
                <w:sz w:val="17"/>
                <w:szCs w:val="17"/>
                <w:lang w:eastAsia="en-AU"/>
              </w:rPr>
            </w:pPr>
            <w:r w:rsidRPr="00367CD6">
              <w:rPr>
                <w:rFonts w:ascii="Public Sans" w:eastAsia="Arial" w:hAnsi="Public Sans" w:cs="Arial"/>
                <w:sz w:val="17"/>
                <w:szCs w:val="17"/>
              </w:rPr>
              <w:t>Budget</w:t>
            </w:r>
          </w:p>
        </w:tc>
        <w:tc>
          <w:tcPr>
            <w:tcW w:w="2977" w:type="dxa"/>
            <w:gridSpan w:val="3"/>
            <w:shd w:val="clear" w:color="auto" w:fill="EBEBEB"/>
          </w:tcPr>
          <w:p w14:paraId="752188BD" w14:textId="5A8C9F75" w:rsidR="00650CF8" w:rsidRPr="00367CD6" w:rsidRDefault="00650CF8" w:rsidP="00703770">
            <w:pPr>
              <w:jc w:val="center"/>
              <w:rPr>
                <w:rFonts w:ascii="Public Sans" w:hAnsi="Public Sans" w:cs="Arial"/>
                <w:sz w:val="17"/>
                <w:szCs w:val="17"/>
                <w:lang w:eastAsia="en-AU"/>
              </w:rPr>
            </w:pPr>
            <w:r w:rsidRPr="00367CD6">
              <w:rPr>
                <w:rFonts w:ascii="Public Sans" w:eastAsia="Arial" w:hAnsi="Public Sans" w:cs="Arial"/>
                <w:sz w:val="17"/>
                <w:szCs w:val="17"/>
              </w:rPr>
              <w:t>Forward estimates</w:t>
            </w:r>
          </w:p>
        </w:tc>
        <w:tc>
          <w:tcPr>
            <w:tcW w:w="1983" w:type="dxa"/>
            <w:vMerge/>
            <w:vAlign w:val="center"/>
          </w:tcPr>
          <w:p w14:paraId="2287A0B7" w14:textId="77777777" w:rsidR="00650CF8" w:rsidRPr="00367CD6" w:rsidRDefault="00650CF8" w:rsidP="00703770">
            <w:pPr>
              <w:jc w:val="center"/>
              <w:rPr>
                <w:rFonts w:ascii="Public Sans" w:hAnsi="Public Sans" w:cs="Arial"/>
                <w:color w:val="FFFFFF" w:themeColor="background1"/>
                <w:sz w:val="17"/>
                <w:szCs w:val="17"/>
                <w:lang w:eastAsia="en-AU"/>
              </w:rPr>
            </w:pPr>
          </w:p>
        </w:tc>
      </w:tr>
      <w:tr w:rsidR="001D0B5F" w:rsidRPr="00CC290E" w14:paraId="32AA1D94" w14:textId="77777777" w:rsidTr="00177242">
        <w:trPr>
          <w:trHeight w:val="283"/>
          <w:jc w:val="center"/>
        </w:trPr>
        <w:tc>
          <w:tcPr>
            <w:tcW w:w="3683" w:type="dxa"/>
            <w:shd w:val="clear" w:color="auto" w:fill="EBEBEB"/>
          </w:tcPr>
          <w:p w14:paraId="0D45D14C" w14:textId="77777777" w:rsidR="00650CF8" w:rsidRPr="00367CD6" w:rsidRDefault="00650CF8" w:rsidP="00703770">
            <w:pPr>
              <w:jc w:val="center"/>
              <w:rPr>
                <w:rFonts w:ascii="Public Sans" w:hAnsi="Public Sans" w:cs="Arial"/>
                <w:sz w:val="17"/>
                <w:szCs w:val="17"/>
                <w:lang w:eastAsia="en-AU"/>
              </w:rPr>
            </w:pPr>
          </w:p>
        </w:tc>
        <w:tc>
          <w:tcPr>
            <w:tcW w:w="996" w:type="dxa"/>
            <w:shd w:val="clear" w:color="auto" w:fill="EBEBEB"/>
          </w:tcPr>
          <w:p w14:paraId="4A7B06EF" w14:textId="77777777" w:rsidR="00650CF8" w:rsidRPr="00367CD6" w:rsidRDefault="00650CF8" w:rsidP="00703770">
            <w:pPr>
              <w:jc w:val="center"/>
              <w:rPr>
                <w:rFonts w:ascii="Public Sans" w:hAnsi="Public Sans" w:cs="Arial"/>
                <w:sz w:val="17"/>
                <w:szCs w:val="17"/>
                <w:lang w:eastAsia="en-AU"/>
              </w:rPr>
            </w:pPr>
            <w:r w:rsidRPr="00367CD6">
              <w:rPr>
                <w:rFonts w:ascii="Public Sans" w:hAnsi="Public Sans" w:cs="Arial"/>
                <w:sz w:val="17"/>
                <w:szCs w:val="17"/>
                <w:lang w:eastAsia="en-AU"/>
              </w:rPr>
              <w:t>$m</w:t>
            </w:r>
          </w:p>
        </w:tc>
        <w:tc>
          <w:tcPr>
            <w:tcW w:w="992" w:type="dxa"/>
            <w:shd w:val="clear" w:color="auto" w:fill="EBEBEB"/>
          </w:tcPr>
          <w:p w14:paraId="6CC5CCBF" w14:textId="77777777" w:rsidR="00650CF8" w:rsidRPr="00367CD6" w:rsidRDefault="00650CF8" w:rsidP="00703770">
            <w:pPr>
              <w:jc w:val="center"/>
              <w:rPr>
                <w:rFonts w:ascii="Public Sans" w:hAnsi="Public Sans" w:cs="Arial"/>
                <w:sz w:val="17"/>
                <w:szCs w:val="17"/>
                <w:lang w:eastAsia="en-AU"/>
              </w:rPr>
            </w:pPr>
            <w:r w:rsidRPr="00367CD6">
              <w:rPr>
                <w:rFonts w:ascii="Public Sans" w:hAnsi="Public Sans" w:cs="Arial"/>
                <w:sz w:val="17"/>
                <w:szCs w:val="17"/>
                <w:lang w:eastAsia="en-AU"/>
              </w:rPr>
              <w:t>$m</w:t>
            </w:r>
          </w:p>
        </w:tc>
        <w:tc>
          <w:tcPr>
            <w:tcW w:w="992" w:type="dxa"/>
            <w:shd w:val="clear" w:color="auto" w:fill="EBEBEB"/>
          </w:tcPr>
          <w:p w14:paraId="7B4CB7FD" w14:textId="77777777" w:rsidR="00650CF8" w:rsidRPr="00367CD6" w:rsidRDefault="00650CF8" w:rsidP="00703770">
            <w:pPr>
              <w:jc w:val="center"/>
              <w:rPr>
                <w:rFonts w:ascii="Public Sans" w:hAnsi="Public Sans" w:cs="Arial"/>
                <w:sz w:val="17"/>
                <w:szCs w:val="17"/>
                <w:lang w:eastAsia="en-AU"/>
              </w:rPr>
            </w:pPr>
            <w:r w:rsidRPr="00367CD6">
              <w:rPr>
                <w:rFonts w:ascii="Public Sans" w:hAnsi="Public Sans" w:cs="Arial"/>
                <w:sz w:val="17"/>
                <w:szCs w:val="17"/>
                <w:lang w:eastAsia="en-AU"/>
              </w:rPr>
              <w:t>$m</w:t>
            </w:r>
          </w:p>
        </w:tc>
        <w:tc>
          <w:tcPr>
            <w:tcW w:w="993" w:type="dxa"/>
            <w:shd w:val="clear" w:color="auto" w:fill="EBEBEB"/>
          </w:tcPr>
          <w:p w14:paraId="493B67CF" w14:textId="77777777" w:rsidR="00650CF8" w:rsidRPr="00367CD6" w:rsidRDefault="00650CF8" w:rsidP="00703770">
            <w:pPr>
              <w:jc w:val="center"/>
              <w:rPr>
                <w:rFonts w:ascii="Public Sans" w:hAnsi="Public Sans" w:cs="Arial"/>
                <w:sz w:val="17"/>
                <w:szCs w:val="17"/>
                <w:lang w:eastAsia="en-AU"/>
              </w:rPr>
            </w:pPr>
            <w:r w:rsidRPr="00367CD6">
              <w:rPr>
                <w:rFonts w:ascii="Public Sans" w:hAnsi="Public Sans" w:cs="Arial"/>
                <w:sz w:val="17"/>
                <w:szCs w:val="17"/>
                <w:lang w:eastAsia="en-AU"/>
              </w:rPr>
              <w:t>$m</w:t>
            </w:r>
          </w:p>
        </w:tc>
        <w:tc>
          <w:tcPr>
            <w:tcW w:w="1983" w:type="dxa"/>
            <w:vMerge/>
            <w:vAlign w:val="center"/>
          </w:tcPr>
          <w:p w14:paraId="070A56A1" w14:textId="77777777" w:rsidR="00650CF8" w:rsidRPr="00367CD6" w:rsidRDefault="00650CF8" w:rsidP="00703770">
            <w:pPr>
              <w:jc w:val="center"/>
              <w:rPr>
                <w:rFonts w:ascii="Public Sans" w:hAnsi="Public Sans" w:cs="Arial"/>
                <w:color w:val="FFFFFF" w:themeColor="background1"/>
                <w:sz w:val="17"/>
                <w:szCs w:val="17"/>
                <w:lang w:eastAsia="en-AU"/>
              </w:rPr>
            </w:pPr>
          </w:p>
        </w:tc>
      </w:tr>
      <w:tr w:rsidR="00650CF8" w:rsidRPr="00CC290E" w14:paraId="7A6C92BF" w14:textId="77777777" w:rsidTr="008C5066">
        <w:trPr>
          <w:trHeight w:val="283"/>
          <w:jc w:val="center"/>
        </w:trPr>
        <w:tc>
          <w:tcPr>
            <w:tcW w:w="3683" w:type="dxa"/>
            <w:shd w:val="clear" w:color="auto" w:fill="auto"/>
            <w:vAlign w:val="center"/>
          </w:tcPr>
          <w:p w14:paraId="433D8E5B" w14:textId="77777777" w:rsidR="00650CF8" w:rsidRPr="00367CD6" w:rsidRDefault="00650CF8" w:rsidP="00703770">
            <w:pPr>
              <w:rPr>
                <w:rFonts w:ascii="Public Sans" w:eastAsia="Arial" w:hAnsi="Public Sans" w:cs="Arial"/>
                <w:sz w:val="16"/>
                <w:szCs w:val="16"/>
              </w:rPr>
            </w:pPr>
            <w:r w:rsidRPr="00367CD6">
              <w:rPr>
                <w:rFonts w:ascii="Public Sans" w:eastAsia="Arial" w:hAnsi="Public Sans" w:cs="Arial"/>
                <w:sz w:val="16"/>
                <w:szCs w:val="16"/>
              </w:rPr>
              <w:t>Coal prices</w:t>
            </w:r>
          </w:p>
        </w:tc>
        <w:tc>
          <w:tcPr>
            <w:tcW w:w="996" w:type="dxa"/>
            <w:vAlign w:val="center"/>
          </w:tcPr>
          <w:p w14:paraId="2B8B1FDD" w14:textId="1E50BE4A" w:rsidR="00650CF8" w:rsidRPr="00367CD6" w:rsidRDefault="3F5D45BC" w:rsidP="008C5066">
            <w:pPr>
              <w:ind w:right="170"/>
              <w:jc w:val="center"/>
              <w:rPr>
                <w:rFonts w:ascii="Public Sans" w:eastAsia="Arial" w:hAnsi="Public Sans" w:cs="Arial"/>
                <w:sz w:val="16"/>
                <w:szCs w:val="16"/>
              </w:rPr>
            </w:pPr>
            <w:r w:rsidRPr="00367CD6">
              <w:rPr>
                <w:rFonts w:ascii="Public Sans" w:eastAsia="Arial" w:hAnsi="Public Sans" w:cs="Arial"/>
                <w:sz w:val="16"/>
                <w:szCs w:val="16"/>
              </w:rPr>
              <w:t>34</w:t>
            </w:r>
          </w:p>
        </w:tc>
        <w:tc>
          <w:tcPr>
            <w:tcW w:w="992" w:type="dxa"/>
            <w:shd w:val="clear" w:color="auto" w:fill="auto"/>
            <w:vAlign w:val="center"/>
          </w:tcPr>
          <w:p w14:paraId="13521CDB" w14:textId="5449E1F5" w:rsidR="00650CF8" w:rsidRPr="00367CD6" w:rsidRDefault="3F5D45BC" w:rsidP="008C5066">
            <w:pPr>
              <w:ind w:right="170"/>
              <w:jc w:val="center"/>
              <w:rPr>
                <w:rFonts w:ascii="Public Sans" w:eastAsia="Arial" w:hAnsi="Public Sans" w:cs="Arial"/>
                <w:sz w:val="16"/>
                <w:szCs w:val="16"/>
              </w:rPr>
            </w:pPr>
            <w:r w:rsidRPr="00367CD6">
              <w:rPr>
                <w:rFonts w:ascii="Public Sans" w:eastAsia="Arial" w:hAnsi="Public Sans" w:cs="Arial"/>
                <w:sz w:val="16"/>
                <w:szCs w:val="16"/>
              </w:rPr>
              <w:t>30</w:t>
            </w:r>
          </w:p>
        </w:tc>
        <w:tc>
          <w:tcPr>
            <w:tcW w:w="992" w:type="dxa"/>
            <w:shd w:val="clear" w:color="auto" w:fill="auto"/>
            <w:vAlign w:val="center"/>
          </w:tcPr>
          <w:p w14:paraId="5029C08B" w14:textId="0DEB2FB2" w:rsidR="00650CF8" w:rsidRPr="00367CD6" w:rsidRDefault="3F5D45BC" w:rsidP="008C5066">
            <w:pPr>
              <w:ind w:right="170"/>
              <w:jc w:val="center"/>
              <w:rPr>
                <w:rFonts w:ascii="Public Sans" w:eastAsia="Arial" w:hAnsi="Public Sans" w:cs="Arial"/>
                <w:sz w:val="16"/>
                <w:szCs w:val="16"/>
              </w:rPr>
            </w:pPr>
            <w:r w:rsidRPr="00367CD6">
              <w:rPr>
                <w:rFonts w:ascii="Public Sans" w:eastAsia="Arial" w:hAnsi="Public Sans" w:cs="Arial"/>
                <w:sz w:val="16"/>
                <w:szCs w:val="16"/>
              </w:rPr>
              <w:t>28</w:t>
            </w:r>
          </w:p>
        </w:tc>
        <w:tc>
          <w:tcPr>
            <w:tcW w:w="993" w:type="dxa"/>
            <w:shd w:val="clear" w:color="auto" w:fill="auto"/>
            <w:vAlign w:val="center"/>
          </w:tcPr>
          <w:p w14:paraId="6CCC7D2B" w14:textId="46825835" w:rsidR="00650CF8" w:rsidRPr="00367CD6" w:rsidRDefault="3F5D45BC" w:rsidP="008C5066">
            <w:pPr>
              <w:ind w:right="170"/>
              <w:jc w:val="center"/>
              <w:rPr>
                <w:rFonts w:ascii="Public Sans" w:eastAsia="Arial" w:hAnsi="Public Sans" w:cs="Arial"/>
                <w:sz w:val="16"/>
                <w:szCs w:val="16"/>
              </w:rPr>
            </w:pPr>
            <w:r w:rsidRPr="00367CD6">
              <w:rPr>
                <w:rFonts w:ascii="Public Sans" w:eastAsia="Arial" w:hAnsi="Public Sans" w:cs="Arial"/>
                <w:sz w:val="16"/>
                <w:szCs w:val="16"/>
              </w:rPr>
              <w:t>22</w:t>
            </w:r>
          </w:p>
        </w:tc>
        <w:tc>
          <w:tcPr>
            <w:tcW w:w="1983" w:type="dxa"/>
            <w:vMerge w:val="restart"/>
            <w:vAlign w:val="center"/>
          </w:tcPr>
          <w:p w14:paraId="7BEAD14E" w14:textId="77777777" w:rsidR="00650CF8" w:rsidRPr="00367CD6" w:rsidRDefault="00650CF8" w:rsidP="00703770">
            <w:pPr>
              <w:jc w:val="center"/>
              <w:rPr>
                <w:rFonts w:ascii="Public Sans" w:hAnsi="Public Sans" w:cs="Arial"/>
                <w:sz w:val="16"/>
                <w:szCs w:val="16"/>
              </w:rPr>
            </w:pPr>
            <w:r w:rsidRPr="00367CD6">
              <w:rPr>
                <w:rFonts w:ascii="Public Sans" w:hAnsi="Public Sans" w:cs="Arial"/>
                <w:sz w:val="16"/>
                <w:szCs w:val="16"/>
              </w:rPr>
              <w:t>Single percentage point increase in factor</w:t>
            </w:r>
          </w:p>
        </w:tc>
      </w:tr>
      <w:tr w:rsidR="00650CF8" w:rsidRPr="00CC290E" w14:paraId="4166D7C0" w14:textId="77777777" w:rsidTr="008C5066">
        <w:trPr>
          <w:trHeight w:val="283"/>
          <w:jc w:val="center"/>
        </w:trPr>
        <w:tc>
          <w:tcPr>
            <w:tcW w:w="3683" w:type="dxa"/>
            <w:shd w:val="clear" w:color="auto" w:fill="auto"/>
            <w:vAlign w:val="center"/>
          </w:tcPr>
          <w:p w14:paraId="32469B81" w14:textId="77777777" w:rsidR="00650CF8" w:rsidRPr="00367CD6" w:rsidRDefault="00650CF8" w:rsidP="00703770">
            <w:pPr>
              <w:rPr>
                <w:rFonts w:ascii="Public Sans" w:eastAsia="Arial" w:hAnsi="Public Sans" w:cs="Arial"/>
                <w:sz w:val="16"/>
                <w:szCs w:val="16"/>
              </w:rPr>
            </w:pPr>
            <w:r w:rsidRPr="00367CD6">
              <w:rPr>
                <w:rFonts w:ascii="Public Sans" w:eastAsia="Arial" w:hAnsi="Public Sans" w:cs="Arial"/>
                <w:sz w:val="16"/>
                <w:szCs w:val="16"/>
              </w:rPr>
              <w:t>Coal volumes</w:t>
            </w:r>
          </w:p>
        </w:tc>
        <w:tc>
          <w:tcPr>
            <w:tcW w:w="996" w:type="dxa"/>
            <w:vAlign w:val="center"/>
          </w:tcPr>
          <w:p w14:paraId="59C86FEA" w14:textId="1473B33E" w:rsidR="00650CF8" w:rsidRPr="00367CD6" w:rsidRDefault="77F4D941" w:rsidP="008C5066">
            <w:pPr>
              <w:ind w:right="170"/>
              <w:jc w:val="center"/>
              <w:rPr>
                <w:rFonts w:ascii="Public Sans" w:eastAsia="Arial" w:hAnsi="Public Sans" w:cs="Arial"/>
                <w:sz w:val="16"/>
                <w:szCs w:val="16"/>
              </w:rPr>
            </w:pPr>
            <w:r w:rsidRPr="00367CD6">
              <w:rPr>
                <w:rFonts w:ascii="Public Sans" w:eastAsia="Arial" w:hAnsi="Public Sans" w:cs="Arial"/>
                <w:sz w:val="16"/>
                <w:szCs w:val="16"/>
              </w:rPr>
              <w:t>33</w:t>
            </w:r>
          </w:p>
        </w:tc>
        <w:tc>
          <w:tcPr>
            <w:tcW w:w="992" w:type="dxa"/>
            <w:shd w:val="clear" w:color="auto" w:fill="auto"/>
            <w:vAlign w:val="center"/>
          </w:tcPr>
          <w:p w14:paraId="797A4BDB" w14:textId="5CCC5F8F" w:rsidR="00650CF8" w:rsidRPr="00367CD6" w:rsidRDefault="77F4D941" w:rsidP="008C5066">
            <w:pPr>
              <w:ind w:right="170"/>
              <w:jc w:val="center"/>
              <w:rPr>
                <w:rFonts w:ascii="Public Sans" w:eastAsia="Arial" w:hAnsi="Public Sans" w:cs="Arial"/>
                <w:sz w:val="16"/>
                <w:szCs w:val="16"/>
              </w:rPr>
            </w:pPr>
            <w:r w:rsidRPr="00367CD6">
              <w:rPr>
                <w:rFonts w:ascii="Public Sans" w:eastAsia="Arial" w:hAnsi="Public Sans" w:cs="Arial"/>
                <w:sz w:val="16"/>
                <w:szCs w:val="16"/>
              </w:rPr>
              <w:t>29</w:t>
            </w:r>
          </w:p>
        </w:tc>
        <w:tc>
          <w:tcPr>
            <w:tcW w:w="992" w:type="dxa"/>
            <w:shd w:val="clear" w:color="auto" w:fill="auto"/>
            <w:vAlign w:val="center"/>
          </w:tcPr>
          <w:p w14:paraId="63BD0751" w14:textId="3A27F4DD" w:rsidR="00650CF8" w:rsidRPr="00367CD6" w:rsidRDefault="77F4D941" w:rsidP="008C5066">
            <w:pPr>
              <w:ind w:right="170"/>
              <w:jc w:val="center"/>
              <w:rPr>
                <w:rFonts w:ascii="Public Sans" w:eastAsia="Arial" w:hAnsi="Public Sans" w:cs="Arial"/>
                <w:sz w:val="16"/>
                <w:szCs w:val="16"/>
              </w:rPr>
            </w:pPr>
            <w:r w:rsidRPr="00367CD6">
              <w:rPr>
                <w:rFonts w:ascii="Public Sans" w:eastAsia="Arial" w:hAnsi="Public Sans" w:cs="Arial"/>
                <w:sz w:val="16"/>
                <w:szCs w:val="16"/>
              </w:rPr>
              <w:t>27</w:t>
            </w:r>
          </w:p>
        </w:tc>
        <w:tc>
          <w:tcPr>
            <w:tcW w:w="993" w:type="dxa"/>
            <w:shd w:val="clear" w:color="auto" w:fill="auto"/>
            <w:vAlign w:val="center"/>
          </w:tcPr>
          <w:p w14:paraId="65CEAAE1" w14:textId="348A0609" w:rsidR="00650CF8" w:rsidRPr="00367CD6" w:rsidRDefault="77F4D941" w:rsidP="008C5066">
            <w:pPr>
              <w:ind w:right="170"/>
              <w:jc w:val="center"/>
              <w:rPr>
                <w:rFonts w:ascii="Public Sans" w:eastAsia="Arial" w:hAnsi="Public Sans" w:cs="Arial"/>
                <w:sz w:val="16"/>
                <w:szCs w:val="16"/>
              </w:rPr>
            </w:pPr>
            <w:r w:rsidRPr="00367CD6">
              <w:rPr>
                <w:rFonts w:ascii="Public Sans" w:eastAsia="Arial" w:hAnsi="Public Sans" w:cs="Arial"/>
                <w:sz w:val="16"/>
                <w:szCs w:val="16"/>
              </w:rPr>
              <w:t>26</w:t>
            </w:r>
          </w:p>
        </w:tc>
        <w:tc>
          <w:tcPr>
            <w:tcW w:w="1983" w:type="dxa"/>
            <w:vMerge/>
            <w:vAlign w:val="center"/>
          </w:tcPr>
          <w:p w14:paraId="447E6EA0" w14:textId="77777777" w:rsidR="00650CF8" w:rsidRPr="00367CD6" w:rsidRDefault="00650CF8" w:rsidP="00703770">
            <w:pPr>
              <w:rPr>
                <w:rFonts w:ascii="Public Sans" w:hAnsi="Public Sans"/>
                <w:sz w:val="16"/>
                <w:szCs w:val="16"/>
              </w:rPr>
            </w:pPr>
          </w:p>
        </w:tc>
      </w:tr>
      <w:tr w:rsidR="00650CF8" w:rsidRPr="00CC290E" w14:paraId="6D764197" w14:textId="77777777" w:rsidTr="008C5066">
        <w:trPr>
          <w:trHeight w:val="283"/>
          <w:jc w:val="center"/>
        </w:trPr>
        <w:tc>
          <w:tcPr>
            <w:tcW w:w="3683" w:type="dxa"/>
            <w:shd w:val="clear" w:color="auto" w:fill="auto"/>
            <w:vAlign w:val="center"/>
          </w:tcPr>
          <w:p w14:paraId="216FC29C" w14:textId="77777777" w:rsidR="00650CF8" w:rsidRPr="00367CD6" w:rsidRDefault="00650CF8" w:rsidP="00703770">
            <w:pPr>
              <w:rPr>
                <w:rFonts w:ascii="Public Sans" w:eastAsia="Arial" w:hAnsi="Public Sans" w:cs="Arial"/>
                <w:sz w:val="16"/>
                <w:szCs w:val="16"/>
              </w:rPr>
            </w:pPr>
            <w:r w:rsidRPr="00367CD6">
              <w:rPr>
                <w:rFonts w:ascii="Public Sans" w:eastAsia="Arial" w:hAnsi="Public Sans" w:cs="Arial"/>
                <w:sz w:val="16"/>
                <w:szCs w:val="16"/>
              </w:rPr>
              <w:t>Exchange rate ($A vs $US)</w:t>
            </w:r>
          </w:p>
        </w:tc>
        <w:tc>
          <w:tcPr>
            <w:tcW w:w="996" w:type="dxa"/>
            <w:vAlign w:val="center"/>
          </w:tcPr>
          <w:p w14:paraId="578996B0" w14:textId="09A4E3BA" w:rsidR="00650CF8" w:rsidRPr="00367CD6" w:rsidRDefault="561B2A8A" w:rsidP="008C5066">
            <w:pPr>
              <w:ind w:right="170"/>
              <w:jc w:val="center"/>
              <w:rPr>
                <w:rFonts w:ascii="Public Sans" w:eastAsia="Arial" w:hAnsi="Public Sans" w:cs="Arial"/>
                <w:sz w:val="16"/>
                <w:szCs w:val="16"/>
              </w:rPr>
            </w:pPr>
            <w:r w:rsidRPr="00367CD6">
              <w:rPr>
                <w:rFonts w:ascii="Public Sans" w:eastAsia="Arial" w:hAnsi="Public Sans" w:cs="Arial"/>
                <w:sz w:val="16"/>
                <w:szCs w:val="16"/>
              </w:rPr>
              <w:t>(35)</w:t>
            </w:r>
          </w:p>
        </w:tc>
        <w:tc>
          <w:tcPr>
            <w:tcW w:w="992" w:type="dxa"/>
            <w:shd w:val="clear" w:color="auto" w:fill="FFFFFF" w:themeFill="background1"/>
            <w:vAlign w:val="center"/>
          </w:tcPr>
          <w:p w14:paraId="5466CABC" w14:textId="62B576CF" w:rsidR="00650CF8" w:rsidRPr="00367CD6" w:rsidRDefault="561B2A8A" w:rsidP="008C5066">
            <w:pPr>
              <w:ind w:right="170"/>
              <w:jc w:val="center"/>
              <w:rPr>
                <w:rFonts w:ascii="Public Sans" w:eastAsia="Arial" w:hAnsi="Public Sans" w:cs="Arial"/>
                <w:sz w:val="16"/>
                <w:szCs w:val="16"/>
              </w:rPr>
            </w:pPr>
            <w:r w:rsidRPr="00367CD6">
              <w:rPr>
                <w:rFonts w:ascii="Public Sans" w:eastAsia="Arial" w:hAnsi="Public Sans" w:cs="Arial"/>
                <w:sz w:val="16"/>
                <w:szCs w:val="16"/>
              </w:rPr>
              <w:t>(30)</w:t>
            </w:r>
          </w:p>
        </w:tc>
        <w:tc>
          <w:tcPr>
            <w:tcW w:w="992" w:type="dxa"/>
            <w:shd w:val="clear" w:color="auto" w:fill="FFFFFF" w:themeFill="background1"/>
            <w:vAlign w:val="center"/>
          </w:tcPr>
          <w:p w14:paraId="067C5E40" w14:textId="45F5BAEB" w:rsidR="00650CF8" w:rsidRPr="00367CD6" w:rsidRDefault="561B2A8A" w:rsidP="008C5066">
            <w:pPr>
              <w:ind w:right="170"/>
              <w:jc w:val="center"/>
              <w:rPr>
                <w:rFonts w:ascii="Public Sans" w:eastAsia="Arial" w:hAnsi="Public Sans" w:cs="Arial"/>
                <w:sz w:val="16"/>
                <w:szCs w:val="16"/>
              </w:rPr>
            </w:pPr>
            <w:r w:rsidRPr="00367CD6">
              <w:rPr>
                <w:rFonts w:ascii="Public Sans" w:eastAsia="Arial" w:hAnsi="Public Sans" w:cs="Arial"/>
                <w:sz w:val="16"/>
                <w:szCs w:val="16"/>
              </w:rPr>
              <w:t>(28)</w:t>
            </w:r>
          </w:p>
        </w:tc>
        <w:tc>
          <w:tcPr>
            <w:tcW w:w="993" w:type="dxa"/>
            <w:shd w:val="clear" w:color="auto" w:fill="FFFFFF" w:themeFill="background1"/>
            <w:vAlign w:val="center"/>
          </w:tcPr>
          <w:p w14:paraId="6C386975" w14:textId="0D639D06" w:rsidR="00650CF8" w:rsidRPr="00367CD6" w:rsidRDefault="561B2A8A" w:rsidP="008C5066">
            <w:pPr>
              <w:ind w:right="170"/>
              <w:jc w:val="center"/>
              <w:rPr>
                <w:rFonts w:ascii="Public Sans" w:eastAsia="Arial" w:hAnsi="Public Sans" w:cs="Arial"/>
                <w:sz w:val="16"/>
                <w:szCs w:val="16"/>
              </w:rPr>
            </w:pPr>
            <w:r w:rsidRPr="00367CD6">
              <w:rPr>
                <w:rFonts w:ascii="Public Sans" w:eastAsia="Arial" w:hAnsi="Public Sans" w:cs="Arial"/>
                <w:sz w:val="16"/>
                <w:szCs w:val="16"/>
              </w:rPr>
              <w:t>(28)</w:t>
            </w:r>
          </w:p>
        </w:tc>
        <w:tc>
          <w:tcPr>
            <w:tcW w:w="1983" w:type="dxa"/>
            <w:vMerge/>
          </w:tcPr>
          <w:p w14:paraId="4B328DC9" w14:textId="77777777" w:rsidR="00650CF8" w:rsidRPr="00367CD6" w:rsidRDefault="00650CF8" w:rsidP="00703770">
            <w:pPr>
              <w:jc w:val="center"/>
              <w:rPr>
                <w:rFonts w:ascii="Public Sans" w:hAnsi="Public Sans" w:cs="Arial"/>
                <w:sz w:val="16"/>
                <w:szCs w:val="16"/>
              </w:rPr>
            </w:pPr>
          </w:p>
        </w:tc>
      </w:tr>
    </w:tbl>
    <w:p w14:paraId="6CBF3B6F" w14:textId="65392D7E" w:rsidR="00650CF8" w:rsidRDefault="00650CF8" w:rsidP="00650CF8"/>
    <w:p w14:paraId="6D5DDF8D" w14:textId="4A277187" w:rsidR="00650CF8" w:rsidRPr="00D47394" w:rsidRDefault="00650CF8" w:rsidP="00650CF8">
      <w:pPr>
        <w:pStyle w:val="Heading3"/>
        <w:rPr>
          <w:rFonts w:asciiTheme="minorHAnsi" w:eastAsiaTheme="minorEastAsia" w:hAnsiTheme="minorHAnsi" w:cstheme="minorBidi"/>
        </w:rPr>
      </w:pPr>
      <w:r>
        <w:lastRenderedPageBreak/>
        <w:t>General expense risks</w:t>
      </w:r>
      <w:r>
        <w:rPr>
          <w:rStyle w:val="FootnoteReference"/>
        </w:rPr>
        <w:footnoteReference w:id="2"/>
      </w:r>
    </w:p>
    <w:p w14:paraId="35D9BCE8" w14:textId="7735150B" w:rsidR="005B4B9E" w:rsidRDefault="005B4B9E" w:rsidP="00367CD6">
      <w:pPr>
        <w:pStyle w:val="BodyText"/>
      </w:pPr>
      <w:r w:rsidRPr="2BAD2824">
        <w:t xml:space="preserve">Some </w:t>
      </w:r>
      <w:r w:rsidR="00704E15" w:rsidRPr="2BAD2824">
        <w:t xml:space="preserve">expense </w:t>
      </w:r>
      <w:r w:rsidRPr="2BAD2824">
        <w:t xml:space="preserve">risks are largely within the </w:t>
      </w:r>
      <w:r w:rsidR="4AE99C16" w:rsidRPr="2BAD2824">
        <w:t xml:space="preserve">NSW </w:t>
      </w:r>
      <w:r w:rsidRPr="2BAD2824">
        <w:t xml:space="preserve">Government’s control and can be actively managed, whereas other risks are primarily outside of its control. For example, impacts associated with existing government policy, employee expenses or the reprofiling of </w:t>
      </w:r>
      <w:r w:rsidR="00540F93" w:rsidRPr="2BAD2824">
        <w:t xml:space="preserve">expenses </w:t>
      </w:r>
      <w:r w:rsidRPr="2BAD2824">
        <w:t>can be more actively managed</w:t>
      </w:r>
      <w:r w:rsidR="00A639A6" w:rsidRPr="2BAD2824">
        <w:t xml:space="preserve">. </w:t>
      </w:r>
      <w:r w:rsidR="002342CC" w:rsidRPr="2BAD2824">
        <w:t xml:space="preserve">Expenses </w:t>
      </w:r>
      <w:r w:rsidRPr="2BAD2824">
        <w:t xml:space="preserve">linked to </w:t>
      </w:r>
      <w:r w:rsidR="00FA6691" w:rsidRPr="2BAD2824">
        <w:t>Australian Government</w:t>
      </w:r>
      <w:r w:rsidRPr="2BAD2824">
        <w:t xml:space="preserve"> payments, inflation, interest rate changes or natural disasters are largely exogenous risks. </w:t>
      </w:r>
    </w:p>
    <w:p w14:paraId="7CA7A154" w14:textId="5E32DDA6" w:rsidR="004E1CD7" w:rsidRPr="0016410E" w:rsidRDefault="004E1CD7" w:rsidP="00367CD6">
      <w:pPr>
        <w:pStyle w:val="BodyText"/>
      </w:pPr>
      <w:r w:rsidRPr="004E1CD7">
        <w:t>The State’s largest operating expense is employee</w:t>
      </w:r>
      <w:r w:rsidR="419CD127">
        <w:t>-</w:t>
      </w:r>
      <w:r w:rsidRPr="004E1CD7">
        <w:t>related expenses</w:t>
      </w:r>
      <w:r w:rsidR="00D64BA9">
        <w:rPr>
          <w:rStyle w:val="FootnoteReference"/>
        </w:rPr>
        <w:footnoteReference w:id="3"/>
      </w:r>
      <w:r w:rsidRPr="004E1CD7">
        <w:t xml:space="preserve">, which includes salaries, wages, worker's </w:t>
      </w:r>
      <w:proofErr w:type="gramStart"/>
      <w:r w:rsidRPr="004E1CD7">
        <w:t>compensation</w:t>
      </w:r>
      <w:proofErr w:type="gramEnd"/>
      <w:r w:rsidRPr="004E1CD7">
        <w:t xml:space="preserve"> and employment on-cost expenses. </w:t>
      </w:r>
      <w:r w:rsidR="09B1C09B">
        <w:t>Employee-</w:t>
      </w:r>
      <w:r w:rsidRPr="004E1CD7">
        <w:t>related expenses are impacted by factors including new industrial instruments, public sector wages policy and the workforce size</w:t>
      </w:r>
      <w:r w:rsidR="004D225D">
        <w:t xml:space="preserve"> and composition</w:t>
      </w:r>
      <w:r w:rsidRPr="004E1CD7">
        <w:t xml:space="preserve">. Changes in these parameters can impact the budget result. </w:t>
      </w:r>
    </w:p>
    <w:p w14:paraId="5D72F055" w14:textId="26A1F7B3" w:rsidR="00070E26" w:rsidRDefault="009A145A" w:rsidP="00367CD6">
      <w:pPr>
        <w:pStyle w:val="BodyText"/>
      </w:pPr>
      <w:r w:rsidRPr="2BAD2824">
        <w:t xml:space="preserve">The </w:t>
      </w:r>
      <w:r w:rsidR="003A53D5" w:rsidRPr="2BAD2824">
        <w:t>Budget</w:t>
      </w:r>
      <w:r w:rsidRPr="2BAD2824">
        <w:t xml:space="preserve"> contains the impact of the </w:t>
      </w:r>
      <w:r w:rsidR="59EAEB33" w:rsidRPr="2BAD2824">
        <w:t>NSW</w:t>
      </w:r>
      <w:r w:rsidRPr="2BAD2824">
        <w:t xml:space="preserve"> Government’s updated wages offer to employees. </w:t>
      </w:r>
      <w:r w:rsidR="004901AC" w:rsidRPr="2BAD2824">
        <w:t xml:space="preserve">As the Government shifts to a more consultative mutual-based bargaining approach for industrial relations matters, it is possible that final industrial agreement outcomes may vary from </w:t>
      </w:r>
      <w:r w:rsidRPr="2BAD2824">
        <w:t xml:space="preserve">employee </w:t>
      </w:r>
      <w:r w:rsidR="003A53D5" w:rsidRPr="2BAD2824">
        <w:t xml:space="preserve">expense forecasts </w:t>
      </w:r>
      <w:r w:rsidRPr="2BAD2824">
        <w:t xml:space="preserve">in the Budget. It is </w:t>
      </w:r>
      <w:r w:rsidR="003A53D5" w:rsidRPr="2BAD2824">
        <w:t xml:space="preserve">possible </w:t>
      </w:r>
      <w:r w:rsidRPr="2BAD2824">
        <w:t>additional enhancements to wages and conditions</w:t>
      </w:r>
      <w:r w:rsidR="004901AC" w:rsidRPr="2BAD2824">
        <w:t xml:space="preserve"> above the Government’s wages </w:t>
      </w:r>
      <w:r w:rsidRPr="2BAD2824">
        <w:t xml:space="preserve">offer </w:t>
      </w:r>
      <w:r w:rsidR="003A53D5" w:rsidRPr="2BAD2824">
        <w:t>could</w:t>
      </w:r>
      <w:r w:rsidRPr="2BAD2824">
        <w:t xml:space="preserve"> be </w:t>
      </w:r>
      <w:r w:rsidR="003A53D5" w:rsidRPr="2BAD2824">
        <w:t xml:space="preserve">made </w:t>
      </w:r>
      <w:r w:rsidRPr="2BAD2824">
        <w:t xml:space="preserve">in exchange for productivity-enhancing reforms and/or cost savings. There </w:t>
      </w:r>
      <w:r w:rsidR="003A53D5" w:rsidRPr="2BAD2824">
        <w:t>could</w:t>
      </w:r>
      <w:r w:rsidRPr="2BAD2824">
        <w:t xml:space="preserve"> be additional costs where enhanced wages and conditions are exchanged for significant improvements to service delivery, or where</w:t>
      </w:r>
      <w:r w:rsidR="005B3D16" w:rsidRPr="2BAD2824">
        <w:t xml:space="preserve"> </w:t>
      </w:r>
      <w:r w:rsidRPr="2BAD2824">
        <w:t xml:space="preserve">productivity enhancing reforms come with upfront costs. </w:t>
      </w:r>
    </w:p>
    <w:p w14:paraId="00380B5F" w14:textId="2033979A" w:rsidR="00070E26" w:rsidRDefault="00070E26" w:rsidP="00367CD6">
      <w:pPr>
        <w:pStyle w:val="BodyText"/>
      </w:pPr>
      <w:r>
        <w:t xml:space="preserve">In addition, </w:t>
      </w:r>
      <w:r w:rsidRPr="00620ED9">
        <w:t xml:space="preserve">following recent amendments to the </w:t>
      </w:r>
      <w:r w:rsidRPr="00620ED9">
        <w:rPr>
          <w:i/>
        </w:rPr>
        <w:t>Industrial Relations Act 1996</w:t>
      </w:r>
      <w:r w:rsidRPr="00620ED9">
        <w:t xml:space="preserve">, the Industrial Relations Commission </w:t>
      </w:r>
      <w:r w:rsidR="581BEC39">
        <w:t xml:space="preserve">(Commission) </w:t>
      </w:r>
      <w:r w:rsidRPr="00620ED9">
        <w:t xml:space="preserve">and the Industrial Court </w:t>
      </w:r>
      <w:r w:rsidR="12ECB398">
        <w:t xml:space="preserve">(Court) </w:t>
      </w:r>
      <w:r w:rsidRPr="00620ED9">
        <w:t xml:space="preserve">are now empowered to arbitrate wage claims without the restriction of a wages cap. When considering wage claims, the Commission and Court will need to </w:t>
      </w:r>
      <w:r w:rsidR="0083075F">
        <w:t xml:space="preserve">also </w:t>
      </w:r>
      <w:r w:rsidRPr="00620ED9">
        <w:t xml:space="preserve">have regard to the fiscal position and outlook of the Government. As the scope of </w:t>
      </w:r>
      <w:r w:rsidR="0083075F">
        <w:t xml:space="preserve">any </w:t>
      </w:r>
      <w:r w:rsidRPr="00620ED9">
        <w:t xml:space="preserve">decision by the Commission </w:t>
      </w:r>
      <w:r w:rsidR="00553E70">
        <w:t>or</w:t>
      </w:r>
      <w:r w:rsidRPr="00620ED9">
        <w:t xml:space="preserve"> the Court is unknown, the impact on the Budget is also unknown.</w:t>
      </w:r>
    </w:p>
    <w:p w14:paraId="2BC8EA7D" w14:textId="26D7E15B" w:rsidR="004901AC" w:rsidRPr="0016410E" w:rsidRDefault="009A145A" w:rsidP="00367CD6">
      <w:pPr>
        <w:pStyle w:val="BodyText"/>
      </w:pPr>
      <w:r w:rsidRPr="7DAFA246">
        <w:t>Budget</w:t>
      </w:r>
      <w:r w:rsidR="004901AC" w:rsidRPr="7DAFA246">
        <w:t xml:space="preserve"> forecasts</w:t>
      </w:r>
      <w:r w:rsidRPr="7DAFA246">
        <w:t xml:space="preserve"> may need to be </w:t>
      </w:r>
      <w:r w:rsidR="004901AC" w:rsidRPr="7DAFA246">
        <w:t xml:space="preserve">updated to reflect </w:t>
      </w:r>
      <w:r w:rsidR="003A53D5" w:rsidRPr="7DAFA246">
        <w:t>variations</w:t>
      </w:r>
      <w:r w:rsidR="00AE743D" w:rsidRPr="7DAFA246">
        <w:t xml:space="preserve"> to e</w:t>
      </w:r>
      <w:r w:rsidR="002A49FA" w:rsidRPr="7DAFA246">
        <w:t>mployee expenses</w:t>
      </w:r>
      <w:r w:rsidR="00AE743D" w:rsidRPr="7DAFA246">
        <w:t xml:space="preserve"> that arise from </w:t>
      </w:r>
      <w:r w:rsidR="00E9392D" w:rsidRPr="7DAFA246">
        <w:t xml:space="preserve">negotiation of final industrial agreements and/or decisions by the Commission or </w:t>
      </w:r>
      <w:r w:rsidR="00104AEF" w:rsidRPr="7DAFA246">
        <w:t>the</w:t>
      </w:r>
      <w:r w:rsidR="00E9392D" w:rsidRPr="7DAFA246">
        <w:t xml:space="preserve"> Court</w:t>
      </w:r>
      <w:r w:rsidR="00AE743D" w:rsidRPr="7DAFA246">
        <w:t>.</w:t>
      </w:r>
    </w:p>
    <w:p w14:paraId="2120D719" w14:textId="7B2D22B2" w:rsidR="00800E26" w:rsidRDefault="00800E26" w:rsidP="00367CD6">
      <w:pPr>
        <w:pStyle w:val="BodyText"/>
      </w:pPr>
      <w:r w:rsidRPr="2BAD2824">
        <w:t>Health and education services represent a significant proportion of public sector expenses in New South Wales. Any increase in demand for or cost pressures on these services</w:t>
      </w:r>
      <w:r w:rsidR="001B3F2D" w:rsidRPr="2BAD2824">
        <w:t xml:space="preserve"> can worsen the budget result.</w:t>
      </w:r>
    </w:p>
    <w:p w14:paraId="75203A3F" w14:textId="57861890" w:rsidR="005B4B9E" w:rsidRDefault="005B4B9E" w:rsidP="00367CD6">
      <w:pPr>
        <w:pStyle w:val="BodyText"/>
      </w:pPr>
      <w:r w:rsidRPr="2BAD2824">
        <w:t xml:space="preserve">Agency budgets are prepared with consideration </w:t>
      </w:r>
      <w:r w:rsidR="00546A51" w:rsidRPr="2BAD2824">
        <w:t>of</w:t>
      </w:r>
      <w:r w:rsidRPr="2BAD2824">
        <w:t xml:space="preserve"> the Government’s forecast of inflation at the time of Budget. Once agency budgets are </w:t>
      </w:r>
      <w:r w:rsidR="00570A93" w:rsidRPr="2BAD2824">
        <w:t>finalised</w:t>
      </w:r>
      <w:r w:rsidRPr="2BAD2824">
        <w:t xml:space="preserve"> for the </w:t>
      </w:r>
      <w:r w:rsidR="001F1B59" w:rsidRPr="2BAD2824">
        <w:t>budget</w:t>
      </w:r>
      <w:r w:rsidRPr="2BAD2824">
        <w:t xml:space="preserve"> year (Budget Paper No.</w:t>
      </w:r>
      <w:r w:rsidR="00010723" w:rsidRPr="2BAD2824">
        <w:t>2</w:t>
      </w:r>
      <w:r w:rsidR="00F5678F" w:rsidRPr="2BAD2824">
        <w:t xml:space="preserve"> </w:t>
      </w:r>
      <w:r w:rsidR="00677591" w:rsidRPr="2BAD2824">
        <w:rPr>
          <w:i/>
        </w:rPr>
        <w:t>Agency</w:t>
      </w:r>
      <w:r w:rsidR="00F5678F" w:rsidRPr="2BAD2824">
        <w:rPr>
          <w:i/>
        </w:rPr>
        <w:t xml:space="preserve"> Financial Statements</w:t>
      </w:r>
      <w:r w:rsidRPr="2BAD2824">
        <w:t>), the Government does not subsequently adjust them if inflation comes in higher than forecast. This is consistent with the principle that once Parliament passes the Appropriation Bill</w:t>
      </w:r>
      <w:r w:rsidR="00802986" w:rsidRPr="2BAD2824">
        <w:t>s</w:t>
      </w:r>
      <w:r w:rsidRPr="2BAD2824">
        <w:t xml:space="preserve">, that forms a legal upper limit on how much the Consolidated Fund can be drawn down in that financial year. There are very limited circumstances in which exigencies of Government can be approved by the Treasurer and Governor for urgent and unforeseen </w:t>
      </w:r>
      <w:r w:rsidR="0072164F" w:rsidRPr="2BAD2824">
        <w:t>expenses</w:t>
      </w:r>
      <w:r w:rsidRPr="2BAD2824">
        <w:t xml:space="preserve">. </w:t>
      </w:r>
    </w:p>
    <w:p w14:paraId="5E3E8767" w14:textId="423AD93E" w:rsidR="001F0C25" w:rsidRDefault="00C114F4" w:rsidP="00367CD6">
      <w:pPr>
        <w:pStyle w:val="BodyText"/>
      </w:pPr>
      <w:r w:rsidRPr="2BAD2824">
        <w:t xml:space="preserve">Should events unfold in the coming months which lead to a further upward revision of inflation at the next budget, </w:t>
      </w:r>
      <w:r w:rsidR="00BD41A8" w:rsidRPr="2BAD2824">
        <w:t>there</w:t>
      </w:r>
      <w:r w:rsidRPr="2BAD2824">
        <w:t xml:space="preserve"> would</w:t>
      </w:r>
      <w:r w:rsidR="00BD41A8" w:rsidRPr="2BAD2824">
        <w:t xml:space="preserve"> be</w:t>
      </w:r>
      <w:r w:rsidRPr="2BAD2824">
        <w:t xml:space="preserve"> a higher projection for expenses </w:t>
      </w:r>
      <w:r w:rsidR="0076422C" w:rsidRPr="2BAD2824">
        <w:t>across the forward estimates</w:t>
      </w:r>
      <w:r w:rsidRPr="2BAD2824">
        <w:t xml:space="preserve">. </w:t>
      </w:r>
      <w:r w:rsidR="00CC0193" w:rsidRPr="2BAD2824">
        <w:t>Conversely</w:t>
      </w:r>
      <w:r w:rsidRPr="2BAD2824">
        <w:t>,</w:t>
      </w:r>
      <w:r w:rsidR="00CC0193" w:rsidRPr="2BAD2824">
        <w:t xml:space="preserve"> if</w:t>
      </w:r>
      <w:r w:rsidRPr="2BAD2824">
        <w:t xml:space="preserve"> events unfold over the next </w:t>
      </w:r>
      <w:r w:rsidR="00813FE3" w:rsidRPr="2BAD2824">
        <w:t>12</w:t>
      </w:r>
      <w:r w:rsidRPr="2BAD2824">
        <w:t xml:space="preserve"> months and the Government believes it would be appropriate to revise down its inflation forecasts relative to what is in this Budget, </w:t>
      </w:r>
      <w:r w:rsidR="00FF30D7" w:rsidRPr="2BAD2824">
        <w:t>there</w:t>
      </w:r>
      <w:r w:rsidRPr="2BAD2824">
        <w:t xml:space="preserve"> would </w:t>
      </w:r>
      <w:r w:rsidR="00D65BE2" w:rsidRPr="2BAD2824">
        <w:t>be</w:t>
      </w:r>
      <w:r w:rsidRPr="2BAD2824">
        <w:t xml:space="preserve"> a reduction in projected expenses</w:t>
      </w:r>
      <w:r w:rsidR="0076422C" w:rsidRPr="2BAD2824">
        <w:t xml:space="preserve"> across the forward estimates</w:t>
      </w:r>
      <w:r w:rsidRPr="2BAD2824">
        <w:t>.</w:t>
      </w:r>
    </w:p>
    <w:p w14:paraId="097793D5" w14:textId="77777777" w:rsidR="001F0C25" w:rsidRDefault="001F0C25">
      <w:pPr>
        <w:rPr>
          <w:rFonts w:ascii="Public Sans" w:hAnsi="Public Sans" w:cs="Arial"/>
          <w:sz w:val="22"/>
          <w:lang w:val="en-AU"/>
        </w:rPr>
      </w:pPr>
      <w:r>
        <w:br w:type="page"/>
      </w:r>
    </w:p>
    <w:p w14:paraId="3FD08F4E" w14:textId="36B87EDD" w:rsidR="005B4B9E" w:rsidRPr="00367CD6" w:rsidRDefault="005B4B9E" w:rsidP="00001BEB">
      <w:pPr>
        <w:pStyle w:val="TableBX"/>
        <w:rPr>
          <w:rFonts w:asciiTheme="minorHAnsi" w:eastAsiaTheme="minorEastAsia" w:hAnsiTheme="minorHAnsi" w:cstheme="minorBidi"/>
          <w:sz w:val="23"/>
          <w:szCs w:val="24"/>
        </w:rPr>
      </w:pPr>
      <w:r w:rsidRPr="006D01A7">
        <w:lastRenderedPageBreak/>
        <w:t xml:space="preserve">Expense sensitivities </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B.6:  Expense sensitivities "/>
        <w:tblDescription w:val="Table B.6:  Expense sensitivities "/>
      </w:tblPr>
      <w:tblGrid>
        <w:gridCol w:w="3603"/>
        <w:gridCol w:w="1006"/>
        <w:gridCol w:w="1006"/>
        <w:gridCol w:w="1007"/>
        <w:gridCol w:w="1006"/>
        <w:gridCol w:w="2011"/>
      </w:tblGrid>
      <w:tr w:rsidR="00DD6556" w:rsidRPr="00097D37" w14:paraId="3F96A3B6" w14:textId="77777777" w:rsidTr="005E041D">
        <w:trPr>
          <w:trHeight w:val="283"/>
        </w:trPr>
        <w:tc>
          <w:tcPr>
            <w:tcW w:w="3555" w:type="dxa"/>
            <w:vMerge w:val="restart"/>
            <w:shd w:val="clear" w:color="auto" w:fill="EBEBEB"/>
            <w:vAlign w:val="center"/>
          </w:tcPr>
          <w:p w14:paraId="3F1685F1" w14:textId="77777777" w:rsidR="00DD6556" w:rsidRPr="00367CD6" w:rsidRDefault="00DD6556" w:rsidP="00DD6556">
            <w:pPr>
              <w:rPr>
                <w:rFonts w:ascii="Public Sans" w:hAnsi="Public Sans" w:cs="Arial"/>
                <w:sz w:val="17"/>
                <w:szCs w:val="17"/>
                <w:lang w:eastAsia="en-AU"/>
              </w:rPr>
            </w:pPr>
            <w:r w:rsidRPr="00367CD6">
              <w:rPr>
                <w:rFonts w:ascii="Public Sans" w:hAnsi="Public Sans" w:cs="Arial"/>
                <w:sz w:val="17"/>
                <w:szCs w:val="17"/>
                <w:lang w:eastAsia="en-AU"/>
              </w:rPr>
              <w:t>Factors affecting expenses</w:t>
            </w:r>
          </w:p>
        </w:tc>
        <w:tc>
          <w:tcPr>
            <w:tcW w:w="992" w:type="dxa"/>
            <w:shd w:val="clear" w:color="auto" w:fill="EBEBEB"/>
            <w:vAlign w:val="bottom"/>
          </w:tcPr>
          <w:p w14:paraId="5E1D49E3" w14:textId="1669CFCD" w:rsidR="00DD6556" w:rsidRPr="00367CD6" w:rsidRDefault="00DD6556" w:rsidP="00DD6556">
            <w:pPr>
              <w:jc w:val="center"/>
              <w:rPr>
                <w:rFonts w:ascii="Public Sans" w:hAnsi="Public Sans" w:cs="Arial"/>
                <w:sz w:val="17"/>
                <w:szCs w:val="17"/>
                <w:lang w:eastAsia="en-AU"/>
              </w:rPr>
            </w:pPr>
            <w:r w:rsidRPr="00367CD6">
              <w:rPr>
                <w:rFonts w:ascii="Public Sans" w:eastAsia="Arial" w:hAnsi="Public Sans" w:cs="Arial"/>
                <w:sz w:val="17"/>
                <w:szCs w:val="17"/>
              </w:rPr>
              <w:t>2024-25</w:t>
            </w:r>
          </w:p>
        </w:tc>
        <w:tc>
          <w:tcPr>
            <w:tcW w:w="992" w:type="dxa"/>
            <w:shd w:val="clear" w:color="auto" w:fill="EBEBEB"/>
            <w:vAlign w:val="bottom"/>
          </w:tcPr>
          <w:p w14:paraId="24A8736A" w14:textId="17BEF3E9" w:rsidR="00DD6556" w:rsidRPr="00367CD6" w:rsidRDefault="00DD6556" w:rsidP="00DD6556">
            <w:pPr>
              <w:jc w:val="center"/>
              <w:rPr>
                <w:rFonts w:ascii="Public Sans" w:hAnsi="Public Sans" w:cs="Arial"/>
                <w:sz w:val="17"/>
                <w:szCs w:val="17"/>
                <w:lang w:eastAsia="en-AU"/>
              </w:rPr>
            </w:pPr>
            <w:r w:rsidRPr="00367CD6">
              <w:rPr>
                <w:rFonts w:ascii="Public Sans" w:eastAsia="Arial" w:hAnsi="Public Sans" w:cs="Arial"/>
                <w:sz w:val="17"/>
                <w:szCs w:val="17"/>
              </w:rPr>
              <w:t>2025-26</w:t>
            </w:r>
          </w:p>
        </w:tc>
        <w:tc>
          <w:tcPr>
            <w:tcW w:w="993" w:type="dxa"/>
            <w:shd w:val="clear" w:color="auto" w:fill="EBEBEB"/>
            <w:vAlign w:val="bottom"/>
          </w:tcPr>
          <w:p w14:paraId="6D607D33" w14:textId="7C757645" w:rsidR="00DD6556" w:rsidRPr="00367CD6" w:rsidRDefault="00DD6556" w:rsidP="00DD6556">
            <w:pPr>
              <w:jc w:val="center"/>
              <w:rPr>
                <w:rFonts w:ascii="Public Sans" w:hAnsi="Public Sans" w:cs="Arial"/>
                <w:sz w:val="17"/>
                <w:szCs w:val="17"/>
                <w:lang w:eastAsia="en-AU"/>
              </w:rPr>
            </w:pPr>
            <w:r w:rsidRPr="00367CD6">
              <w:rPr>
                <w:rFonts w:ascii="Public Sans" w:eastAsia="Arial" w:hAnsi="Public Sans" w:cs="Arial"/>
                <w:sz w:val="17"/>
                <w:szCs w:val="17"/>
              </w:rPr>
              <w:t>2026-27</w:t>
            </w:r>
          </w:p>
        </w:tc>
        <w:tc>
          <w:tcPr>
            <w:tcW w:w="992" w:type="dxa"/>
            <w:shd w:val="clear" w:color="auto" w:fill="EBEBEB"/>
            <w:vAlign w:val="bottom"/>
          </w:tcPr>
          <w:p w14:paraId="29B0099C" w14:textId="62523B24" w:rsidR="00DD6556" w:rsidRPr="00367CD6" w:rsidRDefault="00DD6556" w:rsidP="00DD6556">
            <w:pPr>
              <w:jc w:val="center"/>
              <w:rPr>
                <w:rFonts w:ascii="Public Sans" w:hAnsi="Public Sans" w:cs="Arial"/>
                <w:sz w:val="17"/>
                <w:szCs w:val="17"/>
                <w:lang w:eastAsia="en-AU"/>
              </w:rPr>
            </w:pPr>
            <w:r w:rsidRPr="00367CD6">
              <w:rPr>
                <w:rFonts w:ascii="Public Sans" w:eastAsia="Arial" w:hAnsi="Public Sans" w:cs="Arial"/>
                <w:sz w:val="17"/>
                <w:szCs w:val="17"/>
              </w:rPr>
              <w:t>2027-28</w:t>
            </w:r>
          </w:p>
        </w:tc>
        <w:tc>
          <w:tcPr>
            <w:tcW w:w="1984" w:type="dxa"/>
            <w:vMerge w:val="restart"/>
            <w:shd w:val="clear" w:color="auto" w:fill="4B5051"/>
            <w:vAlign w:val="center"/>
          </w:tcPr>
          <w:p w14:paraId="616D77B7" w14:textId="77777777" w:rsidR="00DD6556" w:rsidRPr="00367CD6" w:rsidRDefault="00DD6556" w:rsidP="00DD6556">
            <w:pPr>
              <w:jc w:val="center"/>
              <w:rPr>
                <w:rFonts w:ascii="Public Sans" w:hAnsi="Public Sans" w:cs="Arial"/>
                <w:color w:val="FFFFFF" w:themeColor="background1"/>
                <w:sz w:val="17"/>
                <w:szCs w:val="17"/>
                <w:lang w:eastAsia="en-AU"/>
              </w:rPr>
            </w:pPr>
            <w:r w:rsidRPr="00367CD6">
              <w:rPr>
                <w:rFonts w:ascii="Public Sans" w:hAnsi="Public Sans" w:cs="Arial"/>
                <w:color w:val="FFFFFF" w:themeColor="background1"/>
                <w:sz w:val="17"/>
                <w:szCs w:val="17"/>
                <w:lang w:eastAsia="en-AU"/>
              </w:rPr>
              <w:t>Sensitivity</w:t>
            </w:r>
          </w:p>
        </w:tc>
      </w:tr>
      <w:tr w:rsidR="005B4B9E" w:rsidRPr="00097D37" w14:paraId="49BFDBFA" w14:textId="77777777" w:rsidTr="072F61C3">
        <w:trPr>
          <w:trHeight w:val="227"/>
        </w:trPr>
        <w:tc>
          <w:tcPr>
            <w:tcW w:w="3555" w:type="dxa"/>
            <w:vMerge/>
          </w:tcPr>
          <w:p w14:paraId="11135D1B" w14:textId="77777777" w:rsidR="005B4B9E" w:rsidRPr="00367CD6" w:rsidRDefault="005B4B9E" w:rsidP="00B3448F">
            <w:pPr>
              <w:rPr>
                <w:rFonts w:ascii="Public Sans" w:hAnsi="Public Sans"/>
                <w:sz w:val="17"/>
                <w:szCs w:val="17"/>
              </w:rPr>
            </w:pPr>
          </w:p>
        </w:tc>
        <w:tc>
          <w:tcPr>
            <w:tcW w:w="992" w:type="dxa"/>
            <w:shd w:val="clear" w:color="auto" w:fill="EBEBEB"/>
          </w:tcPr>
          <w:p w14:paraId="2EE77C13" w14:textId="77777777" w:rsidR="005B4B9E" w:rsidRPr="00367CD6" w:rsidRDefault="005B4B9E" w:rsidP="00B3448F">
            <w:pPr>
              <w:jc w:val="center"/>
              <w:rPr>
                <w:rFonts w:ascii="Public Sans" w:hAnsi="Public Sans" w:cs="Arial"/>
                <w:sz w:val="17"/>
                <w:szCs w:val="17"/>
                <w:lang w:eastAsia="en-AU"/>
              </w:rPr>
            </w:pPr>
            <w:r w:rsidRPr="00367CD6">
              <w:rPr>
                <w:rFonts w:ascii="Public Sans" w:eastAsia="Arial" w:hAnsi="Public Sans" w:cs="Arial"/>
                <w:sz w:val="17"/>
                <w:szCs w:val="17"/>
              </w:rPr>
              <w:t>Budget</w:t>
            </w:r>
          </w:p>
        </w:tc>
        <w:tc>
          <w:tcPr>
            <w:tcW w:w="992" w:type="dxa"/>
            <w:gridSpan w:val="3"/>
            <w:shd w:val="clear" w:color="auto" w:fill="EBEBEB"/>
          </w:tcPr>
          <w:p w14:paraId="018F9F47" w14:textId="77777777" w:rsidR="005B4B9E" w:rsidRPr="00367CD6" w:rsidRDefault="005B4B9E" w:rsidP="00B3448F">
            <w:pPr>
              <w:jc w:val="center"/>
              <w:rPr>
                <w:rFonts w:ascii="Public Sans" w:hAnsi="Public Sans" w:cs="Arial"/>
                <w:sz w:val="17"/>
                <w:szCs w:val="17"/>
                <w:lang w:eastAsia="en-AU"/>
              </w:rPr>
            </w:pPr>
            <w:r w:rsidRPr="00367CD6">
              <w:rPr>
                <w:rFonts w:ascii="Public Sans" w:eastAsia="Arial" w:hAnsi="Public Sans" w:cs="Arial"/>
                <w:sz w:val="17"/>
                <w:szCs w:val="17"/>
              </w:rPr>
              <w:t>Forward estimates</w:t>
            </w:r>
          </w:p>
        </w:tc>
        <w:tc>
          <w:tcPr>
            <w:tcW w:w="1984" w:type="dxa"/>
            <w:vMerge/>
          </w:tcPr>
          <w:p w14:paraId="7DDE0702" w14:textId="77777777" w:rsidR="005B4B9E" w:rsidRPr="00367CD6" w:rsidRDefault="005B4B9E" w:rsidP="00B3448F">
            <w:pPr>
              <w:rPr>
                <w:rFonts w:ascii="Public Sans" w:hAnsi="Public Sans"/>
                <w:sz w:val="17"/>
                <w:szCs w:val="17"/>
              </w:rPr>
            </w:pPr>
          </w:p>
        </w:tc>
      </w:tr>
      <w:tr w:rsidR="005B4B9E" w:rsidRPr="00097D37" w14:paraId="0A2E27B9" w14:textId="77777777" w:rsidTr="00EF24C0">
        <w:trPr>
          <w:trHeight w:val="283"/>
        </w:trPr>
        <w:tc>
          <w:tcPr>
            <w:tcW w:w="3555" w:type="dxa"/>
            <w:shd w:val="clear" w:color="auto" w:fill="EBEBEB"/>
          </w:tcPr>
          <w:p w14:paraId="6066DBC3" w14:textId="77777777" w:rsidR="005B4B9E" w:rsidRPr="00367CD6" w:rsidRDefault="005B4B9E" w:rsidP="00B3448F">
            <w:pPr>
              <w:jc w:val="center"/>
              <w:rPr>
                <w:rFonts w:ascii="Public Sans" w:hAnsi="Public Sans" w:cs="Arial"/>
                <w:sz w:val="17"/>
                <w:szCs w:val="17"/>
                <w:lang w:eastAsia="en-AU"/>
              </w:rPr>
            </w:pPr>
          </w:p>
        </w:tc>
        <w:tc>
          <w:tcPr>
            <w:tcW w:w="992" w:type="dxa"/>
            <w:shd w:val="clear" w:color="auto" w:fill="EBEBEB"/>
          </w:tcPr>
          <w:p w14:paraId="6509AECA" w14:textId="77777777" w:rsidR="005B4B9E" w:rsidRPr="00367CD6" w:rsidRDefault="005B4B9E" w:rsidP="00B3448F">
            <w:pPr>
              <w:jc w:val="center"/>
              <w:rPr>
                <w:rFonts w:ascii="Public Sans" w:hAnsi="Public Sans" w:cs="Arial"/>
                <w:sz w:val="17"/>
                <w:szCs w:val="17"/>
                <w:lang w:eastAsia="en-AU"/>
              </w:rPr>
            </w:pPr>
            <w:r w:rsidRPr="00367CD6">
              <w:rPr>
                <w:rFonts w:ascii="Public Sans" w:hAnsi="Public Sans" w:cs="Arial"/>
                <w:sz w:val="17"/>
                <w:szCs w:val="17"/>
                <w:lang w:eastAsia="en-AU"/>
              </w:rPr>
              <w:t>$m</w:t>
            </w:r>
          </w:p>
        </w:tc>
        <w:tc>
          <w:tcPr>
            <w:tcW w:w="992" w:type="dxa"/>
            <w:shd w:val="clear" w:color="auto" w:fill="EBEBEB"/>
          </w:tcPr>
          <w:p w14:paraId="3F836B40" w14:textId="77777777" w:rsidR="005B4B9E" w:rsidRPr="00367CD6" w:rsidRDefault="005B4B9E" w:rsidP="00B3448F">
            <w:pPr>
              <w:jc w:val="center"/>
              <w:rPr>
                <w:rFonts w:ascii="Public Sans" w:hAnsi="Public Sans" w:cs="Arial"/>
                <w:sz w:val="17"/>
                <w:szCs w:val="17"/>
                <w:lang w:eastAsia="en-AU"/>
              </w:rPr>
            </w:pPr>
            <w:r w:rsidRPr="00367CD6">
              <w:rPr>
                <w:rFonts w:ascii="Public Sans" w:hAnsi="Public Sans" w:cs="Arial"/>
                <w:sz w:val="17"/>
                <w:szCs w:val="17"/>
                <w:lang w:eastAsia="en-AU"/>
              </w:rPr>
              <w:t>$m</w:t>
            </w:r>
          </w:p>
        </w:tc>
        <w:tc>
          <w:tcPr>
            <w:tcW w:w="993" w:type="dxa"/>
            <w:shd w:val="clear" w:color="auto" w:fill="EBEBEB"/>
          </w:tcPr>
          <w:p w14:paraId="2FB6575C" w14:textId="77777777" w:rsidR="005B4B9E" w:rsidRPr="00367CD6" w:rsidRDefault="005B4B9E" w:rsidP="00B3448F">
            <w:pPr>
              <w:jc w:val="center"/>
              <w:rPr>
                <w:rFonts w:ascii="Public Sans" w:hAnsi="Public Sans" w:cs="Arial"/>
                <w:sz w:val="17"/>
                <w:szCs w:val="17"/>
                <w:lang w:eastAsia="en-AU"/>
              </w:rPr>
            </w:pPr>
            <w:r w:rsidRPr="00367CD6">
              <w:rPr>
                <w:rFonts w:ascii="Public Sans" w:hAnsi="Public Sans" w:cs="Arial"/>
                <w:sz w:val="17"/>
                <w:szCs w:val="17"/>
                <w:lang w:eastAsia="en-AU"/>
              </w:rPr>
              <w:t>$m</w:t>
            </w:r>
          </w:p>
        </w:tc>
        <w:tc>
          <w:tcPr>
            <w:tcW w:w="992" w:type="dxa"/>
            <w:shd w:val="clear" w:color="auto" w:fill="EBEBEB"/>
          </w:tcPr>
          <w:p w14:paraId="0142277D" w14:textId="77777777" w:rsidR="005B4B9E" w:rsidRPr="00367CD6" w:rsidRDefault="005B4B9E" w:rsidP="00B3448F">
            <w:pPr>
              <w:jc w:val="center"/>
              <w:rPr>
                <w:rFonts w:ascii="Public Sans" w:hAnsi="Public Sans" w:cs="Arial"/>
                <w:sz w:val="17"/>
                <w:szCs w:val="17"/>
                <w:lang w:eastAsia="en-AU"/>
              </w:rPr>
            </w:pPr>
            <w:r w:rsidRPr="00367CD6">
              <w:rPr>
                <w:rFonts w:ascii="Public Sans" w:hAnsi="Public Sans" w:cs="Arial"/>
                <w:sz w:val="17"/>
                <w:szCs w:val="17"/>
                <w:lang w:eastAsia="en-AU"/>
              </w:rPr>
              <w:t>$m</w:t>
            </w:r>
          </w:p>
        </w:tc>
        <w:tc>
          <w:tcPr>
            <w:tcW w:w="1984" w:type="dxa"/>
            <w:vMerge/>
          </w:tcPr>
          <w:p w14:paraId="61F18953" w14:textId="77777777" w:rsidR="005B4B9E" w:rsidRPr="00367CD6" w:rsidRDefault="005B4B9E" w:rsidP="00B3448F">
            <w:pPr>
              <w:rPr>
                <w:rFonts w:ascii="Public Sans" w:hAnsi="Public Sans"/>
                <w:sz w:val="17"/>
                <w:szCs w:val="17"/>
              </w:rPr>
            </w:pPr>
          </w:p>
        </w:tc>
      </w:tr>
      <w:tr w:rsidR="005B4B9E" w:rsidRPr="00097D37" w14:paraId="41805E48" w14:textId="77777777" w:rsidTr="00EF24C0">
        <w:trPr>
          <w:trHeight w:val="283"/>
        </w:trPr>
        <w:tc>
          <w:tcPr>
            <w:tcW w:w="3555" w:type="dxa"/>
            <w:shd w:val="clear" w:color="auto" w:fill="auto"/>
            <w:vAlign w:val="center"/>
          </w:tcPr>
          <w:p w14:paraId="27B698BC" w14:textId="77777777" w:rsidR="005B4B9E" w:rsidRPr="00367CD6" w:rsidRDefault="005B4B9E" w:rsidP="00B3448F">
            <w:pPr>
              <w:rPr>
                <w:rFonts w:ascii="Public Sans" w:hAnsi="Public Sans" w:cs="Arial"/>
                <w:b/>
                <w:sz w:val="16"/>
                <w:szCs w:val="16"/>
              </w:rPr>
            </w:pPr>
            <w:r w:rsidRPr="00367CD6">
              <w:rPr>
                <w:rFonts w:ascii="Public Sans" w:hAnsi="Public Sans" w:cs="Arial"/>
                <w:b/>
                <w:color w:val="000000"/>
                <w:sz w:val="16"/>
                <w:szCs w:val="16"/>
              </w:rPr>
              <w:t>Expenses</w:t>
            </w:r>
          </w:p>
        </w:tc>
        <w:tc>
          <w:tcPr>
            <w:tcW w:w="992" w:type="dxa"/>
            <w:vAlign w:val="center"/>
          </w:tcPr>
          <w:p w14:paraId="230E2470" w14:textId="77777777" w:rsidR="005B4B9E" w:rsidRPr="00367CD6" w:rsidRDefault="005B4B9E" w:rsidP="00B3448F">
            <w:pPr>
              <w:ind w:right="170"/>
              <w:jc w:val="right"/>
              <w:rPr>
                <w:rFonts w:ascii="Public Sans" w:hAnsi="Public Sans" w:cs="Arial"/>
                <w:sz w:val="16"/>
                <w:szCs w:val="16"/>
              </w:rPr>
            </w:pPr>
          </w:p>
        </w:tc>
        <w:tc>
          <w:tcPr>
            <w:tcW w:w="992" w:type="dxa"/>
            <w:shd w:val="clear" w:color="auto" w:fill="auto"/>
            <w:vAlign w:val="center"/>
          </w:tcPr>
          <w:p w14:paraId="7098A2BE" w14:textId="77777777" w:rsidR="005B4B9E" w:rsidRPr="00367CD6" w:rsidRDefault="005B4B9E" w:rsidP="00B3448F">
            <w:pPr>
              <w:ind w:right="170"/>
              <w:jc w:val="right"/>
              <w:rPr>
                <w:rFonts w:ascii="Public Sans" w:hAnsi="Public Sans" w:cs="Arial"/>
                <w:sz w:val="16"/>
                <w:szCs w:val="16"/>
              </w:rPr>
            </w:pPr>
          </w:p>
        </w:tc>
        <w:tc>
          <w:tcPr>
            <w:tcW w:w="993" w:type="dxa"/>
            <w:shd w:val="clear" w:color="auto" w:fill="auto"/>
            <w:vAlign w:val="center"/>
          </w:tcPr>
          <w:p w14:paraId="2AA84CDC" w14:textId="77777777" w:rsidR="005B4B9E" w:rsidRPr="00367CD6" w:rsidRDefault="005B4B9E" w:rsidP="00B3448F">
            <w:pPr>
              <w:ind w:right="170"/>
              <w:jc w:val="right"/>
              <w:rPr>
                <w:rFonts w:ascii="Public Sans" w:hAnsi="Public Sans" w:cs="Arial"/>
                <w:sz w:val="16"/>
                <w:szCs w:val="16"/>
              </w:rPr>
            </w:pPr>
          </w:p>
        </w:tc>
        <w:tc>
          <w:tcPr>
            <w:tcW w:w="992" w:type="dxa"/>
            <w:shd w:val="clear" w:color="auto" w:fill="auto"/>
            <w:vAlign w:val="center"/>
          </w:tcPr>
          <w:p w14:paraId="159954E3" w14:textId="77777777" w:rsidR="005B4B9E" w:rsidRPr="00367CD6" w:rsidRDefault="005B4B9E" w:rsidP="006353CB">
            <w:pPr>
              <w:ind w:left="-113" w:right="170"/>
              <w:jc w:val="right"/>
              <w:rPr>
                <w:rFonts w:ascii="Public Sans" w:hAnsi="Public Sans" w:cs="Arial"/>
                <w:sz w:val="16"/>
                <w:szCs w:val="16"/>
              </w:rPr>
            </w:pPr>
          </w:p>
        </w:tc>
        <w:tc>
          <w:tcPr>
            <w:tcW w:w="1984" w:type="dxa"/>
            <w:vMerge w:val="restart"/>
            <w:tcBorders>
              <w:top w:val="single" w:sz="0" w:space="0" w:color="000000" w:themeColor="text1"/>
              <w:left w:val="nil"/>
              <w:bottom w:val="single" w:sz="0" w:space="0" w:color="000000" w:themeColor="text1"/>
            </w:tcBorders>
            <w:vAlign w:val="center"/>
          </w:tcPr>
          <w:p w14:paraId="365A4E73" w14:textId="77777777" w:rsidR="005B4B9E" w:rsidRPr="00367CD6" w:rsidRDefault="005B4B9E" w:rsidP="00244B3C">
            <w:pPr>
              <w:jc w:val="center"/>
              <w:rPr>
                <w:rFonts w:ascii="Public Sans" w:hAnsi="Public Sans" w:cs="Arial"/>
                <w:sz w:val="16"/>
                <w:szCs w:val="16"/>
              </w:rPr>
            </w:pPr>
            <w:r w:rsidRPr="00367CD6">
              <w:rPr>
                <w:rFonts w:ascii="Public Sans" w:hAnsi="Public Sans" w:cs="Arial"/>
                <w:sz w:val="16"/>
                <w:szCs w:val="16"/>
              </w:rPr>
              <w:t>Single percentage point increase in factor</w:t>
            </w:r>
          </w:p>
        </w:tc>
      </w:tr>
      <w:tr w:rsidR="005B4B9E" w:rsidRPr="00097D37" w14:paraId="4D695E6C" w14:textId="77777777" w:rsidTr="00367CD6">
        <w:trPr>
          <w:trHeight w:val="283"/>
        </w:trPr>
        <w:tc>
          <w:tcPr>
            <w:tcW w:w="3555" w:type="dxa"/>
            <w:shd w:val="clear" w:color="auto" w:fill="auto"/>
            <w:vAlign w:val="center"/>
          </w:tcPr>
          <w:p w14:paraId="74ADB516" w14:textId="0EFEAE7E" w:rsidR="005B4B9E" w:rsidRPr="00367CD6" w:rsidRDefault="005B4B9E" w:rsidP="00B3448F">
            <w:pPr>
              <w:rPr>
                <w:rFonts w:ascii="Public Sans" w:hAnsi="Public Sans" w:cs="Arial"/>
                <w:sz w:val="16"/>
                <w:szCs w:val="16"/>
              </w:rPr>
            </w:pPr>
            <w:r w:rsidRPr="00367CD6">
              <w:rPr>
                <w:rFonts w:ascii="Public Sans" w:hAnsi="Public Sans" w:cs="Arial"/>
                <w:color w:val="000000"/>
                <w:sz w:val="16"/>
                <w:szCs w:val="16"/>
              </w:rPr>
              <w:t xml:space="preserve">Employee Expenses (excl </w:t>
            </w:r>
            <w:proofErr w:type="gramStart"/>
            <w:r w:rsidRPr="00367CD6">
              <w:rPr>
                <w:rFonts w:ascii="Public Sans" w:hAnsi="Public Sans" w:cs="Arial"/>
                <w:color w:val="000000"/>
                <w:sz w:val="16"/>
                <w:szCs w:val="16"/>
              </w:rPr>
              <w:t>super)</w:t>
            </w:r>
            <w:r w:rsidR="00FA3FFE" w:rsidRPr="00367CD6">
              <w:rPr>
                <w:rFonts w:ascii="Public Sans" w:hAnsi="Public Sans" w:cs="Arial"/>
                <w:sz w:val="16"/>
                <w:szCs w:val="16"/>
                <w:vertAlign w:val="superscript"/>
              </w:rPr>
              <w:t>(</w:t>
            </w:r>
            <w:proofErr w:type="gramEnd"/>
            <w:r w:rsidR="00FA3FFE" w:rsidRPr="00367CD6">
              <w:rPr>
                <w:rFonts w:ascii="Public Sans" w:hAnsi="Public Sans" w:cs="Arial"/>
                <w:sz w:val="16"/>
                <w:szCs w:val="16"/>
                <w:vertAlign w:val="superscript"/>
              </w:rPr>
              <w:t>a)</w:t>
            </w:r>
          </w:p>
        </w:tc>
        <w:tc>
          <w:tcPr>
            <w:tcW w:w="992" w:type="dxa"/>
            <w:tcBorders>
              <w:left w:val="nil"/>
              <w:bottom w:val="nil"/>
              <w:right w:val="nil"/>
            </w:tcBorders>
            <w:shd w:val="clear" w:color="auto" w:fill="FFFFFF" w:themeFill="background1"/>
            <w:vAlign w:val="center"/>
          </w:tcPr>
          <w:p w14:paraId="47091164" w14:textId="6DE14BEF" w:rsidR="005B4B9E" w:rsidRPr="00367CD6" w:rsidRDefault="00896FEE" w:rsidP="00367CD6">
            <w:pPr>
              <w:ind w:left="-113" w:right="170"/>
              <w:jc w:val="right"/>
              <w:rPr>
                <w:rFonts w:ascii="Public Sans" w:hAnsi="Public Sans" w:cs="Arial"/>
                <w:sz w:val="16"/>
                <w:szCs w:val="16"/>
              </w:rPr>
            </w:pPr>
            <w:r w:rsidRPr="00367CD6">
              <w:rPr>
                <w:rFonts w:ascii="Public Sans" w:hAnsi="Public Sans" w:cs="Arial"/>
                <w:sz w:val="16"/>
                <w:szCs w:val="16"/>
              </w:rPr>
              <w:t>(477.8)</w:t>
            </w:r>
          </w:p>
        </w:tc>
        <w:tc>
          <w:tcPr>
            <w:tcW w:w="992" w:type="dxa"/>
            <w:tcBorders>
              <w:left w:val="nil"/>
              <w:bottom w:val="nil"/>
              <w:right w:val="nil"/>
            </w:tcBorders>
            <w:shd w:val="clear" w:color="auto" w:fill="auto"/>
            <w:vAlign w:val="center"/>
          </w:tcPr>
          <w:p w14:paraId="41ED01AB" w14:textId="772B1318" w:rsidR="005B4B9E" w:rsidRPr="00367CD6" w:rsidRDefault="00896FEE" w:rsidP="00367CD6">
            <w:pPr>
              <w:ind w:left="-113" w:right="170"/>
              <w:jc w:val="right"/>
              <w:rPr>
                <w:rFonts w:ascii="Public Sans" w:hAnsi="Public Sans" w:cs="Arial"/>
                <w:sz w:val="16"/>
                <w:szCs w:val="16"/>
              </w:rPr>
            </w:pPr>
            <w:r w:rsidRPr="00367CD6">
              <w:rPr>
                <w:rFonts w:ascii="Public Sans" w:hAnsi="Public Sans" w:cs="Arial"/>
                <w:sz w:val="16"/>
                <w:szCs w:val="16"/>
              </w:rPr>
              <w:t>(489.</w:t>
            </w:r>
            <w:r w:rsidR="7756D9AA" w:rsidRPr="00367CD6">
              <w:rPr>
                <w:rFonts w:ascii="Public Sans" w:hAnsi="Public Sans" w:cs="Arial"/>
                <w:sz w:val="16"/>
                <w:szCs w:val="16"/>
              </w:rPr>
              <w:t>2</w:t>
            </w:r>
            <w:r w:rsidRPr="00367CD6">
              <w:rPr>
                <w:rFonts w:ascii="Public Sans" w:hAnsi="Public Sans" w:cs="Arial"/>
                <w:sz w:val="16"/>
                <w:szCs w:val="16"/>
              </w:rPr>
              <w:t>)</w:t>
            </w:r>
          </w:p>
        </w:tc>
        <w:tc>
          <w:tcPr>
            <w:tcW w:w="993" w:type="dxa"/>
            <w:tcBorders>
              <w:left w:val="nil"/>
              <w:bottom w:val="nil"/>
              <w:right w:val="nil"/>
            </w:tcBorders>
            <w:shd w:val="clear" w:color="auto" w:fill="auto"/>
            <w:vAlign w:val="center"/>
          </w:tcPr>
          <w:p w14:paraId="3C65DCE1" w14:textId="4A8888EA" w:rsidR="005B4B9E" w:rsidRPr="00367CD6" w:rsidRDefault="00896FEE" w:rsidP="00367CD6">
            <w:pPr>
              <w:ind w:left="-113" w:right="170"/>
              <w:jc w:val="right"/>
              <w:rPr>
                <w:rFonts w:ascii="Public Sans" w:hAnsi="Public Sans" w:cs="Arial"/>
                <w:sz w:val="16"/>
                <w:szCs w:val="16"/>
              </w:rPr>
            </w:pPr>
            <w:r w:rsidRPr="00367CD6">
              <w:rPr>
                <w:rFonts w:ascii="Public Sans" w:hAnsi="Public Sans" w:cs="Arial"/>
                <w:sz w:val="16"/>
                <w:szCs w:val="16"/>
              </w:rPr>
              <w:t>(507.</w:t>
            </w:r>
            <w:r w:rsidR="29F8BE50" w:rsidRPr="00367CD6">
              <w:rPr>
                <w:rFonts w:ascii="Public Sans" w:hAnsi="Public Sans" w:cs="Arial"/>
                <w:sz w:val="16"/>
                <w:szCs w:val="16"/>
              </w:rPr>
              <w:t>2</w:t>
            </w:r>
            <w:r w:rsidRPr="00367CD6">
              <w:rPr>
                <w:rFonts w:ascii="Public Sans" w:hAnsi="Public Sans" w:cs="Arial"/>
                <w:sz w:val="16"/>
                <w:szCs w:val="16"/>
              </w:rPr>
              <w:t>)</w:t>
            </w:r>
          </w:p>
        </w:tc>
        <w:tc>
          <w:tcPr>
            <w:tcW w:w="992" w:type="dxa"/>
            <w:tcBorders>
              <w:left w:val="nil"/>
              <w:bottom w:val="nil"/>
              <w:right w:val="nil"/>
            </w:tcBorders>
            <w:shd w:val="clear" w:color="auto" w:fill="auto"/>
            <w:vAlign w:val="center"/>
          </w:tcPr>
          <w:p w14:paraId="2AD782D3" w14:textId="72F942F6" w:rsidR="005B4B9E" w:rsidRPr="00367CD6" w:rsidRDefault="00896FEE" w:rsidP="00367CD6">
            <w:pPr>
              <w:ind w:left="-113" w:right="170"/>
              <w:jc w:val="right"/>
              <w:rPr>
                <w:rFonts w:ascii="Public Sans" w:hAnsi="Public Sans" w:cs="Arial"/>
                <w:sz w:val="16"/>
                <w:szCs w:val="16"/>
              </w:rPr>
            </w:pPr>
            <w:r w:rsidRPr="00367CD6">
              <w:rPr>
                <w:rFonts w:ascii="Public Sans" w:hAnsi="Public Sans" w:cs="Arial"/>
                <w:sz w:val="16"/>
                <w:szCs w:val="16"/>
              </w:rPr>
              <w:t>(523.</w:t>
            </w:r>
            <w:r w:rsidR="2347D5A4" w:rsidRPr="00367CD6">
              <w:rPr>
                <w:rFonts w:ascii="Public Sans" w:hAnsi="Public Sans" w:cs="Arial"/>
                <w:sz w:val="16"/>
                <w:szCs w:val="16"/>
              </w:rPr>
              <w:t>7</w:t>
            </w:r>
            <w:r w:rsidRPr="00367CD6">
              <w:rPr>
                <w:rFonts w:ascii="Public Sans" w:hAnsi="Public Sans" w:cs="Arial"/>
                <w:sz w:val="16"/>
                <w:szCs w:val="16"/>
              </w:rPr>
              <w:t>)</w:t>
            </w:r>
          </w:p>
        </w:tc>
        <w:tc>
          <w:tcPr>
            <w:tcW w:w="1984" w:type="dxa"/>
            <w:vMerge/>
          </w:tcPr>
          <w:p w14:paraId="28C29F63" w14:textId="77777777" w:rsidR="005B4B9E" w:rsidRPr="00367CD6" w:rsidRDefault="005B4B9E" w:rsidP="00B3448F">
            <w:pPr>
              <w:rPr>
                <w:rFonts w:ascii="Public Sans" w:hAnsi="Public Sans"/>
                <w:sz w:val="16"/>
                <w:szCs w:val="16"/>
              </w:rPr>
            </w:pPr>
          </w:p>
        </w:tc>
      </w:tr>
      <w:tr w:rsidR="005B4B9E" w:rsidRPr="00097D37" w14:paraId="6F347959" w14:textId="77777777" w:rsidTr="00367CD6">
        <w:trPr>
          <w:trHeight w:val="283"/>
        </w:trPr>
        <w:tc>
          <w:tcPr>
            <w:tcW w:w="3555" w:type="dxa"/>
            <w:shd w:val="clear" w:color="auto" w:fill="auto"/>
            <w:vAlign w:val="center"/>
          </w:tcPr>
          <w:p w14:paraId="7738E850" w14:textId="77777777" w:rsidR="005B4B9E" w:rsidRPr="00367CD6" w:rsidRDefault="005B4B9E" w:rsidP="00B3448F">
            <w:pPr>
              <w:rPr>
                <w:rFonts w:ascii="Public Sans" w:hAnsi="Public Sans" w:cs="Arial"/>
                <w:b/>
                <w:sz w:val="16"/>
                <w:szCs w:val="16"/>
              </w:rPr>
            </w:pPr>
            <w:r w:rsidRPr="00367CD6">
              <w:rPr>
                <w:rFonts w:ascii="Public Sans" w:hAnsi="Public Sans" w:cs="Arial"/>
                <w:b/>
                <w:sz w:val="16"/>
                <w:szCs w:val="16"/>
              </w:rPr>
              <w:t>Government services demand growth</w:t>
            </w:r>
          </w:p>
        </w:tc>
        <w:tc>
          <w:tcPr>
            <w:tcW w:w="992" w:type="dxa"/>
            <w:vAlign w:val="center"/>
          </w:tcPr>
          <w:p w14:paraId="5D3540D8" w14:textId="77777777" w:rsidR="005B4B9E" w:rsidRPr="00367CD6" w:rsidRDefault="005B4B9E" w:rsidP="00367CD6">
            <w:pPr>
              <w:ind w:left="-113" w:right="170"/>
              <w:jc w:val="right"/>
              <w:rPr>
                <w:rFonts w:ascii="Public Sans" w:hAnsi="Public Sans" w:cs="Arial"/>
                <w:sz w:val="16"/>
                <w:szCs w:val="16"/>
              </w:rPr>
            </w:pPr>
          </w:p>
        </w:tc>
        <w:tc>
          <w:tcPr>
            <w:tcW w:w="992" w:type="dxa"/>
            <w:shd w:val="clear" w:color="auto" w:fill="FFFFFF" w:themeFill="background1"/>
            <w:vAlign w:val="center"/>
          </w:tcPr>
          <w:p w14:paraId="5F057B01" w14:textId="77777777" w:rsidR="005B4B9E" w:rsidRPr="00367CD6" w:rsidRDefault="005B4B9E" w:rsidP="00367CD6">
            <w:pPr>
              <w:ind w:right="170"/>
              <w:jc w:val="right"/>
              <w:rPr>
                <w:rFonts w:ascii="Public Sans" w:hAnsi="Public Sans" w:cs="Arial"/>
                <w:sz w:val="16"/>
                <w:szCs w:val="16"/>
              </w:rPr>
            </w:pPr>
          </w:p>
        </w:tc>
        <w:tc>
          <w:tcPr>
            <w:tcW w:w="993" w:type="dxa"/>
            <w:shd w:val="clear" w:color="auto" w:fill="FFFFFF" w:themeFill="background1"/>
            <w:vAlign w:val="center"/>
          </w:tcPr>
          <w:p w14:paraId="704CBBB6" w14:textId="77777777" w:rsidR="005B4B9E" w:rsidRPr="00367CD6" w:rsidRDefault="005B4B9E" w:rsidP="00367CD6">
            <w:pPr>
              <w:ind w:right="170"/>
              <w:jc w:val="right"/>
              <w:rPr>
                <w:rFonts w:ascii="Public Sans" w:hAnsi="Public Sans" w:cs="Arial"/>
                <w:sz w:val="16"/>
                <w:szCs w:val="16"/>
              </w:rPr>
            </w:pPr>
          </w:p>
        </w:tc>
        <w:tc>
          <w:tcPr>
            <w:tcW w:w="992" w:type="dxa"/>
            <w:shd w:val="clear" w:color="auto" w:fill="FFFFFF" w:themeFill="background1"/>
            <w:vAlign w:val="center"/>
          </w:tcPr>
          <w:p w14:paraId="4ACA39F7" w14:textId="77777777" w:rsidR="005B4B9E" w:rsidRPr="00367CD6" w:rsidRDefault="005B4B9E" w:rsidP="00367CD6">
            <w:pPr>
              <w:ind w:left="-113" w:right="170"/>
              <w:jc w:val="right"/>
              <w:rPr>
                <w:rFonts w:ascii="Public Sans" w:hAnsi="Public Sans" w:cs="Arial"/>
                <w:sz w:val="16"/>
                <w:szCs w:val="16"/>
              </w:rPr>
            </w:pPr>
          </w:p>
        </w:tc>
        <w:tc>
          <w:tcPr>
            <w:tcW w:w="1984" w:type="dxa"/>
            <w:vMerge/>
          </w:tcPr>
          <w:p w14:paraId="4B1E9484" w14:textId="77777777" w:rsidR="005B4B9E" w:rsidRPr="00367CD6" w:rsidRDefault="005B4B9E" w:rsidP="00B3448F">
            <w:pPr>
              <w:rPr>
                <w:rFonts w:ascii="Public Sans" w:hAnsi="Public Sans"/>
                <w:sz w:val="16"/>
                <w:szCs w:val="16"/>
              </w:rPr>
            </w:pPr>
          </w:p>
        </w:tc>
      </w:tr>
      <w:tr w:rsidR="005B4B9E" w:rsidRPr="00097D37" w14:paraId="5C87BBE5" w14:textId="77777777" w:rsidTr="00367CD6">
        <w:trPr>
          <w:trHeight w:val="283"/>
        </w:trPr>
        <w:tc>
          <w:tcPr>
            <w:tcW w:w="3555" w:type="dxa"/>
            <w:tcBorders>
              <w:bottom w:val="single" w:sz="4" w:space="0" w:color="auto"/>
            </w:tcBorders>
            <w:shd w:val="clear" w:color="auto" w:fill="auto"/>
            <w:vAlign w:val="center"/>
          </w:tcPr>
          <w:p w14:paraId="4B202CAA" w14:textId="49692EC2" w:rsidR="005B4B9E" w:rsidRPr="00367CD6" w:rsidRDefault="005B4B9E" w:rsidP="00B3448F">
            <w:pPr>
              <w:rPr>
                <w:rFonts w:ascii="Public Sans" w:hAnsi="Public Sans" w:cs="Arial"/>
                <w:color w:val="000000"/>
                <w:sz w:val="16"/>
                <w:szCs w:val="16"/>
              </w:rPr>
            </w:pPr>
            <w:r w:rsidRPr="00367CD6">
              <w:rPr>
                <w:rFonts w:ascii="Public Sans" w:hAnsi="Public Sans" w:cs="Arial"/>
                <w:color w:val="000000"/>
                <w:sz w:val="16"/>
                <w:szCs w:val="16"/>
              </w:rPr>
              <w:t>Health and education expenses</w:t>
            </w:r>
            <w:r w:rsidR="00FA3FFE" w:rsidRPr="00367CD6">
              <w:rPr>
                <w:rFonts w:ascii="Public Sans" w:hAnsi="Public Sans" w:cs="Arial"/>
                <w:sz w:val="16"/>
                <w:szCs w:val="16"/>
                <w:vertAlign w:val="superscript"/>
              </w:rPr>
              <w:t>(b)</w:t>
            </w:r>
          </w:p>
        </w:tc>
        <w:tc>
          <w:tcPr>
            <w:tcW w:w="992" w:type="dxa"/>
            <w:tcBorders>
              <w:bottom w:val="single" w:sz="4" w:space="0" w:color="auto"/>
            </w:tcBorders>
            <w:vAlign w:val="center"/>
          </w:tcPr>
          <w:p w14:paraId="2C5E4DCD" w14:textId="63F35A4A" w:rsidR="005B4B9E" w:rsidRPr="00367CD6" w:rsidRDefault="00F27593" w:rsidP="00367CD6">
            <w:pPr>
              <w:ind w:left="-113" w:right="170"/>
              <w:jc w:val="right"/>
              <w:rPr>
                <w:rFonts w:ascii="Public Sans" w:hAnsi="Public Sans" w:cs="Arial"/>
                <w:color w:val="000000"/>
                <w:sz w:val="16"/>
                <w:szCs w:val="16"/>
              </w:rPr>
            </w:pPr>
            <w:r w:rsidRPr="00367CD6">
              <w:rPr>
                <w:rFonts w:ascii="Public Sans" w:hAnsi="Public Sans" w:cs="Arial"/>
                <w:color w:val="000000"/>
                <w:sz w:val="16"/>
                <w:szCs w:val="16"/>
              </w:rPr>
              <w:t>(53</w:t>
            </w:r>
            <w:r w:rsidR="00541389" w:rsidRPr="00367CD6">
              <w:rPr>
                <w:rFonts w:ascii="Public Sans" w:hAnsi="Public Sans" w:cs="Arial"/>
                <w:color w:val="000000"/>
                <w:sz w:val="16"/>
                <w:szCs w:val="16"/>
              </w:rPr>
              <w:t>1.0</w:t>
            </w:r>
            <w:r w:rsidR="00F67EA5" w:rsidRPr="00367CD6">
              <w:rPr>
                <w:rFonts w:ascii="Public Sans" w:hAnsi="Public Sans" w:cs="Arial"/>
                <w:color w:val="000000"/>
                <w:sz w:val="16"/>
                <w:szCs w:val="16"/>
              </w:rPr>
              <w:t>)</w:t>
            </w:r>
          </w:p>
        </w:tc>
        <w:tc>
          <w:tcPr>
            <w:tcW w:w="992" w:type="dxa"/>
            <w:tcBorders>
              <w:bottom w:val="single" w:sz="4" w:space="0" w:color="auto"/>
            </w:tcBorders>
            <w:shd w:val="clear" w:color="auto" w:fill="FFFFFF" w:themeFill="background1"/>
            <w:vAlign w:val="center"/>
          </w:tcPr>
          <w:p w14:paraId="38DB755C" w14:textId="5D82EC6F" w:rsidR="005B4B9E" w:rsidRPr="00367CD6" w:rsidRDefault="00F27593" w:rsidP="00367CD6">
            <w:pPr>
              <w:ind w:left="-113" w:right="170"/>
              <w:jc w:val="right"/>
              <w:rPr>
                <w:rFonts w:ascii="Public Sans" w:hAnsi="Public Sans" w:cs="Arial"/>
                <w:color w:val="000000"/>
                <w:sz w:val="16"/>
                <w:szCs w:val="16"/>
              </w:rPr>
            </w:pPr>
            <w:r w:rsidRPr="00367CD6">
              <w:rPr>
                <w:rFonts w:ascii="Public Sans" w:hAnsi="Public Sans" w:cs="Arial"/>
                <w:sz w:val="16"/>
                <w:szCs w:val="16"/>
              </w:rPr>
              <w:t>(549.</w:t>
            </w:r>
            <w:r w:rsidR="001F3974" w:rsidRPr="00367CD6">
              <w:rPr>
                <w:rFonts w:ascii="Public Sans" w:hAnsi="Public Sans" w:cs="Arial"/>
                <w:sz w:val="16"/>
                <w:szCs w:val="16"/>
              </w:rPr>
              <w:t>6</w:t>
            </w:r>
            <w:r w:rsidRPr="00367CD6">
              <w:rPr>
                <w:rFonts w:ascii="Public Sans" w:hAnsi="Public Sans" w:cs="Arial"/>
                <w:sz w:val="16"/>
                <w:szCs w:val="16"/>
              </w:rPr>
              <w:t>)</w:t>
            </w:r>
          </w:p>
        </w:tc>
        <w:tc>
          <w:tcPr>
            <w:tcW w:w="993" w:type="dxa"/>
            <w:tcBorders>
              <w:bottom w:val="single" w:sz="4" w:space="0" w:color="auto"/>
            </w:tcBorders>
            <w:shd w:val="clear" w:color="auto" w:fill="FFFFFF" w:themeFill="background1"/>
            <w:vAlign w:val="center"/>
          </w:tcPr>
          <w:p w14:paraId="563213A0" w14:textId="72C9D8BF" w:rsidR="005B4B9E" w:rsidRPr="00367CD6" w:rsidRDefault="00F27593" w:rsidP="00367CD6">
            <w:pPr>
              <w:ind w:left="-113" w:right="170"/>
              <w:jc w:val="right"/>
              <w:rPr>
                <w:rFonts w:ascii="Public Sans" w:hAnsi="Public Sans" w:cs="Arial"/>
                <w:color w:val="000000"/>
                <w:sz w:val="16"/>
                <w:szCs w:val="16"/>
              </w:rPr>
            </w:pPr>
            <w:r w:rsidRPr="00367CD6">
              <w:rPr>
                <w:rFonts w:ascii="Public Sans" w:hAnsi="Public Sans" w:cs="Arial"/>
                <w:sz w:val="16"/>
                <w:szCs w:val="16"/>
              </w:rPr>
              <w:t>(558.</w:t>
            </w:r>
            <w:r w:rsidR="001F3974" w:rsidRPr="00367CD6">
              <w:rPr>
                <w:rFonts w:ascii="Public Sans" w:hAnsi="Public Sans" w:cs="Arial"/>
                <w:sz w:val="16"/>
                <w:szCs w:val="16"/>
              </w:rPr>
              <w:t>5</w:t>
            </w:r>
            <w:r w:rsidRPr="00367CD6">
              <w:rPr>
                <w:rFonts w:ascii="Public Sans" w:hAnsi="Public Sans" w:cs="Arial"/>
                <w:sz w:val="16"/>
                <w:szCs w:val="16"/>
              </w:rPr>
              <w:t>)</w:t>
            </w:r>
          </w:p>
        </w:tc>
        <w:tc>
          <w:tcPr>
            <w:tcW w:w="992" w:type="dxa"/>
            <w:tcBorders>
              <w:bottom w:val="single" w:sz="4" w:space="0" w:color="auto"/>
            </w:tcBorders>
            <w:shd w:val="clear" w:color="auto" w:fill="FFFFFF" w:themeFill="background1"/>
            <w:vAlign w:val="center"/>
          </w:tcPr>
          <w:p w14:paraId="5A27CCB9" w14:textId="31E0B541" w:rsidR="005B4B9E" w:rsidRPr="00367CD6" w:rsidRDefault="00F27593" w:rsidP="00367CD6">
            <w:pPr>
              <w:ind w:left="-113" w:right="170"/>
              <w:jc w:val="right"/>
              <w:rPr>
                <w:rFonts w:ascii="Public Sans" w:hAnsi="Public Sans" w:cs="Arial"/>
                <w:color w:val="000000"/>
                <w:sz w:val="16"/>
                <w:szCs w:val="16"/>
              </w:rPr>
            </w:pPr>
            <w:r w:rsidRPr="00367CD6">
              <w:rPr>
                <w:rFonts w:ascii="Public Sans" w:hAnsi="Public Sans" w:cs="Arial"/>
                <w:color w:val="000000"/>
                <w:sz w:val="16"/>
                <w:szCs w:val="16"/>
              </w:rPr>
              <w:t>(578.</w:t>
            </w:r>
            <w:r w:rsidR="001F3974" w:rsidRPr="00367CD6">
              <w:rPr>
                <w:rFonts w:ascii="Public Sans" w:hAnsi="Public Sans" w:cs="Arial"/>
                <w:color w:val="000000"/>
                <w:sz w:val="16"/>
                <w:szCs w:val="16"/>
              </w:rPr>
              <w:t>9</w:t>
            </w:r>
            <w:r w:rsidRPr="00367CD6">
              <w:rPr>
                <w:rFonts w:ascii="Public Sans" w:hAnsi="Public Sans" w:cs="Arial"/>
                <w:color w:val="000000"/>
                <w:sz w:val="16"/>
                <w:szCs w:val="16"/>
              </w:rPr>
              <w:t>)</w:t>
            </w:r>
          </w:p>
        </w:tc>
        <w:tc>
          <w:tcPr>
            <w:tcW w:w="1984" w:type="dxa"/>
            <w:tcBorders>
              <w:bottom w:val="single" w:sz="4" w:space="0" w:color="auto"/>
            </w:tcBorders>
          </w:tcPr>
          <w:p w14:paraId="43E5A8C1" w14:textId="77777777" w:rsidR="005B4B9E" w:rsidRPr="00367CD6" w:rsidRDefault="005B4B9E" w:rsidP="00592CD5">
            <w:pPr>
              <w:ind w:left="-113" w:right="170"/>
              <w:jc w:val="center"/>
              <w:rPr>
                <w:rFonts w:ascii="Public Sans" w:hAnsi="Public Sans"/>
                <w:sz w:val="16"/>
                <w:szCs w:val="16"/>
              </w:rPr>
            </w:pPr>
          </w:p>
        </w:tc>
      </w:tr>
    </w:tbl>
    <w:p w14:paraId="4016BF6A" w14:textId="6DF3DF74" w:rsidR="00396E62" w:rsidRPr="00351F66" w:rsidRDefault="00396E62">
      <w:pPr>
        <w:rPr>
          <w:sz w:val="6"/>
          <w:szCs w:val="6"/>
        </w:rPr>
      </w:pPr>
    </w:p>
    <w:p w14:paraId="2A3F8302" w14:textId="70E120E0" w:rsidR="00FA3FFE" w:rsidRDefault="00FA3FFE" w:rsidP="00FA3FFE">
      <w:pPr>
        <w:numPr>
          <w:ilvl w:val="0"/>
          <w:numId w:val="1"/>
        </w:numPr>
        <w:ind w:left="357" w:hanging="357"/>
        <w:rPr>
          <w:rFonts w:ascii="Public Sans" w:hAnsi="Public Sans" w:cs="Arial"/>
          <w:sz w:val="17"/>
          <w:szCs w:val="17"/>
        </w:rPr>
      </w:pPr>
      <w:r>
        <w:rPr>
          <w:rFonts w:ascii="Public Sans" w:hAnsi="Public Sans" w:cs="Arial"/>
          <w:sz w:val="17"/>
          <w:szCs w:val="17"/>
        </w:rPr>
        <w:t>Sensitivities are modelled using a 1 per cent increase in general government employee expenses</w:t>
      </w:r>
      <w:r w:rsidR="00DF0364">
        <w:rPr>
          <w:rFonts w:ascii="Public Sans" w:hAnsi="Public Sans" w:cs="Arial"/>
          <w:sz w:val="17"/>
          <w:szCs w:val="17"/>
        </w:rPr>
        <w:t xml:space="preserve"> (excl</w:t>
      </w:r>
      <w:r w:rsidR="00417F08">
        <w:rPr>
          <w:rFonts w:ascii="Public Sans" w:hAnsi="Public Sans" w:cs="Arial"/>
          <w:sz w:val="17"/>
          <w:szCs w:val="17"/>
        </w:rPr>
        <w:t>uding super)</w:t>
      </w:r>
      <w:r>
        <w:rPr>
          <w:rFonts w:ascii="Public Sans" w:hAnsi="Public Sans" w:cs="Arial"/>
          <w:sz w:val="17"/>
          <w:szCs w:val="17"/>
        </w:rPr>
        <w:t>.</w:t>
      </w:r>
    </w:p>
    <w:p w14:paraId="4DA47FE7" w14:textId="7C06ED21" w:rsidR="00FA3FFE" w:rsidRDefault="00FA3FFE" w:rsidP="00FA3FFE">
      <w:pPr>
        <w:numPr>
          <w:ilvl w:val="0"/>
          <w:numId w:val="1"/>
        </w:numPr>
        <w:ind w:left="357" w:hanging="357"/>
        <w:rPr>
          <w:rFonts w:ascii="Public Sans" w:hAnsi="Public Sans" w:cs="Arial"/>
          <w:sz w:val="17"/>
          <w:szCs w:val="17"/>
        </w:rPr>
      </w:pPr>
      <w:r>
        <w:rPr>
          <w:rFonts w:ascii="Public Sans" w:hAnsi="Public Sans" w:cs="Arial"/>
          <w:sz w:val="17"/>
          <w:szCs w:val="17"/>
        </w:rPr>
        <w:t xml:space="preserve">Sensitivities are modelled using a 1 per cent increase in the </w:t>
      </w:r>
      <w:r w:rsidR="007C12B6">
        <w:rPr>
          <w:rFonts w:ascii="Public Sans" w:hAnsi="Public Sans" w:cs="Arial"/>
          <w:sz w:val="17"/>
          <w:szCs w:val="17"/>
        </w:rPr>
        <w:t xml:space="preserve">combined </w:t>
      </w:r>
      <w:r w:rsidR="00236CE8">
        <w:rPr>
          <w:rFonts w:ascii="Public Sans" w:hAnsi="Public Sans" w:cs="Arial"/>
          <w:sz w:val="17"/>
          <w:szCs w:val="17"/>
        </w:rPr>
        <w:t>expenses for health and education.</w:t>
      </w:r>
    </w:p>
    <w:p w14:paraId="73A519E9" w14:textId="77777777" w:rsidR="00B32188" w:rsidRDefault="00B32188"/>
    <w:p w14:paraId="518FA7A0" w14:textId="59BA8630" w:rsidR="00A23E90" w:rsidRPr="0016410E" w:rsidRDefault="009F2EDF" w:rsidP="00367CD6">
      <w:pPr>
        <w:pStyle w:val="BodyText"/>
      </w:pPr>
      <w:r w:rsidRPr="2BAD2824">
        <w:t xml:space="preserve">Other expense </w:t>
      </w:r>
      <w:r w:rsidR="001C30E4" w:rsidRPr="2BAD2824">
        <w:t>risks that could impact the budget result include:</w:t>
      </w:r>
    </w:p>
    <w:p w14:paraId="6FEA6CED" w14:textId="6986CC32" w:rsidR="00AF48CF" w:rsidRDefault="00AF48CF" w:rsidP="00367CD6">
      <w:pPr>
        <w:pStyle w:val="Bullet1"/>
      </w:pPr>
      <w:r>
        <w:t>higher than budgeted maintenance, depreciation and operating costs associated with the</w:t>
      </w:r>
      <w:r w:rsidR="008208D8">
        <w:t xml:space="preserve"> </w:t>
      </w:r>
      <w:r>
        <w:t>Government’s infrastructure program (see below for infrastructure related risks)</w:t>
      </w:r>
    </w:p>
    <w:p w14:paraId="0ADB456A" w14:textId="5FFB7D03" w:rsidR="00EF2DB8" w:rsidRDefault="001F4012" w:rsidP="00367CD6">
      <w:pPr>
        <w:pStyle w:val="Bullet1"/>
      </w:pPr>
      <w:r w:rsidRPr="2BAD2824">
        <w:t xml:space="preserve">higher than budgeted depreciation expenses </w:t>
      </w:r>
      <w:proofErr w:type="gramStart"/>
      <w:r w:rsidRPr="2BAD2824">
        <w:t>as a result of</w:t>
      </w:r>
      <w:proofErr w:type="gramEnd"/>
      <w:r w:rsidRPr="2BAD2824">
        <w:t xml:space="preserve"> unforeseen impacts of future years’ revaluations of property, plant and equipment</w:t>
      </w:r>
    </w:p>
    <w:p w14:paraId="6C74FAA1" w14:textId="7354927F" w:rsidR="00A35925" w:rsidRDefault="001435CF" w:rsidP="00367CD6">
      <w:pPr>
        <w:pStyle w:val="Bullet1"/>
      </w:pPr>
      <w:r w:rsidRPr="163D161D">
        <w:t xml:space="preserve">a spike in energy and fuel prices driven by geopolitical risks may hold up </w:t>
      </w:r>
      <w:proofErr w:type="gramStart"/>
      <w:r w:rsidRPr="163D161D">
        <w:t>inflation</w:t>
      </w:r>
      <w:proofErr w:type="gramEnd"/>
    </w:p>
    <w:p w14:paraId="0F61B524" w14:textId="79F02F40" w:rsidR="00AF48CF" w:rsidRDefault="00AF48CF" w:rsidP="00367CD6">
      <w:pPr>
        <w:pStyle w:val="Bullet1"/>
      </w:pPr>
      <w:r>
        <w:t xml:space="preserve">unforeseen legal expenses or costs associated with litigation, including native title </w:t>
      </w:r>
      <w:proofErr w:type="gramStart"/>
      <w:r>
        <w:t>claims</w:t>
      </w:r>
      <w:proofErr w:type="gramEnd"/>
    </w:p>
    <w:p w14:paraId="561140C3" w14:textId="0E51A489" w:rsidR="00AF48CF" w:rsidRDefault="00AF48CF" w:rsidP="00367CD6">
      <w:pPr>
        <w:pStyle w:val="Bullet1"/>
      </w:pPr>
      <w:r>
        <w:t>expenses relating to continuation of programs where funding may cease across the</w:t>
      </w:r>
      <w:r w:rsidR="002C1445">
        <w:t xml:space="preserve"> </w:t>
      </w:r>
      <w:r>
        <w:t xml:space="preserve">forward estimates and require further government </w:t>
      </w:r>
      <w:proofErr w:type="gramStart"/>
      <w:r>
        <w:t>consideration</w:t>
      </w:r>
      <w:proofErr w:type="gramEnd"/>
    </w:p>
    <w:p w14:paraId="6EFD3167" w14:textId="6D21E007" w:rsidR="00AF48CF" w:rsidRDefault="00AF48CF" w:rsidP="00367CD6">
      <w:pPr>
        <w:pStyle w:val="Bullet1"/>
      </w:pPr>
      <w:r>
        <w:t xml:space="preserve">changes to parameters that influence the liabilities and associated </w:t>
      </w:r>
      <w:r w:rsidR="000A5AF1">
        <w:t>expenses</w:t>
      </w:r>
      <w:r>
        <w:t xml:space="preserve"> for</w:t>
      </w:r>
      <w:r w:rsidR="002C1445">
        <w:t xml:space="preserve"> </w:t>
      </w:r>
      <w:r>
        <w:t>superannuation, long service leave, other employee provisions and insurance provisions</w:t>
      </w:r>
      <w:r w:rsidR="002C1445">
        <w:t xml:space="preserve"> </w:t>
      </w:r>
      <w:r>
        <w:t>(see below for further balance sheet risks and sensitivities)</w:t>
      </w:r>
    </w:p>
    <w:p w14:paraId="0E2A2732" w14:textId="479C5897" w:rsidR="00CD7A64" w:rsidRDefault="00AF48CF" w:rsidP="00367CD6">
      <w:pPr>
        <w:pStyle w:val="Bullet1"/>
      </w:pPr>
      <w:r w:rsidRPr="2BAD2824">
        <w:t>possible additional risks and pressures present within agency budgets, for example</w:t>
      </w:r>
      <w:r w:rsidR="002C1445" w:rsidRPr="2BAD2824">
        <w:t xml:space="preserve"> </w:t>
      </w:r>
      <w:r w:rsidRPr="2BAD2824">
        <w:t>increased energy costs</w:t>
      </w:r>
      <w:r w:rsidR="004B208D" w:rsidRPr="2BAD2824">
        <w:t>.</w:t>
      </w:r>
    </w:p>
    <w:p w14:paraId="161A49DE" w14:textId="3CA9C6B7" w:rsidR="00094EC8" w:rsidRDefault="007B53E9" w:rsidP="000850C9">
      <w:pPr>
        <w:pStyle w:val="Heading4"/>
      </w:pPr>
      <w:r>
        <w:t>Investment Revenue</w:t>
      </w:r>
    </w:p>
    <w:p w14:paraId="7F9C94C4" w14:textId="3CDC7FBE" w:rsidR="00E94A2F" w:rsidRPr="00501363" w:rsidRDefault="00E94A2F" w:rsidP="00367CD6">
      <w:pPr>
        <w:pStyle w:val="BodyText"/>
      </w:pPr>
      <w:r w:rsidRPr="2BAD2824">
        <w:t xml:space="preserve">Financial markets have generally been positive during 2023-24. This positive performance in turn drove solid investment return outcomes for </w:t>
      </w:r>
      <w:r w:rsidR="00846E9C" w:rsidRPr="2BAD2824">
        <w:t>S</w:t>
      </w:r>
      <w:r w:rsidRPr="2BAD2824">
        <w:t xml:space="preserve">tate funds. </w:t>
      </w:r>
    </w:p>
    <w:p w14:paraId="35041C4A" w14:textId="6D678C7B" w:rsidR="00E94A2F" w:rsidRPr="00501363" w:rsidRDefault="00E94A2F" w:rsidP="00367CD6">
      <w:pPr>
        <w:pStyle w:val="BodyText"/>
      </w:pPr>
      <w:r w:rsidRPr="2BAD2824">
        <w:t>Financial markets remain somewhat volatile however, as the ongoing uncertainty about the global economic outlook, including for inflation and monetary policy, impacts asset values. NSW Treasury works closely with TCorp to manage risk and navigate through the current volatile interest rate environment.</w:t>
      </w:r>
    </w:p>
    <w:p w14:paraId="79BE0ABC" w14:textId="721D6C0B" w:rsidR="00E94A2F" w:rsidRDefault="00E94A2F" w:rsidP="00367CD6">
      <w:pPr>
        <w:pStyle w:val="BodyText"/>
      </w:pPr>
      <w:r w:rsidRPr="2BAD2824">
        <w:t xml:space="preserve">Investment returns may be above or below estimates which </w:t>
      </w:r>
      <w:r w:rsidR="005B797C" w:rsidRPr="2BAD2824">
        <w:t>may</w:t>
      </w:r>
      <w:r w:rsidRPr="2BAD2824">
        <w:t xml:space="preserve"> impact </w:t>
      </w:r>
      <w:r w:rsidR="005B797C" w:rsidRPr="2BAD2824">
        <w:t xml:space="preserve">investment </w:t>
      </w:r>
      <w:r w:rsidRPr="2BAD2824">
        <w:t>revenue. Adopting the Attribution Managed Investment Trust regime for most government investment funds can help reduce investment revenue volatility impacts on the budget result by smoothing fund distributions over time.</w:t>
      </w:r>
    </w:p>
    <w:p w14:paraId="4EDC6DCB" w14:textId="6031ABE0" w:rsidR="00FB5F13" w:rsidRPr="00FB5F13" w:rsidRDefault="00FB5F13" w:rsidP="00367CD6">
      <w:pPr>
        <w:pStyle w:val="BodyText"/>
      </w:pPr>
      <w:r w:rsidRPr="2BAD2824">
        <w:t xml:space="preserve">The large size of the State’s investments means that a one percentage point movement in assumed investment return rates </w:t>
      </w:r>
      <w:r w:rsidR="002673B9" w:rsidRPr="2BAD2824">
        <w:t>may</w:t>
      </w:r>
      <w:r w:rsidRPr="2BAD2824">
        <w:t xml:space="preserve"> materially impact the Government’s budget result</w:t>
      </w:r>
      <w:r w:rsidR="00F43040" w:rsidRPr="2BAD2824">
        <w:t xml:space="preserve"> (see</w:t>
      </w:r>
      <w:r w:rsidR="00AF4C84">
        <w:t> </w:t>
      </w:r>
      <w:r w:rsidR="00F43040" w:rsidRPr="2BAD2824">
        <w:t>Table B.7)</w:t>
      </w:r>
      <w:r w:rsidRPr="2BAD2824">
        <w:t>.</w:t>
      </w:r>
    </w:p>
    <w:p w14:paraId="4F5A1B3F" w14:textId="2C78D2EB" w:rsidR="008C6F65" w:rsidRPr="003D2010" w:rsidRDefault="008C6F65" w:rsidP="000850C9">
      <w:pPr>
        <w:pStyle w:val="Heading4"/>
      </w:pPr>
      <w:r>
        <w:t>Borrowing Costs</w:t>
      </w:r>
    </w:p>
    <w:p w14:paraId="4ED41D06" w14:textId="681B20E6" w:rsidR="008C6F65" w:rsidRPr="00A14BED" w:rsidRDefault="008C6F65" w:rsidP="00367CD6">
      <w:pPr>
        <w:pStyle w:val="BodyText"/>
      </w:pPr>
      <w:r w:rsidRPr="7CEC90E3">
        <w:t>The Government’s interest expense</w:t>
      </w:r>
      <w:r w:rsidR="006E031B" w:rsidRPr="7CEC90E3">
        <w:t>s</w:t>
      </w:r>
      <w:r w:rsidRPr="7CEC90E3">
        <w:t xml:space="preserve"> </w:t>
      </w:r>
      <w:r w:rsidR="006E031B" w:rsidRPr="7CEC90E3">
        <w:t>are</w:t>
      </w:r>
      <w:r w:rsidRPr="7CEC90E3">
        <w:t xml:space="preserve"> partially a function of the interest rates it must pay on its new and refinanced borrowings. While the vast majority of the Government’s existing debt portfolio is fixed-rate debt (and hence, not affected by movements in interest rates), it will be adversely affected by rising interest rates.</w:t>
      </w:r>
    </w:p>
    <w:p w14:paraId="3D48185A" w14:textId="19DF87AB" w:rsidR="00AE6583" w:rsidRPr="00A14BED" w:rsidRDefault="008D556D" w:rsidP="00367CD6">
      <w:pPr>
        <w:pStyle w:val="BodyText"/>
      </w:pPr>
      <w:r w:rsidRPr="7CEC90E3">
        <w:t xml:space="preserve">Movements in </w:t>
      </w:r>
      <w:r w:rsidR="008C6F65" w:rsidRPr="7CEC90E3">
        <w:t>interest rates</w:t>
      </w:r>
      <w:r w:rsidRPr="7CEC90E3">
        <w:t>, debt levels or cash balances</w:t>
      </w:r>
      <w:r w:rsidR="008C6F65" w:rsidRPr="7CEC90E3">
        <w:t xml:space="preserve"> would change interest and interest revenue, impact</w:t>
      </w:r>
      <w:r w:rsidRPr="7CEC90E3">
        <w:t>ing</w:t>
      </w:r>
      <w:r w:rsidR="008C6F65" w:rsidRPr="7CEC90E3">
        <w:t xml:space="preserve"> on the budget result.</w:t>
      </w:r>
      <w:r w:rsidR="008C6F65" w:rsidRPr="7CEC90E3">
        <w:br w:type="page"/>
      </w:r>
    </w:p>
    <w:p w14:paraId="1F7AC8D7" w14:textId="39515C76" w:rsidR="00650CF8" w:rsidRPr="006D01A7" w:rsidRDefault="00650CF8" w:rsidP="00AE6583">
      <w:pPr>
        <w:pStyle w:val="TableBX"/>
      </w:pPr>
      <w:r w:rsidRPr="006D01A7">
        <w:lastRenderedPageBreak/>
        <w:t>Financial markets and interest sensitivities</w:t>
      </w:r>
      <w:r w:rsidR="00A35F8E" w:rsidRPr="00ED50A2">
        <w:t xml:space="preserve"> </w:t>
      </w:r>
    </w:p>
    <w:p w14:paraId="55F849B1" w14:textId="77777777" w:rsidR="00650CF8" w:rsidRPr="006E5A91" w:rsidRDefault="00650CF8" w:rsidP="0003277E">
      <w:pPr>
        <w:rPr>
          <w:rFonts w:eastAsia="Calibri"/>
          <w:sz w:val="4"/>
          <w:szCs w:val="4"/>
          <w:lang w:val="en-AU"/>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B.7:  Financial markets and interest sensitivities "/>
        <w:tblDescription w:val="Table B.7:  Financial markets and interest sensitivities "/>
      </w:tblPr>
      <w:tblGrid>
        <w:gridCol w:w="3603"/>
        <w:gridCol w:w="1006"/>
        <w:gridCol w:w="1006"/>
        <w:gridCol w:w="1007"/>
        <w:gridCol w:w="1006"/>
        <w:gridCol w:w="2011"/>
      </w:tblGrid>
      <w:tr w:rsidR="003F3CA5" w:rsidRPr="00097D37" w14:paraId="3AF70082" w14:textId="77777777" w:rsidTr="007B1B97">
        <w:trPr>
          <w:trHeight w:val="283"/>
        </w:trPr>
        <w:tc>
          <w:tcPr>
            <w:tcW w:w="3603" w:type="dxa"/>
            <w:vMerge w:val="restart"/>
            <w:shd w:val="clear" w:color="auto" w:fill="EBEBEB"/>
            <w:vAlign w:val="center"/>
          </w:tcPr>
          <w:p w14:paraId="3570A076" w14:textId="28D5497C" w:rsidR="003F3CA5" w:rsidRPr="00367CD6" w:rsidRDefault="003F3CA5">
            <w:pPr>
              <w:rPr>
                <w:rFonts w:ascii="Public Sans" w:hAnsi="Public Sans" w:cs="Arial"/>
                <w:sz w:val="17"/>
                <w:szCs w:val="17"/>
                <w:lang w:eastAsia="en-AU"/>
              </w:rPr>
            </w:pPr>
            <w:r w:rsidRPr="00367CD6">
              <w:rPr>
                <w:rFonts w:ascii="Public Sans" w:hAnsi="Public Sans" w:cs="Arial"/>
                <w:sz w:val="17"/>
                <w:szCs w:val="17"/>
                <w:lang w:eastAsia="en-AU"/>
              </w:rPr>
              <w:t>Financial markets and interest rate sensitivities</w:t>
            </w:r>
          </w:p>
        </w:tc>
        <w:tc>
          <w:tcPr>
            <w:tcW w:w="1006" w:type="dxa"/>
            <w:shd w:val="clear" w:color="auto" w:fill="EBEBEB"/>
            <w:vAlign w:val="bottom"/>
          </w:tcPr>
          <w:p w14:paraId="3CC8A243" w14:textId="77777777" w:rsidR="003F3CA5" w:rsidRPr="00367CD6" w:rsidRDefault="003F3CA5">
            <w:pPr>
              <w:jc w:val="center"/>
              <w:rPr>
                <w:rFonts w:ascii="Public Sans" w:hAnsi="Public Sans" w:cs="Arial"/>
                <w:sz w:val="17"/>
                <w:szCs w:val="17"/>
                <w:lang w:eastAsia="en-AU"/>
              </w:rPr>
            </w:pPr>
            <w:r w:rsidRPr="00367CD6">
              <w:rPr>
                <w:rFonts w:ascii="Public Sans" w:eastAsia="Arial" w:hAnsi="Public Sans" w:cs="Arial"/>
                <w:sz w:val="17"/>
                <w:szCs w:val="17"/>
              </w:rPr>
              <w:t>2024-25</w:t>
            </w:r>
          </w:p>
        </w:tc>
        <w:tc>
          <w:tcPr>
            <w:tcW w:w="1006" w:type="dxa"/>
            <w:shd w:val="clear" w:color="auto" w:fill="EBEBEB"/>
            <w:vAlign w:val="bottom"/>
          </w:tcPr>
          <w:p w14:paraId="7805C48B" w14:textId="77777777" w:rsidR="003F3CA5" w:rsidRPr="00367CD6" w:rsidRDefault="003F3CA5">
            <w:pPr>
              <w:jc w:val="center"/>
              <w:rPr>
                <w:rFonts w:ascii="Public Sans" w:hAnsi="Public Sans" w:cs="Arial"/>
                <w:sz w:val="17"/>
                <w:szCs w:val="17"/>
                <w:lang w:eastAsia="en-AU"/>
              </w:rPr>
            </w:pPr>
            <w:r w:rsidRPr="00367CD6">
              <w:rPr>
                <w:rFonts w:ascii="Public Sans" w:eastAsia="Arial" w:hAnsi="Public Sans" w:cs="Arial"/>
                <w:sz w:val="17"/>
                <w:szCs w:val="17"/>
              </w:rPr>
              <w:t>2025-26</w:t>
            </w:r>
          </w:p>
        </w:tc>
        <w:tc>
          <w:tcPr>
            <w:tcW w:w="1007" w:type="dxa"/>
            <w:shd w:val="clear" w:color="auto" w:fill="EBEBEB"/>
            <w:vAlign w:val="bottom"/>
          </w:tcPr>
          <w:p w14:paraId="10521165" w14:textId="77777777" w:rsidR="003F3CA5" w:rsidRPr="00367CD6" w:rsidRDefault="003F3CA5">
            <w:pPr>
              <w:jc w:val="center"/>
              <w:rPr>
                <w:rFonts w:ascii="Public Sans" w:hAnsi="Public Sans" w:cs="Arial"/>
                <w:sz w:val="17"/>
                <w:szCs w:val="17"/>
                <w:lang w:eastAsia="en-AU"/>
              </w:rPr>
            </w:pPr>
            <w:r w:rsidRPr="00367CD6">
              <w:rPr>
                <w:rFonts w:ascii="Public Sans" w:eastAsia="Arial" w:hAnsi="Public Sans" w:cs="Arial"/>
                <w:sz w:val="17"/>
                <w:szCs w:val="17"/>
              </w:rPr>
              <w:t>2026-27</w:t>
            </w:r>
          </w:p>
        </w:tc>
        <w:tc>
          <w:tcPr>
            <w:tcW w:w="1006" w:type="dxa"/>
            <w:shd w:val="clear" w:color="auto" w:fill="EBEBEB"/>
            <w:vAlign w:val="bottom"/>
          </w:tcPr>
          <w:p w14:paraId="3771FDC6" w14:textId="77777777" w:rsidR="003F3CA5" w:rsidRPr="00367CD6" w:rsidRDefault="003F3CA5">
            <w:pPr>
              <w:jc w:val="center"/>
              <w:rPr>
                <w:rFonts w:ascii="Public Sans" w:hAnsi="Public Sans" w:cs="Arial"/>
                <w:sz w:val="17"/>
                <w:szCs w:val="17"/>
                <w:lang w:eastAsia="en-AU"/>
              </w:rPr>
            </w:pPr>
            <w:r w:rsidRPr="00367CD6">
              <w:rPr>
                <w:rFonts w:ascii="Public Sans" w:eastAsia="Arial" w:hAnsi="Public Sans" w:cs="Arial"/>
                <w:sz w:val="17"/>
                <w:szCs w:val="17"/>
              </w:rPr>
              <w:t>2027-28</w:t>
            </w:r>
          </w:p>
        </w:tc>
        <w:tc>
          <w:tcPr>
            <w:tcW w:w="2011" w:type="dxa"/>
            <w:vMerge w:val="restart"/>
            <w:shd w:val="clear" w:color="auto" w:fill="4B5051"/>
            <w:vAlign w:val="center"/>
          </w:tcPr>
          <w:p w14:paraId="2B21639B" w14:textId="77777777" w:rsidR="003F3CA5" w:rsidRPr="00367CD6" w:rsidRDefault="003F3CA5">
            <w:pPr>
              <w:jc w:val="center"/>
              <w:rPr>
                <w:rFonts w:ascii="Public Sans" w:hAnsi="Public Sans" w:cs="Arial"/>
                <w:color w:val="FFFFFF" w:themeColor="background1"/>
                <w:sz w:val="17"/>
                <w:szCs w:val="17"/>
                <w:lang w:eastAsia="en-AU"/>
              </w:rPr>
            </w:pPr>
            <w:r w:rsidRPr="00367CD6">
              <w:rPr>
                <w:rFonts w:ascii="Public Sans" w:hAnsi="Public Sans" w:cs="Arial"/>
                <w:color w:val="FFFFFF" w:themeColor="background1"/>
                <w:sz w:val="17"/>
                <w:szCs w:val="17"/>
                <w:lang w:eastAsia="en-AU"/>
              </w:rPr>
              <w:t>Sensitivity</w:t>
            </w:r>
          </w:p>
        </w:tc>
      </w:tr>
      <w:tr w:rsidR="003F3CA5" w:rsidRPr="00097D37" w14:paraId="715C1278" w14:textId="77777777" w:rsidTr="007B1B97">
        <w:trPr>
          <w:trHeight w:val="227"/>
        </w:trPr>
        <w:tc>
          <w:tcPr>
            <w:tcW w:w="3603" w:type="dxa"/>
            <w:vMerge/>
            <w:shd w:val="clear" w:color="auto" w:fill="EBEBEB"/>
          </w:tcPr>
          <w:p w14:paraId="30DB54D8" w14:textId="77777777" w:rsidR="003F3CA5" w:rsidRPr="00367CD6" w:rsidRDefault="003F3CA5">
            <w:pPr>
              <w:rPr>
                <w:rFonts w:ascii="Public Sans" w:hAnsi="Public Sans"/>
                <w:sz w:val="17"/>
                <w:szCs w:val="17"/>
              </w:rPr>
            </w:pPr>
          </w:p>
        </w:tc>
        <w:tc>
          <w:tcPr>
            <w:tcW w:w="1006" w:type="dxa"/>
            <w:shd w:val="clear" w:color="auto" w:fill="EBEBEB"/>
          </w:tcPr>
          <w:p w14:paraId="69529F3C" w14:textId="77777777" w:rsidR="003F3CA5" w:rsidRPr="00367CD6" w:rsidRDefault="003F3CA5">
            <w:pPr>
              <w:jc w:val="center"/>
              <w:rPr>
                <w:rFonts w:ascii="Public Sans" w:hAnsi="Public Sans" w:cs="Arial"/>
                <w:sz w:val="17"/>
                <w:szCs w:val="17"/>
                <w:lang w:eastAsia="en-AU"/>
              </w:rPr>
            </w:pPr>
            <w:r w:rsidRPr="00367CD6">
              <w:rPr>
                <w:rFonts w:ascii="Public Sans" w:eastAsia="Arial" w:hAnsi="Public Sans" w:cs="Arial"/>
                <w:sz w:val="17"/>
                <w:szCs w:val="17"/>
              </w:rPr>
              <w:t>Budget</w:t>
            </w:r>
          </w:p>
        </w:tc>
        <w:tc>
          <w:tcPr>
            <w:tcW w:w="3019" w:type="dxa"/>
            <w:gridSpan w:val="3"/>
            <w:shd w:val="clear" w:color="auto" w:fill="EBEBEB"/>
          </w:tcPr>
          <w:p w14:paraId="21B3A68D" w14:textId="77777777" w:rsidR="003F3CA5" w:rsidRPr="00367CD6" w:rsidRDefault="003F3CA5">
            <w:pPr>
              <w:jc w:val="center"/>
              <w:rPr>
                <w:rFonts w:ascii="Public Sans" w:hAnsi="Public Sans" w:cs="Arial"/>
                <w:sz w:val="17"/>
                <w:szCs w:val="17"/>
                <w:lang w:eastAsia="en-AU"/>
              </w:rPr>
            </w:pPr>
            <w:r w:rsidRPr="00367CD6">
              <w:rPr>
                <w:rFonts w:ascii="Public Sans" w:eastAsia="Arial" w:hAnsi="Public Sans" w:cs="Arial"/>
                <w:sz w:val="17"/>
                <w:szCs w:val="17"/>
              </w:rPr>
              <w:t>Forward estimates</w:t>
            </w:r>
          </w:p>
        </w:tc>
        <w:tc>
          <w:tcPr>
            <w:tcW w:w="2011" w:type="dxa"/>
            <w:vMerge/>
          </w:tcPr>
          <w:p w14:paraId="04093C54" w14:textId="77777777" w:rsidR="003F3CA5" w:rsidRPr="00367CD6" w:rsidRDefault="003F3CA5">
            <w:pPr>
              <w:rPr>
                <w:rFonts w:ascii="Public Sans" w:hAnsi="Public Sans"/>
                <w:sz w:val="17"/>
                <w:szCs w:val="17"/>
              </w:rPr>
            </w:pPr>
          </w:p>
        </w:tc>
      </w:tr>
      <w:tr w:rsidR="003F3CA5" w:rsidRPr="00097D37" w14:paraId="37035219" w14:textId="77777777" w:rsidTr="00367CD6">
        <w:trPr>
          <w:trHeight w:val="283"/>
        </w:trPr>
        <w:tc>
          <w:tcPr>
            <w:tcW w:w="3603" w:type="dxa"/>
            <w:shd w:val="clear" w:color="auto" w:fill="EBEBEB"/>
          </w:tcPr>
          <w:p w14:paraId="743D6905" w14:textId="77777777" w:rsidR="003F3CA5" w:rsidRPr="00367CD6" w:rsidRDefault="003F3CA5">
            <w:pPr>
              <w:jc w:val="center"/>
              <w:rPr>
                <w:rFonts w:ascii="Public Sans" w:hAnsi="Public Sans" w:cs="Arial"/>
                <w:sz w:val="17"/>
                <w:szCs w:val="17"/>
                <w:lang w:eastAsia="en-AU"/>
              </w:rPr>
            </w:pPr>
          </w:p>
        </w:tc>
        <w:tc>
          <w:tcPr>
            <w:tcW w:w="1006" w:type="dxa"/>
            <w:shd w:val="clear" w:color="auto" w:fill="EBEBEB"/>
          </w:tcPr>
          <w:p w14:paraId="72F2E684" w14:textId="77777777" w:rsidR="003F3CA5" w:rsidRPr="00367CD6" w:rsidRDefault="003F3CA5">
            <w:pPr>
              <w:jc w:val="center"/>
              <w:rPr>
                <w:rFonts w:ascii="Public Sans" w:hAnsi="Public Sans" w:cs="Arial"/>
                <w:sz w:val="17"/>
                <w:szCs w:val="17"/>
                <w:lang w:eastAsia="en-AU"/>
              </w:rPr>
            </w:pPr>
            <w:r w:rsidRPr="00367CD6">
              <w:rPr>
                <w:rFonts w:ascii="Public Sans" w:hAnsi="Public Sans" w:cs="Arial"/>
                <w:sz w:val="17"/>
                <w:szCs w:val="17"/>
                <w:lang w:eastAsia="en-AU"/>
              </w:rPr>
              <w:t>$m</w:t>
            </w:r>
          </w:p>
        </w:tc>
        <w:tc>
          <w:tcPr>
            <w:tcW w:w="1006" w:type="dxa"/>
            <w:shd w:val="clear" w:color="auto" w:fill="EBEBEB"/>
          </w:tcPr>
          <w:p w14:paraId="6B823FF9" w14:textId="77777777" w:rsidR="003F3CA5" w:rsidRPr="00367CD6" w:rsidRDefault="003F3CA5">
            <w:pPr>
              <w:jc w:val="center"/>
              <w:rPr>
                <w:rFonts w:ascii="Public Sans" w:hAnsi="Public Sans" w:cs="Arial"/>
                <w:sz w:val="17"/>
                <w:szCs w:val="17"/>
                <w:lang w:eastAsia="en-AU"/>
              </w:rPr>
            </w:pPr>
            <w:r w:rsidRPr="00367CD6">
              <w:rPr>
                <w:rFonts w:ascii="Public Sans" w:hAnsi="Public Sans" w:cs="Arial"/>
                <w:sz w:val="17"/>
                <w:szCs w:val="17"/>
                <w:lang w:eastAsia="en-AU"/>
              </w:rPr>
              <w:t>$m</w:t>
            </w:r>
          </w:p>
        </w:tc>
        <w:tc>
          <w:tcPr>
            <w:tcW w:w="1007" w:type="dxa"/>
            <w:shd w:val="clear" w:color="auto" w:fill="EBEBEB"/>
          </w:tcPr>
          <w:p w14:paraId="7EDD348E" w14:textId="77777777" w:rsidR="003F3CA5" w:rsidRPr="00367CD6" w:rsidRDefault="003F3CA5">
            <w:pPr>
              <w:jc w:val="center"/>
              <w:rPr>
                <w:rFonts w:ascii="Public Sans" w:hAnsi="Public Sans" w:cs="Arial"/>
                <w:sz w:val="17"/>
                <w:szCs w:val="17"/>
                <w:lang w:eastAsia="en-AU"/>
              </w:rPr>
            </w:pPr>
            <w:r w:rsidRPr="00367CD6">
              <w:rPr>
                <w:rFonts w:ascii="Public Sans" w:hAnsi="Public Sans" w:cs="Arial"/>
                <w:sz w:val="17"/>
                <w:szCs w:val="17"/>
                <w:lang w:eastAsia="en-AU"/>
              </w:rPr>
              <w:t>$m</w:t>
            </w:r>
          </w:p>
        </w:tc>
        <w:tc>
          <w:tcPr>
            <w:tcW w:w="1006" w:type="dxa"/>
            <w:shd w:val="clear" w:color="auto" w:fill="EBEBEB"/>
          </w:tcPr>
          <w:p w14:paraId="07362A98" w14:textId="77777777" w:rsidR="003F3CA5" w:rsidRPr="00367CD6" w:rsidRDefault="003F3CA5">
            <w:pPr>
              <w:jc w:val="center"/>
              <w:rPr>
                <w:rFonts w:ascii="Public Sans" w:hAnsi="Public Sans" w:cs="Arial"/>
                <w:sz w:val="17"/>
                <w:szCs w:val="17"/>
                <w:lang w:eastAsia="en-AU"/>
              </w:rPr>
            </w:pPr>
            <w:r w:rsidRPr="00367CD6">
              <w:rPr>
                <w:rFonts w:ascii="Public Sans" w:hAnsi="Public Sans" w:cs="Arial"/>
                <w:sz w:val="17"/>
                <w:szCs w:val="17"/>
                <w:lang w:eastAsia="en-AU"/>
              </w:rPr>
              <w:t>$m</w:t>
            </w:r>
          </w:p>
        </w:tc>
        <w:tc>
          <w:tcPr>
            <w:tcW w:w="2011" w:type="dxa"/>
            <w:vMerge/>
          </w:tcPr>
          <w:p w14:paraId="440CB833" w14:textId="77777777" w:rsidR="003F3CA5" w:rsidRPr="00367CD6" w:rsidRDefault="003F3CA5">
            <w:pPr>
              <w:rPr>
                <w:rFonts w:ascii="Public Sans" w:hAnsi="Public Sans"/>
                <w:sz w:val="17"/>
                <w:szCs w:val="17"/>
              </w:rPr>
            </w:pPr>
          </w:p>
        </w:tc>
      </w:tr>
      <w:tr w:rsidR="007B1B97" w:rsidRPr="00097D37" w14:paraId="6B5FC47F" w14:textId="77777777" w:rsidTr="00367CD6">
        <w:trPr>
          <w:trHeight w:val="283"/>
        </w:trPr>
        <w:tc>
          <w:tcPr>
            <w:tcW w:w="3603" w:type="dxa"/>
            <w:shd w:val="clear" w:color="auto" w:fill="auto"/>
            <w:vAlign w:val="center"/>
          </w:tcPr>
          <w:p w14:paraId="15714D32" w14:textId="02D59E95" w:rsidR="007B1B97" w:rsidRPr="00367CD6" w:rsidRDefault="007B1B97" w:rsidP="007B1B97">
            <w:pPr>
              <w:rPr>
                <w:rFonts w:ascii="Public Sans" w:hAnsi="Public Sans" w:cs="Arial"/>
                <w:b/>
                <w:sz w:val="16"/>
                <w:szCs w:val="16"/>
              </w:rPr>
            </w:pPr>
            <w:r w:rsidRPr="00367CD6">
              <w:rPr>
                <w:rFonts w:ascii="Public Sans" w:hAnsi="Public Sans" w:cs="Arial"/>
                <w:sz w:val="16"/>
                <w:szCs w:val="16"/>
              </w:rPr>
              <w:t>Investment revenue</w:t>
            </w:r>
            <w:r w:rsidRPr="00367CD6">
              <w:rPr>
                <w:rFonts w:ascii="Public Sans" w:hAnsi="Public Sans" w:cs="Arial"/>
                <w:sz w:val="16"/>
                <w:szCs w:val="16"/>
                <w:vertAlign w:val="superscript"/>
              </w:rPr>
              <w:t>(a)</w:t>
            </w:r>
          </w:p>
        </w:tc>
        <w:tc>
          <w:tcPr>
            <w:tcW w:w="1006" w:type="dxa"/>
            <w:vAlign w:val="center"/>
          </w:tcPr>
          <w:p w14:paraId="36AB2EE9" w14:textId="6FCEB651" w:rsidR="007B1B97" w:rsidRPr="00367CD6" w:rsidRDefault="007B1B97" w:rsidP="00367CD6">
            <w:pPr>
              <w:ind w:right="170"/>
              <w:jc w:val="right"/>
              <w:rPr>
                <w:rFonts w:ascii="Public Sans" w:hAnsi="Public Sans" w:cs="Arial"/>
                <w:sz w:val="16"/>
                <w:szCs w:val="16"/>
              </w:rPr>
            </w:pPr>
            <w:r w:rsidRPr="00367CD6">
              <w:rPr>
                <w:rFonts w:ascii="Public Sans" w:hAnsi="Public Sans" w:cs="Arial"/>
                <w:sz w:val="16"/>
                <w:szCs w:val="16"/>
              </w:rPr>
              <w:t>235</w:t>
            </w:r>
          </w:p>
        </w:tc>
        <w:tc>
          <w:tcPr>
            <w:tcW w:w="1006" w:type="dxa"/>
            <w:shd w:val="clear" w:color="auto" w:fill="auto"/>
            <w:vAlign w:val="center"/>
          </w:tcPr>
          <w:p w14:paraId="60337FE0" w14:textId="0084127A" w:rsidR="007B1B97" w:rsidRPr="00367CD6" w:rsidRDefault="007B1B97" w:rsidP="00367CD6">
            <w:pPr>
              <w:ind w:right="170"/>
              <w:jc w:val="right"/>
              <w:rPr>
                <w:rFonts w:ascii="Public Sans" w:hAnsi="Public Sans" w:cs="Arial"/>
                <w:sz w:val="16"/>
                <w:szCs w:val="16"/>
              </w:rPr>
            </w:pPr>
            <w:r w:rsidRPr="00367CD6">
              <w:rPr>
                <w:rFonts w:ascii="Public Sans" w:hAnsi="Public Sans" w:cs="Arial"/>
                <w:sz w:val="16"/>
                <w:szCs w:val="16"/>
              </w:rPr>
              <w:t>251</w:t>
            </w:r>
          </w:p>
        </w:tc>
        <w:tc>
          <w:tcPr>
            <w:tcW w:w="1007" w:type="dxa"/>
            <w:shd w:val="clear" w:color="auto" w:fill="auto"/>
            <w:vAlign w:val="center"/>
          </w:tcPr>
          <w:p w14:paraId="32BDAF69" w14:textId="08A4647D" w:rsidR="007B1B97" w:rsidRPr="00367CD6" w:rsidRDefault="007B1B97" w:rsidP="00367CD6">
            <w:pPr>
              <w:ind w:right="170"/>
              <w:jc w:val="right"/>
              <w:rPr>
                <w:rFonts w:ascii="Public Sans" w:hAnsi="Public Sans" w:cs="Arial"/>
                <w:sz w:val="16"/>
                <w:szCs w:val="16"/>
              </w:rPr>
            </w:pPr>
            <w:r w:rsidRPr="00367CD6">
              <w:rPr>
                <w:rFonts w:ascii="Public Sans" w:hAnsi="Public Sans" w:cs="Arial"/>
                <w:sz w:val="16"/>
                <w:szCs w:val="16"/>
              </w:rPr>
              <w:t>271</w:t>
            </w:r>
          </w:p>
        </w:tc>
        <w:tc>
          <w:tcPr>
            <w:tcW w:w="1006" w:type="dxa"/>
            <w:shd w:val="clear" w:color="auto" w:fill="auto"/>
            <w:vAlign w:val="center"/>
          </w:tcPr>
          <w:p w14:paraId="31FF0C5D" w14:textId="1EA7815B" w:rsidR="007B1B97" w:rsidRPr="00367CD6" w:rsidRDefault="007B1B97" w:rsidP="00367CD6">
            <w:pPr>
              <w:ind w:left="-113" w:right="170"/>
              <w:jc w:val="right"/>
              <w:rPr>
                <w:rFonts w:ascii="Public Sans" w:hAnsi="Public Sans" w:cs="Arial"/>
                <w:sz w:val="16"/>
                <w:szCs w:val="16"/>
              </w:rPr>
            </w:pPr>
            <w:r w:rsidRPr="00367CD6">
              <w:rPr>
                <w:rFonts w:ascii="Public Sans" w:hAnsi="Public Sans" w:cs="Arial"/>
                <w:sz w:val="16"/>
                <w:szCs w:val="16"/>
              </w:rPr>
              <w:t>300</w:t>
            </w:r>
          </w:p>
        </w:tc>
        <w:tc>
          <w:tcPr>
            <w:tcW w:w="2011" w:type="dxa"/>
            <w:vMerge w:val="restart"/>
            <w:tcBorders>
              <w:left w:val="nil"/>
            </w:tcBorders>
            <w:vAlign w:val="center"/>
          </w:tcPr>
          <w:p w14:paraId="208A0EA0" w14:textId="77777777" w:rsidR="007B1B97" w:rsidRPr="00367CD6" w:rsidRDefault="007B1B97" w:rsidP="007B1B97">
            <w:pPr>
              <w:jc w:val="center"/>
              <w:rPr>
                <w:rFonts w:ascii="Public Sans" w:hAnsi="Public Sans" w:cs="Arial"/>
                <w:sz w:val="16"/>
                <w:szCs w:val="16"/>
              </w:rPr>
            </w:pPr>
            <w:r w:rsidRPr="00367CD6">
              <w:rPr>
                <w:rFonts w:ascii="Public Sans" w:hAnsi="Public Sans" w:cs="Arial"/>
                <w:sz w:val="16"/>
                <w:szCs w:val="16"/>
              </w:rPr>
              <w:t>Single percentage point increase in factor</w:t>
            </w:r>
          </w:p>
        </w:tc>
      </w:tr>
      <w:tr w:rsidR="007B1B97" w:rsidRPr="00097D37" w14:paraId="49490056" w14:textId="77777777" w:rsidTr="00367CD6">
        <w:trPr>
          <w:trHeight w:val="283"/>
        </w:trPr>
        <w:tc>
          <w:tcPr>
            <w:tcW w:w="3603" w:type="dxa"/>
            <w:shd w:val="clear" w:color="auto" w:fill="auto"/>
            <w:vAlign w:val="center"/>
          </w:tcPr>
          <w:p w14:paraId="54023B10" w14:textId="73582300" w:rsidR="007B1B97" w:rsidRPr="00367CD6" w:rsidRDefault="007B1B97" w:rsidP="007B1B97">
            <w:pPr>
              <w:rPr>
                <w:rFonts w:ascii="Public Sans" w:hAnsi="Public Sans" w:cs="Arial"/>
                <w:sz w:val="16"/>
                <w:szCs w:val="16"/>
              </w:rPr>
            </w:pPr>
            <w:r w:rsidRPr="00367CD6">
              <w:rPr>
                <w:rFonts w:ascii="Public Sans" w:hAnsi="Public Sans" w:cs="Arial"/>
                <w:sz w:val="16"/>
                <w:szCs w:val="16"/>
              </w:rPr>
              <w:t>Interest revenue</w:t>
            </w:r>
            <w:r w:rsidRPr="00367CD6">
              <w:rPr>
                <w:rFonts w:ascii="Public Sans" w:hAnsi="Public Sans" w:cs="Arial"/>
                <w:sz w:val="16"/>
                <w:szCs w:val="16"/>
                <w:vertAlign w:val="superscript"/>
              </w:rPr>
              <w:t>(b)</w:t>
            </w:r>
          </w:p>
        </w:tc>
        <w:tc>
          <w:tcPr>
            <w:tcW w:w="1006" w:type="dxa"/>
            <w:tcBorders>
              <w:left w:val="nil"/>
              <w:bottom w:val="nil"/>
              <w:right w:val="nil"/>
            </w:tcBorders>
            <w:shd w:val="clear" w:color="auto" w:fill="FFFFFF" w:themeFill="background1"/>
            <w:vAlign w:val="center"/>
          </w:tcPr>
          <w:p w14:paraId="74A0C99F" w14:textId="76A78CCF" w:rsidR="007B1B97" w:rsidRPr="00367CD6" w:rsidRDefault="007B1B97" w:rsidP="00367CD6">
            <w:pPr>
              <w:ind w:left="-113" w:right="170"/>
              <w:jc w:val="right"/>
              <w:rPr>
                <w:rFonts w:ascii="Public Sans" w:hAnsi="Public Sans" w:cs="Arial"/>
                <w:sz w:val="16"/>
                <w:szCs w:val="16"/>
              </w:rPr>
            </w:pPr>
            <w:r w:rsidRPr="00367CD6">
              <w:rPr>
                <w:rFonts w:ascii="Public Sans" w:hAnsi="Public Sans" w:cs="Arial"/>
                <w:sz w:val="16"/>
                <w:szCs w:val="16"/>
              </w:rPr>
              <w:t>11.9</w:t>
            </w:r>
          </w:p>
        </w:tc>
        <w:tc>
          <w:tcPr>
            <w:tcW w:w="1006" w:type="dxa"/>
            <w:tcBorders>
              <w:left w:val="nil"/>
              <w:bottom w:val="nil"/>
              <w:right w:val="nil"/>
            </w:tcBorders>
            <w:shd w:val="clear" w:color="auto" w:fill="auto"/>
            <w:vAlign w:val="center"/>
          </w:tcPr>
          <w:p w14:paraId="5763DFC8" w14:textId="518A8C22" w:rsidR="007B1B97" w:rsidRPr="00367CD6" w:rsidRDefault="007B1B97" w:rsidP="00367CD6">
            <w:pPr>
              <w:ind w:left="-113" w:right="170"/>
              <w:jc w:val="right"/>
              <w:rPr>
                <w:rFonts w:ascii="Public Sans" w:hAnsi="Public Sans" w:cs="Arial"/>
                <w:sz w:val="16"/>
                <w:szCs w:val="16"/>
              </w:rPr>
            </w:pPr>
            <w:r w:rsidRPr="00367CD6">
              <w:rPr>
                <w:rFonts w:ascii="Public Sans" w:hAnsi="Public Sans" w:cs="Arial"/>
                <w:sz w:val="16"/>
                <w:szCs w:val="16"/>
              </w:rPr>
              <w:t>10.8</w:t>
            </w:r>
          </w:p>
        </w:tc>
        <w:tc>
          <w:tcPr>
            <w:tcW w:w="1007" w:type="dxa"/>
            <w:tcBorders>
              <w:left w:val="nil"/>
              <w:bottom w:val="nil"/>
              <w:right w:val="nil"/>
            </w:tcBorders>
            <w:shd w:val="clear" w:color="auto" w:fill="auto"/>
            <w:vAlign w:val="center"/>
          </w:tcPr>
          <w:p w14:paraId="2D8CE1C9" w14:textId="5C58AE9A" w:rsidR="007B1B97" w:rsidRPr="00367CD6" w:rsidRDefault="007B1B97" w:rsidP="00367CD6">
            <w:pPr>
              <w:ind w:left="-113" w:right="170"/>
              <w:jc w:val="right"/>
              <w:rPr>
                <w:rFonts w:ascii="Public Sans" w:hAnsi="Public Sans" w:cs="Arial"/>
                <w:sz w:val="16"/>
                <w:szCs w:val="16"/>
              </w:rPr>
            </w:pPr>
            <w:r w:rsidRPr="00367CD6">
              <w:rPr>
                <w:rFonts w:ascii="Public Sans" w:hAnsi="Public Sans" w:cs="Arial"/>
                <w:sz w:val="16"/>
                <w:szCs w:val="16"/>
              </w:rPr>
              <w:t>10.4</w:t>
            </w:r>
          </w:p>
        </w:tc>
        <w:tc>
          <w:tcPr>
            <w:tcW w:w="1006" w:type="dxa"/>
            <w:tcBorders>
              <w:left w:val="nil"/>
              <w:bottom w:val="nil"/>
              <w:right w:val="nil"/>
            </w:tcBorders>
            <w:shd w:val="clear" w:color="auto" w:fill="auto"/>
            <w:vAlign w:val="center"/>
          </w:tcPr>
          <w:p w14:paraId="10BEA59A" w14:textId="1BAFE2D6" w:rsidR="007B1B97" w:rsidRPr="00367CD6" w:rsidRDefault="007B1B97" w:rsidP="00367CD6">
            <w:pPr>
              <w:ind w:left="-113" w:right="170"/>
              <w:jc w:val="right"/>
              <w:rPr>
                <w:rFonts w:ascii="Public Sans" w:hAnsi="Public Sans" w:cs="Arial"/>
                <w:sz w:val="16"/>
                <w:szCs w:val="16"/>
              </w:rPr>
            </w:pPr>
            <w:r w:rsidRPr="00367CD6">
              <w:rPr>
                <w:rFonts w:ascii="Public Sans" w:hAnsi="Public Sans" w:cs="Arial"/>
                <w:sz w:val="16"/>
                <w:szCs w:val="16"/>
              </w:rPr>
              <w:t>10.4</w:t>
            </w:r>
          </w:p>
        </w:tc>
        <w:tc>
          <w:tcPr>
            <w:tcW w:w="2011" w:type="dxa"/>
            <w:vMerge/>
          </w:tcPr>
          <w:p w14:paraId="7CE3C6A7" w14:textId="77777777" w:rsidR="007B1B97" w:rsidRPr="00367CD6" w:rsidRDefault="007B1B97" w:rsidP="007B1B97">
            <w:pPr>
              <w:rPr>
                <w:rFonts w:ascii="Public Sans" w:hAnsi="Public Sans"/>
                <w:sz w:val="16"/>
                <w:szCs w:val="16"/>
              </w:rPr>
            </w:pPr>
          </w:p>
        </w:tc>
      </w:tr>
      <w:tr w:rsidR="00592CD5" w:rsidRPr="00097D37" w14:paraId="635B6DEF" w14:textId="77777777" w:rsidTr="00367CD6">
        <w:trPr>
          <w:trHeight w:val="283"/>
        </w:trPr>
        <w:tc>
          <w:tcPr>
            <w:tcW w:w="3603" w:type="dxa"/>
            <w:tcBorders>
              <w:bottom w:val="single" w:sz="4" w:space="0" w:color="auto"/>
            </w:tcBorders>
            <w:shd w:val="clear" w:color="auto" w:fill="auto"/>
            <w:vAlign w:val="center"/>
          </w:tcPr>
          <w:p w14:paraId="109EACE6" w14:textId="66426823" w:rsidR="007B1B97" w:rsidRPr="00367CD6" w:rsidRDefault="007B1B97" w:rsidP="007B1B97">
            <w:pPr>
              <w:rPr>
                <w:rFonts w:ascii="Public Sans" w:hAnsi="Public Sans" w:cs="Arial"/>
                <w:b/>
                <w:sz w:val="16"/>
                <w:szCs w:val="16"/>
              </w:rPr>
            </w:pPr>
            <w:r w:rsidRPr="00367CD6">
              <w:rPr>
                <w:rFonts w:ascii="Public Sans" w:hAnsi="Public Sans" w:cs="Arial"/>
                <w:sz w:val="16"/>
                <w:szCs w:val="16"/>
              </w:rPr>
              <w:t>Interest expenses</w:t>
            </w:r>
            <w:r w:rsidRPr="00367CD6">
              <w:rPr>
                <w:rFonts w:ascii="Public Sans" w:hAnsi="Public Sans" w:cs="Arial"/>
                <w:sz w:val="16"/>
                <w:szCs w:val="16"/>
                <w:vertAlign w:val="superscript"/>
              </w:rPr>
              <w:t>(</w:t>
            </w:r>
            <w:r w:rsidR="00347EE2" w:rsidRPr="00367CD6">
              <w:rPr>
                <w:rFonts w:ascii="Public Sans" w:hAnsi="Public Sans" w:cs="Arial"/>
                <w:sz w:val="16"/>
                <w:szCs w:val="16"/>
                <w:vertAlign w:val="superscript"/>
              </w:rPr>
              <w:t>c)</w:t>
            </w:r>
          </w:p>
        </w:tc>
        <w:tc>
          <w:tcPr>
            <w:tcW w:w="1006" w:type="dxa"/>
            <w:tcBorders>
              <w:bottom w:val="single" w:sz="4" w:space="0" w:color="auto"/>
            </w:tcBorders>
            <w:vAlign w:val="center"/>
          </w:tcPr>
          <w:p w14:paraId="325BBC3C" w14:textId="459DED87" w:rsidR="007B1B97" w:rsidRPr="00367CD6" w:rsidRDefault="007B1B97" w:rsidP="00367CD6">
            <w:pPr>
              <w:ind w:left="-113" w:right="170"/>
              <w:jc w:val="right"/>
              <w:rPr>
                <w:rFonts w:ascii="Public Sans" w:hAnsi="Public Sans" w:cs="Arial"/>
                <w:sz w:val="16"/>
                <w:szCs w:val="16"/>
              </w:rPr>
            </w:pPr>
            <w:r w:rsidRPr="00367CD6">
              <w:rPr>
                <w:rFonts w:ascii="Public Sans" w:hAnsi="Public Sans" w:cs="Arial"/>
                <w:sz w:val="16"/>
                <w:szCs w:val="16"/>
              </w:rPr>
              <w:t>(154)</w:t>
            </w:r>
          </w:p>
        </w:tc>
        <w:tc>
          <w:tcPr>
            <w:tcW w:w="1006" w:type="dxa"/>
            <w:tcBorders>
              <w:bottom w:val="single" w:sz="4" w:space="0" w:color="auto"/>
            </w:tcBorders>
            <w:shd w:val="clear" w:color="auto" w:fill="FFFFFF" w:themeFill="background1"/>
            <w:vAlign w:val="center"/>
          </w:tcPr>
          <w:p w14:paraId="04512AFC" w14:textId="56AE4050" w:rsidR="007B1B97" w:rsidRPr="00367CD6" w:rsidRDefault="007B1B97" w:rsidP="00367CD6">
            <w:pPr>
              <w:ind w:right="170"/>
              <w:jc w:val="right"/>
              <w:rPr>
                <w:rFonts w:ascii="Public Sans" w:hAnsi="Public Sans" w:cs="Arial"/>
                <w:sz w:val="16"/>
                <w:szCs w:val="16"/>
              </w:rPr>
            </w:pPr>
            <w:r w:rsidRPr="00367CD6">
              <w:rPr>
                <w:rFonts w:ascii="Public Sans" w:hAnsi="Public Sans" w:cs="Arial"/>
                <w:sz w:val="16"/>
                <w:szCs w:val="16"/>
              </w:rPr>
              <w:t>(247)</w:t>
            </w:r>
          </w:p>
        </w:tc>
        <w:tc>
          <w:tcPr>
            <w:tcW w:w="1007" w:type="dxa"/>
            <w:tcBorders>
              <w:bottom w:val="single" w:sz="4" w:space="0" w:color="auto"/>
            </w:tcBorders>
            <w:shd w:val="clear" w:color="auto" w:fill="FFFFFF" w:themeFill="background1"/>
            <w:vAlign w:val="center"/>
          </w:tcPr>
          <w:p w14:paraId="38EAA937" w14:textId="75E628F5" w:rsidR="007B1B97" w:rsidRPr="00367CD6" w:rsidRDefault="007B1B97" w:rsidP="00367CD6">
            <w:pPr>
              <w:ind w:right="170"/>
              <w:jc w:val="right"/>
              <w:rPr>
                <w:rFonts w:ascii="Public Sans" w:hAnsi="Public Sans" w:cs="Arial"/>
                <w:sz w:val="16"/>
                <w:szCs w:val="16"/>
              </w:rPr>
            </w:pPr>
            <w:r w:rsidRPr="00367CD6">
              <w:rPr>
                <w:rFonts w:ascii="Public Sans" w:hAnsi="Public Sans" w:cs="Arial"/>
                <w:sz w:val="16"/>
                <w:szCs w:val="16"/>
              </w:rPr>
              <w:t>(431)</w:t>
            </w:r>
          </w:p>
        </w:tc>
        <w:tc>
          <w:tcPr>
            <w:tcW w:w="1006" w:type="dxa"/>
            <w:tcBorders>
              <w:bottom w:val="single" w:sz="4" w:space="0" w:color="auto"/>
            </w:tcBorders>
            <w:shd w:val="clear" w:color="auto" w:fill="FFFFFF" w:themeFill="background1"/>
            <w:vAlign w:val="center"/>
          </w:tcPr>
          <w:p w14:paraId="1D6A6824" w14:textId="3007C2F9" w:rsidR="007B1B97" w:rsidRPr="00367CD6" w:rsidRDefault="007B1B97" w:rsidP="00367CD6">
            <w:pPr>
              <w:ind w:left="-113" w:right="170"/>
              <w:jc w:val="right"/>
              <w:rPr>
                <w:rFonts w:ascii="Public Sans" w:hAnsi="Public Sans" w:cs="Arial"/>
                <w:sz w:val="16"/>
                <w:szCs w:val="16"/>
              </w:rPr>
            </w:pPr>
            <w:r w:rsidRPr="00367CD6">
              <w:rPr>
                <w:rFonts w:ascii="Public Sans" w:hAnsi="Public Sans" w:cs="Arial"/>
                <w:sz w:val="16"/>
                <w:szCs w:val="16"/>
              </w:rPr>
              <w:t>(655)</w:t>
            </w:r>
          </w:p>
        </w:tc>
        <w:tc>
          <w:tcPr>
            <w:tcW w:w="2011" w:type="dxa"/>
            <w:vMerge/>
            <w:tcBorders>
              <w:bottom w:val="single" w:sz="4" w:space="0" w:color="auto"/>
            </w:tcBorders>
          </w:tcPr>
          <w:p w14:paraId="1629F9A8" w14:textId="77777777" w:rsidR="007B1B97" w:rsidRPr="00367CD6" w:rsidRDefault="007B1B97" w:rsidP="007B1B97">
            <w:pPr>
              <w:rPr>
                <w:rFonts w:ascii="Public Sans" w:hAnsi="Public Sans"/>
                <w:sz w:val="16"/>
                <w:szCs w:val="16"/>
              </w:rPr>
            </w:pPr>
          </w:p>
        </w:tc>
      </w:tr>
    </w:tbl>
    <w:p w14:paraId="610E8DA4" w14:textId="77777777" w:rsidR="003F3CA5" w:rsidRPr="00367CD6" w:rsidRDefault="003F3CA5" w:rsidP="00592CD5">
      <w:pPr>
        <w:rPr>
          <w:rFonts w:ascii="Public Sans" w:hAnsi="Public Sans" w:cs="Arial"/>
          <w:sz w:val="6"/>
          <w:szCs w:val="6"/>
        </w:rPr>
      </w:pPr>
    </w:p>
    <w:p w14:paraId="2545F324" w14:textId="6DAE4DB3" w:rsidR="00650CF8" w:rsidRPr="00774C01" w:rsidRDefault="001D7D02" w:rsidP="00367CD6">
      <w:pPr>
        <w:pStyle w:val="ListParagraph"/>
        <w:numPr>
          <w:ilvl w:val="0"/>
          <w:numId w:val="100"/>
        </w:numPr>
        <w:contextualSpacing w:val="0"/>
        <w:rPr>
          <w:rFonts w:ascii="Public Sans" w:hAnsi="Public Sans" w:cs="Arial"/>
          <w:sz w:val="17"/>
          <w:szCs w:val="17"/>
        </w:rPr>
      </w:pPr>
      <w:r>
        <w:rPr>
          <w:rFonts w:ascii="Public Sans" w:hAnsi="Public Sans" w:cs="Arial"/>
          <w:sz w:val="17"/>
          <w:szCs w:val="17"/>
        </w:rPr>
        <w:t>Potential investment revenue impact of a</w:t>
      </w:r>
      <w:r w:rsidR="00650CF8" w:rsidRPr="00774C01">
        <w:rPr>
          <w:rFonts w:ascii="Public Sans" w:hAnsi="Public Sans" w:cs="Arial"/>
          <w:sz w:val="17"/>
          <w:szCs w:val="17"/>
        </w:rPr>
        <w:t xml:space="preserve"> single percentage point increase in the expected investment rate of return (NIFF, SAHF, NGF and SHLF only).</w:t>
      </w:r>
    </w:p>
    <w:p w14:paraId="3E35F926" w14:textId="2AB033FB" w:rsidR="00347EE2" w:rsidRDefault="00DD25D6" w:rsidP="00367CD6">
      <w:pPr>
        <w:numPr>
          <w:ilvl w:val="0"/>
          <w:numId w:val="100"/>
        </w:numPr>
        <w:ind w:left="357" w:hanging="357"/>
        <w:rPr>
          <w:rFonts w:ascii="Public Sans" w:hAnsi="Public Sans" w:cs="Arial"/>
          <w:sz w:val="17"/>
          <w:szCs w:val="17"/>
        </w:rPr>
      </w:pPr>
      <w:r>
        <w:rPr>
          <w:rFonts w:ascii="Public Sans" w:hAnsi="Public Sans" w:cs="Arial"/>
          <w:sz w:val="17"/>
          <w:szCs w:val="17"/>
        </w:rPr>
        <w:t>Sensitivities are modelled using a 1 per</w:t>
      </w:r>
      <w:r w:rsidR="004F48FF">
        <w:rPr>
          <w:rFonts w:ascii="Public Sans" w:hAnsi="Public Sans" w:cs="Arial"/>
          <w:sz w:val="17"/>
          <w:szCs w:val="17"/>
        </w:rPr>
        <w:t xml:space="preserve"> </w:t>
      </w:r>
      <w:r>
        <w:rPr>
          <w:rFonts w:ascii="Public Sans" w:hAnsi="Public Sans" w:cs="Arial"/>
          <w:sz w:val="17"/>
          <w:szCs w:val="17"/>
        </w:rPr>
        <w:t xml:space="preserve">cent increase in </w:t>
      </w:r>
      <w:r w:rsidR="004F48FF">
        <w:rPr>
          <w:rFonts w:ascii="Public Sans" w:hAnsi="Public Sans" w:cs="Arial"/>
          <w:sz w:val="17"/>
          <w:szCs w:val="17"/>
        </w:rPr>
        <w:t>general government</w:t>
      </w:r>
      <w:r>
        <w:rPr>
          <w:rFonts w:ascii="Public Sans" w:hAnsi="Public Sans" w:cs="Arial"/>
          <w:sz w:val="17"/>
          <w:szCs w:val="17"/>
        </w:rPr>
        <w:t xml:space="preserve"> cash balance</w:t>
      </w:r>
      <w:r w:rsidR="004F48FF">
        <w:rPr>
          <w:rFonts w:ascii="Public Sans" w:hAnsi="Public Sans" w:cs="Arial"/>
          <w:sz w:val="17"/>
          <w:szCs w:val="17"/>
        </w:rPr>
        <w:t>.</w:t>
      </w:r>
    </w:p>
    <w:p w14:paraId="078D62EE" w14:textId="52E7B5CA" w:rsidR="00650CF8" w:rsidRPr="00774C01" w:rsidRDefault="00C173B4" w:rsidP="00367CD6">
      <w:pPr>
        <w:numPr>
          <w:ilvl w:val="0"/>
          <w:numId w:val="100"/>
        </w:numPr>
        <w:ind w:left="357" w:hanging="357"/>
        <w:rPr>
          <w:rFonts w:ascii="Public Sans" w:hAnsi="Public Sans" w:cs="Arial"/>
          <w:sz w:val="17"/>
          <w:szCs w:val="17"/>
        </w:rPr>
      </w:pPr>
      <w:r>
        <w:rPr>
          <w:rFonts w:ascii="Public Sans" w:hAnsi="Public Sans" w:cs="Arial"/>
          <w:sz w:val="17"/>
          <w:szCs w:val="17"/>
        </w:rPr>
        <w:t xml:space="preserve">Sensitivities are modelled using 100 bps </w:t>
      </w:r>
      <w:r w:rsidR="00066B20">
        <w:rPr>
          <w:rFonts w:ascii="Public Sans" w:hAnsi="Public Sans" w:cs="Arial"/>
          <w:sz w:val="17"/>
          <w:szCs w:val="17"/>
        </w:rPr>
        <w:t>increase in the State’s bond yields</w:t>
      </w:r>
      <w:r w:rsidR="00650CF8" w:rsidRPr="00774C01">
        <w:rPr>
          <w:rFonts w:ascii="Public Sans" w:hAnsi="Public Sans" w:cs="Arial"/>
          <w:sz w:val="17"/>
          <w:szCs w:val="17"/>
        </w:rPr>
        <w:t>.</w:t>
      </w:r>
    </w:p>
    <w:p w14:paraId="16B30673" w14:textId="403EB0F8" w:rsidR="00650CF8" w:rsidRPr="00AC5EA0" w:rsidRDefault="00FA6095" w:rsidP="00570DA4">
      <w:pPr>
        <w:pStyle w:val="B1Heading2"/>
      </w:pPr>
      <w:r w:rsidRPr="00396E62">
        <w:t xml:space="preserve">Commercial and </w:t>
      </w:r>
      <w:r w:rsidR="00B0386C">
        <w:t>b</w:t>
      </w:r>
      <w:r w:rsidRPr="00396E62">
        <w:t>alance sheet</w:t>
      </w:r>
      <w:r w:rsidR="00650CF8" w:rsidRPr="61B12E0D">
        <w:t xml:space="preserve"> sensitivities</w:t>
      </w:r>
    </w:p>
    <w:p w14:paraId="3ACA2958" w14:textId="77777777" w:rsidR="007B1121" w:rsidRPr="007B1121" w:rsidRDefault="007B1121" w:rsidP="00367CD6">
      <w:pPr>
        <w:pStyle w:val="BodyText"/>
      </w:pPr>
      <w:r w:rsidRPr="007B1121">
        <w:t>Risks to the State’s balance sheet include unanticipated changes:</w:t>
      </w:r>
    </w:p>
    <w:p w14:paraId="58AED210" w14:textId="38E1D026" w:rsidR="003566B7" w:rsidRPr="003566B7" w:rsidRDefault="007B1121" w:rsidP="00367CD6">
      <w:pPr>
        <w:pStyle w:val="Bullet1"/>
      </w:pPr>
      <w:r w:rsidRPr="7CEC90E3">
        <w:t>to the value of existing assets and liabilities</w:t>
      </w:r>
      <w:r w:rsidR="00B41D35" w:rsidRPr="7CEC90E3">
        <w:t xml:space="preserve">. </w:t>
      </w:r>
      <w:r w:rsidR="00D519FA" w:rsidRPr="7CEC90E3">
        <w:t xml:space="preserve">Comprehensive revaluations, which are required to be conducted only once every </w:t>
      </w:r>
      <w:r w:rsidR="0081312C" w:rsidRPr="7CEC90E3">
        <w:t>three</w:t>
      </w:r>
      <w:r w:rsidR="00D519FA" w:rsidRPr="7CEC90E3">
        <w:t xml:space="preserve"> years for </w:t>
      </w:r>
      <w:r w:rsidR="00C4393B" w:rsidRPr="7CEC90E3">
        <w:t>l</w:t>
      </w:r>
      <w:r w:rsidR="00D519FA" w:rsidRPr="7CEC90E3">
        <w:t xml:space="preserve">and and </w:t>
      </w:r>
      <w:r w:rsidR="00C4393B" w:rsidRPr="7CEC90E3">
        <w:t>b</w:t>
      </w:r>
      <w:r w:rsidR="00D519FA" w:rsidRPr="7CEC90E3">
        <w:t xml:space="preserve">uildings and once every </w:t>
      </w:r>
      <w:r w:rsidR="0081312C" w:rsidRPr="7CEC90E3">
        <w:t>five</w:t>
      </w:r>
      <w:r w:rsidR="00D519FA" w:rsidRPr="7CEC90E3">
        <w:t xml:space="preserve"> years for all other classes of assets, may result in significant, unanticipated changes to asset values</w:t>
      </w:r>
      <w:r w:rsidR="00C4393B" w:rsidRPr="7CEC90E3">
        <w:t>. This</w:t>
      </w:r>
      <w:r w:rsidR="003566B7" w:rsidRPr="7CEC90E3">
        <w:t xml:space="preserve"> can impact depreciation expenses, the operating position and net worth</w:t>
      </w:r>
      <w:r w:rsidR="00235A2F" w:rsidRPr="7CEC90E3">
        <w:t>.</w:t>
      </w:r>
    </w:p>
    <w:p w14:paraId="5240DDFF" w14:textId="08228408" w:rsidR="007B1121" w:rsidRPr="007B1121" w:rsidRDefault="007B1121" w:rsidP="00367CD6">
      <w:pPr>
        <w:pStyle w:val="Bullet1"/>
        <w:rPr>
          <w:szCs w:val="20"/>
        </w:rPr>
      </w:pPr>
      <w:r w:rsidRPr="007B1121">
        <w:t xml:space="preserve">from the potential </w:t>
      </w:r>
      <w:r w:rsidR="00231E4D">
        <w:t>realisation</w:t>
      </w:r>
      <w:r w:rsidR="00231E4D" w:rsidRPr="007B1121">
        <w:t xml:space="preserve"> </w:t>
      </w:r>
      <w:r w:rsidRPr="007B1121">
        <w:t>of contingent assets and liabilities (those not shown on the balance sheet as the accounting recognition criteria are not yet met)</w:t>
      </w:r>
      <w:r w:rsidR="00B45FD8">
        <w:t>.</w:t>
      </w:r>
    </w:p>
    <w:p w14:paraId="70EF4A44" w14:textId="2F2FEAF1" w:rsidR="0066738F" w:rsidRPr="007B1121" w:rsidRDefault="0066738F" w:rsidP="00367CD6">
      <w:pPr>
        <w:pStyle w:val="Bullet1"/>
      </w:pPr>
      <w:r w:rsidRPr="7CEC90E3">
        <w:t xml:space="preserve">to the timing and quantum of cash payments from the Australian Government which may temporarily impact the </w:t>
      </w:r>
      <w:r w:rsidR="00C55F0B" w:rsidRPr="7CEC90E3">
        <w:t>S</w:t>
      </w:r>
      <w:r w:rsidRPr="7CEC90E3">
        <w:t>tate</w:t>
      </w:r>
      <w:r w:rsidR="00C55F0B" w:rsidRPr="7CEC90E3">
        <w:t>’</w:t>
      </w:r>
      <w:r w:rsidRPr="7CEC90E3">
        <w:t>s borrowing requirements.</w:t>
      </w:r>
    </w:p>
    <w:p w14:paraId="1D9171E8" w14:textId="05F7B611" w:rsidR="007B1121" w:rsidRPr="007B1121" w:rsidRDefault="007B1121" w:rsidP="00367CD6">
      <w:pPr>
        <w:pStyle w:val="BodyText"/>
      </w:pPr>
      <w:r w:rsidRPr="7CEC90E3">
        <w:t>The risks and performance of funds are monitored closely, with risk appetites and investment strategies reviewed annually to ensure they remain appropriate.</w:t>
      </w:r>
    </w:p>
    <w:p w14:paraId="6FCB84D4" w14:textId="77777777" w:rsidR="007B1121" w:rsidRPr="007B1121" w:rsidRDefault="007B1121" w:rsidP="00367CD6">
      <w:pPr>
        <w:pStyle w:val="BodyText"/>
        <w:rPr>
          <w:szCs w:val="22"/>
          <w:lang w:val="en-US"/>
        </w:rPr>
      </w:pPr>
      <w:r w:rsidRPr="63AA7669">
        <w:t xml:space="preserve">Liabilities for defined benefit superannuation and long service leave are estimated with reference to a range of factors, including but not limited to assumed rates of investment returns, salary growth, </w:t>
      </w:r>
      <w:proofErr w:type="gramStart"/>
      <w:r w:rsidRPr="63AA7669">
        <w:t>inflation</w:t>
      </w:r>
      <w:proofErr w:type="gramEnd"/>
      <w:r w:rsidRPr="63AA7669">
        <w:t xml:space="preserve"> and discount rates. </w:t>
      </w:r>
    </w:p>
    <w:p w14:paraId="22A76D29" w14:textId="01ECDC0F" w:rsidR="007B1121" w:rsidRDefault="007B1121" w:rsidP="00367CD6">
      <w:pPr>
        <w:pStyle w:val="BodyText"/>
      </w:pPr>
      <w:r w:rsidRPr="7CEC90E3">
        <w:t>The State also faces potential obligations that are non-quantifiable, but which can be broadly grouped into commercial transactions and other contingent liabilities. For example, the Government provided limited general warranties to purchasers and lessees under several energy transactions and retained responsibility for remediation costs associated with preexisting contamination at several power station sites.</w:t>
      </w:r>
      <w:r w:rsidR="0085597A" w:rsidRPr="7CEC90E3">
        <w:t xml:space="preserve"> </w:t>
      </w:r>
      <w:r w:rsidR="00503C13" w:rsidRPr="7CEC90E3">
        <w:t>For more information, see Appendix</w:t>
      </w:r>
      <w:r w:rsidR="00301FAE" w:rsidRPr="7CEC90E3">
        <w:t> </w:t>
      </w:r>
      <w:r w:rsidR="00503C13" w:rsidRPr="7CEC90E3">
        <w:t>C Contingent Assets and Liabilities.</w:t>
      </w:r>
    </w:p>
    <w:p w14:paraId="6BFC4C5D" w14:textId="2CC99D74" w:rsidR="00D71D2A" w:rsidRPr="007B1121" w:rsidRDefault="00D71D2A" w:rsidP="00367CD6">
      <w:pPr>
        <w:pStyle w:val="BodyText"/>
      </w:pPr>
      <w:r w:rsidRPr="7CEC90E3">
        <w:t xml:space="preserve">Periodic revaluation of the State’s physical assets can have both positive and negative impacts on various financial aggregates. Whereas an upward revaluation will, all else equal, improve net worth, the higher asset value could also result in increased depreciation expense, depending on </w:t>
      </w:r>
      <w:proofErr w:type="gramStart"/>
      <w:r w:rsidRPr="7CEC90E3">
        <w:t>whether or not</w:t>
      </w:r>
      <w:proofErr w:type="gramEnd"/>
      <w:r w:rsidRPr="7CEC90E3">
        <w:t xml:space="preserve"> there are also changes to an asset’s useful life. Higher depreciation expense negatively impacts the net operating balance (</w:t>
      </w:r>
      <w:r w:rsidR="00CD7F15" w:rsidRPr="7CEC90E3">
        <w:t>b</w:t>
      </w:r>
      <w:r w:rsidRPr="7CEC90E3">
        <w:t xml:space="preserve">udget </w:t>
      </w:r>
      <w:r w:rsidR="00CD7F15" w:rsidRPr="7CEC90E3">
        <w:t>r</w:t>
      </w:r>
      <w:r w:rsidRPr="7CEC90E3">
        <w:t>esult). A downward revaluation would have the opposite impact on net worth and the net operating balance.</w:t>
      </w:r>
    </w:p>
    <w:p w14:paraId="001F3E69" w14:textId="62305642" w:rsidR="00650CF8" w:rsidRDefault="00650CF8" w:rsidP="00650CF8">
      <w:pPr>
        <w:pStyle w:val="Heading3"/>
      </w:pPr>
      <w:r>
        <w:t>Investments</w:t>
      </w:r>
      <w:r w:rsidR="002A5D2F">
        <w:t xml:space="preserve"> </w:t>
      </w:r>
    </w:p>
    <w:p w14:paraId="0A765088" w14:textId="77777777" w:rsidR="00F46B8B" w:rsidRDefault="00713A75" w:rsidP="00713A75">
      <w:pPr>
        <w:pStyle w:val="Heading3"/>
        <w:rPr>
          <w:rFonts w:ascii="Public Sans" w:hAnsi="Public Sans" w:cs="Arial"/>
          <w:b w:val="0"/>
          <w:color w:val="auto"/>
          <w:sz w:val="22"/>
          <w:szCs w:val="22"/>
          <w:lang w:val="en-US"/>
        </w:rPr>
      </w:pPr>
      <w:r w:rsidRPr="63197DA9">
        <w:rPr>
          <w:rFonts w:ascii="Public Sans" w:hAnsi="Public Sans" w:cs="Arial"/>
          <w:b w:val="0"/>
          <w:color w:val="auto"/>
          <w:sz w:val="22"/>
          <w:szCs w:val="22"/>
          <w:lang w:val="en-US"/>
        </w:rPr>
        <w:t xml:space="preserve">The State has several investment funds managed by </w:t>
      </w:r>
      <w:proofErr w:type="spellStart"/>
      <w:r w:rsidRPr="63197DA9">
        <w:rPr>
          <w:rFonts w:ascii="Public Sans" w:hAnsi="Public Sans" w:cs="Arial"/>
          <w:b w:val="0"/>
          <w:color w:val="auto"/>
          <w:sz w:val="22"/>
          <w:szCs w:val="22"/>
          <w:lang w:val="en-US"/>
        </w:rPr>
        <w:t>TCorp</w:t>
      </w:r>
      <w:proofErr w:type="spellEnd"/>
      <w:r w:rsidRPr="63197DA9">
        <w:rPr>
          <w:rFonts w:ascii="Public Sans" w:hAnsi="Public Sans" w:cs="Arial"/>
          <w:b w:val="0"/>
          <w:color w:val="auto"/>
          <w:sz w:val="22"/>
          <w:szCs w:val="22"/>
          <w:lang w:val="en-US"/>
        </w:rPr>
        <w:t xml:space="preserve">, including the NSW Generations Fund (NGF), the NSW Infrastructure Future Fund (NIFF), the Social and Affordable Housing Fund (SAHF), the Snowy Hydro Legacy Fund (SHLF), and the Treasury Managed Fund (TMF). </w:t>
      </w:r>
    </w:p>
    <w:p w14:paraId="09BFDFEB" w14:textId="00990C37" w:rsidR="00713A75" w:rsidRPr="00713A75" w:rsidRDefault="00713A75" w:rsidP="00713A75">
      <w:pPr>
        <w:pStyle w:val="Heading3"/>
        <w:rPr>
          <w:rFonts w:ascii="Public Sans" w:hAnsi="Public Sans" w:cs="Arial"/>
          <w:b w:val="0"/>
          <w:color w:val="auto"/>
          <w:kern w:val="0"/>
          <w:sz w:val="22"/>
          <w:szCs w:val="22"/>
          <w:lang w:val="en-US"/>
        </w:rPr>
      </w:pPr>
      <w:r w:rsidRPr="63197DA9">
        <w:rPr>
          <w:rFonts w:ascii="Public Sans" w:hAnsi="Public Sans" w:cs="Arial"/>
          <w:b w:val="0"/>
          <w:color w:val="auto"/>
          <w:sz w:val="22"/>
          <w:szCs w:val="22"/>
          <w:lang w:val="en-US"/>
        </w:rPr>
        <w:t>Under current governance arrangements, NSW Treasury recommends the risk appetite and/or investment strategy to Treasury’s Asset and Liability Committee (ALCO) for endorsement. ALCO then recommends the risk appetite and investment strategy to the Treasury Secretary (as the Treasurer’s delegate), or the Treasurer, as required.</w:t>
      </w:r>
    </w:p>
    <w:p w14:paraId="20FDFA83" w14:textId="68325A3B" w:rsidR="00713A75" w:rsidRPr="00713A75" w:rsidRDefault="00713A75" w:rsidP="00713A75">
      <w:pPr>
        <w:pStyle w:val="Heading3"/>
        <w:rPr>
          <w:rFonts w:ascii="Public Sans" w:hAnsi="Public Sans" w:cs="Arial"/>
          <w:b w:val="0"/>
          <w:color w:val="auto"/>
          <w:kern w:val="0"/>
          <w:sz w:val="22"/>
          <w:szCs w:val="22"/>
          <w:lang w:val="en-US"/>
        </w:rPr>
      </w:pPr>
      <w:r w:rsidRPr="63197DA9">
        <w:rPr>
          <w:rFonts w:ascii="Public Sans" w:hAnsi="Public Sans" w:cs="Arial"/>
          <w:b w:val="0"/>
          <w:color w:val="auto"/>
          <w:sz w:val="22"/>
          <w:szCs w:val="22"/>
          <w:lang w:val="en-US"/>
        </w:rPr>
        <w:lastRenderedPageBreak/>
        <w:t>These funds have varying levels of exposure to growth assets (assets with higher levels of risk). The NIFF, for instance, has a relatively small allocation to equities (at around 15 per cent) and keeps most of its portfolio in liquid investments such as cash and bonds, which are defensive assets, so it can meet the State’s short to medium-term infrastructure expenditure. On the other hand, the NGF has a high allocation of growth assets because of its long-term investment horizon, with about 40 per cent of its portfolio invested in Australian and internationally listed shares. This is in line with its strategic policy objective of helping ease the debt burden on the State’s future generations.</w:t>
      </w:r>
    </w:p>
    <w:p w14:paraId="4A8039A6" w14:textId="225CB90E" w:rsidR="00713A75" w:rsidRPr="00713A75" w:rsidRDefault="00704FF9" w:rsidP="00713A75">
      <w:pPr>
        <w:pStyle w:val="Heading3"/>
        <w:rPr>
          <w:rFonts w:ascii="Public Sans" w:hAnsi="Public Sans" w:cs="Arial"/>
          <w:b w:val="0"/>
          <w:color w:val="auto"/>
          <w:kern w:val="0"/>
          <w:sz w:val="22"/>
          <w:szCs w:val="22"/>
          <w:lang w:val="en-US"/>
        </w:rPr>
      </w:pPr>
      <w:r w:rsidRPr="63197DA9">
        <w:rPr>
          <w:rFonts w:ascii="Public Sans" w:hAnsi="Public Sans" w:cs="Arial"/>
          <w:b w:val="0"/>
          <w:color w:val="auto"/>
          <w:sz w:val="22"/>
          <w:szCs w:val="22"/>
          <w:lang w:val="en-US"/>
        </w:rPr>
        <w:t xml:space="preserve">The Government recently announced it is changing the way in which its investment funds are managed, with a view to doing so more efficiently. This will be achieved through the establishment of </w:t>
      </w:r>
      <w:proofErr w:type="spellStart"/>
      <w:r w:rsidR="004638F4">
        <w:rPr>
          <w:rFonts w:ascii="Public Sans" w:hAnsi="Public Sans" w:cs="Arial"/>
          <w:b w:val="0"/>
          <w:color w:val="auto"/>
          <w:sz w:val="22"/>
          <w:szCs w:val="22"/>
          <w:lang w:val="en-US"/>
        </w:rPr>
        <w:t>One</w:t>
      </w:r>
      <w:r w:rsidRPr="63197DA9">
        <w:rPr>
          <w:rFonts w:ascii="Public Sans" w:hAnsi="Public Sans" w:cs="Arial"/>
          <w:b w:val="0"/>
          <w:color w:val="auto"/>
          <w:sz w:val="22"/>
          <w:szCs w:val="22"/>
          <w:lang w:val="en-US"/>
        </w:rPr>
        <w:t>Fund</w:t>
      </w:r>
      <w:proofErr w:type="spellEnd"/>
      <w:r w:rsidRPr="63197DA9">
        <w:rPr>
          <w:rFonts w:ascii="Public Sans" w:hAnsi="Public Sans" w:cs="Arial"/>
          <w:b w:val="0"/>
          <w:color w:val="auto"/>
          <w:sz w:val="22"/>
          <w:szCs w:val="22"/>
          <w:lang w:val="en-US"/>
        </w:rPr>
        <w:t xml:space="preserve">. </w:t>
      </w:r>
      <w:proofErr w:type="spellStart"/>
      <w:r w:rsidR="004638F4">
        <w:rPr>
          <w:rFonts w:ascii="Public Sans" w:hAnsi="Public Sans" w:cs="Arial"/>
          <w:b w:val="0"/>
          <w:color w:val="auto"/>
          <w:sz w:val="22"/>
          <w:szCs w:val="22"/>
          <w:lang w:val="en-US"/>
        </w:rPr>
        <w:t>OneFund</w:t>
      </w:r>
      <w:proofErr w:type="spellEnd"/>
      <w:r w:rsidRPr="63197DA9">
        <w:rPr>
          <w:rFonts w:ascii="Public Sans" w:hAnsi="Public Sans" w:cs="Arial"/>
          <w:b w:val="0"/>
          <w:color w:val="auto"/>
          <w:sz w:val="22"/>
          <w:szCs w:val="22"/>
          <w:lang w:val="en-US"/>
        </w:rPr>
        <w:t xml:space="preserve"> will bring together several of the State’s investment funds, to manage these as if they are one. This initiative is expected to achieve higher risk</w:t>
      </w:r>
      <w:r w:rsidR="00FE0E5D">
        <w:rPr>
          <w:rFonts w:ascii="Public Sans" w:hAnsi="Public Sans" w:cs="Arial"/>
          <w:b w:val="0"/>
          <w:color w:val="auto"/>
          <w:sz w:val="22"/>
          <w:szCs w:val="22"/>
          <w:lang w:val="en-US"/>
        </w:rPr>
        <w:noBreakHyphen/>
      </w:r>
      <w:r w:rsidRPr="63197DA9">
        <w:rPr>
          <w:rFonts w:ascii="Public Sans" w:hAnsi="Public Sans" w:cs="Arial"/>
          <w:b w:val="0"/>
          <w:color w:val="auto"/>
          <w:sz w:val="22"/>
          <w:szCs w:val="22"/>
          <w:lang w:val="en-US"/>
        </w:rPr>
        <w:t>adjusted investment returns, as well as operational and risk management efficiencies.</w:t>
      </w:r>
    </w:p>
    <w:p w14:paraId="343068C7" w14:textId="5A3402E9" w:rsidR="00713A75" w:rsidRPr="00713A75" w:rsidRDefault="00713A75" w:rsidP="00713A75">
      <w:pPr>
        <w:pStyle w:val="Heading3"/>
        <w:rPr>
          <w:rFonts w:ascii="Public Sans" w:hAnsi="Public Sans" w:cs="Arial"/>
          <w:b w:val="0"/>
          <w:color w:val="auto"/>
          <w:kern w:val="0"/>
          <w:sz w:val="22"/>
          <w:szCs w:val="22"/>
          <w:lang w:val="en-US"/>
        </w:rPr>
      </w:pPr>
      <w:r w:rsidRPr="63197DA9">
        <w:rPr>
          <w:rFonts w:ascii="Public Sans" w:hAnsi="Public Sans" w:cs="Arial"/>
          <w:b w:val="0"/>
          <w:color w:val="auto"/>
          <w:sz w:val="22"/>
          <w:szCs w:val="22"/>
          <w:lang w:val="en-US"/>
        </w:rPr>
        <w:t xml:space="preserve">Under the </w:t>
      </w:r>
      <w:r w:rsidRPr="00396E62">
        <w:rPr>
          <w:rFonts w:ascii="Public Sans" w:hAnsi="Public Sans" w:cs="Arial"/>
          <w:b w:val="0"/>
          <w:i/>
          <w:iCs/>
          <w:color w:val="auto"/>
          <w:sz w:val="22"/>
          <w:szCs w:val="22"/>
          <w:lang w:val="en-US"/>
        </w:rPr>
        <w:t>NSW Generations Funds Act 2018</w:t>
      </w:r>
      <w:r w:rsidRPr="63197DA9">
        <w:rPr>
          <w:rFonts w:ascii="Public Sans" w:hAnsi="Public Sans" w:cs="Arial"/>
          <w:b w:val="0"/>
          <w:color w:val="auto"/>
          <w:sz w:val="22"/>
          <w:szCs w:val="22"/>
          <w:lang w:val="en-US"/>
        </w:rPr>
        <w:t xml:space="preserve">, funds in the NGF can only be directed towards the repayment of State debt. Fitch and Moody’s </w:t>
      </w:r>
      <w:proofErr w:type="spellStart"/>
      <w:r w:rsidRPr="63197DA9">
        <w:rPr>
          <w:rFonts w:ascii="Public Sans" w:hAnsi="Public Sans" w:cs="Arial"/>
          <w:b w:val="0"/>
          <w:color w:val="auto"/>
          <w:sz w:val="22"/>
          <w:szCs w:val="22"/>
          <w:lang w:val="en-US"/>
        </w:rPr>
        <w:t>recognise</w:t>
      </w:r>
      <w:proofErr w:type="spellEnd"/>
      <w:r w:rsidRPr="63197DA9">
        <w:rPr>
          <w:rFonts w:ascii="Public Sans" w:hAnsi="Public Sans" w:cs="Arial"/>
          <w:b w:val="0"/>
          <w:color w:val="auto"/>
          <w:sz w:val="22"/>
          <w:szCs w:val="22"/>
          <w:lang w:val="en-US"/>
        </w:rPr>
        <w:t xml:space="preserve"> the balance of the NGF as an offset to the State’s debt metrics, while S&amp;P Global reduce the offset amount in line with 50 per cent of the NGF equity holdings. Accordingly, market volatility that impacts the balance of the NGF carries additional risks to the State’s debt metrics. NSW Treasury manages this risk through the NGF’s investment strategy (the mix of assets it is invested in) which remains aligned to a long-term investment horizon. The NGF is invested in a diverse range of assets including domestic and international equities, bonds, </w:t>
      </w:r>
      <w:proofErr w:type="gramStart"/>
      <w:r w:rsidRPr="63197DA9">
        <w:rPr>
          <w:rFonts w:ascii="Public Sans" w:hAnsi="Public Sans" w:cs="Arial"/>
          <w:b w:val="0"/>
          <w:color w:val="auto"/>
          <w:sz w:val="22"/>
          <w:szCs w:val="22"/>
          <w:lang w:val="en-US"/>
        </w:rPr>
        <w:t>property</w:t>
      </w:r>
      <w:proofErr w:type="gramEnd"/>
      <w:r w:rsidRPr="63197DA9">
        <w:rPr>
          <w:rFonts w:ascii="Public Sans" w:hAnsi="Public Sans" w:cs="Arial"/>
          <w:b w:val="0"/>
          <w:color w:val="auto"/>
          <w:sz w:val="22"/>
          <w:szCs w:val="22"/>
          <w:lang w:val="en-US"/>
        </w:rPr>
        <w:t xml:space="preserve"> and infrastructure. </w:t>
      </w:r>
    </w:p>
    <w:p w14:paraId="61F8BA2E" w14:textId="737491F5" w:rsidR="00713A75" w:rsidRPr="00396E62" w:rsidRDefault="00713A75" w:rsidP="00367CD6">
      <w:pPr>
        <w:pStyle w:val="BodyText"/>
      </w:pPr>
      <w:r w:rsidRPr="00713A75">
        <w:t>During this period of ongoing increased uncertainty, NSW Treasury continues to work alongside TCorp to closely monitor and manage the risk exposures of the State’s investment funds.</w:t>
      </w:r>
    </w:p>
    <w:p w14:paraId="4D65505A" w14:textId="6A3FC881" w:rsidR="00650CF8" w:rsidRPr="006B43FD" w:rsidRDefault="00650CF8" w:rsidP="00704FF9">
      <w:pPr>
        <w:pStyle w:val="Heading3"/>
        <w:rPr>
          <w:rFonts w:asciiTheme="minorHAnsi" w:eastAsiaTheme="minorEastAsia" w:hAnsiTheme="minorHAnsi" w:cstheme="minorBidi"/>
          <w:sz w:val="23"/>
          <w:szCs w:val="23"/>
        </w:rPr>
      </w:pPr>
      <w:r w:rsidRPr="61B12E0D">
        <w:rPr>
          <w:rFonts w:eastAsia="Arial Bold"/>
        </w:rPr>
        <w:t>Superannuation</w:t>
      </w:r>
      <w:r w:rsidRPr="61B12E0D">
        <w:rPr>
          <w:rFonts w:eastAsia="Arial Bold" w:cs="Arial Bold"/>
        </w:rPr>
        <w:t xml:space="preserve"> and long service leave liabilities</w:t>
      </w:r>
    </w:p>
    <w:p w14:paraId="7C918750" w14:textId="256A4C2E" w:rsidR="00570DA4" w:rsidRPr="00396E62" w:rsidRDefault="00E055A6" w:rsidP="00367CD6">
      <w:pPr>
        <w:pStyle w:val="BodyText"/>
        <w:rPr>
          <w:rFonts w:ascii="Public Sans SemiBold" w:hAnsi="Public Sans SemiBold" w:cs="Times New Roman"/>
          <w:b/>
          <w:color w:val="22272B"/>
          <w:kern w:val="28"/>
          <w:sz w:val="26"/>
          <w:szCs w:val="22"/>
          <w:lang w:val="en-US"/>
        </w:rPr>
      </w:pPr>
      <w:r w:rsidRPr="00501363">
        <w:t>Forecast liabilities for superannuation and long service leave are based on a wide range of parameters. These include assumptions around salary growth, inflation, investment returns and discount rates. A change in any of these parameters may affect the valuation of the liabilities for superannuation and long service leave. The long service leave liability is also subject to variations in the rate of employee retention.</w:t>
      </w:r>
    </w:p>
    <w:p w14:paraId="1AF04004" w14:textId="1468091C" w:rsidR="00650CF8" w:rsidRPr="008446E1" w:rsidRDefault="00650CF8" w:rsidP="008446E1">
      <w:pPr>
        <w:pStyle w:val="TableBX"/>
      </w:pPr>
      <w:r>
        <w:t>Superannuation liabilities sensitivities</w:t>
      </w:r>
      <w:r w:rsidRPr="008446E1">
        <w:rPr>
          <w:vertAlign w:val="superscript"/>
        </w:rPr>
        <w:t>(a)</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B.8:  Superannuation liabilities sensitivities"/>
        <w:tblDescription w:val="Table B.8:  Superannuation liabilities sensitivities"/>
      </w:tblPr>
      <w:tblGrid>
        <w:gridCol w:w="3914"/>
        <w:gridCol w:w="1018"/>
        <w:gridCol w:w="1014"/>
        <w:gridCol w:w="1015"/>
        <w:gridCol w:w="1015"/>
        <w:gridCol w:w="1879"/>
      </w:tblGrid>
      <w:tr w:rsidR="00DD6556" w:rsidRPr="000D5B9F" w14:paraId="273BFEA4" w14:textId="77777777">
        <w:trPr>
          <w:trHeight w:val="300"/>
        </w:trPr>
        <w:tc>
          <w:tcPr>
            <w:tcW w:w="3914" w:type="dxa"/>
            <w:vMerge w:val="restart"/>
            <w:shd w:val="clear" w:color="auto" w:fill="EBEBEB"/>
            <w:vAlign w:val="center"/>
          </w:tcPr>
          <w:p w14:paraId="0CF58535" w14:textId="77777777" w:rsidR="00DD6556" w:rsidRPr="00367CD6" w:rsidRDefault="00DD6556" w:rsidP="00DD6556">
            <w:pPr>
              <w:rPr>
                <w:rFonts w:ascii="Public Sans" w:hAnsi="Public Sans" w:cs="Arial"/>
                <w:sz w:val="17"/>
                <w:szCs w:val="17"/>
                <w:vertAlign w:val="superscript"/>
                <w:lang w:eastAsia="en-AU"/>
              </w:rPr>
            </w:pPr>
            <w:r w:rsidRPr="00367CD6">
              <w:rPr>
                <w:rFonts w:ascii="Public Sans" w:hAnsi="Public Sans" w:cs="Arial"/>
                <w:sz w:val="17"/>
                <w:szCs w:val="17"/>
                <w:lang w:eastAsia="en-AU"/>
              </w:rPr>
              <w:t>Factors affecting superannuation liabilities</w:t>
            </w:r>
            <w:r w:rsidRPr="00367CD6">
              <w:rPr>
                <w:rFonts w:ascii="Public Sans" w:hAnsi="Public Sans" w:cs="Arial"/>
                <w:sz w:val="17"/>
                <w:szCs w:val="17"/>
                <w:vertAlign w:val="superscript"/>
                <w:lang w:eastAsia="en-AU"/>
              </w:rPr>
              <w:t>(b)</w:t>
            </w:r>
          </w:p>
        </w:tc>
        <w:tc>
          <w:tcPr>
            <w:tcW w:w="1018" w:type="dxa"/>
            <w:shd w:val="clear" w:color="auto" w:fill="EBEBEB"/>
            <w:vAlign w:val="bottom"/>
          </w:tcPr>
          <w:p w14:paraId="4203EEE9" w14:textId="1FC83835" w:rsidR="00DD6556" w:rsidRPr="00367CD6" w:rsidRDefault="00DD6556" w:rsidP="00DD6556">
            <w:pPr>
              <w:jc w:val="center"/>
              <w:rPr>
                <w:rFonts w:ascii="Public Sans" w:hAnsi="Public Sans" w:cs="Arial"/>
                <w:sz w:val="17"/>
                <w:szCs w:val="17"/>
                <w:lang w:eastAsia="en-AU"/>
              </w:rPr>
            </w:pPr>
            <w:r w:rsidRPr="00367CD6">
              <w:rPr>
                <w:rFonts w:ascii="Public Sans" w:eastAsia="Arial" w:hAnsi="Public Sans" w:cs="Arial"/>
                <w:sz w:val="17"/>
                <w:szCs w:val="17"/>
              </w:rPr>
              <w:t>2024-25</w:t>
            </w:r>
          </w:p>
        </w:tc>
        <w:tc>
          <w:tcPr>
            <w:tcW w:w="1014" w:type="dxa"/>
            <w:shd w:val="clear" w:color="auto" w:fill="EBEBEB"/>
            <w:vAlign w:val="bottom"/>
          </w:tcPr>
          <w:p w14:paraId="2BF14460" w14:textId="141B6F1A" w:rsidR="00DD6556" w:rsidRPr="00367CD6" w:rsidRDefault="00DD6556" w:rsidP="00DD6556">
            <w:pPr>
              <w:jc w:val="center"/>
              <w:rPr>
                <w:rFonts w:ascii="Public Sans" w:hAnsi="Public Sans" w:cs="Arial"/>
                <w:sz w:val="17"/>
                <w:szCs w:val="17"/>
                <w:lang w:eastAsia="en-AU"/>
              </w:rPr>
            </w:pPr>
            <w:r w:rsidRPr="00367CD6">
              <w:rPr>
                <w:rFonts w:ascii="Public Sans" w:eastAsia="Arial" w:hAnsi="Public Sans" w:cs="Arial"/>
                <w:sz w:val="17"/>
                <w:szCs w:val="17"/>
              </w:rPr>
              <w:t>2025-26</w:t>
            </w:r>
          </w:p>
        </w:tc>
        <w:tc>
          <w:tcPr>
            <w:tcW w:w="1015" w:type="dxa"/>
            <w:shd w:val="clear" w:color="auto" w:fill="EBEBEB"/>
            <w:vAlign w:val="bottom"/>
          </w:tcPr>
          <w:p w14:paraId="61D8E7A5" w14:textId="446C7593" w:rsidR="00DD6556" w:rsidRPr="00367CD6" w:rsidRDefault="00DD6556" w:rsidP="00DD6556">
            <w:pPr>
              <w:jc w:val="center"/>
              <w:rPr>
                <w:rFonts w:ascii="Public Sans" w:hAnsi="Public Sans" w:cs="Arial"/>
                <w:sz w:val="17"/>
                <w:szCs w:val="17"/>
                <w:lang w:eastAsia="en-AU"/>
              </w:rPr>
            </w:pPr>
            <w:r w:rsidRPr="00367CD6">
              <w:rPr>
                <w:rFonts w:ascii="Public Sans" w:eastAsia="Arial" w:hAnsi="Public Sans" w:cs="Arial"/>
                <w:sz w:val="17"/>
                <w:szCs w:val="17"/>
              </w:rPr>
              <w:t>2026-27</w:t>
            </w:r>
          </w:p>
        </w:tc>
        <w:tc>
          <w:tcPr>
            <w:tcW w:w="1015" w:type="dxa"/>
            <w:shd w:val="clear" w:color="auto" w:fill="EBEBEB"/>
            <w:vAlign w:val="bottom"/>
          </w:tcPr>
          <w:p w14:paraId="593B9DCD" w14:textId="3CCD1DE2" w:rsidR="00DD6556" w:rsidRPr="00367CD6" w:rsidRDefault="00DD6556" w:rsidP="00DD6556">
            <w:pPr>
              <w:jc w:val="center"/>
              <w:rPr>
                <w:rFonts w:ascii="Public Sans" w:hAnsi="Public Sans" w:cs="Arial"/>
                <w:sz w:val="17"/>
                <w:szCs w:val="17"/>
                <w:lang w:eastAsia="en-AU"/>
              </w:rPr>
            </w:pPr>
            <w:r w:rsidRPr="00367CD6">
              <w:rPr>
                <w:rFonts w:ascii="Public Sans" w:eastAsia="Arial" w:hAnsi="Public Sans" w:cs="Arial"/>
                <w:sz w:val="17"/>
                <w:szCs w:val="17"/>
              </w:rPr>
              <w:t>2027-28</w:t>
            </w:r>
          </w:p>
        </w:tc>
        <w:tc>
          <w:tcPr>
            <w:tcW w:w="1879" w:type="dxa"/>
            <w:vMerge w:val="restart"/>
            <w:shd w:val="clear" w:color="auto" w:fill="4F4F4F"/>
            <w:vAlign w:val="center"/>
          </w:tcPr>
          <w:p w14:paraId="5F219AC9" w14:textId="77777777" w:rsidR="00DD6556" w:rsidRPr="00367CD6" w:rsidRDefault="00DD6556" w:rsidP="00DD6556">
            <w:pPr>
              <w:jc w:val="center"/>
              <w:rPr>
                <w:rFonts w:ascii="Public Sans" w:hAnsi="Public Sans" w:cs="Arial"/>
                <w:color w:val="FFFFFF" w:themeColor="background1"/>
                <w:sz w:val="17"/>
                <w:szCs w:val="17"/>
                <w:lang w:eastAsia="en-AU"/>
              </w:rPr>
            </w:pPr>
            <w:r w:rsidRPr="00367CD6">
              <w:rPr>
                <w:rFonts w:ascii="Public Sans" w:hAnsi="Public Sans" w:cs="Arial"/>
                <w:color w:val="FFFFFF" w:themeColor="background1"/>
                <w:sz w:val="17"/>
                <w:szCs w:val="17"/>
                <w:lang w:eastAsia="en-AU"/>
              </w:rPr>
              <w:t>Sensitivity</w:t>
            </w:r>
          </w:p>
        </w:tc>
      </w:tr>
      <w:tr w:rsidR="00C31C4B" w:rsidRPr="000D5B9F" w14:paraId="574AF1FA" w14:textId="77777777">
        <w:trPr>
          <w:trHeight w:val="241"/>
        </w:trPr>
        <w:tc>
          <w:tcPr>
            <w:tcW w:w="3914" w:type="dxa"/>
            <w:vMerge/>
            <w:shd w:val="clear" w:color="auto" w:fill="EBEBEB"/>
          </w:tcPr>
          <w:p w14:paraId="43A4A974" w14:textId="77777777" w:rsidR="00C31C4B" w:rsidRPr="00367CD6" w:rsidRDefault="00C31C4B">
            <w:pPr>
              <w:rPr>
                <w:rFonts w:ascii="Public Sans" w:hAnsi="Public Sans"/>
                <w:sz w:val="17"/>
                <w:szCs w:val="17"/>
              </w:rPr>
            </w:pPr>
          </w:p>
        </w:tc>
        <w:tc>
          <w:tcPr>
            <w:tcW w:w="1018" w:type="dxa"/>
            <w:shd w:val="clear" w:color="auto" w:fill="EBEBEB"/>
          </w:tcPr>
          <w:p w14:paraId="1F0592BF" w14:textId="77777777" w:rsidR="00C31C4B" w:rsidRPr="00367CD6" w:rsidRDefault="00C31C4B">
            <w:pPr>
              <w:jc w:val="center"/>
              <w:rPr>
                <w:rFonts w:ascii="Public Sans" w:hAnsi="Public Sans" w:cs="Arial"/>
                <w:sz w:val="17"/>
                <w:szCs w:val="17"/>
                <w:lang w:eastAsia="en-AU"/>
              </w:rPr>
            </w:pPr>
            <w:r w:rsidRPr="00367CD6">
              <w:rPr>
                <w:rFonts w:ascii="Public Sans" w:eastAsia="Arial" w:hAnsi="Public Sans" w:cs="Arial"/>
                <w:sz w:val="17"/>
                <w:szCs w:val="17"/>
              </w:rPr>
              <w:t>Budget</w:t>
            </w:r>
          </w:p>
        </w:tc>
        <w:tc>
          <w:tcPr>
            <w:tcW w:w="3044" w:type="dxa"/>
            <w:gridSpan w:val="3"/>
            <w:shd w:val="clear" w:color="auto" w:fill="EBEBEB"/>
          </w:tcPr>
          <w:p w14:paraId="33DB676E" w14:textId="77777777" w:rsidR="00C31C4B" w:rsidRPr="00367CD6" w:rsidRDefault="00C31C4B">
            <w:pPr>
              <w:jc w:val="center"/>
              <w:rPr>
                <w:rFonts w:ascii="Public Sans" w:hAnsi="Public Sans" w:cs="Arial"/>
                <w:sz w:val="17"/>
                <w:szCs w:val="17"/>
                <w:lang w:eastAsia="en-AU"/>
              </w:rPr>
            </w:pPr>
            <w:r w:rsidRPr="00367CD6">
              <w:rPr>
                <w:rFonts w:ascii="Public Sans" w:eastAsia="Arial" w:hAnsi="Public Sans" w:cs="Arial"/>
                <w:sz w:val="17"/>
                <w:szCs w:val="17"/>
              </w:rPr>
              <w:t>Forward estimates</w:t>
            </w:r>
          </w:p>
        </w:tc>
        <w:tc>
          <w:tcPr>
            <w:tcW w:w="1879" w:type="dxa"/>
            <w:vMerge/>
            <w:shd w:val="clear" w:color="auto" w:fill="4F4F4F"/>
          </w:tcPr>
          <w:p w14:paraId="031BA9BA" w14:textId="77777777" w:rsidR="00C31C4B" w:rsidRPr="00367CD6" w:rsidRDefault="00C31C4B">
            <w:pPr>
              <w:rPr>
                <w:rFonts w:ascii="Public Sans" w:hAnsi="Public Sans"/>
                <w:sz w:val="17"/>
                <w:szCs w:val="17"/>
              </w:rPr>
            </w:pPr>
          </w:p>
        </w:tc>
      </w:tr>
      <w:tr w:rsidR="00C31C4B" w:rsidRPr="000D5B9F" w14:paraId="30EF9744" w14:textId="77777777">
        <w:trPr>
          <w:trHeight w:val="300"/>
        </w:trPr>
        <w:tc>
          <w:tcPr>
            <w:tcW w:w="3914" w:type="dxa"/>
            <w:shd w:val="clear" w:color="auto" w:fill="EBEBEB"/>
          </w:tcPr>
          <w:p w14:paraId="7131E082" w14:textId="77777777" w:rsidR="00C31C4B" w:rsidRPr="00367CD6" w:rsidRDefault="00C31C4B">
            <w:pPr>
              <w:jc w:val="center"/>
              <w:rPr>
                <w:rFonts w:ascii="Public Sans" w:hAnsi="Public Sans" w:cs="Arial"/>
                <w:sz w:val="17"/>
                <w:szCs w:val="17"/>
                <w:lang w:eastAsia="en-AU"/>
              </w:rPr>
            </w:pPr>
          </w:p>
        </w:tc>
        <w:tc>
          <w:tcPr>
            <w:tcW w:w="1018" w:type="dxa"/>
            <w:shd w:val="clear" w:color="auto" w:fill="EBEBEB"/>
          </w:tcPr>
          <w:p w14:paraId="217EC028" w14:textId="77777777" w:rsidR="00C31C4B" w:rsidRPr="00367CD6" w:rsidRDefault="00C31C4B">
            <w:pPr>
              <w:jc w:val="center"/>
              <w:rPr>
                <w:rFonts w:ascii="Public Sans" w:hAnsi="Public Sans" w:cs="Arial"/>
                <w:sz w:val="17"/>
                <w:szCs w:val="17"/>
                <w:lang w:eastAsia="en-AU"/>
              </w:rPr>
            </w:pPr>
            <w:r w:rsidRPr="00367CD6">
              <w:rPr>
                <w:rFonts w:ascii="Public Sans" w:hAnsi="Public Sans" w:cs="Arial"/>
                <w:sz w:val="17"/>
                <w:szCs w:val="17"/>
                <w:lang w:eastAsia="en-AU"/>
              </w:rPr>
              <w:t>$m</w:t>
            </w:r>
          </w:p>
        </w:tc>
        <w:tc>
          <w:tcPr>
            <w:tcW w:w="1014" w:type="dxa"/>
            <w:shd w:val="clear" w:color="auto" w:fill="EBEBEB"/>
          </w:tcPr>
          <w:p w14:paraId="169E8BC9" w14:textId="77777777" w:rsidR="00C31C4B" w:rsidRPr="00367CD6" w:rsidRDefault="00C31C4B">
            <w:pPr>
              <w:jc w:val="center"/>
              <w:rPr>
                <w:rFonts w:ascii="Public Sans" w:hAnsi="Public Sans" w:cs="Arial"/>
                <w:sz w:val="17"/>
                <w:szCs w:val="17"/>
                <w:lang w:eastAsia="en-AU"/>
              </w:rPr>
            </w:pPr>
            <w:r w:rsidRPr="00367CD6">
              <w:rPr>
                <w:rFonts w:ascii="Public Sans" w:hAnsi="Public Sans" w:cs="Arial"/>
                <w:sz w:val="17"/>
                <w:szCs w:val="17"/>
                <w:lang w:eastAsia="en-AU"/>
              </w:rPr>
              <w:t>$m</w:t>
            </w:r>
          </w:p>
        </w:tc>
        <w:tc>
          <w:tcPr>
            <w:tcW w:w="1015" w:type="dxa"/>
            <w:shd w:val="clear" w:color="auto" w:fill="EBEBEB"/>
          </w:tcPr>
          <w:p w14:paraId="5B655BE9" w14:textId="77777777" w:rsidR="00C31C4B" w:rsidRPr="00367CD6" w:rsidRDefault="00C31C4B">
            <w:pPr>
              <w:jc w:val="center"/>
              <w:rPr>
                <w:rFonts w:ascii="Public Sans" w:hAnsi="Public Sans" w:cs="Arial"/>
                <w:sz w:val="17"/>
                <w:szCs w:val="17"/>
                <w:lang w:eastAsia="en-AU"/>
              </w:rPr>
            </w:pPr>
            <w:r w:rsidRPr="00367CD6">
              <w:rPr>
                <w:rFonts w:ascii="Public Sans" w:hAnsi="Public Sans" w:cs="Arial"/>
                <w:sz w:val="17"/>
                <w:szCs w:val="17"/>
                <w:lang w:eastAsia="en-AU"/>
              </w:rPr>
              <w:t>$m</w:t>
            </w:r>
          </w:p>
        </w:tc>
        <w:tc>
          <w:tcPr>
            <w:tcW w:w="1015" w:type="dxa"/>
            <w:shd w:val="clear" w:color="auto" w:fill="EBEBEB"/>
          </w:tcPr>
          <w:p w14:paraId="5A83D4D5" w14:textId="77777777" w:rsidR="00C31C4B" w:rsidRPr="00367CD6" w:rsidRDefault="00C31C4B">
            <w:pPr>
              <w:jc w:val="center"/>
              <w:rPr>
                <w:rFonts w:ascii="Public Sans" w:hAnsi="Public Sans" w:cs="Arial"/>
                <w:sz w:val="17"/>
                <w:szCs w:val="17"/>
                <w:lang w:eastAsia="en-AU"/>
              </w:rPr>
            </w:pPr>
            <w:r w:rsidRPr="00367CD6">
              <w:rPr>
                <w:rFonts w:ascii="Public Sans" w:hAnsi="Public Sans" w:cs="Arial"/>
                <w:sz w:val="17"/>
                <w:szCs w:val="17"/>
                <w:lang w:eastAsia="en-AU"/>
              </w:rPr>
              <w:t>$m</w:t>
            </w:r>
          </w:p>
        </w:tc>
        <w:tc>
          <w:tcPr>
            <w:tcW w:w="1879" w:type="dxa"/>
            <w:vMerge/>
            <w:shd w:val="clear" w:color="auto" w:fill="4F4F4F"/>
          </w:tcPr>
          <w:p w14:paraId="0E88CB65" w14:textId="77777777" w:rsidR="00C31C4B" w:rsidRPr="00367CD6" w:rsidRDefault="00C31C4B">
            <w:pPr>
              <w:rPr>
                <w:rFonts w:ascii="Public Sans" w:hAnsi="Public Sans"/>
                <w:sz w:val="17"/>
                <w:szCs w:val="17"/>
              </w:rPr>
            </w:pPr>
          </w:p>
        </w:tc>
      </w:tr>
      <w:tr w:rsidR="00C31C4B" w:rsidRPr="000D5B9F" w14:paraId="017A5006" w14:textId="77777777" w:rsidTr="000D6017">
        <w:trPr>
          <w:trHeight w:val="304"/>
        </w:trPr>
        <w:tc>
          <w:tcPr>
            <w:tcW w:w="3914" w:type="dxa"/>
            <w:shd w:val="clear" w:color="auto" w:fill="auto"/>
            <w:vAlign w:val="center"/>
          </w:tcPr>
          <w:p w14:paraId="728AE0AB" w14:textId="77777777" w:rsidR="00C31C4B" w:rsidRPr="00367CD6" w:rsidRDefault="00C31C4B">
            <w:pPr>
              <w:rPr>
                <w:rFonts w:ascii="Public Sans" w:hAnsi="Public Sans" w:cs="Arial"/>
                <w:b/>
                <w:sz w:val="16"/>
                <w:szCs w:val="16"/>
              </w:rPr>
            </w:pPr>
            <w:r w:rsidRPr="00367CD6">
              <w:rPr>
                <w:rFonts w:ascii="Public Sans" w:hAnsi="Public Sans" w:cs="Arial"/>
                <w:sz w:val="16"/>
                <w:szCs w:val="16"/>
              </w:rPr>
              <w:t>Change in public sector wages and salaries</w:t>
            </w:r>
          </w:p>
        </w:tc>
        <w:tc>
          <w:tcPr>
            <w:tcW w:w="1018" w:type="dxa"/>
            <w:vAlign w:val="center"/>
          </w:tcPr>
          <w:p w14:paraId="54D9FF93" w14:textId="6D045D5D" w:rsidR="00C31C4B" w:rsidRPr="00367CD6" w:rsidRDefault="009241BD"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50</w:t>
            </w:r>
          </w:p>
        </w:tc>
        <w:tc>
          <w:tcPr>
            <w:tcW w:w="1014" w:type="dxa"/>
            <w:shd w:val="clear" w:color="auto" w:fill="auto"/>
            <w:vAlign w:val="center"/>
          </w:tcPr>
          <w:p w14:paraId="4A2E8331" w14:textId="297B3655" w:rsidR="00C31C4B" w:rsidRPr="00367CD6" w:rsidRDefault="009241BD"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80</w:t>
            </w:r>
          </w:p>
        </w:tc>
        <w:tc>
          <w:tcPr>
            <w:tcW w:w="1015" w:type="dxa"/>
            <w:shd w:val="clear" w:color="auto" w:fill="auto"/>
            <w:vAlign w:val="center"/>
          </w:tcPr>
          <w:p w14:paraId="756BD201" w14:textId="6FB53FBB" w:rsidR="00C31C4B" w:rsidRPr="00367CD6" w:rsidRDefault="006441D8" w:rsidP="00592CD5">
            <w:pPr>
              <w:ind w:right="170"/>
              <w:jc w:val="center"/>
              <w:rPr>
                <w:rFonts w:ascii="Public Sans" w:eastAsia="Arial" w:hAnsi="Public Sans" w:cs="Arial"/>
                <w:sz w:val="16"/>
                <w:szCs w:val="16"/>
              </w:rPr>
            </w:pPr>
            <w:r w:rsidRPr="00367CD6">
              <w:rPr>
                <w:rFonts w:ascii="Public Sans" w:eastAsia="Arial" w:hAnsi="Public Sans" w:cs="Arial"/>
                <w:sz w:val="16"/>
                <w:szCs w:val="16"/>
              </w:rPr>
              <w:t xml:space="preserve">       </w:t>
            </w:r>
            <w:r w:rsidR="009241BD" w:rsidRPr="00367CD6">
              <w:rPr>
                <w:rFonts w:ascii="Public Sans" w:eastAsia="Arial" w:hAnsi="Public Sans" w:cs="Arial"/>
                <w:sz w:val="16"/>
                <w:szCs w:val="16"/>
              </w:rPr>
              <w:t>120</w:t>
            </w:r>
          </w:p>
        </w:tc>
        <w:tc>
          <w:tcPr>
            <w:tcW w:w="1015" w:type="dxa"/>
            <w:shd w:val="clear" w:color="auto" w:fill="auto"/>
            <w:vAlign w:val="center"/>
          </w:tcPr>
          <w:p w14:paraId="44645D16" w14:textId="6C287855" w:rsidR="00C31C4B" w:rsidRPr="00367CD6" w:rsidRDefault="009241BD"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160</w:t>
            </w:r>
          </w:p>
        </w:tc>
        <w:tc>
          <w:tcPr>
            <w:tcW w:w="1879" w:type="dxa"/>
            <w:vMerge w:val="restart"/>
            <w:shd w:val="clear" w:color="auto" w:fill="auto"/>
            <w:vAlign w:val="center"/>
          </w:tcPr>
          <w:p w14:paraId="5953DE0C" w14:textId="77777777" w:rsidR="00C31C4B" w:rsidRPr="00367CD6" w:rsidRDefault="00C31C4B">
            <w:pPr>
              <w:jc w:val="center"/>
              <w:rPr>
                <w:rFonts w:ascii="Public Sans" w:hAnsi="Public Sans" w:cs="Arial"/>
                <w:sz w:val="16"/>
                <w:szCs w:val="16"/>
              </w:rPr>
            </w:pPr>
            <w:r w:rsidRPr="00367CD6">
              <w:rPr>
                <w:rFonts w:ascii="Public Sans" w:hAnsi="Public Sans" w:cs="Arial"/>
                <w:sz w:val="16"/>
                <w:szCs w:val="16"/>
              </w:rPr>
              <w:t>Single percentage point increase in factor</w:t>
            </w:r>
          </w:p>
        </w:tc>
      </w:tr>
      <w:tr w:rsidR="00C31C4B" w:rsidRPr="000D5B9F" w14:paraId="653C551F" w14:textId="77777777" w:rsidTr="000D6017">
        <w:trPr>
          <w:trHeight w:val="304"/>
        </w:trPr>
        <w:tc>
          <w:tcPr>
            <w:tcW w:w="3914" w:type="dxa"/>
            <w:shd w:val="clear" w:color="auto" w:fill="auto"/>
            <w:vAlign w:val="center"/>
          </w:tcPr>
          <w:p w14:paraId="4C5CAB9A" w14:textId="77777777" w:rsidR="00C31C4B" w:rsidRPr="00367CD6" w:rsidRDefault="00C31C4B">
            <w:pPr>
              <w:rPr>
                <w:rFonts w:ascii="Public Sans" w:hAnsi="Public Sans"/>
                <w:sz w:val="16"/>
                <w:szCs w:val="16"/>
              </w:rPr>
            </w:pPr>
            <w:r w:rsidRPr="00367CD6">
              <w:rPr>
                <w:rFonts w:ascii="Public Sans" w:hAnsi="Public Sans" w:cs="Arial"/>
                <w:sz w:val="16"/>
                <w:szCs w:val="16"/>
              </w:rPr>
              <w:t>Change in Sydney CPI</w:t>
            </w:r>
          </w:p>
        </w:tc>
        <w:tc>
          <w:tcPr>
            <w:tcW w:w="1018" w:type="dxa"/>
            <w:vAlign w:val="center"/>
          </w:tcPr>
          <w:p w14:paraId="1A302058" w14:textId="712142DE" w:rsidR="00C31C4B" w:rsidRPr="00367CD6" w:rsidRDefault="009241BD"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570</w:t>
            </w:r>
          </w:p>
        </w:tc>
        <w:tc>
          <w:tcPr>
            <w:tcW w:w="1014" w:type="dxa"/>
            <w:shd w:val="clear" w:color="auto" w:fill="auto"/>
            <w:vAlign w:val="center"/>
          </w:tcPr>
          <w:p w14:paraId="43559667" w14:textId="78019836" w:rsidR="00C31C4B" w:rsidRPr="00367CD6" w:rsidRDefault="009241BD"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1,160</w:t>
            </w:r>
          </w:p>
        </w:tc>
        <w:tc>
          <w:tcPr>
            <w:tcW w:w="1015" w:type="dxa"/>
            <w:shd w:val="clear" w:color="auto" w:fill="auto"/>
            <w:vAlign w:val="center"/>
          </w:tcPr>
          <w:p w14:paraId="4577BD5E" w14:textId="392DDA20" w:rsidR="00C31C4B" w:rsidRPr="00367CD6" w:rsidRDefault="006441D8"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1,720</w:t>
            </w:r>
          </w:p>
        </w:tc>
        <w:tc>
          <w:tcPr>
            <w:tcW w:w="1015" w:type="dxa"/>
            <w:shd w:val="clear" w:color="auto" w:fill="auto"/>
            <w:vAlign w:val="center"/>
          </w:tcPr>
          <w:p w14:paraId="1DA891B9" w14:textId="776ECB7D" w:rsidR="00C31C4B" w:rsidRPr="00367CD6" w:rsidRDefault="00DB05D5"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2,410</w:t>
            </w:r>
          </w:p>
        </w:tc>
        <w:tc>
          <w:tcPr>
            <w:tcW w:w="1879" w:type="dxa"/>
            <w:vMerge/>
            <w:shd w:val="clear" w:color="auto" w:fill="auto"/>
            <w:vAlign w:val="center"/>
          </w:tcPr>
          <w:p w14:paraId="66EB2020" w14:textId="77777777" w:rsidR="00C31C4B" w:rsidRPr="00367CD6" w:rsidRDefault="00C31C4B">
            <w:pPr>
              <w:jc w:val="right"/>
              <w:rPr>
                <w:rFonts w:ascii="Public Sans" w:hAnsi="Public Sans"/>
                <w:sz w:val="16"/>
                <w:szCs w:val="16"/>
              </w:rPr>
            </w:pPr>
          </w:p>
        </w:tc>
      </w:tr>
      <w:tr w:rsidR="00C31C4B" w:rsidRPr="000D5B9F" w14:paraId="45309731" w14:textId="77777777" w:rsidTr="000D6017">
        <w:trPr>
          <w:trHeight w:val="304"/>
        </w:trPr>
        <w:tc>
          <w:tcPr>
            <w:tcW w:w="3914" w:type="dxa"/>
            <w:shd w:val="clear" w:color="auto" w:fill="auto"/>
            <w:vAlign w:val="center"/>
          </w:tcPr>
          <w:p w14:paraId="569A7CDF" w14:textId="77777777" w:rsidR="00C31C4B" w:rsidRPr="00367CD6" w:rsidRDefault="00C31C4B">
            <w:pPr>
              <w:rPr>
                <w:rFonts w:ascii="Public Sans" w:hAnsi="Public Sans" w:cs="Arial"/>
                <w:sz w:val="16"/>
                <w:szCs w:val="16"/>
                <w:vertAlign w:val="superscript"/>
              </w:rPr>
            </w:pPr>
            <w:r w:rsidRPr="00367CD6">
              <w:rPr>
                <w:rFonts w:ascii="Public Sans" w:hAnsi="Public Sans" w:cs="Arial"/>
                <w:sz w:val="16"/>
                <w:szCs w:val="16"/>
              </w:rPr>
              <w:t>Change in investment return</w:t>
            </w:r>
          </w:p>
        </w:tc>
        <w:tc>
          <w:tcPr>
            <w:tcW w:w="1018" w:type="dxa"/>
            <w:vAlign w:val="center"/>
          </w:tcPr>
          <w:p w14:paraId="7FB56574" w14:textId="4952B029" w:rsidR="00C31C4B" w:rsidRPr="00367CD6" w:rsidRDefault="006C3D5A"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(290)</w:t>
            </w:r>
          </w:p>
        </w:tc>
        <w:tc>
          <w:tcPr>
            <w:tcW w:w="1014" w:type="dxa"/>
            <w:shd w:val="clear" w:color="auto" w:fill="auto"/>
            <w:vAlign w:val="center"/>
          </w:tcPr>
          <w:p w14:paraId="6D02094D" w14:textId="3488471C" w:rsidR="00C31C4B" w:rsidRPr="00367CD6" w:rsidRDefault="006C3D5A"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(620)</w:t>
            </w:r>
          </w:p>
        </w:tc>
        <w:tc>
          <w:tcPr>
            <w:tcW w:w="1015" w:type="dxa"/>
            <w:shd w:val="clear" w:color="auto" w:fill="auto"/>
            <w:vAlign w:val="center"/>
          </w:tcPr>
          <w:p w14:paraId="022BBA0D" w14:textId="402876EE" w:rsidR="00C31C4B" w:rsidRPr="00367CD6" w:rsidRDefault="006C3D5A"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(980)</w:t>
            </w:r>
          </w:p>
        </w:tc>
        <w:tc>
          <w:tcPr>
            <w:tcW w:w="1015" w:type="dxa"/>
            <w:shd w:val="clear" w:color="auto" w:fill="auto"/>
            <w:vAlign w:val="center"/>
          </w:tcPr>
          <w:p w14:paraId="628D2790" w14:textId="3547AA12" w:rsidR="00C31C4B" w:rsidRPr="00367CD6" w:rsidRDefault="006C3D5A"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(1,350)</w:t>
            </w:r>
          </w:p>
        </w:tc>
        <w:tc>
          <w:tcPr>
            <w:tcW w:w="1879" w:type="dxa"/>
            <w:vMerge/>
            <w:shd w:val="clear" w:color="auto" w:fill="auto"/>
            <w:vAlign w:val="center"/>
          </w:tcPr>
          <w:p w14:paraId="5C33AAE9" w14:textId="77777777" w:rsidR="00C31C4B" w:rsidRPr="00367CD6" w:rsidRDefault="00C31C4B">
            <w:pPr>
              <w:jc w:val="right"/>
              <w:rPr>
                <w:rFonts w:ascii="Public Sans" w:hAnsi="Public Sans"/>
                <w:sz w:val="16"/>
                <w:szCs w:val="16"/>
              </w:rPr>
            </w:pPr>
          </w:p>
        </w:tc>
      </w:tr>
      <w:tr w:rsidR="00C31C4B" w:rsidRPr="000D5B9F" w14:paraId="7D131B6D" w14:textId="77777777" w:rsidTr="000D6017">
        <w:trPr>
          <w:trHeight w:val="304"/>
        </w:trPr>
        <w:tc>
          <w:tcPr>
            <w:tcW w:w="3914" w:type="dxa"/>
            <w:tcBorders>
              <w:bottom w:val="single" w:sz="4" w:space="0" w:color="auto"/>
            </w:tcBorders>
            <w:shd w:val="clear" w:color="auto" w:fill="auto"/>
            <w:vAlign w:val="center"/>
          </w:tcPr>
          <w:p w14:paraId="742517E0" w14:textId="77777777" w:rsidR="00C31C4B" w:rsidRPr="00367CD6" w:rsidRDefault="00C31C4B">
            <w:pPr>
              <w:rPr>
                <w:rFonts w:ascii="Public Sans" w:hAnsi="Public Sans"/>
                <w:sz w:val="16"/>
                <w:szCs w:val="16"/>
              </w:rPr>
            </w:pPr>
            <w:r w:rsidRPr="00367CD6">
              <w:rPr>
                <w:rFonts w:ascii="Public Sans" w:hAnsi="Public Sans" w:cs="Arial"/>
                <w:sz w:val="16"/>
                <w:szCs w:val="16"/>
              </w:rPr>
              <w:t>Change in discount rate</w:t>
            </w:r>
          </w:p>
        </w:tc>
        <w:tc>
          <w:tcPr>
            <w:tcW w:w="1018" w:type="dxa"/>
            <w:tcBorders>
              <w:bottom w:val="single" w:sz="4" w:space="0" w:color="auto"/>
            </w:tcBorders>
            <w:vAlign w:val="center"/>
          </w:tcPr>
          <w:p w14:paraId="4E11EDDA" w14:textId="40FD3C62" w:rsidR="00C31C4B" w:rsidRPr="00367CD6" w:rsidRDefault="0087553E"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(5,900)</w:t>
            </w:r>
          </w:p>
        </w:tc>
        <w:tc>
          <w:tcPr>
            <w:tcW w:w="1014" w:type="dxa"/>
            <w:tcBorders>
              <w:bottom w:val="single" w:sz="4" w:space="0" w:color="auto"/>
            </w:tcBorders>
            <w:shd w:val="clear" w:color="auto" w:fill="auto"/>
            <w:vAlign w:val="center"/>
          </w:tcPr>
          <w:p w14:paraId="20DE993E" w14:textId="77777777" w:rsidR="00C31C4B" w:rsidRPr="00367CD6" w:rsidRDefault="00C31C4B" w:rsidP="000D6017">
            <w:pPr>
              <w:ind w:right="170"/>
              <w:jc w:val="right"/>
              <w:rPr>
                <w:rFonts w:ascii="Public Sans" w:eastAsia="Arial" w:hAnsi="Public Sans" w:cs="Arial"/>
                <w:sz w:val="16"/>
                <w:szCs w:val="16"/>
              </w:rPr>
            </w:pPr>
          </w:p>
        </w:tc>
        <w:tc>
          <w:tcPr>
            <w:tcW w:w="1015" w:type="dxa"/>
            <w:tcBorders>
              <w:bottom w:val="single" w:sz="4" w:space="0" w:color="auto"/>
            </w:tcBorders>
            <w:shd w:val="clear" w:color="auto" w:fill="auto"/>
            <w:vAlign w:val="center"/>
          </w:tcPr>
          <w:p w14:paraId="16A99939" w14:textId="77777777" w:rsidR="00C31C4B" w:rsidRPr="00367CD6" w:rsidRDefault="00C31C4B" w:rsidP="000D6017">
            <w:pPr>
              <w:ind w:right="170"/>
              <w:jc w:val="right"/>
              <w:rPr>
                <w:rFonts w:ascii="Public Sans" w:eastAsia="Arial" w:hAnsi="Public Sans" w:cs="Arial"/>
                <w:sz w:val="16"/>
                <w:szCs w:val="16"/>
              </w:rPr>
            </w:pPr>
          </w:p>
        </w:tc>
        <w:tc>
          <w:tcPr>
            <w:tcW w:w="1015" w:type="dxa"/>
            <w:tcBorders>
              <w:bottom w:val="single" w:sz="4" w:space="0" w:color="auto"/>
            </w:tcBorders>
            <w:shd w:val="clear" w:color="auto" w:fill="auto"/>
            <w:vAlign w:val="center"/>
          </w:tcPr>
          <w:p w14:paraId="0367CDF1" w14:textId="77777777" w:rsidR="00C31C4B" w:rsidRPr="00367CD6" w:rsidRDefault="00C31C4B" w:rsidP="000D6017">
            <w:pPr>
              <w:ind w:right="170"/>
              <w:jc w:val="right"/>
              <w:rPr>
                <w:rFonts w:ascii="Public Sans" w:eastAsia="Arial" w:hAnsi="Public Sans" w:cs="Arial"/>
                <w:sz w:val="16"/>
                <w:szCs w:val="16"/>
              </w:rPr>
            </w:pPr>
          </w:p>
        </w:tc>
        <w:tc>
          <w:tcPr>
            <w:tcW w:w="1879" w:type="dxa"/>
            <w:shd w:val="clear" w:color="auto" w:fill="auto"/>
            <w:vAlign w:val="center"/>
          </w:tcPr>
          <w:p w14:paraId="40544CCD" w14:textId="77777777" w:rsidR="00C31C4B" w:rsidRPr="00367CD6" w:rsidRDefault="00C31C4B">
            <w:pPr>
              <w:jc w:val="right"/>
              <w:rPr>
                <w:rFonts w:ascii="Public Sans" w:hAnsi="Public Sans"/>
                <w:sz w:val="16"/>
                <w:szCs w:val="16"/>
              </w:rPr>
            </w:pPr>
          </w:p>
        </w:tc>
      </w:tr>
      <w:tr w:rsidR="00C31C4B" w:rsidRPr="000D5B9F" w14:paraId="1B72610D" w14:textId="77777777" w:rsidTr="000D6017">
        <w:trPr>
          <w:trHeight w:val="300"/>
        </w:trPr>
        <w:tc>
          <w:tcPr>
            <w:tcW w:w="3914" w:type="dxa"/>
            <w:tcBorders>
              <w:top w:val="single" w:sz="4" w:space="0" w:color="auto"/>
            </w:tcBorders>
            <w:shd w:val="clear" w:color="auto" w:fill="auto"/>
            <w:vAlign w:val="center"/>
          </w:tcPr>
          <w:p w14:paraId="61102553" w14:textId="77777777" w:rsidR="00C31C4B" w:rsidRPr="00367CD6" w:rsidRDefault="00C31C4B">
            <w:pPr>
              <w:rPr>
                <w:rFonts w:ascii="Public Sans" w:hAnsi="Public Sans" w:cs="Arial"/>
                <w:b/>
                <w:sz w:val="16"/>
                <w:szCs w:val="16"/>
              </w:rPr>
            </w:pPr>
            <w:r w:rsidRPr="00367CD6">
              <w:rPr>
                <w:rFonts w:ascii="Public Sans" w:hAnsi="Public Sans" w:cs="Arial"/>
                <w:sz w:val="16"/>
                <w:szCs w:val="16"/>
              </w:rPr>
              <w:t>Change in public sector wages and salaries</w:t>
            </w:r>
          </w:p>
        </w:tc>
        <w:tc>
          <w:tcPr>
            <w:tcW w:w="1018" w:type="dxa"/>
            <w:tcBorders>
              <w:top w:val="nil"/>
              <w:left w:val="nil"/>
              <w:bottom w:val="nil"/>
              <w:right w:val="nil"/>
            </w:tcBorders>
            <w:shd w:val="clear" w:color="auto" w:fill="auto"/>
            <w:vAlign w:val="center"/>
          </w:tcPr>
          <w:p w14:paraId="4374BD64" w14:textId="03D8456C" w:rsidR="00C31C4B" w:rsidRPr="00367CD6" w:rsidRDefault="008429D1"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(50)</w:t>
            </w:r>
          </w:p>
        </w:tc>
        <w:tc>
          <w:tcPr>
            <w:tcW w:w="1014" w:type="dxa"/>
            <w:tcBorders>
              <w:top w:val="nil"/>
              <w:left w:val="nil"/>
              <w:bottom w:val="nil"/>
              <w:right w:val="nil"/>
            </w:tcBorders>
            <w:shd w:val="clear" w:color="auto" w:fill="auto"/>
            <w:vAlign w:val="center"/>
          </w:tcPr>
          <w:p w14:paraId="70926FCE" w14:textId="10288D32" w:rsidR="00C31C4B" w:rsidRPr="00367CD6" w:rsidRDefault="008429D1"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(80)</w:t>
            </w:r>
          </w:p>
        </w:tc>
        <w:tc>
          <w:tcPr>
            <w:tcW w:w="1015" w:type="dxa"/>
            <w:tcBorders>
              <w:top w:val="nil"/>
              <w:left w:val="nil"/>
              <w:bottom w:val="nil"/>
              <w:right w:val="nil"/>
            </w:tcBorders>
            <w:shd w:val="clear" w:color="auto" w:fill="auto"/>
            <w:vAlign w:val="center"/>
          </w:tcPr>
          <w:p w14:paraId="3CD820CE" w14:textId="1125D1B0" w:rsidR="00C31C4B" w:rsidRPr="00367CD6" w:rsidRDefault="008429D1"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(110)</w:t>
            </w:r>
          </w:p>
        </w:tc>
        <w:tc>
          <w:tcPr>
            <w:tcW w:w="1015" w:type="dxa"/>
            <w:tcBorders>
              <w:top w:val="nil"/>
              <w:left w:val="nil"/>
              <w:bottom w:val="nil"/>
              <w:right w:val="nil"/>
            </w:tcBorders>
            <w:shd w:val="clear" w:color="auto" w:fill="auto"/>
            <w:vAlign w:val="center"/>
          </w:tcPr>
          <w:p w14:paraId="4A6F5920" w14:textId="0B105AD1" w:rsidR="00C31C4B" w:rsidRPr="00367CD6" w:rsidRDefault="008429D1"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(150)</w:t>
            </w:r>
          </w:p>
        </w:tc>
        <w:tc>
          <w:tcPr>
            <w:tcW w:w="1879" w:type="dxa"/>
            <w:vMerge w:val="restart"/>
            <w:tcBorders>
              <w:top w:val="single" w:sz="4" w:space="0" w:color="auto"/>
            </w:tcBorders>
            <w:shd w:val="clear" w:color="auto" w:fill="auto"/>
            <w:vAlign w:val="center"/>
          </w:tcPr>
          <w:p w14:paraId="2CBAF5BF" w14:textId="77777777" w:rsidR="00C31C4B" w:rsidRPr="00367CD6" w:rsidRDefault="00C31C4B">
            <w:pPr>
              <w:jc w:val="center"/>
              <w:rPr>
                <w:rFonts w:ascii="Public Sans" w:hAnsi="Public Sans"/>
                <w:sz w:val="16"/>
                <w:szCs w:val="16"/>
              </w:rPr>
            </w:pPr>
            <w:r w:rsidRPr="00367CD6">
              <w:rPr>
                <w:rFonts w:ascii="Public Sans" w:hAnsi="Public Sans" w:cs="Arial"/>
                <w:sz w:val="16"/>
                <w:szCs w:val="16"/>
              </w:rPr>
              <w:t>Single percentage point decrease in factor</w:t>
            </w:r>
          </w:p>
        </w:tc>
      </w:tr>
      <w:tr w:rsidR="00C31C4B" w:rsidRPr="000D5B9F" w14:paraId="3EBF8DE4" w14:textId="77777777" w:rsidTr="000D6017">
        <w:trPr>
          <w:trHeight w:val="300"/>
        </w:trPr>
        <w:tc>
          <w:tcPr>
            <w:tcW w:w="3914" w:type="dxa"/>
            <w:shd w:val="clear" w:color="auto" w:fill="auto"/>
            <w:vAlign w:val="center"/>
          </w:tcPr>
          <w:p w14:paraId="0E020033" w14:textId="77777777" w:rsidR="00C31C4B" w:rsidRPr="00367CD6" w:rsidRDefault="00C31C4B">
            <w:pPr>
              <w:rPr>
                <w:rFonts w:ascii="Public Sans" w:hAnsi="Public Sans"/>
                <w:sz w:val="16"/>
                <w:szCs w:val="16"/>
              </w:rPr>
            </w:pPr>
            <w:r w:rsidRPr="00367CD6">
              <w:rPr>
                <w:rFonts w:ascii="Public Sans" w:hAnsi="Public Sans" w:cs="Arial"/>
                <w:sz w:val="16"/>
                <w:szCs w:val="16"/>
              </w:rPr>
              <w:t>Change in Sydney CPI</w:t>
            </w:r>
          </w:p>
        </w:tc>
        <w:tc>
          <w:tcPr>
            <w:tcW w:w="1018" w:type="dxa"/>
            <w:tcBorders>
              <w:top w:val="nil"/>
              <w:left w:val="nil"/>
              <w:bottom w:val="nil"/>
              <w:right w:val="nil"/>
            </w:tcBorders>
            <w:shd w:val="clear" w:color="auto" w:fill="auto"/>
            <w:vAlign w:val="center"/>
          </w:tcPr>
          <w:p w14:paraId="7DCE5B26" w14:textId="41EEF0BA" w:rsidR="00C31C4B" w:rsidRPr="00367CD6" w:rsidRDefault="005705DF"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(570)</w:t>
            </w:r>
          </w:p>
        </w:tc>
        <w:tc>
          <w:tcPr>
            <w:tcW w:w="1014" w:type="dxa"/>
            <w:tcBorders>
              <w:top w:val="nil"/>
              <w:left w:val="nil"/>
              <w:bottom w:val="nil"/>
              <w:right w:val="nil"/>
            </w:tcBorders>
            <w:shd w:val="clear" w:color="auto" w:fill="auto"/>
            <w:vAlign w:val="center"/>
          </w:tcPr>
          <w:p w14:paraId="708BAA9A" w14:textId="2FC8BA11" w:rsidR="00C31C4B" w:rsidRPr="00367CD6" w:rsidRDefault="005705DF"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(1,150)</w:t>
            </w:r>
          </w:p>
        </w:tc>
        <w:tc>
          <w:tcPr>
            <w:tcW w:w="1015" w:type="dxa"/>
            <w:tcBorders>
              <w:top w:val="nil"/>
              <w:left w:val="nil"/>
              <w:bottom w:val="nil"/>
              <w:right w:val="nil"/>
            </w:tcBorders>
            <w:shd w:val="clear" w:color="auto" w:fill="auto"/>
            <w:vAlign w:val="center"/>
          </w:tcPr>
          <w:p w14:paraId="391CC211" w14:textId="368DEAAC" w:rsidR="00C31C4B" w:rsidRPr="00367CD6" w:rsidRDefault="005705DF"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(1,700)</w:t>
            </w:r>
          </w:p>
        </w:tc>
        <w:tc>
          <w:tcPr>
            <w:tcW w:w="1015" w:type="dxa"/>
            <w:tcBorders>
              <w:top w:val="nil"/>
              <w:left w:val="nil"/>
              <w:bottom w:val="nil"/>
              <w:right w:val="nil"/>
            </w:tcBorders>
            <w:shd w:val="clear" w:color="auto" w:fill="auto"/>
            <w:vAlign w:val="center"/>
          </w:tcPr>
          <w:p w14:paraId="1F4DE437" w14:textId="5ABCDA38" w:rsidR="00C31C4B" w:rsidRPr="00367CD6" w:rsidRDefault="00184D2F"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(2,370)</w:t>
            </w:r>
          </w:p>
        </w:tc>
        <w:tc>
          <w:tcPr>
            <w:tcW w:w="1879" w:type="dxa"/>
            <w:vMerge/>
            <w:shd w:val="clear" w:color="auto" w:fill="auto"/>
          </w:tcPr>
          <w:p w14:paraId="0A38C3E3" w14:textId="77777777" w:rsidR="00C31C4B" w:rsidRPr="00367CD6" w:rsidRDefault="00C31C4B">
            <w:pPr>
              <w:rPr>
                <w:rFonts w:ascii="Public Sans" w:hAnsi="Public Sans"/>
                <w:sz w:val="16"/>
                <w:szCs w:val="16"/>
              </w:rPr>
            </w:pPr>
          </w:p>
        </w:tc>
      </w:tr>
      <w:tr w:rsidR="00C31C4B" w:rsidRPr="000D5B9F" w14:paraId="1367D141" w14:textId="77777777" w:rsidTr="000D6017">
        <w:trPr>
          <w:trHeight w:val="300"/>
        </w:trPr>
        <w:tc>
          <w:tcPr>
            <w:tcW w:w="3914" w:type="dxa"/>
            <w:shd w:val="clear" w:color="auto" w:fill="auto"/>
            <w:vAlign w:val="center"/>
          </w:tcPr>
          <w:p w14:paraId="55B34708" w14:textId="77777777" w:rsidR="00C31C4B" w:rsidRPr="00367CD6" w:rsidRDefault="00C31C4B">
            <w:pPr>
              <w:rPr>
                <w:rFonts w:ascii="Public Sans" w:hAnsi="Public Sans" w:cs="Arial"/>
                <w:sz w:val="16"/>
                <w:szCs w:val="16"/>
                <w:vertAlign w:val="superscript"/>
              </w:rPr>
            </w:pPr>
            <w:r w:rsidRPr="00367CD6">
              <w:rPr>
                <w:rFonts w:ascii="Public Sans" w:hAnsi="Public Sans" w:cs="Arial"/>
                <w:sz w:val="16"/>
                <w:szCs w:val="16"/>
              </w:rPr>
              <w:t>Change in investment return</w:t>
            </w:r>
          </w:p>
        </w:tc>
        <w:tc>
          <w:tcPr>
            <w:tcW w:w="1018" w:type="dxa"/>
            <w:tcBorders>
              <w:top w:val="nil"/>
              <w:left w:val="nil"/>
              <w:bottom w:val="nil"/>
              <w:right w:val="nil"/>
            </w:tcBorders>
            <w:shd w:val="clear" w:color="auto" w:fill="auto"/>
            <w:vAlign w:val="center"/>
          </w:tcPr>
          <w:p w14:paraId="59B8EAA0" w14:textId="4829E88A" w:rsidR="00C31C4B" w:rsidRPr="00367CD6" w:rsidRDefault="007A598F"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290</w:t>
            </w:r>
          </w:p>
        </w:tc>
        <w:tc>
          <w:tcPr>
            <w:tcW w:w="1014" w:type="dxa"/>
            <w:tcBorders>
              <w:top w:val="nil"/>
              <w:left w:val="nil"/>
              <w:bottom w:val="nil"/>
              <w:right w:val="nil"/>
            </w:tcBorders>
            <w:shd w:val="clear" w:color="auto" w:fill="auto"/>
            <w:vAlign w:val="center"/>
          </w:tcPr>
          <w:p w14:paraId="260DEB78" w14:textId="248373AD" w:rsidR="00C31C4B" w:rsidRPr="00367CD6" w:rsidRDefault="00AA2221"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610</w:t>
            </w:r>
          </w:p>
        </w:tc>
        <w:tc>
          <w:tcPr>
            <w:tcW w:w="1015" w:type="dxa"/>
            <w:tcBorders>
              <w:top w:val="nil"/>
              <w:left w:val="nil"/>
              <w:bottom w:val="nil"/>
              <w:right w:val="nil"/>
            </w:tcBorders>
            <w:shd w:val="clear" w:color="auto" w:fill="auto"/>
            <w:vAlign w:val="center"/>
          </w:tcPr>
          <w:p w14:paraId="7F0F3148" w14:textId="20425296" w:rsidR="00C31C4B" w:rsidRPr="00367CD6" w:rsidRDefault="00FE1F8B"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960</w:t>
            </w:r>
          </w:p>
        </w:tc>
        <w:tc>
          <w:tcPr>
            <w:tcW w:w="1015" w:type="dxa"/>
            <w:tcBorders>
              <w:top w:val="nil"/>
              <w:left w:val="nil"/>
              <w:bottom w:val="nil"/>
              <w:right w:val="nil"/>
            </w:tcBorders>
            <w:shd w:val="clear" w:color="auto" w:fill="auto"/>
            <w:vAlign w:val="center"/>
          </w:tcPr>
          <w:p w14:paraId="04E29D6F" w14:textId="34B62833" w:rsidR="00C31C4B" w:rsidRPr="00367CD6" w:rsidRDefault="00B04A90"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1,300</w:t>
            </w:r>
          </w:p>
        </w:tc>
        <w:tc>
          <w:tcPr>
            <w:tcW w:w="1879" w:type="dxa"/>
            <w:vMerge/>
            <w:shd w:val="clear" w:color="auto" w:fill="auto"/>
          </w:tcPr>
          <w:p w14:paraId="04BE4B9F" w14:textId="77777777" w:rsidR="00C31C4B" w:rsidRPr="00367CD6" w:rsidRDefault="00C31C4B">
            <w:pPr>
              <w:rPr>
                <w:rFonts w:ascii="Public Sans" w:hAnsi="Public Sans"/>
                <w:sz w:val="16"/>
                <w:szCs w:val="16"/>
              </w:rPr>
            </w:pPr>
          </w:p>
        </w:tc>
      </w:tr>
      <w:tr w:rsidR="00C31C4B" w:rsidRPr="000D5B9F" w14:paraId="51AD62E3" w14:textId="77777777" w:rsidTr="000D6017">
        <w:trPr>
          <w:trHeight w:val="300"/>
        </w:trPr>
        <w:tc>
          <w:tcPr>
            <w:tcW w:w="3914" w:type="dxa"/>
            <w:tcBorders>
              <w:bottom w:val="single" w:sz="4" w:space="0" w:color="auto"/>
            </w:tcBorders>
            <w:shd w:val="clear" w:color="auto" w:fill="auto"/>
            <w:vAlign w:val="center"/>
          </w:tcPr>
          <w:p w14:paraId="10D370D3" w14:textId="77777777" w:rsidR="00C31C4B" w:rsidRPr="00367CD6" w:rsidRDefault="00C31C4B">
            <w:pPr>
              <w:rPr>
                <w:rFonts w:ascii="Public Sans" w:hAnsi="Public Sans"/>
                <w:sz w:val="16"/>
                <w:szCs w:val="16"/>
              </w:rPr>
            </w:pPr>
            <w:r w:rsidRPr="00367CD6">
              <w:rPr>
                <w:rFonts w:ascii="Public Sans" w:hAnsi="Public Sans" w:cs="Arial"/>
                <w:sz w:val="16"/>
                <w:szCs w:val="16"/>
              </w:rPr>
              <w:t>Change in discount rate</w:t>
            </w:r>
          </w:p>
        </w:tc>
        <w:tc>
          <w:tcPr>
            <w:tcW w:w="1018" w:type="dxa"/>
            <w:tcBorders>
              <w:top w:val="nil"/>
              <w:left w:val="nil"/>
              <w:bottom w:val="single" w:sz="4" w:space="0" w:color="auto"/>
              <w:right w:val="nil"/>
            </w:tcBorders>
            <w:shd w:val="clear" w:color="auto" w:fill="auto"/>
            <w:vAlign w:val="center"/>
          </w:tcPr>
          <w:p w14:paraId="1A9C09B3" w14:textId="757E183E" w:rsidR="00C31C4B" w:rsidRPr="00367CD6" w:rsidRDefault="00B04A90" w:rsidP="000D6017">
            <w:pPr>
              <w:ind w:right="170"/>
              <w:jc w:val="right"/>
              <w:rPr>
                <w:rFonts w:ascii="Public Sans" w:eastAsia="Arial" w:hAnsi="Public Sans" w:cs="Arial"/>
                <w:sz w:val="16"/>
                <w:szCs w:val="16"/>
              </w:rPr>
            </w:pPr>
            <w:r w:rsidRPr="00367CD6">
              <w:rPr>
                <w:rFonts w:ascii="Public Sans" w:eastAsia="Arial" w:hAnsi="Public Sans" w:cs="Arial"/>
                <w:sz w:val="16"/>
                <w:szCs w:val="16"/>
              </w:rPr>
              <w:t>6,600</w:t>
            </w:r>
          </w:p>
        </w:tc>
        <w:tc>
          <w:tcPr>
            <w:tcW w:w="1014" w:type="dxa"/>
            <w:tcBorders>
              <w:top w:val="nil"/>
              <w:left w:val="nil"/>
              <w:bottom w:val="single" w:sz="4" w:space="0" w:color="auto"/>
              <w:right w:val="nil"/>
            </w:tcBorders>
            <w:shd w:val="clear" w:color="auto" w:fill="auto"/>
            <w:vAlign w:val="center"/>
          </w:tcPr>
          <w:p w14:paraId="6F2CD098" w14:textId="77777777" w:rsidR="00C31C4B" w:rsidRPr="00367CD6" w:rsidRDefault="00C31C4B" w:rsidP="000D6017">
            <w:pPr>
              <w:ind w:right="170"/>
              <w:jc w:val="right"/>
              <w:rPr>
                <w:rFonts w:ascii="Public Sans" w:eastAsia="Arial" w:hAnsi="Public Sans" w:cs="Arial"/>
                <w:sz w:val="16"/>
                <w:szCs w:val="16"/>
              </w:rPr>
            </w:pPr>
          </w:p>
        </w:tc>
        <w:tc>
          <w:tcPr>
            <w:tcW w:w="1015" w:type="dxa"/>
            <w:tcBorders>
              <w:top w:val="nil"/>
              <w:left w:val="nil"/>
              <w:bottom w:val="single" w:sz="4" w:space="0" w:color="auto"/>
              <w:right w:val="nil"/>
            </w:tcBorders>
            <w:shd w:val="clear" w:color="auto" w:fill="auto"/>
            <w:vAlign w:val="center"/>
          </w:tcPr>
          <w:p w14:paraId="254B5CBE" w14:textId="77777777" w:rsidR="00C31C4B" w:rsidRPr="00367CD6" w:rsidRDefault="00C31C4B" w:rsidP="000D6017">
            <w:pPr>
              <w:ind w:right="170"/>
              <w:jc w:val="right"/>
              <w:rPr>
                <w:rFonts w:ascii="Public Sans" w:eastAsia="Arial" w:hAnsi="Public Sans" w:cs="Arial"/>
                <w:sz w:val="16"/>
                <w:szCs w:val="16"/>
              </w:rPr>
            </w:pPr>
          </w:p>
        </w:tc>
        <w:tc>
          <w:tcPr>
            <w:tcW w:w="1015" w:type="dxa"/>
            <w:tcBorders>
              <w:top w:val="nil"/>
              <w:left w:val="nil"/>
              <w:bottom w:val="single" w:sz="4" w:space="0" w:color="auto"/>
              <w:right w:val="nil"/>
            </w:tcBorders>
            <w:shd w:val="clear" w:color="auto" w:fill="auto"/>
            <w:vAlign w:val="center"/>
          </w:tcPr>
          <w:p w14:paraId="5731B2DF" w14:textId="77777777" w:rsidR="00C31C4B" w:rsidRPr="00367CD6" w:rsidRDefault="00C31C4B" w:rsidP="000D6017">
            <w:pPr>
              <w:ind w:right="170"/>
              <w:jc w:val="right"/>
              <w:rPr>
                <w:rFonts w:ascii="Public Sans" w:eastAsia="Arial" w:hAnsi="Public Sans" w:cs="Arial"/>
                <w:sz w:val="16"/>
                <w:szCs w:val="16"/>
              </w:rPr>
            </w:pPr>
          </w:p>
        </w:tc>
        <w:tc>
          <w:tcPr>
            <w:tcW w:w="1879" w:type="dxa"/>
            <w:tcBorders>
              <w:bottom w:val="single" w:sz="4" w:space="0" w:color="auto"/>
            </w:tcBorders>
          </w:tcPr>
          <w:p w14:paraId="28A80AA7" w14:textId="77777777" w:rsidR="00C31C4B" w:rsidRPr="00367CD6" w:rsidRDefault="00C31C4B">
            <w:pPr>
              <w:rPr>
                <w:rFonts w:ascii="Public Sans" w:hAnsi="Public Sans"/>
                <w:sz w:val="16"/>
                <w:szCs w:val="16"/>
              </w:rPr>
            </w:pPr>
          </w:p>
        </w:tc>
      </w:tr>
    </w:tbl>
    <w:p w14:paraId="09789B63" w14:textId="77777777" w:rsidR="00650CF8" w:rsidRPr="00573227" w:rsidRDefault="00650CF8" w:rsidP="00650CF8">
      <w:pPr>
        <w:rPr>
          <w:rFonts w:ascii="Arial" w:hAnsi="Arial" w:cs="Arial"/>
          <w:sz w:val="6"/>
          <w:szCs w:val="6"/>
        </w:rPr>
      </w:pPr>
    </w:p>
    <w:p w14:paraId="72EDD272" w14:textId="291C6FAF" w:rsidR="00650CF8" w:rsidRPr="00674B22" w:rsidRDefault="00650CF8" w:rsidP="00674B22">
      <w:pPr>
        <w:numPr>
          <w:ilvl w:val="0"/>
          <w:numId w:val="7"/>
        </w:numPr>
        <w:ind w:left="357" w:hanging="357"/>
        <w:rPr>
          <w:rFonts w:ascii="Public Sans" w:hAnsi="Public Sans"/>
          <w:sz w:val="17"/>
          <w:szCs w:val="17"/>
        </w:rPr>
      </w:pPr>
      <w:r w:rsidRPr="00674B22">
        <w:rPr>
          <w:rFonts w:ascii="Public Sans" w:eastAsia="Arial" w:hAnsi="Public Sans" w:cs="Arial"/>
          <w:sz w:val="17"/>
          <w:szCs w:val="17"/>
        </w:rPr>
        <w:t>A positive number in the table indicates an increase in the size of the liabilities, and vice versa. For example, a single percentage increase in public sector wages increases net liabilities, which weakens the financial position.</w:t>
      </w:r>
    </w:p>
    <w:p w14:paraId="28AF4312" w14:textId="77777777" w:rsidR="00650CF8" w:rsidRPr="00674B22" w:rsidRDefault="00650CF8" w:rsidP="00674B22">
      <w:pPr>
        <w:numPr>
          <w:ilvl w:val="0"/>
          <w:numId w:val="7"/>
        </w:numPr>
        <w:ind w:left="357" w:hanging="357"/>
        <w:rPr>
          <w:rFonts w:ascii="Public Sans" w:eastAsiaTheme="minorEastAsia" w:hAnsi="Public Sans" w:cstheme="minorBidi"/>
          <w:sz w:val="17"/>
          <w:szCs w:val="17"/>
        </w:rPr>
      </w:pPr>
      <w:r w:rsidRPr="00674B22">
        <w:rPr>
          <w:rFonts w:ascii="Public Sans" w:eastAsia="Arial" w:hAnsi="Public Sans" w:cs="Arial"/>
          <w:sz w:val="17"/>
          <w:szCs w:val="17"/>
        </w:rPr>
        <w:t xml:space="preserve">For producing superannuation liabilities sensitivities, </w:t>
      </w:r>
      <w:r w:rsidRPr="00674B22">
        <w:rPr>
          <w:rFonts w:ascii="Public Sans" w:eastAsia="Arial" w:hAnsi="Public Sans" w:cs="Arial"/>
          <w:i/>
          <w:iCs/>
          <w:sz w:val="17"/>
          <w:szCs w:val="17"/>
        </w:rPr>
        <w:t>AASB 119 Employee Benefits</w:t>
      </w:r>
      <w:r w:rsidRPr="00674B22">
        <w:rPr>
          <w:rFonts w:ascii="Public Sans" w:eastAsia="Arial" w:hAnsi="Public Sans" w:cs="Arial"/>
          <w:sz w:val="17"/>
          <w:szCs w:val="17"/>
        </w:rPr>
        <w:t xml:space="preserve"> is used. </w:t>
      </w:r>
    </w:p>
    <w:p w14:paraId="4D9317DD" w14:textId="77777777" w:rsidR="00246D46" w:rsidRDefault="00246D46" w:rsidP="00246D46">
      <w:pPr>
        <w:rPr>
          <w:rFonts w:eastAsiaTheme="minorEastAsia"/>
        </w:rPr>
      </w:pPr>
    </w:p>
    <w:p w14:paraId="72ED9290" w14:textId="77777777" w:rsidR="00823712" w:rsidRDefault="00823712">
      <w:pPr>
        <w:rPr>
          <w:rFonts w:ascii="Public Sans" w:hAnsi="Public Sans" w:cs="Arial"/>
          <w:sz w:val="22"/>
          <w:lang w:val="en-AU"/>
        </w:rPr>
      </w:pPr>
      <w:bookmarkStart w:id="2" w:name="_Hlk516140928"/>
      <w:r>
        <w:br w:type="page"/>
      </w:r>
    </w:p>
    <w:p w14:paraId="40691A4C" w14:textId="658AB967" w:rsidR="00B81463" w:rsidRPr="00396E62" w:rsidRDefault="00636A2B" w:rsidP="00367CD6">
      <w:pPr>
        <w:pStyle w:val="BodyText"/>
        <w:rPr>
          <w:rFonts w:ascii="Public Sans SemiBold" w:hAnsi="Public Sans SemiBold" w:cs="Times New Roman"/>
          <w:b/>
          <w:color w:val="22272B"/>
          <w:kern w:val="28"/>
          <w:sz w:val="26"/>
          <w:szCs w:val="22"/>
          <w:lang w:val="en-US"/>
        </w:rPr>
      </w:pPr>
      <w:r w:rsidRPr="00501363">
        <w:lastRenderedPageBreak/>
        <w:t>Any change in the growth of public sector salaries will affect the superannuation entitlements of those employees in a defined benefit scheme that are still in the workforce</w:t>
      </w:r>
      <w:r w:rsidR="008C3570" w:rsidRPr="00501363">
        <w:t>.</w:t>
      </w:r>
      <w:r w:rsidR="00D34686" w:rsidRPr="00501363">
        <w:t xml:space="preserve"> A decre</w:t>
      </w:r>
      <w:r w:rsidRPr="00501363">
        <w:t xml:space="preserve">ase in </w:t>
      </w:r>
      <w:r w:rsidR="00290BF0">
        <w:t>c</w:t>
      </w:r>
      <w:r w:rsidR="000D2427" w:rsidRPr="00501363">
        <w:t xml:space="preserve">onsumer </w:t>
      </w:r>
      <w:r w:rsidR="00290BF0">
        <w:t>p</w:t>
      </w:r>
      <w:r w:rsidR="000D2427" w:rsidRPr="00501363">
        <w:t xml:space="preserve">rice </w:t>
      </w:r>
      <w:r w:rsidR="00290BF0">
        <w:t>i</w:t>
      </w:r>
      <w:r w:rsidR="000D2427" w:rsidRPr="00501363">
        <w:t>ndex (CPI)</w:t>
      </w:r>
      <w:r w:rsidRPr="00501363">
        <w:t xml:space="preserve"> will lower the benefit payments to all members as their pension is indexed by the Sydney CPI. An increase in the investment return on superannuation assets will increase the funding level of the superannuation liability and improve the budget result. For further information on the unfunded superannuation liability, refer to Chapter 6</w:t>
      </w:r>
      <w:r w:rsidR="003A3143" w:rsidRPr="00501363">
        <w:t xml:space="preserve"> Managing the State’s Assets and Liabilities</w:t>
      </w:r>
      <w:r w:rsidRPr="00396E62">
        <w:rPr>
          <w:b/>
          <w:szCs w:val="22"/>
          <w:lang w:val="en-US"/>
        </w:rPr>
        <w:t>.</w:t>
      </w:r>
    </w:p>
    <w:p w14:paraId="20EB34EC" w14:textId="49BF2BFC" w:rsidR="005619A2" w:rsidRDefault="005619A2" w:rsidP="005619A2">
      <w:pPr>
        <w:pStyle w:val="Heading3"/>
        <w:rPr>
          <w:rFonts w:eastAsia="Arial Bold"/>
        </w:rPr>
      </w:pPr>
      <w:r w:rsidRPr="61B12E0D">
        <w:rPr>
          <w:rFonts w:eastAsia="Arial Bold"/>
        </w:rPr>
        <w:t>In</w:t>
      </w:r>
      <w:r>
        <w:rPr>
          <w:rFonts w:eastAsia="Arial Bold"/>
        </w:rPr>
        <w:t>surance risks</w:t>
      </w:r>
      <w:r w:rsidR="00437F50">
        <w:rPr>
          <w:rFonts w:eastAsia="Arial Bold"/>
        </w:rPr>
        <w:t xml:space="preserve"> </w:t>
      </w:r>
    </w:p>
    <w:p w14:paraId="70DF23DC" w14:textId="3263AD43" w:rsidR="008446E1" w:rsidRPr="00396E62" w:rsidRDefault="00221DCC" w:rsidP="00367CD6">
      <w:pPr>
        <w:pStyle w:val="BodyText"/>
        <w:rPr>
          <w:rFonts w:ascii="Public Sans SemiBold" w:eastAsia="Arial Bold" w:hAnsi="Public Sans SemiBold" w:cs="Times New Roman"/>
          <w:color w:val="22272B"/>
          <w:kern w:val="28"/>
          <w:sz w:val="26"/>
        </w:rPr>
      </w:pPr>
      <w:r w:rsidRPr="00501363">
        <w:rPr>
          <w:rFonts w:eastAsia="Arial Bold"/>
        </w:rPr>
        <w:t xml:space="preserve">Insurance risks are managed through the </w:t>
      </w:r>
      <w:r w:rsidRPr="00F45D20">
        <w:rPr>
          <w:rFonts w:eastAsia="Arial Bold"/>
        </w:rPr>
        <w:t>State’s self-insurance schemes, with the largest being the TMF, and commercial reinsurance. There are increasing pressures on the State’s insurance liabilities, driven by rising costs and claims relating to psychological injury, medical discharge, historic sexual abuse, cyber, climate risk, contractual liability risks, and other emerging risks. There is a significant risk that these pressures will result in higher than currently estimated costs.</w:t>
      </w:r>
    </w:p>
    <w:p w14:paraId="04127733" w14:textId="77777777" w:rsidR="002E4FD4" w:rsidRPr="00455108" w:rsidRDefault="002E4FD4" w:rsidP="002E4FD4">
      <w:pPr>
        <w:pStyle w:val="Heading3"/>
        <w:rPr>
          <w:rFonts w:eastAsia="Arial Bold"/>
        </w:rPr>
      </w:pPr>
      <w:r w:rsidRPr="61B12E0D">
        <w:rPr>
          <w:rFonts w:eastAsia="Arial Bold"/>
        </w:rPr>
        <w:t>Infrastructure related risks</w:t>
      </w:r>
    </w:p>
    <w:p w14:paraId="7E4F4E61" w14:textId="1892C2FF" w:rsidR="00C35E99" w:rsidRPr="00396E62" w:rsidRDefault="002E4FD4" w:rsidP="00367CD6">
      <w:pPr>
        <w:pStyle w:val="BodyText"/>
        <w:rPr>
          <w:rFonts w:cs="Times New Roman"/>
          <w:color w:val="22272B"/>
          <w:kern w:val="28"/>
          <w:sz w:val="26"/>
          <w:szCs w:val="26"/>
        </w:rPr>
      </w:pPr>
      <w:r w:rsidRPr="7CEC90E3">
        <w:t>The State’s infrastructure plan is estimated to be $</w:t>
      </w:r>
      <w:r w:rsidR="00123D97" w:rsidRPr="7CEC90E3">
        <w:t>119.4</w:t>
      </w:r>
      <w:r w:rsidRPr="7CEC90E3">
        <w:t xml:space="preserve"> billion over the four years to</w:t>
      </w:r>
      <w:r w:rsidR="009D5407" w:rsidRPr="7CEC90E3">
        <w:t xml:space="preserve"> </w:t>
      </w:r>
      <w:r w:rsidRPr="7CEC90E3">
        <w:t>202</w:t>
      </w:r>
      <w:r w:rsidR="00D7300B" w:rsidRPr="7CEC90E3">
        <w:t>7</w:t>
      </w:r>
      <w:r w:rsidR="00E22410">
        <w:noBreakHyphen/>
      </w:r>
      <w:r w:rsidRPr="7CEC90E3">
        <w:t>2</w:t>
      </w:r>
      <w:r w:rsidR="00D7300B" w:rsidRPr="7CEC90E3">
        <w:t>8</w:t>
      </w:r>
      <w:r w:rsidR="00081362" w:rsidRPr="7CEC90E3">
        <w:t>, after including</w:t>
      </w:r>
      <w:r w:rsidRPr="7CEC90E3">
        <w:t xml:space="preserve"> an allowance </w:t>
      </w:r>
      <w:r w:rsidR="00A22E0C" w:rsidRPr="7CEC90E3">
        <w:t>for the observed tendency</w:t>
      </w:r>
      <w:r w:rsidRPr="7CEC90E3">
        <w:t xml:space="preserve"> for capital </w:t>
      </w:r>
      <w:r w:rsidR="00A22E0C" w:rsidRPr="7CEC90E3">
        <w:t>expenditure to slip each year</w:t>
      </w:r>
      <w:r w:rsidRPr="7CEC90E3">
        <w:t xml:space="preserve">. Total capital expenditure varies as individual projects progress through their delivery lifecycle and encounter unanticipated delays. Uncertainty around international supply chains, geopolitical instability, the availability of expert labour and specialised capital equipment, as well as the increasing complexity of the projects can all impact the cost and delivery timeframes for infrastructure projects. </w:t>
      </w:r>
    </w:p>
    <w:p w14:paraId="681B19AC" w14:textId="134EB80B" w:rsidR="00D66AC6" w:rsidRDefault="002E4FD4" w:rsidP="00367CD6">
      <w:pPr>
        <w:pStyle w:val="BodyText"/>
      </w:pPr>
      <w:r w:rsidRPr="00501363">
        <w:t xml:space="preserve">The Government actively manages the cost and delivery timeframe of projects to minimise any potential disruptions (see Budget Paper No.3 </w:t>
      </w:r>
      <w:r w:rsidRPr="00396E62">
        <w:rPr>
          <w:i/>
          <w:szCs w:val="22"/>
          <w:lang w:val="en-US"/>
        </w:rPr>
        <w:t>Infrastructure Statement</w:t>
      </w:r>
      <w:r w:rsidRPr="00396E62">
        <w:rPr>
          <w:szCs w:val="22"/>
          <w:lang w:val="en-US"/>
        </w:rPr>
        <w:t xml:space="preserve"> for more information).</w:t>
      </w:r>
      <w:r w:rsidRPr="00396E62">
        <w:rPr>
          <w:b/>
          <w:szCs w:val="22"/>
          <w:lang w:val="en-US"/>
        </w:rPr>
        <w:t xml:space="preserve"> </w:t>
      </w:r>
    </w:p>
    <w:p w14:paraId="54CEAF06" w14:textId="6897175A" w:rsidR="00811F99" w:rsidRPr="00396E62" w:rsidRDefault="00811F99" w:rsidP="00367CD6">
      <w:pPr>
        <w:pStyle w:val="BodyText"/>
        <w:rPr>
          <w:rFonts w:ascii="Public Sans SemiBold" w:hAnsi="Public Sans SemiBold" w:cs="Times New Roman"/>
          <w:color w:val="22272B"/>
          <w:kern w:val="28"/>
          <w:sz w:val="26"/>
          <w:szCs w:val="26"/>
        </w:rPr>
      </w:pPr>
      <w:r w:rsidRPr="00501363">
        <w:t>The construction market is facing constraints including supply chain pressures. The construction sector has been under considerable stress over the last two years as elevated demand came up against severe supply shortages and constraints. The construction industry is facing a shortage of workers and complex projects are inhibiting the ability of the sector to deliver projects on time and on budget</w:t>
      </w:r>
      <w:r w:rsidR="3B2E46E8">
        <w:t xml:space="preserve"> leading to capital slippage. </w:t>
      </w:r>
    </w:p>
    <w:p w14:paraId="29C63792" w14:textId="1BA07271" w:rsidR="008E62FD" w:rsidRPr="00396E62" w:rsidRDefault="008E62FD" w:rsidP="00367CD6">
      <w:pPr>
        <w:pStyle w:val="BodyText"/>
        <w:rPr>
          <w:rFonts w:ascii="Public Sans SemiBold" w:hAnsi="Public Sans SemiBold" w:cs="Times New Roman"/>
          <w:b/>
          <w:color w:val="22272B"/>
          <w:kern w:val="28"/>
          <w:sz w:val="26"/>
          <w:szCs w:val="26"/>
        </w:rPr>
      </w:pPr>
      <w:r w:rsidRPr="7CEC90E3">
        <w:t xml:space="preserve">In December 2023, Infrastructure Australia released its </w:t>
      </w:r>
      <w:r w:rsidRPr="7CEC90E3">
        <w:rPr>
          <w:i/>
        </w:rPr>
        <w:t>2023 Infrastructure Market Capacity</w:t>
      </w:r>
      <w:r w:rsidRPr="7CEC90E3">
        <w:t xml:space="preserve"> report. The report highlights the following market capacity constraints:</w:t>
      </w:r>
    </w:p>
    <w:p w14:paraId="0876695A" w14:textId="06E1E7AF" w:rsidR="008E62FD" w:rsidRPr="00193BB2" w:rsidRDefault="008E62FD" w:rsidP="00367CD6">
      <w:pPr>
        <w:pStyle w:val="Bullet1"/>
      </w:pPr>
      <w:r w:rsidRPr="7CEC90E3">
        <w:t>the supply of labour remains heavily constrained, with labour shortages estimated at 229,000 full time workers (October 2023)</w:t>
      </w:r>
    </w:p>
    <w:p w14:paraId="4F4BD3FF" w14:textId="0767C2FF" w:rsidR="008E62FD" w:rsidRPr="00193BB2" w:rsidRDefault="008E62FD" w:rsidP="00367CD6">
      <w:pPr>
        <w:pStyle w:val="Bullet1"/>
      </w:pPr>
      <w:r w:rsidRPr="7CEC90E3">
        <w:t>while Sydney will face the deepest labour shortage until 2026, NSW regional areas are</w:t>
      </w:r>
      <w:r w:rsidR="00491324" w:rsidRPr="7CEC90E3">
        <w:t xml:space="preserve"> </w:t>
      </w:r>
      <w:r w:rsidR="00030CD7" w:rsidRPr="7CEC90E3">
        <w:t xml:space="preserve">also </w:t>
      </w:r>
      <w:r w:rsidRPr="7CEC90E3">
        <w:t>expected to experience labour shortages (i.e., Murray, Mid North Coast and Riverina)</w:t>
      </w:r>
    </w:p>
    <w:p w14:paraId="129D4852" w14:textId="138F1508" w:rsidR="008E62FD" w:rsidRPr="00193BB2" w:rsidRDefault="008E62FD" w:rsidP="00367CD6">
      <w:pPr>
        <w:pStyle w:val="Bullet1"/>
      </w:pPr>
      <w:r w:rsidRPr="7CEC90E3">
        <w:t xml:space="preserve">long wait times remain for materials, plant, and equipment inputs that are in high demand such as trucks and site </w:t>
      </w:r>
      <w:proofErr w:type="gramStart"/>
      <w:r w:rsidRPr="7CEC90E3">
        <w:t>equipment</w:t>
      </w:r>
      <w:proofErr w:type="gramEnd"/>
    </w:p>
    <w:p w14:paraId="6A9062A9" w14:textId="098FE120" w:rsidR="007F66AD" w:rsidRPr="006D01A7" w:rsidRDefault="008E62FD" w:rsidP="00367CD6">
      <w:pPr>
        <w:pStyle w:val="Bullet1"/>
      </w:pPr>
      <w:r w:rsidRPr="7CEC90E3">
        <w:t>construction cost escalation remains elevated around 7–10 per cent, with individual</w:t>
      </w:r>
      <w:r w:rsidR="00491324" w:rsidRPr="7CEC90E3">
        <w:t xml:space="preserve"> </w:t>
      </w:r>
      <w:r w:rsidRPr="7CEC90E3">
        <w:t>inputs such as sand, glass, reinforcing steel, aluminium products, insulation, and tiles</w:t>
      </w:r>
      <w:r w:rsidR="00491324" w:rsidRPr="7CEC90E3">
        <w:t xml:space="preserve"> </w:t>
      </w:r>
      <w:r w:rsidRPr="7CEC90E3">
        <w:t>reaching around 20–30 per cent</w:t>
      </w:r>
      <w:r w:rsidR="009B1680" w:rsidRPr="7CEC90E3">
        <w:t xml:space="preserve"> </w:t>
      </w:r>
      <w:r w:rsidR="004F36DE" w:rsidRPr="7CEC90E3">
        <w:t>(additional cost</w:t>
      </w:r>
      <w:r w:rsidR="009B1680" w:rsidRPr="7CEC90E3">
        <w:t xml:space="preserve"> escalation </w:t>
      </w:r>
      <w:r w:rsidR="004F36DE" w:rsidRPr="7CEC90E3">
        <w:t>pressures may arise</w:t>
      </w:r>
      <w:r w:rsidR="009B1680" w:rsidRPr="7CEC90E3">
        <w:t xml:space="preserve"> from </w:t>
      </w:r>
      <w:r w:rsidR="004F36DE" w:rsidRPr="7CEC90E3">
        <w:t>changes to the Australian Governments industrial relations legislative framework)</w:t>
      </w:r>
    </w:p>
    <w:p w14:paraId="72BBDF5F" w14:textId="5A7C3880" w:rsidR="00223623" w:rsidRPr="00193BB2" w:rsidRDefault="008E62FD" w:rsidP="00367CD6">
      <w:pPr>
        <w:pStyle w:val="Bullet1"/>
      </w:pPr>
      <w:r w:rsidRPr="00193BB2">
        <w:t>energy investments that will increase four-fold in the next five years.</w:t>
      </w:r>
    </w:p>
    <w:p w14:paraId="6916A843" w14:textId="1342929E" w:rsidR="009D017C" w:rsidRDefault="009D017C" w:rsidP="00592CD5">
      <w:pPr>
        <w:rPr>
          <w:rFonts w:ascii="Public Sans" w:hAnsi="Public Sans" w:cs="Arial"/>
          <w:sz w:val="22"/>
          <w:szCs w:val="22"/>
          <w:highlight w:val="yellow"/>
        </w:rPr>
      </w:pPr>
    </w:p>
    <w:p w14:paraId="219A7F2E" w14:textId="77777777" w:rsidR="007A0728" w:rsidRDefault="007A0728">
      <w:pPr>
        <w:rPr>
          <w:rFonts w:ascii="Public Sans SemiBold" w:eastAsia="Tahoma" w:hAnsi="Public Sans SemiBold" w:cs="Tahoma"/>
          <w:b/>
          <w:color w:val="22272B"/>
          <w:sz w:val="28"/>
          <w:lang w:val="en-AU"/>
        </w:rPr>
      </w:pPr>
      <w:r>
        <w:br w:type="page"/>
      </w:r>
    </w:p>
    <w:p w14:paraId="0F3A6D55" w14:textId="23AC3C85" w:rsidR="00650CF8" w:rsidRPr="00667998" w:rsidRDefault="00650CF8" w:rsidP="00570DA4">
      <w:pPr>
        <w:pStyle w:val="B1Heading2"/>
      </w:pPr>
      <w:r>
        <w:lastRenderedPageBreak/>
        <w:t xml:space="preserve">Specific fiscal risks </w:t>
      </w:r>
    </w:p>
    <w:bookmarkEnd w:id="2"/>
    <w:p w14:paraId="079D7F59" w14:textId="77777777" w:rsidR="00C11C66" w:rsidRPr="00387357" w:rsidRDefault="00C11C66" w:rsidP="00C11C66">
      <w:pPr>
        <w:pStyle w:val="Heading3"/>
      </w:pPr>
      <w:r w:rsidRPr="00387357">
        <w:t>Uncertainty over the path of inflation back to central bank targets</w:t>
      </w:r>
      <w:r>
        <w:t xml:space="preserve"> </w:t>
      </w:r>
    </w:p>
    <w:p w14:paraId="402B1CEC" w14:textId="4A63AAD8" w:rsidR="00C11C66" w:rsidRDefault="00C11C66" w:rsidP="00367CD6">
      <w:pPr>
        <w:pStyle w:val="BodyText"/>
      </w:pPr>
      <w:r w:rsidRPr="490E242A">
        <w:t xml:space="preserve">While the prospects of a soft landing for the global economy have risen, the path of inflation back to target remains uncertain. </w:t>
      </w:r>
      <w:r w:rsidR="0015579C" w:rsidRPr="7766A1E8">
        <w:t>S</w:t>
      </w:r>
      <w:r w:rsidR="00E33963" w:rsidRPr="00367CD6">
        <w:t>ervices inflation has been slow to ease in some countries</w:t>
      </w:r>
      <w:r w:rsidR="0015579C" w:rsidRPr="7766A1E8">
        <w:t>,</w:t>
      </w:r>
      <w:r w:rsidR="0015579C" w:rsidRPr="3681667A">
        <w:rPr>
          <w:rStyle w:val="cf01"/>
          <w:lang w:val="en-US"/>
        </w:rPr>
        <w:t xml:space="preserve"> </w:t>
      </w:r>
      <w:r w:rsidRPr="490E242A">
        <w:t>including Australia</w:t>
      </w:r>
      <w:r w:rsidR="0015579C" w:rsidRPr="7766A1E8">
        <w:t xml:space="preserve">. </w:t>
      </w:r>
      <w:r w:rsidR="00CC5079" w:rsidRPr="7766A1E8">
        <w:t xml:space="preserve">Factors such as volatility in commodity prices and recent increases in container shipping costs suggests ongoing risk around the inflation outlook that could prompt central banks to maintain tighter </w:t>
      </w:r>
      <w:r w:rsidR="00FA03AE" w:rsidRPr="7766A1E8">
        <w:t>monetary policy</w:t>
      </w:r>
      <w:r w:rsidR="00CC5079" w:rsidRPr="7766A1E8">
        <w:t xml:space="preserve"> for longer.</w:t>
      </w:r>
    </w:p>
    <w:p w14:paraId="51016E4A" w14:textId="048FAF41" w:rsidR="00C11C66" w:rsidRPr="004228BC" w:rsidRDefault="00C11C66" w:rsidP="00367CD6">
      <w:pPr>
        <w:pStyle w:val="BodyText"/>
      </w:pPr>
      <w:r w:rsidRPr="7CEC90E3">
        <w:t>Persistently elevated inflation weakens confidence, particularly for consumers. This has flow on effects on the outlook for economic growth. Additionally, elevated inflation places a further direct strain on household budgets, especially for those with a mortgage</w:t>
      </w:r>
      <w:r w:rsidR="005D40C6" w:rsidRPr="7CEC90E3">
        <w:t xml:space="preserve"> if </w:t>
      </w:r>
      <w:r w:rsidR="00415E18" w:rsidRPr="7CEC90E3">
        <w:t>central banks maintain higher rates</w:t>
      </w:r>
      <w:r w:rsidRPr="7CEC90E3">
        <w:t xml:space="preserve">. </w:t>
      </w:r>
      <w:r w:rsidR="00B1134C" w:rsidRPr="7CEC90E3">
        <w:t>This</w:t>
      </w:r>
      <w:r w:rsidRPr="7CEC90E3">
        <w:t xml:space="preserve"> would lead to a weaker fiscal position than expected in the form of </w:t>
      </w:r>
      <w:r w:rsidR="006E1B54" w:rsidRPr="7CEC90E3">
        <w:t>a lower GST pool and revenues, via weaker household consumption.</w:t>
      </w:r>
    </w:p>
    <w:p w14:paraId="3EF0DD95" w14:textId="77777777" w:rsidR="00C11C66" w:rsidRDefault="00C11C66" w:rsidP="00C11C66">
      <w:pPr>
        <w:pStyle w:val="Heading3"/>
        <w:rPr>
          <w:lang w:val="en-US"/>
        </w:rPr>
      </w:pPr>
      <w:r>
        <w:rPr>
          <w:lang w:val="en-US"/>
        </w:rPr>
        <w:t xml:space="preserve">An escalation of geopolitical tensions </w:t>
      </w:r>
    </w:p>
    <w:p w14:paraId="397168A8" w14:textId="1742FA80" w:rsidR="00C11C66" w:rsidRPr="004228BC" w:rsidRDefault="00C11C66" w:rsidP="00367CD6">
      <w:pPr>
        <w:pStyle w:val="BodyText"/>
        <w:rPr>
          <w:rFonts w:eastAsiaTheme="minorEastAsia"/>
          <w:lang w:eastAsia="en-AU"/>
        </w:rPr>
      </w:pPr>
      <w:r w:rsidRPr="7CEC90E3">
        <w:rPr>
          <w:rFonts w:eastAsiaTheme="minorEastAsia"/>
          <w:lang w:eastAsia="en-AU"/>
        </w:rPr>
        <w:t xml:space="preserve">Geopolitical tensions have generally deteriorated, particularly in the Middle East, with the outlook increasingly uncertain. A further escalation of these tensions has the potential to significantly disrupt global energy markets, as the region accounts for a large share of global oil production. This could prolong the current period of elevated inflation, and further undermine business and consumer confidence. </w:t>
      </w:r>
    </w:p>
    <w:p w14:paraId="23BD8294" w14:textId="682F62E7" w:rsidR="006D365F" w:rsidRDefault="006D365F" w:rsidP="00367CD6">
      <w:pPr>
        <w:pStyle w:val="BodyText"/>
        <w:rPr>
          <w:rFonts w:eastAsiaTheme="minorEastAsia"/>
          <w:lang w:eastAsia="en-AU"/>
        </w:rPr>
      </w:pPr>
      <w:r w:rsidRPr="7CEC90E3">
        <w:rPr>
          <w:rFonts w:eastAsiaTheme="minorEastAsia"/>
          <w:lang w:eastAsia="en-AU"/>
        </w:rPr>
        <w:t>Additionally, the region’s proxim</w:t>
      </w:r>
      <w:r w:rsidR="00AE1C6E" w:rsidRPr="7CEC90E3">
        <w:rPr>
          <w:rFonts w:eastAsiaTheme="minorEastAsia"/>
          <w:lang w:eastAsia="en-AU"/>
        </w:rPr>
        <w:t>i</w:t>
      </w:r>
      <w:r w:rsidRPr="7CEC90E3">
        <w:rPr>
          <w:rFonts w:eastAsiaTheme="minorEastAsia"/>
          <w:lang w:eastAsia="en-AU"/>
        </w:rPr>
        <w:t>ty to major shipping routes, including the Suez Canal, has the potential to generate additional supply shocks. The effect that this could have on global supply chains include extending shipping times and raising freight costs. As was seen through the COVID-19 pandemic, compromised global supply chains can have a severe impact on inflation and international trade. Higher inflation, and hence interest rates, would slow economic activity, and impact consumption and investment leading to lower GST revenues.</w:t>
      </w:r>
    </w:p>
    <w:p w14:paraId="2D5D1488" w14:textId="6175240A" w:rsidR="00151713" w:rsidRPr="00592CD5" w:rsidRDefault="00400602" w:rsidP="00367CD6">
      <w:pPr>
        <w:pStyle w:val="BodyText"/>
        <w:rPr>
          <w:rFonts w:eastAsiaTheme="minorEastAsia"/>
          <w:lang w:eastAsia="en-AU"/>
        </w:rPr>
      </w:pPr>
      <w:r w:rsidRPr="00400602">
        <w:rPr>
          <w:rFonts w:eastAsiaTheme="minorEastAsia"/>
          <w:lang w:eastAsia="en-AU"/>
        </w:rPr>
        <w:t xml:space="preserve">Appendix </w:t>
      </w:r>
      <w:r w:rsidR="0095654D">
        <w:rPr>
          <w:rFonts w:eastAsiaTheme="minorEastAsia"/>
          <w:lang w:eastAsia="en-AU"/>
        </w:rPr>
        <w:t>F</w:t>
      </w:r>
      <w:r w:rsidRPr="00400602">
        <w:rPr>
          <w:rFonts w:eastAsiaTheme="minorEastAsia"/>
          <w:lang w:eastAsia="en-AU"/>
        </w:rPr>
        <w:t xml:space="preserve"> Economic Scenario Analysis considers a scenario where geopolitical tensions escalate, disrupting global trade.</w:t>
      </w:r>
    </w:p>
    <w:p w14:paraId="093F0C7B" w14:textId="3AFB6631" w:rsidR="00C11C66" w:rsidRPr="0046126A" w:rsidRDefault="001716F0" w:rsidP="00C11C66">
      <w:pPr>
        <w:pStyle w:val="Heading3"/>
        <w:rPr>
          <w:lang w:val="en-US"/>
        </w:rPr>
      </w:pPr>
      <w:r>
        <w:rPr>
          <w:lang w:val="en-US"/>
        </w:rPr>
        <w:t xml:space="preserve">The </w:t>
      </w:r>
      <w:r w:rsidR="00484CB5">
        <w:rPr>
          <w:lang w:val="en-US"/>
        </w:rPr>
        <w:t>s</w:t>
      </w:r>
      <w:r>
        <w:rPr>
          <w:lang w:val="en-US"/>
        </w:rPr>
        <w:t xml:space="preserve">upport of </w:t>
      </w:r>
      <w:r w:rsidR="00D93995">
        <w:rPr>
          <w:lang w:val="en-US"/>
        </w:rPr>
        <w:t>m</w:t>
      </w:r>
      <w:r w:rsidR="00C11C66" w:rsidRPr="0046126A">
        <w:rPr>
          <w:lang w:val="en-US"/>
        </w:rPr>
        <w:t>igration</w:t>
      </w:r>
    </w:p>
    <w:p w14:paraId="52CE77B7" w14:textId="65F4745D" w:rsidR="00C11C66" w:rsidRDefault="00C11C66" w:rsidP="00367CD6">
      <w:pPr>
        <w:pStyle w:val="BodyText"/>
      </w:pPr>
      <w:r w:rsidRPr="7CEC90E3">
        <w:t xml:space="preserve">The NSW population has </w:t>
      </w:r>
      <w:r w:rsidR="00BE0888" w:rsidRPr="7CEC90E3">
        <w:t xml:space="preserve">recently </w:t>
      </w:r>
      <w:r w:rsidRPr="7CEC90E3">
        <w:t>grown at an elevated rate, with much of this attributed to the large increase in net overseas migration</w:t>
      </w:r>
      <w:r w:rsidR="00024366" w:rsidRPr="7CEC90E3">
        <w:t xml:space="preserve"> following the reopening of international borders</w:t>
      </w:r>
      <w:r w:rsidRPr="7CEC90E3">
        <w:t xml:space="preserve">. These migration flows are expected to normalise over the coming years, however there are risks if flows are substantially different to expectations. </w:t>
      </w:r>
    </w:p>
    <w:p w14:paraId="71B37C13" w14:textId="0325E3D3" w:rsidR="00C11C66" w:rsidRDefault="00C11C66" w:rsidP="00367CD6">
      <w:pPr>
        <w:pStyle w:val="BodyText"/>
      </w:pPr>
      <w:r w:rsidRPr="490E242A">
        <w:t>If the recent strength in net migration growth continued, this could create further cost-of-living pressures through increased demand-pull on inflation. Further, upward pressure on dwelling prices would negatively affect housing affordability. Increased dwelling prices</w:t>
      </w:r>
      <w:r w:rsidR="00B358A9" w:rsidRPr="6D3EC5FA">
        <w:t xml:space="preserve"> and greater t</w:t>
      </w:r>
      <w:r w:rsidR="00ED1CAB" w:rsidRPr="6D3EC5FA">
        <w:t>ransaction volumes</w:t>
      </w:r>
      <w:r w:rsidRPr="490E242A">
        <w:t>, however, would lead to higher transfer duty revenue.</w:t>
      </w:r>
    </w:p>
    <w:p w14:paraId="4C15E88C" w14:textId="7212123D" w:rsidR="00C90FA2" w:rsidRDefault="00C11C66" w:rsidP="00367CD6">
      <w:pPr>
        <w:pStyle w:val="BodyText"/>
      </w:pPr>
      <w:r w:rsidRPr="7CEC90E3">
        <w:t>If migration was to slow more than expected, aggregate economic activity would be weaker.  The current level of migration is supporting aggregate demand in a period where, per person, the economy has been contracting. Weaker economic activity will likely result in lower household consumption and GST revenues</w:t>
      </w:r>
      <w:r w:rsidR="000A229A" w:rsidRPr="7CEC90E3">
        <w:t>.</w:t>
      </w:r>
    </w:p>
    <w:p w14:paraId="73CF49DC" w14:textId="0D885F1C" w:rsidR="00236763" w:rsidRDefault="00236763" w:rsidP="00674B22">
      <w:pPr>
        <w:pStyle w:val="Heading3"/>
      </w:pPr>
      <w:r>
        <w:t>Other</w:t>
      </w:r>
      <w:r w:rsidRPr="00414AE9">
        <w:t xml:space="preserve"> risks</w:t>
      </w:r>
      <w:r w:rsidR="00195DE1">
        <w:t xml:space="preserve"> </w:t>
      </w:r>
    </w:p>
    <w:p w14:paraId="2F658EC1" w14:textId="4B26F4EA" w:rsidR="008F00E7" w:rsidRPr="000E3A26" w:rsidRDefault="000E3A26" w:rsidP="00367CD6">
      <w:pPr>
        <w:pStyle w:val="BodyText"/>
      </w:pPr>
      <w:r w:rsidRPr="7CEC90E3">
        <w:t>The outlook for China remains important to the NSW economy. The weakness in the real estate sector, should it persist or intensify, has the potential to drag investment and subdue foreign demand. Uncertainty over the outlook for Chinese growth could unsettle commodity markets and impact prices or the demand for key NSW exports (including coal).</w:t>
      </w:r>
    </w:p>
    <w:p w14:paraId="7375F6A4" w14:textId="18D6E417" w:rsidR="00CD41E1" w:rsidRDefault="00475A7D">
      <w:pPr>
        <w:rPr>
          <w:rFonts w:ascii="Public Sans" w:hAnsi="Public Sans" w:cs="Arial"/>
          <w:sz w:val="22"/>
          <w:lang w:val="en-AU"/>
        </w:rPr>
      </w:pPr>
      <w:r>
        <w:br w:type="page"/>
      </w:r>
    </w:p>
    <w:p w14:paraId="68D3B525" w14:textId="74662C8E" w:rsidR="000E3A26" w:rsidRPr="000E3A26" w:rsidRDefault="000E3A26" w:rsidP="00367CD6">
      <w:pPr>
        <w:pStyle w:val="BodyText"/>
      </w:pPr>
      <w:r w:rsidRPr="7CEC90E3">
        <w:lastRenderedPageBreak/>
        <w:t>The outcome of the US election is also a key consideration for the outlook of the global economy</w:t>
      </w:r>
      <w:r w:rsidR="00C31C2C" w:rsidRPr="7CEC90E3">
        <w:t>.</w:t>
      </w:r>
      <w:r w:rsidRPr="7CEC90E3">
        <w:t xml:space="preserve"> Talks of adding large tariffs to all US imports, as well as escalating trade tensions with China and other major trading partners, could have serious impacts on supply chains and inflation. </w:t>
      </w:r>
      <w:r w:rsidR="00357CC8" w:rsidRPr="7CEC90E3">
        <w:t>Proposed policies to extend</w:t>
      </w:r>
      <w:r w:rsidRPr="7CEC90E3">
        <w:t xml:space="preserve"> existing tax cuts and </w:t>
      </w:r>
      <w:r w:rsidR="00357CC8" w:rsidRPr="7CEC90E3">
        <w:t>cut interest</w:t>
      </w:r>
      <w:r w:rsidRPr="7CEC90E3">
        <w:t xml:space="preserve"> rates prematurely would add fuel to already resilient demand. If these measures are enacted, it could have wide</w:t>
      </w:r>
      <w:r w:rsidR="00E345B7">
        <w:noBreakHyphen/>
      </w:r>
      <w:r w:rsidRPr="7CEC90E3">
        <w:t>reaching impacts for prices and global supply chains and see the domestic economy exposed to high</w:t>
      </w:r>
      <w:r w:rsidR="00556D65" w:rsidRPr="7CEC90E3">
        <w:t>er</w:t>
      </w:r>
      <w:r w:rsidRPr="7CEC90E3">
        <w:t xml:space="preserve"> inflation.</w:t>
      </w:r>
    </w:p>
    <w:p w14:paraId="71799AFA" w14:textId="36EAD86B" w:rsidR="001F0117" w:rsidRDefault="000E3A26" w:rsidP="00367CD6">
      <w:pPr>
        <w:pStyle w:val="BodyText"/>
      </w:pPr>
      <w:r w:rsidRPr="7CEC90E3">
        <w:t>Domestically, some of the most notable risks, both to the upside and downside, relate to the housing market. On the downside, while the housing market has so far proven somewhat resilient to higher interest rates, a sharper deterioration cannot be ruled out given the corrosion in housing affordability. This would decrease transfer duty revenue. Conversely, it is similarly possible that the recent resilience will manifest into stronger-than-expected dwelling prices, once interest rates start to fall, with positive spillovers to household consumption and dwelling investment. Stronger net overseas migration, if it were to persist, would produce a similar outcome.</w:t>
      </w:r>
    </w:p>
    <w:p w14:paraId="2A59141E" w14:textId="3EB8DD6F" w:rsidR="00AF2925" w:rsidRDefault="00AF2925" w:rsidP="00367CD6">
      <w:pPr>
        <w:pStyle w:val="BodyText"/>
      </w:pPr>
      <w:r w:rsidRPr="00AF2925">
        <w:t>Another domestic risk is the potential for a spike in energy and fuel prices holding up inflation. This could be driven by the geopolitical risks mentioned above. Energy and fuel are key inputs for production and so higher prices can also flow through to other categories of inflation. They are also typical drivers of inflation expectations.</w:t>
      </w:r>
    </w:p>
    <w:p w14:paraId="28AB439F" w14:textId="23DBF4DA" w:rsidR="00650CF8" w:rsidRDefault="009B3B92" w:rsidP="00650CF8">
      <w:pPr>
        <w:pStyle w:val="Heading3"/>
      </w:pPr>
      <w:r w:rsidRPr="63AA7669">
        <w:rPr>
          <w:lang w:val="en-US"/>
        </w:rPr>
        <w:t xml:space="preserve">Extreme </w:t>
      </w:r>
      <w:r w:rsidR="00993B74" w:rsidRPr="63AA7669">
        <w:rPr>
          <w:lang w:val="en-US"/>
        </w:rPr>
        <w:t xml:space="preserve">weather events and impacts of climate </w:t>
      </w:r>
      <w:proofErr w:type="gramStart"/>
      <w:r w:rsidR="00993B74" w:rsidRPr="63AA7669">
        <w:rPr>
          <w:lang w:val="en-US"/>
        </w:rPr>
        <w:t>change</w:t>
      </w:r>
      <w:proofErr w:type="gramEnd"/>
      <w:r w:rsidR="00D43D46" w:rsidRPr="63AA7669">
        <w:rPr>
          <w:lang w:val="en-US"/>
        </w:rPr>
        <w:t xml:space="preserve"> </w:t>
      </w:r>
    </w:p>
    <w:p w14:paraId="0752E828" w14:textId="72E54E4A" w:rsidR="006C5105" w:rsidRDefault="00047419" w:rsidP="00367CD6">
      <w:pPr>
        <w:pStyle w:val="BodyText"/>
      </w:pPr>
      <w:r w:rsidRPr="2BAD2824">
        <w:t xml:space="preserve">Over the last few years, New South Wales has faced a significant number of natural disasters ranging from drought, </w:t>
      </w:r>
      <w:r w:rsidR="006C0848" w:rsidRPr="2BAD2824">
        <w:t>bushfires,</w:t>
      </w:r>
      <w:r w:rsidRPr="2BAD2824">
        <w:t xml:space="preserve"> and floods. Climate-driven natural</w:t>
      </w:r>
      <w:r w:rsidR="00C83501" w:rsidRPr="2BAD2824">
        <w:t xml:space="preserve"> </w:t>
      </w:r>
      <w:r w:rsidRPr="2BAD2824">
        <w:t xml:space="preserve">hazards are expected to become more frequent and intense. </w:t>
      </w:r>
      <w:r w:rsidR="0022068A" w:rsidRPr="2BAD2824">
        <w:t xml:space="preserve">New South </w:t>
      </w:r>
      <w:proofErr w:type="spellStart"/>
      <w:r w:rsidR="0022068A" w:rsidRPr="2BAD2824">
        <w:t>Wales</w:t>
      </w:r>
      <w:r w:rsidR="00A90BEF" w:rsidRPr="2BAD2824">
        <w:t>’</w:t>
      </w:r>
      <w:proofErr w:type="spellEnd"/>
      <w:r w:rsidR="0022068A" w:rsidRPr="2BAD2824">
        <w:t xml:space="preserve"> </w:t>
      </w:r>
      <w:r w:rsidR="000D3D8A" w:rsidRPr="2BAD2824">
        <w:rPr>
          <w:i/>
        </w:rPr>
        <w:t xml:space="preserve">2021 </w:t>
      </w:r>
      <w:r w:rsidR="0022068A" w:rsidRPr="2BAD2824">
        <w:rPr>
          <w:i/>
        </w:rPr>
        <w:t>Intergenerational Report</w:t>
      </w:r>
      <w:r w:rsidR="0022068A" w:rsidRPr="2BAD2824">
        <w:t xml:space="preserve"> </w:t>
      </w:r>
      <w:r w:rsidR="00FE1A43" w:rsidRPr="2BAD2824">
        <w:t>has estimated that the total expected economic costs associated with natural disasters are projected to increase to between $15.8 billion and $17.2 billion (real 2019-20 dollars) per year by 2061, up from $5.</w:t>
      </w:r>
      <w:r w:rsidR="081E81F9" w:rsidRPr="2BAD2824">
        <w:t>1 billion</w:t>
      </w:r>
      <w:r w:rsidR="00FE1A43" w:rsidRPr="2BAD2824">
        <w:t xml:space="preserve"> in 2020-21.</w:t>
      </w:r>
      <w:r w:rsidR="639FD94F" w:rsidRPr="2BAD2824">
        <w:t xml:space="preserve"> </w:t>
      </w:r>
      <w:r w:rsidR="007176E0" w:rsidRPr="2BAD2824">
        <w:t>More broadly, the R</w:t>
      </w:r>
      <w:r w:rsidR="00D71059" w:rsidRPr="2BAD2824">
        <w:t>eserve Bank of Australia</w:t>
      </w:r>
      <w:r w:rsidR="007176E0" w:rsidRPr="2BAD2824">
        <w:t xml:space="preserve"> has noted the heightened uncertainty around how the climate will change and how this will impact the economy and financial system.</w:t>
      </w:r>
      <w:r w:rsidR="00072E0F">
        <w:rPr>
          <w:rStyle w:val="FootnoteReference"/>
        </w:rPr>
        <w:footnoteReference w:id="4"/>
      </w:r>
    </w:p>
    <w:p w14:paraId="17280D96" w14:textId="2567E100" w:rsidR="007176E0" w:rsidRPr="00072E0F" w:rsidRDefault="007176E0" w:rsidP="00367CD6">
      <w:pPr>
        <w:pStyle w:val="BodyText"/>
        <w:rPr>
          <w:lang w:val="en-US"/>
        </w:rPr>
      </w:pPr>
      <w:r w:rsidRPr="007176E0">
        <w:t xml:space="preserve">Governments are also exposed to the increasing risk of climate change litigation in Australia and globally. In October 2023, the </w:t>
      </w:r>
      <w:r w:rsidR="000330A5">
        <w:t>Australian</w:t>
      </w:r>
      <w:r w:rsidRPr="007176E0">
        <w:t xml:space="preserve"> Government made a statement in settlement of the </w:t>
      </w:r>
      <w:r w:rsidRPr="00396E62">
        <w:rPr>
          <w:i/>
        </w:rPr>
        <w:t>Kathleen O’Donnell v. Commonwealth of Australia</w:t>
      </w:r>
      <w:r w:rsidRPr="007176E0">
        <w:t xml:space="preserve"> (filed in July 2020). In this statement, the </w:t>
      </w:r>
      <w:r w:rsidR="00EB2B34">
        <w:t>Australian</w:t>
      </w:r>
      <w:r w:rsidRPr="007176E0">
        <w:t xml:space="preserve"> Government acknowledged climate change as a systemic risk which presents significant risks and opportunities for Australia's economy, regions, industries, and communities</w:t>
      </w:r>
      <w:r w:rsidR="00EB2B34">
        <w:t xml:space="preserve">. It also noted </w:t>
      </w:r>
      <w:r w:rsidRPr="007176E0">
        <w:t xml:space="preserve">there is uncertainty about whether the fiscal impacts of climate change may affect the value of </w:t>
      </w:r>
      <w:r w:rsidR="00226FD5">
        <w:t>g</w:t>
      </w:r>
      <w:r w:rsidRPr="007176E0">
        <w:t xml:space="preserve">overnment </w:t>
      </w:r>
      <w:r w:rsidR="00226FD5">
        <w:t>s</w:t>
      </w:r>
      <w:r w:rsidRPr="007176E0">
        <w:t>ecurities.</w:t>
      </w:r>
      <w:r w:rsidR="00B11F20">
        <w:rPr>
          <w:rStyle w:val="FootnoteReference"/>
          <w:lang w:val="en-US"/>
        </w:rPr>
        <w:footnoteReference w:id="5"/>
      </w:r>
    </w:p>
    <w:p w14:paraId="66689965" w14:textId="749EF444" w:rsidR="002D7F84" w:rsidRDefault="007176E0" w:rsidP="00367CD6">
      <w:pPr>
        <w:pStyle w:val="BodyText"/>
        <w:rPr>
          <w:highlight w:val="yellow"/>
        </w:rPr>
      </w:pPr>
      <w:r w:rsidRPr="7CEC90E3">
        <w:t xml:space="preserve">In late 2023, the </w:t>
      </w:r>
      <w:r w:rsidRPr="7CEC90E3">
        <w:rPr>
          <w:i/>
        </w:rPr>
        <w:t>Climate Change (Net Zero Future) Act 2023</w:t>
      </w:r>
      <w:r w:rsidRPr="7CEC90E3">
        <w:t xml:space="preserve"> was passed through Parliament with multi-party support. This Act sets out a path to net zero by 2050, including interim emission reduction targets and an adaptation objective for N</w:t>
      </w:r>
      <w:r w:rsidR="00EB2B34" w:rsidRPr="7CEC90E3">
        <w:t xml:space="preserve">ew </w:t>
      </w:r>
      <w:r w:rsidRPr="7CEC90E3">
        <w:t>S</w:t>
      </w:r>
      <w:r w:rsidR="00EB2B34" w:rsidRPr="7CEC90E3">
        <w:t xml:space="preserve">outh </w:t>
      </w:r>
      <w:r w:rsidRPr="7CEC90E3">
        <w:t>W</w:t>
      </w:r>
      <w:r w:rsidR="00EB2B34" w:rsidRPr="7CEC90E3">
        <w:t>ales</w:t>
      </w:r>
      <w:r w:rsidRPr="7CEC90E3">
        <w:t xml:space="preserve">. It also enshrines whole-of-government climate action to deliver net zero by 2050, providing greater certainty </w:t>
      </w:r>
      <w:r w:rsidR="00963D5C" w:rsidRPr="7CEC90E3">
        <w:t>t</w:t>
      </w:r>
      <w:r w:rsidR="005F461F" w:rsidRPr="7CEC90E3">
        <w:t>o</w:t>
      </w:r>
      <w:r w:rsidR="0003452E" w:rsidRPr="7CEC90E3">
        <w:t xml:space="preserve"> the</w:t>
      </w:r>
      <w:r w:rsidR="00D55A7C" w:rsidRPr="7CEC90E3">
        <w:t xml:space="preserve"> community, </w:t>
      </w:r>
      <w:proofErr w:type="gramStart"/>
      <w:r w:rsidR="001A5E46" w:rsidRPr="7CEC90E3">
        <w:t>businesses</w:t>
      </w:r>
      <w:proofErr w:type="gramEnd"/>
      <w:r w:rsidR="001A5E46" w:rsidRPr="7CEC90E3">
        <w:t xml:space="preserve"> and other</w:t>
      </w:r>
      <w:r w:rsidR="002F2AAC" w:rsidRPr="7CEC90E3">
        <w:t xml:space="preserve"> </w:t>
      </w:r>
      <w:r w:rsidRPr="7CEC90E3">
        <w:t>market participants.</w:t>
      </w:r>
    </w:p>
    <w:p w14:paraId="45F18616" w14:textId="3A8A5A7C" w:rsidR="002D7F84" w:rsidRPr="00396E62" w:rsidRDefault="002D7F84" w:rsidP="00396E62">
      <w:pPr>
        <w:pStyle w:val="Heading3"/>
        <w:rPr>
          <w:lang w:val="en-US"/>
        </w:rPr>
      </w:pPr>
      <w:r w:rsidRPr="00396E62">
        <w:rPr>
          <w:lang w:val="en-US"/>
        </w:rPr>
        <w:t>Cybersecurity risks</w:t>
      </w:r>
    </w:p>
    <w:p w14:paraId="34839FE7" w14:textId="0B94D957" w:rsidR="00B24869" w:rsidRPr="00084B3F" w:rsidRDefault="00117019" w:rsidP="00367CD6">
      <w:pPr>
        <w:pStyle w:val="BodyText"/>
        <w:rPr>
          <w:highlight w:val="yellow"/>
          <w:lang w:val="en-US"/>
        </w:rPr>
      </w:pPr>
      <w:r w:rsidRPr="3C48B1A5">
        <w:t>NSW Government agencies must adhere to the mandatory requirements set out in the NSW</w:t>
      </w:r>
      <w:r w:rsidRPr="3C48B1A5" w:rsidDel="00EC4F94">
        <w:t xml:space="preserve"> </w:t>
      </w:r>
      <w:r w:rsidRPr="3C48B1A5">
        <w:t>Cyber Security Policy to ensure cyber security risks to their information and systems are appropriately managed. However, the volume and sophistication of cyber</w:t>
      </w:r>
      <w:r w:rsidR="00037920" w:rsidRPr="00037920">
        <w:t>-</w:t>
      </w:r>
      <w:r w:rsidRPr="3C48B1A5">
        <w:t xml:space="preserve">attacks are increasing. </w:t>
      </w:r>
      <w:r w:rsidRPr="3C48B1A5" w:rsidDel="00117019">
        <w:t xml:space="preserve">In March 2020, Service NSW was the victim of a criminal cyber-attack which resulted in personal information being compromised. </w:t>
      </w:r>
      <w:r w:rsidRPr="3C48B1A5">
        <w:t>The timing and</w:t>
      </w:r>
      <w:r w:rsidR="00920C27" w:rsidRPr="00920C27">
        <w:t xml:space="preserve"> </w:t>
      </w:r>
      <w:r w:rsidR="00BE457E">
        <w:t>financial</w:t>
      </w:r>
      <w:r w:rsidRPr="3C48B1A5">
        <w:t xml:space="preserve"> impact of a cyber</w:t>
      </w:r>
      <w:r w:rsidR="00037920" w:rsidRPr="00037920" w:rsidDel="000572E9">
        <w:t>-</w:t>
      </w:r>
      <w:r w:rsidRPr="3C48B1A5">
        <w:t xml:space="preserve">attack is </w:t>
      </w:r>
      <w:proofErr w:type="gramStart"/>
      <w:r w:rsidRPr="3C48B1A5">
        <w:t>uncertain</w:t>
      </w:r>
      <w:r w:rsidR="00A2628A">
        <w:t>, and</w:t>
      </w:r>
      <w:proofErr w:type="gramEnd"/>
      <w:r w:rsidR="00A2628A">
        <w:t xml:space="preserve"> </w:t>
      </w:r>
      <w:r w:rsidRPr="3C48B1A5">
        <w:t>can be significant.</w:t>
      </w:r>
    </w:p>
    <w:sectPr w:rsidR="00B24869" w:rsidRPr="00084B3F" w:rsidSect="005248DD">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0E969" w14:textId="77777777" w:rsidR="00196684" w:rsidRDefault="00196684">
      <w:r>
        <w:separator/>
      </w:r>
    </w:p>
  </w:endnote>
  <w:endnote w:type="continuationSeparator" w:id="0">
    <w:p w14:paraId="493978BC" w14:textId="77777777" w:rsidR="00196684" w:rsidRDefault="00196684">
      <w:r>
        <w:continuationSeparator/>
      </w:r>
    </w:p>
  </w:endnote>
  <w:endnote w:type="continuationNotice" w:id="1">
    <w:p w14:paraId="0671756A" w14:textId="77777777" w:rsidR="00196684" w:rsidRDefault="00196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54D06" w14:textId="6A495620" w:rsidR="00D7412D" w:rsidRPr="00BB29D7" w:rsidRDefault="00D7412D" w:rsidP="00084B3F">
    <w:pPr>
      <w:pBdr>
        <w:top w:val="single" w:sz="4" w:space="4" w:color="auto"/>
      </w:pBdr>
      <w:tabs>
        <w:tab w:val="right" w:pos="9639"/>
      </w:tabs>
      <w:rPr>
        <w:sz w:val="14"/>
        <w:szCs w:val="14"/>
      </w:rPr>
    </w:pPr>
    <w:r>
      <w:rPr>
        <w:rFonts w:ascii="Public Sans" w:hAnsi="Public Sans" w:cs="Arial"/>
        <w:sz w:val="18"/>
        <w:szCs w:val="18"/>
      </w:rPr>
      <w:t>B</w:t>
    </w:r>
    <w:r w:rsidRPr="00343559">
      <w:rPr>
        <w:rFonts w:ascii="Public Sans" w:hAnsi="Public Sans" w:cs="Arial"/>
        <w:sz w:val="18"/>
        <w:szCs w:val="18"/>
      </w:rPr>
      <w:t xml:space="preserve"> - </w:t>
    </w:r>
    <w:r w:rsidRPr="00343559">
      <w:rPr>
        <w:rFonts w:ascii="Public Sans" w:hAnsi="Public Sans" w:cs="Arial"/>
        <w:sz w:val="18"/>
        <w:szCs w:val="18"/>
      </w:rPr>
      <w:fldChar w:fldCharType="begin"/>
    </w:r>
    <w:r w:rsidRPr="00343559">
      <w:rPr>
        <w:rFonts w:ascii="Public Sans" w:hAnsi="Public Sans" w:cs="Arial"/>
        <w:sz w:val="18"/>
        <w:szCs w:val="18"/>
      </w:rPr>
      <w:instrText xml:space="preserve"> PAGE   \* MERGEFORMAT </w:instrText>
    </w:r>
    <w:r w:rsidRPr="00343559">
      <w:rPr>
        <w:rFonts w:ascii="Public Sans" w:hAnsi="Public Sans" w:cs="Arial"/>
        <w:sz w:val="18"/>
        <w:szCs w:val="18"/>
      </w:rPr>
      <w:fldChar w:fldCharType="separate"/>
    </w:r>
    <w:r w:rsidRPr="00343559">
      <w:rPr>
        <w:rFonts w:ascii="Public Sans" w:hAnsi="Public Sans" w:cs="Arial"/>
        <w:sz w:val="18"/>
        <w:szCs w:val="18"/>
      </w:rPr>
      <w:t>1</w:t>
    </w:r>
    <w:r w:rsidRPr="00343559">
      <w:rPr>
        <w:rFonts w:ascii="Public Sans" w:hAnsi="Public Sans" w:cs="Arial"/>
        <w:noProof/>
        <w:sz w:val="18"/>
        <w:szCs w:val="18"/>
      </w:rPr>
      <w:fldChar w:fldCharType="end"/>
    </w:r>
    <w:r w:rsidRPr="00343559">
      <w:rPr>
        <w:rFonts w:ascii="Public Sans" w:hAnsi="Public Sans" w:cs="Arial"/>
        <w:noProof/>
        <w:sz w:val="18"/>
        <w:szCs w:val="18"/>
      </w:rPr>
      <w:tab/>
    </w:r>
    <w:r w:rsidR="00393475" w:rsidRPr="00343559">
      <w:rPr>
        <w:rFonts w:ascii="Public Sans" w:hAnsi="Public Sans" w:cs="Arial"/>
        <w:sz w:val="18"/>
        <w:szCs w:val="18"/>
      </w:rPr>
      <w:t>202</w:t>
    </w:r>
    <w:r w:rsidR="00393475">
      <w:rPr>
        <w:rFonts w:ascii="Public Sans" w:hAnsi="Public Sans" w:cs="Arial"/>
        <w:sz w:val="18"/>
        <w:szCs w:val="18"/>
      </w:rPr>
      <w:t>4</w:t>
    </w:r>
    <w:r w:rsidR="00393475" w:rsidRPr="00343559">
      <w:rPr>
        <w:rFonts w:ascii="Public Sans" w:hAnsi="Public Sans" w:cs="Arial"/>
        <w:sz w:val="18"/>
        <w:szCs w:val="18"/>
      </w:rPr>
      <w:t>-2</w:t>
    </w:r>
    <w:r w:rsidR="00393475">
      <w:rPr>
        <w:rFonts w:ascii="Public Sans" w:hAnsi="Public Sans" w:cs="Arial"/>
        <w:sz w:val="18"/>
        <w:szCs w:val="18"/>
      </w:rPr>
      <w:t xml:space="preserve">5 </w:t>
    </w:r>
    <w:r w:rsidRPr="00343559">
      <w:rPr>
        <w:rFonts w:ascii="Public Sans" w:hAnsi="Public Sans" w:cs="Arial"/>
        <w:sz w:val="18"/>
        <w:szCs w:val="18"/>
      </w:rPr>
      <w:t>Budget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50352" w14:textId="74A38507" w:rsidR="00D7412D" w:rsidRPr="00BB29D7" w:rsidRDefault="00393475" w:rsidP="00592CD5">
    <w:pPr>
      <w:pBdr>
        <w:top w:val="single" w:sz="4" w:space="4" w:color="auto"/>
      </w:pBdr>
      <w:tabs>
        <w:tab w:val="right" w:pos="9639"/>
      </w:tabs>
      <w:rPr>
        <w:sz w:val="14"/>
        <w:szCs w:val="14"/>
      </w:rPr>
    </w:pPr>
    <w:r w:rsidRPr="00343559">
      <w:rPr>
        <w:rFonts w:ascii="Public Sans" w:hAnsi="Public Sans" w:cs="Arial"/>
        <w:sz w:val="18"/>
        <w:szCs w:val="18"/>
      </w:rPr>
      <w:t>202</w:t>
    </w:r>
    <w:r>
      <w:rPr>
        <w:rFonts w:ascii="Public Sans" w:hAnsi="Public Sans" w:cs="Arial"/>
        <w:sz w:val="18"/>
        <w:szCs w:val="18"/>
      </w:rPr>
      <w:t>4</w:t>
    </w:r>
    <w:r w:rsidRPr="00343559">
      <w:rPr>
        <w:rFonts w:ascii="Public Sans" w:hAnsi="Public Sans" w:cs="Arial"/>
        <w:sz w:val="18"/>
        <w:szCs w:val="18"/>
      </w:rPr>
      <w:t>-2</w:t>
    </w:r>
    <w:r>
      <w:rPr>
        <w:rFonts w:ascii="Public Sans" w:hAnsi="Public Sans" w:cs="Arial"/>
        <w:sz w:val="18"/>
        <w:szCs w:val="18"/>
      </w:rPr>
      <w:t xml:space="preserve">5 </w:t>
    </w:r>
    <w:r w:rsidR="00D7412D" w:rsidRPr="00343559">
      <w:rPr>
        <w:rFonts w:ascii="Public Sans" w:hAnsi="Public Sans" w:cs="Arial"/>
        <w:sz w:val="18"/>
        <w:szCs w:val="18"/>
      </w:rPr>
      <w:t>Budget Statement</w:t>
    </w:r>
    <w:r w:rsidR="00D7412D" w:rsidRPr="00343559">
      <w:rPr>
        <w:rFonts w:ascii="Public Sans" w:hAnsi="Public Sans" w:cs="Arial"/>
        <w:sz w:val="18"/>
        <w:szCs w:val="18"/>
      </w:rPr>
      <w:tab/>
    </w:r>
    <w:r w:rsidR="00D7412D">
      <w:rPr>
        <w:rFonts w:ascii="Public Sans" w:hAnsi="Public Sans" w:cs="Arial"/>
        <w:sz w:val="18"/>
        <w:szCs w:val="18"/>
      </w:rPr>
      <w:t>B</w:t>
    </w:r>
    <w:r w:rsidR="00D7412D" w:rsidRPr="00343559">
      <w:rPr>
        <w:rFonts w:ascii="Public Sans" w:hAnsi="Public Sans" w:cs="Arial"/>
        <w:sz w:val="18"/>
        <w:szCs w:val="18"/>
      </w:rPr>
      <w:t xml:space="preserve"> - </w:t>
    </w:r>
    <w:r w:rsidR="00D7412D" w:rsidRPr="00343559">
      <w:rPr>
        <w:rFonts w:ascii="Public Sans" w:hAnsi="Public Sans" w:cs="Arial"/>
        <w:sz w:val="18"/>
        <w:szCs w:val="18"/>
      </w:rPr>
      <w:fldChar w:fldCharType="begin"/>
    </w:r>
    <w:r w:rsidR="00D7412D" w:rsidRPr="00343559">
      <w:rPr>
        <w:rFonts w:ascii="Public Sans" w:hAnsi="Public Sans" w:cs="Arial"/>
        <w:sz w:val="18"/>
        <w:szCs w:val="18"/>
      </w:rPr>
      <w:instrText xml:space="preserve"> PAGE   \* MERGEFORMAT </w:instrText>
    </w:r>
    <w:r w:rsidR="00D7412D" w:rsidRPr="00343559">
      <w:rPr>
        <w:rFonts w:ascii="Public Sans" w:hAnsi="Public Sans" w:cs="Arial"/>
        <w:sz w:val="18"/>
        <w:szCs w:val="18"/>
      </w:rPr>
      <w:fldChar w:fldCharType="separate"/>
    </w:r>
    <w:r w:rsidR="00D7412D" w:rsidRPr="00343559">
      <w:rPr>
        <w:rFonts w:ascii="Public Sans" w:hAnsi="Public Sans" w:cs="Arial"/>
        <w:sz w:val="18"/>
        <w:szCs w:val="18"/>
      </w:rPr>
      <w:t>4</w:t>
    </w:r>
    <w:r w:rsidR="00D7412D" w:rsidRPr="00343559">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C2CCB" w14:textId="1E8D4F37" w:rsidR="00D7412D" w:rsidRPr="00BB29D7" w:rsidRDefault="00393475" w:rsidP="00084B3F">
    <w:pPr>
      <w:pBdr>
        <w:top w:val="single" w:sz="4" w:space="4" w:color="auto"/>
      </w:pBdr>
      <w:tabs>
        <w:tab w:val="right" w:pos="9639"/>
      </w:tabs>
      <w:rPr>
        <w:sz w:val="14"/>
        <w:szCs w:val="14"/>
      </w:rPr>
    </w:pPr>
    <w:r w:rsidRPr="00343559">
      <w:rPr>
        <w:rFonts w:ascii="Public Sans" w:hAnsi="Public Sans" w:cs="Arial"/>
        <w:sz w:val="18"/>
        <w:szCs w:val="18"/>
      </w:rPr>
      <w:t>202</w:t>
    </w:r>
    <w:r>
      <w:rPr>
        <w:rFonts w:ascii="Public Sans" w:hAnsi="Public Sans" w:cs="Arial"/>
        <w:sz w:val="18"/>
        <w:szCs w:val="18"/>
      </w:rPr>
      <w:t>4</w:t>
    </w:r>
    <w:r w:rsidRPr="00343559">
      <w:rPr>
        <w:rFonts w:ascii="Public Sans" w:hAnsi="Public Sans" w:cs="Arial"/>
        <w:sz w:val="18"/>
        <w:szCs w:val="18"/>
      </w:rPr>
      <w:t>-2</w:t>
    </w:r>
    <w:r>
      <w:rPr>
        <w:rFonts w:ascii="Public Sans" w:hAnsi="Public Sans" w:cs="Arial"/>
        <w:sz w:val="18"/>
        <w:szCs w:val="18"/>
      </w:rPr>
      <w:t xml:space="preserve">5 </w:t>
    </w:r>
    <w:r w:rsidR="00D7412D" w:rsidRPr="00343559">
      <w:rPr>
        <w:rFonts w:ascii="Public Sans" w:hAnsi="Public Sans" w:cs="Arial"/>
        <w:sz w:val="18"/>
        <w:szCs w:val="18"/>
      </w:rPr>
      <w:t>Budget Statement</w:t>
    </w:r>
    <w:r w:rsidR="00D7412D" w:rsidRPr="00343559">
      <w:rPr>
        <w:rFonts w:ascii="Public Sans" w:hAnsi="Public Sans" w:cs="Arial"/>
        <w:sz w:val="18"/>
        <w:szCs w:val="18"/>
      </w:rPr>
      <w:tab/>
    </w:r>
    <w:r w:rsidR="00D7412D">
      <w:rPr>
        <w:rFonts w:ascii="Public Sans" w:hAnsi="Public Sans" w:cs="Arial"/>
        <w:sz w:val="18"/>
        <w:szCs w:val="18"/>
      </w:rPr>
      <w:t>B</w:t>
    </w:r>
    <w:r w:rsidR="00D7412D" w:rsidRPr="00343559">
      <w:rPr>
        <w:rFonts w:ascii="Public Sans" w:hAnsi="Public Sans" w:cs="Arial"/>
        <w:sz w:val="18"/>
        <w:szCs w:val="18"/>
      </w:rPr>
      <w:t xml:space="preserve"> - </w:t>
    </w:r>
    <w:r w:rsidR="00D7412D" w:rsidRPr="00343559">
      <w:rPr>
        <w:rFonts w:ascii="Public Sans" w:hAnsi="Public Sans" w:cs="Arial"/>
        <w:sz w:val="18"/>
        <w:szCs w:val="18"/>
      </w:rPr>
      <w:fldChar w:fldCharType="begin"/>
    </w:r>
    <w:r w:rsidR="00D7412D" w:rsidRPr="00343559">
      <w:rPr>
        <w:rFonts w:ascii="Public Sans" w:hAnsi="Public Sans" w:cs="Arial"/>
        <w:sz w:val="18"/>
        <w:szCs w:val="18"/>
      </w:rPr>
      <w:instrText xml:space="preserve"> PAGE   \* MERGEFORMAT </w:instrText>
    </w:r>
    <w:r w:rsidR="00D7412D" w:rsidRPr="00343559">
      <w:rPr>
        <w:rFonts w:ascii="Public Sans" w:hAnsi="Public Sans" w:cs="Arial"/>
        <w:sz w:val="18"/>
        <w:szCs w:val="18"/>
      </w:rPr>
      <w:fldChar w:fldCharType="separate"/>
    </w:r>
    <w:r w:rsidR="00D7412D" w:rsidRPr="00343559">
      <w:rPr>
        <w:rFonts w:ascii="Public Sans" w:hAnsi="Public Sans" w:cs="Arial"/>
        <w:sz w:val="18"/>
        <w:szCs w:val="18"/>
      </w:rPr>
      <w:t>4</w:t>
    </w:r>
    <w:r w:rsidR="00D7412D" w:rsidRPr="00343559">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12BB7" w14:textId="77777777" w:rsidR="00196684" w:rsidRDefault="00196684">
      <w:pPr>
        <w:spacing w:before="120"/>
      </w:pPr>
      <w:r>
        <w:separator/>
      </w:r>
    </w:p>
  </w:footnote>
  <w:footnote w:type="continuationSeparator" w:id="0">
    <w:p w14:paraId="4D733AC2" w14:textId="77777777" w:rsidR="00196684" w:rsidRDefault="00196684">
      <w:pPr>
        <w:spacing w:before="120"/>
      </w:pPr>
      <w:r>
        <w:continuationSeparator/>
      </w:r>
    </w:p>
  </w:footnote>
  <w:footnote w:type="continuationNotice" w:id="1">
    <w:p w14:paraId="5C359D9C" w14:textId="77777777" w:rsidR="00196684" w:rsidRDefault="00196684">
      <w:pPr>
        <w:rPr>
          <w:sz w:val="16"/>
        </w:rPr>
      </w:pPr>
    </w:p>
  </w:footnote>
  <w:footnote w:id="2">
    <w:p w14:paraId="5BAF39D9" w14:textId="28EDBC39" w:rsidR="00650CF8" w:rsidRPr="006B2CB2" w:rsidRDefault="00650CF8" w:rsidP="00CB3C42">
      <w:pPr>
        <w:pStyle w:val="Footnotestyle"/>
      </w:pPr>
      <w:r w:rsidRPr="00E4159B">
        <w:rPr>
          <w:rStyle w:val="FootnoteReference"/>
          <w:rFonts w:cs="Arial"/>
          <w:iCs/>
          <w:sz w:val="17"/>
          <w:szCs w:val="17"/>
        </w:rPr>
        <w:footnoteRef/>
      </w:r>
      <w:r w:rsidRPr="006B2CB2">
        <w:tab/>
        <w:t>The Budget includes allowances for Parameter and Technical Adjustment</w:t>
      </w:r>
      <w:r w:rsidR="00247BF4">
        <w:t>s</w:t>
      </w:r>
      <w:r w:rsidRPr="006B2CB2">
        <w:t xml:space="preserve"> and anticipated timing changes. See Chapter 5 Expenditure for more information.</w:t>
      </w:r>
    </w:p>
  </w:footnote>
  <w:footnote w:id="3">
    <w:p w14:paraId="020B01E3" w14:textId="23DE4E9B" w:rsidR="00D64BA9" w:rsidRPr="006B2CB2" w:rsidRDefault="00D64BA9" w:rsidP="00D64BA9">
      <w:pPr>
        <w:pStyle w:val="Footnotestyle"/>
        <w:ind w:hanging="283"/>
      </w:pPr>
      <w:r w:rsidRPr="00E4159B">
        <w:rPr>
          <w:rStyle w:val="FootnoteReference"/>
          <w:rFonts w:cs="Arial"/>
          <w:iCs/>
          <w:sz w:val="17"/>
          <w:szCs w:val="17"/>
        </w:rPr>
        <w:footnoteRef/>
      </w:r>
      <w:r w:rsidRPr="006B2CB2">
        <w:tab/>
      </w:r>
      <w:r>
        <w:t>Superannuation expenses</w:t>
      </w:r>
      <w:r w:rsidR="00D34FC2">
        <w:t xml:space="preserve"> are reflected in the Superannuation Interest Cost and Other Superannuation </w:t>
      </w:r>
      <w:r w:rsidR="00936B82">
        <w:t xml:space="preserve">expenses lines on the operating statement. </w:t>
      </w:r>
    </w:p>
  </w:footnote>
  <w:footnote w:id="4">
    <w:p w14:paraId="3E9ABA64" w14:textId="07ACCE20" w:rsidR="00072E0F" w:rsidRPr="00367CD6" w:rsidRDefault="00072E0F" w:rsidP="00367CD6">
      <w:pPr>
        <w:pStyle w:val="Footnotestyle"/>
        <w:ind w:hanging="283"/>
        <w:rPr>
          <w:i/>
        </w:rPr>
      </w:pPr>
      <w:r w:rsidRPr="00F61FD9">
        <w:rPr>
          <w:vertAlign w:val="superscript"/>
        </w:rPr>
        <w:footnoteRef/>
      </w:r>
      <w:r w:rsidR="00475A7D">
        <w:rPr>
          <w:vertAlign w:val="superscript"/>
        </w:rPr>
        <w:tab/>
      </w:r>
      <w:r w:rsidR="008F45B9" w:rsidRPr="005E3D2F">
        <w:t>Climate Change and Central Banks, 29 August 2023</w:t>
      </w:r>
      <w:r w:rsidR="003F721A" w:rsidRPr="005E3D2F">
        <w:t>, Reserve Bank of Australia</w:t>
      </w:r>
      <w:r w:rsidR="00475A7D">
        <w:t>.</w:t>
      </w:r>
    </w:p>
  </w:footnote>
  <w:footnote w:id="5">
    <w:p w14:paraId="1E70734F" w14:textId="0C745AD1" w:rsidR="00B11F20" w:rsidRPr="00DA7AEF" w:rsidRDefault="00B11F20" w:rsidP="00367CD6">
      <w:pPr>
        <w:pStyle w:val="Footnotestyle"/>
        <w:ind w:hanging="283"/>
        <w:rPr>
          <w:lang w:val="en-AU"/>
        </w:rPr>
      </w:pPr>
      <w:r w:rsidRPr="00F61FD9">
        <w:rPr>
          <w:vertAlign w:val="superscript"/>
        </w:rPr>
        <w:footnoteRef/>
      </w:r>
      <w:r w:rsidR="00442CD8" w:rsidRPr="00367CD6">
        <w:rPr>
          <w:vertAlign w:val="superscript"/>
        </w:rPr>
        <w:t xml:space="preserve"> </w:t>
      </w:r>
      <w:r w:rsidR="00475A7D">
        <w:rPr>
          <w:vertAlign w:val="superscript"/>
        </w:rPr>
        <w:tab/>
      </w:r>
      <w:r w:rsidR="00442CD8" w:rsidRPr="005E3D2F">
        <w:t>Statement on O’Donnell v Commonwealth, 16 October 2023</w:t>
      </w:r>
      <w:r w:rsidR="003F721A" w:rsidRPr="005E3D2F">
        <w:t>,</w:t>
      </w:r>
      <w:r w:rsidR="00442CD8" w:rsidRPr="005E3D2F">
        <w:t xml:space="preserve"> </w:t>
      </w:r>
      <w:r w:rsidR="003F721A" w:rsidRPr="005E3D2F">
        <w:t>The Treasury</w:t>
      </w:r>
      <w:r w:rsidR="00475A7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6D40" w14:textId="77777777" w:rsidR="006B6116" w:rsidRPr="005E703A" w:rsidRDefault="006B6116" w:rsidP="006B6116">
    <w:pPr>
      <w:pBdr>
        <w:bottom w:val="single" w:sz="4" w:space="4" w:color="auto"/>
      </w:pBdr>
      <w:rPr>
        <w:rFonts w:ascii="Public Sans" w:eastAsia="Calibri" w:hAnsi="Public Sans" w:cs="Arial"/>
        <w:sz w:val="18"/>
        <w:szCs w:val="18"/>
      </w:rPr>
    </w:pPr>
    <w:r w:rsidRPr="005E703A">
      <w:rPr>
        <w:rFonts w:ascii="Public Sans" w:eastAsia="Calibri" w:hAnsi="Public Sans" w:cs="Arial"/>
        <w:sz w:val="18"/>
        <w:szCs w:val="18"/>
      </w:rPr>
      <w:t>Fiscal Risks and Budget Sensitivities</w:t>
    </w:r>
  </w:p>
  <w:p w14:paraId="439DB458" w14:textId="77777777" w:rsidR="009E5213" w:rsidRDefault="009E5213" w:rsidP="009E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95854" w14:textId="77777777" w:rsidR="006B6116" w:rsidRPr="005E703A" w:rsidRDefault="006B6116" w:rsidP="006B6116">
    <w:pPr>
      <w:pBdr>
        <w:bottom w:val="single" w:sz="4" w:space="4" w:color="auto"/>
      </w:pBdr>
      <w:jc w:val="right"/>
      <w:rPr>
        <w:rFonts w:ascii="Public Sans" w:eastAsia="Calibri" w:hAnsi="Public Sans" w:cs="Arial"/>
        <w:sz w:val="18"/>
        <w:szCs w:val="18"/>
      </w:rPr>
    </w:pPr>
    <w:r w:rsidRPr="005E703A">
      <w:rPr>
        <w:rFonts w:ascii="Public Sans" w:eastAsia="Calibri" w:hAnsi="Public Sans" w:cs="Arial"/>
        <w:sz w:val="18"/>
        <w:szCs w:val="18"/>
      </w:rPr>
      <w:t>Fiscal Risks and Budget Sensitivities</w:t>
    </w:r>
  </w:p>
  <w:p w14:paraId="08E06F2E" w14:textId="4AF50764" w:rsidR="009E5213" w:rsidRPr="006B6116" w:rsidRDefault="009E5213" w:rsidP="006B6116">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D17F3" w14:textId="68288F1C" w:rsidR="00454D52" w:rsidRPr="006046B8" w:rsidRDefault="00454D52" w:rsidP="00604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DE6A3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E2770"/>
    <w:multiLevelType w:val="hybridMultilevel"/>
    <w:tmpl w:val="05ECAC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9716A"/>
    <w:multiLevelType w:val="hybridMultilevel"/>
    <w:tmpl w:val="C082C432"/>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22B50"/>
    <w:multiLevelType w:val="hybridMultilevel"/>
    <w:tmpl w:val="733A01DE"/>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860651"/>
    <w:multiLevelType w:val="hybridMultilevel"/>
    <w:tmpl w:val="F820858C"/>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EF3ACE"/>
    <w:multiLevelType w:val="hybridMultilevel"/>
    <w:tmpl w:val="B47CB10E"/>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0A161376"/>
    <w:multiLevelType w:val="hybridMultilevel"/>
    <w:tmpl w:val="16D6829E"/>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BE3C9A"/>
    <w:multiLevelType w:val="hybridMultilevel"/>
    <w:tmpl w:val="3ED26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D475E7"/>
    <w:multiLevelType w:val="hybridMultilevel"/>
    <w:tmpl w:val="4664EE9E"/>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7833DA"/>
    <w:multiLevelType w:val="hybridMultilevel"/>
    <w:tmpl w:val="78DAD1E4"/>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3" w15:restartNumberingAfterBreak="0">
    <w:nsid w:val="12CC3D73"/>
    <w:multiLevelType w:val="hybridMultilevel"/>
    <w:tmpl w:val="5EBCE454"/>
    <w:lvl w:ilvl="0" w:tplc="CA662B1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307FD1"/>
    <w:multiLevelType w:val="hybridMultilevel"/>
    <w:tmpl w:val="5F0A8388"/>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6A331C"/>
    <w:multiLevelType w:val="hybridMultilevel"/>
    <w:tmpl w:val="34306B3E"/>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D73A11"/>
    <w:multiLevelType w:val="hybridMultilevel"/>
    <w:tmpl w:val="61E85D8E"/>
    <w:lvl w:ilvl="0" w:tplc="999A11A4">
      <w:start w:val="1"/>
      <w:numFmt w:val="bullet"/>
      <w:pStyle w:val="Bullet"/>
      <w:lvlText w:val=""/>
      <w:lvlJc w:val="left"/>
      <w:pPr>
        <w:tabs>
          <w:tab w:val="num" w:pos="113"/>
        </w:tabs>
        <w:ind w:left="0" w:firstLine="113"/>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8" w15:restartNumberingAfterBreak="0">
    <w:nsid w:val="203C5D67"/>
    <w:multiLevelType w:val="hybridMultilevel"/>
    <w:tmpl w:val="3D1E0D70"/>
    <w:lvl w:ilvl="0" w:tplc="D5049D7C">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5006D5"/>
    <w:multiLevelType w:val="hybridMultilevel"/>
    <w:tmpl w:val="5D7CED7C"/>
    <w:lvl w:ilvl="0" w:tplc="2564E418">
      <w:start w:val="1"/>
      <w:numFmt w:val="lowerLetter"/>
      <w:pStyle w:val="Tablefootnote"/>
      <w:lvlText w:val="(%1)"/>
      <w:lvlJc w:val="left"/>
      <w:pPr>
        <w:ind w:left="720" w:hanging="360"/>
      </w:pPr>
      <w:rPr>
        <w:rFonts w:ascii="Arial" w:hAnsi="Arial" w:cs="Times New Roman" w:hint="default"/>
        <w:b w:val="0"/>
        <w:i w:val="0"/>
        <w:caps w:val="0"/>
        <w:color w:val="auto"/>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597091"/>
    <w:multiLevelType w:val="hybridMultilevel"/>
    <w:tmpl w:val="4F3C3368"/>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DE7142"/>
    <w:multiLevelType w:val="hybridMultilevel"/>
    <w:tmpl w:val="077EAFD8"/>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7856019"/>
    <w:multiLevelType w:val="hybridMultilevel"/>
    <w:tmpl w:val="7AB29830"/>
    <w:lvl w:ilvl="0" w:tplc="3A8EDC52">
      <w:start w:val="1"/>
      <w:numFmt w:val="bullet"/>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846FD5"/>
    <w:multiLevelType w:val="hybridMultilevel"/>
    <w:tmpl w:val="D076FF48"/>
    <w:lvl w:ilvl="0" w:tplc="572E11E0">
      <w:start w:val="1"/>
      <w:numFmt w:val="decimal"/>
      <w:pStyle w:val="B1Heading2"/>
      <w:lvlText w:val="B.%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B3672BE"/>
    <w:multiLevelType w:val="hybridMultilevel"/>
    <w:tmpl w:val="15943232"/>
    <w:lvl w:ilvl="0" w:tplc="0AF0FFD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C16028F"/>
    <w:multiLevelType w:val="hybridMultilevel"/>
    <w:tmpl w:val="F8707472"/>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EB35209"/>
    <w:multiLevelType w:val="hybridMultilevel"/>
    <w:tmpl w:val="E870988E"/>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0E73AFC"/>
    <w:multiLevelType w:val="hybridMultilevel"/>
    <w:tmpl w:val="10B683E6"/>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1100178"/>
    <w:multiLevelType w:val="hybridMultilevel"/>
    <w:tmpl w:val="EF8A198C"/>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17F110F"/>
    <w:multiLevelType w:val="hybridMultilevel"/>
    <w:tmpl w:val="B820474C"/>
    <w:lvl w:ilvl="0" w:tplc="FFFFFFFF">
      <w:start w:val="1"/>
      <w:numFmt w:val="lowerLetter"/>
      <w:lvlText w:val="(%1)"/>
      <w:lvlJc w:val="left"/>
      <w:pPr>
        <w:ind w:left="360" w:hanging="360"/>
      </w:pPr>
      <w:rPr>
        <w:rFonts w:ascii="Public Sans" w:hAnsi="Public Sans" w:hint="default"/>
        <w:sz w:val="17"/>
        <w:szCs w:val="17"/>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1AA0CF2"/>
    <w:multiLevelType w:val="hybridMultilevel"/>
    <w:tmpl w:val="9D8EE3AA"/>
    <w:lvl w:ilvl="0" w:tplc="9F4E22E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1D329E6"/>
    <w:multiLevelType w:val="hybridMultilevel"/>
    <w:tmpl w:val="1936A206"/>
    <w:lvl w:ilvl="0" w:tplc="5F189EF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2B327C4"/>
    <w:multiLevelType w:val="hybridMultilevel"/>
    <w:tmpl w:val="869A3C52"/>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2D55888"/>
    <w:multiLevelType w:val="hybridMultilevel"/>
    <w:tmpl w:val="A20C5126"/>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40B5989"/>
    <w:multiLevelType w:val="hybridMultilevel"/>
    <w:tmpl w:val="71BE1B06"/>
    <w:lvl w:ilvl="0" w:tplc="D53CD6DC">
      <w:start w:val="1"/>
      <w:numFmt w:val="decimal"/>
      <w:lvlText w:val="Chart 3.%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5A2397A"/>
    <w:multiLevelType w:val="hybridMultilevel"/>
    <w:tmpl w:val="81367C96"/>
    <w:lvl w:ilvl="0" w:tplc="E8FE0DA8">
      <w:start w:val="1"/>
      <w:numFmt w:val="lowerLetter"/>
      <w:lvlText w:val="(%1)"/>
      <w:lvlJc w:val="left"/>
      <w:pPr>
        <w:ind w:left="360" w:hanging="360"/>
      </w:pPr>
      <w:rPr>
        <w:rFonts w:ascii="Public Sans" w:hAnsi="Public Sans" w:cs="Arial" w:hint="default"/>
        <w:i w:val="0"/>
        <w:iCs w:val="0"/>
        <w:sz w:val="17"/>
        <w:szCs w:val="17"/>
      </w:rPr>
    </w:lvl>
    <w:lvl w:ilvl="1" w:tplc="336E6DC4">
      <w:start w:val="1"/>
      <w:numFmt w:val="bullet"/>
      <w:lvlText w:val="o"/>
      <w:lvlJc w:val="left"/>
      <w:pPr>
        <w:ind w:left="1080" w:hanging="360"/>
      </w:pPr>
      <w:rPr>
        <w:rFonts w:ascii="Courier New" w:hAnsi="Courier New" w:hint="default"/>
      </w:rPr>
    </w:lvl>
    <w:lvl w:ilvl="2" w:tplc="54A6D89A">
      <w:start w:val="1"/>
      <w:numFmt w:val="bullet"/>
      <w:lvlText w:val=""/>
      <w:lvlJc w:val="left"/>
      <w:pPr>
        <w:ind w:left="1800" w:hanging="360"/>
      </w:pPr>
      <w:rPr>
        <w:rFonts w:ascii="Wingdings" w:hAnsi="Wingdings" w:hint="default"/>
      </w:rPr>
    </w:lvl>
    <w:lvl w:ilvl="3" w:tplc="4A7E5B48">
      <w:start w:val="1"/>
      <w:numFmt w:val="bullet"/>
      <w:lvlText w:val=""/>
      <w:lvlJc w:val="left"/>
      <w:pPr>
        <w:ind w:left="2520" w:hanging="360"/>
      </w:pPr>
      <w:rPr>
        <w:rFonts w:ascii="Symbol" w:hAnsi="Symbol" w:hint="default"/>
      </w:rPr>
    </w:lvl>
    <w:lvl w:ilvl="4" w:tplc="2F00579C">
      <w:start w:val="1"/>
      <w:numFmt w:val="bullet"/>
      <w:lvlText w:val="o"/>
      <w:lvlJc w:val="left"/>
      <w:pPr>
        <w:ind w:left="3240" w:hanging="360"/>
      </w:pPr>
      <w:rPr>
        <w:rFonts w:ascii="Courier New" w:hAnsi="Courier New" w:hint="default"/>
      </w:rPr>
    </w:lvl>
    <w:lvl w:ilvl="5" w:tplc="8D405D2A">
      <w:start w:val="1"/>
      <w:numFmt w:val="bullet"/>
      <w:lvlText w:val=""/>
      <w:lvlJc w:val="left"/>
      <w:pPr>
        <w:ind w:left="3960" w:hanging="360"/>
      </w:pPr>
      <w:rPr>
        <w:rFonts w:ascii="Wingdings" w:hAnsi="Wingdings" w:hint="default"/>
      </w:rPr>
    </w:lvl>
    <w:lvl w:ilvl="6" w:tplc="B25C1D9E">
      <w:start w:val="1"/>
      <w:numFmt w:val="bullet"/>
      <w:lvlText w:val=""/>
      <w:lvlJc w:val="left"/>
      <w:pPr>
        <w:ind w:left="4680" w:hanging="360"/>
      </w:pPr>
      <w:rPr>
        <w:rFonts w:ascii="Symbol" w:hAnsi="Symbol" w:hint="default"/>
      </w:rPr>
    </w:lvl>
    <w:lvl w:ilvl="7" w:tplc="A0660AF0">
      <w:start w:val="1"/>
      <w:numFmt w:val="bullet"/>
      <w:lvlText w:val="o"/>
      <w:lvlJc w:val="left"/>
      <w:pPr>
        <w:ind w:left="5400" w:hanging="360"/>
      </w:pPr>
      <w:rPr>
        <w:rFonts w:ascii="Courier New" w:hAnsi="Courier New" w:hint="default"/>
      </w:rPr>
    </w:lvl>
    <w:lvl w:ilvl="8" w:tplc="E47C033C">
      <w:start w:val="1"/>
      <w:numFmt w:val="bullet"/>
      <w:lvlText w:val=""/>
      <w:lvlJc w:val="left"/>
      <w:pPr>
        <w:ind w:left="6120" w:hanging="360"/>
      </w:pPr>
      <w:rPr>
        <w:rFonts w:ascii="Wingdings" w:hAnsi="Wingdings" w:hint="default"/>
      </w:rPr>
    </w:lvl>
  </w:abstractNum>
  <w:abstractNum w:abstractNumId="40" w15:restartNumberingAfterBreak="0">
    <w:nsid w:val="37A618EB"/>
    <w:multiLevelType w:val="hybridMultilevel"/>
    <w:tmpl w:val="F7B20F48"/>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7B425B1"/>
    <w:multiLevelType w:val="hybridMultilevel"/>
    <w:tmpl w:val="4F76EC8C"/>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3AC54CD5"/>
    <w:multiLevelType w:val="hybridMultilevel"/>
    <w:tmpl w:val="0DB073A8"/>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C4A2445"/>
    <w:multiLevelType w:val="hybridMultilevel"/>
    <w:tmpl w:val="2ACAE8D2"/>
    <w:lvl w:ilvl="0" w:tplc="0C090001">
      <w:start w:val="1"/>
      <w:numFmt w:val="bullet"/>
      <w:lvlText w:val=""/>
      <w:lvlJc w:val="left"/>
      <w:pPr>
        <w:tabs>
          <w:tab w:val="num" w:pos="360"/>
        </w:tabs>
        <w:ind w:left="360" w:hanging="360"/>
      </w:pPr>
      <w:rPr>
        <w:rFonts w:ascii="Symbol" w:hAnsi="Symbol" w:hint="default"/>
        <w:sz w:val="24"/>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44" w15:restartNumberingAfterBreak="0">
    <w:nsid w:val="3F765FA8"/>
    <w:multiLevelType w:val="hybridMultilevel"/>
    <w:tmpl w:val="AE5EE838"/>
    <w:lvl w:ilvl="0" w:tplc="39DAC87A">
      <w:start w:val="1"/>
      <w:numFmt w:val="decimal"/>
      <w:pStyle w:val="Box8XBoxHeading"/>
      <w:lvlText w:val="Box 8.%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402373E"/>
    <w:multiLevelType w:val="hybridMultilevel"/>
    <w:tmpl w:val="FEB64748"/>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55F00C6"/>
    <w:multiLevelType w:val="hybridMultilevel"/>
    <w:tmpl w:val="F8FEDA90"/>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57303A6"/>
    <w:multiLevelType w:val="hybridMultilevel"/>
    <w:tmpl w:val="C836502E"/>
    <w:lvl w:ilvl="0" w:tplc="31947774">
      <w:start w:val="1"/>
      <w:numFmt w:val="decimal"/>
      <w:pStyle w:val="51Heading2"/>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48"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71C3199"/>
    <w:multiLevelType w:val="hybridMultilevel"/>
    <w:tmpl w:val="2570A662"/>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90D3232"/>
    <w:multiLevelType w:val="hybridMultilevel"/>
    <w:tmpl w:val="1BDACA9A"/>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9352F38"/>
    <w:multiLevelType w:val="hybridMultilevel"/>
    <w:tmpl w:val="DCA68D00"/>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9795CAD"/>
    <w:multiLevelType w:val="hybridMultilevel"/>
    <w:tmpl w:val="2EA82D62"/>
    <w:lvl w:ilvl="0" w:tplc="06D8EE14">
      <w:start w:val="1"/>
      <w:numFmt w:val="decimal"/>
      <w:pStyle w:val="Box7XBoxHeading"/>
      <w:lvlText w:val="Box 7.%1:"/>
      <w:lvlJc w:val="left"/>
      <w:pPr>
        <w:ind w:left="360" w:hanging="360"/>
      </w:pPr>
      <w:rPr>
        <w:rFonts w:ascii="Public Sans SemiBold" w:hAnsi="Public Sans SemiBold" w:hint="default"/>
        <w:b/>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AB83096"/>
    <w:multiLevelType w:val="hybridMultilevel"/>
    <w:tmpl w:val="3670BADE"/>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BFB1DA3"/>
    <w:multiLevelType w:val="hybridMultilevel"/>
    <w:tmpl w:val="AD504A2E"/>
    <w:lvl w:ilvl="0" w:tplc="A92A2660">
      <w:start w:val="1"/>
      <w:numFmt w:val="decimal"/>
      <w:pStyle w:val="Box3XBoxHeading"/>
      <w:lvlText w:val="Box 3.%1:"/>
      <w:lvlJc w:val="left"/>
      <w:pPr>
        <w:ind w:left="360" w:hanging="360"/>
      </w:pPr>
      <w:rPr>
        <w:rFonts w:ascii="Public Sans SemiBold" w:hAnsi="Public Sans SemiBold" w:cs="Times New Roman" w:hint="default"/>
        <w:b/>
        <w:i w:val="0"/>
        <w:caps w:val="0"/>
        <w:color w:val="002664"/>
        <w:sz w:val="22"/>
        <w:u w:val="none" w:color="00ABE6"/>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56" w15:restartNumberingAfterBreak="0">
    <w:nsid w:val="4D8E799A"/>
    <w:multiLevelType w:val="hybridMultilevel"/>
    <w:tmpl w:val="AB1AA7B2"/>
    <w:lvl w:ilvl="0" w:tplc="3C283CAA">
      <w:start w:val="1"/>
      <w:numFmt w:val="decimal"/>
      <w:pStyle w:val="Box2XBoxHeading"/>
      <w:lvlText w:val="Box 2.%1:"/>
      <w:lvlJc w:val="left"/>
      <w:pPr>
        <w:ind w:left="360" w:hanging="360"/>
      </w:pPr>
      <w:rPr>
        <w:rFonts w:ascii="Public Sans SemiBold" w:hAnsi="Public Sans SemiBold" w:hint="default"/>
        <w:b/>
        <w:i w:val="0"/>
        <w:color w:val="002664"/>
        <w:sz w:val="23"/>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DCA7ED8"/>
    <w:multiLevelType w:val="hybridMultilevel"/>
    <w:tmpl w:val="C07CD982"/>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50D536D6"/>
    <w:multiLevelType w:val="hybridMultilevel"/>
    <w:tmpl w:val="DECCF974"/>
    <w:lvl w:ilvl="0" w:tplc="DB24AB6E">
      <w:start w:val="1"/>
      <w:numFmt w:val="decimal"/>
      <w:pStyle w:val="Box5XBoxHeading"/>
      <w:lvlText w:val="Box 5.%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2A25C40"/>
    <w:multiLevelType w:val="hybridMultilevel"/>
    <w:tmpl w:val="B820474C"/>
    <w:lvl w:ilvl="0" w:tplc="838E5E4E">
      <w:start w:val="1"/>
      <w:numFmt w:val="lowerLetter"/>
      <w:lvlText w:val="(%1)"/>
      <w:lvlJc w:val="left"/>
      <w:pPr>
        <w:ind w:left="360" w:hanging="360"/>
      </w:pPr>
      <w:rPr>
        <w:rFonts w:ascii="Public Sans" w:hAnsi="Public Sans" w:hint="default"/>
        <w:sz w:val="17"/>
        <w:szCs w:val="17"/>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52BD70C2"/>
    <w:multiLevelType w:val="hybridMultilevel"/>
    <w:tmpl w:val="89DAD348"/>
    <w:lvl w:ilvl="0" w:tplc="98C650BE">
      <w:start w:val="1"/>
      <w:numFmt w:val="bullet"/>
      <w:pStyle w:val="Bullet2"/>
      <w:lvlText w:val="–"/>
      <w:lvlJc w:val="left"/>
      <w:pPr>
        <w:tabs>
          <w:tab w:val="num" w:pos="360"/>
        </w:tabs>
        <w:ind w:left="360" w:hanging="360"/>
      </w:pPr>
      <w:rPr>
        <w:rFonts w:ascii="Arial" w:hAnsi="Arial" w:cs="Arial" w:hint="default"/>
        <w:sz w:val="24"/>
      </w:rPr>
    </w:lvl>
    <w:lvl w:ilvl="1" w:tplc="0C090003" w:tentative="1">
      <w:start w:val="1"/>
      <w:numFmt w:val="bullet"/>
      <w:pStyle w:val="Bullet2"/>
      <w:lvlText w:val="o"/>
      <w:lvlJc w:val="left"/>
      <w:pPr>
        <w:tabs>
          <w:tab w:val="num" w:pos="1015"/>
        </w:tabs>
        <w:ind w:left="1015" w:hanging="360"/>
      </w:pPr>
      <w:rPr>
        <w:rFonts w:ascii="Courier New" w:hAnsi="Courier New" w:cs="Courier New" w:hint="default"/>
      </w:rPr>
    </w:lvl>
    <w:lvl w:ilvl="2" w:tplc="0C090005" w:tentative="1">
      <w:start w:val="1"/>
      <w:numFmt w:val="bullet"/>
      <w:lvlText w:val=""/>
      <w:lvlJc w:val="left"/>
      <w:pPr>
        <w:tabs>
          <w:tab w:val="num" w:pos="1735"/>
        </w:tabs>
        <w:ind w:left="1735" w:hanging="360"/>
      </w:pPr>
      <w:rPr>
        <w:rFonts w:ascii="Wingdings" w:hAnsi="Wingdings" w:hint="default"/>
      </w:rPr>
    </w:lvl>
    <w:lvl w:ilvl="3" w:tplc="0C090001" w:tentative="1">
      <w:start w:val="1"/>
      <w:numFmt w:val="bullet"/>
      <w:lvlText w:val=""/>
      <w:lvlJc w:val="left"/>
      <w:pPr>
        <w:tabs>
          <w:tab w:val="num" w:pos="2455"/>
        </w:tabs>
        <w:ind w:left="2455" w:hanging="360"/>
      </w:pPr>
      <w:rPr>
        <w:rFonts w:ascii="Symbol" w:hAnsi="Symbol" w:hint="default"/>
      </w:rPr>
    </w:lvl>
    <w:lvl w:ilvl="4" w:tplc="0C090003" w:tentative="1">
      <w:start w:val="1"/>
      <w:numFmt w:val="bullet"/>
      <w:lvlText w:val="o"/>
      <w:lvlJc w:val="left"/>
      <w:pPr>
        <w:tabs>
          <w:tab w:val="num" w:pos="3175"/>
        </w:tabs>
        <w:ind w:left="3175" w:hanging="360"/>
      </w:pPr>
      <w:rPr>
        <w:rFonts w:ascii="Courier New" w:hAnsi="Courier New" w:cs="Courier New" w:hint="default"/>
      </w:rPr>
    </w:lvl>
    <w:lvl w:ilvl="5" w:tplc="0C090005" w:tentative="1">
      <w:start w:val="1"/>
      <w:numFmt w:val="bullet"/>
      <w:lvlText w:val=""/>
      <w:lvlJc w:val="left"/>
      <w:pPr>
        <w:tabs>
          <w:tab w:val="num" w:pos="3895"/>
        </w:tabs>
        <w:ind w:left="3895" w:hanging="360"/>
      </w:pPr>
      <w:rPr>
        <w:rFonts w:ascii="Wingdings" w:hAnsi="Wingdings" w:hint="default"/>
      </w:rPr>
    </w:lvl>
    <w:lvl w:ilvl="6" w:tplc="0C090001" w:tentative="1">
      <w:start w:val="1"/>
      <w:numFmt w:val="bullet"/>
      <w:lvlText w:val=""/>
      <w:lvlJc w:val="left"/>
      <w:pPr>
        <w:tabs>
          <w:tab w:val="num" w:pos="4615"/>
        </w:tabs>
        <w:ind w:left="4615" w:hanging="360"/>
      </w:pPr>
      <w:rPr>
        <w:rFonts w:ascii="Symbol" w:hAnsi="Symbol" w:hint="default"/>
      </w:rPr>
    </w:lvl>
    <w:lvl w:ilvl="7" w:tplc="0C090003" w:tentative="1">
      <w:start w:val="1"/>
      <w:numFmt w:val="bullet"/>
      <w:lvlText w:val="o"/>
      <w:lvlJc w:val="left"/>
      <w:pPr>
        <w:tabs>
          <w:tab w:val="num" w:pos="5335"/>
        </w:tabs>
        <w:ind w:left="5335" w:hanging="360"/>
      </w:pPr>
      <w:rPr>
        <w:rFonts w:ascii="Courier New" w:hAnsi="Courier New" w:cs="Courier New" w:hint="default"/>
      </w:rPr>
    </w:lvl>
    <w:lvl w:ilvl="8" w:tplc="0C090005" w:tentative="1">
      <w:start w:val="1"/>
      <w:numFmt w:val="bullet"/>
      <w:lvlText w:val=""/>
      <w:lvlJc w:val="left"/>
      <w:pPr>
        <w:tabs>
          <w:tab w:val="num" w:pos="6055"/>
        </w:tabs>
        <w:ind w:left="6055" w:hanging="360"/>
      </w:pPr>
      <w:rPr>
        <w:rFonts w:ascii="Wingdings" w:hAnsi="Wingdings" w:hint="default"/>
      </w:rPr>
    </w:lvl>
  </w:abstractNum>
  <w:abstractNum w:abstractNumId="61" w15:restartNumberingAfterBreak="0">
    <w:nsid w:val="54836140"/>
    <w:multiLevelType w:val="hybridMultilevel"/>
    <w:tmpl w:val="607E4E48"/>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4F164B4"/>
    <w:multiLevelType w:val="hybridMultilevel"/>
    <w:tmpl w:val="33640FCA"/>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5D6282E"/>
    <w:multiLevelType w:val="hybridMultilevel"/>
    <w:tmpl w:val="08FACEE0"/>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6041D7B"/>
    <w:multiLevelType w:val="hybridMultilevel"/>
    <w:tmpl w:val="64326218"/>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65" w15:restartNumberingAfterBreak="0">
    <w:nsid w:val="599E5E30"/>
    <w:multiLevelType w:val="hybridMultilevel"/>
    <w:tmpl w:val="6EAE9232"/>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A414304"/>
    <w:multiLevelType w:val="hybridMultilevel"/>
    <w:tmpl w:val="0B8C58F8"/>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D4039FA"/>
    <w:multiLevelType w:val="hybridMultilevel"/>
    <w:tmpl w:val="AC0E05BA"/>
    <w:lvl w:ilvl="0" w:tplc="019400A6">
      <w:start w:val="1"/>
      <w:numFmt w:val="decimal"/>
      <w:pStyle w:val="11Heading2"/>
      <w:lvlText w:val="1.%1"/>
      <w:lvlJc w:val="left"/>
      <w:pPr>
        <w:ind w:left="720" w:hanging="360"/>
      </w:pPr>
      <w:rPr>
        <w:rFonts w:ascii="Public Sans SemiBold" w:hAnsi="Public Sans SemiBold" w:hint="default"/>
        <w:b w:val="0"/>
        <w:bCs w:val="0"/>
        <w:i w:val="0"/>
        <w:iCs w:val="0"/>
        <w:caps w:val="0"/>
        <w:strike w:val="0"/>
        <w:dstrike w:val="0"/>
        <w:vanish w:val="0"/>
        <w:color w:val="22272B"/>
        <w:spacing w:val="0"/>
        <w:kern w:val="0"/>
        <w:position w:val="0"/>
        <w:sz w:val="28"/>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DBD6814"/>
    <w:multiLevelType w:val="hybridMultilevel"/>
    <w:tmpl w:val="00FC3AB4"/>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0B26314"/>
    <w:multiLevelType w:val="hybridMultilevel"/>
    <w:tmpl w:val="80C225BA"/>
    <w:lvl w:ilvl="0" w:tplc="D0F0FC8C">
      <w:start w:val="1"/>
      <w:numFmt w:val="decimal"/>
      <w:pStyle w:val="TableFX"/>
      <w:lvlText w:val="Tabl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403159E"/>
    <w:multiLevelType w:val="hybridMultilevel"/>
    <w:tmpl w:val="E7D4563E"/>
    <w:lvl w:ilvl="0" w:tplc="76E2174C">
      <w:start w:val="1"/>
      <w:numFmt w:val="bullet"/>
      <w:lvlText w:val="o"/>
      <w:lvlJc w:val="left"/>
      <w:pPr>
        <w:ind w:left="927" w:hanging="360"/>
      </w:pPr>
      <w:rPr>
        <w:rFonts w:ascii="Courier New" w:hAnsi="Courier New" w:cs="Courier New"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4E75030"/>
    <w:multiLevelType w:val="hybridMultilevel"/>
    <w:tmpl w:val="FCF62A94"/>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608000C"/>
    <w:multiLevelType w:val="hybridMultilevel"/>
    <w:tmpl w:val="60CC0060"/>
    <w:lvl w:ilvl="0" w:tplc="BF967E00">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68095C94"/>
    <w:multiLevelType w:val="hybridMultilevel"/>
    <w:tmpl w:val="1EB6971A"/>
    <w:lvl w:ilvl="0" w:tplc="A52E78A0">
      <w:start w:val="1"/>
      <w:numFmt w:val="decimal"/>
      <w:pStyle w:val="21Heading2"/>
      <w:lvlText w:val="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BAD0A08"/>
    <w:multiLevelType w:val="hybridMultilevel"/>
    <w:tmpl w:val="0DF489D0"/>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D633B70"/>
    <w:multiLevelType w:val="hybridMultilevel"/>
    <w:tmpl w:val="B1F0C88E"/>
    <w:lvl w:ilvl="0" w:tplc="6F6E4644">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DFA6ECC"/>
    <w:multiLevelType w:val="hybridMultilevel"/>
    <w:tmpl w:val="D01658F6"/>
    <w:lvl w:ilvl="0" w:tplc="A5EE317A">
      <w:start w:val="1"/>
      <w:numFmt w:val="decimal"/>
      <w:pStyle w:val="Box6XBoxHeading"/>
      <w:lvlText w:val="Box 6.%1:"/>
      <w:lvlJc w:val="left"/>
      <w:pPr>
        <w:ind w:left="360" w:hanging="360"/>
      </w:pPr>
      <w:rPr>
        <w:rFonts w:ascii="Public Sans SemiBold" w:hAnsi="Public Sans SemiBold" w:cs="Arial" w:hint="default"/>
        <w:b/>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F881604"/>
    <w:multiLevelType w:val="hybridMultilevel"/>
    <w:tmpl w:val="757216A8"/>
    <w:lvl w:ilvl="0" w:tplc="89C25A8C">
      <w:start w:val="1"/>
      <w:numFmt w:val="lowerLetter"/>
      <w:lvlText w:val="(%1)"/>
      <w:lvlJc w:val="left"/>
      <w:pPr>
        <w:ind w:left="720" w:hanging="360"/>
      </w:pPr>
      <w:rPr>
        <w:rFonts w:ascii="Public Sans" w:hAnsi="Public Sans" w:cs="Arial" w:hint="default"/>
      </w:rPr>
    </w:lvl>
    <w:lvl w:ilvl="1" w:tplc="4100FEF6">
      <w:start w:val="1"/>
      <w:numFmt w:val="lowerLetter"/>
      <w:lvlText w:val="%2."/>
      <w:lvlJc w:val="left"/>
      <w:pPr>
        <w:ind w:left="1440" w:hanging="360"/>
      </w:pPr>
    </w:lvl>
    <w:lvl w:ilvl="2" w:tplc="EBC0C138">
      <w:start w:val="1"/>
      <w:numFmt w:val="lowerRoman"/>
      <w:lvlText w:val="%3."/>
      <w:lvlJc w:val="right"/>
      <w:pPr>
        <w:ind w:left="2160" w:hanging="180"/>
      </w:pPr>
    </w:lvl>
    <w:lvl w:ilvl="3" w:tplc="0F92A9E8">
      <w:start w:val="1"/>
      <w:numFmt w:val="decimal"/>
      <w:lvlText w:val="%4."/>
      <w:lvlJc w:val="left"/>
      <w:pPr>
        <w:ind w:left="2880" w:hanging="360"/>
      </w:pPr>
    </w:lvl>
    <w:lvl w:ilvl="4" w:tplc="92DC92C4">
      <w:start w:val="1"/>
      <w:numFmt w:val="lowerLetter"/>
      <w:lvlText w:val="%5."/>
      <w:lvlJc w:val="left"/>
      <w:pPr>
        <w:ind w:left="3600" w:hanging="360"/>
      </w:pPr>
    </w:lvl>
    <w:lvl w:ilvl="5" w:tplc="D7F2F70E">
      <w:start w:val="1"/>
      <w:numFmt w:val="lowerRoman"/>
      <w:lvlText w:val="%6."/>
      <w:lvlJc w:val="right"/>
      <w:pPr>
        <w:ind w:left="4320" w:hanging="180"/>
      </w:pPr>
    </w:lvl>
    <w:lvl w:ilvl="6" w:tplc="78C21908">
      <w:start w:val="1"/>
      <w:numFmt w:val="decimal"/>
      <w:lvlText w:val="%7."/>
      <w:lvlJc w:val="left"/>
      <w:pPr>
        <w:ind w:left="5040" w:hanging="360"/>
      </w:pPr>
    </w:lvl>
    <w:lvl w:ilvl="7" w:tplc="976E000A">
      <w:start w:val="1"/>
      <w:numFmt w:val="lowerLetter"/>
      <w:lvlText w:val="%8."/>
      <w:lvlJc w:val="left"/>
      <w:pPr>
        <w:ind w:left="5760" w:hanging="360"/>
      </w:pPr>
    </w:lvl>
    <w:lvl w:ilvl="8" w:tplc="F03CB644">
      <w:start w:val="1"/>
      <w:numFmt w:val="lowerRoman"/>
      <w:lvlText w:val="%9."/>
      <w:lvlJc w:val="right"/>
      <w:pPr>
        <w:ind w:left="6480" w:hanging="180"/>
      </w:pPr>
    </w:lvl>
  </w:abstractNum>
  <w:abstractNum w:abstractNumId="83" w15:restartNumberingAfterBreak="0">
    <w:nsid w:val="6FFC7609"/>
    <w:multiLevelType w:val="hybridMultilevel"/>
    <w:tmpl w:val="F03008C0"/>
    <w:lvl w:ilvl="0" w:tplc="6CA42CD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3112603"/>
    <w:multiLevelType w:val="hybridMultilevel"/>
    <w:tmpl w:val="5D1A2168"/>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6"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4AC412F"/>
    <w:multiLevelType w:val="hybridMultilevel"/>
    <w:tmpl w:val="5F2EE886"/>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6543C04"/>
    <w:multiLevelType w:val="hybridMultilevel"/>
    <w:tmpl w:val="05108FD2"/>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6B3043F"/>
    <w:multiLevelType w:val="hybridMultilevel"/>
    <w:tmpl w:val="445AC18A"/>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A1A1949"/>
    <w:multiLevelType w:val="hybridMultilevel"/>
    <w:tmpl w:val="EA5A111E"/>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A876093"/>
    <w:multiLevelType w:val="hybridMultilevel"/>
    <w:tmpl w:val="8698F396"/>
    <w:lvl w:ilvl="0" w:tplc="818A2532">
      <w:start w:val="1"/>
      <w:numFmt w:val="decimal"/>
      <w:pStyle w:val="Box4XBoxHeading"/>
      <w:lvlText w:val="Box 4.%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C6919CF"/>
    <w:multiLevelType w:val="hybridMultilevel"/>
    <w:tmpl w:val="6EF4E840"/>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DF60B33"/>
    <w:multiLevelType w:val="hybridMultilevel"/>
    <w:tmpl w:val="8E724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E58502F"/>
    <w:multiLevelType w:val="hybridMultilevel"/>
    <w:tmpl w:val="D8B2E5D8"/>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E7E6F1F"/>
    <w:multiLevelType w:val="hybridMultilevel"/>
    <w:tmpl w:val="25D24E66"/>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9432643">
    <w:abstractNumId w:val="59"/>
  </w:num>
  <w:num w:numId="2" w16cid:durableId="831330472">
    <w:abstractNumId w:val="17"/>
  </w:num>
  <w:num w:numId="3" w16cid:durableId="661543400">
    <w:abstractNumId w:val="25"/>
  </w:num>
  <w:num w:numId="4" w16cid:durableId="447358826">
    <w:abstractNumId w:val="38"/>
  </w:num>
  <w:num w:numId="5" w16cid:durableId="1468477211">
    <w:abstractNumId w:val="19"/>
  </w:num>
  <w:num w:numId="6" w16cid:durableId="64380280">
    <w:abstractNumId w:val="39"/>
  </w:num>
  <w:num w:numId="7" w16cid:durableId="388581113">
    <w:abstractNumId w:val="82"/>
  </w:num>
  <w:num w:numId="8" w16cid:durableId="1241715133">
    <w:abstractNumId w:val="0"/>
  </w:num>
  <w:num w:numId="9" w16cid:durableId="1111168075">
    <w:abstractNumId w:val="67"/>
  </w:num>
  <w:num w:numId="10" w16cid:durableId="592518629">
    <w:abstractNumId w:val="77"/>
  </w:num>
  <w:num w:numId="11" w16cid:durableId="818111310">
    <w:abstractNumId w:val="52"/>
  </w:num>
  <w:num w:numId="12" w16cid:durableId="1736203089">
    <w:abstractNumId w:val="30"/>
  </w:num>
  <w:num w:numId="13" w16cid:durableId="1015349536">
    <w:abstractNumId w:val="47"/>
  </w:num>
  <w:num w:numId="14" w16cid:durableId="1076512088">
    <w:abstractNumId w:val="46"/>
  </w:num>
  <w:num w:numId="15" w16cid:durableId="625740251">
    <w:abstractNumId w:val="65"/>
  </w:num>
  <w:num w:numId="16" w16cid:durableId="1974557800">
    <w:abstractNumId w:val="36"/>
  </w:num>
  <w:num w:numId="17" w16cid:durableId="1103259599">
    <w:abstractNumId w:val="4"/>
  </w:num>
  <w:num w:numId="18" w16cid:durableId="75322799">
    <w:abstractNumId w:val="3"/>
  </w:num>
  <w:num w:numId="19" w16cid:durableId="666249799">
    <w:abstractNumId w:val="50"/>
  </w:num>
  <w:num w:numId="20" w16cid:durableId="1225333324">
    <w:abstractNumId w:val="79"/>
  </w:num>
  <w:num w:numId="21" w16cid:durableId="1144852274">
    <w:abstractNumId w:val="24"/>
  </w:num>
  <w:num w:numId="22" w16cid:durableId="187717806">
    <w:abstractNumId w:val="80"/>
  </w:num>
  <w:num w:numId="23" w16cid:durableId="1092892016">
    <w:abstractNumId w:val="56"/>
  </w:num>
  <w:num w:numId="24" w16cid:durableId="1909921484">
    <w:abstractNumId w:val="55"/>
  </w:num>
  <w:num w:numId="25" w16cid:durableId="462308321">
    <w:abstractNumId w:val="93"/>
  </w:num>
  <w:num w:numId="26" w16cid:durableId="726028345">
    <w:abstractNumId w:val="58"/>
  </w:num>
  <w:num w:numId="27" w16cid:durableId="1120496969">
    <w:abstractNumId w:val="81"/>
  </w:num>
  <w:num w:numId="28" w16cid:durableId="435444615">
    <w:abstractNumId w:val="1"/>
  </w:num>
  <w:num w:numId="29" w16cid:durableId="991173984">
    <w:abstractNumId w:val="53"/>
  </w:num>
  <w:num w:numId="30" w16cid:durableId="656612371">
    <w:abstractNumId w:val="44"/>
  </w:num>
  <w:num w:numId="31" w16cid:durableId="1787848375">
    <w:abstractNumId w:val="60"/>
  </w:num>
  <w:num w:numId="32" w16cid:durableId="57171216">
    <w:abstractNumId w:val="73"/>
  </w:num>
  <w:num w:numId="33" w16cid:durableId="1841192395">
    <w:abstractNumId w:val="45"/>
  </w:num>
  <w:num w:numId="34" w16cid:durableId="2108259838">
    <w:abstractNumId w:val="31"/>
  </w:num>
  <w:num w:numId="35" w16cid:durableId="1020159076">
    <w:abstractNumId w:val="85"/>
  </w:num>
  <w:num w:numId="36" w16cid:durableId="1783763157">
    <w:abstractNumId w:val="40"/>
  </w:num>
  <w:num w:numId="37" w16cid:durableId="1208222467">
    <w:abstractNumId w:val="61"/>
  </w:num>
  <w:num w:numId="38" w16cid:durableId="1151168485">
    <w:abstractNumId w:val="51"/>
  </w:num>
  <w:num w:numId="39" w16cid:durableId="1983339762">
    <w:abstractNumId w:val="92"/>
  </w:num>
  <w:num w:numId="40" w16cid:durableId="347222996">
    <w:abstractNumId w:val="68"/>
  </w:num>
  <w:num w:numId="41" w16cid:durableId="804158625">
    <w:abstractNumId w:val="63"/>
  </w:num>
  <w:num w:numId="42" w16cid:durableId="1911191119">
    <w:abstractNumId w:val="2"/>
  </w:num>
  <w:num w:numId="43" w16cid:durableId="409543141">
    <w:abstractNumId w:val="42"/>
  </w:num>
  <w:num w:numId="44" w16cid:durableId="122043714">
    <w:abstractNumId w:val="54"/>
  </w:num>
  <w:num w:numId="45" w16cid:durableId="1557081749">
    <w:abstractNumId w:val="26"/>
  </w:num>
  <w:num w:numId="46" w16cid:durableId="974143229">
    <w:abstractNumId w:val="20"/>
  </w:num>
  <w:num w:numId="47" w16cid:durableId="1040790214">
    <w:abstractNumId w:val="10"/>
  </w:num>
  <w:num w:numId="48" w16cid:durableId="1754088446">
    <w:abstractNumId w:val="62"/>
  </w:num>
  <w:num w:numId="49" w16cid:durableId="281116653">
    <w:abstractNumId w:val="88"/>
  </w:num>
  <w:num w:numId="50" w16cid:durableId="2060660972">
    <w:abstractNumId w:val="98"/>
  </w:num>
  <w:num w:numId="51" w16cid:durableId="121309779">
    <w:abstractNumId w:val="64"/>
  </w:num>
  <w:num w:numId="52" w16cid:durableId="1632202228">
    <w:abstractNumId w:val="66"/>
  </w:num>
  <w:num w:numId="53" w16cid:durableId="1146971654">
    <w:abstractNumId w:val="15"/>
  </w:num>
  <w:num w:numId="54" w16cid:durableId="1341200146">
    <w:abstractNumId w:val="94"/>
  </w:num>
  <w:num w:numId="55" w16cid:durableId="816803388">
    <w:abstractNumId w:val="90"/>
  </w:num>
  <w:num w:numId="56" w16cid:durableId="1331062617">
    <w:abstractNumId w:val="69"/>
  </w:num>
  <w:num w:numId="57" w16cid:durableId="271088444">
    <w:abstractNumId w:val="14"/>
  </w:num>
  <w:num w:numId="58" w16cid:durableId="88697105">
    <w:abstractNumId w:val="29"/>
  </w:num>
  <w:num w:numId="59" w16cid:durableId="78215686">
    <w:abstractNumId w:val="48"/>
  </w:num>
  <w:num w:numId="60" w16cid:durableId="357506451">
    <w:abstractNumId w:val="72"/>
  </w:num>
  <w:num w:numId="61" w16cid:durableId="1091975678">
    <w:abstractNumId w:val="11"/>
  </w:num>
  <w:num w:numId="62" w16cid:durableId="2097708521">
    <w:abstractNumId w:val="75"/>
  </w:num>
  <w:num w:numId="63" w16cid:durableId="968364846">
    <w:abstractNumId w:val="91"/>
  </w:num>
  <w:num w:numId="64" w16cid:durableId="2029484674">
    <w:abstractNumId w:val="35"/>
  </w:num>
  <w:num w:numId="65" w16cid:durableId="279411434">
    <w:abstractNumId w:val="27"/>
  </w:num>
  <w:num w:numId="66" w16cid:durableId="972516776">
    <w:abstractNumId w:val="21"/>
  </w:num>
  <w:num w:numId="67" w16cid:durableId="98763344">
    <w:abstractNumId w:val="86"/>
  </w:num>
  <w:num w:numId="68" w16cid:durableId="1770076268">
    <w:abstractNumId w:val="6"/>
  </w:num>
  <w:num w:numId="69" w16cid:durableId="1463495460">
    <w:abstractNumId w:val="96"/>
  </w:num>
  <w:num w:numId="70" w16cid:durableId="1254558094">
    <w:abstractNumId w:val="78"/>
  </w:num>
  <w:num w:numId="71" w16cid:durableId="968828105">
    <w:abstractNumId w:val="49"/>
  </w:num>
  <w:num w:numId="72" w16cid:durableId="1952274665">
    <w:abstractNumId w:val="70"/>
  </w:num>
  <w:num w:numId="73" w16cid:durableId="629170422">
    <w:abstractNumId w:val="74"/>
  </w:num>
  <w:num w:numId="74" w16cid:durableId="2121803697">
    <w:abstractNumId w:val="57"/>
  </w:num>
  <w:num w:numId="75" w16cid:durableId="1823041860">
    <w:abstractNumId w:val="89"/>
  </w:num>
  <w:num w:numId="76" w16cid:durableId="672415773">
    <w:abstractNumId w:val="37"/>
  </w:num>
  <w:num w:numId="77" w16cid:durableId="1444033593">
    <w:abstractNumId w:val="12"/>
  </w:num>
  <w:num w:numId="78" w16cid:durableId="1609048372">
    <w:abstractNumId w:val="28"/>
  </w:num>
  <w:num w:numId="79" w16cid:durableId="2132939602">
    <w:abstractNumId w:val="7"/>
  </w:num>
  <w:num w:numId="80" w16cid:durableId="93133910">
    <w:abstractNumId w:val="87"/>
  </w:num>
  <w:num w:numId="81" w16cid:durableId="857350289">
    <w:abstractNumId w:val="22"/>
  </w:num>
  <w:num w:numId="82" w16cid:durableId="1280379915">
    <w:abstractNumId w:val="41"/>
  </w:num>
  <w:num w:numId="83" w16cid:durableId="717433207">
    <w:abstractNumId w:val="5"/>
  </w:num>
  <w:num w:numId="84" w16cid:durableId="1496146116">
    <w:abstractNumId w:val="8"/>
  </w:num>
  <w:num w:numId="85" w16cid:durableId="1128203229">
    <w:abstractNumId w:val="97"/>
  </w:num>
  <w:num w:numId="86" w16cid:durableId="392626282">
    <w:abstractNumId w:val="16"/>
  </w:num>
  <w:num w:numId="87" w16cid:durableId="1528565965">
    <w:abstractNumId w:val="84"/>
  </w:num>
  <w:num w:numId="88" w16cid:durableId="1241137530">
    <w:abstractNumId w:val="71"/>
  </w:num>
  <w:num w:numId="89" w16cid:durableId="1534030945">
    <w:abstractNumId w:val="43"/>
  </w:num>
  <w:num w:numId="90" w16cid:durableId="1452238875">
    <w:abstractNumId w:val="76"/>
  </w:num>
  <w:num w:numId="91" w16cid:durableId="620310318">
    <w:abstractNumId w:val="23"/>
  </w:num>
  <w:num w:numId="92" w16cid:durableId="1122307475">
    <w:abstractNumId w:val="34"/>
  </w:num>
  <w:num w:numId="93" w16cid:durableId="2099906033">
    <w:abstractNumId w:val="9"/>
  </w:num>
  <w:num w:numId="94" w16cid:durableId="364017912">
    <w:abstractNumId w:val="83"/>
  </w:num>
  <w:num w:numId="95" w16cid:durableId="2089228616">
    <w:abstractNumId w:val="8"/>
  </w:num>
  <w:num w:numId="96" w16cid:durableId="940720458">
    <w:abstractNumId w:val="95"/>
  </w:num>
  <w:num w:numId="97" w16cid:durableId="1034885702">
    <w:abstractNumId w:val="13"/>
  </w:num>
  <w:num w:numId="98" w16cid:durableId="642655738">
    <w:abstractNumId w:val="33"/>
  </w:num>
  <w:num w:numId="99" w16cid:durableId="1438712338">
    <w:abstractNumId w:val="18"/>
  </w:num>
  <w:num w:numId="100" w16cid:durableId="1052270675">
    <w:abstractNumId w:val="3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BB"/>
    <w:rsid w:val="00000443"/>
    <w:rsid w:val="0000124E"/>
    <w:rsid w:val="00001BEB"/>
    <w:rsid w:val="00002108"/>
    <w:rsid w:val="000024C3"/>
    <w:rsid w:val="00002527"/>
    <w:rsid w:val="00003099"/>
    <w:rsid w:val="00004A3F"/>
    <w:rsid w:val="00004FF3"/>
    <w:rsid w:val="00005CD8"/>
    <w:rsid w:val="00005D1E"/>
    <w:rsid w:val="00005ED0"/>
    <w:rsid w:val="00006410"/>
    <w:rsid w:val="00006EE6"/>
    <w:rsid w:val="00006EFB"/>
    <w:rsid w:val="000071F5"/>
    <w:rsid w:val="00010311"/>
    <w:rsid w:val="00010723"/>
    <w:rsid w:val="00010F3A"/>
    <w:rsid w:val="00011537"/>
    <w:rsid w:val="000117D4"/>
    <w:rsid w:val="000122F8"/>
    <w:rsid w:val="00014449"/>
    <w:rsid w:val="00014C1B"/>
    <w:rsid w:val="00014DFC"/>
    <w:rsid w:val="00014ED1"/>
    <w:rsid w:val="000158B2"/>
    <w:rsid w:val="00016BBA"/>
    <w:rsid w:val="00020311"/>
    <w:rsid w:val="00020B98"/>
    <w:rsid w:val="00020DE7"/>
    <w:rsid w:val="00021126"/>
    <w:rsid w:val="0002155A"/>
    <w:rsid w:val="000217CC"/>
    <w:rsid w:val="00021B22"/>
    <w:rsid w:val="00022C7D"/>
    <w:rsid w:val="000239DC"/>
    <w:rsid w:val="00023F56"/>
    <w:rsid w:val="00024366"/>
    <w:rsid w:val="00024A3B"/>
    <w:rsid w:val="00024A6F"/>
    <w:rsid w:val="00024CC5"/>
    <w:rsid w:val="00026DBD"/>
    <w:rsid w:val="00026F56"/>
    <w:rsid w:val="00027D6F"/>
    <w:rsid w:val="00027F6E"/>
    <w:rsid w:val="00030002"/>
    <w:rsid w:val="00030CD7"/>
    <w:rsid w:val="00031261"/>
    <w:rsid w:val="000312CE"/>
    <w:rsid w:val="000318FA"/>
    <w:rsid w:val="0003277E"/>
    <w:rsid w:val="000330A5"/>
    <w:rsid w:val="00033796"/>
    <w:rsid w:val="000338F2"/>
    <w:rsid w:val="0003452E"/>
    <w:rsid w:val="00035674"/>
    <w:rsid w:val="00035938"/>
    <w:rsid w:val="000359EF"/>
    <w:rsid w:val="000372DF"/>
    <w:rsid w:val="000376FE"/>
    <w:rsid w:val="00037920"/>
    <w:rsid w:val="00037FAE"/>
    <w:rsid w:val="0004001A"/>
    <w:rsid w:val="00040618"/>
    <w:rsid w:val="00040DBF"/>
    <w:rsid w:val="000411D6"/>
    <w:rsid w:val="00041689"/>
    <w:rsid w:val="000416F3"/>
    <w:rsid w:val="00041E3B"/>
    <w:rsid w:val="000426CC"/>
    <w:rsid w:val="0004299F"/>
    <w:rsid w:val="00042E6E"/>
    <w:rsid w:val="000430C0"/>
    <w:rsid w:val="0004329D"/>
    <w:rsid w:val="000437C2"/>
    <w:rsid w:val="00043E05"/>
    <w:rsid w:val="000446DD"/>
    <w:rsid w:val="000449FC"/>
    <w:rsid w:val="00045FD2"/>
    <w:rsid w:val="00045FFE"/>
    <w:rsid w:val="00046720"/>
    <w:rsid w:val="00047419"/>
    <w:rsid w:val="00047A9B"/>
    <w:rsid w:val="000504C7"/>
    <w:rsid w:val="00050509"/>
    <w:rsid w:val="00050E57"/>
    <w:rsid w:val="00051FE3"/>
    <w:rsid w:val="000523D2"/>
    <w:rsid w:val="00053E47"/>
    <w:rsid w:val="00054265"/>
    <w:rsid w:val="0005453C"/>
    <w:rsid w:val="00054730"/>
    <w:rsid w:val="000547D4"/>
    <w:rsid w:val="00055144"/>
    <w:rsid w:val="00056389"/>
    <w:rsid w:val="000566C7"/>
    <w:rsid w:val="00056DDD"/>
    <w:rsid w:val="00056ED1"/>
    <w:rsid w:val="000572E9"/>
    <w:rsid w:val="000577B2"/>
    <w:rsid w:val="00057E5A"/>
    <w:rsid w:val="00060559"/>
    <w:rsid w:val="000607D6"/>
    <w:rsid w:val="00061558"/>
    <w:rsid w:val="000621BC"/>
    <w:rsid w:val="000628C9"/>
    <w:rsid w:val="00062CBB"/>
    <w:rsid w:val="00062EC1"/>
    <w:rsid w:val="000633D1"/>
    <w:rsid w:val="00063477"/>
    <w:rsid w:val="0006645D"/>
    <w:rsid w:val="0006698E"/>
    <w:rsid w:val="00066B20"/>
    <w:rsid w:val="00067378"/>
    <w:rsid w:val="00070A3C"/>
    <w:rsid w:val="00070E26"/>
    <w:rsid w:val="00070F42"/>
    <w:rsid w:val="00072E0F"/>
    <w:rsid w:val="00073306"/>
    <w:rsid w:val="0007429A"/>
    <w:rsid w:val="000744CF"/>
    <w:rsid w:val="00076572"/>
    <w:rsid w:val="00076640"/>
    <w:rsid w:val="000773E9"/>
    <w:rsid w:val="00080206"/>
    <w:rsid w:val="00081362"/>
    <w:rsid w:val="000820D3"/>
    <w:rsid w:val="00082704"/>
    <w:rsid w:val="00082B43"/>
    <w:rsid w:val="00082E21"/>
    <w:rsid w:val="00084B3F"/>
    <w:rsid w:val="00084D9C"/>
    <w:rsid w:val="000850C9"/>
    <w:rsid w:val="00085198"/>
    <w:rsid w:val="00085B26"/>
    <w:rsid w:val="00085CFE"/>
    <w:rsid w:val="00085F4E"/>
    <w:rsid w:val="00085FD6"/>
    <w:rsid w:val="0008604B"/>
    <w:rsid w:val="00087707"/>
    <w:rsid w:val="00087BDB"/>
    <w:rsid w:val="0009308E"/>
    <w:rsid w:val="000934BD"/>
    <w:rsid w:val="000935B9"/>
    <w:rsid w:val="00093720"/>
    <w:rsid w:val="00093995"/>
    <w:rsid w:val="00094EC8"/>
    <w:rsid w:val="000953D3"/>
    <w:rsid w:val="00095DCC"/>
    <w:rsid w:val="000962B9"/>
    <w:rsid w:val="0009646E"/>
    <w:rsid w:val="00097033"/>
    <w:rsid w:val="000973B5"/>
    <w:rsid w:val="00097D37"/>
    <w:rsid w:val="000A04D7"/>
    <w:rsid w:val="000A0C41"/>
    <w:rsid w:val="000A0EC5"/>
    <w:rsid w:val="000A0F73"/>
    <w:rsid w:val="000A1623"/>
    <w:rsid w:val="000A229A"/>
    <w:rsid w:val="000A2CA4"/>
    <w:rsid w:val="000A3B20"/>
    <w:rsid w:val="000A3D10"/>
    <w:rsid w:val="000A4274"/>
    <w:rsid w:val="000A5AF1"/>
    <w:rsid w:val="000A65EB"/>
    <w:rsid w:val="000A7376"/>
    <w:rsid w:val="000A744D"/>
    <w:rsid w:val="000B019B"/>
    <w:rsid w:val="000B03DF"/>
    <w:rsid w:val="000B085F"/>
    <w:rsid w:val="000B16F0"/>
    <w:rsid w:val="000B2111"/>
    <w:rsid w:val="000B227D"/>
    <w:rsid w:val="000B34B8"/>
    <w:rsid w:val="000B3B34"/>
    <w:rsid w:val="000B3EB5"/>
    <w:rsid w:val="000B5226"/>
    <w:rsid w:val="000B7896"/>
    <w:rsid w:val="000C1DB2"/>
    <w:rsid w:val="000C2793"/>
    <w:rsid w:val="000C2AFB"/>
    <w:rsid w:val="000C2E6A"/>
    <w:rsid w:val="000C3675"/>
    <w:rsid w:val="000C3D2D"/>
    <w:rsid w:val="000C41C8"/>
    <w:rsid w:val="000C585A"/>
    <w:rsid w:val="000C5953"/>
    <w:rsid w:val="000C6C86"/>
    <w:rsid w:val="000C70E8"/>
    <w:rsid w:val="000D0A49"/>
    <w:rsid w:val="000D0DC4"/>
    <w:rsid w:val="000D1BEF"/>
    <w:rsid w:val="000D1DFB"/>
    <w:rsid w:val="000D2427"/>
    <w:rsid w:val="000D2751"/>
    <w:rsid w:val="000D2EFE"/>
    <w:rsid w:val="000D3421"/>
    <w:rsid w:val="000D3D8A"/>
    <w:rsid w:val="000D3E94"/>
    <w:rsid w:val="000D4A09"/>
    <w:rsid w:val="000D4E57"/>
    <w:rsid w:val="000D55D3"/>
    <w:rsid w:val="000D6017"/>
    <w:rsid w:val="000D65C7"/>
    <w:rsid w:val="000D754F"/>
    <w:rsid w:val="000E1002"/>
    <w:rsid w:val="000E22B9"/>
    <w:rsid w:val="000E3608"/>
    <w:rsid w:val="000E3A26"/>
    <w:rsid w:val="000E3FA0"/>
    <w:rsid w:val="000E4374"/>
    <w:rsid w:val="000E56B2"/>
    <w:rsid w:val="000E725B"/>
    <w:rsid w:val="000E7617"/>
    <w:rsid w:val="000E7E30"/>
    <w:rsid w:val="000F2F12"/>
    <w:rsid w:val="000F53BC"/>
    <w:rsid w:val="000F5CDB"/>
    <w:rsid w:val="000F6CB0"/>
    <w:rsid w:val="000F6DE0"/>
    <w:rsid w:val="000F7DA2"/>
    <w:rsid w:val="000F7EF7"/>
    <w:rsid w:val="001032C6"/>
    <w:rsid w:val="00103BB8"/>
    <w:rsid w:val="00103D15"/>
    <w:rsid w:val="00104AEF"/>
    <w:rsid w:val="001054BB"/>
    <w:rsid w:val="00105AD6"/>
    <w:rsid w:val="00106162"/>
    <w:rsid w:val="00106257"/>
    <w:rsid w:val="00110484"/>
    <w:rsid w:val="00110546"/>
    <w:rsid w:val="00110C0A"/>
    <w:rsid w:val="001115A0"/>
    <w:rsid w:val="00111EE8"/>
    <w:rsid w:val="00112C7D"/>
    <w:rsid w:val="00113B87"/>
    <w:rsid w:val="00113EFB"/>
    <w:rsid w:val="00114E01"/>
    <w:rsid w:val="001152B7"/>
    <w:rsid w:val="00115D6F"/>
    <w:rsid w:val="00116D74"/>
    <w:rsid w:val="00117019"/>
    <w:rsid w:val="0011703D"/>
    <w:rsid w:val="001179FB"/>
    <w:rsid w:val="0012021C"/>
    <w:rsid w:val="00120707"/>
    <w:rsid w:val="0012072F"/>
    <w:rsid w:val="00120B50"/>
    <w:rsid w:val="00121BBA"/>
    <w:rsid w:val="00123D97"/>
    <w:rsid w:val="0012409F"/>
    <w:rsid w:val="00124E4D"/>
    <w:rsid w:val="001263FB"/>
    <w:rsid w:val="0012698D"/>
    <w:rsid w:val="001269BD"/>
    <w:rsid w:val="001279C9"/>
    <w:rsid w:val="001305E7"/>
    <w:rsid w:val="00131E20"/>
    <w:rsid w:val="001330E9"/>
    <w:rsid w:val="00134B79"/>
    <w:rsid w:val="00134D1F"/>
    <w:rsid w:val="001356CB"/>
    <w:rsid w:val="00135A0A"/>
    <w:rsid w:val="00137782"/>
    <w:rsid w:val="001379D0"/>
    <w:rsid w:val="00137D2F"/>
    <w:rsid w:val="001402F3"/>
    <w:rsid w:val="00140AAA"/>
    <w:rsid w:val="001411B8"/>
    <w:rsid w:val="0014243F"/>
    <w:rsid w:val="00143212"/>
    <w:rsid w:val="001435CF"/>
    <w:rsid w:val="00143FE5"/>
    <w:rsid w:val="0014407B"/>
    <w:rsid w:val="00145FDE"/>
    <w:rsid w:val="00146A09"/>
    <w:rsid w:val="00146C6F"/>
    <w:rsid w:val="001478E8"/>
    <w:rsid w:val="00147901"/>
    <w:rsid w:val="00151713"/>
    <w:rsid w:val="00152133"/>
    <w:rsid w:val="001525BE"/>
    <w:rsid w:val="00152724"/>
    <w:rsid w:val="0015360C"/>
    <w:rsid w:val="001539F1"/>
    <w:rsid w:val="00154536"/>
    <w:rsid w:val="001547D7"/>
    <w:rsid w:val="0015480C"/>
    <w:rsid w:val="00154A09"/>
    <w:rsid w:val="0015577E"/>
    <w:rsid w:val="0015579C"/>
    <w:rsid w:val="00155DE8"/>
    <w:rsid w:val="00156B1B"/>
    <w:rsid w:val="00157319"/>
    <w:rsid w:val="00157C33"/>
    <w:rsid w:val="00160C33"/>
    <w:rsid w:val="001611A2"/>
    <w:rsid w:val="0016178C"/>
    <w:rsid w:val="001618FC"/>
    <w:rsid w:val="001621CB"/>
    <w:rsid w:val="0016354E"/>
    <w:rsid w:val="00163C89"/>
    <w:rsid w:val="00163CBC"/>
    <w:rsid w:val="0016410E"/>
    <w:rsid w:val="001641AB"/>
    <w:rsid w:val="001644F0"/>
    <w:rsid w:val="001649E8"/>
    <w:rsid w:val="00165571"/>
    <w:rsid w:val="00165E4A"/>
    <w:rsid w:val="00166947"/>
    <w:rsid w:val="001669E3"/>
    <w:rsid w:val="00166EED"/>
    <w:rsid w:val="00167495"/>
    <w:rsid w:val="00167757"/>
    <w:rsid w:val="00170872"/>
    <w:rsid w:val="00170A85"/>
    <w:rsid w:val="00170BB5"/>
    <w:rsid w:val="001710D3"/>
    <w:rsid w:val="001716F0"/>
    <w:rsid w:val="001724F7"/>
    <w:rsid w:val="00173C01"/>
    <w:rsid w:val="00173ED3"/>
    <w:rsid w:val="00174A13"/>
    <w:rsid w:val="00174D6A"/>
    <w:rsid w:val="00175134"/>
    <w:rsid w:val="00175B6F"/>
    <w:rsid w:val="0017618F"/>
    <w:rsid w:val="001765B6"/>
    <w:rsid w:val="00177242"/>
    <w:rsid w:val="001772D4"/>
    <w:rsid w:val="00177A50"/>
    <w:rsid w:val="00177C93"/>
    <w:rsid w:val="001800BC"/>
    <w:rsid w:val="00180D93"/>
    <w:rsid w:val="001813FB"/>
    <w:rsid w:val="00181587"/>
    <w:rsid w:val="00182376"/>
    <w:rsid w:val="00182744"/>
    <w:rsid w:val="00182BB3"/>
    <w:rsid w:val="00182D3C"/>
    <w:rsid w:val="00182E04"/>
    <w:rsid w:val="00182F18"/>
    <w:rsid w:val="0018363E"/>
    <w:rsid w:val="00183ABF"/>
    <w:rsid w:val="00184D2F"/>
    <w:rsid w:val="00184E0C"/>
    <w:rsid w:val="00185106"/>
    <w:rsid w:val="00185640"/>
    <w:rsid w:val="001857E3"/>
    <w:rsid w:val="00185C1F"/>
    <w:rsid w:val="0018605A"/>
    <w:rsid w:val="00186855"/>
    <w:rsid w:val="00186C73"/>
    <w:rsid w:val="00186E0A"/>
    <w:rsid w:val="00186F2F"/>
    <w:rsid w:val="001872B0"/>
    <w:rsid w:val="00187648"/>
    <w:rsid w:val="00187702"/>
    <w:rsid w:val="00187790"/>
    <w:rsid w:val="00190F1A"/>
    <w:rsid w:val="00191DB0"/>
    <w:rsid w:val="001926AC"/>
    <w:rsid w:val="00192753"/>
    <w:rsid w:val="001931B5"/>
    <w:rsid w:val="00193BB2"/>
    <w:rsid w:val="00193E47"/>
    <w:rsid w:val="00194412"/>
    <w:rsid w:val="001947A3"/>
    <w:rsid w:val="00195394"/>
    <w:rsid w:val="00195DE1"/>
    <w:rsid w:val="00196684"/>
    <w:rsid w:val="00196B5E"/>
    <w:rsid w:val="001978F9"/>
    <w:rsid w:val="00197D7F"/>
    <w:rsid w:val="001A06FB"/>
    <w:rsid w:val="001A0799"/>
    <w:rsid w:val="001A0930"/>
    <w:rsid w:val="001A0AA1"/>
    <w:rsid w:val="001A2124"/>
    <w:rsid w:val="001A2745"/>
    <w:rsid w:val="001A32F0"/>
    <w:rsid w:val="001A4416"/>
    <w:rsid w:val="001A4FBD"/>
    <w:rsid w:val="001A52C2"/>
    <w:rsid w:val="001A5545"/>
    <w:rsid w:val="001A58A1"/>
    <w:rsid w:val="001A5A5F"/>
    <w:rsid w:val="001A5E46"/>
    <w:rsid w:val="001A6790"/>
    <w:rsid w:val="001A690A"/>
    <w:rsid w:val="001A7358"/>
    <w:rsid w:val="001B03D0"/>
    <w:rsid w:val="001B1588"/>
    <w:rsid w:val="001B28BD"/>
    <w:rsid w:val="001B2B3C"/>
    <w:rsid w:val="001B3C1D"/>
    <w:rsid w:val="001B3F2D"/>
    <w:rsid w:val="001B4921"/>
    <w:rsid w:val="001B59F1"/>
    <w:rsid w:val="001B6277"/>
    <w:rsid w:val="001B6424"/>
    <w:rsid w:val="001B78B7"/>
    <w:rsid w:val="001B7902"/>
    <w:rsid w:val="001C04A6"/>
    <w:rsid w:val="001C18EE"/>
    <w:rsid w:val="001C22FB"/>
    <w:rsid w:val="001C252F"/>
    <w:rsid w:val="001C2D6E"/>
    <w:rsid w:val="001C30E4"/>
    <w:rsid w:val="001C4EA1"/>
    <w:rsid w:val="001C5828"/>
    <w:rsid w:val="001C6181"/>
    <w:rsid w:val="001C691F"/>
    <w:rsid w:val="001C6EE2"/>
    <w:rsid w:val="001C76FA"/>
    <w:rsid w:val="001C7825"/>
    <w:rsid w:val="001D0883"/>
    <w:rsid w:val="001D0B5F"/>
    <w:rsid w:val="001D1490"/>
    <w:rsid w:val="001D195B"/>
    <w:rsid w:val="001D1FFF"/>
    <w:rsid w:val="001D27C4"/>
    <w:rsid w:val="001D2B41"/>
    <w:rsid w:val="001D2BBB"/>
    <w:rsid w:val="001D3D11"/>
    <w:rsid w:val="001D3FB8"/>
    <w:rsid w:val="001D4587"/>
    <w:rsid w:val="001D49F7"/>
    <w:rsid w:val="001D4EC7"/>
    <w:rsid w:val="001D6290"/>
    <w:rsid w:val="001D6932"/>
    <w:rsid w:val="001D7BB9"/>
    <w:rsid w:val="001D7D02"/>
    <w:rsid w:val="001D7DDE"/>
    <w:rsid w:val="001E10B9"/>
    <w:rsid w:val="001E235F"/>
    <w:rsid w:val="001E3404"/>
    <w:rsid w:val="001E37A5"/>
    <w:rsid w:val="001E4E9F"/>
    <w:rsid w:val="001E4F02"/>
    <w:rsid w:val="001E5C00"/>
    <w:rsid w:val="001E5D06"/>
    <w:rsid w:val="001E6184"/>
    <w:rsid w:val="001E7005"/>
    <w:rsid w:val="001E70CD"/>
    <w:rsid w:val="001F0117"/>
    <w:rsid w:val="001F0C25"/>
    <w:rsid w:val="001F1B59"/>
    <w:rsid w:val="001F21A7"/>
    <w:rsid w:val="001F3974"/>
    <w:rsid w:val="001F3C7E"/>
    <w:rsid w:val="001F3E96"/>
    <w:rsid w:val="001F4012"/>
    <w:rsid w:val="001F4D71"/>
    <w:rsid w:val="001F5281"/>
    <w:rsid w:val="001F5492"/>
    <w:rsid w:val="001F5740"/>
    <w:rsid w:val="001F5FB7"/>
    <w:rsid w:val="001F7179"/>
    <w:rsid w:val="001F7A1B"/>
    <w:rsid w:val="002008AF"/>
    <w:rsid w:val="00201EB7"/>
    <w:rsid w:val="0020206B"/>
    <w:rsid w:val="002031B1"/>
    <w:rsid w:val="002034BE"/>
    <w:rsid w:val="002044C2"/>
    <w:rsid w:val="00204F6B"/>
    <w:rsid w:val="0020586A"/>
    <w:rsid w:val="00205959"/>
    <w:rsid w:val="00206273"/>
    <w:rsid w:val="00206FE9"/>
    <w:rsid w:val="0020721C"/>
    <w:rsid w:val="00207434"/>
    <w:rsid w:val="00210250"/>
    <w:rsid w:val="00212D98"/>
    <w:rsid w:val="002138A3"/>
    <w:rsid w:val="00213B42"/>
    <w:rsid w:val="0021401F"/>
    <w:rsid w:val="002140C5"/>
    <w:rsid w:val="002148A5"/>
    <w:rsid w:val="00214B53"/>
    <w:rsid w:val="00214E0B"/>
    <w:rsid w:val="00215063"/>
    <w:rsid w:val="00215FD6"/>
    <w:rsid w:val="00215FF3"/>
    <w:rsid w:val="00216392"/>
    <w:rsid w:val="00216583"/>
    <w:rsid w:val="0021659C"/>
    <w:rsid w:val="00217035"/>
    <w:rsid w:val="0021934C"/>
    <w:rsid w:val="0022068A"/>
    <w:rsid w:val="0022089B"/>
    <w:rsid w:val="00220E6B"/>
    <w:rsid w:val="002216AB"/>
    <w:rsid w:val="002217C8"/>
    <w:rsid w:val="002219C6"/>
    <w:rsid w:val="00221DCC"/>
    <w:rsid w:val="0022308F"/>
    <w:rsid w:val="00223623"/>
    <w:rsid w:val="00223FEC"/>
    <w:rsid w:val="00224503"/>
    <w:rsid w:val="002249D4"/>
    <w:rsid w:val="00224A9F"/>
    <w:rsid w:val="00225453"/>
    <w:rsid w:val="00225C4F"/>
    <w:rsid w:val="00225F5F"/>
    <w:rsid w:val="0022638A"/>
    <w:rsid w:val="00226545"/>
    <w:rsid w:val="0022687D"/>
    <w:rsid w:val="002268AB"/>
    <w:rsid w:val="00226B80"/>
    <w:rsid w:val="00226FD5"/>
    <w:rsid w:val="00227B2D"/>
    <w:rsid w:val="00231303"/>
    <w:rsid w:val="00231C8A"/>
    <w:rsid w:val="00231C9D"/>
    <w:rsid w:val="00231E4D"/>
    <w:rsid w:val="00232DC8"/>
    <w:rsid w:val="0023376D"/>
    <w:rsid w:val="002342CC"/>
    <w:rsid w:val="00235A2F"/>
    <w:rsid w:val="00235C1C"/>
    <w:rsid w:val="00236763"/>
    <w:rsid w:val="00236A49"/>
    <w:rsid w:val="00236CE8"/>
    <w:rsid w:val="00237402"/>
    <w:rsid w:val="002374B7"/>
    <w:rsid w:val="00237CFA"/>
    <w:rsid w:val="00237F72"/>
    <w:rsid w:val="002402B5"/>
    <w:rsid w:val="00240B26"/>
    <w:rsid w:val="0024246B"/>
    <w:rsid w:val="00242AC6"/>
    <w:rsid w:val="00243305"/>
    <w:rsid w:val="00243647"/>
    <w:rsid w:val="00244B3C"/>
    <w:rsid w:val="002453C6"/>
    <w:rsid w:val="002456F5"/>
    <w:rsid w:val="00245782"/>
    <w:rsid w:val="00246D46"/>
    <w:rsid w:val="00247000"/>
    <w:rsid w:val="00247238"/>
    <w:rsid w:val="00247BF4"/>
    <w:rsid w:val="002500FC"/>
    <w:rsid w:val="0025076D"/>
    <w:rsid w:val="00251158"/>
    <w:rsid w:val="0025134F"/>
    <w:rsid w:val="0025193F"/>
    <w:rsid w:val="0025207F"/>
    <w:rsid w:val="002524C1"/>
    <w:rsid w:val="00252E3C"/>
    <w:rsid w:val="00253A93"/>
    <w:rsid w:val="00255E78"/>
    <w:rsid w:val="0025605D"/>
    <w:rsid w:val="00256539"/>
    <w:rsid w:val="00256C0A"/>
    <w:rsid w:val="00256D80"/>
    <w:rsid w:val="00257296"/>
    <w:rsid w:val="00260330"/>
    <w:rsid w:val="002613A9"/>
    <w:rsid w:val="002623A1"/>
    <w:rsid w:val="00262768"/>
    <w:rsid w:val="00262BDB"/>
    <w:rsid w:val="00263AA5"/>
    <w:rsid w:val="00264896"/>
    <w:rsid w:val="002654E2"/>
    <w:rsid w:val="00266421"/>
    <w:rsid w:val="00266AE6"/>
    <w:rsid w:val="002672FB"/>
    <w:rsid w:val="002673B9"/>
    <w:rsid w:val="00267489"/>
    <w:rsid w:val="00267AE2"/>
    <w:rsid w:val="00270C73"/>
    <w:rsid w:val="002719F1"/>
    <w:rsid w:val="00272399"/>
    <w:rsid w:val="002723E8"/>
    <w:rsid w:val="0027357A"/>
    <w:rsid w:val="00274D08"/>
    <w:rsid w:val="00274FAD"/>
    <w:rsid w:val="00275204"/>
    <w:rsid w:val="002759EF"/>
    <w:rsid w:val="002762FB"/>
    <w:rsid w:val="00276599"/>
    <w:rsid w:val="00276F3C"/>
    <w:rsid w:val="002807F2"/>
    <w:rsid w:val="002810DD"/>
    <w:rsid w:val="002817A9"/>
    <w:rsid w:val="00281A56"/>
    <w:rsid w:val="00281E6C"/>
    <w:rsid w:val="00282A56"/>
    <w:rsid w:val="002836A8"/>
    <w:rsid w:val="00284741"/>
    <w:rsid w:val="00285B03"/>
    <w:rsid w:val="002867BD"/>
    <w:rsid w:val="0028780B"/>
    <w:rsid w:val="00287B40"/>
    <w:rsid w:val="00287BDA"/>
    <w:rsid w:val="00287DC5"/>
    <w:rsid w:val="0028C0C8"/>
    <w:rsid w:val="0029015B"/>
    <w:rsid w:val="00290BF0"/>
    <w:rsid w:val="00291314"/>
    <w:rsid w:val="00291C25"/>
    <w:rsid w:val="0029378D"/>
    <w:rsid w:val="002937C2"/>
    <w:rsid w:val="002937E0"/>
    <w:rsid w:val="00293B8E"/>
    <w:rsid w:val="00293CE3"/>
    <w:rsid w:val="00293ED2"/>
    <w:rsid w:val="00294C68"/>
    <w:rsid w:val="00294CE7"/>
    <w:rsid w:val="00294E36"/>
    <w:rsid w:val="002955C7"/>
    <w:rsid w:val="00295BA3"/>
    <w:rsid w:val="00295EF4"/>
    <w:rsid w:val="00295F3B"/>
    <w:rsid w:val="002964BD"/>
    <w:rsid w:val="00297215"/>
    <w:rsid w:val="00297323"/>
    <w:rsid w:val="0029787C"/>
    <w:rsid w:val="00297A78"/>
    <w:rsid w:val="002A0A40"/>
    <w:rsid w:val="002A0B50"/>
    <w:rsid w:val="002A16CA"/>
    <w:rsid w:val="002A17C1"/>
    <w:rsid w:val="002A23B2"/>
    <w:rsid w:val="002A253D"/>
    <w:rsid w:val="002A2DC8"/>
    <w:rsid w:val="002A3533"/>
    <w:rsid w:val="002A3A79"/>
    <w:rsid w:val="002A45F5"/>
    <w:rsid w:val="002A49FA"/>
    <w:rsid w:val="002A5D2F"/>
    <w:rsid w:val="002A6695"/>
    <w:rsid w:val="002A6AF2"/>
    <w:rsid w:val="002B15DF"/>
    <w:rsid w:val="002B1C50"/>
    <w:rsid w:val="002B2B21"/>
    <w:rsid w:val="002B452D"/>
    <w:rsid w:val="002B470B"/>
    <w:rsid w:val="002B49B0"/>
    <w:rsid w:val="002B4DE7"/>
    <w:rsid w:val="002B4E0F"/>
    <w:rsid w:val="002B6863"/>
    <w:rsid w:val="002B7574"/>
    <w:rsid w:val="002B7800"/>
    <w:rsid w:val="002C0E29"/>
    <w:rsid w:val="002C0EA2"/>
    <w:rsid w:val="002C1284"/>
    <w:rsid w:val="002C1445"/>
    <w:rsid w:val="002C174C"/>
    <w:rsid w:val="002C3071"/>
    <w:rsid w:val="002C3292"/>
    <w:rsid w:val="002C3EEE"/>
    <w:rsid w:val="002C522B"/>
    <w:rsid w:val="002C5E2C"/>
    <w:rsid w:val="002C6DBE"/>
    <w:rsid w:val="002C7837"/>
    <w:rsid w:val="002C7D97"/>
    <w:rsid w:val="002C7ECB"/>
    <w:rsid w:val="002D03BE"/>
    <w:rsid w:val="002D0C40"/>
    <w:rsid w:val="002D18A0"/>
    <w:rsid w:val="002D3A16"/>
    <w:rsid w:val="002D3B6C"/>
    <w:rsid w:val="002D4C69"/>
    <w:rsid w:val="002D5353"/>
    <w:rsid w:val="002D575E"/>
    <w:rsid w:val="002D5F95"/>
    <w:rsid w:val="002D6BD3"/>
    <w:rsid w:val="002D7BC0"/>
    <w:rsid w:val="002D7E32"/>
    <w:rsid w:val="002D7F84"/>
    <w:rsid w:val="002E0942"/>
    <w:rsid w:val="002E121C"/>
    <w:rsid w:val="002E1A67"/>
    <w:rsid w:val="002E1E01"/>
    <w:rsid w:val="002E47EA"/>
    <w:rsid w:val="002E493A"/>
    <w:rsid w:val="002E4FD4"/>
    <w:rsid w:val="002E5700"/>
    <w:rsid w:val="002E5CBC"/>
    <w:rsid w:val="002E6766"/>
    <w:rsid w:val="002E6B9C"/>
    <w:rsid w:val="002E74F7"/>
    <w:rsid w:val="002E764E"/>
    <w:rsid w:val="002E7EDD"/>
    <w:rsid w:val="002F0055"/>
    <w:rsid w:val="002F07B4"/>
    <w:rsid w:val="002F07E2"/>
    <w:rsid w:val="002F1311"/>
    <w:rsid w:val="002F149A"/>
    <w:rsid w:val="002F2AAC"/>
    <w:rsid w:val="002F30BE"/>
    <w:rsid w:val="002F3295"/>
    <w:rsid w:val="002F4EC0"/>
    <w:rsid w:val="002F6E4B"/>
    <w:rsid w:val="00300862"/>
    <w:rsid w:val="00301FAE"/>
    <w:rsid w:val="00302004"/>
    <w:rsid w:val="00302101"/>
    <w:rsid w:val="00302D68"/>
    <w:rsid w:val="003030A1"/>
    <w:rsid w:val="00303D25"/>
    <w:rsid w:val="00304184"/>
    <w:rsid w:val="0030480F"/>
    <w:rsid w:val="0030509A"/>
    <w:rsid w:val="003056A9"/>
    <w:rsid w:val="00305CBF"/>
    <w:rsid w:val="003071C8"/>
    <w:rsid w:val="0030746D"/>
    <w:rsid w:val="00307BD3"/>
    <w:rsid w:val="0031063B"/>
    <w:rsid w:val="00310AF0"/>
    <w:rsid w:val="003124BF"/>
    <w:rsid w:val="00312D25"/>
    <w:rsid w:val="0031305D"/>
    <w:rsid w:val="003134AE"/>
    <w:rsid w:val="00313D63"/>
    <w:rsid w:val="003140AA"/>
    <w:rsid w:val="0031602F"/>
    <w:rsid w:val="00316601"/>
    <w:rsid w:val="003176C8"/>
    <w:rsid w:val="0032043E"/>
    <w:rsid w:val="00320936"/>
    <w:rsid w:val="00320999"/>
    <w:rsid w:val="00320D9A"/>
    <w:rsid w:val="0032184A"/>
    <w:rsid w:val="00321BED"/>
    <w:rsid w:val="003221C4"/>
    <w:rsid w:val="003227DA"/>
    <w:rsid w:val="0032310B"/>
    <w:rsid w:val="00323328"/>
    <w:rsid w:val="003233BC"/>
    <w:rsid w:val="003236A1"/>
    <w:rsid w:val="00323BF1"/>
    <w:rsid w:val="00324725"/>
    <w:rsid w:val="003255B8"/>
    <w:rsid w:val="00325B61"/>
    <w:rsid w:val="0032631F"/>
    <w:rsid w:val="00331B8E"/>
    <w:rsid w:val="003324A6"/>
    <w:rsid w:val="00332687"/>
    <w:rsid w:val="00332F83"/>
    <w:rsid w:val="00333268"/>
    <w:rsid w:val="00334590"/>
    <w:rsid w:val="003352F2"/>
    <w:rsid w:val="0033632A"/>
    <w:rsid w:val="00336F6E"/>
    <w:rsid w:val="00337B84"/>
    <w:rsid w:val="003406E8"/>
    <w:rsid w:val="0034177C"/>
    <w:rsid w:val="003427CA"/>
    <w:rsid w:val="00342F54"/>
    <w:rsid w:val="003433DF"/>
    <w:rsid w:val="003437AB"/>
    <w:rsid w:val="003444FA"/>
    <w:rsid w:val="003445E9"/>
    <w:rsid w:val="00344E44"/>
    <w:rsid w:val="00345423"/>
    <w:rsid w:val="00347407"/>
    <w:rsid w:val="003476A9"/>
    <w:rsid w:val="00347EE2"/>
    <w:rsid w:val="00350587"/>
    <w:rsid w:val="003517FF"/>
    <w:rsid w:val="00351C5C"/>
    <w:rsid w:val="00351F66"/>
    <w:rsid w:val="00352FD7"/>
    <w:rsid w:val="00353481"/>
    <w:rsid w:val="00353D2C"/>
    <w:rsid w:val="00354A3C"/>
    <w:rsid w:val="00356182"/>
    <w:rsid w:val="0035645E"/>
    <w:rsid w:val="003564BD"/>
    <w:rsid w:val="00356501"/>
    <w:rsid w:val="003566B7"/>
    <w:rsid w:val="00356EA0"/>
    <w:rsid w:val="00356F26"/>
    <w:rsid w:val="00357CC8"/>
    <w:rsid w:val="00357CFB"/>
    <w:rsid w:val="003605D5"/>
    <w:rsid w:val="00360EF3"/>
    <w:rsid w:val="0036186E"/>
    <w:rsid w:val="00361B04"/>
    <w:rsid w:val="00361BA1"/>
    <w:rsid w:val="003622FC"/>
    <w:rsid w:val="00362710"/>
    <w:rsid w:val="00362D02"/>
    <w:rsid w:val="00363686"/>
    <w:rsid w:val="003647F5"/>
    <w:rsid w:val="003648C4"/>
    <w:rsid w:val="00364BCD"/>
    <w:rsid w:val="0036698B"/>
    <w:rsid w:val="00366F9D"/>
    <w:rsid w:val="00367CD6"/>
    <w:rsid w:val="00370D0D"/>
    <w:rsid w:val="00370FF0"/>
    <w:rsid w:val="00371652"/>
    <w:rsid w:val="00371A4F"/>
    <w:rsid w:val="003724A8"/>
    <w:rsid w:val="00372864"/>
    <w:rsid w:val="00373E9C"/>
    <w:rsid w:val="0037402C"/>
    <w:rsid w:val="00374BA3"/>
    <w:rsid w:val="003756EB"/>
    <w:rsid w:val="00375A37"/>
    <w:rsid w:val="0037735B"/>
    <w:rsid w:val="00377B59"/>
    <w:rsid w:val="00381CEE"/>
    <w:rsid w:val="003821BE"/>
    <w:rsid w:val="003834C9"/>
    <w:rsid w:val="00384F15"/>
    <w:rsid w:val="00386582"/>
    <w:rsid w:val="00390215"/>
    <w:rsid w:val="00390371"/>
    <w:rsid w:val="003907C6"/>
    <w:rsid w:val="00390A53"/>
    <w:rsid w:val="00392A78"/>
    <w:rsid w:val="00393475"/>
    <w:rsid w:val="00393657"/>
    <w:rsid w:val="00394E4E"/>
    <w:rsid w:val="00395F1B"/>
    <w:rsid w:val="003963CF"/>
    <w:rsid w:val="003963E3"/>
    <w:rsid w:val="00396E62"/>
    <w:rsid w:val="00397ADD"/>
    <w:rsid w:val="003A1474"/>
    <w:rsid w:val="003A1951"/>
    <w:rsid w:val="003A23A1"/>
    <w:rsid w:val="003A286E"/>
    <w:rsid w:val="003A29CF"/>
    <w:rsid w:val="003A2B6C"/>
    <w:rsid w:val="003A3143"/>
    <w:rsid w:val="003A342A"/>
    <w:rsid w:val="003A3ECD"/>
    <w:rsid w:val="003A4967"/>
    <w:rsid w:val="003A5001"/>
    <w:rsid w:val="003A53D5"/>
    <w:rsid w:val="003A5D8A"/>
    <w:rsid w:val="003B0AEB"/>
    <w:rsid w:val="003B0DB7"/>
    <w:rsid w:val="003B1755"/>
    <w:rsid w:val="003B1A17"/>
    <w:rsid w:val="003B33C9"/>
    <w:rsid w:val="003B3429"/>
    <w:rsid w:val="003B3746"/>
    <w:rsid w:val="003B3769"/>
    <w:rsid w:val="003B4A17"/>
    <w:rsid w:val="003B4C77"/>
    <w:rsid w:val="003B5548"/>
    <w:rsid w:val="003B60B7"/>
    <w:rsid w:val="003C26E4"/>
    <w:rsid w:val="003C337F"/>
    <w:rsid w:val="003C385C"/>
    <w:rsid w:val="003C3FF0"/>
    <w:rsid w:val="003C4A18"/>
    <w:rsid w:val="003C5457"/>
    <w:rsid w:val="003C655A"/>
    <w:rsid w:val="003C6829"/>
    <w:rsid w:val="003C6B03"/>
    <w:rsid w:val="003C7128"/>
    <w:rsid w:val="003C731F"/>
    <w:rsid w:val="003C73F0"/>
    <w:rsid w:val="003D1487"/>
    <w:rsid w:val="003D27AB"/>
    <w:rsid w:val="003D3171"/>
    <w:rsid w:val="003D361E"/>
    <w:rsid w:val="003D3C6D"/>
    <w:rsid w:val="003D500E"/>
    <w:rsid w:val="003D5C7B"/>
    <w:rsid w:val="003D6044"/>
    <w:rsid w:val="003D6438"/>
    <w:rsid w:val="003D66ED"/>
    <w:rsid w:val="003D6E32"/>
    <w:rsid w:val="003D6E77"/>
    <w:rsid w:val="003D7077"/>
    <w:rsid w:val="003D7E61"/>
    <w:rsid w:val="003D7EFC"/>
    <w:rsid w:val="003E0682"/>
    <w:rsid w:val="003E0D80"/>
    <w:rsid w:val="003E1746"/>
    <w:rsid w:val="003E1AA5"/>
    <w:rsid w:val="003E3A79"/>
    <w:rsid w:val="003E4246"/>
    <w:rsid w:val="003E5488"/>
    <w:rsid w:val="003E6125"/>
    <w:rsid w:val="003E6333"/>
    <w:rsid w:val="003E6E8C"/>
    <w:rsid w:val="003F00C1"/>
    <w:rsid w:val="003F039E"/>
    <w:rsid w:val="003F04C9"/>
    <w:rsid w:val="003F0590"/>
    <w:rsid w:val="003F2544"/>
    <w:rsid w:val="003F2BD4"/>
    <w:rsid w:val="003F3CA5"/>
    <w:rsid w:val="003F477B"/>
    <w:rsid w:val="003F51F4"/>
    <w:rsid w:val="003F533E"/>
    <w:rsid w:val="003F564F"/>
    <w:rsid w:val="003F57A6"/>
    <w:rsid w:val="003F59B7"/>
    <w:rsid w:val="003F6A9C"/>
    <w:rsid w:val="003F6AB2"/>
    <w:rsid w:val="003F6E3F"/>
    <w:rsid w:val="003F721A"/>
    <w:rsid w:val="00400602"/>
    <w:rsid w:val="004015BA"/>
    <w:rsid w:val="00401C20"/>
    <w:rsid w:val="004043CF"/>
    <w:rsid w:val="00404D76"/>
    <w:rsid w:val="00404F74"/>
    <w:rsid w:val="00405DCD"/>
    <w:rsid w:val="00405EC3"/>
    <w:rsid w:val="004063A3"/>
    <w:rsid w:val="00410973"/>
    <w:rsid w:val="00410F90"/>
    <w:rsid w:val="0041130A"/>
    <w:rsid w:val="00411315"/>
    <w:rsid w:val="004117D4"/>
    <w:rsid w:val="004142B3"/>
    <w:rsid w:val="00415E18"/>
    <w:rsid w:val="00416C12"/>
    <w:rsid w:val="00416FB8"/>
    <w:rsid w:val="0041753A"/>
    <w:rsid w:val="00417A4B"/>
    <w:rsid w:val="00417AA7"/>
    <w:rsid w:val="00417F08"/>
    <w:rsid w:val="004209C9"/>
    <w:rsid w:val="00420D5F"/>
    <w:rsid w:val="00423E8B"/>
    <w:rsid w:val="00424BBA"/>
    <w:rsid w:val="00424D2F"/>
    <w:rsid w:val="0042570C"/>
    <w:rsid w:val="00425CF5"/>
    <w:rsid w:val="0042606E"/>
    <w:rsid w:val="004263BA"/>
    <w:rsid w:val="00426988"/>
    <w:rsid w:val="00426B98"/>
    <w:rsid w:val="00427346"/>
    <w:rsid w:val="00427E68"/>
    <w:rsid w:val="00427E8F"/>
    <w:rsid w:val="004310D5"/>
    <w:rsid w:val="004311CF"/>
    <w:rsid w:val="00431817"/>
    <w:rsid w:val="00432409"/>
    <w:rsid w:val="004332CC"/>
    <w:rsid w:val="004346AC"/>
    <w:rsid w:val="004356A7"/>
    <w:rsid w:val="00436162"/>
    <w:rsid w:val="00437F50"/>
    <w:rsid w:val="00441AE7"/>
    <w:rsid w:val="00442CD8"/>
    <w:rsid w:val="00442E6E"/>
    <w:rsid w:val="00442EB8"/>
    <w:rsid w:val="00444D1E"/>
    <w:rsid w:val="00445B1E"/>
    <w:rsid w:val="00447414"/>
    <w:rsid w:val="00447456"/>
    <w:rsid w:val="00447FB6"/>
    <w:rsid w:val="004508D1"/>
    <w:rsid w:val="004510B4"/>
    <w:rsid w:val="00451696"/>
    <w:rsid w:val="00451B9C"/>
    <w:rsid w:val="00451DD5"/>
    <w:rsid w:val="0045225A"/>
    <w:rsid w:val="00452819"/>
    <w:rsid w:val="0045394A"/>
    <w:rsid w:val="00453A6F"/>
    <w:rsid w:val="00454D52"/>
    <w:rsid w:val="00454D9C"/>
    <w:rsid w:val="00455B03"/>
    <w:rsid w:val="0045713C"/>
    <w:rsid w:val="00457D7D"/>
    <w:rsid w:val="0046024B"/>
    <w:rsid w:val="00462664"/>
    <w:rsid w:val="00462DCA"/>
    <w:rsid w:val="00463767"/>
    <w:rsid w:val="004638F4"/>
    <w:rsid w:val="00464496"/>
    <w:rsid w:val="004645A5"/>
    <w:rsid w:val="004648A2"/>
    <w:rsid w:val="00464A3E"/>
    <w:rsid w:val="00465D1A"/>
    <w:rsid w:val="00467199"/>
    <w:rsid w:val="004679D1"/>
    <w:rsid w:val="00467BB2"/>
    <w:rsid w:val="00467C15"/>
    <w:rsid w:val="00467F1C"/>
    <w:rsid w:val="004700F4"/>
    <w:rsid w:val="0047229F"/>
    <w:rsid w:val="0047329F"/>
    <w:rsid w:val="00473BCB"/>
    <w:rsid w:val="00474060"/>
    <w:rsid w:val="0047417C"/>
    <w:rsid w:val="00474AC9"/>
    <w:rsid w:val="00474E4C"/>
    <w:rsid w:val="00475A7D"/>
    <w:rsid w:val="00475C1E"/>
    <w:rsid w:val="00475FA2"/>
    <w:rsid w:val="00476444"/>
    <w:rsid w:val="00476619"/>
    <w:rsid w:val="00476E85"/>
    <w:rsid w:val="00476EE1"/>
    <w:rsid w:val="00481845"/>
    <w:rsid w:val="00481AD6"/>
    <w:rsid w:val="00481E2C"/>
    <w:rsid w:val="00482E86"/>
    <w:rsid w:val="00483452"/>
    <w:rsid w:val="00484B46"/>
    <w:rsid w:val="00484CB5"/>
    <w:rsid w:val="004853EB"/>
    <w:rsid w:val="00487A1E"/>
    <w:rsid w:val="004901AC"/>
    <w:rsid w:val="00491324"/>
    <w:rsid w:val="004914B2"/>
    <w:rsid w:val="00491ECE"/>
    <w:rsid w:val="00493803"/>
    <w:rsid w:val="004941BB"/>
    <w:rsid w:val="00494AC3"/>
    <w:rsid w:val="00495113"/>
    <w:rsid w:val="004959D6"/>
    <w:rsid w:val="00497A65"/>
    <w:rsid w:val="00497CFC"/>
    <w:rsid w:val="00497EBC"/>
    <w:rsid w:val="004A2026"/>
    <w:rsid w:val="004A2121"/>
    <w:rsid w:val="004A24BA"/>
    <w:rsid w:val="004A2C26"/>
    <w:rsid w:val="004A3E7D"/>
    <w:rsid w:val="004A46EA"/>
    <w:rsid w:val="004A49BA"/>
    <w:rsid w:val="004A4F3D"/>
    <w:rsid w:val="004A5182"/>
    <w:rsid w:val="004A5256"/>
    <w:rsid w:val="004A59CA"/>
    <w:rsid w:val="004B0080"/>
    <w:rsid w:val="004B13EF"/>
    <w:rsid w:val="004B208D"/>
    <w:rsid w:val="004B2720"/>
    <w:rsid w:val="004B4A02"/>
    <w:rsid w:val="004B4B46"/>
    <w:rsid w:val="004B5437"/>
    <w:rsid w:val="004B5B40"/>
    <w:rsid w:val="004B5EB2"/>
    <w:rsid w:val="004B615C"/>
    <w:rsid w:val="004B764D"/>
    <w:rsid w:val="004B796B"/>
    <w:rsid w:val="004B7A19"/>
    <w:rsid w:val="004B7E57"/>
    <w:rsid w:val="004B7F2D"/>
    <w:rsid w:val="004C11B1"/>
    <w:rsid w:val="004C13E6"/>
    <w:rsid w:val="004C26B7"/>
    <w:rsid w:val="004C2B6D"/>
    <w:rsid w:val="004C46D1"/>
    <w:rsid w:val="004C593C"/>
    <w:rsid w:val="004C5CA2"/>
    <w:rsid w:val="004C68ED"/>
    <w:rsid w:val="004C6B96"/>
    <w:rsid w:val="004C6F2C"/>
    <w:rsid w:val="004C73EC"/>
    <w:rsid w:val="004C7D82"/>
    <w:rsid w:val="004D0660"/>
    <w:rsid w:val="004D0E37"/>
    <w:rsid w:val="004D225D"/>
    <w:rsid w:val="004D3486"/>
    <w:rsid w:val="004D381D"/>
    <w:rsid w:val="004D3894"/>
    <w:rsid w:val="004D4773"/>
    <w:rsid w:val="004D4C98"/>
    <w:rsid w:val="004D5696"/>
    <w:rsid w:val="004D58B5"/>
    <w:rsid w:val="004D5BA4"/>
    <w:rsid w:val="004D6469"/>
    <w:rsid w:val="004D6F8E"/>
    <w:rsid w:val="004D7237"/>
    <w:rsid w:val="004D7566"/>
    <w:rsid w:val="004E1B7F"/>
    <w:rsid w:val="004E1CD7"/>
    <w:rsid w:val="004E2278"/>
    <w:rsid w:val="004E2BBD"/>
    <w:rsid w:val="004E5653"/>
    <w:rsid w:val="004E5699"/>
    <w:rsid w:val="004E5A03"/>
    <w:rsid w:val="004E60C7"/>
    <w:rsid w:val="004E64FF"/>
    <w:rsid w:val="004E6E3A"/>
    <w:rsid w:val="004E7384"/>
    <w:rsid w:val="004E74A0"/>
    <w:rsid w:val="004E7A71"/>
    <w:rsid w:val="004E7B73"/>
    <w:rsid w:val="004F01BA"/>
    <w:rsid w:val="004F1629"/>
    <w:rsid w:val="004F1F72"/>
    <w:rsid w:val="004F29CF"/>
    <w:rsid w:val="004F2B99"/>
    <w:rsid w:val="004F36DE"/>
    <w:rsid w:val="004F48FF"/>
    <w:rsid w:val="004F4D89"/>
    <w:rsid w:val="004F4DE4"/>
    <w:rsid w:val="004F5390"/>
    <w:rsid w:val="004F55C6"/>
    <w:rsid w:val="004F57DE"/>
    <w:rsid w:val="004F5859"/>
    <w:rsid w:val="004F7315"/>
    <w:rsid w:val="00500EE1"/>
    <w:rsid w:val="005011C5"/>
    <w:rsid w:val="00501363"/>
    <w:rsid w:val="00501487"/>
    <w:rsid w:val="00501F25"/>
    <w:rsid w:val="005021BC"/>
    <w:rsid w:val="00502476"/>
    <w:rsid w:val="0050291D"/>
    <w:rsid w:val="00503C13"/>
    <w:rsid w:val="00503F8E"/>
    <w:rsid w:val="005049D8"/>
    <w:rsid w:val="00504E29"/>
    <w:rsid w:val="005055AE"/>
    <w:rsid w:val="005055FC"/>
    <w:rsid w:val="0050570D"/>
    <w:rsid w:val="00505CE4"/>
    <w:rsid w:val="00506158"/>
    <w:rsid w:val="00506513"/>
    <w:rsid w:val="00506D21"/>
    <w:rsid w:val="00506DF9"/>
    <w:rsid w:val="00507D35"/>
    <w:rsid w:val="00507DBC"/>
    <w:rsid w:val="00507DC2"/>
    <w:rsid w:val="00507F61"/>
    <w:rsid w:val="00510169"/>
    <w:rsid w:val="00510AF9"/>
    <w:rsid w:val="00512158"/>
    <w:rsid w:val="00512625"/>
    <w:rsid w:val="00513756"/>
    <w:rsid w:val="00513A45"/>
    <w:rsid w:val="00513B32"/>
    <w:rsid w:val="00513CB2"/>
    <w:rsid w:val="005141CF"/>
    <w:rsid w:val="00514EDB"/>
    <w:rsid w:val="00516839"/>
    <w:rsid w:val="00517F52"/>
    <w:rsid w:val="005203F4"/>
    <w:rsid w:val="00520846"/>
    <w:rsid w:val="005208EB"/>
    <w:rsid w:val="00521B21"/>
    <w:rsid w:val="00522456"/>
    <w:rsid w:val="00522E4E"/>
    <w:rsid w:val="005239F7"/>
    <w:rsid w:val="00523FA4"/>
    <w:rsid w:val="005242F0"/>
    <w:rsid w:val="005248DD"/>
    <w:rsid w:val="00524EA6"/>
    <w:rsid w:val="00524EBF"/>
    <w:rsid w:val="005258B5"/>
    <w:rsid w:val="005258E0"/>
    <w:rsid w:val="0052647C"/>
    <w:rsid w:val="0052783C"/>
    <w:rsid w:val="00527C47"/>
    <w:rsid w:val="00530EE9"/>
    <w:rsid w:val="00532103"/>
    <w:rsid w:val="0053260E"/>
    <w:rsid w:val="00532BBF"/>
    <w:rsid w:val="00532E52"/>
    <w:rsid w:val="0053410E"/>
    <w:rsid w:val="00534AD4"/>
    <w:rsid w:val="00534C85"/>
    <w:rsid w:val="00535B9F"/>
    <w:rsid w:val="00535CCB"/>
    <w:rsid w:val="005364C1"/>
    <w:rsid w:val="0053685E"/>
    <w:rsid w:val="00536BCD"/>
    <w:rsid w:val="0053765E"/>
    <w:rsid w:val="005403C6"/>
    <w:rsid w:val="00540463"/>
    <w:rsid w:val="00540F93"/>
    <w:rsid w:val="00541389"/>
    <w:rsid w:val="005420E4"/>
    <w:rsid w:val="00542398"/>
    <w:rsid w:val="00543377"/>
    <w:rsid w:val="005443E3"/>
    <w:rsid w:val="00544903"/>
    <w:rsid w:val="0054492C"/>
    <w:rsid w:val="00545387"/>
    <w:rsid w:val="0054538B"/>
    <w:rsid w:val="00545F24"/>
    <w:rsid w:val="00546071"/>
    <w:rsid w:val="005460DE"/>
    <w:rsid w:val="00546A51"/>
    <w:rsid w:val="00547FBB"/>
    <w:rsid w:val="00552726"/>
    <w:rsid w:val="00552AEE"/>
    <w:rsid w:val="0055360D"/>
    <w:rsid w:val="0055389E"/>
    <w:rsid w:val="00553E70"/>
    <w:rsid w:val="0055405E"/>
    <w:rsid w:val="005541CC"/>
    <w:rsid w:val="005545A7"/>
    <w:rsid w:val="00556091"/>
    <w:rsid w:val="00556986"/>
    <w:rsid w:val="00556D65"/>
    <w:rsid w:val="00557F75"/>
    <w:rsid w:val="0056021F"/>
    <w:rsid w:val="0056062A"/>
    <w:rsid w:val="00560790"/>
    <w:rsid w:val="0056135C"/>
    <w:rsid w:val="005619A2"/>
    <w:rsid w:val="00561EBC"/>
    <w:rsid w:val="00562994"/>
    <w:rsid w:val="00562FCD"/>
    <w:rsid w:val="00563CED"/>
    <w:rsid w:val="0056444E"/>
    <w:rsid w:val="00564F17"/>
    <w:rsid w:val="00564FA8"/>
    <w:rsid w:val="00565645"/>
    <w:rsid w:val="0056596F"/>
    <w:rsid w:val="005661F7"/>
    <w:rsid w:val="00566D5C"/>
    <w:rsid w:val="00567E09"/>
    <w:rsid w:val="00567F32"/>
    <w:rsid w:val="005705DF"/>
    <w:rsid w:val="00570A93"/>
    <w:rsid w:val="00570AE7"/>
    <w:rsid w:val="00570DA4"/>
    <w:rsid w:val="00570F28"/>
    <w:rsid w:val="00571627"/>
    <w:rsid w:val="005718E9"/>
    <w:rsid w:val="00572453"/>
    <w:rsid w:val="00572F0E"/>
    <w:rsid w:val="0057521F"/>
    <w:rsid w:val="00575A80"/>
    <w:rsid w:val="00575C2F"/>
    <w:rsid w:val="00576216"/>
    <w:rsid w:val="005763C2"/>
    <w:rsid w:val="0057654D"/>
    <w:rsid w:val="005765D4"/>
    <w:rsid w:val="0057686C"/>
    <w:rsid w:val="005770F0"/>
    <w:rsid w:val="00577256"/>
    <w:rsid w:val="005773AA"/>
    <w:rsid w:val="00577D71"/>
    <w:rsid w:val="00577E42"/>
    <w:rsid w:val="00580AAD"/>
    <w:rsid w:val="00581667"/>
    <w:rsid w:val="00582CF1"/>
    <w:rsid w:val="00583FA6"/>
    <w:rsid w:val="0058509F"/>
    <w:rsid w:val="0058588F"/>
    <w:rsid w:val="00585FC7"/>
    <w:rsid w:val="00586222"/>
    <w:rsid w:val="005864C9"/>
    <w:rsid w:val="00586600"/>
    <w:rsid w:val="0058707E"/>
    <w:rsid w:val="0058707F"/>
    <w:rsid w:val="0058722B"/>
    <w:rsid w:val="00590507"/>
    <w:rsid w:val="00590EF4"/>
    <w:rsid w:val="0059231D"/>
    <w:rsid w:val="00592817"/>
    <w:rsid w:val="00592BFB"/>
    <w:rsid w:val="00592CD5"/>
    <w:rsid w:val="00593FD1"/>
    <w:rsid w:val="00594D30"/>
    <w:rsid w:val="00594DC7"/>
    <w:rsid w:val="00595B3A"/>
    <w:rsid w:val="00595D93"/>
    <w:rsid w:val="005966D9"/>
    <w:rsid w:val="00596E22"/>
    <w:rsid w:val="0059741B"/>
    <w:rsid w:val="005A18B0"/>
    <w:rsid w:val="005A37CA"/>
    <w:rsid w:val="005A38D4"/>
    <w:rsid w:val="005A5BCD"/>
    <w:rsid w:val="005A6260"/>
    <w:rsid w:val="005A6736"/>
    <w:rsid w:val="005A6AF1"/>
    <w:rsid w:val="005A6D4A"/>
    <w:rsid w:val="005A72E1"/>
    <w:rsid w:val="005B0095"/>
    <w:rsid w:val="005B0752"/>
    <w:rsid w:val="005B0EC7"/>
    <w:rsid w:val="005B0FF7"/>
    <w:rsid w:val="005B1220"/>
    <w:rsid w:val="005B2D46"/>
    <w:rsid w:val="005B37B9"/>
    <w:rsid w:val="005B3D16"/>
    <w:rsid w:val="005B3D4A"/>
    <w:rsid w:val="005B4268"/>
    <w:rsid w:val="005B4B9E"/>
    <w:rsid w:val="005B4CF0"/>
    <w:rsid w:val="005B4D8D"/>
    <w:rsid w:val="005B540B"/>
    <w:rsid w:val="005B58A1"/>
    <w:rsid w:val="005B6B6D"/>
    <w:rsid w:val="005B7080"/>
    <w:rsid w:val="005B70A5"/>
    <w:rsid w:val="005B797C"/>
    <w:rsid w:val="005C0082"/>
    <w:rsid w:val="005C0E89"/>
    <w:rsid w:val="005C308D"/>
    <w:rsid w:val="005C3D20"/>
    <w:rsid w:val="005C40C8"/>
    <w:rsid w:val="005C4502"/>
    <w:rsid w:val="005C48C9"/>
    <w:rsid w:val="005C5FE7"/>
    <w:rsid w:val="005C67F3"/>
    <w:rsid w:val="005C6B3A"/>
    <w:rsid w:val="005C6DB8"/>
    <w:rsid w:val="005C7002"/>
    <w:rsid w:val="005C7E8E"/>
    <w:rsid w:val="005D110C"/>
    <w:rsid w:val="005D2591"/>
    <w:rsid w:val="005D3B23"/>
    <w:rsid w:val="005D3B5E"/>
    <w:rsid w:val="005D3E35"/>
    <w:rsid w:val="005D40C6"/>
    <w:rsid w:val="005D433C"/>
    <w:rsid w:val="005D50F5"/>
    <w:rsid w:val="005D6F22"/>
    <w:rsid w:val="005D74A6"/>
    <w:rsid w:val="005D7782"/>
    <w:rsid w:val="005D7A0E"/>
    <w:rsid w:val="005D7B44"/>
    <w:rsid w:val="005D7B77"/>
    <w:rsid w:val="005E0295"/>
    <w:rsid w:val="005E041D"/>
    <w:rsid w:val="005E1A79"/>
    <w:rsid w:val="005E25F9"/>
    <w:rsid w:val="005E2E05"/>
    <w:rsid w:val="005E3D2F"/>
    <w:rsid w:val="005E4D16"/>
    <w:rsid w:val="005E57CD"/>
    <w:rsid w:val="005E629D"/>
    <w:rsid w:val="005E6524"/>
    <w:rsid w:val="005E695C"/>
    <w:rsid w:val="005E69DD"/>
    <w:rsid w:val="005E6CC1"/>
    <w:rsid w:val="005E703A"/>
    <w:rsid w:val="005F0AC0"/>
    <w:rsid w:val="005F0AC5"/>
    <w:rsid w:val="005F1C6C"/>
    <w:rsid w:val="005F20D9"/>
    <w:rsid w:val="005F23C2"/>
    <w:rsid w:val="005F300B"/>
    <w:rsid w:val="005F32D3"/>
    <w:rsid w:val="005F34D1"/>
    <w:rsid w:val="005F461F"/>
    <w:rsid w:val="005F49CC"/>
    <w:rsid w:val="005F4C3D"/>
    <w:rsid w:val="005F6EB8"/>
    <w:rsid w:val="005F7B3E"/>
    <w:rsid w:val="0060015C"/>
    <w:rsid w:val="00600FAE"/>
    <w:rsid w:val="00601888"/>
    <w:rsid w:val="006023BC"/>
    <w:rsid w:val="00603F5A"/>
    <w:rsid w:val="006046B8"/>
    <w:rsid w:val="006100A5"/>
    <w:rsid w:val="00610CEC"/>
    <w:rsid w:val="00610EBA"/>
    <w:rsid w:val="00611D34"/>
    <w:rsid w:val="00612232"/>
    <w:rsid w:val="00614AB7"/>
    <w:rsid w:val="00614EC2"/>
    <w:rsid w:val="00617079"/>
    <w:rsid w:val="0061743B"/>
    <w:rsid w:val="006179EA"/>
    <w:rsid w:val="00620E38"/>
    <w:rsid w:val="00620ED9"/>
    <w:rsid w:val="00621E15"/>
    <w:rsid w:val="00622203"/>
    <w:rsid w:val="0062255E"/>
    <w:rsid w:val="00622E0A"/>
    <w:rsid w:val="00623FD0"/>
    <w:rsid w:val="006246CD"/>
    <w:rsid w:val="00624D10"/>
    <w:rsid w:val="0062557C"/>
    <w:rsid w:val="00626EA5"/>
    <w:rsid w:val="00630D97"/>
    <w:rsid w:val="006319ED"/>
    <w:rsid w:val="006324C2"/>
    <w:rsid w:val="00633215"/>
    <w:rsid w:val="00634BDD"/>
    <w:rsid w:val="00634C48"/>
    <w:rsid w:val="006353CB"/>
    <w:rsid w:val="00636A2B"/>
    <w:rsid w:val="00637E62"/>
    <w:rsid w:val="00641EF9"/>
    <w:rsid w:val="00642F37"/>
    <w:rsid w:val="00643670"/>
    <w:rsid w:val="006441D8"/>
    <w:rsid w:val="00644496"/>
    <w:rsid w:val="0064551F"/>
    <w:rsid w:val="006467A4"/>
    <w:rsid w:val="00646A43"/>
    <w:rsid w:val="00647F42"/>
    <w:rsid w:val="00650643"/>
    <w:rsid w:val="00650CF8"/>
    <w:rsid w:val="006514E0"/>
    <w:rsid w:val="006526F5"/>
    <w:rsid w:val="00652CBF"/>
    <w:rsid w:val="00653043"/>
    <w:rsid w:val="006548F8"/>
    <w:rsid w:val="00654ECC"/>
    <w:rsid w:val="00654F24"/>
    <w:rsid w:val="00655EA0"/>
    <w:rsid w:val="00655FA9"/>
    <w:rsid w:val="006574DC"/>
    <w:rsid w:val="006574E6"/>
    <w:rsid w:val="006578D1"/>
    <w:rsid w:val="00657B6F"/>
    <w:rsid w:val="00660BC8"/>
    <w:rsid w:val="00660BD9"/>
    <w:rsid w:val="00661303"/>
    <w:rsid w:val="00661499"/>
    <w:rsid w:val="0066222F"/>
    <w:rsid w:val="00663312"/>
    <w:rsid w:val="006635C9"/>
    <w:rsid w:val="006639CA"/>
    <w:rsid w:val="00663FBC"/>
    <w:rsid w:val="00664952"/>
    <w:rsid w:val="00664C27"/>
    <w:rsid w:val="006664C1"/>
    <w:rsid w:val="0066738F"/>
    <w:rsid w:val="006674BC"/>
    <w:rsid w:val="006676EE"/>
    <w:rsid w:val="0067035D"/>
    <w:rsid w:val="00671DD7"/>
    <w:rsid w:val="00672673"/>
    <w:rsid w:val="00672766"/>
    <w:rsid w:val="0067358A"/>
    <w:rsid w:val="00674298"/>
    <w:rsid w:val="00674B22"/>
    <w:rsid w:val="00674DD6"/>
    <w:rsid w:val="00676DED"/>
    <w:rsid w:val="00676E64"/>
    <w:rsid w:val="00677591"/>
    <w:rsid w:val="00680738"/>
    <w:rsid w:val="006810CA"/>
    <w:rsid w:val="00682901"/>
    <w:rsid w:val="00682964"/>
    <w:rsid w:val="00682FDA"/>
    <w:rsid w:val="006839E2"/>
    <w:rsid w:val="006839F7"/>
    <w:rsid w:val="006841F8"/>
    <w:rsid w:val="0068495A"/>
    <w:rsid w:val="00685C4B"/>
    <w:rsid w:val="00685CC4"/>
    <w:rsid w:val="006876CF"/>
    <w:rsid w:val="006878A6"/>
    <w:rsid w:val="00687B8D"/>
    <w:rsid w:val="00687DEA"/>
    <w:rsid w:val="006905D9"/>
    <w:rsid w:val="00692080"/>
    <w:rsid w:val="006922EC"/>
    <w:rsid w:val="00692F78"/>
    <w:rsid w:val="00693295"/>
    <w:rsid w:val="0069443D"/>
    <w:rsid w:val="0069471D"/>
    <w:rsid w:val="00695CA9"/>
    <w:rsid w:val="006965DC"/>
    <w:rsid w:val="006965FB"/>
    <w:rsid w:val="0069691A"/>
    <w:rsid w:val="00696F98"/>
    <w:rsid w:val="00697B15"/>
    <w:rsid w:val="006A1574"/>
    <w:rsid w:val="006A1868"/>
    <w:rsid w:val="006A1CDC"/>
    <w:rsid w:val="006A2558"/>
    <w:rsid w:val="006A5580"/>
    <w:rsid w:val="006A57E5"/>
    <w:rsid w:val="006A5D54"/>
    <w:rsid w:val="006B0314"/>
    <w:rsid w:val="006B097D"/>
    <w:rsid w:val="006B15D4"/>
    <w:rsid w:val="006B1A1C"/>
    <w:rsid w:val="006B2496"/>
    <w:rsid w:val="006B2593"/>
    <w:rsid w:val="006B31AB"/>
    <w:rsid w:val="006B3BA9"/>
    <w:rsid w:val="006B3BE7"/>
    <w:rsid w:val="006B444F"/>
    <w:rsid w:val="006B44C9"/>
    <w:rsid w:val="006B4C7E"/>
    <w:rsid w:val="006B4F3B"/>
    <w:rsid w:val="006B6116"/>
    <w:rsid w:val="006B718D"/>
    <w:rsid w:val="006B71C5"/>
    <w:rsid w:val="006C0290"/>
    <w:rsid w:val="006C0848"/>
    <w:rsid w:val="006C1CD7"/>
    <w:rsid w:val="006C2007"/>
    <w:rsid w:val="006C2259"/>
    <w:rsid w:val="006C2674"/>
    <w:rsid w:val="006C2A29"/>
    <w:rsid w:val="006C2EDF"/>
    <w:rsid w:val="006C3631"/>
    <w:rsid w:val="006C3777"/>
    <w:rsid w:val="006C3859"/>
    <w:rsid w:val="006C3924"/>
    <w:rsid w:val="006C3D5A"/>
    <w:rsid w:val="006C42DF"/>
    <w:rsid w:val="006C4914"/>
    <w:rsid w:val="006C4A3A"/>
    <w:rsid w:val="006C5084"/>
    <w:rsid w:val="006C5105"/>
    <w:rsid w:val="006C51EB"/>
    <w:rsid w:val="006C53DD"/>
    <w:rsid w:val="006C6C0A"/>
    <w:rsid w:val="006C6FA5"/>
    <w:rsid w:val="006C7343"/>
    <w:rsid w:val="006C7CD9"/>
    <w:rsid w:val="006D011C"/>
    <w:rsid w:val="006D01A7"/>
    <w:rsid w:val="006D365F"/>
    <w:rsid w:val="006D38D5"/>
    <w:rsid w:val="006D39E6"/>
    <w:rsid w:val="006D43BD"/>
    <w:rsid w:val="006D4801"/>
    <w:rsid w:val="006D4B2E"/>
    <w:rsid w:val="006D4F42"/>
    <w:rsid w:val="006D51E4"/>
    <w:rsid w:val="006D6007"/>
    <w:rsid w:val="006D6B3F"/>
    <w:rsid w:val="006D7EE2"/>
    <w:rsid w:val="006D7F12"/>
    <w:rsid w:val="006E031B"/>
    <w:rsid w:val="006E0559"/>
    <w:rsid w:val="006E0B12"/>
    <w:rsid w:val="006E0F4B"/>
    <w:rsid w:val="006E1625"/>
    <w:rsid w:val="006E1989"/>
    <w:rsid w:val="006E1B54"/>
    <w:rsid w:val="006E207B"/>
    <w:rsid w:val="006E250C"/>
    <w:rsid w:val="006E4849"/>
    <w:rsid w:val="006E495E"/>
    <w:rsid w:val="006E5665"/>
    <w:rsid w:val="006E575A"/>
    <w:rsid w:val="006E5A91"/>
    <w:rsid w:val="006E720E"/>
    <w:rsid w:val="006E7FD2"/>
    <w:rsid w:val="006F0B71"/>
    <w:rsid w:val="006F0ED7"/>
    <w:rsid w:val="006F1EEA"/>
    <w:rsid w:val="006F2369"/>
    <w:rsid w:val="006F36B5"/>
    <w:rsid w:val="006F388E"/>
    <w:rsid w:val="006F472F"/>
    <w:rsid w:val="006F4740"/>
    <w:rsid w:val="006F4F5A"/>
    <w:rsid w:val="006F50DA"/>
    <w:rsid w:val="006F5966"/>
    <w:rsid w:val="006F599D"/>
    <w:rsid w:val="006F5E84"/>
    <w:rsid w:val="006F63F7"/>
    <w:rsid w:val="006F7B74"/>
    <w:rsid w:val="006F7C32"/>
    <w:rsid w:val="007008F7"/>
    <w:rsid w:val="00700AB9"/>
    <w:rsid w:val="007036F1"/>
    <w:rsid w:val="00703770"/>
    <w:rsid w:val="00703CF3"/>
    <w:rsid w:val="007040E0"/>
    <w:rsid w:val="00704659"/>
    <w:rsid w:val="00704E15"/>
    <w:rsid w:val="00704FF9"/>
    <w:rsid w:val="00705102"/>
    <w:rsid w:val="00705B00"/>
    <w:rsid w:val="00705D05"/>
    <w:rsid w:val="00706319"/>
    <w:rsid w:val="00706668"/>
    <w:rsid w:val="0070748F"/>
    <w:rsid w:val="0070754F"/>
    <w:rsid w:val="00707587"/>
    <w:rsid w:val="00707C17"/>
    <w:rsid w:val="00707D0D"/>
    <w:rsid w:val="00707E2B"/>
    <w:rsid w:val="00707EDA"/>
    <w:rsid w:val="00710024"/>
    <w:rsid w:val="007111B6"/>
    <w:rsid w:val="00711588"/>
    <w:rsid w:val="00711706"/>
    <w:rsid w:val="00711E32"/>
    <w:rsid w:val="00712295"/>
    <w:rsid w:val="00713A75"/>
    <w:rsid w:val="00713AA4"/>
    <w:rsid w:val="00713E55"/>
    <w:rsid w:val="007151FC"/>
    <w:rsid w:val="0071561A"/>
    <w:rsid w:val="007156F9"/>
    <w:rsid w:val="007176E0"/>
    <w:rsid w:val="00720230"/>
    <w:rsid w:val="00720437"/>
    <w:rsid w:val="007214EE"/>
    <w:rsid w:val="0072164F"/>
    <w:rsid w:val="0072190F"/>
    <w:rsid w:val="00721B82"/>
    <w:rsid w:val="00721EF2"/>
    <w:rsid w:val="00722090"/>
    <w:rsid w:val="00725353"/>
    <w:rsid w:val="00725366"/>
    <w:rsid w:val="0072552E"/>
    <w:rsid w:val="00725587"/>
    <w:rsid w:val="00725D7F"/>
    <w:rsid w:val="00727D18"/>
    <w:rsid w:val="00727E4D"/>
    <w:rsid w:val="007309AE"/>
    <w:rsid w:val="00731361"/>
    <w:rsid w:val="007314A2"/>
    <w:rsid w:val="0073162F"/>
    <w:rsid w:val="00731D26"/>
    <w:rsid w:val="00733B35"/>
    <w:rsid w:val="00733DD3"/>
    <w:rsid w:val="00734F00"/>
    <w:rsid w:val="00735200"/>
    <w:rsid w:val="007356B3"/>
    <w:rsid w:val="0073585A"/>
    <w:rsid w:val="0073594E"/>
    <w:rsid w:val="00735B71"/>
    <w:rsid w:val="00736F9A"/>
    <w:rsid w:val="00737ECD"/>
    <w:rsid w:val="00737EF5"/>
    <w:rsid w:val="0074124A"/>
    <w:rsid w:val="00742A36"/>
    <w:rsid w:val="00743B16"/>
    <w:rsid w:val="00744541"/>
    <w:rsid w:val="00744B49"/>
    <w:rsid w:val="00744F1C"/>
    <w:rsid w:val="00744FAB"/>
    <w:rsid w:val="00745B87"/>
    <w:rsid w:val="007464BD"/>
    <w:rsid w:val="0074698F"/>
    <w:rsid w:val="0074788C"/>
    <w:rsid w:val="00750958"/>
    <w:rsid w:val="00750CE6"/>
    <w:rsid w:val="007511F1"/>
    <w:rsid w:val="0075122D"/>
    <w:rsid w:val="007539E6"/>
    <w:rsid w:val="00753E6F"/>
    <w:rsid w:val="00754B4A"/>
    <w:rsid w:val="0075608B"/>
    <w:rsid w:val="0075637B"/>
    <w:rsid w:val="0076151B"/>
    <w:rsid w:val="00763972"/>
    <w:rsid w:val="0076422C"/>
    <w:rsid w:val="007647B4"/>
    <w:rsid w:val="00765562"/>
    <w:rsid w:val="007658B3"/>
    <w:rsid w:val="00765C9B"/>
    <w:rsid w:val="00765DC7"/>
    <w:rsid w:val="0076614D"/>
    <w:rsid w:val="007669DB"/>
    <w:rsid w:val="0076705E"/>
    <w:rsid w:val="007671A9"/>
    <w:rsid w:val="007705AE"/>
    <w:rsid w:val="00770877"/>
    <w:rsid w:val="00770E73"/>
    <w:rsid w:val="0077179B"/>
    <w:rsid w:val="00772EB5"/>
    <w:rsid w:val="00773A6B"/>
    <w:rsid w:val="00774A71"/>
    <w:rsid w:val="00774C01"/>
    <w:rsid w:val="00776087"/>
    <w:rsid w:val="0077636B"/>
    <w:rsid w:val="00776528"/>
    <w:rsid w:val="00777841"/>
    <w:rsid w:val="0078040C"/>
    <w:rsid w:val="00780931"/>
    <w:rsid w:val="00780EFF"/>
    <w:rsid w:val="007815AF"/>
    <w:rsid w:val="00782254"/>
    <w:rsid w:val="00782EBF"/>
    <w:rsid w:val="00786678"/>
    <w:rsid w:val="00786AC7"/>
    <w:rsid w:val="00786F22"/>
    <w:rsid w:val="0078714F"/>
    <w:rsid w:val="00787649"/>
    <w:rsid w:val="00787AEE"/>
    <w:rsid w:val="00787D13"/>
    <w:rsid w:val="007901CF"/>
    <w:rsid w:val="007904E4"/>
    <w:rsid w:val="00791065"/>
    <w:rsid w:val="00791A10"/>
    <w:rsid w:val="00792CE4"/>
    <w:rsid w:val="00792FCA"/>
    <w:rsid w:val="007933B9"/>
    <w:rsid w:val="00793EDF"/>
    <w:rsid w:val="007946CD"/>
    <w:rsid w:val="00794B45"/>
    <w:rsid w:val="00795A27"/>
    <w:rsid w:val="00796B99"/>
    <w:rsid w:val="007970E3"/>
    <w:rsid w:val="00797417"/>
    <w:rsid w:val="00797786"/>
    <w:rsid w:val="007A03F7"/>
    <w:rsid w:val="007A0728"/>
    <w:rsid w:val="007A149A"/>
    <w:rsid w:val="007A269B"/>
    <w:rsid w:val="007A288E"/>
    <w:rsid w:val="007A482E"/>
    <w:rsid w:val="007A4CB2"/>
    <w:rsid w:val="007A500E"/>
    <w:rsid w:val="007A5634"/>
    <w:rsid w:val="007A598F"/>
    <w:rsid w:val="007A5E68"/>
    <w:rsid w:val="007A6483"/>
    <w:rsid w:val="007A6CDD"/>
    <w:rsid w:val="007A718C"/>
    <w:rsid w:val="007A724C"/>
    <w:rsid w:val="007A78C4"/>
    <w:rsid w:val="007B0186"/>
    <w:rsid w:val="007B0AF2"/>
    <w:rsid w:val="007B1121"/>
    <w:rsid w:val="007B1207"/>
    <w:rsid w:val="007B1B97"/>
    <w:rsid w:val="007B2357"/>
    <w:rsid w:val="007B2E37"/>
    <w:rsid w:val="007B300C"/>
    <w:rsid w:val="007B3A16"/>
    <w:rsid w:val="007B42CE"/>
    <w:rsid w:val="007B4D72"/>
    <w:rsid w:val="007B521C"/>
    <w:rsid w:val="007B53E9"/>
    <w:rsid w:val="007B5C7C"/>
    <w:rsid w:val="007B6E1B"/>
    <w:rsid w:val="007B74E8"/>
    <w:rsid w:val="007C0257"/>
    <w:rsid w:val="007C031A"/>
    <w:rsid w:val="007C0F96"/>
    <w:rsid w:val="007C10CA"/>
    <w:rsid w:val="007C12B6"/>
    <w:rsid w:val="007C24DE"/>
    <w:rsid w:val="007C3A9F"/>
    <w:rsid w:val="007C3BEB"/>
    <w:rsid w:val="007C46C4"/>
    <w:rsid w:val="007C4F83"/>
    <w:rsid w:val="007C5BAB"/>
    <w:rsid w:val="007C5CC3"/>
    <w:rsid w:val="007C62A8"/>
    <w:rsid w:val="007C63E0"/>
    <w:rsid w:val="007C6A1B"/>
    <w:rsid w:val="007C6FF1"/>
    <w:rsid w:val="007C767C"/>
    <w:rsid w:val="007D0610"/>
    <w:rsid w:val="007D0C39"/>
    <w:rsid w:val="007D0E67"/>
    <w:rsid w:val="007D2165"/>
    <w:rsid w:val="007D669F"/>
    <w:rsid w:val="007D6A8F"/>
    <w:rsid w:val="007D6D83"/>
    <w:rsid w:val="007D70F2"/>
    <w:rsid w:val="007D7786"/>
    <w:rsid w:val="007E05E9"/>
    <w:rsid w:val="007E073A"/>
    <w:rsid w:val="007E0F61"/>
    <w:rsid w:val="007E2164"/>
    <w:rsid w:val="007E2DC3"/>
    <w:rsid w:val="007E2FD3"/>
    <w:rsid w:val="007E307E"/>
    <w:rsid w:val="007E3E31"/>
    <w:rsid w:val="007E4BF5"/>
    <w:rsid w:val="007E568A"/>
    <w:rsid w:val="007E63E2"/>
    <w:rsid w:val="007E6AD4"/>
    <w:rsid w:val="007E6DF5"/>
    <w:rsid w:val="007E756C"/>
    <w:rsid w:val="007E7643"/>
    <w:rsid w:val="007F0049"/>
    <w:rsid w:val="007F0D83"/>
    <w:rsid w:val="007F0E2C"/>
    <w:rsid w:val="007F12D3"/>
    <w:rsid w:val="007F1EFF"/>
    <w:rsid w:val="007F2200"/>
    <w:rsid w:val="007F2936"/>
    <w:rsid w:val="007F41EF"/>
    <w:rsid w:val="007F4501"/>
    <w:rsid w:val="007F47E0"/>
    <w:rsid w:val="007F620B"/>
    <w:rsid w:val="007F66AD"/>
    <w:rsid w:val="007F67D0"/>
    <w:rsid w:val="00800420"/>
    <w:rsid w:val="00800AC3"/>
    <w:rsid w:val="00800E26"/>
    <w:rsid w:val="00801196"/>
    <w:rsid w:val="00802986"/>
    <w:rsid w:val="00802A61"/>
    <w:rsid w:val="008032DB"/>
    <w:rsid w:val="008036A6"/>
    <w:rsid w:val="00803A0C"/>
    <w:rsid w:val="0080460F"/>
    <w:rsid w:val="0080467E"/>
    <w:rsid w:val="00804AC6"/>
    <w:rsid w:val="00806229"/>
    <w:rsid w:val="008065EA"/>
    <w:rsid w:val="00806C49"/>
    <w:rsid w:val="0080727B"/>
    <w:rsid w:val="008074CE"/>
    <w:rsid w:val="00810301"/>
    <w:rsid w:val="00810D15"/>
    <w:rsid w:val="008114DD"/>
    <w:rsid w:val="00811F99"/>
    <w:rsid w:val="008129DF"/>
    <w:rsid w:val="0081312C"/>
    <w:rsid w:val="00813BEF"/>
    <w:rsid w:val="00813FE3"/>
    <w:rsid w:val="008141EB"/>
    <w:rsid w:val="00814215"/>
    <w:rsid w:val="00820419"/>
    <w:rsid w:val="008208D8"/>
    <w:rsid w:val="00820AE9"/>
    <w:rsid w:val="0082103C"/>
    <w:rsid w:val="008219FE"/>
    <w:rsid w:val="00821E5E"/>
    <w:rsid w:val="00822E2D"/>
    <w:rsid w:val="00823712"/>
    <w:rsid w:val="00823AE4"/>
    <w:rsid w:val="00824790"/>
    <w:rsid w:val="00824DE0"/>
    <w:rsid w:val="00824EF1"/>
    <w:rsid w:val="008250B7"/>
    <w:rsid w:val="00825487"/>
    <w:rsid w:val="008258A7"/>
    <w:rsid w:val="00825A42"/>
    <w:rsid w:val="00825D2E"/>
    <w:rsid w:val="008276C2"/>
    <w:rsid w:val="00830042"/>
    <w:rsid w:val="00830227"/>
    <w:rsid w:val="00830690"/>
    <w:rsid w:val="0083075F"/>
    <w:rsid w:val="00830990"/>
    <w:rsid w:val="008309A5"/>
    <w:rsid w:val="00831592"/>
    <w:rsid w:val="00831EA5"/>
    <w:rsid w:val="008339AE"/>
    <w:rsid w:val="00833E89"/>
    <w:rsid w:val="00834012"/>
    <w:rsid w:val="00834DB8"/>
    <w:rsid w:val="00836C5D"/>
    <w:rsid w:val="00837FC5"/>
    <w:rsid w:val="008403C1"/>
    <w:rsid w:val="00840C53"/>
    <w:rsid w:val="008429D1"/>
    <w:rsid w:val="008432E4"/>
    <w:rsid w:val="008446E1"/>
    <w:rsid w:val="00844991"/>
    <w:rsid w:val="008461AE"/>
    <w:rsid w:val="00846835"/>
    <w:rsid w:val="00846B24"/>
    <w:rsid w:val="00846E9C"/>
    <w:rsid w:val="00847039"/>
    <w:rsid w:val="00851533"/>
    <w:rsid w:val="00851A53"/>
    <w:rsid w:val="00851A8E"/>
    <w:rsid w:val="00852744"/>
    <w:rsid w:val="00853CEB"/>
    <w:rsid w:val="00854518"/>
    <w:rsid w:val="00854BBB"/>
    <w:rsid w:val="00854C24"/>
    <w:rsid w:val="008554BD"/>
    <w:rsid w:val="008558CA"/>
    <w:rsid w:val="0085597A"/>
    <w:rsid w:val="00856B61"/>
    <w:rsid w:val="008570A3"/>
    <w:rsid w:val="008577D2"/>
    <w:rsid w:val="00860FE1"/>
    <w:rsid w:val="00861532"/>
    <w:rsid w:val="00861746"/>
    <w:rsid w:val="00861B8A"/>
    <w:rsid w:val="008622AD"/>
    <w:rsid w:val="00862477"/>
    <w:rsid w:val="0086253A"/>
    <w:rsid w:val="008648EF"/>
    <w:rsid w:val="00865356"/>
    <w:rsid w:val="00865CAD"/>
    <w:rsid w:val="00866752"/>
    <w:rsid w:val="0086756E"/>
    <w:rsid w:val="00867E61"/>
    <w:rsid w:val="00870A14"/>
    <w:rsid w:val="008711D5"/>
    <w:rsid w:val="00871FD2"/>
    <w:rsid w:val="008728ED"/>
    <w:rsid w:val="0087337F"/>
    <w:rsid w:val="00874FC2"/>
    <w:rsid w:val="0087541F"/>
    <w:rsid w:val="0087553E"/>
    <w:rsid w:val="008767D0"/>
    <w:rsid w:val="0087687B"/>
    <w:rsid w:val="00876DB8"/>
    <w:rsid w:val="00877381"/>
    <w:rsid w:val="008777B8"/>
    <w:rsid w:val="00880D8C"/>
    <w:rsid w:val="00880FEA"/>
    <w:rsid w:val="008815BA"/>
    <w:rsid w:val="0088160D"/>
    <w:rsid w:val="0088253F"/>
    <w:rsid w:val="00883567"/>
    <w:rsid w:val="008835A9"/>
    <w:rsid w:val="00883734"/>
    <w:rsid w:val="008845FA"/>
    <w:rsid w:val="00885290"/>
    <w:rsid w:val="008855EF"/>
    <w:rsid w:val="00885BFA"/>
    <w:rsid w:val="0088628B"/>
    <w:rsid w:val="008867C1"/>
    <w:rsid w:val="00886F8C"/>
    <w:rsid w:val="00887AAD"/>
    <w:rsid w:val="00887D45"/>
    <w:rsid w:val="008900F2"/>
    <w:rsid w:val="0089074F"/>
    <w:rsid w:val="00890A4C"/>
    <w:rsid w:val="00891232"/>
    <w:rsid w:val="00891669"/>
    <w:rsid w:val="00892353"/>
    <w:rsid w:val="00893338"/>
    <w:rsid w:val="00893B1A"/>
    <w:rsid w:val="008947AA"/>
    <w:rsid w:val="00896FEE"/>
    <w:rsid w:val="0089714F"/>
    <w:rsid w:val="0089732B"/>
    <w:rsid w:val="008975BB"/>
    <w:rsid w:val="008A13BD"/>
    <w:rsid w:val="008A2098"/>
    <w:rsid w:val="008A32BC"/>
    <w:rsid w:val="008A4BF1"/>
    <w:rsid w:val="008A61CF"/>
    <w:rsid w:val="008A76BB"/>
    <w:rsid w:val="008A7F74"/>
    <w:rsid w:val="008B109B"/>
    <w:rsid w:val="008B1192"/>
    <w:rsid w:val="008B1DB9"/>
    <w:rsid w:val="008B201F"/>
    <w:rsid w:val="008B2F64"/>
    <w:rsid w:val="008B3211"/>
    <w:rsid w:val="008B3CA0"/>
    <w:rsid w:val="008B3D27"/>
    <w:rsid w:val="008B6224"/>
    <w:rsid w:val="008B64BD"/>
    <w:rsid w:val="008B736E"/>
    <w:rsid w:val="008B773C"/>
    <w:rsid w:val="008B7BBA"/>
    <w:rsid w:val="008B7BDA"/>
    <w:rsid w:val="008C0C2A"/>
    <w:rsid w:val="008C0D9D"/>
    <w:rsid w:val="008C0FF8"/>
    <w:rsid w:val="008C1218"/>
    <w:rsid w:val="008C122D"/>
    <w:rsid w:val="008C3305"/>
    <w:rsid w:val="008C337F"/>
    <w:rsid w:val="008C3395"/>
    <w:rsid w:val="008C3570"/>
    <w:rsid w:val="008C4F35"/>
    <w:rsid w:val="008C5066"/>
    <w:rsid w:val="008C51EF"/>
    <w:rsid w:val="008C6F65"/>
    <w:rsid w:val="008D002C"/>
    <w:rsid w:val="008D021A"/>
    <w:rsid w:val="008D02BA"/>
    <w:rsid w:val="008D0351"/>
    <w:rsid w:val="008D09A6"/>
    <w:rsid w:val="008D0AB2"/>
    <w:rsid w:val="008D1C0B"/>
    <w:rsid w:val="008D2F52"/>
    <w:rsid w:val="008D3576"/>
    <w:rsid w:val="008D357A"/>
    <w:rsid w:val="008D524C"/>
    <w:rsid w:val="008D556D"/>
    <w:rsid w:val="008D59D0"/>
    <w:rsid w:val="008D5B25"/>
    <w:rsid w:val="008D5E52"/>
    <w:rsid w:val="008D7158"/>
    <w:rsid w:val="008D7AD2"/>
    <w:rsid w:val="008E01A1"/>
    <w:rsid w:val="008E01BA"/>
    <w:rsid w:val="008E0A02"/>
    <w:rsid w:val="008E0FD0"/>
    <w:rsid w:val="008E1EDE"/>
    <w:rsid w:val="008E1F3F"/>
    <w:rsid w:val="008E20F1"/>
    <w:rsid w:val="008E2134"/>
    <w:rsid w:val="008E245F"/>
    <w:rsid w:val="008E3563"/>
    <w:rsid w:val="008E4057"/>
    <w:rsid w:val="008E4AE7"/>
    <w:rsid w:val="008E5411"/>
    <w:rsid w:val="008E5717"/>
    <w:rsid w:val="008E62FD"/>
    <w:rsid w:val="008E79D2"/>
    <w:rsid w:val="008F00E7"/>
    <w:rsid w:val="008F1263"/>
    <w:rsid w:val="008F16A0"/>
    <w:rsid w:val="008F1DC1"/>
    <w:rsid w:val="008F2929"/>
    <w:rsid w:val="008F2AB2"/>
    <w:rsid w:val="008F2B09"/>
    <w:rsid w:val="008F2FEB"/>
    <w:rsid w:val="008F3388"/>
    <w:rsid w:val="008F3642"/>
    <w:rsid w:val="008F3BD9"/>
    <w:rsid w:val="008F3F1B"/>
    <w:rsid w:val="008F45B9"/>
    <w:rsid w:val="008F63DF"/>
    <w:rsid w:val="008F69C8"/>
    <w:rsid w:val="008F6B08"/>
    <w:rsid w:val="008F6CC7"/>
    <w:rsid w:val="008F6F52"/>
    <w:rsid w:val="008F7231"/>
    <w:rsid w:val="008F7387"/>
    <w:rsid w:val="008F755F"/>
    <w:rsid w:val="008F7A9D"/>
    <w:rsid w:val="009010C2"/>
    <w:rsid w:val="00901966"/>
    <w:rsid w:val="00902CFA"/>
    <w:rsid w:val="00903893"/>
    <w:rsid w:val="00903A2B"/>
    <w:rsid w:val="009048BA"/>
    <w:rsid w:val="00904AEF"/>
    <w:rsid w:val="00904F6A"/>
    <w:rsid w:val="009057B0"/>
    <w:rsid w:val="00905874"/>
    <w:rsid w:val="00907059"/>
    <w:rsid w:val="00907240"/>
    <w:rsid w:val="00910F36"/>
    <w:rsid w:val="009111D7"/>
    <w:rsid w:val="009125FB"/>
    <w:rsid w:val="009126F2"/>
    <w:rsid w:val="0091341F"/>
    <w:rsid w:val="00913E79"/>
    <w:rsid w:val="009159CA"/>
    <w:rsid w:val="00915F17"/>
    <w:rsid w:val="00916339"/>
    <w:rsid w:val="00916417"/>
    <w:rsid w:val="00916C9E"/>
    <w:rsid w:val="00916F28"/>
    <w:rsid w:val="00917142"/>
    <w:rsid w:val="00917A3D"/>
    <w:rsid w:val="00920C27"/>
    <w:rsid w:val="00921558"/>
    <w:rsid w:val="0092208A"/>
    <w:rsid w:val="00922392"/>
    <w:rsid w:val="009233CB"/>
    <w:rsid w:val="009233F8"/>
    <w:rsid w:val="009237BC"/>
    <w:rsid w:val="009241BD"/>
    <w:rsid w:val="00924663"/>
    <w:rsid w:val="00925596"/>
    <w:rsid w:val="00926341"/>
    <w:rsid w:val="00930289"/>
    <w:rsid w:val="0093080A"/>
    <w:rsid w:val="00930C3B"/>
    <w:rsid w:val="00931329"/>
    <w:rsid w:val="0093136E"/>
    <w:rsid w:val="00931FA7"/>
    <w:rsid w:val="00932333"/>
    <w:rsid w:val="0093280F"/>
    <w:rsid w:val="0093285E"/>
    <w:rsid w:val="00933024"/>
    <w:rsid w:val="00933056"/>
    <w:rsid w:val="00934198"/>
    <w:rsid w:val="009343E8"/>
    <w:rsid w:val="0093483A"/>
    <w:rsid w:val="00935460"/>
    <w:rsid w:val="009355BB"/>
    <w:rsid w:val="00936B82"/>
    <w:rsid w:val="00936CB9"/>
    <w:rsid w:val="009400C6"/>
    <w:rsid w:val="00940AA9"/>
    <w:rsid w:val="00940EC3"/>
    <w:rsid w:val="00941360"/>
    <w:rsid w:val="0094156B"/>
    <w:rsid w:val="009416D9"/>
    <w:rsid w:val="00943090"/>
    <w:rsid w:val="00944412"/>
    <w:rsid w:val="0094488F"/>
    <w:rsid w:val="0094669D"/>
    <w:rsid w:val="00947657"/>
    <w:rsid w:val="009479CB"/>
    <w:rsid w:val="00947BC7"/>
    <w:rsid w:val="00947C50"/>
    <w:rsid w:val="00950A45"/>
    <w:rsid w:val="009523C7"/>
    <w:rsid w:val="00952A64"/>
    <w:rsid w:val="00952F68"/>
    <w:rsid w:val="00953607"/>
    <w:rsid w:val="009540B3"/>
    <w:rsid w:val="009543D7"/>
    <w:rsid w:val="009548AC"/>
    <w:rsid w:val="00954EDD"/>
    <w:rsid w:val="009554AE"/>
    <w:rsid w:val="0095654D"/>
    <w:rsid w:val="0095743E"/>
    <w:rsid w:val="00957541"/>
    <w:rsid w:val="00960542"/>
    <w:rsid w:val="009611C8"/>
    <w:rsid w:val="00961F9A"/>
    <w:rsid w:val="00962427"/>
    <w:rsid w:val="00962A39"/>
    <w:rsid w:val="00963D5C"/>
    <w:rsid w:val="009640C3"/>
    <w:rsid w:val="00964BE3"/>
    <w:rsid w:val="00964DFF"/>
    <w:rsid w:val="009660D3"/>
    <w:rsid w:val="00966F84"/>
    <w:rsid w:val="00967445"/>
    <w:rsid w:val="0097044B"/>
    <w:rsid w:val="009712A1"/>
    <w:rsid w:val="00971335"/>
    <w:rsid w:val="00971F98"/>
    <w:rsid w:val="009726A1"/>
    <w:rsid w:val="00972BD8"/>
    <w:rsid w:val="00973285"/>
    <w:rsid w:val="00973567"/>
    <w:rsid w:val="00974621"/>
    <w:rsid w:val="009748A1"/>
    <w:rsid w:val="00974925"/>
    <w:rsid w:val="00975C3B"/>
    <w:rsid w:val="009761A1"/>
    <w:rsid w:val="00976345"/>
    <w:rsid w:val="0097654B"/>
    <w:rsid w:val="009778CF"/>
    <w:rsid w:val="00981E53"/>
    <w:rsid w:val="009829F6"/>
    <w:rsid w:val="009833D5"/>
    <w:rsid w:val="009835C1"/>
    <w:rsid w:val="00983CE6"/>
    <w:rsid w:val="009846D6"/>
    <w:rsid w:val="009854E0"/>
    <w:rsid w:val="00986087"/>
    <w:rsid w:val="00986642"/>
    <w:rsid w:val="009866A5"/>
    <w:rsid w:val="00986821"/>
    <w:rsid w:val="00986C6E"/>
    <w:rsid w:val="0099217B"/>
    <w:rsid w:val="0099248A"/>
    <w:rsid w:val="009930AB"/>
    <w:rsid w:val="00993B74"/>
    <w:rsid w:val="00994A11"/>
    <w:rsid w:val="009955F0"/>
    <w:rsid w:val="009956B5"/>
    <w:rsid w:val="00995918"/>
    <w:rsid w:val="00995F00"/>
    <w:rsid w:val="00996076"/>
    <w:rsid w:val="00996736"/>
    <w:rsid w:val="00997FBA"/>
    <w:rsid w:val="009A06AC"/>
    <w:rsid w:val="009A09C3"/>
    <w:rsid w:val="009A145A"/>
    <w:rsid w:val="009A1E7B"/>
    <w:rsid w:val="009A298C"/>
    <w:rsid w:val="009A433D"/>
    <w:rsid w:val="009A4D87"/>
    <w:rsid w:val="009A545D"/>
    <w:rsid w:val="009A57C3"/>
    <w:rsid w:val="009A6FE5"/>
    <w:rsid w:val="009A710F"/>
    <w:rsid w:val="009A7750"/>
    <w:rsid w:val="009A7D70"/>
    <w:rsid w:val="009B0226"/>
    <w:rsid w:val="009B10B4"/>
    <w:rsid w:val="009B14B6"/>
    <w:rsid w:val="009B164E"/>
    <w:rsid w:val="009B1680"/>
    <w:rsid w:val="009B2F31"/>
    <w:rsid w:val="009B3B92"/>
    <w:rsid w:val="009B4F3E"/>
    <w:rsid w:val="009B5C17"/>
    <w:rsid w:val="009B7C38"/>
    <w:rsid w:val="009C0047"/>
    <w:rsid w:val="009C058C"/>
    <w:rsid w:val="009C059E"/>
    <w:rsid w:val="009C0663"/>
    <w:rsid w:val="009C0A61"/>
    <w:rsid w:val="009C1B09"/>
    <w:rsid w:val="009C6501"/>
    <w:rsid w:val="009C7FF2"/>
    <w:rsid w:val="009D017C"/>
    <w:rsid w:val="009D0DAC"/>
    <w:rsid w:val="009D2216"/>
    <w:rsid w:val="009D34C8"/>
    <w:rsid w:val="009D395A"/>
    <w:rsid w:val="009D3EE1"/>
    <w:rsid w:val="009D4D49"/>
    <w:rsid w:val="009D5407"/>
    <w:rsid w:val="009D5D7A"/>
    <w:rsid w:val="009D66E9"/>
    <w:rsid w:val="009D684B"/>
    <w:rsid w:val="009D7AC6"/>
    <w:rsid w:val="009D7F7F"/>
    <w:rsid w:val="009E1478"/>
    <w:rsid w:val="009E29A6"/>
    <w:rsid w:val="009E2DE3"/>
    <w:rsid w:val="009E3AAC"/>
    <w:rsid w:val="009E410B"/>
    <w:rsid w:val="009E45D3"/>
    <w:rsid w:val="009E50BB"/>
    <w:rsid w:val="009E5213"/>
    <w:rsid w:val="009E5CEB"/>
    <w:rsid w:val="009E6563"/>
    <w:rsid w:val="009E65F8"/>
    <w:rsid w:val="009E72CC"/>
    <w:rsid w:val="009F10F8"/>
    <w:rsid w:val="009F1C9B"/>
    <w:rsid w:val="009F2EDF"/>
    <w:rsid w:val="009F305C"/>
    <w:rsid w:val="009F33F5"/>
    <w:rsid w:val="009F34AF"/>
    <w:rsid w:val="009F4101"/>
    <w:rsid w:val="009F4867"/>
    <w:rsid w:val="009F4BA8"/>
    <w:rsid w:val="009F5DF3"/>
    <w:rsid w:val="009F72DA"/>
    <w:rsid w:val="009F798D"/>
    <w:rsid w:val="009F7EA5"/>
    <w:rsid w:val="00A00765"/>
    <w:rsid w:val="00A00D9A"/>
    <w:rsid w:val="00A016FC"/>
    <w:rsid w:val="00A0189F"/>
    <w:rsid w:val="00A01DE7"/>
    <w:rsid w:val="00A026E2"/>
    <w:rsid w:val="00A027D7"/>
    <w:rsid w:val="00A02C5B"/>
    <w:rsid w:val="00A02F01"/>
    <w:rsid w:val="00A02F4D"/>
    <w:rsid w:val="00A033B6"/>
    <w:rsid w:val="00A04307"/>
    <w:rsid w:val="00A05596"/>
    <w:rsid w:val="00A05747"/>
    <w:rsid w:val="00A05CCB"/>
    <w:rsid w:val="00A05D0E"/>
    <w:rsid w:val="00A063FE"/>
    <w:rsid w:val="00A0663A"/>
    <w:rsid w:val="00A10AE8"/>
    <w:rsid w:val="00A11A0B"/>
    <w:rsid w:val="00A11B6C"/>
    <w:rsid w:val="00A11EFE"/>
    <w:rsid w:val="00A142A8"/>
    <w:rsid w:val="00A14BED"/>
    <w:rsid w:val="00A14D5A"/>
    <w:rsid w:val="00A14FDB"/>
    <w:rsid w:val="00A20A44"/>
    <w:rsid w:val="00A20F80"/>
    <w:rsid w:val="00A2139F"/>
    <w:rsid w:val="00A215E1"/>
    <w:rsid w:val="00A21620"/>
    <w:rsid w:val="00A2171D"/>
    <w:rsid w:val="00A21898"/>
    <w:rsid w:val="00A21D8C"/>
    <w:rsid w:val="00A2256C"/>
    <w:rsid w:val="00A22C7A"/>
    <w:rsid w:val="00A22E0C"/>
    <w:rsid w:val="00A22F83"/>
    <w:rsid w:val="00A232EB"/>
    <w:rsid w:val="00A23306"/>
    <w:rsid w:val="00A2387A"/>
    <w:rsid w:val="00A23E90"/>
    <w:rsid w:val="00A24AAC"/>
    <w:rsid w:val="00A251CB"/>
    <w:rsid w:val="00A255D7"/>
    <w:rsid w:val="00A258D9"/>
    <w:rsid w:val="00A2609A"/>
    <w:rsid w:val="00A260AF"/>
    <w:rsid w:val="00A2628A"/>
    <w:rsid w:val="00A269E5"/>
    <w:rsid w:val="00A26AD7"/>
    <w:rsid w:val="00A26F91"/>
    <w:rsid w:val="00A27FE2"/>
    <w:rsid w:val="00A3130D"/>
    <w:rsid w:val="00A31CCC"/>
    <w:rsid w:val="00A32186"/>
    <w:rsid w:val="00A32A19"/>
    <w:rsid w:val="00A32D1E"/>
    <w:rsid w:val="00A330CB"/>
    <w:rsid w:val="00A33752"/>
    <w:rsid w:val="00A33CDD"/>
    <w:rsid w:val="00A34176"/>
    <w:rsid w:val="00A34FE5"/>
    <w:rsid w:val="00A351A1"/>
    <w:rsid w:val="00A35925"/>
    <w:rsid w:val="00A35F8E"/>
    <w:rsid w:val="00A3645E"/>
    <w:rsid w:val="00A36E34"/>
    <w:rsid w:val="00A4031C"/>
    <w:rsid w:val="00A42862"/>
    <w:rsid w:val="00A43258"/>
    <w:rsid w:val="00A432EB"/>
    <w:rsid w:val="00A4349A"/>
    <w:rsid w:val="00A440FA"/>
    <w:rsid w:val="00A44347"/>
    <w:rsid w:val="00A45BA8"/>
    <w:rsid w:val="00A46B33"/>
    <w:rsid w:val="00A50240"/>
    <w:rsid w:val="00A5029A"/>
    <w:rsid w:val="00A5090D"/>
    <w:rsid w:val="00A515D1"/>
    <w:rsid w:val="00A51771"/>
    <w:rsid w:val="00A51A01"/>
    <w:rsid w:val="00A51E3F"/>
    <w:rsid w:val="00A5290B"/>
    <w:rsid w:val="00A52973"/>
    <w:rsid w:val="00A53758"/>
    <w:rsid w:val="00A54227"/>
    <w:rsid w:val="00A543C0"/>
    <w:rsid w:val="00A5586E"/>
    <w:rsid w:val="00A55ABB"/>
    <w:rsid w:val="00A56C6F"/>
    <w:rsid w:val="00A56F83"/>
    <w:rsid w:val="00A578EC"/>
    <w:rsid w:val="00A6052B"/>
    <w:rsid w:val="00A60ACB"/>
    <w:rsid w:val="00A60C6E"/>
    <w:rsid w:val="00A61C2D"/>
    <w:rsid w:val="00A62954"/>
    <w:rsid w:val="00A62F22"/>
    <w:rsid w:val="00A639A6"/>
    <w:rsid w:val="00A65009"/>
    <w:rsid w:val="00A65063"/>
    <w:rsid w:val="00A65731"/>
    <w:rsid w:val="00A6576F"/>
    <w:rsid w:val="00A65D65"/>
    <w:rsid w:val="00A67B78"/>
    <w:rsid w:val="00A67F6B"/>
    <w:rsid w:val="00A7087C"/>
    <w:rsid w:val="00A70BBD"/>
    <w:rsid w:val="00A70C13"/>
    <w:rsid w:val="00A70C3F"/>
    <w:rsid w:val="00A713CF"/>
    <w:rsid w:val="00A71980"/>
    <w:rsid w:val="00A71DE3"/>
    <w:rsid w:val="00A72323"/>
    <w:rsid w:val="00A7255D"/>
    <w:rsid w:val="00A734CF"/>
    <w:rsid w:val="00A75158"/>
    <w:rsid w:val="00A7569A"/>
    <w:rsid w:val="00A76E57"/>
    <w:rsid w:val="00A77098"/>
    <w:rsid w:val="00A80A38"/>
    <w:rsid w:val="00A80D0D"/>
    <w:rsid w:val="00A80F13"/>
    <w:rsid w:val="00A81395"/>
    <w:rsid w:val="00A82A47"/>
    <w:rsid w:val="00A844F2"/>
    <w:rsid w:val="00A85126"/>
    <w:rsid w:val="00A855D8"/>
    <w:rsid w:val="00A859D9"/>
    <w:rsid w:val="00A85C6E"/>
    <w:rsid w:val="00A85F81"/>
    <w:rsid w:val="00A860F0"/>
    <w:rsid w:val="00A90054"/>
    <w:rsid w:val="00A9038B"/>
    <w:rsid w:val="00A903EA"/>
    <w:rsid w:val="00A9087A"/>
    <w:rsid w:val="00A90BEF"/>
    <w:rsid w:val="00A91D80"/>
    <w:rsid w:val="00A92941"/>
    <w:rsid w:val="00A92BD2"/>
    <w:rsid w:val="00A92D6E"/>
    <w:rsid w:val="00A9302E"/>
    <w:rsid w:val="00A937D8"/>
    <w:rsid w:val="00A94222"/>
    <w:rsid w:val="00A94434"/>
    <w:rsid w:val="00A945B5"/>
    <w:rsid w:val="00A94DA1"/>
    <w:rsid w:val="00A968B7"/>
    <w:rsid w:val="00A96E3A"/>
    <w:rsid w:val="00A97406"/>
    <w:rsid w:val="00A97693"/>
    <w:rsid w:val="00A97CF7"/>
    <w:rsid w:val="00AA0098"/>
    <w:rsid w:val="00AA0510"/>
    <w:rsid w:val="00AA099F"/>
    <w:rsid w:val="00AA1073"/>
    <w:rsid w:val="00AA162B"/>
    <w:rsid w:val="00AA1BF1"/>
    <w:rsid w:val="00AA2221"/>
    <w:rsid w:val="00AA3860"/>
    <w:rsid w:val="00AA443D"/>
    <w:rsid w:val="00AA4E28"/>
    <w:rsid w:val="00AA4EB3"/>
    <w:rsid w:val="00AA4FF9"/>
    <w:rsid w:val="00AA5318"/>
    <w:rsid w:val="00AA532E"/>
    <w:rsid w:val="00AA614B"/>
    <w:rsid w:val="00AA6F53"/>
    <w:rsid w:val="00AA7222"/>
    <w:rsid w:val="00AA776F"/>
    <w:rsid w:val="00AA7788"/>
    <w:rsid w:val="00AA7A18"/>
    <w:rsid w:val="00AB1BBD"/>
    <w:rsid w:val="00AB2837"/>
    <w:rsid w:val="00AB2DCE"/>
    <w:rsid w:val="00AB3202"/>
    <w:rsid w:val="00AB420D"/>
    <w:rsid w:val="00AB70E3"/>
    <w:rsid w:val="00AB7939"/>
    <w:rsid w:val="00AB7F9C"/>
    <w:rsid w:val="00AC0861"/>
    <w:rsid w:val="00AC0B74"/>
    <w:rsid w:val="00AC1750"/>
    <w:rsid w:val="00AC28AE"/>
    <w:rsid w:val="00AC48CB"/>
    <w:rsid w:val="00AC4D45"/>
    <w:rsid w:val="00AC5EDC"/>
    <w:rsid w:val="00AC5FDB"/>
    <w:rsid w:val="00AC7AF0"/>
    <w:rsid w:val="00AC7F73"/>
    <w:rsid w:val="00AD072C"/>
    <w:rsid w:val="00AD1A69"/>
    <w:rsid w:val="00AD1F62"/>
    <w:rsid w:val="00AD276B"/>
    <w:rsid w:val="00AD3ACD"/>
    <w:rsid w:val="00AD3DA5"/>
    <w:rsid w:val="00AD4046"/>
    <w:rsid w:val="00AD43D7"/>
    <w:rsid w:val="00AD46AB"/>
    <w:rsid w:val="00AD56FE"/>
    <w:rsid w:val="00AD5B06"/>
    <w:rsid w:val="00AD5BA5"/>
    <w:rsid w:val="00AD5E5F"/>
    <w:rsid w:val="00AD77AB"/>
    <w:rsid w:val="00AD7FCD"/>
    <w:rsid w:val="00AE091D"/>
    <w:rsid w:val="00AE09FD"/>
    <w:rsid w:val="00AE137F"/>
    <w:rsid w:val="00AE1C6E"/>
    <w:rsid w:val="00AE1D4C"/>
    <w:rsid w:val="00AE31D8"/>
    <w:rsid w:val="00AE59D8"/>
    <w:rsid w:val="00AE6583"/>
    <w:rsid w:val="00AE6ABE"/>
    <w:rsid w:val="00AE7396"/>
    <w:rsid w:val="00AE743D"/>
    <w:rsid w:val="00AF060A"/>
    <w:rsid w:val="00AF27D5"/>
    <w:rsid w:val="00AF2909"/>
    <w:rsid w:val="00AF2925"/>
    <w:rsid w:val="00AF326D"/>
    <w:rsid w:val="00AF35F1"/>
    <w:rsid w:val="00AF4163"/>
    <w:rsid w:val="00AF473F"/>
    <w:rsid w:val="00AF48CF"/>
    <w:rsid w:val="00AF4B58"/>
    <w:rsid w:val="00AF4C84"/>
    <w:rsid w:val="00AF4D51"/>
    <w:rsid w:val="00AF4EBC"/>
    <w:rsid w:val="00AF5F39"/>
    <w:rsid w:val="00AF6173"/>
    <w:rsid w:val="00AF65EB"/>
    <w:rsid w:val="00AF676E"/>
    <w:rsid w:val="00AF6A78"/>
    <w:rsid w:val="00AF6D3C"/>
    <w:rsid w:val="00B00DFD"/>
    <w:rsid w:val="00B00FED"/>
    <w:rsid w:val="00B01903"/>
    <w:rsid w:val="00B0291E"/>
    <w:rsid w:val="00B0321A"/>
    <w:rsid w:val="00B0386C"/>
    <w:rsid w:val="00B046FE"/>
    <w:rsid w:val="00B0478D"/>
    <w:rsid w:val="00B04A90"/>
    <w:rsid w:val="00B04BEE"/>
    <w:rsid w:val="00B0583F"/>
    <w:rsid w:val="00B06B79"/>
    <w:rsid w:val="00B06BD2"/>
    <w:rsid w:val="00B1079E"/>
    <w:rsid w:val="00B112BB"/>
    <w:rsid w:val="00B1134C"/>
    <w:rsid w:val="00B11F20"/>
    <w:rsid w:val="00B1247F"/>
    <w:rsid w:val="00B1252F"/>
    <w:rsid w:val="00B12910"/>
    <w:rsid w:val="00B12C26"/>
    <w:rsid w:val="00B140B8"/>
    <w:rsid w:val="00B15141"/>
    <w:rsid w:val="00B15791"/>
    <w:rsid w:val="00B157EB"/>
    <w:rsid w:val="00B1609C"/>
    <w:rsid w:val="00B16CA0"/>
    <w:rsid w:val="00B174DA"/>
    <w:rsid w:val="00B17CB2"/>
    <w:rsid w:val="00B17E6C"/>
    <w:rsid w:val="00B17FE6"/>
    <w:rsid w:val="00B20153"/>
    <w:rsid w:val="00B2321F"/>
    <w:rsid w:val="00B23355"/>
    <w:rsid w:val="00B24869"/>
    <w:rsid w:val="00B25271"/>
    <w:rsid w:val="00B2585F"/>
    <w:rsid w:val="00B25DD0"/>
    <w:rsid w:val="00B262D0"/>
    <w:rsid w:val="00B26449"/>
    <w:rsid w:val="00B307A6"/>
    <w:rsid w:val="00B30B52"/>
    <w:rsid w:val="00B30EF4"/>
    <w:rsid w:val="00B31E53"/>
    <w:rsid w:val="00B32188"/>
    <w:rsid w:val="00B32344"/>
    <w:rsid w:val="00B335D9"/>
    <w:rsid w:val="00B33A5E"/>
    <w:rsid w:val="00B3448F"/>
    <w:rsid w:val="00B34AB3"/>
    <w:rsid w:val="00B3585E"/>
    <w:rsid w:val="00B358A9"/>
    <w:rsid w:val="00B36A98"/>
    <w:rsid w:val="00B37666"/>
    <w:rsid w:val="00B37B1B"/>
    <w:rsid w:val="00B37C56"/>
    <w:rsid w:val="00B37CC4"/>
    <w:rsid w:val="00B40530"/>
    <w:rsid w:val="00B40B93"/>
    <w:rsid w:val="00B413B4"/>
    <w:rsid w:val="00B4142A"/>
    <w:rsid w:val="00B41772"/>
    <w:rsid w:val="00B41B2D"/>
    <w:rsid w:val="00B41D35"/>
    <w:rsid w:val="00B42A60"/>
    <w:rsid w:val="00B43029"/>
    <w:rsid w:val="00B4326B"/>
    <w:rsid w:val="00B43792"/>
    <w:rsid w:val="00B438A2"/>
    <w:rsid w:val="00B438C9"/>
    <w:rsid w:val="00B43B4A"/>
    <w:rsid w:val="00B450DE"/>
    <w:rsid w:val="00B45FD8"/>
    <w:rsid w:val="00B46F21"/>
    <w:rsid w:val="00B473D2"/>
    <w:rsid w:val="00B47C92"/>
    <w:rsid w:val="00B47EDA"/>
    <w:rsid w:val="00B50364"/>
    <w:rsid w:val="00B508EE"/>
    <w:rsid w:val="00B51499"/>
    <w:rsid w:val="00B51613"/>
    <w:rsid w:val="00B523C9"/>
    <w:rsid w:val="00B55DE1"/>
    <w:rsid w:val="00B563E5"/>
    <w:rsid w:val="00B56644"/>
    <w:rsid w:val="00B56F8E"/>
    <w:rsid w:val="00B56FB4"/>
    <w:rsid w:val="00B57B6D"/>
    <w:rsid w:val="00B6034F"/>
    <w:rsid w:val="00B61351"/>
    <w:rsid w:val="00B6155E"/>
    <w:rsid w:val="00B61D54"/>
    <w:rsid w:val="00B61ED2"/>
    <w:rsid w:val="00B62973"/>
    <w:rsid w:val="00B63DE3"/>
    <w:rsid w:val="00B64574"/>
    <w:rsid w:val="00B64F00"/>
    <w:rsid w:val="00B6526B"/>
    <w:rsid w:val="00B658A5"/>
    <w:rsid w:val="00B65BDA"/>
    <w:rsid w:val="00B65F39"/>
    <w:rsid w:val="00B665DC"/>
    <w:rsid w:val="00B6796A"/>
    <w:rsid w:val="00B71C2F"/>
    <w:rsid w:val="00B71CF6"/>
    <w:rsid w:val="00B726A8"/>
    <w:rsid w:val="00B73D76"/>
    <w:rsid w:val="00B73FF3"/>
    <w:rsid w:val="00B745F1"/>
    <w:rsid w:val="00B74965"/>
    <w:rsid w:val="00B7694F"/>
    <w:rsid w:val="00B76EC5"/>
    <w:rsid w:val="00B77E61"/>
    <w:rsid w:val="00B80F36"/>
    <w:rsid w:val="00B81463"/>
    <w:rsid w:val="00B81F99"/>
    <w:rsid w:val="00B838C0"/>
    <w:rsid w:val="00B83FC9"/>
    <w:rsid w:val="00B8525A"/>
    <w:rsid w:val="00B85FBF"/>
    <w:rsid w:val="00B863A9"/>
    <w:rsid w:val="00B87B8B"/>
    <w:rsid w:val="00B9048D"/>
    <w:rsid w:val="00B90AA2"/>
    <w:rsid w:val="00B91700"/>
    <w:rsid w:val="00B92071"/>
    <w:rsid w:val="00B9262C"/>
    <w:rsid w:val="00B931D1"/>
    <w:rsid w:val="00B93B81"/>
    <w:rsid w:val="00B9470B"/>
    <w:rsid w:val="00B94740"/>
    <w:rsid w:val="00B969B1"/>
    <w:rsid w:val="00B96FD2"/>
    <w:rsid w:val="00B97AC9"/>
    <w:rsid w:val="00BA0840"/>
    <w:rsid w:val="00BA13F3"/>
    <w:rsid w:val="00BA1E20"/>
    <w:rsid w:val="00BA2009"/>
    <w:rsid w:val="00BA2D45"/>
    <w:rsid w:val="00BA371C"/>
    <w:rsid w:val="00BA4813"/>
    <w:rsid w:val="00BA551A"/>
    <w:rsid w:val="00BA57CF"/>
    <w:rsid w:val="00BA6429"/>
    <w:rsid w:val="00BB04B4"/>
    <w:rsid w:val="00BB08A3"/>
    <w:rsid w:val="00BB0EDD"/>
    <w:rsid w:val="00BB2326"/>
    <w:rsid w:val="00BB3675"/>
    <w:rsid w:val="00BB3BF8"/>
    <w:rsid w:val="00BB4A21"/>
    <w:rsid w:val="00BB4B88"/>
    <w:rsid w:val="00BB4DC1"/>
    <w:rsid w:val="00BB5036"/>
    <w:rsid w:val="00BB5672"/>
    <w:rsid w:val="00BB582C"/>
    <w:rsid w:val="00BB61D5"/>
    <w:rsid w:val="00BB63C4"/>
    <w:rsid w:val="00BB7FEC"/>
    <w:rsid w:val="00BC0CA2"/>
    <w:rsid w:val="00BC27D1"/>
    <w:rsid w:val="00BC2E46"/>
    <w:rsid w:val="00BC5144"/>
    <w:rsid w:val="00BC57AF"/>
    <w:rsid w:val="00BC6272"/>
    <w:rsid w:val="00BC645F"/>
    <w:rsid w:val="00BC6EE1"/>
    <w:rsid w:val="00BC6FD4"/>
    <w:rsid w:val="00BC78C0"/>
    <w:rsid w:val="00BC7A78"/>
    <w:rsid w:val="00BC7B50"/>
    <w:rsid w:val="00BC7E60"/>
    <w:rsid w:val="00BD000D"/>
    <w:rsid w:val="00BD0153"/>
    <w:rsid w:val="00BD023F"/>
    <w:rsid w:val="00BD044A"/>
    <w:rsid w:val="00BD0C1E"/>
    <w:rsid w:val="00BD0D09"/>
    <w:rsid w:val="00BD1577"/>
    <w:rsid w:val="00BD15D4"/>
    <w:rsid w:val="00BD1E8A"/>
    <w:rsid w:val="00BD2013"/>
    <w:rsid w:val="00BD3029"/>
    <w:rsid w:val="00BD3AA0"/>
    <w:rsid w:val="00BD3D47"/>
    <w:rsid w:val="00BD3EB5"/>
    <w:rsid w:val="00BD41A8"/>
    <w:rsid w:val="00BD48ED"/>
    <w:rsid w:val="00BD49A7"/>
    <w:rsid w:val="00BD59EB"/>
    <w:rsid w:val="00BD63FB"/>
    <w:rsid w:val="00BD7F4E"/>
    <w:rsid w:val="00BE0888"/>
    <w:rsid w:val="00BE0EB7"/>
    <w:rsid w:val="00BE1039"/>
    <w:rsid w:val="00BE1536"/>
    <w:rsid w:val="00BE1E41"/>
    <w:rsid w:val="00BE3A14"/>
    <w:rsid w:val="00BE42F3"/>
    <w:rsid w:val="00BE4350"/>
    <w:rsid w:val="00BE457E"/>
    <w:rsid w:val="00BE55D4"/>
    <w:rsid w:val="00BE57BB"/>
    <w:rsid w:val="00BE619A"/>
    <w:rsid w:val="00BE67E6"/>
    <w:rsid w:val="00BE6CC8"/>
    <w:rsid w:val="00BE713A"/>
    <w:rsid w:val="00BE7669"/>
    <w:rsid w:val="00BE7FE6"/>
    <w:rsid w:val="00BF000A"/>
    <w:rsid w:val="00BF0788"/>
    <w:rsid w:val="00BF2178"/>
    <w:rsid w:val="00BF28B3"/>
    <w:rsid w:val="00BF3B32"/>
    <w:rsid w:val="00BF472A"/>
    <w:rsid w:val="00BF50F4"/>
    <w:rsid w:val="00BF5330"/>
    <w:rsid w:val="00BF5BAC"/>
    <w:rsid w:val="00BF6498"/>
    <w:rsid w:val="00BF7897"/>
    <w:rsid w:val="00BF7B68"/>
    <w:rsid w:val="00C00C09"/>
    <w:rsid w:val="00C01807"/>
    <w:rsid w:val="00C032DB"/>
    <w:rsid w:val="00C03418"/>
    <w:rsid w:val="00C03FF6"/>
    <w:rsid w:val="00C04037"/>
    <w:rsid w:val="00C05981"/>
    <w:rsid w:val="00C06DDF"/>
    <w:rsid w:val="00C07D2D"/>
    <w:rsid w:val="00C106B7"/>
    <w:rsid w:val="00C10B39"/>
    <w:rsid w:val="00C10C52"/>
    <w:rsid w:val="00C114F4"/>
    <w:rsid w:val="00C11C66"/>
    <w:rsid w:val="00C13E2C"/>
    <w:rsid w:val="00C14237"/>
    <w:rsid w:val="00C14462"/>
    <w:rsid w:val="00C1469A"/>
    <w:rsid w:val="00C151DA"/>
    <w:rsid w:val="00C1567C"/>
    <w:rsid w:val="00C1617A"/>
    <w:rsid w:val="00C16466"/>
    <w:rsid w:val="00C16AAE"/>
    <w:rsid w:val="00C173B4"/>
    <w:rsid w:val="00C20ACF"/>
    <w:rsid w:val="00C20C1A"/>
    <w:rsid w:val="00C21C13"/>
    <w:rsid w:val="00C221A5"/>
    <w:rsid w:val="00C221C1"/>
    <w:rsid w:val="00C248DD"/>
    <w:rsid w:val="00C24F4A"/>
    <w:rsid w:val="00C25121"/>
    <w:rsid w:val="00C255A6"/>
    <w:rsid w:val="00C2688C"/>
    <w:rsid w:val="00C26AD7"/>
    <w:rsid w:val="00C2721F"/>
    <w:rsid w:val="00C27776"/>
    <w:rsid w:val="00C27961"/>
    <w:rsid w:val="00C3033C"/>
    <w:rsid w:val="00C30AC9"/>
    <w:rsid w:val="00C30C03"/>
    <w:rsid w:val="00C31340"/>
    <w:rsid w:val="00C315FA"/>
    <w:rsid w:val="00C31933"/>
    <w:rsid w:val="00C31C2C"/>
    <w:rsid w:val="00C31C4B"/>
    <w:rsid w:val="00C31D4E"/>
    <w:rsid w:val="00C321C1"/>
    <w:rsid w:val="00C32541"/>
    <w:rsid w:val="00C33537"/>
    <w:rsid w:val="00C341D6"/>
    <w:rsid w:val="00C35E99"/>
    <w:rsid w:val="00C377AB"/>
    <w:rsid w:val="00C41C2B"/>
    <w:rsid w:val="00C4393B"/>
    <w:rsid w:val="00C43DB3"/>
    <w:rsid w:val="00C4485E"/>
    <w:rsid w:val="00C453EC"/>
    <w:rsid w:val="00C45DAD"/>
    <w:rsid w:val="00C46220"/>
    <w:rsid w:val="00C46916"/>
    <w:rsid w:val="00C47468"/>
    <w:rsid w:val="00C47B59"/>
    <w:rsid w:val="00C503A5"/>
    <w:rsid w:val="00C50D2D"/>
    <w:rsid w:val="00C519B6"/>
    <w:rsid w:val="00C53EEA"/>
    <w:rsid w:val="00C54541"/>
    <w:rsid w:val="00C54CFE"/>
    <w:rsid w:val="00C54F18"/>
    <w:rsid w:val="00C55553"/>
    <w:rsid w:val="00C55E40"/>
    <w:rsid w:val="00C55F0B"/>
    <w:rsid w:val="00C5654A"/>
    <w:rsid w:val="00C5744D"/>
    <w:rsid w:val="00C57492"/>
    <w:rsid w:val="00C57CEE"/>
    <w:rsid w:val="00C57D52"/>
    <w:rsid w:val="00C604E0"/>
    <w:rsid w:val="00C60BA6"/>
    <w:rsid w:val="00C6137D"/>
    <w:rsid w:val="00C61646"/>
    <w:rsid w:val="00C626D7"/>
    <w:rsid w:val="00C63A6E"/>
    <w:rsid w:val="00C641A4"/>
    <w:rsid w:val="00C65D82"/>
    <w:rsid w:val="00C6670E"/>
    <w:rsid w:val="00C67BEF"/>
    <w:rsid w:val="00C67F41"/>
    <w:rsid w:val="00C71124"/>
    <w:rsid w:val="00C71867"/>
    <w:rsid w:val="00C71AA8"/>
    <w:rsid w:val="00C72927"/>
    <w:rsid w:val="00C742E3"/>
    <w:rsid w:val="00C7466D"/>
    <w:rsid w:val="00C74C9B"/>
    <w:rsid w:val="00C7575B"/>
    <w:rsid w:val="00C75E6D"/>
    <w:rsid w:val="00C75F92"/>
    <w:rsid w:val="00C767AE"/>
    <w:rsid w:val="00C77899"/>
    <w:rsid w:val="00C80F2C"/>
    <w:rsid w:val="00C81410"/>
    <w:rsid w:val="00C8245D"/>
    <w:rsid w:val="00C82CE8"/>
    <w:rsid w:val="00C83501"/>
    <w:rsid w:val="00C836C4"/>
    <w:rsid w:val="00C84664"/>
    <w:rsid w:val="00C8482B"/>
    <w:rsid w:val="00C85DAE"/>
    <w:rsid w:val="00C86320"/>
    <w:rsid w:val="00C86619"/>
    <w:rsid w:val="00C86A6B"/>
    <w:rsid w:val="00C86E1A"/>
    <w:rsid w:val="00C87287"/>
    <w:rsid w:val="00C872C3"/>
    <w:rsid w:val="00C87D5D"/>
    <w:rsid w:val="00C87E8F"/>
    <w:rsid w:val="00C90440"/>
    <w:rsid w:val="00C909BC"/>
    <w:rsid w:val="00C90FA2"/>
    <w:rsid w:val="00C91507"/>
    <w:rsid w:val="00C9259F"/>
    <w:rsid w:val="00C92F29"/>
    <w:rsid w:val="00C9389A"/>
    <w:rsid w:val="00C93AB1"/>
    <w:rsid w:val="00C93AC4"/>
    <w:rsid w:val="00C93E85"/>
    <w:rsid w:val="00C94A90"/>
    <w:rsid w:val="00C94F40"/>
    <w:rsid w:val="00C94F8D"/>
    <w:rsid w:val="00C9546B"/>
    <w:rsid w:val="00C957DB"/>
    <w:rsid w:val="00C96B5F"/>
    <w:rsid w:val="00C973BC"/>
    <w:rsid w:val="00C97B1E"/>
    <w:rsid w:val="00CA0642"/>
    <w:rsid w:val="00CA0B0A"/>
    <w:rsid w:val="00CA114C"/>
    <w:rsid w:val="00CA1813"/>
    <w:rsid w:val="00CA334C"/>
    <w:rsid w:val="00CA3A17"/>
    <w:rsid w:val="00CA3A1C"/>
    <w:rsid w:val="00CA3E1D"/>
    <w:rsid w:val="00CA445F"/>
    <w:rsid w:val="00CA53FD"/>
    <w:rsid w:val="00CA623D"/>
    <w:rsid w:val="00CA7003"/>
    <w:rsid w:val="00CA7632"/>
    <w:rsid w:val="00CB0019"/>
    <w:rsid w:val="00CB0224"/>
    <w:rsid w:val="00CB04A9"/>
    <w:rsid w:val="00CB1547"/>
    <w:rsid w:val="00CB164F"/>
    <w:rsid w:val="00CB3C42"/>
    <w:rsid w:val="00CB3E19"/>
    <w:rsid w:val="00CB3EEB"/>
    <w:rsid w:val="00CB450A"/>
    <w:rsid w:val="00CB4956"/>
    <w:rsid w:val="00CB4FE7"/>
    <w:rsid w:val="00CB5F99"/>
    <w:rsid w:val="00CB65DE"/>
    <w:rsid w:val="00CB6D54"/>
    <w:rsid w:val="00CB7664"/>
    <w:rsid w:val="00CB7BE2"/>
    <w:rsid w:val="00CC0193"/>
    <w:rsid w:val="00CC1260"/>
    <w:rsid w:val="00CC1E36"/>
    <w:rsid w:val="00CC1FFE"/>
    <w:rsid w:val="00CC21BF"/>
    <w:rsid w:val="00CC22E4"/>
    <w:rsid w:val="00CC290E"/>
    <w:rsid w:val="00CC34A6"/>
    <w:rsid w:val="00CC4E86"/>
    <w:rsid w:val="00CC5079"/>
    <w:rsid w:val="00CC54F9"/>
    <w:rsid w:val="00CC5C79"/>
    <w:rsid w:val="00CC5E61"/>
    <w:rsid w:val="00CC5FC5"/>
    <w:rsid w:val="00CC65DC"/>
    <w:rsid w:val="00CC709C"/>
    <w:rsid w:val="00CC78A6"/>
    <w:rsid w:val="00CC7A9A"/>
    <w:rsid w:val="00CC7DD9"/>
    <w:rsid w:val="00CD09D0"/>
    <w:rsid w:val="00CD0E88"/>
    <w:rsid w:val="00CD1C04"/>
    <w:rsid w:val="00CD2574"/>
    <w:rsid w:val="00CD29F9"/>
    <w:rsid w:val="00CD3C80"/>
    <w:rsid w:val="00CD3DDF"/>
    <w:rsid w:val="00CD41E1"/>
    <w:rsid w:val="00CD4666"/>
    <w:rsid w:val="00CD4DE0"/>
    <w:rsid w:val="00CD6CFA"/>
    <w:rsid w:val="00CD6F7E"/>
    <w:rsid w:val="00CD7265"/>
    <w:rsid w:val="00CD778E"/>
    <w:rsid w:val="00CD7A64"/>
    <w:rsid w:val="00CD7F15"/>
    <w:rsid w:val="00CE131E"/>
    <w:rsid w:val="00CE1C80"/>
    <w:rsid w:val="00CE2732"/>
    <w:rsid w:val="00CE2C5F"/>
    <w:rsid w:val="00CE33F4"/>
    <w:rsid w:val="00CE3594"/>
    <w:rsid w:val="00CE382E"/>
    <w:rsid w:val="00CE3A2B"/>
    <w:rsid w:val="00CE43E6"/>
    <w:rsid w:val="00CE4ADF"/>
    <w:rsid w:val="00CE5ACC"/>
    <w:rsid w:val="00CE6B5C"/>
    <w:rsid w:val="00CE76C5"/>
    <w:rsid w:val="00CF01BA"/>
    <w:rsid w:val="00CF085E"/>
    <w:rsid w:val="00CF133F"/>
    <w:rsid w:val="00CF304D"/>
    <w:rsid w:val="00CF30FE"/>
    <w:rsid w:val="00CF3C0E"/>
    <w:rsid w:val="00CF4596"/>
    <w:rsid w:val="00CF5E36"/>
    <w:rsid w:val="00CF7E51"/>
    <w:rsid w:val="00D0081E"/>
    <w:rsid w:val="00D025B8"/>
    <w:rsid w:val="00D026E0"/>
    <w:rsid w:val="00D030E7"/>
    <w:rsid w:val="00D04324"/>
    <w:rsid w:val="00D0463B"/>
    <w:rsid w:val="00D059BC"/>
    <w:rsid w:val="00D065B9"/>
    <w:rsid w:val="00D06F46"/>
    <w:rsid w:val="00D074E0"/>
    <w:rsid w:val="00D075E0"/>
    <w:rsid w:val="00D07C21"/>
    <w:rsid w:val="00D1055A"/>
    <w:rsid w:val="00D10CED"/>
    <w:rsid w:val="00D11DD1"/>
    <w:rsid w:val="00D1273C"/>
    <w:rsid w:val="00D12D42"/>
    <w:rsid w:val="00D14470"/>
    <w:rsid w:val="00D14E45"/>
    <w:rsid w:val="00D1515D"/>
    <w:rsid w:val="00D1711E"/>
    <w:rsid w:val="00D173F7"/>
    <w:rsid w:val="00D17736"/>
    <w:rsid w:val="00D177E8"/>
    <w:rsid w:val="00D2103D"/>
    <w:rsid w:val="00D21083"/>
    <w:rsid w:val="00D21478"/>
    <w:rsid w:val="00D217D0"/>
    <w:rsid w:val="00D2213F"/>
    <w:rsid w:val="00D23D18"/>
    <w:rsid w:val="00D25DC0"/>
    <w:rsid w:val="00D27743"/>
    <w:rsid w:val="00D30999"/>
    <w:rsid w:val="00D30F3D"/>
    <w:rsid w:val="00D316AB"/>
    <w:rsid w:val="00D31976"/>
    <w:rsid w:val="00D31FBE"/>
    <w:rsid w:val="00D32BDF"/>
    <w:rsid w:val="00D32D4C"/>
    <w:rsid w:val="00D333B6"/>
    <w:rsid w:val="00D339A8"/>
    <w:rsid w:val="00D33AAD"/>
    <w:rsid w:val="00D33BC9"/>
    <w:rsid w:val="00D343F6"/>
    <w:rsid w:val="00D34686"/>
    <w:rsid w:val="00D34919"/>
    <w:rsid w:val="00D34B05"/>
    <w:rsid w:val="00D34FC2"/>
    <w:rsid w:val="00D355A7"/>
    <w:rsid w:val="00D35943"/>
    <w:rsid w:val="00D3620E"/>
    <w:rsid w:val="00D36729"/>
    <w:rsid w:val="00D36D6F"/>
    <w:rsid w:val="00D378AE"/>
    <w:rsid w:val="00D37CD6"/>
    <w:rsid w:val="00D40422"/>
    <w:rsid w:val="00D431F1"/>
    <w:rsid w:val="00D435B8"/>
    <w:rsid w:val="00D4374E"/>
    <w:rsid w:val="00D43D46"/>
    <w:rsid w:val="00D44D0B"/>
    <w:rsid w:val="00D4599F"/>
    <w:rsid w:val="00D464E5"/>
    <w:rsid w:val="00D46BE0"/>
    <w:rsid w:val="00D4709E"/>
    <w:rsid w:val="00D47205"/>
    <w:rsid w:val="00D5019F"/>
    <w:rsid w:val="00D5026A"/>
    <w:rsid w:val="00D50556"/>
    <w:rsid w:val="00D514AF"/>
    <w:rsid w:val="00D519FA"/>
    <w:rsid w:val="00D51FF7"/>
    <w:rsid w:val="00D5212F"/>
    <w:rsid w:val="00D52214"/>
    <w:rsid w:val="00D5274E"/>
    <w:rsid w:val="00D52E95"/>
    <w:rsid w:val="00D53714"/>
    <w:rsid w:val="00D53755"/>
    <w:rsid w:val="00D54F6A"/>
    <w:rsid w:val="00D5543B"/>
    <w:rsid w:val="00D55701"/>
    <w:rsid w:val="00D55A7C"/>
    <w:rsid w:val="00D5604E"/>
    <w:rsid w:val="00D56525"/>
    <w:rsid w:val="00D5661D"/>
    <w:rsid w:val="00D57A47"/>
    <w:rsid w:val="00D60062"/>
    <w:rsid w:val="00D6108D"/>
    <w:rsid w:val="00D61ABC"/>
    <w:rsid w:val="00D623A6"/>
    <w:rsid w:val="00D6266F"/>
    <w:rsid w:val="00D63344"/>
    <w:rsid w:val="00D63483"/>
    <w:rsid w:val="00D64BA9"/>
    <w:rsid w:val="00D65B7A"/>
    <w:rsid w:val="00D65BE2"/>
    <w:rsid w:val="00D663D0"/>
    <w:rsid w:val="00D66AC6"/>
    <w:rsid w:val="00D67026"/>
    <w:rsid w:val="00D71059"/>
    <w:rsid w:val="00D712F3"/>
    <w:rsid w:val="00D71662"/>
    <w:rsid w:val="00D71BE1"/>
    <w:rsid w:val="00D71D2A"/>
    <w:rsid w:val="00D7300B"/>
    <w:rsid w:val="00D73432"/>
    <w:rsid w:val="00D73608"/>
    <w:rsid w:val="00D7412D"/>
    <w:rsid w:val="00D74315"/>
    <w:rsid w:val="00D74A5D"/>
    <w:rsid w:val="00D74D8F"/>
    <w:rsid w:val="00D756E5"/>
    <w:rsid w:val="00D76655"/>
    <w:rsid w:val="00D76D0B"/>
    <w:rsid w:val="00D76FCB"/>
    <w:rsid w:val="00D77EA6"/>
    <w:rsid w:val="00D8056C"/>
    <w:rsid w:val="00D80DEE"/>
    <w:rsid w:val="00D81117"/>
    <w:rsid w:val="00D819CF"/>
    <w:rsid w:val="00D82888"/>
    <w:rsid w:val="00D837AC"/>
    <w:rsid w:val="00D83C3B"/>
    <w:rsid w:val="00D85430"/>
    <w:rsid w:val="00D85C11"/>
    <w:rsid w:val="00D85D48"/>
    <w:rsid w:val="00D8671F"/>
    <w:rsid w:val="00D871FC"/>
    <w:rsid w:val="00D879B1"/>
    <w:rsid w:val="00D87B8F"/>
    <w:rsid w:val="00D87D3A"/>
    <w:rsid w:val="00D90AA0"/>
    <w:rsid w:val="00D90C70"/>
    <w:rsid w:val="00D91557"/>
    <w:rsid w:val="00D91DDB"/>
    <w:rsid w:val="00D924CF"/>
    <w:rsid w:val="00D928F7"/>
    <w:rsid w:val="00D92BDF"/>
    <w:rsid w:val="00D92D79"/>
    <w:rsid w:val="00D92F5A"/>
    <w:rsid w:val="00D93474"/>
    <w:rsid w:val="00D93995"/>
    <w:rsid w:val="00D9473D"/>
    <w:rsid w:val="00D95AF5"/>
    <w:rsid w:val="00D96B9C"/>
    <w:rsid w:val="00DA06F0"/>
    <w:rsid w:val="00DA1311"/>
    <w:rsid w:val="00DA15ED"/>
    <w:rsid w:val="00DA1876"/>
    <w:rsid w:val="00DA1BF7"/>
    <w:rsid w:val="00DA2085"/>
    <w:rsid w:val="00DA2E49"/>
    <w:rsid w:val="00DA3C12"/>
    <w:rsid w:val="00DA4BEA"/>
    <w:rsid w:val="00DA5147"/>
    <w:rsid w:val="00DA558C"/>
    <w:rsid w:val="00DA56C5"/>
    <w:rsid w:val="00DA5D78"/>
    <w:rsid w:val="00DA6196"/>
    <w:rsid w:val="00DA6724"/>
    <w:rsid w:val="00DA6740"/>
    <w:rsid w:val="00DA6756"/>
    <w:rsid w:val="00DA6D2C"/>
    <w:rsid w:val="00DA6F1C"/>
    <w:rsid w:val="00DA7012"/>
    <w:rsid w:val="00DA7AEF"/>
    <w:rsid w:val="00DB05D5"/>
    <w:rsid w:val="00DB07A0"/>
    <w:rsid w:val="00DB0926"/>
    <w:rsid w:val="00DB0E2B"/>
    <w:rsid w:val="00DB138D"/>
    <w:rsid w:val="00DB16EB"/>
    <w:rsid w:val="00DB31E7"/>
    <w:rsid w:val="00DB3512"/>
    <w:rsid w:val="00DB3E07"/>
    <w:rsid w:val="00DB4F41"/>
    <w:rsid w:val="00DB6128"/>
    <w:rsid w:val="00DB7E99"/>
    <w:rsid w:val="00DC03D9"/>
    <w:rsid w:val="00DC1A28"/>
    <w:rsid w:val="00DC2653"/>
    <w:rsid w:val="00DC32D9"/>
    <w:rsid w:val="00DC448D"/>
    <w:rsid w:val="00DC4B06"/>
    <w:rsid w:val="00DC6975"/>
    <w:rsid w:val="00DC720F"/>
    <w:rsid w:val="00DC75C4"/>
    <w:rsid w:val="00DD023D"/>
    <w:rsid w:val="00DD1EC9"/>
    <w:rsid w:val="00DD2536"/>
    <w:rsid w:val="00DD25D6"/>
    <w:rsid w:val="00DD2991"/>
    <w:rsid w:val="00DD2CD7"/>
    <w:rsid w:val="00DD2CFD"/>
    <w:rsid w:val="00DD2DD3"/>
    <w:rsid w:val="00DD3A49"/>
    <w:rsid w:val="00DD4198"/>
    <w:rsid w:val="00DD4742"/>
    <w:rsid w:val="00DD609D"/>
    <w:rsid w:val="00DD6556"/>
    <w:rsid w:val="00DD6CEB"/>
    <w:rsid w:val="00DD7772"/>
    <w:rsid w:val="00DE0D14"/>
    <w:rsid w:val="00DE0E67"/>
    <w:rsid w:val="00DE14B9"/>
    <w:rsid w:val="00DE169B"/>
    <w:rsid w:val="00DE2175"/>
    <w:rsid w:val="00DE2455"/>
    <w:rsid w:val="00DE3165"/>
    <w:rsid w:val="00DE37AA"/>
    <w:rsid w:val="00DE4D83"/>
    <w:rsid w:val="00DE75DF"/>
    <w:rsid w:val="00DE7974"/>
    <w:rsid w:val="00DF0364"/>
    <w:rsid w:val="00DF18A2"/>
    <w:rsid w:val="00DF2747"/>
    <w:rsid w:val="00DF2897"/>
    <w:rsid w:val="00DF3EB1"/>
    <w:rsid w:val="00DF5546"/>
    <w:rsid w:val="00DF625B"/>
    <w:rsid w:val="00DF69BE"/>
    <w:rsid w:val="00DF6F9D"/>
    <w:rsid w:val="00DF7325"/>
    <w:rsid w:val="00DF77B5"/>
    <w:rsid w:val="00E00F86"/>
    <w:rsid w:val="00E01A34"/>
    <w:rsid w:val="00E01E0C"/>
    <w:rsid w:val="00E02975"/>
    <w:rsid w:val="00E035A9"/>
    <w:rsid w:val="00E03B83"/>
    <w:rsid w:val="00E0429F"/>
    <w:rsid w:val="00E044AE"/>
    <w:rsid w:val="00E04B06"/>
    <w:rsid w:val="00E055A6"/>
    <w:rsid w:val="00E056BB"/>
    <w:rsid w:val="00E0684B"/>
    <w:rsid w:val="00E06AA3"/>
    <w:rsid w:val="00E06C1A"/>
    <w:rsid w:val="00E07B4B"/>
    <w:rsid w:val="00E11CCC"/>
    <w:rsid w:val="00E129A1"/>
    <w:rsid w:val="00E13CB7"/>
    <w:rsid w:val="00E14413"/>
    <w:rsid w:val="00E149C6"/>
    <w:rsid w:val="00E14EBA"/>
    <w:rsid w:val="00E15518"/>
    <w:rsid w:val="00E1605B"/>
    <w:rsid w:val="00E170F6"/>
    <w:rsid w:val="00E17608"/>
    <w:rsid w:val="00E20222"/>
    <w:rsid w:val="00E20552"/>
    <w:rsid w:val="00E2089A"/>
    <w:rsid w:val="00E22410"/>
    <w:rsid w:val="00E22946"/>
    <w:rsid w:val="00E23B06"/>
    <w:rsid w:val="00E252FC"/>
    <w:rsid w:val="00E26754"/>
    <w:rsid w:val="00E26777"/>
    <w:rsid w:val="00E26BF5"/>
    <w:rsid w:val="00E3009B"/>
    <w:rsid w:val="00E301D8"/>
    <w:rsid w:val="00E30A4E"/>
    <w:rsid w:val="00E31030"/>
    <w:rsid w:val="00E3110C"/>
    <w:rsid w:val="00E319F6"/>
    <w:rsid w:val="00E31F7B"/>
    <w:rsid w:val="00E32813"/>
    <w:rsid w:val="00E32C9C"/>
    <w:rsid w:val="00E3322F"/>
    <w:rsid w:val="00E33963"/>
    <w:rsid w:val="00E345B7"/>
    <w:rsid w:val="00E35283"/>
    <w:rsid w:val="00E367A4"/>
    <w:rsid w:val="00E3684A"/>
    <w:rsid w:val="00E4021E"/>
    <w:rsid w:val="00E4159B"/>
    <w:rsid w:val="00E417FE"/>
    <w:rsid w:val="00E4186D"/>
    <w:rsid w:val="00E419A0"/>
    <w:rsid w:val="00E42876"/>
    <w:rsid w:val="00E4319F"/>
    <w:rsid w:val="00E436F7"/>
    <w:rsid w:val="00E4416C"/>
    <w:rsid w:val="00E44F9A"/>
    <w:rsid w:val="00E45B58"/>
    <w:rsid w:val="00E45ED5"/>
    <w:rsid w:val="00E46112"/>
    <w:rsid w:val="00E47137"/>
    <w:rsid w:val="00E47350"/>
    <w:rsid w:val="00E5024E"/>
    <w:rsid w:val="00E50CE0"/>
    <w:rsid w:val="00E51927"/>
    <w:rsid w:val="00E52071"/>
    <w:rsid w:val="00E52C5C"/>
    <w:rsid w:val="00E52F5A"/>
    <w:rsid w:val="00E54EF2"/>
    <w:rsid w:val="00E551CD"/>
    <w:rsid w:val="00E56424"/>
    <w:rsid w:val="00E56E24"/>
    <w:rsid w:val="00E60D51"/>
    <w:rsid w:val="00E6272B"/>
    <w:rsid w:val="00E629EC"/>
    <w:rsid w:val="00E62B3A"/>
    <w:rsid w:val="00E62ED3"/>
    <w:rsid w:val="00E62F57"/>
    <w:rsid w:val="00E6312E"/>
    <w:rsid w:val="00E63264"/>
    <w:rsid w:val="00E63375"/>
    <w:rsid w:val="00E644CB"/>
    <w:rsid w:val="00E6585B"/>
    <w:rsid w:val="00E65980"/>
    <w:rsid w:val="00E659D0"/>
    <w:rsid w:val="00E66B2F"/>
    <w:rsid w:val="00E707A3"/>
    <w:rsid w:val="00E70890"/>
    <w:rsid w:val="00E70965"/>
    <w:rsid w:val="00E70AA5"/>
    <w:rsid w:val="00E711EC"/>
    <w:rsid w:val="00E71B6F"/>
    <w:rsid w:val="00E71C04"/>
    <w:rsid w:val="00E720C8"/>
    <w:rsid w:val="00E72D8C"/>
    <w:rsid w:val="00E732AC"/>
    <w:rsid w:val="00E73D34"/>
    <w:rsid w:val="00E757F4"/>
    <w:rsid w:val="00E7587C"/>
    <w:rsid w:val="00E75F50"/>
    <w:rsid w:val="00E76664"/>
    <w:rsid w:val="00E766D6"/>
    <w:rsid w:val="00E76DE7"/>
    <w:rsid w:val="00E77913"/>
    <w:rsid w:val="00E829D0"/>
    <w:rsid w:val="00E83B25"/>
    <w:rsid w:val="00E84DD2"/>
    <w:rsid w:val="00E86151"/>
    <w:rsid w:val="00E864FB"/>
    <w:rsid w:val="00E86B8E"/>
    <w:rsid w:val="00E87725"/>
    <w:rsid w:val="00E8775D"/>
    <w:rsid w:val="00E91279"/>
    <w:rsid w:val="00E91599"/>
    <w:rsid w:val="00E91F83"/>
    <w:rsid w:val="00E9392D"/>
    <w:rsid w:val="00E93DBA"/>
    <w:rsid w:val="00E94A2F"/>
    <w:rsid w:val="00E9547D"/>
    <w:rsid w:val="00E95C17"/>
    <w:rsid w:val="00E974F2"/>
    <w:rsid w:val="00E97692"/>
    <w:rsid w:val="00EA068E"/>
    <w:rsid w:val="00EA0B93"/>
    <w:rsid w:val="00EA1A26"/>
    <w:rsid w:val="00EA207C"/>
    <w:rsid w:val="00EA271B"/>
    <w:rsid w:val="00EA34BB"/>
    <w:rsid w:val="00EA3EC6"/>
    <w:rsid w:val="00EA4DA4"/>
    <w:rsid w:val="00EA557D"/>
    <w:rsid w:val="00EA5B2C"/>
    <w:rsid w:val="00EA6383"/>
    <w:rsid w:val="00EA6B6C"/>
    <w:rsid w:val="00EA6CA0"/>
    <w:rsid w:val="00EA6D74"/>
    <w:rsid w:val="00EB185D"/>
    <w:rsid w:val="00EB19BB"/>
    <w:rsid w:val="00EB1C95"/>
    <w:rsid w:val="00EB1CCA"/>
    <w:rsid w:val="00EB2B34"/>
    <w:rsid w:val="00EB2D2C"/>
    <w:rsid w:val="00EB2EF8"/>
    <w:rsid w:val="00EB343C"/>
    <w:rsid w:val="00EB36DE"/>
    <w:rsid w:val="00EB4931"/>
    <w:rsid w:val="00EB4A30"/>
    <w:rsid w:val="00EB4BDD"/>
    <w:rsid w:val="00EB5406"/>
    <w:rsid w:val="00EB7AC7"/>
    <w:rsid w:val="00EC0773"/>
    <w:rsid w:val="00EC3275"/>
    <w:rsid w:val="00EC3370"/>
    <w:rsid w:val="00EC3DB3"/>
    <w:rsid w:val="00EC44C7"/>
    <w:rsid w:val="00EC4BFE"/>
    <w:rsid w:val="00EC4DB5"/>
    <w:rsid w:val="00EC4F94"/>
    <w:rsid w:val="00EC572A"/>
    <w:rsid w:val="00EC5979"/>
    <w:rsid w:val="00EC5C1D"/>
    <w:rsid w:val="00EC5E4C"/>
    <w:rsid w:val="00EC6624"/>
    <w:rsid w:val="00ED13E6"/>
    <w:rsid w:val="00ED1CAB"/>
    <w:rsid w:val="00ED3604"/>
    <w:rsid w:val="00ED4E33"/>
    <w:rsid w:val="00ED50A2"/>
    <w:rsid w:val="00ED610B"/>
    <w:rsid w:val="00ED688D"/>
    <w:rsid w:val="00ED6BC5"/>
    <w:rsid w:val="00ED6E42"/>
    <w:rsid w:val="00ED713D"/>
    <w:rsid w:val="00ED722D"/>
    <w:rsid w:val="00ED788F"/>
    <w:rsid w:val="00ED7AF2"/>
    <w:rsid w:val="00EE0340"/>
    <w:rsid w:val="00EE0F38"/>
    <w:rsid w:val="00EE2108"/>
    <w:rsid w:val="00EE31CD"/>
    <w:rsid w:val="00EE4897"/>
    <w:rsid w:val="00EE4A15"/>
    <w:rsid w:val="00EE53AD"/>
    <w:rsid w:val="00EE6975"/>
    <w:rsid w:val="00EE775D"/>
    <w:rsid w:val="00EF0E6F"/>
    <w:rsid w:val="00EF1245"/>
    <w:rsid w:val="00EF24C0"/>
    <w:rsid w:val="00EF2DB8"/>
    <w:rsid w:val="00EF4777"/>
    <w:rsid w:val="00EF5A10"/>
    <w:rsid w:val="00EF6F02"/>
    <w:rsid w:val="00F00CDF"/>
    <w:rsid w:val="00F011B4"/>
    <w:rsid w:val="00F01699"/>
    <w:rsid w:val="00F01D9B"/>
    <w:rsid w:val="00F02DDE"/>
    <w:rsid w:val="00F031B1"/>
    <w:rsid w:val="00F04853"/>
    <w:rsid w:val="00F05844"/>
    <w:rsid w:val="00F05958"/>
    <w:rsid w:val="00F05BCF"/>
    <w:rsid w:val="00F05D67"/>
    <w:rsid w:val="00F06F4D"/>
    <w:rsid w:val="00F120ED"/>
    <w:rsid w:val="00F127DA"/>
    <w:rsid w:val="00F12A2A"/>
    <w:rsid w:val="00F12B47"/>
    <w:rsid w:val="00F1302D"/>
    <w:rsid w:val="00F13233"/>
    <w:rsid w:val="00F145F4"/>
    <w:rsid w:val="00F1550C"/>
    <w:rsid w:val="00F15DB8"/>
    <w:rsid w:val="00F16E30"/>
    <w:rsid w:val="00F17073"/>
    <w:rsid w:val="00F1784A"/>
    <w:rsid w:val="00F179E5"/>
    <w:rsid w:val="00F17A31"/>
    <w:rsid w:val="00F17B51"/>
    <w:rsid w:val="00F20562"/>
    <w:rsid w:val="00F20F05"/>
    <w:rsid w:val="00F2145A"/>
    <w:rsid w:val="00F218E9"/>
    <w:rsid w:val="00F21FB3"/>
    <w:rsid w:val="00F2286A"/>
    <w:rsid w:val="00F22876"/>
    <w:rsid w:val="00F23C37"/>
    <w:rsid w:val="00F23E8B"/>
    <w:rsid w:val="00F23F39"/>
    <w:rsid w:val="00F24063"/>
    <w:rsid w:val="00F24ED8"/>
    <w:rsid w:val="00F25910"/>
    <w:rsid w:val="00F26F52"/>
    <w:rsid w:val="00F26FED"/>
    <w:rsid w:val="00F27593"/>
    <w:rsid w:val="00F27B84"/>
    <w:rsid w:val="00F30448"/>
    <w:rsid w:val="00F30A42"/>
    <w:rsid w:val="00F30BC1"/>
    <w:rsid w:val="00F32012"/>
    <w:rsid w:val="00F3205A"/>
    <w:rsid w:val="00F329CE"/>
    <w:rsid w:val="00F32F02"/>
    <w:rsid w:val="00F33BE4"/>
    <w:rsid w:val="00F348F6"/>
    <w:rsid w:val="00F34F8E"/>
    <w:rsid w:val="00F3745A"/>
    <w:rsid w:val="00F375D0"/>
    <w:rsid w:val="00F37B89"/>
    <w:rsid w:val="00F4020F"/>
    <w:rsid w:val="00F42120"/>
    <w:rsid w:val="00F43040"/>
    <w:rsid w:val="00F4365C"/>
    <w:rsid w:val="00F44531"/>
    <w:rsid w:val="00F45D20"/>
    <w:rsid w:val="00F46836"/>
    <w:rsid w:val="00F46B8B"/>
    <w:rsid w:val="00F476B8"/>
    <w:rsid w:val="00F47916"/>
    <w:rsid w:val="00F50330"/>
    <w:rsid w:val="00F50452"/>
    <w:rsid w:val="00F50AA5"/>
    <w:rsid w:val="00F50E28"/>
    <w:rsid w:val="00F513DF"/>
    <w:rsid w:val="00F52241"/>
    <w:rsid w:val="00F551F8"/>
    <w:rsid w:val="00F555C1"/>
    <w:rsid w:val="00F55A80"/>
    <w:rsid w:val="00F5678F"/>
    <w:rsid w:val="00F56F9E"/>
    <w:rsid w:val="00F57F5A"/>
    <w:rsid w:val="00F600D8"/>
    <w:rsid w:val="00F60A7A"/>
    <w:rsid w:val="00F61006"/>
    <w:rsid w:val="00F615F4"/>
    <w:rsid w:val="00F61904"/>
    <w:rsid w:val="00F61FD9"/>
    <w:rsid w:val="00F6318E"/>
    <w:rsid w:val="00F636B1"/>
    <w:rsid w:val="00F6542F"/>
    <w:rsid w:val="00F655F6"/>
    <w:rsid w:val="00F65D13"/>
    <w:rsid w:val="00F66606"/>
    <w:rsid w:val="00F66900"/>
    <w:rsid w:val="00F6743A"/>
    <w:rsid w:val="00F67636"/>
    <w:rsid w:val="00F67EA5"/>
    <w:rsid w:val="00F7039F"/>
    <w:rsid w:val="00F719DA"/>
    <w:rsid w:val="00F72B08"/>
    <w:rsid w:val="00F73443"/>
    <w:rsid w:val="00F740C5"/>
    <w:rsid w:val="00F753B3"/>
    <w:rsid w:val="00F755AA"/>
    <w:rsid w:val="00F7588B"/>
    <w:rsid w:val="00F75B58"/>
    <w:rsid w:val="00F75B73"/>
    <w:rsid w:val="00F77564"/>
    <w:rsid w:val="00F80204"/>
    <w:rsid w:val="00F802AE"/>
    <w:rsid w:val="00F80A90"/>
    <w:rsid w:val="00F80E00"/>
    <w:rsid w:val="00F80E24"/>
    <w:rsid w:val="00F81B46"/>
    <w:rsid w:val="00F8327A"/>
    <w:rsid w:val="00F83925"/>
    <w:rsid w:val="00F839A3"/>
    <w:rsid w:val="00F846B9"/>
    <w:rsid w:val="00F84D90"/>
    <w:rsid w:val="00F84EBF"/>
    <w:rsid w:val="00F85A20"/>
    <w:rsid w:val="00F85C14"/>
    <w:rsid w:val="00F86514"/>
    <w:rsid w:val="00F86964"/>
    <w:rsid w:val="00F86A7E"/>
    <w:rsid w:val="00F90569"/>
    <w:rsid w:val="00F90675"/>
    <w:rsid w:val="00F90963"/>
    <w:rsid w:val="00F90F3E"/>
    <w:rsid w:val="00F913C1"/>
    <w:rsid w:val="00F9314F"/>
    <w:rsid w:val="00F934CF"/>
    <w:rsid w:val="00F939C5"/>
    <w:rsid w:val="00F93F77"/>
    <w:rsid w:val="00F94257"/>
    <w:rsid w:val="00F94547"/>
    <w:rsid w:val="00F948DA"/>
    <w:rsid w:val="00F95146"/>
    <w:rsid w:val="00F955C3"/>
    <w:rsid w:val="00F9610B"/>
    <w:rsid w:val="00F967E6"/>
    <w:rsid w:val="00F9694B"/>
    <w:rsid w:val="00F97107"/>
    <w:rsid w:val="00F97830"/>
    <w:rsid w:val="00FA03AE"/>
    <w:rsid w:val="00FA0CCF"/>
    <w:rsid w:val="00FA1B2F"/>
    <w:rsid w:val="00FA3F50"/>
    <w:rsid w:val="00FA3FFE"/>
    <w:rsid w:val="00FA41AD"/>
    <w:rsid w:val="00FA4D36"/>
    <w:rsid w:val="00FA4F9B"/>
    <w:rsid w:val="00FA596C"/>
    <w:rsid w:val="00FA6095"/>
    <w:rsid w:val="00FA6691"/>
    <w:rsid w:val="00FA671C"/>
    <w:rsid w:val="00FA67F2"/>
    <w:rsid w:val="00FA69C6"/>
    <w:rsid w:val="00FA6A1F"/>
    <w:rsid w:val="00FA7352"/>
    <w:rsid w:val="00FA748B"/>
    <w:rsid w:val="00FA7913"/>
    <w:rsid w:val="00FA7E56"/>
    <w:rsid w:val="00FA7F78"/>
    <w:rsid w:val="00FB07C9"/>
    <w:rsid w:val="00FB0D7F"/>
    <w:rsid w:val="00FB1768"/>
    <w:rsid w:val="00FB20A5"/>
    <w:rsid w:val="00FB25E5"/>
    <w:rsid w:val="00FB2F65"/>
    <w:rsid w:val="00FB5CFB"/>
    <w:rsid w:val="00FB5F13"/>
    <w:rsid w:val="00FB62F9"/>
    <w:rsid w:val="00FB69A8"/>
    <w:rsid w:val="00FB6B1A"/>
    <w:rsid w:val="00FB6DC7"/>
    <w:rsid w:val="00FB79F7"/>
    <w:rsid w:val="00FC10D7"/>
    <w:rsid w:val="00FC2501"/>
    <w:rsid w:val="00FC3D02"/>
    <w:rsid w:val="00FC3F4B"/>
    <w:rsid w:val="00FC461F"/>
    <w:rsid w:val="00FC579F"/>
    <w:rsid w:val="00FD0978"/>
    <w:rsid w:val="00FD15B6"/>
    <w:rsid w:val="00FD166A"/>
    <w:rsid w:val="00FD2D3B"/>
    <w:rsid w:val="00FD5292"/>
    <w:rsid w:val="00FD6240"/>
    <w:rsid w:val="00FD6E8B"/>
    <w:rsid w:val="00FD707B"/>
    <w:rsid w:val="00FD713C"/>
    <w:rsid w:val="00FE06A4"/>
    <w:rsid w:val="00FE0E5D"/>
    <w:rsid w:val="00FE116F"/>
    <w:rsid w:val="00FE1A43"/>
    <w:rsid w:val="00FE1BDD"/>
    <w:rsid w:val="00FE1C73"/>
    <w:rsid w:val="00FE1F8B"/>
    <w:rsid w:val="00FE2692"/>
    <w:rsid w:val="00FE3A0E"/>
    <w:rsid w:val="00FE3A27"/>
    <w:rsid w:val="00FE4778"/>
    <w:rsid w:val="00FE4B2F"/>
    <w:rsid w:val="00FE4E20"/>
    <w:rsid w:val="00FE51F2"/>
    <w:rsid w:val="00FE55A0"/>
    <w:rsid w:val="00FF0615"/>
    <w:rsid w:val="00FF0884"/>
    <w:rsid w:val="00FF08FA"/>
    <w:rsid w:val="00FF11E0"/>
    <w:rsid w:val="00FF12BF"/>
    <w:rsid w:val="00FF146D"/>
    <w:rsid w:val="00FF155A"/>
    <w:rsid w:val="00FF1AF1"/>
    <w:rsid w:val="00FF1D6E"/>
    <w:rsid w:val="00FF1E60"/>
    <w:rsid w:val="00FF24A1"/>
    <w:rsid w:val="00FF30D7"/>
    <w:rsid w:val="00FF4C28"/>
    <w:rsid w:val="00FF4D3A"/>
    <w:rsid w:val="00FF4F24"/>
    <w:rsid w:val="00FF4FDF"/>
    <w:rsid w:val="00FF52F5"/>
    <w:rsid w:val="00FF5908"/>
    <w:rsid w:val="00FF5CE1"/>
    <w:rsid w:val="00FF67D4"/>
    <w:rsid w:val="00FF7267"/>
    <w:rsid w:val="022D8136"/>
    <w:rsid w:val="0281986D"/>
    <w:rsid w:val="02A87A4E"/>
    <w:rsid w:val="0304CEFD"/>
    <w:rsid w:val="040735C9"/>
    <w:rsid w:val="042C13EF"/>
    <w:rsid w:val="044A0E8F"/>
    <w:rsid w:val="045C3B2B"/>
    <w:rsid w:val="04A05BBC"/>
    <w:rsid w:val="04C1086F"/>
    <w:rsid w:val="058887AD"/>
    <w:rsid w:val="05A895EE"/>
    <w:rsid w:val="05DC78E6"/>
    <w:rsid w:val="0667D2C1"/>
    <w:rsid w:val="06CA7ACB"/>
    <w:rsid w:val="06D5F40C"/>
    <w:rsid w:val="0705FBA9"/>
    <w:rsid w:val="071735DE"/>
    <w:rsid w:val="072F61C3"/>
    <w:rsid w:val="07754052"/>
    <w:rsid w:val="077921B9"/>
    <w:rsid w:val="081E81F9"/>
    <w:rsid w:val="082E2E44"/>
    <w:rsid w:val="08D702B3"/>
    <w:rsid w:val="08E7333F"/>
    <w:rsid w:val="09355F72"/>
    <w:rsid w:val="09A785EC"/>
    <w:rsid w:val="09B1C09B"/>
    <w:rsid w:val="09BA912B"/>
    <w:rsid w:val="09F11D98"/>
    <w:rsid w:val="0A1E75BB"/>
    <w:rsid w:val="0A54CB8F"/>
    <w:rsid w:val="0A5E6BCD"/>
    <w:rsid w:val="0A7DFF31"/>
    <w:rsid w:val="0AA8A31F"/>
    <w:rsid w:val="0AD29FE6"/>
    <w:rsid w:val="0AD94779"/>
    <w:rsid w:val="0B1CB4CA"/>
    <w:rsid w:val="0B7E0C99"/>
    <w:rsid w:val="0BD0C262"/>
    <w:rsid w:val="0C3563B8"/>
    <w:rsid w:val="0C66D92D"/>
    <w:rsid w:val="0CDABE0F"/>
    <w:rsid w:val="0D4E977B"/>
    <w:rsid w:val="0D8CD0F8"/>
    <w:rsid w:val="0DBE8998"/>
    <w:rsid w:val="0DFA7436"/>
    <w:rsid w:val="0EAE0C8E"/>
    <w:rsid w:val="0ECA08A3"/>
    <w:rsid w:val="0ED389C0"/>
    <w:rsid w:val="0F2A127C"/>
    <w:rsid w:val="0F79394E"/>
    <w:rsid w:val="0FB49255"/>
    <w:rsid w:val="102B81AE"/>
    <w:rsid w:val="10F99242"/>
    <w:rsid w:val="11655222"/>
    <w:rsid w:val="1274354E"/>
    <w:rsid w:val="129F5F1A"/>
    <w:rsid w:val="12ECB398"/>
    <w:rsid w:val="130F0E1F"/>
    <w:rsid w:val="13126BC8"/>
    <w:rsid w:val="13158521"/>
    <w:rsid w:val="13A76F64"/>
    <w:rsid w:val="13F13056"/>
    <w:rsid w:val="1409F7E4"/>
    <w:rsid w:val="147B6E5B"/>
    <w:rsid w:val="158577F3"/>
    <w:rsid w:val="15C78E38"/>
    <w:rsid w:val="15E9124A"/>
    <w:rsid w:val="163D161D"/>
    <w:rsid w:val="166F6593"/>
    <w:rsid w:val="16840DCE"/>
    <w:rsid w:val="168BA97A"/>
    <w:rsid w:val="16A12C9A"/>
    <w:rsid w:val="172EED3F"/>
    <w:rsid w:val="17652F84"/>
    <w:rsid w:val="182A94F3"/>
    <w:rsid w:val="1868BDE4"/>
    <w:rsid w:val="189D4AD9"/>
    <w:rsid w:val="18A75C0A"/>
    <w:rsid w:val="1986C97B"/>
    <w:rsid w:val="19C165BC"/>
    <w:rsid w:val="1A5CCE69"/>
    <w:rsid w:val="1AB6DA5E"/>
    <w:rsid w:val="1AC588CC"/>
    <w:rsid w:val="1B497F10"/>
    <w:rsid w:val="1B506B30"/>
    <w:rsid w:val="1C0B3D83"/>
    <w:rsid w:val="1C1CC398"/>
    <w:rsid w:val="1CB6C7CE"/>
    <w:rsid w:val="1D495EBE"/>
    <w:rsid w:val="1D8CF48E"/>
    <w:rsid w:val="1E014B4B"/>
    <w:rsid w:val="1E0E7F70"/>
    <w:rsid w:val="1E32DA97"/>
    <w:rsid w:val="1E42149D"/>
    <w:rsid w:val="1E8066E2"/>
    <w:rsid w:val="1F3607B1"/>
    <w:rsid w:val="1F4D3431"/>
    <w:rsid w:val="1FE87BE3"/>
    <w:rsid w:val="20944E2A"/>
    <w:rsid w:val="214AF65E"/>
    <w:rsid w:val="21CDA067"/>
    <w:rsid w:val="21E7BA0C"/>
    <w:rsid w:val="2216EF8E"/>
    <w:rsid w:val="22999BB1"/>
    <w:rsid w:val="22A1D37A"/>
    <w:rsid w:val="2347D5A4"/>
    <w:rsid w:val="239166C7"/>
    <w:rsid w:val="23CB7088"/>
    <w:rsid w:val="23FD9731"/>
    <w:rsid w:val="24B55068"/>
    <w:rsid w:val="25169CF1"/>
    <w:rsid w:val="252B7036"/>
    <w:rsid w:val="253394BD"/>
    <w:rsid w:val="255EB08A"/>
    <w:rsid w:val="26113324"/>
    <w:rsid w:val="27AA893B"/>
    <w:rsid w:val="2811281B"/>
    <w:rsid w:val="28592EA3"/>
    <w:rsid w:val="28A40750"/>
    <w:rsid w:val="28DA4C1C"/>
    <w:rsid w:val="297A7D89"/>
    <w:rsid w:val="29F8BE50"/>
    <w:rsid w:val="2A85F68E"/>
    <w:rsid w:val="2A954DA7"/>
    <w:rsid w:val="2AA57783"/>
    <w:rsid w:val="2B27BF29"/>
    <w:rsid w:val="2B63E908"/>
    <w:rsid w:val="2B778F54"/>
    <w:rsid w:val="2B7C61A4"/>
    <w:rsid w:val="2BAD2824"/>
    <w:rsid w:val="2BE6330F"/>
    <w:rsid w:val="2C20FCA6"/>
    <w:rsid w:val="2C369BAE"/>
    <w:rsid w:val="2C4DF978"/>
    <w:rsid w:val="2C691A67"/>
    <w:rsid w:val="2D40C0FC"/>
    <w:rsid w:val="2D52004C"/>
    <w:rsid w:val="2D83C936"/>
    <w:rsid w:val="2D9D19E0"/>
    <w:rsid w:val="2DA878D7"/>
    <w:rsid w:val="2E860479"/>
    <w:rsid w:val="2E964331"/>
    <w:rsid w:val="2EA313C9"/>
    <w:rsid w:val="2EC4CF57"/>
    <w:rsid w:val="2F229E2D"/>
    <w:rsid w:val="2F2B0953"/>
    <w:rsid w:val="2F4026DE"/>
    <w:rsid w:val="2F4C03ED"/>
    <w:rsid w:val="30668A0D"/>
    <w:rsid w:val="31109F9F"/>
    <w:rsid w:val="3130166C"/>
    <w:rsid w:val="31AC39C7"/>
    <w:rsid w:val="31B390F2"/>
    <w:rsid w:val="31F3B4AF"/>
    <w:rsid w:val="323F6F9D"/>
    <w:rsid w:val="3286CF29"/>
    <w:rsid w:val="32CB4F55"/>
    <w:rsid w:val="3318DFC2"/>
    <w:rsid w:val="3325F383"/>
    <w:rsid w:val="343D86CB"/>
    <w:rsid w:val="349D9E55"/>
    <w:rsid w:val="35410FE9"/>
    <w:rsid w:val="3563F888"/>
    <w:rsid w:val="35C120F5"/>
    <w:rsid w:val="35D80091"/>
    <w:rsid w:val="3656A6EA"/>
    <w:rsid w:val="3681667A"/>
    <w:rsid w:val="3754E719"/>
    <w:rsid w:val="3815AC3D"/>
    <w:rsid w:val="382D1990"/>
    <w:rsid w:val="382E257F"/>
    <w:rsid w:val="38954A94"/>
    <w:rsid w:val="38D24B8D"/>
    <w:rsid w:val="398466E9"/>
    <w:rsid w:val="39910DDD"/>
    <w:rsid w:val="39FD8893"/>
    <w:rsid w:val="3A85A113"/>
    <w:rsid w:val="3AB3C690"/>
    <w:rsid w:val="3AF6F4EE"/>
    <w:rsid w:val="3B2E46E8"/>
    <w:rsid w:val="3B9AFB9C"/>
    <w:rsid w:val="3BABDCFC"/>
    <w:rsid w:val="3BB82991"/>
    <w:rsid w:val="3C48B1A5"/>
    <w:rsid w:val="3D0ACA9A"/>
    <w:rsid w:val="3D118930"/>
    <w:rsid w:val="3D33DF97"/>
    <w:rsid w:val="3D713308"/>
    <w:rsid w:val="3DE4CDB8"/>
    <w:rsid w:val="3E12FA2A"/>
    <w:rsid w:val="3E5BDA2F"/>
    <w:rsid w:val="3E8DE1C9"/>
    <w:rsid w:val="3EC584D4"/>
    <w:rsid w:val="3F27A7E3"/>
    <w:rsid w:val="3F5D45BC"/>
    <w:rsid w:val="4082B55B"/>
    <w:rsid w:val="409F005A"/>
    <w:rsid w:val="40C9A137"/>
    <w:rsid w:val="415B85DF"/>
    <w:rsid w:val="4175478C"/>
    <w:rsid w:val="419CD127"/>
    <w:rsid w:val="41D54691"/>
    <w:rsid w:val="42611ECB"/>
    <w:rsid w:val="42A47EFF"/>
    <w:rsid w:val="42D1CB2F"/>
    <w:rsid w:val="42E1CDCD"/>
    <w:rsid w:val="433EE401"/>
    <w:rsid w:val="43C68AF1"/>
    <w:rsid w:val="43D76F80"/>
    <w:rsid w:val="4477D14C"/>
    <w:rsid w:val="448B99D4"/>
    <w:rsid w:val="44C9A4FD"/>
    <w:rsid w:val="453A4263"/>
    <w:rsid w:val="45750AC3"/>
    <w:rsid w:val="457F7EC3"/>
    <w:rsid w:val="45CEA922"/>
    <w:rsid w:val="4604EE36"/>
    <w:rsid w:val="464381AD"/>
    <w:rsid w:val="465586CD"/>
    <w:rsid w:val="467056E2"/>
    <w:rsid w:val="47272DC5"/>
    <w:rsid w:val="490E242A"/>
    <w:rsid w:val="49414034"/>
    <w:rsid w:val="4A2EC1A5"/>
    <w:rsid w:val="4A5DB414"/>
    <w:rsid w:val="4ABB97F8"/>
    <w:rsid w:val="4AE99C16"/>
    <w:rsid w:val="4B380AC5"/>
    <w:rsid w:val="4BCCE211"/>
    <w:rsid w:val="4BF47373"/>
    <w:rsid w:val="4C36E8A8"/>
    <w:rsid w:val="4C7336CF"/>
    <w:rsid w:val="4D015000"/>
    <w:rsid w:val="4D3C60E8"/>
    <w:rsid w:val="4DC44B91"/>
    <w:rsid w:val="4DCF6B80"/>
    <w:rsid w:val="4DDA1996"/>
    <w:rsid w:val="4DE1D3A9"/>
    <w:rsid w:val="4F7EFB47"/>
    <w:rsid w:val="4F8BEB26"/>
    <w:rsid w:val="50073066"/>
    <w:rsid w:val="50139CE4"/>
    <w:rsid w:val="503D364E"/>
    <w:rsid w:val="507036A0"/>
    <w:rsid w:val="5121626F"/>
    <w:rsid w:val="51E168CC"/>
    <w:rsid w:val="54C72362"/>
    <w:rsid w:val="54D20FDD"/>
    <w:rsid w:val="550800EC"/>
    <w:rsid w:val="561B2A8A"/>
    <w:rsid w:val="562EEB71"/>
    <w:rsid w:val="56C43BBC"/>
    <w:rsid w:val="574677FE"/>
    <w:rsid w:val="5816BD91"/>
    <w:rsid w:val="581BEC39"/>
    <w:rsid w:val="5885F9FF"/>
    <w:rsid w:val="5891D46D"/>
    <w:rsid w:val="58F4C200"/>
    <w:rsid w:val="5962FC71"/>
    <w:rsid w:val="5963A25D"/>
    <w:rsid w:val="598DA960"/>
    <w:rsid w:val="59EAEB33"/>
    <w:rsid w:val="5A58403A"/>
    <w:rsid w:val="5A77D44C"/>
    <w:rsid w:val="5AA38130"/>
    <w:rsid w:val="5AC78DDF"/>
    <w:rsid w:val="5AF97AD3"/>
    <w:rsid w:val="5B22A3E2"/>
    <w:rsid w:val="5B84DC8E"/>
    <w:rsid w:val="5BBC614D"/>
    <w:rsid w:val="5BD4FF41"/>
    <w:rsid w:val="5BE278E7"/>
    <w:rsid w:val="5C5FDC2F"/>
    <w:rsid w:val="5C691017"/>
    <w:rsid w:val="5C700083"/>
    <w:rsid w:val="5CD7DFDC"/>
    <w:rsid w:val="5CE048F0"/>
    <w:rsid w:val="5CE9593A"/>
    <w:rsid w:val="5CEECDFC"/>
    <w:rsid w:val="5CF3EC3F"/>
    <w:rsid w:val="5E985F2D"/>
    <w:rsid w:val="5F233A7A"/>
    <w:rsid w:val="5F68B907"/>
    <w:rsid w:val="5F70ED26"/>
    <w:rsid w:val="5FD00906"/>
    <w:rsid w:val="60093E91"/>
    <w:rsid w:val="600A08DA"/>
    <w:rsid w:val="61BA2908"/>
    <w:rsid w:val="629FC251"/>
    <w:rsid w:val="62A7F670"/>
    <w:rsid w:val="63197DA9"/>
    <w:rsid w:val="635B0E67"/>
    <w:rsid w:val="6377570B"/>
    <w:rsid w:val="638C2F36"/>
    <w:rsid w:val="638E6847"/>
    <w:rsid w:val="639FD94F"/>
    <w:rsid w:val="63AA7669"/>
    <w:rsid w:val="63CDB97E"/>
    <w:rsid w:val="649897D1"/>
    <w:rsid w:val="649E0FA1"/>
    <w:rsid w:val="64ACA159"/>
    <w:rsid w:val="64C0CF54"/>
    <w:rsid w:val="64DE6940"/>
    <w:rsid w:val="651AF66C"/>
    <w:rsid w:val="65289A72"/>
    <w:rsid w:val="658E5302"/>
    <w:rsid w:val="65F0D1EA"/>
    <w:rsid w:val="669E8D2B"/>
    <w:rsid w:val="67677B08"/>
    <w:rsid w:val="68B1535B"/>
    <w:rsid w:val="693510EB"/>
    <w:rsid w:val="693E9E21"/>
    <w:rsid w:val="6973F57F"/>
    <w:rsid w:val="69ED81DD"/>
    <w:rsid w:val="6A03F5B8"/>
    <w:rsid w:val="6A2A0345"/>
    <w:rsid w:val="6A318E00"/>
    <w:rsid w:val="6A48B9D6"/>
    <w:rsid w:val="6AA78C96"/>
    <w:rsid w:val="6AC06FC3"/>
    <w:rsid w:val="6B101663"/>
    <w:rsid w:val="6B7E4ADF"/>
    <w:rsid w:val="6B8173B8"/>
    <w:rsid w:val="6BCB61DA"/>
    <w:rsid w:val="6BE37125"/>
    <w:rsid w:val="6CDD1D0B"/>
    <w:rsid w:val="6D1BE1A8"/>
    <w:rsid w:val="6D3EC5FA"/>
    <w:rsid w:val="6D7DFCB8"/>
    <w:rsid w:val="6E3D07E6"/>
    <w:rsid w:val="6E92ED00"/>
    <w:rsid w:val="6ECFF377"/>
    <w:rsid w:val="6F9508FB"/>
    <w:rsid w:val="70042F18"/>
    <w:rsid w:val="700E8C2B"/>
    <w:rsid w:val="7023E985"/>
    <w:rsid w:val="713886B2"/>
    <w:rsid w:val="71C9F64A"/>
    <w:rsid w:val="7338C929"/>
    <w:rsid w:val="736FF948"/>
    <w:rsid w:val="739DBB5F"/>
    <w:rsid w:val="73B31D59"/>
    <w:rsid w:val="73FE6E5B"/>
    <w:rsid w:val="74A9C3C6"/>
    <w:rsid w:val="74C5DA16"/>
    <w:rsid w:val="751D9F60"/>
    <w:rsid w:val="75CD2247"/>
    <w:rsid w:val="763E0C43"/>
    <w:rsid w:val="7756D9AA"/>
    <w:rsid w:val="7766A1E8"/>
    <w:rsid w:val="77D4427A"/>
    <w:rsid w:val="77D608E2"/>
    <w:rsid w:val="77E8E1E8"/>
    <w:rsid w:val="77F4D941"/>
    <w:rsid w:val="77F5A2A0"/>
    <w:rsid w:val="78265B77"/>
    <w:rsid w:val="784A48F3"/>
    <w:rsid w:val="78DDABDA"/>
    <w:rsid w:val="790363E5"/>
    <w:rsid w:val="794D155C"/>
    <w:rsid w:val="79D3F3A3"/>
    <w:rsid w:val="7A13A62A"/>
    <w:rsid w:val="7AA0A3A0"/>
    <w:rsid w:val="7B7BAC9E"/>
    <w:rsid w:val="7BBBDE30"/>
    <w:rsid w:val="7BC6EEEC"/>
    <w:rsid w:val="7C1AC729"/>
    <w:rsid w:val="7C480F8A"/>
    <w:rsid w:val="7C5181D7"/>
    <w:rsid w:val="7C91B167"/>
    <w:rsid w:val="7C9CB639"/>
    <w:rsid w:val="7CEC90E3"/>
    <w:rsid w:val="7CED7438"/>
    <w:rsid w:val="7D2CF0E1"/>
    <w:rsid w:val="7DAFA246"/>
    <w:rsid w:val="7E325740"/>
    <w:rsid w:val="7EA5E5F2"/>
    <w:rsid w:val="7EB84E39"/>
    <w:rsid w:val="7EDE4661"/>
    <w:rsid w:val="7F3635F0"/>
    <w:rsid w:val="7F756857"/>
    <w:rsid w:val="7FC216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78889"/>
  <w15:docId w15:val="{7901195F-65F0-4B57-8257-1217237D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99"/>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900"/>
    <w:rPr>
      <w:lang w:val="en-US" w:eastAsia="en-US"/>
    </w:rPr>
  </w:style>
  <w:style w:type="paragraph" w:styleId="Heading1">
    <w:name w:val="heading 1"/>
    <w:basedOn w:val="Normal"/>
    <w:next w:val="BodyText"/>
    <w:link w:val="Heading1Char"/>
    <w:qFormat/>
    <w:locked/>
    <w:rsid w:val="0091341F"/>
    <w:pPr>
      <w:keepNext/>
      <w:spacing w:before="400" w:after="600"/>
      <w:ind w:left="851" w:hanging="851"/>
      <w:outlineLvl w:val="0"/>
    </w:pPr>
    <w:rPr>
      <w:rFonts w:ascii="Public Sans SemiBold" w:hAnsi="Public Sans SemiBold"/>
      <w:caps/>
      <w:color w:val="002664"/>
      <w:kern w:val="28"/>
      <w:sz w:val="40"/>
      <w:szCs w:val="36"/>
      <w:lang w:val="en-AU"/>
    </w:rPr>
  </w:style>
  <w:style w:type="paragraph" w:styleId="Heading2">
    <w:name w:val="heading 2"/>
    <w:basedOn w:val="Normal"/>
    <w:next w:val="BodyText"/>
    <w:link w:val="Heading2Char"/>
    <w:semiHidden/>
    <w:qFormat/>
    <w:rsid w:val="00E711EC"/>
    <w:pPr>
      <w:keepNext/>
      <w:widowControl w:val="0"/>
      <w:numPr>
        <w:numId w:val="73"/>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qFormat/>
    <w:locked/>
    <w:rsid w:val="00BD1577"/>
    <w:pPr>
      <w:spacing w:before="240" w:after="100" w:line="240" w:lineRule="atLeast"/>
      <w:outlineLvl w:val="2"/>
    </w:pPr>
    <w:rPr>
      <w:rFonts w:ascii="Public Sans SemiBold" w:hAnsi="Public Sans SemiBold"/>
      <w:b/>
      <w:color w:val="22272B"/>
      <w:kern w:val="28"/>
      <w:sz w:val="26"/>
      <w:szCs w:val="36"/>
      <w:lang w:eastAsia="en-US"/>
    </w:rPr>
  </w:style>
  <w:style w:type="paragraph" w:styleId="Heading4">
    <w:name w:val="heading 4"/>
    <w:basedOn w:val="Heading3"/>
    <w:next w:val="BodyText"/>
    <w:link w:val="Heading4Char"/>
    <w:qFormat/>
    <w:locked/>
    <w:rsid w:val="00BD1577"/>
    <w:pPr>
      <w:outlineLvl w:val="3"/>
    </w:pPr>
    <w:rPr>
      <w:sz w:val="24"/>
    </w:rPr>
  </w:style>
  <w:style w:type="paragraph" w:styleId="Heading5">
    <w:name w:val="heading 5"/>
    <w:basedOn w:val="Heading4"/>
    <w:next w:val="BodyText"/>
    <w:link w:val="Heading5Char"/>
    <w:qFormat/>
    <w:locked/>
    <w:rsid w:val="00BD1577"/>
    <w:pPr>
      <w:spacing w:after="60"/>
      <w:outlineLvl w:val="4"/>
    </w:pPr>
    <w:rPr>
      <w:b w:val="0"/>
      <w:i/>
    </w:rPr>
  </w:style>
  <w:style w:type="paragraph" w:styleId="Heading6">
    <w:name w:val="heading 6"/>
    <w:basedOn w:val="Heading1"/>
    <w:next w:val="Normal"/>
    <w:link w:val="Heading6Char"/>
    <w:semiHidden/>
    <w:qFormat/>
    <w:rsid w:val="00E711E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E711EC"/>
    <w:pPr>
      <w:spacing w:before="120"/>
      <w:ind w:left="425"/>
      <w:jc w:val="both"/>
      <w:outlineLvl w:val="6"/>
    </w:pPr>
    <w:rPr>
      <w:i w:val="0"/>
    </w:rPr>
  </w:style>
  <w:style w:type="paragraph" w:styleId="Heading8">
    <w:name w:val="heading 8"/>
    <w:basedOn w:val="Heading7"/>
    <w:next w:val="Normal"/>
    <w:link w:val="Heading8Char"/>
    <w:semiHidden/>
    <w:qFormat/>
    <w:rsid w:val="00E711EC"/>
    <w:pPr>
      <w:outlineLvl w:val="7"/>
    </w:pPr>
    <w:rPr>
      <w:i/>
    </w:rPr>
  </w:style>
  <w:style w:type="paragraph" w:styleId="Heading9">
    <w:name w:val="heading 9"/>
    <w:basedOn w:val="Heading8"/>
    <w:next w:val="Normal"/>
    <w:link w:val="Heading9Char"/>
    <w:semiHidden/>
    <w:qFormat/>
    <w:rsid w:val="00E711EC"/>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367CD6"/>
    <w:pPr>
      <w:spacing w:before="120" w:after="120"/>
    </w:pPr>
    <w:rPr>
      <w:rFonts w:ascii="Public Sans" w:hAnsi="Public Sans" w:cs="Arial"/>
      <w:sz w:val="22"/>
      <w:lang w:eastAsia="en-US"/>
    </w:rPr>
  </w:style>
  <w:style w:type="paragraph" w:customStyle="1" w:styleId="BodyTextBox">
    <w:name w:val="Body Text Box"/>
    <w:basedOn w:val="Normal"/>
    <w:link w:val="BodyTextBoxChar"/>
    <w:autoRedefine/>
    <w:locked/>
    <w:rsid w:val="00E711EC"/>
    <w:pPr>
      <w:spacing w:before="120" w:after="80" w:line="240" w:lineRule="atLeast"/>
    </w:pPr>
    <w:rPr>
      <w:rFonts w:ascii="Public Sans" w:hAnsi="Public Sans" w:cs="Arial"/>
      <w:sz w:val="23"/>
      <w:szCs w:val="19"/>
    </w:rPr>
  </w:style>
  <w:style w:type="paragraph" w:customStyle="1" w:styleId="Bullet1">
    <w:name w:val="Bullet 1"/>
    <w:basedOn w:val="BodyText"/>
    <w:link w:val="Bullet1Char"/>
    <w:autoRedefine/>
    <w:qFormat/>
    <w:locked/>
    <w:rsid w:val="000A744D"/>
    <w:pPr>
      <w:numPr>
        <w:numId w:val="90"/>
      </w:numPr>
      <w:tabs>
        <w:tab w:val="left" w:pos="8647"/>
      </w:tabs>
      <w:ind w:left="284" w:hanging="284"/>
    </w:pPr>
    <w:rPr>
      <w:rFonts w:eastAsiaTheme="minorEastAsia"/>
      <w:bCs/>
      <w:szCs w:val="23"/>
      <w:lang w:eastAsia="en-AU"/>
    </w:rPr>
  </w:style>
  <w:style w:type="paragraph" w:styleId="NoSpacing">
    <w:name w:val="No Spacing"/>
    <w:basedOn w:val="Normal"/>
    <w:link w:val="NoSpacingChar"/>
    <w:semiHidden/>
    <w:qFormat/>
    <w:rsid w:val="00E711EC"/>
  </w:style>
  <w:style w:type="paragraph" w:customStyle="1" w:styleId="Bullet2">
    <w:name w:val="Bullet 2"/>
    <w:basedOn w:val="Bullet1"/>
    <w:locked/>
    <w:rsid w:val="00CD2574"/>
    <w:pPr>
      <w:numPr>
        <w:ilvl w:val="1"/>
        <w:numId w:val="31"/>
      </w:numPr>
      <w:tabs>
        <w:tab w:val="left" w:pos="851"/>
      </w:tabs>
    </w:pPr>
    <w:rPr>
      <w:bCs w:val="0"/>
    </w:rPr>
  </w:style>
  <w:style w:type="character" w:customStyle="1" w:styleId="NoSpacingChar">
    <w:name w:val="No Spacing Char"/>
    <w:link w:val="NoSpacing"/>
    <w:semiHidden/>
    <w:rsid w:val="00E711EC"/>
    <w:rPr>
      <w:lang w:val="en-US" w:eastAsia="en-US"/>
    </w:rPr>
  </w:style>
  <w:style w:type="paragraph" w:customStyle="1" w:styleId="Table1X">
    <w:name w:val="Table 1.X"/>
    <w:next w:val="Normal"/>
    <w:semiHidden/>
    <w:qFormat/>
    <w:locked/>
    <w:rsid w:val="00E711EC"/>
    <w:pPr>
      <w:numPr>
        <w:numId w:val="34"/>
      </w:numPr>
      <w:spacing w:before="240" w:after="120"/>
    </w:pPr>
    <w:rPr>
      <w:rFonts w:ascii="Public Sans" w:hAnsi="Public Sans"/>
      <w:bCs/>
      <w:i/>
      <w:color w:val="4F4F4F"/>
      <w:kern w:val="28"/>
      <w:sz w:val="22"/>
      <w:szCs w:val="22"/>
      <w:lang w:eastAsia="en-US"/>
    </w:rPr>
  </w:style>
  <w:style w:type="character" w:styleId="FootnoteReference">
    <w:name w:val="footnote reference"/>
    <w:semiHidden/>
    <w:rsid w:val="00E711EC"/>
    <w:rPr>
      <w:vertAlign w:val="superscript"/>
    </w:rPr>
  </w:style>
  <w:style w:type="paragraph" w:styleId="FootnoteText">
    <w:name w:val="footnote text"/>
    <w:basedOn w:val="Normal"/>
    <w:link w:val="FootnoteTextChar"/>
    <w:semiHidden/>
    <w:rsid w:val="00E711EC"/>
    <w:pPr>
      <w:spacing w:before="80" w:after="80"/>
      <w:ind w:left="709" w:hanging="142"/>
    </w:pPr>
    <w:rPr>
      <w:i/>
      <w:sz w:val="16"/>
    </w:rPr>
  </w:style>
  <w:style w:type="character" w:styleId="EndnoteReference">
    <w:name w:val="endnote reference"/>
    <w:semiHidden/>
    <w:rsid w:val="00E711EC"/>
    <w:rPr>
      <w:i/>
      <w:sz w:val="16"/>
      <w:vertAlign w:val="superscript"/>
    </w:rPr>
  </w:style>
  <w:style w:type="paragraph" w:customStyle="1" w:styleId="21Heading2">
    <w:name w:val="2.1 Heading 2"/>
    <w:basedOn w:val="11Heading2"/>
    <w:next w:val="BodyText"/>
    <w:semiHidden/>
    <w:qFormat/>
    <w:locked/>
    <w:rsid w:val="00E711EC"/>
    <w:pPr>
      <w:numPr>
        <w:numId w:val="10"/>
      </w:numPr>
    </w:pPr>
    <w:rPr>
      <w:b w:val="0"/>
    </w:rPr>
  </w:style>
  <w:style w:type="paragraph" w:customStyle="1" w:styleId="11Heading2">
    <w:name w:val="1.1 Heading 2"/>
    <w:basedOn w:val="Normal"/>
    <w:next w:val="BodyText"/>
    <w:semiHidden/>
    <w:qFormat/>
    <w:locked/>
    <w:rsid w:val="00E711EC"/>
    <w:pPr>
      <w:numPr>
        <w:numId w:val="9"/>
      </w:numPr>
      <w:pBdr>
        <w:bottom w:val="single" w:sz="4" w:space="4" w:color="22272B"/>
      </w:pBdr>
      <w:spacing w:before="360" w:after="120"/>
    </w:pPr>
    <w:rPr>
      <w:rFonts w:ascii="Public Sans SemiBold" w:hAnsi="Public Sans SemiBold"/>
      <w:b/>
      <w:color w:val="22272B"/>
      <w:sz w:val="28"/>
      <w:lang w:val="en-AU"/>
    </w:rPr>
  </w:style>
  <w:style w:type="paragraph" w:customStyle="1" w:styleId="Chart1X">
    <w:name w:val="Chart 1.X"/>
    <w:basedOn w:val="Table1X"/>
    <w:next w:val="Normal"/>
    <w:semiHidden/>
    <w:locked/>
    <w:rsid w:val="00E711EC"/>
    <w:pPr>
      <w:keepLines/>
      <w:numPr>
        <w:numId w:val="35"/>
      </w:numPr>
    </w:pPr>
  </w:style>
  <w:style w:type="character" w:customStyle="1" w:styleId="Heading2Char">
    <w:name w:val="Heading 2 Char"/>
    <w:link w:val="Heading2"/>
    <w:semiHidden/>
    <w:rsid w:val="00E711EC"/>
    <w:rPr>
      <w:rFonts w:ascii="Arial Bold" w:hAnsi="Arial Bold"/>
      <w:b/>
      <w:color w:val="008EBA"/>
      <w:kern w:val="28"/>
      <w:sz w:val="24"/>
      <w:szCs w:val="36"/>
      <w:lang w:eastAsia="en-US"/>
    </w:rPr>
  </w:style>
  <w:style w:type="table" w:styleId="TableGrid">
    <w:name w:val="Table Grid"/>
    <w:basedOn w:val="TableNormal"/>
    <w:uiPriority w:val="39"/>
    <w:rsid w:val="00E71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BD1577"/>
    <w:rPr>
      <w:rFonts w:ascii="Public Sans SemiBold" w:hAnsi="Public Sans SemiBold"/>
      <w:b/>
      <w:color w:val="22272B"/>
      <w:kern w:val="28"/>
      <w:sz w:val="26"/>
      <w:szCs w:val="36"/>
      <w:lang w:eastAsia="en-US"/>
    </w:rPr>
  </w:style>
  <w:style w:type="character" w:customStyle="1" w:styleId="Bullet1Char">
    <w:name w:val="Bullet 1 Char"/>
    <w:link w:val="Bullet1"/>
    <w:rsid w:val="000A744D"/>
    <w:rPr>
      <w:rFonts w:ascii="Public Sans" w:eastAsiaTheme="minorEastAsia" w:hAnsi="Public Sans" w:cs="Arial"/>
      <w:bCs/>
      <w:sz w:val="22"/>
      <w:szCs w:val="23"/>
    </w:rPr>
  </w:style>
  <w:style w:type="paragraph" w:customStyle="1" w:styleId="Box1XBoxHeading">
    <w:name w:val="Box 1.X: Box Heading"/>
    <w:basedOn w:val="Normal"/>
    <w:next w:val="BodyTextBox"/>
    <w:semiHidden/>
    <w:qFormat/>
    <w:locked/>
    <w:rsid w:val="00E711EC"/>
    <w:pPr>
      <w:numPr>
        <w:numId w:val="22"/>
      </w:numPr>
      <w:spacing w:before="80" w:after="60" w:line="240" w:lineRule="atLeast"/>
    </w:pPr>
    <w:rPr>
      <w:rFonts w:ascii="Public Sans SemiBold" w:hAnsi="Public Sans SemiBold"/>
      <w:b/>
      <w:color w:val="002664"/>
      <w:sz w:val="22"/>
      <w:lang w:val="en-AU"/>
    </w:rPr>
  </w:style>
  <w:style w:type="paragraph" w:customStyle="1" w:styleId="Box3XBoxHeading">
    <w:name w:val="Box 3.X: Box Heading"/>
    <w:basedOn w:val="Box1XBoxHeading"/>
    <w:next w:val="BodyTextBox"/>
    <w:semiHidden/>
    <w:qFormat/>
    <w:locked/>
    <w:rsid w:val="00E711EC"/>
    <w:pPr>
      <w:numPr>
        <w:numId w:val="24"/>
      </w:numPr>
    </w:pPr>
  </w:style>
  <w:style w:type="paragraph" w:customStyle="1" w:styleId="Box6XBoxHeading">
    <w:name w:val="Box 6.X: Box Heading"/>
    <w:basedOn w:val="Box1XBoxHeading"/>
    <w:autoRedefine/>
    <w:semiHidden/>
    <w:qFormat/>
    <w:locked/>
    <w:rsid w:val="00E711EC"/>
    <w:pPr>
      <w:keepLines/>
      <w:widowControl w:val="0"/>
      <w:numPr>
        <w:numId w:val="27"/>
      </w:numPr>
    </w:pPr>
    <w:rPr>
      <w:rFonts w:eastAsia="Arial Unicode MS" w:cs="Arial"/>
      <w:bCs/>
      <w:szCs w:val="17"/>
      <w:lang w:eastAsia="en-AU"/>
    </w:rPr>
  </w:style>
  <w:style w:type="paragraph" w:customStyle="1" w:styleId="Box2XBoxHeading">
    <w:name w:val="Box 2.X: Box Heading"/>
    <w:basedOn w:val="Box1XBoxHeading"/>
    <w:next w:val="BodyTextBox"/>
    <w:semiHidden/>
    <w:qFormat/>
    <w:locked/>
    <w:rsid w:val="00E711EC"/>
    <w:pPr>
      <w:numPr>
        <w:numId w:val="23"/>
      </w:numPr>
    </w:pPr>
  </w:style>
  <w:style w:type="paragraph" w:customStyle="1" w:styleId="Chart2X">
    <w:name w:val="Chart 2.X"/>
    <w:basedOn w:val="Chart1X"/>
    <w:next w:val="Normal"/>
    <w:semiHidden/>
    <w:locked/>
    <w:rsid w:val="00E711EC"/>
    <w:pPr>
      <w:numPr>
        <w:numId w:val="36"/>
      </w:numPr>
    </w:pPr>
    <w:rPr>
      <w:color w:val="57514D"/>
    </w:rPr>
  </w:style>
  <w:style w:type="paragraph" w:customStyle="1" w:styleId="Table2X">
    <w:name w:val="Table 2.X"/>
    <w:basedOn w:val="Table1X"/>
    <w:next w:val="Normal"/>
    <w:semiHidden/>
    <w:qFormat/>
    <w:locked/>
    <w:rsid w:val="00E711EC"/>
    <w:pPr>
      <w:numPr>
        <w:numId w:val="74"/>
      </w:numPr>
    </w:pPr>
    <w:rPr>
      <w:lang w:val="fr-FR"/>
    </w:rPr>
  </w:style>
  <w:style w:type="paragraph" w:customStyle="1" w:styleId="Table3X">
    <w:name w:val="Table 3.X"/>
    <w:basedOn w:val="Table1X"/>
    <w:next w:val="Normal"/>
    <w:semiHidden/>
    <w:locked/>
    <w:rsid w:val="00E711EC"/>
    <w:pPr>
      <w:widowControl w:val="0"/>
      <w:numPr>
        <w:numId w:val="75"/>
      </w:numPr>
    </w:pPr>
    <w:rPr>
      <w:bCs w:val="0"/>
    </w:rPr>
  </w:style>
  <w:style w:type="paragraph" w:customStyle="1" w:styleId="TableFX">
    <w:name w:val="Table F.X"/>
    <w:basedOn w:val="TableA1X"/>
    <w:next w:val="Normal"/>
    <w:semiHidden/>
    <w:locked/>
    <w:rsid w:val="00E711EC"/>
    <w:pPr>
      <w:widowControl w:val="0"/>
      <w:numPr>
        <w:numId w:val="88"/>
      </w:numPr>
      <w:tabs>
        <w:tab w:val="num" w:pos="360"/>
      </w:tabs>
    </w:pPr>
    <w:rPr>
      <w:bCs w:val="0"/>
      <w:color w:val="57514D"/>
    </w:rPr>
  </w:style>
  <w:style w:type="paragraph" w:customStyle="1" w:styleId="31Heading2">
    <w:name w:val="3.1 Heading 2"/>
    <w:basedOn w:val="11Heading2"/>
    <w:next w:val="BodyText"/>
    <w:semiHidden/>
    <w:qFormat/>
    <w:locked/>
    <w:rsid w:val="00E711EC"/>
    <w:pPr>
      <w:numPr>
        <w:numId w:val="11"/>
      </w:numPr>
    </w:pPr>
    <w:rPr>
      <w:b w:val="0"/>
    </w:rPr>
  </w:style>
  <w:style w:type="paragraph" w:customStyle="1" w:styleId="Box71BoxHeading">
    <w:name w:val="Box 7.1 Box Heading"/>
    <w:basedOn w:val="Normal"/>
    <w:autoRedefine/>
    <w:semiHidden/>
    <w:rsid w:val="00E711EC"/>
    <w:pPr>
      <w:keepLines/>
      <w:widowControl w:val="0"/>
      <w:numPr>
        <w:numId w:val="28"/>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semiHidden/>
    <w:qFormat/>
    <w:locked/>
    <w:rsid w:val="00E711EC"/>
    <w:pPr>
      <w:numPr>
        <w:numId w:val="37"/>
      </w:numPr>
    </w:pPr>
  </w:style>
  <w:style w:type="paragraph" w:customStyle="1" w:styleId="41Heading2">
    <w:name w:val="4.1 Heading 2"/>
    <w:basedOn w:val="11Heading2"/>
    <w:next w:val="BodyText"/>
    <w:semiHidden/>
    <w:qFormat/>
    <w:locked/>
    <w:rsid w:val="00E711EC"/>
    <w:pPr>
      <w:numPr>
        <w:numId w:val="12"/>
      </w:numPr>
    </w:pPr>
    <w:rPr>
      <w:b w:val="0"/>
    </w:rPr>
  </w:style>
  <w:style w:type="paragraph" w:customStyle="1" w:styleId="Box4XBoxHeading">
    <w:name w:val="Box 4.X Box Heading"/>
    <w:basedOn w:val="Box1XBoxHeading"/>
    <w:next w:val="BodyTextBox"/>
    <w:autoRedefine/>
    <w:semiHidden/>
    <w:locked/>
    <w:rsid w:val="00E711EC"/>
    <w:pPr>
      <w:numPr>
        <w:numId w:val="25"/>
      </w:numPr>
    </w:pPr>
    <w:rPr>
      <w:rFonts w:cs="Arial"/>
      <w:lang w:eastAsia="en-AU"/>
    </w:rPr>
  </w:style>
  <w:style w:type="paragraph" w:customStyle="1" w:styleId="Chart4X">
    <w:name w:val="Chart 4.X"/>
    <w:basedOn w:val="Chart1X"/>
    <w:next w:val="Normal"/>
    <w:semiHidden/>
    <w:locked/>
    <w:rsid w:val="00E711EC"/>
    <w:pPr>
      <w:numPr>
        <w:numId w:val="38"/>
      </w:numPr>
    </w:pPr>
  </w:style>
  <w:style w:type="paragraph" w:customStyle="1" w:styleId="Table4X">
    <w:name w:val="Table 4.X"/>
    <w:basedOn w:val="Table1X"/>
    <w:next w:val="Normal"/>
    <w:semiHidden/>
    <w:locked/>
    <w:rsid w:val="00E711EC"/>
    <w:pPr>
      <w:widowControl w:val="0"/>
      <w:numPr>
        <w:numId w:val="76"/>
      </w:numPr>
    </w:pPr>
    <w:rPr>
      <w:bCs w:val="0"/>
    </w:rPr>
  </w:style>
  <w:style w:type="paragraph" w:customStyle="1" w:styleId="51Heading2">
    <w:name w:val="5.1 Heading 2"/>
    <w:basedOn w:val="11Heading2"/>
    <w:next w:val="BodyText"/>
    <w:semiHidden/>
    <w:qFormat/>
    <w:locked/>
    <w:rsid w:val="00E711EC"/>
    <w:pPr>
      <w:numPr>
        <w:numId w:val="13"/>
      </w:numPr>
    </w:pPr>
    <w:rPr>
      <w:b w:val="0"/>
    </w:rPr>
  </w:style>
  <w:style w:type="paragraph" w:customStyle="1" w:styleId="Box5XBoxHeading">
    <w:name w:val="Box 5.X: Box Heading"/>
    <w:basedOn w:val="Box1XBoxHeading"/>
    <w:next w:val="BodyTextBox"/>
    <w:semiHidden/>
    <w:qFormat/>
    <w:locked/>
    <w:rsid w:val="00E711EC"/>
    <w:pPr>
      <w:numPr>
        <w:numId w:val="26"/>
      </w:numPr>
    </w:pPr>
  </w:style>
  <w:style w:type="paragraph" w:customStyle="1" w:styleId="Chart5X">
    <w:name w:val="Chart 5.X"/>
    <w:basedOn w:val="Chart1X"/>
    <w:next w:val="Normal"/>
    <w:semiHidden/>
    <w:locked/>
    <w:rsid w:val="00E711EC"/>
    <w:pPr>
      <w:numPr>
        <w:numId w:val="39"/>
      </w:numPr>
    </w:pPr>
  </w:style>
  <w:style w:type="paragraph" w:customStyle="1" w:styleId="Table5X">
    <w:name w:val="Table 5.X"/>
    <w:basedOn w:val="Table1X"/>
    <w:next w:val="Normal"/>
    <w:semiHidden/>
    <w:locked/>
    <w:rsid w:val="00E711EC"/>
    <w:pPr>
      <w:widowControl w:val="0"/>
      <w:numPr>
        <w:numId w:val="77"/>
      </w:numPr>
    </w:pPr>
    <w:rPr>
      <w:bCs w:val="0"/>
    </w:rPr>
  </w:style>
  <w:style w:type="paragraph" w:customStyle="1" w:styleId="Chart6X">
    <w:name w:val="Chart 6.X"/>
    <w:basedOn w:val="Chart1X"/>
    <w:next w:val="Normal"/>
    <w:semiHidden/>
    <w:qFormat/>
    <w:locked/>
    <w:rsid w:val="00E711EC"/>
    <w:pPr>
      <w:numPr>
        <w:numId w:val="40"/>
      </w:numPr>
    </w:pPr>
  </w:style>
  <w:style w:type="paragraph" w:customStyle="1" w:styleId="Table6X">
    <w:name w:val="Table 6.X"/>
    <w:basedOn w:val="Table1X"/>
    <w:next w:val="Normal"/>
    <w:semiHidden/>
    <w:qFormat/>
    <w:locked/>
    <w:rsid w:val="00E711EC"/>
    <w:pPr>
      <w:widowControl w:val="0"/>
      <w:numPr>
        <w:numId w:val="78"/>
      </w:numPr>
    </w:pPr>
    <w:rPr>
      <w:bCs w:val="0"/>
    </w:rPr>
  </w:style>
  <w:style w:type="paragraph" w:customStyle="1" w:styleId="71Heading2">
    <w:name w:val="7.1 Heading 2"/>
    <w:basedOn w:val="11Heading2"/>
    <w:next w:val="BodyText"/>
    <w:semiHidden/>
    <w:qFormat/>
    <w:locked/>
    <w:rsid w:val="00E711EC"/>
    <w:pPr>
      <w:numPr>
        <w:numId w:val="15"/>
      </w:numPr>
    </w:pPr>
    <w:rPr>
      <w:b w:val="0"/>
    </w:rPr>
  </w:style>
  <w:style w:type="paragraph" w:customStyle="1" w:styleId="81Heading2">
    <w:name w:val="8.1 Heading 2"/>
    <w:basedOn w:val="11Heading2"/>
    <w:next w:val="BodyText"/>
    <w:semiHidden/>
    <w:qFormat/>
    <w:locked/>
    <w:rsid w:val="00E711EC"/>
    <w:pPr>
      <w:numPr>
        <w:numId w:val="16"/>
      </w:numPr>
    </w:pPr>
  </w:style>
  <w:style w:type="paragraph" w:customStyle="1" w:styleId="Chart7X">
    <w:name w:val="Chart 7.X"/>
    <w:basedOn w:val="Chart1X"/>
    <w:next w:val="Normal"/>
    <w:semiHidden/>
    <w:qFormat/>
    <w:locked/>
    <w:rsid w:val="00E711EC"/>
    <w:pPr>
      <w:numPr>
        <w:numId w:val="41"/>
      </w:numPr>
    </w:pPr>
  </w:style>
  <w:style w:type="paragraph" w:customStyle="1" w:styleId="Box7XBoxHeading">
    <w:name w:val="Box 7.X: Box Heading"/>
    <w:basedOn w:val="Box1XBoxHeading"/>
    <w:next w:val="BodyTextBox"/>
    <w:semiHidden/>
    <w:qFormat/>
    <w:locked/>
    <w:rsid w:val="00E711EC"/>
    <w:pPr>
      <w:numPr>
        <w:numId w:val="29"/>
      </w:numPr>
    </w:pPr>
  </w:style>
  <w:style w:type="paragraph" w:customStyle="1" w:styleId="Table7X">
    <w:name w:val="Table 7.X"/>
    <w:basedOn w:val="Table1X"/>
    <w:next w:val="Normal"/>
    <w:semiHidden/>
    <w:qFormat/>
    <w:locked/>
    <w:rsid w:val="00E711EC"/>
    <w:pPr>
      <w:numPr>
        <w:numId w:val="79"/>
      </w:numPr>
    </w:pPr>
  </w:style>
  <w:style w:type="paragraph" w:customStyle="1" w:styleId="ChartEX">
    <w:name w:val="Chart E.X"/>
    <w:basedOn w:val="ChartA1X"/>
    <w:next w:val="Normal"/>
    <w:semiHidden/>
    <w:qFormat/>
    <w:locked/>
    <w:rsid w:val="00E711EC"/>
    <w:pPr>
      <w:numPr>
        <w:numId w:val="50"/>
      </w:numPr>
    </w:pPr>
  </w:style>
  <w:style w:type="paragraph" w:customStyle="1" w:styleId="ChartA2X">
    <w:name w:val="Chart A2.X"/>
    <w:basedOn w:val="ChartA1X"/>
    <w:next w:val="Normal"/>
    <w:semiHidden/>
    <w:qFormat/>
    <w:locked/>
    <w:rsid w:val="00E711EC"/>
    <w:pPr>
      <w:numPr>
        <w:numId w:val="43"/>
      </w:numPr>
    </w:pPr>
  </w:style>
  <w:style w:type="paragraph" w:customStyle="1" w:styleId="A22Heading2">
    <w:name w:val="A2.2 Heading 2"/>
    <w:basedOn w:val="11Heading2"/>
    <w:next w:val="BodyText"/>
    <w:semiHidden/>
    <w:qFormat/>
    <w:locked/>
    <w:rsid w:val="00E711EC"/>
    <w:pPr>
      <w:numPr>
        <w:numId w:val="18"/>
      </w:numPr>
    </w:pPr>
    <w:rPr>
      <w:b w:val="0"/>
    </w:rPr>
  </w:style>
  <w:style w:type="paragraph" w:customStyle="1" w:styleId="TableA2X">
    <w:name w:val="Table A2.X"/>
    <w:basedOn w:val="TableA1X"/>
    <w:next w:val="Normal"/>
    <w:semiHidden/>
    <w:locked/>
    <w:rsid w:val="00E711EC"/>
    <w:pPr>
      <w:keepNext/>
      <w:keepLines/>
      <w:widowControl w:val="0"/>
      <w:numPr>
        <w:numId w:val="82"/>
      </w:numPr>
      <w:autoSpaceDE w:val="0"/>
      <w:autoSpaceDN w:val="0"/>
    </w:pPr>
    <w:rPr>
      <w:rFonts w:cs="Arial"/>
      <w:color w:val="57514D"/>
      <w:lang w:eastAsia="en-AU"/>
    </w:rPr>
  </w:style>
  <w:style w:type="paragraph" w:customStyle="1" w:styleId="TableA3X">
    <w:name w:val="Table A3.X"/>
    <w:basedOn w:val="TableA1X"/>
    <w:next w:val="Normal"/>
    <w:semiHidden/>
    <w:qFormat/>
    <w:locked/>
    <w:rsid w:val="00E711EC"/>
    <w:pPr>
      <w:widowControl w:val="0"/>
      <w:numPr>
        <w:numId w:val="83"/>
      </w:numPr>
    </w:pPr>
    <w:rPr>
      <w:bCs w:val="0"/>
    </w:rPr>
  </w:style>
  <w:style w:type="paragraph" w:customStyle="1" w:styleId="A11Heading2">
    <w:name w:val="A1.1 Heading 2"/>
    <w:basedOn w:val="11Heading2"/>
    <w:next w:val="BodyText"/>
    <w:semiHidden/>
    <w:qFormat/>
    <w:locked/>
    <w:rsid w:val="00E711EC"/>
    <w:pPr>
      <w:numPr>
        <w:numId w:val="17"/>
      </w:numPr>
    </w:pPr>
    <w:rPr>
      <w:rFonts w:eastAsia="Tahoma" w:cs="Tahoma"/>
      <w:b w:val="0"/>
    </w:rPr>
  </w:style>
  <w:style w:type="paragraph" w:customStyle="1" w:styleId="B1Heading2">
    <w:name w:val="B.1 Heading 2"/>
    <w:basedOn w:val="11Heading2"/>
    <w:qFormat/>
    <w:locked/>
    <w:rsid w:val="006E1989"/>
    <w:pPr>
      <w:numPr>
        <w:numId w:val="21"/>
      </w:numPr>
      <w:ind w:left="851" w:hanging="851"/>
    </w:pPr>
    <w:rPr>
      <w:rFonts w:eastAsia="Tahoma" w:cs="Tahoma"/>
    </w:rPr>
  </w:style>
  <w:style w:type="paragraph" w:customStyle="1" w:styleId="ChartA1X">
    <w:name w:val="Chart A1.X"/>
    <w:basedOn w:val="Chart1X"/>
    <w:next w:val="Normal"/>
    <w:semiHidden/>
    <w:qFormat/>
    <w:locked/>
    <w:rsid w:val="00E711EC"/>
    <w:pPr>
      <w:numPr>
        <w:numId w:val="42"/>
      </w:numPr>
    </w:pPr>
    <w:rPr>
      <w:rFonts w:eastAsia="Tahoma" w:cs="Tahoma"/>
    </w:rPr>
  </w:style>
  <w:style w:type="paragraph" w:customStyle="1" w:styleId="ChartBX">
    <w:name w:val="Chart B.X"/>
    <w:basedOn w:val="ChartA1X"/>
    <w:next w:val="Normal"/>
    <w:qFormat/>
    <w:locked/>
    <w:rsid w:val="00E711EC"/>
    <w:pPr>
      <w:numPr>
        <w:numId w:val="47"/>
      </w:numPr>
    </w:pPr>
  </w:style>
  <w:style w:type="paragraph" w:customStyle="1" w:styleId="ChartCX">
    <w:name w:val="Chart C.X"/>
    <w:basedOn w:val="ChartA1X"/>
    <w:next w:val="Normal"/>
    <w:semiHidden/>
    <w:qFormat/>
    <w:locked/>
    <w:rsid w:val="00E711EC"/>
    <w:pPr>
      <w:numPr>
        <w:numId w:val="48"/>
      </w:numPr>
    </w:pPr>
  </w:style>
  <w:style w:type="paragraph" w:customStyle="1" w:styleId="ChartDX">
    <w:name w:val="Chart D.X"/>
    <w:basedOn w:val="ChartA1X"/>
    <w:next w:val="Normal"/>
    <w:semiHidden/>
    <w:qFormat/>
    <w:locked/>
    <w:rsid w:val="00E711EC"/>
    <w:pPr>
      <w:numPr>
        <w:numId w:val="49"/>
      </w:numPr>
    </w:pPr>
  </w:style>
  <w:style w:type="paragraph" w:customStyle="1" w:styleId="TableA1X">
    <w:name w:val="Table A1.X"/>
    <w:basedOn w:val="Table1X"/>
    <w:next w:val="Normal"/>
    <w:semiHidden/>
    <w:qFormat/>
    <w:locked/>
    <w:rsid w:val="00E711EC"/>
    <w:pPr>
      <w:numPr>
        <w:numId w:val="81"/>
      </w:numPr>
    </w:pPr>
    <w:rPr>
      <w:rFonts w:eastAsia="Tahoma" w:cs="Tahoma"/>
    </w:rPr>
  </w:style>
  <w:style w:type="paragraph" w:customStyle="1" w:styleId="TableBX">
    <w:name w:val="Table B.X"/>
    <w:basedOn w:val="TableA1X"/>
    <w:next w:val="Normal"/>
    <w:qFormat/>
    <w:locked/>
    <w:rsid w:val="00CD2574"/>
    <w:pPr>
      <w:numPr>
        <w:numId w:val="84"/>
      </w:numPr>
      <w:ind w:left="1418" w:hanging="1418"/>
    </w:pPr>
  </w:style>
  <w:style w:type="paragraph" w:customStyle="1" w:styleId="TableCX">
    <w:name w:val="Table C.X"/>
    <w:basedOn w:val="TableA1X"/>
    <w:next w:val="Normal"/>
    <w:semiHidden/>
    <w:qFormat/>
    <w:locked/>
    <w:rsid w:val="00E711EC"/>
    <w:pPr>
      <w:numPr>
        <w:numId w:val="85"/>
      </w:numPr>
    </w:pPr>
  </w:style>
  <w:style w:type="paragraph" w:customStyle="1" w:styleId="TableDX">
    <w:name w:val="Table D.X"/>
    <w:basedOn w:val="TableA1X"/>
    <w:next w:val="Normal"/>
    <w:semiHidden/>
    <w:qFormat/>
    <w:locked/>
    <w:rsid w:val="00E711EC"/>
    <w:pPr>
      <w:numPr>
        <w:numId w:val="86"/>
      </w:numPr>
    </w:pPr>
  </w:style>
  <w:style w:type="paragraph" w:customStyle="1" w:styleId="ChartA3X">
    <w:name w:val="Chart A3.X"/>
    <w:basedOn w:val="ChartA1X"/>
    <w:next w:val="Normal"/>
    <w:semiHidden/>
    <w:qFormat/>
    <w:locked/>
    <w:rsid w:val="00E711EC"/>
    <w:pPr>
      <w:numPr>
        <w:numId w:val="44"/>
      </w:numPr>
    </w:pPr>
  </w:style>
  <w:style w:type="paragraph" w:customStyle="1" w:styleId="ChartFX">
    <w:name w:val="Chart F.X"/>
    <w:basedOn w:val="ChartA1X"/>
    <w:next w:val="Normal"/>
    <w:semiHidden/>
    <w:locked/>
    <w:rsid w:val="00E711EC"/>
    <w:pPr>
      <w:numPr>
        <w:numId w:val="51"/>
      </w:numPr>
    </w:pPr>
  </w:style>
  <w:style w:type="paragraph" w:customStyle="1" w:styleId="61Heading2">
    <w:name w:val="6.1 Heading 2"/>
    <w:basedOn w:val="11Heading2"/>
    <w:next w:val="BodyText"/>
    <w:semiHidden/>
    <w:qFormat/>
    <w:locked/>
    <w:rsid w:val="00E711EC"/>
    <w:pPr>
      <w:numPr>
        <w:numId w:val="14"/>
      </w:numPr>
    </w:pPr>
  </w:style>
  <w:style w:type="paragraph" w:customStyle="1" w:styleId="A31Heading2">
    <w:name w:val="A3.1 Heading 2"/>
    <w:basedOn w:val="11Heading2"/>
    <w:semiHidden/>
    <w:qFormat/>
    <w:locked/>
    <w:rsid w:val="00E711EC"/>
    <w:pPr>
      <w:numPr>
        <w:numId w:val="19"/>
      </w:numPr>
    </w:pPr>
  </w:style>
  <w:style w:type="paragraph" w:customStyle="1" w:styleId="A41Heading2">
    <w:name w:val="A4.1 Heading 2"/>
    <w:basedOn w:val="11Heading2"/>
    <w:next w:val="BodyText"/>
    <w:semiHidden/>
    <w:qFormat/>
    <w:locked/>
    <w:rsid w:val="00E711EC"/>
    <w:pPr>
      <w:numPr>
        <w:numId w:val="20"/>
      </w:numPr>
    </w:pPr>
  </w:style>
  <w:style w:type="paragraph" w:customStyle="1" w:styleId="C1Heading2">
    <w:name w:val="C.1 Heading 2"/>
    <w:basedOn w:val="11Heading2"/>
    <w:next w:val="BodyText"/>
    <w:semiHidden/>
    <w:qFormat/>
    <w:locked/>
    <w:rsid w:val="00E711EC"/>
    <w:pPr>
      <w:numPr>
        <w:numId w:val="33"/>
      </w:numPr>
    </w:pPr>
  </w:style>
  <w:style w:type="paragraph" w:customStyle="1" w:styleId="D1Heading2">
    <w:name w:val="D.1 Heading 2"/>
    <w:basedOn w:val="11Heading2"/>
    <w:next w:val="BodyText"/>
    <w:semiHidden/>
    <w:qFormat/>
    <w:locked/>
    <w:rsid w:val="00E711EC"/>
    <w:pPr>
      <w:numPr>
        <w:numId w:val="52"/>
      </w:numPr>
    </w:pPr>
  </w:style>
  <w:style w:type="paragraph" w:customStyle="1" w:styleId="E1Heading2">
    <w:name w:val="E.1 Heading 2"/>
    <w:basedOn w:val="11Heading2"/>
    <w:next w:val="BodyText"/>
    <w:semiHidden/>
    <w:qFormat/>
    <w:locked/>
    <w:rsid w:val="00E711EC"/>
    <w:pPr>
      <w:numPr>
        <w:numId w:val="53"/>
      </w:numPr>
    </w:pPr>
  </w:style>
  <w:style w:type="paragraph" w:customStyle="1" w:styleId="F1Heading2">
    <w:name w:val="F.1 Heading 2"/>
    <w:basedOn w:val="11Heading2"/>
    <w:semiHidden/>
    <w:qFormat/>
    <w:locked/>
    <w:rsid w:val="00E711EC"/>
    <w:pPr>
      <w:numPr>
        <w:numId w:val="54"/>
      </w:numPr>
    </w:pPr>
  </w:style>
  <w:style w:type="paragraph" w:customStyle="1" w:styleId="Table8X">
    <w:name w:val="Table 8.X"/>
    <w:basedOn w:val="Table1X"/>
    <w:next w:val="Normal"/>
    <w:semiHidden/>
    <w:qFormat/>
    <w:locked/>
    <w:rsid w:val="00E711EC"/>
    <w:pPr>
      <w:numPr>
        <w:numId w:val="80"/>
      </w:numPr>
    </w:pPr>
  </w:style>
  <w:style w:type="paragraph" w:customStyle="1" w:styleId="ChartA4X">
    <w:name w:val="Chart A4.X"/>
    <w:basedOn w:val="ChartA1X"/>
    <w:next w:val="Normal"/>
    <w:semiHidden/>
    <w:qFormat/>
    <w:locked/>
    <w:rsid w:val="00E711EC"/>
    <w:pPr>
      <w:numPr>
        <w:numId w:val="45"/>
      </w:numPr>
    </w:pPr>
  </w:style>
  <w:style w:type="paragraph" w:customStyle="1" w:styleId="ChartA5X">
    <w:name w:val="Chart A5.X"/>
    <w:basedOn w:val="ChartA1X"/>
    <w:next w:val="Normal"/>
    <w:semiHidden/>
    <w:qFormat/>
    <w:locked/>
    <w:rsid w:val="00E711EC"/>
    <w:pPr>
      <w:numPr>
        <w:numId w:val="46"/>
      </w:numPr>
    </w:pPr>
  </w:style>
  <w:style w:type="paragraph" w:customStyle="1" w:styleId="Box8XBoxHeading">
    <w:name w:val="Box 8.X: Box Heading"/>
    <w:basedOn w:val="Box1XBoxHeading"/>
    <w:next w:val="BodyTextBox"/>
    <w:semiHidden/>
    <w:qFormat/>
    <w:locked/>
    <w:rsid w:val="00E711EC"/>
    <w:pPr>
      <w:numPr>
        <w:numId w:val="30"/>
      </w:numPr>
    </w:pPr>
  </w:style>
  <w:style w:type="paragraph" w:styleId="Header">
    <w:name w:val="header"/>
    <w:basedOn w:val="Normal"/>
    <w:link w:val="HeaderChar"/>
    <w:uiPriority w:val="99"/>
    <w:rsid w:val="00E711EC"/>
    <w:pPr>
      <w:tabs>
        <w:tab w:val="center" w:pos="4513"/>
        <w:tab w:val="right" w:pos="9026"/>
      </w:tabs>
    </w:pPr>
  </w:style>
  <w:style w:type="character" w:customStyle="1" w:styleId="HeaderChar">
    <w:name w:val="Header Char"/>
    <w:basedOn w:val="DefaultParagraphFont"/>
    <w:link w:val="Header"/>
    <w:uiPriority w:val="99"/>
    <w:rsid w:val="00E711EC"/>
    <w:rPr>
      <w:lang w:val="en-US" w:eastAsia="en-US"/>
    </w:rPr>
  </w:style>
  <w:style w:type="paragraph" w:styleId="Footer">
    <w:name w:val="footer"/>
    <w:basedOn w:val="Normal"/>
    <w:link w:val="FooterChar"/>
    <w:semiHidden/>
    <w:rsid w:val="00E711EC"/>
    <w:pPr>
      <w:tabs>
        <w:tab w:val="center" w:pos="4513"/>
        <w:tab w:val="right" w:pos="9026"/>
      </w:tabs>
    </w:pPr>
  </w:style>
  <w:style w:type="character" w:customStyle="1" w:styleId="FooterChar">
    <w:name w:val="Footer Char"/>
    <w:basedOn w:val="DefaultParagraphFont"/>
    <w:link w:val="Footer"/>
    <w:semiHidden/>
    <w:rsid w:val="00E711EC"/>
    <w:rPr>
      <w:lang w:val="en-US" w:eastAsia="en-US"/>
    </w:rPr>
  </w:style>
  <w:style w:type="table" w:customStyle="1" w:styleId="Focusbox">
    <w:name w:val="Focus box"/>
    <w:basedOn w:val="TableNormal"/>
    <w:uiPriority w:val="99"/>
    <w:locked/>
    <w:rsid w:val="00E711EC"/>
    <w:rPr>
      <w:rFonts w:ascii="Arial" w:hAnsi="Arial"/>
      <w:sz w:val="23"/>
    </w:rPr>
    <w:tblPr/>
    <w:tcPr>
      <w:shd w:val="pct5" w:color="auto" w:fill="auto"/>
    </w:tcPr>
  </w:style>
  <w:style w:type="paragraph" w:customStyle="1" w:styleId="Source">
    <w:name w:val="Source"/>
    <w:basedOn w:val="Normal"/>
    <w:next w:val="BodyText"/>
    <w:qFormat/>
    <w:rsid w:val="00E711EC"/>
    <w:pPr>
      <w:widowControl w:val="0"/>
    </w:pPr>
    <w:rPr>
      <w:rFonts w:ascii="Public Sans" w:hAnsi="Public Sans" w:cs="Arial"/>
      <w:i/>
      <w:noProof/>
      <w:color w:val="4F4F4F"/>
      <w:sz w:val="17"/>
      <w:szCs w:val="17"/>
      <w:lang w:eastAsia="en-AU"/>
    </w:rPr>
  </w:style>
  <w:style w:type="character" w:customStyle="1" w:styleId="BodyTextChar">
    <w:name w:val="Body Text Char"/>
    <w:basedOn w:val="DefaultParagraphFont"/>
    <w:link w:val="BodyText"/>
    <w:rsid w:val="00367CD6"/>
    <w:rPr>
      <w:rFonts w:ascii="Public Sans" w:hAnsi="Public Sans" w:cs="Arial"/>
      <w:sz w:val="22"/>
      <w:lang w:eastAsia="en-US"/>
    </w:rPr>
  </w:style>
  <w:style w:type="paragraph" w:styleId="BalloonText">
    <w:name w:val="Balloon Text"/>
    <w:basedOn w:val="Normal"/>
    <w:link w:val="BalloonTextChar"/>
    <w:uiPriority w:val="99"/>
    <w:semiHidden/>
    <w:unhideWhenUsed/>
    <w:rsid w:val="00650C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CF8"/>
    <w:rPr>
      <w:rFonts w:ascii="Segoe UI" w:hAnsi="Segoe UI" w:cs="Segoe UI"/>
      <w:sz w:val="18"/>
      <w:szCs w:val="18"/>
      <w:lang w:val="en-US" w:eastAsia="en-US"/>
    </w:rPr>
  </w:style>
  <w:style w:type="character" w:customStyle="1" w:styleId="BodyTextBoxChar">
    <w:name w:val="Body Text Box Char"/>
    <w:link w:val="BodyTextBox"/>
    <w:rsid w:val="00650CF8"/>
    <w:rPr>
      <w:rFonts w:ascii="Public Sans" w:hAnsi="Public Sans" w:cs="Arial"/>
      <w:sz w:val="23"/>
      <w:szCs w:val="19"/>
      <w:lang w:val="en-US" w:eastAsia="en-US"/>
    </w:rPr>
  </w:style>
  <w:style w:type="paragraph" w:customStyle="1" w:styleId="BoxHeading">
    <w:name w:val="Box Heading"/>
    <w:basedOn w:val="Normal"/>
    <w:link w:val="BoxHeadingChar"/>
    <w:autoRedefine/>
    <w:semiHidden/>
    <w:rsid w:val="00650CF8"/>
    <w:pPr>
      <w:keepNext/>
      <w:widowControl w:val="0"/>
      <w:tabs>
        <w:tab w:val="left" w:pos="567"/>
        <w:tab w:val="left" w:pos="1168"/>
      </w:tabs>
      <w:spacing w:before="120" w:after="60" w:line="240" w:lineRule="atLeast"/>
      <w:ind w:left="1168" w:hanging="1168"/>
    </w:pPr>
    <w:rPr>
      <w:rFonts w:ascii="Arial" w:eastAsia="Arial Unicode MS" w:hAnsi="Arial"/>
      <w:b/>
      <w:bCs/>
      <w:sz w:val="23"/>
      <w:szCs w:val="23"/>
    </w:rPr>
  </w:style>
  <w:style w:type="character" w:customStyle="1" w:styleId="Heading1Char">
    <w:name w:val="Heading 1 Char"/>
    <w:basedOn w:val="DefaultParagraphFont"/>
    <w:link w:val="Heading1"/>
    <w:rsid w:val="00F66900"/>
    <w:rPr>
      <w:rFonts w:ascii="Public Sans SemiBold" w:hAnsi="Public Sans SemiBold"/>
      <w:caps/>
      <w:color w:val="002664"/>
      <w:kern w:val="28"/>
      <w:sz w:val="40"/>
      <w:szCs w:val="36"/>
      <w:lang w:eastAsia="en-US"/>
    </w:rPr>
  </w:style>
  <w:style w:type="character" w:customStyle="1" w:styleId="BoxHeadingChar">
    <w:name w:val="Box Heading Char"/>
    <w:link w:val="BoxHeading"/>
    <w:semiHidden/>
    <w:rsid w:val="00E3322F"/>
    <w:rPr>
      <w:rFonts w:ascii="Arial" w:eastAsia="Arial Unicode MS" w:hAnsi="Arial"/>
      <w:b/>
      <w:bCs/>
      <w:sz w:val="23"/>
      <w:szCs w:val="23"/>
      <w:lang w:val="en-US" w:eastAsia="en-US"/>
    </w:rPr>
  </w:style>
  <w:style w:type="paragraph" w:customStyle="1" w:styleId="Bullet">
    <w:name w:val="Bullet"/>
    <w:basedOn w:val="BodyText"/>
    <w:semiHidden/>
    <w:rsid w:val="00650CF8"/>
    <w:pPr>
      <w:numPr>
        <w:numId w:val="2"/>
      </w:numPr>
      <w:spacing w:before="180" w:after="180" w:line="288" w:lineRule="auto"/>
      <w:outlineLvl w:val="0"/>
    </w:pPr>
    <w:rPr>
      <w:rFonts w:eastAsiaTheme="minorHAnsi"/>
      <w:i/>
      <w:color w:val="595959" w:themeColor="text1" w:themeTint="A6"/>
      <w:szCs w:val="22"/>
    </w:rPr>
  </w:style>
  <w:style w:type="character" w:styleId="CommentReference">
    <w:name w:val="annotation reference"/>
    <w:uiPriority w:val="99"/>
    <w:semiHidden/>
    <w:rsid w:val="00650CF8"/>
    <w:rPr>
      <w:sz w:val="16"/>
      <w:szCs w:val="16"/>
    </w:rPr>
  </w:style>
  <w:style w:type="paragraph" w:styleId="CommentText">
    <w:name w:val="annotation text"/>
    <w:basedOn w:val="Normal"/>
    <w:link w:val="CommentTextChar"/>
    <w:uiPriority w:val="99"/>
    <w:rsid w:val="00650CF8"/>
  </w:style>
  <w:style w:type="character" w:customStyle="1" w:styleId="CommentTextChar">
    <w:name w:val="Comment Text Char"/>
    <w:basedOn w:val="DefaultParagraphFont"/>
    <w:link w:val="CommentText"/>
    <w:uiPriority w:val="99"/>
    <w:rsid w:val="00F66900"/>
    <w:rPr>
      <w:lang w:val="en-US" w:eastAsia="en-US"/>
    </w:rPr>
  </w:style>
  <w:style w:type="paragraph" w:customStyle="1" w:styleId="Default">
    <w:name w:val="Default"/>
    <w:semiHidden/>
    <w:rsid w:val="00650CF8"/>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semiHidden/>
    <w:rsid w:val="00E3322F"/>
    <w:rPr>
      <w:i/>
      <w:sz w:val="16"/>
      <w:lang w:val="en-US" w:eastAsia="en-US"/>
    </w:rPr>
  </w:style>
  <w:style w:type="paragraph" w:styleId="ListParagraph">
    <w:name w:val="List Paragraph"/>
    <w:basedOn w:val="Normal"/>
    <w:link w:val="ListParagraphChar"/>
    <w:uiPriority w:val="34"/>
    <w:semiHidden/>
    <w:qFormat/>
    <w:rsid w:val="00650CF8"/>
    <w:pPr>
      <w:ind w:left="720"/>
      <w:contextualSpacing/>
    </w:pPr>
  </w:style>
  <w:style w:type="character" w:customStyle="1" w:styleId="ListParagraphChar">
    <w:name w:val="List Paragraph Char"/>
    <w:link w:val="ListParagraph"/>
    <w:uiPriority w:val="34"/>
    <w:semiHidden/>
    <w:locked/>
    <w:rsid w:val="00E3322F"/>
    <w:rPr>
      <w:lang w:val="en-US" w:eastAsia="en-US"/>
    </w:rPr>
  </w:style>
  <w:style w:type="character" w:styleId="Hyperlink">
    <w:name w:val="Hyperlink"/>
    <w:basedOn w:val="DefaultParagraphFont"/>
    <w:uiPriority w:val="99"/>
    <w:semiHidden/>
    <w:rsid w:val="00650CF8"/>
    <w:rPr>
      <w:color w:val="0000FF" w:themeColor="hyperlink"/>
      <w:u w:val="single"/>
    </w:rPr>
  </w:style>
  <w:style w:type="paragraph" w:customStyle="1" w:styleId="TableParagraph">
    <w:name w:val="Table Paragraph"/>
    <w:basedOn w:val="Normal"/>
    <w:uiPriority w:val="1"/>
    <w:semiHidden/>
    <w:qFormat/>
    <w:rsid w:val="00650CF8"/>
    <w:rPr>
      <w:lang w:val="en-AU"/>
    </w:rPr>
  </w:style>
  <w:style w:type="character" w:customStyle="1" w:styleId="Heading4Char">
    <w:name w:val="Heading 4 Char"/>
    <w:link w:val="Heading4"/>
    <w:rsid w:val="00F66900"/>
    <w:rPr>
      <w:rFonts w:ascii="Public Sans SemiBold" w:hAnsi="Public Sans SemiBold"/>
      <w:b/>
      <w:color w:val="22272B"/>
      <w:kern w:val="28"/>
      <w:sz w:val="24"/>
      <w:szCs w:val="36"/>
      <w:lang w:eastAsia="en-US"/>
    </w:rPr>
  </w:style>
  <w:style w:type="character" w:customStyle="1" w:styleId="Heading5Char">
    <w:name w:val="Heading 5 Char"/>
    <w:link w:val="Heading5"/>
    <w:rsid w:val="00F66900"/>
    <w:rPr>
      <w:rFonts w:ascii="Public Sans SemiBold" w:hAnsi="Public Sans SemiBold"/>
      <w:i/>
      <w:color w:val="22272B"/>
      <w:kern w:val="28"/>
      <w:sz w:val="24"/>
      <w:szCs w:val="36"/>
      <w:lang w:eastAsia="en-US"/>
    </w:rPr>
  </w:style>
  <w:style w:type="character" w:customStyle="1" w:styleId="Heading6Char">
    <w:name w:val="Heading 6 Char"/>
    <w:link w:val="Heading6"/>
    <w:semiHidden/>
    <w:rsid w:val="00E3322F"/>
    <w:rPr>
      <w:b/>
      <w:i/>
      <w:color w:val="002664"/>
      <w:sz w:val="24"/>
      <w:szCs w:val="36"/>
      <w:lang w:eastAsia="en-US"/>
    </w:rPr>
  </w:style>
  <w:style w:type="character" w:customStyle="1" w:styleId="Heading7Char">
    <w:name w:val="Heading 7 Char"/>
    <w:link w:val="Heading7"/>
    <w:semiHidden/>
    <w:rsid w:val="00E3322F"/>
    <w:rPr>
      <w:rFonts w:ascii="Public Sans SemiBold" w:hAnsi="Public Sans SemiBold"/>
      <w:color w:val="22272B"/>
      <w:kern w:val="28"/>
      <w:sz w:val="24"/>
      <w:szCs w:val="36"/>
      <w:lang w:eastAsia="en-US"/>
    </w:rPr>
  </w:style>
  <w:style w:type="character" w:customStyle="1" w:styleId="Heading8Char">
    <w:name w:val="Heading 8 Char"/>
    <w:link w:val="Heading8"/>
    <w:semiHidden/>
    <w:rsid w:val="00E3322F"/>
    <w:rPr>
      <w:rFonts w:ascii="Public Sans SemiBold" w:hAnsi="Public Sans SemiBold"/>
      <w:i/>
      <w:color w:val="22272B"/>
      <w:kern w:val="28"/>
      <w:sz w:val="24"/>
      <w:szCs w:val="36"/>
      <w:lang w:eastAsia="en-US"/>
    </w:rPr>
  </w:style>
  <w:style w:type="character" w:customStyle="1" w:styleId="Heading9Char">
    <w:name w:val="Heading 9 Char"/>
    <w:link w:val="Heading9"/>
    <w:semiHidden/>
    <w:rsid w:val="00E3322F"/>
    <w:rPr>
      <w:rFonts w:ascii="Public Sans SemiBold" w:hAnsi="Public Sans SemiBold"/>
      <w:color w:val="22272B"/>
      <w:kern w:val="28"/>
      <w:sz w:val="24"/>
      <w:szCs w:val="36"/>
      <w:lang w:eastAsia="en-US"/>
    </w:rPr>
  </w:style>
  <w:style w:type="paragraph" w:styleId="Revision">
    <w:name w:val="Revision"/>
    <w:hidden/>
    <w:uiPriority w:val="99"/>
    <w:semiHidden/>
    <w:rsid w:val="00650CF8"/>
    <w:rPr>
      <w:rFonts w:ascii="Arial" w:hAnsi="Arial" w:cs="Arial"/>
    </w:rPr>
  </w:style>
  <w:style w:type="character" w:styleId="Emphasis">
    <w:name w:val="Emphasis"/>
    <w:basedOn w:val="DefaultParagraphFont"/>
    <w:semiHidden/>
    <w:qFormat/>
    <w:rsid w:val="00650CF8"/>
    <w:rPr>
      <w:i/>
      <w:iCs/>
    </w:rPr>
  </w:style>
  <w:style w:type="paragraph" w:customStyle="1" w:styleId="paragraph">
    <w:name w:val="paragraph"/>
    <w:basedOn w:val="Normal"/>
    <w:semiHidden/>
    <w:rsid w:val="00650CF8"/>
    <w:pPr>
      <w:spacing w:before="100" w:beforeAutospacing="1" w:after="100" w:afterAutospacing="1"/>
    </w:pPr>
    <w:rPr>
      <w:sz w:val="24"/>
      <w:szCs w:val="24"/>
      <w:lang w:val="en-AU" w:eastAsia="en-AU"/>
    </w:rPr>
  </w:style>
  <w:style w:type="character" w:customStyle="1" w:styleId="contextualspellingandgrammarerror">
    <w:name w:val="contextualspellingandgrammarerror"/>
    <w:basedOn w:val="DefaultParagraphFont"/>
    <w:semiHidden/>
    <w:rsid w:val="00650CF8"/>
  </w:style>
  <w:style w:type="character" w:customStyle="1" w:styleId="BulletPointStyleChar">
    <w:name w:val="Bullet Point Style Char"/>
    <w:basedOn w:val="DefaultParagraphFont"/>
    <w:link w:val="BulletPointStyle"/>
    <w:semiHidden/>
    <w:locked/>
    <w:rsid w:val="00E3322F"/>
    <w:rPr>
      <w:rFonts w:ascii="Garamond" w:hAnsi="Garamond"/>
      <w:lang w:eastAsia="x-none"/>
    </w:rPr>
  </w:style>
  <w:style w:type="paragraph" w:customStyle="1" w:styleId="BulletPointStyle">
    <w:name w:val="Bullet Point Style"/>
    <w:basedOn w:val="Normal"/>
    <w:link w:val="BulletPointStyleChar"/>
    <w:semiHidden/>
    <w:rsid w:val="00650CF8"/>
    <w:pPr>
      <w:spacing w:after="80" w:line="280" w:lineRule="exact"/>
    </w:pPr>
    <w:rPr>
      <w:rFonts w:ascii="Garamond" w:hAnsi="Garamond"/>
      <w:lang w:val="en-AU" w:eastAsia="x-none"/>
    </w:rPr>
  </w:style>
  <w:style w:type="paragraph" w:customStyle="1" w:styleId="Tablefootnote">
    <w:name w:val="Table footnote"/>
    <w:basedOn w:val="Normal"/>
    <w:semiHidden/>
    <w:qFormat/>
    <w:rsid w:val="00650CF8"/>
    <w:pPr>
      <w:numPr>
        <w:numId w:val="5"/>
      </w:numPr>
    </w:pPr>
    <w:rPr>
      <w:rFonts w:ascii="Arial" w:hAnsi="Arial"/>
      <w:sz w:val="17"/>
    </w:rPr>
  </w:style>
  <w:style w:type="paragraph" w:styleId="CommentSubject">
    <w:name w:val="annotation subject"/>
    <w:basedOn w:val="CommentText"/>
    <w:next w:val="CommentText"/>
    <w:link w:val="CommentSubjectChar"/>
    <w:uiPriority w:val="99"/>
    <w:semiHidden/>
    <w:unhideWhenUsed/>
    <w:rsid w:val="00650CF8"/>
    <w:rPr>
      <w:b/>
      <w:bCs/>
    </w:rPr>
  </w:style>
  <w:style w:type="character" w:customStyle="1" w:styleId="CommentSubjectChar">
    <w:name w:val="Comment Subject Char"/>
    <w:basedOn w:val="CommentTextChar"/>
    <w:link w:val="CommentSubject"/>
    <w:uiPriority w:val="99"/>
    <w:semiHidden/>
    <w:rsid w:val="00650CF8"/>
    <w:rPr>
      <w:b/>
      <w:bCs/>
      <w:lang w:val="en-US" w:eastAsia="en-US"/>
    </w:rPr>
  </w:style>
  <w:style w:type="character" w:customStyle="1" w:styleId="advancedproofingissue">
    <w:name w:val="advancedproofingissue"/>
    <w:basedOn w:val="DefaultParagraphFont"/>
    <w:semiHidden/>
    <w:rsid w:val="00650CF8"/>
  </w:style>
  <w:style w:type="character" w:styleId="UnresolvedMention">
    <w:name w:val="Unresolved Mention"/>
    <w:basedOn w:val="DefaultParagraphFont"/>
    <w:uiPriority w:val="99"/>
    <w:semiHidden/>
    <w:rsid w:val="00650CF8"/>
    <w:rPr>
      <w:color w:val="605E5C"/>
      <w:shd w:val="clear" w:color="auto" w:fill="E1DFDD"/>
    </w:rPr>
  </w:style>
  <w:style w:type="paragraph" w:customStyle="1" w:styleId="FigureBX">
    <w:name w:val="Figure B.X"/>
    <w:basedOn w:val="Figure1X"/>
    <w:qFormat/>
    <w:rsid w:val="00E711EC"/>
    <w:pPr>
      <w:numPr>
        <w:numId w:val="68"/>
      </w:numPr>
    </w:pPr>
  </w:style>
  <w:style w:type="paragraph" w:customStyle="1" w:styleId="Footnotestyle">
    <w:name w:val="Footnote style"/>
    <w:basedOn w:val="Normal"/>
    <w:next w:val="Normal"/>
    <w:qFormat/>
    <w:rsid w:val="00E711EC"/>
    <w:pPr>
      <w:spacing w:before="40" w:after="40"/>
      <w:ind w:left="709" w:hanging="284"/>
    </w:pPr>
    <w:rPr>
      <w:rFonts w:ascii="Public Sans" w:hAnsi="Public Sans"/>
      <w:sz w:val="16"/>
    </w:rPr>
  </w:style>
  <w:style w:type="paragraph" w:styleId="ListBullet">
    <w:name w:val="List Bullet"/>
    <w:basedOn w:val="Normal"/>
    <w:uiPriority w:val="99"/>
    <w:semiHidden/>
    <w:unhideWhenUsed/>
    <w:rsid w:val="00FE1BDD"/>
    <w:pPr>
      <w:numPr>
        <w:numId w:val="8"/>
      </w:numPr>
      <w:spacing w:after="160" w:line="252" w:lineRule="auto"/>
      <w:contextualSpacing/>
    </w:pPr>
    <w:rPr>
      <w:rFonts w:ascii="Calibri" w:eastAsiaTheme="minorHAnsi" w:hAnsi="Calibri" w:cs="Calibri"/>
      <w:sz w:val="22"/>
      <w:szCs w:val="22"/>
      <w:lang w:val="en-AU"/>
    </w:rPr>
  </w:style>
  <w:style w:type="paragraph" w:customStyle="1" w:styleId="Bullet3">
    <w:name w:val="Bullet 3"/>
    <w:basedOn w:val="Bullet2"/>
    <w:next w:val="BodyText"/>
    <w:qFormat/>
    <w:rsid w:val="00E711EC"/>
    <w:pPr>
      <w:numPr>
        <w:ilvl w:val="0"/>
        <w:numId w:val="0"/>
      </w:numPr>
      <w:tabs>
        <w:tab w:val="clear" w:pos="851"/>
        <w:tab w:val="clear" w:pos="8647"/>
      </w:tabs>
      <w:ind w:left="927" w:hanging="360"/>
    </w:pPr>
  </w:style>
  <w:style w:type="paragraph" w:customStyle="1" w:styleId="Figure1X">
    <w:name w:val="Figure 1.X"/>
    <w:basedOn w:val="Table1X"/>
    <w:next w:val="Normal"/>
    <w:semiHidden/>
    <w:qFormat/>
    <w:rsid w:val="00E711EC"/>
    <w:pPr>
      <w:numPr>
        <w:numId w:val="55"/>
      </w:numPr>
    </w:pPr>
  </w:style>
  <w:style w:type="paragraph" w:customStyle="1" w:styleId="Figure2X">
    <w:name w:val="Figure 2.X"/>
    <w:basedOn w:val="Figure1X"/>
    <w:next w:val="Normal"/>
    <w:semiHidden/>
    <w:qFormat/>
    <w:rsid w:val="00E711EC"/>
    <w:pPr>
      <w:numPr>
        <w:numId w:val="56"/>
      </w:numPr>
    </w:pPr>
  </w:style>
  <w:style w:type="paragraph" w:customStyle="1" w:styleId="Figure3X">
    <w:name w:val="Figure 3.X"/>
    <w:basedOn w:val="Figure1X"/>
    <w:next w:val="Normal"/>
    <w:semiHidden/>
    <w:qFormat/>
    <w:rsid w:val="00E711EC"/>
    <w:pPr>
      <w:numPr>
        <w:numId w:val="57"/>
      </w:numPr>
    </w:pPr>
  </w:style>
  <w:style w:type="paragraph" w:customStyle="1" w:styleId="Figure4X">
    <w:name w:val="Figure 4.X"/>
    <w:basedOn w:val="Figure1X"/>
    <w:next w:val="Normal"/>
    <w:semiHidden/>
    <w:qFormat/>
    <w:rsid w:val="00E711EC"/>
    <w:pPr>
      <w:numPr>
        <w:numId w:val="58"/>
      </w:numPr>
    </w:pPr>
  </w:style>
  <w:style w:type="paragraph" w:customStyle="1" w:styleId="Figure5X">
    <w:name w:val="Figure 5.X"/>
    <w:basedOn w:val="Figure1X"/>
    <w:next w:val="Normal"/>
    <w:semiHidden/>
    <w:qFormat/>
    <w:rsid w:val="00E711EC"/>
    <w:pPr>
      <w:numPr>
        <w:numId w:val="59"/>
      </w:numPr>
    </w:pPr>
  </w:style>
  <w:style w:type="paragraph" w:customStyle="1" w:styleId="Figure6X">
    <w:name w:val="Figure 6.X"/>
    <w:basedOn w:val="Figure1X"/>
    <w:next w:val="Normal"/>
    <w:semiHidden/>
    <w:qFormat/>
    <w:rsid w:val="00E711EC"/>
    <w:pPr>
      <w:numPr>
        <w:numId w:val="60"/>
      </w:numPr>
    </w:pPr>
  </w:style>
  <w:style w:type="paragraph" w:customStyle="1" w:styleId="Figure7X">
    <w:name w:val="Figure 7.X"/>
    <w:basedOn w:val="Figure1X"/>
    <w:next w:val="Normal"/>
    <w:semiHidden/>
    <w:qFormat/>
    <w:rsid w:val="00E711EC"/>
    <w:pPr>
      <w:numPr>
        <w:numId w:val="61"/>
      </w:numPr>
    </w:pPr>
  </w:style>
  <w:style w:type="paragraph" w:customStyle="1" w:styleId="Figure8X">
    <w:name w:val="Figure 8.X"/>
    <w:basedOn w:val="Figure7X"/>
    <w:next w:val="Normal"/>
    <w:semiHidden/>
    <w:qFormat/>
    <w:rsid w:val="00E711EC"/>
    <w:pPr>
      <w:numPr>
        <w:numId w:val="62"/>
      </w:numPr>
    </w:pPr>
  </w:style>
  <w:style w:type="paragraph" w:customStyle="1" w:styleId="FigureA1X">
    <w:name w:val="Figure A1.X"/>
    <w:basedOn w:val="Figure1X"/>
    <w:next w:val="Normal"/>
    <w:semiHidden/>
    <w:qFormat/>
    <w:rsid w:val="00E711EC"/>
    <w:pPr>
      <w:numPr>
        <w:numId w:val="63"/>
      </w:numPr>
    </w:pPr>
  </w:style>
  <w:style w:type="paragraph" w:customStyle="1" w:styleId="FigureA2X">
    <w:name w:val="Figure A2.X"/>
    <w:basedOn w:val="Figure1X"/>
    <w:next w:val="Normal"/>
    <w:semiHidden/>
    <w:qFormat/>
    <w:rsid w:val="00E711EC"/>
    <w:pPr>
      <w:numPr>
        <w:numId w:val="64"/>
      </w:numPr>
    </w:pPr>
  </w:style>
  <w:style w:type="paragraph" w:customStyle="1" w:styleId="FigureA3X">
    <w:name w:val="Figure A3.X"/>
    <w:basedOn w:val="Figure1X"/>
    <w:next w:val="Normal"/>
    <w:semiHidden/>
    <w:qFormat/>
    <w:rsid w:val="00E711EC"/>
    <w:pPr>
      <w:numPr>
        <w:numId w:val="65"/>
      </w:numPr>
    </w:pPr>
  </w:style>
  <w:style w:type="paragraph" w:customStyle="1" w:styleId="FigureA4X">
    <w:name w:val="Figure A4.X"/>
    <w:basedOn w:val="Figure1X"/>
    <w:next w:val="Normal"/>
    <w:semiHidden/>
    <w:qFormat/>
    <w:rsid w:val="00E711EC"/>
    <w:pPr>
      <w:numPr>
        <w:numId w:val="66"/>
      </w:numPr>
    </w:pPr>
  </w:style>
  <w:style w:type="paragraph" w:customStyle="1" w:styleId="FigureA5X">
    <w:name w:val="Figure A5.X"/>
    <w:basedOn w:val="Figure1X"/>
    <w:next w:val="Normal"/>
    <w:semiHidden/>
    <w:qFormat/>
    <w:rsid w:val="00E711EC"/>
    <w:pPr>
      <w:numPr>
        <w:numId w:val="67"/>
      </w:numPr>
    </w:pPr>
  </w:style>
  <w:style w:type="paragraph" w:customStyle="1" w:styleId="FigureCX">
    <w:name w:val="Figure C.X"/>
    <w:basedOn w:val="Figure1X"/>
    <w:next w:val="Normal"/>
    <w:semiHidden/>
    <w:qFormat/>
    <w:rsid w:val="00E711EC"/>
    <w:pPr>
      <w:numPr>
        <w:numId w:val="69"/>
      </w:numPr>
    </w:pPr>
  </w:style>
  <w:style w:type="paragraph" w:customStyle="1" w:styleId="FigureDX">
    <w:name w:val="Figure D.X"/>
    <w:basedOn w:val="Figure1X"/>
    <w:next w:val="Normal"/>
    <w:semiHidden/>
    <w:qFormat/>
    <w:rsid w:val="00E711EC"/>
    <w:pPr>
      <w:numPr>
        <w:numId w:val="70"/>
      </w:numPr>
    </w:pPr>
  </w:style>
  <w:style w:type="paragraph" w:customStyle="1" w:styleId="FigureEX">
    <w:name w:val="Figure E.X"/>
    <w:basedOn w:val="Figure1X"/>
    <w:next w:val="Normal"/>
    <w:semiHidden/>
    <w:qFormat/>
    <w:rsid w:val="00E711EC"/>
    <w:pPr>
      <w:numPr>
        <w:numId w:val="71"/>
      </w:numPr>
    </w:pPr>
  </w:style>
  <w:style w:type="paragraph" w:customStyle="1" w:styleId="FigureFX">
    <w:name w:val="Figure F.X"/>
    <w:basedOn w:val="Figure1X"/>
    <w:next w:val="Normal"/>
    <w:semiHidden/>
    <w:qFormat/>
    <w:rsid w:val="00E711EC"/>
    <w:pPr>
      <w:numPr>
        <w:numId w:val="72"/>
      </w:numPr>
    </w:pPr>
  </w:style>
  <w:style w:type="paragraph" w:customStyle="1" w:styleId="Headinginbox">
    <w:name w:val="Heading in box"/>
    <w:basedOn w:val="BodyText"/>
    <w:next w:val="BodyTextBox"/>
    <w:qFormat/>
    <w:rsid w:val="00737ECD"/>
    <w:rPr>
      <w:rFonts w:ascii="Public Sans SemiBold" w:hAnsi="Public Sans SemiBold"/>
      <w:b/>
      <w:color w:val="002664"/>
    </w:rPr>
  </w:style>
  <w:style w:type="paragraph" w:customStyle="1" w:styleId="TableEX">
    <w:name w:val="Table E.X"/>
    <w:basedOn w:val="TableDX"/>
    <w:next w:val="BodyText"/>
    <w:semiHidden/>
    <w:qFormat/>
    <w:rsid w:val="00E711EC"/>
    <w:pPr>
      <w:numPr>
        <w:numId w:val="87"/>
      </w:numPr>
      <w:tabs>
        <w:tab w:val="num" w:pos="360"/>
      </w:tabs>
    </w:pPr>
  </w:style>
  <w:style w:type="character" w:styleId="Mention">
    <w:name w:val="Mention"/>
    <w:basedOn w:val="DefaultParagraphFont"/>
    <w:uiPriority w:val="99"/>
    <w:unhideWhenUsed/>
    <w:rsid w:val="009126F2"/>
    <w:rPr>
      <w:color w:val="2B579A"/>
      <w:shd w:val="clear" w:color="auto" w:fill="E1DFDD"/>
    </w:rPr>
  </w:style>
  <w:style w:type="paragraph" w:customStyle="1" w:styleId="Normal2">
    <w:name w:val="Normal2"/>
    <w:basedOn w:val="Normal"/>
    <w:link w:val="Normal2Char"/>
    <w:qFormat/>
    <w:rsid w:val="0016410E"/>
    <w:pPr>
      <w:tabs>
        <w:tab w:val="left" w:pos="8647"/>
      </w:tabs>
      <w:spacing w:before="120" w:after="120"/>
    </w:pPr>
    <w:rPr>
      <w:rFonts w:ascii="Public Sans" w:eastAsiaTheme="minorEastAsia" w:hAnsi="Public Sans" w:cs="Arial"/>
      <w:sz w:val="22"/>
      <w:szCs w:val="23"/>
      <w:lang w:val="en-AU" w:eastAsia="en-AU"/>
    </w:rPr>
  </w:style>
  <w:style w:type="character" w:customStyle="1" w:styleId="Normal2Char">
    <w:name w:val="Normal2 Char"/>
    <w:basedOn w:val="DefaultParagraphFont"/>
    <w:link w:val="Normal2"/>
    <w:rsid w:val="0016410E"/>
    <w:rPr>
      <w:rFonts w:ascii="Public Sans" w:eastAsiaTheme="minorEastAsia" w:hAnsi="Public Sans" w:cs="Arial"/>
      <w:sz w:val="22"/>
      <w:szCs w:val="23"/>
    </w:rPr>
  </w:style>
  <w:style w:type="character" w:customStyle="1" w:styleId="cf01">
    <w:name w:val="cf01"/>
    <w:basedOn w:val="DefaultParagraphFont"/>
    <w:rsid w:val="00182F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525736">
      <w:bodyDiv w:val="1"/>
      <w:marLeft w:val="0"/>
      <w:marRight w:val="0"/>
      <w:marTop w:val="0"/>
      <w:marBottom w:val="0"/>
      <w:divBdr>
        <w:top w:val="none" w:sz="0" w:space="0" w:color="auto"/>
        <w:left w:val="none" w:sz="0" w:space="0" w:color="auto"/>
        <w:bottom w:val="none" w:sz="0" w:space="0" w:color="auto"/>
        <w:right w:val="none" w:sz="0" w:space="0" w:color="auto"/>
      </w:divBdr>
    </w:div>
    <w:div w:id="591166914">
      <w:bodyDiv w:val="1"/>
      <w:marLeft w:val="0"/>
      <w:marRight w:val="0"/>
      <w:marTop w:val="0"/>
      <w:marBottom w:val="0"/>
      <w:divBdr>
        <w:top w:val="none" w:sz="0" w:space="0" w:color="auto"/>
        <w:left w:val="none" w:sz="0" w:space="0" w:color="auto"/>
        <w:bottom w:val="none" w:sz="0" w:space="0" w:color="auto"/>
        <w:right w:val="none" w:sz="0" w:space="0" w:color="auto"/>
      </w:divBdr>
    </w:div>
    <w:div w:id="723025017">
      <w:bodyDiv w:val="1"/>
      <w:marLeft w:val="0"/>
      <w:marRight w:val="0"/>
      <w:marTop w:val="0"/>
      <w:marBottom w:val="0"/>
      <w:divBdr>
        <w:top w:val="none" w:sz="0" w:space="0" w:color="auto"/>
        <w:left w:val="none" w:sz="0" w:space="0" w:color="auto"/>
        <w:bottom w:val="none" w:sz="0" w:space="0" w:color="auto"/>
        <w:right w:val="none" w:sz="0" w:space="0" w:color="auto"/>
      </w:divBdr>
    </w:div>
    <w:div w:id="170420701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SharedWithUsers xmlns="801a5968-9419-4033-b9de-7ffe8168468e">
      <UserInfo>
        <DisplayName>James Atkinson</DisplayName>
        <AccountId>47</AccountId>
        <AccountType/>
      </UserInfo>
      <UserInfo>
        <DisplayName>Anna Komarzynski</DisplayName>
        <AccountId>1426</AccountId>
        <AccountType/>
      </UserInfo>
      <UserInfo>
        <DisplayName>Jack Wright</DisplayName>
        <AccountId>189</AccountId>
        <AccountType/>
      </UserInfo>
      <UserInfo>
        <DisplayName>Eileen Huang</DisplayName>
        <AccountId>751</AccountId>
        <AccountType/>
      </UserInfo>
      <UserInfo>
        <DisplayName>Michael Warlters</DisplayName>
        <AccountId>52</AccountId>
        <AccountType/>
      </UserInfo>
      <UserInfo>
        <DisplayName>Jessie Johnson</DisplayName>
        <AccountId>23</AccountId>
        <AccountType/>
      </UserInfo>
      <UserInfo>
        <DisplayName>Katherine Palmer</DisplayName>
        <AccountId>787</AccountId>
        <AccountType/>
      </UserInfo>
      <UserInfo>
        <DisplayName>Amy Zhu</DisplayName>
        <AccountId>749</AccountId>
        <AccountType/>
      </UserInfo>
      <UserInfo>
        <DisplayName>Alison Weaver</DisplayName>
        <AccountId>980</AccountId>
        <AccountType/>
      </UserInfo>
      <UserInfo>
        <DisplayName>Sam Walker (Treasury)</DisplayName>
        <AccountId>53</AccountId>
        <AccountType/>
      </UserInfo>
      <UserInfo>
        <DisplayName>Marina Van der Walt</DisplayName>
        <AccountId>3265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customXml/itemProps2.xml><?xml version="1.0" encoding="utf-8"?>
<ds:datastoreItem xmlns:ds="http://schemas.openxmlformats.org/officeDocument/2006/customXml" ds:itemID="{CE9E9FD7-6E6C-41F1-AB66-B4A654C66101}">
  <ds:schemaRefs>
    <ds:schemaRef ds:uri="9f0ac7ce-5f57-4ea0-9af7-01d4f3f1ccae"/>
    <ds:schemaRef ds:uri="http://www.w3.org/XML/1998/namespace"/>
    <ds:schemaRef ds:uri="1c478e85-8130-4c67-8ee4-8bdf1c0e6049"/>
    <ds:schemaRef ds:uri="http://purl.org/dc/dcmitype/"/>
    <ds:schemaRef ds:uri="http://purl.org/dc/elements/1.1/"/>
    <ds:schemaRef ds:uri="http://schemas.microsoft.com/office/2006/documentManagement/types"/>
    <ds:schemaRef ds:uri="801a5968-9419-4033-b9de-7ffe8168468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4.xml><?xml version="1.0" encoding="utf-8"?>
<ds:datastoreItem xmlns:ds="http://schemas.openxmlformats.org/officeDocument/2006/customXml" ds:itemID="{00844D12-E7A4-421D-AE30-6B7BC115B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4880</Words>
  <Characters>27820</Characters>
  <Application>Microsoft Office Word</Application>
  <DocSecurity>0</DocSecurity>
  <Lines>231</Lines>
  <Paragraphs>65</Paragraphs>
  <ScaleCrop>false</ScaleCrop>
  <Company>NSW Treasury</Company>
  <LinksUpToDate>false</LinksUpToDate>
  <CharactersWithSpaces>32635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Paper No. 1 - Budget Statement - Appendix B - Fiscal Risks and Budget Sensitivities</dc:title>
  <dc:subject/>
  <dc:creator>NSWTreasury@nswgov.onmicrosoft.com</dc:creator>
  <cp:keywords/>
  <cp:lastModifiedBy>Amany Tahir</cp:lastModifiedBy>
  <cp:revision>2</cp:revision>
  <cp:lastPrinted>2023-09-19T04:26:00Z</cp:lastPrinted>
  <dcterms:created xsi:type="dcterms:W3CDTF">2024-06-16T00:07:00Z</dcterms:created>
  <dcterms:modified xsi:type="dcterms:W3CDTF">2024-06-16T00:07:00Z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ies>
</file>