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B431C" w14:textId="3293E65A" w:rsidR="00C626D7" w:rsidRPr="00A903EA" w:rsidRDefault="00DA1189" w:rsidP="00697B15">
      <w:pPr>
        <w:pStyle w:val="Heading1"/>
      </w:pPr>
      <w:r>
        <w:t>C</w:t>
      </w:r>
      <w:r w:rsidR="00262768" w:rsidRPr="00CA7632">
        <w:t>.</w:t>
      </w:r>
      <w:r w:rsidR="00262768" w:rsidRPr="00CA7632">
        <w:tab/>
      </w:r>
      <w:r w:rsidRPr="00785BE2">
        <w:rPr>
          <w:color w:val="1D3278"/>
        </w:rPr>
        <w:t>CONTINGENT ASSETS AND LIABILITIES</w:t>
      </w:r>
    </w:p>
    <w:p w14:paraId="69EA7AA4" w14:textId="6DE62EAB" w:rsidR="00286E54" w:rsidRPr="00A75EE4" w:rsidRDefault="001868D3" w:rsidP="0060253C">
      <w:pPr>
        <w:pStyle w:val="BodyText"/>
        <w:rPr>
          <w:lang w:val="en-US"/>
        </w:rPr>
      </w:pPr>
      <w:r w:rsidRPr="1526E4A1">
        <w:t>To support its</w:t>
      </w:r>
      <w:r w:rsidR="487F8ADC" w:rsidRPr="1526E4A1">
        <w:t xml:space="preserve"> focus on sound financial management</w:t>
      </w:r>
      <w:r w:rsidR="00BE4E3D" w:rsidRPr="1526E4A1">
        <w:t xml:space="preserve"> and budgeting</w:t>
      </w:r>
      <w:r w:rsidR="487F8ADC" w:rsidRPr="1526E4A1">
        <w:t>, t</w:t>
      </w:r>
      <w:r w:rsidR="006265B1" w:rsidRPr="1526E4A1">
        <w:t xml:space="preserve">he </w:t>
      </w:r>
      <w:r w:rsidR="00286E54" w:rsidRPr="1526E4A1">
        <w:t xml:space="preserve">NSW Government monitors and reports on its contingent assets and liabilities. Unlike assets and liabilities that are recognised on the general government balance sheet, contingent assets and liabilities are uncertain and depend on a particular event occurring before being realised (see Box C.1 for </w:t>
      </w:r>
      <w:r w:rsidR="38325923" w:rsidRPr="1526E4A1">
        <w:t xml:space="preserve">accounting </w:t>
      </w:r>
      <w:r w:rsidR="00286E54" w:rsidRPr="1526E4A1">
        <w:t xml:space="preserve">definitions of contingent assets and liabilities). </w:t>
      </w:r>
      <w:r w:rsidR="7026F844" w:rsidRPr="1526E4A1">
        <w:t>For some of the general government’s contingent liabilities, an equal and offsetting contingent asset may also exist.</w:t>
      </w:r>
      <w:r w:rsidR="00286E54" w:rsidRPr="1526E4A1">
        <w:t xml:space="preserve"> </w:t>
      </w:r>
    </w:p>
    <w:p w14:paraId="636FDEA9" w14:textId="5CA86DCF" w:rsidR="00286E54" w:rsidRDefault="006331CD" w:rsidP="0060253C">
      <w:pPr>
        <w:pStyle w:val="BodyText"/>
      </w:pPr>
      <w:r w:rsidRPr="7886E176">
        <w:rPr>
          <w:rStyle w:val="BodyTextChar"/>
          <w:lang w:val="en-US"/>
        </w:rPr>
        <w:t>If</w:t>
      </w:r>
      <w:r w:rsidR="00D376F0" w:rsidRPr="7886E176">
        <w:rPr>
          <w:rStyle w:val="BodyTextChar"/>
          <w:lang w:val="en-US"/>
        </w:rPr>
        <w:t>, at some point,</w:t>
      </w:r>
      <w:r w:rsidRPr="7886E176">
        <w:rPr>
          <w:rStyle w:val="BodyTextChar"/>
          <w:lang w:val="en-US"/>
        </w:rPr>
        <w:t xml:space="preserve"> a contingent asset or liability</w:t>
      </w:r>
      <w:r w:rsidR="00976419" w:rsidRPr="7886E176">
        <w:rPr>
          <w:rStyle w:val="BodyTextChar"/>
          <w:lang w:val="en-US"/>
        </w:rPr>
        <w:t xml:space="preserve"> meets the criteria for </w:t>
      </w:r>
      <w:r w:rsidR="00EF3A64" w:rsidRPr="7886E176">
        <w:rPr>
          <w:rStyle w:val="BodyTextChar"/>
          <w:lang w:val="en-US"/>
        </w:rPr>
        <w:t xml:space="preserve">balance sheet </w:t>
      </w:r>
      <w:r w:rsidR="00976419" w:rsidRPr="7886E176">
        <w:rPr>
          <w:rStyle w:val="BodyTextChar"/>
          <w:lang w:val="en-US"/>
        </w:rPr>
        <w:t>recognition</w:t>
      </w:r>
      <w:r w:rsidRPr="7886E176">
        <w:rPr>
          <w:rStyle w:val="BodyTextChar"/>
          <w:lang w:val="en-US"/>
        </w:rPr>
        <w:t xml:space="preserve">, the asset or liability will </w:t>
      </w:r>
      <w:r w:rsidR="009439BF" w:rsidRPr="7886E176">
        <w:rPr>
          <w:rStyle w:val="BodyTextChar"/>
          <w:lang w:val="en-US"/>
        </w:rPr>
        <w:t>be recorded</w:t>
      </w:r>
      <w:r w:rsidRPr="7886E176">
        <w:rPr>
          <w:rStyle w:val="BodyTextChar"/>
          <w:lang w:val="en-US"/>
        </w:rPr>
        <w:t xml:space="preserve"> on the balance sheet and </w:t>
      </w:r>
      <w:r w:rsidR="00DD36BA" w:rsidRPr="7886E176">
        <w:rPr>
          <w:rStyle w:val="BodyTextChar"/>
          <w:lang w:val="en-US"/>
        </w:rPr>
        <w:t xml:space="preserve">will </w:t>
      </w:r>
      <w:r w:rsidRPr="7886E176">
        <w:rPr>
          <w:rStyle w:val="BodyTextChar"/>
          <w:lang w:val="en-US"/>
        </w:rPr>
        <w:t>cease to be considered contingent</w:t>
      </w:r>
      <w:r w:rsidR="00747D71" w:rsidRPr="7886E176">
        <w:rPr>
          <w:rStyle w:val="BodyTextChar"/>
          <w:lang w:val="en-US"/>
        </w:rPr>
        <w:t xml:space="preserve">. </w:t>
      </w:r>
      <w:r w:rsidR="00286E54" w:rsidRPr="7886E176">
        <w:rPr>
          <w:rStyle w:val="BodyTextChar"/>
          <w:lang w:val="en-US"/>
        </w:rPr>
        <w:t xml:space="preserve">The recognition of a contingent asset or liability on the State’s balance sheet </w:t>
      </w:r>
      <w:r w:rsidR="009F3378" w:rsidRPr="7886E176">
        <w:rPr>
          <w:rStyle w:val="BodyTextChar"/>
          <w:lang w:val="en-US"/>
        </w:rPr>
        <w:t xml:space="preserve">may </w:t>
      </w:r>
      <w:r w:rsidR="00286E54" w:rsidRPr="7886E176">
        <w:rPr>
          <w:rStyle w:val="BodyTextChar"/>
          <w:lang w:val="en-US"/>
        </w:rPr>
        <w:t xml:space="preserve">have a significant impact on the State’s finances. By identifying and, </w:t>
      </w:r>
      <w:proofErr w:type="spellStart"/>
      <w:r w:rsidR="00286E54" w:rsidRPr="7886E176">
        <w:rPr>
          <w:rStyle w:val="BodyTextChar"/>
          <w:lang w:val="en-US"/>
        </w:rPr>
        <w:t>whe</w:t>
      </w:r>
      <w:r w:rsidR="1E0D87AC" w:rsidRPr="7886E176">
        <w:rPr>
          <w:rStyle w:val="BodyTextChar"/>
          <w:lang w:val="en-US"/>
        </w:rPr>
        <w:t>con</w:t>
      </w:r>
      <w:r w:rsidR="00286E54" w:rsidRPr="7886E176">
        <w:rPr>
          <w:rStyle w:val="BodyTextChar"/>
          <w:lang w:val="en-US"/>
        </w:rPr>
        <w:t>re</w:t>
      </w:r>
      <w:proofErr w:type="spellEnd"/>
      <w:r w:rsidR="00286E54" w:rsidRPr="7886E176">
        <w:rPr>
          <w:rStyle w:val="BodyTextChar"/>
          <w:lang w:val="en-US"/>
        </w:rPr>
        <w:t xml:space="preserve"> possible, quantifying these contingent assets and liabilities,</w:t>
      </w:r>
      <w:r w:rsidR="003365D1" w:rsidRPr="7886E176">
        <w:rPr>
          <w:rStyle w:val="BodyTextChar"/>
          <w:lang w:val="en-US"/>
        </w:rPr>
        <w:t xml:space="preserve"> the </w:t>
      </w:r>
      <w:r w:rsidR="008F31CD" w:rsidRPr="7886E176">
        <w:rPr>
          <w:rStyle w:val="BodyTextChar"/>
          <w:lang w:val="en-US"/>
        </w:rPr>
        <w:t>NSW</w:t>
      </w:r>
      <w:r w:rsidR="003365D1" w:rsidRPr="7886E176">
        <w:rPr>
          <w:rStyle w:val="BodyTextChar"/>
          <w:lang w:val="en-US"/>
        </w:rPr>
        <w:t xml:space="preserve"> Government </w:t>
      </w:r>
      <w:r w:rsidR="035300C2" w:rsidRPr="7886E176">
        <w:rPr>
          <w:rStyle w:val="BodyTextChar"/>
          <w:lang w:val="en-US"/>
        </w:rPr>
        <w:t xml:space="preserve">can </w:t>
      </w:r>
      <w:r w:rsidR="008F31CD" w:rsidRPr="7886E176">
        <w:rPr>
          <w:rStyle w:val="BodyTextChar"/>
          <w:lang w:val="en-US"/>
        </w:rPr>
        <w:t xml:space="preserve">better </w:t>
      </w:r>
      <w:r w:rsidR="172917D4" w:rsidRPr="7886E176">
        <w:rPr>
          <w:rStyle w:val="BodyTextChar"/>
          <w:lang w:val="en-US"/>
        </w:rPr>
        <w:t xml:space="preserve">assess </w:t>
      </w:r>
      <w:r w:rsidR="008F31CD" w:rsidRPr="7886E176">
        <w:rPr>
          <w:rStyle w:val="BodyTextChar"/>
          <w:lang w:val="en-US"/>
        </w:rPr>
        <w:t>the full scope of its financial responsibilities</w:t>
      </w:r>
      <w:r w:rsidR="000D1F69" w:rsidRPr="7886E176">
        <w:rPr>
          <w:rStyle w:val="BodyTextChar"/>
          <w:lang w:val="en-US"/>
        </w:rPr>
        <w:t xml:space="preserve"> and potential future costs</w:t>
      </w:r>
      <w:r w:rsidR="008F31CD" w:rsidRPr="7886E176">
        <w:rPr>
          <w:rStyle w:val="BodyTextChar"/>
          <w:lang w:val="en-US"/>
        </w:rPr>
        <w:t xml:space="preserve">. </w:t>
      </w:r>
      <w:r w:rsidR="001B2004" w:rsidRPr="7886E176">
        <w:rPr>
          <w:rStyle w:val="BodyTextChar"/>
          <w:lang w:val="en-US"/>
        </w:rPr>
        <w:t>It can also</w:t>
      </w:r>
      <w:r w:rsidR="008F31CD" w:rsidRPr="7886E176">
        <w:rPr>
          <w:rStyle w:val="BodyTextChar"/>
          <w:lang w:val="en-US"/>
        </w:rPr>
        <w:t xml:space="preserve"> </w:t>
      </w:r>
      <w:r w:rsidR="00FA0487" w:rsidRPr="7886E176">
        <w:rPr>
          <w:rStyle w:val="BodyTextChar"/>
          <w:lang w:val="en-US"/>
        </w:rPr>
        <w:t>take proactive measures</w:t>
      </w:r>
      <w:r w:rsidR="00E80A9E" w:rsidRPr="7886E176">
        <w:rPr>
          <w:rStyle w:val="BodyTextChar"/>
          <w:lang w:val="en-US"/>
        </w:rPr>
        <w:t xml:space="preserve"> </w:t>
      </w:r>
      <w:r w:rsidR="00FA0487" w:rsidRPr="7886E176">
        <w:rPr>
          <w:rStyle w:val="BodyTextChar"/>
          <w:lang w:val="en-US"/>
        </w:rPr>
        <w:t xml:space="preserve">to effectively manage </w:t>
      </w:r>
      <w:r w:rsidR="001B2004" w:rsidRPr="7886E176">
        <w:rPr>
          <w:rStyle w:val="BodyTextChar"/>
          <w:lang w:val="en-US"/>
        </w:rPr>
        <w:t xml:space="preserve">these </w:t>
      </w:r>
      <w:r w:rsidR="00FA0487" w:rsidRPr="7886E176">
        <w:rPr>
          <w:rStyle w:val="BodyTextChar"/>
          <w:lang w:val="en-US"/>
        </w:rPr>
        <w:t xml:space="preserve">risks and financial obligations before they </w:t>
      </w:r>
      <w:proofErr w:type="spellStart"/>
      <w:r w:rsidR="00FA0487" w:rsidRPr="7886E176">
        <w:rPr>
          <w:rStyle w:val="BodyTextChar"/>
          <w:lang w:val="en-US"/>
        </w:rPr>
        <w:t>materialise</w:t>
      </w:r>
      <w:proofErr w:type="spellEnd"/>
      <w:r w:rsidR="00286E54">
        <w:t>.</w:t>
      </w:r>
      <w:r w:rsidR="006C4BBE">
        <w:t xml:space="preserve"> </w:t>
      </w:r>
    </w:p>
    <w:p w14:paraId="532704D4" w14:textId="77777777" w:rsidR="00D416F5" w:rsidRPr="00F32C6C" w:rsidRDefault="00D416F5" w:rsidP="00D416F5"/>
    <w:tbl>
      <w:tblPr>
        <w:tblStyle w:val="Focusbox"/>
        <w:tblW w:w="0" w:type="auto"/>
        <w:shd w:val="pct5" w:color="auto" w:fill="auto"/>
        <w:tblLook w:val="04A0" w:firstRow="1" w:lastRow="0" w:firstColumn="1" w:lastColumn="0" w:noHBand="0" w:noVBand="1"/>
        <w:tblCaption w:val="Box C.1: Accounting definition of contingent assets and liabilities"/>
        <w:tblDescription w:val="Box C.1: Accounting definition of contingent assets and liabilities"/>
      </w:tblPr>
      <w:tblGrid>
        <w:gridCol w:w="9629"/>
      </w:tblGrid>
      <w:tr w:rsidR="00D416F5" w14:paraId="0324857F" w14:textId="77777777" w:rsidTr="0085089B">
        <w:tc>
          <w:tcPr>
            <w:tcW w:w="9629" w:type="dxa"/>
          </w:tcPr>
          <w:p w14:paraId="59873D80" w14:textId="037C6EC9" w:rsidR="00D416F5" w:rsidRPr="00161865" w:rsidRDefault="707CA775" w:rsidP="4408E951">
            <w:pPr>
              <w:pStyle w:val="BoxCXBoxHeading"/>
            </w:pPr>
            <w:r w:rsidRPr="00F66D7D">
              <w:t>Accounting definition of contingent assets and liabilities</w:t>
            </w:r>
          </w:p>
          <w:p w14:paraId="0CC3AB22" w14:textId="2E43008A" w:rsidR="00503336" w:rsidRPr="0065011F" w:rsidRDefault="00503336" w:rsidP="0060253C">
            <w:pPr>
              <w:pStyle w:val="BodyText"/>
            </w:pPr>
            <w:r w:rsidRPr="0065011F">
              <w:t xml:space="preserve">Accounting standard AASB 137 </w:t>
            </w:r>
            <w:r w:rsidRPr="00E967AF">
              <w:rPr>
                <w:i/>
                <w:iCs/>
              </w:rPr>
              <w:t>Provisions, Contingent Liabilities and Contingent Assets</w:t>
            </w:r>
            <w:r w:rsidR="008E3647">
              <w:t xml:space="preserve"> </w:t>
            </w:r>
            <w:r w:rsidRPr="0065011F">
              <w:t xml:space="preserve">defines: </w:t>
            </w:r>
          </w:p>
          <w:p w14:paraId="4988F6E4" w14:textId="77777777" w:rsidR="00503336" w:rsidRPr="0065011F" w:rsidRDefault="00503336" w:rsidP="0060253C">
            <w:pPr>
              <w:pStyle w:val="BodyText"/>
            </w:pPr>
            <w:r w:rsidRPr="0065011F">
              <w:t xml:space="preserve">A contingent asset as: </w:t>
            </w:r>
          </w:p>
          <w:p w14:paraId="267463DE" w14:textId="330A234F" w:rsidR="00503336" w:rsidRPr="00085CE5" w:rsidRDefault="00503336" w:rsidP="0060253C">
            <w:pPr>
              <w:pStyle w:val="Bullet1"/>
              <w:rPr>
                <w:lang w:val="en-US"/>
              </w:rPr>
            </w:pPr>
            <w:r w:rsidRPr="1526E4A1">
              <w:t xml:space="preserve">a </w:t>
            </w:r>
            <w:r w:rsidRPr="1526E4A1">
              <w:rPr>
                <w:u w:val="single"/>
              </w:rPr>
              <w:t>possible asset</w:t>
            </w:r>
            <w:r w:rsidRPr="1526E4A1">
              <w:t xml:space="preserve"> that arises from past events and whose existence will be confirmed only by the occurrence or non-occurrence of one or more </w:t>
            </w:r>
            <w:r w:rsidRPr="1526E4A1">
              <w:rPr>
                <w:u w:val="single"/>
              </w:rPr>
              <w:t>uncertain future events not wholly within the control of the entity</w:t>
            </w:r>
            <w:r w:rsidRPr="1526E4A1">
              <w:t xml:space="preserve">. A contingent asset is only disclosed if an inflow of economic benefits is probable. </w:t>
            </w:r>
          </w:p>
          <w:p w14:paraId="5A2809B9" w14:textId="77777777" w:rsidR="00503336" w:rsidRPr="0065011F" w:rsidRDefault="00503336" w:rsidP="0060253C">
            <w:pPr>
              <w:pStyle w:val="BodyText"/>
            </w:pPr>
            <w:r w:rsidRPr="0065011F">
              <w:t xml:space="preserve">A contingent liability as: </w:t>
            </w:r>
          </w:p>
          <w:p w14:paraId="4D09E263" w14:textId="0DD590CA" w:rsidR="00503336" w:rsidRPr="0065011F" w:rsidRDefault="00503336" w:rsidP="0060253C">
            <w:pPr>
              <w:pStyle w:val="Bullet1"/>
              <w:rPr>
                <w:lang w:val="en-US"/>
              </w:rPr>
            </w:pPr>
            <w:r w:rsidRPr="1526E4A1">
              <w:t xml:space="preserve">a </w:t>
            </w:r>
            <w:r w:rsidRPr="1526E4A1">
              <w:rPr>
                <w:u w:val="single"/>
              </w:rPr>
              <w:t>possible obligation</w:t>
            </w:r>
            <w:r w:rsidRPr="1526E4A1">
              <w:t xml:space="preserve"> that arises from past events and whose existence will be confirmed only by the occurrence or non-occurrence of one or more </w:t>
            </w:r>
            <w:r w:rsidRPr="1526E4A1">
              <w:rPr>
                <w:u w:val="single"/>
              </w:rPr>
              <w:t>uncertain future events not wholly within the control of the entity</w:t>
            </w:r>
            <w:r w:rsidRPr="1526E4A1">
              <w:t xml:space="preserve"> or </w:t>
            </w:r>
          </w:p>
          <w:p w14:paraId="0F3EC430" w14:textId="77777777" w:rsidR="00503336" w:rsidRPr="0065011F" w:rsidRDefault="00503336" w:rsidP="0060253C">
            <w:pPr>
              <w:pStyle w:val="Bullet1"/>
              <w:rPr>
                <w:lang w:val="en-US"/>
              </w:rPr>
            </w:pPr>
            <w:r w:rsidRPr="1526E4A1">
              <w:t xml:space="preserve">a </w:t>
            </w:r>
            <w:r w:rsidRPr="1526E4A1">
              <w:rPr>
                <w:u w:val="single"/>
              </w:rPr>
              <w:t>present obligation</w:t>
            </w:r>
            <w:r w:rsidRPr="1526E4A1">
              <w:t xml:space="preserve"> that arises from past events but is not recognised because: </w:t>
            </w:r>
          </w:p>
          <w:p w14:paraId="3C00237B" w14:textId="363E1FA4" w:rsidR="00503336" w:rsidRDefault="00503336" w:rsidP="0060253C">
            <w:pPr>
              <w:pStyle w:val="Bullet2"/>
              <w:rPr>
                <w:lang w:val="en-US"/>
              </w:rPr>
            </w:pPr>
            <w:r w:rsidRPr="1526E4A1">
              <w:t xml:space="preserve">it is </w:t>
            </w:r>
            <w:r w:rsidRPr="1526E4A1">
              <w:rPr>
                <w:u w:val="single"/>
              </w:rPr>
              <w:t>not probable</w:t>
            </w:r>
            <w:r w:rsidRPr="1526E4A1">
              <w:t xml:space="preserve"> that an outflow of resources embodying economic benefits will be required to settle the obligation or </w:t>
            </w:r>
          </w:p>
          <w:p w14:paraId="179325F9" w14:textId="3A99DEAB" w:rsidR="0088627E" w:rsidRPr="0088627E" w:rsidRDefault="00503336" w:rsidP="0060253C">
            <w:pPr>
              <w:pStyle w:val="Bullet2"/>
              <w:rPr>
                <w:lang w:val="en-US"/>
              </w:rPr>
            </w:pPr>
            <w:r w:rsidRPr="1526E4A1">
              <w:t xml:space="preserve">the amount of the obligation </w:t>
            </w:r>
            <w:r w:rsidRPr="1526E4A1">
              <w:rPr>
                <w:u w:val="single"/>
              </w:rPr>
              <w:t>cannot be measured</w:t>
            </w:r>
            <w:r w:rsidRPr="1526E4A1">
              <w:t xml:space="preserve"> with sufficient reliability.</w:t>
            </w:r>
          </w:p>
        </w:tc>
      </w:tr>
    </w:tbl>
    <w:p w14:paraId="77F08E32" w14:textId="77777777" w:rsidR="009E5213" w:rsidRDefault="009E5213" w:rsidP="00D416F5"/>
    <w:p w14:paraId="720032E5" w14:textId="77777777" w:rsidR="001840F7" w:rsidRPr="00A75EE4" w:rsidRDefault="001840F7" w:rsidP="0060253C">
      <w:pPr>
        <w:pStyle w:val="BodyText"/>
        <w:rPr>
          <w:lang w:eastAsia="en-AU"/>
        </w:rPr>
      </w:pPr>
      <w:r w:rsidRPr="00A75EE4">
        <w:rPr>
          <w:lang w:eastAsia="en-AU"/>
        </w:rPr>
        <w:t>Contingent assets and liabilities are classified as either:</w:t>
      </w:r>
    </w:p>
    <w:p w14:paraId="0CAD7E52" w14:textId="6A1EB00E" w:rsidR="001840F7" w:rsidRPr="00A75EE4" w:rsidRDefault="001840F7" w:rsidP="0060253C">
      <w:pPr>
        <w:pStyle w:val="Bullet1"/>
      </w:pPr>
      <w:r w:rsidRPr="00A75EE4">
        <w:t xml:space="preserve">quantifiable, where their financial value is known or can be </w:t>
      </w:r>
      <w:r w:rsidRPr="0F9225BE">
        <w:t>reliably</w:t>
      </w:r>
      <w:r w:rsidRPr="00A75EE4">
        <w:t xml:space="preserve"> </w:t>
      </w:r>
      <w:proofErr w:type="gramStart"/>
      <w:r w:rsidRPr="00A75EE4">
        <w:t>estimated</w:t>
      </w:r>
      <w:proofErr w:type="gramEnd"/>
    </w:p>
    <w:p w14:paraId="76D3BE77" w14:textId="77777777" w:rsidR="001840F7" w:rsidRPr="00A75EE4" w:rsidRDefault="001840F7" w:rsidP="0060253C">
      <w:pPr>
        <w:pStyle w:val="Bullet1"/>
        <w:rPr>
          <w:lang w:val="en-US"/>
        </w:rPr>
      </w:pPr>
      <w:r w:rsidRPr="1526E4A1">
        <w:t xml:space="preserve">non-quantifiable, where their financial value cannot be reliably determined. </w:t>
      </w:r>
    </w:p>
    <w:p w14:paraId="343EE1A7" w14:textId="19CAC33D" w:rsidR="001840F7" w:rsidRPr="00A75EE4" w:rsidRDefault="001840F7" w:rsidP="0060253C">
      <w:pPr>
        <w:pStyle w:val="BodyText"/>
      </w:pPr>
      <w:r>
        <w:t>T</w:t>
      </w:r>
      <w:r w:rsidRPr="00A75EE4">
        <w:t xml:space="preserve">his Appendix provides </w:t>
      </w:r>
      <w:r w:rsidRPr="00840980">
        <w:t>analysis on both categories</w:t>
      </w:r>
      <w:r w:rsidRPr="00A75EE4">
        <w:t>.</w:t>
      </w:r>
    </w:p>
    <w:p w14:paraId="056CBFF1" w14:textId="77777777" w:rsidR="00F92EB1" w:rsidDel="003023C8" w:rsidRDefault="00F92EB1" w:rsidP="00F92EB1">
      <w:pPr>
        <w:rPr>
          <w:rFonts w:eastAsia="Arial Unicode MS"/>
          <w:lang w:val="en-AU"/>
        </w:rPr>
      </w:pPr>
      <w:r>
        <w:br w:type="page"/>
      </w:r>
    </w:p>
    <w:p w14:paraId="380C3FDE" w14:textId="77777777" w:rsidR="00F92EB1" w:rsidRPr="00152F4C" w:rsidRDefault="00F92EB1" w:rsidP="00A268D2">
      <w:pPr>
        <w:pStyle w:val="CXHeading2"/>
      </w:pPr>
      <w:r w:rsidRPr="002569F8">
        <w:lastRenderedPageBreak/>
        <w:t>Contingent</w:t>
      </w:r>
      <w:r w:rsidRPr="00E522E6">
        <w:t xml:space="preserve"> </w:t>
      </w:r>
      <w:r w:rsidRPr="00714259">
        <w:t>assets</w:t>
      </w:r>
    </w:p>
    <w:p w14:paraId="311EE279" w14:textId="208B4CF7" w:rsidR="00835CB3" w:rsidRDefault="00835CB3" w:rsidP="0060253C">
      <w:pPr>
        <w:pStyle w:val="BodyText"/>
        <w:rPr>
          <w:lang w:val="en-US"/>
        </w:rPr>
      </w:pPr>
      <w:r w:rsidRPr="1526E4A1">
        <w:t xml:space="preserve">In accordance with AASB 137, the general government’s contingent assets are disclosed </w:t>
      </w:r>
      <w:r w:rsidR="0055049C" w:rsidRPr="1526E4A1">
        <w:t>when</w:t>
      </w:r>
      <w:r w:rsidR="3052D311" w:rsidRPr="1526E4A1">
        <w:t xml:space="preserve"> an inflow of economic benefits </w:t>
      </w:r>
      <w:r w:rsidR="00510194" w:rsidRPr="1526E4A1">
        <w:t xml:space="preserve">from them </w:t>
      </w:r>
      <w:r w:rsidR="3052D311" w:rsidRPr="1526E4A1">
        <w:t>is probable</w:t>
      </w:r>
      <w:r w:rsidRPr="1526E4A1">
        <w:t xml:space="preserve">. This means the uncertain future event </w:t>
      </w:r>
      <w:r w:rsidR="69287A71" w:rsidRPr="1526E4A1">
        <w:t xml:space="preserve">that </w:t>
      </w:r>
      <w:r w:rsidRPr="1526E4A1">
        <w:t>they are contingent upon is more likely than not to occur. A contingent asset will</w:t>
      </w:r>
      <w:r w:rsidR="004846D3" w:rsidRPr="1526E4A1">
        <w:t xml:space="preserve"> subsequently</w:t>
      </w:r>
      <w:r w:rsidRPr="1526E4A1">
        <w:t xml:space="preserve"> be recognised as an asset on the balance sheet if it </w:t>
      </w:r>
      <w:r w:rsidR="009418F2" w:rsidRPr="1526E4A1">
        <w:t xml:space="preserve">either materialises or </w:t>
      </w:r>
      <w:r w:rsidRPr="1526E4A1">
        <w:t xml:space="preserve">becomes virtually certain to </w:t>
      </w:r>
      <w:r w:rsidR="003D0AA0" w:rsidRPr="1526E4A1">
        <w:t>result in</w:t>
      </w:r>
      <w:r w:rsidRPr="1526E4A1">
        <w:t xml:space="preserve"> an inflow of economic benefit</w:t>
      </w:r>
      <w:r w:rsidR="007609FE" w:rsidRPr="1526E4A1">
        <w:t>s</w:t>
      </w:r>
      <w:r w:rsidRPr="1526E4A1">
        <w:t>.</w:t>
      </w:r>
    </w:p>
    <w:p w14:paraId="26E9F742" w14:textId="365506F7" w:rsidR="00CD149C" w:rsidRDefault="000F5512" w:rsidP="0060253C">
      <w:pPr>
        <w:pStyle w:val="BodyText"/>
        <w:rPr>
          <w:lang w:val="en-US"/>
        </w:rPr>
      </w:pPr>
      <w:r w:rsidRPr="1526E4A1">
        <w:t xml:space="preserve">Table </w:t>
      </w:r>
      <w:r w:rsidR="003D4DBD" w:rsidRPr="1526E4A1">
        <w:t xml:space="preserve">C.1 lists the general government sector’s quantifiable contingent assets as </w:t>
      </w:r>
      <w:proofErr w:type="gramStart"/>
      <w:r w:rsidR="003D4DBD" w:rsidRPr="1526E4A1">
        <w:t>at</w:t>
      </w:r>
      <w:proofErr w:type="gramEnd"/>
      <w:r w:rsidR="003D4DBD" w:rsidRPr="1526E4A1">
        <w:t xml:space="preserve"> 30</w:t>
      </w:r>
      <w:r w:rsidR="004B40B7" w:rsidRPr="1526E4A1">
        <w:t> </w:t>
      </w:r>
      <w:r w:rsidR="299C38BA" w:rsidRPr="1526E4A1">
        <w:t>April</w:t>
      </w:r>
      <w:r w:rsidR="00840980" w:rsidRPr="1526E4A1">
        <w:t> </w:t>
      </w:r>
      <w:r w:rsidR="003D4DBD" w:rsidRPr="1526E4A1">
        <w:t>202</w:t>
      </w:r>
      <w:r w:rsidR="7FCD5149" w:rsidRPr="1526E4A1">
        <w:t>4</w:t>
      </w:r>
      <w:r w:rsidR="003239D6" w:rsidRPr="1526E4A1">
        <w:t xml:space="preserve"> (and</w:t>
      </w:r>
      <w:r w:rsidR="000B764B" w:rsidRPr="1526E4A1">
        <w:t xml:space="preserve"> for comparison, </w:t>
      </w:r>
      <w:r w:rsidR="0011538C" w:rsidRPr="1526E4A1">
        <w:t xml:space="preserve">30 </w:t>
      </w:r>
      <w:r w:rsidR="2C4DB683" w:rsidRPr="1526E4A1">
        <w:t xml:space="preserve">June </w:t>
      </w:r>
      <w:r w:rsidR="00AF76FD" w:rsidRPr="1526E4A1">
        <w:t>202</w:t>
      </w:r>
      <w:r w:rsidR="5CF2031A" w:rsidRPr="1526E4A1">
        <w:t>3</w:t>
      </w:r>
      <w:r w:rsidR="00AF76FD" w:rsidRPr="1526E4A1">
        <w:t>)</w:t>
      </w:r>
      <w:r w:rsidR="003D4DBD" w:rsidRPr="1526E4A1">
        <w:t>.</w:t>
      </w:r>
    </w:p>
    <w:p w14:paraId="5D80EC18" w14:textId="77777777" w:rsidR="00F92EB1" w:rsidRPr="00545AA4" w:rsidRDefault="00F92EB1" w:rsidP="00383496">
      <w:pPr>
        <w:pStyle w:val="TableCX"/>
      </w:pPr>
      <w:r w:rsidRPr="00545AA4">
        <w:t>General government quantifiable contingent assets</w:t>
      </w:r>
    </w:p>
    <w:tbl>
      <w:tblPr>
        <w:tblStyle w:val="TableGrid1"/>
        <w:tblW w:w="9622" w:type="dxa"/>
        <w:tblInd w:w="17" w:type="dxa"/>
        <w:tblCellMar>
          <w:right w:w="223" w:type="dxa"/>
        </w:tblCellMar>
        <w:tblLook w:val="04A0" w:firstRow="1" w:lastRow="0" w:firstColumn="1" w:lastColumn="0" w:noHBand="0" w:noVBand="1"/>
        <w:tblCaption w:val="Table C.1:  General government quantifiable contingent assets"/>
        <w:tblDescription w:val="Table C.1:  General government quantifiable contingent assets"/>
      </w:tblPr>
      <w:tblGrid>
        <w:gridCol w:w="6646"/>
        <w:gridCol w:w="1536"/>
        <w:gridCol w:w="1440"/>
      </w:tblGrid>
      <w:tr w:rsidR="00C40479" w:rsidRPr="00C40479" w14:paraId="09BC8EB5" w14:textId="77777777" w:rsidTr="417200EA">
        <w:trPr>
          <w:trHeight w:val="283"/>
        </w:trPr>
        <w:tc>
          <w:tcPr>
            <w:tcW w:w="6646" w:type="dxa"/>
            <w:tcBorders>
              <w:top w:val="nil"/>
              <w:left w:val="nil"/>
              <w:bottom w:val="nil"/>
              <w:right w:val="nil"/>
            </w:tcBorders>
            <w:shd w:val="clear" w:color="auto" w:fill="EBEBEB"/>
            <w:vAlign w:val="bottom"/>
          </w:tcPr>
          <w:p w14:paraId="35EE37C6" w14:textId="77777777" w:rsidR="00F92EB1" w:rsidRPr="0033263E" w:rsidRDefault="00F92EB1">
            <w:pPr>
              <w:spacing w:before="80"/>
              <w:jc w:val="center"/>
              <w:rPr>
                <w:rFonts w:ascii="Public Sans" w:hAnsi="Public Sans" w:cs="Arial"/>
                <w:sz w:val="17"/>
                <w:szCs w:val="17"/>
              </w:rPr>
            </w:pPr>
          </w:p>
        </w:tc>
        <w:tc>
          <w:tcPr>
            <w:tcW w:w="2976" w:type="dxa"/>
            <w:gridSpan w:val="2"/>
            <w:tcBorders>
              <w:top w:val="nil"/>
              <w:left w:val="nil"/>
              <w:bottom w:val="nil"/>
              <w:right w:val="nil"/>
            </w:tcBorders>
            <w:shd w:val="clear" w:color="auto" w:fill="EBEBEB"/>
            <w:vAlign w:val="bottom"/>
          </w:tcPr>
          <w:p w14:paraId="0EDE85B8" w14:textId="77777777" w:rsidR="00F92EB1" w:rsidRPr="0033263E" w:rsidRDefault="00F92EB1">
            <w:pPr>
              <w:spacing w:before="80"/>
              <w:jc w:val="center"/>
              <w:rPr>
                <w:rFonts w:ascii="Public Sans" w:hAnsi="Public Sans" w:cs="Arial"/>
                <w:sz w:val="17"/>
                <w:szCs w:val="17"/>
              </w:rPr>
            </w:pPr>
            <w:r w:rsidRPr="0033263E">
              <w:rPr>
                <w:rFonts w:ascii="Public Sans" w:hAnsi="Public Sans" w:cs="Arial"/>
                <w:sz w:val="17"/>
                <w:szCs w:val="17"/>
              </w:rPr>
              <w:t>General Government Sector</w:t>
            </w:r>
          </w:p>
        </w:tc>
      </w:tr>
      <w:tr w:rsidR="00C40479" w:rsidRPr="00C40479" w14:paraId="3D2D1736" w14:textId="77777777" w:rsidTr="417200EA">
        <w:trPr>
          <w:trHeight w:val="227"/>
        </w:trPr>
        <w:tc>
          <w:tcPr>
            <w:tcW w:w="6646" w:type="dxa"/>
            <w:tcBorders>
              <w:top w:val="nil"/>
              <w:left w:val="nil"/>
              <w:bottom w:val="nil"/>
              <w:right w:val="nil"/>
            </w:tcBorders>
            <w:shd w:val="clear" w:color="auto" w:fill="EBEBEB"/>
          </w:tcPr>
          <w:p w14:paraId="21BB6556" w14:textId="01C3DF1A" w:rsidR="00F92EB1" w:rsidRPr="0033263E" w:rsidRDefault="007A1C6A" w:rsidP="00DB4E31">
            <w:pPr>
              <w:tabs>
                <w:tab w:val="left" w:pos="1640"/>
              </w:tabs>
              <w:spacing w:before="40" w:after="40"/>
              <w:ind w:left="126"/>
              <w:jc w:val="both"/>
              <w:rPr>
                <w:rFonts w:ascii="Public Sans" w:hAnsi="Public Sans" w:cs="Arial"/>
                <w:sz w:val="17"/>
                <w:szCs w:val="17"/>
              </w:rPr>
            </w:pPr>
            <w:r w:rsidRPr="0033263E">
              <w:rPr>
                <w:rFonts w:ascii="Public Sans" w:hAnsi="Public Sans" w:cs="Arial"/>
                <w:sz w:val="17"/>
                <w:szCs w:val="17"/>
              </w:rPr>
              <w:t>As at:</w:t>
            </w:r>
          </w:p>
        </w:tc>
        <w:tc>
          <w:tcPr>
            <w:tcW w:w="1536" w:type="dxa"/>
            <w:tcBorders>
              <w:top w:val="nil"/>
              <w:left w:val="nil"/>
              <w:bottom w:val="nil"/>
              <w:right w:val="nil"/>
            </w:tcBorders>
            <w:shd w:val="clear" w:color="auto" w:fill="EBEBEB"/>
            <w:vAlign w:val="bottom"/>
          </w:tcPr>
          <w:p w14:paraId="2D2B54D5" w14:textId="7276281A" w:rsidR="00F92EB1" w:rsidRPr="0033263E" w:rsidRDefault="0033C693" w:rsidP="33D22F21">
            <w:pPr>
              <w:spacing w:before="40" w:after="40"/>
              <w:ind w:left="75"/>
              <w:jc w:val="center"/>
              <w:rPr>
                <w:rFonts w:ascii="Public Sans" w:hAnsi="Public Sans" w:cs="Arial"/>
                <w:sz w:val="17"/>
                <w:szCs w:val="17"/>
              </w:rPr>
            </w:pPr>
            <w:r w:rsidRPr="0033263E">
              <w:rPr>
                <w:rFonts w:ascii="Public Sans" w:hAnsi="Public Sans" w:cs="Arial"/>
                <w:sz w:val="17"/>
                <w:szCs w:val="17"/>
              </w:rPr>
              <w:t xml:space="preserve">30 </w:t>
            </w:r>
            <w:r w:rsidR="36A46F55" w:rsidRPr="0033263E">
              <w:rPr>
                <w:rFonts w:ascii="Public Sans" w:hAnsi="Public Sans" w:cs="Arial"/>
                <w:sz w:val="17"/>
                <w:szCs w:val="17"/>
              </w:rPr>
              <w:t xml:space="preserve">June </w:t>
            </w:r>
            <w:r w:rsidRPr="0033263E">
              <w:rPr>
                <w:rFonts w:ascii="Public Sans" w:hAnsi="Public Sans" w:cs="Arial"/>
                <w:sz w:val="17"/>
                <w:szCs w:val="17"/>
              </w:rPr>
              <w:t>202</w:t>
            </w:r>
            <w:r w:rsidR="78E0D29E" w:rsidRPr="0033263E">
              <w:rPr>
                <w:rFonts w:ascii="Public Sans" w:hAnsi="Public Sans" w:cs="Arial"/>
                <w:sz w:val="17"/>
                <w:szCs w:val="17"/>
              </w:rPr>
              <w:t>3</w:t>
            </w:r>
          </w:p>
        </w:tc>
        <w:tc>
          <w:tcPr>
            <w:tcW w:w="1440" w:type="dxa"/>
            <w:tcBorders>
              <w:top w:val="nil"/>
              <w:left w:val="nil"/>
              <w:bottom w:val="nil"/>
              <w:right w:val="nil"/>
            </w:tcBorders>
            <w:shd w:val="clear" w:color="auto" w:fill="EBEBEB"/>
            <w:vAlign w:val="bottom"/>
          </w:tcPr>
          <w:p w14:paraId="726238E1" w14:textId="486D1707" w:rsidR="00F92EB1" w:rsidRPr="0033263E" w:rsidRDefault="71E0FBBE">
            <w:pPr>
              <w:spacing w:before="40" w:after="40"/>
              <w:jc w:val="center"/>
              <w:rPr>
                <w:rFonts w:ascii="Public Sans" w:hAnsi="Public Sans" w:cs="Arial"/>
                <w:sz w:val="17"/>
                <w:szCs w:val="17"/>
              </w:rPr>
            </w:pPr>
            <w:r w:rsidRPr="0033263E">
              <w:rPr>
                <w:rFonts w:ascii="Public Sans" w:hAnsi="Public Sans" w:cs="Arial"/>
                <w:sz w:val="17"/>
                <w:szCs w:val="17"/>
              </w:rPr>
              <w:t xml:space="preserve">30 </w:t>
            </w:r>
            <w:r w:rsidR="56483723" w:rsidRPr="0033263E">
              <w:rPr>
                <w:rFonts w:ascii="Public Sans" w:hAnsi="Public Sans" w:cs="Arial"/>
                <w:sz w:val="17"/>
                <w:szCs w:val="17"/>
              </w:rPr>
              <w:t xml:space="preserve">April </w:t>
            </w:r>
            <w:r w:rsidR="00F92EB1" w:rsidRPr="0033263E">
              <w:rPr>
                <w:rFonts w:ascii="Public Sans" w:hAnsi="Public Sans" w:cs="Arial"/>
                <w:sz w:val="17"/>
                <w:szCs w:val="17"/>
              </w:rPr>
              <w:t>202</w:t>
            </w:r>
            <w:r w:rsidR="173F1401" w:rsidRPr="0033263E">
              <w:rPr>
                <w:rFonts w:ascii="Public Sans" w:hAnsi="Public Sans" w:cs="Arial"/>
                <w:sz w:val="17"/>
                <w:szCs w:val="17"/>
              </w:rPr>
              <w:t>4</w:t>
            </w:r>
          </w:p>
        </w:tc>
      </w:tr>
      <w:tr w:rsidR="00C40479" w:rsidRPr="00C40479" w14:paraId="4519E43F" w14:textId="77777777" w:rsidTr="417200EA">
        <w:trPr>
          <w:trHeight w:val="283"/>
        </w:trPr>
        <w:tc>
          <w:tcPr>
            <w:tcW w:w="6646" w:type="dxa"/>
            <w:tcBorders>
              <w:top w:val="nil"/>
              <w:left w:val="nil"/>
              <w:bottom w:val="nil"/>
              <w:right w:val="nil"/>
            </w:tcBorders>
            <w:shd w:val="clear" w:color="auto" w:fill="EBEBEB"/>
          </w:tcPr>
          <w:p w14:paraId="05E035AF" w14:textId="77777777" w:rsidR="00F92EB1" w:rsidRPr="0033263E" w:rsidRDefault="00F92EB1">
            <w:pPr>
              <w:spacing w:after="80"/>
              <w:jc w:val="center"/>
              <w:rPr>
                <w:rFonts w:ascii="Public Sans" w:hAnsi="Public Sans" w:cs="Arial"/>
                <w:sz w:val="17"/>
                <w:szCs w:val="17"/>
              </w:rPr>
            </w:pPr>
          </w:p>
        </w:tc>
        <w:tc>
          <w:tcPr>
            <w:tcW w:w="1536" w:type="dxa"/>
            <w:tcBorders>
              <w:top w:val="nil"/>
              <w:left w:val="nil"/>
              <w:bottom w:val="nil"/>
              <w:right w:val="nil"/>
            </w:tcBorders>
            <w:shd w:val="clear" w:color="auto" w:fill="EBEBEB"/>
          </w:tcPr>
          <w:p w14:paraId="05781D7F" w14:textId="77777777" w:rsidR="00F92EB1" w:rsidRPr="0033263E" w:rsidRDefault="00F92EB1">
            <w:pPr>
              <w:spacing w:after="80"/>
              <w:jc w:val="center"/>
              <w:rPr>
                <w:rFonts w:ascii="Public Sans" w:hAnsi="Public Sans" w:cs="Arial"/>
                <w:sz w:val="17"/>
                <w:szCs w:val="17"/>
              </w:rPr>
            </w:pPr>
            <w:r w:rsidRPr="0033263E">
              <w:rPr>
                <w:rFonts w:ascii="Public Sans" w:hAnsi="Public Sans" w:cs="Arial"/>
                <w:sz w:val="17"/>
                <w:szCs w:val="17"/>
              </w:rPr>
              <w:t>$m</w:t>
            </w:r>
          </w:p>
        </w:tc>
        <w:tc>
          <w:tcPr>
            <w:tcW w:w="1440" w:type="dxa"/>
            <w:tcBorders>
              <w:top w:val="nil"/>
              <w:left w:val="nil"/>
              <w:bottom w:val="nil"/>
              <w:right w:val="nil"/>
            </w:tcBorders>
            <w:shd w:val="clear" w:color="auto" w:fill="EBEBEB"/>
          </w:tcPr>
          <w:p w14:paraId="6C1036F9" w14:textId="77777777" w:rsidR="00F92EB1" w:rsidRPr="0033263E" w:rsidRDefault="00F92EB1">
            <w:pPr>
              <w:spacing w:after="80"/>
              <w:jc w:val="center"/>
              <w:rPr>
                <w:rFonts w:ascii="Public Sans" w:hAnsi="Public Sans" w:cs="Arial"/>
                <w:sz w:val="17"/>
                <w:szCs w:val="17"/>
              </w:rPr>
            </w:pPr>
            <w:r w:rsidRPr="0033263E">
              <w:rPr>
                <w:rFonts w:ascii="Public Sans" w:hAnsi="Public Sans" w:cs="Arial"/>
                <w:sz w:val="17"/>
                <w:szCs w:val="17"/>
              </w:rPr>
              <w:t>$m</w:t>
            </w:r>
          </w:p>
        </w:tc>
      </w:tr>
      <w:tr w:rsidR="00C40479" w:rsidRPr="00C40479" w14:paraId="61D13561" w14:textId="77777777" w:rsidTr="417200EA">
        <w:trPr>
          <w:trHeight w:val="283"/>
        </w:trPr>
        <w:tc>
          <w:tcPr>
            <w:tcW w:w="6646" w:type="dxa"/>
            <w:tcBorders>
              <w:top w:val="nil"/>
              <w:left w:val="nil"/>
              <w:bottom w:val="nil"/>
              <w:right w:val="nil"/>
            </w:tcBorders>
            <w:vAlign w:val="bottom"/>
          </w:tcPr>
          <w:p w14:paraId="0D560D0C" w14:textId="41907232" w:rsidR="00F92EB1" w:rsidRPr="0033263E" w:rsidRDefault="161497C6" w:rsidP="33D22F21">
            <w:pPr>
              <w:ind w:left="28"/>
              <w:rPr>
                <w:rFonts w:ascii="Public Sans" w:hAnsi="Public Sans" w:cs="Arial"/>
                <w:sz w:val="16"/>
                <w:szCs w:val="16"/>
              </w:rPr>
            </w:pPr>
            <w:r w:rsidRPr="0033263E">
              <w:rPr>
                <w:rFonts w:ascii="Public Sans" w:hAnsi="Public Sans" w:cs="Arial"/>
                <w:sz w:val="16"/>
                <w:szCs w:val="16"/>
              </w:rPr>
              <w:t>Service NSW</w:t>
            </w:r>
            <w:r w:rsidR="00F92EB1" w:rsidRPr="0033263E">
              <w:rPr>
                <w:rFonts w:ascii="Public Sans" w:hAnsi="Public Sans" w:cs="Arial"/>
                <w:sz w:val="16"/>
                <w:szCs w:val="16"/>
                <w:vertAlign w:val="superscript"/>
              </w:rPr>
              <w:t>(a)</w:t>
            </w:r>
          </w:p>
        </w:tc>
        <w:tc>
          <w:tcPr>
            <w:tcW w:w="1536" w:type="dxa"/>
            <w:tcBorders>
              <w:top w:val="nil"/>
              <w:left w:val="nil"/>
              <w:bottom w:val="nil"/>
              <w:right w:val="nil"/>
            </w:tcBorders>
            <w:vAlign w:val="bottom"/>
          </w:tcPr>
          <w:p w14:paraId="393F35C4" w14:textId="7D466974" w:rsidR="00F92EB1" w:rsidRPr="0033263E" w:rsidRDefault="0AEC10D3" w:rsidP="33D22F21">
            <w:pPr>
              <w:ind w:left="28" w:right="340"/>
              <w:jc w:val="right"/>
              <w:rPr>
                <w:rFonts w:ascii="Public Sans" w:hAnsi="Public Sans" w:cs="Arial"/>
                <w:sz w:val="16"/>
                <w:szCs w:val="16"/>
              </w:rPr>
            </w:pPr>
            <w:r w:rsidRPr="0033263E">
              <w:rPr>
                <w:rFonts w:ascii="Public Sans" w:hAnsi="Public Sans" w:cs="Arial"/>
                <w:sz w:val="16"/>
                <w:szCs w:val="16"/>
              </w:rPr>
              <w:t>103</w:t>
            </w:r>
          </w:p>
        </w:tc>
        <w:tc>
          <w:tcPr>
            <w:tcW w:w="1440" w:type="dxa"/>
            <w:tcBorders>
              <w:top w:val="nil"/>
              <w:left w:val="nil"/>
              <w:bottom w:val="nil"/>
              <w:right w:val="nil"/>
            </w:tcBorders>
            <w:vAlign w:val="bottom"/>
          </w:tcPr>
          <w:p w14:paraId="48FE60B7" w14:textId="76F91190" w:rsidR="00F92EB1" w:rsidRPr="0033263E" w:rsidRDefault="00106330" w:rsidP="33D22F21">
            <w:pPr>
              <w:ind w:left="28" w:right="340"/>
              <w:jc w:val="right"/>
              <w:rPr>
                <w:rFonts w:ascii="Public Sans" w:hAnsi="Public Sans" w:cs="Arial"/>
                <w:sz w:val="16"/>
                <w:szCs w:val="16"/>
                <w:highlight w:val="yellow"/>
              </w:rPr>
            </w:pPr>
            <w:r w:rsidRPr="0033263E">
              <w:rPr>
                <w:rFonts w:ascii="Public Sans" w:hAnsi="Public Sans" w:cs="Arial"/>
                <w:sz w:val="16"/>
                <w:szCs w:val="16"/>
              </w:rPr>
              <w:t>109</w:t>
            </w:r>
          </w:p>
        </w:tc>
      </w:tr>
      <w:tr w:rsidR="008976A8" w:rsidRPr="00C40479" w14:paraId="011FE926" w14:textId="77777777" w:rsidTr="00E152DB">
        <w:trPr>
          <w:trHeight w:val="340"/>
        </w:trPr>
        <w:tc>
          <w:tcPr>
            <w:tcW w:w="6646" w:type="dxa"/>
            <w:tcBorders>
              <w:top w:val="nil"/>
              <w:left w:val="nil"/>
              <w:bottom w:val="nil"/>
              <w:right w:val="nil"/>
            </w:tcBorders>
            <w:vAlign w:val="bottom"/>
          </w:tcPr>
          <w:p w14:paraId="33375AC8" w14:textId="721980E1" w:rsidR="008976A8" w:rsidRPr="0033263E" w:rsidRDefault="008976A8" w:rsidP="33D22F21">
            <w:pPr>
              <w:ind w:left="28"/>
              <w:rPr>
                <w:rFonts w:ascii="Public Sans" w:hAnsi="Public Sans" w:cs="Arial"/>
                <w:sz w:val="16"/>
                <w:szCs w:val="16"/>
              </w:rPr>
            </w:pPr>
            <w:r w:rsidRPr="0033263E">
              <w:rPr>
                <w:rFonts w:ascii="Public Sans" w:hAnsi="Public Sans" w:cs="Arial"/>
                <w:sz w:val="16"/>
                <w:szCs w:val="16"/>
              </w:rPr>
              <w:t xml:space="preserve">Other </w:t>
            </w:r>
            <w:r w:rsidR="00B1292C" w:rsidRPr="0033263E">
              <w:rPr>
                <w:rFonts w:ascii="Public Sans" w:hAnsi="Public Sans" w:cs="Arial"/>
                <w:sz w:val="16"/>
                <w:szCs w:val="16"/>
              </w:rPr>
              <w:t>A</w:t>
            </w:r>
            <w:r w:rsidRPr="0033263E">
              <w:rPr>
                <w:rFonts w:ascii="Public Sans" w:hAnsi="Public Sans" w:cs="Arial"/>
                <w:sz w:val="16"/>
                <w:szCs w:val="16"/>
              </w:rPr>
              <w:t>gencies</w:t>
            </w:r>
          </w:p>
        </w:tc>
        <w:tc>
          <w:tcPr>
            <w:tcW w:w="1536" w:type="dxa"/>
            <w:tcBorders>
              <w:top w:val="nil"/>
              <w:left w:val="nil"/>
              <w:bottom w:val="nil"/>
              <w:right w:val="nil"/>
            </w:tcBorders>
            <w:vAlign w:val="bottom"/>
          </w:tcPr>
          <w:p w14:paraId="6DA27CA0" w14:textId="32EA7DE9" w:rsidR="008976A8" w:rsidRPr="0033263E" w:rsidRDefault="00E91CBA" w:rsidP="00775E30">
            <w:pPr>
              <w:ind w:left="28" w:right="340"/>
              <w:jc w:val="right"/>
              <w:rPr>
                <w:rFonts w:ascii="Public Sans" w:hAnsi="Public Sans" w:cs="Arial"/>
                <w:sz w:val="16"/>
                <w:szCs w:val="16"/>
              </w:rPr>
            </w:pPr>
            <w:r w:rsidRPr="0033263E">
              <w:rPr>
                <w:rFonts w:ascii="Public Sans" w:hAnsi="Public Sans" w:cs="Arial"/>
                <w:sz w:val="16"/>
                <w:szCs w:val="16"/>
              </w:rPr>
              <w:t>0</w:t>
            </w:r>
          </w:p>
        </w:tc>
        <w:tc>
          <w:tcPr>
            <w:tcW w:w="1440" w:type="dxa"/>
            <w:tcBorders>
              <w:top w:val="nil"/>
              <w:left w:val="nil"/>
              <w:bottom w:val="nil"/>
              <w:right w:val="nil"/>
            </w:tcBorders>
            <w:vAlign w:val="bottom"/>
          </w:tcPr>
          <w:p w14:paraId="0D93FB64" w14:textId="6D2D402A" w:rsidR="008976A8" w:rsidRPr="0033263E" w:rsidRDefault="00385428" w:rsidP="00775E30">
            <w:pPr>
              <w:ind w:left="28" w:right="340"/>
              <w:jc w:val="right"/>
              <w:rPr>
                <w:rFonts w:ascii="Public Sans" w:hAnsi="Public Sans" w:cs="Arial"/>
                <w:sz w:val="16"/>
                <w:szCs w:val="16"/>
                <w:highlight w:val="yellow"/>
              </w:rPr>
            </w:pPr>
            <w:r w:rsidRPr="0033263E">
              <w:rPr>
                <w:rFonts w:ascii="Public Sans" w:hAnsi="Public Sans" w:cs="Arial"/>
                <w:sz w:val="16"/>
                <w:szCs w:val="16"/>
              </w:rPr>
              <w:t>2</w:t>
            </w:r>
          </w:p>
        </w:tc>
      </w:tr>
      <w:tr w:rsidR="00C40479" w:rsidRPr="00C40479" w14:paraId="5209AE7E" w14:textId="77777777" w:rsidTr="417200EA">
        <w:trPr>
          <w:trHeight w:val="340"/>
        </w:trPr>
        <w:tc>
          <w:tcPr>
            <w:tcW w:w="6646" w:type="dxa"/>
            <w:tcBorders>
              <w:top w:val="single" w:sz="4" w:space="0" w:color="auto"/>
              <w:left w:val="nil"/>
              <w:bottom w:val="single" w:sz="6" w:space="0" w:color="000000" w:themeColor="text1"/>
              <w:right w:val="nil"/>
            </w:tcBorders>
          </w:tcPr>
          <w:p w14:paraId="6FE49679" w14:textId="77777777" w:rsidR="00F92EB1" w:rsidRPr="0033263E" w:rsidRDefault="00F92EB1">
            <w:pPr>
              <w:jc w:val="center"/>
              <w:rPr>
                <w:rFonts w:ascii="Public Sans" w:hAnsi="Public Sans" w:cs="Arial"/>
                <w:sz w:val="16"/>
                <w:szCs w:val="16"/>
              </w:rPr>
            </w:pPr>
          </w:p>
        </w:tc>
        <w:tc>
          <w:tcPr>
            <w:tcW w:w="1536" w:type="dxa"/>
            <w:tcBorders>
              <w:top w:val="single" w:sz="4" w:space="0" w:color="auto"/>
              <w:left w:val="nil"/>
              <w:bottom w:val="single" w:sz="6" w:space="0" w:color="000000" w:themeColor="text1"/>
              <w:right w:val="nil"/>
            </w:tcBorders>
            <w:vAlign w:val="center"/>
          </w:tcPr>
          <w:p w14:paraId="2F6D9213" w14:textId="52E524E3" w:rsidR="00F92EB1" w:rsidRPr="0033263E" w:rsidRDefault="6DFC6394" w:rsidP="006A7891">
            <w:pPr>
              <w:ind w:left="-28" w:right="340"/>
              <w:jc w:val="right"/>
              <w:rPr>
                <w:rFonts w:ascii="Public Sans" w:eastAsia="Arial" w:hAnsi="Public Sans" w:cs="Arial"/>
                <w:b/>
                <w:bCs/>
                <w:sz w:val="16"/>
                <w:szCs w:val="16"/>
              </w:rPr>
            </w:pPr>
            <w:r w:rsidRPr="0033263E">
              <w:rPr>
                <w:rFonts w:ascii="Public Sans" w:eastAsia="Arial" w:hAnsi="Public Sans" w:cs="Arial"/>
                <w:b/>
                <w:bCs/>
                <w:sz w:val="16"/>
                <w:szCs w:val="16"/>
              </w:rPr>
              <w:t>103</w:t>
            </w:r>
          </w:p>
        </w:tc>
        <w:tc>
          <w:tcPr>
            <w:tcW w:w="1440" w:type="dxa"/>
            <w:tcBorders>
              <w:top w:val="single" w:sz="4" w:space="0" w:color="auto"/>
              <w:left w:val="nil"/>
              <w:bottom w:val="single" w:sz="6" w:space="0" w:color="000000" w:themeColor="text1"/>
              <w:right w:val="nil"/>
            </w:tcBorders>
            <w:vAlign w:val="center"/>
          </w:tcPr>
          <w:p w14:paraId="1989AEF5" w14:textId="4C0CF7A6" w:rsidR="00F92EB1" w:rsidRPr="0033263E" w:rsidRDefault="00903FAF" w:rsidP="349C8067">
            <w:pPr>
              <w:ind w:right="340"/>
              <w:jc w:val="right"/>
              <w:rPr>
                <w:rFonts w:ascii="Public Sans" w:eastAsia="Arial" w:hAnsi="Public Sans" w:cs="Arial"/>
                <w:b/>
                <w:bCs/>
                <w:sz w:val="16"/>
                <w:szCs w:val="16"/>
                <w:highlight w:val="yellow"/>
              </w:rPr>
            </w:pPr>
            <w:r w:rsidRPr="0033263E">
              <w:rPr>
                <w:rFonts w:ascii="Public Sans" w:eastAsia="Arial" w:hAnsi="Public Sans" w:cs="Arial"/>
                <w:b/>
                <w:bCs/>
                <w:sz w:val="16"/>
                <w:szCs w:val="16"/>
              </w:rPr>
              <w:t>111</w:t>
            </w:r>
          </w:p>
        </w:tc>
      </w:tr>
    </w:tbl>
    <w:p w14:paraId="5877E82C" w14:textId="77777777" w:rsidR="00F92EB1" w:rsidRPr="00CD4263" w:rsidRDefault="00F92EB1" w:rsidP="00F92EB1">
      <w:pPr>
        <w:spacing w:before="240" w:after="100"/>
        <w:ind w:left="362"/>
        <w:contextualSpacing/>
        <w:rPr>
          <w:rFonts w:ascii="Arial" w:eastAsia="Calibri" w:hAnsi="Arial" w:cs="Arial"/>
          <w:sz w:val="6"/>
          <w:szCs w:val="6"/>
          <w:lang w:val="en-AU"/>
        </w:rPr>
      </w:pPr>
    </w:p>
    <w:p w14:paraId="76C4638C" w14:textId="2D4EA2AC" w:rsidR="005819DD" w:rsidRPr="0085089B" w:rsidRDefault="001B287E" w:rsidP="417200EA">
      <w:pPr>
        <w:numPr>
          <w:ilvl w:val="0"/>
          <w:numId w:val="1"/>
        </w:numPr>
        <w:spacing w:before="240" w:after="100"/>
        <w:ind w:hanging="357"/>
        <w:contextualSpacing/>
        <w:rPr>
          <w:rFonts w:ascii="Public Sans" w:eastAsia="Calibri" w:hAnsi="Public Sans" w:cs="Arial"/>
          <w:sz w:val="17"/>
          <w:szCs w:val="17"/>
          <w:lang w:val="en-AU"/>
        </w:rPr>
      </w:pPr>
      <w:r w:rsidRPr="0085089B">
        <w:rPr>
          <w:rFonts w:ascii="Public Sans" w:eastAsia="Calibri" w:hAnsi="Public Sans" w:cs="Arial"/>
          <w:sz w:val="17"/>
          <w:szCs w:val="17"/>
          <w:lang w:val="en-AU"/>
        </w:rPr>
        <w:t>Service NSW</w:t>
      </w:r>
      <w:r w:rsidR="00B560DE" w:rsidRPr="0085089B">
        <w:rPr>
          <w:rFonts w:ascii="Public Sans" w:eastAsia="Calibri" w:hAnsi="Public Sans" w:cs="Arial"/>
          <w:sz w:val="17"/>
          <w:szCs w:val="17"/>
          <w:lang w:val="en-AU"/>
        </w:rPr>
        <w:t xml:space="preserve"> </w:t>
      </w:r>
      <w:r w:rsidR="00C040D1" w:rsidRPr="0085089B">
        <w:rPr>
          <w:rStyle w:val="normaltextrun"/>
          <w:rFonts w:ascii="Public Sans" w:hAnsi="Public Sans" w:cs="Arial"/>
          <w:color w:val="000000"/>
          <w:sz w:val="17"/>
          <w:szCs w:val="17"/>
          <w:shd w:val="clear" w:color="auto" w:fill="FFFFFF"/>
        </w:rPr>
        <w:t>is seeking the recovery of funds relating to various COVID</w:t>
      </w:r>
      <w:r w:rsidR="00422549" w:rsidRPr="0085089B">
        <w:rPr>
          <w:rStyle w:val="normaltextrun"/>
          <w:rFonts w:ascii="Public Sans" w:hAnsi="Public Sans" w:cs="Arial"/>
          <w:color w:val="000000"/>
          <w:sz w:val="17"/>
          <w:szCs w:val="17"/>
          <w:shd w:val="clear" w:color="auto" w:fill="FFFFFF"/>
        </w:rPr>
        <w:t>-19</w:t>
      </w:r>
      <w:r w:rsidR="00C040D1" w:rsidRPr="0085089B">
        <w:rPr>
          <w:rStyle w:val="normaltextrun"/>
          <w:rFonts w:ascii="Public Sans" w:hAnsi="Public Sans" w:cs="Arial"/>
          <w:color w:val="000000"/>
          <w:sz w:val="17"/>
          <w:szCs w:val="17"/>
          <w:shd w:val="clear" w:color="auto" w:fill="FFFFFF"/>
        </w:rPr>
        <w:t xml:space="preserve"> </w:t>
      </w:r>
      <w:r w:rsidR="00106330" w:rsidRPr="0085089B">
        <w:rPr>
          <w:rStyle w:val="normaltextrun"/>
          <w:rFonts w:ascii="Public Sans" w:hAnsi="Public Sans" w:cs="Arial"/>
          <w:color w:val="000000"/>
          <w:sz w:val="17"/>
          <w:szCs w:val="17"/>
          <w:shd w:val="clear" w:color="auto" w:fill="FFFFFF"/>
        </w:rPr>
        <w:t xml:space="preserve">and Disaster Recovery </w:t>
      </w:r>
      <w:r w:rsidR="00C040D1" w:rsidRPr="0085089B">
        <w:rPr>
          <w:rStyle w:val="normaltextrun"/>
          <w:rFonts w:ascii="Public Sans" w:hAnsi="Public Sans" w:cs="Arial"/>
          <w:color w:val="000000"/>
          <w:sz w:val="17"/>
          <w:szCs w:val="17"/>
          <w:shd w:val="clear" w:color="auto" w:fill="FFFFFF"/>
        </w:rPr>
        <w:t>measures that were paid out through fraud or error</w:t>
      </w:r>
      <w:r w:rsidR="00C040D1" w:rsidRPr="0085089B" w:rsidDel="00C040D1">
        <w:rPr>
          <w:rFonts w:ascii="Public Sans" w:eastAsia="Calibri" w:hAnsi="Public Sans" w:cs="Arial"/>
          <w:sz w:val="17"/>
          <w:szCs w:val="17"/>
          <w:lang w:val="en-AU"/>
        </w:rPr>
        <w:t xml:space="preserve"> </w:t>
      </w:r>
      <w:r w:rsidR="007D469F" w:rsidRPr="0085089B">
        <w:rPr>
          <w:rFonts w:ascii="Public Sans" w:eastAsia="Calibri" w:hAnsi="Public Sans" w:cs="Arial"/>
          <w:sz w:val="17"/>
          <w:szCs w:val="17"/>
          <w:lang w:val="en-AU"/>
        </w:rPr>
        <w:t xml:space="preserve">with an estimated </w:t>
      </w:r>
      <w:r w:rsidR="00975052" w:rsidRPr="0085089B">
        <w:rPr>
          <w:rFonts w:ascii="Public Sans" w:eastAsia="Calibri" w:hAnsi="Public Sans" w:cs="Arial"/>
          <w:sz w:val="17"/>
          <w:szCs w:val="17"/>
          <w:lang w:val="en-AU"/>
        </w:rPr>
        <w:t xml:space="preserve">value </w:t>
      </w:r>
      <w:r w:rsidR="007D469F" w:rsidRPr="0085089B">
        <w:rPr>
          <w:rFonts w:ascii="Public Sans" w:eastAsia="Calibri" w:hAnsi="Public Sans" w:cs="Arial"/>
          <w:sz w:val="17"/>
          <w:szCs w:val="17"/>
          <w:lang w:val="en-AU"/>
        </w:rPr>
        <w:t>of $</w:t>
      </w:r>
      <w:r w:rsidR="00106330" w:rsidRPr="0085089B">
        <w:rPr>
          <w:rFonts w:ascii="Public Sans" w:eastAsia="Calibri" w:hAnsi="Public Sans" w:cs="Arial"/>
          <w:sz w:val="17"/>
          <w:szCs w:val="17"/>
          <w:lang w:val="en-AU"/>
        </w:rPr>
        <w:t>108.9 million</w:t>
      </w:r>
      <w:r w:rsidR="00D854F2">
        <w:rPr>
          <w:rFonts w:ascii="Public Sans" w:eastAsia="Calibri" w:hAnsi="Public Sans" w:cs="Arial"/>
          <w:sz w:val="17"/>
          <w:szCs w:val="17"/>
          <w:lang w:val="en-AU"/>
        </w:rPr>
        <w:t xml:space="preserve"> as </w:t>
      </w:r>
      <w:proofErr w:type="gramStart"/>
      <w:r w:rsidR="00D854F2">
        <w:rPr>
          <w:rFonts w:ascii="Public Sans" w:eastAsia="Calibri" w:hAnsi="Public Sans" w:cs="Arial"/>
          <w:sz w:val="17"/>
          <w:szCs w:val="17"/>
          <w:lang w:val="en-AU"/>
        </w:rPr>
        <w:t>at</w:t>
      </w:r>
      <w:proofErr w:type="gramEnd"/>
      <w:r w:rsidR="00D854F2">
        <w:rPr>
          <w:rFonts w:ascii="Public Sans" w:eastAsia="Calibri" w:hAnsi="Public Sans" w:cs="Arial"/>
          <w:sz w:val="17"/>
          <w:szCs w:val="17"/>
          <w:lang w:val="en-AU"/>
        </w:rPr>
        <w:t xml:space="preserve"> 31 March 2024</w:t>
      </w:r>
      <w:r w:rsidR="00401BDF" w:rsidRPr="0085089B">
        <w:rPr>
          <w:rFonts w:ascii="Public Sans" w:eastAsia="Calibri" w:hAnsi="Public Sans" w:cs="Arial"/>
          <w:sz w:val="17"/>
          <w:szCs w:val="17"/>
          <w:lang w:val="en-AU"/>
        </w:rPr>
        <w:t>.</w:t>
      </w:r>
      <w:r w:rsidRPr="00A52908">
        <w:rPr>
          <w:rFonts w:ascii="Public Sans" w:eastAsia="Calibri" w:hAnsi="Public Sans" w:cs="Arial"/>
          <w:sz w:val="17"/>
          <w:szCs w:val="17"/>
          <w:lang w:val="en-AU"/>
        </w:rPr>
        <w:t xml:space="preserve"> </w:t>
      </w:r>
    </w:p>
    <w:p w14:paraId="4D370124" w14:textId="77777777" w:rsidR="00F92EB1" w:rsidRDefault="00F92EB1" w:rsidP="00F92EB1">
      <w:pPr>
        <w:spacing w:before="240" w:after="100" w:line="259" w:lineRule="auto"/>
        <w:ind w:left="357"/>
        <w:contextualSpacing/>
        <w:rPr>
          <w:rFonts w:ascii="Arial" w:eastAsia="Calibri" w:hAnsi="Arial" w:cs="Arial"/>
          <w:sz w:val="17"/>
          <w:szCs w:val="17"/>
          <w:lang w:val="en-AU"/>
        </w:rPr>
      </w:pPr>
    </w:p>
    <w:p w14:paraId="526D35FE" w14:textId="77777777" w:rsidR="006127A8" w:rsidRDefault="006127A8">
      <w:pPr>
        <w:rPr>
          <w:rFonts w:ascii="Public Sans" w:hAnsi="Public Sans" w:cs="Arial"/>
          <w:sz w:val="22"/>
          <w:lang w:val="en-AU"/>
        </w:rPr>
      </w:pPr>
      <w:r>
        <w:br w:type="page"/>
      </w:r>
    </w:p>
    <w:p w14:paraId="4DA8078F" w14:textId="751DE2AE" w:rsidR="004B40B7" w:rsidRDefault="00867B70" w:rsidP="0060253C">
      <w:pPr>
        <w:pStyle w:val="BodyText"/>
        <w:rPr>
          <w:lang w:val="en-US"/>
        </w:rPr>
      </w:pPr>
      <w:r w:rsidRPr="1526E4A1">
        <w:lastRenderedPageBreak/>
        <w:t>Table C.2 lists the general government sector’s non-quantifiable contingent assets</w:t>
      </w:r>
      <w:r w:rsidR="00F06047" w:rsidRPr="1526E4A1">
        <w:t xml:space="preserve"> as </w:t>
      </w:r>
      <w:proofErr w:type="gramStart"/>
      <w:r w:rsidR="00F06047" w:rsidRPr="1526E4A1">
        <w:t>at</w:t>
      </w:r>
      <w:proofErr w:type="gramEnd"/>
      <w:r w:rsidR="00F06047" w:rsidRPr="1526E4A1">
        <w:t xml:space="preserve"> 30</w:t>
      </w:r>
      <w:r w:rsidR="004B40B7" w:rsidRPr="1526E4A1">
        <w:t> </w:t>
      </w:r>
      <w:r w:rsidR="2A8EA795" w:rsidRPr="1526E4A1">
        <w:t>April</w:t>
      </w:r>
      <w:r w:rsidR="00F06047" w:rsidRPr="1526E4A1">
        <w:t xml:space="preserve"> 202</w:t>
      </w:r>
      <w:r w:rsidR="53DD2406" w:rsidRPr="1526E4A1">
        <w:t>4</w:t>
      </w:r>
      <w:r w:rsidRPr="1526E4A1">
        <w:t>.</w:t>
      </w:r>
    </w:p>
    <w:p w14:paraId="211F55FA" w14:textId="77777777" w:rsidR="00F92EB1" w:rsidRPr="00545AA4" w:rsidRDefault="00F92EB1" w:rsidP="00CD149C">
      <w:pPr>
        <w:pStyle w:val="TableCX"/>
      </w:pPr>
      <w:r w:rsidRPr="00545AA4">
        <w:t>General government non-quantifiable contingent assets</w:t>
      </w:r>
    </w:p>
    <w:tbl>
      <w:tblPr>
        <w:tblStyle w:val="TableGrid0"/>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C.2:  General government non-quantifiable contingent assets"/>
        <w:tblDescription w:val="Table C.2:  General government non-quantifiable contingent assets"/>
      </w:tblPr>
      <w:tblGrid>
        <w:gridCol w:w="4248"/>
        <w:gridCol w:w="5386"/>
      </w:tblGrid>
      <w:tr w:rsidR="00C40479" w:rsidRPr="00D2566C" w14:paraId="651F9C75" w14:textId="77777777" w:rsidTr="49287EDC">
        <w:trPr>
          <w:tblHeader/>
        </w:trPr>
        <w:tc>
          <w:tcPr>
            <w:tcW w:w="4248" w:type="dxa"/>
            <w:shd w:val="clear" w:color="auto" w:fill="EBEBEB"/>
          </w:tcPr>
          <w:p w14:paraId="4A3215A3" w14:textId="77777777" w:rsidR="00F92EB1" w:rsidRPr="00D2566C" w:rsidRDefault="00F92EB1">
            <w:pPr>
              <w:spacing w:before="120" w:after="120"/>
              <w:rPr>
                <w:rFonts w:ascii="Public Sans" w:hAnsi="Public Sans" w:cs="Arial"/>
                <w:bCs/>
                <w:sz w:val="18"/>
                <w:szCs w:val="18"/>
              </w:rPr>
            </w:pPr>
            <w:r w:rsidRPr="00D2566C">
              <w:rPr>
                <w:rFonts w:ascii="Public Sans" w:hAnsi="Public Sans" w:cs="Arial"/>
                <w:bCs/>
                <w:sz w:val="18"/>
                <w:szCs w:val="18"/>
              </w:rPr>
              <w:t>Contingent Asset</w:t>
            </w:r>
          </w:p>
        </w:tc>
        <w:tc>
          <w:tcPr>
            <w:tcW w:w="5386" w:type="dxa"/>
            <w:shd w:val="clear" w:color="auto" w:fill="EBEBEB"/>
          </w:tcPr>
          <w:p w14:paraId="7E74E26E" w14:textId="77777777" w:rsidR="00F92EB1" w:rsidRPr="00D2566C" w:rsidRDefault="00F92EB1">
            <w:pPr>
              <w:spacing w:before="120" w:after="120"/>
              <w:rPr>
                <w:rFonts w:ascii="Public Sans" w:hAnsi="Public Sans" w:cs="Arial"/>
                <w:bCs/>
                <w:sz w:val="18"/>
                <w:szCs w:val="18"/>
              </w:rPr>
            </w:pPr>
            <w:r w:rsidRPr="00D2566C">
              <w:rPr>
                <w:rFonts w:ascii="Public Sans" w:hAnsi="Public Sans" w:cs="Arial"/>
                <w:bCs/>
                <w:sz w:val="18"/>
                <w:szCs w:val="18"/>
              </w:rPr>
              <w:t>Nature of the contingent asset</w:t>
            </w:r>
          </w:p>
        </w:tc>
      </w:tr>
      <w:tr w:rsidR="00C40479" w:rsidRPr="00C40479" w14:paraId="3D0AB558" w14:textId="77777777" w:rsidTr="49287EDC">
        <w:trPr>
          <w:trHeight w:val="172"/>
        </w:trPr>
        <w:tc>
          <w:tcPr>
            <w:tcW w:w="4248" w:type="dxa"/>
            <w:tcBorders>
              <w:bottom w:val="single" w:sz="4" w:space="0" w:color="A6A6A6" w:themeColor="background1" w:themeShade="A6"/>
            </w:tcBorders>
            <w:shd w:val="clear" w:color="auto" w:fill="auto"/>
          </w:tcPr>
          <w:p w14:paraId="08C21025" w14:textId="77777777" w:rsidR="00F92EB1" w:rsidRPr="00C40479" w:rsidRDefault="00F92EB1">
            <w:pPr>
              <w:spacing w:before="80" w:after="80"/>
              <w:rPr>
                <w:rFonts w:ascii="Public Sans" w:hAnsi="Public Sans" w:cs="Arial"/>
                <w:sz w:val="18"/>
                <w:szCs w:val="18"/>
              </w:rPr>
            </w:pPr>
            <w:r w:rsidRPr="00C40479">
              <w:rPr>
                <w:rFonts w:ascii="Public Sans" w:hAnsi="Public Sans" w:cs="Arial"/>
                <w:sz w:val="18"/>
                <w:szCs w:val="18"/>
              </w:rPr>
              <w:t xml:space="preserve">Eastern Creek Alternative Waste Treatment Plant </w:t>
            </w:r>
          </w:p>
        </w:tc>
        <w:tc>
          <w:tcPr>
            <w:tcW w:w="5386" w:type="dxa"/>
            <w:tcBorders>
              <w:bottom w:val="single" w:sz="4" w:space="0" w:color="A6A6A6" w:themeColor="background1" w:themeShade="A6"/>
            </w:tcBorders>
            <w:shd w:val="clear" w:color="auto" w:fill="auto"/>
          </w:tcPr>
          <w:p w14:paraId="17F2148A" w14:textId="77EE0F03" w:rsidR="00F92EB1" w:rsidRPr="00C40479" w:rsidRDefault="00F92EB1">
            <w:pPr>
              <w:spacing w:before="80" w:after="80"/>
              <w:rPr>
                <w:rFonts w:ascii="Public Sans" w:hAnsi="Public Sans" w:cs="Arial"/>
                <w:sz w:val="18"/>
                <w:szCs w:val="18"/>
              </w:rPr>
            </w:pPr>
            <w:r w:rsidRPr="00C40479">
              <w:rPr>
                <w:rFonts w:ascii="Public Sans" w:hAnsi="Public Sans" w:cs="Arial"/>
                <w:sz w:val="18"/>
                <w:szCs w:val="18"/>
              </w:rPr>
              <w:t xml:space="preserve">The Crown in right of the State of New South Wales </w:t>
            </w:r>
            <w:r w:rsidR="008C1CB3" w:rsidRPr="00C40479">
              <w:rPr>
                <w:rFonts w:ascii="Public Sans" w:hAnsi="Public Sans" w:cs="Arial"/>
                <w:sz w:val="18"/>
                <w:szCs w:val="18"/>
              </w:rPr>
              <w:t>is the beneficiary of a</w:t>
            </w:r>
            <w:r w:rsidRPr="00C40479">
              <w:rPr>
                <w:rFonts w:ascii="Public Sans" w:hAnsi="Public Sans" w:cs="Arial"/>
                <w:sz w:val="18"/>
                <w:szCs w:val="18"/>
              </w:rPr>
              <w:t xml:space="preserve"> guarantee, which fully offsets the corresponding contingent liability. The contingent asset will be </w:t>
            </w:r>
            <w:proofErr w:type="spellStart"/>
            <w:r w:rsidR="00077606">
              <w:rPr>
                <w:rFonts w:ascii="Public Sans" w:hAnsi="Public Sans" w:cs="Arial"/>
                <w:sz w:val="18"/>
                <w:szCs w:val="18"/>
              </w:rPr>
              <w:t>r</w:t>
            </w:r>
            <w:r w:rsidR="00CF62EA">
              <w:rPr>
                <w:rFonts w:ascii="Public Sans" w:hAnsi="Public Sans" w:cs="Arial"/>
                <w:sz w:val="18"/>
                <w:szCs w:val="18"/>
              </w:rPr>
              <w:t>ecogni</w:t>
            </w:r>
            <w:r w:rsidR="00077606">
              <w:rPr>
                <w:rFonts w:ascii="Public Sans" w:hAnsi="Public Sans" w:cs="Arial"/>
                <w:sz w:val="18"/>
                <w:szCs w:val="18"/>
              </w:rPr>
              <w:t>s</w:t>
            </w:r>
            <w:r w:rsidR="00CF62EA">
              <w:rPr>
                <w:rFonts w:ascii="Public Sans" w:hAnsi="Public Sans" w:cs="Arial"/>
                <w:sz w:val="18"/>
                <w:szCs w:val="18"/>
              </w:rPr>
              <w:t>ed</w:t>
            </w:r>
            <w:proofErr w:type="spellEnd"/>
            <w:r w:rsidRPr="00C40479">
              <w:rPr>
                <w:rFonts w:ascii="Public Sans" w:hAnsi="Public Sans" w:cs="Arial"/>
                <w:sz w:val="18"/>
                <w:szCs w:val="18"/>
              </w:rPr>
              <w:t xml:space="preserve"> if the guarantee </w:t>
            </w:r>
            <w:r w:rsidR="00FC20BA" w:rsidRPr="00C40479">
              <w:rPr>
                <w:rFonts w:ascii="Public Sans" w:hAnsi="Public Sans" w:cs="Arial"/>
                <w:sz w:val="18"/>
                <w:szCs w:val="18"/>
              </w:rPr>
              <w:t>is</w:t>
            </w:r>
            <w:r w:rsidRPr="00C40479">
              <w:rPr>
                <w:rFonts w:ascii="Public Sans" w:hAnsi="Public Sans" w:cs="Arial"/>
                <w:sz w:val="18"/>
                <w:szCs w:val="18"/>
              </w:rPr>
              <w:t xml:space="preserve"> executed.</w:t>
            </w:r>
          </w:p>
        </w:tc>
      </w:tr>
      <w:tr w:rsidR="00C40479" w:rsidRPr="00C40479" w14:paraId="5CF2223A" w14:textId="77777777" w:rsidTr="49287EDC">
        <w:trPr>
          <w:trHeight w:val="172"/>
        </w:trPr>
        <w:tc>
          <w:tcPr>
            <w:tcW w:w="4248" w:type="dxa"/>
            <w:tcBorders>
              <w:top w:val="single" w:sz="4" w:space="0" w:color="A6A6A6" w:themeColor="background1" w:themeShade="A6"/>
              <w:bottom w:val="single" w:sz="4" w:space="0" w:color="A6A6A6" w:themeColor="background1" w:themeShade="A6"/>
            </w:tcBorders>
            <w:shd w:val="clear" w:color="auto" w:fill="auto"/>
          </w:tcPr>
          <w:p w14:paraId="5EDBC82F" w14:textId="226D26D1" w:rsidR="00F92EB1" w:rsidRPr="00C40479" w:rsidRDefault="00F92EB1">
            <w:pPr>
              <w:spacing w:before="80" w:after="80"/>
              <w:rPr>
                <w:rFonts w:ascii="Public Sans" w:hAnsi="Public Sans" w:cs="Arial"/>
                <w:sz w:val="18"/>
                <w:szCs w:val="16"/>
              </w:rPr>
            </w:pPr>
            <w:r w:rsidRPr="00C40479">
              <w:rPr>
                <w:rFonts w:ascii="Public Sans" w:hAnsi="Public Sans" w:cs="Arial"/>
                <w:sz w:val="18"/>
                <w:szCs w:val="16"/>
              </w:rPr>
              <w:t xml:space="preserve">HIH Insurance </w:t>
            </w:r>
            <w:r w:rsidR="001A2B25" w:rsidRPr="00C40479">
              <w:rPr>
                <w:rFonts w:ascii="Public Sans" w:hAnsi="Public Sans" w:cs="Arial"/>
                <w:sz w:val="18"/>
                <w:szCs w:val="16"/>
              </w:rPr>
              <w:t xml:space="preserve">Recoveries </w:t>
            </w:r>
          </w:p>
        </w:tc>
        <w:tc>
          <w:tcPr>
            <w:tcW w:w="5386" w:type="dxa"/>
            <w:tcBorders>
              <w:top w:val="single" w:sz="4" w:space="0" w:color="A6A6A6" w:themeColor="background1" w:themeShade="A6"/>
              <w:bottom w:val="single" w:sz="4" w:space="0" w:color="A6A6A6" w:themeColor="background1" w:themeShade="A6"/>
            </w:tcBorders>
            <w:shd w:val="clear" w:color="auto" w:fill="auto"/>
          </w:tcPr>
          <w:p w14:paraId="309B9D66" w14:textId="55CCE364" w:rsidR="00F92EB1" w:rsidRPr="00C40479" w:rsidRDefault="00F92EB1">
            <w:pPr>
              <w:spacing w:before="80" w:after="80"/>
              <w:rPr>
                <w:rFonts w:ascii="Public Sans" w:hAnsi="Public Sans" w:cs="Arial"/>
                <w:sz w:val="18"/>
                <w:szCs w:val="18"/>
              </w:rPr>
            </w:pPr>
            <w:r w:rsidRPr="00C40479">
              <w:rPr>
                <w:rFonts w:ascii="Public Sans" w:hAnsi="Public Sans" w:cs="Arial"/>
                <w:sz w:val="18"/>
                <w:szCs w:val="18"/>
              </w:rPr>
              <w:t xml:space="preserve">Potential </w:t>
            </w:r>
            <w:r w:rsidR="00E9416D" w:rsidRPr="00C40479">
              <w:rPr>
                <w:rFonts w:ascii="Public Sans" w:hAnsi="Public Sans" w:cs="Arial"/>
                <w:sz w:val="18"/>
                <w:szCs w:val="18"/>
              </w:rPr>
              <w:t xml:space="preserve">proceeds </w:t>
            </w:r>
            <w:r w:rsidR="007E7EE7" w:rsidRPr="00C40479">
              <w:rPr>
                <w:rFonts w:ascii="Public Sans" w:hAnsi="Public Sans" w:cs="Arial"/>
                <w:sz w:val="18"/>
                <w:szCs w:val="18"/>
              </w:rPr>
              <w:t xml:space="preserve">from </w:t>
            </w:r>
            <w:r w:rsidRPr="00C40479">
              <w:rPr>
                <w:rFonts w:ascii="Public Sans" w:hAnsi="Public Sans" w:cs="Arial"/>
                <w:sz w:val="18"/>
                <w:szCs w:val="18"/>
              </w:rPr>
              <w:t>the liquidation of HIH Insurance.</w:t>
            </w:r>
          </w:p>
        </w:tc>
      </w:tr>
      <w:tr w:rsidR="00C40479" w:rsidRPr="00C40479" w14:paraId="197D94EB" w14:textId="77777777" w:rsidTr="49287EDC">
        <w:trPr>
          <w:trHeight w:val="172"/>
        </w:trPr>
        <w:tc>
          <w:tcPr>
            <w:tcW w:w="4248" w:type="dxa"/>
            <w:tcBorders>
              <w:top w:val="single" w:sz="4" w:space="0" w:color="A6A6A6" w:themeColor="background1" w:themeShade="A6"/>
              <w:bottom w:val="single" w:sz="4" w:space="0" w:color="A6A6A6" w:themeColor="background1" w:themeShade="A6"/>
            </w:tcBorders>
            <w:shd w:val="clear" w:color="auto" w:fill="auto"/>
          </w:tcPr>
          <w:p w14:paraId="5017F28C" w14:textId="77777777" w:rsidR="00F92EB1" w:rsidRPr="00C40479" w:rsidRDefault="00F92EB1">
            <w:pPr>
              <w:spacing w:before="80" w:after="80"/>
              <w:rPr>
                <w:rFonts w:ascii="Public Sans" w:hAnsi="Public Sans" w:cs="Arial"/>
                <w:sz w:val="18"/>
                <w:szCs w:val="16"/>
              </w:rPr>
            </w:pPr>
            <w:r w:rsidRPr="00C40479">
              <w:rPr>
                <w:rFonts w:ascii="Public Sans" w:hAnsi="Public Sans" w:cs="Arial"/>
                <w:sz w:val="18"/>
                <w:szCs w:val="16"/>
              </w:rPr>
              <w:t>Land Acquisition Reimbursements</w:t>
            </w:r>
          </w:p>
        </w:tc>
        <w:tc>
          <w:tcPr>
            <w:tcW w:w="5386" w:type="dxa"/>
            <w:tcBorders>
              <w:top w:val="single" w:sz="4" w:space="0" w:color="A6A6A6" w:themeColor="background1" w:themeShade="A6"/>
              <w:bottom w:val="single" w:sz="4" w:space="0" w:color="A6A6A6" w:themeColor="background1" w:themeShade="A6"/>
            </w:tcBorders>
            <w:shd w:val="clear" w:color="auto" w:fill="auto"/>
          </w:tcPr>
          <w:p w14:paraId="41C0B8C7" w14:textId="226F4441" w:rsidR="00F92EB1" w:rsidRPr="00C40479" w:rsidRDefault="00F92EB1">
            <w:pPr>
              <w:spacing w:before="80" w:after="80"/>
              <w:rPr>
                <w:rFonts w:ascii="Public Sans" w:hAnsi="Public Sans" w:cs="Arial"/>
                <w:sz w:val="18"/>
                <w:szCs w:val="18"/>
              </w:rPr>
            </w:pPr>
            <w:r w:rsidRPr="00C40479">
              <w:rPr>
                <w:rFonts w:ascii="Public Sans" w:hAnsi="Public Sans" w:cs="Arial"/>
                <w:sz w:val="18"/>
                <w:szCs w:val="18"/>
              </w:rPr>
              <w:t xml:space="preserve">The State will seek reimbursement of </w:t>
            </w:r>
            <w:r w:rsidR="004C0C71" w:rsidRPr="00C40479">
              <w:rPr>
                <w:rFonts w:ascii="Public Sans" w:hAnsi="Public Sans" w:cs="Arial"/>
                <w:sz w:val="18"/>
                <w:szCs w:val="18"/>
              </w:rPr>
              <w:t xml:space="preserve">various land </w:t>
            </w:r>
            <w:r w:rsidRPr="00C40479">
              <w:rPr>
                <w:rFonts w:ascii="Public Sans" w:hAnsi="Public Sans" w:cs="Arial"/>
                <w:sz w:val="18"/>
                <w:szCs w:val="18"/>
              </w:rPr>
              <w:t xml:space="preserve">acquisition costs through the </w:t>
            </w:r>
            <w:r w:rsidR="0046478E" w:rsidRPr="00C40479">
              <w:rPr>
                <w:rFonts w:ascii="Public Sans" w:hAnsi="Public Sans" w:cs="Arial"/>
                <w:sz w:val="18"/>
                <w:szCs w:val="18"/>
              </w:rPr>
              <w:t xml:space="preserve">Special Infrastructure </w:t>
            </w:r>
            <w:r w:rsidR="00AA00CF" w:rsidRPr="00C40479">
              <w:rPr>
                <w:rFonts w:ascii="Public Sans" w:hAnsi="Public Sans" w:cs="Arial"/>
                <w:sz w:val="18"/>
                <w:szCs w:val="18"/>
              </w:rPr>
              <w:t>Contribution</w:t>
            </w:r>
            <w:r w:rsidRPr="00C40479">
              <w:rPr>
                <w:rFonts w:ascii="Public Sans" w:hAnsi="Public Sans" w:cs="Arial"/>
                <w:sz w:val="18"/>
                <w:szCs w:val="18"/>
              </w:rPr>
              <w:t xml:space="preserve"> levy and development contributions. The funds will take several years to raise.</w:t>
            </w:r>
          </w:p>
        </w:tc>
      </w:tr>
      <w:tr w:rsidR="00C40479" w:rsidRPr="00C40479" w14:paraId="47A78DB0" w14:textId="77777777" w:rsidTr="49287EDC">
        <w:trPr>
          <w:trHeight w:val="172"/>
        </w:trPr>
        <w:tc>
          <w:tcPr>
            <w:tcW w:w="4248" w:type="dxa"/>
            <w:tcBorders>
              <w:top w:val="single" w:sz="4" w:space="0" w:color="A6A6A6" w:themeColor="background1" w:themeShade="A6"/>
              <w:bottom w:val="single" w:sz="4" w:space="0" w:color="A6A6A6" w:themeColor="background1" w:themeShade="A6"/>
            </w:tcBorders>
            <w:shd w:val="clear" w:color="auto" w:fill="auto"/>
          </w:tcPr>
          <w:p w14:paraId="01C6C10F" w14:textId="77777777" w:rsidR="00F92EB1" w:rsidRPr="00C40479" w:rsidRDefault="00F92EB1">
            <w:pPr>
              <w:spacing w:before="80" w:after="80"/>
              <w:rPr>
                <w:rFonts w:ascii="Public Sans" w:hAnsi="Public Sans" w:cs="Arial"/>
                <w:sz w:val="18"/>
                <w:szCs w:val="16"/>
              </w:rPr>
            </w:pPr>
            <w:r w:rsidRPr="00C40479">
              <w:rPr>
                <w:rFonts w:ascii="Public Sans" w:hAnsi="Public Sans" w:cs="Arial"/>
                <w:sz w:val="18"/>
                <w:szCs w:val="16"/>
              </w:rPr>
              <w:t xml:space="preserve">Insurance claims </w:t>
            </w:r>
          </w:p>
        </w:tc>
        <w:tc>
          <w:tcPr>
            <w:tcW w:w="5386" w:type="dxa"/>
            <w:tcBorders>
              <w:top w:val="single" w:sz="4" w:space="0" w:color="A6A6A6" w:themeColor="background1" w:themeShade="A6"/>
              <w:bottom w:val="single" w:sz="4" w:space="0" w:color="A6A6A6" w:themeColor="background1" w:themeShade="A6"/>
            </w:tcBorders>
            <w:shd w:val="clear" w:color="auto" w:fill="auto"/>
          </w:tcPr>
          <w:p w14:paraId="40E90D14" w14:textId="0BC18F7E" w:rsidR="00F92EB1" w:rsidRPr="00C40479" w:rsidRDefault="00F92EB1">
            <w:pPr>
              <w:spacing w:before="80" w:after="80"/>
              <w:rPr>
                <w:rFonts w:ascii="Public Sans" w:hAnsi="Public Sans" w:cs="Arial"/>
                <w:sz w:val="18"/>
                <w:szCs w:val="18"/>
              </w:rPr>
            </w:pPr>
            <w:r w:rsidRPr="00C40479">
              <w:rPr>
                <w:rFonts w:ascii="Public Sans" w:hAnsi="Public Sans" w:cs="Arial"/>
                <w:sz w:val="18"/>
                <w:szCs w:val="18"/>
              </w:rPr>
              <w:t>The State has submitted various insurance claims</w:t>
            </w:r>
            <w:r w:rsidR="003A4C9E" w:rsidRPr="00C40479">
              <w:rPr>
                <w:rFonts w:ascii="Public Sans" w:hAnsi="Public Sans" w:cs="Arial"/>
                <w:sz w:val="18"/>
                <w:szCs w:val="18"/>
              </w:rPr>
              <w:t xml:space="preserve"> due to losses that have occurred</w:t>
            </w:r>
            <w:r w:rsidRPr="00C40479">
              <w:rPr>
                <w:rFonts w:ascii="Public Sans" w:hAnsi="Public Sans" w:cs="Arial"/>
                <w:sz w:val="18"/>
                <w:szCs w:val="18"/>
              </w:rPr>
              <w:t>. This includes claims related to damage to physical assets caused by floods.</w:t>
            </w:r>
          </w:p>
        </w:tc>
      </w:tr>
      <w:tr w:rsidR="00C40479" w:rsidRPr="00C40479" w14:paraId="52B3AE99" w14:textId="77777777" w:rsidTr="49287EDC">
        <w:trPr>
          <w:trHeight w:val="172"/>
        </w:trPr>
        <w:tc>
          <w:tcPr>
            <w:tcW w:w="4248" w:type="dxa"/>
            <w:tcBorders>
              <w:top w:val="single" w:sz="4" w:space="0" w:color="A6A6A6" w:themeColor="background1" w:themeShade="A6"/>
              <w:bottom w:val="single" w:sz="4" w:space="0" w:color="A6A6A6" w:themeColor="background1" w:themeShade="A6"/>
            </w:tcBorders>
            <w:shd w:val="clear" w:color="auto" w:fill="auto"/>
          </w:tcPr>
          <w:p w14:paraId="01F3661E" w14:textId="6F329BCC" w:rsidR="00F92EB1" w:rsidRPr="00C40479" w:rsidRDefault="00F92EB1">
            <w:pPr>
              <w:spacing w:before="80" w:after="80"/>
              <w:rPr>
                <w:rFonts w:ascii="Public Sans" w:hAnsi="Public Sans" w:cs="Arial"/>
                <w:sz w:val="18"/>
                <w:szCs w:val="18"/>
              </w:rPr>
            </w:pPr>
            <w:r w:rsidRPr="00C40479">
              <w:rPr>
                <w:rFonts w:ascii="Public Sans" w:hAnsi="Public Sans" w:cs="Arial"/>
                <w:sz w:val="18"/>
                <w:szCs w:val="18"/>
              </w:rPr>
              <w:t>Litigation claims</w:t>
            </w:r>
          </w:p>
        </w:tc>
        <w:tc>
          <w:tcPr>
            <w:tcW w:w="5386" w:type="dxa"/>
            <w:tcBorders>
              <w:top w:val="single" w:sz="4" w:space="0" w:color="A6A6A6" w:themeColor="background1" w:themeShade="A6"/>
              <w:bottom w:val="single" w:sz="4" w:space="0" w:color="A6A6A6" w:themeColor="background1" w:themeShade="A6"/>
            </w:tcBorders>
            <w:shd w:val="clear" w:color="auto" w:fill="auto"/>
          </w:tcPr>
          <w:p w14:paraId="71A143D1" w14:textId="177D7D83" w:rsidR="00F92EB1" w:rsidRPr="00C40479" w:rsidRDefault="00F92EB1">
            <w:pPr>
              <w:spacing w:before="80" w:after="80"/>
              <w:rPr>
                <w:rFonts w:ascii="Public Sans" w:hAnsi="Public Sans" w:cs="Arial"/>
                <w:sz w:val="18"/>
                <w:szCs w:val="18"/>
              </w:rPr>
            </w:pPr>
            <w:r w:rsidRPr="00C40479">
              <w:rPr>
                <w:rFonts w:ascii="Public Sans" w:hAnsi="Public Sans" w:cs="Arial"/>
                <w:sz w:val="18"/>
                <w:szCs w:val="18"/>
              </w:rPr>
              <w:t>The State</w:t>
            </w:r>
            <w:r w:rsidR="00C62E0D" w:rsidRPr="00C40479">
              <w:rPr>
                <w:rFonts w:ascii="Public Sans" w:hAnsi="Public Sans" w:cs="Arial"/>
                <w:sz w:val="18"/>
                <w:szCs w:val="18"/>
              </w:rPr>
              <w:t xml:space="preserve"> has commenced</w:t>
            </w:r>
            <w:r w:rsidR="00810D71" w:rsidRPr="00C40479">
              <w:rPr>
                <w:rFonts w:ascii="Public Sans" w:hAnsi="Public Sans" w:cs="Arial"/>
                <w:sz w:val="18"/>
                <w:szCs w:val="18"/>
              </w:rPr>
              <w:t xml:space="preserve"> </w:t>
            </w:r>
            <w:r w:rsidRPr="00C40479">
              <w:rPr>
                <w:rFonts w:ascii="Public Sans" w:hAnsi="Public Sans" w:cs="Arial"/>
                <w:sz w:val="18"/>
                <w:szCs w:val="18"/>
              </w:rPr>
              <w:t>various legal actions</w:t>
            </w:r>
            <w:r w:rsidR="00540798" w:rsidRPr="00C40479">
              <w:rPr>
                <w:rFonts w:ascii="Public Sans" w:hAnsi="Public Sans" w:cs="Arial"/>
                <w:sz w:val="18"/>
                <w:szCs w:val="18"/>
              </w:rPr>
              <w:t xml:space="preserve"> in the normal course of business</w:t>
            </w:r>
            <w:r w:rsidRPr="00C40479">
              <w:rPr>
                <w:rFonts w:ascii="Public Sans" w:hAnsi="Public Sans" w:cs="Arial"/>
                <w:sz w:val="18"/>
                <w:szCs w:val="18"/>
              </w:rPr>
              <w:t xml:space="preserve">. The type and amount of compensation </w:t>
            </w:r>
            <w:r w:rsidRPr="13372B1A">
              <w:rPr>
                <w:rFonts w:ascii="Public Sans" w:hAnsi="Public Sans" w:cs="Arial"/>
                <w:sz w:val="18"/>
                <w:szCs w:val="18"/>
              </w:rPr>
              <w:t>depend</w:t>
            </w:r>
            <w:r w:rsidR="008A4E72" w:rsidRPr="13372B1A">
              <w:rPr>
                <w:rFonts w:ascii="Public Sans" w:hAnsi="Public Sans" w:cs="Arial"/>
                <w:sz w:val="18"/>
                <w:szCs w:val="18"/>
              </w:rPr>
              <w:t>s</w:t>
            </w:r>
            <w:r w:rsidRPr="00C40479">
              <w:rPr>
                <w:rFonts w:ascii="Public Sans" w:hAnsi="Public Sans" w:cs="Arial"/>
                <w:sz w:val="18"/>
                <w:szCs w:val="18"/>
              </w:rPr>
              <w:t xml:space="preserve"> on the outcome of the legal processes. </w:t>
            </w:r>
          </w:p>
        </w:tc>
      </w:tr>
      <w:tr w:rsidR="00102FB1" w:rsidRPr="00C40479" w14:paraId="65D0C9F3" w14:textId="77777777" w:rsidTr="49287EDC">
        <w:trPr>
          <w:trHeight w:val="172"/>
        </w:trPr>
        <w:tc>
          <w:tcPr>
            <w:tcW w:w="4248" w:type="dxa"/>
            <w:tcBorders>
              <w:top w:val="single" w:sz="4" w:space="0" w:color="A6A6A6" w:themeColor="background1" w:themeShade="A6"/>
              <w:bottom w:val="single" w:sz="4" w:space="0" w:color="A6A6A6" w:themeColor="background1" w:themeShade="A6"/>
            </w:tcBorders>
            <w:shd w:val="clear" w:color="auto" w:fill="auto"/>
          </w:tcPr>
          <w:p w14:paraId="36F34968" w14:textId="03FFE1C0" w:rsidR="00102FB1" w:rsidRPr="00E967AF" w:rsidRDefault="00102FB1">
            <w:pPr>
              <w:spacing w:before="80" w:after="80"/>
              <w:rPr>
                <w:rFonts w:ascii="Public Sans" w:hAnsi="Public Sans" w:cs="Arial"/>
                <w:i/>
                <w:sz w:val="18"/>
                <w:szCs w:val="16"/>
              </w:rPr>
            </w:pPr>
            <w:r w:rsidRPr="00E967AF">
              <w:rPr>
                <w:rFonts w:ascii="Public Sans" w:hAnsi="Public Sans" w:cs="Arial"/>
                <w:i/>
                <w:sz w:val="18"/>
                <w:szCs w:val="16"/>
              </w:rPr>
              <w:t>Rural Fires Amendment (Red Fleet) Bill 202</w:t>
            </w:r>
            <w:r w:rsidR="00707BEA" w:rsidRPr="00E967AF">
              <w:rPr>
                <w:rFonts w:ascii="Public Sans" w:hAnsi="Public Sans" w:cs="Arial"/>
                <w:i/>
                <w:sz w:val="18"/>
                <w:szCs w:val="16"/>
              </w:rPr>
              <w:t>4</w:t>
            </w:r>
          </w:p>
        </w:tc>
        <w:tc>
          <w:tcPr>
            <w:tcW w:w="5386" w:type="dxa"/>
            <w:tcBorders>
              <w:top w:val="single" w:sz="4" w:space="0" w:color="A6A6A6" w:themeColor="background1" w:themeShade="A6"/>
              <w:bottom w:val="single" w:sz="4" w:space="0" w:color="A6A6A6" w:themeColor="background1" w:themeShade="A6"/>
            </w:tcBorders>
            <w:shd w:val="clear" w:color="auto" w:fill="auto"/>
          </w:tcPr>
          <w:p w14:paraId="2E53F452" w14:textId="030794B5" w:rsidR="00102FB1" w:rsidRPr="009C2B21" w:rsidRDefault="00407B8E" w:rsidP="00407B8E">
            <w:pPr>
              <w:spacing w:before="80" w:after="80"/>
              <w:rPr>
                <w:rFonts w:ascii="Public Sans" w:hAnsi="Public Sans" w:cs="Arial"/>
                <w:sz w:val="18"/>
                <w:szCs w:val="18"/>
              </w:rPr>
            </w:pPr>
            <w:r w:rsidRPr="00407B8E">
              <w:rPr>
                <w:rFonts w:ascii="Public Sans" w:hAnsi="Public Sans" w:cs="Arial"/>
                <w:sz w:val="18"/>
                <w:szCs w:val="18"/>
              </w:rPr>
              <w:t>The Bill</w:t>
            </w:r>
            <w:r w:rsidR="00CD0B38">
              <w:rPr>
                <w:rFonts w:ascii="Public Sans" w:hAnsi="Public Sans" w:cs="Arial"/>
                <w:sz w:val="18"/>
                <w:szCs w:val="18"/>
              </w:rPr>
              <w:t xml:space="preserve"> to amend the </w:t>
            </w:r>
            <w:r w:rsidR="00CD0B38" w:rsidRPr="0085089B">
              <w:rPr>
                <w:rFonts w:ascii="Public Sans" w:hAnsi="Public Sans" w:cs="Arial"/>
                <w:i/>
                <w:iCs/>
                <w:sz w:val="18"/>
                <w:szCs w:val="18"/>
              </w:rPr>
              <w:t>Rural Fires Act 1997</w:t>
            </w:r>
            <w:r w:rsidRPr="00407B8E">
              <w:rPr>
                <w:rFonts w:ascii="Public Sans" w:hAnsi="Public Sans" w:cs="Arial"/>
                <w:sz w:val="18"/>
                <w:szCs w:val="18"/>
              </w:rPr>
              <w:t xml:space="preserve"> proposes </w:t>
            </w:r>
            <w:r w:rsidR="00BE01D6">
              <w:rPr>
                <w:rFonts w:ascii="Public Sans" w:hAnsi="Public Sans" w:cs="Arial"/>
                <w:sz w:val="18"/>
                <w:szCs w:val="18"/>
              </w:rPr>
              <w:t xml:space="preserve">certain </w:t>
            </w:r>
            <w:proofErr w:type="spellStart"/>
            <w:r w:rsidRPr="00407B8E">
              <w:rPr>
                <w:rFonts w:ascii="Public Sans" w:hAnsi="Public Sans" w:cs="Arial"/>
                <w:sz w:val="18"/>
                <w:szCs w:val="18"/>
              </w:rPr>
              <w:t>fire fighting</w:t>
            </w:r>
            <w:proofErr w:type="spellEnd"/>
            <w:r w:rsidRPr="00407B8E">
              <w:rPr>
                <w:rFonts w:ascii="Public Sans" w:hAnsi="Public Sans" w:cs="Arial"/>
                <w:sz w:val="18"/>
                <w:szCs w:val="18"/>
              </w:rPr>
              <w:t xml:space="preserve"> equipment vesting in the Commissioner</w:t>
            </w:r>
            <w:r w:rsidR="006C2E3B">
              <w:rPr>
                <w:rFonts w:ascii="Public Sans" w:hAnsi="Public Sans" w:cs="Arial"/>
                <w:sz w:val="18"/>
                <w:szCs w:val="18"/>
              </w:rPr>
              <w:t xml:space="preserve"> of </w:t>
            </w:r>
            <w:r w:rsidR="003F639D">
              <w:rPr>
                <w:rFonts w:ascii="Public Sans" w:hAnsi="Public Sans" w:cs="Arial"/>
                <w:sz w:val="18"/>
                <w:szCs w:val="18"/>
              </w:rPr>
              <w:t xml:space="preserve">the </w:t>
            </w:r>
            <w:r w:rsidR="006C2E3B">
              <w:rPr>
                <w:rFonts w:ascii="Public Sans" w:hAnsi="Public Sans" w:cs="Arial"/>
                <w:sz w:val="18"/>
                <w:szCs w:val="18"/>
              </w:rPr>
              <w:t>NSW Rural Fire Service</w:t>
            </w:r>
            <w:r w:rsidRPr="00407B8E">
              <w:rPr>
                <w:rFonts w:ascii="Public Sans" w:hAnsi="Public Sans" w:cs="Arial"/>
                <w:sz w:val="18"/>
                <w:szCs w:val="18"/>
              </w:rPr>
              <w:t xml:space="preserve"> rather than the current arrangement of vesting in </w:t>
            </w:r>
            <w:r w:rsidR="00E65D77">
              <w:rPr>
                <w:rFonts w:ascii="Public Sans" w:hAnsi="Public Sans" w:cs="Arial"/>
                <w:sz w:val="18"/>
                <w:szCs w:val="18"/>
              </w:rPr>
              <w:t>c</w:t>
            </w:r>
            <w:r w:rsidRPr="00407B8E">
              <w:rPr>
                <w:rFonts w:ascii="Public Sans" w:hAnsi="Public Sans" w:cs="Arial"/>
                <w:sz w:val="18"/>
                <w:szCs w:val="18"/>
              </w:rPr>
              <w:t>ouncil</w:t>
            </w:r>
            <w:r w:rsidR="0017462D">
              <w:rPr>
                <w:rFonts w:ascii="Public Sans" w:hAnsi="Public Sans" w:cs="Arial"/>
                <w:sz w:val="18"/>
                <w:szCs w:val="18"/>
              </w:rPr>
              <w:t>s</w:t>
            </w:r>
            <w:r w:rsidRPr="00407B8E">
              <w:rPr>
                <w:rFonts w:ascii="Public Sans" w:hAnsi="Public Sans" w:cs="Arial"/>
                <w:sz w:val="18"/>
                <w:szCs w:val="18"/>
              </w:rPr>
              <w:t>.</w:t>
            </w:r>
            <w:r w:rsidR="00975C88">
              <w:rPr>
                <w:rFonts w:ascii="Public Sans" w:hAnsi="Public Sans" w:cs="Arial"/>
                <w:sz w:val="18"/>
                <w:szCs w:val="18"/>
              </w:rPr>
              <w:t xml:space="preserve"> </w:t>
            </w:r>
            <w:r w:rsidRPr="00407B8E">
              <w:rPr>
                <w:rFonts w:ascii="Public Sans" w:hAnsi="Public Sans" w:cs="Arial"/>
                <w:sz w:val="18"/>
                <w:szCs w:val="18"/>
              </w:rPr>
              <w:t>There is uncertainty whether the Bill will become law by 30 June 2024.</w:t>
            </w:r>
          </w:p>
        </w:tc>
      </w:tr>
      <w:tr w:rsidR="00C40479" w:rsidRPr="00C40479" w14:paraId="1EE96686" w14:textId="77777777" w:rsidTr="49287EDC">
        <w:trPr>
          <w:trHeight w:val="172"/>
        </w:trPr>
        <w:tc>
          <w:tcPr>
            <w:tcW w:w="4248" w:type="dxa"/>
            <w:tcBorders>
              <w:top w:val="single" w:sz="4" w:space="0" w:color="A6A6A6" w:themeColor="background1" w:themeShade="A6"/>
              <w:bottom w:val="single" w:sz="4" w:space="0" w:color="A6A6A6" w:themeColor="background1" w:themeShade="A6"/>
            </w:tcBorders>
            <w:shd w:val="clear" w:color="auto" w:fill="auto"/>
          </w:tcPr>
          <w:p w14:paraId="6CD77399" w14:textId="45097306" w:rsidR="00C37B0F" w:rsidRPr="009C2B21" w:rsidRDefault="00D077EF">
            <w:pPr>
              <w:spacing w:before="80" w:after="80"/>
              <w:rPr>
                <w:rFonts w:ascii="Public Sans" w:hAnsi="Public Sans" w:cs="Arial"/>
                <w:sz w:val="18"/>
                <w:szCs w:val="16"/>
              </w:rPr>
            </w:pPr>
            <w:r w:rsidRPr="009C2B21">
              <w:rPr>
                <w:rFonts w:ascii="Public Sans" w:hAnsi="Public Sans" w:cs="Arial"/>
                <w:sz w:val="18"/>
                <w:szCs w:val="16"/>
              </w:rPr>
              <w:t>Sale of Macquarie Generation</w:t>
            </w:r>
          </w:p>
        </w:tc>
        <w:tc>
          <w:tcPr>
            <w:tcW w:w="5386" w:type="dxa"/>
            <w:tcBorders>
              <w:top w:val="single" w:sz="4" w:space="0" w:color="A6A6A6" w:themeColor="background1" w:themeShade="A6"/>
              <w:bottom w:val="single" w:sz="4" w:space="0" w:color="A6A6A6" w:themeColor="background1" w:themeShade="A6"/>
            </w:tcBorders>
            <w:shd w:val="clear" w:color="auto" w:fill="auto"/>
          </w:tcPr>
          <w:p w14:paraId="207AB7C9" w14:textId="3A6D19CF" w:rsidR="00C37B0F" w:rsidRPr="009C2B21" w:rsidRDefault="00520284">
            <w:pPr>
              <w:spacing w:before="80" w:after="80"/>
              <w:rPr>
                <w:rFonts w:ascii="Public Sans" w:hAnsi="Public Sans" w:cs="Arial"/>
                <w:sz w:val="18"/>
                <w:szCs w:val="18"/>
              </w:rPr>
            </w:pPr>
            <w:r w:rsidRPr="009C2B21">
              <w:rPr>
                <w:rFonts w:ascii="Public Sans" w:hAnsi="Public Sans" w:cs="Arial"/>
                <w:sz w:val="18"/>
                <w:szCs w:val="18"/>
              </w:rPr>
              <w:t xml:space="preserve">Various </w:t>
            </w:r>
            <w:r w:rsidRPr="00965671">
              <w:rPr>
                <w:rFonts w:ascii="Public Sans" w:hAnsi="Public Sans" w:cs="Arial"/>
                <w:sz w:val="18"/>
                <w:szCs w:val="18"/>
              </w:rPr>
              <w:t>recovery receivables, claims and proceedings</w:t>
            </w:r>
            <w:r w:rsidRPr="009C2B21">
              <w:rPr>
                <w:rFonts w:ascii="Public Sans" w:hAnsi="Public Sans" w:cs="Arial"/>
                <w:sz w:val="18"/>
                <w:szCs w:val="18"/>
              </w:rPr>
              <w:t xml:space="preserve"> were transferred to the </w:t>
            </w:r>
            <w:r w:rsidR="001F74A0" w:rsidRPr="0000116B">
              <w:rPr>
                <w:rFonts w:ascii="Public Sans" w:hAnsi="Public Sans" w:cs="Arial"/>
                <w:sz w:val="18"/>
                <w:szCs w:val="18"/>
              </w:rPr>
              <w:t xml:space="preserve">State </w:t>
            </w:r>
            <w:r w:rsidRPr="009C2B21">
              <w:rPr>
                <w:rFonts w:ascii="Public Sans" w:hAnsi="Public Sans" w:cs="Arial"/>
                <w:sz w:val="18"/>
                <w:szCs w:val="18"/>
              </w:rPr>
              <w:t>during the electricity generator sale</w:t>
            </w:r>
            <w:r w:rsidR="009B621E" w:rsidRPr="009C2B21">
              <w:rPr>
                <w:rFonts w:ascii="Public Sans" w:hAnsi="Public Sans" w:cs="Arial"/>
                <w:sz w:val="18"/>
                <w:szCs w:val="18"/>
              </w:rPr>
              <w:t>.</w:t>
            </w:r>
          </w:p>
        </w:tc>
      </w:tr>
      <w:tr w:rsidR="00C40479" w:rsidRPr="00C40479" w14:paraId="5F7E965F" w14:textId="77777777" w:rsidTr="49287EDC">
        <w:trPr>
          <w:trHeight w:val="172"/>
        </w:trPr>
        <w:tc>
          <w:tcPr>
            <w:tcW w:w="4248" w:type="dxa"/>
            <w:tcBorders>
              <w:top w:val="single" w:sz="4" w:space="0" w:color="A6A6A6" w:themeColor="background1" w:themeShade="A6"/>
              <w:bottom w:val="single" w:sz="4" w:space="0" w:color="A6A6A6" w:themeColor="background1" w:themeShade="A6"/>
            </w:tcBorders>
            <w:shd w:val="clear" w:color="auto" w:fill="auto"/>
          </w:tcPr>
          <w:p w14:paraId="523E164C" w14:textId="007FAF0B" w:rsidR="00F92EB1" w:rsidRPr="00C40479" w:rsidRDefault="005D5879">
            <w:pPr>
              <w:spacing w:before="80" w:after="80"/>
              <w:rPr>
                <w:rFonts w:ascii="Public Sans" w:hAnsi="Public Sans" w:cs="Arial"/>
                <w:sz w:val="18"/>
                <w:szCs w:val="16"/>
              </w:rPr>
            </w:pPr>
            <w:r>
              <w:rPr>
                <w:rFonts w:ascii="Public Sans" w:hAnsi="Public Sans" w:cs="Arial"/>
                <w:sz w:val="18"/>
                <w:szCs w:val="16"/>
              </w:rPr>
              <w:t>Sale of</w:t>
            </w:r>
            <w:r w:rsidR="00F92EB1" w:rsidRPr="00C40479">
              <w:rPr>
                <w:rFonts w:ascii="Public Sans" w:hAnsi="Public Sans" w:cs="Arial"/>
                <w:sz w:val="18"/>
                <w:szCs w:val="16"/>
              </w:rPr>
              <w:t xml:space="preserve"> Vales Point Power Station</w:t>
            </w:r>
          </w:p>
        </w:tc>
        <w:tc>
          <w:tcPr>
            <w:tcW w:w="5386" w:type="dxa"/>
            <w:tcBorders>
              <w:top w:val="single" w:sz="4" w:space="0" w:color="A6A6A6" w:themeColor="background1" w:themeShade="A6"/>
              <w:bottom w:val="single" w:sz="4" w:space="0" w:color="A6A6A6" w:themeColor="background1" w:themeShade="A6"/>
            </w:tcBorders>
            <w:shd w:val="clear" w:color="auto" w:fill="auto"/>
          </w:tcPr>
          <w:p w14:paraId="32EA3EF9" w14:textId="3D6ADE16" w:rsidR="00F92EB1" w:rsidRPr="00C40479" w:rsidRDefault="000046C6">
            <w:pPr>
              <w:spacing w:before="80" w:after="80"/>
              <w:rPr>
                <w:rFonts w:ascii="Public Sans" w:hAnsi="Public Sans" w:cs="Arial"/>
                <w:sz w:val="18"/>
                <w:szCs w:val="18"/>
              </w:rPr>
            </w:pPr>
            <w:r>
              <w:rPr>
                <w:rFonts w:ascii="Public Sans" w:hAnsi="Public Sans" w:cs="Arial"/>
                <w:sz w:val="18"/>
                <w:szCs w:val="18"/>
              </w:rPr>
              <w:t>Land would be</w:t>
            </w:r>
            <w:r w:rsidR="00F92EB1" w:rsidRPr="00C40479">
              <w:rPr>
                <w:rFonts w:ascii="Public Sans" w:hAnsi="Public Sans" w:cs="Arial"/>
                <w:sz w:val="18"/>
                <w:szCs w:val="18"/>
              </w:rPr>
              <w:t xml:space="preserve"> returned to the State by the exercise of an option under the hand-back deed by the counterparty.</w:t>
            </w:r>
          </w:p>
        </w:tc>
      </w:tr>
      <w:tr w:rsidR="00C40479" w:rsidRPr="00C40479" w14:paraId="7AAAE04E" w14:textId="77777777" w:rsidTr="49287EDC">
        <w:trPr>
          <w:trHeight w:val="172"/>
        </w:trPr>
        <w:tc>
          <w:tcPr>
            <w:tcW w:w="4248" w:type="dxa"/>
            <w:tcBorders>
              <w:top w:val="single" w:sz="4" w:space="0" w:color="A6A6A6" w:themeColor="background1" w:themeShade="A6"/>
              <w:bottom w:val="single" w:sz="4" w:space="0" w:color="A6A6A6" w:themeColor="background1" w:themeShade="A6"/>
            </w:tcBorders>
            <w:shd w:val="clear" w:color="auto" w:fill="auto"/>
          </w:tcPr>
          <w:p w14:paraId="33370F31" w14:textId="3C370DB8" w:rsidR="00FA4418" w:rsidRPr="00C40479" w:rsidRDefault="00FA4418">
            <w:pPr>
              <w:spacing w:before="80" w:after="80"/>
              <w:rPr>
                <w:rFonts w:ascii="Public Sans" w:hAnsi="Public Sans" w:cs="Arial"/>
                <w:sz w:val="18"/>
                <w:szCs w:val="16"/>
              </w:rPr>
            </w:pPr>
            <w:r w:rsidRPr="00C40479">
              <w:rPr>
                <w:rFonts w:ascii="Public Sans" w:hAnsi="Public Sans" w:cs="Arial"/>
                <w:sz w:val="18"/>
                <w:szCs w:val="16"/>
              </w:rPr>
              <w:t>Transactions relate</w:t>
            </w:r>
            <w:r w:rsidR="00306CB6" w:rsidRPr="00C40479">
              <w:rPr>
                <w:rFonts w:ascii="Public Sans" w:hAnsi="Public Sans" w:cs="Arial"/>
                <w:sz w:val="18"/>
                <w:szCs w:val="16"/>
              </w:rPr>
              <w:t>d</w:t>
            </w:r>
            <w:r w:rsidRPr="00C40479">
              <w:rPr>
                <w:rFonts w:ascii="Public Sans" w:hAnsi="Public Sans" w:cs="Arial"/>
                <w:sz w:val="18"/>
                <w:szCs w:val="16"/>
              </w:rPr>
              <w:t xml:space="preserve"> to </w:t>
            </w:r>
            <w:r w:rsidR="007A278C" w:rsidRPr="00C40479">
              <w:rPr>
                <w:rFonts w:ascii="Public Sans" w:hAnsi="Public Sans" w:cs="Arial"/>
                <w:sz w:val="18"/>
                <w:szCs w:val="16"/>
              </w:rPr>
              <w:t>Port Botany</w:t>
            </w:r>
            <w:r w:rsidR="00B948F0" w:rsidRPr="00C40479">
              <w:rPr>
                <w:rFonts w:ascii="Public Sans" w:hAnsi="Public Sans" w:cs="Arial"/>
                <w:sz w:val="18"/>
                <w:szCs w:val="16"/>
              </w:rPr>
              <w:t xml:space="preserve">, </w:t>
            </w:r>
            <w:r w:rsidR="005A2CA4" w:rsidRPr="00C40479">
              <w:rPr>
                <w:rFonts w:ascii="Public Sans" w:hAnsi="Public Sans" w:cs="Arial"/>
                <w:sz w:val="18"/>
                <w:szCs w:val="16"/>
              </w:rPr>
              <w:t xml:space="preserve">Enfield, </w:t>
            </w:r>
            <w:r w:rsidR="00B94AAD" w:rsidRPr="00C40479">
              <w:rPr>
                <w:rFonts w:ascii="Public Sans" w:hAnsi="Public Sans" w:cs="Arial"/>
                <w:sz w:val="18"/>
                <w:szCs w:val="16"/>
              </w:rPr>
              <w:t xml:space="preserve">Port </w:t>
            </w:r>
            <w:proofErr w:type="gramStart"/>
            <w:r w:rsidR="00B94AAD" w:rsidRPr="00C40479">
              <w:rPr>
                <w:rFonts w:ascii="Public Sans" w:hAnsi="Public Sans" w:cs="Arial"/>
                <w:sz w:val="18"/>
                <w:szCs w:val="16"/>
              </w:rPr>
              <w:t>Kembla</w:t>
            </w:r>
            <w:proofErr w:type="gramEnd"/>
            <w:r w:rsidR="00B94AAD" w:rsidRPr="00C40479">
              <w:rPr>
                <w:rFonts w:ascii="Public Sans" w:hAnsi="Public Sans" w:cs="Arial"/>
                <w:sz w:val="18"/>
                <w:szCs w:val="16"/>
              </w:rPr>
              <w:t xml:space="preserve"> </w:t>
            </w:r>
            <w:r w:rsidR="001D5F6F" w:rsidRPr="00C40479">
              <w:rPr>
                <w:rFonts w:ascii="Public Sans" w:hAnsi="Public Sans" w:cs="Arial"/>
                <w:sz w:val="18"/>
                <w:szCs w:val="16"/>
              </w:rPr>
              <w:t xml:space="preserve">and </w:t>
            </w:r>
            <w:r w:rsidR="00766BD6" w:rsidRPr="00C40479">
              <w:rPr>
                <w:rFonts w:ascii="Public Sans" w:hAnsi="Public Sans" w:cs="Arial"/>
                <w:sz w:val="18"/>
                <w:szCs w:val="16"/>
              </w:rPr>
              <w:t xml:space="preserve">Port of Newcastle </w:t>
            </w:r>
          </w:p>
        </w:tc>
        <w:tc>
          <w:tcPr>
            <w:tcW w:w="5386" w:type="dxa"/>
            <w:tcBorders>
              <w:top w:val="single" w:sz="4" w:space="0" w:color="A6A6A6" w:themeColor="background1" w:themeShade="A6"/>
              <w:bottom w:val="single" w:sz="4" w:space="0" w:color="A6A6A6" w:themeColor="background1" w:themeShade="A6"/>
            </w:tcBorders>
            <w:shd w:val="clear" w:color="auto" w:fill="auto"/>
          </w:tcPr>
          <w:p w14:paraId="0EE0DE11" w14:textId="007F117E" w:rsidR="000118EE" w:rsidRPr="00C40479" w:rsidRDefault="00366B85">
            <w:pPr>
              <w:spacing w:before="80" w:after="80"/>
              <w:rPr>
                <w:rFonts w:ascii="Public Sans" w:hAnsi="Public Sans" w:cs="Arial"/>
                <w:sz w:val="18"/>
                <w:szCs w:val="18"/>
              </w:rPr>
            </w:pPr>
            <w:r w:rsidRPr="00C40479">
              <w:rPr>
                <w:rFonts w:ascii="Public Sans" w:hAnsi="Public Sans" w:cs="Arial"/>
                <w:sz w:val="18"/>
                <w:szCs w:val="18"/>
              </w:rPr>
              <w:t>L</w:t>
            </w:r>
            <w:r w:rsidR="00AE6EE5" w:rsidRPr="00C40479">
              <w:rPr>
                <w:rFonts w:ascii="Public Sans" w:hAnsi="Public Sans" w:cs="Arial"/>
                <w:sz w:val="18"/>
                <w:szCs w:val="18"/>
              </w:rPr>
              <w:t>ong</w:t>
            </w:r>
            <w:r w:rsidR="00CB6E7C" w:rsidRPr="00C40479">
              <w:rPr>
                <w:rFonts w:ascii="Public Sans" w:hAnsi="Public Sans" w:cs="Arial"/>
                <w:sz w:val="18"/>
                <w:szCs w:val="18"/>
              </w:rPr>
              <w:t>-term</w:t>
            </w:r>
            <w:r w:rsidR="00A55892" w:rsidRPr="00C40479">
              <w:rPr>
                <w:rFonts w:ascii="Public Sans" w:hAnsi="Public Sans" w:cs="Arial"/>
                <w:sz w:val="18"/>
                <w:szCs w:val="18"/>
              </w:rPr>
              <w:t xml:space="preserve"> </w:t>
            </w:r>
            <w:r w:rsidR="00FE4992" w:rsidRPr="00C40479">
              <w:rPr>
                <w:rFonts w:ascii="Public Sans" w:hAnsi="Public Sans" w:cs="Arial"/>
                <w:sz w:val="18"/>
                <w:szCs w:val="18"/>
              </w:rPr>
              <w:t>lease</w:t>
            </w:r>
            <w:r w:rsidRPr="00C40479">
              <w:rPr>
                <w:rFonts w:ascii="Public Sans" w:hAnsi="Public Sans" w:cs="Arial"/>
                <w:sz w:val="18"/>
                <w:szCs w:val="18"/>
              </w:rPr>
              <w:t>s</w:t>
            </w:r>
            <w:r w:rsidR="00FE4992" w:rsidRPr="00C40479">
              <w:rPr>
                <w:rFonts w:ascii="Public Sans" w:hAnsi="Public Sans" w:cs="Arial"/>
                <w:sz w:val="18"/>
                <w:szCs w:val="18"/>
              </w:rPr>
              <w:t xml:space="preserve"> </w:t>
            </w:r>
            <w:r w:rsidR="00794466" w:rsidRPr="00C40479">
              <w:rPr>
                <w:rFonts w:ascii="Public Sans" w:hAnsi="Public Sans" w:cs="Arial"/>
                <w:sz w:val="18"/>
                <w:szCs w:val="18"/>
              </w:rPr>
              <w:t xml:space="preserve">of </w:t>
            </w:r>
            <w:r w:rsidR="00C67812" w:rsidRPr="00C40479">
              <w:rPr>
                <w:rFonts w:ascii="Public Sans" w:hAnsi="Public Sans" w:cs="Arial"/>
                <w:sz w:val="18"/>
                <w:szCs w:val="18"/>
              </w:rPr>
              <w:t>land and fixture</w:t>
            </w:r>
            <w:r w:rsidR="00E15ED3" w:rsidRPr="00C40479">
              <w:rPr>
                <w:rFonts w:ascii="Public Sans" w:hAnsi="Public Sans" w:cs="Arial"/>
                <w:sz w:val="18"/>
                <w:szCs w:val="18"/>
              </w:rPr>
              <w:t>s</w:t>
            </w:r>
            <w:r w:rsidR="000118EE" w:rsidRPr="00C40479">
              <w:rPr>
                <w:rFonts w:ascii="Public Sans" w:hAnsi="Public Sans" w:cs="Arial"/>
                <w:sz w:val="18"/>
                <w:szCs w:val="18"/>
              </w:rPr>
              <w:t xml:space="preserve"> </w:t>
            </w:r>
            <w:r w:rsidRPr="00C40479">
              <w:rPr>
                <w:rFonts w:ascii="Public Sans" w:hAnsi="Public Sans" w:cs="Arial"/>
                <w:sz w:val="18"/>
                <w:szCs w:val="18"/>
              </w:rPr>
              <w:t>which gi</w:t>
            </w:r>
            <w:r w:rsidR="00AE66FF" w:rsidRPr="00C40479">
              <w:rPr>
                <w:rFonts w:ascii="Public Sans" w:hAnsi="Public Sans" w:cs="Arial"/>
                <w:sz w:val="18"/>
                <w:szCs w:val="18"/>
              </w:rPr>
              <w:t>v</w:t>
            </w:r>
            <w:r w:rsidRPr="00C40479">
              <w:rPr>
                <w:rFonts w:ascii="Public Sans" w:hAnsi="Public Sans" w:cs="Arial"/>
                <w:sz w:val="18"/>
                <w:szCs w:val="18"/>
              </w:rPr>
              <w:t>e</w:t>
            </w:r>
            <w:r w:rsidR="000118EE" w:rsidRPr="00C40479">
              <w:rPr>
                <w:rFonts w:ascii="Public Sans" w:hAnsi="Public Sans" w:cs="Arial"/>
                <w:sz w:val="18"/>
                <w:szCs w:val="18"/>
              </w:rPr>
              <w:t xml:space="preserve"> rise to </w:t>
            </w:r>
            <w:r w:rsidR="00F312F1" w:rsidRPr="00C40479">
              <w:rPr>
                <w:rFonts w:ascii="Public Sans" w:hAnsi="Public Sans" w:cs="Arial"/>
                <w:sz w:val="18"/>
                <w:szCs w:val="18"/>
              </w:rPr>
              <w:t>the following</w:t>
            </w:r>
            <w:r w:rsidR="000118EE" w:rsidRPr="00C40479">
              <w:rPr>
                <w:rFonts w:ascii="Public Sans" w:hAnsi="Public Sans" w:cs="Arial"/>
                <w:sz w:val="18"/>
                <w:szCs w:val="18"/>
              </w:rPr>
              <w:t xml:space="preserve"> contingent assets:</w:t>
            </w:r>
            <w:r w:rsidR="004B2308" w:rsidRPr="00C40479">
              <w:rPr>
                <w:rFonts w:ascii="Public Sans" w:hAnsi="Public Sans" w:cs="Arial"/>
                <w:sz w:val="18"/>
                <w:szCs w:val="18"/>
              </w:rPr>
              <w:t xml:space="preserve"> </w:t>
            </w:r>
          </w:p>
          <w:p w14:paraId="274D9832" w14:textId="2989A022" w:rsidR="003C316D" w:rsidRPr="00C40479" w:rsidRDefault="007E56DE" w:rsidP="00FB620B">
            <w:pPr>
              <w:pStyle w:val="ListParagraph"/>
              <w:numPr>
                <w:ilvl w:val="0"/>
                <w:numId w:val="6"/>
              </w:numPr>
              <w:spacing w:before="80" w:after="80"/>
              <w:ind w:left="251" w:hanging="251"/>
              <w:rPr>
                <w:rFonts w:ascii="Public Sans" w:hAnsi="Public Sans" w:cs="Arial"/>
                <w:sz w:val="18"/>
                <w:szCs w:val="18"/>
              </w:rPr>
            </w:pPr>
            <w:r>
              <w:rPr>
                <w:rFonts w:ascii="Public Sans" w:hAnsi="Public Sans" w:cs="Arial"/>
                <w:sz w:val="18"/>
                <w:szCs w:val="18"/>
              </w:rPr>
              <w:t>i</w:t>
            </w:r>
            <w:r w:rsidR="002071AF" w:rsidRPr="49287EDC">
              <w:rPr>
                <w:rFonts w:ascii="Public Sans" w:hAnsi="Public Sans" w:cs="Arial"/>
                <w:sz w:val="18"/>
                <w:szCs w:val="18"/>
              </w:rPr>
              <w:t>f the leases are terminate</w:t>
            </w:r>
            <w:r w:rsidR="00993C25" w:rsidRPr="49287EDC">
              <w:rPr>
                <w:rFonts w:ascii="Public Sans" w:hAnsi="Public Sans" w:cs="Arial"/>
                <w:sz w:val="18"/>
                <w:szCs w:val="18"/>
              </w:rPr>
              <w:t>d</w:t>
            </w:r>
            <w:r w:rsidR="002071AF" w:rsidRPr="49287EDC">
              <w:rPr>
                <w:rFonts w:ascii="Public Sans" w:hAnsi="Public Sans" w:cs="Arial"/>
                <w:sz w:val="18"/>
                <w:szCs w:val="18"/>
              </w:rPr>
              <w:t>, t</w:t>
            </w:r>
            <w:r w:rsidR="00E4467B" w:rsidRPr="49287EDC">
              <w:rPr>
                <w:rFonts w:ascii="Public Sans" w:hAnsi="Public Sans" w:cs="Arial"/>
                <w:sz w:val="18"/>
                <w:szCs w:val="18"/>
              </w:rPr>
              <w:t>he</w:t>
            </w:r>
            <w:r w:rsidR="00F312F1" w:rsidRPr="49287EDC">
              <w:rPr>
                <w:rFonts w:ascii="Public Sans" w:hAnsi="Public Sans" w:cs="Arial"/>
                <w:sz w:val="18"/>
                <w:szCs w:val="18"/>
              </w:rPr>
              <w:t xml:space="preserve"> State</w:t>
            </w:r>
            <w:r w:rsidR="00E4467B" w:rsidRPr="49287EDC">
              <w:rPr>
                <w:rFonts w:ascii="Public Sans" w:hAnsi="Public Sans" w:cs="Arial"/>
                <w:sz w:val="18"/>
                <w:szCs w:val="18"/>
              </w:rPr>
              <w:t xml:space="preserve"> will regain possession of </w:t>
            </w:r>
            <w:r w:rsidR="00373E1C" w:rsidRPr="49287EDC">
              <w:rPr>
                <w:rFonts w:ascii="Public Sans" w:hAnsi="Public Sans" w:cs="Arial"/>
                <w:sz w:val="18"/>
                <w:szCs w:val="18"/>
              </w:rPr>
              <w:t xml:space="preserve">the </w:t>
            </w:r>
            <w:r w:rsidR="00E4467B" w:rsidRPr="49287EDC">
              <w:rPr>
                <w:rFonts w:ascii="Public Sans" w:hAnsi="Public Sans" w:cs="Arial"/>
                <w:sz w:val="18"/>
                <w:szCs w:val="18"/>
              </w:rPr>
              <w:t>port</w:t>
            </w:r>
            <w:r w:rsidR="00373E1C" w:rsidRPr="49287EDC">
              <w:rPr>
                <w:rFonts w:ascii="Public Sans" w:hAnsi="Public Sans" w:cs="Arial"/>
                <w:sz w:val="18"/>
                <w:szCs w:val="18"/>
              </w:rPr>
              <w:t>’s</w:t>
            </w:r>
            <w:r w:rsidR="00E4467B" w:rsidRPr="49287EDC">
              <w:rPr>
                <w:rFonts w:ascii="Public Sans" w:hAnsi="Public Sans" w:cs="Arial"/>
                <w:sz w:val="18"/>
                <w:szCs w:val="18"/>
              </w:rPr>
              <w:t xml:space="preserve"> land and </w:t>
            </w:r>
            <w:proofErr w:type="gramStart"/>
            <w:r w:rsidR="00E4467B" w:rsidRPr="49287EDC">
              <w:rPr>
                <w:rFonts w:ascii="Public Sans" w:hAnsi="Public Sans" w:cs="Arial"/>
                <w:sz w:val="18"/>
                <w:szCs w:val="18"/>
              </w:rPr>
              <w:t>chattels</w:t>
            </w:r>
            <w:proofErr w:type="gramEnd"/>
          </w:p>
          <w:p w14:paraId="624E8E02" w14:textId="1FD11112" w:rsidR="00E77016" w:rsidRPr="00C40479" w:rsidRDefault="007E56DE" w:rsidP="00FB620B">
            <w:pPr>
              <w:pStyle w:val="ListParagraph"/>
              <w:numPr>
                <w:ilvl w:val="0"/>
                <w:numId w:val="6"/>
              </w:numPr>
              <w:spacing w:before="80" w:after="80"/>
              <w:ind w:left="251" w:hanging="251"/>
              <w:rPr>
                <w:rFonts w:ascii="Public Sans" w:hAnsi="Public Sans" w:cs="Arial"/>
                <w:sz w:val="18"/>
                <w:szCs w:val="18"/>
              </w:rPr>
            </w:pPr>
            <w:r>
              <w:rPr>
                <w:rFonts w:ascii="Public Sans" w:hAnsi="Public Sans" w:cs="Arial"/>
                <w:sz w:val="18"/>
                <w:szCs w:val="18"/>
              </w:rPr>
              <w:t>t</w:t>
            </w:r>
            <w:r w:rsidR="00595BEC" w:rsidRPr="49287EDC">
              <w:rPr>
                <w:rFonts w:ascii="Public Sans" w:hAnsi="Public Sans" w:cs="Arial"/>
                <w:sz w:val="18"/>
                <w:szCs w:val="18"/>
              </w:rPr>
              <w:t>he State</w:t>
            </w:r>
            <w:r w:rsidR="00E4467B" w:rsidRPr="49287EDC">
              <w:rPr>
                <w:rFonts w:ascii="Public Sans" w:hAnsi="Public Sans" w:cs="Arial"/>
                <w:sz w:val="18"/>
                <w:szCs w:val="18"/>
              </w:rPr>
              <w:t xml:space="preserve"> </w:t>
            </w:r>
            <w:r w:rsidR="00600B9F" w:rsidRPr="49287EDC">
              <w:rPr>
                <w:rFonts w:ascii="Public Sans" w:hAnsi="Public Sans" w:cs="Arial"/>
                <w:sz w:val="18"/>
                <w:szCs w:val="18"/>
              </w:rPr>
              <w:t>hold</w:t>
            </w:r>
            <w:r w:rsidR="001609A0" w:rsidRPr="49287EDC">
              <w:rPr>
                <w:rFonts w:ascii="Public Sans" w:hAnsi="Public Sans" w:cs="Arial"/>
                <w:sz w:val="18"/>
                <w:szCs w:val="18"/>
              </w:rPr>
              <w:t>s</w:t>
            </w:r>
            <w:r w:rsidR="00161C41" w:rsidRPr="49287EDC">
              <w:rPr>
                <w:rFonts w:ascii="Public Sans" w:hAnsi="Public Sans" w:cs="Arial"/>
                <w:sz w:val="18"/>
                <w:szCs w:val="18"/>
              </w:rPr>
              <w:t xml:space="preserve"> a</w:t>
            </w:r>
            <w:r w:rsidR="00600B9F" w:rsidRPr="49287EDC">
              <w:rPr>
                <w:rFonts w:ascii="Public Sans" w:hAnsi="Public Sans" w:cs="Arial"/>
                <w:sz w:val="18"/>
                <w:szCs w:val="18"/>
              </w:rPr>
              <w:t xml:space="preserve"> bank guarantee from</w:t>
            </w:r>
            <w:r w:rsidR="00D0181B" w:rsidRPr="49287EDC">
              <w:rPr>
                <w:rFonts w:ascii="Public Sans" w:hAnsi="Public Sans" w:cs="Arial"/>
                <w:sz w:val="18"/>
                <w:szCs w:val="18"/>
              </w:rPr>
              <w:t xml:space="preserve"> </w:t>
            </w:r>
            <w:r w:rsidR="002D3694" w:rsidRPr="49287EDC">
              <w:rPr>
                <w:rFonts w:ascii="Public Sans" w:hAnsi="Public Sans" w:cs="Arial"/>
                <w:sz w:val="18"/>
                <w:szCs w:val="18"/>
              </w:rPr>
              <w:t xml:space="preserve">the </w:t>
            </w:r>
            <w:r w:rsidR="00794E1B" w:rsidRPr="49287EDC">
              <w:rPr>
                <w:rFonts w:ascii="Public Sans" w:hAnsi="Public Sans" w:cs="Arial"/>
                <w:sz w:val="18"/>
                <w:szCs w:val="18"/>
              </w:rPr>
              <w:t xml:space="preserve">lessee </w:t>
            </w:r>
            <w:r w:rsidR="00A13976" w:rsidRPr="49287EDC">
              <w:rPr>
                <w:rFonts w:ascii="Public Sans" w:hAnsi="Public Sans" w:cs="Arial"/>
                <w:sz w:val="18"/>
                <w:szCs w:val="18"/>
              </w:rPr>
              <w:t xml:space="preserve">to cover any </w:t>
            </w:r>
            <w:r w:rsidR="00776787" w:rsidRPr="49287EDC">
              <w:rPr>
                <w:rFonts w:ascii="Public Sans" w:hAnsi="Public Sans" w:cs="Arial"/>
                <w:sz w:val="18"/>
                <w:szCs w:val="18"/>
              </w:rPr>
              <w:t>environmental liabilit</w:t>
            </w:r>
            <w:r w:rsidR="00900F5F" w:rsidRPr="49287EDC">
              <w:rPr>
                <w:rFonts w:ascii="Public Sans" w:hAnsi="Public Sans" w:cs="Arial"/>
                <w:sz w:val="18"/>
                <w:szCs w:val="18"/>
              </w:rPr>
              <w:t>ies</w:t>
            </w:r>
            <w:r w:rsidR="00776787" w:rsidRPr="49287EDC">
              <w:rPr>
                <w:rFonts w:ascii="Public Sans" w:hAnsi="Public Sans" w:cs="Arial"/>
                <w:sz w:val="18"/>
                <w:szCs w:val="18"/>
              </w:rPr>
              <w:t xml:space="preserve"> </w:t>
            </w:r>
            <w:r w:rsidR="00A442F4" w:rsidRPr="49287EDC">
              <w:rPr>
                <w:rFonts w:ascii="Public Sans" w:hAnsi="Public Sans" w:cs="Arial"/>
                <w:sz w:val="18"/>
                <w:szCs w:val="18"/>
              </w:rPr>
              <w:t xml:space="preserve">and obligations </w:t>
            </w:r>
            <w:r w:rsidR="00D06BF7" w:rsidRPr="49287EDC">
              <w:rPr>
                <w:rFonts w:ascii="Public Sans" w:hAnsi="Public Sans" w:cs="Arial"/>
                <w:sz w:val="18"/>
                <w:szCs w:val="18"/>
              </w:rPr>
              <w:t xml:space="preserve">that </w:t>
            </w:r>
            <w:r w:rsidR="0038768A" w:rsidRPr="49287EDC">
              <w:rPr>
                <w:rFonts w:ascii="Public Sans" w:hAnsi="Public Sans" w:cs="Arial"/>
                <w:sz w:val="18"/>
                <w:szCs w:val="18"/>
              </w:rPr>
              <w:t xml:space="preserve">the </w:t>
            </w:r>
            <w:r w:rsidR="00794E1B" w:rsidRPr="49287EDC">
              <w:rPr>
                <w:rFonts w:ascii="Public Sans" w:hAnsi="Public Sans" w:cs="Arial"/>
                <w:sz w:val="18"/>
                <w:szCs w:val="18"/>
              </w:rPr>
              <w:t>lessee</w:t>
            </w:r>
            <w:r w:rsidR="0038768A" w:rsidRPr="49287EDC">
              <w:rPr>
                <w:rFonts w:ascii="Public Sans" w:hAnsi="Public Sans" w:cs="Arial"/>
                <w:sz w:val="18"/>
                <w:szCs w:val="18"/>
              </w:rPr>
              <w:t xml:space="preserve"> </w:t>
            </w:r>
            <w:r w:rsidR="00462842" w:rsidRPr="49287EDC">
              <w:rPr>
                <w:rFonts w:ascii="Public Sans" w:hAnsi="Public Sans" w:cs="Arial"/>
                <w:sz w:val="18"/>
                <w:szCs w:val="18"/>
              </w:rPr>
              <w:t>breach</w:t>
            </w:r>
            <w:r w:rsidR="00DF2483" w:rsidRPr="49287EDC">
              <w:rPr>
                <w:rFonts w:ascii="Public Sans" w:hAnsi="Public Sans" w:cs="Arial"/>
                <w:sz w:val="18"/>
                <w:szCs w:val="18"/>
              </w:rPr>
              <w:t>es</w:t>
            </w:r>
            <w:r w:rsidR="00462842" w:rsidRPr="49287EDC">
              <w:rPr>
                <w:rFonts w:ascii="Public Sans" w:hAnsi="Public Sans" w:cs="Arial"/>
                <w:sz w:val="18"/>
                <w:szCs w:val="18"/>
              </w:rPr>
              <w:t xml:space="preserve"> and fail</w:t>
            </w:r>
            <w:r w:rsidR="00DF2483" w:rsidRPr="49287EDC">
              <w:rPr>
                <w:rFonts w:ascii="Public Sans" w:hAnsi="Public Sans" w:cs="Arial"/>
                <w:sz w:val="18"/>
                <w:szCs w:val="18"/>
              </w:rPr>
              <w:t>s</w:t>
            </w:r>
            <w:r w:rsidR="00462842" w:rsidRPr="49287EDC">
              <w:rPr>
                <w:rFonts w:ascii="Public Sans" w:hAnsi="Public Sans" w:cs="Arial"/>
                <w:sz w:val="18"/>
                <w:szCs w:val="18"/>
              </w:rPr>
              <w:t xml:space="preserve"> to remedy</w:t>
            </w:r>
            <w:r w:rsidR="005433CE" w:rsidRPr="49287EDC">
              <w:rPr>
                <w:rFonts w:ascii="Public Sans" w:hAnsi="Public Sans" w:cs="Arial"/>
                <w:sz w:val="18"/>
                <w:szCs w:val="18"/>
              </w:rPr>
              <w:t xml:space="preserve">, thereby offsetting </w:t>
            </w:r>
            <w:r w:rsidR="007B3535" w:rsidRPr="49287EDC">
              <w:rPr>
                <w:rFonts w:ascii="Public Sans" w:hAnsi="Public Sans" w:cs="Arial"/>
                <w:sz w:val="18"/>
                <w:szCs w:val="18"/>
              </w:rPr>
              <w:t xml:space="preserve">the State’s </w:t>
            </w:r>
            <w:r w:rsidR="005433CE" w:rsidRPr="49287EDC">
              <w:rPr>
                <w:rFonts w:ascii="Public Sans" w:hAnsi="Public Sans" w:cs="Arial"/>
                <w:sz w:val="18"/>
                <w:szCs w:val="18"/>
              </w:rPr>
              <w:t xml:space="preserve">contingent liability. </w:t>
            </w:r>
          </w:p>
        </w:tc>
      </w:tr>
      <w:tr w:rsidR="00C40479" w:rsidRPr="00C40479" w14:paraId="16E1A6EE" w14:textId="77777777" w:rsidTr="49287EDC">
        <w:trPr>
          <w:trHeight w:val="172"/>
        </w:trPr>
        <w:tc>
          <w:tcPr>
            <w:tcW w:w="4248" w:type="dxa"/>
            <w:tcBorders>
              <w:top w:val="single" w:sz="4" w:space="0" w:color="A6A6A6" w:themeColor="background1" w:themeShade="A6"/>
              <w:bottom w:val="single" w:sz="4" w:space="0" w:color="000000" w:themeColor="text1"/>
            </w:tcBorders>
            <w:shd w:val="clear" w:color="auto" w:fill="auto"/>
          </w:tcPr>
          <w:p w14:paraId="165B9208" w14:textId="77777777" w:rsidR="00F92EB1" w:rsidRPr="00C40479" w:rsidRDefault="00F92EB1">
            <w:pPr>
              <w:spacing w:before="80" w:after="80"/>
              <w:rPr>
                <w:rFonts w:ascii="Public Sans" w:hAnsi="Public Sans" w:cs="Arial"/>
                <w:sz w:val="18"/>
                <w:szCs w:val="16"/>
              </w:rPr>
            </w:pPr>
            <w:r w:rsidRPr="00C40479">
              <w:rPr>
                <w:rFonts w:ascii="Public Sans" w:hAnsi="Public Sans" w:cs="Arial"/>
                <w:sz w:val="18"/>
                <w:szCs w:val="16"/>
              </w:rPr>
              <w:t>Unspent Grant Monies</w:t>
            </w:r>
          </w:p>
        </w:tc>
        <w:tc>
          <w:tcPr>
            <w:tcW w:w="5386" w:type="dxa"/>
            <w:tcBorders>
              <w:top w:val="single" w:sz="4" w:space="0" w:color="A6A6A6" w:themeColor="background1" w:themeShade="A6"/>
              <w:bottom w:val="single" w:sz="4" w:space="0" w:color="000000" w:themeColor="text1"/>
            </w:tcBorders>
            <w:shd w:val="clear" w:color="auto" w:fill="auto"/>
          </w:tcPr>
          <w:p w14:paraId="51FDF660" w14:textId="77777777" w:rsidR="00F92EB1" w:rsidRPr="00C40479" w:rsidRDefault="00F92EB1">
            <w:pPr>
              <w:spacing w:before="80" w:after="80"/>
              <w:rPr>
                <w:rFonts w:ascii="Public Sans" w:hAnsi="Public Sans" w:cs="Arial"/>
                <w:sz w:val="18"/>
                <w:szCs w:val="18"/>
              </w:rPr>
            </w:pPr>
            <w:r w:rsidRPr="00C40479">
              <w:rPr>
                <w:rFonts w:ascii="Public Sans" w:hAnsi="Public Sans" w:cs="Arial"/>
                <w:sz w:val="18"/>
                <w:szCs w:val="18"/>
              </w:rPr>
              <w:t xml:space="preserve">The State may be entitled to receive refunds of unspent grant monies from grantees. These refunds may occur in circumstances such as withdrawals from grant programs by grantees or where grantees are unable to achieve milestones within acceptable timeframes. </w:t>
            </w:r>
          </w:p>
        </w:tc>
      </w:tr>
    </w:tbl>
    <w:p w14:paraId="69CDBB12" w14:textId="77777777" w:rsidR="00F92EB1" w:rsidRDefault="00F92EB1" w:rsidP="00F92EB1">
      <w:pPr>
        <w:rPr>
          <w:rFonts w:eastAsia="Arial Unicode MS"/>
          <w:lang w:val="en-AU"/>
        </w:rPr>
      </w:pPr>
    </w:p>
    <w:p w14:paraId="148E8DBD" w14:textId="77777777" w:rsidR="00F92EB1" w:rsidRDefault="00F92EB1" w:rsidP="00F92EB1">
      <w:pPr>
        <w:rPr>
          <w:rFonts w:eastAsia="Arial Unicode MS"/>
          <w:lang w:val="en-AU"/>
        </w:rPr>
      </w:pPr>
      <w:r>
        <w:br w:type="page"/>
      </w:r>
    </w:p>
    <w:p w14:paraId="3BE04A3A" w14:textId="77777777" w:rsidR="00F92EB1" w:rsidRPr="0065011F" w:rsidRDefault="00F92EB1" w:rsidP="00CD149C">
      <w:pPr>
        <w:pStyle w:val="CXHeading2"/>
      </w:pPr>
      <w:r w:rsidRPr="00C57F84">
        <w:lastRenderedPageBreak/>
        <w:t>Contingent liabilities</w:t>
      </w:r>
    </w:p>
    <w:p w14:paraId="00824948" w14:textId="3288956A" w:rsidR="00CD149C" w:rsidRDefault="00C62BA9" w:rsidP="0060253C">
      <w:pPr>
        <w:pStyle w:val="BodyText"/>
        <w:rPr>
          <w:lang w:val="en-US"/>
        </w:rPr>
      </w:pPr>
      <w:r w:rsidRPr="1526E4A1">
        <w:t>Table C.3 lists the general government</w:t>
      </w:r>
      <w:r w:rsidR="002F14A9" w:rsidRPr="1526E4A1">
        <w:t xml:space="preserve"> sector</w:t>
      </w:r>
      <w:r w:rsidRPr="1526E4A1">
        <w:t xml:space="preserve">’s quantifiable contingent liabilities as </w:t>
      </w:r>
      <w:proofErr w:type="gramStart"/>
      <w:r w:rsidRPr="1526E4A1">
        <w:t>at</w:t>
      </w:r>
      <w:proofErr w:type="gramEnd"/>
      <w:r w:rsidRPr="1526E4A1">
        <w:t xml:space="preserve"> 30</w:t>
      </w:r>
      <w:r w:rsidR="009C1440" w:rsidRPr="1526E4A1">
        <w:t> </w:t>
      </w:r>
      <w:r w:rsidR="1A9C7C86" w:rsidRPr="1526E4A1">
        <w:t xml:space="preserve">April </w:t>
      </w:r>
      <w:r w:rsidRPr="1526E4A1">
        <w:t>202</w:t>
      </w:r>
      <w:r w:rsidR="3B660676" w:rsidRPr="1526E4A1">
        <w:t>4</w:t>
      </w:r>
      <w:r w:rsidR="00F06047" w:rsidRPr="1526E4A1">
        <w:t xml:space="preserve"> (and for comparison, 30 </w:t>
      </w:r>
      <w:r w:rsidR="670FE497" w:rsidRPr="1526E4A1">
        <w:t xml:space="preserve">June </w:t>
      </w:r>
      <w:r w:rsidR="00F06047" w:rsidRPr="1526E4A1">
        <w:t>202</w:t>
      </w:r>
      <w:r w:rsidR="3978A8B5" w:rsidRPr="1526E4A1">
        <w:t>3</w:t>
      </w:r>
      <w:r w:rsidR="00F06047" w:rsidRPr="1526E4A1">
        <w:t>)</w:t>
      </w:r>
      <w:r w:rsidRPr="1526E4A1">
        <w:t>.</w:t>
      </w:r>
      <w:r w:rsidR="39D7004A" w:rsidRPr="1526E4A1">
        <w:t xml:space="preserve"> </w:t>
      </w:r>
      <w:r w:rsidR="7CFE6FD9" w:rsidRPr="1526E4A1">
        <w:t xml:space="preserve">Several of these contingent liabilities involve ongoing </w:t>
      </w:r>
      <w:r w:rsidR="36DB54A1" w:rsidRPr="1526E4A1">
        <w:t>G</w:t>
      </w:r>
      <w:r w:rsidR="7CFE6FD9" w:rsidRPr="1526E4A1">
        <w:t>overnment schemes and initiatives</w:t>
      </w:r>
      <w:r w:rsidR="3BA3550B" w:rsidRPr="1526E4A1">
        <w:t>,</w:t>
      </w:r>
      <w:r w:rsidR="7CFE6FD9" w:rsidRPr="1526E4A1">
        <w:t xml:space="preserve"> and</w:t>
      </w:r>
      <w:r w:rsidR="0E0E551B" w:rsidRPr="1526E4A1">
        <w:t xml:space="preserve"> as a result,</w:t>
      </w:r>
      <w:r w:rsidR="7CFE6FD9" w:rsidRPr="1526E4A1">
        <w:t xml:space="preserve"> the reported amounts fluctuate with changing circumstances.</w:t>
      </w:r>
      <w:r w:rsidR="00980552">
        <w:t xml:space="preserve"> </w:t>
      </w:r>
      <w:r w:rsidR="00C649D0">
        <w:t>For some agencies, a</w:t>
      </w:r>
      <w:r w:rsidR="00D67D4B">
        <w:t xml:space="preserve"> revised</w:t>
      </w:r>
      <w:r w:rsidR="00D63149">
        <w:t xml:space="preserve"> estimate of </w:t>
      </w:r>
      <w:r w:rsidR="00A73E11">
        <w:t>their</w:t>
      </w:r>
      <w:r w:rsidR="009F3830">
        <w:t xml:space="preserve"> quantifiable</w:t>
      </w:r>
      <w:r w:rsidR="00D63149">
        <w:t xml:space="preserve"> contingent liabilities</w:t>
      </w:r>
      <w:r w:rsidR="004F1F82">
        <w:t xml:space="preserve"> was not availabl</w:t>
      </w:r>
      <w:r w:rsidR="004E419C">
        <w:t>e</w:t>
      </w:r>
      <w:r w:rsidR="00A63D33">
        <w:t xml:space="preserve"> at time of reporting</w:t>
      </w:r>
      <w:r w:rsidR="009862EB">
        <w:t>. W</w:t>
      </w:r>
      <w:r w:rsidR="004B283C">
        <w:t>h</w:t>
      </w:r>
      <w:r w:rsidR="000E1C94">
        <w:t>ere this is the case</w:t>
      </w:r>
      <w:r w:rsidR="004B283C">
        <w:t>,</w:t>
      </w:r>
      <w:r w:rsidR="000E1C94">
        <w:t xml:space="preserve"> it has been noted accordingly.</w:t>
      </w:r>
    </w:p>
    <w:p w14:paraId="72552E2B" w14:textId="77777777" w:rsidR="00F92EB1" w:rsidRPr="00E66B59" w:rsidRDefault="00F92EB1" w:rsidP="00E00FD6">
      <w:pPr>
        <w:pStyle w:val="TableCX"/>
      </w:pPr>
      <w:r w:rsidRPr="00E66B59">
        <w:t>General government quantifiable contingent liabilities</w:t>
      </w:r>
    </w:p>
    <w:tbl>
      <w:tblPr>
        <w:tblStyle w:val="TableGrid1"/>
        <w:tblW w:w="9622" w:type="dxa"/>
        <w:tblInd w:w="17" w:type="dxa"/>
        <w:tblCellMar>
          <w:right w:w="223" w:type="dxa"/>
        </w:tblCellMar>
        <w:tblLook w:val="04A0" w:firstRow="1" w:lastRow="0" w:firstColumn="1" w:lastColumn="0" w:noHBand="0" w:noVBand="1"/>
        <w:tblCaption w:val="Table C.3:  General government quantifiable contingent liabilities"/>
        <w:tblDescription w:val="Table C.3:  General government quantifiable contingent liabilities"/>
      </w:tblPr>
      <w:tblGrid>
        <w:gridCol w:w="6646"/>
        <w:gridCol w:w="1536"/>
        <w:gridCol w:w="1440"/>
      </w:tblGrid>
      <w:tr w:rsidR="00C40479" w:rsidRPr="00C40479" w14:paraId="223CCA90" w14:textId="77777777" w:rsidTr="41B72A4E">
        <w:trPr>
          <w:trHeight w:val="283"/>
        </w:trPr>
        <w:tc>
          <w:tcPr>
            <w:tcW w:w="6646" w:type="dxa"/>
            <w:tcBorders>
              <w:top w:val="nil"/>
              <w:left w:val="nil"/>
              <w:bottom w:val="nil"/>
              <w:right w:val="nil"/>
            </w:tcBorders>
            <w:shd w:val="clear" w:color="auto" w:fill="EBEBEB"/>
            <w:vAlign w:val="bottom"/>
          </w:tcPr>
          <w:p w14:paraId="48D92D4B" w14:textId="77777777" w:rsidR="00F92EB1" w:rsidRPr="00D31A22" w:rsidRDefault="00F92EB1">
            <w:pPr>
              <w:spacing w:before="80"/>
              <w:jc w:val="center"/>
              <w:rPr>
                <w:rFonts w:ascii="Public Sans" w:hAnsi="Public Sans" w:cs="Arial"/>
                <w:sz w:val="17"/>
                <w:szCs w:val="17"/>
              </w:rPr>
            </w:pPr>
          </w:p>
        </w:tc>
        <w:tc>
          <w:tcPr>
            <w:tcW w:w="2976" w:type="dxa"/>
            <w:gridSpan w:val="2"/>
            <w:tcBorders>
              <w:top w:val="nil"/>
              <w:left w:val="nil"/>
              <w:bottom w:val="nil"/>
              <w:right w:val="nil"/>
            </w:tcBorders>
            <w:shd w:val="clear" w:color="auto" w:fill="EBEBEB"/>
            <w:vAlign w:val="bottom"/>
          </w:tcPr>
          <w:p w14:paraId="4EAB71E2" w14:textId="77777777" w:rsidR="00F92EB1" w:rsidRPr="00D31A22" w:rsidRDefault="00F92EB1">
            <w:pPr>
              <w:spacing w:before="80"/>
              <w:jc w:val="center"/>
              <w:rPr>
                <w:rFonts w:ascii="Public Sans" w:hAnsi="Public Sans" w:cs="Arial"/>
                <w:sz w:val="17"/>
                <w:szCs w:val="17"/>
              </w:rPr>
            </w:pPr>
            <w:r w:rsidRPr="00D31A22">
              <w:rPr>
                <w:rFonts w:ascii="Public Sans" w:hAnsi="Public Sans" w:cs="Arial"/>
                <w:sz w:val="17"/>
                <w:szCs w:val="17"/>
              </w:rPr>
              <w:t>General Government Sector</w:t>
            </w:r>
          </w:p>
        </w:tc>
      </w:tr>
      <w:tr w:rsidR="00C40479" w:rsidRPr="00C40479" w14:paraId="26ED2721" w14:textId="77777777" w:rsidTr="41B72A4E">
        <w:trPr>
          <w:trHeight w:val="227"/>
        </w:trPr>
        <w:tc>
          <w:tcPr>
            <w:tcW w:w="6646" w:type="dxa"/>
            <w:tcBorders>
              <w:top w:val="nil"/>
              <w:left w:val="nil"/>
              <w:bottom w:val="nil"/>
              <w:right w:val="nil"/>
            </w:tcBorders>
            <w:shd w:val="clear" w:color="auto" w:fill="EBEBEB"/>
          </w:tcPr>
          <w:p w14:paraId="1133B987" w14:textId="224A0AD4" w:rsidR="00F92EB1" w:rsidRPr="00D31A22" w:rsidRDefault="007562DF" w:rsidP="008C6238">
            <w:pPr>
              <w:spacing w:before="40" w:after="40"/>
              <w:ind w:left="130"/>
              <w:rPr>
                <w:rFonts w:ascii="Public Sans" w:hAnsi="Public Sans" w:cs="Arial"/>
                <w:sz w:val="17"/>
                <w:szCs w:val="17"/>
              </w:rPr>
            </w:pPr>
            <w:r w:rsidRPr="00D31A22">
              <w:rPr>
                <w:rFonts w:ascii="Public Sans" w:hAnsi="Public Sans" w:cs="Arial"/>
                <w:sz w:val="17"/>
                <w:szCs w:val="17"/>
              </w:rPr>
              <w:t>As at:</w:t>
            </w:r>
          </w:p>
        </w:tc>
        <w:tc>
          <w:tcPr>
            <w:tcW w:w="1536" w:type="dxa"/>
            <w:tcBorders>
              <w:top w:val="nil"/>
              <w:left w:val="nil"/>
              <w:bottom w:val="nil"/>
              <w:right w:val="nil"/>
            </w:tcBorders>
            <w:shd w:val="clear" w:color="auto" w:fill="EBEBEB"/>
            <w:vAlign w:val="bottom"/>
          </w:tcPr>
          <w:p w14:paraId="086120E6" w14:textId="3B3956C6" w:rsidR="00F92EB1" w:rsidRPr="00D31A22" w:rsidRDefault="1E14B2A0" w:rsidP="33D22F21">
            <w:pPr>
              <w:spacing w:before="40" w:after="40"/>
              <w:ind w:left="75"/>
              <w:jc w:val="center"/>
              <w:rPr>
                <w:rFonts w:ascii="Public Sans" w:hAnsi="Public Sans" w:cs="Arial"/>
                <w:sz w:val="17"/>
                <w:szCs w:val="17"/>
              </w:rPr>
            </w:pPr>
            <w:r w:rsidRPr="00D31A22">
              <w:rPr>
                <w:rFonts w:ascii="Public Sans" w:hAnsi="Public Sans" w:cs="Arial"/>
                <w:sz w:val="17"/>
                <w:szCs w:val="17"/>
              </w:rPr>
              <w:t xml:space="preserve">30 </w:t>
            </w:r>
            <w:r w:rsidR="34D75E53" w:rsidRPr="00D31A22">
              <w:rPr>
                <w:rFonts w:ascii="Public Sans" w:hAnsi="Public Sans" w:cs="Arial"/>
                <w:sz w:val="17"/>
                <w:szCs w:val="17"/>
              </w:rPr>
              <w:t xml:space="preserve">June </w:t>
            </w:r>
            <w:r w:rsidR="00F92EB1" w:rsidRPr="00D31A22">
              <w:rPr>
                <w:rFonts w:ascii="Public Sans" w:hAnsi="Public Sans" w:cs="Arial"/>
                <w:sz w:val="17"/>
                <w:szCs w:val="17"/>
              </w:rPr>
              <w:t>202</w:t>
            </w:r>
            <w:r w:rsidR="3F4F7FB2" w:rsidRPr="00D31A22">
              <w:rPr>
                <w:rFonts w:ascii="Public Sans" w:hAnsi="Public Sans" w:cs="Arial"/>
                <w:sz w:val="17"/>
                <w:szCs w:val="17"/>
              </w:rPr>
              <w:t>3</w:t>
            </w:r>
          </w:p>
        </w:tc>
        <w:tc>
          <w:tcPr>
            <w:tcW w:w="1440" w:type="dxa"/>
            <w:tcBorders>
              <w:top w:val="nil"/>
              <w:left w:val="nil"/>
              <w:bottom w:val="nil"/>
              <w:right w:val="nil"/>
            </w:tcBorders>
            <w:shd w:val="clear" w:color="auto" w:fill="EBEBEB"/>
            <w:vAlign w:val="bottom"/>
          </w:tcPr>
          <w:p w14:paraId="1137DB85" w14:textId="297BCBF9" w:rsidR="00F92EB1" w:rsidRPr="00D31A22" w:rsidRDefault="2B6EB49F">
            <w:pPr>
              <w:spacing w:before="40" w:after="40"/>
              <w:jc w:val="center"/>
              <w:rPr>
                <w:rFonts w:ascii="Public Sans" w:hAnsi="Public Sans" w:cs="Arial"/>
                <w:sz w:val="17"/>
                <w:szCs w:val="17"/>
              </w:rPr>
            </w:pPr>
            <w:r w:rsidRPr="00D31A22">
              <w:rPr>
                <w:rFonts w:ascii="Public Sans" w:hAnsi="Public Sans" w:cs="Arial"/>
                <w:sz w:val="17"/>
                <w:szCs w:val="17"/>
              </w:rPr>
              <w:t xml:space="preserve">30 </w:t>
            </w:r>
            <w:r w:rsidR="68F2A40F" w:rsidRPr="00D31A22">
              <w:rPr>
                <w:rFonts w:ascii="Public Sans" w:hAnsi="Public Sans" w:cs="Arial"/>
                <w:sz w:val="17"/>
                <w:szCs w:val="17"/>
              </w:rPr>
              <w:t xml:space="preserve">April </w:t>
            </w:r>
            <w:r w:rsidR="00F92EB1" w:rsidRPr="00D31A22">
              <w:rPr>
                <w:rFonts w:ascii="Public Sans" w:hAnsi="Public Sans" w:cs="Arial"/>
                <w:sz w:val="17"/>
                <w:szCs w:val="17"/>
              </w:rPr>
              <w:t>202</w:t>
            </w:r>
            <w:r w:rsidR="208CE15D" w:rsidRPr="00D31A22">
              <w:rPr>
                <w:rFonts w:ascii="Public Sans" w:hAnsi="Public Sans" w:cs="Arial"/>
                <w:sz w:val="17"/>
                <w:szCs w:val="17"/>
              </w:rPr>
              <w:t>4</w:t>
            </w:r>
          </w:p>
        </w:tc>
      </w:tr>
      <w:tr w:rsidR="00C40479" w:rsidRPr="00C40479" w14:paraId="066E4AD5" w14:textId="77777777" w:rsidTr="41B72A4E">
        <w:trPr>
          <w:trHeight w:val="283"/>
        </w:trPr>
        <w:tc>
          <w:tcPr>
            <w:tcW w:w="6646" w:type="dxa"/>
            <w:tcBorders>
              <w:top w:val="nil"/>
              <w:left w:val="nil"/>
              <w:bottom w:val="nil"/>
              <w:right w:val="nil"/>
            </w:tcBorders>
            <w:shd w:val="clear" w:color="auto" w:fill="EBEBEB"/>
          </w:tcPr>
          <w:p w14:paraId="7302DE19" w14:textId="77777777" w:rsidR="00F92EB1" w:rsidRPr="00D31A22" w:rsidRDefault="00F92EB1">
            <w:pPr>
              <w:spacing w:after="80"/>
              <w:jc w:val="center"/>
              <w:rPr>
                <w:rFonts w:ascii="Public Sans" w:hAnsi="Public Sans" w:cs="Arial"/>
                <w:sz w:val="17"/>
                <w:szCs w:val="17"/>
              </w:rPr>
            </w:pPr>
          </w:p>
        </w:tc>
        <w:tc>
          <w:tcPr>
            <w:tcW w:w="1536" w:type="dxa"/>
            <w:tcBorders>
              <w:top w:val="nil"/>
              <w:left w:val="nil"/>
              <w:bottom w:val="nil"/>
              <w:right w:val="nil"/>
            </w:tcBorders>
            <w:shd w:val="clear" w:color="auto" w:fill="EBEBEB"/>
          </w:tcPr>
          <w:p w14:paraId="500F5F5D" w14:textId="77777777" w:rsidR="00F92EB1" w:rsidRPr="00D31A22" w:rsidRDefault="00F92EB1">
            <w:pPr>
              <w:spacing w:after="80"/>
              <w:jc w:val="center"/>
              <w:rPr>
                <w:rFonts w:ascii="Public Sans" w:hAnsi="Public Sans" w:cs="Arial"/>
                <w:sz w:val="17"/>
                <w:szCs w:val="17"/>
              </w:rPr>
            </w:pPr>
            <w:r w:rsidRPr="00D31A22">
              <w:rPr>
                <w:rFonts w:ascii="Public Sans" w:hAnsi="Public Sans" w:cs="Arial"/>
                <w:sz w:val="17"/>
                <w:szCs w:val="17"/>
              </w:rPr>
              <w:t>$m</w:t>
            </w:r>
          </w:p>
        </w:tc>
        <w:tc>
          <w:tcPr>
            <w:tcW w:w="1440" w:type="dxa"/>
            <w:tcBorders>
              <w:top w:val="nil"/>
              <w:left w:val="nil"/>
              <w:bottom w:val="nil"/>
              <w:right w:val="nil"/>
            </w:tcBorders>
            <w:shd w:val="clear" w:color="auto" w:fill="EBEBEB"/>
          </w:tcPr>
          <w:p w14:paraId="78CA5D68" w14:textId="77777777" w:rsidR="00F92EB1" w:rsidRPr="00D31A22" w:rsidRDefault="00F92EB1">
            <w:pPr>
              <w:spacing w:after="80"/>
              <w:jc w:val="center"/>
              <w:rPr>
                <w:rFonts w:ascii="Public Sans" w:hAnsi="Public Sans" w:cs="Arial"/>
                <w:sz w:val="17"/>
                <w:szCs w:val="17"/>
              </w:rPr>
            </w:pPr>
            <w:r w:rsidRPr="00D31A22">
              <w:rPr>
                <w:rFonts w:ascii="Public Sans" w:hAnsi="Public Sans" w:cs="Arial"/>
                <w:sz w:val="17"/>
                <w:szCs w:val="17"/>
              </w:rPr>
              <w:t>$m</w:t>
            </w:r>
          </w:p>
        </w:tc>
      </w:tr>
      <w:tr w:rsidR="00C40479" w:rsidRPr="00C40479" w14:paraId="55BD9094" w14:textId="77777777" w:rsidTr="41B72A4E">
        <w:trPr>
          <w:trHeight w:val="475"/>
        </w:trPr>
        <w:tc>
          <w:tcPr>
            <w:tcW w:w="6646" w:type="dxa"/>
            <w:tcBorders>
              <w:top w:val="nil"/>
              <w:left w:val="nil"/>
              <w:bottom w:val="nil"/>
              <w:right w:val="nil"/>
            </w:tcBorders>
            <w:vAlign w:val="bottom"/>
          </w:tcPr>
          <w:p w14:paraId="50397E28" w14:textId="3CD8CDFD" w:rsidR="00F92EB1" w:rsidRPr="00D31A22" w:rsidRDefault="00F92EB1">
            <w:pPr>
              <w:ind w:left="28"/>
              <w:rPr>
                <w:rFonts w:ascii="Public Sans" w:hAnsi="Public Sans" w:cs="Arial"/>
                <w:sz w:val="16"/>
                <w:szCs w:val="14"/>
              </w:rPr>
            </w:pPr>
            <w:r w:rsidRPr="00D31A22">
              <w:rPr>
                <w:rFonts w:ascii="Public Sans" w:hAnsi="Public Sans" w:cs="Arial"/>
                <w:sz w:val="16"/>
                <w:szCs w:val="14"/>
              </w:rPr>
              <w:t>Department of Communities and Justice</w:t>
            </w:r>
            <w:r w:rsidRPr="00D31A22">
              <w:rPr>
                <w:rFonts w:ascii="Public Sans" w:hAnsi="Public Sans" w:cs="Arial"/>
                <w:sz w:val="16"/>
                <w:szCs w:val="14"/>
                <w:vertAlign w:val="superscript"/>
              </w:rPr>
              <w:t xml:space="preserve">(a) </w:t>
            </w:r>
            <w:r w:rsidRPr="00D31A22">
              <w:rPr>
                <w:rFonts w:ascii="Public Sans" w:hAnsi="Public Sans" w:cs="Arial"/>
                <w:sz w:val="16"/>
                <w:szCs w:val="14"/>
                <w:vertAlign w:val="superscript"/>
              </w:rPr>
              <w:br/>
            </w:r>
            <w:r w:rsidRPr="00D31A22">
              <w:rPr>
                <w:rFonts w:ascii="Public Sans" w:hAnsi="Public Sans" w:cs="Arial"/>
                <w:sz w:val="16"/>
                <w:szCs w:val="14"/>
              </w:rPr>
              <w:t xml:space="preserve">  (Claims in respect of compensation)</w:t>
            </w:r>
          </w:p>
        </w:tc>
        <w:tc>
          <w:tcPr>
            <w:tcW w:w="1536" w:type="dxa"/>
            <w:tcBorders>
              <w:top w:val="nil"/>
              <w:left w:val="nil"/>
              <w:bottom w:val="nil"/>
              <w:right w:val="nil"/>
            </w:tcBorders>
            <w:vAlign w:val="bottom"/>
          </w:tcPr>
          <w:p w14:paraId="48A9A7E3" w14:textId="56DB9D3E" w:rsidR="00F92EB1" w:rsidRPr="00D31A22" w:rsidRDefault="154F016B" w:rsidP="00C163BA">
            <w:pPr>
              <w:ind w:left="28" w:right="340"/>
              <w:jc w:val="right"/>
              <w:rPr>
                <w:rFonts w:ascii="Public Sans" w:hAnsi="Public Sans" w:cs="Arial"/>
                <w:sz w:val="16"/>
                <w:szCs w:val="14"/>
              </w:rPr>
            </w:pPr>
            <w:r w:rsidRPr="00D31A22">
              <w:rPr>
                <w:rFonts w:ascii="Public Sans" w:hAnsi="Public Sans" w:cs="Arial"/>
                <w:sz w:val="16"/>
                <w:szCs w:val="14"/>
              </w:rPr>
              <w:t>1,225</w:t>
            </w:r>
          </w:p>
        </w:tc>
        <w:tc>
          <w:tcPr>
            <w:tcW w:w="1440" w:type="dxa"/>
            <w:tcBorders>
              <w:top w:val="nil"/>
              <w:left w:val="nil"/>
              <w:bottom w:val="nil"/>
              <w:right w:val="nil"/>
            </w:tcBorders>
            <w:vAlign w:val="bottom"/>
          </w:tcPr>
          <w:p w14:paraId="2F9A83C3" w14:textId="64632B84" w:rsidR="00F92EB1" w:rsidRPr="00D31A22" w:rsidRDefault="0028401D" w:rsidP="00E967AF">
            <w:pPr>
              <w:ind w:left="28" w:right="340"/>
              <w:jc w:val="right"/>
              <w:rPr>
                <w:rFonts w:ascii="Public Sans" w:hAnsi="Public Sans" w:cs="Arial"/>
                <w:sz w:val="16"/>
                <w:szCs w:val="14"/>
                <w:highlight w:val="yellow"/>
              </w:rPr>
            </w:pPr>
            <w:r w:rsidRPr="00D31A22">
              <w:rPr>
                <w:rFonts w:ascii="Public Sans" w:hAnsi="Public Sans" w:cs="Arial"/>
                <w:sz w:val="16"/>
                <w:szCs w:val="14"/>
              </w:rPr>
              <w:t>1</w:t>
            </w:r>
            <w:r w:rsidR="0024604C" w:rsidRPr="00D31A22">
              <w:rPr>
                <w:rFonts w:ascii="Public Sans" w:hAnsi="Public Sans" w:cs="Arial"/>
                <w:sz w:val="16"/>
                <w:szCs w:val="14"/>
              </w:rPr>
              <w:t>,</w:t>
            </w:r>
            <w:r w:rsidR="00336BA0" w:rsidRPr="00D31A22">
              <w:rPr>
                <w:rFonts w:ascii="Public Sans" w:hAnsi="Public Sans" w:cs="Arial"/>
                <w:sz w:val="16"/>
                <w:szCs w:val="14"/>
              </w:rPr>
              <w:t>63</w:t>
            </w:r>
            <w:r w:rsidR="0024604C" w:rsidRPr="00D31A22">
              <w:rPr>
                <w:rFonts w:ascii="Public Sans" w:hAnsi="Public Sans" w:cs="Arial"/>
                <w:sz w:val="16"/>
                <w:szCs w:val="14"/>
              </w:rPr>
              <w:t>8</w:t>
            </w:r>
          </w:p>
        </w:tc>
      </w:tr>
      <w:tr w:rsidR="00C40479" w:rsidRPr="002C162C" w14:paraId="1FB70324" w14:textId="77777777" w:rsidTr="41B72A4E">
        <w:trPr>
          <w:trHeight w:val="283"/>
        </w:trPr>
        <w:tc>
          <w:tcPr>
            <w:tcW w:w="6646" w:type="dxa"/>
            <w:tcBorders>
              <w:top w:val="nil"/>
              <w:left w:val="nil"/>
              <w:bottom w:val="nil"/>
              <w:right w:val="nil"/>
            </w:tcBorders>
            <w:vAlign w:val="bottom"/>
          </w:tcPr>
          <w:p w14:paraId="64605534" w14:textId="0648A8BC" w:rsidR="00F92EB1" w:rsidRPr="00D31A22" w:rsidRDefault="00F92EB1" w:rsidP="00C163BA">
            <w:pPr>
              <w:ind w:left="28"/>
              <w:rPr>
                <w:rFonts w:ascii="Public Sans" w:hAnsi="Public Sans" w:cs="Arial"/>
                <w:sz w:val="16"/>
                <w:szCs w:val="14"/>
              </w:rPr>
            </w:pPr>
            <w:r w:rsidRPr="00D31A22">
              <w:rPr>
                <w:rFonts w:ascii="Public Sans" w:hAnsi="Public Sans" w:cs="Arial"/>
                <w:sz w:val="16"/>
                <w:szCs w:val="14"/>
              </w:rPr>
              <w:t>Department of Customer Service</w:t>
            </w:r>
            <w:r w:rsidRPr="00D31A22">
              <w:rPr>
                <w:rFonts w:ascii="Public Sans" w:hAnsi="Public Sans" w:cs="Arial"/>
                <w:sz w:val="16"/>
                <w:szCs w:val="14"/>
                <w:vertAlign w:val="superscript"/>
              </w:rPr>
              <w:t>(b)</w:t>
            </w:r>
          </w:p>
        </w:tc>
        <w:tc>
          <w:tcPr>
            <w:tcW w:w="1536" w:type="dxa"/>
            <w:tcBorders>
              <w:top w:val="nil"/>
              <w:left w:val="nil"/>
              <w:bottom w:val="nil"/>
              <w:right w:val="nil"/>
            </w:tcBorders>
            <w:vAlign w:val="bottom"/>
          </w:tcPr>
          <w:p w14:paraId="5EB1AB1E" w14:textId="4EECF7F7" w:rsidR="00F92EB1" w:rsidRPr="00D31A22" w:rsidRDefault="3EB14F84" w:rsidP="00C163BA">
            <w:pPr>
              <w:ind w:left="28" w:right="340"/>
              <w:jc w:val="right"/>
              <w:rPr>
                <w:rFonts w:ascii="Public Sans" w:hAnsi="Public Sans" w:cs="Arial"/>
                <w:sz w:val="16"/>
                <w:szCs w:val="14"/>
              </w:rPr>
            </w:pPr>
            <w:r w:rsidRPr="00D31A22">
              <w:rPr>
                <w:rFonts w:ascii="Public Sans" w:hAnsi="Public Sans" w:cs="Arial"/>
                <w:sz w:val="16"/>
                <w:szCs w:val="14"/>
              </w:rPr>
              <w:t>3</w:t>
            </w:r>
          </w:p>
        </w:tc>
        <w:tc>
          <w:tcPr>
            <w:tcW w:w="1440" w:type="dxa"/>
            <w:tcBorders>
              <w:top w:val="nil"/>
              <w:left w:val="nil"/>
              <w:bottom w:val="nil"/>
              <w:right w:val="nil"/>
            </w:tcBorders>
            <w:vAlign w:val="bottom"/>
          </w:tcPr>
          <w:p w14:paraId="60FE8812" w14:textId="0AAAB81F" w:rsidR="00F92EB1" w:rsidRPr="00D31A22" w:rsidRDefault="3280F4C6" w:rsidP="00C163BA">
            <w:pPr>
              <w:ind w:left="28" w:right="340"/>
              <w:jc w:val="right"/>
              <w:rPr>
                <w:rFonts w:ascii="Public Sans" w:hAnsi="Public Sans" w:cs="Arial"/>
                <w:sz w:val="16"/>
                <w:szCs w:val="14"/>
              </w:rPr>
            </w:pPr>
            <w:r w:rsidRPr="00D31A22">
              <w:rPr>
                <w:rFonts w:ascii="Public Sans" w:hAnsi="Public Sans" w:cs="Arial"/>
                <w:sz w:val="16"/>
                <w:szCs w:val="14"/>
              </w:rPr>
              <w:t>7</w:t>
            </w:r>
          </w:p>
        </w:tc>
      </w:tr>
      <w:tr w:rsidR="00C40479" w:rsidRPr="00C40479" w14:paraId="0F6A9496" w14:textId="77777777" w:rsidTr="41B72A4E">
        <w:trPr>
          <w:trHeight w:val="243"/>
        </w:trPr>
        <w:tc>
          <w:tcPr>
            <w:tcW w:w="6646" w:type="dxa"/>
            <w:tcBorders>
              <w:top w:val="nil"/>
              <w:left w:val="nil"/>
              <w:bottom w:val="nil"/>
              <w:right w:val="nil"/>
            </w:tcBorders>
            <w:vAlign w:val="bottom"/>
          </w:tcPr>
          <w:p w14:paraId="4B00456F" w14:textId="2C7DD617" w:rsidR="00F92EB1" w:rsidRPr="00D31A22" w:rsidRDefault="00F92EB1">
            <w:pPr>
              <w:ind w:left="28"/>
              <w:rPr>
                <w:rFonts w:ascii="Public Sans" w:hAnsi="Public Sans" w:cs="Arial"/>
                <w:sz w:val="16"/>
                <w:szCs w:val="14"/>
              </w:rPr>
            </w:pPr>
            <w:r w:rsidRPr="00D31A22">
              <w:rPr>
                <w:rFonts w:ascii="Public Sans" w:hAnsi="Public Sans" w:cs="Arial"/>
                <w:sz w:val="16"/>
                <w:szCs w:val="14"/>
                <w:shd w:val="clear" w:color="auto" w:fill="FFFFFF" w:themeFill="background1"/>
              </w:rPr>
              <w:t>Department of Planning and Environment</w:t>
            </w:r>
            <w:r w:rsidRPr="00D31A22">
              <w:rPr>
                <w:rFonts w:ascii="Public Sans" w:hAnsi="Public Sans" w:cs="Arial"/>
                <w:sz w:val="16"/>
                <w:szCs w:val="14"/>
                <w:vertAlign w:val="superscript"/>
              </w:rPr>
              <w:t>(</w:t>
            </w:r>
            <w:r w:rsidR="00A65FCB" w:rsidRPr="00D31A22">
              <w:rPr>
                <w:rFonts w:ascii="Public Sans" w:hAnsi="Public Sans" w:cs="Arial"/>
                <w:sz w:val="16"/>
                <w:szCs w:val="14"/>
                <w:vertAlign w:val="superscript"/>
              </w:rPr>
              <w:t>c</w:t>
            </w:r>
            <w:r w:rsidRPr="00D31A22">
              <w:rPr>
                <w:rFonts w:ascii="Public Sans" w:hAnsi="Public Sans" w:cs="Arial"/>
                <w:sz w:val="16"/>
                <w:szCs w:val="14"/>
                <w:vertAlign w:val="superscript"/>
              </w:rPr>
              <w:t>)</w:t>
            </w:r>
            <w:r w:rsidRPr="00D31A22">
              <w:rPr>
                <w:rFonts w:ascii="Public Sans" w:hAnsi="Public Sans" w:cs="Arial"/>
                <w:sz w:val="16"/>
                <w:szCs w:val="14"/>
              </w:rPr>
              <w:t xml:space="preserve"> </w:t>
            </w:r>
          </w:p>
        </w:tc>
        <w:tc>
          <w:tcPr>
            <w:tcW w:w="1536" w:type="dxa"/>
            <w:tcBorders>
              <w:top w:val="nil"/>
              <w:left w:val="nil"/>
              <w:bottom w:val="nil"/>
              <w:right w:val="nil"/>
            </w:tcBorders>
            <w:vAlign w:val="bottom"/>
          </w:tcPr>
          <w:p w14:paraId="6474867E" w14:textId="0C2E5428" w:rsidR="00F92EB1" w:rsidRPr="00D31A22" w:rsidRDefault="00092DB6" w:rsidP="00C163BA">
            <w:pPr>
              <w:ind w:right="340"/>
              <w:jc w:val="right"/>
              <w:rPr>
                <w:rFonts w:ascii="Public Sans" w:hAnsi="Public Sans" w:cs="Arial"/>
                <w:sz w:val="16"/>
                <w:szCs w:val="14"/>
              </w:rPr>
            </w:pPr>
            <w:r w:rsidRPr="00D31A22">
              <w:rPr>
                <w:rFonts w:ascii="Public Sans" w:hAnsi="Public Sans" w:cs="Arial"/>
                <w:sz w:val="16"/>
                <w:szCs w:val="14"/>
              </w:rPr>
              <w:t>100</w:t>
            </w:r>
          </w:p>
        </w:tc>
        <w:tc>
          <w:tcPr>
            <w:tcW w:w="1440" w:type="dxa"/>
            <w:tcBorders>
              <w:top w:val="nil"/>
              <w:left w:val="nil"/>
              <w:bottom w:val="nil"/>
              <w:right w:val="nil"/>
            </w:tcBorders>
            <w:vAlign w:val="bottom"/>
          </w:tcPr>
          <w:p w14:paraId="65588170" w14:textId="728B071F" w:rsidR="00F92EB1" w:rsidRPr="00D31A22" w:rsidRDefault="00E04D70" w:rsidP="00E967AF">
            <w:pPr>
              <w:ind w:right="340"/>
              <w:jc w:val="right"/>
              <w:rPr>
                <w:rFonts w:ascii="Public Sans" w:eastAsia="Public Sans" w:hAnsi="Public Sans" w:cs="Public Sans"/>
                <w:sz w:val="16"/>
                <w:szCs w:val="14"/>
                <w:highlight w:val="yellow"/>
              </w:rPr>
            </w:pPr>
            <w:r w:rsidRPr="00D31A22">
              <w:rPr>
                <w:rFonts w:ascii="Public Sans" w:hAnsi="Public Sans" w:cs="Arial"/>
                <w:sz w:val="16"/>
                <w:szCs w:val="14"/>
              </w:rPr>
              <w:t>0</w:t>
            </w:r>
          </w:p>
        </w:tc>
      </w:tr>
      <w:tr w:rsidR="00500E22" w:rsidRPr="00C40479" w14:paraId="14FB5C10" w14:textId="77777777" w:rsidTr="41B72A4E">
        <w:trPr>
          <w:trHeight w:val="283"/>
        </w:trPr>
        <w:tc>
          <w:tcPr>
            <w:tcW w:w="6646" w:type="dxa"/>
            <w:tcBorders>
              <w:top w:val="nil"/>
              <w:left w:val="nil"/>
              <w:bottom w:val="nil"/>
              <w:right w:val="nil"/>
            </w:tcBorders>
            <w:vAlign w:val="bottom"/>
          </w:tcPr>
          <w:p w14:paraId="5E8680F1" w14:textId="108125E9" w:rsidR="00500E22" w:rsidRPr="00D31A22" w:rsidRDefault="00500E22" w:rsidP="00D06B36">
            <w:pPr>
              <w:ind w:left="28"/>
              <w:rPr>
                <w:rFonts w:ascii="Public Sans" w:hAnsi="Public Sans" w:cs="Arial"/>
                <w:sz w:val="16"/>
                <w:szCs w:val="14"/>
              </w:rPr>
            </w:pPr>
            <w:r w:rsidRPr="00D31A22">
              <w:rPr>
                <w:rFonts w:ascii="Public Sans" w:hAnsi="Public Sans" w:cs="Arial"/>
                <w:sz w:val="16"/>
                <w:szCs w:val="14"/>
              </w:rPr>
              <w:t xml:space="preserve">Department of Planning, </w:t>
            </w:r>
            <w:proofErr w:type="gramStart"/>
            <w:r w:rsidR="00BD6AB0" w:rsidRPr="00D31A22">
              <w:rPr>
                <w:rFonts w:ascii="Public Sans" w:hAnsi="Public Sans" w:cs="Arial"/>
                <w:sz w:val="16"/>
                <w:szCs w:val="14"/>
              </w:rPr>
              <w:t>Housing</w:t>
            </w:r>
            <w:proofErr w:type="gramEnd"/>
            <w:r w:rsidR="00BD6AB0" w:rsidRPr="00D31A22">
              <w:rPr>
                <w:rFonts w:ascii="Public Sans" w:hAnsi="Public Sans" w:cs="Arial"/>
                <w:sz w:val="16"/>
                <w:szCs w:val="14"/>
              </w:rPr>
              <w:t xml:space="preserve"> and Infrastructure</w:t>
            </w:r>
            <w:r w:rsidR="00AB4AF7" w:rsidRPr="00D31A22">
              <w:rPr>
                <w:rFonts w:ascii="Public Sans" w:hAnsi="Public Sans" w:cs="Arial"/>
                <w:sz w:val="16"/>
                <w:szCs w:val="14"/>
                <w:vertAlign w:val="superscript"/>
              </w:rPr>
              <w:t>(</w:t>
            </w:r>
            <w:r w:rsidR="00A65FCB" w:rsidRPr="00D31A22">
              <w:rPr>
                <w:rFonts w:ascii="Public Sans" w:hAnsi="Public Sans" w:cs="Arial"/>
                <w:sz w:val="16"/>
                <w:szCs w:val="14"/>
                <w:vertAlign w:val="superscript"/>
              </w:rPr>
              <w:t>d</w:t>
            </w:r>
            <w:r w:rsidR="00AB4AF7" w:rsidRPr="00D31A22">
              <w:rPr>
                <w:rFonts w:ascii="Public Sans" w:hAnsi="Public Sans" w:cs="Arial"/>
                <w:sz w:val="16"/>
                <w:szCs w:val="14"/>
                <w:vertAlign w:val="superscript"/>
              </w:rPr>
              <w:t>)</w:t>
            </w:r>
          </w:p>
        </w:tc>
        <w:tc>
          <w:tcPr>
            <w:tcW w:w="1536" w:type="dxa"/>
            <w:tcBorders>
              <w:top w:val="nil"/>
              <w:left w:val="nil"/>
              <w:bottom w:val="nil"/>
              <w:right w:val="nil"/>
            </w:tcBorders>
            <w:vAlign w:val="bottom"/>
          </w:tcPr>
          <w:p w14:paraId="690D779D" w14:textId="68955B84" w:rsidR="00500E22" w:rsidRPr="00D31A22" w:rsidRDefault="001C3E6F" w:rsidP="00C163BA">
            <w:pPr>
              <w:ind w:right="340"/>
              <w:jc w:val="right"/>
              <w:rPr>
                <w:rFonts w:ascii="Public Sans" w:hAnsi="Public Sans" w:cs="Arial"/>
                <w:sz w:val="16"/>
                <w:szCs w:val="14"/>
              </w:rPr>
            </w:pPr>
            <w:r w:rsidRPr="00D31A22">
              <w:rPr>
                <w:rFonts w:ascii="Public Sans" w:hAnsi="Public Sans" w:cs="Arial"/>
                <w:sz w:val="16"/>
                <w:szCs w:val="14"/>
              </w:rPr>
              <w:t>0</w:t>
            </w:r>
          </w:p>
        </w:tc>
        <w:tc>
          <w:tcPr>
            <w:tcW w:w="1440" w:type="dxa"/>
            <w:tcBorders>
              <w:top w:val="nil"/>
              <w:left w:val="nil"/>
              <w:bottom w:val="nil"/>
              <w:right w:val="nil"/>
            </w:tcBorders>
            <w:vAlign w:val="bottom"/>
          </w:tcPr>
          <w:p w14:paraId="44B2A89D" w14:textId="224F8859" w:rsidR="00500E22" w:rsidRPr="00D31A22" w:rsidRDefault="00A51D5F" w:rsidP="00E967AF">
            <w:pPr>
              <w:ind w:right="340"/>
              <w:jc w:val="right"/>
              <w:rPr>
                <w:rFonts w:ascii="Public Sans" w:hAnsi="Public Sans" w:cs="Arial"/>
                <w:sz w:val="16"/>
                <w:szCs w:val="14"/>
                <w:highlight w:val="yellow"/>
              </w:rPr>
            </w:pPr>
            <w:r w:rsidRPr="00D31A22">
              <w:rPr>
                <w:rFonts w:ascii="Public Sans" w:hAnsi="Public Sans" w:cs="Arial"/>
                <w:sz w:val="16"/>
                <w:szCs w:val="14"/>
              </w:rPr>
              <w:t>25</w:t>
            </w:r>
          </w:p>
        </w:tc>
      </w:tr>
      <w:tr w:rsidR="00C40479" w:rsidRPr="00C40479" w14:paraId="4D53EFDD" w14:textId="77777777" w:rsidTr="0085089B">
        <w:trPr>
          <w:trHeight w:val="283"/>
        </w:trPr>
        <w:tc>
          <w:tcPr>
            <w:tcW w:w="6646" w:type="dxa"/>
            <w:tcBorders>
              <w:top w:val="nil"/>
              <w:left w:val="nil"/>
              <w:bottom w:val="nil"/>
              <w:right w:val="nil"/>
            </w:tcBorders>
            <w:vAlign w:val="bottom"/>
          </w:tcPr>
          <w:p w14:paraId="04D272D5" w14:textId="73A78375" w:rsidR="009341EE" w:rsidRPr="00D31A22" w:rsidRDefault="002F117F" w:rsidP="00D06B36">
            <w:pPr>
              <w:ind w:left="28"/>
              <w:rPr>
                <w:rFonts w:ascii="Public Sans" w:hAnsi="Public Sans" w:cs="Arial"/>
                <w:sz w:val="16"/>
                <w:szCs w:val="14"/>
                <w:vertAlign w:val="superscript"/>
              </w:rPr>
            </w:pPr>
            <w:r w:rsidRPr="00D31A22">
              <w:rPr>
                <w:rFonts w:ascii="Public Sans" w:hAnsi="Public Sans" w:cs="Arial"/>
                <w:sz w:val="16"/>
                <w:szCs w:val="14"/>
              </w:rPr>
              <w:t xml:space="preserve">Office of the Independent </w:t>
            </w:r>
            <w:r w:rsidR="008118B4" w:rsidRPr="00D31A22">
              <w:rPr>
                <w:rFonts w:ascii="Public Sans" w:hAnsi="Public Sans" w:cs="Arial"/>
                <w:sz w:val="16"/>
                <w:szCs w:val="14"/>
              </w:rPr>
              <w:t>Review Officer</w:t>
            </w:r>
            <w:r w:rsidR="006062FE" w:rsidRPr="00D31A22">
              <w:rPr>
                <w:rFonts w:ascii="Public Sans" w:hAnsi="Public Sans" w:cs="Arial"/>
                <w:sz w:val="16"/>
                <w:szCs w:val="14"/>
                <w:vertAlign w:val="superscript"/>
              </w:rPr>
              <w:t>(</w:t>
            </w:r>
            <w:r w:rsidR="00A65FCB" w:rsidRPr="00D31A22">
              <w:rPr>
                <w:rFonts w:ascii="Public Sans" w:hAnsi="Public Sans" w:cs="Arial"/>
                <w:sz w:val="16"/>
                <w:szCs w:val="14"/>
                <w:vertAlign w:val="superscript"/>
              </w:rPr>
              <w:t>e</w:t>
            </w:r>
            <w:r w:rsidR="006062FE" w:rsidRPr="00D31A22">
              <w:rPr>
                <w:rFonts w:ascii="Public Sans" w:hAnsi="Public Sans" w:cs="Arial"/>
                <w:sz w:val="16"/>
                <w:szCs w:val="14"/>
                <w:vertAlign w:val="superscript"/>
              </w:rPr>
              <w:t>)</w:t>
            </w:r>
          </w:p>
        </w:tc>
        <w:tc>
          <w:tcPr>
            <w:tcW w:w="1536" w:type="dxa"/>
            <w:tcBorders>
              <w:top w:val="nil"/>
              <w:left w:val="nil"/>
              <w:bottom w:val="nil"/>
              <w:right w:val="nil"/>
            </w:tcBorders>
            <w:vAlign w:val="bottom"/>
          </w:tcPr>
          <w:p w14:paraId="188BFC7F" w14:textId="63743D1A" w:rsidR="002F117F" w:rsidRPr="00D31A22" w:rsidRDefault="7E9D12B7" w:rsidP="00C163BA">
            <w:pPr>
              <w:ind w:right="340"/>
              <w:jc w:val="right"/>
              <w:rPr>
                <w:rFonts w:ascii="Public Sans" w:hAnsi="Public Sans" w:cs="Arial"/>
                <w:sz w:val="16"/>
                <w:szCs w:val="14"/>
              </w:rPr>
            </w:pPr>
            <w:r w:rsidRPr="00D31A22">
              <w:rPr>
                <w:rFonts w:ascii="Public Sans" w:hAnsi="Public Sans" w:cs="Arial"/>
                <w:sz w:val="16"/>
                <w:szCs w:val="14"/>
              </w:rPr>
              <w:t>135</w:t>
            </w:r>
          </w:p>
        </w:tc>
        <w:tc>
          <w:tcPr>
            <w:tcW w:w="1440" w:type="dxa"/>
            <w:tcBorders>
              <w:top w:val="nil"/>
              <w:left w:val="nil"/>
              <w:bottom w:val="nil"/>
              <w:right w:val="nil"/>
            </w:tcBorders>
            <w:shd w:val="clear" w:color="auto" w:fill="auto"/>
            <w:vAlign w:val="bottom"/>
          </w:tcPr>
          <w:p w14:paraId="4D624092" w14:textId="7C6B18CF" w:rsidR="002F117F" w:rsidRPr="00D31A22" w:rsidRDefault="00B73941" w:rsidP="00E967AF">
            <w:pPr>
              <w:ind w:right="340"/>
              <w:jc w:val="right"/>
              <w:rPr>
                <w:rFonts w:ascii="Public Sans" w:eastAsia="Public Sans" w:hAnsi="Public Sans" w:cs="Public Sans"/>
                <w:sz w:val="16"/>
                <w:szCs w:val="14"/>
                <w:highlight w:val="yellow"/>
              </w:rPr>
            </w:pPr>
            <w:r w:rsidRPr="00D31A22">
              <w:rPr>
                <w:rFonts w:ascii="Public Sans" w:hAnsi="Public Sans" w:cs="Arial"/>
                <w:sz w:val="16"/>
                <w:szCs w:val="14"/>
              </w:rPr>
              <w:t>146</w:t>
            </w:r>
          </w:p>
        </w:tc>
      </w:tr>
      <w:tr w:rsidR="00B01B91" w:rsidRPr="00C40479" w14:paraId="00603FB2" w14:textId="77777777" w:rsidTr="0085013B">
        <w:trPr>
          <w:trHeight w:val="283"/>
        </w:trPr>
        <w:tc>
          <w:tcPr>
            <w:tcW w:w="6646" w:type="dxa"/>
            <w:tcBorders>
              <w:top w:val="nil"/>
              <w:left w:val="nil"/>
              <w:bottom w:val="nil"/>
              <w:right w:val="nil"/>
            </w:tcBorders>
            <w:vAlign w:val="bottom"/>
          </w:tcPr>
          <w:p w14:paraId="5170D797" w14:textId="2670589D" w:rsidR="00B01B91" w:rsidRPr="00D31A22" w:rsidRDefault="004437AA" w:rsidP="00D06B36">
            <w:pPr>
              <w:ind w:left="28"/>
              <w:rPr>
                <w:rFonts w:ascii="Public Sans" w:hAnsi="Public Sans" w:cs="Arial"/>
                <w:sz w:val="16"/>
                <w:szCs w:val="14"/>
              </w:rPr>
            </w:pPr>
            <w:r w:rsidRPr="00D31A22">
              <w:rPr>
                <w:rFonts w:ascii="Public Sans" w:hAnsi="Public Sans" w:cs="Arial"/>
                <w:sz w:val="16"/>
                <w:szCs w:val="14"/>
              </w:rPr>
              <w:t>Planning Ministerial Corporation</w:t>
            </w:r>
            <w:r w:rsidRPr="00D31A22">
              <w:rPr>
                <w:rFonts w:ascii="Public Sans" w:hAnsi="Public Sans" w:cs="Arial"/>
                <w:sz w:val="16"/>
                <w:szCs w:val="14"/>
                <w:vertAlign w:val="superscript"/>
              </w:rPr>
              <w:t>(f)</w:t>
            </w:r>
            <w:r w:rsidRPr="00D31A22">
              <w:rPr>
                <w:rFonts w:ascii="Public Sans" w:hAnsi="Public Sans" w:cs="Arial"/>
                <w:sz w:val="16"/>
                <w:szCs w:val="14"/>
              </w:rPr>
              <w:t xml:space="preserve"> </w:t>
            </w:r>
            <w:r w:rsidRPr="00D31A22">
              <w:rPr>
                <w:rFonts w:ascii="Public Sans" w:hAnsi="Public Sans" w:cs="Arial"/>
                <w:sz w:val="16"/>
                <w:szCs w:val="14"/>
              </w:rPr>
              <w:br/>
              <w:t xml:space="preserve">  (Land acquisitions)  </w:t>
            </w:r>
          </w:p>
        </w:tc>
        <w:tc>
          <w:tcPr>
            <w:tcW w:w="1536" w:type="dxa"/>
            <w:tcBorders>
              <w:top w:val="nil"/>
              <w:left w:val="nil"/>
              <w:bottom w:val="nil"/>
              <w:right w:val="nil"/>
            </w:tcBorders>
            <w:vAlign w:val="bottom"/>
          </w:tcPr>
          <w:p w14:paraId="710B99D0" w14:textId="7D077DB8" w:rsidR="00B01B91" w:rsidRPr="00D31A22" w:rsidRDefault="004437AA" w:rsidP="00C163BA">
            <w:pPr>
              <w:ind w:right="340"/>
              <w:jc w:val="right"/>
              <w:rPr>
                <w:rFonts w:ascii="Public Sans" w:hAnsi="Public Sans" w:cs="Arial"/>
                <w:sz w:val="16"/>
                <w:szCs w:val="14"/>
              </w:rPr>
            </w:pPr>
            <w:r w:rsidRPr="00D31A22">
              <w:rPr>
                <w:rFonts w:ascii="Public Sans" w:hAnsi="Public Sans" w:cs="Arial"/>
                <w:sz w:val="16"/>
                <w:szCs w:val="14"/>
              </w:rPr>
              <w:t>64</w:t>
            </w:r>
          </w:p>
        </w:tc>
        <w:tc>
          <w:tcPr>
            <w:tcW w:w="1440" w:type="dxa"/>
            <w:tcBorders>
              <w:top w:val="nil"/>
              <w:left w:val="nil"/>
              <w:bottom w:val="nil"/>
              <w:right w:val="nil"/>
            </w:tcBorders>
            <w:shd w:val="clear" w:color="auto" w:fill="auto"/>
            <w:vAlign w:val="bottom"/>
          </w:tcPr>
          <w:p w14:paraId="6518B839" w14:textId="0732B186" w:rsidR="00B01B91" w:rsidRPr="00D31A22" w:rsidDel="00C233B2" w:rsidRDefault="004437AA" w:rsidP="00E967AF">
            <w:pPr>
              <w:ind w:right="340"/>
              <w:jc w:val="right"/>
              <w:rPr>
                <w:rFonts w:ascii="Public Sans" w:hAnsi="Public Sans" w:cs="Arial"/>
                <w:sz w:val="16"/>
                <w:szCs w:val="14"/>
              </w:rPr>
            </w:pPr>
            <w:r w:rsidRPr="00D31A22">
              <w:rPr>
                <w:rFonts w:ascii="Public Sans" w:hAnsi="Public Sans" w:cs="Arial"/>
                <w:sz w:val="16"/>
                <w:szCs w:val="14"/>
              </w:rPr>
              <w:t>0</w:t>
            </w:r>
          </w:p>
        </w:tc>
      </w:tr>
      <w:tr w:rsidR="00C40479" w:rsidRPr="00C40479" w14:paraId="3282239A" w14:textId="77777777" w:rsidTr="41B72A4E">
        <w:trPr>
          <w:trHeight w:val="454"/>
        </w:trPr>
        <w:tc>
          <w:tcPr>
            <w:tcW w:w="6646" w:type="dxa"/>
            <w:tcBorders>
              <w:top w:val="nil"/>
              <w:left w:val="nil"/>
              <w:bottom w:val="nil"/>
              <w:right w:val="nil"/>
            </w:tcBorders>
            <w:vAlign w:val="bottom"/>
          </w:tcPr>
          <w:p w14:paraId="06D2EB61" w14:textId="05D944F0" w:rsidR="00F92EB1" w:rsidRPr="00D31A22" w:rsidRDefault="001C5517">
            <w:pPr>
              <w:ind w:left="28"/>
              <w:rPr>
                <w:rFonts w:ascii="Public Sans" w:hAnsi="Public Sans" w:cs="Arial"/>
                <w:sz w:val="16"/>
                <w:szCs w:val="14"/>
              </w:rPr>
            </w:pPr>
            <w:r w:rsidRPr="00D31A22">
              <w:rPr>
                <w:rFonts w:ascii="Public Sans" w:hAnsi="Public Sans" w:cs="Arial"/>
                <w:sz w:val="16"/>
                <w:szCs w:val="14"/>
              </w:rPr>
              <w:t>Premier’s Department</w:t>
            </w:r>
            <w:r w:rsidR="00F92EB1" w:rsidRPr="00D31A22">
              <w:rPr>
                <w:rFonts w:ascii="Public Sans" w:hAnsi="Public Sans" w:cs="Arial"/>
                <w:sz w:val="16"/>
                <w:szCs w:val="14"/>
                <w:vertAlign w:val="superscript"/>
              </w:rPr>
              <w:t>(</w:t>
            </w:r>
            <w:r w:rsidR="00A021D5" w:rsidRPr="00D31A22">
              <w:rPr>
                <w:rFonts w:ascii="Public Sans" w:hAnsi="Public Sans" w:cs="Arial"/>
                <w:sz w:val="16"/>
                <w:szCs w:val="14"/>
                <w:vertAlign w:val="superscript"/>
              </w:rPr>
              <w:t>g</w:t>
            </w:r>
            <w:r w:rsidR="00F92EB1" w:rsidRPr="00D31A22">
              <w:rPr>
                <w:rFonts w:ascii="Public Sans" w:hAnsi="Public Sans" w:cs="Arial"/>
                <w:sz w:val="16"/>
                <w:szCs w:val="14"/>
                <w:vertAlign w:val="superscript"/>
              </w:rPr>
              <w:t>)</w:t>
            </w:r>
            <w:r w:rsidR="00F92EB1" w:rsidRPr="00D31A22">
              <w:rPr>
                <w:rFonts w:ascii="Public Sans" w:hAnsi="Public Sans" w:cs="Arial"/>
                <w:sz w:val="16"/>
                <w:szCs w:val="14"/>
              </w:rPr>
              <w:t xml:space="preserve"> </w:t>
            </w:r>
            <w:r w:rsidR="00F92EB1" w:rsidRPr="00D31A22">
              <w:rPr>
                <w:rFonts w:ascii="Public Sans" w:hAnsi="Public Sans" w:cs="Arial"/>
                <w:sz w:val="16"/>
                <w:szCs w:val="14"/>
              </w:rPr>
              <w:br/>
              <w:t xml:space="preserve">  </w:t>
            </w:r>
            <w:r w:rsidR="00E801BD" w:rsidRPr="00D31A22">
              <w:rPr>
                <w:rFonts w:ascii="Public Sans" w:hAnsi="Public Sans" w:cs="Arial"/>
                <w:sz w:val="16"/>
                <w:szCs w:val="14"/>
              </w:rPr>
              <w:t>(</w:t>
            </w:r>
            <w:r w:rsidR="00E51190" w:rsidRPr="00D31A22">
              <w:rPr>
                <w:rFonts w:ascii="Public Sans" w:hAnsi="Public Sans" w:cs="Arial"/>
                <w:sz w:val="16"/>
                <w:szCs w:val="14"/>
              </w:rPr>
              <w:t>Stolen Generations Reparation</w:t>
            </w:r>
            <w:r w:rsidR="00EB79C6" w:rsidRPr="00D31A22">
              <w:rPr>
                <w:rFonts w:ascii="Public Sans" w:hAnsi="Public Sans" w:cs="Arial"/>
                <w:sz w:val="16"/>
                <w:szCs w:val="14"/>
              </w:rPr>
              <w:t>s</w:t>
            </w:r>
            <w:r w:rsidR="00E51190" w:rsidRPr="00D31A22">
              <w:rPr>
                <w:rFonts w:ascii="Public Sans" w:hAnsi="Public Sans" w:cs="Arial"/>
                <w:sz w:val="16"/>
                <w:szCs w:val="14"/>
              </w:rPr>
              <w:t xml:space="preserve"> Scheme)</w:t>
            </w:r>
            <w:r w:rsidR="00F92EB1" w:rsidRPr="00D31A22">
              <w:rPr>
                <w:rFonts w:ascii="Public Sans" w:hAnsi="Public Sans" w:cs="Arial"/>
                <w:sz w:val="16"/>
                <w:szCs w:val="14"/>
              </w:rPr>
              <w:t xml:space="preserve"> </w:t>
            </w:r>
          </w:p>
        </w:tc>
        <w:tc>
          <w:tcPr>
            <w:tcW w:w="1536" w:type="dxa"/>
            <w:tcBorders>
              <w:top w:val="nil"/>
              <w:left w:val="nil"/>
              <w:bottom w:val="nil"/>
              <w:right w:val="nil"/>
            </w:tcBorders>
            <w:vAlign w:val="bottom"/>
          </w:tcPr>
          <w:p w14:paraId="649C9425" w14:textId="614F5971" w:rsidR="00F92EB1" w:rsidRPr="00D31A22" w:rsidRDefault="00E801BD" w:rsidP="00C163BA">
            <w:pPr>
              <w:ind w:left="28" w:right="340"/>
              <w:jc w:val="right"/>
              <w:rPr>
                <w:rFonts w:ascii="Public Sans" w:hAnsi="Public Sans" w:cs="Arial"/>
                <w:sz w:val="16"/>
                <w:szCs w:val="14"/>
              </w:rPr>
            </w:pPr>
            <w:r w:rsidRPr="00D31A22">
              <w:rPr>
                <w:rFonts w:ascii="Public Sans" w:hAnsi="Public Sans" w:cs="Arial"/>
                <w:sz w:val="16"/>
                <w:szCs w:val="14"/>
              </w:rPr>
              <w:t>0</w:t>
            </w:r>
          </w:p>
        </w:tc>
        <w:tc>
          <w:tcPr>
            <w:tcW w:w="1440" w:type="dxa"/>
            <w:tcBorders>
              <w:top w:val="nil"/>
              <w:left w:val="nil"/>
              <w:bottom w:val="nil"/>
              <w:right w:val="nil"/>
            </w:tcBorders>
            <w:vAlign w:val="bottom"/>
          </w:tcPr>
          <w:p w14:paraId="65EC3A36" w14:textId="0E010FD7" w:rsidR="00F92EB1" w:rsidRPr="00D31A22" w:rsidRDefault="00E801BD" w:rsidP="00E967AF">
            <w:pPr>
              <w:ind w:right="340"/>
              <w:jc w:val="right"/>
              <w:rPr>
                <w:sz w:val="16"/>
                <w:szCs w:val="14"/>
              </w:rPr>
            </w:pPr>
            <w:r w:rsidRPr="00D31A22">
              <w:rPr>
                <w:rFonts w:ascii="Public Sans" w:hAnsi="Public Sans" w:cs="Arial"/>
                <w:sz w:val="16"/>
                <w:szCs w:val="14"/>
              </w:rPr>
              <w:t>12</w:t>
            </w:r>
          </w:p>
        </w:tc>
      </w:tr>
      <w:tr w:rsidR="00FC28A1" w:rsidRPr="00C40479" w14:paraId="12D046C5" w14:textId="77777777" w:rsidTr="001738B9">
        <w:trPr>
          <w:trHeight w:val="454"/>
        </w:trPr>
        <w:tc>
          <w:tcPr>
            <w:tcW w:w="6646" w:type="dxa"/>
            <w:tcBorders>
              <w:top w:val="nil"/>
              <w:left w:val="nil"/>
              <w:bottom w:val="nil"/>
              <w:right w:val="nil"/>
            </w:tcBorders>
            <w:vAlign w:val="bottom"/>
          </w:tcPr>
          <w:p w14:paraId="66696CC9" w14:textId="0C011F78" w:rsidR="00FC28A1" w:rsidRPr="00D31A22" w:rsidRDefault="00FC28A1">
            <w:pPr>
              <w:ind w:left="28"/>
              <w:rPr>
                <w:rFonts w:ascii="Public Sans" w:hAnsi="Public Sans" w:cs="Arial"/>
                <w:sz w:val="16"/>
                <w:szCs w:val="14"/>
              </w:rPr>
            </w:pPr>
            <w:r w:rsidRPr="00D31A22">
              <w:rPr>
                <w:rFonts w:ascii="Public Sans" w:hAnsi="Public Sans" w:cs="Arial"/>
                <w:sz w:val="16"/>
                <w:szCs w:val="14"/>
              </w:rPr>
              <w:t>Sydney Metro</w:t>
            </w:r>
            <w:r w:rsidR="00574178" w:rsidRPr="00D31A22">
              <w:rPr>
                <w:rFonts w:ascii="Public Sans" w:hAnsi="Public Sans" w:cs="Arial"/>
                <w:sz w:val="16"/>
                <w:szCs w:val="14"/>
                <w:vertAlign w:val="superscript"/>
              </w:rPr>
              <w:t>(h)</w:t>
            </w:r>
          </w:p>
          <w:p w14:paraId="0F16C4F7" w14:textId="0DAFB1CC" w:rsidR="00FC28A1" w:rsidRPr="00D31A22" w:rsidRDefault="00BD6D6D">
            <w:pPr>
              <w:ind w:left="28"/>
              <w:rPr>
                <w:rFonts w:ascii="Public Sans" w:hAnsi="Public Sans" w:cs="Arial"/>
                <w:sz w:val="16"/>
                <w:szCs w:val="14"/>
              </w:rPr>
            </w:pPr>
            <w:r w:rsidRPr="00D31A22">
              <w:rPr>
                <w:rFonts w:ascii="Public Sans" w:hAnsi="Public Sans" w:cs="Arial"/>
                <w:sz w:val="16"/>
                <w:szCs w:val="14"/>
              </w:rPr>
              <w:t xml:space="preserve">  </w:t>
            </w:r>
            <w:r w:rsidR="009B711E" w:rsidRPr="00D31A22">
              <w:rPr>
                <w:rFonts w:ascii="Public Sans" w:hAnsi="Public Sans" w:cs="Arial"/>
                <w:sz w:val="16"/>
                <w:szCs w:val="14"/>
              </w:rPr>
              <w:t>(Land ac</w:t>
            </w:r>
            <w:r w:rsidRPr="00D31A22">
              <w:rPr>
                <w:rFonts w:ascii="Public Sans" w:hAnsi="Public Sans" w:cs="Arial"/>
                <w:sz w:val="16"/>
                <w:szCs w:val="14"/>
              </w:rPr>
              <w:t>quisitions)</w:t>
            </w:r>
          </w:p>
        </w:tc>
        <w:tc>
          <w:tcPr>
            <w:tcW w:w="1536" w:type="dxa"/>
            <w:tcBorders>
              <w:top w:val="nil"/>
              <w:left w:val="nil"/>
              <w:bottom w:val="nil"/>
              <w:right w:val="nil"/>
            </w:tcBorders>
            <w:vAlign w:val="bottom"/>
          </w:tcPr>
          <w:p w14:paraId="778EEF2D" w14:textId="07A29019" w:rsidR="00FC28A1" w:rsidRPr="00D31A22" w:rsidRDefault="002B6812" w:rsidP="00C163BA">
            <w:pPr>
              <w:ind w:left="28" w:right="340"/>
              <w:jc w:val="right"/>
              <w:rPr>
                <w:rFonts w:ascii="Public Sans" w:hAnsi="Public Sans" w:cs="Arial"/>
                <w:sz w:val="16"/>
                <w:szCs w:val="14"/>
              </w:rPr>
            </w:pPr>
            <w:r w:rsidRPr="00D31A22">
              <w:rPr>
                <w:rFonts w:ascii="Public Sans" w:hAnsi="Public Sans" w:cs="Arial"/>
                <w:sz w:val="16"/>
                <w:szCs w:val="14"/>
              </w:rPr>
              <w:t>1,327</w:t>
            </w:r>
          </w:p>
        </w:tc>
        <w:tc>
          <w:tcPr>
            <w:tcW w:w="1440" w:type="dxa"/>
            <w:tcBorders>
              <w:top w:val="nil"/>
              <w:left w:val="nil"/>
              <w:bottom w:val="nil"/>
              <w:right w:val="nil"/>
            </w:tcBorders>
            <w:shd w:val="clear" w:color="auto" w:fill="auto"/>
            <w:vAlign w:val="bottom"/>
          </w:tcPr>
          <w:p w14:paraId="417A7B12" w14:textId="383A72C2" w:rsidR="00FC28A1" w:rsidRPr="00D31A22" w:rsidDel="001738B9" w:rsidRDefault="00916885" w:rsidP="00E967AF">
            <w:pPr>
              <w:ind w:left="28" w:right="340"/>
              <w:jc w:val="right"/>
              <w:rPr>
                <w:rFonts w:ascii="Public Sans" w:hAnsi="Public Sans" w:cs="Arial"/>
                <w:sz w:val="16"/>
                <w:szCs w:val="14"/>
              </w:rPr>
            </w:pPr>
            <w:r w:rsidRPr="00D31A22">
              <w:rPr>
                <w:rFonts w:ascii="Public Sans" w:hAnsi="Public Sans" w:cs="Arial"/>
                <w:sz w:val="16"/>
                <w:szCs w:val="14"/>
              </w:rPr>
              <w:t>0</w:t>
            </w:r>
          </w:p>
        </w:tc>
      </w:tr>
      <w:tr w:rsidR="00C40479" w:rsidRPr="00C40479" w14:paraId="68861D84" w14:textId="77777777" w:rsidTr="0085089B">
        <w:trPr>
          <w:trHeight w:val="454"/>
        </w:trPr>
        <w:tc>
          <w:tcPr>
            <w:tcW w:w="6646" w:type="dxa"/>
            <w:tcBorders>
              <w:top w:val="nil"/>
              <w:left w:val="nil"/>
              <w:bottom w:val="nil"/>
              <w:right w:val="nil"/>
            </w:tcBorders>
            <w:vAlign w:val="bottom"/>
          </w:tcPr>
          <w:p w14:paraId="459C99B2" w14:textId="78B34F30" w:rsidR="00F92EB1" w:rsidRPr="00D31A22" w:rsidRDefault="00F92EB1">
            <w:pPr>
              <w:ind w:left="28"/>
              <w:rPr>
                <w:rFonts w:ascii="Public Sans" w:hAnsi="Public Sans" w:cs="Arial"/>
                <w:sz w:val="16"/>
                <w:szCs w:val="14"/>
              </w:rPr>
            </w:pPr>
            <w:r w:rsidRPr="00D31A22">
              <w:rPr>
                <w:rFonts w:ascii="Public Sans" w:hAnsi="Public Sans" w:cs="Arial"/>
                <w:sz w:val="16"/>
                <w:szCs w:val="14"/>
              </w:rPr>
              <w:t>Transport for NSW</w:t>
            </w:r>
            <w:r w:rsidRPr="00D31A22">
              <w:rPr>
                <w:rFonts w:ascii="Public Sans" w:hAnsi="Public Sans" w:cs="Arial"/>
                <w:sz w:val="16"/>
                <w:szCs w:val="14"/>
                <w:vertAlign w:val="superscript"/>
              </w:rPr>
              <w:t>(</w:t>
            </w:r>
            <w:r w:rsidR="00574178" w:rsidRPr="00D31A22">
              <w:rPr>
                <w:rFonts w:ascii="Public Sans" w:hAnsi="Public Sans" w:cs="Arial"/>
                <w:sz w:val="16"/>
                <w:szCs w:val="14"/>
                <w:vertAlign w:val="superscript"/>
              </w:rPr>
              <w:t>i</w:t>
            </w:r>
            <w:r w:rsidRPr="00D31A22">
              <w:rPr>
                <w:rFonts w:ascii="Public Sans" w:hAnsi="Public Sans" w:cs="Arial"/>
                <w:sz w:val="16"/>
                <w:szCs w:val="14"/>
                <w:vertAlign w:val="superscript"/>
              </w:rPr>
              <w:t xml:space="preserve">) </w:t>
            </w:r>
            <w:r w:rsidRPr="00D31A22">
              <w:rPr>
                <w:rFonts w:ascii="Public Sans" w:hAnsi="Public Sans" w:cs="Arial"/>
                <w:sz w:val="16"/>
                <w:szCs w:val="14"/>
                <w:vertAlign w:val="superscript"/>
              </w:rPr>
              <w:br/>
            </w:r>
            <w:r w:rsidRPr="00D31A22">
              <w:rPr>
                <w:rFonts w:ascii="Public Sans" w:hAnsi="Public Sans" w:cs="Arial"/>
                <w:sz w:val="16"/>
                <w:szCs w:val="14"/>
              </w:rPr>
              <w:t xml:space="preserve">  (Land acquisitions, contractual disputes)</w:t>
            </w:r>
          </w:p>
        </w:tc>
        <w:tc>
          <w:tcPr>
            <w:tcW w:w="1536" w:type="dxa"/>
            <w:tcBorders>
              <w:top w:val="nil"/>
              <w:left w:val="nil"/>
              <w:bottom w:val="nil"/>
              <w:right w:val="nil"/>
            </w:tcBorders>
            <w:vAlign w:val="bottom"/>
          </w:tcPr>
          <w:p w14:paraId="23C117D5" w14:textId="26B2E77E" w:rsidR="00F92EB1" w:rsidRPr="00D31A22" w:rsidRDefault="481B1141" w:rsidP="00C163BA">
            <w:pPr>
              <w:ind w:left="28" w:right="340"/>
              <w:jc w:val="right"/>
              <w:rPr>
                <w:rFonts w:ascii="Public Sans" w:hAnsi="Public Sans" w:cs="Arial"/>
                <w:sz w:val="16"/>
                <w:szCs w:val="14"/>
              </w:rPr>
            </w:pPr>
            <w:r w:rsidRPr="00D31A22">
              <w:rPr>
                <w:rFonts w:ascii="Public Sans" w:hAnsi="Public Sans" w:cs="Arial"/>
                <w:sz w:val="16"/>
                <w:szCs w:val="14"/>
              </w:rPr>
              <w:t>859</w:t>
            </w:r>
          </w:p>
        </w:tc>
        <w:tc>
          <w:tcPr>
            <w:tcW w:w="1440" w:type="dxa"/>
            <w:tcBorders>
              <w:top w:val="nil"/>
              <w:left w:val="nil"/>
              <w:bottom w:val="nil"/>
              <w:right w:val="nil"/>
            </w:tcBorders>
            <w:shd w:val="clear" w:color="auto" w:fill="auto"/>
            <w:vAlign w:val="bottom"/>
          </w:tcPr>
          <w:p w14:paraId="41BC1BDF" w14:textId="11F1E23F" w:rsidR="00F92EB1" w:rsidRPr="00D31A22" w:rsidRDefault="00916885" w:rsidP="00E967AF">
            <w:pPr>
              <w:ind w:left="28" w:right="340"/>
              <w:jc w:val="right"/>
              <w:rPr>
                <w:rFonts w:ascii="Public Sans" w:eastAsia="Public Sans" w:hAnsi="Public Sans" w:cs="Public Sans"/>
                <w:sz w:val="16"/>
                <w:szCs w:val="14"/>
                <w:highlight w:val="yellow"/>
              </w:rPr>
            </w:pPr>
            <w:r w:rsidRPr="00D31A22">
              <w:rPr>
                <w:rFonts w:ascii="Public Sans" w:hAnsi="Public Sans" w:cs="Arial"/>
                <w:sz w:val="16"/>
                <w:szCs w:val="14"/>
              </w:rPr>
              <w:t>0</w:t>
            </w:r>
          </w:p>
        </w:tc>
      </w:tr>
      <w:tr w:rsidR="00C40479" w:rsidRPr="00C40479" w14:paraId="17198005" w14:textId="77777777" w:rsidTr="41B72A4E">
        <w:trPr>
          <w:trHeight w:val="283"/>
        </w:trPr>
        <w:tc>
          <w:tcPr>
            <w:tcW w:w="6646" w:type="dxa"/>
            <w:tcBorders>
              <w:top w:val="nil"/>
              <w:left w:val="nil"/>
              <w:bottom w:val="nil"/>
              <w:right w:val="nil"/>
            </w:tcBorders>
            <w:vAlign w:val="bottom"/>
          </w:tcPr>
          <w:p w14:paraId="7C27332E" w14:textId="77777777" w:rsidR="00F92EB1" w:rsidRPr="00D31A22" w:rsidRDefault="00F92EB1">
            <w:pPr>
              <w:ind w:left="28"/>
              <w:rPr>
                <w:rFonts w:ascii="Public Sans" w:hAnsi="Public Sans" w:cs="Arial"/>
                <w:sz w:val="16"/>
                <w:szCs w:val="14"/>
              </w:rPr>
            </w:pPr>
            <w:r w:rsidRPr="00D31A22">
              <w:rPr>
                <w:rFonts w:ascii="Public Sans" w:hAnsi="Public Sans" w:cs="Arial"/>
                <w:sz w:val="16"/>
                <w:szCs w:val="14"/>
              </w:rPr>
              <w:t xml:space="preserve">Other Agencies </w:t>
            </w:r>
          </w:p>
        </w:tc>
        <w:tc>
          <w:tcPr>
            <w:tcW w:w="1536" w:type="dxa"/>
            <w:tcBorders>
              <w:top w:val="nil"/>
              <w:left w:val="nil"/>
              <w:bottom w:val="nil"/>
              <w:right w:val="nil"/>
            </w:tcBorders>
            <w:vAlign w:val="bottom"/>
          </w:tcPr>
          <w:p w14:paraId="06E370F0" w14:textId="67DD9D06" w:rsidR="00F92EB1" w:rsidRPr="00D31A22" w:rsidRDefault="00092DB6" w:rsidP="00C163BA">
            <w:pPr>
              <w:ind w:left="28" w:right="340"/>
              <w:jc w:val="right"/>
              <w:rPr>
                <w:rFonts w:ascii="Public Sans" w:hAnsi="Public Sans" w:cs="Arial"/>
                <w:sz w:val="16"/>
                <w:szCs w:val="14"/>
              </w:rPr>
            </w:pPr>
            <w:r w:rsidRPr="00D31A22">
              <w:rPr>
                <w:rFonts w:ascii="Public Sans" w:hAnsi="Public Sans" w:cs="Arial"/>
                <w:sz w:val="16"/>
                <w:szCs w:val="14"/>
              </w:rPr>
              <w:t>0</w:t>
            </w:r>
          </w:p>
        </w:tc>
        <w:tc>
          <w:tcPr>
            <w:tcW w:w="1440" w:type="dxa"/>
            <w:tcBorders>
              <w:top w:val="nil"/>
              <w:left w:val="nil"/>
              <w:bottom w:val="nil"/>
              <w:right w:val="nil"/>
            </w:tcBorders>
            <w:vAlign w:val="bottom"/>
          </w:tcPr>
          <w:p w14:paraId="5E70592A" w14:textId="0F7F58FD" w:rsidR="00F92EB1" w:rsidRPr="00D31A22" w:rsidRDefault="00C36363" w:rsidP="00C163BA">
            <w:pPr>
              <w:ind w:left="28" w:right="340"/>
              <w:jc w:val="right"/>
              <w:rPr>
                <w:rFonts w:ascii="Public Sans" w:hAnsi="Public Sans" w:cs="Arial"/>
                <w:sz w:val="16"/>
                <w:szCs w:val="14"/>
                <w:highlight w:val="yellow"/>
              </w:rPr>
            </w:pPr>
            <w:r w:rsidRPr="00D31A22">
              <w:rPr>
                <w:rFonts w:ascii="Public Sans" w:hAnsi="Public Sans" w:cs="Arial"/>
                <w:sz w:val="16"/>
                <w:szCs w:val="14"/>
              </w:rPr>
              <w:t>3</w:t>
            </w:r>
          </w:p>
        </w:tc>
      </w:tr>
      <w:tr w:rsidR="00C40479" w:rsidRPr="00C40479" w14:paraId="6F838242" w14:textId="77777777" w:rsidTr="0085089B">
        <w:trPr>
          <w:trHeight w:val="340"/>
        </w:trPr>
        <w:tc>
          <w:tcPr>
            <w:tcW w:w="6646" w:type="dxa"/>
            <w:tcBorders>
              <w:top w:val="single" w:sz="4" w:space="0" w:color="auto"/>
              <w:left w:val="nil"/>
              <w:bottom w:val="single" w:sz="6" w:space="0" w:color="000000" w:themeColor="text1"/>
              <w:right w:val="nil"/>
            </w:tcBorders>
          </w:tcPr>
          <w:p w14:paraId="4850F889" w14:textId="77777777" w:rsidR="00F92EB1" w:rsidRPr="00D31A22" w:rsidRDefault="00F92EB1">
            <w:pPr>
              <w:jc w:val="center"/>
              <w:rPr>
                <w:rFonts w:ascii="Public Sans" w:hAnsi="Public Sans" w:cs="Arial"/>
                <w:b/>
                <w:bCs/>
                <w:sz w:val="16"/>
                <w:szCs w:val="14"/>
              </w:rPr>
            </w:pPr>
          </w:p>
        </w:tc>
        <w:tc>
          <w:tcPr>
            <w:tcW w:w="1536" w:type="dxa"/>
            <w:tcBorders>
              <w:top w:val="single" w:sz="4" w:space="0" w:color="auto"/>
              <w:left w:val="nil"/>
              <w:bottom w:val="single" w:sz="6" w:space="0" w:color="000000" w:themeColor="text1"/>
              <w:right w:val="nil"/>
            </w:tcBorders>
            <w:vAlign w:val="center"/>
          </w:tcPr>
          <w:p w14:paraId="655B8CDD" w14:textId="23858B33" w:rsidR="00F92EB1" w:rsidRPr="00D31A22" w:rsidRDefault="00C22EAA">
            <w:pPr>
              <w:tabs>
                <w:tab w:val="left" w:pos="895"/>
              </w:tabs>
              <w:ind w:left="-96" w:right="325"/>
              <w:jc w:val="right"/>
              <w:rPr>
                <w:rFonts w:ascii="Public Sans" w:eastAsia="Arial" w:hAnsi="Public Sans" w:cs="Arial"/>
                <w:b/>
                <w:bCs/>
                <w:sz w:val="16"/>
                <w:szCs w:val="14"/>
              </w:rPr>
            </w:pPr>
            <w:r w:rsidRPr="00D31A22">
              <w:rPr>
                <w:rFonts w:ascii="Public Sans" w:eastAsia="Arial" w:hAnsi="Public Sans" w:cs="Arial"/>
                <w:b/>
                <w:bCs/>
                <w:sz w:val="16"/>
                <w:szCs w:val="14"/>
              </w:rPr>
              <w:t>3</w:t>
            </w:r>
            <w:r w:rsidR="00065CB8" w:rsidRPr="00D31A22">
              <w:rPr>
                <w:rFonts w:ascii="Public Sans" w:eastAsia="Arial" w:hAnsi="Public Sans" w:cs="Arial"/>
                <w:b/>
                <w:bCs/>
                <w:sz w:val="16"/>
                <w:szCs w:val="14"/>
              </w:rPr>
              <w:t>,</w:t>
            </w:r>
            <w:r w:rsidRPr="00D31A22">
              <w:rPr>
                <w:rFonts w:ascii="Public Sans" w:eastAsia="Arial" w:hAnsi="Public Sans" w:cs="Arial"/>
                <w:b/>
                <w:bCs/>
                <w:sz w:val="16"/>
                <w:szCs w:val="14"/>
              </w:rPr>
              <w:t>714</w:t>
            </w:r>
          </w:p>
        </w:tc>
        <w:tc>
          <w:tcPr>
            <w:tcW w:w="1440" w:type="dxa"/>
            <w:tcBorders>
              <w:top w:val="single" w:sz="4" w:space="0" w:color="auto"/>
              <w:left w:val="nil"/>
              <w:bottom w:val="single" w:sz="6" w:space="0" w:color="000000" w:themeColor="text1"/>
              <w:right w:val="nil"/>
            </w:tcBorders>
            <w:shd w:val="clear" w:color="auto" w:fill="auto"/>
            <w:vAlign w:val="center"/>
          </w:tcPr>
          <w:p w14:paraId="0437E61C" w14:textId="5539DA39" w:rsidR="00F92EB1" w:rsidRPr="00D31A22" w:rsidRDefault="009B75DD" w:rsidP="49C27378">
            <w:pPr>
              <w:ind w:right="340"/>
              <w:jc w:val="right"/>
              <w:rPr>
                <w:rFonts w:ascii="Public Sans" w:hAnsi="Public Sans" w:cs="Arial"/>
                <w:b/>
                <w:bCs/>
                <w:sz w:val="16"/>
                <w:szCs w:val="14"/>
                <w:highlight w:val="yellow"/>
              </w:rPr>
            </w:pPr>
            <w:r w:rsidRPr="00D31A22">
              <w:rPr>
                <w:rFonts w:ascii="Public Sans" w:hAnsi="Public Sans" w:cs="Arial"/>
                <w:b/>
                <w:bCs/>
                <w:sz w:val="16"/>
                <w:szCs w:val="14"/>
              </w:rPr>
              <w:t>1</w:t>
            </w:r>
            <w:r w:rsidR="00065CB8" w:rsidRPr="00D31A22">
              <w:rPr>
                <w:rFonts w:ascii="Public Sans" w:hAnsi="Public Sans" w:cs="Arial"/>
                <w:b/>
                <w:bCs/>
                <w:sz w:val="16"/>
                <w:szCs w:val="14"/>
              </w:rPr>
              <w:t>,</w:t>
            </w:r>
            <w:r w:rsidRPr="00D31A22">
              <w:rPr>
                <w:rFonts w:ascii="Public Sans" w:hAnsi="Public Sans" w:cs="Arial"/>
                <w:b/>
                <w:bCs/>
                <w:sz w:val="16"/>
                <w:szCs w:val="14"/>
              </w:rPr>
              <w:t>831</w:t>
            </w:r>
          </w:p>
        </w:tc>
      </w:tr>
    </w:tbl>
    <w:p w14:paraId="2328FFC3" w14:textId="77777777" w:rsidR="00F92EB1" w:rsidRPr="0093708F" w:rsidRDefault="00F92EB1" w:rsidP="00F92EB1">
      <w:pPr>
        <w:rPr>
          <w:rFonts w:ascii="Arial" w:eastAsia="Calibri" w:hAnsi="Arial" w:cs="Arial"/>
          <w:sz w:val="6"/>
          <w:szCs w:val="6"/>
          <w:lang w:val="en-AU"/>
        </w:rPr>
      </w:pPr>
    </w:p>
    <w:p w14:paraId="76E890F6" w14:textId="2930DDBA" w:rsidR="00F92EB1" w:rsidRPr="002D7677" w:rsidRDefault="00F92EB1" w:rsidP="00B446FF">
      <w:pPr>
        <w:numPr>
          <w:ilvl w:val="0"/>
          <w:numId w:val="3"/>
        </w:numPr>
        <w:ind w:left="363" w:hanging="357"/>
        <w:contextualSpacing/>
        <w:rPr>
          <w:rFonts w:ascii="Public Sans" w:eastAsia="Calibri" w:hAnsi="Public Sans" w:cs="Arial"/>
          <w:sz w:val="17"/>
          <w:szCs w:val="17"/>
          <w:lang w:val="en-AU"/>
        </w:rPr>
      </w:pPr>
      <w:r w:rsidRPr="417200EA">
        <w:rPr>
          <w:rFonts w:ascii="Public Sans" w:eastAsia="Calibri" w:hAnsi="Public Sans" w:cs="Arial"/>
          <w:sz w:val="17"/>
          <w:szCs w:val="17"/>
          <w:lang w:val="en-AU"/>
        </w:rPr>
        <w:t xml:space="preserve">The Victims’ </w:t>
      </w:r>
      <w:r w:rsidRPr="417200EA">
        <w:rPr>
          <w:rFonts w:ascii="Public Sans" w:eastAsia="Calibri" w:hAnsi="Public Sans" w:cs="Arial"/>
          <w:sz w:val="17"/>
          <w:szCs w:val="17"/>
        </w:rPr>
        <w:t xml:space="preserve">Support Scheme was created on 3 June 2013 through the </w:t>
      </w:r>
      <w:r w:rsidRPr="417200EA">
        <w:rPr>
          <w:rFonts w:ascii="Public Sans" w:eastAsia="Arial" w:hAnsi="Public Sans" w:cs="Arial"/>
          <w:i/>
          <w:iCs/>
          <w:sz w:val="17"/>
          <w:szCs w:val="17"/>
        </w:rPr>
        <w:t>Victims’ Rights and Support Act 2013</w:t>
      </w:r>
      <w:r w:rsidRPr="417200EA">
        <w:rPr>
          <w:rFonts w:ascii="Public Sans" w:hAnsi="Public Sans" w:cs="Arial"/>
          <w:sz w:val="17"/>
          <w:szCs w:val="17"/>
        </w:rPr>
        <w:t xml:space="preserve">. </w:t>
      </w:r>
      <w:r w:rsidR="00B73EE3">
        <w:rPr>
          <w:rFonts w:ascii="Public Sans" w:hAnsi="Public Sans" w:cs="Arial"/>
          <w:sz w:val="17"/>
          <w:szCs w:val="17"/>
        </w:rPr>
        <w:t xml:space="preserve">A revised estimate of </w:t>
      </w:r>
      <w:r w:rsidR="005562BD">
        <w:rPr>
          <w:rFonts w:ascii="Public Sans" w:hAnsi="Public Sans" w:cs="Arial"/>
          <w:sz w:val="17"/>
          <w:szCs w:val="17"/>
        </w:rPr>
        <w:t xml:space="preserve">this contingent liability has been provided </w:t>
      </w:r>
      <w:r w:rsidR="00130C7D">
        <w:rPr>
          <w:rFonts w:ascii="Public Sans" w:hAnsi="Public Sans" w:cs="Arial"/>
          <w:sz w:val="17"/>
          <w:szCs w:val="17"/>
        </w:rPr>
        <w:t xml:space="preserve">as </w:t>
      </w:r>
      <w:proofErr w:type="gramStart"/>
      <w:r w:rsidR="00130C7D">
        <w:rPr>
          <w:rFonts w:ascii="Public Sans" w:hAnsi="Public Sans" w:cs="Arial"/>
          <w:sz w:val="17"/>
          <w:szCs w:val="17"/>
        </w:rPr>
        <w:t>at</w:t>
      </w:r>
      <w:proofErr w:type="gramEnd"/>
      <w:r w:rsidR="00130C7D">
        <w:rPr>
          <w:rFonts w:ascii="Public Sans" w:hAnsi="Public Sans" w:cs="Arial"/>
          <w:sz w:val="17"/>
          <w:szCs w:val="17"/>
        </w:rPr>
        <w:t xml:space="preserve"> 31 March</w:t>
      </w:r>
      <w:r w:rsidR="00B216EA">
        <w:rPr>
          <w:rFonts w:ascii="Public Sans" w:hAnsi="Public Sans" w:cs="Arial"/>
          <w:sz w:val="17"/>
          <w:szCs w:val="17"/>
        </w:rPr>
        <w:t xml:space="preserve"> 2024.</w:t>
      </w:r>
      <w:r w:rsidR="004B283C">
        <w:rPr>
          <w:rFonts w:ascii="Public Sans" w:hAnsi="Public Sans" w:cs="Arial"/>
          <w:sz w:val="17"/>
          <w:szCs w:val="17"/>
        </w:rPr>
        <w:t xml:space="preserve"> </w:t>
      </w:r>
      <w:r w:rsidR="00270FF7" w:rsidRPr="0085089B" w:rsidDel="0028401D">
        <w:rPr>
          <w:rFonts w:ascii="Public Sans" w:hAnsi="Public Sans" w:cs="Arial"/>
          <w:sz w:val="17"/>
          <w:szCs w:val="17"/>
        </w:rPr>
        <w:t>Additionally</w:t>
      </w:r>
      <w:r w:rsidR="00554AC7" w:rsidRPr="0085089B" w:rsidDel="0028401D">
        <w:rPr>
          <w:rFonts w:ascii="Public Sans" w:hAnsi="Public Sans" w:cs="Arial"/>
          <w:sz w:val="17"/>
          <w:szCs w:val="17"/>
        </w:rPr>
        <w:t xml:space="preserve">, </w:t>
      </w:r>
      <w:r w:rsidR="00093D2D" w:rsidRPr="0085089B" w:rsidDel="0028401D">
        <w:rPr>
          <w:rFonts w:ascii="Public Sans" w:hAnsi="Public Sans" w:cs="Arial"/>
          <w:sz w:val="17"/>
          <w:szCs w:val="17"/>
        </w:rPr>
        <w:t xml:space="preserve">various claims </w:t>
      </w:r>
      <w:r w:rsidR="004B283C" w:rsidRPr="0085089B">
        <w:rPr>
          <w:rFonts w:ascii="Public Sans" w:hAnsi="Public Sans" w:cs="Arial"/>
          <w:sz w:val="17"/>
          <w:szCs w:val="17"/>
        </w:rPr>
        <w:t xml:space="preserve">had </w:t>
      </w:r>
      <w:r w:rsidR="00093D2D" w:rsidRPr="0085089B" w:rsidDel="0028401D">
        <w:rPr>
          <w:rFonts w:ascii="Public Sans" w:hAnsi="Public Sans" w:cs="Arial"/>
          <w:sz w:val="17"/>
          <w:szCs w:val="17"/>
        </w:rPr>
        <w:t>been made against the Department</w:t>
      </w:r>
      <w:r w:rsidR="00CD15B9" w:rsidRPr="0085089B">
        <w:rPr>
          <w:rFonts w:ascii="Public Sans" w:hAnsi="Public Sans" w:cs="Arial"/>
          <w:sz w:val="17"/>
          <w:szCs w:val="17"/>
        </w:rPr>
        <w:t xml:space="preserve"> (totaling $56.1 million as </w:t>
      </w:r>
      <w:proofErr w:type="gramStart"/>
      <w:r w:rsidR="00CD15B9" w:rsidRPr="0085089B">
        <w:rPr>
          <w:rFonts w:ascii="Public Sans" w:hAnsi="Public Sans" w:cs="Arial"/>
          <w:sz w:val="17"/>
          <w:szCs w:val="17"/>
        </w:rPr>
        <w:t>at</w:t>
      </w:r>
      <w:proofErr w:type="gramEnd"/>
      <w:r w:rsidR="00CD15B9" w:rsidRPr="0085089B">
        <w:rPr>
          <w:rFonts w:ascii="Public Sans" w:hAnsi="Public Sans" w:cs="Arial"/>
          <w:sz w:val="17"/>
          <w:szCs w:val="17"/>
        </w:rPr>
        <w:t xml:space="preserve"> </w:t>
      </w:r>
      <w:r w:rsidR="00CE2B85" w:rsidRPr="0085089B">
        <w:rPr>
          <w:rFonts w:ascii="Public Sans" w:hAnsi="Public Sans" w:cs="Arial"/>
          <w:sz w:val="17"/>
          <w:szCs w:val="17"/>
        </w:rPr>
        <w:t>30 June 2023)</w:t>
      </w:r>
      <w:r w:rsidR="00093D2D" w:rsidRPr="0085089B">
        <w:rPr>
          <w:rFonts w:ascii="Public Sans" w:hAnsi="Public Sans" w:cs="Arial"/>
          <w:sz w:val="17"/>
          <w:szCs w:val="17"/>
        </w:rPr>
        <w:t>,</w:t>
      </w:r>
      <w:r w:rsidR="00093D2D" w:rsidRPr="0085089B" w:rsidDel="0028401D">
        <w:rPr>
          <w:rFonts w:ascii="Public Sans" w:hAnsi="Public Sans" w:cs="Arial"/>
          <w:sz w:val="17"/>
          <w:szCs w:val="17"/>
        </w:rPr>
        <w:t xml:space="preserve"> which, if successful, would be met from the NSW Treasury Managed Fund </w:t>
      </w:r>
      <w:r w:rsidR="00740E98" w:rsidRPr="0085089B" w:rsidDel="0028401D">
        <w:rPr>
          <w:rFonts w:ascii="Public Sans" w:hAnsi="Public Sans" w:cs="Arial"/>
          <w:sz w:val="17"/>
          <w:szCs w:val="17"/>
        </w:rPr>
        <w:t xml:space="preserve">(TMF) </w:t>
      </w:r>
      <w:r w:rsidR="00093D2D" w:rsidRPr="0085089B" w:rsidDel="0028401D">
        <w:rPr>
          <w:rFonts w:ascii="Public Sans" w:hAnsi="Public Sans" w:cs="Arial"/>
          <w:sz w:val="17"/>
          <w:szCs w:val="17"/>
        </w:rPr>
        <w:t>and Solvency Fund</w:t>
      </w:r>
      <w:r w:rsidR="00CE2B85" w:rsidRPr="0085089B">
        <w:rPr>
          <w:rFonts w:ascii="Public Sans" w:hAnsi="Public Sans" w:cs="Arial"/>
          <w:sz w:val="17"/>
          <w:szCs w:val="17"/>
        </w:rPr>
        <w:t>.</w:t>
      </w:r>
      <w:r w:rsidR="005E5016">
        <w:rPr>
          <w:rFonts w:ascii="Public Sans" w:hAnsi="Public Sans" w:cs="Arial"/>
          <w:sz w:val="17"/>
          <w:szCs w:val="17"/>
        </w:rPr>
        <w:t xml:space="preserve"> An estimate of these contingent liabilities as </w:t>
      </w:r>
      <w:proofErr w:type="gramStart"/>
      <w:r w:rsidR="005E5016">
        <w:rPr>
          <w:rFonts w:ascii="Public Sans" w:hAnsi="Public Sans" w:cs="Arial"/>
          <w:sz w:val="17"/>
          <w:szCs w:val="17"/>
        </w:rPr>
        <w:t>at</w:t>
      </w:r>
      <w:proofErr w:type="gramEnd"/>
      <w:r w:rsidR="005E5016">
        <w:rPr>
          <w:rFonts w:ascii="Public Sans" w:hAnsi="Public Sans" w:cs="Arial"/>
          <w:sz w:val="17"/>
          <w:szCs w:val="17"/>
        </w:rPr>
        <w:t xml:space="preserve"> 30</w:t>
      </w:r>
      <w:r w:rsidR="000D7D19">
        <w:rPr>
          <w:rFonts w:ascii="Public Sans" w:hAnsi="Public Sans" w:cs="Arial"/>
          <w:sz w:val="17"/>
          <w:szCs w:val="17"/>
        </w:rPr>
        <w:t> </w:t>
      </w:r>
      <w:r w:rsidR="005E5016">
        <w:rPr>
          <w:rFonts w:ascii="Public Sans" w:hAnsi="Public Sans" w:cs="Arial"/>
          <w:sz w:val="17"/>
          <w:szCs w:val="17"/>
        </w:rPr>
        <w:t>April</w:t>
      </w:r>
      <w:r w:rsidR="000D7D19">
        <w:rPr>
          <w:rFonts w:ascii="Public Sans" w:hAnsi="Public Sans" w:cs="Arial"/>
          <w:sz w:val="17"/>
          <w:szCs w:val="17"/>
        </w:rPr>
        <w:t> </w:t>
      </w:r>
      <w:r w:rsidR="005E5016">
        <w:rPr>
          <w:rFonts w:ascii="Public Sans" w:hAnsi="Public Sans" w:cs="Arial"/>
          <w:sz w:val="17"/>
          <w:szCs w:val="17"/>
        </w:rPr>
        <w:t>2024 was not provided by the Department</w:t>
      </w:r>
      <w:r w:rsidR="00452A54">
        <w:rPr>
          <w:rFonts w:ascii="Public Sans" w:hAnsi="Public Sans" w:cs="Arial"/>
          <w:sz w:val="17"/>
          <w:szCs w:val="17"/>
        </w:rPr>
        <w:t xml:space="preserve"> of Communities and Justice</w:t>
      </w:r>
      <w:r w:rsidR="005E5016">
        <w:rPr>
          <w:rFonts w:ascii="Public Sans" w:hAnsi="Public Sans" w:cs="Arial"/>
          <w:sz w:val="17"/>
          <w:szCs w:val="17"/>
        </w:rPr>
        <w:t>.</w:t>
      </w:r>
    </w:p>
    <w:p w14:paraId="37E7F640" w14:textId="51600DC4" w:rsidR="00F642FD" w:rsidRPr="0000116B" w:rsidRDefault="00F92EB1" w:rsidP="0089133A">
      <w:pPr>
        <w:numPr>
          <w:ilvl w:val="0"/>
          <w:numId w:val="3"/>
        </w:numPr>
        <w:ind w:left="363" w:hanging="357"/>
        <w:contextualSpacing/>
        <w:rPr>
          <w:rFonts w:ascii="Public Sans" w:eastAsia="Calibri" w:hAnsi="Public Sans" w:cs="Arial"/>
          <w:sz w:val="17"/>
          <w:szCs w:val="17"/>
          <w:lang w:val="en-AU"/>
        </w:rPr>
      </w:pPr>
      <w:r w:rsidRPr="002D7677">
        <w:rPr>
          <w:rFonts w:ascii="Public Sans" w:hAnsi="Public Sans" w:cs="Arial"/>
          <w:sz w:val="17"/>
          <w:szCs w:val="17"/>
        </w:rPr>
        <w:t xml:space="preserve">The Torrens Assurance Fund </w:t>
      </w:r>
      <w:r w:rsidR="00AD5854">
        <w:rPr>
          <w:rFonts w:ascii="Public Sans" w:hAnsi="Public Sans" w:cs="Arial"/>
          <w:sz w:val="17"/>
          <w:szCs w:val="17"/>
        </w:rPr>
        <w:t xml:space="preserve">(TAF) </w:t>
      </w:r>
      <w:r w:rsidRPr="002D7677">
        <w:rPr>
          <w:rFonts w:ascii="Public Sans" w:hAnsi="Public Sans" w:cs="Arial"/>
          <w:sz w:val="17"/>
          <w:szCs w:val="17"/>
        </w:rPr>
        <w:t xml:space="preserve">is a statutory compensation scheme designed to compensate people who, through no fault of their own, suffer loss or damage </w:t>
      </w:r>
      <w:proofErr w:type="gramStart"/>
      <w:r w:rsidRPr="002D7677">
        <w:rPr>
          <w:rFonts w:ascii="Public Sans" w:hAnsi="Public Sans" w:cs="Arial"/>
          <w:sz w:val="17"/>
          <w:szCs w:val="17"/>
        </w:rPr>
        <w:t>as a result of</w:t>
      </w:r>
      <w:proofErr w:type="gramEnd"/>
      <w:r w:rsidRPr="002D7677">
        <w:rPr>
          <w:rFonts w:ascii="Public Sans" w:hAnsi="Public Sans" w:cs="Arial"/>
          <w:sz w:val="17"/>
          <w:szCs w:val="17"/>
        </w:rPr>
        <w:t xml:space="preserve"> the operation of the </w:t>
      </w:r>
      <w:r w:rsidRPr="002D7677">
        <w:rPr>
          <w:rFonts w:ascii="Public Sans" w:hAnsi="Public Sans" w:cs="Arial"/>
          <w:i/>
          <w:iCs/>
          <w:sz w:val="17"/>
          <w:szCs w:val="17"/>
        </w:rPr>
        <w:t xml:space="preserve">Real Property Act 1900 </w:t>
      </w:r>
      <w:r w:rsidRPr="002D7677">
        <w:rPr>
          <w:rFonts w:ascii="Public Sans" w:hAnsi="Public Sans" w:cs="Arial"/>
          <w:sz w:val="17"/>
          <w:szCs w:val="17"/>
        </w:rPr>
        <w:t xml:space="preserve">operated by the Department of Customer Service. </w:t>
      </w:r>
      <w:r w:rsidR="00AD5854">
        <w:rPr>
          <w:rFonts w:ascii="Public Sans" w:hAnsi="Public Sans" w:cs="Arial"/>
          <w:sz w:val="17"/>
          <w:szCs w:val="17"/>
        </w:rPr>
        <w:t>There are currently 12 claims against the TAF</w:t>
      </w:r>
      <w:r w:rsidR="0033609B">
        <w:rPr>
          <w:rFonts w:ascii="Public Sans" w:hAnsi="Public Sans" w:cs="Arial"/>
          <w:sz w:val="17"/>
          <w:szCs w:val="17"/>
        </w:rPr>
        <w:t>.</w:t>
      </w:r>
    </w:p>
    <w:p w14:paraId="60B7FA10" w14:textId="2D3F9187" w:rsidR="00F92EB1" w:rsidRDefault="00F92EB1" w:rsidP="00B446FF">
      <w:pPr>
        <w:pStyle w:val="ListParagraph"/>
        <w:numPr>
          <w:ilvl w:val="0"/>
          <w:numId w:val="3"/>
        </w:numPr>
        <w:ind w:left="363" w:hanging="357"/>
        <w:rPr>
          <w:rFonts w:ascii="Public Sans" w:hAnsi="Public Sans" w:cs="Arial"/>
          <w:sz w:val="17"/>
          <w:szCs w:val="17"/>
        </w:rPr>
      </w:pPr>
      <w:r w:rsidRPr="002D7677">
        <w:rPr>
          <w:rFonts w:ascii="Public Sans" w:hAnsi="Public Sans" w:cs="Arial"/>
          <w:sz w:val="17"/>
          <w:szCs w:val="17"/>
        </w:rPr>
        <w:t xml:space="preserve">The </w:t>
      </w:r>
      <w:r w:rsidRPr="0085089B">
        <w:rPr>
          <w:rFonts w:ascii="Public Sans" w:hAnsi="Public Sans" w:cs="Arial"/>
          <w:sz w:val="17"/>
          <w:szCs w:val="17"/>
        </w:rPr>
        <w:t>Department of Planning</w:t>
      </w:r>
      <w:r w:rsidR="002B5FB5">
        <w:rPr>
          <w:rFonts w:ascii="Public Sans" w:hAnsi="Public Sans" w:cs="Arial"/>
          <w:sz w:val="17"/>
          <w:szCs w:val="17"/>
        </w:rPr>
        <w:t xml:space="preserve">, </w:t>
      </w:r>
      <w:r w:rsidR="008A7562">
        <w:rPr>
          <w:rFonts w:ascii="Public Sans" w:hAnsi="Public Sans" w:cs="Arial"/>
          <w:sz w:val="17"/>
          <w:szCs w:val="17"/>
        </w:rPr>
        <w:t>H</w:t>
      </w:r>
      <w:r w:rsidR="002B5FB5">
        <w:rPr>
          <w:rFonts w:ascii="Public Sans" w:hAnsi="Public Sans" w:cs="Arial"/>
          <w:sz w:val="17"/>
          <w:szCs w:val="17"/>
        </w:rPr>
        <w:t>ousing and Infrastructure</w:t>
      </w:r>
      <w:r w:rsidRPr="002D7677">
        <w:rPr>
          <w:rFonts w:ascii="Public Sans" w:hAnsi="Public Sans" w:cs="Arial"/>
          <w:sz w:val="17"/>
          <w:szCs w:val="17"/>
        </w:rPr>
        <w:t xml:space="preserve"> ha</w:t>
      </w:r>
      <w:r w:rsidR="002D0840">
        <w:rPr>
          <w:rFonts w:ascii="Public Sans" w:hAnsi="Public Sans" w:cs="Arial"/>
          <w:sz w:val="17"/>
          <w:szCs w:val="17"/>
        </w:rPr>
        <w:t>d</w:t>
      </w:r>
      <w:r w:rsidRPr="002D7677">
        <w:rPr>
          <w:rFonts w:ascii="Public Sans" w:hAnsi="Public Sans" w:cs="Arial"/>
          <w:sz w:val="17"/>
          <w:szCs w:val="17"/>
        </w:rPr>
        <w:t xml:space="preserve"> provided support for the obligations of a third party where it may </w:t>
      </w:r>
      <w:r w:rsidR="00583C12">
        <w:rPr>
          <w:rFonts w:ascii="Public Sans" w:hAnsi="Public Sans" w:cs="Arial"/>
          <w:sz w:val="17"/>
          <w:szCs w:val="17"/>
        </w:rPr>
        <w:t xml:space="preserve">have </w:t>
      </w:r>
      <w:r w:rsidRPr="002D7677">
        <w:rPr>
          <w:rFonts w:ascii="Public Sans" w:hAnsi="Public Sans" w:cs="Arial"/>
          <w:sz w:val="17"/>
          <w:szCs w:val="17"/>
        </w:rPr>
        <w:t>be</w:t>
      </w:r>
      <w:r w:rsidR="00583C12">
        <w:rPr>
          <w:rFonts w:ascii="Public Sans" w:hAnsi="Public Sans" w:cs="Arial"/>
          <w:sz w:val="17"/>
          <w:szCs w:val="17"/>
        </w:rPr>
        <w:t>en</w:t>
      </w:r>
      <w:r w:rsidRPr="002D7677">
        <w:rPr>
          <w:rFonts w:ascii="Public Sans" w:hAnsi="Public Sans" w:cs="Arial"/>
          <w:sz w:val="17"/>
          <w:szCs w:val="17"/>
        </w:rPr>
        <w:t xml:space="preserve"> called upon to settle a debt </w:t>
      </w:r>
      <w:proofErr w:type="gramStart"/>
      <w:r w:rsidRPr="002D7677">
        <w:rPr>
          <w:rFonts w:ascii="Public Sans" w:hAnsi="Public Sans" w:cs="Arial"/>
          <w:sz w:val="17"/>
          <w:szCs w:val="17"/>
        </w:rPr>
        <w:t>obligation</w:t>
      </w:r>
      <w:r w:rsidR="00BB1936">
        <w:rPr>
          <w:rFonts w:ascii="Public Sans" w:hAnsi="Public Sans" w:cs="Arial"/>
          <w:sz w:val="17"/>
          <w:szCs w:val="17"/>
        </w:rPr>
        <w:t>,</w:t>
      </w:r>
      <w:r w:rsidRPr="002D7677">
        <w:rPr>
          <w:rFonts w:ascii="Public Sans" w:hAnsi="Public Sans" w:cs="Arial"/>
          <w:sz w:val="17"/>
          <w:szCs w:val="17"/>
        </w:rPr>
        <w:t xml:space="preserve"> if</w:t>
      </w:r>
      <w:proofErr w:type="gramEnd"/>
      <w:r w:rsidRPr="002D7677">
        <w:rPr>
          <w:rFonts w:ascii="Public Sans" w:hAnsi="Public Sans" w:cs="Arial"/>
          <w:sz w:val="17"/>
          <w:szCs w:val="17"/>
        </w:rPr>
        <w:t xml:space="preserve"> the borrower </w:t>
      </w:r>
      <w:r w:rsidR="00BB1936">
        <w:rPr>
          <w:rFonts w:ascii="Public Sans" w:hAnsi="Public Sans" w:cs="Arial"/>
          <w:sz w:val="17"/>
          <w:szCs w:val="17"/>
        </w:rPr>
        <w:t>was</w:t>
      </w:r>
      <w:r w:rsidR="00BB1936" w:rsidRPr="002D7677">
        <w:rPr>
          <w:rFonts w:ascii="Public Sans" w:hAnsi="Public Sans" w:cs="Arial"/>
          <w:sz w:val="17"/>
          <w:szCs w:val="17"/>
        </w:rPr>
        <w:t xml:space="preserve"> </w:t>
      </w:r>
      <w:r w:rsidRPr="002D7677">
        <w:rPr>
          <w:rFonts w:ascii="Public Sans" w:hAnsi="Public Sans" w:cs="Arial"/>
          <w:sz w:val="17"/>
          <w:szCs w:val="17"/>
        </w:rPr>
        <w:t>not able to service its debt.</w:t>
      </w:r>
      <w:r w:rsidR="008613D0">
        <w:rPr>
          <w:rFonts w:ascii="Public Sans" w:hAnsi="Public Sans" w:cs="Arial"/>
          <w:sz w:val="17"/>
          <w:szCs w:val="17"/>
        </w:rPr>
        <w:t xml:space="preserve"> </w:t>
      </w:r>
      <w:r w:rsidR="00FC2329">
        <w:rPr>
          <w:rFonts w:ascii="Public Sans" w:hAnsi="Public Sans" w:cs="Arial"/>
          <w:sz w:val="17"/>
          <w:szCs w:val="17"/>
        </w:rPr>
        <w:t>The borrower has now fully serviced the debt</w:t>
      </w:r>
      <w:r w:rsidR="000D6D47">
        <w:rPr>
          <w:rFonts w:ascii="Public Sans" w:hAnsi="Public Sans" w:cs="Arial"/>
          <w:sz w:val="17"/>
          <w:szCs w:val="17"/>
        </w:rPr>
        <w:t>.</w:t>
      </w:r>
      <w:r w:rsidR="00E3000C">
        <w:rPr>
          <w:rFonts w:ascii="Public Sans" w:hAnsi="Public Sans" w:cs="Arial"/>
          <w:sz w:val="17"/>
          <w:szCs w:val="17"/>
        </w:rPr>
        <w:t xml:space="preserve"> Please note, there </w:t>
      </w:r>
      <w:r w:rsidR="00CC129B">
        <w:rPr>
          <w:rFonts w:ascii="Public Sans" w:hAnsi="Public Sans" w:cs="Arial"/>
          <w:sz w:val="17"/>
          <w:szCs w:val="17"/>
        </w:rPr>
        <w:t>was</w:t>
      </w:r>
      <w:r w:rsidR="00E3000C">
        <w:rPr>
          <w:rFonts w:ascii="Public Sans" w:hAnsi="Public Sans" w:cs="Arial"/>
          <w:sz w:val="17"/>
          <w:szCs w:val="17"/>
        </w:rPr>
        <w:t xml:space="preserve"> a change in </w:t>
      </w:r>
      <w:r w:rsidR="00D927DC">
        <w:rPr>
          <w:rFonts w:ascii="Public Sans" w:hAnsi="Public Sans" w:cs="Arial"/>
          <w:sz w:val="17"/>
          <w:szCs w:val="17"/>
        </w:rPr>
        <w:t>agency</w:t>
      </w:r>
      <w:r w:rsidR="00E3000C">
        <w:rPr>
          <w:rFonts w:ascii="Public Sans" w:hAnsi="Public Sans" w:cs="Arial"/>
          <w:sz w:val="17"/>
          <w:szCs w:val="17"/>
        </w:rPr>
        <w:t xml:space="preserve"> names.</w:t>
      </w:r>
    </w:p>
    <w:p w14:paraId="5BD890F3" w14:textId="7E8361EC" w:rsidR="00AB4AF7" w:rsidRDefault="00A0239A" w:rsidP="00B446FF">
      <w:pPr>
        <w:pStyle w:val="ListParagraph"/>
        <w:numPr>
          <w:ilvl w:val="0"/>
          <w:numId w:val="3"/>
        </w:numPr>
        <w:ind w:left="363" w:hanging="357"/>
        <w:rPr>
          <w:rFonts w:ascii="Public Sans" w:hAnsi="Public Sans" w:cs="Arial"/>
          <w:sz w:val="17"/>
          <w:szCs w:val="17"/>
        </w:rPr>
      </w:pPr>
      <w:r w:rsidRPr="00A0239A">
        <w:rPr>
          <w:rFonts w:ascii="Public Sans" w:hAnsi="Public Sans" w:cs="Arial"/>
          <w:sz w:val="17"/>
          <w:szCs w:val="17"/>
        </w:rPr>
        <w:t xml:space="preserve">The </w:t>
      </w:r>
      <w:r w:rsidR="0019769B">
        <w:rPr>
          <w:rFonts w:ascii="Public Sans" w:hAnsi="Public Sans" w:cs="Arial"/>
          <w:sz w:val="17"/>
          <w:szCs w:val="17"/>
        </w:rPr>
        <w:t>Department of Planning, Housing and Infrastructure</w:t>
      </w:r>
      <w:r w:rsidRPr="00A0239A">
        <w:rPr>
          <w:rFonts w:ascii="Public Sans" w:hAnsi="Public Sans" w:cs="Arial"/>
          <w:sz w:val="17"/>
          <w:szCs w:val="17"/>
        </w:rPr>
        <w:t xml:space="preserve"> </w:t>
      </w:r>
      <w:r w:rsidR="00A03B85">
        <w:rPr>
          <w:rFonts w:ascii="Public Sans" w:hAnsi="Public Sans" w:cs="Arial"/>
          <w:sz w:val="17"/>
          <w:szCs w:val="17"/>
        </w:rPr>
        <w:t>has</w:t>
      </w:r>
      <w:r w:rsidRPr="00A0239A">
        <w:rPr>
          <w:rFonts w:ascii="Public Sans" w:hAnsi="Public Sans" w:cs="Arial"/>
          <w:sz w:val="17"/>
          <w:szCs w:val="17"/>
        </w:rPr>
        <w:t xml:space="preserve"> a </w:t>
      </w:r>
      <w:r w:rsidR="00A03B85">
        <w:rPr>
          <w:rFonts w:ascii="Public Sans" w:hAnsi="Public Sans" w:cs="Arial"/>
          <w:sz w:val="17"/>
          <w:szCs w:val="17"/>
        </w:rPr>
        <w:t>contingent</w:t>
      </w:r>
      <w:r w:rsidRPr="00A0239A">
        <w:rPr>
          <w:rFonts w:ascii="Public Sans" w:hAnsi="Public Sans" w:cs="Arial"/>
          <w:sz w:val="17"/>
          <w:szCs w:val="17"/>
        </w:rPr>
        <w:t xml:space="preserve"> liability relating to </w:t>
      </w:r>
      <w:r>
        <w:rPr>
          <w:rFonts w:ascii="Public Sans" w:hAnsi="Public Sans" w:cs="Arial"/>
          <w:sz w:val="17"/>
          <w:szCs w:val="17"/>
        </w:rPr>
        <w:t>an</w:t>
      </w:r>
      <w:r w:rsidRPr="00A0239A">
        <w:rPr>
          <w:rFonts w:ascii="Public Sans" w:hAnsi="Public Sans" w:cs="Arial"/>
          <w:sz w:val="17"/>
          <w:szCs w:val="17"/>
        </w:rPr>
        <w:t xml:space="preserve"> Indigenous Land Use Agreement (ILUA). While the ILUA is agreed in principle and </w:t>
      </w:r>
      <w:proofErr w:type="spellStart"/>
      <w:r w:rsidR="00ED48D4">
        <w:rPr>
          <w:rFonts w:ascii="Public Sans" w:hAnsi="Public Sans" w:cs="Arial"/>
          <w:sz w:val="17"/>
          <w:szCs w:val="17"/>
        </w:rPr>
        <w:t>a</w:t>
      </w:r>
      <w:r w:rsidR="00EB1D9B">
        <w:rPr>
          <w:rFonts w:ascii="Public Sans" w:hAnsi="Public Sans" w:cs="Arial"/>
          <w:sz w:val="17"/>
          <w:szCs w:val="17"/>
        </w:rPr>
        <w:t>uthori</w:t>
      </w:r>
      <w:r w:rsidR="009C04C6">
        <w:rPr>
          <w:rFonts w:ascii="Public Sans" w:hAnsi="Public Sans" w:cs="Arial"/>
          <w:sz w:val="17"/>
          <w:szCs w:val="17"/>
        </w:rPr>
        <w:t>s</w:t>
      </w:r>
      <w:r w:rsidR="00EB1D9B">
        <w:rPr>
          <w:rFonts w:ascii="Public Sans" w:hAnsi="Public Sans" w:cs="Arial"/>
          <w:sz w:val="17"/>
          <w:szCs w:val="17"/>
        </w:rPr>
        <w:t>ed</w:t>
      </w:r>
      <w:proofErr w:type="spellEnd"/>
      <w:r w:rsidRPr="00A0239A">
        <w:rPr>
          <w:rFonts w:ascii="Public Sans" w:hAnsi="Public Sans" w:cs="Arial"/>
          <w:sz w:val="17"/>
          <w:szCs w:val="17"/>
        </w:rPr>
        <w:t xml:space="preserve"> by the claim group, there </w:t>
      </w:r>
      <w:r>
        <w:rPr>
          <w:rFonts w:ascii="Public Sans" w:hAnsi="Public Sans" w:cs="Arial"/>
          <w:sz w:val="17"/>
          <w:szCs w:val="17"/>
        </w:rPr>
        <w:t>was</w:t>
      </w:r>
      <w:r w:rsidRPr="00A0239A">
        <w:rPr>
          <w:rFonts w:ascii="Public Sans" w:hAnsi="Public Sans" w:cs="Arial"/>
          <w:sz w:val="17"/>
          <w:szCs w:val="17"/>
        </w:rPr>
        <w:t xml:space="preserve"> no executed agreement at the reporting date.</w:t>
      </w:r>
    </w:p>
    <w:p w14:paraId="3D86C169" w14:textId="1150A056" w:rsidR="00895416" w:rsidRPr="0000116B" w:rsidRDefault="00895416" w:rsidP="49287EDC">
      <w:pPr>
        <w:pStyle w:val="ListParagraph"/>
        <w:numPr>
          <w:ilvl w:val="0"/>
          <w:numId w:val="3"/>
        </w:numPr>
        <w:ind w:left="363" w:hanging="357"/>
        <w:rPr>
          <w:rFonts w:ascii="Public Sans" w:hAnsi="Public Sans" w:cs="Arial"/>
          <w:sz w:val="17"/>
          <w:szCs w:val="17"/>
        </w:rPr>
      </w:pPr>
      <w:r w:rsidRPr="49287EDC">
        <w:rPr>
          <w:rFonts w:ascii="Public Sans" w:hAnsi="Public Sans" w:cs="Arial"/>
          <w:sz w:val="17"/>
          <w:szCs w:val="17"/>
        </w:rPr>
        <w:t>Independent Legal Assistance and Review Service grants are managed and administered by the Office of Independent Review Officer</w:t>
      </w:r>
      <w:r w:rsidR="00B03845" w:rsidRPr="49287EDC">
        <w:rPr>
          <w:rFonts w:ascii="Public Sans" w:hAnsi="Public Sans" w:cs="Arial"/>
          <w:sz w:val="17"/>
          <w:szCs w:val="17"/>
        </w:rPr>
        <w:t>.</w:t>
      </w:r>
      <w:r w:rsidR="00660547" w:rsidRPr="49287EDC">
        <w:rPr>
          <w:rFonts w:ascii="Public Sans" w:hAnsi="Public Sans" w:cs="Arial"/>
          <w:sz w:val="17"/>
          <w:szCs w:val="17"/>
        </w:rPr>
        <w:t xml:space="preserve"> It</w:t>
      </w:r>
      <w:r w:rsidRPr="49287EDC">
        <w:rPr>
          <w:rFonts w:ascii="Public Sans" w:hAnsi="Public Sans" w:cs="Arial"/>
          <w:sz w:val="17"/>
          <w:szCs w:val="17"/>
        </w:rPr>
        <w:t xml:space="preserve"> allow</w:t>
      </w:r>
      <w:r w:rsidR="00660547" w:rsidRPr="49287EDC">
        <w:rPr>
          <w:rFonts w:ascii="Public Sans" w:hAnsi="Public Sans" w:cs="Arial"/>
          <w:sz w:val="17"/>
          <w:szCs w:val="17"/>
        </w:rPr>
        <w:t>s</w:t>
      </w:r>
      <w:r w:rsidRPr="49287EDC">
        <w:rPr>
          <w:rFonts w:ascii="Public Sans" w:hAnsi="Public Sans" w:cs="Arial"/>
          <w:sz w:val="17"/>
          <w:szCs w:val="17"/>
        </w:rPr>
        <w:t xml:space="preserve"> Approved Lawyers to apply for funding to provide injured eligible workers </w:t>
      </w:r>
      <w:r w:rsidR="00660547" w:rsidRPr="49287EDC">
        <w:rPr>
          <w:rFonts w:ascii="Public Sans" w:hAnsi="Public Sans" w:cs="Arial"/>
          <w:sz w:val="17"/>
          <w:szCs w:val="17"/>
        </w:rPr>
        <w:t>with</w:t>
      </w:r>
      <w:r w:rsidRPr="49287EDC">
        <w:rPr>
          <w:rFonts w:ascii="Public Sans" w:hAnsi="Public Sans" w:cs="Arial"/>
          <w:sz w:val="17"/>
          <w:szCs w:val="17"/>
        </w:rPr>
        <w:t xml:space="preserve"> legal advice about, and assistance to pursue, workers</w:t>
      </w:r>
      <w:r w:rsidR="006C1106" w:rsidRPr="49287EDC">
        <w:rPr>
          <w:rFonts w:ascii="Public Sans" w:hAnsi="Public Sans" w:cs="Arial"/>
          <w:sz w:val="17"/>
          <w:szCs w:val="17"/>
        </w:rPr>
        <w:t>’</w:t>
      </w:r>
      <w:r w:rsidRPr="49287EDC">
        <w:rPr>
          <w:rFonts w:ascii="Public Sans" w:hAnsi="Public Sans" w:cs="Arial"/>
          <w:sz w:val="17"/>
          <w:szCs w:val="17"/>
        </w:rPr>
        <w:t xml:space="preserve"> compensation rights and entitlements. These contingent liabilities have been estimated using a demand and expenditure forecasting model.</w:t>
      </w:r>
      <w:r w:rsidR="003F0B9C" w:rsidRPr="49287EDC">
        <w:rPr>
          <w:rFonts w:ascii="Public Sans" w:hAnsi="Public Sans" w:cs="Arial"/>
          <w:sz w:val="17"/>
          <w:szCs w:val="17"/>
        </w:rPr>
        <w:t xml:space="preserve"> </w:t>
      </w:r>
      <w:r w:rsidR="009B26D0">
        <w:rPr>
          <w:rFonts w:ascii="Public Sans" w:hAnsi="Public Sans" w:cs="Arial"/>
          <w:sz w:val="17"/>
          <w:szCs w:val="17"/>
        </w:rPr>
        <w:t xml:space="preserve">A revised </w:t>
      </w:r>
      <w:r w:rsidR="00130DEA">
        <w:rPr>
          <w:rFonts w:ascii="Public Sans" w:hAnsi="Public Sans" w:cs="Arial"/>
          <w:sz w:val="17"/>
          <w:szCs w:val="17"/>
        </w:rPr>
        <w:t>estimate</w:t>
      </w:r>
      <w:r w:rsidR="00D04245">
        <w:rPr>
          <w:rFonts w:ascii="Public Sans" w:hAnsi="Public Sans" w:cs="Arial"/>
          <w:sz w:val="17"/>
          <w:szCs w:val="17"/>
        </w:rPr>
        <w:t xml:space="preserve"> of</w:t>
      </w:r>
      <w:r w:rsidR="00986D65">
        <w:rPr>
          <w:rFonts w:ascii="Public Sans" w:hAnsi="Public Sans" w:cs="Arial"/>
          <w:sz w:val="17"/>
          <w:szCs w:val="17"/>
        </w:rPr>
        <w:t xml:space="preserve"> $146 million</w:t>
      </w:r>
      <w:r w:rsidR="009B26D0">
        <w:rPr>
          <w:rFonts w:ascii="Public Sans" w:hAnsi="Public Sans" w:cs="Arial"/>
          <w:sz w:val="17"/>
          <w:szCs w:val="17"/>
        </w:rPr>
        <w:t xml:space="preserve"> </w:t>
      </w:r>
      <w:r w:rsidR="00986D65">
        <w:rPr>
          <w:rFonts w:ascii="Public Sans" w:hAnsi="Public Sans" w:cs="Arial"/>
          <w:sz w:val="17"/>
          <w:szCs w:val="17"/>
        </w:rPr>
        <w:t>in respect of this contingent liability</w:t>
      </w:r>
      <w:r w:rsidR="0030597E">
        <w:rPr>
          <w:rFonts w:ascii="Public Sans" w:hAnsi="Public Sans" w:cs="Arial"/>
          <w:sz w:val="17"/>
          <w:szCs w:val="17"/>
        </w:rPr>
        <w:t xml:space="preserve"> has been provided as </w:t>
      </w:r>
      <w:proofErr w:type="gramStart"/>
      <w:r w:rsidR="0030597E">
        <w:rPr>
          <w:rFonts w:ascii="Public Sans" w:hAnsi="Public Sans" w:cs="Arial"/>
          <w:sz w:val="17"/>
          <w:szCs w:val="17"/>
        </w:rPr>
        <w:t>at</w:t>
      </w:r>
      <w:proofErr w:type="gramEnd"/>
      <w:r w:rsidR="0030597E">
        <w:rPr>
          <w:rFonts w:ascii="Public Sans" w:hAnsi="Public Sans" w:cs="Arial"/>
          <w:sz w:val="17"/>
          <w:szCs w:val="17"/>
        </w:rPr>
        <w:t xml:space="preserve"> 31 March 2024</w:t>
      </w:r>
      <w:r w:rsidR="00CF0CEA">
        <w:rPr>
          <w:rFonts w:ascii="Public Sans" w:hAnsi="Public Sans" w:cs="Arial"/>
          <w:sz w:val="17"/>
          <w:szCs w:val="17"/>
        </w:rPr>
        <w:t>.</w:t>
      </w:r>
    </w:p>
    <w:p w14:paraId="7CF9ED89" w14:textId="7F8177B5" w:rsidR="00F15F7B" w:rsidRDefault="004966A5" w:rsidP="00F15F7B">
      <w:pPr>
        <w:pStyle w:val="ListParagraph"/>
        <w:numPr>
          <w:ilvl w:val="0"/>
          <w:numId w:val="3"/>
        </w:numPr>
        <w:ind w:left="363" w:hanging="357"/>
        <w:rPr>
          <w:rFonts w:ascii="Public Sans" w:eastAsia="Calibri" w:hAnsi="Public Sans" w:cs="Arial"/>
          <w:sz w:val="17"/>
          <w:szCs w:val="17"/>
          <w:lang w:val="en-AU"/>
        </w:rPr>
      </w:pPr>
      <w:r w:rsidRPr="33D22F21">
        <w:rPr>
          <w:rFonts w:ascii="Public Sans" w:eastAsia="Calibri" w:hAnsi="Public Sans" w:cs="Arial"/>
          <w:sz w:val="17"/>
          <w:szCs w:val="17"/>
          <w:lang w:val="en-AU"/>
        </w:rPr>
        <w:t>L</w:t>
      </w:r>
      <w:r w:rsidR="00F92EB1" w:rsidRPr="33D22F21">
        <w:rPr>
          <w:rFonts w:ascii="Public Sans" w:eastAsia="Calibri" w:hAnsi="Public Sans" w:cs="Arial"/>
          <w:sz w:val="17"/>
          <w:szCs w:val="17"/>
          <w:lang w:val="en-AU"/>
        </w:rPr>
        <w:t xml:space="preserve">and acquisition offers </w:t>
      </w:r>
      <w:r w:rsidRPr="33D22F21">
        <w:rPr>
          <w:rFonts w:ascii="Public Sans" w:eastAsia="Calibri" w:hAnsi="Public Sans" w:cs="Arial"/>
          <w:sz w:val="17"/>
          <w:szCs w:val="17"/>
          <w:lang w:val="en-AU"/>
        </w:rPr>
        <w:t xml:space="preserve">which </w:t>
      </w:r>
      <w:r w:rsidR="00F92EB1" w:rsidRPr="33D22F21">
        <w:rPr>
          <w:rFonts w:ascii="Public Sans" w:eastAsia="Calibri" w:hAnsi="Public Sans" w:cs="Arial"/>
          <w:sz w:val="17"/>
          <w:szCs w:val="17"/>
          <w:lang w:val="en-AU"/>
        </w:rPr>
        <w:t>are dependent on the actions of the landowners to either accept or reject the Corporation</w:t>
      </w:r>
      <w:r w:rsidR="00CF62EA" w:rsidRPr="33D22F21">
        <w:rPr>
          <w:rFonts w:ascii="Public Sans" w:eastAsia="Calibri" w:hAnsi="Public Sans" w:cs="Arial"/>
          <w:sz w:val="17"/>
          <w:szCs w:val="17"/>
          <w:lang w:val="en-AU"/>
        </w:rPr>
        <w:t>’</w:t>
      </w:r>
      <w:r w:rsidR="00F92EB1" w:rsidRPr="33D22F21">
        <w:rPr>
          <w:rFonts w:ascii="Public Sans" w:eastAsia="Calibri" w:hAnsi="Public Sans" w:cs="Arial"/>
          <w:sz w:val="17"/>
          <w:szCs w:val="17"/>
          <w:lang w:val="en-AU"/>
        </w:rPr>
        <w:t>s offer. Offers to purchase made by the Corporation lapse if the landowner does not accept the offer.</w:t>
      </w:r>
      <w:r w:rsidR="07CAFD97" w:rsidRPr="00E9298C">
        <w:rPr>
          <w:rFonts w:ascii="Public Sans" w:eastAsia="Calibri" w:hAnsi="Public Sans" w:cs="Arial"/>
          <w:sz w:val="17"/>
          <w:szCs w:val="17"/>
          <w:lang w:val="en-AU"/>
        </w:rPr>
        <w:t xml:space="preserve"> </w:t>
      </w:r>
      <w:r w:rsidR="00ED1768">
        <w:rPr>
          <w:rFonts w:ascii="Public Sans" w:eastAsia="Calibri" w:hAnsi="Public Sans" w:cs="Arial"/>
          <w:sz w:val="17"/>
          <w:szCs w:val="17"/>
          <w:lang w:val="en-AU"/>
        </w:rPr>
        <w:t>T</w:t>
      </w:r>
      <w:r w:rsidR="07CAFD97" w:rsidRPr="00E9298C">
        <w:rPr>
          <w:rFonts w:ascii="Public Sans" w:eastAsia="Calibri" w:hAnsi="Public Sans" w:cs="Arial"/>
          <w:sz w:val="17"/>
          <w:szCs w:val="17"/>
          <w:lang w:val="en-AU"/>
        </w:rPr>
        <w:t>he Corporation ha</w:t>
      </w:r>
      <w:r w:rsidR="00ED1768">
        <w:rPr>
          <w:rFonts w:ascii="Public Sans" w:eastAsia="Calibri" w:hAnsi="Public Sans" w:cs="Arial"/>
          <w:sz w:val="17"/>
          <w:szCs w:val="17"/>
          <w:lang w:val="en-AU"/>
        </w:rPr>
        <w:t>d</w:t>
      </w:r>
      <w:r w:rsidR="07CAFD97" w:rsidRPr="00E9298C">
        <w:rPr>
          <w:rFonts w:ascii="Public Sans" w:eastAsia="Calibri" w:hAnsi="Public Sans" w:cs="Arial"/>
          <w:sz w:val="17"/>
          <w:szCs w:val="17"/>
          <w:lang w:val="en-AU"/>
        </w:rPr>
        <w:t xml:space="preserve"> no current offers to purchase properties</w:t>
      </w:r>
      <w:r w:rsidR="00ED1768">
        <w:rPr>
          <w:rFonts w:ascii="Public Sans" w:eastAsia="Calibri" w:hAnsi="Public Sans" w:cs="Arial"/>
          <w:sz w:val="17"/>
          <w:szCs w:val="17"/>
          <w:lang w:val="en-AU"/>
        </w:rPr>
        <w:t xml:space="preserve"> a</w:t>
      </w:r>
      <w:r w:rsidR="00ED1768" w:rsidRPr="33D22F21">
        <w:rPr>
          <w:rFonts w:ascii="Public Sans" w:eastAsia="Calibri" w:hAnsi="Public Sans" w:cs="Arial"/>
          <w:sz w:val="17"/>
          <w:szCs w:val="17"/>
          <w:lang w:val="en-AU"/>
        </w:rPr>
        <w:t xml:space="preserve">s </w:t>
      </w:r>
      <w:proofErr w:type="gramStart"/>
      <w:r w:rsidR="00ED1768" w:rsidRPr="00E9298C">
        <w:rPr>
          <w:rFonts w:ascii="Public Sans" w:eastAsia="Calibri" w:hAnsi="Public Sans" w:cs="Arial"/>
          <w:sz w:val="17"/>
          <w:szCs w:val="17"/>
          <w:lang w:val="en-AU"/>
        </w:rPr>
        <w:t>at</w:t>
      </w:r>
      <w:proofErr w:type="gramEnd"/>
      <w:r w:rsidR="00ED1768" w:rsidRPr="00E9298C">
        <w:rPr>
          <w:rFonts w:ascii="Public Sans" w:eastAsia="Calibri" w:hAnsi="Public Sans" w:cs="Arial"/>
          <w:sz w:val="17"/>
          <w:szCs w:val="17"/>
          <w:lang w:val="en-AU"/>
        </w:rPr>
        <w:t xml:space="preserve"> 30 April 2024</w:t>
      </w:r>
      <w:r w:rsidR="07CAFD97" w:rsidRPr="00E9298C">
        <w:rPr>
          <w:rFonts w:ascii="Public Sans" w:eastAsia="Calibri" w:hAnsi="Public Sans" w:cs="Arial"/>
          <w:sz w:val="17"/>
          <w:szCs w:val="17"/>
          <w:lang w:val="en-AU"/>
        </w:rPr>
        <w:t>.</w:t>
      </w:r>
    </w:p>
    <w:p w14:paraId="2107CC3F" w14:textId="671703CD" w:rsidR="00A021D5" w:rsidRDefault="00A3307F" w:rsidP="00F15F7B">
      <w:pPr>
        <w:pStyle w:val="ListParagraph"/>
        <w:numPr>
          <w:ilvl w:val="0"/>
          <w:numId w:val="3"/>
        </w:numPr>
        <w:ind w:left="363" w:hanging="357"/>
        <w:rPr>
          <w:rFonts w:ascii="Public Sans" w:eastAsia="Calibri" w:hAnsi="Public Sans" w:cs="Arial"/>
          <w:sz w:val="17"/>
          <w:szCs w:val="17"/>
          <w:lang w:val="en-AU"/>
        </w:rPr>
      </w:pPr>
      <w:r w:rsidRPr="00A3307F">
        <w:rPr>
          <w:rFonts w:ascii="Public Sans" w:eastAsia="Calibri" w:hAnsi="Public Sans" w:cs="Arial"/>
          <w:sz w:val="17"/>
          <w:szCs w:val="17"/>
          <w:lang w:val="en-AU"/>
        </w:rPr>
        <w:t>Potential ex</w:t>
      </w:r>
      <w:r w:rsidR="001C046D">
        <w:rPr>
          <w:rFonts w:ascii="Public Sans" w:eastAsia="Calibri" w:hAnsi="Public Sans" w:cs="Arial"/>
          <w:sz w:val="17"/>
          <w:szCs w:val="17"/>
          <w:lang w:val="en-AU"/>
        </w:rPr>
        <w:t>-</w:t>
      </w:r>
      <w:r w:rsidRPr="00A3307F">
        <w:rPr>
          <w:rFonts w:ascii="Public Sans" w:eastAsia="Calibri" w:hAnsi="Public Sans" w:cs="Arial"/>
          <w:sz w:val="17"/>
          <w:szCs w:val="17"/>
          <w:lang w:val="en-AU"/>
        </w:rPr>
        <w:t>gratia payments arising from yet to be determined claims, under the Stolen Generations Reparation</w:t>
      </w:r>
      <w:r w:rsidR="00EB79C6">
        <w:rPr>
          <w:rFonts w:ascii="Public Sans" w:eastAsia="Calibri" w:hAnsi="Public Sans" w:cs="Arial"/>
          <w:sz w:val="17"/>
          <w:szCs w:val="17"/>
          <w:lang w:val="en-AU"/>
        </w:rPr>
        <w:t>s</w:t>
      </w:r>
      <w:r w:rsidRPr="00A3307F">
        <w:rPr>
          <w:rFonts w:ascii="Public Sans" w:eastAsia="Calibri" w:hAnsi="Public Sans" w:cs="Arial"/>
          <w:sz w:val="17"/>
          <w:szCs w:val="17"/>
          <w:lang w:val="en-AU"/>
        </w:rPr>
        <w:t xml:space="preserve"> Scheme. These are listed as contingent liabilities due to the </w:t>
      </w:r>
      <w:r w:rsidR="001C046D" w:rsidRPr="00A3307F">
        <w:rPr>
          <w:rFonts w:ascii="Public Sans" w:eastAsia="Calibri" w:hAnsi="Public Sans" w:cs="Arial"/>
          <w:sz w:val="17"/>
          <w:szCs w:val="17"/>
          <w:lang w:val="en-AU"/>
        </w:rPr>
        <w:t>ex-gratia</w:t>
      </w:r>
      <w:r w:rsidRPr="00A3307F">
        <w:rPr>
          <w:rFonts w:ascii="Public Sans" w:eastAsia="Calibri" w:hAnsi="Public Sans" w:cs="Arial"/>
          <w:sz w:val="17"/>
          <w:szCs w:val="17"/>
          <w:lang w:val="en-AU"/>
        </w:rPr>
        <w:t xml:space="preserve"> nature of the payments, which rely upon Ministerial decision</w:t>
      </w:r>
      <w:r w:rsidR="00897287">
        <w:rPr>
          <w:rFonts w:ascii="Public Sans" w:eastAsia="Calibri" w:hAnsi="Public Sans" w:cs="Arial"/>
          <w:sz w:val="17"/>
          <w:szCs w:val="17"/>
          <w:lang w:val="en-AU"/>
        </w:rPr>
        <w:t>s</w:t>
      </w:r>
      <w:r w:rsidRPr="00A3307F">
        <w:rPr>
          <w:rFonts w:ascii="Public Sans" w:eastAsia="Calibri" w:hAnsi="Public Sans" w:cs="Arial"/>
          <w:sz w:val="17"/>
          <w:szCs w:val="17"/>
          <w:lang w:val="en-AU"/>
        </w:rPr>
        <w:t xml:space="preserve">, and cannot be fettered. Previously, a reliable quantification was not able to be calculated. </w:t>
      </w:r>
      <w:r w:rsidR="006A37AF">
        <w:rPr>
          <w:rFonts w:ascii="Public Sans" w:eastAsia="Calibri" w:hAnsi="Public Sans" w:cs="Arial"/>
          <w:sz w:val="17"/>
          <w:szCs w:val="17"/>
          <w:lang w:val="en-AU"/>
        </w:rPr>
        <w:t>B</w:t>
      </w:r>
      <w:r w:rsidR="006A37AF" w:rsidRPr="00461DC5">
        <w:rPr>
          <w:rFonts w:ascii="Public Sans" w:eastAsia="Calibri" w:hAnsi="Public Sans" w:cs="Arial"/>
          <w:sz w:val="17"/>
          <w:szCs w:val="17"/>
          <w:lang w:val="en-AU"/>
        </w:rPr>
        <w:t>ased on claims experience</w:t>
      </w:r>
      <w:r w:rsidR="00F44281">
        <w:rPr>
          <w:rFonts w:ascii="Public Sans" w:eastAsia="Calibri" w:hAnsi="Public Sans" w:cs="Arial"/>
          <w:sz w:val="17"/>
          <w:szCs w:val="17"/>
          <w:lang w:val="en-AU"/>
        </w:rPr>
        <w:t xml:space="preserve">, an </w:t>
      </w:r>
      <w:r w:rsidRPr="00A3307F">
        <w:rPr>
          <w:rFonts w:ascii="Public Sans" w:eastAsia="Calibri" w:hAnsi="Public Sans" w:cs="Arial"/>
          <w:sz w:val="17"/>
          <w:szCs w:val="17"/>
          <w:lang w:val="en-AU"/>
        </w:rPr>
        <w:t>estimated amount for successful claims is approximately $12</w:t>
      </w:r>
      <w:r w:rsidR="002F5C22">
        <w:rPr>
          <w:rFonts w:ascii="Public Sans" w:eastAsia="Calibri" w:hAnsi="Public Sans" w:cs="Arial"/>
          <w:sz w:val="17"/>
          <w:szCs w:val="17"/>
          <w:lang w:val="en-AU"/>
        </w:rPr>
        <w:t xml:space="preserve"> </w:t>
      </w:r>
      <w:r w:rsidRPr="00A3307F">
        <w:rPr>
          <w:rFonts w:ascii="Public Sans" w:eastAsia="Calibri" w:hAnsi="Public Sans" w:cs="Arial"/>
          <w:sz w:val="17"/>
          <w:szCs w:val="17"/>
          <w:lang w:val="en-AU"/>
        </w:rPr>
        <w:t>m</w:t>
      </w:r>
      <w:r w:rsidR="002F5C22">
        <w:rPr>
          <w:rFonts w:ascii="Public Sans" w:eastAsia="Calibri" w:hAnsi="Public Sans" w:cs="Arial"/>
          <w:sz w:val="17"/>
          <w:szCs w:val="17"/>
          <w:lang w:val="en-AU"/>
        </w:rPr>
        <w:t>illion</w:t>
      </w:r>
      <w:r w:rsidR="00461DC5">
        <w:rPr>
          <w:rFonts w:ascii="Public Sans" w:eastAsia="Calibri" w:hAnsi="Public Sans" w:cs="Arial"/>
          <w:sz w:val="17"/>
          <w:szCs w:val="17"/>
          <w:lang w:val="en-AU"/>
        </w:rPr>
        <w:t>.</w:t>
      </w:r>
    </w:p>
    <w:p w14:paraId="19E065C8" w14:textId="78F9C3C2" w:rsidR="00882610" w:rsidRPr="0085089B" w:rsidRDefault="00FD6D42" w:rsidP="00F15F7B">
      <w:pPr>
        <w:pStyle w:val="ListParagraph"/>
        <w:numPr>
          <w:ilvl w:val="0"/>
          <w:numId w:val="3"/>
        </w:numPr>
        <w:ind w:left="363" w:hanging="357"/>
        <w:rPr>
          <w:rFonts w:ascii="Public Sans" w:eastAsia="Calibri" w:hAnsi="Public Sans" w:cs="Arial"/>
          <w:sz w:val="17"/>
          <w:szCs w:val="17"/>
          <w:lang w:val="en-AU"/>
        </w:rPr>
      </w:pPr>
      <w:r>
        <w:rPr>
          <w:rFonts w:ascii="Public Sans" w:eastAsia="Calibri" w:hAnsi="Public Sans" w:cs="Arial"/>
          <w:sz w:val="17"/>
          <w:szCs w:val="17"/>
          <w:lang w:val="en-AU"/>
        </w:rPr>
        <w:t xml:space="preserve">Sydney Metro had </w:t>
      </w:r>
      <w:r w:rsidRPr="0085089B">
        <w:rPr>
          <w:rFonts w:ascii="Public Sans" w:eastAsia="Calibri" w:hAnsi="Public Sans" w:cs="Arial"/>
          <w:sz w:val="17"/>
          <w:szCs w:val="17"/>
          <w:lang w:val="en-AU"/>
        </w:rPr>
        <w:t xml:space="preserve">an estimated contingent liability of $1,327 million </w:t>
      </w:r>
      <w:r w:rsidR="00F1139F">
        <w:rPr>
          <w:rFonts w:ascii="Public Sans" w:eastAsia="Calibri" w:hAnsi="Public Sans" w:cs="Arial"/>
          <w:sz w:val="17"/>
          <w:szCs w:val="17"/>
          <w:lang w:val="en-AU"/>
        </w:rPr>
        <w:t xml:space="preserve">as </w:t>
      </w:r>
      <w:proofErr w:type="gramStart"/>
      <w:r w:rsidR="00F1139F">
        <w:rPr>
          <w:rFonts w:ascii="Public Sans" w:eastAsia="Calibri" w:hAnsi="Public Sans" w:cs="Arial"/>
          <w:sz w:val="17"/>
          <w:szCs w:val="17"/>
          <w:lang w:val="en-AU"/>
        </w:rPr>
        <w:t>at</w:t>
      </w:r>
      <w:proofErr w:type="gramEnd"/>
      <w:r w:rsidR="00F1139F">
        <w:rPr>
          <w:rFonts w:ascii="Public Sans" w:eastAsia="Calibri" w:hAnsi="Public Sans" w:cs="Arial"/>
          <w:sz w:val="17"/>
          <w:szCs w:val="17"/>
          <w:lang w:val="en-AU"/>
        </w:rPr>
        <w:t xml:space="preserve"> 30 </w:t>
      </w:r>
      <w:r w:rsidR="00510641">
        <w:rPr>
          <w:rFonts w:ascii="Public Sans" w:eastAsia="Calibri" w:hAnsi="Public Sans" w:cs="Arial"/>
          <w:sz w:val="17"/>
          <w:szCs w:val="17"/>
          <w:lang w:val="en-AU"/>
        </w:rPr>
        <w:t>June 2023</w:t>
      </w:r>
      <w:r w:rsidRPr="0085089B">
        <w:rPr>
          <w:rFonts w:ascii="Public Sans" w:eastAsia="Calibri" w:hAnsi="Public Sans" w:cs="Arial"/>
          <w:sz w:val="17"/>
          <w:szCs w:val="17"/>
          <w:lang w:val="en-AU"/>
        </w:rPr>
        <w:t xml:space="preserve"> due to a number of compulsory property acquisition matters under litigation where claims differ</w:t>
      </w:r>
      <w:r w:rsidR="001F2811">
        <w:rPr>
          <w:rFonts w:ascii="Public Sans" w:eastAsia="Calibri" w:hAnsi="Public Sans" w:cs="Arial"/>
          <w:sz w:val="17"/>
          <w:szCs w:val="17"/>
          <w:lang w:val="en-AU"/>
        </w:rPr>
        <w:t>ed</w:t>
      </w:r>
      <w:r w:rsidRPr="0085089B">
        <w:rPr>
          <w:rFonts w:ascii="Public Sans" w:eastAsia="Calibri" w:hAnsi="Public Sans" w:cs="Arial"/>
          <w:sz w:val="17"/>
          <w:szCs w:val="17"/>
          <w:lang w:val="en-AU"/>
        </w:rPr>
        <w:t xml:space="preserve"> from the Valuer General's determined amount.</w:t>
      </w:r>
      <w:r w:rsidR="00510641">
        <w:rPr>
          <w:rFonts w:ascii="Public Sans" w:eastAsia="Calibri" w:hAnsi="Public Sans" w:cs="Arial"/>
          <w:sz w:val="17"/>
          <w:szCs w:val="17"/>
          <w:lang w:val="en-AU"/>
        </w:rPr>
        <w:t xml:space="preserve"> This contingent liability</w:t>
      </w:r>
      <w:r w:rsidR="00BC1A6D">
        <w:rPr>
          <w:rFonts w:ascii="Public Sans" w:eastAsia="Calibri" w:hAnsi="Public Sans" w:cs="Arial"/>
          <w:sz w:val="17"/>
          <w:szCs w:val="17"/>
          <w:lang w:val="en-AU"/>
        </w:rPr>
        <w:t xml:space="preserve"> </w:t>
      </w:r>
      <w:r w:rsidR="00510641">
        <w:rPr>
          <w:rFonts w:ascii="Public Sans" w:eastAsia="Calibri" w:hAnsi="Public Sans" w:cs="Arial"/>
          <w:sz w:val="17"/>
          <w:szCs w:val="17"/>
          <w:lang w:val="en-AU"/>
        </w:rPr>
        <w:t xml:space="preserve">was not reported </w:t>
      </w:r>
      <w:r w:rsidR="00D22A55">
        <w:rPr>
          <w:rFonts w:ascii="Public Sans" w:eastAsia="Calibri" w:hAnsi="Public Sans" w:cs="Arial"/>
          <w:sz w:val="17"/>
          <w:szCs w:val="17"/>
          <w:lang w:val="en-AU"/>
        </w:rPr>
        <w:t>in</w:t>
      </w:r>
      <w:r w:rsidR="00510641">
        <w:rPr>
          <w:rFonts w:ascii="Public Sans" w:eastAsia="Calibri" w:hAnsi="Public Sans" w:cs="Arial"/>
          <w:sz w:val="17"/>
          <w:szCs w:val="17"/>
          <w:lang w:val="en-AU"/>
        </w:rPr>
        <w:t xml:space="preserve"> the 2023-24 Budget. </w:t>
      </w:r>
      <w:r w:rsidR="002D5DE0">
        <w:rPr>
          <w:rFonts w:ascii="Public Sans" w:eastAsia="Calibri" w:hAnsi="Public Sans" w:cs="Arial"/>
          <w:sz w:val="17"/>
          <w:szCs w:val="17"/>
          <w:lang w:val="en-AU"/>
        </w:rPr>
        <w:t xml:space="preserve">Sydney Metro </w:t>
      </w:r>
      <w:r w:rsidR="00916885">
        <w:rPr>
          <w:rFonts w:ascii="Public Sans" w:eastAsia="Calibri" w:hAnsi="Public Sans" w:cs="Arial"/>
          <w:sz w:val="17"/>
          <w:szCs w:val="17"/>
          <w:lang w:val="en-AU"/>
        </w:rPr>
        <w:t xml:space="preserve">reported </w:t>
      </w:r>
      <w:r w:rsidR="00D04611">
        <w:rPr>
          <w:rFonts w:ascii="Public Sans" w:eastAsia="Calibri" w:hAnsi="Public Sans" w:cs="Arial"/>
          <w:sz w:val="17"/>
          <w:szCs w:val="17"/>
          <w:lang w:val="en-AU"/>
        </w:rPr>
        <w:t xml:space="preserve">a </w:t>
      </w:r>
      <w:r w:rsidR="00916885">
        <w:rPr>
          <w:rFonts w:ascii="Public Sans" w:eastAsia="Calibri" w:hAnsi="Public Sans" w:cs="Arial"/>
          <w:sz w:val="17"/>
          <w:szCs w:val="17"/>
          <w:lang w:val="en-AU"/>
        </w:rPr>
        <w:t xml:space="preserve">nil return </w:t>
      </w:r>
      <w:r w:rsidR="00C61695">
        <w:rPr>
          <w:rFonts w:ascii="Public Sans" w:eastAsia="Calibri" w:hAnsi="Public Sans" w:cs="Arial"/>
          <w:sz w:val="17"/>
          <w:szCs w:val="17"/>
          <w:lang w:val="en-AU"/>
        </w:rPr>
        <w:t xml:space="preserve">as </w:t>
      </w:r>
      <w:proofErr w:type="gramStart"/>
      <w:r w:rsidR="00C61695">
        <w:rPr>
          <w:rFonts w:ascii="Public Sans" w:eastAsia="Calibri" w:hAnsi="Public Sans" w:cs="Arial"/>
          <w:sz w:val="17"/>
          <w:szCs w:val="17"/>
          <w:lang w:val="en-AU"/>
        </w:rPr>
        <w:t>at</w:t>
      </w:r>
      <w:proofErr w:type="gramEnd"/>
      <w:r w:rsidR="00C61695">
        <w:rPr>
          <w:rFonts w:ascii="Public Sans" w:eastAsia="Calibri" w:hAnsi="Public Sans" w:cs="Arial"/>
          <w:sz w:val="17"/>
          <w:szCs w:val="17"/>
          <w:lang w:val="en-AU"/>
        </w:rPr>
        <w:t xml:space="preserve"> 30</w:t>
      </w:r>
      <w:r w:rsidR="00441C23">
        <w:rPr>
          <w:rFonts w:ascii="Public Sans" w:eastAsia="Calibri" w:hAnsi="Public Sans" w:cs="Arial"/>
          <w:sz w:val="17"/>
          <w:szCs w:val="17"/>
          <w:lang w:val="en-AU"/>
        </w:rPr>
        <w:t> </w:t>
      </w:r>
      <w:r w:rsidR="00C61695">
        <w:rPr>
          <w:rFonts w:ascii="Public Sans" w:eastAsia="Calibri" w:hAnsi="Public Sans" w:cs="Arial"/>
          <w:sz w:val="17"/>
          <w:szCs w:val="17"/>
          <w:lang w:val="en-AU"/>
        </w:rPr>
        <w:t xml:space="preserve">April 2024. </w:t>
      </w:r>
    </w:p>
    <w:p w14:paraId="024D68F3" w14:textId="11CF112F" w:rsidR="00F92EB1" w:rsidRPr="00F15F7B" w:rsidRDefault="00F92EB1" w:rsidP="00F15F7B">
      <w:pPr>
        <w:pStyle w:val="ListParagraph"/>
        <w:numPr>
          <w:ilvl w:val="0"/>
          <w:numId w:val="3"/>
        </w:numPr>
        <w:ind w:left="363" w:hanging="357"/>
        <w:rPr>
          <w:rFonts w:ascii="Public Sans" w:eastAsia="Calibri" w:hAnsi="Public Sans" w:cs="Arial"/>
          <w:sz w:val="17"/>
          <w:szCs w:val="17"/>
          <w:lang w:val="en-AU"/>
        </w:rPr>
      </w:pPr>
      <w:r w:rsidRPr="00F15F7B">
        <w:rPr>
          <w:rFonts w:ascii="Public Sans" w:hAnsi="Public Sans" w:cs="Arial"/>
          <w:sz w:val="17"/>
          <w:szCs w:val="17"/>
        </w:rPr>
        <w:t>Transport for NSW</w:t>
      </w:r>
      <w:r w:rsidR="00D93C16" w:rsidRPr="00F15F7B">
        <w:rPr>
          <w:rFonts w:ascii="Public Sans" w:hAnsi="Public Sans" w:cs="Arial"/>
          <w:sz w:val="17"/>
          <w:szCs w:val="17"/>
        </w:rPr>
        <w:t xml:space="preserve"> (</w:t>
      </w:r>
      <w:proofErr w:type="spellStart"/>
      <w:r w:rsidR="00D93C16" w:rsidRPr="00F15F7B">
        <w:rPr>
          <w:rFonts w:ascii="Public Sans" w:hAnsi="Public Sans" w:cs="Arial"/>
          <w:sz w:val="17"/>
          <w:szCs w:val="17"/>
        </w:rPr>
        <w:t>TfNSW</w:t>
      </w:r>
      <w:proofErr w:type="spellEnd"/>
      <w:r w:rsidR="00D93C16" w:rsidRPr="00F15F7B">
        <w:rPr>
          <w:rFonts w:ascii="Public Sans" w:hAnsi="Public Sans" w:cs="Arial"/>
          <w:sz w:val="17"/>
          <w:szCs w:val="17"/>
        </w:rPr>
        <w:t>)</w:t>
      </w:r>
      <w:r w:rsidR="00393706" w:rsidRPr="00F15F7B">
        <w:rPr>
          <w:rFonts w:ascii="Public Sans" w:hAnsi="Public Sans" w:cs="Arial"/>
          <w:sz w:val="17"/>
          <w:szCs w:val="17"/>
        </w:rPr>
        <w:t xml:space="preserve"> reported</w:t>
      </w:r>
      <w:r w:rsidRPr="00F15F7B">
        <w:rPr>
          <w:rFonts w:ascii="Public Sans" w:hAnsi="Public Sans" w:cs="Arial"/>
          <w:sz w:val="17"/>
          <w:szCs w:val="17"/>
        </w:rPr>
        <w:t xml:space="preserve"> several </w:t>
      </w:r>
      <w:r w:rsidR="00864084" w:rsidRPr="00F15F7B">
        <w:rPr>
          <w:rFonts w:ascii="Public Sans" w:hAnsi="Public Sans" w:cs="Arial"/>
          <w:sz w:val="17"/>
          <w:szCs w:val="17"/>
        </w:rPr>
        <w:t xml:space="preserve">contingent liabilities in relation to </w:t>
      </w:r>
      <w:r w:rsidR="00CD4568" w:rsidRPr="00F15F7B">
        <w:rPr>
          <w:rFonts w:ascii="Public Sans" w:hAnsi="Public Sans" w:cs="Arial"/>
          <w:sz w:val="17"/>
          <w:szCs w:val="17"/>
        </w:rPr>
        <w:t>contractual di</w:t>
      </w:r>
      <w:r w:rsidR="00F355C1" w:rsidRPr="00F15F7B">
        <w:rPr>
          <w:rFonts w:ascii="Public Sans" w:hAnsi="Public Sans" w:cs="Arial"/>
          <w:sz w:val="17"/>
          <w:szCs w:val="17"/>
        </w:rPr>
        <w:t xml:space="preserve">sputes and </w:t>
      </w:r>
      <w:r w:rsidR="001D491E" w:rsidRPr="00F15F7B">
        <w:rPr>
          <w:rFonts w:ascii="Public Sans" w:hAnsi="Public Sans" w:cs="Arial"/>
          <w:sz w:val="17"/>
          <w:szCs w:val="17"/>
        </w:rPr>
        <w:t xml:space="preserve">compulsory acquisition matters under </w:t>
      </w:r>
      <w:r w:rsidR="000428FD" w:rsidRPr="00F15F7B">
        <w:rPr>
          <w:rFonts w:ascii="Public Sans" w:hAnsi="Public Sans" w:cs="Arial"/>
          <w:sz w:val="17"/>
          <w:szCs w:val="17"/>
        </w:rPr>
        <w:t xml:space="preserve">litigation as </w:t>
      </w:r>
      <w:proofErr w:type="gramStart"/>
      <w:r w:rsidR="00B70960" w:rsidRPr="00F15F7B">
        <w:rPr>
          <w:rFonts w:ascii="Public Sans" w:hAnsi="Public Sans" w:cs="Arial"/>
          <w:sz w:val="17"/>
          <w:szCs w:val="17"/>
        </w:rPr>
        <w:t>at</w:t>
      </w:r>
      <w:proofErr w:type="gramEnd"/>
      <w:r w:rsidR="00B70960" w:rsidRPr="00F15F7B">
        <w:rPr>
          <w:rFonts w:ascii="Public Sans" w:hAnsi="Public Sans" w:cs="Arial"/>
          <w:sz w:val="17"/>
          <w:szCs w:val="17"/>
        </w:rPr>
        <w:t xml:space="preserve"> 30 June 2023. </w:t>
      </w:r>
      <w:proofErr w:type="spellStart"/>
      <w:r w:rsidR="00D93C16" w:rsidRPr="00F15F7B">
        <w:rPr>
          <w:rFonts w:ascii="Public Sans" w:hAnsi="Public Sans" w:cs="Arial"/>
          <w:sz w:val="17"/>
          <w:szCs w:val="17"/>
        </w:rPr>
        <w:t>TfNSW</w:t>
      </w:r>
      <w:proofErr w:type="spellEnd"/>
      <w:r w:rsidR="00916885">
        <w:rPr>
          <w:rFonts w:ascii="Public Sans" w:hAnsi="Public Sans" w:cs="Arial"/>
          <w:sz w:val="17"/>
          <w:szCs w:val="17"/>
        </w:rPr>
        <w:t xml:space="preserve"> reported a nil return</w:t>
      </w:r>
      <w:r w:rsidR="00EB1D9B" w:rsidRPr="00F15F7B">
        <w:rPr>
          <w:rFonts w:ascii="Public Sans" w:hAnsi="Public Sans" w:cs="Arial"/>
          <w:sz w:val="17"/>
          <w:szCs w:val="17"/>
        </w:rPr>
        <w:t xml:space="preserve"> </w:t>
      </w:r>
      <w:r w:rsidR="44A9075B" w:rsidRPr="00F15F7B">
        <w:rPr>
          <w:rFonts w:ascii="Public Sans" w:hAnsi="Public Sans" w:cs="Arial"/>
          <w:sz w:val="17"/>
          <w:szCs w:val="17"/>
        </w:rPr>
        <w:t xml:space="preserve">as </w:t>
      </w:r>
      <w:proofErr w:type="gramStart"/>
      <w:r w:rsidR="44A9075B" w:rsidRPr="00F15F7B">
        <w:rPr>
          <w:rFonts w:ascii="Public Sans" w:hAnsi="Public Sans" w:cs="Arial"/>
          <w:sz w:val="17"/>
          <w:szCs w:val="17"/>
        </w:rPr>
        <w:t>at</w:t>
      </w:r>
      <w:proofErr w:type="gramEnd"/>
      <w:r w:rsidR="44A9075B" w:rsidRPr="00F15F7B">
        <w:rPr>
          <w:rFonts w:ascii="Public Sans" w:hAnsi="Public Sans" w:cs="Arial"/>
          <w:sz w:val="17"/>
          <w:szCs w:val="17"/>
        </w:rPr>
        <w:t xml:space="preserve"> 30 April 202</w:t>
      </w:r>
      <w:r w:rsidR="00522F0A">
        <w:rPr>
          <w:rFonts w:ascii="Public Sans" w:hAnsi="Public Sans" w:cs="Arial"/>
          <w:sz w:val="17"/>
          <w:szCs w:val="17"/>
        </w:rPr>
        <w:t>4</w:t>
      </w:r>
      <w:r w:rsidR="009419EA" w:rsidRPr="00F15F7B">
        <w:rPr>
          <w:rFonts w:ascii="Public Sans" w:hAnsi="Public Sans" w:cs="Arial"/>
          <w:sz w:val="17"/>
          <w:szCs w:val="17"/>
        </w:rPr>
        <w:t>.</w:t>
      </w:r>
      <w:r w:rsidR="00EB1D9B" w:rsidRPr="00F15F7B">
        <w:rPr>
          <w:rFonts w:ascii="Public Sans" w:hAnsi="Public Sans" w:cs="Arial"/>
          <w:sz w:val="17"/>
          <w:szCs w:val="17"/>
        </w:rPr>
        <w:t xml:space="preserve">  </w:t>
      </w:r>
    </w:p>
    <w:p w14:paraId="7416E15C" w14:textId="77777777" w:rsidR="00F92EB1" w:rsidRDefault="00F92EB1" w:rsidP="00F92EB1">
      <w:pPr>
        <w:rPr>
          <w:rFonts w:eastAsia="Calibri"/>
        </w:rPr>
      </w:pPr>
    </w:p>
    <w:p w14:paraId="66C8225B" w14:textId="6F2F4E8E" w:rsidR="00FB620B" w:rsidRDefault="00FB620B">
      <w:pPr>
        <w:rPr>
          <w:rFonts w:ascii="Public Sans" w:hAnsi="Public Sans" w:cs="Arial"/>
          <w:sz w:val="22"/>
          <w:lang w:val="en-AU"/>
        </w:rPr>
      </w:pPr>
      <w:r>
        <w:rPr>
          <w:rFonts w:ascii="Public Sans" w:hAnsi="Public Sans" w:cs="Arial"/>
          <w:sz w:val="22"/>
          <w:lang w:val="en-AU"/>
        </w:rPr>
        <w:br w:type="page"/>
      </w:r>
    </w:p>
    <w:p w14:paraId="270307E6" w14:textId="3689FD53" w:rsidR="008F64BE" w:rsidRPr="00FF40BD" w:rsidRDefault="008F64BE" w:rsidP="0085089B">
      <w:r w:rsidRPr="008E3826">
        <w:rPr>
          <w:rFonts w:ascii="Public Sans" w:hAnsi="Public Sans" w:cs="Arial"/>
          <w:sz w:val="22"/>
          <w:lang w:val="en-AU"/>
        </w:rPr>
        <w:lastRenderedPageBreak/>
        <w:t>The State faces a range of potential obligations that are non-quantifiable, which have been broadly grouped into the following categories:</w:t>
      </w:r>
    </w:p>
    <w:p w14:paraId="3A52C7A4" w14:textId="77777777" w:rsidR="008F64BE" w:rsidRPr="00FF40BD" w:rsidRDefault="008F64BE" w:rsidP="0060253C">
      <w:pPr>
        <w:pStyle w:val="Bullet1"/>
      </w:pPr>
      <w:r w:rsidRPr="00FF40BD">
        <w:t xml:space="preserve">commercial transactions </w:t>
      </w:r>
    </w:p>
    <w:p w14:paraId="14C1A431" w14:textId="77777777" w:rsidR="008F64BE" w:rsidRPr="00FF40BD" w:rsidRDefault="008F64BE" w:rsidP="0060253C">
      <w:pPr>
        <w:pStyle w:val="Bullet1"/>
        <w:rPr>
          <w:rStyle w:val="BodyTextChar"/>
          <w:iCs/>
          <w:szCs w:val="22"/>
        </w:rPr>
      </w:pPr>
      <w:r w:rsidRPr="00FF40BD">
        <w:t>other contingent liabilities.</w:t>
      </w:r>
    </w:p>
    <w:p w14:paraId="2F7E0B8D" w14:textId="72BD735D" w:rsidR="009B0493" w:rsidRDefault="008F64BE" w:rsidP="0060253C">
      <w:pPr>
        <w:pStyle w:val="BodyText"/>
        <w:rPr>
          <w:rFonts w:eastAsiaTheme="minorEastAsia"/>
        </w:rPr>
      </w:pPr>
      <w:r w:rsidRPr="78BB65A7">
        <w:rPr>
          <w:rStyle w:val="BodyTextChar"/>
          <w:lang w:val="en-US"/>
        </w:rPr>
        <w:t>As s</w:t>
      </w:r>
      <w:proofErr w:type="spellStart"/>
      <w:r w:rsidRPr="78BB65A7">
        <w:t>et</w:t>
      </w:r>
      <w:proofErr w:type="spellEnd"/>
      <w:r w:rsidRPr="78BB65A7">
        <w:t xml:space="preserve"> out in Table C.4, the general government sector has non-quantifiable contingent liabilities relating to commercial transactions. </w:t>
      </w:r>
      <w:r w:rsidR="00CF38E9" w:rsidRPr="78BB65A7">
        <w:t>For</w:t>
      </w:r>
      <w:r w:rsidRPr="78BB65A7">
        <w:t xml:space="preserve"> example, under several energy transactions, the Government provided limited general warranties to purchasers and lessees. The Government has also provided indemnities </w:t>
      </w:r>
      <w:r w:rsidRPr="78BB65A7">
        <w:rPr>
          <w:rFonts w:eastAsiaTheme="minorEastAsia"/>
        </w:rPr>
        <w:t xml:space="preserve">for the costs </w:t>
      </w:r>
      <w:r w:rsidRPr="78BB65A7">
        <w:t xml:space="preserve">associated with </w:t>
      </w:r>
      <w:r w:rsidRPr="78BB65A7">
        <w:rPr>
          <w:rFonts w:eastAsiaTheme="minorEastAsia"/>
        </w:rPr>
        <w:t xml:space="preserve">remediating preexisting contamination at several power station sites where required by an Environmental Authority. </w:t>
      </w:r>
    </w:p>
    <w:p w14:paraId="63C49576" w14:textId="45899284" w:rsidR="008F64BE" w:rsidRPr="00FF40BD" w:rsidRDefault="008F64BE" w:rsidP="0060253C">
      <w:pPr>
        <w:pStyle w:val="BodyText"/>
        <w:rPr>
          <w:rFonts w:eastAsiaTheme="minorEastAsia"/>
          <w:lang w:val="en-US"/>
        </w:rPr>
      </w:pPr>
      <w:r w:rsidRPr="1526E4A1">
        <w:rPr>
          <w:rFonts w:eastAsiaTheme="minorEastAsia"/>
        </w:rPr>
        <w:t xml:space="preserve">The annual </w:t>
      </w:r>
      <w:r w:rsidRPr="1526E4A1">
        <w:rPr>
          <w:rFonts w:eastAsiaTheme="minorEastAsia"/>
          <w:i/>
        </w:rPr>
        <w:t>Report on State Finances</w:t>
      </w:r>
      <w:r w:rsidRPr="1526E4A1">
        <w:rPr>
          <w:rFonts w:eastAsiaTheme="minorEastAsia"/>
        </w:rPr>
        <w:t xml:space="preserve"> contains other non-quantifiable contingent liabilities that may not be disclosed in the </w:t>
      </w:r>
      <w:r w:rsidR="00104A55">
        <w:rPr>
          <w:rFonts w:eastAsiaTheme="minorEastAsia"/>
        </w:rPr>
        <w:t>B</w:t>
      </w:r>
      <w:r w:rsidRPr="1526E4A1">
        <w:rPr>
          <w:rFonts w:eastAsiaTheme="minorEastAsia"/>
        </w:rPr>
        <w:t>udget</w:t>
      </w:r>
      <w:r w:rsidR="00233F07" w:rsidRPr="1526E4A1">
        <w:rPr>
          <w:rFonts w:eastAsiaTheme="minorEastAsia"/>
        </w:rPr>
        <w:t xml:space="preserve">. </w:t>
      </w:r>
    </w:p>
    <w:p w14:paraId="15245984" w14:textId="2A7555BB" w:rsidR="00F92EB1" w:rsidRPr="00426BD4" w:rsidRDefault="00F92EB1" w:rsidP="00CD149C">
      <w:pPr>
        <w:pStyle w:val="TableCX"/>
      </w:pPr>
      <w:r w:rsidRPr="00426BD4">
        <w:t>Commercial transaction-related non-quantifiable contingent liabilities</w:t>
      </w:r>
    </w:p>
    <w:tbl>
      <w:tblPr>
        <w:tblStyle w:val="TableGrid0"/>
        <w:tblW w:w="9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C.4: Commercial transaction-related non-quantifiable contingent liabilities"/>
        <w:tblDescription w:val="Table C.4: Commercial transaction-related non-quantifiable contingent liabilities"/>
      </w:tblPr>
      <w:tblGrid>
        <w:gridCol w:w="3821"/>
        <w:gridCol w:w="5811"/>
      </w:tblGrid>
      <w:tr w:rsidR="00C40479" w:rsidRPr="00C40479" w14:paraId="1A2DAA60" w14:textId="77777777" w:rsidTr="00F93B87">
        <w:tc>
          <w:tcPr>
            <w:tcW w:w="3821" w:type="dxa"/>
            <w:shd w:val="clear" w:color="auto" w:fill="EBEBEB"/>
          </w:tcPr>
          <w:p w14:paraId="2E8ADA9F" w14:textId="77777777" w:rsidR="00F92EB1" w:rsidRPr="00C40479" w:rsidRDefault="00F92EB1">
            <w:pPr>
              <w:spacing w:before="120" w:after="120"/>
              <w:rPr>
                <w:rFonts w:ascii="Public Sans" w:hAnsi="Public Sans" w:cs="Arial"/>
                <w:bCs/>
                <w:sz w:val="18"/>
                <w:szCs w:val="18"/>
              </w:rPr>
            </w:pPr>
            <w:r w:rsidRPr="00C40479">
              <w:rPr>
                <w:rFonts w:ascii="Public Sans" w:hAnsi="Public Sans" w:cs="Arial"/>
                <w:bCs/>
                <w:sz w:val="18"/>
                <w:szCs w:val="18"/>
              </w:rPr>
              <w:t>Transactions</w:t>
            </w:r>
          </w:p>
        </w:tc>
        <w:tc>
          <w:tcPr>
            <w:tcW w:w="5811" w:type="dxa"/>
            <w:shd w:val="clear" w:color="auto" w:fill="EBEBEB"/>
          </w:tcPr>
          <w:p w14:paraId="1FF1CC0C" w14:textId="77777777" w:rsidR="00F92EB1" w:rsidRPr="00C40479" w:rsidRDefault="00F92EB1">
            <w:pPr>
              <w:spacing w:before="120" w:after="120"/>
              <w:rPr>
                <w:rFonts w:ascii="Public Sans" w:hAnsi="Public Sans" w:cs="Arial"/>
                <w:bCs/>
                <w:sz w:val="18"/>
                <w:szCs w:val="18"/>
              </w:rPr>
            </w:pPr>
            <w:r w:rsidRPr="00C40479">
              <w:rPr>
                <w:rFonts w:ascii="Public Sans" w:hAnsi="Public Sans" w:cs="Arial"/>
                <w:bCs/>
                <w:sz w:val="18"/>
                <w:szCs w:val="18"/>
              </w:rPr>
              <w:t>Nature of the contingent liabilities</w:t>
            </w:r>
          </w:p>
        </w:tc>
      </w:tr>
      <w:tr w:rsidR="00C40479" w:rsidRPr="00C40479" w14:paraId="62A40DC8" w14:textId="77777777" w:rsidTr="00F93B87">
        <w:trPr>
          <w:trHeight w:val="1813"/>
        </w:trPr>
        <w:tc>
          <w:tcPr>
            <w:tcW w:w="3821" w:type="dxa"/>
            <w:tcBorders>
              <w:bottom w:val="single" w:sz="4" w:space="0" w:color="A6A6A6" w:themeColor="background1" w:themeShade="A6"/>
            </w:tcBorders>
          </w:tcPr>
          <w:p w14:paraId="64EDD953" w14:textId="3310B132" w:rsidR="00F92EB1" w:rsidRPr="00C40479" w:rsidRDefault="00F92EB1">
            <w:pPr>
              <w:spacing w:before="80" w:after="80"/>
              <w:rPr>
                <w:rFonts w:ascii="Public Sans" w:hAnsi="Public Sans" w:cs="Arial"/>
                <w:sz w:val="18"/>
                <w:szCs w:val="18"/>
              </w:rPr>
            </w:pPr>
            <w:r w:rsidRPr="00C40479">
              <w:rPr>
                <w:rFonts w:ascii="Public Sans" w:hAnsi="Public Sans" w:cs="Arial"/>
                <w:sz w:val="18"/>
                <w:szCs w:val="18"/>
              </w:rPr>
              <w:t xml:space="preserve">Transactions related to Delta Electricity’s Western Assets, </w:t>
            </w:r>
            <w:proofErr w:type="spellStart"/>
            <w:r w:rsidRPr="00C40479">
              <w:rPr>
                <w:rFonts w:ascii="Public Sans" w:hAnsi="Public Sans" w:cs="Arial"/>
                <w:sz w:val="18"/>
                <w:szCs w:val="18"/>
              </w:rPr>
              <w:t>Eraring</w:t>
            </w:r>
            <w:proofErr w:type="spellEnd"/>
            <w:r w:rsidRPr="00C40479">
              <w:rPr>
                <w:rFonts w:ascii="Public Sans" w:hAnsi="Public Sans" w:cs="Arial"/>
                <w:sz w:val="18"/>
                <w:szCs w:val="18"/>
              </w:rPr>
              <w:t xml:space="preserve"> Energy, Vales Point Power Station, </w:t>
            </w:r>
            <w:proofErr w:type="spellStart"/>
            <w:r w:rsidRPr="00C40479">
              <w:rPr>
                <w:rFonts w:ascii="Public Sans" w:hAnsi="Public Sans" w:cs="Arial"/>
                <w:sz w:val="18"/>
                <w:szCs w:val="18"/>
              </w:rPr>
              <w:t>Colongra</w:t>
            </w:r>
            <w:proofErr w:type="spellEnd"/>
            <w:r w:rsidRPr="00C40479">
              <w:rPr>
                <w:rFonts w:ascii="Public Sans" w:hAnsi="Public Sans" w:cs="Arial"/>
                <w:sz w:val="18"/>
                <w:szCs w:val="18"/>
              </w:rPr>
              <w:t xml:space="preserve"> Power Station</w:t>
            </w:r>
            <w:r w:rsidR="002E057A">
              <w:rPr>
                <w:rFonts w:ascii="Public Sans" w:hAnsi="Public Sans" w:cs="Arial"/>
                <w:sz w:val="18"/>
                <w:szCs w:val="18"/>
              </w:rPr>
              <w:t>,</w:t>
            </w:r>
            <w:r w:rsidRPr="00C40479">
              <w:rPr>
                <w:rFonts w:ascii="Public Sans" w:hAnsi="Public Sans" w:cs="Arial"/>
                <w:sz w:val="18"/>
                <w:szCs w:val="18"/>
              </w:rPr>
              <w:t xml:space="preserve"> Macquarie Generation</w:t>
            </w:r>
            <w:r w:rsidR="00E27593">
              <w:rPr>
                <w:rFonts w:ascii="Public Sans" w:hAnsi="Public Sans" w:cs="Arial"/>
                <w:sz w:val="18"/>
                <w:szCs w:val="18"/>
              </w:rPr>
              <w:t xml:space="preserve"> and Green State Power</w:t>
            </w:r>
            <w:r w:rsidRPr="00C40479">
              <w:rPr>
                <w:rFonts w:ascii="Public Sans" w:hAnsi="Public Sans" w:cs="Arial"/>
                <w:sz w:val="18"/>
                <w:szCs w:val="18"/>
              </w:rPr>
              <w:t xml:space="preserve"> </w:t>
            </w:r>
          </w:p>
        </w:tc>
        <w:tc>
          <w:tcPr>
            <w:tcW w:w="5811" w:type="dxa"/>
            <w:tcBorders>
              <w:bottom w:val="single" w:sz="4" w:space="0" w:color="A6A6A6" w:themeColor="background1" w:themeShade="A6"/>
            </w:tcBorders>
          </w:tcPr>
          <w:p w14:paraId="13B724B0" w14:textId="77777777" w:rsidR="00F92EB1" w:rsidRPr="00C40479" w:rsidRDefault="00F92EB1">
            <w:pPr>
              <w:spacing w:before="80" w:after="80"/>
              <w:rPr>
                <w:rFonts w:ascii="Public Sans" w:hAnsi="Public Sans" w:cs="Arial"/>
                <w:sz w:val="18"/>
                <w:szCs w:val="18"/>
              </w:rPr>
            </w:pPr>
            <w:r w:rsidRPr="00C40479">
              <w:rPr>
                <w:rFonts w:ascii="Public Sans" w:hAnsi="Public Sans" w:cs="Arial"/>
                <w:sz w:val="18"/>
                <w:szCs w:val="18"/>
              </w:rPr>
              <w:t>Various contingent liabilities, including:</w:t>
            </w:r>
          </w:p>
          <w:p w14:paraId="74073E1D" w14:textId="77777777" w:rsidR="00F92EB1" w:rsidRPr="00C40479" w:rsidRDefault="00F92EB1" w:rsidP="00B446FF">
            <w:pPr>
              <w:pStyle w:val="ListParagraph"/>
              <w:numPr>
                <w:ilvl w:val="0"/>
                <w:numId w:val="2"/>
              </w:numPr>
              <w:spacing w:before="80" w:after="80"/>
              <w:ind w:left="228" w:hanging="228"/>
              <w:contextualSpacing w:val="0"/>
              <w:rPr>
                <w:rFonts w:ascii="Public Sans" w:hAnsi="Public Sans" w:cs="Arial"/>
                <w:sz w:val="18"/>
                <w:szCs w:val="18"/>
              </w:rPr>
            </w:pPr>
            <w:r w:rsidRPr="00C40479">
              <w:rPr>
                <w:rFonts w:ascii="Public Sans" w:hAnsi="Public Sans" w:cs="Arial"/>
                <w:sz w:val="18"/>
                <w:szCs w:val="18"/>
              </w:rPr>
              <w:t>pre-completion contamination and land remediation liability</w:t>
            </w:r>
          </w:p>
          <w:p w14:paraId="54E6D7FE" w14:textId="77777777" w:rsidR="00F92EB1" w:rsidRPr="00C40479" w:rsidRDefault="00F92EB1" w:rsidP="00B446FF">
            <w:pPr>
              <w:pStyle w:val="ListParagraph"/>
              <w:numPr>
                <w:ilvl w:val="0"/>
                <w:numId w:val="2"/>
              </w:numPr>
              <w:spacing w:before="80" w:after="80"/>
              <w:ind w:left="228" w:hanging="228"/>
              <w:contextualSpacing w:val="0"/>
              <w:rPr>
                <w:rFonts w:ascii="Public Sans" w:hAnsi="Public Sans" w:cs="Arial"/>
                <w:sz w:val="18"/>
                <w:szCs w:val="18"/>
              </w:rPr>
            </w:pPr>
            <w:r w:rsidRPr="00C40479">
              <w:rPr>
                <w:rFonts w:ascii="Public Sans" w:hAnsi="Public Sans" w:cs="Arial"/>
                <w:sz w:val="18"/>
                <w:szCs w:val="18"/>
              </w:rPr>
              <w:t>general warranties</w:t>
            </w:r>
          </w:p>
          <w:p w14:paraId="36F9160C" w14:textId="77777777" w:rsidR="00F92EB1" w:rsidRPr="00C40479" w:rsidRDefault="00F92EB1" w:rsidP="00B446FF">
            <w:pPr>
              <w:pStyle w:val="ListParagraph"/>
              <w:numPr>
                <w:ilvl w:val="0"/>
                <w:numId w:val="2"/>
              </w:numPr>
              <w:spacing w:before="80" w:after="80"/>
              <w:ind w:left="228" w:hanging="228"/>
              <w:contextualSpacing w:val="0"/>
              <w:rPr>
                <w:rFonts w:ascii="Public Sans" w:hAnsi="Public Sans" w:cs="Arial"/>
                <w:sz w:val="18"/>
                <w:szCs w:val="18"/>
              </w:rPr>
            </w:pPr>
            <w:r w:rsidRPr="00C40479">
              <w:rPr>
                <w:rFonts w:ascii="Public Sans" w:hAnsi="Public Sans" w:cs="Arial"/>
                <w:sz w:val="18"/>
                <w:szCs w:val="18"/>
              </w:rPr>
              <w:t xml:space="preserve">coal haul road </w:t>
            </w:r>
            <w:proofErr w:type="gramStart"/>
            <w:r w:rsidRPr="00C40479">
              <w:rPr>
                <w:rFonts w:ascii="Public Sans" w:hAnsi="Public Sans" w:cs="Arial"/>
                <w:sz w:val="18"/>
                <w:szCs w:val="18"/>
              </w:rPr>
              <w:t>liability</w:t>
            </w:r>
            <w:proofErr w:type="gramEnd"/>
          </w:p>
          <w:p w14:paraId="0CCF9DFC" w14:textId="77777777" w:rsidR="00F92EB1" w:rsidRPr="00C40479" w:rsidRDefault="00F92EB1" w:rsidP="00B446FF">
            <w:pPr>
              <w:pStyle w:val="ListParagraph"/>
              <w:numPr>
                <w:ilvl w:val="0"/>
                <w:numId w:val="2"/>
              </w:numPr>
              <w:spacing w:before="80" w:after="80"/>
              <w:ind w:left="228" w:hanging="228"/>
              <w:contextualSpacing w:val="0"/>
              <w:rPr>
                <w:rFonts w:ascii="Public Sans" w:hAnsi="Public Sans" w:cs="Arial"/>
                <w:sz w:val="18"/>
                <w:szCs w:val="18"/>
              </w:rPr>
            </w:pPr>
            <w:r w:rsidRPr="00C40479">
              <w:rPr>
                <w:rFonts w:ascii="Public Sans" w:hAnsi="Public Sans" w:cs="Arial"/>
                <w:sz w:val="18"/>
                <w:szCs w:val="18"/>
              </w:rPr>
              <w:t>ash dam liability</w:t>
            </w:r>
          </w:p>
          <w:p w14:paraId="13EC74F0" w14:textId="77777777" w:rsidR="00F92EB1" w:rsidRPr="00C40479" w:rsidRDefault="00F92EB1" w:rsidP="00E967AF">
            <w:pPr>
              <w:pStyle w:val="ListParagraph"/>
              <w:numPr>
                <w:ilvl w:val="0"/>
                <w:numId w:val="2"/>
              </w:numPr>
              <w:spacing w:before="80" w:after="80"/>
              <w:ind w:left="227" w:hanging="227"/>
              <w:contextualSpacing w:val="0"/>
              <w:rPr>
                <w:rFonts w:ascii="Public Sans" w:hAnsi="Public Sans" w:cs="Arial"/>
                <w:sz w:val="18"/>
                <w:szCs w:val="18"/>
              </w:rPr>
            </w:pPr>
            <w:r w:rsidRPr="49287EDC">
              <w:rPr>
                <w:rFonts w:ascii="Public Sans" w:hAnsi="Public Sans" w:cs="Arial"/>
                <w:sz w:val="18"/>
                <w:szCs w:val="18"/>
              </w:rPr>
              <w:t>where the land is returned to the State by the exercise of an option under the hand-back deed, remediation of Vales Point and Site Land</w:t>
            </w:r>
          </w:p>
          <w:p w14:paraId="714ECAFD" w14:textId="77777777" w:rsidR="00F92EB1" w:rsidRPr="00C40479" w:rsidRDefault="00F92EB1" w:rsidP="00E967AF">
            <w:pPr>
              <w:pStyle w:val="ListParagraph"/>
              <w:numPr>
                <w:ilvl w:val="0"/>
                <w:numId w:val="2"/>
              </w:numPr>
              <w:spacing w:before="80" w:after="80"/>
              <w:ind w:left="227" w:hanging="227"/>
              <w:contextualSpacing w:val="0"/>
              <w:rPr>
                <w:rFonts w:ascii="Public Sans" w:hAnsi="Public Sans" w:cs="Arial"/>
                <w:sz w:val="18"/>
                <w:szCs w:val="18"/>
              </w:rPr>
            </w:pPr>
            <w:r w:rsidRPr="00C40479">
              <w:rPr>
                <w:rFonts w:ascii="Public Sans" w:hAnsi="Public Sans" w:cs="Arial"/>
                <w:sz w:val="18"/>
                <w:szCs w:val="18"/>
              </w:rPr>
              <w:t>Barnard River Scheme native title indemnity</w:t>
            </w:r>
          </w:p>
          <w:p w14:paraId="76CE47C3" w14:textId="4A237486" w:rsidR="001C3F47" w:rsidRPr="00C40479" w:rsidRDefault="00971E52" w:rsidP="00B446FF">
            <w:pPr>
              <w:pStyle w:val="ListParagraph"/>
              <w:numPr>
                <w:ilvl w:val="0"/>
                <w:numId w:val="2"/>
              </w:numPr>
              <w:spacing w:before="80" w:after="80"/>
              <w:ind w:left="228" w:hanging="228"/>
              <w:contextualSpacing w:val="0"/>
              <w:rPr>
                <w:rFonts w:ascii="Public Sans" w:hAnsi="Public Sans" w:cs="Arial"/>
                <w:sz w:val="18"/>
                <w:szCs w:val="18"/>
              </w:rPr>
            </w:pPr>
            <w:r>
              <w:rPr>
                <w:rFonts w:ascii="Public Sans" w:hAnsi="Public Sans" w:cs="Arial"/>
                <w:sz w:val="18"/>
                <w:szCs w:val="18"/>
              </w:rPr>
              <w:t>f</w:t>
            </w:r>
            <w:r w:rsidR="5E6CFBFA" w:rsidRPr="0C502221">
              <w:rPr>
                <w:rFonts w:ascii="Public Sans" w:hAnsi="Public Sans" w:cs="Arial"/>
                <w:sz w:val="18"/>
                <w:szCs w:val="18"/>
              </w:rPr>
              <w:t>ormal dispute resolution proceedings.</w:t>
            </w:r>
          </w:p>
        </w:tc>
      </w:tr>
      <w:tr w:rsidR="00C40479" w:rsidRPr="00C40479" w14:paraId="5AA20C10" w14:textId="77777777" w:rsidTr="00F93B87">
        <w:trPr>
          <w:trHeight w:val="385"/>
        </w:trPr>
        <w:tc>
          <w:tcPr>
            <w:tcW w:w="3821" w:type="dxa"/>
            <w:tcBorders>
              <w:top w:val="single" w:sz="4" w:space="0" w:color="A6A6A6" w:themeColor="background1" w:themeShade="A6"/>
              <w:bottom w:val="single" w:sz="4" w:space="0" w:color="A6A6A6" w:themeColor="background1" w:themeShade="A6"/>
            </w:tcBorders>
          </w:tcPr>
          <w:p w14:paraId="4AB19AEE" w14:textId="77777777" w:rsidR="00F92EB1" w:rsidRPr="00C40479" w:rsidRDefault="00F92EB1">
            <w:pPr>
              <w:spacing w:before="80" w:after="80"/>
              <w:rPr>
                <w:rFonts w:ascii="Public Sans" w:hAnsi="Public Sans" w:cs="Arial"/>
                <w:sz w:val="18"/>
                <w:szCs w:val="18"/>
              </w:rPr>
            </w:pPr>
            <w:bookmarkStart w:id="0" w:name="_Hlk515364338"/>
            <w:r w:rsidRPr="00C40479">
              <w:rPr>
                <w:rFonts w:ascii="Public Sans" w:hAnsi="Public Sans" w:cs="Arial"/>
                <w:sz w:val="18"/>
                <w:szCs w:val="18"/>
              </w:rPr>
              <w:t xml:space="preserve">Transactions related to facilities at Port Kembla, Port Botany, </w:t>
            </w:r>
            <w:proofErr w:type="gramStart"/>
            <w:r w:rsidRPr="00C40479">
              <w:rPr>
                <w:rFonts w:ascii="Public Sans" w:hAnsi="Public Sans" w:cs="Arial"/>
                <w:sz w:val="18"/>
                <w:szCs w:val="18"/>
              </w:rPr>
              <w:t>Enfield</w:t>
            </w:r>
            <w:proofErr w:type="gramEnd"/>
            <w:r w:rsidRPr="00C40479">
              <w:rPr>
                <w:rFonts w:ascii="Public Sans" w:hAnsi="Public Sans" w:cs="Arial"/>
                <w:sz w:val="18"/>
                <w:szCs w:val="18"/>
              </w:rPr>
              <w:t xml:space="preserve"> and the Port of Newcastle</w:t>
            </w:r>
          </w:p>
        </w:tc>
        <w:tc>
          <w:tcPr>
            <w:tcW w:w="5811" w:type="dxa"/>
            <w:tcBorders>
              <w:top w:val="single" w:sz="4" w:space="0" w:color="A6A6A6" w:themeColor="background1" w:themeShade="A6"/>
              <w:bottom w:val="single" w:sz="4" w:space="0" w:color="A6A6A6" w:themeColor="background1" w:themeShade="A6"/>
            </w:tcBorders>
          </w:tcPr>
          <w:p w14:paraId="0B66DF57" w14:textId="77777777" w:rsidR="008106BA" w:rsidRDefault="00F92EB1">
            <w:pPr>
              <w:spacing w:before="80" w:after="80"/>
              <w:rPr>
                <w:rFonts w:ascii="Public Sans" w:hAnsi="Public Sans" w:cs="Arial"/>
                <w:sz w:val="18"/>
                <w:szCs w:val="18"/>
              </w:rPr>
            </w:pPr>
            <w:r w:rsidRPr="00C40479">
              <w:rPr>
                <w:rFonts w:ascii="Public Sans" w:hAnsi="Public Sans" w:cs="Arial"/>
                <w:sz w:val="18"/>
                <w:szCs w:val="18"/>
              </w:rPr>
              <w:t>The State has indemnified the lessees in respect of pre</w:t>
            </w:r>
            <w:r w:rsidR="00971E52">
              <w:rPr>
                <w:rFonts w:ascii="Public Sans" w:hAnsi="Public Sans" w:cs="Arial"/>
                <w:sz w:val="18"/>
                <w:szCs w:val="18"/>
              </w:rPr>
              <w:noBreakHyphen/>
            </w:r>
            <w:r w:rsidRPr="00C40479">
              <w:rPr>
                <w:rFonts w:ascii="Public Sans" w:hAnsi="Public Sans" w:cs="Arial"/>
                <w:sz w:val="18"/>
                <w:szCs w:val="18"/>
              </w:rPr>
              <w:t>existing environmental contamination.</w:t>
            </w:r>
            <w:r w:rsidR="00887B14" w:rsidRPr="00C40479">
              <w:rPr>
                <w:rFonts w:ascii="Public Sans" w:hAnsi="Public Sans" w:cs="Arial"/>
                <w:sz w:val="18"/>
                <w:szCs w:val="18"/>
              </w:rPr>
              <w:t xml:space="preserve"> </w:t>
            </w:r>
            <w:r w:rsidR="008F59D4" w:rsidRPr="00C40479">
              <w:rPr>
                <w:rFonts w:ascii="Public Sans" w:hAnsi="Public Sans" w:cs="Arial"/>
                <w:sz w:val="18"/>
                <w:szCs w:val="18"/>
              </w:rPr>
              <w:t>The State</w:t>
            </w:r>
            <w:r w:rsidR="00FC76D7" w:rsidRPr="00C40479">
              <w:rPr>
                <w:rFonts w:ascii="Public Sans" w:hAnsi="Public Sans" w:cs="Arial"/>
                <w:sz w:val="18"/>
                <w:szCs w:val="18"/>
              </w:rPr>
              <w:t xml:space="preserve"> is </w:t>
            </w:r>
            <w:r w:rsidR="006F427C" w:rsidRPr="00C40479">
              <w:rPr>
                <w:rFonts w:ascii="Public Sans" w:hAnsi="Public Sans" w:cs="Arial"/>
                <w:sz w:val="18"/>
                <w:szCs w:val="18"/>
              </w:rPr>
              <w:t xml:space="preserve">also </w:t>
            </w:r>
            <w:r w:rsidR="00FC76D7" w:rsidRPr="00C40479">
              <w:rPr>
                <w:rFonts w:ascii="Public Sans" w:hAnsi="Public Sans" w:cs="Arial"/>
                <w:sz w:val="18"/>
                <w:szCs w:val="18"/>
              </w:rPr>
              <w:t xml:space="preserve">liable to pay limited compensation to financiers </w:t>
            </w:r>
            <w:r w:rsidR="00314CA8" w:rsidRPr="00C40479">
              <w:rPr>
                <w:rFonts w:ascii="Public Sans" w:hAnsi="Public Sans" w:cs="Arial"/>
                <w:sz w:val="18"/>
                <w:szCs w:val="18"/>
              </w:rPr>
              <w:t>if</w:t>
            </w:r>
            <w:r w:rsidR="00E34918" w:rsidRPr="00C40479">
              <w:rPr>
                <w:rFonts w:ascii="Public Sans" w:hAnsi="Public Sans" w:cs="Arial"/>
                <w:sz w:val="18"/>
                <w:szCs w:val="18"/>
              </w:rPr>
              <w:t xml:space="preserve"> </w:t>
            </w:r>
            <w:r w:rsidR="00D639FD" w:rsidRPr="00C40479">
              <w:rPr>
                <w:rFonts w:ascii="Public Sans" w:hAnsi="Public Sans" w:cs="Arial"/>
                <w:sz w:val="18"/>
                <w:szCs w:val="18"/>
              </w:rPr>
              <w:t>the leas</w:t>
            </w:r>
            <w:r w:rsidR="00FB169C" w:rsidRPr="00C40479">
              <w:rPr>
                <w:rFonts w:ascii="Public Sans" w:hAnsi="Public Sans" w:cs="Arial"/>
                <w:sz w:val="18"/>
                <w:szCs w:val="18"/>
              </w:rPr>
              <w:t xml:space="preserve">es are </w:t>
            </w:r>
            <w:r w:rsidR="00E34918" w:rsidRPr="00C40479">
              <w:rPr>
                <w:rFonts w:ascii="Public Sans" w:hAnsi="Public Sans" w:cs="Arial"/>
                <w:sz w:val="18"/>
                <w:szCs w:val="18"/>
              </w:rPr>
              <w:t>terminate</w:t>
            </w:r>
            <w:r w:rsidR="00D639FD" w:rsidRPr="00C40479">
              <w:rPr>
                <w:rFonts w:ascii="Public Sans" w:hAnsi="Public Sans" w:cs="Arial"/>
                <w:sz w:val="18"/>
                <w:szCs w:val="18"/>
              </w:rPr>
              <w:t>d</w:t>
            </w:r>
            <w:r w:rsidR="00E34918" w:rsidRPr="00C40479">
              <w:rPr>
                <w:rFonts w:ascii="Public Sans" w:hAnsi="Public Sans" w:cs="Arial"/>
                <w:sz w:val="18"/>
                <w:szCs w:val="18"/>
              </w:rPr>
              <w:t xml:space="preserve"> for </w:t>
            </w:r>
            <w:r w:rsidR="006F427C" w:rsidRPr="00C40479">
              <w:rPr>
                <w:rFonts w:ascii="Public Sans" w:hAnsi="Public Sans" w:cs="Arial"/>
                <w:sz w:val="18"/>
                <w:szCs w:val="18"/>
              </w:rPr>
              <w:t>any reason.</w:t>
            </w:r>
          </w:p>
          <w:p w14:paraId="1A917E2C" w14:textId="135FEF47" w:rsidR="00644FD8" w:rsidRPr="00C40479" w:rsidRDefault="00466DA3">
            <w:pPr>
              <w:spacing w:before="80" w:after="80"/>
              <w:rPr>
                <w:rFonts w:ascii="Public Sans" w:hAnsi="Public Sans" w:cs="Arial"/>
                <w:sz w:val="18"/>
                <w:szCs w:val="18"/>
              </w:rPr>
            </w:pPr>
            <w:r w:rsidRPr="0085089B">
              <w:rPr>
                <w:rFonts w:ascii="Public Sans" w:hAnsi="Public Sans" w:cs="Arial"/>
                <w:sz w:val="18"/>
                <w:szCs w:val="18"/>
              </w:rPr>
              <w:t>T</w:t>
            </w:r>
            <w:r w:rsidR="009B4A5B" w:rsidRPr="00817D68">
              <w:rPr>
                <w:rFonts w:ascii="Public Sans" w:hAnsi="Public Sans" w:cs="Arial"/>
                <w:sz w:val="18"/>
                <w:szCs w:val="18"/>
              </w:rPr>
              <w:t xml:space="preserve">he </w:t>
            </w:r>
            <w:r w:rsidR="00AD4D5E" w:rsidRPr="0085089B">
              <w:rPr>
                <w:rFonts w:ascii="Public Sans" w:hAnsi="Public Sans" w:cs="Arial"/>
                <w:sz w:val="18"/>
                <w:szCs w:val="18"/>
              </w:rPr>
              <w:t>S</w:t>
            </w:r>
            <w:r w:rsidR="009B4A5B" w:rsidRPr="00817D68">
              <w:rPr>
                <w:rFonts w:ascii="Public Sans" w:hAnsi="Public Sans" w:cs="Arial"/>
                <w:sz w:val="18"/>
                <w:szCs w:val="18"/>
              </w:rPr>
              <w:t>tate is also liable to compensate NSW Ports, which owns Port Botany and Port Kembla, if the Port of Newcastle develops a competing container terminal</w:t>
            </w:r>
            <w:r w:rsidR="00FC3CC9">
              <w:rPr>
                <w:rFonts w:ascii="Public Sans" w:hAnsi="Public Sans" w:cs="Arial"/>
                <w:sz w:val="18"/>
                <w:szCs w:val="18"/>
              </w:rPr>
              <w:t xml:space="preserve"> </w:t>
            </w:r>
            <w:r w:rsidR="00FC3CC9" w:rsidRPr="00817D68">
              <w:rPr>
                <w:rFonts w:ascii="Public Sans" w:hAnsi="Public Sans" w:cs="Arial"/>
                <w:sz w:val="18"/>
                <w:szCs w:val="18"/>
              </w:rPr>
              <w:t>and certain contractual conditions are satisfied.</w:t>
            </w:r>
          </w:p>
        </w:tc>
      </w:tr>
      <w:bookmarkEnd w:id="0"/>
      <w:tr w:rsidR="00C40479" w:rsidRPr="00C40479" w14:paraId="304E91CD" w14:textId="77777777" w:rsidTr="00913F5D">
        <w:tc>
          <w:tcPr>
            <w:tcW w:w="3821" w:type="dxa"/>
            <w:tcBorders>
              <w:top w:val="single" w:sz="4" w:space="0" w:color="A6A6A6" w:themeColor="background1" w:themeShade="A6"/>
              <w:bottom w:val="single" w:sz="4" w:space="0" w:color="A6A6A6" w:themeColor="background1" w:themeShade="A6"/>
            </w:tcBorders>
          </w:tcPr>
          <w:p w14:paraId="702E7777" w14:textId="6680E361" w:rsidR="00F92EB1" w:rsidRPr="00C40479" w:rsidRDefault="00F92EB1">
            <w:pPr>
              <w:spacing w:before="80" w:after="80"/>
              <w:rPr>
                <w:rFonts w:ascii="Public Sans" w:hAnsi="Public Sans" w:cs="Arial"/>
                <w:sz w:val="18"/>
                <w:szCs w:val="18"/>
              </w:rPr>
            </w:pPr>
            <w:r w:rsidRPr="00C40479">
              <w:rPr>
                <w:rFonts w:ascii="Public Sans" w:hAnsi="Public Sans" w:cs="Arial"/>
                <w:sz w:val="18"/>
                <w:szCs w:val="18"/>
              </w:rPr>
              <w:t xml:space="preserve">Transactions related </w:t>
            </w:r>
            <w:r w:rsidRPr="00336E9A">
              <w:rPr>
                <w:rFonts w:ascii="Public Sans" w:hAnsi="Public Sans" w:cs="Arial"/>
                <w:sz w:val="18"/>
                <w:szCs w:val="18"/>
              </w:rPr>
              <w:t>to Sydney Ferries,</w:t>
            </w:r>
            <w:r w:rsidRPr="00C40479">
              <w:rPr>
                <w:rFonts w:ascii="Public Sans" w:hAnsi="Public Sans" w:cs="Arial"/>
                <w:sz w:val="18"/>
                <w:szCs w:val="18"/>
              </w:rPr>
              <w:t xml:space="preserve"> </w:t>
            </w:r>
            <w:proofErr w:type="spellStart"/>
            <w:r w:rsidRPr="00C40479">
              <w:rPr>
                <w:rFonts w:ascii="Public Sans" w:hAnsi="Public Sans" w:cs="Arial"/>
                <w:sz w:val="18"/>
                <w:szCs w:val="18"/>
              </w:rPr>
              <w:t>Eraring</w:t>
            </w:r>
            <w:proofErr w:type="spellEnd"/>
            <w:r w:rsidR="001733D1">
              <w:rPr>
                <w:rFonts w:ascii="Public Sans" w:hAnsi="Public Sans" w:cs="Arial"/>
                <w:sz w:val="18"/>
                <w:szCs w:val="18"/>
              </w:rPr>
              <w:t>, Vales Point</w:t>
            </w:r>
            <w:r w:rsidR="00F337EA">
              <w:rPr>
                <w:rFonts w:ascii="Public Sans" w:hAnsi="Public Sans" w:cs="Arial"/>
                <w:sz w:val="18"/>
                <w:szCs w:val="18"/>
              </w:rPr>
              <w:t>,</w:t>
            </w:r>
            <w:r w:rsidR="001733D1">
              <w:rPr>
                <w:rFonts w:ascii="Public Sans" w:hAnsi="Public Sans" w:cs="Arial"/>
                <w:sz w:val="18"/>
                <w:szCs w:val="18"/>
              </w:rPr>
              <w:t xml:space="preserve"> Macquarie Generation</w:t>
            </w:r>
            <w:r w:rsidRPr="00C40479">
              <w:rPr>
                <w:rFonts w:ascii="Public Sans" w:hAnsi="Public Sans" w:cs="Arial"/>
                <w:sz w:val="18"/>
                <w:szCs w:val="18"/>
              </w:rPr>
              <w:t xml:space="preserve"> and Delta West Power Stations</w:t>
            </w:r>
          </w:p>
        </w:tc>
        <w:tc>
          <w:tcPr>
            <w:tcW w:w="5811" w:type="dxa"/>
            <w:tcBorders>
              <w:top w:val="single" w:sz="4" w:space="0" w:color="A6A6A6" w:themeColor="background1" w:themeShade="A6"/>
              <w:bottom w:val="single" w:sz="4" w:space="0" w:color="A6A6A6" w:themeColor="background1" w:themeShade="A6"/>
            </w:tcBorders>
          </w:tcPr>
          <w:p w14:paraId="41A9F5FC" w14:textId="42C0D2D7" w:rsidR="00F92EB1" w:rsidRPr="00C40479" w:rsidRDefault="00F92EB1">
            <w:pPr>
              <w:spacing w:before="80" w:after="80"/>
              <w:rPr>
                <w:rFonts w:ascii="Public Sans" w:hAnsi="Public Sans" w:cs="Arial"/>
                <w:sz w:val="18"/>
                <w:szCs w:val="18"/>
              </w:rPr>
            </w:pPr>
            <w:r w:rsidRPr="00C40479">
              <w:rPr>
                <w:rFonts w:ascii="Public Sans" w:hAnsi="Public Sans" w:cs="Arial"/>
                <w:sz w:val="18"/>
                <w:szCs w:val="18"/>
              </w:rPr>
              <w:t>The State bears the risk of employer’s superannuation guarantee contributions being insufficient to fund the defined employee benefits for certain ex-public sector employees. Indemnities have also been provided to the private sector employer in respect of certain losses suffered.</w:t>
            </w:r>
          </w:p>
        </w:tc>
      </w:tr>
      <w:tr w:rsidR="00C40479" w:rsidRPr="00C40479" w14:paraId="38F80978" w14:textId="77777777" w:rsidTr="00913F5D">
        <w:tc>
          <w:tcPr>
            <w:tcW w:w="3821" w:type="dxa"/>
            <w:tcBorders>
              <w:top w:val="single" w:sz="4" w:space="0" w:color="A6A6A6" w:themeColor="background1" w:themeShade="A6"/>
              <w:bottom w:val="single" w:sz="4" w:space="0" w:color="auto"/>
            </w:tcBorders>
          </w:tcPr>
          <w:p w14:paraId="513C235D" w14:textId="77777777" w:rsidR="00F92EB1" w:rsidRPr="00CC7CBD" w:rsidRDefault="00F92EB1">
            <w:pPr>
              <w:spacing w:before="80" w:after="80"/>
              <w:rPr>
                <w:rFonts w:ascii="Public Sans" w:hAnsi="Public Sans" w:cs="Arial"/>
                <w:sz w:val="18"/>
                <w:szCs w:val="18"/>
              </w:rPr>
            </w:pPr>
            <w:r w:rsidRPr="00CC7CBD">
              <w:rPr>
                <w:rFonts w:ascii="Public Sans" w:hAnsi="Public Sans" w:cs="Arial"/>
                <w:sz w:val="18"/>
                <w:szCs w:val="18"/>
              </w:rPr>
              <w:t xml:space="preserve">Transactions related to the lease of </w:t>
            </w:r>
            <w:proofErr w:type="spellStart"/>
            <w:r w:rsidRPr="00CC7CBD">
              <w:rPr>
                <w:rFonts w:ascii="Public Sans" w:hAnsi="Public Sans" w:cs="Arial"/>
                <w:sz w:val="18"/>
                <w:szCs w:val="18"/>
              </w:rPr>
              <w:t>TransGrid</w:t>
            </w:r>
            <w:proofErr w:type="spellEnd"/>
            <w:r w:rsidRPr="00CC7CBD">
              <w:rPr>
                <w:rFonts w:ascii="Public Sans" w:hAnsi="Public Sans" w:cs="Arial"/>
                <w:sz w:val="18"/>
                <w:szCs w:val="18"/>
              </w:rPr>
              <w:t>, Ausgrid and Endeavour Energy</w:t>
            </w:r>
          </w:p>
        </w:tc>
        <w:tc>
          <w:tcPr>
            <w:tcW w:w="5811" w:type="dxa"/>
            <w:tcBorders>
              <w:top w:val="single" w:sz="4" w:space="0" w:color="A6A6A6" w:themeColor="background1" w:themeShade="A6"/>
              <w:bottom w:val="single" w:sz="4" w:space="0" w:color="auto"/>
            </w:tcBorders>
          </w:tcPr>
          <w:p w14:paraId="0B2581FA" w14:textId="77777777" w:rsidR="00F92EB1" w:rsidRPr="00CC7CBD" w:rsidRDefault="00F92EB1">
            <w:pPr>
              <w:spacing w:before="80" w:after="80"/>
              <w:rPr>
                <w:rFonts w:ascii="Public Sans" w:hAnsi="Public Sans" w:cs="Arial"/>
                <w:sz w:val="18"/>
                <w:szCs w:val="18"/>
              </w:rPr>
            </w:pPr>
            <w:r w:rsidRPr="00CC7CBD">
              <w:rPr>
                <w:rFonts w:ascii="Public Sans" w:hAnsi="Public Sans" w:cs="Arial"/>
                <w:sz w:val="18"/>
                <w:szCs w:val="18"/>
              </w:rPr>
              <w:t>General warranties and Deed of Indemnity.</w:t>
            </w:r>
          </w:p>
        </w:tc>
      </w:tr>
    </w:tbl>
    <w:p w14:paraId="76892F29" w14:textId="2BBB8CF0" w:rsidR="00B1779E" w:rsidRDefault="00A40E21" w:rsidP="00A40E21">
      <w:pPr>
        <w:pStyle w:val="BodyText"/>
        <w:tabs>
          <w:tab w:val="left" w:pos="8801"/>
        </w:tabs>
        <w:rPr>
          <w:rFonts w:eastAsiaTheme="minorEastAsia"/>
        </w:rPr>
      </w:pPr>
      <w:r>
        <w:rPr>
          <w:rFonts w:eastAsiaTheme="minorEastAsia"/>
        </w:rPr>
        <w:tab/>
      </w:r>
    </w:p>
    <w:p w14:paraId="2EE9B713" w14:textId="51E8312A" w:rsidR="00FB620B" w:rsidRDefault="00FB620B">
      <w:pPr>
        <w:rPr>
          <w:rFonts w:ascii="Public Sans" w:eastAsiaTheme="minorEastAsia" w:hAnsi="Public Sans" w:cs="Arial"/>
          <w:sz w:val="22"/>
          <w:lang w:val="en-AU"/>
        </w:rPr>
      </w:pPr>
      <w:r>
        <w:rPr>
          <w:rFonts w:eastAsiaTheme="minorEastAsia"/>
        </w:rPr>
        <w:br w:type="page"/>
      </w:r>
    </w:p>
    <w:p w14:paraId="1A30CADA" w14:textId="24CA35D4" w:rsidR="002C6F0C" w:rsidRPr="0085089B" w:rsidRDefault="001F40AF" w:rsidP="0060253C">
      <w:pPr>
        <w:pStyle w:val="BodyText"/>
        <w:rPr>
          <w:rFonts w:eastAsiaTheme="minorEastAsia"/>
        </w:rPr>
      </w:pPr>
      <w:r w:rsidRPr="0085089B">
        <w:rPr>
          <w:rFonts w:eastAsiaTheme="minorEastAsia"/>
        </w:rPr>
        <w:lastRenderedPageBreak/>
        <w:t xml:space="preserve">The general government sector also has non-quantifiable contingent liabilities relating to various </w:t>
      </w:r>
      <w:r w:rsidR="00C4622C" w:rsidRPr="0085089B">
        <w:rPr>
          <w:rFonts w:eastAsiaTheme="minorEastAsia"/>
        </w:rPr>
        <w:t xml:space="preserve">other </w:t>
      </w:r>
      <w:r w:rsidRPr="0085089B">
        <w:rPr>
          <w:rFonts w:eastAsiaTheme="minorEastAsia"/>
        </w:rPr>
        <w:t>matters, as set out below in Table C.5.</w:t>
      </w:r>
    </w:p>
    <w:p w14:paraId="634FD169" w14:textId="77777777" w:rsidR="00F92EB1" w:rsidRDefault="00F92EB1" w:rsidP="002C6F0C">
      <w:pPr>
        <w:pStyle w:val="TableCX"/>
      </w:pPr>
      <w:r w:rsidRPr="00E66B59">
        <w:t>Other non-quantifiable contingent liabilities</w:t>
      </w:r>
    </w:p>
    <w:tbl>
      <w:tblPr>
        <w:tblStyle w:val="TableGrid0"/>
        <w:tblW w:w="9634" w:type="dxa"/>
        <w:tblBorders>
          <w:top w:val="none" w:sz="0" w:space="0" w:color="auto"/>
          <w:left w:val="none" w:sz="0" w:space="0" w:color="auto"/>
          <w:bottom w:val="none" w:sz="0" w:space="0" w:color="auto"/>
          <w:right w:val="none" w:sz="0" w:space="0" w:color="auto"/>
          <w:insideH w:val="single" w:sz="4" w:space="0" w:color="A6A6A6" w:themeColor="background1" w:themeShade="A6"/>
          <w:insideV w:val="none" w:sz="0" w:space="0" w:color="auto"/>
        </w:tblBorders>
        <w:tblLook w:val="04A0" w:firstRow="1" w:lastRow="0" w:firstColumn="1" w:lastColumn="0" w:noHBand="0" w:noVBand="1"/>
        <w:tblCaption w:val="Table C.5: Other non-quantifiable contingent liabilities"/>
        <w:tblDescription w:val="Table C.5: Other non-quantifiable contingent liabilities"/>
      </w:tblPr>
      <w:tblGrid>
        <w:gridCol w:w="3823"/>
        <w:gridCol w:w="5811"/>
      </w:tblGrid>
      <w:tr w:rsidR="00C40479" w:rsidRPr="00C40479" w14:paraId="433C8230" w14:textId="77777777" w:rsidTr="00B95530">
        <w:trPr>
          <w:tblHeader/>
        </w:trPr>
        <w:tc>
          <w:tcPr>
            <w:tcW w:w="3823" w:type="dxa"/>
            <w:tcBorders>
              <w:top w:val="nil"/>
              <w:bottom w:val="nil"/>
            </w:tcBorders>
            <w:shd w:val="clear" w:color="auto" w:fill="EBEBEB"/>
            <w:vAlign w:val="center"/>
          </w:tcPr>
          <w:p w14:paraId="0821835D" w14:textId="77777777" w:rsidR="00F92EB1" w:rsidRPr="00C40479" w:rsidRDefault="00F92EB1" w:rsidP="0085089B">
            <w:pPr>
              <w:spacing w:before="120" w:after="120"/>
              <w:rPr>
                <w:rFonts w:ascii="Public Sans" w:hAnsi="Public Sans" w:cs="Arial"/>
                <w:bCs/>
                <w:sz w:val="18"/>
                <w:szCs w:val="18"/>
              </w:rPr>
            </w:pPr>
            <w:r w:rsidRPr="00C40479">
              <w:rPr>
                <w:rFonts w:ascii="Public Sans" w:hAnsi="Public Sans" w:cs="Arial"/>
                <w:bCs/>
                <w:sz w:val="18"/>
                <w:szCs w:val="18"/>
              </w:rPr>
              <w:t>Contingent liabilities</w:t>
            </w:r>
          </w:p>
        </w:tc>
        <w:tc>
          <w:tcPr>
            <w:tcW w:w="5811" w:type="dxa"/>
            <w:tcBorders>
              <w:top w:val="nil"/>
              <w:bottom w:val="nil"/>
            </w:tcBorders>
            <w:shd w:val="clear" w:color="auto" w:fill="EBEBEB"/>
            <w:vAlign w:val="center"/>
          </w:tcPr>
          <w:p w14:paraId="08B92E93" w14:textId="77777777" w:rsidR="00F92EB1" w:rsidRPr="00C40479" w:rsidRDefault="00F92EB1">
            <w:pPr>
              <w:spacing w:before="120" w:after="120"/>
              <w:rPr>
                <w:rFonts w:ascii="Public Sans" w:hAnsi="Public Sans" w:cs="Arial"/>
                <w:bCs/>
                <w:sz w:val="18"/>
                <w:szCs w:val="18"/>
              </w:rPr>
            </w:pPr>
            <w:r w:rsidRPr="00C40479">
              <w:rPr>
                <w:rFonts w:ascii="Public Sans" w:hAnsi="Public Sans" w:cs="Arial"/>
                <w:bCs/>
                <w:sz w:val="18"/>
                <w:szCs w:val="18"/>
              </w:rPr>
              <w:t>Nature of the contingent liabilities</w:t>
            </w:r>
          </w:p>
        </w:tc>
      </w:tr>
      <w:tr w:rsidR="00C40479" w:rsidRPr="00C40479" w14:paraId="6DDA96D5" w14:textId="77777777" w:rsidTr="00B95530">
        <w:tc>
          <w:tcPr>
            <w:tcW w:w="3823" w:type="dxa"/>
            <w:tcBorders>
              <w:top w:val="nil"/>
              <w:bottom w:val="single" w:sz="4" w:space="0" w:color="A6A6A6" w:themeColor="background1" w:themeShade="A6"/>
            </w:tcBorders>
          </w:tcPr>
          <w:p w14:paraId="035B3B8A" w14:textId="77777777" w:rsidR="00F92EB1" w:rsidRPr="00C40479" w:rsidRDefault="00F92EB1">
            <w:pPr>
              <w:spacing w:before="60" w:after="60"/>
              <w:rPr>
                <w:rFonts w:ascii="Public Sans" w:hAnsi="Public Sans" w:cs="Arial"/>
                <w:sz w:val="18"/>
                <w:szCs w:val="18"/>
              </w:rPr>
            </w:pPr>
            <w:r w:rsidRPr="00C40479">
              <w:rPr>
                <w:rFonts w:ascii="Public Sans" w:hAnsi="Public Sans" w:cs="Arial"/>
                <w:sz w:val="18"/>
                <w:szCs w:val="18"/>
              </w:rPr>
              <w:t>Native Title</w:t>
            </w:r>
          </w:p>
        </w:tc>
        <w:tc>
          <w:tcPr>
            <w:tcW w:w="5811" w:type="dxa"/>
            <w:tcBorders>
              <w:top w:val="nil"/>
              <w:bottom w:val="single" w:sz="4" w:space="0" w:color="A6A6A6" w:themeColor="background1" w:themeShade="A6"/>
            </w:tcBorders>
            <w:vAlign w:val="center"/>
          </w:tcPr>
          <w:p w14:paraId="5E07D747" w14:textId="77777777" w:rsidR="00F92EB1" w:rsidRPr="00C40479" w:rsidRDefault="00F92EB1">
            <w:pPr>
              <w:spacing w:before="60" w:after="60"/>
              <w:rPr>
                <w:rFonts w:ascii="Public Sans" w:hAnsi="Public Sans" w:cs="Arial"/>
                <w:sz w:val="18"/>
                <w:szCs w:val="18"/>
              </w:rPr>
            </w:pPr>
            <w:r w:rsidRPr="00C40479">
              <w:rPr>
                <w:rFonts w:ascii="Public Sans" w:hAnsi="Public Sans" w:cs="Arial"/>
                <w:sz w:val="18"/>
                <w:szCs w:val="18"/>
              </w:rPr>
              <w:t xml:space="preserve">Contingent liabilities in respect to Native Title, under both the </w:t>
            </w:r>
            <w:r w:rsidRPr="00C40479">
              <w:rPr>
                <w:rFonts w:ascii="Public Sans" w:hAnsi="Public Sans" w:cs="Arial"/>
                <w:i/>
                <w:sz w:val="18"/>
                <w:szCs w:val="18"/>
              </w:rPr>
              <w:t>Native Title Act 1993 (</w:t>
            </w:r>
            <w:proofErr w:type="spellStart"/>
            <w:r w:rsidRPr="00C40479">
              <w:rPr>
                <w:rFonts w:ascii="Public Sans" w:hAnsi="Public Sans" w:cs="Arial"/>
                <w:i/>
                <w:sz w:val="18"/>
                <w:szCs w:val="18"/>
              </w:rPr>
              <w:t>Cth</w:t>
            </w:r>
            <w:proofErr w:type="spellEnd"/>
            <w:r w:rsidRPr="00C40479">
              <w:rPr>
                <w:rFonts w:ascii="Public Sans" w:hAnsi="Public Sans" w:cs="Arial"/>
                <w:i/>
                <w:sz w:val="18"/>
                <w:szCs w:val="18"/>
              </w:rPr>
              <w:t>)</w:t>
            </w:r>
            <w:r w:rsidRPr="00C40479">
              <w:rPr>
                <w:rFonts w:ascii="Public Sans" w:hAnsi="Public Sans" w:cs="Arial"/>
                <w:sz w:val="18"/>
                <w:szCs w:val="18"/>
              </w:rPr>
              <w:t xml:space="preserve"> and the </w:t>
            </w:r>
            <w:r w:rsidRPr="00C40479">
              <w:rPr>
                <w:rFonts w:ascii="Public Sans" w:hAnsi="Public Sans" w:cs="Arial"/>
                <w:i/>
                <w:sz w:val="18"/>
                <w:szCs w:val="18"/>
              </w:rPr>
              <w:t>Native Title (New South Wales) Act 1994</w:t>
            </w:r>
            <w:r w:rsidRPr="00C40479">
              <w:rPr>
                <w:rFonts w:ascii="Public Sans" w:hAnsi="Public Sans" w:cs="Arial"/>
                <w:sz w:val="18"/>
                <w:szCs w:val="18"/>
              </w:rPr>
              <w:t xml:space="preserve">. </w:t>
            </w:r>
          </w:p>
        </w:tc>
      </w:tr>
      <w:tr w:rsidR="00C40479" w:rsidRPr="00C40479" w14:paraId="591501B6" w14:textId="77777777" w:rsidTr="00B95530">
        <w:tc>
          <w:tcPr>
            <w:tcW w:w="3823" w:type="dxa"/>
            <w:tcBorders>
              <w:top w:val="single" w:sz="4" w:space="0" w:color="A6A6A6" w:themeColor="background1" w:themeShade="A6"/>
              <w:bottom w:val="single" w:sz="4" w:space="0" w:color="A6A6A6" w:themeColor="background1" w:themeShade="A6"/>
            </w:tcBorders>
          </w:tcPr>
          <w:p w14:paraId="75D953A0" w14:textId="77777777" w:rsidR="00F92EB1" w:rsidRPr="00C40479" w:rsidRDefault="00F92EB1">
            <w:pPr>
              <w:spacing w:before="60" w:after="60"/>
              <w:rPr>
                <w:rFonts w:ascii="Public Sans" w:hAnsi="Public Sans" w:cs="Arial"/>
                <w:sz w:val="18"/>
                <w:szCs w:val="18"/>
              </w:rPr>
            </w:pPr>
            <w:r w:rsidRPr="00C40479">
              <w:rPr>
                <w:rFonts w:ascii="Public Sans" w:hAnsi="Public Sans" w:cs="Arial"/>
                <w:sz w:val="18"/>
                <w:szCs w:val="18"/>
              </w:rPr>
              <w:t>Aboriginal Land claims</w:t>
            </w:r>
          </w:p>
        </w:tc>
        <w:tc>
          <w:tcPr>
            <w:tcW w:w="5811" w:type="dxa"/>
            <w:tcBorders>
              <w:top w:val="single" w:sz="4" w:space="0" w:color="A6A6A6" w:themeColor="background1" w:themeShade="A6"/>
              <w:bottom w:val="single" w:sz="4" w:space="0" w:color="A6A6A6" w:themeColor="background1" w:themeShade="A6"/>
            </w:tcBorders>
            <w:vAlign w:val="center"/>
          </w:tcPr>
          <w:p w14:paraId="2D6A10D8" w14:textId="7C7C27A7" w:rsidR="00F92EB1" w:rsidRPr="00C40479" w:rsidRDefault="00F92EB1">
            <w:pPr>
              <w:spacing w:before="60" w:after="60"/>
              <w:rPr>
                <w:rFonts w:ascii="Public Sans" w:hAnsi="Public Sans" w:cs="Arial"/>
                <w:sz w:val="18"/>
                <w:szCs w:val="18"/>
              </w:rPr>
            </w:pPr>
            <w:r w:rsidRPr="00C40479">
              <w:rPr>
                <w:rFonts w:ascii="Public Sans" w:hAnsi="Public Sans" w:cs="Arial"/>
                <w:sz w:val="18"/>
                <w:szCs w:val="18"/>
              </w:rPr>
              <w:t xml:space="preserve">Assets in the form of reserved Crown land may be reduced in value from applications made under the </w:t>
            </w:r>
            <w:r w:rsidRPr="00C40479">
              <w:rPr>
                <w:rFonts w:ascii="Public Sans" w:hAnsi="Public Sans" w:cs="Arial"/>
                <w:i/>
                <w:sz w:val="18"/>
                <w:szCs w:val="18"/>
              </w:rPr>
              <w:t>Aboriginal Land Rights Act 1983</w:t>
            </w:r>
            <w:r w:rsidRPr="00C40479">
              <w:rPr>
                <w:rFonts w:ascii="Public Sans" w:hAnsi="Public Sans" w:cs="Arial"/>
                <w:sz w:val="18"/>
                <w:szCs w:val="18"/>
              </w:rPr>
              <w:t>.</w:t>
            </w:r>
          </w:p>
        </w:tc>
      </w:tr>
      <w:tr w:rsidR="00C40479" w:rsidRPr="00C40479" w14:paraId="6B8CDA3D" w14:textId="77777777" w:rsidTr="00B95530">
        <w:tc>
          <w:tcPr>
            <w:tcW w:w="3823" w:type="dxa"/>
            <w:tcBorders>
              <w:top w:val="single" w:sz="4" w:space="0" w:color="A6A6A6" w:themeColor="background1" w:themeShade="A6"/>
              <w:bottom w:val="single" w:sz="4" w:space="0" w:color="A6A6A6" w:themeColor="background1" w:themeShade="A6"/>
            </w:tcBorders>
          </w:tcPr>
          <w:p w14:paraId="22EDD7B9" w14:textId="0241EF3E" w:rsidR="00F92EB1" w:rsidRPr="00C40479" w:rsidRDefault="00F92EB1">
            <w:pPr>
              <w:spacing w:before="60" w:after="60"/>
              <w:rPr>
                <w:rFonts w:ascii="Public Sans" w:hAnsi="Public Sans" w:cs="Arial"/>
                <w:sz w:val="18"/>
                <w:szCs w:val="18"/>
              </w:rPr>
            </w:pPr>
            <w:r w:rsidRPr="00C40479">
              <w:rPr>
                <w:rFonts w:ascii="Public Sans" w:hAnsi="Public Sans" w:cs="Arial"/>
                <w:sz w:val="18"/>
                <w:szCs w:val="18"/>
              </w:rPr>
              <w:t>Contaminated land</w:t>
            </w:r>
            <w:r w:rsidR="005E7D02">
              <w:rPr>
                <w:rFonts w:ascii="Public Sans" w:hAnsi="Public Sans" w:cs="Arial"/>
                <w:sz w:val="18"/>
                <w:szCs w:val="18"/>
              </w:rPr>
              <w:t>,</w:t>
            </w:r>
            <w:r w:rsidR="00674EA1">
              <w:rPr>
                <w:rFonts w:ascii="Public Sans" w:hAnsi="Public Sans" w:cs="Arial"/>
                <w:sz w:val="18"/>
                <w:szCs w:val="18"/>
              </w:rPr>
              <w:t xml:space="preserve"> </w:t>
            </w:r>
            <w:proofErr w:type="gramStart"/>
            <w:r w:rsidR="00243F31" w:rsidRPr="00C40479">
              <w:rPr>
                <w:rFonts w:ascii="Public Sans" w:hAnsi="Public Sans" w:cs="Arial"/>
                <w:sz w:val="18"/>
                <w:szCs w:val="18"/>
              </w:rPr>
              <w:t>buildings</w:t>
            </w:r>
            <w:proofErr w:type="gramEnd"/>
            <w:r w:rsidR="005E7D02">
              <w:rPr>
                <w:rFonts w:ascii="Public Sans" w:hAnsi="Public Sans" w:cs="Arial"/>
                <w:sz w:val="18"/>
                <w:szCs w:val="18"/>
              </w:rPr>
              <w:t xml:space="preserve"> and infrastructure</w:t>
            </w:r>
          </w:p>
        </w:tc>
        <w:tc>
          <w:tcPr>
            <w:tcW w:w="5811" w:type="dxa"/>
            <w:tcBorders>
              <w:top w:val="single" w:sz="4" w:space="0" w:color="A6A6A6" w:themeColor="background1" w:themeShade="A6"/>
              <w:bottom w:val="single" w:sz="4" w:space="0" w:color="A6A6A6" w:themeColor="background1" w:themeShade="A6"/>
            </w:tcBorders>
            <w:vAlign w:val="center"/>
          </w:tcPr>
          <w:p w14:paraId="1979AA74" w14:textId="79C7C0BD" w:rsidR="00F92EB1" w:rsidRPr="00C40479" w:rsidRDefault="00F92EB1">
            <w:pPr>
              <w:spacing w:before="60" w:after="60"/>
              <w:rPr>
                <w:rFonts w:ascii="Public Sans" w:hAnsi="Public Sans" w:cs="Arial"/>
                <w:sz w:val="18"/>
                <w:szCs w:val="18"/>
              </w:rPr>
            </w:pPr>
            <w:proofErr w:type="gramStart"/>
            <w:r w:rsidRPr="00C40479">
              <w:rPr>
                <w:rFonts w:ascii="Public Sans" w:hAnsi="Public Sans" w:cs="Arial"/>
                <w:sz w:val="18"/>
                <w:szCs w:val="18"/>
              </w:rPr>
              <w:t>A number of</w:t>
            </w:r>
            <w:proofErr w:type="gramEnd"/>
            <w:r w:rsidRPr="00C40479">
              <w:rPr>
                <w:rFonts w:ascii="Public Sans" w:hAnsi="Public Sans" w:cs="Arial"/>
                <w:sz w:val="18"/>
                <w:szCs w:val="18"/>
              </w:rPr>
              <w:t xml:space="preserve"> Crown land sites</w:t>
            </w:r>
            <w:r w:rsidR="00F12284">
              <w:rPr>
                <w:rFonts w:ascii="Public Sans" w:hAnsi="Public Sans" w:cs="Arial"/>
                <w:sz w:val="18"/>
                <w:szCs w:val="18"/>
              </w:rPr>
              <w:t>, buildings and infrastructure</w:t>
            </w:r>
            <w:r w:rsidRPr="00C40479">
              <w:rPr>
                <w:rFonts w:ascii="Public Sans" w:hAnsi="Public Sans" w:cs="Arial"/>
                <w:sz w:val="18"/>
                <w:szCs w:val="18"/>
              </w:rPr>
              <w:t xml:space="preserve"> in the State ha</w:t>
            </w:r>
            <w:r w:rsidR="00621189">
              <w:rPr>
                <w:rFonts w:ascii="Public Sans" w:hAnsi="Public Sans" w:cs="Arial"/>
                <w:sz w:val="18"/>
                <w:szCs w:val="18"/>
              </w:rPr>
              <w:t>ve</w:t>
            </w:r>
            <w:r w:rsidRPr="00C40479">
              <w:rPr>
                <w:rFonts w:ascii="Public Sans" w:hAnsi="Public Sans" w:cs="Arial"/>
                <w:sz w:val="18"/>
                <w:szCs w:val="18"/>
              </w:rPr>
              <w:t xml:space="preserve"> been assessed as being potentially contaminated and needing remediation. Most are subject to preliminary site investigations or clean up works which might not incur a financial liability.</w:t>
            </w:r>
          </w:p>
        </w:tc>
      </w:tr>
      <w:tr w:rsidR="007122E2" w:rsidRPr="00C40479" w14:paraId="1F519EF5" w14:textId="77777777" w:rsidTr="00B95530">
        <w:tc>
          <w:tcPr>
            <w:tcW w:w="3823" w:type="dxa"/>
            <w:tcBorders>
              <w:top w:val="single" w:sz="4" w:space="0" w:color="A6A6A6" w:themeColor="background1" w:themeShade="A6"/>
              <w:bottom w:val="single" w:sz="4" w:space="0" w:color="A6A6A6" w:themeColor="background1" w:themeShade="A6"/>
            </w:tcBorders>
          </w:tcPr>
          <w:p w14:paraId="7C1670D2" w14:textId="317F6B94" w:rsidR="007122E2" w:rsidRPr="00C40479" w:rsidRDefault="00792312">
            <w:pPr>
              <w:spacing w:before="60" w:after="60"/>
              <w:rPr>
                <w:rFonts w:ascii="Public Sans" w:hAnsi="Public Sans" w:cs="Arial"/>
                <w:sz w:val="18"/>
                <w:szCs w:val="18"/>
              </w:rPr>
            </w:pPr>
            <w:r>
              <w:rPr>
                <w:rFonts w:ascii="Public Sans" w:hAnsi="Public Sans" w:cs="Arial"/>
                <w:sz w:val="18"/>
                <w:szCs w:val="18"/>
              </w:rPr>
              <w:t xml:space="preserve">Government wages offer: Cost of </w:t>
            </w:r>
            <w:r w:rsidR="001406F4">
              <w:rPr>
                <w:rFonts w:ascii="Public Sans" w:hAnsi="Public Sans" w:cs="Arial"/>
                <w:sz w:val="18"/>
                <w:szCs w:val="18"/>
              </w:rPr>
              <w:t>l</w:t>
            </w:r>
            <w:r>
              <w:rPr>
                <w:rFonts w:ascii="Public Sans" w:hAnsi="Public Sans" w:cs="Arial"/>
                <w:sz w:val="18"/>
                <w:szCs w:val="18"/>
              </w:rPr>
              <w:t xml:space="preserve">iving </w:t>
            </w:r>
            <w:r w:rsidR="001406F4">
              <w:rPr>
                <w:rFonts w:ascii="Public Sans" w:hAnsi="Public Sans" w:cs="Arial"/>
                <w:sz w:val="18"/>
                <w:szCs w:val="18"/>
              </w:rPr>
              <w:t>a</w:t>
            </w:r>
            <w:r>
              <w:rPr>
                <w:rFonts w:ascii="Public Sans" w:hAnsi="Public Sans" w:cs="Arial"/>
                <w:sz w:val="18"/>
                <w:szCs w:val="18"/>
              </w:rPr>
              <w:t>djustment</w:t>
            </w:r>
          </w:p>
        </w:tc>
        <w:tc>
          <w:tcPr>
            <w:tcW w:w="5811" w:type="dxa"/>
            <w:tcBorders>
              <w:top w:val="single" w:sz="4" w:space="0" w:color="A6A6A6" w:themeColor="background1" w:themeShade="A6"/>
              <w:bottom w:val="single" w:sz="4" w:space="0" w:color="A6A6A6" w:themeColor="background1" w:themeShade="A6"/>
            </w:tcBorders>
            <w:vAlign w:val="center"/>
          </w:tcPr>
          <w:p w14:paraId="03F313F7" w14:textId="594BC9B7" w:rsidR="007122E2" w:rsidRPr="00C40479" w:rsidRDefault="00D834D0" w:rsidP="007122E2">
            <w:pPr>
              <w:spacing w:before="60" w:after="60"/>
              <w:rPr>
                <w:rFonts w:ascii="Public Sans" w:hAnsi="Public Sans" w:cs="Arial"/>
                <w:sz w:val="18"/>
                <w:szCs w:val="18"/>
              </w:rPr>
            </w:pPr>
            <w:r>
              <w:rPr>
                <w:rFonts w:ascii="Public Sans" w:hAnsi="Public Sans" w:cs="Arial"/>
                <w:sz w:val="18"/>
                <w:szCs w:val="18"/>
              </w:rPr>
              <w:t xml:space="preserve">The Government has made </w:t>
            </w:r>
            <w:proofErr w:type="gramStart"/>
            <w:r>
              <w:rPr>
                <w:rFonts w:ascii="Public Sans" w:hAnsi="Public Sans" w:cs="Arial"/>
                <w:sz w:val="18"/>
                <w:szCs w:val="18"/>
              </w:rPr>
              <w:t>a three-year wages</w:t>
            </w:r>
            <w:proofErr w:type="gramEnd"/>
            <w:r>
              <w:rPr>
                <w:rFonts w:ascii="Public Sans" w:hAnsi="Public Sans" w:cs="Arial"/>
                <w:sz w:val="18"/>
                <w:szCs w:val="18"/>
              </w:rPr>
              <w:t xml:space="preserve"> offer which includes a </w:t>
            </w:r>
            <w:r w:rsidRPr="007122E2">
              <w:rPr>
                <w:rFonts w:ascii="Public Sans" w:hAnsi="Public Sans" w:cs="Arial"/>
                <w:sz w:val="18"/>
                <w:szCs w:val="18"/>
              </w:rPr>
              <w:t>$1,000 taxable, one-off cost of living adjustment, plus superannuation</w:t>
            </w:r>
            <w:r w:rsidR="00D54690">
              <w:rPr>
                <w:rFonts w:ascii="Public Sans" w:hAnsi="Public Sans" w:cs="Arial"/>
                <w:sz w:val="18"/>
                <w:szCs w:val="18"/>
              </w:rPr>
              <w:t xml:space="preserve"> for public sector workers</w:t>
            </w:r>
            <w:r w:rsidR="00B3387D">
              <w:rPr>
                <w:rFonts w:ascii="Public Sans" w:hAnsi="Public Sans" w:cs="Arial"/>
                <w:sz w:val="18"/>
                <w:szCs w:val="18"/>
              </w:rPr>
              <w:t xml:space="preserve"> (excluding senior executive</w:t>
            </w:r>
            <w:r w:rsidR="00E37F1C">
              <w:rPr>
                <w:rFonts w:ascii="Public Sans" w:hAnsi="Public Sans" w:cs="Arial"/>
                <w:sz w:val="18"/>
                <w:szCs w:val="18"/>
              </w:rPr>
              <w:t>s</w:t>
            </w:r>
            <w:r w:rsidR="00B3387D">
              <w:rPr>
                <w:rFonts w:ascii="Public Sans" w:hAnsi="Public Sans" w:cs="Arial"/>
                <w:sz w:val="18"/>
                <w:szCs w:val="18"/>
              </w:rPr>
              <w:t>)</w:t>
            </w:r>
            <w:r>
              <w:rPr>
                <w:rFonts w:ascii="Public Sans" w:hAnsi="Public Sans" w:cs="Arial"/>
                <w:sz w:val="18"/>
                <w:szCs w:val="18"/>
              </w:rPr>
              <w:t>. This annual payment is</w:t>
            </w:r>
            <w:r w:rsidRPr="007122E2">
              <w:rPr>
                <w:rFonts w:ascii="Public Sans" w:hAnsi="Public Sans" w:cs="Arial"/>
                <w:sz w:val="18"/>
                <w:szCs w:val="18"/>
              </w:rPr>
              <w:t> conditional on the 12-month annual average Sydney Consumer Price Index rate exceeding 4.5</w:t>
            </w:r>
            <w:r w:rsidR="00DE2EBA">
              <w:rPr>
                <w:rFonts w:ascii="Public Sans" w:hAnsi="Public Sans" w:cs="Arial"/>
                <w:sz w:val="18"/>
                <w:szCs w:val="18"/>
              </w:rPr>
              <w:t> </w:t>
            </w:r>
            <w:r w:rsidRPr="007122E2">
              <w:rPr>
                <w:rFonts w:ascii="Public Sans" w:hAnsi="Public Sans" w:cs="Arial"/>
                <w:sz w:val="18"/>
                <w:szCs w:val="18"/>
              </w:rPr>
              <w:t xml:space="preserve">per cent in the year to the March quarter </w:t>
            </w:r>
            <w:r>
              <w:rPr>
                <w:rFonts w:ascii="Public Sans" w:hAnsi="Public Sans" w:cs="Arial"/>
                <w:sz w:val="18"/>
                <w:szCs w:val="18"/>
              </w:rPr>
              <w:t>(commencing March quarter</w:t>
            </w:r>
            <w:r w:rsidRPr="007122E2">
              <w:rPr>
                <w:rFonts w:ascii="Public Sans" w:hAnsi="Public Sans" w:cs="Arial"/>
                <w:sz w:val="18"/>
                <w:szCs w:val="18"/>
              </w:rPr>
              <w:t xml:space="preserve"> 2025</w:t>
            </w:r>
            <w:r>
              <w:rPr>
                <w:rFonts w:ascii="Public Sans" w:hAnsi="Public Sans" w:cs="Arial"/>
                <w:sz w:val="18"/>
                <w:szCs w:val="18"/>
              </w:rPr>
              <w:t xml:space="preserve">), and on the offer being accepted. The payment </w:t>
            </w:r>
            <w:r w:rsidRPr="007122E2">
              <w:rPr>
                <w:rFonts w:ascii="Public Sans" w:hAnsi="Public Sans" w:cs="Arial"/>
                <w:sz w:val="18"/>
                <w:szCs w:val="18"/>
              </w:rPr>
              <w:t>would be pro-rated for employees who do not work full time and</w:t>
            </w:r>
            <w:r>
              <w:rPr>
                <w:rFonts w:ascii="Public Sans" w:hAnsi="Public Sans" w:cs="Arial"/>
                <w:sz w:val="18"/>
                <w:szCs w:val="18"/>
              </w:rPr>
              <w:t>, if triggered,</w:t>
            </w:r>
            <w:r w:rsidRPr="007122E2">
              <w:rPr>
                <w:rFonts w:ascii="Public Sans" w:hAnsi="Public Sans" w:cs="Arial"/>
                <w:sz w:val="18"/>
                <w:szCs w:val="18"/>
              </w:rPr>
              <w:t xml:space="preserve"> </w:t>
            </w:r>
            <w:r w:rsidR="611CE1BB" w:rsidRPr="08424BDF">
              <w:rPr>
                <w:rFonts w:ascii="Public Sans" w:hAnsi="Public Sans" w:cs="Arial"/>
                <w:sz w:val="18"/>
                <w:szCs w:val="18"/>
              </w:rPr>
              <w:t>w</w:t>
            </w:r>
            <w:r w:rsidR="00B4793B">
              <w:rPr>
                <w:rFonts w:ascii="Public Sans" w:hAnsi="Public Sans" w:cs="Arial"/>
                <w:sz w:val="18"/>
                <w:szCs w:val="18"/>
              </w:rPr>
              <w:t>ould</w:t>
            </w:r>
            <w:r w:rsidRPr="007122E2">
              <w:rPr>
                <w:rFonts w:ascii="Public Sans" w:hAnsi="Public Sans" w:cs="Arial"/>
                <w:sz w:val="18"/>
                <w:szCs w:val="18"/>
              </w:rPr>
              <w:t xml:space="preserve"> be paid in July</w:t>
            </w:r>
            <w:r w:rsidR="006E1BD3">
              <w:rPr>
                <w:rFonts w:ascii="Public Sans" w:hAnsi="Public Sans" w:cs="Arial"/>
                <w:sz w:val="18"/>
                <w:szCs w:val="18"/>
              </w:rPr>
              <w:t xml:space="preserve"> of the relevant year</w:t>
            </w:r>
            <w:r w:rsidR="00B4793B">
              <w:rPr>
                <w:rFonts w:ascii="Public Sans" w:hAnsi="Public Sans" w:cs="Arial"/>
                <w:sz w:val="18"/>
                <w:szCs w:val="18"/>
              </w:rPr>
              <w:t>.</w:t>
            </w:r>
          </w:p>
        </w:tc>
      </w:tr>
      <w:tr w:rsidR="00C40479" w:rsidRPr="00C40479" w14:paraId="0B0CB8A8" w14:textId="77777777" w:rsidTr="00B95530">
        <w:tc>
          <w:tcPr>
            <w:tcW w:w="3823" w:type="dxa"/>
            <w:tcBorders>
              <w:top w:val="single" w:sz="4" w:space="0" w:color="A6A6A6" w:themeColor="background1" w:themeShade="A6"/>
              <w:bottom w:val="single" w:sz="4" w:space="0" w:color="A6A6A6" w:themeColor="background1" w:themeShade="A6"/>
            </w:tcBorders>
          </w:tcPr>
          <w:p w14:paraId="159D358C" w14:textId="77777777" w:rsidR="00F92EB1" w:rsidRPr="00C40479" w:rsidRDefault="00F92EB1">
            <w:pPr>
              <w:spacing w:before="60" w:after="60"/>
              <w:rPr>
                <w:rFonts w:ascii="Public Sans" w:hAnsi="Public Sans" w:cs="Arial"/>
                <w:sz w:val="18"/>
                <w:szCs w:val="18"/>
              </w:rPr>
            </w:pPr>
            <w:r w:rsidRPr="00C40479">
              <w:rPr>
                <w:rFonts w:ascii="Public Sans" w:hAnsi="Public Sans" w:cs="Arial"/>
                <w:sz w:val="18"/>
                <w:szCs w:val="18"/>
              </w:rPr>
              <w:t xml:space="preserve">Other contaminated land </w:t>
            </w:r>
          </w:p>
        </w:tc>
        <w:tc>
          <w:tcPr>
            <w:tcW w:w="5811" w:type="dxa"/>
            <w:tcBorders>
              <w:top w:val="single" w:sz="4" w:space="0" w:color="A6A6A6" w:themeColor="background1" w:themeShade="A6"/>
              <w:bottom w:val="single" w:sz="4" w:space="0" w:color="A6A6A6" w:themeColor="background1" w:themeShade="A6"/>
            </w:tcBorders>
            <w:vAlign w:val="center"/>
          </w:tcPr>
          <w:p w14:paraId="4B1BF82D" w14:textId="73B5C5A6" w:rsidR="00F92EB1" w:rsidRPr="00C40479" w:rsidRDefault="00F92EB1">
            <w:pPr>
              <w:spacing w:before="60" w:after="60"/>
              <w:rPr>
                <w:rFonts w:ascii="Public Sans" w:hAnsi="Public Sans" w:cs="Arial"/>
                <w:sz w:val="18"/>
                <w:szCs w:val="18"/>
              </w:rPr>
            </w:pPr>
            <w:r w:rsidRPr="00C40479">
              <w:rPr>
                <w:rFonts w:ascii="Public Sans" w:hAnsi="Public Sans" w:cs="Arial"/>
                <w:sz w:val="18"/>
                <w:szCs w:val="18"/>
              </w:rPr>
              <w:t xml:space="preserve">The State has been made aware that soil and water sample tests have potentially elevated readings of </w:t>
            </w:r>
            <w:proofErr w:type="spellStart"/>
            <w:r w:rsidRPr="00C40479">
              <w:rPr>
                <w:rFonts w:ascii="Public Sans" w:hAnsi="Public Sans" w:cs="Arial"/>
                <w:sz w:val="18"/>
                <w:szCs w:val="18"/>
              </w:rPr>
              <w:t>perfluorooctane</w:t>
            </w:r>
            <w:proofErr w:type="spellEnd"/>
            <w:r w:rsidRPr="00C40479">
              <w:rPr>
                <w:rFonts w:ascii="Public Sans" w:hAnsi="Public Sans" w:cs="Arial"/>
                <w:sz w:val="18"/>
                <w:szCs w:val="18"/>
              </w:rPr>
              <w:t xml:space="preserve"> sulfonate and perfluorooctanoic acid at </w:t>
            </w:r>
            <w:proofErr w:type="gramStart"/>
            <w:r w:rsidRPr="00C40479">
              <w:rPr>
                <w:rFonts w:ascii="Public Sans" w:hAnsi="Public Sans" w:cs="Arial"/>
                <w:sz w:val="18"/>
                <w:szCs w:val="18"/>
              </w:rPr>
              <w:t>a number of</w:t>
            </w:r>
            <w:proofErr w:type="gramEnd"/>
            <w:r w:rsidRPr="00C40479">
              <w:rPr>
                <w:rFonts w:ascii="Public Sans" w:hAnsi="Public Sans" w:cs="Arial"/>
                <w:sz w:val="18"/>
                <w:szCs w:val="18"/>
              </w:rPr>
              <w:t xml:space="preserve"> State</w:t>
            </w:r>
            <w:r w:rsidRPr="00C40479">
              <w:rPr>
                <w:rFonts w:ascii="Public Sans" w:hAnsi="Public Sans" w:cs="Arial"/>
                <w:sz w:val="18"/>
                <w:szCs w:val="18"/>
              </w:rPr>
              <w:noBreakHyphen/>
              <w:t>owned land sites. The State is insured for any remediation work that may be required. The final remediation costs of the impacted properties remain uncertain.</w:t>
            </w:r>
          </w:p>
        </w:tc>
      </w:tr>
      <w:tr w:rsidR="00C40479" w:rsidRPr="00C40479" w14:paraId="04ECCA59" w14:textId="77777777" w:rsidTr="00B95530">
        <w:tc>
          <w:tcPr>
            <w:tcW w:w="3823" w:type="dxa"/>
            <w:tcBorders>
              <w:top w:val="single" w:sz="4" w:space="0" w:color="A6A6A6" w:themeColor="background1" w:themeShade="A6"/>
              <w:bottom w:val="single" w:sz="4" w:space="0" w:color="A6A6A6" w:themeColor="background1" w:themeShade="A6"/>
            </w:tcBorders>
          </w:tcPr>
          <w:p w14:paraId="16B2A4A2" w14:textId="71A8AD7B" w:rsidR="00EF7520" w:rsidRPr="00C40479" w:rsidRDefault="00EF7520">
            <w:pPr>
              <w:spacing w:before="60" w:after="60"/>
              <w:rPr>
                <w:rFonts w:ascii="Public Sans" w:hAnsi="Public Sans" w:cs="Arial"/>
                <w:sz w:val="18"/>
                <w:szCs w:val="18"/>
              </w:rPr>
            </w:pPr>
            <w:r w:rsidRPr="00C40479">
              <w:rPr>
                <w:rFonts w:ascii="Public Sans" w:hAnsi="Public Sans" w:cs="Arial"/>
                <w:sz w:val="18"/>
                <w:szCs w:val="18"/>
              </w:rPr>
              <w:t xml:space="preserve">Other </w:t>
            </w:r>
            <w:r w:rsidR="001A7F73" w:rsidRPr="00C40479">
              <w:rPr>
                <w:rFonts w:ascii="Public Sans" w:hAnsi="Public Sans" w:cs="Arial"/>
                <w:sz w:val="18"/>
                <w:szCs w:val="18"/>
              </w:rPr>
              <w:t xml:space="preserve">land </w:t>
            </w:r>
            <w:r w:rsidRPr="00C40479">
              <w:rPr>
                <w:rFonts w:ascii="Public Sans" w:hAnsi="Public Sans" w:cs="Arial"/>
                <w:sz w:val="18"/>
                <w:szCs w:val="18"/>
              </w:rPr>
              <w:t xml:space="preserve">remediation </w:t>
            </w:r>
            <w:r w:rsidR="00DD1B23" w:rsidRPr="00C40479">
              <w:rPr>
                <w:rFonts w:ascii="Public Sans" w:hAnsi="Public Sans" w:cs="Arial"/>
                <w:sz w:val="18"/>
                <w:szCs w:val="18"/>
              </w:rPr>
              <w:t>and rehabilitation works</w:t>
            </w:r>
          </w:p>
        </w:tc>
        <w:tc>
          <w:tcPr>
            <w:tcW w:w="5811" w:type="dxa"/>
            <w:tcBorders>
              <w:top w:val="single" w:sz="4" w:space="0" w:color="A6A6A6" w:themeColor="background1" w:themeShade="A6"/>
              <w:bottom w:val="single" w:sz="4" w:space="0" w:color="A6A6A6" w:themeColor="background1" w:themeShade="A6"/>
            </w:tcBorders>
            <w:vAlign w:val="center"/>
          </w:tcPr>
          <w:p w14:paraId="5E628748" w14:textId="64790F93" w:rsidR="00EF7520" w:rsidRPr="00C40479" w:rsidRDefault="00930729">
            <w:pPr>
              <w:spacing w:before="60" w:after="60"/>
              <w:rPr>
                <w:rFonts w:ascii="Public Sans" w:hAnsi="Public Sans" w:cs="Arial"/>
                <w:sz w:val="18"/>
                <w:szCs w:val="18"/>
              </w:rPr>
            </w:pPr>
            <w:r w:rsidRPr="00C40479">
              <w:rPr>
                <w:rFonts w:ascii="Public Sans" w:hAnsi="Public Sans" w:cs="Arial"/>
                <w:sz w:val="18"/>
                <w:szCs w:val="18"/>
              </w:rPr>
              <w:t>State agencies and corporations may be obligated to pay for remedi</w:t>
            </w:r>
            <w:r w:rsidR="007840F3" w:rsidRPr="00C40479">
              <w:rPr>
                <w:rFonts w:ascii="Public Sans" w:hAnsi="Public Sans" w:cs="Arial"/>
                <w:sz w:val="18"/>
                <w:szCs w:val="18"/>
              </w:rPr>
              <w:t>ation costs associate</w:t>
            </w:r>
            <w:r w:rsidR="007B2E43" w:rsidRPr="00C40479">
              <w:rPr>
                <w:rFonts w:ascii="Public Sans" w:hAnsi="Public Sans" w:cs="Arial"/>
                <w:sz w:val="18"/>
                <w:szCs w:val="18"/>
              </w:rPr>
              <w:t>d</w:t>
            </w:r>
            <w:r w:rsidR="007840F3" w:rsidRPr="00C40479">
              <w:rPr>
                <w:rFonts w:ascii="Public Sans" w:hAnsi="Public Sans" w:cs="Arial"/>
                <w:sz w:val="18"/>
                <w:szCs w:val="18"/>
              </w:rPr>
              <w:t xml:space="preserve"> with the divestment of surplus land</w:t>
            </w:r>
            <w:r w:rsidR="001644B9" w:rsidRPr="00C40479">
              <w:rPr>
                <w:rFonts w:ascii="Public Sans" w:hAnsi="Public Sans" w:cs="Arial"/>
                <w:sz w:val="18"/>
                <w:szCs w:val="18"/>
              </w:rPr>
              <w:t>.</w:t>
            </w:r>
          </w:p>
        </w:tc>
      </w:tr>
      <w:tr w:rsidR="00C40479" w:rsidRPr="00C40479" w14:paraId="63519373" w14:textId="77777777" w:rsidTr="00B95530">
        <w:tc>
          <w:tcPr>
            <w:tcW w:w="3823" w:type="dxa"/>
            <w:tcBorders>
              <w:top w:val="single" w:sz="4" w:space="0" w:color="A6A6A6" w:themeColor="background1" w:themeShade="A6"/>
              <w:bottom w:val="single" w:sz="4" w:space="0" w:color="A6A6A6" w:themeColor="background1" w:themeShade="A6"/>
            </w:tcBorders>
          </w:tcPr>
          <w:p w14:paraId="0214C480" w14:textId="06EBD8CA" w:rsidR="00F92EB1" w:rsidRPr="00C40479" w:rsidRDefault="00005F10">
            <w:pPr>
              <w:spacing w:before="60" w:after="60"/>
              <w:rPr>
                <w:rFonts w:ascii="Public Sans" w:hAnsi="Public Sans" w:cs="Arial"/>
                <w:sz w:val="18"/>
                <w:szCs w:val="18"/>
              </w:rPr>
            </w:pPr>
            <w:r w:rsidRPr="00C40479">
              <w:rPr>
                <w:rFonts w:ascii="Public Sans" w:hAnsi="Public Sans" w:cs="Arial"/>
                <w:sz w:val="18"/>
                <w:szCs w:val="18"/>
              </w:rPr>
              <w:t>Legal c</w:t>
            </w:r>
            <w:r w:rsidR="00F92EB1" w:rsidRPr="00C40479">
              <w:rPr>
                <w:rFonts w:ascii="Public Sans" w:hAnsi="Public Sans" w:cs="Arial"/>
                <w:sz w:val="18"/>
                <w:szCs w:val="18"/>
              </w:rPr>
              <w:t xml:space="preserve">laims and </w:t>
            </w:r>
            <w:r w:rsidRPr="00C40479">
              <w:rPr>
                <w:rFonts w:ascii="Public Sans" w:hAnsi="Public Sans" w:cs="Arial"/>
                <w:sz w:val="18"/>
                <w:szCs w:val="18"/>
              </w:rPr>
              <w:t>l</w:t>
            </w:r>
            <w:r w:rsidR="00F92EB1" w:rsidRPr="00C40479">
              <w:rPr>
                <w:rFonts w:ascii="Public Sans" w:hAnsi="Public Sans" w:cs="Arial"/>
                <w:sz w:val="18"/>
                <w:szCs w:val="18"/>
              </w:rPr>
              <w:t>itigation</w:t>
            </w:r>
          </w:p>
        </w:tc>
        <w:tc>
          <w:tcPr>
            <w:tcW w:w="5811" w:type="dxa"/>
            <w:tcBorders>
              <w:top w:val="single" w:sz="4" w:space="0" w:color="A6A6A6" w:themeColor="background1" w:themeShade="A6"/>
              <w:bottom w:val="single" w:sz="4" w:space="0" w:color="A6A6A6" w:themeColor="background1" w:themeShade="A6"/>
            </w:tcBorders>
            <w:vAlign w:val="center"/>
          </w:tcPr>
          <w:p w14:paraId="71C31034" w14:textId="13575D76" w:rsidR="00F92EB1" w:rsidRPr="00C40479" w:rsidRDefault="00F92EB1">
            <w:pPr>
              <w:spacing w:before="60" w:after="60"/>
              <w:rPr>
                <w:rFonts w:ascii="Public Sans" w:hAnsi="Public Sans" w:cs="Arial"/>
                <w:sz w:val="18"/>
                <w:szCs w:val="18"/>
              </w:rPr>
            </w:pPr>
            <w:r w:rsidRPr="00C40479">
              <w:rPr>
                <w:rFonts w:ascii="Public Sans" w:hAnsi="Public Sans" w:cs="Arial"/>
                <w:sz w:val="18"/>
                <w:szCs w:val="18"/>
              </w:rPr>
              <w:t>State agencies and corporations are subject to various claims and litigation in the normal course of operations.</w:t>
            </w:r>
            <w:r w:rsidR="00D66905">
              <w:rPr>
                <w:rFonts w:ascii="Public Sans" w:hAnsi="Public Sans" w:cs="Arial"/>
                <w:sz w:val="18"/>
                <w:szCs w:val="18"/>
              </w:rPr>
              <w:t xml:space="preserve"> </w:t>
            </w:r>
            <w:r w:rsidRPr="00C40479">
              <w:rPr>
                <w:rFonts w:ascii="Public Sans" w:hAnsi="Public Sans" w:cs="Arial"/>
                <w:sz w:val="18"/>
                <w:szCs w:val="18"/>
              </w:rPr>
              <w:t>The quantum of these claims</w:t>
            </w:r>
            <w:r w:rsidR="00C8024E">
              <w:rPr>
                <w:rFonts w:ascii="Public Sans" w:hAnsi="Public Sans" w:cs="Arial"/>
                <w:sz w:val="18"/>
                <w:szCs w:val="18"/>
              </w:rPr>
              <w:t xml:space="preserve"> and any associated legal costs</w:t>
            </w:r>
            <w:r w:rsidR="00F8746F">
              <w:rPr>
                <w:rFonts w:ascii="Public Sans" w:hAnsi="Public Sans" w:cs="Arial"/>
                <w:sz w:val="18"/>
                <w:szCs w:val="18"/>
              </w:rPr>
              <w:t xml:space="preserve"> and cost orders</w:t>
            </w:r>
            <w:r w:rsidR="00CF2D7A">
              <w:rPr>
                <w:rFonts w:ascii="Public Sans" w:hAnsi="Public Sans" w:cs="Arial"/>
                <w:sz w:val="18"/>
                <w:szCs w:val="18"/>
              </w:rPr>
              <w:t xml:space="preserve"> that may be incurred</w:t>
            </w:r>
            <w:r w:rsidRPr="00C40479">
              <w:rPr>
                <w:rFonts w:ascii="Public Sans" w:hAnsi="Public Sans" w:cs="Arial"/>
                <w:sz w:val="18"/>
                <w:szCs w:val="18"/>
              </w:rPr>
              <w:t xml:space="preserve"> cannot accurately be determined. </w:t>
            </w:r>
          </w:p>
        </w:tc>
      </w:tr>
      <w:tr w:rsidR="00C40479" w:rsidRPr="00C40479" w14:paraId="74BC8A35" w14:textId="77777777" w:rsidTr="00B95530">
        <w:tc>
          <w:tcPr>
            <w:tcW w:w="3823" w:type="dxa"/>
            <w:tcBorders>
              <w:top w:val="single" w:sz="4" w:space="0" w:color="A6A6A6" w:themeColor="background1" w:themeShade="A6"/>
              <w:bottom w:val="single" w:sz="4" w:space="0" w:color="A6A6A6" w:themeColor="background1" w:themeShade="A6"/>
            </w:tcBorders>
          </w:tcPr>
          <w:p w14:paraId="1393CCB0" w14:textId="272ADA80" w:rsidR="00264FE8" w:rsidRPr="0085089B" w:rsidRDefault="1B3437A3" w:rsidP="417200EA">
            <w:pPr>
              <w:spacing w:before="60" w:after="60"/>
              <w:rPr>
                <w:rFonts w:ascii="Public Sans" w:hAnsi="Public Sans" w:cs="Arial"/>
                <w:sz w:val="18"/>
                <w:szCs w:val="18"/>
              </w:rPr>
            </w:pPr>
            <w:r w:rsidRPr="0085089B">
              <w:rPr>
                <w:rFonts w:ascii="Public Sans" w:hAnsi="Public Sans" w:cs="Arial"/>
                <w:sz w:val="18"/>
                <w:szCs w:val="18"/>
              </w:rPr>
              <w:t xml:space="preserve">Refunds </w:t>
            </w:r>
            <w:r w:rsidR="6D98DA83" w:rsidRPr="0085089B">
              <w:rPr>
                <w:rFonts w:ascii="Public Sans" w:hAnsi="Public Sans" w:cs="Arial"/>
                <w:sz w:val="18"/>
                <w:szCs w:val="18"/>
              </w:rPr>
              <w:t xml:space="preserve">related to NSW </w:t>
            </w:r>
            <w:r w:rsidR="20828C11" w:rsidRPr="0085089B">
              <w:rPr>
                <w:rFonts w:ascii="Public Sans" w:hAnsi="Public Sans" w:cs="Arial"/>
                <w:sz w:val="18"/>
                <w:szCs w:val="18"/>
              </w:rPr>
              <w:t xml:space="preserve">surcharge </w:t>
            </w:r>
            <w:r w:rsidR="1980DF64" w:rsidRPr="0085089B">
              <w:rPr>
                <w:rFonts w:ascii="Public Sans" w:hAnsi="Public Sans" w:cs="Arial"/>
                <w:sz w:val="18"/>
                <w:szCs w:val="18"/>
              </w:rPr>
              <w:t>purchaser duty and surcharge land tax</w:t>
            </w:r>
          </w:p>
        </w:tc>
        <w:tc>
          <w:tcPr>
            <w:tcW w:w="5811" w:type="dxa"/>
            <w:tcBorders>
              <w:top w:val="single" w:sz="4" w:space="0" w:color="A6A6A6" w:themeColor="background1" w:themeShade="A6"/>
              <w:bottom w:val="single" w:sz="4" w:space="0" w:color="A6A6A6" w:themeColor="background1" w:themeShade="A6"/>
            </w:tcBorders>
            <w:vAlign w:val="center"/>
          </w:tcPr>
          <w:p w14:paraId="28202873" w14:textId="48E6217A" w:rsidR="00264FE8" w:rsidRPr="0085089B" w:rsidRDefault="03119F8B" w:rsidP="417200EA">
            <w:pPr>
              <w:spacing w:before="60" w:after="60"/>
              <w:rPr>
                <w:rFonts w:ascii="Public Sans" w:hAnsi="Public Sans" w:cs="Arial"/>
                <w:sz w:val="18"/>
                <w:szCs w:val="18"/>
              </w:rPr>
            </w:pPr>
            <w:r w:rsidRPr="0085089B">
              <w:rPr>
                <w:rFonts w:ascii="Public Sans" w:hAnsi="Public Sans" w:cs="Arial"/>
                <w:sz w:val="18"/>
                <w:szCs w:val="18"/>
              </w:rPr>
              <w:t xml:space="preserve">It has been determined that NSW surcharge provisions are inconsistent with international tax treaties entered into by the </w:t>
            </w:r>
            <w:r w:rsidR="03AC2685" w:rsidRPr="0085089B">
              <w:rPr>
                <w:rFonts w:ascii="Public Sans" w:hAnsi="Public Sans" w:cs="Arial"/>
                <w:sz w:val="18"/>
                <w:szCs w:val="18"/>
              </w:rPr>
              <w:t xml:space="preserve">Australian </w:t>
            </w:r>
            <w:r w:rsidRPr="0085089B">
              <w:rPr>
                <w:rFonts w:ascii="Public Sans" w:hAnsi="Public Sans" w:cs="Arial"/>
                <w:sz w:val="18"/>
                <w:szCs w:val="18"/>
              </w:rPr>
              <w:t>Government with certain nations.</w:t>
            </w:r>
            <w:r w:rsidR="1BCF0888" w:rsidRPr="0085089B">
              <w:rPr>
                <w:rFonts w:ascii="Public Sans" w:hAnsi="Public Sans" w:cs="Arial"/>
                <w:sz w:val="18"/>
                <w:szCs w:val="18"/>
              </w:rPr>
              <w:t xml:space="preserve"> </w:t>
            </w:r>
            <w:r w:rsidR="55B0CD7E" w:rsidRPr="0085089B">
              <w:rPr>
                <w:rFonts w:ascii="Public Sans" w:hAnsi="Public Sans" w:cs="Arial"/>
                <w:sz w:val="18"/>
                <w:szCs w:val="18"/>
              </w:rPr>
              <w:t xml:space="preserve">Refunds may be available to </w:t>
            </w:r>
            <w:r w:rsidR="42939398" w:rsidRPr="0085089B">
              <w:rPr>
                <w:rFonts w:ascii="Public Sans" w:hAnsi="Public Sans" w:cs="Arial"/>
                <w:sz w:val="18"/>
                <w:szCs w:val="18"/>
              </w:rPr>
              <w:t xml:space="preserve">persons </w:t>
            </w:r>
            <w:r w:rsidR="7F84F392" w:rsidRPr="0085089B">
              <w:rPr>
                <w:rFonts w:ascii="Public Sans" w:hAnsi="Public Sans" w:cs="Arial"/>
                <w:sz w:val="18"/>
                <w:szCs w:val="18"/>
              </w:rPr>
              <w:t>from</w:t>
            </w:r>
            <w:r w:rsidR="7ED871A9" w:rsidRPr="0085089B">
              <w:rPr>
                <w:rFonts w:ascii="Public Sans" w:hAnsi="Public Sans" w:cs="Arial"/>
                <w:sz w:val="18"/>
                <w:szCs w:val="18"/>
              </w:rPr>
              <w:t>, and entities affiliated with,</w:t>
            </w:r>
            <w:r w:rsidR="7F84F392" w:rsidRPr="0085089B">
              <w:rPr>
                <w:rFonts w:ascii="Public Sans" w:hAnsi="Public Sans" w:cs="Arial"/>
                <w:sz w:val="18"/>
                <w:szCs w:val="18"/>
              </w:rPr>
              <w:t xml:space="preserve"> one of the nations concerned </w:t>
            </w:r>
            <w:r w:rsidR="2198F7B4" w:rsidRPr="0085089B">
              <w:rPr>
                <w:rFonts w:ascii="Public Sans" w:hAnsi="Public Sans" w:cs="Arial"/>
                <w:sz w:val="18"/>
                <w:szCs w:val="18"/>
              </w:rPr>
              <w:t>who</w:t>
            </w:r>
            <w:r w:rsidR="489AA02F" w:rsidRPr="0085089B">
              <w:rPr>
                <w:rFonts w:ascii="Public Sans" w:hAnsi="Public Sans" w:cs="Arial"/>
                <w:sz w:val="18"/>
                <w:szCs w:val="18"/>
              </w:rPr>
              <w:t xml:space="preserve"> </w:t>
            </w:r>
            <w:r w:rsidR="1E07B7A6" w:rsidRPr="0085089B">
              <w:rPr>
                <w:rFonts w:ascii="Public Sans" w:hAnsi="Public Sans" w:cs="Arial"/>
                <w:sz w:val="18"/>
                <w:szCs w:val="18"/>
              </w:rPr>
              <w:t xml:space="preserve">paid </w:t>
            </w:r>
            <w:r w:rsidR="047A68E9" w:rsidRPr="0085089B">
              <w:rPr>
                <w:rFonts w:ascii="Public Sans" w:hAnsi="Public Sans" w:cs="Arial"/>
                <w:sz w:val="18"/>
                <w:szCs w:val="18"/>
              </w:rPr>
              <w:t xml:space="preserve">surcharge purchaser duty or surcharge land tax on or after 1 January 2021. </w:t>
            </w:r>
            <w:r w:rsidR="6C258C3E" w:rsidRPr="0085089B">
              <w:rPr>
                <w:rFonts w:ascii="Public Sans" w:hAnsi="Public Sans" w:cs="Arial"/>
                <w:sz w:val="18"/>
                <w:szCs w:val="18"/>
              </w:rPr>
              <w:t>T</w:t>
            </w:r>
            <w:r w:rsidR="1A1FCB87" w:rsidRPr="0085089B">
              <w:rPr>
                <w:rFonts w:ascii="Public Sans" w:hAnsi="Public Sans" w:cs="Arial"/>
                <w:sz w:val="18"/>
                <w:szCs w:val="18"/>
              </w:rPr>
              <w:t xml:space="preserve">he amount of these refunds </w:t>
            </w:r>
            <w:r w:rsidR="73843D4F" w:rsidRPr="0085089B">
              <w:rPr>
                <w:rFonts w:ascii="Public Sans" w:hAnsi="Public Sans" w:cs="Arial"/>
                <w:sz w:val="18"/>
                <w:szCs w:val="18"/>
              </w:rPr>
              <w:t>cannot</w:t>
            </w:r>
            <w:r w:rsidR="1A1FCB87" w:rsidRPr="0085089B">
              <w:rPr>
                <w:rFonts w:ascii="Public Sans" w:hAnsi="Public Sans" w:cs="Arial"/>
                <w:sz w:val="18"/>
                <w:szCs w:val="18"/>
              </w:rPr>
              <w:t xml:space="preserve"> be reliably determined until the identities of customers who are potentially eligible for refunds </w:t>
            </w:r>
            <w:r w:rsidR="56925758" w:rsidRPr="0085089B">
              <w:rPr>
                <w:rFonts w:ascii="Public Sans" w:hAnsi="Public Sans" w:cs="Arial"/>
                <w:sz w:val="18"/>
                <w:szCs w:val="18"/>
              </w:rPr>
              <w:t>are</w:t>
            </w:r>
            <w:r w:rsidR="1A1FCB87" w:rsidRPr="0085089B">
              <w:rPr>
                <w:rFonts w:ascii="Public Sans" w:hAnsi="Public Sans" w:cs="Arial"/>
                <w:sz w:val="18"/>
                <w:szCs w:val="18"/>
              </w:rPr>
              <w:t xml:space="preserve"> </w:t>
            </w:r>
            <w:r w:rsidR="3797C937" w:rsidRPr="0085089B">
              <w:rPr>
                <w:rFonts w:ascii="Public Sans" w:hAnsi="Public Sans" w:cs="Arial"/>
                <w:sz w:val="18"/>
                <w:szCs w:val="18"/>
              </w:rPr>
              <w:t>known</w:t>
            </w:r>
            <w:r w:rsidR="1A1FCB87" w:rsidRPr="0085089B">
              <w:rPr>
                <w:rFonts w:ascii="Public Sans" w:hAnsi="Public Sans" w:cs="Arial"/>
                <w:sz w:val="18"/>
                <w:szCs w:val="18"/>
              </w:rPr>
              <w:t>.</w:t>
            </w:r>
          </w:p>
        </w:tc>
      </w:tr>
      <w:tr w:rsidR="00C40479" w:rsidRPr="00C40479" w14:paraId="11B8BF88" w14:textId="77777777" w:rsidTr="00B95530">
        <w:tc>
          <w:tcPr>
            <w:tcW w:w="3823" w:type="dxa"/>
            <w:tcBorders>
              <w:top w:val="single" w:sz="4" w:space="0" w:color="A6A6A6" w:themeColor="background1" w:themeShade="A6"/>
              <w:bottom w:val="single" w:sz="4" w:space="0" w:color="A6A6A6" w:themeColor="background1" w:themeShade="A6"/>
            </w:tcBorders>
          </w:tcPr>
          <w:p w14:paraId="1E9FE323" w14:textId="4D35F426" w:rsidR="002F069A" w:rsidRPr="00C40479" w:rsidRDefault="002F069A">
            <w:pPr>
              <w:spacing w:before="60" w:after="60"/>
              <w:rPr>
                <w:rFonts w:ascii="Public Sans" w:hAnsi="Public Sans" w:cs="Arial"/>
                <w:sz w:val="18"/>
                <w:szCs w:val="18"/>
              </w:rPr>
            </w:pPr>
            <w:r w:rsidRPr="00C40479">
              <w:rPr>
                <w:rFonts w:ascii="Public Sans" w:hAnsi="Public Sans" w:cs="Arial"/>
                <w:sz w:val="18"/>
                <w:szCs w:val="18"/>
              </w:rPr>
              <w:t>Guarantees, indemnities and warranties</w:t>
            </w:r>
          </w:p>
        </w:tc>
        <w:tc>
          <w:tcPr>
            <w:tcW w:w="5811" w:type="dxa"/>
            <w:tcBorders>
              <w:top w:val="single" w:sz="4" w:space="0" w:color="A6A6A6" w:themeColor="background1" w:themeShade="A6"/>
              <w:bottom w:val="single" w:sz="4" w:space="0" w:color="A6A6A6" w:themeColor="background1" w:themeShade="A6"/>
            </w:tcBorders>
            <w:vAlign w:val="center"/>
          </w:tcPr>
          <w:p w14:paraId="76D98463" w14:textId="071AEB83" w:rsidR="002F069A" w:rsidRPr="00C40479" w:rsidRDefault="00914B14">
            <w:pPr>
              <w:spacing w:before="60" w:after="60"/>
              <w:rPr>
                <w:rFonts w:ascii="Public Sans" w:hAnsi="Public Sans" w:cs="Arial"/>
                <w:sz w:val="18"/>
                <w:szCs w:val="18"/>
              </w:rPr>
            </w:pPr>
            <w:r w:rsidRPr="00C40479">
              <w:rPr>
                <w:rFonts w:ascii="Public Sans" w:hAnsi="Public Sans" w:cs="Arial"/>
                <w:sz w:val="18"/>
                <w:szCs w:val="18"/>
              </w:rPr>
              <w:t xml:space="preserve">Obligations arising </w:t>
            </w:r>
            <w:r w:rsidR="00685E0C" w:rsidRPr="00C40479">
              <w:rPr>
                <w:rFonts w:ascii="Public Sans" w:hAnsi="Public Sans" w:cs="Arial"/>
                <w:sz w:val="18"/>
                <w:szCs w:val="18"/>
              </w:rPr>
              <w:t xml:space="preserve">from guarantees, indemnities or warranties </w:t>
            </w:r>
            <w:r w:rsidR="00A862FF" w:rsidRPr="00C40479">
              <w:rPr>
                <w:rFonts w:ascii="Public Sans" w:hAnsi="Public Sans" w:cs="Arial"/>
                <w:sz w:val="18"/>
                <w:szCs w:val="18"/>
              </w:rPr>
              <w:t xml:space="preserve">provided by the State. </w:t>
            </w:r>
            <w:r w:rsidR="00167B64" w:rsidRPr="00C40479">
              <w:rPr>
                <w:rFonts w:ascii="Public Sans" w:hAnsi="Public Sans" w:cs="Arial"/>
                <w:sz w:val="18"/>
                <w:szCs w:val="18"/>
              </w:rPr>
              <w:t xml:space="preserve">These contingent liabilities may become liabilities </w:t>
            </w:r>
            <w:r w:rsidR="00A36023" w:rsidRPr="00C40479">
              <w:rPr>
                <w:rFonts w:ascii="Public Sans" w:hAnsi="Public Sans" w:cs="Arial"/>
                <w:sz w:val="18"/>
                <w:szCs w:val="18"/>
              </w:rPr>
              <w:t xml:space="preserve">if the guaranteed event occurs. </w:t>
            </w:r>
          </w:p>
        </w:tc>
      </w:tr>
      <w:tr w:rsidR="00C40479" w:rsidRPr="00C40479" w14:paraId="6AC10AD1" w14:textId="77777777" w:rsidTr="00B95530">
        <w:tc>
          <w:tcPr>
            <w:tcW w:w="3823" w:type="dxa"/>
            <w:tcBorders>
              <w:top w:val="single" w:sz="4" w:space="0" w:color="A6A6A6" w:themeColor="background1" w:themeShade="A6"/>
              <w:left w:val="nil"/>
              <w:bottom w:val="single" w:sz="4" w:space="0" w:color="A6A6A6" w:themeColor="background1" w:themeShade="A6"/>
              <w:right w:val="nil"/>
            </w:tcBorders>
          </w:tcPr>
          <w:p w14:paraId="4B929D96" w14:textId="77777777" w:rsidR="00F92EB1" w:rsidRPr="00C40479" w:rsidRDefault="00F92EB1">
            <w:pPr>
              <w:spacing w:before="60" w:after="60"/>
              <w:rPr>
                <w:rFonts w:ascii="Public Sans" w:hAnsi="Public Sans" w:cs="Arial"/>
                <w:sz w:val="18"/>
                <w:szCs w:val="18"/>
              </w:rPr>
            </w:pPr>
            <w:r w:rsidRPr="00C40479">
              <w:rPr>
                <w:rFonts w:ascii="Public Sans" w:hAnsi="Public Sans" w:cs="Arial"/>
                <w:sz w:val="18"/>
                <w:szCs w:val="18"/>
              </w:rPr>
              <w:t xml:space="preserve">Natural Disasters </w:t>
            </w:r>
          </w:p>
        </w:tc>
        <w:tc>
          <w:tcPr>
            <w:tcW w:w="5811" w:type="dxa"/>
            <w:tcBorders>
              <w:top w:val="single" w:sz="4" w:space="0" w:color="A6A6A6" w:themeColor="background1" w:themeShade="A6"/>
              <w:left w:val="nil"/>
              <w:bottom w:val="single" w:sz="4" w:space="0" w:color="A6A6A6" w:themeColor="background1" w:themeShade="A6"/>
              <w:right w:val="nil"/>
            </w:tcBorders>
            <w:vAlign w:val="center"/>
          </w:tcPr>
          <w:p w14:paraId="52B4522B" w14:textId="00A14E0A" w:rsidR="00F92EB1" w:rsidRPr="00C40479" w:rsidRDefault="00F92EB1">
            <w:pPr>
              <w:spacing w:before="60" w:after="60"/>
              <w:rPr>
                <w:rFonts w:ascii="Public Sans" w:hAnsi="Public Sans" w:cs="Arial"/>
                <w:sz w:val="18"/>
                <w:szCs w:val="18"/>
              </w:rPr>
            </w:pPr>
            <w:r w:rsidRPr="417200EA">
              <w:rPr>
                <w:rFonts w:ascii="Public Sans" w:hAnsi="Public Sans" w:cs="Arial"/>
                <w:sz w:val="18"/>
                <w:szCs w:val="18"/>
              </w:rPr>
              <w:t xml:space="preserve">The State is assessing damages to physical assets caused by </w:t>
            </w:r>
            <w:r w:rsidRPr="005B3578">
              <w:rPr>
                <w:rFonts w:ascii="Public Sans" w:hAnsi="Public Sans" w:cs="Arial"/>
                <w:sz w:val="18"/>
                <w:szCs w:val="18"/>
              </w:rPr>
              <w:t>floods</w:t>
            </w:r>
            <w:r w:rsidRPr="417200EA">
              <w:rPr>
                <w:rFonts w:ascii="Public Sans" w:hAnsi="Public Sans" w:cs="Arial"/>
                <w:sz w:val="18"/>
                <w:szCs w:val="18"/>
              </w:rPr>
              <w:t xml:space="preserve">. The full extent of this cannot be estimated at this point of time. </w:t>
            </w:r>
          </w:p>
        </w:tc>
      </w:tr>
      <w:tr w:rsidR="00854523" w:rsidRPr="00C40479" w14:paraId="28A45A1D" w14:textId="77777777" w:rsidTr="00B95530">
        <w:tc>
          <w:tcPr>
            <w:tcW w:w="3823" w:type="dxa"/>
            <w:tcBorders>
              <w:top w:val="single" w:sz="4" w:space="0" w:color="A6A6A6" w:themeColor="background1" w:themeShade="A6"/>
              <w:left w:val="nil"/>
              <w:bottom w:val="single" w:sz="4" w:space="0" w:color="auto"/>
              <w:right w:val="nil"/>
            </w:tcBorders>
          </w:tcPr>
          <w:p w14:paraId="0AC8F3E8" w14:textId="77777777" w:rsidR="00F92EB1" w:rsidRPr="00C40479" w:rsidRDefault="00F92EB1">
            <w:pPr>
              <w:spacing w:before="60" w:after="60"/>
              <w:rPr>
                <w:rFonts w:ascii="Public Sans" w:hAnsi="Public Sans" w:cs="Arial"/>
                <w:sz w:val="18"/>
                <w:szCs w:val="18"/>
              </w:rPr>
            </w:pPr>
            <w:r w:rsidRPr="00C40479">
              <w:rPr>
                <w:rFonts w:ascii="Public Sans" w:hAnsi="Public Sans" w:cs="Arial"/>
                <w:sz w:val="18"/>
                <w:szCs w:val="18"/>
              </w:rPr>
              <w:t>Unclaimed money – Consolidated Fund</w:t>
            </w:r>
          </w:p>
        </w:tc>
        <w:tc>
          <w:tcPr>
            <w:tcW w:w="5811" w:type="dxa"/>
            <w:tcBorders>
              <w:top w:val="single" w:sz="4" w:space="0" w:color="A6A6A6" w:themeColor="background1" w:themeShade="A6"/>
              <w:left w:val="nil"/>
              <w:bottom w:val="single" w:sz="4" w:space="0" w:color="auto"/>
              <w:right w:val="nil"/>
            </w:tcBorders>
            <w:vAlign w:val="center"/>
          </w:tcPr>
          <w:p w14:paraId="5A41C80C" w14:textId="77777777" w:rsidR="00F92EB1" w:rsidRPr="00C40479" w:rsidRDefault="00F92EB1">
            <w:pPr>
              <w:spacing w:before="60" w:after="60"/>
              <w:rPr>
                <w:rFonts w:ascii="Public Sans" w:hAnsi="Public Sans" w:cs="Arial"/>
                <w:sz w:val="18"/>
                <w:szCs w:val="18"/>
              </w:rPr>
            </w:pPr>
            <w:r w:rsidRPr="00C40479">
              <w:rPr>
                <w:rFonts w:ascii="Public Sans" w:hAnsi="Public Sans" w:cs="Arial"/>
                <w:sz w:val="18"/>
                <w:szCs w:val="18"/>
              </w:rPr>
              <w:t>The State treats the receipt of unclaimed money to the Consolidated Fund as income. However, claims can be legally lodged to recoup owed moneys for several years after the money is paid into the Fund.</w:t>
            </w:r>
          </w:p>
        </w:tc>
      </w:tr>
    </w:tbl>
    <w:p w14:paraId="21298059" w14:textId="77777777" w:rsidR="00640C75" w:rsidRDefault="00640C75"/>
    <w:p w14:paraId="51A08C6F" w14:textId="30D5819E" w:rsidR="00FB620B" w:rsidRDefault="00FB620B">
      <w:r>
        <w:br w:type="page"/>
      </w:r>
    </w:p>
    <w:p w14:paraId="55AD5EC6" w14:textId="26DAE8A8" w:rsidR="00640C75" w:rsidRDefault="00640C75" w:rsidP="0085089B">
      <w:pPr>
        <w:pStyle w:val="TableCX"/>
        <w:numPr>
          <w:ilvl w:val="0"/>
          <w:numId w:val="0"/>
        </w:numPr>
        <w:ind w:left="1418" w:hanging="1418"/>
      </w:pPr>
      <w:r w:rsidRPr="49A1DAAD">
        <w:rPr>
          <w:lang w:val="en-US"/>
        </w:rPr>
        <w:lastRenderedPageBreak/>
        <w:t>Table C.5:</w:t>
      </w:r>
      <w:r>
        <w:tab/>
      </w:r>
      <w:r w:rsidRPr="49A1DAAD">
        <w:rPr>
          <w:lang w:val="en-US"/>
        </w:rPr>
        <w:t>Other non-quantifiable contingent liabilities (</w:t>
      </w:r>
      <w:proofErr w:type="spellStart"/>
      <w:r w:rsidRPr="49A1DAAD">
        <w:rPr>
          <w:lang w:val="en-US"/>
        </w:rPr>
        <w:t>cont</w:t>
      </w:r>
      <w:proofErr w:type="spellEnd"/>
      <w:r w:rsidRPr="49A1DAAD">
        <w:rPr>
          <w:lang w:val="en-US"/>
        </w:rPr>
        <w:t>)</w:t>
      </w:r>
    </w:p>
    <w:tbl>
      <w:tblPr>
        <w:tblStyle w:val="TableGrid0"/>
        <w:tblW w:w="9634" w:type="dxa"/>
        <w:tblBorders>
          <w:top w:val="none" w:sz="0" w:space="0" w:color="auto"/>
          <w:left w:val="none" w:sz="0" w:space="0" w:color="auto"/>
          <w:bottom w:val="none" w:sz="0" w:space="0" w:color="auto"/>
          <w:right w:val="none" w:sz="0" w:space="0" w:color="auto"/>
          <w:insideH w:val="single" w:sz="4" w:space="0" w:color="A6A6A6" w:themeColor="background1" w:themeShade="A6"/>
          <w:insideV w:val="none" w:sz="0" w:space="0" w:color="auto"/>
        </w:tblBorders>
        <w:tblLook w:val="04A0" w:firstRow="1" w:lastRow="0" w:firstColumn="1" w:lastColumn="0" w:noHBand="0" w:noVBand="1"/>
        <w:tblCaption w:val="Table C.5: Other non-quantifiable contingent liabilities (cont)"/>
        <w:tblDescription w:val="Table C.5: Other non-quantifiable contingent liabilities (cont)"/>
      </w:tblPr>
      <w:tblGrid>
        <w:gridCol w:w="3823"/>
        <w:gridCol w:w="5811"/>
      </w:tblGrid>
      <w:tr w:rsidR="00640C75" w:rsidRPr="00C40479" w14:paraId="0443E92A" w14:textId="77777777" w:rsidTr="00B95530">
        <w:trPr>
          <w:trHeight w:val="374"/>
        </w:trPr>
        <w:tc>
          <w:tcPr>
            <w:tcW w:w="3823" w:type="dxa"/>
            <w:tcBorders>
              <w:top w:val="nil"/>
              <w:left w:val="nil"/>
              <w:bottom w:val="nil"/>
              <w:right w:val="nil"/>
            </w:tcBorders>
            <w:shd w:val="clear" w:color="auto" w:fill="EBEBEB"/>
            <w:vAlign w:val="center"/>
          </w:tcPr>
          <w:p w14:paraId="35911E1B" w14:textId="16265A9A" w:rsidR="00640C75" w:rsidRPr="00640C75" w:rsidRDefault="00640C75" w:rsidP="0085089B">
            <w:pPr>
              <w:spacing w:before="120" w:after="120"/>
              <w:rPr>
                <w:rFonts w:ascii="Public Sans" w:hAnsi="Public Sans" w:cs="Arial"/>
                <w:sz w:val="18"/>
                <w:szCs w:val="18"/>
              </w:rPr>
            </w:pPr>
            <w:r w:rsidRPr="00C40479">
              <w:rPr>
                <w:rFonts w:ascii="Public Sans" w:hAnsi="Public Sans" w:cs="Arial"/>
                <w:bCs/>
                <w:sz w:val="18"/>
                <w:szCs w:val="18"/>
              </w:rPr>
              <w:t>Contingent liabilities</w:t>
            </w:r>
          </w:p>
        </w:tc>
        <w:tc>
          <w:tcPr>
            <w:tcW w:w="5811" w:type="dxa"/>
            <w:tcBorders>
              <w:top w:val="nil"/>
              <w:left w:val="nil"/>
              <w:bottom w:val="nil"/>
              <w:right w:val="nil"/>
            </w:tcBorders>
            <w:shd w:val="clear" w:color="auto" w:fill="EBEBEB"/>
            <w:vAlign w:val="center"/>
          </w:tcPr>
          <w:p w14:paraId="1B3CBDA3" w14:textId="586E7A18" w:rsidR="00640C75" w:rsidRPr="00640C75" w:rsidRDefault="00640C75" w:rsidP="0085089B">
            <w:pPr>
              <w:spacing w:before="120" w:after="120"/>
              <w:rPr>
                <w:rFonts w:ascii="Public Sans" w:hAnsi="Public Sans" w:cs="Arial"/>
                <w:sz w:val="18"/>
                <w:szCs w:val="18"/>
              </w:rPr>
            </w:pPr>
            <w:r w:rsidRPr="00C40479">
              <w:rPr>
                <w:rFonts w:ascii="Public Sans" w:hAnsi="Public Sans" w:cs="Arial"/>
                <w:bCs/>
                <w:sz w:val="18"/>
                <w:szCs w:val="18"/>
              </w:rPr>
              <w:t>Nature of the contingent liabilities</w:t>
            </w:r>
          </w:p>
        </w:tc>
      </w:tr>
      <w:tr w:rsidR="00640C75" w:rsidRPr="00C40479" w14:paraId="2E20DBF2" w14:textId="77777777" w:rsidTr="00B95530">
        <w:tc>
          <w:tcPr>
            <w:tcW w:w="3823" w:type="dxa"/>
            <w:tcBorders>
              <w:top w:val="nil"/>
              <w:left w:val="nil"/>
              <w:bottom w:val="single" w:sz="4" w:space="0" w:color="A6A6A6" w:themeColor="background1" w:themeShade="A6"/>
              <w:right w:val="nil"/>
            </w:tcBorders>
          </w:tcPr>
          <w:p w14:paraId="7E2E135C" w14:textId="684F0A71" w:rsidR="00640C75" w:rsidRPr="0085089B" w:rsidRDefault="00640C75" w:rsidP="00640C75">
            <w:pPr>
              <w:spacing w:before="60" w:after="60"/>
              <w:rPr>
                <w:rFonts w:ascii="Public Sans" w:hAnsi="Public Sans" w:cs="Arial"/>
                <w:sz w:val="18"/>
                <w:szCs w:val="18"/>
              </w:rPr>
            </w:pPr>
            <w:r w:rsidRPr="0085089B">
              <w:rPr>
                <w:rFonts w:ascii="Public Sans" w:hAnsi="Public Sans" w:cs="Arial"/>
                <w:sz w:val="18"/>
                <w:szCs w:val="18"/>
              </w:rPr>
              <w:t>Luna Park Reserve Trust</w:t>
            </w:r>
          </w:p>
        </w:tc>
        <w:tc>
          <w:tcPr>
            <w:tcW w:w="5811" w:type="dxa"/>
            <w:tcBorders>
              <w:top w:val="nil"/>
              <w:left w:val="nil"/>
              <w:bottom w:val="single" w:sz="4" w:space="0" w:color="A6A6A6" w:themeColor="background1" w:themeShade="A6"/>
              <w:right w:val="nil"/>
            </w:tcBorders>
            <w:vAlign w:val="center"/>
          </w:tcPr>
          <w:p w14:paraId="48A99E0B" w14:textId="52E29778" w:rsidR="00640C75" w:rsidRPr="0085089B" w:rsidRDefault="00640C75" w:rsidP="00640C75">
            <w:pPr>
              <w:spacing w:before="60" w:after="60"/>
              <w:rPr>
                <w:rFonts w:ascii="Public Sans" w:hAnsi="Public Sans" w:cs="Arial"/>
                <w:sz w:val="18"/>
                <w:szCs w:val="18"/>
              </w:rPr>
            </w:pPr>
            <w:r w:rsidRPr="0085089B">
              <w:rPr>
                <w:rFonts w:ascii="Public Sans" w:hAnsi="Public Sans" w:cs="Arial"/>
                <w:sz w:val="18"/>
                <w:szCs w:val="18"/>
              </w:rPr>
              <w:t>The State may be liable to reimburse the lessee for the maintenance costs of heritage and infrastructure. The amount involved cannot be accurately determined as the reimbursement is subject to collection of future heritage and infrastructure operating lease income from the lessee.</w:t>
            </w:r>
          </w:p>
        </w:tc>
      </w:tr>
      <w:tr w:rsidR="00640C75" w:rsidRPr="00C40479" w14:paraId="59CA73C9" w14:textId="77777777" w:rsidTr="00B95530">
        <w:tc>
          <w:tcPr>
            <w:tcW w:w="3823" w:type="dxa"/>
            <w:tcBorders>
              <w:top w:val="single" w:sz="4" w:space="0" w:color="A6A6A6" w:themeColor="background1" w:themeShade="A6"/>
              <w:left w:val="nil"/>
              <w:bottom w:val="single" w:sz="4" w:space="0" w:color="A6A6A6" w:themeColor="background1" w:themeShade="A6"/>
              <w:right w:val="nil"/>
            </w:tcBorders>
          </w:tcPr>
          <w:p w14:paraId="2FB46F02" w14:textId="45E260F6" w:rsidR="00640C75" w:rsidRPr="00C40479" w:rsidRDefault="00640C75" w:rsidP="00640C75">
            <w:pPr>
              <w:spacing w:before="60" w:after="60"/>
              <w:rPr>
                <w:rFonts w:ascii="Public Sans" w:hAnsi="Public Sans" w:cs="Arial"/>
                <w:sz w:val="18"/>
                <w:szCs w:val="18"/>
              </w:rPr>
            </w:pPr>
            <w:r w:rsidRPr="00C40479">
              <w:rPr>
                <w:rFonts w:ascii="Public Sans" w:hAnsi="Public Sans" w:cs="Arial"/>
                <w:sz w:val="18"/>
                <w:szCs w:val="18"/>
              </w:rPr>
              <w:t>Land Acquisition</w:t>
            </w:r>
          </w:p>
        </w:tc>
        <w:tc>
          <w:tcPr>
            <w:tcW w:w="5811" w:type="dxa"/>
            <w:tcBorders>
              <w:top w:val="single" w:sz="4" w:space="0" w:color="A6A6A6" w:themeColor="background1" w:themeShade="A6"/>
              <w:left w:val="nil"/>
              <w:bottom w:val="single" w:sz="4" w:space="0" w:color="A6A6A6" w:themeColor="background1" w:themeShade="A6"/>
              <w:right w:val="nil"/>
            </w:tcBorders>
            <w:vAlign w:val="center"/>
          </w:tcPr>
          <w:p w14:paraId="38135C58" w14:textId="5929F7D5" w:rsidR="00640C75" w:rsidRPr="00C40479" w:rsidRDefault="00640C75" w:rsidP="00640C75">
            <w:pPr>
              <w:spacing w:before="60" w:after="60"/>
              <w:rPr>
                <w:rFonts w:ascii="Public Sans" w:hAnsi="Public Sans" w:cs="Arial"/>
                <w:sz w:val="18"/>
                <w:szCs w:val="18"/>
              </w:rPr>
            </w:pPr>
            <w:r w:rsidRPr="00C40479">
              <w:rPr>
                <w:rFonts w:ascii="Public Sans" w:hAnsi="Public Sans" w:cs="Arial"/>
                <w:sz w:val="18"/>
                <w:szCs w:val="18"/>
              </w:rPr>
              <w:t xml:space="preserve">Claims have been made against the State for compensation for land acquired under the </w:t>
            </w:r>
            <w:r w:rsidRPr="00C40479">
              <w:rPr>
                <w:rFonts w:ascii="Public Sans" w:hAnsi="Public Sans" w:cs="Arial"/>
                <w:i/>
                <w:sz w:val="18"/>
                <w:szCs w:val="18"/>
              </w:rPr>
              <w:t>Land Acquisition (Just Terms Compensation) Act 1991</w:t>
            </w:r>
            <w:r>
              <w:rPr>
                <w:rFonts w:ascii="Public Sans" w:hAnsi="Public Sans" w:cs="Arial"/>
                <w:i/>
                <w:sz w:val="18"/>
                <w:szCs w:val="18"/>
              </w:rPr>
              <w:t xml:space="preserve"> </w:t>
            </w:r>
            <w:r w:rsidRPr="00C40479">
              <w:rPr>
                <w:rFonts w:ascii="Public Sans" w:hAnsi="Public Sans" w:cs="Arial"/>
                <w:i/>
                <w:sz w:val="18"/>
                <w:szCs w:val="18"/>
              </w:rPr>
              <w:t>(NSW)</w:t>
            </w:r>
            <w:r w:rsidRPr="00C40479">
              <w:rPr>
                <w:rFonts w:ascii="Public Sans" w:hAnsi="Public Sans" w:cs="Arial"/>
                <w:sz w:val="18"/>
                <w:szCs w:val="18"/>
              </w:rPr>
              <w:t xml:space="preserve">. </w:t>
            </w:r>
          </w:p>
        </w:tc>
      </w:tr>
      <w:tr w:rsidR="00640C75" w:rsidRPr="00C40479" w14:paraId="1DAB754B" w14:textId="77777777" w:rsidTr="00B95530">
        <w:tc>
          <w:tcPr>
            <w:tcW w:w="3823" w:type="dxa"/>
            <w:tcBorders>
              <w:top w:val="single" w:sz="4" w:space="0" w:color="A6A6A6" w:themeColor="background1" w:themeShade="A6"/>
              <w:bottom w:val="single" w:sz="4" w:space="0" w:color="A6A6A6" w:themeColor="background1" w:themeShade="A6"/>
              <w:right w:val="nil"/>
            </w:tcBorders>
          </w:tcPr>
          <w:p w14:paraId="3A6E0EBB" w14:textId="79EB182E" w:rsidR="00640C75" w:rsidRPr="00C40479" w:rsidRDefault="00640C75" w:rsidP="00640C75">
            <w:pPr>
              <w:spacing w:before="60" w:after="60"/>
              <w:rPr>
                <w:rFonts w:ascii="Public Sans" w:hAnsi="Public Sans" w:cs="Arial"/>
                <w:sz w:val="18"/>
                <w:szCs w:val="18"/>
              </w:rPr>
            </w:pPr>
            <w:r w:rsidRPr="00C40479">
              <w:rPr>
                <w:rFonts w:ascii="Public Sans" w:hAnsi="Public Sans" w:cs="Arial"/>
                <w:sz w:val="18"/>
                <w:szCs w:val="18"/>
              </w:rPr>
              <w:t>Contracts with private sector parties</w:t>
            </w:r>
          </w:p>
        </w:tc>
        <w:tc>
          <w:tcPr>
            <w:tcW w:w="5811" w:type="dxa"/>
            <w:tcBorders>
              <w:top w:val="single" w:sz="4" w:space="0" w:color="A6A6A6" w:themeColor="background1" w:themeShade="A6"/>
              <w:left w:val="nil"/>
              <w:bottom w:val="single" w:sz="4" w:space="0" w:color="A6A6A6" w:themeColor="background1" w:themeShade="A6"/>
            </w:tcBorders>
            <w:vAlign w:val="center"/>
          </w:tcPr>
          <w:p w14:paraId="2B37FB2B" w14:textId="2BF11B5D" w:rsidR="00640C75" w:rsidRPr="00C40479" w:rsidRDefault="00640C75" w:rsidP="00640C75">
            <w:pPr>
              <w:spacing w:before="60" w:after="60"/>
              <w:rPr>
                <w:rFonts w:ascii="Public Sans" w:hAnsi="Public Sans" w:cs="Arial"/>
                <w:sz w:val="18"/>
                <w:szCs w:val="18"/>
              </w:rPr>
            </w:pPr>
            <w:r w:rsidRPr="00C40479">
              <w:rPr>
                <w:rFonts w:ascii="Public Sans" w:hAnsi="Public Sans" w:cs="Arial"/>
                <w:sz w:val="18"/>
                <w:szCs w:val="18"/>
              </w:rPr>
              <w:t xml:space="preserve">The Crown has guaranteed the obligations and performance of various </w:t>
            </w:r>
            <w:r>
              <w:rPr>
                <w:rFonts w:ascii="Public Sans" w:hAnsi="Public Sans" w:cs="Arial"/>
                <w:sz w:val="18"/>
                <w:szCs w:val="18"/>
              </w:rPr>
              <w:t xml:space="preserve">regulatory and </w:t>
            </w:r>
            <w:r w:rsidRPr="00C40479">
              <w:rPr>
                <w:rFonts w:ascii="Public Sans" w:hAnsi="Public Sans" w:cs="Arial"/>
                <w:sz w:val="18"/>
                <w:szCs w:val="18"/>
              </w:rPr>
              <w:t xml:space="preserve">statutory authorities with private sector contracts. </w:t>
            </w:r>
          </w:p>
        </w:tc>
      </w:tr>
      <w:tr w:rsidR="00640C75" w:rsidRPr="00C40479" w14:paraId="75E331E9" w14:textId="77777777" w:rsidTr="00B95530">
        <w:tc>
          <w:tcPr>
            <w:tcW w:w="3823" w:type="dxa"/>
            <w:tcBorders>
              <w:top w:val="single" w:sz="4" w:space="0" w:color="A6A6A6" w:themeColor="background1" w:themeShade="A6"/>
              <w:left w:val="nil"/>
              <w:bottom w:val="single" w:sz="4" w:space="0" w:color="A6A6A6" w:themeColor="background1" w:themeShade="A6"/>
              <w:right w:val="nil"/>
            </w:tcBorders>
          </w:tcPr>
          <w:p w14:paraId="55BF7B76" w14:textId="517A8380" w:rsidR="00640C75" w:rsidRPr="00C40479" w:rsidRDefault="00640C75" w:rsidP="00640C75">
            <w:pPr>
              <w:spacing w:before="60" w:after="60"/>
              <w:rPr>
                <w:rFonts w:ascii="Public Sans" w:hAnsi="Public Sans" w:cs="Arial"/>
                <w:sz w:val="18"/>
                <w:szCs w:val="18"/>
              </w:rPr>
            </w:pPr>
            <w:r w:rsidRPr="00C40479">
              <w:rPr>
                <w:rFonts w:ascii="Public Sans" w:hAnsi="Public Sans" w:cs="Arial"/>
                <w:sz w:val="18"/>
                <w:szCs w:val="18"/>
              </w:rPr>
              <w:t>Guarantee on local government loans</w:t>
            </w:r>
          </w:p>
        </w:tc>
        <w:tc>
          <w:tcPr>
            <w:tcW w:w="5811" w:type="dxa"/>
            <w:tcBorders>
              <w:top w:val="single" w:sz="4" w:space="0" w:color="A6A6A6" w:themeColor="background1" w:themeShade="A6"/>
              <w:left w:val="nil"/>
              <w:bottom w:val="single" w:sz="4" w:space="0" w:color="A6A6A6" w:themeColor="background1" w:themeShade="A6"/>
              <w:right w:val="nil"/>
            </w:tcBorders>
            <w:vAlign w:val="center"/>
          </w:tcPr>
          <w:p w14:paraId="2DF04711" w14:textId="03231B79" w:rsidR="00640C75" w:rsidRPr="00C40479" w:rsidRDefault="00640C75" w:rsidP="00640C75">
            <w:pPr>
              <w:spacing w:before="60" w:after="60"/>
              <w:rPr>
                <w:rFonts w:ascii="Public Sans" w:hAnsi="Public Sans" w:cs="Arial"/>
                <w:sz w:val="18"/>
                <w:szCs w:val="18"/>
              </w:rPr>
            </w:pPr>
            <w:r w:rsidRPr="00C40479">
              <w:rPr>
                <w:rFonts w:ascii="Public Sans" w:hAnsi="Public Sans" w:cs="Arial"/>
                <w:sz w:val="18"/>
                <w:szCs w:val="18"/>
              </w:rPr>
              <w:t xml:space="preserve">The Crown provides </w:t>
            </w:r>
            <w:r>
              <w:rPr>
                <w:rFonts w:ascii="Public Sans" w:hAnsi="Public Sans" w:cs="Arial"/>
                <w:sz w:val="18"/>
                <w:szCs w:val="18"/>
              </w:rPr>
              <w:t xml:space="preserve">NSW </w:t>
            </w:r>
            <w:r w:rsidRPr="00C40479">
              <w:rPr>
                <w:rFonts w:ascii="Public Sans" w:hAnsi="Public Sans" w:cs="Arial"/>
                <w:sz w:val="18"/>
                <w:szCs w:val="18"/>
              </w:rPr>
              <w:t>T</w:t>
            </w:r>
            <w:r>
              <w:rPr>
                <w:rFonts w:ascii="Public Sans" w:hAnsi="Public Sans" w:cs="Arial"/>
                <w:sz w:val="18"/>
                <w:szCs w:val="18"/>
              </w:rPr>
              <w:t xml:space="preserve">reasury </w:t>
            </w:r>
            <w:r w:rsidRPr="00C40479">
              <w:rPr>
                <w:rFonts w:ascii="Public Sans" w:hAnsi="Public Sans" w:cs="Arial"/>
                <w:sz w:val="18"/>
                <w:szCs w:val="18"/>
              </w:rPr>
              <w:t>Corp</w:t>
            </w:r>
            <w:r>
              <w:rPr>
                <w:rFonts w:ascii="Public Sans" w:hAnsi="Public Sans" w:cs="Arial"/>
                <w:sz w:val="18"/>
                <w:szCs w:val="18"/>
              </w:rPr>
              <w:t xml:space="preserve">oration </w:t>
            </w:r>
            <w:r w:rsidRPr="00C40479">
              <w:rPr>
                <w:rFonts w:ascii="Public Sans" w:hAnsi="Public Sans" w:cs="Arial"/>
                <w:sz w:val="18"/>
                <w:szCs w:val="18"/>
              </w:rPr>
              <w:t>with an indemnity for its loans to local governments.</w:t>
            </w:r>
          </w:p>
        </w:tc>
      </w:tr>
      <w:tr w:rsidR="00640C75" w:rsidRPr="00C40479" w14:paraId="761EDB52" w14:textId="77777777" w:rsidTr="00B95530">
        <w:tc>
          <w:tcPr>
            <w:tcW w:w="3823" w:type="dxa"/>
            <w:tcBorders>
              <w:top w:val="single" w:sz="4" w:space="0" w:color="A6A6A6" w:themeColor="background1" w:themeShade="A6"/>
              <w:left w:val="nil"/>
              <w:bottom w:val="single" w:sz="4" w:space="0" w:color="auto"/>
              <w:right w:val="nil"/>
            </w:tcBorders>
          </w:tcPr>
          <w:p w14:paraId="27FEB693" w14:textId="6679143D" w:rsidR="00640C75" w:rsidRPr="00C40479" w:rsidRDefault="00640C75" w:rsidP="00640C75">
            <w:pPr>
              <w:spacing w:before="60" w:after="60"/>
              <w:rPr>
                <w:rFonts w:ascii="Public Sans" w:hAnsi="Public Sans" w:cs="Arial"/>
                <w:sz w:val="18"/>
                <w:szCs w:val="18"/>
              </w:rPr>
            </w:pPr>
            <w:r w:rsidRPr="00C40479">
              <w:rPr>
                <w:rFonts w:ascii="Public Sans" w:hAnsi="Public Sans" w:cs="Arial"/>
                <w:sz w:val="18"/>
                <w:szCs w:val="18"/>
              </w:rPr>
              <w:t xml:space="preserve">Other government guarantees </w:t>
            </w:r>
          </w:p>
          <w:p w14:paraId="71AEF3D9" w14:textId="77777777" w:rsidR="00640C75" w:rsidRPr="00C40479" w:rsidRDefault="00640C75" w:rsidP="00640C75">
            <w:pPr>
              <w:spacing w:before="60" w:after="60"/>
              <w:rPr>
                <w:rFonts w:ascii="Public Sans" w:hAnsi="Public Sans" w:cs="Arial"/>
                <w:sz w:val="18"/>
                <w:szCs w:val="18"/>
              </w:rPr>
            </w:pPr>
          </w:p>
        </w:tc>
        <w:tc>
          <w:tcPr>
            <w:tcW w:w="5811" w:type="dxa"/>
            <w:tcBorders>
              <w:top w:val="single" w:sz="4" w:space="0" w:color="A6A6A6" w:themeColor="background1" w:themeShade="A6"/>
              <w:left w:val="nil"/>
              <w:bottom w:val="single" w:sz="4" w:space="0" w:color="auto"/>
              <w:right w:val="nil"/>
            </w:tcBorders>
            <w:vAlign w:val="center"/>
          </w:tcPr>
          <w:p w14:paraId="5FCDD2DA" w14:textId="07FDBC8F" w:rsidR="00640C75" w:rsidRPr="00C40479" w:rsidRDefault="00640C75" w:rsidP="00640C75">
            <w:pPr>
              <w:spacing w:before="60" w:after="60"/>
              <w:rPr>
                <w:rFonts w:ascii="Public Sans" w:hAnsi="Public Sans" w:cs="Arial"/>
                <w:sz w:val="18"/>
                <w:szCs w:val="18"/>
              </w:rPr>
            </w:pPr>
            <w:r w:rsidRPr="00C40479">
              <w:rPr>
                <w:rFonts w:ascii="Public Sans" w:hAnsi="Public Sans" w:cs="Arial"/>
                <w:sz w:val="18"/>
                <w:szCs w:val="18"/>
              </w:rPr>
              <w:t>The Crown has provided government guarantees to give financial support and facilitate certain services.</w:t>
            </w:r>
          </w:p>
        </w:tc>
      </w:tr>
    </w:tbl>
    <w:p w14:paraId="18D0C8BC" w14:textId="77777777" w:rsidR="00F92EB1" w:rsidRPr="00E522E6" w:rsidRDefault="00F92EB1" w:rsidP="00F92EB1">
      <w:pPr>
        <w:rPr>
          <w:rFonts w:eastAsia="Arial Unicode MS"/>
        </w:rPr>
      </w:pPr>
    </w:p>
    <w:p w14:paraId="32880471" w14:textId="3195F63E" w:rsidR="0039226C" w:rsidRPr="00DA4B4B" w:rsidRDefault="0039226C" w:rsidP="0060253C">
      <w:pPr>
        <w:pStyle w:val="BodyText"/>
        <w:rPr>
          <w:rFonts w:eastAsiaTheme="minorEastAsia"/>
        </w:rPr>
      </w:pPr>
      <w:r w:rsidRPr="00DA4B4B">
        <w:rPr>
          <w:rFonts w:eastAsiaTheme="minorEastAsia"/>
        </w:rPr>
        <w:t xml:space="preserve">Note </w:t>
      </w:r>
      <w:r w:rsidR="0000614D">
        <w:rPr>
          <w:rFonts w:eastAsiaTheme="minorEastAsia"/>
        </w:rPr>
        <w:t xml:space="preserve">that </w:t>
      </w:r>
      <w:r w:rsidRPr="00DA4B4B">
        <w:rPr>
          <w:rFonts w:eastAsiaTheme="minorEastAsia"/>
        </w:rPr>
        <w:t>the following contingent liability did not exist as at the reporting date of 30</w:t>
      </w:r>
      <w:r w:rsidR="002E5AB5">
        <w:rPr>
          <w:rFonts w:eastAsiaTheme="minorEastAsia"/>
        </w:rPr>
        <w:t> </w:t>
      </w:r>
      <w:r w:rsidRPr="00DA4B4B">
        <w:rPr>
          <w:rFonts w:eastAsiaTheme="minorEastAsia"/>
        </w:rPr>
        <w:t>April</w:t>
      </w:r>
      <w:r w:rsidR="002E5AB5">
        <w:rPr>
          <w:rFonts w:eastAsiaTheme="minorEastAsia"/>
        </w:rPr>
        <w:t> </w:t>
      </w:r>
      <w:r w:rsidRPr="00DA4B4B">
        <w:rPr>
          <w:rFonts w:eastAsiaTheme="minorEastAsia"/>
        </w:rPr>
        <w:t xml:space="preserve">2024. </w:t>
      </w:r>
      <w:r w:rsidR="008011E3">
        <w:rPr>
          <w:rFonts w:eastAsiaTheme="minorEastAsia"/>
        </w:rPr>
        <w:t>G</w:t>
      </w:r>
      <w:r w:rsidRPr="00DA4B4B">
        <w:rPr>
          <w:rFonts w:eastAsiaTheme="minorEastAsia"/>
        </w:rPr>
        <w:t>iven its sensitivity to the State</w:t>
      </w:r>
      <w:r w:rsidR="008011E3">
        <w:rPr>
          <w:rFonts w:eastAsiaTheme="minorEastAsia"/>
        </w:rPr>
        <w:t>, however</w:t>
      </w:r>
      <w:r w:rsidRPr="00DA4B4B">
        <w:rPr>
          <w:rFonts w:eastAsiaTheme="minorEastAsia"/>
        </w:rPr>
        <w:t>, it</w:t>
      </w:r>
      <w:r>
        <w:rPr>
          <w:rFonts w:eastAsiaTheme="minorEastAsia"/>
        </w:rPr>
        <w:t xml:space="preserve"> is</w:t>
      </w:r>
      <w:r w:rsidRPr="00DA4B4B">
        <w:rPr>
          <w:rFonts w:eastAsiaTheme="minorEastAsia"/>
        </w:rPr>
        <w:t xml:space="preserve"> being acknowledged in this Appendix.</w:t>
      </w:r>
    </w:p>
    <w:p w14:paraId="271F20CB" w14:textId="30B1B2F6" w:rsidR="0039226C" w:rsidRDefault="000479AB" w:rsidP="0039226C">
      <w:pPr>
        <w:pStyle w:val="TableCX"/>
      </w:pPr>
      <w:r>
        <w:t>Significant c</w:t>
      </w:r>
      <w:r w:rsidR="0039226C">
        <w:t>ontingent liabilities</w:t>
      </w:r>
      <w:r w:rsidR="000F351C">
        <w:t xml:space="preserve"> arising</w:t>
      </w:r>
      <w:r w:rsidR="0039226C">
        <w:t xml:space="preserve"> </w:t>
      </w:r>
      <w:r w:rsidR="004C5DD2">
        <w:t>post</w:t>
      </w:r>
      <w:r w:rsidR="00FF0780">
        <w:t>-</w:t>
      </w:r>
      <w:r w:rsidR="0039226C">
        <w:t xml:space="preserve">reporting </w:t>
      </w:r>
      <w:proofErr w:type="gramStart"/>
      <w:r w:rsidR="0039226C">
        <w:t>dat</w:t>
      </w:r>
      <w:r w:rsidR="000F351C">
        <w:t>e</w:t>
      </w:r>
      <w:proofErr w:type="gramEnd"/>
    </w:p>
    <w:tbl>
      <w:tblPr>
        <w:tblStyle w:val="TableGrid0"/>
        <w:tblW w:w="9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C.6: Significant contingent liabilities arising post-reporting date"/>
        <w:tblDescription w:val="Table C.6: Significant contingent liabilities arising post-reporting date"/>
      </w:tblPr>
      <w:tblGrid>
        <w:gridCol w:w="3821"/>
        <w:gridCol w:w="5811"/>
      </w:tblGrid>
      <w:tr w:rsidR="0039226C" w:rsidRPr="00C40479" w14:paraId="0C7E102B" w14:textId="77777777" w:rsidTr="0000556D">
        <w:tc>
          <w:tcPr>
            <w:tcW w:w="3821" w:type="dxa"/>
            <w:shd w:val="clear" w:color="auto" w:fill="EBEBEB"/>
          </w:tcPr>
          <w:p w14:paraId="7039D8FF" w14:textId="454263D1" w:rsidR="0039226C" w:rsidRPr="00C40479" w:rsidRDefault="0039226C" w:rsidP="00555E0E">
            <w:pPr>
              <w:spacing w:before="120" w:after="120"/>
              <w:rPr>
                <w:rFonts w:ascii="Public Sans" w:hAnsi="Public Sans" w:cs="Arial"/>
                <w:bCs/>
                <w:sz w:val="18"/>
                <w:szCs w:val="18"/>
              </w:rPr>
            </w:pPr>
            <w:r w:rsidRPr="00C40479">
              <w:rPr>
                <w:rFonts w:ascii="Public Sans" w:hAnsi="Public Sans" w:cs="Arial"/>
                <w:bCs/>
                <w:sz w:val="18"/>
                <w:szCs w:val="18"/>
              </w:rPr>
              <w:t>Transaction</w:t>
            </w:r>
          </w:p>
        </w:tc>
        <w:tc>
          <w:tcPr>
            <w:tcW w:w="5811" w:type="dxa"/>
            <w:shd w:val="clear" w:color="auto" w:fill="EBEBEB"/>
          </w:tcPr>
          <w:p w14:paraId="764692E3" w14:textId="6EC0048B" w:rsidR="0039226C" w:rsidRPr="00C40479" w:rsidRDefault="0039226C" w:rsidP="00555E0E">
            <w:pPr>
              <w:spacing w:before="120" w:after="120"/>
              <w:rPr>
                <w:rFonts w:ascii="Public Sans" w:hAnsi="Public Sans" w:cs="Arial"/>
                <w:bCs/>
                <w:sz w:val="18"/>
                <w:szCs w:val="18"/>
              </w:rPr>
            </w:pPr>
            <w:r w:rsidRPr="00C40479">
              <w:rPr>
                <w:rFonts w:ascii="Public Sans" w:hAnsi="Public Sans" w:cs="Arial"/>
                <w:bCs/>
                <w:sz w:val="18"/>
                <w:szCs w:val="18"/>
              </w:rPr>
              <w:t>Nature of the contingent liabilit</w:t>
            </w:r>
            <w:r w:rsidR="00BE6BB3">
              <w:rPr>
                <w:rFonts w:ascii="Public Sans" w:hAnsi="Public Sans" w:cs="Arial"/>
                <w:bCs/>
                <w:sz w:val="18"/>
                <w:szCs w:val="18"/>
              </w:rPr>
              <w:t>y</w:t>
            </w:r>
          </w:p>
        </w:tc>
      </w:tr>
      <w:tr w:rsidR="0039226C" w:rsidRPr="00C40479" w14:paraId="5B46CAE2" w14:textId="77777777" w:rsidTr="00E152DB">
        <w:tc>
          <w:tcPr>
            <w:tcW w:w="3821" w:type="dxa"/>
            <w:tcBorders>
              <w:top w:val="single" w:sz="4" w:space="0" w:color="A6A6A6" w:themeColor="background1" w:themeShade="A6"/>
              <w:bottom w:val="single" w:sz="4" w:space="0" w:color="auto"/>
            </w:tcBorders>
          </w:tcPr>
          <w:p w14:paraId="5B3F0548" w14:textId="2D01D644" w:rsidR="0039226C" w:rsidRPr="00CC7CBD" w:rsidRDefault="0039226C" w:rsidP="00E152DB">
            <w:pPr>
              <w:spacing w:before="80" w:after="80"/>
              <w:rPr>
                <w:rFonts w:ascii="Public Sans" w:hAnsi="Public Sans" w:cs="Arial"/>
                <w:sz w:val="18"/>
                <w:szCs w:val="18"/>
              </w:rPr>
            </w:pPr>
            <w:r w:rsidRPr="00DA4B4B">
              <w:rPr>
                <w:rFonts w:ascii="Public Sans" w:hAnsi="Public Sans" w:cs="Arial"/>
                <w:sz w:val="18"/>
                <w:szCs w:val="18"/>
              </w:rPr>
              <w:t xml:space="preserve">Agreement with Origin Energy to operate the </w:t>
            </w:r>
            <w:proofErr w:type="spellStart"/>
            <w:r w:rsidRPr="00DA4B4B">
              <w:rPr>
                <w:rFonts w:ascii="Public Sans" w:hAnsi="Public Sans" w:cs="Arial"/>
                <w:sz w:val="18"/>
                <w:szCs w:val="18"/>
              </w:rPr>
              <w:t>Eraring</w:t>
            </w:r>
            <w:proofErr w:type="spellEnd"/>
            <w:r w:rsidRPr="00DA4B4B">
              <w:rPr>
                <w:rFonts w:ascii="Public Sans" w:hAnsi="Public Sans" w:cs="Arial"/>
                <w:sz w:val="18"/>
                <w:szCs w:val="18"/>
              </w:rPr>
              <w:t xml:space="preserve"> Power Station until August</w:t>
            </w:r>
            <w:r w:rsidR="0000556D">
              <w:rPr>
                <w:rFonts w:ascii="Public Sans" w:hAnsi="Public Sans" w:cs="Arial"/>
                <w:sz w:val="18"/>
                <w:szCs w:val="18"/>
              </w:rPr>
              <w:t> </w:t>
            </w:r>
            <w:r w:rsidRPr="00DA4B4B">
              <w:rPr>
                <w:rFonts w:ascii="Public Sans" w:hAnsi="Public Sans" w:cs="Arial"/>
                <w:sz w:val="18"/>
                <w:szCs w:val="18"/>
              </w:rPr>
              <w:t>2027</w:t>
            </w:r>
          </w:p>
        </w:tc>
        <w:tc>
          <w:tcPr>
            <w:tcW w:w="5811" w:type="dxa"/>
            <w:tcBorders>
              <w:top w:val="single" w:sz="4" w:space="0" w:color="A6A6A6" w:themeColor="background1" w:themeShade="A6"/>
              <w:bottom w:val="single" w:sz="4" w:space="0" w:color="auto"/>
            </w:tcBorders>
          </w:tcPr>
          <w:p w14:paraId="1BBA75D2" w14:textId="77777777" w:rsidR="0039226C" w:rsidRPr="00CC7CBD" w:rsidRDefault="0039226C" w:rsidP="00555E0E">
            <w:pPr>
              <w:spacing w:before="80" w:after="80"/>
              <w:rPr>
                <w:rFonts w:ascii="Public Sans" w:hAnsi="Public Sans" w:cs="Arial"/>
                <w:sz w:val="18"/>
                <w:szCs w:val="18"/>
              </w:rPr>
            </w:pPr>
            <w:r w:rsidRPr="00DA4B4B">
              <w:rPr>
                <w:rFonts w:ascii="Public Sans" w:hAnsi="Public Sans" w:cs="Arial"/>
                <w:sz w:val="18"/>
                <w:szCs w:val="18"/>
              </w:rPr>
              <w:t xml:space="preserve">Underwriting up to 80 per cent of any operating losses for </w:t>
            </w:r>
            <w:proofErr w:type="spellStart"/>
            <w:r w:rsidRPr="00DA4B4B">
              <w:rPr>
                <w:rFonts w:ascii="Public Sans" w:hAnsi="Public Sans" w:cs="Arial"/>
                <w:sz w:val="18"/>
                <w:szCs w:val="18"/>
              </w:rPr>
              <w:t>Eraring</w:t>
            </w:r>
            <w:proofErr w:type="spellEnd"/>
            <w:r w:rsidRPr="00DA4B4B">
              <w:rPr>
                <w:rFonts w:ascii="Public Sans" w:hAnsi="Public Sans" w:cs="Arial"/>
                <w:sz w:val="18"/>
                <w:szCs w:val="18"/>
              </w:rPr>
              <w:t xml:space="preserve"> capped at $225 million each year, should Origin choose to be covered, in any year.</w:t>
            </w:r>
          </w:p>
        </w:tc>
      </w:tr>
    </w:tbl>
    <w:p w14:paraId="45E238E3" w14:textId="77777777" w:rsidR="0039226C" w:rsidRPr="00DA4B4B" w:rsidRDefault="0039226C" w:rsidP="0039226C">
      <w:pPr>
        <w:rPr>
          <w:lang w:val="en-AU"/>
        </w:rPr>
      </w:pPr>
    </w:p>
    <w:p w14:paraId="16114561" w14:textId="77777777" w:rsidR="0085089B" w:rsidRPr="0085089B" w:rsidRDefault="0085089B" w:rsidP="0085089B"/>
    <w:sectPr w:rsidR="0085089B" w:rsidRPr="0085089B" w:rsidSect="00020DE7">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851" w:left="1134"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B69FF" w14:textId="77777777" w:rsidR="00034DCF" w:rsidRDefault="00034DCF">
      <w:r>
        <w:separator/>
      </w:r>
    </w:p>
  </w:endnote>
  <w:endnote w:type="continuationSeparator" w:id="0">
    <w:p w14:paraId="3C9F622E" w14:textId="77777777" w:rsidR="00034DCF" w:rsidRDefault="00034DCF">
      <w:r>
        <w:continuationSeparator/>
      </w:r>
    </w:p>
  </w:endnote>
  <w:endnote w:type="continuationNotice" w:id="1">
    <w:p w14:paraId="3F56A98C" w14:textId="77777777" w:rsidR="00034DCF" w:rsidRDefault="00034D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58D09" w14:textId="01125C75" w:rsidR="00EB40B2" w:rsidRDefault="00EB40B2" w:rsidP="008E7015">
    <w:pPr>
      <w:pBdr>
        <w:top w:val="single" w:sz="4" w:space="4" w:color="auto"/>
      </w:pBdr>
      <w:tabs>
        <w:tab w:val="right" w:pos="9639"/>
      </w:tabs>
      <w:rPr>
        <w:rFonts w:ascii="Public Sans" w:hAnsi="Public Sans" w:cs="Arial"/>
        <w:sz w:val="18"/>
        <w:szCs w:val="18"/>
      </w:rPr>
    </w:pPr>
    <w:r>
      <w:rPr>
        <w:rFonts w:ascii="Public Sans" w:hAnsi="Public Sans" w:cs="Arial"/>
        <w:sz w:val="18"/>
        <w:szCs w:val="18"/>
      </w:rPr>
      <w:t>C</w:t>
    </w:r>
    <w:r w:rsidRPr="00343559">
      <w:rPr>
        <w:rFonts w:ascii="Public Sans" w:hAnsi="Public Sans" w:cs="Arial"/>
        <w:sz w:val="18"/>
        <w:szCs w:val="18"/>
      </w:rPr>
      <w:t xml:space="preserve">- </w:t>
    </w:r>
    <w:r w:rsidRPr="00343559">
      <w:rPr>
        <w:rFonts w:ascii="Public Sans" w:hAnsi="Public Sans" w:cs="Arial"/>
        <w:sz w:val="18"/>
        <w:szCs w:val="18"/>
      </w:rPr>
      <w:fldChar w:fldCharType="begin"/>
    </w:r>
    <w:r w:rsidRPr="00343559">
      <w:rPr>
        <w:rFonts w:ascii="Public Sans" w:hAnsi="Public Sans" w:cs="Arial"/>
        <w:sz w:val="18"/>
        <w:szCs w:val="18"/>
      </w:rPr>
      <w:instrText xml:space="preserve"> PAGE   \* MERGEFORMAT </w:instrText>
    </w:r>
    <w:r w:rsidRPr="00343559">
      <w:rPr>
        <w:rFonts w:ascii="Public Sans" w:hAnsi="Public Sans" w:cs="Arial"/>
        <w:sz w:val="18"/>
        <w:szCs w:val="18"/>
      </w:rPr>
      <w:fldChar w:fldCharType="separate"/>
    </w:r>
    <w:r w:rsidRPr="00343559">
      <w:rPr>
        <w:rFonts w:ascii="Public Sans" w:hAnsi="Public Sans" w:cs="Arial"/>
        <w:sz w:val="18"/>
        <w:szCs w:val="18"/>
      </w:rPr>
      <w:t>1</w:t>
    </w:r>
    <w:r w:rsidRPr="00343559">
      <w:rPr>
        <w:rFonts w:ascii="Public Sans" w:hAnsi="Public Sans" w:cs="Arial"/>
        <w:noProof/>
        <w:sz w:val="18"/>
        <w:szCs w:val="18"/>
      </w:rPr>
      <w:fldChar w:fldCharType="end"/>
    </w:r>
    <w:r w:rsidRPr="00343559">
      <w:rPr>
        <w:rFonts w:ascii="Public Sans" w:hAnsi="Public Sans" w:cs="Arial"/>
        <w:noProof/>
        <w:sz w:val="18"/>
        <w:szCs w:val="18"/>
      </w:rPr>
      <w:tab/>
    </w:r>
    <w:r w:rsidR="00BE729C" w:rsidRPr="00343559">
      <w:rPr>
        <w:rFonts w:ascii="Public Sans" w:hAnsi="Public Sans" w:cs="Arial"/>
        <w:sz w:val="18"/>
        <w:szCs w:val="18"/>
      </w:rPr>
      <w:t>202</w:t>
    </w:r>
    <w:r w:rsidR="00BE729C">
      <w:rPr>
        <w:rFonts w:ascii="Public Sans" w:hAnsi="Public Sans" w:cs="Arial"/>
        <w:sz w:val="18"/>
        <w:szCs w:val="18"/>
      </w:rPr>
      <w:t>4</w:t>
    </w:r>
    <w:r w:rsidR="00BE729C" w:rsidRPr="00343559">
      <w:rPr>
        <w:rFonts w:ascii="Public Sans" w:hAnsi="Public Sans" w:cs="Arial"/>
        <w:sz w:val="18"/>
        <w:szCs w:val="18"/>
      </w:rPr>
      <w:t>-2</w:t>
    </w:r>
    <w:r w:rsidR="00BE729C">
      <w:rPr>
        <w:rFonts w:ascii="Public Sans" w:hAnsi="Public Sans" w:cs="Arial"/>
        <w:sz w:val="18"/>
        <w:szCs w:val="18"/>
      </w:rPr>
      <w:t xml:space="preserve">5 </w:t>
    </w:r>
    <w:r w:rsidRPr="00343559">
      <w:rPr>
        <w:rFonts w:ascii="Public Sans" w:hAnsi="Public Sans" w:cs="Arial"/>
        <w:sz w:val="18"/>
        <w:szCs w:val="18"/>
      </w:rPr>
      <w:t xml:space="preserve">Budget Statement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2DF7E" w14:textId="6549136D" w:rsidR="00EB40B2" w:rsidRDefault="00BE729C" w:rsidP="008E7015">
    <w:pPr>
      <w:pBdr>
        <w:top w:val="single" w:sz="4" w:space="4" w:color="auto"/>
      </w:pBdr>
      <w:tabs>
        <w:tab w:val="right" w:pos="9639"/>
      </w:tabs>
      <w:rPr>
        <w:rFonts w:ascii="Public Sans" w:hAnsi="Public Sans" w:cs="Arial"/>
        <w:sz w:val="18"/>
        <w:szCs w:val="18"/>
      </w:rPr>
    </w:pPr>
    <w:r w:rsidRPr="00343559">
      <w:rPr>
        <w:rFonts w:ascii="Public Sans" w:hAnsi="Public Sans" w:cs="Arial"/>
        <w:sz w:val="18"/>
        <w:szCs w:val="18"/>
      </w:rPr>
      <w:t>202</w:t>
    </w:r>
    <w:r>
      <w:rPr>
        <w:rFonts w:ascii="Public Sans" w:hAnsi="Public Sans" w:cs="Arial"/>
        <w:sz w:val="18"/>
        <w:szCs w:val="18"/>
      </w:rPr>
      <w:t>4</w:t>
    </w:r>
    <w:r w:rsidRPr="00343559">
      <w:rPr>
        <w:rFonts w:ascii="Public Sans" w:hAnsi="Public Sans" w:cs="Arial"/>
        <w:sz w:val="18"/>
        <w:szCs w:val="18"/>
      </w:rPr>
      <w:t>-2</w:t>
    </w:r>
    <w:r>
      <w:rPr>
        <w:rFonts w:ascii="Public Sans" w:hAnsi="Public Sans" w:cs="Arial"/>
        <w:sz w:val="18"/>
        <w:szCs w:val="18"/>
      </w:rPr>
      <w:t xml:space="preserve">5 </w:t>
    </w:r>
    <w:r w:rsidR="00EB40B2" w:rsidRPr="00343559">
      <w:rPr>
        <w:rFonts w:ascii="Public Sans" w:hAnsi="Public Sans" w:cs="Arial"/>
        <w:sz w:val="18"/>
        <w:szCs w:val="18"/>
      </w:rPr>
      <w:t>Budget Statement</w:t>
    </w:r>
    <w:r w:rsidR="00EB40B2" w:rsidRPr="00343559">
      <w:rPr>
        <w:rFonts w:ascii="Public Sans" w:hAnsi="Public Sans" w:cs="Arial"/>
        <w:sz w:val="18"/>
        <w:szCs w:val="18"/>
      </w:rPr>
      <w:tab/>
    </w:r>
    <w:r w:rsidR="00EB40B2">
      <w:rPr>
        <w:rFonts w:ascii="Public Sans" w:hAnsi="Public Sans" w:cs="Arial"/>
        <w:sz w:val="18"/>
        <w:szCs w:val="18"/>
      </w:rPr>
      <w:t>C</w:t>
    </w:r>
    <w:r w:rsidR="00EB40B2" w:rsidRPr="00343559">
      <w:rPr>
        <w:rFonts w:ascii="Public Sans" w:hAnsi="Public Sans" w:cs="Arial"/>
        <w:sz w:val="18"/>
        <w:szCs w:val="18"/>
      </w:rPr>
      <w:t xml:space="preserve"> - </w:t>
    </w:r>
    <w:r w:rsidR="00EB40B2" w:rsidRPr="00343559">
      <w:rPr>
        <w:rFonts w:ascii="Public Sans" w:hAnsi="Public Sans" w:cs="Arial"/>
        <w:sz w:val="18"/>
        <w:szCs w:val="18"/>
      </w:rPr>
      <w:fldChar w:fldCharType="begin"/>
    </w:r>
    <w:r w:rsidR="00EB40B2" w:rsidRPr="00343559">
      <w:rPr>
        <w:rFonts w:ascii="Public Sans" w:hAnsi="Public Sans" w:cs="Arial"/>
        <w:sz w:val="18"/>
        <w:szCs w:val="18"/>
      </w:rPr>
      <w:instrText xml:space="preserve"> PAGE   \* MERGEFORMAT </w:instrText>
    </w:r>
    <w:r w:rsidR="00EB40B2" w:rsidRPr="00343559">
      <w:rPr>
        <w:rFonts w:ascii="Public Sans" w:hAnsi="Public Sans" w:cs="Arial"/>
        <w:sz w:val="18"/>
        <w:szCs w:val="18"/>
      </w:rPr>
      <w:fldChar w:fldCharType="separate"/>
    </w:r>
    <w:r w:rsidR="00EB40B2" w:rsidRPr="00343559">
      <w:rPr>
        <w:rFonts w:ascii="Public Sans" w:hAnsi="Public Sans" w:cs="Arial"/>
        <w:sz w:val="18"/>
        <w:szCs w:val="18"/>
      </w:rPr>
      <w:t>4</w:t>
    </w:r>
    <w:r w:rsidR="00EB40B2" w:rsidRPr="00343559">
      <w:rPr>
        <w:rFonts w:ascii="Public Sans" w:hAnsi="Public Sans"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9CF3E" w14:textId="6300002D" w:rsidR="00EB40B2" w:rsidRDefault="00BE729C" w:rsidP="008E7015">
    <w:pPr>
      <w:pBdr>
        <w:top w:val="single" w:sz="4" w:space="4" w:color="auto"/>
      </w:pBdr>
      <w:tabs>
        <w:tab w:val="right" w:pos="9639"/>
      </w:tabs>
      <w:rPr>
        <w:rFonts w:ascii="Public Sans" w:hAnsi="Public Sans" w:cs="Arial"/>
        <w:noProof/>
        <w:sz w:val="18"/>
        <w:szCs w:val="18"/>
      </w:rPr>
    </w:pPr>
    <w:r w:rsidRPr="00343559">
      <w:rPr>
        <w:rFonts w:ascii="Public Sans" w:hAnsi="Public Sans" w:cs="Arial"/>
        <w:sz w:val="18"/>
        <w:szCs w:val="18"/>
      </w:rPr>
      <w:t>202</w:t>
    </w:r>
    <w:r>
      <w:rPr>
        <w:rFonts w:ascii="Public Sans" w:hAnsi="Public Sans" w:cs="Arial"/>
        <w:sz w:val="18"/>
        <w:szCs w:val="18"/>
      </w:rPr>
      <w:t>4</w:t>
    </w:r>
    <w:r w:rsidRPr="00343559">
      <w:rPr>
        <w:rFonts w:ascii="Public Sans" w:hAnsi="Public Sans" w:cs="Arial"/>
        <w:sz w:val="18"/>
        <w:szCs w:val="18"/>
      </w:rPr>
      <w:t>-2</w:t>
    </w:r>
    <w:r>
      <w:rPr>
        <w:rFonts w:ascii="Public Sans" w:hAnsi="Public Sans" w:cs="Arial"/>
        <w:sz w:val="18"/>
        <w:szCs w:val="18"/>
      </w:rPr>
      <w:t xml:space="preserve">5 </w:t>
    </w:r>
    <w:r w:rsidR="00EB40B2" w:rsidRPr="00343559">
      <w:rPr>
        <w:rFonts w:ascii="Public Sans" w:hAnsi="Public Sans" w:cs="Arial"/>
        <w:sz w:val="18"/>
        <w:szCs w:val="18"/>
      </w:rPr>
      <w:t>Budget Statement</w:t>
    </w:r>
    <w:r w:rsidR="00EB40B2" w:rsidRPr="00343559">
      <w:rPr>
        <w:rFonts w:ascii="Public Sans" w:hAnsi="Public Sans" w:cs="Arial"/>
        <w:sz w:val="18"/>
        <w:szCs w:val="18"/>
      </w:rPr>
      <w:tab/>
    </w:r>
    <w:r w:rsidR="00EB40B2">
      <w:rPr>
        <w:rFonts w:ascii="Public Sans" w:hAnsi="Public Sans" w:cs="Arial"/>
        <w:sz w:val="18"/>
        <w:szCs w:val="18"/>
      </w:rPr>
      <w:t>C</w:t>
    </w:r>
    <w:r w:rsidR="00EB40B2" w:rsidRPr="00343559">
      <w:rPr>
        <w:rFonts w:ascii="Public Sans" w:hAnsi="Public Sans" w:cs="Arial"/>
        <w:sz w:val="18"/>
        <w:szCs w:val="18"/>
      </w:rPr>
      <w:t xml:space="preserve"> - </w:t>
    </w:r>
    <w:r w:rsidR="00EB40B2" w:rsidRPr="00343559">
      <w:rPr>
        <w:rFonts w:ascii="Public Sans" w:hAnsi="Public Sans" w:cs="Arial"/>
        <w:sz w:val="18"/>
        <w:szCs w:val="18"/>
      </w:rPr>
      <w:fldChar w:fldCharType="begin"/>
    </w:r>
    <w:r w:rsidR="00EB40B2" w:rsidRPr="00343559">
      <w:rPr>
        <w:rFonts w:ascii="Public Sans" w:hAnsi="Public Sans" w:cs="Arial"/>
        <w:sz w:val="18"/>
        <w:szCs w:val="18"/>
      </w:rPr>
      <w:instrText xml:space="preserve"> PAGE   \* MERGEFORMAT </w:instrText>
    </w:r>
    <w:r w:rsidR="00EB40B2" w:rsidRPr="00343559">
      <w:rPr>
        <w:rFonts w:ascii="Public Sans" w:hAnsi="Public Sans" w:cs="Arial"/>
        <w:sz w:val="18"/>
        <w:szCs w:val="18"/>
      </w:rPr>
      <w:fldChar w:fldCharType="separate"/>
    </w:r>
    <w:r w:rsidR="00EB40B2" w:rsidRPr="00343559">
      <w:rPr>
        <w:rFonts w:ascii="Public Sans" w:hAnsi="Public Sans" w:cs="Arial"/>
        <w:sz w:val="18"/>
        <w:szCs w:val="18"/>
      </w:rPr>
      <w:t>4</w:t>
    </w:r>
    <w:r w:rsidR="00EB40B2" w:rsidRPr="00343559">
      <w:rPr>
        <w:rFonts w:ascii="Public Sans" w:hAnsi="Public Sans"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4F75B" w14:textId="77777777" w:rsidR="00034DCF" w:rsidRDefault="00034DCF">
      <w:pPr>
        <w:spacing w:before="120"/>
      </w:pPr>
      <w:r>
        <w:separator/>
      </w:r>
    </w:p>
  </w:footnote>
  <w:footnote w:type="continuationSeparator" w:id="0">
    <w:p w14:paraId="7FAD90E6" w14:textId="77777777" w:rsidR="00034DCF" w:rsidRDefault="00034DCF">
      <w:pPr>
        <w:spacing w:before="120"/>
      </w:pPr>
      <w:r>
        <w:continuationSeparator/>
      </w:r>
    </w:p>
  </w:footnote>
  <w:footnote w:type="continuationNotice" w:id="1">
    <w:p w14:paraId="56DF4F4C" w14:textId="77777777" w:rsidR="00034DCF" w:rsidRDefault="00034DCF">
      <w:pPr>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DC369" w14:textId="77777777" w:rsidR="005F6865" w:rsidRPr="006A7891" w:rsidRDefault="005F6865" w:rsidP="005F6865">
    <w:pPr>
      <w:pBdr>
        <w:bottom w:val="single" w:sz="2" w:space="4" w:color="auto"/>
      </w:pBdr>
      <w:tabs>
        <w:tab w:val="center" w:pos="4153"/>
        <w:tab w:val="right" w:pos="8306"/>
      </w:tabs>
      <w:spacing w:line="192" w:lineRule="auto"/>
      <w:contextualSpacing/>
      <w:rPr>
        <w:rFonts w:ascii="Public Sans" w:eastAsia="Calibri" w:hAnsi="Public Sans" w:cs="Arial"/>
        <w:sz w:val="18"/>
        <w:szCs w:val="18"/>
      </w:rPr>
    </w:pPr>
    <w:r w:rsidRPr="006A7891">
      <w:rPr>
        <w:rFonts w:ascii="Public Sans" w:eastAsia="Calibri" w:hAnsi="Public Sans" w:cs="Arial"/>
        <w:sz w:val="18"/>
        <w:szCs w:val="18"/>
      </w:rPr>
      <w:t>Contingent Assets and Liabilities</w:t>
    </w:r>
  </w:p>
  <w:p w14:paraId="439DB458" w14:textId="77777777" w:rsidR="009E5213" w:rsidRDefault="009E5213" w:rsidP="009E52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1F56E" w14:textId="77777777" w:rsidR="005F6865" w:rsidRPr="006A7891" w:rsidRDefault="005F6865" w:rsidP="005F6865">
    <w:pPr>
      <w:pBdr>
        <w:bottom w:val="single" w:sz="2" w:space="4" w:color="auto"/>
      </w:pBdr>
      <w:tabs>
        <w:tab w:val="center" w:pos="4153"/>
        <w:tab w:val="right" w:pos="8306"/>
      </w:tabs>
      <w:spacing w:line="192" w:lineRule="auto"/>
      <w:contextualSpacing/>
      <w:jc w:val="right"/>
      <w:rPr>
        <w:rFonts w:ascii="Public Sans" w:eastAsia="Calibri" w:hAnsi="Public Sans" w:cs="Arial"/>
        <w:sz w:val="18"/>
        <w:szCs w:val="18"/>
      </w:rPr>
    </w:pPr>
    <w:r w:rsidRPr="006A7891">
      <w:rPr>
        <w:rFonts w:ascii="Public Sans" w:eastAsia="Calibri" w:hAnsi="Public Sans" w:cs="Arial"/>
        <w:sz w:val="18"/>
        <w:szCs w:val="18"/>
      </w:rPr>
      <w:t>Contingent Assets and Liabilities</w:t>
    </w:r>
  </w:p>
  <w:p w14:paraId="08E06F2E" w14:textId="0C19DE4D" w:rsidR="009E5213" w:rsidRPr="005F6865" w:rsidRDefault="009E5213" w:rsidP="005F6865">
    <w:pPr>
      <w:pStyle w:val="Header"/>
      <w:rPr>
        <w:rFonts w:eastAsia="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F6EAC" w14:textId="77777777" w:rsidR="00D355DE" w:rsidRPr="00180917" w:rsidRDefault="00D355DE" w:rsidP="001809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DE6A346"/>
    <w:lvl w:ilvl="0">
      <w:start w:val="1"/>
      <w:numFmt w:val="bullet"/>
      <w:pStyle w:val="ListBullet"/>
      <w:lvlText w:val=""/>
      <w:lvlJc w:val="left"/>
      <w:pPr>
        <w:tabs>
          <w:tab w:val="num" w:pos="644"/>
        </w:tabs>
        <w:ind w:left="644" w:hanging="360"/>
      </w:pPr>
      <w:rPr>
        <w:rFonts w:ascii="Symbol" w:hAnsi="Symbol" w:hint="default"/>
      </w:rPr>
    </w:lvl>
  </w:abstractNum>
  <w:abstractNum w:abstractNumId="1" w15:restartNumberingAfterBreak="0">
    <w:nsid w:val="024E2770"/>
    <w:multiLevelType w:val="hybridMultilevel"/>
    <w:tmpl w:val="4F1EA5AA"/>
    <w:lvl w:ilvl="0" w:tplc="6CB4AA2A">
      <w:start w:val="1"/>
      <w:numFmt w:val="decimal"/>
      <w:pStyle w:val="Box71BoxHeading"/>
      <w:lvlText w:val="Box 7.%1:"/>
      <w:lvlJc w:val="left"/>
      <w:pPr>
        <w:ind w:left="720" w:hanging="360"/>
      </w:pPr>
      <w:rPr>
        <w:rFonts w:ascii="Arial Bold" w:hAnsi="Arial Bold" w:hint="default"/>
        <w:b/>
        <w:i w:val="0"/>
        <w:sz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B13CE9"/>
    <w:multiLevelType w:val="hybridMultilevel"/>
    <w:tmpl w:val="9BB61FBC"/>
    <w:lvl w:ilvl="0" w:tplc="EA321640">
      <w:start w:val="1"/>
      <w:numFmt w:val="decimal"/>
      <w:pStyle w:val="ChartA1X"/>
      <w:lvlText w:val="Chart A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69716A"/>
    <w:multiLevelType w:val="hybridMultilevel"/>
    <w:tmpl w:val="8154D39C"/>
    <w:lvl w:ilvl="0" w:tplc="2A182B60">
      <w:start w:val="1"/>
      <w:numFmt w:val="decimal"/>
      <w:pStyle w:val="A22Heading2"/>
      <w:lvlText w:val="A2.%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C22B50"/>
    <w:multiLevelType w:val="hybridMultilevel"/>
    <w:tmpl w:val="D32CB4B0"/>
    <w:lvl w:ilvl="0" w:tplc="DF30B790">
      <w:start w:val="1"/>
      <w:numFmt w:val="decimal"/>
      <w:pStyle w:val="A11Heading2"/>
      <w:lvlText w:val="A1.%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860651"/>
    <w:multiLevelType w:val="hybridMultilevel"/>
    <w:tmpl w:val="15E8ED5A"/>
    <w:lvl w:ilvl="0" w:tplc="07A6AD08">
      <w:start w:val="1"/>
      <w:numFmt w:val="decimal"/>
      <w:pStyle w:val="TableA3X"/>
      <w:lvlText w:val="Table A3.%1:"/>
      <w:lvlJc w:val="left"/>
      <w:pPr>
        <w:ind w:left="360" w:hanging="360"/>
      </w:pPr>
      <w:rPr>
        <w:rFonts w:ascii="Public Sans" w:hAnsi="Public Sans" w:hint="default"/>
        <w:b w:val="0"/>
        <w:i/>
        <w:caps w:val="0"/>
        <w:color w:val="57514D"/>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59E3DB3"/>
    <w:multiLevelType w:val="hybridMultilevel"/>
    <w:tmpl w:val="80D86404"/>
    <w:lvl w:ilvl="0" w:tplc="2118EFB4">
      <w:start w:val="1"/>
      <w:numFmt w:val="decimal"/>
      <w:pStyle w:val="FigureBX"/>
      <w:lvlText w:val="Figure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5B778CF"/>
    <w:multiLevelType w:val="hybridMultilevel"/>
    <w:tmpl w:val="429A8812"/>
    <w:lvl w:ilvl="0" w:tplc="C53664EA">
      <w:start w:val="1"/>
      <w:numFmt w:val="lowerLetter"/>
      <w:lvlText w:val="(%1)"/>
      <w:lvlJc w:val="left"/>
      <w:pPr>
        <w:ind w:left="362"/>
      </w:pPr>
      <w:rPr>
        <w:rFonts w:ascii="Public Sans" w:eastAsia="Arial" w:hAnsi="Public Sans" w:cs="Arial" w:hint="default"/>
        <w:b w:val="0"/>
        <w:i w:val="0"/>
        <w:strike w:val="0"/>
        <w:dstrike w:val="0"/>
        <w:color w:val="000000"/>
        <w:sz w:val="17"/>
        <w:szCs w:val="17"/>
        <w:u w:val="none" w:color="000000"/>
        <w:bdr w:val="none" w:sz="0" w:space="0" w:color="auto"/>
        <w:shd w:val="clear" w:color="auto" w:fill="auto"/>
        <w:vertAlign w:val="baseline"/>
      </w:rPr>
    </w:lvl>
    <w:lvl w:ilvl="1" w:tplc="9508F168">
      <w:start w:val="1"/>
      <w:numFmt w:val="lowerLetter"/>
      <w:lvlText w:val="%2"/>
      <w:lvlJc w:val="left"/>
      <w:pPr>
        <w:ind w:left="10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C2A00538">
      <w:start w:val="1"/>
      <w:numFmt w:val="lowerRoman"/>
      <w:lvlText w:val="%3"/>
      <w:lvlJc w:val="left"/>
      <w:pPr>
        <w:ind w:left="180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85E6663E">
      <w:start w:val="1"/>
      <w:numFmt w:val="decimal"/>
      <w:lvlText w:val="%4"/>
      <w:lvlJc w:val="left"/>
      <w:pPr>
        <w:ind w:left="25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C35C39D4">
      <w:start w:val="1"/>
      <w:numFmt w:val="lowerLetter"/>
      <w:lvlText w:val="%5"/>
      <w:lvlJc w:val="left"/>
      <w:pPr>
        <w:ind w:left="324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F5F68A9E">
      <w:start w:val="1"/>
      <w:numFmt w:val="lowerRoman"/>
      <w:lvlText w:val="%6"/>
      <w:lvlJc w:val="left"/>
      <w:pPr>
        <w:ind w:left="396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69C29456">
      <w:start w:val="1"/>
      <w:numFmt w:val="decimal"/>
      <w:lvlText w:val="%7"/>
      <w:lvlJc w:val="left"/>
      <w:pPr>
        <w:ind w:left="46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53B80F90">
      <w:start w:val="1"/>
      <w:numFmt w:val="lowerLetter"/>
      <w:lvlText w:val="%8"/>
      <w:lvlJc w:val="left"/>
      <w:pPr>
        <w:ind w:left="540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803277F6">
      <w:start w:val="1"/>
      <w:numFmt w:val="lowerRoman"/>
      <w:lvlText w:val="%9"/>
      <w:lvlJc w:val="left"/>
      <w:pPr>
        <w:ind w:left="61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8" w15:restartNumberingAfterBreak="0">
    <w:nsid w:val="06EF3ACE"/>
    <w:multiLevelType w:val="hybridMultilevel"/>
    <w:tmpl w:val="7752F3DC"/>
    <w:lvl w:ilvl="0" w:tplc="763444AC">
      <w:start w:val="1"/>
      <w:numFmt w:val="decimal"/>
      <w:pStyle w:val="Table7X"/>
      <w:lvlText w:val="Table 7.%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9" w15:restartNumberingAfterBreak="0">
    <w:nsid w:val="0A161376"/>
    <w:multiLevelType w:val="hybridMultilevel"/>
    <w:tmpl w:val="2E166188"/>
    <w:lvl w:ilvl="0" w:tplc="D0B2D066">
      <w:start w:val="1"/>
      <w:numFmt w:val="decimal"/>
      <w:pStyle w:val="TableBX"/>
      <w:lvlText w:val="Table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FD475E7"/>
    <w:multiLevelType w:val="hybridMultilevel"/>
    <w:tmpl w:val="315E3774"/>
    <w:lvl w:ilvl="0" w:tplc="0FF8E9CE">
      <w:start w:val="1"/>
      <w:numFmt w:val="decimal"/>
      <w:pStyle w:val="ChartBX"/>
      <w:lvlText w:val="Chart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268548E"/>
    <w:multiLevelType w:val="hybridMultilevel"/>
    <w:tmpl w:val="07A6E582"/>
    <w:lvl w:ilvl="0" w:tplc="D0A00826">
      <w:start w:val="1"/>
      <w:numFmt w:val="decimal"/>
      <w:pStyle w:val="Figure7X"/>
      <w:lvlText w:val="Figure 7.%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27833DA"/>
    <w:multiLevelType w:val="hybridMultilevel"/>
    <w:tmpl w:val="E2F694F6"/>
    <w:lvl w:ilvl="0" w:tplc="45FE75FC">
      <w:start w:val="1"/>
      <w:numFmt w:val="decimal"/>
      <w:pStyle w:val="Table5X"/>
      <w:lvlText w:val="Table 5.%1:"/>
      <w:lvlJc w:val="left"/>
      <w:pPr>
        <w:ind w:left="360" w:hanging="360"/>
      </w:pPr>
      <w:rPr>
        <w:rFonts w:ascii="Public Sans" w:hAnsi="Public Sans" w:hint="default"/>
        <w:b w:val="0"/>
        <w:i/>
        <w:sz w:val="22"/>
        <w:u w:val="none"/>
      </w:rPr>
    </w:lvl>
    <w:lvl w:ilvl="1" w:tplc="0C090019" w:tentative="1">
      <w:start w:val="1"/>
      <w:numFmt w:val="lowerLetter"/>
      <w:lvlText w:val="%2."/>
      <w:lvlJc w:val="left"/>
      <w:pPr>
        <w:ind w:left="-520" w:hanging="360"/>
      </w:pPr>
    </w:lvl>
    <w:lvl w:ilvl="2" w:tplc="0C09001B" w:tentative="1">
      <w:start w:val="1"/>
      <w:numFmt w:val="lowerRoman"/>
      <w:lvlText w:val="%3."/>
      <w:lvlJc w:val="right"/>
      <w:pPr>
        <w:ind w:left="200" w:hanging="180"/>
      </w:pPr>
    </w:lvl>
    <w:lvl w:ilvl="3" w:tplc="0C09000F" w:tentative="1">
      <w:start w:val="1"/>
      <w:numFmt w:val="decimal"/>
      <w:lvlText w:val="%4."/>
      <w:lvlJc w:val="left"/>
      <w:pPr>
        <w:ind w:left="920" w:hanging="360"/>
      </w:pPr>
    </w:lvl>
    <w:lvl w:ilvl="4" w:tplc="0C090019" w:tentative="1">
      <w:start w:val="1"/>
      <w:numFmt w:val="lowerLetter"/>
      <w:lvlText w:val="%5."/>
      <w:lvlJc w:val="left"/>
      <w:pPr>
        <w:ind w:left="1640" w:hanging="360"/>
      </w:pPr>
    </w:lvl>
    <w:lvl w:ilvl="5" w:tplc="0C09001B" w:tentative="1">
      <w:start w:val="1"/>
      <w:numFmt w:val="lowerRoman"/>
      <w:lvlText w:val="%6."/>
      <w:lvlJc w:val="right"/>
      <w:pPr>
        <w:ind w:left="2360" w:hanging="180"/>
      </w:pPr>
    </w:lvl>
    <w:lvl w:ilvl="6" w:tplc="0C09000F" w:tentative="1">
      <w:start w:val="1"/>
      <w:numFmt w:val="decimal"/>
      <w:lvlText w:val="%7."/>
      <w:lvlJc w:val="left"/>
      <w:pPr>
        <w:ind w:left="3080" w:hanging="360"/>
      </w:pPr>
    </w:lvl>
    <w:lvl w:ilvl="7" w:tplc="0C090019" w:tentative="1">
      <w:start w:val="1"/>
      <w:numFmt w:val="lowerLetter"/>
      <w:lvlText w:val="%8."/>
      <w:lvlJc w:val="left"/>
      <w:pPr>
        <w:ind w:left="3800" w:hanging="360"/>
      </w:pPr>
    </w:lvl>
    <w:lvl w:ilvl="8" w:tplc="0C09001B" w:tentative="1">
      <w:start w:val="1"/>
      <w:numFmt w:val="lowerRoman"/>
      <w:lvlText w:val="%9."/>
      <w:lvlJc w:val="right"/>
      <w:pPr>
        <w:ind w:left="4520" w:hanging="180"/>
      </w:pPr>
    </w:lvl>
  </w:abstractNum>
  <w:abstractNum w:abstractNumId="13" w15:restartNumberingAfterBreak="0">
    <w:nsid w:val="1466487C"/>
    <w:multiLevelType w:val="hybridMultilevel"/>
    <w:tmpl w:val="D116BA2E"/>
    <w:lvl w:ilvl="0" w:tplc="82A2E370">
      <w:start w:val="1"/>
      <w:numFmt w:val="decimal"/>
      <w:pStyle w:val="Figure3X"/>
      <w:lvlText w:val="Figure 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5307FD1"/>
    <w:multiLevelType w:val="hybridMultilevel"/>
    <w:tmpl w:val="F8185AC4"/>
    <w:lvl w:ilvl="0" w:tplc="6B1CACF0">
      <w:start w:val="1"/>
      <w:numFmt w:val="decimal"/>
      <w:pStyle w:val="E1Heading2"/>
      <w:lvlText w:val="E.%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477A53"/>
    <w:multiLevelType w:val="hybridMultilevel"/>
    <w:tmpl w:val="1EC610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196A331C"/>
    <w:multiLevelType w:val="hybridMultilevel"/>
    <w:tmpl w:val="DAB25832"/>
    <w:lvl w:ilvl="0" w:tplc="3B2C88EE">
      <w:start w:val="1"/>
      <w:numFmt w:val="decimal"/>
      <w:pStyle w:val="TableDX"/>
      <w:lvlText w:val="Table D.%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2597091"/>
    <w:multiLevelType w:val="hybridMultilevel"/>
    <w:tmpl w:val="254C4694"/>
    <w:lvl w:ilvl="0" w:tplc="CCFEA172">
      <w:start w:val="1"/>
      <w:numFmt w:val="decimal"/>
      <w:pStyle w:val="ChartA5X"/>
      <w:lvlText w:val="Chart A5.%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4BA3451"/>
    <w:multiLevelType w:val="hybridMultilevel"/>
    <w:tmpl w:val="D3CCD44C"/>
    <w:lvl w:ilvl="0" w:tplc="0658A8F8">
      <w:start w:val="1"/>
      <w:numFmt w:val="decimal"/>
      <w:pStyle w:val="FigureA4X"/>
      <w:lvlText w:val="Figure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5DE7142"/>
    <w:multiLevelType w:val="hybridMultilevel"/>
    <w:tmpl w:val="08668E20"/>
    <w:lvl w:ilvl="0" w:tplc="A75607BC">
      <w:start w:val="1"/>
      <w:numFmt w:val="decimal"/>
      <w:pStyle w:val="TableA1X"/>
      <w:lvlText w:val="Table A1.%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9846FD5"/>
    <w:multiLevelType w:val="hybridMultilevel"/>
    <w:tmpl w:val="1ADCC6F4"/>
    <w:lvl w:ilvl="0" w:tplc="BC860DF2">
      <w:start w:val="1"/>
      <w:numFmt w:val="decimal"/>
      <w:pStyle w:val="B1Heading2"/>
      <w:lvlText w:val="B.%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16028F"/>
    <w:multiLevelType w:val="hybridMultilevel"/>
    <w:tmpl w:val="C5FE3A3E"/>
    <w:lvl w:ilvl="0" w:tplc="42F65876">
      <w:start w:val="1"/>
      <w:numFmt w:val="decimal"/>
      <w:pStyle w:val="ChartA4X"/>
      <w:lvlText w:val="Chart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DA67470"/>
    <w:multiLevelType w:val="hybridMultilevel"/>
    <w:tmpl w:val="6F860A44"/>
    <w:lvl w:ilvl="0" w:tplc="CE3EB444">
      <w:start w:val="1"/>
      <w:numFmt w:val="decimal"/>
      <w:pStyle w:val="FigureA3X"/>
      <w:lvlText w:val="Figure A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EB35209"/>
    <w:multiLevelType w:val="hybridMultilevel"/>
    <w:tmpl w:val="C5CC9BC6"/>
    <w:lvl w:ilvl="0" w:tplc="5DEA5146">
      <w:start w:val="1"/>
      <w:numFmt w:val="decimal"/>
      <w:pStyle w:val="Table6X"/>
      <w:lvlText w:val="Table 6.%1:"/>
      <w:lvlJc w:val="left"/>
      <w:pPr>
        <w:ind w:left="360" w:hanging="360"/>
      </w:pPr>
      <w:rPr>
        <w:rFonts w:ascii="Public Sans" w:hAnsi="Public Sans" w:hint="default"/>
        <w:b w:val="0"/>
        <w:i/>
        <w:caps w:val="0"/>
        <w:color w:val="57514D"/>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EC46124"/>
    <w:multiLevelType w:val="hybridMultilevel"/>
    <w:tmpl w:val="9982A7A8"/>
    <w:lvl w:ilvl="0" w:tplc="B35C7842">
      <w:start w:val="1"/>
      <w:numFmt w:val="decimal"/>
      <w:pStyle w:val="Figure4X"/>
      <w:lvlText w:val="Figure 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0E73AFC"/>
    <w:multiLevelType w:val="hybridMultilevel"/>
    <w:tmpl w:val="78CCC1E4"/>
    <w:lvl w:ilvl="0" w:tplc="23B43618">
      <w:start w:val="1"/>
      <w:numFmt w:val="decimal"/>
      <w:pStyle w:val="41Heading2"/>
      <w:lvlText w:val="4.%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1100178"/>
    <w:multiLevelType w:val="hybridMultilevel"/>
    <w:tmpl w:val="B7142E08"/>
    <w:lvl w:ilvl="0" w:tplc="DE9229E2">
      <w:start w:val="1"/>
      <w:numFmt w:val="decimal"/>
      <w:pStyle w:val="Table1X"/>
      <w:lvlText w:val="Table 1.%1:"/>
      <w:lvlJc w:val="left"/>
      <w:pPr>
        <w:ind w:left="360" w:hanging="360"/>
      </w:pPr>
      <w:rPr>
        <w:rFonts w:ascii="Public Sans" w:hAnsi="Public Sans"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20F238E"/>
    <w:multiLevelType w:val="hybridMultilevel"/>
    <w:tmpl w:val="E5440970"/>
    <w:lvl w:ilvl="0" w:tplc="13E48AEA">
      <w:start w:val="1"/>
      <w:numFmt w:val="decimal"/>
      <w:pStyle w:val="FigureA2X"/>
      <w:lvlText w:val="Figure A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2B327C4"/>
    <w:multiLevelType w:val="hybridMultilevel"/>
    <w:tmpl w:val="30FE0FCE"/>
    <w:lvl w:ilvl="0" w:tplc="792A9F28">
      <w:start w:val="1"/>
      <w:numFmt w:val="decimal"/>
      <w:pStyle w:val="81Heading2"/>
      <w:lvlText w:val="8.%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2D55888"/>
    <w:multiLevelType w:val="hybridMultilevel"/>
    <w:tmpl w:val="BF3CD98E"/>
    <w:lvl w:ilvl="0" w:tplc="4FCC9BE2">
      <w:start w:val="1"/>
      <w:numFmt w:val="decimal"/>
      <w:pStyle w:val="Table4X"/>
      <w:lvlText w:val="Table 4.%1:"/>
      <w:lvlJc w:val="left"/>
      <w:pPr>
        <w:ind w:left="360" w:hanging="360"/>
      </w:pPr>
      <w:rPr>
        <w:rFonts w:ascii="Public Sans" w:hAnsi="Public Sans" w:hint="default"/>
        <w:b w:val="0"/>
        <w:i/>
        <w:caps w:val="0"/>
        <w:color w:val="4F4F4F"/>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7A618EB"/>
    <w:multiLevelType w:val="hybridMultilevel"/>
    <w:tmpl w:val="DA08EBEE"/>
    <w:lvl w:ilvl="0" w:tplc="3EF2249E">
      <w:start w:val="1"/>
      <w:numFmt w:val="decimal"/>
      <w:pStyle w:val="Chart2X"/>
      <w:lvlText w:val="Chart 2.%1:"/>
      <w:lvlJc w:val="left"/>
      <w:pPr>
        <w:ind w:left="360" w:hanging="360"/>
      </w:pPr>
      <w:rPr>
        <w:rFonts w:ascii="Public Sans" w:hAnsi="Public Sans" w:cs="Arial" w:hint="default"/>
        <w:b w:val="0"/>
        <w:i/>
        <w:caps w:val="0"/>
        <w:color w:val="57514D"/>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7B425B1"/>
    <w:multiLevelType w:val="hybridMultilevel"/>
    <w:tmpl w:val="2FCCEC86"/>
    <w:lvl w:ilvl="0" w:tplc="2F0AE4E8">
      <w:start w:val="1"/>
      <w:numFmt w:val="decimal"/>
      <w:pStyle w:val="TableA2X"/>
      <w:lvlText w:val="Table A2.%1:"/>
      <w:lvlJc w:val="left"/>
      <w:pPr>
        <w:ind w:left="360" w:hanging="360"/>
      </w:pPr>
      <w:rPr>
        <w:rFonts w:ascii="Public Sans" w:hAnsi="Public Sans" w:hint="default"/>
        <w:b w:val="0"/>
        <w:i/>
        <w:caps w:val="0"/>
        <w:color w:val="57514D"/>
        <w:sz w:val="22"/>
        <w:u w:val="none"/>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3AC54CD5"/>
    <w:multiLevelType w:val="hybridMultilevel"/>
    <w:tmpl w:val="AB2C541E"/>
    <w:lvl w:ilvl="0" w:tplc="EF7AE16E">
      <w:start w:val="1"/>
      <w:numFmt w:val="decimal"/>
      <w:pStyle w:val="ChartA2X"/>
      <w:lvlText w:val="Chart A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DE6556A"/>
    <w:multiLevelType w:val="hybridMultilevel"/>
    <w:tmpl w:val="FF283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F765FA8"/>
    <w:multiLevelType w:val="hybridMultilevel"/>
    <w:tmpl w:val="AE5EE838"/>
    <w:lvl w:ilvl="0" w:tplc="39DAC87A">
      <w:start w:val="1"/>
      <w:numFmt w:val="decimal"/>
      <w:pStyle w:val="Box8XBoxHeading"/>
      <w:lvlText w:val="Box 8.%1:"/>
      <w:lvlJc w:val="left"/>
      <w:pPr>
        <w:ind w:left="360" w:hanging="360"/>
      </w:pPr>
      <w:rPr>
        <w:rFonts w:ascii="Public Sans SemiBold" w:hAnsi="Public Sans SemiBold" w:hint="default"/>
        <w:b/>
        <w:bCs w:val="0"/>
        <w:i w:val="0"/>
        <w:iCs w:val="0"/>
        <w:caps w:val="0"/>
        <w:strike w:val="0"/>
        <w:dstrike w:val="0"/>
        <w:vanish w:val="0"/>
        <w:color w:val="002664"/>
        <w:spacing w:val="0"/>
        <w:kern w:val="0"/>
        <w:position w:val="0"/>
        <w:sz w:val="22"/>
        <w:u w:val="none"/>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12D0B68"/>
    <w:multiLevelType w:val="hybridMultilevel"/>
    <w:tmpl w:val="84CC0188"/>
    <w:lvl w:ilvl="0" w:tplc="4170B89E">
      <w:start w:val="1"/>
      <w:numFmt w:val="lowerLetter"/>
      <w:lvlText w:val="(%1)"/>
      <w:lvlJc w:val="left"/>
      <w:pPr>
        <w:ind w:left="362"/>
      </w:pPr>
      <w:rPr>
        <w:rFonts w:ascii="Public Sans" w:eastAsia="Arial" w:hAnsi="Public Sans" w:cs="Arial" w:hint="default"/>
        <w:b w:val="0"/>
        <w:i w:val="0"/>
        <w:strike w:val="0"/>
        <w:dstrike w:val="0"/>
        <w:color w:val="000000"/>
        <w:sz w:val="17"/>
        <w:szCs w:val="17"/>
        <w:u w:val="none" w:color="000000"/>
        <w:bdr w:val="none" w:sz="0" w:space="0" w:color="auto"/>
        <w:shd w:val="clear" w:color="auto" w:fill="auto"/>
        <w:vertAlign w:val="baseline"/>
      </w:rPr>
    </w:lvl>
    <w:lvl w:ilvl="1" w:tplc="9508F168">
      <w:start w:val="1"/>
      <w:numFmt w:val="lowerLetter"/>
      <w:lvlText w:val="%2"/>
      <w:lvlJc w:val="left"/>
      <w:pPr>
        <w:ind w:left="10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C2A00538">
      <w:start w:val="1"/>
      <w:numFmt w:val="lowerRoman"/>
      <w:lvlText w:val="%3"/>
      <w:lvlJc w:val="left"/>
      <w:pPr>
        <w:ind w:left="180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85E6663E">
      <w:start w:val="1"/>
      <w:numFmt w:val="decimal"/>
      <w:lvlText w:val="%4"/>
      <w:lvlJc w:val="left"/>
      <w:pPr>
        <w:ind w:left="25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C35C39D4">
      <w:start w:val="1"/>
      <w:numFmt w:val="lowerLetter"/>
      <w:lvlText w:val="%5"/>
      <w:lvlJc w:val="left"/>
      <w:pPr>
        <w:ind w:left="324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F5F68A9E">
      <w:start w:val="1"/>
      <w:numFmt w:val="lowerRoman"/>
      <w:lvlText w:val="%6"/>
      <w:lvlJc w:val="left"/>
      <w:pPr>
        <w:ind w:left="396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69C29456">
      <w:start w:val="1"/>
      <w:numFmt w:val="decimal"/>
      <w:lvlText w:val="%7"/>
      <w:lvlJc w:val="left"/>
      <w:pPr>
        <w:ind w:left="46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53B80F90">
      <w:start w:val="1"/>
      <w:numFmt w:val="lowerLetter"/>
      <w:lvlText w:val="%8"/>
      <w:lvlJc w:val="left"/>
      <w:pPr>
        <w:ind w:left="540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803277F6">
      <w:start w:val="1"/>
      <w:numFmt w:val="lowerRoman"/>
      <w:lvlText w:val="%9"/>
      <w:lvlJc w:val="left"/>
      <w:pPr>
        <w:ind w:left="61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36" w15:restartNumberingAfterBreak="0">
    <w:nsid w:val="4402373E"/>
    <w:multiLevelType w:val="hybridMultilevel"/>
    <w:tmpl w:val="6DEC817C"/>
    <w:lvl w:ilvl="0" w:tplc="02FE086C">
      <w:start w:val="1"/>
      <w:numFmt w:val="decimal"/>
      <w:pStyle w:val="CXHeading2"/>
      <w:lvlText w:val="C.%1"/>
      <w:lvlJc w:val="left"/>
      <w:pPr>
        <w:ind w:left="360" w:hanging="360"/>
      </w:pPr>
      <w:rPr>
        <w:rFonts w:ascii="Public Sans SemiBold" w:hAnsi="Public Sans SemiBold" w:hint="default"/>
        <w:b/>
        <w:i w:val="0"/>
        <w:caps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55F00C6"/>
    <w:multiLevelType w:val="hybridMultilevel"/>
    <w:tmpl w:val="6FBAC2F6"/>
    <w:lvl w:ilvl="0" w:tplc="AB2E823A">
      <w:start w:val="1"/>
      <w:numFmt w:val="decimal"/>
      <w:pStyle w:val="61Heading2"/>
      <w:lvlText w:val="6.%1"/>
      <w:lvlJc w:val="left"/>
      <w:pPr>
        <w:ind w:left="360" w:hanging="360"/>
      </w:pPr>
      <w:rPr>
        <w:rFonts w:ascii="Public Sans SemiBold" w:hAnsi="Public Sans SemiBold" w:hint="default"/>
        <w:b w:val="0"/>
        <w:i w:val="0"/>
        <w:caps w:val="0"/>
        <w:color w:val="22272B"/>
        <w:sz w:val="28"/>
        <w:u w:val="none" w:color="0A7CB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57303A6"/>
    <w:multiLevelType w:val="hybridMultilevel"/>
    <w:tmpl w:val="1C28A2D6"/>
    <w:lvl w:ilvl="0" w:tplc="31947774">
      <w:start w:val="1"/>
      <w:numFmt w:val="decimal"/>
      <w:pStyle w:val="51Heading2"/>
      <w:lvlText w:val="5.%1"/>
      <w:lvlJc w:val="left"/>
      <w:pPr>
        <w:ind w:left="360" w:hanging="360"/>
      </w:pPr>
      <w:rPr>
        <w:rFonts w:ascii="Public Sans SemiBold" w:hAnsi="Public Sans SemiBold" w:hint="default"/>
        <w:b w:val="0"/>
        <w:i w:val="0"/>
        <w:caps w:val="0"/>
        <w:color w:val="22272B"/>
        <w:sz w:val="28"/>
        <w:u w:val="none" w:color="00ABE6"/>
      </w:rPr>
    </w:lvl>
    <w:lvl w:ilvl="1" w:tplc="0C090019" w:tentative="1">
      <w:start w:val="1"/>
      <w:numFmt w:val="lowerLetter"/>
      <w:lvlText w:val="%2."/>
      <w:lvlJc w:val="left"/>
      <w:pPr>
        <w:ind w:left="-1821" w:hanging="360"/>
      </w:pPr>
    </w:lvl>
    <w:lvl w:ilvl="2" w:tplc="0C09001B" w:tentative="1">
      <w:start w:val="1"/>
      <w:numFmt w:val="lowerRoman"/>
      <w:lvlText w:val="%3."/>
      <w:lvlJc w:val="right"/>
      <w:pPr>
        <w:ind w:left="-1101" w:hanging="180"/>
      </w:pPr>
    </w:lvl>
    <w:lvl w:ilvl="3" w:tplc="0C09000F" w:tentative="1">
      <w:start w:val="1"/>
      <w:numFmt w:val="decimal"/>
      <w:lvlText w:val="%4."/>
      <w:lvlJc w:val="left"/>
      <w:pPr>
        <w:ind w:left="-381" w:hanging="360"/>
      </w:pPr>
    </w:lvl>
    <w:lvl w:ilvl="4" w:tplc="0C090019" w:tentative="1">
      <w:start w:val="1"/>
      <w:numFmt w:val="lowerLetter"/>
      <w:lvlText w:val="%5."/>
      <w:lvlJc w:val="left"/>
      <w:pPr>
        <w:ind w:left="339" w:hanging="360"/>
      </w:pPr>
    </w:lvl>
    <w:lvl w:ilvl="5" w:tplc="0C09001B" w:tentative="1">
      <w:start w:val="1"/>
      <w:numFmt w:val="lowerRoman"/>
      <w:lvlText w:val="%6."/>
      <w:lvlJc w:val="right"/>
      <w:pPr>
        <w:ind w:left="1059" w:hanging="180"/>
      </w:pPr>
    </w:lvl>
    <w:lvl w:ilvl="6" w:tplc="0C09000F" w:tentative="1">
      <w:start w:val="1"/>
      <w:numFmt w:val="decimal"/>
      <w:lvlText w:val="%7."/>
      <w:lvlJc w:val="left"/>
      <w:pPr>
        <w:ind w:left="1779" w:hanging="360"/>
      </w:pPr>
    </w:lvl>
    <w:lvl w:ilvl="7" w:tplc="0C090019" w:tentative="1">
      <w:start w:val="1"/>
      <w:numFmt w:val="lowerLetter"/>
      <w:lvlText w:val="%8."/>
      <w:lvlJc w:val="left"/>
      <w:pPr>
        <w:ind w:left="2499" w:hanging="360"/>
      </w:pPr>
    </w:lvl>
    <w:lvl w:ilvl="8" w:tplc="0C09001B" w:tentative="1">
      <w:start w:val="1"/>
      <w:numFmt w:val="lowerRoman"/>
      <w:lvlText w:val="%9."/>
      <w:lvlJc w:val="right"/>
      <w:pPr>
        <w:ind w:left="3219" w:hanging="180"/>
      </w:pPr>
    </w:lvl>
  </w:abstractNum>
  <w:abstractNum w:abstractNumId="39" w15:restartNumberingAfterBreak="0">
    <w:nsid w:val="45CD10BF"/>
    <w:multiLevelType w:val="hybridMultilevel"/>
    <w:tmpl w:val="F9747B80"/>
    <w:lvl w:ilvl="0" w:tplc="979CEB2E">
      <w:start w:val="1"/>
      <w:numFmt w:val="decimal"/>
      <w:pStyle w:val="Figure5X"/>
      <w:lvlText w:val="Figure 5.%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6432C24"/>
    <w:multiLevelType w:val="hybridMultilevel"/>
    <w:tmpl w:val="231688CC"/>
    <w:lvl w:ilvl="0" w:tplc="1BBC7E6A">
      <w:start w:val="1"/>
      <w:numFmt w:val="decimal"/>
      <w:pStyle w:val="FigureEX"/>
      <w:lvlText w:val="Figure E.%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71C3199"/>
    <w:multiLevelType w:val="hybridMultilevel"/>
    <w:tmpl w:val="34A64AA4"/>
    <w:lvl w:ilvl="0" w:tplc="6A0CC274">
      <w:start w:val="1"/>
      <w:numFmt w:val="decimal"/>
      <w:pStyle w:val="A31Heading2"/>
      <w:lvlText w:val="A3.%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90D3232"/>
    <w:multiLevelType w:val="hybridMultilevel"/>
    <w:tmpl w:val="1804B70C"/>
    <w:lvl w:ilvl="0" w:tplc="F00A5FDA">
      <w:start w:val="1"/>
      <w:numFmt w:val="decimal"/>
      <w:pStyle w:val="Chart4X"/>
      <w:lvlText w:val="Chart 4.%1:"/>
      <w:lvlJc w:val="left"/>
      <w:pPr>
        <w:ind w:left="360" w:hanging="360"/>
      </w:pPr>
      <w:rPr>
        <w:rFonts w:ascii="Public Sans" w:hAnsi="Public Sans" w:cs="Arial" w:hint="default"/>
        <w:b w:val="0"/>
        <w:i/>
        <w:caps w:val="0"/>
        <w:color w:val="57514D"/>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9352F38"/>
    <w:multiLevelType w:val="hybridMultilevel"/>
    <w:tmpl w:val="72DAAEC2"/>
    <w:lvl w:ilvl="0" w:tplc="77B4A580">
      <w:start w:val="1"/>
      <w:numFmt w:val="decimal"/>
      <w:pStyle w:val="31Heading2"/>
      <w:lvlText w:val="3.%1"/>
      <w:lvlJc w:val="left"/>
      <w:pPr>
        <w:ind w:left="360" w:hanging="360"/>
      </w:pPr>
      <w:rPr>
        <w:rFonts w:ascii="Public Sans SemiBold" w:hAnsi="Public Sans SemiBold" w:hint="default"/>
        <w:b w:val="0"/>
        <w:i w:val="0"/>
        <w:color w:val="22272B"/>
        <w:sz w:val="28"/>
        <w:u w:val="none" w:color="008EB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9795CAD"/>
    <w:multiLevelType w:val="hybridMultilevel"/>
    <w:tmpl w:val="2214CC20"/>
    <w:lvl w:ilvl="0" w:tplc="06D8EE14">
      <w:start w:val="1"/>
      <w:numFmt w:val="decimal"/>
      <w:pStyle w:val="Box7XBoxHeading"/>
      <w:lvlText w:val="Box 7.%1:"/>
      <w:lvlJc w:val="left"/>
      <w:pPr>
        <w:ind w:left="360" w:hanging="360"/>
      </w:pPr>
      <w:rPr>
        <w:rFonts w:ascii="Public Sans SemiBold" w:hAnsi="Public Sans SemiBold" w:hint="default"/>
        <w:b/>
        <w:bCs w:val="0"/>
        <w:i w:val="0"/>
        <w:iCs w:val="0"/>
        <w:caps w:val="0"/>
        <w:smallCaps w:val="0"/>
        <w:strike w:val="0"/>
        <w:dstrike w:val="0"/>
        <w:noProof w:val="0"/>
        <w:vanish w:val="0"/>
        <w:color w:val="002664"/>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AB83096"/>
    <w:multiLevelType w:val="hybridMultilevel"/>
    <w:tmpl w:val="1BFE2912"/>
    <w:lvl w:ilvl="0" w:tplc="E83AB53E">
      <w:start w:val="1"/>
      <w:numFmt w:val="decimal"/>
      <w:pStyle w:val="ChartA3X"/>
      <w:lvlText w:val="Chart A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BED1631"/>
    <w:multiLevelType w:val="hybridMultilevel"/>
    <w:tmpl w:val="DFE84E98"/>
    <w:lvl w:ilvl="0" w:tplc="AEAA5F9A">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BFB1DA3"/>
    <w:multiLevelType w:val="hybridMultilevel"/>
    <w:tmpl w:val="B894999C"/>
    <w:lvl w:ilvl="0" w:tplc="A92A2660">
      <w:start w:val="1"/>
      <w:numFmt w:val="decimal"/>
      <w:pStyle w:val="Box3XBoxHeading"/>
      <w:lvlText w:val="Box 3.%1:"/>
      <w:lvlJc w:val="left"/>
      <w:pPr>
        <w:ind w:left="360" w:hanging="360"/>
      </w:pPr>
      <w:rPr>
        <w:rFonts w:ascii="Public Sans SemiBold" w:hAnsi="Public Sans SemiBold" w:cs="Times New Roman" w:hint="default"/>
        <w:b/>
        <w:i w:val="0"/>
        <w:caps w:val="0"/>
        <w:color w:val="002664"/>
        <w:sz w:val="22"/>
        <w:u w:val="none" w:color="00ABE6"/>
      </w:r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48" w15:restartNumberingAfterBreak="0">
    <w:nsid w:val="4D8E799A"/>
    <w:multiLevelType w:val="hybridMultilevel"/>
    <w:tmpl w:val="B5981F26"/>
    <w:lvl w:ilvl="0" w:tplc="3C283CAA">
      <w:start w:val="1"/>
      <w:numFmt w:val="decimal"/>
      <w:pStyle w:val="Box2XBoxHeading"/>
      <w:lvlText w:val="Box 2.%1:"/>
      <w:lvlJc w:val="left"/>
      <w:pPr>
        <w:ind w:left="360" w:hanging="360"/>
      </w:pPr>
      <w:rPr>
        <w:rFonts w:ascii="Public Sans SemiBold" w:hAnsi="Public Sans SemiBold" w:hint="default"/>
        <w:b/>
        <w:i w:val="0"/>
        <w:color w:val="002664"/>
        <w:sz w:val="23"/>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DCA7ED8"/>
    <w:multiLevelType w:val="hybridMultilevel"/>
    <w:tmpl w:val="33EAFF78"/>
    <w:lvl w:ilvl="0" w:tplc="C68C75B4">
      <w:start w:val="1"/>
      <w:numFmt w:val="decimal"/>
      <w:pStyle w:val="Table2X"/>
      <w:lvlText w:val="Table 2.%1:"/>
      <w:lvlJc w:val="left"/>
      <w:pPr>
        <w:ind w:left="360" w:hanging="360"/>
      </w:pPr>
      <w:rPr>
        <w:rFonts w:ascii="Public Sans" w:hAnsi="Public Sans" w:hint="default"/>
        <w:b w:val="0"/>
        <w:i/>
        <w:sz w:val="22"/>
        <w:u w:color="4F4F4F"/>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15:restartNumberingAfterBreak="0">
    <w:nsid w:val="50D536D6"/>
    <w:multiLevelType w:val="hybridMultilevel"/>
    <w:tmpl w:val="5CBC1AB4"/>
    <w:lvl w:ilvl="0" w:tplc="DB24AB6E">
      <w:start w:val="1"/>
      <w:numFmt w:val="decimal"/>
      <w:pStyle w:val="Box5XBoxHeading"/>
      <w:lvlText w:val="Box 5.%1:"/>
      <w:lvlJc w:val="left"/>
      <w:pPr>
        <w:ind w:left="360" w:hanging="360"/>
      </w:pPr>
      <w:rPr>
        <w:rFonts w:ascii="Public Sans SemiBold" w:hAnsi="Public Sans SemiBold" w:cs="Times New Roman" w:hint="default"/>
        <w:b/>
        <w:i w:val="0"/>
        <w:caps w:val="0"/>
        <w:color w:val="002664"/>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2BD70C2"/>
    <w:multiLevelType w:val="hybridMultilevel"/>
    <w:tmpl w:val="C6DEA85C"/>
    <w:lvl w:ilvl="0" w:tplc="98C650BE">
      <w:start w:val="1"/>
      <w:numFmt w:val="bullet"/>
      <w:pStyle w:val="Bullet2"/>
      <w:lvlText w:val="–"/>
      <w:lvlJc w:val="left"/>
      <w:pPr>
        <w:tabs>
          <w:tab w:val="num" w:pos="785"/>
        </w:tabs>
        <w:ind w:left="785" w:hanging="360"/>
      </w:pPr>
      <w:rPr>
        <w:rFonts w:ascii="Arial" w:hAnsi="Arial" w:cs="Arial"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4836140"/>
    <w:multiLevelType w:val="hybridMultilevel"/>
    <w:tmpl w:val="7D720644"/>
    <w:lvl w:ilvl="0" w:tplc="7D34DACA">
      <w:start w:val="1"/>
      <w:numFmt w:val="decimal"/>
      <w:pStyle w:val="Chart3X"/>
      <w:lvlText w:val="Chart 3.%1:"/>
      <w:lvlJc w:val="left"/>
      <w:pPr>
        <w:ind w:left="360" w:hanging="360"/>
      </w:pPr>
      <w:rPr>
        <w:rFonts w:ascii="Public Sans" w:hAnsi="Public Sans" w:hint="default"/>
        <w:b w:val="0"/>
        <w:i/>
        <w:color w:val="4F4F4F"/>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4F164B4"/>
    <w:multiLevelType w:val="hybridMultilevel"/>
    <w:tmpl w:val="96BADCAE"/>
    <w:lvl w:ilvl="0" w:tplc="F36C4050">
      <w:start w:val="1"/>
      <w:numFmt w:val="decimal"/>
      <w:pStyle w:val="ChartCX"/>
      <w:lvlText w:val="Chart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55D6282E"/>
    <w:multiLevelType w:val="hybridMultilevel"/>
    <w:tmpl w:val="B532E7E6"/>
    <w:lvl w:ilvl="0" w:tplc="C344A7BE">
      <w:start w:val="1"/>
      <w:numFmt w:val="decimal"/>
      <w:pStyle w:val="Chart7X"/>
      <w:lvlText w:val="Chart 7.%1:"/>
      <w:lvlJc w:val="left"/>
      <w:pPr>
        <w:ind w:left="360" w:hanging="360"/>
      </w:pPr>
      <w:rPr>
        <w:rFonts w:ascii="Public Sans" w:hAnsi="Public Sans" w:hint="default"/>
        <w:b w:val="0"/>
        <w:i/>
        <w:caps w:val="0"/>
        <w:color w:val="4F4F4F"/>
        <w:sz w:val="22"/>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56041D7B"/>
    <w:multiLevelType w:val="hybridMultilevel"/>
    <w:tmpl w:val="3BA0EDFC"/>
    <w:lvl w:ilvl="0" w:tplc="7032966E">
      <w:start w:val="1"/>
      <w:numFmt w:val="decimal"/>
      <w:pStyle w:val="ChartFX"/>
      <w:lvlText w:val="Chart F.%1:"/>
      <w:lvlJc w:val="left"/>
      <w:pPr>
        <w:ind w:left="360" w:hanging="360"/>
      </w:pPr>
      <w:rPr>
        <w:rFonts w:ascii="Public Sans" w:hAnsi="Public Sans" w:hint="default"/>
        <w:b w:val="0"/>
        <w:i/>
        <w:caps w:val="0"/>
        <w:color w:val="4F4F4F"/>
        <w:sz w:val="22"/>
        <w:u w:val="none"/>
      </w:rPr>
    </w:lvl>
    <w:lvl w:ilvl="1" w:tplc="16F03A40">
      <w:numFmt w:val="decimal"/>
      <w:lvlText w:val=""/>
      <w:lvlJc w:val="left"/>
    </w:lvl>
    <w:lvl w:ilvl="2" w:tplc="233C1574">
      <w:numFmt w:val="decimal"/>
      <w:lvlText w:val=""/>
      <w:lvlJc w:val="left"/>
    </w:lvl>
    <w:lvl w:ilvl="3" w:tplc="7B003C54">
      <w:numFmt w:val="decimal"/>
      <w:lvlText w:val=""/>
      <w:lvlJc w:val="left"/>
    </w:lvl>
    <w:lvl w:ilvl="4" w:tplc="EAEE4440">
      <w:numFmt w:val="decimal"/>
      <w:lvlText w:val=""/>
      <w:lvlJc w:val="left"/>
    </w:lvl>
    <w:lvl w:ilvl="5" w:tplc="DDAE1404">
      <w:numFmt w:val="decimal"/>
      <w:lvlText w:val=""/>
      <w:lvlJc w:val="left"/>
    </w:lvl>
    <w:lvl w:ilvl="6" w:tplc="30E425A4">
      <w:numFmt w:val="decimal"/>
      <w:lvlText w:val=""/>
      <w:lvlJc w:val="left"/>
    </w:lvl>
    <w:lvl w:ilvl="7" w:tplc="684E0DE4">
      <w:numFmt w:val="decimal"/>
      <w:lvlText w:val=""/>
      <w:lvlJc w:val="left"/>
    </w:lvl>
    <w:lvl w:ilvl="8" w:tplc="38D6F2D4">
      <w:numFmt w:val="decimal"/>
      <w:lvlText w:val=""/>
      <w:lvlJc w:val="left"/>
    </w:lvl>
  </w:abstractNum>
  <w:abstractNum w:abstractNumId="56" w15:restartNumberingAfterBreak="0">
    <w:nsid w:val="599E5E30"/>
    <w:multiLevelType w:val="hybridMultilevel"/>
    <w:tmpl w:val="B5448BF4"/>
    <w:lvl w:ilvl="0" w:tplc="AA1685D2">
      <w:start w:val="1"/>
      <w:numFmt w:val="decimal"/>
      <w:pStyle w:val="71Heading2"/>
      <w:lvlText w:val="7.%1"/>
      <w:lvlJc w:val="left"/>
      <w:pPr>
        <w:ind w:left="360" w:hanging="360"/>
      </w:pPr>
      <w:rPr>
        <w:rFonts w:ascii="Public Sans SemiBold" w:hAnsi="Public Sans SemiBold" w:hint="default"/>
        <w:b w:val="0"/>
        <w:i w:val="0"/>
        <w:caps w:val="0"/>
        <w:color w:val="22272B"/>
        <w:sz w:val="28"/>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5A414304"/>
    <w:multiLevelType w:val="hybridMultilevel"/>
    <w:tmpl w:val="C51445A0"/>
    <w:lvl w:ilvl="0" w:tplc="EBD27E46">
      <w:start w:val="1"/>
      <w:numFmt w:val="decimal"/>
      <w:pStyle w:val="D1Heading2"/>
      <w:lvlText w:val="D.%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5D4039FA"/>
    <w:multiLevelType w:val="hybridMultilevel"/>
    <w:tmpl w:val="AC0E05BA"/>
    <w:lvl w:ilvl="0" w:tplc="019400A6">
      <w:start w:val="1"/>
      <w:numFmt w:val="decimal"/>
      <w:pStyle w:val="11Heading2"/>
      <w:lvlText w:val="1.%1"/>
      <w:lvlJc w:val="left"/>
      <w:pPr>
        <w:ind w:left="720" w:hanging="360"/>
      </w:pPr>
      <w:rPr>
        <w:rFonts w:ascii="Public Sans SemiBold" w:hAnsi="Public Sans SemiBold" w:hint="default"/>
        <w:b w:val="0"/>
        <w:bCs w:val="0"/>
        <w:i w:val="0"/>
        <w:iCs w:val="0"/>
        <w:caps w:val="0"/>
        <w:strike w:val="0"/>
        <w:dstrike w:val="0"/>
        <w:vanish w:val="0"/>
        <w:color w:val="22272B"/>
        <w:spacing w:val="0"/>
        <w:kern w:val="0"/>
        <w:position w:val="0"/>
        <w:sz w:val="28"/>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5DBD6814"/>
    <w:multiLevelType w:val="hybridMultilevel"/>
    <w:tmpl w:val="6E1CB428"/>
    <w:lvl w:ilvl="0" w:tplc="5BBC99D6">
      <w:start w:val="1"/>
      <w:numFmt w:val="decimal"/>
      <w:pStyle w:val="Chart6X"/>
      <w:lvlText w:val="Chart 6.%1:"/>
      <w:lvlJc w:val="left"/>
      <w:pPr>
        <w:ind w:left="360" w:hanging="360"/>
      </w:pPr>
      <w:rPr>
        <w:rFonts w:ascii="Public Sans" w:hAnsi="Public Sans" w:cs="Arial" w:hint="default"/>
        <w:b w:val="0"/>
        <w:i/>
        <w:caps w:val="0"/>
        <w:strike w:val="0"/>
        <w:color w:val="57514D"/>
        <w:sz w:val="22"/>
        <w:szCs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5F4225C0"/>
    <w:multiLevelType w:val="hybridMultilevel"/>
    <w:tmpl w:val="A23C4474"/>
    <w:lvl w:ilvl="0" w:tplc="72A23DCC">
      <w:start w:val="1"/>
      <w:numFmt w:val="decimal"/>
      <w:pStyle w:val="Figure2X"/>
      <w:lvlText w:val="Figure 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5FDA03CA"/>
    <w:multiLevelType w:val="hybridMultilevel"/>
    <w:tmpl w:val="76841D38"/>
    <w:lvl w:ilvl="0" w:tplc="98B616F2">
      <w:start w:val="1"/>
      <w:numFmt w:val="decimal"/>
      <w:pStyle w:val="FigureFX"/>
      <w:lvlText w:val="Figure F.%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05C6649"/>
    <w:multiLevelType w:val="hybridMultilevel"/>
    <w:tmpl w:val="A754B3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60B26314"/>
    <w:multiLevelType w:val="hybridMultilevel"/>
    <w:tmpl w:val="0FBE4AAA"/>
    <w:lvl w:ilvl="0" w:tplc="D0F0FC8C">
      <w:start w:val="1"/>
      <w:numFmt w:val="decimal"/>
      <w:pStyle w:val="TableFX"/>
      <w:lvlText w:val="Table F.%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61541C4A"/>
    <w:multiLevelType w:val="hybridMultilevel"/>
    <w:tmpl w:val="B8DC8144"/>
    <w:lvl w:ilvl="0" w:tplc="F516F9AA">
      <w:start w:val="1"/>
      <w:numFmt w:val="decimal"/>
      <w:pStyle w:val="Figure6X"/>
      <w:lvlText w:val="Figure 6.%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6403159E"/>
    <w:multiLevelType w:val="hybridMultilevel"/>
    <w:tmpl w:val="E7D4563E"/>
    <w:lvl w:ilvl="0" w:tplc="76E2174C">
      <w:start w:val="1"/>
      <w:numFmt w:val="bullet"/>
      <w:pStyle w:val="Bullet3"/>
      <w:lvlText w:val="o"/>
      <w:lvlJc w:val="left"/>
      <w:pPr>
        <w:ind w:left="927" w:hanging="360"/>
      </w:pPr>
      <w:rPr>
        <w:rFonts w:ascii="Courier New" w:hAnsi="Courier New" w:cs="Courier New"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4E75030"/>
    <w:multiLevelType w:val="hybridMultilevel"/>
    <w:tmpl w:val="B11296AA"/>
    <w:lvl w:ilvl="0" w:tplc="AC301ED0">
      <w:start w:val="1"/>
      <w:numFmt w:val="decimal"/>
      <w:pStyle w:val="Heading2"/>
      <w:lvlText w:val="F.%1"/>
      <w:lvlJc w:val="left"/>
      <w:pPr>
        <w:ind w:left="360" w:hanging="360"/>
      </w:pPr>
      <w:rPr>
        <w:rFonts w:ascii="Arial Bold" w:hAnsi="Arial Bold" w:hint="default"/>
        <w:b/>
        <w:i w:val="0"/>
        <w:color w:val="008EBA"/>
        <w:sz w:val="3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65D44CAF"/>
    <w:multiLevelType w:val="hybridMultilevel"/>
    <w:tmpl w:val="BBF40818"/>
    <w:lvl w:ilvl="0" w:tplc="F8965DD8">
      <w:start w:val="1"/>
      <w:numFmt w:val="decimal"/>
      <w:pStyle w:val="Figure8X"/>
      <w:lvlText w:val="Figure 8.%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68095C94"/>
    <w:multiLevelType w:val="hybridMultilevel"/>
    <w:tmpl w:val="A22C14DA"/>
    <w:lvl w:ilvl="0" w:tplc="A52E78A0">
      <w:start w:val="1"/>
      <w:numFmt w:val="decimal"/>
      <w:pStyle w:val="21Heading2"/>
      <w:lvlText w:val="2.%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68111ED6"/>
    <w:multiLevelType w:val="hybridMultilevel"/>
    <w:tmpl w:val="F3EAE582"/>
    <w:lvl w:ilvl="0" w:tplc="303E05CE">
      <w:start w:val="1"/>
      <w:numFmt w:val="decimal"/>
      <w:pStyle w:val="BoxCXBoxHeading"/>
      <w:lvlText w:val="Box C.%1:"/>
      <w:lvlJc w:val="left"/>
      <w:pPr>
        <w:ind w:left="720" w:hanging="360"/>
      </w:pPr>
      <w:rPr>
        <w:rFonts w:ascii="Public Sans SemiBold" w:hAnsi="Public Sans SemiBold" w:cs="Times New Roman" w:hint="default"/>
        <w:b/>
        <w:i w:val="0"/>
        <w:caps w:val="0"/>
        <w:color w:val="002664"/>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686F44BC"/>
    <w:multiLevelType w:val="hybridMultilevel"/>
    <w:tmpl w:val="3760A860"/>
    <w:lvl w:ilvl="0" w:tplc="E2A69734">
      <w:start w:val="1"/>
      <w:numFmt w:val="decimal"/>
      <w:pStyle w:val="FigureDX"/>
      <w:lvlText w:val="Figure D.%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6BAD0A08"/>
    <w:multiLevelType w:val="hybridMultilevel"/>
    <w:tmpl w:val="245E9E7E"/>
    <w:lvl w:ilvl="0" w:tplc="FAF2E3B4">
      <w:start w:val="1"/>
      <w:numFmt w:val="decimal"/>
      <w:pStyle w:val="A41Heading2"/>
      <w:lvlText w:val="A4.%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6D633B70"/>
    <w:multiLevelType w:val="hybridMultilevel"/>
    <w:tmpl w:val="B15A3F34"/>
    <w:lvl w:ilvl="0" w:tplc="6F6E4644">
      <w:start w:val="1"/>
      <w:numFmt w:val="decimal"/>
      <w:pStyle w:val="Box1XBoxHeading"/>
      <w:lvlText w:val="Box 1.%1:"/>
      <w:lvlJc w:val="left"/>
      <w:pPr>
        <w:ind w:left="360" w:hanging="360"/>
      </w:pPr>
      <w:rPr>
        <w:rFonts w:ascii="Public Sans SemiBold" w:hAnsi="Public Sans SemiBold" w:hint="default"/>
        <w:b/>
        <w:bCs w:val="0"/>
        <w:i w:val="0"/>
        <w:iCs w:val="0"/>
        <w:caps w:val="0"/>
        <w:strike w:val="0"/>
        <w:dstrike w:val="0"/>
        <w:vanish w:val="0"/>
        <w:color w:val="002664"/>
        <w:spacing w:val="0"/>
        <w:kern w:val="0"/>
        <w:position w:val="0"/>
        <w:sz w:val="22"/>
        <w:u w:val="none" w:color="00ABE6"/>
        <w:effect w:val="none"/>
        <w:vertAlign w:val="baseline"/>
        <w:em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6DFA6ECC"/>
    <w:multiLevelType w:val="hybridMultilevel"/>
    <w:tmpl w:val="BC1E42F2"/>
    <w:lvl w:ilvl="0" w:tplc="A5EE317A">
      <w:start w:val="1"/>
      <w:numFmt w:val="decimal"/>
      <w:pStyle w:val="Box6XBoxHeading"/>
      <w:lvlText w:val="Box 6.%1:"/>
      <w:lvlJc w:val="left"/>
      <w:pPr>
        <w:ind w:left="360" w:hanging="360"/>
      </w:pPr>
      <w:rPr>
        <w:rFonts w:ascii="Public Sans SemiBold" w:hAnsi="Public Sans SemiBold" w:cs="Arial" w:hint="default"/>
        <w:b/>
        <w:i w:val="0"/>
        <w:color w:val="002664"/>
        <w:sz w:val="22"/>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70B8201D"/>
    <w:multiLevelType w:val="hybridMultilevel"/>
    <w:tmpl w:val="00F05DDE"/>
    <w:lvl w:ilvl="0" w:tplc="233C1998">
      <w:start w:val="1"/>
      <w:numFmt w:val="decimal"/>
      <w:pStyle w:val="TableEX"/>
      <w:lvlText w:val="Table E.%1:"/>
      <w:lvlJc w:val="left"/>
      <w:pPr>
        <w:ind w:left="72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73112603"/>
    <w:multiLevelType w:val="hybridMultilevel"/>
    <w:tmpl w:val="77706B30"/>
    <w:lvl w:ilvl="0" w:tplc="19B6A9D2">
      <w:start w:val="1"/>
      <w:numFmt w:val="decimal"/>
      <w:pStyle w:val="Chart1X"/>
      <w:lvlText w:val="Chart 1.%1:"/>
      <w:lvlJc w:val="left"/>
      <w:pPr>
        <w:ind w:left="360" w:hanging="360"/>
      </w:pPr>
      <w:rPr>
        <w:rFonts w:ascii="Public Sans" w:hAnsi="Public Sans" w:cs="Arial" w:hint="default"/>
        <w:b w:val="0"/>
        <w:i/>
        <w:caps w:val="0"/>
        <w:color w:val="57514D"/>
        <w:sz w:val="22"/>
        <w:szCs w:val="22"/>
        <w:u w:val="none"/>
        <w:vertAlign w:val="baseline"/>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6" w15:restartNumberingAfterBreak="0">
    <w:nsid w:val="73BB309D"/>
    <w:multiLevelType w:val="hybridMultilevel"/>
    <w:tmpl w:val="1A8A6AB6"/>
    <w:lvl w:ilvl="0" w:tplc="8BCEF202">
      <w:start w:val="1"/>
      <w:numFmt w:val="decimal"/>
      <w:pStyle w:val="FigureA5X"/>
      <w:lvlText w:val="Figure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741632FF"/>
    <w:multiLevelType w:val="hybridMultilevel"/>
    <w:tmpl w:val="84CC0188"/>
    <w:lvl w:ilvl="0" w:tplc="FFFFFFFF">
      <w:start w:val="1"/>
      <w:numFmt w:val="lowerLetter"/>
      <w:lvlText w:val="(%1)"/>
      <w:lvlJc w:val="left"/>
      <w:pPr>
        <w:ind w:left="362"/>
      </w:pPr>
      <w:rPr>
        <w:rFonts w:ascii="Public Sans" w:eastAsia="Arial" w:hAnsi="Public Sans" w:cs="Arial" w:hint="default"/>
        <w:b w:val="0"/>
        <w:i w:val="0"/>
        <w:strike w:val="0"/>
        <w:dstrike w:val="0"/>
        <w:color w:val="000000"/>
        <w:sz w:val="17"/>
        <w:szCs w:val="17"/>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78" w15:restartNumberingAfterBreak="0">
    <w:nsid w:val="74AC412F"/>
    <w:multiLevelType w:val="hybridMultilevel"/>
    <w:tmpl w:val="2A488CE0"/>
    <w:lvl w:ilvl="0" w:tplc="5D3AE340">
      <w:start w:val="1"/>
      <w:numFmt w:val="decimal"/>
      <w:pStyle w:val="Table8X"/>
      <w:lvlText w:val="Table 8.%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76543C04"/>
    <w:multiLevelType w:val="hybridMultilevel"/>
    <w:tmpl w:val="82381464"/>
    <w:lvl w:ilvl="0" w:tplc="05EC7EE6">
      <w:start w:val="1"/>
      <w:numFmt w:val="decimal"/>
      <w:pStyle w:val="ChartDX"/>
      <w:lvlText w:val="Chart D.%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76B3043F"/>
    <w:multiLevelType w:val="hybridMultilevel"/>
    <w:tmpl w:val="5350A6BE"/>
    <w:lvl w:ilvl="0" w:tplc="CF465CF8">
      <w:start w:val="1"/>
      <w:numFmt w:val="decimal"/>
      <w:pStyle w:val="Table3X"/>
      <w:lvlText w:val="Table 3.%1:"/>
      <w:lvlJc w:val="left"/>
      <w:pPr>
        <w:ind w:left="360" w:hanging="360"/>
      </w:pPr>
      <w:rPr>
        <w:rFonts w:ascii="Public Sans" w:hAnsi="Public Sans" w:hint="default"/>
        <w:b w:val="0"/>
        <w:i/>
        <w:caps w:val="0"/>
        <w:color w:val="4F4F4F"/>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782868C0"/>
    <w:multiLevelType w:val="hybridMultilevel"/>
    <w:tmpl w:val="F0E2B930"/>
    <w:lvl w:ilvl="0" w:tplc="7FCEA4D2">
      <w:start w:val="1"/>
      <w:numFmt w:val="decimal"/>
      <w:pStyle w:val="Figure1X"/>
      <w:lvlText w:val="Figure 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79C00E47"/>
    <w:multiLevelType w:val="hybridMultilevel"/>
    <w:tmpl w:val="8BEA0916"/>
    <w:lvl w:ilvl="0" w:tplc="C3C84DF0">
      <w:start w:val="1"/>
      <w:numFmt w:val="decimal"/>
      <w:pStyle w:val="FigureA1X"/>
      <w:lvlText w:val="Figure A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7A1A1949"/>
    <w:multiLevelType w:val="hybridMultilevel"/>
    <w:tmpl w:val="BF1056E6"/>
    <w:lvl w:ilvl="0" w:tplc="53264B4E">
      <w:start w:val="1"/>
      <w:numFmt w:val="decimal"/>
      <w:pStyle w:val="Chart5X"/>
      <w:lvlText w:val="Chart 5.%1:"/>
      <w:lvlJc w:val="left"/>
      <w:pPr>
        <w:ind w:left="360" w:hanging="360"/>
      </w:pPr>
      <w:rPr>
        <w:rFonts w:ascii="Public Sans" w:hAnsi="Public Sans" w:cs="Arial" w:hint="default"/>
        <w:b w:val="0"/>
        <w:i/>
        <w:caps w:val="0"/>
        <w:color w:val="57514D"/>
        <w:sz w:val="22"/>
        <w:szCs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7A876093"/>
    <w:multiLevelType w:val="hybridMultilevel"/>
    <w:tmpl w:val="AB323B32"/>
    <w:lvl w:ilvl="0" w:tplc="818A2532">
      <w:start w:val="1"/>
      <w:numFmt w:val="decimal"/>
      <w:pStyle w:val="Box4XBoxHeading"/>
      <w:lvlText w:val="Box 4.%1:"/>
      <w:lvlJc w:val="left"/>
      <w:pPr>
        <w:ind w:left="360" w:hanging="360"/>
      </w:pPr>
      <w:rPr>
        <w:rFonts w:ascii="Public Sans SemiBold" w:hAnsi="Public Sans SemiBold" w:cs="Times New Roman" w:hint="default"/>
        <w:b/>
        <w:i w:val="0"/>
        <w:caps w:val="0"/>
        <w:color w:val="002664"/>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7C6919CF"/>
    <w:multiLevelType w:val="hybridMultilevel"/>
    <w:tmpl w:val="91805FF2"/>
    <w:lvl w:ilvl="0" w:tplc="BAC2257E">
      <w:start w:val="1"/>
      <w:numFmt w:val="decimal"/>
      <w:pStyle w:val="F1Heading2"/>
      <w:lvlText w:val="F.%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7E2945C9"/>
    <w:multiLevelType w:val="hybridMultilevel"/>
    <w:tmpl w:val="E24C0D4E"/>
    <w:lvl w:ilvl="0" w:tplc="EADED0DE">
      <w:start w:val="1"/>
      <w:numFmt w:val="decimal"/>
      <w:pStyle w:val="FigureCX"/>
      <w:lvlText w:val="Figure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7E58502F"/>
    <w:multiLevelType w:val="hybridMultilevel"/>
    <w:tmpl w:val="FE3C0406"/>
    <w:lvl w:ilvl="0" w:tplc="5E58E244">
      <w:start w:val="1"/>
      <w:numFmt w:val="decimal"/>
      <w:pStyle w:val="TableCX"/>
      <w:lvlText w:val="Table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7E7E6F1F"/>
    <w:multiLevelType w:val="hybridMultilevel"/>
    <w:tmpl w:val="A5ECD250"/>
    <w:lvl w:ilvl="0" w:tplc="AFB4FA42">
      <w:start w:val="1"/>
      <w:numFmt w:val="decimal"/>
      <w:pStyle w:val="ChartEX"/>
      <w:lvlText w:val="Chart E.%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21681674">
    <w:abstractNumId w:val="7"/>
  </w:num>
  <w:num w:numId="2" w16cid:durableId="1275749493">
    <w:abstractNumId w:val="33"/>
  </w:num>
  <w:num w:numId="3" w16cid:durableId="790519257">
    <w:abstractNumId w:val="35"/>
  </w:num>
  <w:num w:numId="4" w16cid:durableId="1457682271">
    <w:abstractNumId w:val="46"/>
  </w:num>
  <w:num w:numId="5" w16cid:durableId="1219627367">
    <w:abstractNumId w:val="0"/>
  </w:num>
  <w:num w:numId="6" w16cid:durableId="1689528908">
    <w:abstractNumId w:val="62"/>
  </w:num>
  <w:num w:numId="7" w16cid:durableId="1386949124">
    <w:abstractNumId w:val="58"/>
  </w:num>
  <w:num w:numId="8" w16cid:durableId="374933018">
    <w:abstractNumId w:val="68"/>
  </w:num>
  <w:num w:numId="9" w16cid:durableId="861481877">
    <w:abstractNumId w:val="43"/>
  </w:num>
  <w:num w:numId="10" w16cid:durableId="1548420103">
    <w:abstractNumId w:val="25"/>
  </w:num>
  <w:num w:numId="11" w16cid:durableId="1623806597">
    <w:abstractNumId w:val="38"/>
  </w:num>
  <w:num w:numId="12" w16cid:durableId="1113329792">
    <w:abstractNumId w:val="37"/>
  </w:num>
  <w:num w:numId="13" w16cid:durableId="1980187944">
    <w:abstractNumId w:val="56"/>
  </w:num>
  <w:num w:numId="14" w16cid:durableId="997852680">
    <w:abstractNumId w:val="28"/>
  </w:num>
  <w:num w:numId="15" w16cid:durableId="1609652425">
    <w:abstractNumId w:val="4"/>
  </w:num>
  <w:num w:numId="16" w16cid:durableId="649288237">
    <w:abstractNumId w:val="3"/>
  </w:num>
  <w:num w:numId="17" w16cid:durableId="1320038129">
    <w:abstractNumId w:val="41"/>
  </w:num>
  <w:num w:numId="18" w16cid:durableId="1756973311">
    <w:abstractNumId w:val="71"/>
  </w:num>
  <w:num w:numId="19" w16cid:durableId="1535998243">
    <w:abstractNumId w:val="20"/>
  </w:num>
  <w:num w:numId="20" w16cid:durableId="57631482">
    <w:abstractNumId w:val="72"/>
  </w:num>
  <w:num w:numId="21" w16cid:durableId="180248364">
    <w:abstractNumId w:val="48"/>
  </w:num>
  <w:num w:numId="22" w16cid:durableId="500045340">
    <w:abstractNumId w:val="47"/>
  </w:num>
  <w:num w:numId="23" w16cid:durableId="1175147667">
    <w:abstractNumId w:val="84"/>
  </w:num>
  <w:num w:numId="24" w16cid:durableId="529101352">
    <w:abstractNumId w:val="50"/>
  </w:num>
  <w:num w:numId="25" w16cid:durableId="1802068233">
    <w:abstractNumId w:val="73"/>
  </w:num>
  <w:num w:numId="26" w16cid:durableId="1652129517">
    <w:abstractNumId w:val="1"/>
  </w:num>
  <w:num w:numId="27" w16cid:durableId="1883208508">
    <w:abstractNumId w:val="44"/>
  </w:num>
  <w:num w:numId="28" w16cid:durableId="1067994051">
    <w:abstractNumId w:val="34"/>
  </w:num>
  <w:num w:numId="29" w16cid:durableId="715007994">
    <w:abstractNumId w:val="51"/>
  </w:num>
  <w:num w:numId="30" w16cid:durableId="808669634">
    <w:abstractNumId w:val="65"/>
  </w:num>
  <w:num w:numId="31" w16cid:durableId="1325015833">
    <w:abstractNumId w:val="36"/>
  </w:num>
  <w:num w:numId="32" w16cid:durableId="1614049729">
    <w:abstractNumId w:val="26"/>
  </w:num>
  <w:num w:numId="33" w16cid:durableId="919827174">
    <w:abstractNumId w:val="75"/>
  </w:num>
  <w:num w:numId="34" w16cid:durableId="894320516">
    <w:abstractNumId w:val="30"/>
  </w:num>
  <w:num w:numId="35" w16cid:durableId="1596402692">
    <w:abstractNumId w:val="52"/>
  </w:num>
  <w:num w:numId="36" w16cid:durableId="1425766534">
    <w:abstractNumId w:val="42"/>
  </w:num>
  <w:num w:numId="37" w16cid:durableId="1774858145">
    <w:abstractNumId w:val="83"/>
  </w:num>
  <w:num w:numId="38" w16cid:durableId="266276215">
    <w:abstractNumId w:val="59"/>
  </w:num>
  <w:num w:numId="39" w16cid:durableId="63652907">
    <w:abstractNumId w:val="54"/>
  </w:num>
  <w:num w:numId="40" w16cid:durableId="245263338">
    <w:abstractNumId w:val="2"/>
  </w:num>
  <w:num w:numId="41" w16cid:durableId="1913353052">
    <w:abstractNumId w:val="32"/>
  </w:num>
  <w:num w:numId="42" w16cid:durableId="1179537076">
    <w:abstractNumId w:val="45"/>
  </w:num>
  <w:num w:numId="43" w16cid:durableId="82997407">
    <w:abstractNumId w:val="21"/>
  </w:num>
  <w:num w:numId="44" w16cid:durableId="1401244303">
    <w:abstractNumId w:val="17"/>
  </w:num>
  <w:num w:numId="45" w16cid:durableId="120537696">
    <w:abstractNumId w:val="10"/>
  </w:num>
  <w:num w:numId="46" w16cid:durableId="1628774053">
    <w:abstractNumId w:val="53"/>
  </w:num>
  <w:num w:numId="47" w16cid:durableId="1540623361">
    <w:abstractNumId w:val="79"/>
  </w:num>
  <w:num w:numId="48" w16cid:durableId="1414427724">
    <w:abstractNumId w:val="88"/>
  </w:num>
  <w:num w:numId="49" w16cid:durableId="1734306833">
    <w:abstractNumId w:val="55"/>
  </w:num>
  <w:num w:numId="50" w16cid:durableId="1275095806">
    <w:abstractNumId w:val="57"/>
  </w:num>
  <w:num w:numId="51" w16cid:durableId="1281691558">
    <w:abstractNumId w:val="14"/>
  </w:num>
  <w:num w:numId="52" w16cid:durableId="1412848233">
    <w:abstractNumId w:val="85"/>
  </w:num>
  <w:num w:numId="53" w16cid:durableId="719287937">
    <w:abstractNumId w:val="81"/>
  </w:num>
  <w:num w:numId="54" w16cid:durableId="57170424">
    <w:abstractNumId w:val="60"/>
  </w:num>
  <w:num w:numId="55" w16cid:durableId="932395503">
    <w:abstractNumId w:val="13"/>
  </w:num>
  <w:num w:numId="56" w16cid:durableId="910434346">
    <w:abstractNumId w:val="24"/>
  </w:num>
  <w:num w:numId="57" w16cid:durableId="903489351">
    <w:abstractNumId w:val="39"/>
  </w:num>
  <w:num w:numId="58" w16cid:durableId="2070298535">
    <w:abstractNumId w:val="64"/>
  </w:num>
  <w:num w:numId="59" w16cid:durableId="793907848">
    <w:abstractNumId w:val="11"/>
  </w:num>
  <w:num w:numId="60" w16cid:durableId="402485787">
    <w:abstractNumId w:val="67"/>
  </w:num>
  <w:num w:numId="61" w16cid:durableId="945382586">
    <w:abstractNumId w:val="82"/>
  </w:num>
  <w:num w:numId="62" w16cid:durableId="166602344">
    <w:abstractNumId w:val="27"/>
  </w:num>
  <w:num w:numId="63" w16cid:durableId="589125278">
    <w:abstractNumId w:val="22"/>
  </w:num>
  <w:num w:numId="64" w16cid:durableId="566578227">
    <w:abstractNumId w:val="18"/>
  </w:num>
  <w:num w:numId="65" w16cid:durableId="2038851756">
    <w:abstractNumId w:val="76"/>
  </w:num>
  <w:num w:numId="66" w16cid:durableId="1791433994">
    <w:abstractNumId w:val="6"/>
  </w:num>
  <w:num w:numId="67" w16cid:durableId="748766868">
    <w:abstractNumId w:val="86"/>
  </w:num>
  <w:num w:numId="68" w16cid:durableId="1825008544">
    <w:abstractNumId w:val="70"/>
  </w:num>
  <w:num w:numId="69" w16cid:durableId="754978954">
    <w:abstractNumId w:val="40"/>
  </w:num>
  <w:num w:numId="70" w16cid:durableId="922909004">
    <w:abstractNumId w:val="61"/>
  </w:num>
  <w:num w:numId="71" w16cid:durableId="597640732">
    <w:abstractNumId w:val="66"/>
  </w:num>
  <w:num w:numId="72" w16cid:durableId="826433749">
    <w:abstractNumId w:val="49"/>
  </w:num>
  <w:num w:numId="73" w16cid:durableId="616987990">
    <w:abstractNumId w:val="80"/>
  </w:num>
  <w:num w:numId="74" w16cid:durableId="671758188">
    <w:abstractNumId w:val="29"/>
  </w:num>
  <w:num w:numId="75" w16cid:durableId="1693606527">
    <w:abstractNumId w:val="12"/>
  </w:num>
  <w:num w:numId="76" w16cid:durableId="310252700">
    <w:abstractNumId w:val="23"/>
  </w:num>
  <w:num w:numId="77" w16cid:durableId="1394351934">
    <w:abstractNumId w:val="8"/>
  </w:num>
  <w:num w:numId="78" w16cid:durableId="2022966962">
    <w:abstractNumId w:val="78"/>
  </w:num>
  <w:num w:numId="79" w16cid:durableId="1726490866">
    <w:abstractNumId w:val="19"/>
  </w:num>
  <w:num w:numId="80" w16cid:durableId="2004551750">
    <w:abstractNumId w:val="31"/>
  </w:num>
  <w:num w:numId="81" w16cid:durableId="1267617563">
    <w:abstractNumId w:val="5"/>
  </w:num>
  <w:num w:numId="82" w16cid:durableId="421033348">
    <w:abstractNumId w:val="9"/>
  </w:num>
  <w:num w:numId="83" w16cid:durableId="247464445">
    <w:abstractNumId w:val="87"/>
  </w:num>
  <w:num w:numId="84" w16cid:durableId="1243493918">
    <w:abstractNumId w:val="16"/>
  </w:num>
  <w:num w:numId="85" w16cid:durableId="2001690317">
    <w:abstractNumId w:val="74"/>
  </w:num>
  <w:num w:numId="86" w16cid:durableId="684671597">
    <w:abstractNumId w:val="63"/>
  </w:num>
  <w:num w:numId="87" w16cid:durableId="582644776">
    <w:abstractNumId w:val="69"/>
  </w:num>
  <w:num w:numId="88" w16cid:durableId="497429289">
    <w:abstractNumId w:val="15"/>
  </w:num>
  <w:num w:numId="89" w16cid:durableId="699089968">
    <w:abstractNumId w:val="7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5BB"/>
    <w:rsid w:val="000007AA"/>
    <w:rsid w:val="00000EB5"/>
    <w:rsid w:val="0000116B"/>
    <w:rsid w:val="000011FF"/>
    <w:rsid w:val="00002C59"/>
    <w:rsid w:val="00003099"/>
    <w:rsid w:val="0000465A"/>
    <w:rsid w:val="000046C6"/>
    <w:rsid w:val="00004FF3"/>
    <w:rsid w:val="0000556D"/>
    <w:rsid w:val="0000598F"/>
    <w:rsid w:val="00005BB7"/>
    <w:rsid w:val="00005F10"/>
    <w:rsid w:val="00005F14"/>
    <w:rsid w:val="0000614D"/>
    <w:rsid w:val="00006EFB"/>
    <w:rsid w:val="0000707B"/>
    <w:rsid w:val="00007487"/>
    <w:rsid w:val="000075E2"/>
    <w:rsid w:val="00010766"/>
    <w:rsid w:val="00010C77"/>
    <w:rsid w:val="00010F77"/>
    <w:rsid w:val="000118EE"/>
    <w:rsid w:val="000119E5"/>
    <w:rsid w:val="00011CE1"/>
    <w:rsid w:val="00014ED1"/>
    <w:rsid w:val="00015090"/>
    <w:rsid w:val="00015C4A"/>
    <w:rsid w:val="00015F02"/>
    <w:rsid w:val="000165BA"/>
    <w:rsid w:val="00016A60"/>
    <w:rsid w:val="00016CC4"/>
    <w:rsid w:val="0001728B"/>
    <w:rsid w:val="00017F13"/>
    <w:rsid w:val="00020109"/>
    <w:rsid w:val="00020DE7"/>
    <w:rsid w:val="00020EF0"/>
    <w:rsid w:val="000217CC"/>
    <w:rsid w:val="00021F53"/>
    <w:rsid w:val="00021FEA"/>
    <w:rsid w:val="000220BF"/>
    <w:rsid w:val="00023931"/>
    <w:rsid w:val="000239DC"/>
    <w:rsid w:val="00025304"/>
    <w:rsid w:val="00025BB8"/>
    <w:rsid w:val="00026B36"/>
    <w:rsid w:val="00026F56"/>
    <w:rsid w:val="000274AF"/>
    <w:rsid w:val="000276A9"/>
    <w:rsid w:val="000322CB"/>
    <w:rsid w:val="0003282B"/>
    <w:rsid w:val="00033E4A"/>
    <w:rsid w:val="000346EE"/>
    <w:rsid w:val="00034C6D"/>
    <w:rsid w:val="00034DCF"/>
    <w:rsid w:val="0003518F"/>
    <w:rsid w:val="000352DD"/>
    <w:rsid w:val="000356BB"/>
    <w:rsid w:val="00035B28"/>
    <w:rsid w:val="00036A44"/>
    <w:rsid w:val="00036E4C"/>
    <w:rsid w:val="000372DF"/>
    <w:rsid w:val="00037C23"/>
    <w:rsid w:val="0004031B"/>
    <w:rsid w:val="00041243"/>
    <w:rsid w:val="000416F3"/>
    <w:rsid w:val="00042760"/>
    <w:rsid w:val="000428FD"/>
    <w:rsid w:val="00042AE9"/>
    <w:rsid w:val="0004302C"/>
    <w:rsid w:val="00044C08"/>
    <w:rsid w:val="00045B91"/>
    <w:rsid w:val="000479AB"/>
    <w:rsid w:val="00051527"/>
    <w:rsid w:val="000523D2"/>
    <w:rsid w:val="000534CB"/>
    <w:rsid w:val="00053B71"/>
    <w:rsid w:val="00054658"/>
    <w:rsid w:val="00054826"/>
    <w:rsid w:val="00054DC4"/>
    <w:rsid w:val="00054DD3"/>
    <w:rsid w:val="00055144"/>
    <w:rsid w:val="00055654"/>
    <w:rsid w:val="000566C7"/>
    <w:rsid w:val="000567E8"/>
    <w:rsid w:val="000571D9"/>
    <w:rsid w:val="00057F75"/>
    <w:rsid w:val="00057FB7"/>
    <w:rsid w:val="0006131D"/>
    <w:rsid w:val="00061DA0"/>
    <w:rsid w:val="00062A3D"/>
    <w:rsid w:val="000640C1"/>
    <w:rsid w:val="000641B7"/>
    <w:rsid w:val="00065CB8"/>
    <w:rsid w:val="000660FB"/>
    <w:rsid w:val="00066120"/>
    <w:rsid w:val="00066193"/>
    <w:rsid w:val="00066BA9"/>
    <w:rsid w:val="00066E34"/>
    <w:rsid w:val="00067ABF"/>
    <w:rsid w:val="00070DDE"/>
    <w:rsid w:val="0007189B"/>
    <w:rsid w:val="000725E4"/>
    <w:rsid w:val="00072EF3"/>
    <w:rsid w:val="0007322F"/>
    <w:rsid w:val="000747E2"/>
    <w:rsid w:val="00074B6A"/>
    <w:rsid w:val="000752FA"/>
    <w:rsid w:val="0007756D"/>
    <w:rsid w:val="00077606"/>
    <w:rsid w:val="000778C0"/>
    <w:rsid w:val="00080902"/>
    <w:rsid w:val="00080A47"/>
    <w:rsid w:val="00081112"/>
    <w:rsid w:val="00081807"/>
    <w:rsid w:val="00082158"/>
    <w:rsid w:val="000823F2"/>
    <w:rsid w:val="0008253E"/>
    <w:rsid w:val="000827B6"/>
    <w:rsid w:val="000827BB"/>
    <w:rsid w:val="00082D55"/>
    <w:rsid w:val="0008303B"/>
    <w:rsid w:val="00083F5F"/>
    <w:rsid w:val="00084312"/>
    <w:rsid w:val="00084CF7"/>
    <w:rsid w:val="000854A7"/>
    <w:rsid w:val="00085546"/>
    <w:rsid w:val="0008758D"/>
    <w:rsid w:val="000879C0"/>
    <w:rsid w:val="00087C18"/>
    <w:rsid w:val="00087FE4"/>
    <w:rsid w:val="00091690"/>
    <w:rsid w:val="00092049"/>
    <w:rsid w:val="0009277C"/>
    <w:rsid w:val="00092DB6"/>
    <w:rsid w:val="00092EA8"/>
    <w:rsid w:val="00093720"/>
    <w:rsid w:val="00093B0D"/>
    <w:rsid w:val="00093D2D"/>
    <w:rsid w:val="00093FEB"/>
    <w:rsid w:val="00095204"/>
    <w:rsid w:val="0009542A"/>
    <w:rsid w:val="000955B2"/>
    <w:rsid w:val="0009713F"/>
    <w:rsid w:val="00097374"/>
    <w:rsid w:val="000A04AA"/>
    <w:rsid w:val="000A0C41"/>
    <w:rsid w:val="000A1B04"/>
    <w:rsid w:val="000A2F8C"/>
    <w:rsid w:val="000A4352"/>
    <w:rsid w:val="000A486B"/>
    <w:rsid w:val="000A5296"/>
    <w:rsid w:val="000A53D3"/>
    <w:rsid w:val="000A5A7B"/>
    <w:rsid w:val="000A6055"/>
    <w:rsid w:val="000A798D"/>
    <w:rsid w:val="000B18AB"/>
    <w:rsid w:val="000B1CFD"/>
    <w:rsid w:val="000B31E9"/>
    <w:rsid w:val="000B3EB5"/>
    <w:rsid w:val="000B4912"/>
    <w:rsid w:val="000B4971"/>
    <w:rsid w:val="000B58C8"/>
    <w:rsid w:val="000B65A5"/>
    <w:rsid w:val="000B764B"/>
    <w:rsid w:val="000B7896"/>
    <w:rsid w:val="000B7BF7"/>
    <w:rsid w:val="000B7CB0"/>
    <w:rsid w:val="000C17DD"/>
    <w:rsid w:val="000C2180"/>
    <w:rsid w:val="000C22CB"/>
    <w:rsid w:val="000C2E6A"/>
    <w:rsid w:val="000C34DC"/>
    <w:rsid w:val="000C3FA3"/>
    <w:rsid w:val="000C3FA5"/>
    <w:rsid w:val="000C4641"/>
    <w:rsid w:val="000C4658"/>
    <w:rsid w:val="000C511F"/>
    <w:rsid w:val="000C5476"/>
    <w:rsid w:val="000C571D"/>
    <w:rsid w:val="000C7C0E"/>
    <w:rsid w:val="000D0234"/>
    <w:rsid w:val="000D042E"/>
    <w:rsid w:val="000D1503"/>
    <w:rsid w:val="000D1EAC"/>
    <w:rsid w:val="000D1F69"/>
    <w:rsid w:val="000D20F7"/>
    <w:rsid w:val="000D24FF"/>
    <w:rsid w:val="000D2521"/>
    <w:rsid w:val="000D26C8"/>
    <w:rsid w:val="000D2A91"/>
    <w:rsid w:val="000D3161"/>
    <w:rsid w:val="000D32A1"/>
    <w:rsid w:val="000D3ACD"/>
    <w:rsid w:val="000D3DAC"/>
    <w:rsid w:val="000D494D"/>
    <w:rsid w:val="000D4F3C"/>
    <w:rsid w:val="000D6D47"/>
    <w:rsid w:val="000D7045"/>
    <w:rsid w:val="000D7D19"/>
    <w:rsid w:val="000D7D49"/>
    <w:rsid w:val="000E02ED"/>
    <w:rsid w:val="000E1356"/>
    <w:rsid w:val="000E1C94"/>
    <w:rsid w:val="000E3608"/>
    <w:rsid w:val="000E3921"/>
    <w:rsid w:val="000E41B5"/>
    <w:rsid w:val="000E50EE"/>
    <w:rsid w:val="000E5ACC"/>
    <w:rsid w:val="000F170C"/>
    <w:rsid w:val="000F194C"/>
    <w:rsid w:val="000F2981"/>
    <w:rsid w:val="000F2F12"/>
    <w:rsid w:val="000F351C"/>
    <w:rsid w:val="000F3827"/>
    <w:rsid w:val="000F39DC"/>
    <w:rsid w:val="000F4723"/>
    <w:rsid w:val="000F4C4A"/>
    <w:rsid w:val="000F5512"/>
    <w:rsid w:val="000F70C2"/>
    <w:rsid w:val="001008C3"/>
    <w:rsid w:val="00100C0B"/>
    <w:rsid w:val="00100D51"/>
    <w:rsid w:val="001010F9"/>
    <w:rsid w:val="0010115C"/>
    <w:rsid w:val="00101C21"/>
    <w:rsid w:val="00101EB5"/>
    <w:rsid w:val="00102009"/>
    <w:rsid w:val="00102FB1"/>
    <w:rsid w:val="001035B1"/>
    <w:rsid w:val="00104A55"/>
    <w:rsid w:val="00104ECD"/>
    <w:rsid w:val="001062AD"/>
    <w:rsid w:val="00106320"/>
    <w:rsid w:val="00106330"/>
    <w:rsid w:val="00106CF4"/>
    <w:rsid w:val="001075B6"/>
    <w:rsid w:val="00113F1B"/>
    <w:rsid w:val="00114793"/>
    <w:rsid w:val="0011538C"/>
    <w:rsid w:val="00116C10"/>
    <w:rsid w:val="001170F0"/>
    <w:rsid w:val="001176AC"/>
    <w:rsid w:val="001179FB"/>
    <w:rsid w:val="00117ADB"/>
    <w:rsid w:val="00121999"/>
    <w:rsid w:val="001225FE"/>
    <w:rsid w:val="00122B56"/>
    <w:rsid w:val="001232B3"/>
    <w:rsid w:val="00124826"/>
    <w:rsid w:val="00125C68"/>
    <w:rsid w:val="00126515"/>
    <w:rsid w:val="001272B4"/>
    <w:rsid w:val="00130B79"/>
    <w:rsid w:val="00130BF0"/>
    <w:rsid w:val="00130C7D"/>
    <w:rsid w:val="00130DEA"/>
    <w:rsid w:val="00134833"/>
    <w:rsid w:val="0013492F"/>
    <w:rsid w:val="00136346"/>
    <w:rsid w:val="001369B6"/>
    <w:rsid w:val="00136EDF"/>
    <w:rsid w:val="0014013A"/>
    <w:rsid w:val="001401F0"/>
    <w:rsid w:val="001406F4"/>
    <w:rsid w:val="00141477"/>
    <w:rsid w:val="00141CCE"/>
    <w:rsid w:val="00142730"/>
    <w:rsid w:val="00142AFF"/>
    <w:rsid w:val="00143399"/>
    <w:rsid w:val="001435A5"/>
    <w:rsid w:val="0014429B"/>
    <w:rsid w:val="00144CE5"/>
    <w:rsid w:val="00151411"/>
    <w:rsid w:val="00152133"/>
    <w:rsid w:val="00152AA1"/>
    <w:rsid w:val="0015300D"/>
    <w:rsid w:val="0015460F"/>
    <w:rsid w:val="00154A09"/>
    <w:rsid w:val="001550FA"/>
    <w:rsid w:val="0015577E"/>
    <w:rsid w:val="00155E98"/>
    <w:rsid w:val="00156332"/>
    <w:rsid w:val="00156D3E"/>
    <w:rsid w:val="00157028"/>
    <w:rsid w:val="00157A87"/>
    <w:rsid w:val="001609A0"/>
    <w:rsid w:val="00161865"/>
    <w:rsid w:val="00161C29"/>
    <w:rsid w:val="00161C41"/>
    <w:rsid w:val="001621F4"/>
    <w:rsid w:val="001622DA"/>
    <w:rsid w:val="001629A1"/>
    <w:rsid w:val="00163C89"/>
    <w:rsid w:val="00163CCE"/>
    <w:rsid w:val="00163EB1"/>
    <w:rsid w:val="001644B9"/>
    <w:rsid w:val="0016522D"/>
    <w:rsid w:val="001652D1"/>
    <w:rsid w:val="0016559E"/>
    <w:rsid w:val="00165884"/>
    <w:rsid w:val="001659BD"/>
    <w:rsid w:val="00165E4A"/>
    <w:rsid w:val="00166C15"/>
    <w:rsid w:val="00167421"/>
    <w:rsid w:val="00167A55"/>
    <w:rsid w:val="00167B64"/>
    <w:rsid w:val="00167EFF"/>
    <w:rsid w:val="00167FB5"/>
    <w:rsid w:val="0016AF87"/>
    <w:rsid w:val="001709DE"/>
    <w:rsid w:val="001733D1"/>
    <w:rsid w:val="001738B9"/>
    <w:rsid w:val="00173ED3"/>
    <w:rsid w:val="0017462D"/>
    <w:rsid w:val="00174B2F"/>
    <w:rsid w:val="00175288"/>
    <w:rsid w:val="00175B0D"/>
    <w:rsid w:val="001760F3"/>
    <w:rsid w:val="0017618F"/>
    <w:rsid w:val="001779D1"/>
    <w:rsid w:val="00177E34"/>
    <w:rsid w:val="00180917"/>
    <w:rsid w:val="0018108C"/>
    <w:rsid w:val="00181286"/>
    <w:rsid w:val="00181587"/>
    <w:rsid w:val="001840F7"/>
    <w:rsid w:val="001844BB"/>
    <w:rsid w:val="001853D8"/>
    <w:rsid w:val="0018619A"/>
    <w:rsid w:val="00186855"/>
    <w:rsid w:val="001868D3"/>
    <w:rsid w:val="00186DB6"/>
    <w:rsid w:val="00186E0A"/>
    <w:rsid w:val="001872B0"/>
    <w:rsid w:val="001900EB"/>
    <w:rsid w:val="00190E0E"/>
    <w:rsid w:val="0019155C"/>
    <w:rsid w:val="00191A63"/>
    <w:rsid w:val="001922C7"/>
    <w:rsid w:val="001923DD"/>
    <w:rsid w:val="0019324D"/>
    <w:rsid w:val="00195278"/>
    <w:rsid w:val="0019598A"/>
    <w:rsid w:val="00196064"/>
    <w:rsid w:val="00196116"/>
    <w:rsid w:val="001963E1"/>
    <w:rsid w:val="00196709"/>
    <w:rsid w:val="00196B5E"/>
    <w:rsid w:val="00196FAE"/>
    <w:rsid w:val="0019702D"/>
    <w:rsid w:val="0019769B"/>
    <w:rsid w:val="001A123F"/>
    <w:rsid w:val="001A124C"/>
    <w:rsid w:val="001A1844"/>
    <w:rsid w:val="001A205D"/>
    <w:rsid w:val="001A210B"/>
    <w:rsid w:val="001A293D"/>
    <w:rsid w:val="001A2B25"/>
    <w:rsid w:val="001A38F2"/>
    <w:rsid w:val="001A7358"/>
    <w:rsid w:val="001A7F73"/>
    <w:rsid w:val="001B0088"/>
    <w:rsid w:val="001B04B4"/>
    <w:rsid w:val="001B06B3"/>
    <w:rsid w:val="001B158F"/>
    <w:rsid w:val="001B1733"/>
    <w:rsid w:val="001B1E74"/>
    <w:rsid w:val="001B2004"/>
    <w:rsid w:val="001B243D"/>
    <w:rsid w:val="001B287E"/>
    <w:rsid w:val="001B28D9"/>
    <w:rsid w:val="001B3DBB"/>
    <w:rsid w:val="001B43BB"/>
    <w:rsid w:val="001B5B51"/>
    <w:rsid w:val="001B6B44"/>
    <w:rsid w:val="001B6BC4"/>
    <w:rsid w:val="001B75E4"/>
    <w:rsid w:val="001B7A5C"/>
    <w:rsid w:val="001B7CA7"/>
    <w:rsid w:val="001C0127"/>
    <w:rsid w:val="001C0351"/>
    <w:rsid w:val="001C046D"/>
    <w:rsid w:val="001C05C6"/>
    <w:rsid w:val="001C084B"/>
    <w:rsid w:val="001C0C24"/>
    <w:rsid w:val="001C0F27"/>
    <w:rsid w:val="001C22FB"/>
    <w:rsid w:val="001C2E9B"/>
    <w:rsid w:val="001C3E6F"/>
    <w:rsid w:val="001C3F47"/>
    <w:rsid w:val="001C42FF"/>
    <w:rsid w:val="001C4CB8"/>
    <w:rsid w:val="001C54EC"/>
    <w:rsid w:val="001C5517"/>
    <w:rsid w:val="001C56BA"/>
    <w:rsid w:val="001C5828"/>
    <w:rsid w:val="001C6181"/>
    <w:rsid w:val="001C6808"/>
    <w:rsid w:val="001C6D80"/>
    <w:rsid w:val="001C74CA"/>
    <w:rsid w:val="001C7F86"/>
    <w:rsid w:val="001D06D0"/>
    <w:rsid w:val="001D0A65"/>
    <w:rsid w:val="001D0FE4"/>
    <w:rsid w:val="001D2226"/>
    <w:rsid w:val="001D24C4"/>
    <w:rsid w:val="001D396B"/>
    <w:rsid w:val="001D42E3"/>
    <w:rsid w:val="001D491E"/>
    <w:rsid w:val="001D49F7"/>
    <w:rsid w:val="001D4D86"/>
    <w:rsid w:val="001D5A78"/>
    <w:rsid w:val="001D5F6F"/>
    <w:rsid w:val="001D73A4"/>
    <w:rsid w:val="001D78FD"/>
    <w:rsid w:val="001D7BB9"/>
    <w:rsid w:val="001E00AB"/>
    <w:rsid w:val="001E0640"/>
    <w:rsid w:val="001E06BA"/>
    <w:rsid w:val="001E10B9"/>
    <w:rsid w:val="001E11A4"/>
    <w:rsid w:val="001E1809"/>
    <w:rsid w:val="001E1913"/>
    <w:rsid w:val="001E2875"/>
    <w:rsid w:val="001E2EC2"/>
    <w:rsid w:val="001E31E9"/>
    <w:rsid w:val="001E38B7"/>
    <w:rsid w:val="001E4745"/>
    <w:rsid w:val="001E4E56"/>
    <w:rsid w:val="001E4EB3"/>
    <w:rsid w:val="001E52E3"/>
    <w:rsid w:val="001E5805"/>
    <w:rsid w:val="001E6C8E"/>
    <w:rsid w:val="001E74E2"/>
    <w:rsid w:val="001E76D3"/>
    <w:rsid w:val="001E7E96"/>
    <w:rsid w:val="001F0E92"/>
    <w:rsid w:val="001F1045"/>
    <w:rsid w:val="001F1668"/>
    <w:rsid w:val="001F1CC6"/>
    <w:rsid w:val="001F26C5"/>
    <w:rsid w:val="001F2811"/>
    <w:rsid w:val="001F3DE2"/>
    <w:rsid w:val="001F3DE7"/>
    <w:rsid w:val="001F40AF"/>
    <w:rsid w:val="001F4665"/>
    <w:rsid w:val="001F46A1"/>
    <w:rsid w:val="001F5CC6"/>
    <w:rsid w:val="001F5FB7"/>
    <w:rsid w:val="001F74A0"/>
    <w:rsid w:val="0020298A"/>
    <w:rsid w:val="002029DB"/>
    <w:rsid w:val="00203299"/>
    <w:rsid w:val="002034FD"/>
    <w:rsid w:val="00203ADC"/>
    <w:rsid w:val="00204379"/>
    <w:rsid w:val="00204DB2"/>
    <w:rsid w:val="002060FC"/>
    <w:rsid w:val="002071AF"/>
    <w:rsid w:val="002105DA"/>
    <w:rsid w:val="00211046"/>
    <w:rsid w:val="00211BC4"/>
    <w:rsid w:val="002129F2"/>
    <w:rsid w:val="00212C7F"/>
    <w:rsid w:val="00213510"/>
    <w:rsid w:val="002148EE"/>
    <w:rsid w:val="00214B53"/>
    <w:rsid w:val="00214E0B"/>
    <w:rsid w:val="002171A2"/>
    <w:rsid w:val="00220552"/>
    <w:rsid w:val="00220678"/>
    <w:rsid w:val="00220F01"/>
    <w:rsid w:val="002211A9"/>
    <w:rsid w:val="00221D08"/>
    <w:rsid w:val="0022227E"/>
    <w:rsid w:val="0022308F"/>
    <w:rsid w:val="00223329"/>
    <w:rsid w:val="00223634"/>
    <w:rsid w:val="002237F0"/>
    <w:rsid w:val="00223ECF"/>
    <w:rsid w:val="00225214"/>
    <w:rsid w:val="0022542A"/>
    <w:rsid w:val="00226179"/>
    <w:rsid w:val="00226C71"/>
    <w:rsid w:val="00230371"/>
    <w:rsid w:val="00230AFA"/>
    <w:rsid w:val="0023183A"/>
    <w:rsid w:val="0023207D"/>
    <w:rsid w:val="0023220C"/>
    <w:rsid w:val="00232F61"/>
    <w:rsid w:val="00233460"/>
    <w:rsid w:val="00233F07"/>
    <w:rsid w:val="002342F2"/>
    <w:rsid w:val="0023438A"/>
    <w:rsid w:val="00234C76"/>
    <w:rsid w:val="00234F57"/>
    <w:rsid w:val="002372E0"/>
    <w:rsid w:val="00237B4A"/>
    <w:rsid w:val="00237DA1"/>
    <w:rsid w:val="0024012F"/>
    <w:rsid w:val="002402B5"/>
    <w:rsid w:val="00240E7B"/>
    <w:rsid w:val="00242111"/>
    <w:rsid w:val="00242FE0"/>
    <w:rsid w:val="0024330B"/>
    <w:rsid w:val="00243EA7"/>
    <w:rsid w:val="00243F31"/>
    <w:rsid w:val="00244262"/>
    <w:rsid w:val="00244344"/>
    <w:rsid w:val="002458F4"/>
    <w:rsid w:val="0024600C"/>
    <w:rsid w:val="0024604C"/>
    <w:rsid w:val="002466F3"/>
    <w:rsid w:val="00246F94"/>
    <w:rsid w:val="00247000"/>
    <w:rsid w:val="00247A3F"/>
    <w:rsid w:val="00250432"/>
    <w:rsid w:val="0025076D"/>
    <w:rsid w:val="00252510"/>
    <w:rsid w:val="00253A93"/>
    <w:rsid w:val="00253BF8"/>
    <w:rsid w:val="00255D12"/>
    <w:rsid w:val="00255FD9"/>
    <w:rsid w:val="00256F64"/>
    <w:rsid w:val="00257D6E"/>
    <w:rsid w:val="002611C9"/>
    <w:rsid w:val="00262768"/>
    <w:rsid w:val="00262E35"/>
    <w:rsid w:val="00264FE8"/>
    <w:rsid w:val="002654E2"/>
    <w:rsid w:val="002662CE"/>
    <w:rsid w:val="002662E3"/>
    <w:rsid w:val="00266D7E"/>
    <w:rsid w:val="00266F32"/>
    <w:rsid w:val="002671FA"/>
    <w:rsid w:val="0026767F"/>
    <w:rsid w:val="00267CF1"/>
    <w:rsid w:val="002706D8"/>
    <w:rsid w:val="00270FF7"/>
    <w:rsid w:val="00272266"/>
    <w:rsid w:val="00272B5A"/>
    <w:rsid w:val="0027306E"/>
    <w:rsid w:val="00273796"/>
    <w:rsid w:val="00273C7B"/>
    <w:rsid w:val="00274D08"/>
    <w:rsid w:val="002759EF"/>
    <w:rsid w:val="002762FB"/>
    <w:rsid w:val="00276599"/>
    <w:rsid w:val="00276992"/>
    <w:rsid w:val="00276F86"/>
    <w:rsid w:val="002808B6"/>
    <w:rsid w:val="002817A9"/>
    <w:rsid w:val="00281A56"/>
    <w:rsid w:val="00281D55"/>
    <w:rsid w:val="00282548"/>
    <w:rsid w:val="00283380"/>
    <w:rsid w:val="00283719"/>
    <w:rsid w:val="0028401D"/>
    <w:rsid w:val="002859FB"/>
    <w:rsid w:val="002860F1"/>
    <w:rsid w:val="002865D9"/>
    <w:rsid w:val="00286E54"/>
    <w:rsid w:val="00286F62"/>
    <w:rsid w:val="00287897"/>
    <w:rsid w:val="00287DC5"/>
    <w:rsid w:val="00287E8E"/>
    <w:rsid w:val="0029061D"/>
    <w:rsid w:val="00290EF0"/>
    <w:rsid w:val="002929E2"/>
    <w:rsid w:val="00292D14"/>
    <w:rsid w:val="00293B1A"/>
    <w:rsid w:val="0029431A"/>
    <w:rsid w:val="002953B2"/>
    <w:rsid w:val="0029564A"/>
    <w:rsid w:val="00296CED"/>
    <w:rsid w:val="00297595"/>
    <w:rsid w:val="002A0FD5"/>
    <w:rsid w:val="002A16CA"/>
    <w:rsid w:val="002A17A7"/>
    <w:rsid w:val="002A22BC"/>
    <w:rsid w:val="002A23B2"/>
    <w:rsid w:val="002A2950"/>
    <w:rsid w:val="002A2DC8"/>
    <w:rsid w:val="002A36F6"/>
    <w:rsid w:val="002A3740"/>
    <w:rsid w:val="002B0C21"/>
    <w:rsid w:val="002B10D3"/>
    <w:rsid w:val="002B1933"/>
    <w:rsid w:val="002B3891"/>
    <w:rsid w:val="002B3DBB"/>
    <w:rsid w:val="002B40CB"/>
    <w:rsid w:val="002B470B"/>
    <w:rsid w:val="002B48FE"/>
    <w:rsid w:val="002B5088"/>
    <w:rsid w:val="002B5FB5"/>
    <w:rsid w:val="002B6812"/>
    <w:rsid w:val="002B6F97"/>
    <w:rsid w:val="002B7574"/>
    <w:rsid w:val="002B77FE"/>
    <w:rsid w:val="002C006C"/>
    <w:rsid w:val="002C0D91"/>
    <w:rsid w:val="002C0DEE"/>
    <w:rsid w:val="002C0E29"/>
    <w:rsid w:val="002C162C"/>
    <w:rsid w:val="002C3FCE"/>
    <w:rsid w:val="002C4DEE"/>
    <w:rsid w:val="002C4FB8"/>
    <w:rsid w:val="002C516B"/>
    <w:rsid w:val="002C6B13"/>
    <w:rsid w:val="002C6E2C"/>
    <w:rsid w:val="002C6F0C"/>
    <w:rsid w:val="002C720B"/>
    <w:rsid w:val="002C7837"/>
    <w:rsid w:val="002D0163"/>
    <w:rsid w:val="002D03BE"/>
    <w:rsid w:val="002D0840"/>
    <w:rsid w:val="002D166F"/>
    <w:rsid w:val="002D1767"/>
    <w:rsid w:val="002D20BD"/>
    <w:rsid w:val="002D2E4E"/>
    <w:rsid w:val="002D3694"/>
    <w:rsid w:val="002D5D59"/>
    <w:rsid w:val="002D5DE0"/>
    <w:rsid w:val="002D646B"/>
    <w:rsid w:val="002D7677"/>
    <w:rsid w:val="002D77C3"/>
    <w:rsid w:val="002D77F7"/>
    <w:rsid w:val="002D7BC0"/>
    <w:rsid w:val="002E057A"/>
    <w:rsid w:val="002E0892"/>
    <w:rsid w:val="002E1041"/>
    <w:rsid w:val="002E1BC5"/>
    <w:rsid w:val="002E2CB0"/>
    <w:rsid w:val="002E42E9"/>
    <w:rsid w:val="002E4365"/>
    <w:rsid w:val="002E5AB5"/>
    <w:rsid w:val="002E6766"/>
    <w:rsid w:val="002E74F7"/>
    <w:rsid w:val="002E8D94"/>
    <w:rsid w:val="002F069A"/>
    <w:rsid w:val="002F0718"/>
    <w:rsid w:val="002F07E2"/>
    <w:rsid w:val="002F084E"/>
    <w:rsid w:val="002F0C00"/>
    <w:rsid w:val="002F117F"/>
    <w:rsid w:val="002F14A9"/>
    <w:rsid w:val="002F1B7B"/>
    <w:rsid w:val="002F2AD8"/>
    <w:rsid w:val="002F2C78"/>
    <w:rsid w:val="002F2EB8"/>
    <w:rsid w:val="002F31F7"/>
    <w:rsid w:val="002F4EC0"/>
    <w:rsid w:val="002F5B82"/>
    <w:rsid w:val="002F5C22"/>
    <w:rsid w:val="002F5C29"/>
    <w:rsid w:val="002F6991"/>
    <w:rsid w:val="00300552"/>
    <w:rsid w:val="00301061"/>
    <w:rsid w:val="003015E0"/>
    <w:rsid w:val="00302D68"/>
    <w:rsid w:val="00302EDF"/>
    <w:rsid w:val="003039C4"/>
    <w:rsid w:val="003040FC"/>
    <w:rsid w:val="00304752"/>
    <w:rsid w:val="0030480F"/>
    <w:rsid w:val="0030481E"/>
    <w:rsid w:val="0030484D"/>
    <w:rsid w:val="00304F5D"/>
    <w:rsid w:val="003052B5"/>
    <w:rsid w:val="0030569B"/>
    <w:rsid w:val="0030597E"/>
    <w:rsid w:val="00305ABA"/>
    <w:rsid w:val="00305CBF"/>
    <w:rsid w:val="00306CB6"/>
    <w:rsid w:val="00307473"/>
    <w:rsid w:val="003109CE"/>
    <w:rsid w:val="003113AD"/>
    <w:rsid w:val="00311770"/>
    <w:rsid w:val="00312043"/>
    <w:rsid w:val="0031305D"/>
    <w:rsid w:val="003132C3"/>
    <w:rsid w:val="00313797"/>
    <w:rsid w:val="00313B90"/>
    <w:rsid w:val="00314801"/>
    <w:rsid w:val="00314CA8"/>
    <w:rsid w:val="003163EF"/>
    <w:rsid w:val="0031768D"/>
    <w:rsid w:val="00320936"/>
    <w:rsid w:val="00321BE9"/>
    <w:rsid w:val="00322D6E"/>
    <w:rsid w:val="00323645"/>
    <w:rsid w:val="003237D1"/>
    <w:rsid w:val="003239D6"/>
    <w:rsid w:val="00324BFF"/>
    <w:rsid w:val="00324D7F"/>
    <w:rsid w:val="00324F88"/>
    <w:rsid w:val="00326131"/>
    <w:rsid w:val="00326C46"/>
    <w:rsid w:val="00327022"/>
    <w:rsid w:val="00327EB3"/>
    <w:rsid w:val="003303D3"/>
    <w:rsid w:val="003304E8"/>
    <w:rsid w:val="0033135D"/>
    <w:rsid w:val="003314B6"/>
    <w:rsid w:val="0033178D"/>
    <w:rsid w:val="003317F4"/>
    <w:rsid w:val="00331F66"/>
    <w:rsid w:val="0033263E"/>
    <w:rsid w:val="0033391E"/>
    <w:rsid w:val="00333D75"/>
    <w:rsid w:val="00334590"/>
    <w:rsid w:val="00334C28"/>
    <w:rsid w:val="00334D4D"/>
    <w:rsid w:val="0033609B"/>
    <w:rsid w:val="0033632A"/>
    <w:rsid w:val="003365D1"/>
    <w:rsid w:val="00336BA0"/>
    <w:rsid w:val="00336E9A"/>
    <w:rsid w:val="00336F6E"/>
    <w:rsid w:val="003373AD"/>
    <w:rsid w:val="00337D38"/>
    <w:rsid w:val="0033C693"/>
    <w:rsid w:val="00340D62"/>
    <w:rsid w:val="00340E33"/>
    <w:rsid w:val="00340FA0"/>
    <w:rsid w:val="00343579"/>
    <w:rsid w:val="0034385A"/>
    <w:rsid w:val="00346862"/>
    <w:rsid w:val="0034707C"/>
    <w:rsid w:val="003473CC"/>
    <w:rsid w:val="0034746B"/>
    <w:rsid w:val="00347BA1"/>
    <w:rsid w:val="00351308"/>
    <w:rsid w:val="0035149C"/>
    <w:rsid w:val="003517FF"/>
    <w:rsid w:val="00351C5C"/>
    <w:rsid w:val="00351FD6"/>
    <w:rsid w:val="0035237B"/>
    <w:rsid w:val="00352789"/>
    <w:rsid w:val="00352FD7"/>
    <w:rsid w:val="00353296"/>
    <w:rsid w:val="003538AA"/>
    <w:rsid w:val="00355EB0"/>
    <w:rsid w:val="00356182"/>
    <w:rsid w:val="003563A2"/>
    <w:rsid w:val="00356B02"/>
    <w:rsid w:val="00356CC4"/>
    <w:rsid w:val="00357EF3"/>
    <w:rsid w:val="003605BC"/>
    <w:rsid w:val="0036115F"/>
    <w:rsid w:val="003619FE"/>
    <w:rsid w:val="003629A2"/>
    <w:rsid w:val="00363939"/>
    <w:rsid w:val="00364128"/>
    <w:rsid w:val="0036427F"/>
    <w:rsid w:val="00364396"/>
    <w:rsid w:val="00364D69"/>
    <w:rsid w:val="00366B85"/>
    <w:rsid w:val="0037028F"/>
    <w:rsid w:val="003715EA"/>
    <w:rsid w:val="00371661"/>
    <w:rsid w:val="00372D31"/>
    <w:rsid w:val="00373C0B"/>
    <w:rsid w:val="00373E1C"/>
    <w:rsid w:val="00374BA4"/>
    <w:rsid w:val="00374D22"/>
    <w:rsid w:val="00374E64"/>
    <w:rsid w:val="0037573A"/>
    <w:rsid w:val="00377259"/>
    <w:rsid w:val="003804A0"/>
    <w:rsid w:val="003804E2"/>
    <w:rsid w:val="003804F0"/>
    <w:rsid w:val="00380677"/>
    <w:rsid w:val="0038099F"/>
    <w:rsid w:val="00383496"/>
    <w:rsid w:val="003839C2"/>
    <w:rsid w:val="003844A2"/>
    <w:rsid w:val="00384CBE"/>
    <w:rsid w:val="00385428"/>
    <w:rsid w:val="00385475"/>
    <w:rsid w:val="00385868"/>
    <w:rsid w:val="00385C8E"/>
    <w:rsid w:val="003868C6"/>
    <w:rsid w:val="00386FAD"/>
    <w:rsid w:val="0038768A"/>
    <w:rsid w:val="00387820"/>
    <w:rsid w:val="003902F9"/>
    <w:rsid w:val="00390370"/>
    <w:rsid w:val="0039226C"/>
    <w:rsid w:val="00392A56"/>
    <w:rsid w:val="00392F07"/>
    <w:rsid w:val="00392FAE"/>
    <w:rsid w:val="00393697"/>
    <w:rsid w:val="00393706"/>
    <w:rsid w:val="00394B83"/>
    <w:rsid w:val="00394DD1"/>
    <w:rsid w:val="0039753F"/>
    <w:rsid w:val="003A11A8"/>
    <w:rsid w:val="003A1566"/>
    <w:rsid w:val="003A3130"/>
    <w:rsid w:val="003A4C9E"/>
    <w:rsid w:val="003A5D95"/>
    <w:rsid w:val="003A6F08"/>
    <w:rsid w:val="003A7D25"/>
    <w:rsid w:val="003B1D4E"/>
    <w:rsid w:val="003B1FE7"/>
    <w:rsid w:val="003B38CD"/>
    <w:rsid w:val="003B4C26"/>
    <w:rsid w:val="003B4C77"/>
    <w:rsid w:val="003B4CBC"/>
    <w:rsid w:val="003B5AC5"/>
    <w:rsid w:val="003B6DFD"/>
    <w:rsid w:val="003C14D2"/>
    <w:rsid w:val="003C1655"/>
    <w:rsid w:val="003C1E20"/>
    <w:rsid w:val="003C27EA"/>
    <w:rsid w:val="003C2B27"/>
    <w:rsid w:val="003C2C10"/>
    <w:rsid w:val="003C2D36"/>
    <w:rsid w:val="003C316D"/>
    <w:rsid w:val="003C4E42"/>
    <w:rsid w:val="003C536A"/>
    <w:rsid w:val="003C598B"/>
    <w:rsid w:val="003D08DD"/>
    <w:rsid w:val="003D0AA0"/>
    <w:rsid w:val="003D14E0"/>
    <w:rsid w:val="003D20D5"/>
    <w:rsid w:val="003D250B"/>
    <w:rsid w:val="003D3A29"/>
    <w:rsid w:val="003D3E12"/>
    <w:rsid w:val="003D427C"/>
    <w:rsid w:val="003D4DBD"/>
    <w:rsid w:val="003D582F"/>
    <w:rsid w:val="003D5C7B"/>
    <w:rsid w:val="003D6E32"/>
    <w:rsid w:val="003D6E77"/>
    <w:rsid w:val="003D7C71"/>
    <w:rsid w:val="003E053D"/>
    <w:rsid w:val="003E0D80"/>
    <w:rsid w:val="003E1343"/>
    <w:rsid w:val="003E1EFD"/>
    <w:rsid w:val="003E4DA4"/>
    <w:rsid w:val="003E5488"/>
    <w:rsid w:val="003E65EA"/>
    <w:rsid w:val="003E6A25"/>
    <w:rsid w:val="003F0B9C"/>
    <w:rsid w:val="003F0E6D"/>
    <w:rsid w:val="003F1166"/>
    <w:rsid w:val="003F146D"/>
    <w:rsid w:val="003F175A"/>
    <w:rsid w:val="003F180F"/>
    <w:rsid w:val="003F2EE1"/>
    <w:rsid w:val="003F3BB5"/>
    <w:rsid w:val="003F477F"/>
    <w:rsid w:val="003F4DC5"/>
    <w:rsid w:val="003F4DD3"/>
    <w:rsid w:val="003F533E"/>
    <w:rsid w:val="003F61EC"/>
    <w:rsid w:val="003F639D"/>
    <w:rsid w:val="003F652E"/>
    <w:rsid w:val="003F72EE"/>
    <w:rsid w:val="003F7894"/>
    <w:rsid w:val="00400476"/>
    <w:rsid w:val="004015BA"/>
    <w:rsid w:val="004016F3"/>
    <w:rsid w:val="004019AD"/>
    <w:rsid w:val="00401BDF"/>
    <w:rsid w:val="0040208E"/>
    <w:rsid w:val="00402779"/>
    <w:rsid w:val="0040312D"/>
    <w:rsid w:val="00403B46"/>
    <w:rsid w:val="004042EC"/>
    <w:rsid w:val="00405D24"/>
    <w:rsid w:val="0040613E"/>
    <w:rsid w:val="00406387"/>
    <w:rsid w:val="004072F6"/>
    <w:rsid w:val="00407873"/>
    <w:rsid w:val="00407B8E"/>
    <w:rsid w:val="0041033F"/>
    <w:rsid w:val="00410D41"/>
    <w:rsid w:val="00410F90"/>
    <w:rsid w:val="00411869"/>
    <w:rsid w:val="004118DE"/>
    <w:rsid w:val="00411B8D"/>
    <w:rsid w:val="00412CAE"/>
    <w:rsid w:val="0041312F"/>
    <w:rsid w:val="00413602"/>
    <w:rsid w:val="00415583"/>
    <w:rsid w:val="0041621E"/>
    <w:rsid w:val="00416DED"/>
    <w:rsid w:val="00420094"/>
    <w:rsid w:val="0042074B"/>
    <w:rsid w:val="00420861"/>
    <w:rsid w:val="00422549"/>
    <w:rsid w:val="004228C1"/>
    <w:rsid w:val="00422F11"/>
    <w:rsid w:val="004233D6"/>
    <w:rsid w:val="00424F37"/>
    <w:rsid w:val="004256B2"/>
    <w:rsid w:val="00425761"/>
    <w:rsid w:val="00425CF5"/>
    <w:rsid w:val="00425D96"/>
    <w:rsid w:val="00426327"/>
    <w:rsid w:val="00426B91"/>
    <w:rsid w:val="00427E8F"/>
    <w:rsid w:val="004301AE"/>
    <w:rsid w:val="00430827"/>
    <w:rsid w:val="004312FD"/>
    <w:rsid w:val="004318E7"/>
    <w:rsid w:val="00432435"/>
    <w:rsid w:val="00434B6A"/>
    <w:rsid w:val="00436051"/>
    <w:rsid w:val="00440C2E"/>
    <w:rsid w:val="00441C23"/>
    <w:rsid w:val="004422E4"/>
    <w:rsid w:val="004437AA"/>
    <w:rsid w:val="00444D1E"/>
    <w:rsid w:val="004463E2"/>
    <w:rsid w:val="00446F56"/>
    <w:rsid w:val="004477F8"/>
    <w:rsid w:val="00447A5E"/>
    <w:rsid w:val="00450508"/>
    <w:rsid w:val="004509FB"/>
    <w:rsid w:val="00451696"/>
    <w:rsid w:val="0045225A"/>
    <w:rsid w:val="00452702"/>
    <w:rsid w:val="00452A54"/>
    <w:rsid w:val="00456D79"/>
    <w:rsid w:val="00456EFE"/>
    <w:rsid w:val="0045713C"/>
    <w:rsid w:val="00457201"/>
    <w:rsid w:val="004573E0"/>
    <w:rsid w:val="00460E34"/>
    <w:rsid w:val="004610A1"/>
    <w:rsid w:val="00461578"/>
    <w:rsid w:val="00461DC5"/>
    <w:rsid w:val="004624DD"/>
    <w:rsid w:val="00462842"/>
    <w:rsid w:val="004631C9"/>
    <w:rsid w:val="00463767"/>
    <w:rsid w:val="00463891"/>
    <w:rsid w:val="0046478E"/>
    <w:rsid w:val="00464A3E"/>
    <w:rsid w:val="00465A03"/>
    <w:rsid w:val="00466348"/>
    <w:rsid w:val="004664BB"/>
    <w:rsid w:val="00466894"/>
    <w:rsid w:val="00466DA3"/>
    <w:rsid w:val="004702C9"/>
    <w:rsid w:val="0047083D"/>
    <w:rsid w:val="004719A8"/>
    <w:rsid w:val="0047229F"/>
    <w:rsid w:val="00473473"/>
    <w:rsid w:val="004734A0"/>
    <w:rsid w:val="00473790"/>
    <w:rsid w:val="0047400A"/>
    <w:rsid w:val="004765F3"/>
    <w:rsid w:val="00476CD0"/>
    <w:rsid w:val="00476EE1"/>
    <w:rsid w:val="00480065"/>
    <w:rsid w:val="00480866"/>
    <w:rsid w:val="00480C99"/>
    <w:rsid w:val="00480F68"/>
    <w:rsid w:val="00481656"/>
    <w:rsid w:val="00481845"/>
    <w:rsid w:val="00483496"/>
    <w:rsid w:val="004846D3"/>
    <w:rsid w:val="00485012"/>
    <w:rsid w:val="004864FA"/>
    <w:rsid w:val="004866D2"/>
    <w:rsid w:val="004868F9"/>
    <w:rsid w:val="004870D3"/>
    <w:rsid w:val="00487505"/>
    <w:rsid w:val="00487A1E"/>
    <w:rsid w:val="00487EDB"/>
    <w:rsid w:val="004904E7"/>
    <w:rsid w:val="00490CF7"/>
    <w:rsid w:val="004913B5"/>
    <w:rsid w:val="00491563"/>
    <w:rsid w:val="004917C5"/>
    <w:rsid w:val="00491852"/>
    <w:rsid w:val="00491ECE"/>
    <w:rsid w:val="00492232"/>
    <w:rsid w:val="00492BBE"/>
    <w:rsid w:val="00492E29"/>
    <w:rsid w:val="00493803"/>
    <w:rsid w:val="00493CD5"/>
    <w:rsid w:val="00494581"/>
    <w:rsid w:val="0049567F"/>
    <w:rsid w:val="004959D6"/>
    <w:rsid w:val="004966A5"/>
    <w:rsid w:val="0049780E"/>
    <w:rsid w:val="004A0079"/>
    <w:rsid w:val="004A0344"/>
    <w:rsid w:val="004A052B"/>
    <w:rsid w:val="004A05E6"/>
    <w:rsid w:val="004A06CD"/>
    <w:rsid w:val="004A15A9"/>
    <w:rsid w:val="004A2C26"/>
    <w:rsid w:val="004A2CB9"/>
    <w:rsid w:val="004A2DA2"/>
    <w:rsid w:val="004A2FB7"/>
    <w:rsid w:val="004A3B8F"/>
    <w:rsid w:val="004A46EA"/>
    <w:rsid w:val="004A4C4C"/>
    <w:rsid w:val="004A52C5"/>
    <w:rsid w:val="004A5878"/>
    <w:rsid w:val="004A642D"/>
    <w:rsid w:val="004B1597"/>
    <w:rsid w:val="004B2308"/>
    <w:rsid w:val="004B283C"/>
    <w:rsid w:val="004B2D92"/>
    <w:rsid w:val="004B2DBF"/>
    <w:rsid w:val="004B40B7"/>
    <w:rsid w:val="004B4356"/>
    <w:rsid w:val="004B4470"/>
    <w:rsid w:val="004B54FB"/>
    <w:rsid w:val="004B5EB2"/>
    <w:rsid w:val="004B5FD9"/>
    <w:rsid w:val="004B61E4"/>
    <w:rsid w:val="004B650C"/>
    <w:rsid w:val="004B6E3B"/>
    <w:rsid w:val="004B6FB1"/>
    <w:rsid w:val="004B7073"/>
    <w:rsid w:val="004C0C71"/>
    <w:rsid w:val="004C11B1"/>
    <w:rsid w:val="004C1268"/>
    <w:rsid w:val="004C2E5C"/>
    <w:rsid w:val="004C3090"/>
    <w:rsid w:val="004C5DD2"/>
    <w:rsid w:val="004C6544"/>
    <w:rsid w:val="004C6F2C"/>
    <w:rsid w:val="004C7314"/>
    <w:rsid w:val="004D0BFC"/>
    <w:rsid w:val="004D1117"/>
    <w:rsid w:val="004D1639"/>
    <w:rsid w:val="004D1D33"/>
    <w:rsid w:val="004D31C4"/>
    <w:rsid w:val="004D381D"/>
    <w:rsid w:val="004D412F"/>
    <w:rsid w:val="004D4224"/>
    <w:rsid w:val="004D6A66"/>
    <w:rsid w:val="004D7D7B"/>
    <w:rsid w:val="004DCF1E"/>
    <w:rsid w:val="004E03A4"/>
    <w:rsid w:val="004E03BE"/>
    <w:rsid w:val="004E105D"/>
    <w:rsid w:val="004E1B7F"/>
    <w:rsid w:val="004E2071"/>
    <w:rsid w:val="004E2F51"/>
    <w:rsid w:val="004E419C"/>
    <w:rsid w:val="004E557C"/>
    <w:rsid w:val="004E5726"/>
    <w:rsid w:val="004E6122"/>
    <w:rsid w:val="004E612C"/>
    <w:rsid w:val="004E7575"/>
    <w:rsid w:val="004F1CF2"/>
    <w:rsid w:val="004F1F82"/>
    <w:rsid w:val="004F29DA"/>
    <w:rsid w:val="004F29FC"/>
    <w:rsid w:val="004F2AF8"/>
    <w:rsid w:val="004F3629"/>
    <w:rsid w:val="004F5672"/>
    <w:rsid w:val="004F57DE"/>
    <w:rsid w:val="004F5A74"/>
    <w:rsid w:val="004F6882"/>
    <w:rsid w:val="00500B81"/>
    <w:rsid w:val="00500E22"/>
    <w:rsid w:val="005013AA"/>
    <w:rsid w:val="00501487"/>
    <w:rsid w:val="0050291D"/>
    <w:rsid w:val="00502F37"/>
    <w:rsid w:val="00503336"/>
    <w:rsid w:val="005055AE"/>
    <w:rsid w:val="00505C37"/>
    <w:rsid w:val="00506DF9"/>
    <w:rsid w:val="005077C8"/>
    <w:rsid w:val="00510194"/>
    <w:rsid w:val="00510641"/>
    <w:rsid w:val="00510976"/>
    <w:rsid w:val="00510DE2"/>
    <w:rsid w:val="00510E5C"/>
    <w:rsid w:val="00512561"/>
    <w:rsid w:val="00513132"/>
    <w:rsid w:val="005138EE"/>
    <w:rsid w:val="00513EA9"/>
    <w:rsid w:val="00515802"/>
    <w:rsid w:val="00515F16"/>
    <w:rsid w:val="00517611"/>
    <w:rsid w:val="00517A8A"/>
    <w:rsid w:val="00517E90"/>
    <w:rsid w:val="00520284"/>
    <w:rsid w:val="00520FD2"/>
    <w:rsid w:val="00522C93"/>
    <w:rsid w:val="00522D46"/>
    <w:rsid w:val="00522F0A"/>
    <w:rsid w:val="00523279"/>
    <w:rsid w:val="005248D7"/>
    <w:rsid w:val="00525F7C"/>
    <w:rsid w:val="00526566"/>
    <w:rsid w:val="0052783C"/>
    <w:rsid w:val="00530CE4"/>
    <w:rsid w:val="00531AEA"/>
    <w:rsid w:val="00532316"/>
    <w:rsid w:val="0053232D"/>
    <w:rsid w:val="005328DB"/>
    <w:rsid w:val="00532F5C"/>
    <w:rsid w:val="00533CA9"/>
    <w:rsid w:val="00533CCA"/>
    <w:rsid w:val="00534AE2"/>
    <w:rsid w:val="0053707E"/>
    <w:rsid w:val="005377D2"/>
    <w:rsid w:val="00537F39"/>
    <w:rsid w:val="00540051"/>
    <w:rsid w:val="00540798"/>
    <w:rsid w:val="00541421"/>
    <w:rsid w:val="005419BD"/>
    <w:rsid w:val="00541FBC"/>
    <w:rsid w:val="0054276C"/>
    <w:rsid w:val="00542CCC"/>
    <w:rsid w:val="005433CE"/>
    <w:rsid w:val="00544ACA"/>
    <w:rsid w:val="005450A4"/>
    <w:rsid w:val="00546071"/>
    <w:rsid w:val="00546A13"/>
    <w:rsid w:val="00547014"/>
    <w:rsid w:val="0054702D"/>
    <w:rsid w:val="00547D0D"/>
    <w:rsid w:val="00550351"/>
    <w:rsid w:val="0055049C"/>
    <w:rsid w:val="00550F01"/>
    <w:rsid w:val="0055289F"/>
    <w:rsid w:val="00552FD5"/>
    <w:rsid w:val="00553188"/>
    <w:rsid w:val="005531CA"/>
    <w:rsid w:val="005541CC"/>
    <w:rsid w:val="00554AA4"/>
    <w:rsid w:val="00554AC7"/>
    <w:rsid w:val="00554C7A"/>
    <w:rsid w:val="00554F2E"/>
    <w:rsid w:val="00555096"/>
    <w:rsid w:val="0055527F"/>
    <w:rsid w:val="00555E0E"/>
    <w:rsid w:val="005562BD"/>
    <w:rsid w:val="00557BE5"/>
    <w:rsid w:val="00557D6A"/>
    <w:rsid w:val="005612BB"/>
    <w:rsid w:val="005618F1"/>
    <w:rsid w:val="00562E40"/>
    <w:rsid w:val="005631AE"/>
    <w:rsid w:val="00563D28"/>
    <w:rsid w:val="00563EA1"/>
    <w:rsid w:val="00564A63"/>
    <w:rsid w:val="00564AA1"/>
    <w:rsid w:val="00564CDD"/>
    <w:rsid w:val="00571FD1"/>
    <w:rsid w:val="00573CBF"/>
    <w:rsid w:val="00574178"/>
    <w:rsid w:val="005747D8"/>
    <w:rsid w:val="005765D4"/>
    <w:rsid w:val="0057686C"/>
    <w:rsid w:val="00577468"/>
    <w:rsid w:val="0058011D"/>
    <w:rsid w:val="00580E89"/>
    <w:rsid w:val="005819DD"/>
    <w:rsid w:val="00581B09"/>
    <w:rsid w:val="005828E2"/>
    <w:rsid w:val="00582AF7"/>
    <w:rsid w:val="00583509"/>
    <w:rsid w:val="00583C12"/>
    <w:rsid w:val="00583EA8"/>
    <w:rsid w:val="00583FBD"/>
    <w:rsid w:val="005843D5"/>
    <w:rsid w:val="005844DF"/>
    <w:rsid w:val="00585E82"/>
    <w:rsid w:val="00585F55"/>
    <w:rsid w:val="00586786"/>
    <w:rsid w:val="005900F2"/>
    <w:rsid w:val="0059025E"/>
    <w:rsid w:val="00590507"/>
    <w:rsid w:val="00590C4A"/>
    <w:rsid w:val="00590D14"/>
    <w:rsid w:val="00591C8D"/>
    <w:rsid w:val="00593F05"/>
    <w:rsid w:val="00594563"/>
    <w:rsid w:val="005946AA"/>
    <w:rsid w:val="00594834"/>
    <w:rsid w:val="00595BEC"/>
    <w:rsid w:val="005A153D"/>
    <w:rsid w:val="005A187A"/>
    <w:rsid w:val="005A1D69"/>
    <w:rsid w:val="005A2CA4"/>
    <w:rsid w:val="005A3374"/>
    <w:rsid w:val="005A3A02"/>
    <w:rsid w:val="005A3A5E"/>
    <w:rsid w:val="005A5F37"/>
    <w:rsid w:val="005A6009"/>
    <w:rsid w:val="005A6602"/>
    <w:rsid w:val="005A6736"/>
    <w:rsid w:val="005A71BC"/>
    <w:rsid w:val="005A7CE9"/>
    <w:rsid w:val="005B04F0"/>
    <w:rsid w:val="005B3578"/>
    <w:rsid w:val="005B35C7"/>
    <w:rsid w:val="005B385F"/>
    <w:rsid w:val="005B4554"/>
    <w:rsid w:val="005B4B36"/>
    <w:rsid w:val="005B522B"/>
    <w:rsid w:val="005B6C33"/>
    <w:rsid w:val="005C102F"/>
    <w:rsid w:val="005C1697"/>
    <w:rsid w:val="005C219A"/>
    <w:rsid w:val="005C261C"/>
    <w:rsid w:val="005C492E"/>
    <w:rsid w:val="005C4FB7"/>
    <w:rsid w:val="005C6DB8"/>
    <w:rsid w:val="005C75C5"/>
    <w:rsid w:val="005C7E11"/>
    <w:rsid w:val="005D06DB"/>
    <w:rsid w:val="005D110C"/>
    <w:rsid w:val="005D1E91"/>
    <w:rsid w:val="005D3CA0"/>
    <w:rsid w:val="005D5879"/>
    <w:rsid w:val="005D59C5"/>
    <w:rsid w:val="005D5BB5"/>
    <w:rsid w:val="005D66B0"/>
    <w:rsid w:val="005D7B77"/>
    <w:rsid w:val="005D7DA6"/>
    <w:rsid w:val="005D7F1B"/>
    <w:rsid w:val="005E07C5"/>
    <w:rsid w:val="005E22BB"/>
    <w:rsid w:val="005E5016"/>
    <w:rsid w:val="005E5F88"/>
    <w:rsid w:val="005E6BBA"/>
    <w:rsid w:val="005E7094"/>
    <w:rsid w:val="005E7D02"/>
    <w:rsid w:val="005F096B"/>
    <w:rsid w:val="005F0971"/>
    <w:rsid w:val="005F0991"/>
    <w:rsid w:val="005F1043"/>
    <w:rsid w:val="005F2527"/>
    <w:rsid w:val="005F3164"/>
    <w:rsid w:val="005F32D3"/>
    <w:rsid w:val="005F3369"/>
    <w:rsid w:val="005F4321"/>
    <w:rsid w:val="005F552B"/>
    <w:rsid w:val="005F6865"/>
    <w:rsid w:val="005F76A6"/>
    <w:rsid w:val="005F792E"/>
    <w:rsid w:val="006005B5"/>
    <w:rsid w:val="00600B9F"/>
    <w:rsid w:val="00600C33"/>
    <w:rsid w:val="00600E93"/>
    <w:rsid w:val="00600FAE"/>
    <w:rsid w:val="006015CF"/>
    <w:rsid w:val="0060253C"/>
    <w:rsid w:val="00602B16"/>
    <w:rsid w:val="00603209"/>
    <w:rsid w:val="006032CD"/>
    <w:rsid w:val="006036F8"/>
    <w:rsid w:val="00603893"/>
    <w:rsid w:val="00604549"/>
    <w:rsid w:val="006048F2"/>
    <w:rsid w:val="00604F7F"/>
    <w:rsid w:val="0060589D"/>
    <w:rsid w:val="00605CFD"/>
    <w:rsid w:val="00605F37"/>
    <w:rsid w:val="006062FE"/>
    <w:rsid w:val="00606A28"/>
    <w:rsid w:val="00606B35"/>
    <w:rsid w:val="00607F02"/>
    <w:rsid w:val="00610BE2"/>
    <w:rsid w:val="00611DAE"/>
    <w:rsid w:val="006127A8"/>
    <w:rsid w:val="00612A28"/>
    <w:rsid w:val="00613021"/>
    <w:rsid w:val="00613924"/>
    <w:rsid w:val="00613A65"/>
    <w:rsid w:val="00613E62"/>
    <w:rsid w:val="00614271"/>
    <w:rsid w:val="00614639"/>
    <w:rsid w:val="006150A2"/>
    <w:rsid w:val="006167B5"/>
    <w:rsid w:val="0061680B"/>
    <w:rsid w:val="00616D6A"/>
    <w:rsid w:val="006201D8"/>
    <w:rsid w:val="00621189"/>
    <w:rsid w:val="006211D3"/>
    <w:rsid w:val="00622301"/>
    <w:rsid w:val="00622CEE"/>
    <w:rsid w:val="00623813"/>
    <w:rsid w:val="00623D92"/>
    <w:rsid w:val="00624FC9"/>
    <w:rsid w:val="006251D1"/>
    <w:rsid w:val="00625476"/>
    <w:rsid w:val="00625838"/>
    <w:rsid w:val="00625D60"/>
    <w:rsid w:val="006265B1"/>
    <w:rsid w:val="00627A96"/>
    <w:rsid w:val="00627E0D"/>
    <w:rsid w:val="00631672"/>
    <w:rsid w:val="006319ED"/>
    <w:rsid w:val="00631A6F"/>
    <w:rsid w:val="00631C10"/>
    <w:rsid w:val="006324C2"/>
    <w:rsid w:val="006331CD"/>
    <w:rsid w:val="006332D2"/>
    <w:rsid w:val="00633FA1"/>
    <w:rsid w:val="00634423"/>
    <w:rsid w:val="00634661"/>
    <w:rsid w:val="00634BDD"/>
    <w:rsid w:val="006376AF"/>
    <w:rsid w:val="00640612"/>
    <w:rsid w:val="00640C75"/>
    <w:rsid w:val="00641EF9"/>
    <w:rsid w:val="00643DC2"/>
    <w:rsid w:val="00644344"/>
    <w:rsid w:val="00644FD8"/>
    <w:rsid w:val="00645AD7"/>
    <w:rsid w:val="006460F4"/>
    <w:rsid w:val="0064655D"/>
    <w:rsid w:val="00646F47"/>
    <w:rsid w:val="00647139"/>
    <w:rsid w:val="006479BD"/>
    <w:rsid w:val="00650211"/>
    <w:rsid w:val="006507F1"/>
    <w:rsid w:val="00653F4B"/>
    <w:rsid w:val="0065492E"/>
    <w:rsid w:val="00654ECC"/>
    <w:rsid w:val="00655EA0"/>
    <w:rsid w:val="006560F4"/>
    <w:rsid w:val="00656D55"/>
    <w:rsid w:val="00657FC7"/>
    <w:rsid w:val="00660547"/>
    <w:rsid w:val="00661FFE"/>
    <w:rsid w:val="0066227B"/>
    <w:rsid w:val="0066321D"/>
    <w:rsid w:val="006635B8"/>
    <w:rsid w:val="00664148"/>
    <w:rsid w:val="006644CB"/>
    <w:rsid w:val="00664832"/>
    <w:rsid w:val="006659B5"/>
    <w:rsid w:val="006664C1"/>
    <w:rsid w:val="00670E29"/>
    <w:rsid w:val="006710D5"/>
    <w:rsid w:val="006724EB"/>
    <w:rsid w:val="00674EA1"/>
    <w:rsid w:val="006762AA"/>
    <w:rsid w:val="00676464"/>
    <w:rsid w:val="0067671A"/>
    <w:rsid w:val="00676AD8"/>
    <w:rsid w:val="00677993"/>
    <w:rsid w:val="00677A96"/>
    <w:rsid w:val="00680CFC"/>
    <w:rsid w:val="006817F5"/>
    <w:rsid w:val="00681C9F"/>
    <w:rsid w:val="00681FC5"/>
    <w:rsid w:val="0068205F"/>
    <w:rsid w:val="0068213B"/>
    <w:rsid w:val="00682648"/>
    <w:rsid w:val="006826D6"/>
    <w:rsid w:val="0068312C"/>
    <w:rsid w:val="006832FC"/>
    <w:rsid w:val="00683AE8"/>
    <w:rsid w:val="006856C5"/>
    <w:rsid w:val="00685E0C"/>
    <w:rsid w:val="0068692D"/>
    <w:rsid w:val="00686C72"/>
    <w:rsid w:val="00687A52"/>
    <w:rsid w:val="006905D9"/>
    <w:rsid w:val="00690780"/>
    <w:rsid w:val="00690905"/>
    <w:rsid w:val="00690CDC"/>
    <w:rsid w:val="00691A4F"/>
    <w:rsid w:val="00693492"/>
    <w:rsid w:val="00693932"/>
    <w:rsid w:val="00693963"/>
    <w:rsid w:val="00693FA4"/>
    <w:rsid w:val="0069446C"/>
    <w:rsid w:val="0069691A"/>
    <w:rsid w:val="00696BB0"/>
    <w:rsid w:val="00697B15"/>
    <w:rsid w:val="006A0674"/>
    <w:rsid w:val="006A0690"/>
    <w:rsid w:val="006A06C2"/>
    <w:rsid w:val="006A0DA7"/>
    <w:rsid w:val="006A1108"/>
    <w:rsid w:val="006A1641"/>
    <w:rsid w:val="006A29D8"/>
    <w:rsid w:val="006A34DE"/>
    <w:rsid w:val="006A37AF"/>
    <w:rsid w:val="006A419A"/>
    <w:rsid w:val="006A441E"/>
    <w:rsid w:val="006A48C9"/>
    <w:rsid w:val="006A49EB"/>
    <w:rsid w:val="006A5990"/>
    <w:rsid w:val="006A5D54"/>
    <w:rsid w:val="006A6052"/>
    <w:rsid w:val="006A6BC0"/>
    <w:rsid w:val="006A6E5C"/>
    <w:rsid w:val="006A7495"/>
    <w:rsid w:val="006A7891"/>
    <w:rsid w:val="006B2179"/>
    <w:rsid w:val="006B3219"/>
    <w:rsid w:val="006B3BA9"/>
    <w:rsid w:val="006B5C22"/>
    <w:rsid w:val="006B712B"/>
    <w:rsid w:val="006C0169"/>
    <w:rsid w:val="006C1106"/>
    <w:rsid w:val="006C145A"/>
    <w:rsid w:val="006C1C6D"/>
    <w:rsid w:val="006C2B5F"/>
    <w:rsid w:val="006C2E3B"/>
    <w:rsid w:val="006C42BC"/>
    <w:rsid w:val="006C4BBE"/>
    <w:rsid w:val="006C5305"/>
    <w:rsid w:val="006C6411"/>
    <w:rsid w:val="006D0220"/>
    <w:rsid w:val="006D15EF"/>
    <w:rsid w:val="006D18D9"/>
    <w:rsid w:val="006D1DFA"/>
    <w:rsid w:val="006D3EC8"/>
    <w:rsid w:val="006D4157"/>
    <w:rsid w:val="006D454E"/>
    <w:rsid w:val="006D4F07"/>
    <w:rsid w:val="006D5A34"/>
    <w:rsid w:val="006D5DCF"/>
    <w:rsid w:val="006D5FBC"/>
    <w:rsid w:val="006D66D3"/>
    <w:rsid w:val="006D7F1F"/>
    <w:rsid w:val="006E1029"/>
    <w:rsid w:val="006E152E"/>
    <w:rsid w:val="006E1BD3"/>
    <w:rsid w:val="006E285B"/>
    <w:rsid w:val="006E3D1F"/>
    <w:rsid w:val="006E418E"/>
    <w:rsid w:val="006E45BB"/>
    <w:rsid w:val="006E4AF6"/>
    <w:rsid w:val="006F0435"/>
    <w:rsid w:val="006F1815"/>
    <w:rsid w:val="006F1BE1"/>
    <w:rsid w:val="006F2D4C"/>
    <w:rsid w:val="006F36B5"/>
    <w:rsid w:val="006F427C"/>
    <w:rsid w:val="006F510D"/>
    <w:rsid w:val="006F60F1"/>
    <w:rsid w:val="006F64D1"/>
    <w:rsid w:val="00700247"/>
    <w:rsid w:val="00702042"/>
    <w:rsid w:val="0070363E"/>
    <w:rsid w:val="00703FCE"/>
    <w:rsid w:val="00704659"/>
    <w:rsid w:val="00704F48"/>
    <w:rsid w:val="007056FA"/>
    <w:rsid w:val="00705905"/>
    <w:rsid w:val="0070678B"/>
    <w:rsid w:val="00706B5E"/>
    <w:rsid w:val="00707BEA"/>
    <w:rsid w:val="00707CF7"/>
    <w:rsid w:val="00707D24"/>
    <w:rsid w:val="00707EDF"/>
    <w:rsid w:val="0071021C"/>
    <w:rsid w:val="00710399"/>
    <w:rsid w:val="0071051A"/>
    <w:rsid w:val="007122E2"/>
    <w:rsid w:val="00712476"/>
    <w:rsid w:val="00713816"/>
    <w:rsid w:val="00713A83"/>
    <w:rsid w:val="00713E55"/>
    <w:rsid w:val="007151FC"/>
    <w:rsid w:val="0071545A"/>
    <w:rsid w:val="00715513"/>
    <w:rsid w:val="00715DEA"/>
    <w:rsid w:val="00717408"/>
    <w:rsid w:val="0072063B"/>
    <w:rsid w:val="007209EA"/>
    <w:rsid w:val="0072101D"/>
    <w:rsid w:val="0072145E"/>
    <w:rsid w:val="007217CA"/>
    <w:rsid w:val="0072186D"/>
    <w:rsid w:val="0072337F"/>
    <w:rsid w:val="007237F7"/>
    <w:rsid w:val="007243AF"/>
    <w:rsid w:val="00724AEC"/>
    <w:rsid w:val="007314A2"/>
    <w:rsid w:val="007315DE"/>
    <w:rsid w:val="007329D4"/>
    <w:rsid w:val="00732FAA"/>
    <w:rsid w:val="00733F78"/>
    <w:rsid w:val="007351B1"/>
    <w:rsid w:val="00735F10"/>
    <w:rsid w:val="0073616E"/>
    <w:rsid w:val="007363BB"/>
    <w:rsid w:val="00740287"/>
    <w:rsid w:val="007403E5"/>
    <w:rsid w:val="00740E98"/>
    <w:rsid w:val="007410BD"/>
    <w:rsid w:val="0074129E"/>
    <w:rsid w:val="00741B55"/>
    <w:rsid w:val="007422D3"/>
    <w:rsid w:val="00742A3A"/>
    <w:rsid w:val="00742FCF"/>
    <w:rsid w:val="007441F5"/>
    <w:rsid w:val="00744A07"/>
    <w:rsid w:val="00744A8A"/>
    <w:rsid w:val="00744D8F"/>
    <w:rsid w:val="00744E33"/>
    <w:rsid w:val="00745573"/>
    <w:rsid w:val="00747766"/>
    <w:rsid w:val="00747D04"/>
    <w:rsid w:val="00747D32"/>
    <w:rsid w:val="00747D71"/>
    <w:rsid w:val="007531A0"/>
    <w:rsid w:val="007562DF"/>
    <w:rsid w:val="007563FC"/>
    <w:rsid w:val="007564E7"/>
    <w:rsid w:val="00756B4B"/>
    <w:rsid w:val="0075792B"/>
    <w:rsid w:val="00757948"/>
    <w:rsid w:val="00757E4D"/>
    <w:rsid w:val="007609FE"/>
    <w:rsid w:val="00760D9F"/>
    <w:rsid w:val="00760E7A"/>
    <w:rsid w:val="00761347"/>
    <w:rsid w:val="0076151B"/>
    <w:rsid w:val="007635B2"/>
    <w:rsid w:val="00763AAA"/>
    <w:rsid w:val="00763BD0"/>
    <w:rsid w:val="0076432F"/>
    <w:rsid w:val="00765C9B"/>
    <w:rsid w:val="007665E3"/>
    <w:rsid w:val="00766A6E"/>
    <w:rsid w:val="00766BD6"/>
    <w:rsid w:val="007675CD"/>
    <w:rsid w:val="007706E5"/>
    <w:rsid w:val="007709FD"/>
    <w:rsid w:val="0077113E"/>
    <w:rsid w:val="007718C2"/>
    <w:rsid w:val="00772054"/>
    <w:rsid w:val="00772096"/>
    <w:rsid w:val="00773303"/>
    <w:rsid w:val="0077538E"/>
    <w:rsid w:val="007756F2"/>
    <w:rsid w:val="00775E30"/>
    <w:rsid w:val="00776787"/>
    <w:rsid w:val="007778D9"/>
    <w:rsid w:val="00777913"/>
    <w:rsid w:val="00777BBD"/>
    <w:rsid w:val="00777D5A"/>
    <w:rsid w:val="007805A5"/>
    <w:rsid w:val="00780C07"/>
    <w:rsid w:val="00781309"/>
    <w:rsid w:val="007813F1"/>
    <w:rsid w:val="00782248"/>
    <w:rsid w:val="00782F97"/>
    <w:rsid w:val="0078307F"/>
    <w:rsid w:val="0078387C"/>
    <w:rsid w:val="007839D8"/>
    <w:rsid w:val="00783E11"/>
    <w:rsid w:val="007840F3"/>
    <w:rsid w:val="007846B6"/>
    <w:rsid w:val="0078525E"/>
    <w:rsid w:val="0078680E"/>
    <w:rsid w:val="00786AC7"/>
    <w:rsid w:val="00787649"/>
    <w:rsid w:val="007876E4"/>
    <w:rsid w:val="007879A2"/>
    <w:rsid w:val="00787D93"/>
    <w:rsid w:val="0079009F"/>
    <w:rsid w:val="007900A5"/>
    <w:rsid w:val="007904E4"/>
    <w:rsid w:val="00790589"/>
    <w:rsid w:val="00790A85"/>
    <w:rsid w:val="00790C30"/>
    <w:rsid w:val="00790CFB"/>
    <w:rsid w:val="00790F63"/>
    <w:rsid w:val="00792312"/>
    <w:rsid w:val="0079404D"/>
    <w:rsid w:val="007941B9"/>
    <w:rsid w:val="00794466"/>
    <w:rsid w:val="0079488D"/>
    <w:rsid w:val="00794E1B"/>
    <w:rsid w:val="00796372"/>
    <w:rsid w:val="0079691C"/>
    <w:rsid w:val="00796B99"/>
    <w:rsid w:val="00797599"/>
    <w:rsid w:val="007A0B5B"/>
    <w:rsid w:val="007A0E3F"/>
    <w:rsid w:val="007A1C6A"/>
    <w:rsid w:val="007A278C"/>
    <w:rsid w:val="007A2D08"/>
    <w:rsid w:val="007A2D63"/>
    <w:rsid w:val="007A34DF"/>
    <w:rsid w:val="007A4005"/>
    <w:rsid w:val="007A4ECB"/>
    <w:rsid w:val="007A5039"/>
    <w:rsid w:val="007A552F"/>
    <w:rsid w:val="007A5F03"/>
    <w:rsid w:val="007A64C8"/>
    <w:rsid w:val="007A7162"/>
    <w:rsid w:val="007A727F"/>
    <w:rsid w:val="007B0B94"/>
    <w:rsid w:val="007B1F0B"/>
    <w:rsid w:val="007B2CE7"/>
    <w:rsid w:val="007B2E43"/>
    <w:rsid w:val="007B34D5"/>
    <w:rsid w:val="007B3535"/>
    <w:rsid w:val="007B43FA"/>
    <w:rsid w:val="007B4646"/>
    <w:rsid w:val="007B519D"/>
    <w:rsid w:val="007B54B2"/>
    <w:rsid w:val="007B54C2"/>
    <w:rsid w:val="007B6028"/>
    <w:rsid w:val="007B69CE"/>
    <w:rsid w:val="007B6A52"/>
    <w:rsid w:val="007B6CC5"/>
    <w:rsid w:val="007C0257"/>
    <w:rsid w:val="007C1855"/>
    <w:rsid w:val="007C1E6A"/>
    <w:rsid w:val="007C3BEB"/>
    <w:rsid w:val="007C44A0"/>
    <w:rsid w:val="007C4974"/>
    <w:rsid w:val="007C4C4F"/>
    <w:rsid w:val="007C53CF"/>
    <w:rsid w:val="007C68B2"/>
    <w:rsid w:val="007C6F0E"/>
    <w:rsid w:val="007D0981"/>
    <w:rsid w:val="007D0D05"/>
    <w:rsid w:val="007D1079"/>
    <w:rsid w:val="007D1D97"/>
    <w:rsid w:val="007D1EED"/>
    <w:rsid w:val="007D2435"/>
    <w:rsid w:val="007D2646"/>
    <w:rsid w:val="007D3F61"/>
    <w:rsid w:val="007D469F"/>
    <w:rsid w:val="007D4C11"/>
    <w:rsid w:val="007D4C47"/>
    <w:rsid w:val="007D4D60"/>
    <w:rsid w:val="007D5147"/>
    <w:rsid w:val="007D5EEC"/>
    <w:rsid w:val="007D6415"/>
    <w:rsid w:val="007D69DD"/>
    <w:rsid w:val="007D6A8F"/>
    <w:rsid w:val="007D70C2"/>
    <w:rsid w:val="007D77CE"/>
    <w:rsid w:val="007D7B96"/>
    <w:rsid w:val="007E2164"/>
    <w:rsid w:val="007E295F"/>
    <w:rsid w:val="007E32EF"/>
    <w:rsid w:val="007E4122"/>
    <w:rsid w:val="007E56DE"/>
    <w:rsid w:val="007E5940"/>
    <w:rsid w:val="007E5C0A"/>
    <w:rsid w:val="007E712B"/>
    <w:rsid w:val="007E7EE7"/>
    <w:rsid w:val="007F05E4"/>
    <w:rsid w:val="007F0D83"/>
    <w:rsid w:val="007F471C"/>
    <w:rsid w:val="007F71F0"/>
    <w:rsid w:val="007F73AA"/>
    <w:rsid w:val="007F7C92"/>
    <w:rsid w:val="0080037E"/>
    <w:rsid w:val="008011E3"/>
    <w:rsid w:val="008041DA"/>
    <w:rsid w:val="00806C49"/>
    <w:rsid w:val="008072D7"/>
    <w:rsid w:val="008074CE"/>
    <w:rsid w:val="008106BA"/>
    <w:rsid w:val="0081071A"/>
    <w:rsid w:val="008108E7"/>
    <w:rsid w:val="00810D71"/>
    <w:rsid w:val="00810F9A"/>
    <w:rsid w:val="008114DA"/>
    <w:rsid w:val="008118B4"/>
    <w:rsid w:val="00812EEA"/>
    <w:rsid w:val="008154CC"/>
    <w:rsid w:val="008156C1"/>
    <w:rsid w:val="00815B91"/>
    <w:rsid w:val="00816039"/>
    <w:rsid w:val="008163E7"/>
    <w:rsid w:val="00816734"/>
    <w:rsid w:val="00817CD5"/>
    <w:rsid w:val="00817D68"/>
    <w:rsid w:val="00820175"/>
    <w:rsid w:val="00820252"/>
    <w:rsid w:val="0082046B"/>
    <w:rsid w:val="00822206"/>
    <w:rsid w:val="00822E5E"/>
    <w:rsid w:val="00823B74"/>
    <w:rsid w:val="00824833"/>
    <w:rsid w:val="008248B7"/>
    <w:rsid w:val="00825441"/>
    <w:rsid w:val="0082620D"/>
    <w:rsid w:val="008263D0"/>
    <w:rsid w:val="0082654D"/>
    <w:rsid w:val="008268BB"/>
    <w:rsid w:val="00827D3B"/>
    <w:rsid w:val="0083170B"/>
    <w:rsid w:val="00832996"/>
    <w:rsid w:val="00832F46"/>
    <w:rsid w:val="008344C9"/>
    <w:rsid w:val="008346C5"/>
    <w:rsid w:val="00834DB8"/>
    <w:rsid w:val="00834EF2"/>
    <w:rsid w:val="00835CB3"/>
    <w:rsid w:val="008369BC"/>
    <w:rsid w:val="008374BB"/>
    <w:rsid w:val="008400F3"/>
    <w:rsid w:val="008403C1"/>
    <w:rsid w:val="00840843"/>
    <w:rsid w:val="00840884"/>
    <w:rsid w:val="00840980"/>
    <w:rsid w:val="008420D4"/>
    <w:rsid w:val="008439F8"/>
    <w:rsid w:val="00844A19"/>
    <w:rsid w:val="00845079"/>
    <w:rsid w:val="00845A47"/>
    <w:rsid w:val="00846835"/>
    <w:rsid w:val="008471A8"/>
    <w:rsid w:val="0084796B"/>
    <w:rsid w:val="00847E96"/>
    <w:rsid w:val="0085013B"/>
    <w:rsid w:val="0085089B"/>
    <w:rsid w:val="00850B3D"/>
    <w:rsid w:val="00850C76"/>
    <w:rsid w:val="00850DF2"/>
    <w:rsid w:val="00851A53"/>
    <w:rsid w:val="00851AF6"/>
    <w:rsid w:val="00851F20"/>
    <w:rsid w:val="00852F94"/>
    <w:rsid w:val="00853FD7"/>
    <w:rsid w:val="00854523"/>
    <w:rsid w:val="00855C59"/>
    <w:rsid w:val="00855E68"/>
    <w:rsid w:val="00856436"/>
    <w:rsid w:val="00856CC7"/>
    <w:rsid w:val="00860390"/>
    <w:rsid w:val="00860A1E"/>
    <w:rsid w:val="008613D0"/>
    <w:rsid w:val="00861F07"/>
    <w:rsid w:val="0086253A"/>
    <w:rsid w:val="0086281F"/>
    <w:rsid w:val="00863C94"/>
    <w:rsid w:val="00863E50"/>
    <w:rsid w:val="00864084"/>
    <w:rsid w:val="00864B68"/>
    <w:rsid w:val="00864E41"/>
    <w:rsid w:val="00865DCC"/>
    <w:rsid w:val="008666A6"/>
    <w:rsid w:val="0086674F"/>
    <w:rsid w:val="00866D2E"/>
    <w:rsid w:val="00867B70"/>
    <w:rsid w:val="00870292"/>
    <w:rsid w:val="00870DC8"/>
    <w:rsid w:val="00872947"/>
    <w:rsid w:val="00872AC4"/>
    <w:rsid w:val="00872DD9"/>
    <w:rsid w:val="00873995"/>
    <w:rsid w:val="00873F47"/>
    <w:rsid w:val="00875BCA"/>
    <w:rsid w:val="0087692D"/>
    <w:rsid w:val="00877381"/>
    <w:rsid w:val="0088051D"/>
    <w:rsid w:val="0088067B"/>
    <w:rsid w:val="00880747"/>
    <w:rsid w:val="00880AF3"/>
    <w:rsid w:val="00882426"/>
    <w:rsid w:val="00882610"/>
    <w:rsid w:val="0088286C"/>
    <w:rsid w:val="00882C97"/>
    <w:rsid w:val="008830A0"/>
    <w:rsid w:val="00883567"/>
    <w:rsid w:val="00883985"/>
    <w:rsid w:val="0088440A"/>
    <w:rsid w:val="00885290"/>
    <w:rsid w:val="0088627E"/>
    <w:rsid w:val="00887220"/>
    <w:rsid w:val="00887B14"/>
    <w:rsid w:val="00887BDB"/>
    <w:rsid w:val="0089133A"/>
    <w:rsid w:val="00891D98"/>
    <w:rsid w:val="00892B5C"/>
    <w:rsid w:val="008937F5"/>
    <w:rsid w:val="008945B8"/>
    <w:rsid w:val="008949B9"/>
    <w:rsid w:val="00894CAE"/>
    <w:rsid w:val="00895416"/>
    <w:rsid w:val="00895964"/>
    <w:rsid w:val="00895DBF"/>
    <w:rsid w:val="00896F81"/>
    <w:rsid w:val="00897287"/>
    <w:rsid w:val="008976A8"/>
    <w:rsid w:val="008A042E"/>
    <w:rsid w:val="008A0555"/>
    <w:rsid w:val="008A0B37"/>
    <w:rsid w:val="008A13E3"/>
    <w:rsid w:val="008A293E"/>
    <w:rsid w:val="008A32BC"/>
    <w:rsid w:val="008A33BA"/>
    <w:rsid w:val="008A4BF1"/>
    <w:rsid w:val="008A4E72"/>
    <w:rsid w:val="008A5627"/>
    <w:rsid w:val="008A7562"/>
    <w:rsid w:val="008A79A0"/>
    <w:rsid w:val="008B03BD"/>
    <w:rsid w:val="008B14A5"/>
    <w:rsid w:val="008B27FC"/>
    <w:rsid w:val="008B3211"/>
    <w:rsid w:val="008B3CA0"/>
    <w:rsid w:val="008B3D37"/>
    <w:rsid w:val="008B4461"/>
    <w:rsid w:val="008B55B2"/>
    <w:rsid w:val="008B5AE7"/>
    <w:rsid w:val="008B5D94"/>
    <w:rsid w:val="008B5E9A"/>
    <w:rsid w:val="008B6082"/>
    <w:rsid w:val="008B6228"/>
    <w:rsid w:val="008B718E"/>
    <w:rsid w:val="008B7F7C"/>
    <w:rsid w:val="008C0E07"/>
    <w:rsid w:val="008C1CB3"/>
    <w:rsid w:val="008C21C3"/>
    <w:rsid w:val="008C3498"/>
    <w:rsid w:val="008C51E4"/>
    <w:rsid w:val="008C601E"/>
    <w:rsid w:val="008C6238"/>
    <w:rsid w:val="008C6ABC"/>
    <w:rsid w:val="008C7430"/>
    <w:rsid w:val="008C7F0A"/>
    <w:rsid w:val="008D0200"/>
    <w:rsid w:val="008D0275"/>
    <w:rsid w:val="008D05BD"/>
    <w:rsid w:val="008D085B"/>
    <w:rsid w:val="008D09A6"/>
    <w:rsid w:val="008D0F7C"/>
    <w:rsid w:val="008D167C"/>
    <w:rsid w:val="008D1B4D"/>
    <w:rsid w:val="008D2A79"/>
    <w:rsid w:val="008D2F52"/>
    <w:rsid w:val="008D36F6"/>
    <w:rsid w:val="008D4950"/>
    <w:rsid w:val="008D524C"/>
    <w:rsid w:val="008D5B25"/>
    <w:rsid w:val="008D5EFC"/>
    <w:rsid w:val="008D76D4"/>
    <w:rsid w:val="008D77C8"/>
    <w:rsid w:val="008D7AAD"/>
    <w:rsid w:val="008D7AD2"/>
    <w:rsid w:val="008E08BE"/>
    <w:rsid w:val="008E0E4D"/>
    <w:rsid w:val="008E1F3F"/>
    <w:rsid w:val="008E3015"/>
    <w:rsid w:val="008E3647"/>
    <w:rsid w:val="008E3826"/>
    <w:rsid w:val="008E38BE"/>
    <w:rsid w:val="008E3C1B"/>
    <w:rsid w:val="008E431F"/>
    <w:rsid w:val="008E4AE7"/>
    <w:rsid w:val="008E5BF6"/>
    <w:rsid w:val="008E7015"/>
    <w:rsid w:val="008E7131"/>
    <w:rsid w:val="008E74B3"/>
    <w:rsid w:val="008F03DD"/>
    <w:rsid w:val="008F04D2"/>
    <w:rsid w:val="008F2084"/>
    <w:rsid w:val="008F298C"/>
    <w:rsid w:val="008F31CD"/>
    <w:rsid w:val="008F4881"/>
    <w:rsid w:val="008F48C8"/>
    <w:rsid w:val="008F4C59"/>
    <w:rsid w:val="008F59D4"/>
    <w:rsid w:val="008F609D"/>
    <w:rsid w:val="008F61F4"/>
    <w:rsid w:val="008F64BE"/>
    <w:rsid w:val="008F7E02"/>
    <w:rsid w:val="00900421"/>
    <w:rsid w:val="00900B84"/>
    <w:rsid w:val="00900F5F"/>
    <w:rsid w:val="00901521"/>
    <w:rsid w:val="00901ABF"/>
    <w:rsid w:val="00902627"/>
    <w:rsid w:val="00902B34"/>
    <w:rsid w:val="00903005"/>
    <w:rsid w:val="00903485"/>
    <w:rsid w:val="00903A3A"/>
    <w:rsid w:val="00903DCC"/>
    <w:rsid w:val="00903FAF"/>
    <w:rsid w:val="00904385"/>
    <w:rsid w:val="009078F5"/>
    <w:rsid w:val="0091174E"/>
    <w:rsid w:val="00911F5C"/>
    <w:rsid w:val="00912919"/>
    <w:rsid w:val="00913F5D"/>
    <w:rsid w:val="0091464E"/>
    <w:rsid w:val="00914B14"/>
    <w:rsid w:val="009150FE"/>
    <w:rsid w:val="00916885"/>
    <w:rsid w:val="00916C9E"/>
    <w:rsid w:val="00916ED7"/>
    <w:rsid w:val="00917942"/>
    <w:rsid w:val="00920362"/>
    <w:rsid w:val="00920583"/>
    <w:rsid w:val="00922EC0"/>
    <w:rsid w:val="00925596"/>
    <w:rsid w:val="0092566B"/>
    <w:rsid w:val="00925FAD"/>
    <w:rsid w:val="00926341"/>
    <w:rsid w:val="009278D7"/>
    <w:rsid w:val="00927DE7"/>
    <w:rsid w:val="00930729"/>
    <w:rsid w:val="00930B25"/>
    <w:rsid w:val="00931435"/>
    <w:rsid w:val="00931DD0"/>
    <w:rsid w:val="009341EE"/>
    <w:rsid w:val="00934253"/>
    <w:rsid w:val="0093470F"/>
    <w:rsid w:val="00935321"/>
    <w:rsid w:val="00935474"/>
    <w:rsid w:val="009355BB"/>
    <w:rsid w:val="00935B3F"/>
    <w:rsid w:val="0093600A"/>
    <w:rsid w:val="00936EAB"/>
    <w:rsid w:val="00937784"/>
    <w:rsid w:val="00937CC7"/>
    <w:rsid w:val="00937CFC"/>
    <w:rsid w:val="00937F34"/>
    <w:rsid w:val="009409FE"/>
    <w:rsid w:val="009418F2"/>
    <w:rsid w:val="009419EA"/>
    <w:rsid w:val="00941FE1"/>
    <w:rsid w:val="009439BF"/>
    <w:rsid w:val="00943A90"/>
    <w:rsid w:val="00944870"/>
    <w:rsid w:val="009450EA"/>
    <w:rsid w:val="009462F3"/>
    <w:rsid w:val="009464ED"/>
    <w:rsid w:val="00946A2B"/>
    <w:rsid w:val="00946EF8"/>
    <w:rsid w:val="009477DB"/>
    <w:rsid w:val="00947852"/>
    <w:rsid w:val="00950000"/>
    <w:rsid w:val="00950342"/>
    <w:rsid w:val="00950810"/>
    <w:rsid w:val="00950C85"/>
    <w:rsid w:val="009510A4"/>
    <w:rsid w:val="00951C4E"/>
    <w:rsid w:val="00951E83"/>
    <w:rsid w:val="009529CA"/>
    <w:rsid w:val="00952AD1"/>
    <w:rsid w:val="00952AEF"/>
    <w:rsid w:val="009531A9"/>
    <w:rsid w:val="009543D7"/>
    <w:rsid w:val="009545EA"/>
    <w:rsid w:val="009548AC"/>
    <w:rsid w:val="00954D96"/>
    <w:rsid w:val="0096000D"/>
    <w:rsid w:val="009608B7"/>
    <w:rsid w:val="0096149C"/>
    <w:rsid w:val="00962427"/>
    <w:rsid w:val="00964729"/>
    <w:rsid w:val="009648EB"/>
    <w:rsid w:val="009649BD"/>
    <w:rsid w:val="00965671"/>
    <w:rsid w:val="00965BED"/>
    <w:rsid w:val="00966167"/>
    <w:rsid w:val="009668B3"/>
    <w:rsid w:val="00966E14"/>
    <w:rsid w:val="009676BD"/>
    <w:rsid w:val="00967E39"/>
    <w:rsid w:val="00971E52"/>
    <w:rsid w:val="00972BD8"/>
    <w:rsid w:val="00972C2D"/>
    <w:rsid w:val="00974112"/>
    <w:rsid w:val="00974ADE"/>
    <w:rsid w:val="00975052"/>
    <w:rsid w:val="00975C3B"/>
    <w:rsid w:val="00975C88"/>
    <w:rsid w:val="00975DB3"/>
    <w:rsid w:val="00976419"/>
    <w:rsid w:val="00976E13"/>
    <w:rsid w:val="00977802"/>
    <w:rsid w:val="00977E6A"/>
    <w:rsid w:val="00980552"/>
    <w:rsid w:val="00981393"/>
    <w:rsid w:val="0098157F"/>
    <w:rsid w:val="009822C7"/>
    <w:rsid w:val="00982BCB"/>
    <w:rsid w:val="009833D5"/>
    <w:rsid w:val="009854E7"/>
    <w:rsid w:val="0098555A"/>
    <w:rsid w:val="00985678"/>
    <w:rsid w:val="009862EB"/>
    <w:rsid w:val="00986647"/>
    <w:rsid w:val="00986736"/>
    <w:rsid w:val="009867A5"/>
    <w:rsid w:val="00986D65"/>
    <w:rsid w:val="00986FDF"/>
    <w:rsid w:val="00991E59"/>
    <w:rsid w:val="00993470"/>
    <w:rsid w:val="00993C25"/>
    <w:rsid w:val="00994A37"/>
    <w:rsid w:val="00994AC7"/>
    <w:rsid w:val="009957C3"/>
    <w:rsid w:val="009957F9"/>
    <w:rsid w:val="0099733D"/>
    <w:rsid w:val="009A0AAC"/>
    <w:rsid w:val="009A0D0E"/>
    <w:rsid w:val="009A11AB"/>
    <w:rsid w:val="009A1E7B"/>
    <w:rsid w:val="009A2273"/>
    <w:rsid w:val="009A285F"/>
    <w:rsid w:val="009A3588"/>
    <w:rsid w:val="009A44D9"/>
    <w:rsid w:val="009A4D87"/>
    <w:rsid w:val="009A4F6E"/>
    <w:rsid w:val="009A5077"/>
    <w:rsid w:val="009A5220"/>
    <w:rsid w:val="009A545D"/>
    <w:rsid w:val="009A5D06"/>
    <w:rsid w:val="009A70AF"/>
    <w:rsid w:val="009AE80A"/>
    <w:rsid w:val="009B0493"/>
    <w:rsid w:val="009B14B6"/>
    <w:rsid w:val="009B191A"/>
    <w:rsid w:val="009B24DB"/>
    <w:rsid w:val="009B26D0"/>
    <w:rsid w:val="009B3032"/>
    <w:rsid w:val="009B496D"/>
    <w:rsid w:val="009B4A5B"/>
    <w:rsid w:val="009B621E"/>
    <w:rsid w:val="009B6714"/>
    <w:rsid w:val="009B711E"/>
    <w:rsid w:val="009B75DD"/>
    <w:rsid w:val="009B7C38"/>
    <w:rsid w:val="009C04C6"/>
    <w:rsid w:val="009C059E"/>
    <w:rsid w:val="009C0DE4"/>
    <w:rsid w:val="009C1440"/>
    <w:rsid w:val="009C1C10"/>
    <w:rsid w:val="009C1F62"/>
    <w:rsid w:val="009C2B21"/>
    <w:rsid w:val="009C658C"/>
    <w:rsid w:val="009C6746"/>
    <w:rsid w:val="009C7D06"/>
    <w:rsid w:val="009D00E4"/>
    <w:rsid w:val="009D06EF"/>
    <w:rsid w:val="009D11CE"/>
    <w:rsid w:val="009D164D"/>
    <w:rsid w:val="009D1BDB"/>
    <w:rsid w:val="009D1FA3"/>
    <w:rsid w:val="009D34E4"/>
    <w:rsid w:val="009D5224"/>
    <w:rsid w:val="009D66E0"/>
    <w:rsid w:val="009D6B98"/>
    <w:rsid w:val="009D792F"/>
    <w:rsid w:val="009D7B8B"/>
    <w:rsid w:val="009D7DC4"/>
    <w:rsid w:val="009E071F"/>
    <w:rsid w:val="009E2383"/>
    <w:rsid w:val="009E34C2"/>
    <w:rsid w:val="009E3AEF"/>
    <w:rsid w:val="009E3F4F"/>
    <w:rsid w:val="009E420B"/>
    <w:rsid w:val="009E5213"/>
    <w:rsid w:val="009E55B0"/>
    <w:rsid w:val="009E59B1"/>
    <w:rsid w:val="009E665A"/>
    <w:rsid w:val="009E7019"/>
    <w:rsid w:val="009E7C2D"/>
    <w:rsid w:val="009F0921"/>
    <w:rsid w:val="009F10C7"/>
    <w:rsid w:val="009F1820"/>
    <w:rsid w:val="009F1D80"/>
    <w:rsid w:val="009F3378"/>
    <w:rsid w:val="009F3830"/>
    <w:rsid w:val="009F591E"/>
    <w:rsid w:val="009F5BFF"/>
    <w:rsid w:val="009F67F5"/>
    <w:rsid w:val="009F70E9"/>
    <w:rsid w:val="009F7655"/>
    <w:rsid w:val="00A00646"/>
    <w:rsid w:val="00A021D5"/>
    <w:rsid w:val="00A0239A"/>
    <w:rsid w:val="00A03B85"/>
    <w:rsid w:val="00A04359"/>
    <w:rsid w:val="00A044F8"/>
    <w:rsid w:val="00A058D4"/>
    <w:rsid w:val="00A05C14"/>
    <w:rsid w:val="00A05D0E"/>
    <w:rsid w:val="00A0663A"/>
    <w:rsid w:val="00A06869"/>
    <w:rsid w:val="00A07D28"/>
    <w:rsid w:val="00A10549"/>
    <w:rsid w:val="00A10AE8"/>
    <w:rsid w:val="00A11C14"/>
    <w:rsid w:val="00A125EB"/>
    <w:rsid w:val="00A12AEC"/>
    <w:rsid w:val="00A13976"/>
    <w:rsid w:val="00A14862"/>
    <w:rsid w:val="00A15287"/>
    <w:rsid w:val="00A16060"/>
    <w:rsid w:val="00A17399"/>
    <w:rsid w:val="00A203F3"/>
    <w:rsid w:val="00A20A44"/>
    <w:rsid w:val="00A20A91"/>
    <w:rsid w:val="00A20EDC"/>
    <w:rsid w:val="00A2124C"/>
    <w:rsid w:val="00A2263E"/>
    <w:rsid w:val="00A22FF2"/>
    <w:rsid w:val="00A231DA"/>
    <w:rsid w:val="00A2386D"/>
    <w:rsid w:val="00A23BF5"/>
    <w:rsid w:val="00A268D2"/>
    <w:rsid w:val="00A26F91"/>
    <w:rsid w:val="00A27FE2"/>
    <w:rsid w:val="00A3003B"/>
    <w:rsid w:val="00A30067"/>
    <w:rsid w:val="00A30B68"/>
    <w:rsid w:val="00A31CCC"/>
    <w:rsid w:val="00A32746"/>
    <w:rsid w:val="00A3307F"/>
    <w:rsid w:val="00A33BB3"/>
    <w:rsid w:val="00A349F0"/>
    <w:rsid w:val="00A35D36"/>
    <w:rsid w:val="00A36023"/>
    <w:rsid w:val="00A3691B"/>
    <w:rsid w:val="00A40026"/>
    <w:rsid w:val="00A40E21"/>
    <w:rsid w:val="00A42082"/>
    <w:rsid w:val="00A442F4"/>
    <w:rsid w:val="00A44F86"/>
    <w:rsid w:val="00A45353"/>
    <w:rsid w:val="00A46047"/>
    <w:rsid w:val="00A471B1"/>
    <w:rsid w:val="00A47F83"/>
    <w:rsid w:val="00A50810"/>
    <w:rsid w:val="00A50985"/>
    <w:rsid w:val="00A51771"/>
    <w:rsid w:val="00A51A01"/>
    <w:rsid w:val="00A51A7A"/>
    <w:rsid w:val="00A51D5F"/>
    <w:rsid w:val="00A52302"/>
    <w:rsid w:val="00A52908"/>
    <w:rsid w:val="00A53661"/>
    <w:rsid w:val="00A53798"/>
    <w:rsid w:val="00A5385B"/>
    <w:rsid w:val="00A53A53"/>
    <w:rsid w:val="00A53E8F"/>
    <w:rsid w:val="00A544C7"/>
    <w:rsid w:val="00A54C43"/>
    <w:rsid w:val="00A55892"/>
    <w:rsid w:val="00A5689B"/>
    <w:rsid w:val="00A56E4C"/>
    <w:rsid w:val="00A57064"/>
    <w:rsid w:val="00A57ADB"/>
    <w:rsid w:val="00A611EB"/>
    <w:rsid w:val="00A63D33"/>
    <w:rsid w:val="00A64E1B"/>
    <w:rsid w:val="00A657EB"/>
    <w:rsid w:val="00A65AE4"/>
    <w:rsid w:val="00A65D8F"/>
    <w:rsid w:val="00A65E8C"/>
    <w:rsid w:val="00A65FCB"/>
    <w:rsid w:val="00A667BC"/>
    <w:rsid w:val="00A67678"/>
    <w:rsid w:val="00A70B9A"/>
    <w:rsid w:val="00A72553"/>
    <w:rsid w:val="00A72633"/>
    <w:rsid w:val="00A72DFA"/>
    <w:rsid w:val="00A73E11"/>
    <w:rsid w:val="00A745AF"/>
    <w:rsid w:val="00A76E57"/>
    <w:rsid w:val="00A77026"/>
    <w:rsid w:val="00A77675"/>
    <w:rsid w:val="00A80925"/>
    <w:rsid w:val="00A81C89"/>
    <w:rsid w:val="00A82687"/>
    <w:rsid w:val="00A837A1"/>
    <w:rsid w:val="00A84728"/>
    <w:rsid w:val="00A853CD"/>
    <w:rsid w:val="00A85BB4"/>
    <w:rsid w:val="00A862FF"/>
    <w:rsid w:val="00A86686"/>
    <w:rsid w:val="00A870FE"/>
    <w:rsid w:val="00A87948"/>
    <w:rsid w:val="00A903EA"/>
    <w:rsid w:val="00A91FAB"/>
    <w:rsid w:val="00A93021"/>
    <w:rsid w:val="00A9302E"/>
    <w:rsid w:val="00A9466B"/>
    <w:rsid w:val="00A946E5"/>
    <w:rsid w:val="00A94B7A"/>
    <w:rsid w:val="00A94B89"/>
    <w:rsid w:val="00A94DA1"/>
    <w:rsid w:val="00A961A0"/>
    <w:rsid w:val="00A968C7"/>
    <w:rsid w:val="00A96E3E"/>
    <w:rsid w:val="00AA00CF"/>
    <w:rsid w:val="00AA0F00"/>
    <w:rsid w:val="00AA214D"/>
    <w:rsid w:val="00AA2576"/>
    <w:rsid w:val="00AA257B"/>
    <w:rsid w:val="00AA30A2"/>
    <w:rsid w:val="00AA3317"/>
    <w:rsid w:val="00AA3E29"/>
    <w:rsid w:val="00AA4EB3"/>
    <w:rsid w:val="00AA5A36"/>
    <w:rsid w:val="00AA6657"/>
    <w:rsid w:val="00AB0105"/>
    <w:rsid w:val="00AB015D"/>
    <w:rsid w:val="00AB0A7D"/>
    <w:rsid w:val="00AB0C48"/>
    <w:rsid w:val="00AB1218"/>
    <w:rsid w:val="00AB14D5"/>
    <w:rsid w:val="00AB158D"/>
    <w:rsid w:val="00AB2DCE"/>
    <w:rsid w:val="00AB33D6"/>
    <w:rsid w:val="00AB420D"/>
    <w:rsid w:val="00AB4AF7"/>
    <w:rsid w:val="00AB521D"/>
    <w:rsid w:val="00AB55EE"/>
    <w:rsid w:val="00AB65E3"/>
    <w:rsid w:val="00AC0744"/>
    <w:rsid w:val="00AC21A0"/>
    <w:rsid w:val="00AC240B"/>
    <w:rsid w:val="00AC38D6"/>
    <w:rsid w:val="00AC3E5F"/>
    <w:rsid w:val="00AC44D9"/>
    <w:rsid w:val="00AC536E"/>
    <w:rsid w:val="00AC5633"/>
    <w:rsid w:val="00AC6141"/>
    <w:rsid w:val="00AC62F3"/>
    <w:rsid w:val="00AC7DF8"/>
    <w:rsid w:val="00AD09CE"/>
    <w:rsid w:val="00AD0E8C"/>
    <w:rsid w:val="00AD276B"/>
    <w:rsid w:val="00AD29B7"/>
    <w:rsid w:val="00AD30A0"/>
    <w:rsid w:val="00AD3DA5"/>
    <w:rsid w:val="00AD3F1D"/>
    <w:rsid w:val="00AD4D5E"/>
    <w:rsid w:val="00AD5159"/>
    <w:rsid w:val="00AD5854"/>
    <w:rsid w:val="00AD5C37"/>
    <w:rsid w:val="00AD73DB"/>
    <w:rsid w:val="00AE0316"/>
    <w:rsid w:val="00AE14DC"/>
    <w:rsid w:val="00AE2202"/>
    <w:rsid w:val="00AE2671"/>
    <w:rsid w:val="00AE292F"/>
    <w:rsid w:val="00AE2E7B"/>
    <w:rsid w:val="00AE31A4"/>
    <w:rsid w:val="00AE31D8"/>
    <w:rsid w:val="00AE35D1"/>
    <w:rsid w:val="00AE387D"/>
    <w:rsid w:val="00AE4878"/>
    <w:rsid w:val="00AE49F1"/>
    <w:rsid w:val="00AE5466"/>
    <w:rsid w:val="00AE66FF"/>
    <w:rsid w:val="00AE6C16"/>
    <w:rsid w:val="00AE6E13"/>
    <w:rsid w:val="00AE6EE5"/>
    <w:rsid w:val="00AE7CA6"/>
    <w:rsid w:val="00AF043D"/>
    <w:rsid w:val="00AF21CD"/>
    <w:rsid w:val="00AF2420"/>
    <w:rsid w:val="00AF3857"/>
    <w:rsid w:val="00AF4F89"/>
    <w:rsid w:val="00AF5546"/>
    <w:rsid w:val="00AF676E"/>
    <w:rsid w:val="00AF689F"/>
    <w:rsid w:val="00AF6A78"/>
    <w:rsid w:val="00AF6EA1"/>
    <w:rsid w:val="00AF75BC"/>
    <w:rsid w:val="00AF76FD"/>
    <w:rsid w:val="00B0045C"/>
    <w:rsid w:val="00B01903"/>
    <w:rsid w:val="00B01B91"/>
    <w:rsid w:val="00B02B3B"/>
    <w:rsid w:val="00B03845"/>
    <w:rsid w:val="00B04B96"/>
    <w:rsid w:val="00B04FF9"/>
    <w:rsid w:val="00B0583F"/>
    <w:rsid w:val="00B0595D"/>
    <w:rsid w:val="00B06C73"/>
    <w:rsid w:val="00B1079E"/>
    <w:rsid w:val="00B10F96"/>
    <w:rsid w:val="00B1281B"/>
    <w:rsid w:val="00B1292C"/>
    <w:rsid w:val="00B130B3"/>
    <w:rsid w:val="00B131A4"/>
    <w:rsid w:val="00B147AE"/>
    <w:rsid w:val="00B15509"/>
    <w:rsid w:val="00B16879"/>
    <w:rsid w:val="00B16A8C"/>
    <w:rsid w:val="00B16B80"/>
    <w:rsid w:val="00B16CA0"/>
    <w:rsid w:val="00B16D59"/>
    <w:rsid w:val="00B1779E"/>
    <w:rsid w:val="00B177C5"/>
    <w:rsid w:val="00B205AC"/>
    <w:rsid w:val="00B216EA"/>
    <w:rsid w:val="00B21DC4"/>
    <w:rsid w:val="00B22BDC"/>
    <w:rsid w:val="00B23574"/>
    <w:rsid w:val="00B236C0"/>
    <w:rsid w:val="00B23E3D"/>
    <w:rsid w:val="00B241C2"/>
    <w:rsid w:val="00B24374"/>
    <w:rsid w:val="00B2474F"/>
    <w:rsid w:val="00B24C88"/>
    <w:rsid w:val="00B255CE"/>
    <w:rsid w:val="00B26A6A"/>
    <w:rsid w:val="00B26BFE"/>
    <w:rsid w:val="00B26C07"/>
    <w:rsid w:val="00B26F77"/>
    <w:rsid w:val="00B27EAF"/>
    <w:rsid w:val="00B30FA2"/>
    <w:rsid w:val="00B32DC6"/>
    <w:rsid w:val="00B3387D"/>
    <w:rsid w:val="00B34036"/>
    <w:rsid w:val="00B34399"/>
    <w:rsid w:val="00B35793"/>
    <w:rsid w:val="00B35D37"/>
    <w:rsid w:val="00B370C1"/>
    <w:rsid w:val="00B37666"/>
    <w:rsid w:val="00B41EAE"/>
    <w:rsid w:val="00B42942"/>
    <w:rsid w:val="00B42A60"/>
    <w:rsid w:val="00B42F81"/>
    <w:rsid w:val="00B446FF"/>
    <w:rsid w:val="00B44716"/>
    <w:rsid w:val="00B44DDE"/>
    <w:rsid w:val="00B452D9"/>
    <w:rsid w:val="00B45AED"/>
    <w:rsid w:val="00B462D7"/>
    <w:rsid w:val="00B46747"/>
    <w:rsid w:val="00B473D2"/>
    <w:rsid w:val="00B4793B"/>
    <w:rsid w:val="00B521D7"/>
    <w:rsid w:val="00B52770"/>
    <w:rsid w:val="00B5373A"/>
    <w:rsid w:val="00B55008"/>
    <w:rsid w:val="00B55121"/>
    <w:rsid w:val="00B560DE"/>
    <w:rsid w:val="00B56B62"/>
    <w:rsid w:val="00B60AE4"/>
    <w:rsid w:val="00B60E07"/>
    <w:rsid w:val="00B60F26"/>
    <w:rsid w:val="00B61351"/>
    <w:rsid w:val="00B613C8"/>
    <w:rsid w:val="00B61E16"/>
    <w:rsid w:val="00B62488"/>
    <w:rsid w:val="00B63F8D"/>
    <w:rsid w:val="00B644E8"/>
    <w:rsid w:val="00B652DA"/>
    <w:rsid w:val="00B652F4"/>
    <w:rsid w:val="00B65BE7"/>
    <w:rsid w:val="00B65D41"/>
    <w:rsid w:val="00B66435"/>
    <w:rsid w:val="00B66CA1"/>
    <w:rsid w:val="00B66E0B"/>
    <w:rsid w:val="00B66FD1"/>
    <w:rsid w:val="00B67724"/>
    <w:rsid w:val="00B67894"/>
    <w:rsid w:val="00B67D36"/>
    <w:rsid w:val="00B70312"/>
    <w:rsid w:val="00B70910"/>
    <w:rsid w:val="00B70960"/>
    <w:rsid w:val="00B70D96"/>
    <w:rsid w:val="00B71957"/>
    <w:rsid w:val="00B71E7A"/>
    <w:rsid w:val="00B72C7A"/>
    <w:rsid w:val="00B73112"/>
    <w:rsid w:val="00B73941"/>
    <w:rsid w:val="00B73EE3"/>
    <w:rsid w:val="00B742D8"/>
    <w:rsid w:val="00B74311"/>
    <w:rsid w:val="00B74C02"/>
    <w:rsid w:val="00B750C0"/>
    <w:rsid w:val="00B75102"/>
    <w:rsid w:val="00B7554E"/>
    <w:rsid w:val="00B758F1"/>
    <w:rsid w:val="00B763BF"/>
    <w:rsid w:val="00B77A37"/>
    <w:rsid w:val="00B77D48"/>
    <w:rsid w:val="00B80EE6"/>
    <w:rsid w:val="00B83F71"/>
    <w:rsid w:val="00B84A10"/>
    <w:rsid w:val="00B8525A"/>
    <w:rsid w:val="00B86893"/>
    <w:rsid w:val="00B86AE4"/>
    <w:rsid w:val="00B87B8B"/>
    <w:rsid w:val="00B87DE2"/>
    <w:rsid w:val="00B9019B"/>
    <w:rsid w:val="00B912ED"/>
    <w:rsid w:val="00B91EC0"/>
    <w:rsid w:val="00B92C5D"/>
    <w:rsid w:val="00B939C1"/>
    <w:rsid w:val="00B93F14"/>
    <w:rsid w:val="00B94071"/>
    <w:rsid w:val="00B94740"/>
    <w:rsid w:val="00B948F0"/>
    <w:rsid w:val="00B94AAD"/>
    <w:rsid w:val="00B953B9"/>
    <w:rsid w:val="00B954CB"/>
    <w:rsid w:val="00B95530"/>
    <w:rsid w:val="00B95D04"/>
    <w:rsid w:val="00B971AA"/>
    <w:rsid w:val="00BA06AD"/>
    <w:rsid w:val="00BA0915"/>
    <w:rsid w:val="00BA0EE0"/>
    <w:rsid w:val="00BA157C"/>
    <w:rsid w:val="00BA21FD"/>
    <w:rsid w:val="00BA23DF"/>
    <w:rsid w:val="00BA3FBE"/>
    <w:rsid w:val="00BA5C1B"/>
    <w:rsid w:val="00BA6DB4"/>
    <w:rsid w:val="00BA70E2"/>
    <w:rsid w:val="00BB0B57"/>
    <w:rsid w:val="00BB0BCA"/>
    <w:rsid w:val="00BB13F1"/>
    <w:rsid w:val="00BB17D0"/>
    <w:rsid w:val="00BB1936"/>
    <w:rsid w:val="00BB3848"/>
    <w:rsid w:val="00BB3A58"/>
    <w:rsid w:val="00BB549C"/>
    <w:rsid w:val="00BB54B8"/>
    <w:rsid w:val="00BB556B"/>
    <w:rsid w:val="00BB5B01"/>
    <w:rsid w:val="00BB63C4"/>
    <w:rsid w:val="00BB7A5B"/>
    <w:rsid w:val="00BC0B84"/>
    <w:rsid w:val="00BC1A6D"/>
    <w:rsid w:val="00BC2396"/>
    <w:rsid w:val="00BC2A61"/>
    <w:rsid w:val="00BC30EC"/>
    <w:rsid w:val="00BC38DD"/>
    <w:rsid w:val="00BC4F80"/>
    <w:rsid w:val="00BC58C2"/>
    <w:rsid w:val="00BC6192"/>
    <w:rsid w:val="00BC62F6"/>
    <w:rsid w:val="00BC6F13"/>
    <w:rsid w:val="00BD17DF"/>
    <w:rsid w:val="00BD1980"/>
    <w:rsid w:val="00BD39CF"/>
    <w:rsid w:val="00BD4CDB"/>
    <w:rsid w:val="00BD4EEB"/>
    <w:rsid w:val="00BD54E8"/>
    <w:rsid w:val="00BD5822"/>
    <w:rsid w:val="00BD5F13"/>
    <w:rsid w:val="00BD65DC"/>
    <w:rsid w:val="00BD6AB0"/>
    <w:rsid w:val="00BD6BD9"/>
    <w:rsid w:val="00BD6D6D"/>
    <w:rsid w:val="00BD7563"/>
    <w:rsid w:val="00BD7802"/>
    <w:rsid w:val="00BD7E07"/>
    <w:rsid w:val="00BE01BD"/>
    <w:rsid w:val="00BE01D6"/>
    <w:rsid w:val="00BE0587"/>
    <w:rsid w:val="00BE11BE"/>
    <w:rsid w:val="00BE1531"/>
    <w:rsid w:val="00BE3022"/>
    <w:rsid w:val="00BE343C"/>
    <w:rsid w:val="00BE4A79"/>
    <w:rsid w:val="00BE4DFB"/>
    <w:rsid w:val="00BE4E3D"/>
    <w:rsid w:val="00BE5C17"/>
    <w:rsid w:val="00BE604D"/>
    <w:rsid w:val="00BE6130"/>
    <w:rsid w:val="00BE659D"/>
    <w:rsid w:val="00BE6BB3"/>
    <w:rsid w:val="00BE710D"/>
    <w:rsid w:val="00BE729C"/>
    <w:rsid w:val="00BF0334"/>
    <w:rsid w:val="00BF0B09"/>
    <w:rsid w:val="00BF1219"/>
    <w:rsid w:val="00BF189E"/>
    <w:rsid w:val="00BF2399"/>
    <w:rsid w:val="00BF2D2D"/>
    <w:rsid w:val="00BF35CA"/>
    <w:rsid w:val="00BF3707"/>
    <w:rsid w:val="00BF5464"/>
    <w:rsid w:val="00C007D2"/>
    <w:rsid w:val="00C007FB"/>
    <w:rsid w:val="00C00C09"/>
    <w:rsid w:val="00C00D0E"/>
    <w:rsid w:val="00C010D2"/>
    <w:rsid w:val="00C01AE0"/>
    <w:rsid w:val="00C01E67"/>
    <w:rsid w:val="00C01ED0"/>
    <w:rsid w:val="00C023B7"/>
    <w:rsid w:val="00C02755"/>
    <w:rsid w:val="00C02B16"/>
    <w:rsid w:val="00C02E6A"/>
    <w:rsid w:val="00C03434"/>
    <w:rsid w:val="00C040D1"/>
    <w:rsid w:val="00C053FD"/>
    <w:rsid w:val="00C0680F"/>
    <w:rsid w:val="00C07743"/>
    <w:rsid w:val="00C115BF"/>
    <w:rsid w:val="00C1279E"/>
    <w:rsid w:val="00C1295B"/>
    <w:rsid w:val="00C13065"/>
    <w:rsid w:val="00C131A9"/>
    <w:rsid w:val="00C13FED"/>
    <w:rsid w:val="00C14134"/>
    <w:rsid w:val="00C163BA"/>
    <w:rsid w:val="00C16548"/>
    <w:rsid w:val="00C2042C"/>
    <w:rsid w:val="00C20CC5"/>
    <w:rsid w:val="00C21C44"/>
    <w:rsid w:val="00C22EAA"/>
    <w:rsid w:val="00C23268"/>
    <w:rsid w:val="00C233B2"/>
    <w:rsid w:val="00C2341C"/>
    <w:rsid w:val="00C23C98"/>
    <w:rsid w:val="00C242FC"/>
    <w:rsid w:val="00C2439F"/>
    <w:rsid w:val="00C247A6"/>
    <w:rsid w:val="00C2767D"/>
    <w:rsid w:val="00C30AC9"/>
    <w:rsid w:val="00C33F53"/>
    <w:rsid w:val="00C34786"/>
    <w:rsid w:val="00C36363"/>
    <w:rsid w:val="00C36365"/>
    <w:rsid w:val="00C363E9"/>
    <w:rsid w:val="00C37662"/>
    <w:rsid w:val="00C37B0F"/>
    <w:rsid w:val="00C37DF2"/>
    <w:rsid w:val="00C40479"/>
    <w:rsid w:val="00C41832"/>
    <w:rsid w:val="00C41C2B"/>
    <w:rsid w:val="00C429A0"/>
    <w:rsid w:val="00C42EDD"/>
    <w:rsid w:val="00C44E7D"/>
    <w:rsid w:val="00C456D9"/>
    <w:rsid w:val="00C45CEC"/>
    <w:rsid w:val="00C45D04"/>
    <w:rsid w:val="00C45D22"/>
    <w:rsid w:val="00C46023"/>
    <w:rsid w:val="00C4622C"/>
    <w:rsid w:val="00C46916"/>
    <w:rsid w:val="00C46A11"/>
    <w:rsid w:val="00C46C31"/>
    <w:rsid w:val="00C46E46"/>
    <w:rsid w:val="00C50155"/>
    <w:rsid w:val="00C51920"/>
    <w:rsid w:val="00C52D6E"/>
    <w:rsid w:val="00C5307B"/>
    <w:rsid w:val="00C534E6"/>
    <w:rsid w:val="00C53A3D"/>
    <w:rsid w:val="00C54455"/>
    <w:rsid w:val="00C55204"/>
    <w:rsid w:val="00C553F5"/>
    <w:rsid w:val="00C55EDF"/>
    <w:rsid w:val="00C5654A"/>
    <w:rsid w:val="00C56A26"/>
    <w:rsid w:val="00C57125"/>
    <w:rsid w:val="00C575C3"/>
    <w:rsid w:val="00C57CEE"/>
    <w:rsid w:val="00C60A68"/>
    <w:rsid w:val="00C610C1"/>
    <w:rsid w:val="00C61356"/>
    <w:rsid w:val="00C61695"/>
    <w:rsid w:val="00C61B95"/>
    <w:rsid w:val="00C626D7"/>
    <w:rsid w:val="00C62BA9"/>
    <w:rsid w:val="00C62E0D"/>
    <w:rsid w:val="00C63707"/>
    <w:rsid w:val="00C63A6E"/>
    <w:rsid w:val="00C641A4"/>
    <w:rsid w:val="00C64237"/>
    <w:rsid w:val="00C649D0"/>
    <w:rsid w:val="00C65601"/>
    <w:rsid w:val="00C659D0"/>
    <w:rsid w:val="00C65D82"/>
    <w:rsid w:val="00C6654E"/>
    <w:rsid w:val="00C66D99"/>
    <w:rsid w:val="00C67812"/>
    <w:rsid w:val="00C67CED"/>
    <w:rsid w:val="00C71D2B"/>
    <w:rsid w:val="00C72B6B"/>
    <w:rsid w:val="00C73887"/>
    <w:rsid w:val="00C75666"/>
    <w:rsid w:val="00C75790"/>
    <w:rsid w:val="00C76581"/>
    <w:rsid w:val="00C76E9F"/>
    <w:rsid w:val="00C773D9"/>
    <w:rsid w:val="00C80092"/>
    <w:rsid w:val="00C801B4"/>
    <w:rsid w:val="00C8024E"/>
    <w:rsid w:val="00C81410"/>
    <w:rsid w:val="00C825F6"/>
    <w:rsid w:val="00C82AF9"/>
    <w:rsid w:val="00C82BCA"/>
    <w:rsid w:val="00C8417C"/>
    <w:rsid w:val="00C849DE"/>
    <w:rsid w:val="00C85E8F"/>
    <w:rsid w:val="00C8606B"/>
    <w:rsid w:val="00C86E1A"/>
    <w:rsid w:val="00C870EB"/>
    <w:rsid w:val="00C8711E"/>
    <w:rsid w:val="00C87287"/>
    <w:rsid w:val="00C872C3"/>
    <w:rsid w:val="00C874C2"/>
    <w:rsid w:val="00C9069C"/>
    <w:rsid w:val="00C90E47"/>
    <w:rsid w:val="00C9106E"/>
    <w:rsid w:val="00C9115D"/>
    <w:rsid w:val="00C9276B"/>
    <w:rsid w:val="00C9327D"/>
    <w:rsid w:val="00C93503"/>
    <w:rsid w:val="00C9391C"/>
    <w:rsid w:val="00C93F0E"/>
    <w:rsid w:val="00C9546B"/>
    <w:rsid w:val="00C957DB"/>
    <w:rsid w:val="00C972CC"/>
    <w:rsid w:val="00C97EDF"/>
    <w:rsid w:val="00CA067B"/>
    <w:rsid w:val="00CA0CB9"/>
    <w:rsid w:val="00CA19EB"/>
    <w:rsid w:val="00CA2689"/>
    <w:rsid w:val="00CA3E1D"/>
    <w:rsid w:val="00CA5FA0"/>
    <w:rsid w:val="00CA7632"/>
    <w:rsid w:val="00CB0224"/>
    <w:rsid w:val="00CB07CF"/>
    <w:rsid w:val="00CB13E3"/>
    <w:rsid w:val="00CB1E4D"/>
    <w:rsid w:val="00CB29A8"/>
    <w:rsid w:val="00CB328B"/>
    <w:rsid w:val="00CB3C9D"/>
    <w:rsid w:val="00CB3E7D"/>
    <w:rsid w:val="00CB65DE"/>
    <w:rsid w:val="00CB6E7C"/>
    <w:rsid w:val="00CC0000"/>
    <w:rsid w:val="00CC0208"/>
    <w:rsid w:val="00CC07C8"/>
    <w:rsid w:val="00CC129B"/>
    <w:rsid w:val="00CC1AA1"/>
    <w:rsid w:val="00CC1E36"/>
    <w:rsid w:val="00CC341D"/>
    <w:rsid w:val="00CC374A"/>
    <w:rsid w:val="00CC4F4D"/>
    <w:rsid w:val="00CC5BFE"/>
    <w:rsid w:val="00CC73DF"/>
    <w:rsid w:val="00CC7B11"/>
    <w:rsid w:val="00CC7CBD"/>
    <w:rsid w:val="00CC7E01"/>
    <w:rsid w:val="00CD0B38"/>
    <w:rsid w:val="00CD0F28"/>
    <w:rsid w:val="00CD149C"/>
    <w:rsid w:val="00CD15B9"/>
    <w:rsid w:val="00CD1E56"/>
    <w:rsid w:val="00CD1F35"/>
    <w:rsid w:val="00CD2263"/>
    <w:rsid w:val="00CD29F9"/>
    <w:rsid w:val="00CD43DD"/>
    <w:rsid w:val="00CD4568"/>
    <w:rsid w:val="00CD49BE"/>
    <w:rsid w:val="00CD4EA5"/>
    <w:rsid w:val="00CD5101"/>
    <w:rsid w:val="00CD57F2"/>
    <w:rsid w:val="00CD610C"/>
    <w:rsid w:val="00CD6862"/>
    <w:rsid w:val="00CD6D4F"/>
    <w:rsid w:val="00CE15ED"/>
    <w:rsid w:val="00CE2732"/>
    <w:rsid w:val="00CE292C"/>
    <w:rsid w:val="00CE2B85"/>
    <w:rsid w:val="00CE3B46"/>
    <w:rsid w:val="00CE42D4"/>
    <w:rsid w:val="00CE46E2"/>
    <w:rsid w:val="00CE470D"/>
    <w:rsid w:val="00CE486A"/>
    <w:rsid w:val="00CE572D"/>
    <w:rsid w:val="00CE5E2F"/>
    <w:rsid w:val="00CE6BB3"/>
    <w:rsid w:val="00CE6EF2"/>
    <w:rsid w:val="00CE6FA9"/>
    <w:rsid w:val="00CF011D"/>
    <w:rsid w:val="00CF02BD"/>
    <w:rsid w:val="00CF0CEA"/>
    <w:rsid w:val="00CF1294"/>
    <w:rsid w:val="00CF1B4D"/>
    <w:rsid w:val="00CF1DF7"/>
    <w:rsid w:val="00CF1F59"/>
    <w:rsid w:val="00CF2356"/>
    <w:rsid w:val="00CF2AD6"/>
    <w:rsid w:val="00CF2C19"/>
    <w:rsid w:val="00CF2D7A"/>
    <w:rsid w:val="00CF2DF7"/>
    <w:rsid w:val="00CF3458"/>
    <w:rsid w:val="00CF38E9"/>
    <w:rsid w:val="00CF5DD5"/>
    <w:rsid w:val="00CF62EA"/>
    <w:rsid w:val="00CF72D7"/>
    <w:rsid w:val="00CF7E51"/>
    <w:rsid w:val="00D0181B"/>
    <w:rsid w:val="00D026E0"/>
    <w:rsid w:val="00D02896"/>
    <w:rsid w:val="00D02AA4"/>
    <w:rsid w:val="00D03894"/>
    <w:rsid w:val="00D04245"/>
    <w:rsid w:val="00D04324"/>
    <w:rsid w:val="00D04611"/>
    <w:rsid w:val="00D04BB1"/>
    <w:rsid w:val="00D053D1"/>
    <w:rsid w:val="00D05B2A"/>
    <w:rsid w:val="00D05B8B"/>
    <w:rsid w:val="00D05D5B"/>
    <w:rsid w:val="00D06B36"/>
    <w:rsid w:val="00D06BF7"/>
    <w:rsid w:val="00D06DF1"/>
    <w:rsid w:val="00D074E0"/>
    <w:rsid w:val="00D076D1"/>
    <w:rsid w:val="00D077EF"/>
    <w:rsid w:val="00D0780D"/>
    <w:rsid w:val="00D1174D"/>
    <w:rsid w:val="00D12150"/>
    <w:rsid w:val="00D12838"/>
    <w:rsid w:val="00D12DC9"/>
    <w:rsid w:val="00D13074"/>
    <w:rsid w:val="00D14654"/>
    <w:rsid w:val="00D15311"/>
    <w:rsid w:val="00D16B45"/>
    <w:rsid w:val="00D16DE5"/>
    <w:rsid w:val="00D17939"/>
    <w:rsid w:val="00D206C8"/>
    <w:rsid w:val="00D2134C"/>
    <w:rsid w:val="00D21980"/>
    <w:rsid w:val="00D22A55"/>
    <w:rsid w:val="00D22EAA"/>
    <w:rsid w:val="00D230B3"/>
    <w:rsid w:val="00D23880"/>
    <w:rsid w:val="00D23F34"/>
    <w:rsid w:val="00D2552D"/>
    <w:rsid w:val="00D2566C"/>
    <w:rsid w:val="00D2567A"/>
    <w:rsid w:val="00D259FB"/>
    <w:rsid w:val="00D26099"/>
    <w:rsid w:val="00D2794F"/>
    <w:rsid w:val="00D31298"/>
    <w:rsid w:val="00D31A22"/>
    <w:rsid w:val="00D31FF0"/>
    <w:rsid w:val="00D328F6"/>
    <w:rsid w:val="00D33164"/>
    <w:rsid w:val="00D33322"/>
    <w:rsid w:val="00D33721"/>
    <w:rsid w:val="00D343F6"/>
    <w:rsid w:val="00D348AF"/>
    <w:rsid w:val="00D355DE"/>
    <w:rsid w:val="00D358FB"/>
    <w:rsid w:val="00D35A53"/>
    <w:rsid w:val="00D3681A"/>
    <w:rsid w:val="00D376F0"/>
    <w:rsid w:val="00D416F5"/>
    <w:rsid w:val="00D42670"/>
    <w:rsid w:val="00D44CB0"/>
    <w:rsid w:val="00D44D0B"/>
    <w:rsid w:val="00D45C3B"/>
    <w:rsid w:val="00D462E7"/>
    <w:rsid w:val="00D5005B"/>
    <w:rsid w:val="00D51DF5"/>
    <w:rsid w:val="00D51F2A"/>
    <w:rsid w:val="00D51FF7"/>
    <w:rsid w:val="00D53714"/>
    <w:rsid w:val="00D5401E"/>
    <w:rsid w:val="00D54690"/>
    <w:rsid w:val="00D54DCA"/>
    <w:rsid w:val="00D54F6A"/>
    <w:rsid w:val="00D55009"/>
    <w:rsid w:val="00D55615"/>
    <w:rsid w:val="00D57325"/>
    <w:rsid w:val="00D60062"/>
    <w:rsid w:val="00D60DDD"/>
    <w:rsid w:val="00D60FF8"/>
    <w:rsid w:val="00D612F7"/>
    <w:rsid w:val="00D61D05"/>
    <w:rsid w:val="00D63149"/>
    <w:rsid w:val="00D63898"/>
    <w:rsid w:val="00D639FD"/>
    <w:rsid w:val="00D646F3"/>
    <w:rsid w:val="00D65226"/>
    <w:rsid w:val="00D66839"/>
    <w:rsid w:val="00D66905"/>
    <w:rsid w:val="00D66BF1"/>
    <w:rsid w:val="00D67617"/>
    <w:rsid w:val="00D67D4B"/>
    <w:rsid w:val="00D709AD"/>
    <w:rsid w:val="00D726DC"/>
    <w:rsid w:val="00D72DAD"/>
    <w:rsid w:val="00D733F0"/>
    <w:rsid w:val="00D743E6"/>
    <w:rsid w:val="00D746F3"/>
    <w:rsid w:val="00D74A5D"/>
    <w:rsid w:val="00D80D8C"/>
    <w:rsid w:val="00D80EEE"/>
    <w:rsid w:val="00D8160B"/>
    <w:rsid w:val="00D82D13"/>
    <w:rsid w:val="00D834D0"/>
    <w:rsid w:val="00D854F2"/>
    <w:rsid w:val="00D9018C"/>
    <w:rsid w:val="00D9155F"/>
    <w:rsid w:val="00D91E35"/>
    <w:rsid w:val="00D927DC"/>
    <w:rsid w:val="00D92D79"/>
    <w:rsid w:val="00D92FD2"/>
    <w:rsid w:val="00D93769"/>
    <w:rsid w:val="00D93C16"/>
    <w:rsid w:val="00D93C2F"/>
    <w:rsid w:val="00D94D28"/>
    <w:rsid w:val="00D95A29"/>
    <w:rsid w:val="00D96450"/>
    <w:rsid w:val="00D965B5"/>
    <w:rsid w:val="00D97312"/>
    <w:rsid w:val="00DA0C3E"/>
    <w:rsid w:val="00DA1189"/>
    <w:rsid w:val="00DA1B17"/>
    <w:rsid w:val="00DA25BB"/>
    <w:rsid w:val="00DA3D97"/>
    <w:rsid w:val="00DA3DA9"/>
    <w:rsid w:val="00DA41C2"/>
    <w:rsid w:val="00DA4BEC"/>
    <w:rsid w:val="00DA57FC"/>
    <w:rsid w:val="00DA5AE2"/>
    <w:rsid w:val="00DA5D27"/>
    <w:rsid w:val="00DA6740"/>
    <w:rsid w:val="00DA6E89"/>
    <w:rsid w:val="00DA7012"/>
    <w:rsid w:val="00DA719C"/>
    <w:rsid w:val="00DA740D"/>
    <w:rsid w:val="00DB093D"/>
    <w:rsid w:val="00DB0E2B"/>
    <w:rsid w:val="00DB0FEC"/>
    <w:rsid w:val="00DB101B"/>
    <w:rsid w:val="00DB10C9"/>
    <w:rsid w:val="00DB1226"/>
    <w:rsid w:val="00DB1A0D"/>
    <w:rsid w:val="00DB25C0"/>
    <w:rsid w:val="00DB4E31"/>
    <w:rsid w:val="00DB4F41"/>
    <w:rsid w:val="00DB5132"/>
    <w:rsid w:val="00DB6655"/>
    <w:rsid w:val="00DB7135"/>
    <w:rsid w:val="00DC1D64"/>
    <w:rsid w:val="00DC1F36"/>
    <w:rsid w:val="00DC2F99"/>
    <w:rsid w:val="00DC34DF"/>
    <w:rsid w:val="00DC36DE"/>
    <w:rsid w:val="00DC75C4"/>
    <w:rsid w:val="00DC7BE9"/>
    <w:rsid w:val="00DD0907"/>
    <w:rsid w:val="00DD1B23"/>
    <w:rsid w:val="00DD2A02"/>
    <w:rsid w:val="00DD2D5F"/>
    <w:rsid w:val="00DD36BA"/>
    <w:rsid w:val="00DD3872"/>
    <w:rsid w:val="00DD3A6B"/>
    <w:rsid w:val="00DD3AF4"/>
    <w:rsid w:val="00DD400A"/>
    <w:rsid w:val="00DD4198"/>
    <w:rsid w:val="00DD45AC"/>
    <w:rsid w:val="00DD4741"/>
    <w:rsid w:val="00DD609D"/>
    <w:rsid w:val="00DD6180"/>
    <w:rsid w:val="00DD643E"/>
    <w:rsid w:val="00DD6EAD"/>
    <w:rsid w:val="00DD7A57"/>
    <w:rsid w:val="00DE00F5"/>
    <w:rsid w:val="00DE021B"/>
    <w:rsid w:val="00DE0B72"/>
    <w:rsid w:val="00DE23A4"/>
    <w:rsid w:val="00DE27F4"/>
    <w:rsid w:val="00DE2EBA"/>
    <w:rsid w:val="00DE3295"/>
    <w:rsid w:val="00DE37AA"/>
    <w:rsid w:val="00DE40C6"/>
    <w:rsid w:val="00DE55BF"/>
    <w:rsid w:val="00DE5D05"/>
    <w:rsid w:val="00DE6DA1"/>
    <w:rsid w:val="00DE7909"/>
    <w:rsid w:val="00DF0063"/>
    <w:rsid w:val="00DF0CC1"/>
    <w:rsid w:val="00DF1755"/>
    <w:rsid w:val="00DF2257"/>
    <w:rsid w:val="00DF2483"/>
    <w:rsid w:val="00DF3440"/>
    <w:rsid w:val="00DF35EC"/>
    <w:rsid w:val="00DF4C3F"/>
    <w:rsid w:val="00DF4F7D"/>
    <w:rsid w:val="00DF5000"/>
    <w:rsid w:val="00DF58BA"/>
    <w:rsid w:val="00DF6211"/>
    <w:rsid w:val="00DF62B2"/>
    <w:rsid w:val="00DF6582"/>
    <w:rsid w:val="00DF7260"/>
    <w:rsid w:val="00DF730B"/>
    <w:rsid w:val="00E00FD6"/>
    <w:rsid w:val="00E0192C"/>
    <w:rsid w:val="00E01FB3"/>
    <w:rsid w:val="00E03E38"/>
    <w:rsid w:val="00E0469D"/>
    <w:rsid w:val="00E04D70"/>
    <w:rsid w:val="00E04D9B"/>
    <w:rsid w:val="00E066D6"/>
    <w:rsid w:val="00E06D67"/>
    <w:rsid w:val="00E06EF4"/>
    <w:rsid w:val="00E07131"/>
    <w:rsid w:val="00E07295"/>
    <w:rsid w:val="00E079C2"/>
    <w:rsid w:val="00E11626"/>
    <w:rsid w:val="00E118D2"/>
    <w:rsid w:val="00E11E5A"/>
    <w:rsid w:val="00E127BC"/>
    <w:rsid w:val="00E12BA5"/>
    <w:rsid w:val="00E13092"/>
    <w:rsid w:val="00E13ABB"/>
    <w:rsid w:val="00E14D6B"/>
    <w:rsid w:val="00E152DB"/>
    <w:rsid w:val="00E1581D"/>
    <w:rsid w:val="00E158C9"/>
    <w:rsid w:val="00E15ABF"/>
    <w:rsid w:val="00E15DA1"/>
    <w:rsid w:val="00E15ED3"/>
    <w:rsid w:val="00E1605B"/>
    <w:rsid w:val="00E16638"/>
    <w:rsid w:val="00E169B3"/>
    <w:rsid w:val="00E16B4B"/>
    <w:rsid w:val="00E16F87"/>
    <w:rsid w:val="00E205FB"/>
    <w:rsid w:val="00E20DE6"/>
    <w:rsid w:val="00E21D4C"/>
    <w:rsid w:val="00E21F25"/>
    <w:rsid w:val="00E22032"/>
    <w:rsid w:val="00E22776"/>
    <w:rsid w:val="00E229F7"/>
    <w:rsid w:val="00E23B57"/>
    <w:rsid w:val="00E241BC"/>
    <w:rsid w:val="00E244DE"/>
    <w:rsid w:val="00E24D89"/>
    <w:rsid w:val="00E256D5"/>
    <w:rsid w:val="00E26117"/>
    <w:rsid w:val="00E26777"/>
    <w:rsid w:val="00E26B26"/>
    <w:rsid w:val="00E27593"/>
    <w:rsid w:val="00E3000C"/>
    <w:rsid w:val="00E3009B"/>
    <w:rsid w:val="00E3065D"/>
    <w:rsid w:val="00E308EB"/>
    <w:rsid w:val="00E312EE"/>
    <w:rsid w:val="00E320BA"/>
    <w:rsid w:val="00E32813"/>
    <w:rsid w:val="00E32BF0"/>
    <w:rsid w:val="00E34918"/>
    <w:rsid w:val="00E35486"/>
    <w:rsid w:val="00E355B2"/>
    <w:rsid w:val="00E3679B"/>
    <w:rsid w:val="00E36A80"/>
    <w:rsid w:val="00E37001"/>
    <w:rsid w:val="00E3721B"/>
    <w:rsid w:val="00E3795E"/>
    <w:rsid w:val="00E37F1C"/>
    <w:rsid w:val="00E40B01"/>
    <w:rsid w:val="00E41200"/>
    <w:rsid w:val="00E417FE"/>
    <w:rsid w:val="00E41D07"/>
    <w:rsid w:val="00E42651"/>
    <w:rsid w:val="00E439DD"/>
    <w:rsid w:val="00E44003"/>
    <w:rsid w:val="00E4416C"/>
    <w:rsid w:val="00E4467B"/>
    <w:rsid w:val="00E44785"/>
    <w:rsid w:val="00E45649"/>
    <w:rsid w:val="00E45F49"/>
    <w:rsid w:val="00E47EB5"/>
    <w:rsid w:val="00E502A8"/>
    <w:rsid w:val="00E5104A"/>
    <w:rsid w:val="00E510A4"/>
    <w:rsid w:val="00E51190"/>
    <w:rsid w:val="00E54BA6"/>
    <w:rsid w:val="00E5636D"/>
    <w:rsid w:val="00E56424"/>
    <w:rsid w:val="00E56776"/>
    <w:rsid w:val="00E57BC2"/>
    <w:rsid w:val="00E601D6"/>
    <w:rsid w:val="00E62D1C"/>
    <w:rsid w:val="00E62D26"/>
    <w:rsid w:val="00E6312E"/>
    <w:rsid w:val="00E63264"/>
    <w:rsid w:val="00E638A4"/>
    <w:rsid w:val="00E65678"/>
    <w:rsid w:val="00E65C9F"/>
    <w:rsid w:val="00E65D6D"/>
    <w:rsid w:val="00E65D77"/>
    <w:rsid w:val="00E70965"/>
    <w:rsid w:val="00E70B39"/>
    <w:rsid w:val="00E71D46"/>
    <w:rsid w:val="00E720C8"/>
    <w:rsid w:val="00E7373C"/>
    <w:rsid w:val="00E74124"/>
    <w:rsid w:val="00E75029"/>
    <w:rsid w:val="00E75FC3"/>
    <w:rsid w:val="00E76681"/>
    <w:rsid w:val="00E77016"/>
    <w:rsid w:val="00E771E3"/>
    <w:rsid w:val="00E77913"/>
    <w:rsid w:val="00E77A46"/>
    <w:rsid w:val="00E801BD"/>
    <w:rsid w:val="00E80A9E"/>
    <w:rsid w:val="00E80F87"/>
    <w:rsid w:val="00E81B93"/>
    <w:rsid w:val="00E824F5"/>
    <w:rsid w:val="00E82687"/>
    <w:rsid w:val="00E82A2D"/>
    <w:rsid w:val="00E830AC"/>
    <w:rsid w:val="00E8319D"/>
    <w:rsid w:val="00E84424"/>
    <w:rsid w:val="00E8467C"/>
    <w:rsid w:val="00E848F8"/>
    <w:rsid w:val="00E84D60"/>
    <w:rsid w:val="00E87881"/>
    <w:rsid w:val="00E879B4"/>
    <w:rsid w:val="00E91188"/>
    <w:rsid w:val="00E9144E"/>
    <w:rsid w:val="00E918CF"/>
    <w:rsid w:val="00E91CBA"/>
    <w:rsid w:val="00E91D68"/>
    <w:rsid w:val="00E92202"/>
    <w:rsid w:val="00E9298C"/>
    <w:rsid w:val="00E929FC"/>
    <w:rsid w:val="00E9307C"/>
    <w:rsid w:val="00E93AB0"/>
    <w:rsid w:val="00E9416D"/>
    <w:rsid w:val="00E94253"/>
    <w:rsid w:val="00E95B2D"/>
    <w:rsid w:val="00E967AF"/>
    <w:rsid w:val="00E96962"/>
    <w:rsid w:val="00E96DBB"/>
    <w:rsid w:val="00EA1013"/>
    <w:rsid w:val="00EA13B2"/>
    <w:rsid w:val="00EA1F51"/>
    <w:rsid w:val="00EA2729"/>
    <w:rsid w:val="00EA2C43"/>
    <w:rsid w:val="00EA3CA5"/>
    <w:rsid w:val="00EA42BA"/>
    <w:rsid w:val="00EA47DA"/>
    <w:rsid w:val="00EA5524"/>
    <w:rsid w:val="00EA5EE0"/>
    <w:rsid w:val="00EA608E"/>
    <w:rsid w:val="00EA6D74"/>
    <w:rsid w:val="00EA73AE"/>
    <w:rsid w:val="00EA7F47"/>
    <w:rsid w:val="00EB09A6"/>
    <w:rsid w:val="00EB11F8"/>
    <w:rsid w:val="00EB1D9B"/>
    <w:rsid w:val="00EB2845"/>
    <w:rsid w:val="00EB2EF8"/>
    <w:rsid w:val="00EB36DE"/>
    <w:rsid w:val="00EB3F24"/>
    <w:rsid w:val="00EB40B2"/>
    <w:rsid w:val="00EB4116"/>
    <w:rsid w:val="00EB46B0"/>
    <w:rsid w:val="00EB5475"/>
    <w:rsid w:val="00EB54B8"/>
    <w:rsid w:val="00EB5729"/>
    <w:rsid w:val="00EB6029"/>
    <w:rsid w:val="00EB6083"/>
    <w:rsid w:val="00EB79C6"/>
    <w:rsid w:val="00EB7A28"/>
    <w:rsid w:val="00EC0B26"/>
    <w:rsid w:val="00EC0E56"/>
    <w:rsid w:val="00EC1405"/>
    <w:rsid w:val="00EC1DFB"/>
    <w:rsid w:val="00EC2E50"/>
    <w:rsid w:val="00EC39B3"/>
    <w:rsid w:val="00EC459E"/>
    <w:rsid w:val="00EC4889"/>
    <w:rsid w:val="00EC5E4C"/>
    <w:rsid w:val="00EC6737"/>
    <w:rsid w:val="00EC6CE4"/>
    <w:rsid w:val="00EC72DB"/>
    <w:rsid w:val="00EC7A80"/>
    <w:rsid w:val="00EC7B2E"/>
    <w:rsid w:val="00ED03CA"/>
    <w:rsid w:val="00ED1768"/>
    <w:rsid w:val="00ED1E47"/>
    <w:rsid w:val="00ED2855"/>
    <w:rsid w:val="00ED2E53"/>
    <w:rsid w:val="00ED304E"/>
    <w:rsid w:val="00ED3897"/>
    <w:rsid w:val="00ED3A77"/>
    <w:rsid w:val="00ED470A"/>
    <w:rsid w:val="00ED4859"/>
    <w:rsid w:val="00ED48D4"/>
    <w:rsid w:val="00ED4E33"/>
    <w:rsid w:val="00ED4E9E"/>
    <w:rsid w:val="00ED63B1"/>
    <w:rsid w:val="00ED788F"/>
    <w:rsid w:val="00ED7ADA"/>
    <w:rsid w:val="00ED7AF2"/>
    <w:rsid w:val="00EE0340"/>
    <w:rsid w:val="00EE277C"/>
    <w:rsid w:val="00EE2DA1"/>
    <w:rsid w:val="00EE3A97"/>
    <w:rsid w:val="00EE3C94"/>
    <w:rsid w:val="00EE4605"/>
    <w:rsid w:val="00EE4742"/>
    <w:rsid w:val="00EE4D40"/>
    <w:rsid w:val="00EE5A24"/>
    <w:rsid w:val="00EE6404"/>
    <w:rsid w:val="00EE6550"/>
    <w:rsid w:val="00EE6C5E"/>
    <w:rsid w:val="00EE775D"/>
    <w:rsid w:val="00EF0C3B"/>
    <w:rsid w:val="00EF10B1"/>
    <w:rsid w:val="00EF1CC2"/>
    <w:rsid w:val="00EF1D83"/>
    <w:rsid w:val="00EF3102"/>
    <w:rsid w:val="00EF3A64"/>
    <w:rsid w:val="00EF4C4D"/>
    <w:rsid w:val="00EF5A10"/>
    <w:rsid w:val="00EF7520"/>
    <w:rsid w:val="00EF7E05"/>
    <w:rsid w:val="00F00834"/>
    <w:rsid w:val="00F00970"/>
    <w:rsid w:val="00F00EDF"/>
    <w:rsid w:val="00F011B4"/>
    <w:rsid w:val="00F017BF"/>
    <w:rsid w:val="00F019EC"/>
    <w:rsid w:val="00F0208F"/>
    <w:rsid w:val="00F02685"/>
    <w:rsid w:val="00F031B1"/>
    <w:rsid w:val="00F0435E"/>
    <w:rsid w:val="00F0441F"/>
    <w:rsid w:val="00F04625"/>
    <w:rsid w:val="00F06047"/>
    <w:rsid w:val="00F0639D"/>
    <w:rsid w:val="00F06A84"/>
    <w:rsid w:val="00F06FA3"/>
    <w:rsid w:val="00F0754F"/>
    <w:rsid w:val="00F07D43"/>
    <w:rsid w:val="00F10489"/>
    <w:rsid w:val="00F11056"/>
    <w:rsid w:val="00F1139F"/>
    <w:rsid w:val="00F11E42"/>
    <w:rsid w:val="00F12284"/>
    <w:rsid w:val="00F12D81"/>
    <w:rsid w:val="00F147EF"/>
    <w:rsid w:val="00F15F7B"/>
    <w:rsid w:val="00F17137"/>
    <w:rsid w:val="00F204E8"/>
    <w:rsid w:val="00F216DD"/>
    <w:rsid w:val="00F22628"/>
    <w:rsid w:val="00F23072"/>
    <w:rsid w:val="00F235F2"/>
    <w:rsid w:val="00F23E8B"/>
    <w:rsid w:val="00F24063"/>
    <w:rsid w:val="00F24469"/>
    <w:rsid w:val="00F24786"/>
    <w:rsid w:val="00F24E58"/>
    <w:rsid w:val="00F24ED8"/>
    <w:rsid w:val="00F24EEF"/>
    <w:rsid w:val="00F312F1"/>
    <w:rsid w:val="00F315B2"/>
    <w:rsid w:val="00F32012"/>
    <w:rsid w:val="00F329CE"/>
    <w:rsid w:val="00F33476"/>
    <w:rsid w:val="00F337EA"/>
    <w:rsid w:val="00F3468D"/>
    <w:rsid w:val="00F348F6"/>
    <w:rsid w:val="00F355C1"/>
    <w:rsid w:val="00F35D78"/>
    <w:rsid w:val="00F35E7E"/>
    <w:rsid w:val="00F3745A"/>
    <w:rsid w:val="00F37C87"/>
    <w:rsid w:val="00F37E96"/>
    <w:rsid w:val="00F40325"/>
    <w:rsid w:val="00F403D1"/>
    <w:rsid w:val="00F42905"/>
    <w:rsid w:val="00F4365C"/>
    <w:rsid w:val="00F44281"/>
    <w:rsid w:val="00F44531"/>
    <w:rsid w:val="00F445AB"/>
    <w:rsid w:val="00F454AF"/>
    <w:rsid w:val="00F46058"/>
    <w:rsid w:val="00F46303"/>
    <w:rsid w:val="00F46836"/>
    <w:rsid w:val="00F46FD9"/>
    <w:rsid w:val="00F47C49"/>
    <w:rsid w:val="00F5123A"/>
    <w:rsid w:val="00F52485"/>
    <w:rsid w:val="00F525B0"/>
    <w:rsid w:val="00F5396F"/>
    <w:rsid w:val="00F539F1"/>
    <w:rsid w:val="00F54727"/>
    <w:rsid w:val="00F554E7"/>
    <w:rsid w:val="00F5551E"/>
    <w:rsid w:val="00F5689C"/>
    <w:rsid w:val="00F56C53"/>
    <w:rsid w:val="00F5782D"/>
    <w:rsid w:val="00F57C8C"/>
    <w:rsid w:val="00F6054A"/>
    <w:rsid w:val="00F613EC"/>
    <w:rsid w:val="00F613F6"/>
    <w:rsid w:val="00F61E7A"/>
    <w:rsid w:val="00F6213F"/>
    <w:rsid w:val="00F6266A"/>
    <w:rsid w:val="00F636B1"/>
    <w:rsid w:val="00F642FD"/>
    <w:rsid w:val="00F6478D"/>
    <w:rsid w:val="00F65446"/>
    <w:rsid w:val="00F65CBE"/>
    <w:rsid w:val="00F662BF"/>
    <w:rsid w:val="00F66A22"/>
    <w:rsid w:val="00F66D7D"/>
    <w:rsid w:val="00F66EF0"/>
    <w:rsid w:val="00F6743A"/>
    <w:rsid w:val="00F7040E"/>
    <w:rsid w:val="00F70539"/>
    <w:rsid w:val="00F70DE3"/>
    <w:rsid w:val="00F71BCA"/>
    <w:rsid w:val="00F72290"/>
    <w:rsid w:val="00F72807"/>
    <w:rsid w:val="00F735C3"/>
    <w:rsid w:val="00F7387D"/>
    <w:rsid w:val="00F73FC7"/>
    <w:rsid w:val="00F74954"/>
    <w:rsid w:val="00F7498D"/>
    <w:rsid w:val="00F74A5E"/>
    <w:rsid w:val="00F756ED"/>
    <w:rsid w:val="00F76C58"/>
    <w:rsid w:val="00F77038"/>
    <w:rsid w:val="00F778CE"/>
    <w:rsid w:val="00F77CA5"/>
    <w:rsid w:val="00F80E00"/>
    <w:rsid w:val="00F819FB"/>
    <w:rsid w:val="00F81D55"/>
    <w:rsid w:val="00F81E6E"/>
    <w:rsid w:val="00F81E9D"/>
    <w:rsid w:val="00F826E7"/>
    <w:rsid w:val="00F83815"/>
    <w:rsid w:val="00F83C95"/>
    <w:rsid w:val="00F84D90"/>
    <w:rsid w:val="00F8695C"/>
    <w:rsid w:val="00F8746F"/>
    <w:rsid w:val="00F904A8"/>
    <w:rsid w:val="00F90DF3"/>
    <w:rsid w:val="00F90E6F"/>
    <w:rsid w:val="00F914D1"/>
    <w:rsid w:val="00F925D3"/>
    <w:rsid w:val="00F92EB1"/>
    <w:rsid w:val="00F932A5"/>
    <w:rsid w:val="00F93B87"/>
    <w:rsid w:val="00F95830"/>
    <w:rsid w:val="00F96D97"/>
    <w:rsid w:val="00F97830"/>
    <w:rsid w:val="00FA011F"/>
    <w:rsid w:val="00FA0487"/>
    <w:rsid w:val="00FA0CCF"/>
    <w:rsid w:val="00FA191D"/>
    <w:rsid w:val="00FA3BC3"/>
    <w:rsid w:val="00FA4418"/>
    <w:rsid w:val="00FA46D7"/>
    <w:rsid w:val="00FA4DF5"/>
    <w:rsid w:val="00FA671C"/>
    <w:rsid w:val="00FA67F2"/>
    <w:rsid w:val="00FA6F7B"/>
    <w:rsid w:val="00FA7731"/>
    <w:rsid w:val="00FB00B1"/>
    <w:rsid w:val="00FB07C9"/>
    <w:rsid w:val="00FB169C"/>
    <w:rsid w:val="00FB1CCC"/>
    <w:rsid w:val="00FB2038"/>
    <w:rsid w:val="00FB2362"/>
    <w:rsid w:val="00FB25F8"/>
    <w:rsid w:val="00FB4084"/>
    <w:rsid w:val="00FB4876"/>
    <w:rsid w:val="00FB5664"/>
    <w:rsid w:val="00FB5E99"/>
    <w:rsid w:val="00FB620B"/>
    <w:rsid w:val="00FB6E6A"/>
    <w:rsid w:val="00FB74CF"/>
    <w:rsid w:val="00FC0546"/>
    <w:rsid w:val="00FC093D"/>
    <w:rsid w:val="00FC20BA"/>
    <w:rsid w:val="00FC2184"/>
    <w:rsid w:val="00FC2322"/>
    <w:rsid w:val="00FC2329"/>
    <w:rsid w:val="00FC28A1"/>
    <w:rsid w:val="00FC303C"/>
    <w:rsid w:val="00FC345A"/>
    <w:rsid w:val="00FC3CC9"/>
    <w:rsid w:val="00FC40A2"/>
    <w:rsid w:val="00FC461F"/>
    <w:rsid w:val="00FC48CA"/>
    <w:rsid w:val="00FC4D6C"/>
    <w:rsid w:val="00FC4F56"/>
    <w:rsid w:val="00FC597B"/>
    <w:rsid w:val="00FC5B41"/>
    <w:rsid w:val="00FC76D7"/>
    <w:rsid w:val="00FC78FD"/>
    <w:rsid w:val="00FD08DB"/>
    <w:rsid w:val="00FD0E50"/>
    <w:rsid w:val="00FD0F81"/>
    <w:rsid w:val="00FD1388"/>
    <w:rsid w:val="00FD1763"/>
    <w:rsid w:val="00FD1A39"/>
    <w:rsid w:val="00FD1D4F"/>
    <w:rsid w:val="00FD1E35"/>
    <w:rsid w:val="00FD28DB"/>
    <w:rsid w:val="00FD35A8"/>
    <w:rsid w:val="00FD3AA4"/>
    <w:rsid w:val="00FD45B6"/>
    <w:rsid w:val="00FD5D4D"/>
    <w:rsid w:val="00FD6D42"/>
    <w:rsid w:val="00FD707B"/>
    <w:rsid w:val="00FD7932"/>
    <w:rsid w:val="00FE079C"/>
    <w:rsid w:val="00FE08F9"/>
    <w:rsid w:val="00FE17CE"/>
    <w:rsid w:val="00FE1B21"/>
    <w:rsid w:val="00FE3800"/>
    <w:rsid w:val="00FE4373"/>
    <w:rsid w:val="00FE4992"/>
    <w:rsid w:val="00FE5B7B"/>
    <w:rsid w:val="00FE5B98"/>
    <w:rsid w:val="00FE71F7"/>
    <w:rsid w:val="00FE7671"/>
    <w:rsid w:val="00FF046A"/>
    <w:rsid w:val="00FF052F"/>
    <w:rsid w:val="00FF0780"/>
    <w:rsid w:val="00FF12BF"/>
    <w:rsid w:val="00FF146D"/>
    <w:rsid w:val="00FF155A"/>
    <w:rsid w:val="00FF18AB"/>
    <w:rsid w:val="00FF1B2C"/>
    <w:rsid w:val="00FF1E60"/>
    <w:rsid w:val="00FF1F6D"/>
    <w:rsid w:val="00FF24A1"/>
    <w:rsid w:val="00FF265A"/>
    <w:rsid w:val="00FF3627"/>
    <w:rsid w:val="00FF403A"/>
    <w:rsid w:val="00FF40BD"/>
    <w:rsid w:val="00FF52C8"/>
    <w:rsid w:val="00FF5426"/>
    <w:rsid w:val="00FF5908"/>
    <w:rsid w:val="00FF5B41"/>
    <w:rsid w:val="00FF69C4"/>
    <w:rsid w:val="011A95BD"/>
    <w:rsid w:val="014046F0"/>
    <w:rsid w:val="014E01AC"/>
    <w:rsid w:val="01C0FFBB"/>
    <w:rsid w:val="024C5157"/>
    <w:rsid w:val="02A31E18"/>
    <w:rsid w:val="02F6203B"/>
    <w:rsid w:val="03119F8B"/>
    <w:rsid w:val="035300C2"/>
    <w:rsid w:val="03804C81"/>
    <w:rsid w:val="03AC2685"/>
    <w:rsid w:val="047A68E9"/>
    <w:rsid w:val="0488A22B"/>
    <w:rsid w:val="053A876A"/>
    <w:rsid w:val="0638CBA0"/>
    <w:rsid w:val="06499CED"/>
    <w:rsid w:val="07893768"/>
    <w:rsid w:val="079BD439"/>
    <w:rsid w:val="07CAFD97"/>
    <w:rsid w:val="08424BDF"/>
    <w:rsid w:val="086BCF14"/>
    <w:rsid w:val="09CE3FA7"/>
    <w:rsid w:val="0A41ECF0"/>
    <w:rsid w:val="0A67701E"/>
    <w:rsid w:val="0A6F5935"/>
    <w:rsid w:val="0AA18FBF"/>
    <w:rsid w:val="0AEC10D3"/>
    <w:rsid w:val="0B37B195"/>
    <w:rsid w:val="0BD642FD"/>
    <w:rsid w:val="0C00BE3E"/>
    <w:rsid w:val="0C405759"/>
    <w:rsid w:val="0C502221"/>
    <w:rsid w:val="0C50CA50"/>
    <w:rsid w:val="0C6176F8"/>
    <w:rsid w:val="0D282D75"/>
    <w:rsid w:val="0D3F4037"/>
    <w:rsid w:val="0D932846"/>
    <w:rsid w:val="0DFFED9B"/>
    <w:rsid w:val="0E0E551B"/>
    <w:rsid w:val="0E1F9EAE"/>
    <w:rsid w:val="0E3404D4"/>
    <w:rsid w:val="0E882172"/>
    <w:rsid w:val="0F261B4A"/>
    <w:rsid w:val="0F605E0F"/>
    <w:rsid w:val="0F794115"/>
    <w:rsid w:val="0FF06AE0"/>
    <w:rsid w:val="0FF5E99D"/>
    <w:rsid w:val="1090C55B"/>
    <w:rsid w:val="109A044E"/>
    <w:rsid w:val="114196E6"/>
    <w:rsid w:val="11559F9C"/>
    <w:rsid w:val="1242F36D"/>
    <w:rsid w:val="1280E46B"/>
    <w:rsid w:val="12999F48"/>
    <w:rsid w:val="13370C02"/>
    <w:rsid w:val="13372B1A"/>
    <w:rsid w:val="13722C81"/>
    <w:rsid w:val="1397027B"/>
    <w:rsid w:val="1409D139"/>
    <w:rsid w:val="140FFA40"/>
    <w:rsid w:val="1427B46B"/>
    <w:rsid w:val="14356FA9"/>
    <w:rsid w:val="14494B05"/>
    <w:rsid w:val="147937A8"/>
    <w:rsid w:val="1526E4A1"/>
    <w:rsid w:val="154F016B"/>
    <w:rsid w:val="15657068"/>
    <w:rsid w:val="1594606A"/>
    <w:rsid w:val="161497C6"/>
    <w:rsid w:val="1683BB84"/>
    <w:rsid w:val="172917D4"/>
    <w:rsid w:val="173F1401"/>
    <w:rsid w:val="17B3906A"/>
    <w:rsid w:val="18442842"/>
    <w:rsid w:val="18B34A0E"/>
    <w:rsid w:val="190C6B30"/>
    <w:rsid w:val="1980DF64"/>
    <w:rsid w:val="199F6BEB"/>
    <w:rsid w:val="19C02B91"/>
    <w:rsid w:val="1A1FCB87"/>
    <w:rsid w:val="1A90DB7B"/>
    <w:rsid w:val="1A9C7C86"/>
    <w:rsid w:val="1B3437A3"/>
    <w:rsid w:val="1BC04B5F"/>
    <w:rsid w:val="1BCF0888"/>
    <w:rsid w:val="1C8E8866"/>
    <w:rsid w:val="1D203047"/>
    <w:rsid w:val="1DE7BEBE"/>
    <w:rsid w:val="1DFC3DEB"/>
    <w:rsid w:val="1E07B7A6"/>
    <w:rsid w:val="1E0D87AC"/>
    <w:rsid w:val="1E10946B"/>
    <w:rsid w:val="1E14B2A0"/>
    <w:rsid w:val="1EA40962"/>
    <w:rsid w:val="1EC48357"/>
    <w:rsid w:val="1F0A075E"/>
    <w:rsid w:val="1FBA531E"/>
    <w:rsid w:val="20674A75"/>
    <w:rsid w:val="20828C11"/>
    <w:rsid w:val="208CE15D"/>
    <w:rsid w:val="20F3D9D7"/>
    <w:rsid w:val="2198F7B4"/>
    <w:rsid w:val="21B795F1"/>
    <w:rsid w:val="21FB87C7"/>
    <w:rsid w:val="22116C9B"/>
    <w:rsid w:val="226C6539"/>
    <w:rsid w:val="22958D27"/>
    <w:rsid w:val="22D26219"/>
    <w:rsid w:val="232CB1A5"/>
    <w:rsid w:val="233304BF"/>
    <w:rsid w:val="23477DB8"/>
    <w:rsid w:val="237282FC"/>
    <w:rsid w:val="23A459EB"/>
    <w:rsid w:val="23A68864"/>
    <w:rsid w:val="23E8477C"/>
    <w:rsid w:val="24489564"/>
    <w:rsid w:val="244FE019"/>
    <w:rsid w:val="245B198C"/>
    <w:rsid w:val="25E90E9D"/>
    <w:rsid w:val="26449720"/>
    <w:rsid w:val="266FF662"/>
    <w:rsid w:val="27E21357"/>
    <w:rsid w:val="285DCECB"/>
    <w:rsid w:val="288C19FE"/>
    <w:rsid w:val="28C428D0"/>
    <w:rsid w:val="291416DB"/>
    <w:rsid w:val="299C38BA"/>
    <w:rsid w:val="29F99F2C"/>
    <w:rsid w:val="2A082EC0"/>
    <w:rsid w:val="2A8EA795"/>
    <w:rsid w:val="2B6EB49F"/>
    <w:rsid w:val="2B835649"/>
    <w:rsid w:val="2BF05B0F"/>
    <w:rsid w:val="2C4DB683"/>
    <w:rsid w:val="2D2778EB"/>
    <w:rsid w:val="2D8C88A3"/>
    <w:rsid w:val="2D8D48CC"/>
    <w:rsid w:val="2E01B5F2"/>
    <w:rsid w:val="2E2C423B"/>
    <w:rsid w:val="2F502CE6"/>
    <w:rsid w:val="2F6D4FF3"/>
    <w:rsid w:val="2FBCE2F5"/>
    <w:rsid w:val="3052D311"/>
    <w:rsid w:val="30F733BD"/>
    <w:rsid w:val="327B86FC"/>
    <w:rsid w:val="3280F4C6"/>
    <w:rsid w:val="33006B27"/>
    <w:rsid w:val="332A8766"/>
    <w:rsid w:val="335BDC09"/>
    <w:rsid w:val="33A36B55"/>
    <w:rsid w:val="33D22F21"/>
    <w:rsid w:val="3436976E"/>
    <w:rsid w:val="349C8067"/>
    <w:rsid w:val="34AAB79E"/>
    <w:rsid w:val="34D75E53"/>
    <w:rsid w:val="34D8804B"/>
    <w:rsid w:val="350FFD38"/>
    <w:rsid w:val="363C2773"/>
    <w:rsid w:val="36A46F55"/>
    <w:rsid w:val="36AEB087"/>
    <w:rsid w:val="36DB54A1"/>
    <w:rsid w:val="3797C937"/>
    <w:rsid w:val="37F35262"/>
    <w:rsid w:val="3818BE09"/>
    <w:rsid w:val="3828B3F8"/>
    <w:rsid w:val="38325923"/>
    <w:rsid w:val="384A80E8"/>
    <w:rsid w:val="38970E78"/>
    <w:rsid w:val="393DB66B"/>
    <w:rsid w:val="393EFC34"/>
    <w:rsid w:val="394BAB8F"/>
    <w:rsid w:val="3978A8B5"/>
    <w:rsid w:val="39BA1498"/>
    <w:rsid w:val="39D7004A"/>
    <w:rsid w:val="3A1FB581"/>
    <w:rsid w:val="3A4CF952"/>
    <w:rsid w:val="3A92982F"/>
    <w:rsid w:val="3AA61F77"/>
    <w:rsid w:val="3B05B024"/>
    <w:rsid w:val="3B4D956D"/>
    <w:rsid w:val="3B660676"/>
    <w:rsid w:val="3B8221AA"/>
    <w:rsid w:val="3BA3550B"/>
    <w:rsid w:val="3BC8D6E6"/>
    <w:rsid w:val="3BF3BDCD"/>
    <w:rsid w:val="3C83BBE9"/>
    <w:rsid w:val="3C8DEB72"/>
    <w:rsid w:val="3CA58DE5"/>
    <w:rsid w:val="3CF91E7D"/>
    <w:rsid w:val="3D10E7B3"/>
    <w:rsid w:val="3D51E472"/>
    <w:rsid w:val="3D805B04"/>
    <w:rsid w:val="3E54964F"/>
    <w:rsid w:val="3EB14F84"/>
    <w:rsid w:val="3EB9C26C"/>
    <w:rsid w:val="3F010ECF"/>
    <w:rsid w:val="3F084E72"/>
    <w:rsid w:val="3F110D87"/>
    <w:rsid w:val="3F4F7FB2"/>
    <w:rsid w:val="3F4F880B"/>
    <w:rsid w:val="3F6FFE27"/>
    <w:rsid w:val="3FA3E0DE"/>
    <w:rsid w:val="3FB7947C"/>
    <w:rsid w:val="406DC9A3"/>
    <w:rsid w:val="4088D9E7"/>
    <w:rsid w:val="40AFEA82"/>
    <w:rsid w:val="40FD3D18"/>
    <w:rsid w:val="410AAE39"/>
    <w:rsid w:val="4136F573"/>
    <w:rsid w:val="414967EB"/>
    <w:rsid w:val="417200EA"/>
    <w:rsid w:val="417FE49D"/>
    <w:rsid w:val="41B72A4E"/>
    <w:rsid w:val="41F1632E"/>
    <w:rsid w:val="41F4E686"/>
    <w:rsid w:val="41F59CA6"/>
    <w:rsid w:val="421B66E4"/>
    <w:rsid w:val="42939398"/>
    <w:rsid w:val="42A42460"/>
    <w:rsid w:val="42BCD453"/>
    <w:rsid w:val="42C64723"/>
    <w:rsid w:val="42DA63EB"/>
    <w:rsid w:val="430B29BF"/>
    <w:rsid w:val="4408E951"/>
    <w:rsid w:val="44621784"/>
    <w:rsid w:val="44A9075B"/>
    <w:rsid w:val="45DBEE77"/>
    <w:rsid w:val="46448ECE"/>
    <w:rsid w:val="4666FE01"/>
    <w:rsid w:val="4699C149"/>
    <w:rsid w:val="469C1BA8"/>
    <w:rsid w:val="47D1D411"/>
    <w:rsid w:val="481B1141"/>
    <w:rsid w:val="485140F3"/>
    <w:rsid w:val="485DCB0D"/>
    <w:rsid w:val="487D1B05"/>
    <w:rsid w:val="487F8ADC"/>
    <w:rsid w:val="489AA02F"/>
    <w:rsid w:val="49287EDC"/>
    <w:rsid w:val="49A1DAAD"/>
    <w:rsid w:val="49C27378"/>
    <w:rsid w:val="49DB9D94"/>
    <w:rsid w:val="4A0A06C7"/>
    <w:rsid w:val="4B1D3588"/>
    <w:rsid w:val="4B27A69F"/>
    <w:rsid w:val="4B6BA6BD"/>
    <w:rsid w:val="4BBD0E0E"/>
    <w:rsid w:val="4C1479FB"/>
    <w:rsid w:val="4C27B980"/>
    <w:rsid w:val="4C4B935B"/>
    <w:rsid w:val="4CD6F2CD"/>
    <w:rsid w:val="4D33244E"/>
    <w:rsid w:val="4D8F6229"/>
    <w:rsid w:val="4DD7C51E"/>
    <w:rsid w:val="4EAECD35"/>
    <w:rsid w:val="4EBAF751"/>
    <w:rsid w:val="4F0140CF"/>
    <w:rsid w:val="4F1C2B04"/>
    <w:rsid w:val="4F59014E"/>
    <w:rsid w:val="4FA6E0E7"/>
    <w:rsid w:val="5049C91B"/>
    <w:rsid w:val="50557A1A"/>
    <w:rsid w:val="50814A84"/>
    <w:rsid w:val="50E6D96A"/>
    <w:rsid w:val="5176D313"/>
    <w:rsid w:val="51F29813"/>
    <w:rsid w:val="52508383"/>
    <w:rsid w:val="528C92D3"/>
    <w:rsid w:val="52E2218E"/>
    <w:rsid w:val="53542195"/>
    <w:rsid w:val="53DD2406"/>
    <w:rsid w:val="5425921B"/>
    <w:rsid w:val="5465061E"/>
    <w:rsid w:val="54A0D62C"/>
    <w:rsid w:val="54AD76AA"/>
    <w:rsid w:val="54E99146"/>
    <w:rsid w:val="553DC01D"/>
    <w:rsid w:val="55B0CD7E"/>
    <w:rsid w:val="55CE8ADB"/>
    <w:rsid w:val="55E53613"/>
    <w:rsid w:val="56483723"/>
    <w:rsid w:val="56925758"/>
    <w:rsid w:val="56C6C8E7"/>
    <w:rsid w:val="57120AB7"/>
    <w:rsid w:val="578200ED"/>
    <w:rsid w:val="5788AD75"/>
    <w:rsid w:val="578C6000"/>
    <w:rsid w:val="57F5F516"/>
    <w:rsid w:val="58597480"/>
    <w:rsid w:val="585F1F81"/>
    <w:rsid w:val="58C27E01"/>
    <w:rsid w:val="5915B5C6"/>
    <w:rsid w:val="5993DC10"/>
    <w:rsid w:val="59A855A9"/>
    <w:rsid w:val="59C9F973"/>
    <w:rsid w:val="5A170DE6"/>
    <w:rsid w:val="5A6D6DBF"/>
    <w:rsid w:val="5A7B9B2C"/>
    <w:rsid w:val="5AD79598"/>
    <w:rsid w:val="5B2FE2F0"/>
    <w:rsid w:val="5B9A54FD"/>
    <w:rsid w:val="5BC9E98C"/>
    <w:rsid w:val="5C1A4CBC"/>
    <w:rsid w:val="5C6A2033"/>
    <w:rsid w:val="5CF2031A"/>
    <w:rsid w:val="5CFBB916"/>
    <w:rsid w:val="5D561157"/>
    <w:rsid w:val="5D6F26D6"/>
    <w:rsid w:val="5DA29BEF"/>
    <w:rsid w:val="5E3D0B0B"/>
    <w:rsid w:val="5E57074E"/>
    <w:rsid w:val="5E6CFBFA"/>
    <w:rsid w:val="5EB89E5F"/>
    <w:rsid w:val="5EC744E9"/>
    <w:rsid w:val="5F32E95E"/>
    <w:rsid w:val="5F882A06"/>
    <w:rsid w:val="6074D902"/>
    <w:rsid w:val="60BFF158"/>
    <w:rsid w:val="611CE1BB"/>
    <w:rsid w:val="6258B370"/>
    <w:rsid w:val="62DA4F21"/>
    <w:rsid w:val="639C7A3D"/>
    <w:rsid w:val="639F6B9F"/>
    <w:rsid w:val="641752BA"/>
    <w:rsid w:val="642FF9A3"/>
    <w:rsid w:val="643BFA13"/>
    <w:rsid w:val="644F8424"/>
    <w:rsid w:val="64861B64"/>
    <w:rsid w:val="65191B14"/>
    <w:rsid w:val="651AA1F0"/>
    <w:rsid w:val="65484A25"/>
    <w:rsid w:val="6581774C"/>
    <w:rsid w:val="65F5855D"/>
    <w:rsid w:val="667D8B60"/>
    <w:rsid w:val="668F3467"/>
    <w:rsid w:val="66AC5C40"/>
    <w:rsid w:val="670FE497"/>
    <w:rsid w:val="6743815F"/>
    <w:rsid w:val="6884F643"/>
    <w:rsid w:val="68F2A40F"/>
    <w:rsid w:val="69287A71"/>
    <w:rsid w:val="6974A257"/>
    <w:rsid w:val="6A1F439E"/>
    <w:rsid w:val="6A7ED96A"/>
    <w:rsid w:val="6ADB0310"/>
    <w:rsid w:val="6ADE7D90"/>
    <w:rsid w:val="6B01EFA0"/>
    <w:rsid w:val="6B5012B5"/>
    <w:rsid w:val="6B6E1FF4"/>
    <w:rsid w:val="6B96F7D2"/>
    <w:rsid w:val="6BF0F2C1"/>
    <w:rsid w:val="6C258C3E"/>
    <w:rsid w:val="6C46ED27"/>
    <w:rsid w:val="6C4FF73C"/>
    <w:rsid w:val="6C989BC0"/>
    <w:rsid w:val="6CD50A91"/>
    <w:rsid w:val="6D98DA83"/>
    <w:rsid w:val="6DFC6394"/>
    <w:rsid w:val="6E3A2539"/>
    <w:rsid w:val="6E42E585"/>
    <w:rsid w:val="6F1BE014"/>
    <w:rsid w:val="6F54F161"/>
    <w:rsid w:val="6F732316"/>
    <w:rsid w:val="6F79CF87"/>
    <w:rsid w:val="6FFB6B38"/>
    <w:rsid w:val="70202230"/>
    <w:rsid w:val="7026F844"/>
    <w:rsid w:val="70557524"/>
    <w:rsid w:val="707CA775"/>
    <w:rsid w:val="7090C20E"/>
    <w:rsid w:val="71C7BF9A"/>
    <w:rsid w:val="71CA8F80"/>
    <w:rsid w:val="71D35703"/>
    <w:rsid w:val="71E0FBBE"/>
    <w:rsid w:val="727562FF"/>
    <w:rsid w:val="72EEAD9F"/>
    <w:rsid w:val="73524180"/>
    <w:rsid w:val="73843D4F"/>
    <w:rsid w:val="73CDAB25"/>
    <w:rsid w:val="73EEEE79"/>
    <w:rsid w:val="7426B49E"/>
    <w:rsid w:val="7434FE4B"/>
    <w:rsid w:val="74E45A22"/>
    <w:rsid w:val="75994A8A"/>
    <w:rsid w:val="75AC6C49"/>
    <w:rsid w:val="7600ED11"/>
    <w:rsid w:val="762E6DAD"/>
    <w:rsid w:val="76A5FBEF"/>
    <w:rsid w:val="776D7F77"/>
    <w:rsid w:val="77A3D83B"/>
    <w:rsid w:val="77C50EC1"/>
    <w:rsid w:val="7886E176"/>
    <w:rsid w:val="78BB65A7"/>
    <w:rsid w:val="78E0D29E"/>
    <w:rsid w:val="78E3D4E1"/>
    <w:rsid w:val="78F203D7"/>
    <w:rsid w:val="79269B19"/>
    <w:rsid w:val="7964C0AD"/>
    <w:rsid w:val="799E891E"/>
    <w:rsid w:val="79B5712B"/>
    <w:rsid w:val="79B5BA6F"/>
    <w:rsid w:val="79C4018E"/>
    <w:rsid w:val="7A0DE8FB"/>
    <w:rsid w:val="7B6102B8"/>
    <w:rsid w:val="7B77164C"/>
    <w:rsid w:val="7BFC0323"/>
    <w:rsid w:val="7C3D9B84"/>
    <w:rsid w:val="7C6287A9"/>
    <w:rsid w:val="7CFE6FD9"/>
    <w:rsid w:val="7DBF38E3"/>
    <w:rsid w:val="7DE7D0D1"/>
    <w:rsid w:val="7E85CB83"/>
    <w:rsid w:val="7E927D6B"/>
    <w:rsid w:val="7E92BD32"/>
    <w:rsid w:val="7E9D12B7"/>
    <w:rsid w:val="7EABD899"/>
    <w:rsid w:val="7ED871A9"/>
    <w:rsid w:val="7EFF17A8"/>
    <w:rsid w:val="7F84F392"/>
    <w:rsid w:val="7FB4A576"/>
    <w:rsid w:val="7FC54300"/>
    <w:rsid w:val="7FCD514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E78889"/>
  <w15:docId w15:val="{B2007FA1-2A7D-4066-9297-ECA5B5F9A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99"/>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lsdException w:name="Signature" w:semiHidden="1" w:unhideWhenUsed="1"/>
    <w:lsdException w:name="Default Paragraph Font"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lsdException w:name="Plain Text" w:semiHidden="1" w:unhideWhenUsed="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qFormat="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4B2F"/>
    <w:rPr>
      <w:lang w:val="en-US" w:eastAsia="en-US"/>
    </w:rPr>
  </w:style>
  <w:style w:type="paragraph" w:styleId="Heading1">
    <w:name w:val="heading 1"/>
    <w:basedOn w:val="Normal"/>
    <w:next w:val="BodyText"/>
    <w:qFormat/>
    <w:locked/>
    <w:rsid w:val="006A7891"/>
    <w:pPr>
      <w:keepNext/>
      <w:spacing w:before="400" w:after="600"/>
      <w:ind w:left="851" w:hanging="851"/>
      <w:outlineLvl w:val="0"/>
    </w:pPr>
    <w:rPr>
      <w:rFonts w:ascii="Public Sans SemiBold" w:hAnsi="Public Sans SemiBold"/>
      <w:caps/>
      <w:color w:val="002664"/>
      <w:kern w:val="28"/>
      <w:sz w:val="40"/>
      <w:szCs w:val="36"/>
      <w:lang w:val="en-AU"/>
    </w:rPr>
  </w:style>
  <w:style w:type="paragraph" w:styleId="Heading2">
    <w:name w:val="heading 2"/>
    <w:basedOn w:val="Normal"/>
    <w:next w:val="BodyText"/>
    <w:link w:val="Heading2Char"/>
    <w:semiHidden/>
    <w:qFormat/>
    <w:rsid w:val="006A7891"/>
    <w:pPr>
      <w:keepNext/>
      <w:widowControl w:val="0"/>
      <w:numPr>
        <w:numId w:val="71"/>
      </w:numPr>
      <w:pBdr>
        <w:bottom w:val="single" w:sz="4" w:space="2" w:color="008EBA"/>
      </w:pBdr>
      <w:spacing w:before="240" w:after="100" w:line="240" w:lineRule="atLeast"/>
      <w:outlineLvl w:val="1"/>
    </w:pPr>
    <w:rPr>
      <w:rFonts w:ascii="Arial Bold" w:hAnsi="Arial Bold"/>
      <w:b/>
      <w:color w:val="008EBA"/>
      <w:kern w:val="28"/>
      <w:sz w:val="24"/>
      <w:szCs w:val="36"/>
      <w:lang w:val="en-AU"/>
    </w:rPr>
  </w:style>
  <w:style w:type="paragraph" w:styleId="Heading3">
    <w:name w:val="heading 3"/>
    <w:next w:val="BodyText"/>
    <w:link w:val="Heading3Char"/>
    <w:qFormat/>
    <w:locked/>
    <w:rsid w:val="006A7891"/>
    <w:pPr>
      <w:spacing w:before="240" w:after="100" w:line="240" w:lineRule="atLeast"/>
      <w:outlineLvl w:val="2"/>
    </w:pPr>
    <w:rPr>
      <w:rFonts w:ascii="Public Sans SemiBold" w:hAnsi="Public Sans SemiBold"/>
      <w:b/>
      <w:color w:val="22272B"/>
      <w:kern w:val="28"/>
      <w:sz w:val="26"/>
      <w:szCs w:val="36"/>
      <w:lang w:eastAsia="en-US"/>
    </w:rPr>
  </w:style>
  <w:style w:type="paragraph" w:styleId="Heading4">
    <w:name w:val="heading 4"/>
    <w:basedOn w:val="Heading3"/>
    <w:next w:val="BodyText"/>
    <w:qFormat/>
    <w:locked/>
    <w:rsid w:val="006A7891"/>
    <w:pPr>
      <w:outlineLvl w:val="3"/>
    </w:pPr>
    <w:rPr>
      <w:sz w:val="24"/>
    </w:rPr>
  </w:style>
  <w:style w:type="paragraph" w:styleId="Heading5">
    <w:name w:val="heading 5"/>
    <w:basedOn w:val="Heading4"/>
    <w:next w:val="BodyText"/>
    <w:qFormat/>
    <w:locked/>
    <w:rsid w:val="006A7891"/>
    <w:pPr>
      <w:spacing w:after="60"/>
      <w:outlineLvl w:val="4"/>
    </w:pPr>
    <w:rPr>
      <w:b w:val="0"/>
      <w:i/>
    </w:rPr>
  </w:style>
  <w:style w:type="paragraph" w:styleId="Heading6">
    <w:name w:val="heading 6"/>
    <w:basedOn w:val="Heading1"/>
    <w:next w:val="Normal"/>
    <w:semiHidden/>
    <w:qFormat/>
    <w:rsid w:val="006A7891"/>
    <w:pPr>
      <w:spacing w:before="120"/>
      <w:outlineLvl w:val="5"/>
    </w:pPr>
    <w:rPr>
      <w:rFonts w:ascii="Times New Roman" w:hAnsi="Times New Roman"/>
      <w:b/>
      <w:i/>
      <w:caps w:val="0"/>
      <w:kern w:val="0"/>
      <w:sz w:val="24"/>
    </w:rPr>
  </w:style>
  <w:style w:type="paragraph" w:styleId="Heading7">
    <w:name w:val="heading 7"/>
    <w:basedOn w:val="Heading5"/>
    <w:next w:val="Normal"/>
    <w:semiHidden/>
    <w:qFormat/>
    <w:rsid w:val="006A7891"/>
    <w:pPr>
      <w:spacing w:before="120"/>
      <w:ind w:left="425"/>
      <w:jc w:val="both"/>
      <w:outlineLvl w:val="6"/>
    </w:pPr>
    <w:rPr>
      <w:i w:val="0"/>
    </w:rPr>
  </w:style>
  <w:style w:type="paragraph" w:styleId="Heading8">
    <w:name w:val="heading 8"/>
    <w:basedOn w:val="Heading7"/>
    <w:next w:val="Normal"/>
    <w:semiHidden/>
    <w:qFormat/>
    <w:rsid w:val="006A7891"/>
    <w:pPr>
      <w:outlineLvl w:val="7"/>
    </w:pPr>
    <w:rPr>
      <w:i/>
    </w:rPr>
  </w:style>
  <w:style w:type="paragraph" w:styleId="Heading9">
    <w:name w:val="heading 9"/>
    <w:basedOn w:val="Heading8"/>
    <w:next w:val="Normal"/>
    <w:semiHidden/>
    <w:qFormat/>
    <w:rsid w:val="006A7891"/>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autoRedefine/>
    <w:locked/>
    <w:rsid w:val="0060253C"/>
    <w:pPr>
      <w:spacing w:before="120" w:after="120"/>
    </w:pPr>
    <w:rPr>
      <w:rFonts w:ascii="Public Sans" w:hAnsi="Public Sans" w:cs="Arial"/>
      <w:sz w:val="22"/>
      <w:lang w:eastAsia="en-US"/>
    </w:rPr>
  </w:style>
  <w:style w:type="paragraph" w:customStyle="1" w:styleId="Bullet1">
    <w:name w:val="Bullet 1"/>
    <w:basedOn w:val="BodyText"/>
    <w:link w:val="Bullet1Char"/>
    <w:autoRedefine/>
    <w:qFormat/>
    <w:locked/>
    <w:rsid w:val="00301061"/>
    <w:pPr>
      <w:numPr>
        <w:numId w:val="4"/>
      </w:numPr>
      <w:tabs>
        <w:tab w:val="left" w:pos="8647"/>
      </w:tabs>
      <w:ind w:left="284" w:hanging="284"/>
    </w:pPr>
    <w:rPr>
      <w:rFonts w:eastAsiaTheme="minorEastAsia"/>
      <w:szCs w:val="23"/>
      <w:lang w:eastAsia="en-AU"/>
    </w:rPr>
  </w:style>
  <w:style w:type="paragraph" w:styleId="NoSpacing">
    <w:name w:val="No Spacing"/>
    <w:basedOn w:val="Normal"/>
    <w:link w:val="NoSpacingChar"/>
    <w:semiHidden/>
    <w:qFormat/>
    <w:rsid w:val="006A7891"/>
  </w:style>
  <w:style w:type="paragraph" w:customStyle="1" w:styleId="Bullet2">
    <w:name w:val="Bullet 2"/>
    <w:basedOn w:val="Bullet1"/>
    <w:locked/>
    <w:rsid w:val="002D7677"/>
    <w:pPr>
      <w:numPr>
        <w:numId w:val="29"/>
      </w:numPr>
      <w:tabs>
        <w:tab w:val="clear" w:pos="785"/>
        <w:tab w:val="left" w:pos="851"/>
      </w:tabs>
      <w:ind w:left="568" w:hanging="284"/>
    </w:pPr>
  </w:style>
  <w:style w:type="character" w:customStyle="1" w:styleId="NoSpacingChar">
    <w:name w:val="No Spacing Char"/>
    <w:link w:val="NoSpacing"/>
    <w:semiHidden/>
    <w:rsid w:val="006A7891"/>
    <w:rPr>
      <w:lang w:val="en-US" w:eastAsia="en-US"/>
    </w:rPr>
  </w:style>
  <w:style w:type="paragraph" w:customStyle="1" w:styleId="Table1X">
    <w:name w:val="Table 1.X"/>
    <w:next w:val="Normal"/>
    <w:semiHidden/>
    <w:qFormat/>
    <w:locked/>
    <w:rsid w:val="006A7891"/>
    <w:pPr>
      <w:numPr>
        <w:numId w:val="32"/>
      </w:numPr>
      <w:spacing w:before="240" w:after="120"/>
    </w:pPr>
    <w:rPr>
      <w:rFonts w:ascii="Public Sans" w:hAnsi="Public Sans"/>
      <w:bCs/>
      <w:i/>
      <w:color w:val="4F4F4F"/>
      <w:kern w:val="28"/>
      <w:sz w:val="22"/>
      <w:szCs w:val="22"/>
      <w:lang w:eastAsia="en-US"/>
    </w:rPr>
  </w:style>
  <w:style w:type="character" w:styleId="FootnoteReference">
    <w:name w:val="footnote reference"/>
    <w:semiHidden/>
    <w:rsid w:val="006A7891"/>
    <w:rPr>
      <w:vertAlign w:val="superscript"/>
    </w:rPr>
  </w:style>
  <w:style w:type="paragraph" w:styleId="FootnoteText">
    <w:name w:val="footnote text"/>
    <w:basedOn w:val="Normal"/>
    <w:semiHidden/>
    <w:rsid w:val="006A7891"/>
    <w:pPr>
      <w:spacing w:before="80" w:after="80"/>
      <w:ind w:left="709" w:hanging="142"/>
    </w:pPr>
    <w:rPr>
      <w:i/>
      <w:sz w:val="16"/>
    </w:rPr>
  </w:style>
  <w:style w:type="character" w:styleId="EndnoteReference">
    <w:name w:val="endnote reference"/>
    <w:semiHidden/>
    <w:rsid w:val="006A7891"/>
    <w:rPr>
      <w:i/>
      <w:sz w:val="16"/>
      <w:vertAlign w:val="superscript"/>
    </w:rPr>
  </w:style>
  <w:style w:type="paragraph" w:customStyle="1" w:styleId="21Heading2">
    <w:name w:val="2.1 Heading 2"/>
    <w:basedOn w:val="11Heading2"/>
    <w:next w:val="BodyText"/>
    <w:semiHidden/>
    <w:qFormat/>
    <w:locked/>
    <w:rsid w:val="006A7891"/>
    <w:pPr>
      <w:numPr>
        <w:numId w:val="8"/>
      </w:numPr>
    </w:pPr>
    <w:rPr>
      <w:b w:val="0"/>
    </w:rPr>
  </w:style>
  <w:style w:type="paragraph" w:customStyle="1" w:styleId="11Heading2">
    <w:name w:val="1.1 Heading 2"/>
    <w:basedOn w:val="Normal"/>
    <w:next w:val="BodyText"/>
    <w:semiHidden/>
    <w:qFormat/>
    <w:locked/>
    <w:rsid w:val="006A7891"/>
    <w:pPr>
      <w:numPr>
        <w:numId w:val="7"/>
      </w:numPr>
      <w:pBdr>
        <w:bottom w:val="single" w:sz="4" w:space="4" w:color="22272B"/>
      </w:pBdr>
      <w:spacing w:before="360" w:after="120"/>
    </w:pPr>
    <w:rPr>
      <w:rFonts w:ascii="Public Sans SemiBold" w:hAnsi="Public Sans SemiBold"/>
      <w:b/>
      <w:color w:val="22272B"/>
      <w:sz w:val="28"/>
      <w:lang w:val="en-AU"/>
    </w:rPr>
  </w:style>
  <w:style w:type="paragraph" w:customStyle="1" w:styleId="Chart1X">
    <w:name w:val="Chart 1.X"/>
    <w:basedOn w:val="Table1X"/>
    <w:next w:val="Normal"/>
    <w:semiHidden/>
    <w:locked/>
    <w:rsid w:val="006A7891"/>
    <w:pPr>
      <w:keepLines/>
      <w:numPr>
        <w:numId w:val="33"/>
      </w:numPr>
    </w:pPr>
  </w:style>
  <w:style w:type="character" w:customStyle="1" w:styleId="Heading2Char">
    <w:name w:val="Heading 2 Char"/>
    <w:link w:val="Heading2"/>
    <w:semiHidden/>
    <w:rsid w:val="006A7891"/>
    <w:rPr>
      <w:rFonts w:ascii="Arial Bold" w:hAnsi="Arial Bold"/>
      <w:b/>
      <w:color w:val="008EBA"/>
      <w:kern w:val="28"/>
      <w:sz w:val="24"/>
      <w:szCs w:val="36"/>
      <w:lang w:eastAsia="en-US"/>
    </w:rPr>
  </w:style>
  <w:style w:type="table" w:styleId="TableGrid">
    <w:name w:val="Table Grid"/>
    <w:basedOn w:val="TableNormal"/>
    <w:uiPriority w:val="39"/>
    <w:rsid w:val="006A7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6A7891"/>
    <w:rPr>
      <w:rFonts w:ascii="Public Sans SemiBold" w:hAnsi="Public Sans SemiBold"/>
      <w:b/>
      <w:color w:val="22272B"/>
      <w:kern w:val="28"/>
      <w:sz w:val="26"/>
      <w:szCs w:val="36"/>
      <w:lang w:eastAsia="en-US"/>
    </w:rPr>
  </w:style>
  <w:style w:type="character" w:customStyle="1" w:styleId="Bullet1Char">
    <w:name w:val="Bullet 1 Char"/>
    <w:link w:val="Bullet1"/>
    <w:rsid w:val="00B446FF"/>
    <w:rPr>
      <w:rFonts w:ascii="Public Sans" w:eastAsiaTheme="minorEastAsia" w:hAnsi="Public Sans" w:cs="Arial"/>
      <w:sz w:val="22"/>
      <w:szCs w:val="23"/>
    </w:rPr>
  </w:style>
  <w:style w:type="paragraph" w:customStyle="1" w:styleId="Box1XBoxHeading">
    <w:name w:val="Box 1.X: Box Heading"/>
    <w:basedOn w:val="Normal"/>
    <w:next w:val="Normal"/>
    <w:semiHidden/>
    <w:qFormat/>
    <w:locked/>
    <w:rsid w:val="006A7891"/>
    <w:pPr>
      <w:numPr>
        <w:numId w:val="20"/>
      </w:numPr>
      <w:spacing w:before="80" w:after="60" w:line="240" w:lineRule="atLeast"/>
    </w:pPr>
    <w:rPr>
      <w:rFonts w:ascii="Public Sans SemiBold" w:hAnsi="Public Sans SemiBold"/>
      <w:b/>
      <w:color w:val="002664"/>
      <w:sz w:val="22"/>
      <w:lang w:val="en-AU"/>
    </w:rPr>
  </w:style>
  <w:style w:type="paragraph" w:customStyle="1" w:styleId="Box3XBoxHeading">
    <w:name w:val="Box 3.X: Box Heading"/>
    <w:basedOn w:val="Box1XBoxHeading"/>
    <w:next w:val="Normal"/>
    <w:semiHidden/>
    <w:qFormat/>
    <w:locked/>
    <w:rsid w:val="006A7891"/>
    <w:pPr>
      <w:numPr>
        <w:numId w:val="22"/>
      </w:numPr>
    </w:pPr>
  </w:style>
  <w:style w:type="paragraph" w:customStyle="1" w:styleId="Box6XBoxHeading">
    <w:name w:val="Box 6.X: Box Heading"/>
    <w:basedOn w:val="Box1XBoxHeading"/>
    <w:autoRedefine/>
    <w:semiHidden/>
    <w:qFormat/>
    <w:locked/>
    <w:rsid w:val="006A7891"/>
    <w:pPr>
      <w:keepLines/>
      <w:widowControl w:val="0"/>
      <w:numPr>
        <w:numId w:val="25"/>
      </w:numPr>
    </w:pPr>
    <w:rPr>
      <w:rFonts w:eastAsia="Arial Unicode MS" w:cs="Arial"/>
      <w:bCs/>
      <w:szCs w:val="17"/>
      <w:lang w:eastAsia="en-AU"/>
    </w:rPr>
  </w:style>
  <w:style w:type="paragraph" w:customStyle="1" w:styleId="Box2XBoxHeading">
    <w:name w:val="Box 2.X: Box Heading"/>
    <w:basedOn w:val="Box1XBoxHeading"/>
    <w:next w:val="Normal"/>
    <w:semiHidden/>
    <w:qFormat/>
    <w:locked/>
    <w:rsid w:val="006A7891"/>
    <w:pPr>
      <w:numPr>
        <w:numId w:val="21"/>
      </w:numPr>
    </w:pPr>
  </w:style>
  <w:style w:type="paragraph" w:customStyle="1" w:styleId="Chart2X">
    <w:name w:val="Chart 2.X"/>
    <w:basedOn w:val="Chart1X"/>
    <w:next w:val="Normal"/>
    <w:semiHidden/>
    <w:locked/>
    <w:rsid w:val="006A7891"/>
    <w:pPr>
      <w:numPr>
        <w:numId w:val="34"/>
      </w:numPr>
    </w:pPr>
    <w:rPr>
      <w:color w:val="57514D"/>
    </w:rPr>
  </w:style>
  <w:style w:type="paragraph" w:customStyle="1" w:styleId="Table2X">
    <w:name w:val="Table 2.X"/>
    <w:basedOn w:val="Table1X"/>
    <w:next w:val="Normal"/>
    <w:semiHidden/>
    <w:qFormat/>
    <w:locked/>
    <w:rsid w:val="006A7891"/>
    <w:pPr>
      <w:numPr>
        <w:numId w:val="72"/>
      </w:numPr>
    </w:pPr>
    <w:rPr>
      <w:lang w:val="fr-FR"/>
    </w:rPr>
  </w:style>
  <w:style w:type="paragraph" w:customStyle="1" w:styleId="Table3X">
    <w:name w:val="Table 3.X"/>
    <w:basedOn w:val="Table1X"/>
    <w:next w:val="Normal"/>
    <w:semiHidden/>
    <w:locked/>
    <w:rsid w:val="006A7891"/>
    <w:pPr>
      <w:widowControl w:val="0"/>
      <w:numPr>
        <w:numId w:val="73"/>
      </w:numPr>
    </w:pPr>
    <w:rPr>
      <w:bCs w:val="0"/>
    </w:rPr>
  </w:style>
  <w:style w:type="paragraph" w:customStyle="1" w:styleId="TableFX">
    <w:name w:val="Table F.X"/>
    <w:basedOn w:val="TableA1X"/>
    <w:next w:val="Normal"/>
    <w:semiHidden/>
    <w:locked/>
    <w:rsid w:val="006A7891"/>
    <w:pPr>
      <w:widowControl w:val="0"/>
      <w:numPr>
        <w:numId w:val="86"/>
      </w:numPr>
    </w:pPr>
    <w:rPr>
      <w:bCs w:val="0"/>
      <w:color w:val="57514D"/>
    </w:rPr>
  </w:style>
  <w:style w:type="paragraph" w:customStyle="1" w:styleId="31Heading2">
    <w:name w:val="3.1 Heading 2"/>
    <w:basedOn w:val="11Heading2"/>
    <w:next w:val="BodyText"/>
    <w:semiHidden/>
    <w:qFormat/>
    <w:locked/>
    <w:rsid w:val="006A7891"/>
    <w:pPr>
      <w:numPr>
        <w:numId w:val="9"/>
      </w:numPr>
    </w:pPr>
    <w:rPr>
      <w:b w:val="0"/>
    </w:rPr>
  </w:style>
  <w:style w:type="paragraph" w:customStyle="1" w:styleId="Box71BoxHeading">
    <w:name w:val="Box 7.1 Box Heading"/>
    <w:basedOn w:val="Normal"/>
    <w:autoRedefine/>
    <w:semiHidden/>
    <w:rsid w:val="006A7891"/>
    <w:pPr>
      <w:keepLines/>
      <w:widowControl w:val="0"/>
      <w:numPr>
        <w:numId w:val="26"/>
      </w:numPr>
      <w:tabs>
        <w:tab w:val="left" w:pos="1134"/>
      </w:tabs>
      <w:spacing w:before="80" w:after="60" w:line="240" w:lineRule="atLeast"/>
      <w:outlineLvl w:val="2"/>
    </w:pPr>
    <w:rPr>
      <w:rFonts w:ascii="Arial Bold" w:hAnsi="Arial Bold" w:cs="Arial"/>
      <w:b/>
      <w:sz w:val="23"/>
    </w:rPr>
  </w:style>
  <w:style w:type="paragraph" w:customStyle="1" w:styleId="Chart3X">
    <w:name w:val="Chart 3.X"/>
    <w:basedOn w:val="Chart1X"/>
    <w:next w:val="Normal"/>
    <w:semiHidden/>
    <w:qFormat/>
    <w:locked/>
    <w:rsid w:val="006A7891"/>
    <w:pPr>
      <w:numPr>
        <w:numId w:val="35"/>
      </w:numPr>
    </w:pPr>
  </w:style>
  <w:style w:type="paragraph" w:customStyle="1" w:styleId="41Heading2">
    <w:name w:val="4.1 Heading 2"/>
    <w:basedOn w:val="11Heading2"/>
    <w:next w:val="BodyText"/>
    <w:semiHidden/>
    <w:qFormat/>
    <w:locked/>
    <w:rsid w:val="006A7891"/>
    <w:pPr>
      <w:numPr>
        <w:numId w:val="10"/>
      </w:numPr>
    </w:pPr>
    <w:rPr>
      <w:b w:val="0"/>
    </w:rPr>
  </w:style>
  <w:style w:type="paragraph" w:customStyle="1" w:styleId="Box4XBoxHeading">
    <w:name w:val="Box 4.X Box Heading"/>
    <w:basedOn w:val="Box1XBoxHeading"/>
    <w:next w:val="Normal"/>
    <w:autoRedefine/>
    <w:semiHidden/>
    <w:locked/>
    <w:rsid w:val="006A7891"/>
    <w:pPr>
      <w:numPr>
        <w:numId w:val="23"/>
      </w:numPr>
    </w:pPr>
    <w:rPr>
      <w:rFonts w:cs="Arial"/>
      <w:lang w:eastAsia="en-AU"/>
    </w:rPr>
  </w:style>
  <w:style w:type="paragraph" w:customStyle="1" w:styleId="Chart4X">
    <w:name w:val="Chart 4.X"/>
    <w:basedOn w:val="Chart1X"/>
    <w:next w:val="Normal"/>
    <w:semiHidden/>
    <w:locked/>
    <w:rsid w:val="006A7891"/>
    <w:pPr>
      <w:numPr>
        <w:numId w:val="36"/>
      </w:numPr>
    </w:pPr>
  </w:style>
  <w:style w:type="paragraph" w:customStyle="1" w:styleId="Table4X">
    <w:name w:val="Table 4.X"/>
    <w:basedOn w:val="Table1X"/>
    <w:next w:val="Normal"/>
    <w:semiHidden/>
    <w:locked/>
    <w:rsid w:val="006A7891"/>
    <w:pPr>
      <w:widowControl w:val="0"/>
      <w:numPr>
        <w:numId w:val="74"/>
      </w:numPr>
    </w:pPr>
    <w:rPr>
      <w:bCs w:val="0"/>
    </w:rPr>
  </w:style>
  <w:style w:type="paragraph" w:customStyle="1" w:styleId="51Heading2">
    <w:name w:val="5.1 Heading 2"/>
    <w:basedOn w:val="11Heading2"/>
    <w:next w:val="BodyText"/>
    <w:semiHidden/>
    <w:qFormat/>
    <w:locked/>
    <w:rsid w:val="006A7891"/>
    <w:pPr>
      <w:numPr>
        <w:numId w:val="11"/>
      </w:numPr>
    </w:pPr>
    <w:rPr>
      <w:b w:val="0"/>
    </w:rPr>
  </w:style>
  <w:style w:type="paragraph" w:customStyle="1" w:styleId="Box5XBoxHeading">
    <w:name w:val="Box 5.X: Box Heading"/>
    <w:basedOn w:val="Box1XBoxHeading"/>
    <w:next w:val="Normal"/>
    <w:semiHidden/>
    <w:qFormat/>
    <w:locked/>
    <w:rsid w:val="006A7891"/>
    <w:pPr>
      <w:numPr>
        <w:numId w:val="24"/>
      </w:numPr>
    </w:pPr>
  </w:style>
  <w:style w:type="paragraph" w:customStyle="1" w:styleId="Chart5X">
    <w:name w:val="Chart 5.X"/>
    <w:basedOn w:val="Chart1X"/>
    <w:next w:val="Normal"/>
    <w:semiHidden/>
    <w:locked/>
    <w:rsid w:val="006A7891"/>
    <w:pPr>
      <w:numPr>
        <w:numId w:val="37"/>
      </w:numPr>
    </w:pPr>
  </w:style>
  <w:style w:type="paragraph" w:customStyle="1" w:styleId="Table5X">
    <w:name w:val="Table 5.X"/>
    <w:basedOn w:val="Table1X"/>
    <w:next w:val="Normal"/>
    <w:semiHidden/>
    <w:locked/>
    <w:rsid w:val="006A7891"/>
    <w:pPr>
      <w:widowControl w:val="0"/>
      <w:numPr>
        <w:numId w:val="75"/>
      </w:numPr>
    </w:pPr>
    <w:rPr>
      <w:bCs w:val="0"/>
    </w:rPr>
  </w:style>
  <w:style w:type="paragraph" w:customStyle="1" w:styleId="Chart6X">
    <w:name w:val="Chart 6.X"/>
    <w:basedOn w:val="Chart1X"/>
    <w:next w:val="Normal"/>
    <w:semiHidden/>
    <w:qFormat/>
    <w:locked/>
    <w:rsid w:val="006A7891"/>
    <w:pPr>
      <w:numPr>
        <w:numId w:val="38"/>
      </w:numPr>
    </w:pPr>
  </w:style>
  <w:style w:type="paragraph" w:customStyle="1" w:styleId="Table6X">
    <w:name w:val="Table 6.X"/>
    <w:basedOn w:val="Table1X"/>
    <w:next w:val="Normal"/>
    <w:semiHidden/>
    <w:qFormat/>
    <w:locked/>
    <w:rsid w:val="006A7891"/>
    <w:pPr>
      <w:widowControl w:val="0"/>
      <w:numPr>
        <w:numId w:val="76"/>
      </w:numPr>
    </w:pPr>
    <w:rPr>
      <w:bCs w:val="0"/>
    </w:rPr>
  </w:style>
  <w:style w:type="paragraph" w:customStyle="1" w:styleId="71Heading2">
    <w:name w:val="7.1 Heading 2"/>
    <w:basedOn w:val="11Heading2"/>
    <w:next w:val="BodyText"/>
    <w:semiHidden/>
    <w:qFormat/>
    <w:locked/>
    <w:rsid w:val="006A7891"/>
    <w:pPr>
      <w:numPr>
        <w:numId w:val="13"/>
      </w:numPr>
    </w:pPr>
    <w:rPr>
      <w:b w:val="0"/>
    </w:rPr>
  </w:style>
  <w:style w:type="paragraph" w:customStyle="1" w:styleId="81Heading2">
    <w:name w:val="8.1 Heading 2"/>
    <w:basedOn w:val="11Heading2"/>
    <w:next w:val="BodyText"/>
    <w:semiHidden/>
    <w:qFormat/>
    <w:locked/>
    <w:rsid w:val="006A7891"/>
    <w:pPr>
      <w:numPr>
        <w:numId w:val="14"/>
      </w:numPr>
    </w:pPr>
  </w:style>
  <w:style w:type="paragraph" w:customStyle="1" w:styleId="Chart7X">
    <w:name w:val="Chart 7.X"/>
    <w:basedOn w:val="Chart1X"/>
    <w:next w:val="Normal"/>
    <w:semiHidden/>
    <w:qFormat/>
    <w:locked/>
    <w:rsid w:val="006A7891"/>
    <w:pPr>
      <w:numPr>
        <w:numId w:val="39"/>
      </w:numPr>
    </w:pPr>
  </w:style>
  <w:style w:type="paragraph" w:customStyle="1" w:styleId="Box7XBoxHeading">
    <w:name w:val="Box 7.X: Box Heading"/>
    <w:basedOn w:val="Box1XBoxHeading"/>
    <w:next w:val="Normal"/>
    <w:semiHidden/>
    <w:qFormat/>
    <w:locked/>
    <w:rsid w:val="006A7891"/>
    <w:pPr>
      <w:numPr>
        <w:numId w:val="27"/>
      </w:numPr>
    </w:pPr>
  </w:style>
  <w:style w:type="paragraph" w:customStyle="1" w:styleId="Table7X">
    <w:name w:val="Table 7.X"/>
    <w:basedOn w:val="Table1X"/>
    <w:next w:val="Normal"/>
    <w:semiHidden/>
    <w:qFormat/>
    <w:locked/>
    <w:rsid w:val="006A7891"/>
    <w:pPr>
      <w:numPr>
        <w:numId w:val="77"/>
      </w:numPr>
    </w:pPr>
  </w:style>
  <w:style w:type="paragraph" w:customStyle="1" w:styleId="ChartEX">
    <w:name w:val="Chart E.X"/>
    <w:basedOn w:val="ChartA1X"/>
    <w:next w:val="Normal"/>
    <w:semiHidden/>
    <w:qFormat/>
    <w:locked/>
    <w:rsid w:val="006A7891"/>
    <w:pPr>
      <w:numPr>
        <w:numId w:val="48"/>
      </w:numPr>
    </w:pPr>
  </w:style>
  <w:style w:type="paragraph" w:customStyle="1" w:styleId="ChartA2X">
    <w:name w:val="Chart A2.X"/>
    <w:basedOn w:val="ChartA1X"/>
    <w:next w:val="Normal"/>
    <w:semiHidden/>
    <w:qFormat/>
    <w:locked/>
    <w:rsid w:val="006A7891"/>
    <w:pPr>
      <w:numPr>
        <w:numId w:val="41"/>
      </w:numPr>
    </w:pPr>
  </w:style>
  <w:style w:type="paragraph" w:customStyle="1" w:styleId="A22Heading2">
    <w:name w:val="A2.2 Heading 2"/>
    <w:basedOn w:val="11Heading2"/>
    <w:next w:val="BodyText"/>
    <w:semiHidden/>
    <w:qFormat/>
    <w:locked/>
    <w:rsid w:val="006A7891"/>
    <w:pPr>
      <w:numPr>
        <w:numId w:val="16"/>
      </w:numPr>
    </w:pPr>
    <w:rPr>
      <w:b w:val="0"/>
    </w:rPr>
  </w:style>
  <w:style w:type="paragraph" w:customStyle="1" w:styleId="TableA2X">
    <w:name w:val="Table A2.X"/>
    <w:basedOn w:val="TableA1X"/>
    <w:next w:val="Normal"/>
    <w:semiHidden/>
    <w:locked/>
    <w:rsid w:val="006A7891"/>
    <w:pPr>
      <w:keepNext/>
      <w:keepLines/>
      <w:widowControl w:val="0"/>
      <w:numPr>
        <w:numId w:val="80"/>
      </w:numPr>
      <w:autoSpaceDE w:val="0"/>
      <w:autoSpaceDN w:val="0"/>
    </w:pPr>
    <w:rPr>
      <w:rFonts w:cs="Arial"/>
      <w:color w:val="57514D"/>
      <w:lang w:eastAsia="en-AU"/>
    </w:rPr>
  </w:style>
  <w:style w:type="paragraph" w:customStyle="1" w:styleId="TableA3X">
    <w:name w:val="Table A3.X"/>
    <w:basedOn w:val="TableA1X"/>
    <w:next w:val="Normal"/>
    <w:semiHidden/>
    <w:qFormat/>
    <w:locked/>
    <w:rsid w:val="006A7891"/>
    <w:pPr>
      <w:widowControl w:val="0"/>
      <w:numPr>
        <w:numId w:val="81"/>
      </w:numPr>
    </w:pPr>
    <w:rPr>
      <w:bCs w:val="0"/>
    </w:rPr>
  </w:style>
  <w:style w:type="paragraph" w:customStyle="1" w:styleId="A11Heading2">
    <w:name w:val="A1.1 Heading 2"/>
    <w:basedOn w:val="11Heading2"/>
    <w:next w:val="BodyText"/>
    <w:semiHidden/>
    <w:qFormat/>
    <w:locked/>
    <w:rsid w:val="006A7891"/>
    <w:pPr>
      <w:numPr>
        <w:numId w:val="15"/>
      </w:numPr>
    </w:pPr>
    <w:rPr>
      <w:rFonts w:eastAsia="Tahoma" w:cs="Tahoma"/>
      <w:b w:val="0"/>
    </w:rPr>
  </w:style>
  <w:style w:type="paragraph" w:customStyle="1" w:styleId="B1Heading2">
    <w:name w:val="B.1 Heading 2"/>
    <w:basedOn w:val="11Heading2"/>
    <w:semiHidden/>
    <w:qFormat/>
    <w:locked/>
    <w:rsid w:val="006A7891"/>
    <w:pPr>
      <w:numPr>
        <w:numId w:val="19"/>
      </w:numPr>
    </w:pPr>
    <w:rPr>
      <w:rFonts w:eastAsia="Tahoma" w:cs="Tahoma"/>
      <w:b w:val="0"/>
    </w:rPr>
  </w:style>
  <w:style w:type="paragraph" w:customStyle="1" w:styleId="ChartA1X">
    <w:name w:val="Chart A1.X"/>
    <w:basedOn w:val="Chart1X"/>
    <w:next w:val="Normal"/>
    <w:semiHidden/>
    <w:qFormat/>
    <w:locked/>
    <w:rsid w:val="006A7891"/>
    <w:pPr>
      <w:numPr>
        <w:numId w:val="40"/>
      </w:numPr>
    </w:pPr>
    <w:rPr>
      <w:rFonts w:eastAsia="Tahoma" w:cs="Tahoma"/>
    </w:rPr>
  </w:style>
  <w:style w:type="paragraph" w:customStyle="1" w:styleId="ChartBX">
    <w:name w:val="Chart B.X"/>
    <w:basedOn w:val="ChartA1X"/>
    <w:next w:val="Normal"/>
    <w:semiHidden/>
    <w:qFormat/>
    <w:locked/>
    <w:rsid w:val="006A7891"/>
    <w:pPr>
      <w:numPr>
        <w:numId w:val="45"/>
      </w:numPr>
    </w:pPr>
  </w:style>
  <w:style w:type="paragraph" w:customStyle="1" w:styleId="ChartCX">
    <w:name w:val="Chart C.X"/>
    <w:basedOn w:val="ChartA1X"/>
    <w:next w:val="Normal"/>
    <w:qFormat/>
    <w:locked/>
    <w:rsid w:val="006A7891"/>
    <w:pPr>
      <w:numPr>
        <w:numId w:val="46"/>
      </w:numPr>
    </w:pPr>
  </w:style>
  <w:style w:type="paragraph" w:customStyle="1" w:styleId="ChartDX">
    <w:name w:val="Chart D.X"/>
    <w:basedOn w:val="ChartA1X"/>
    <w:next w:val="Normal"/>
    <w:semiHidden/>
    <w:qFormat/>
    <w:locked/>
    <w:rsid w:val="006A7891"/>
    <w:pPr>
      <w:numPr>
        <w:numId w:val="47"/>
      </w:numPr>
    </w:pPr>
  </w:style>
  <w:style w:type="paragraph" w:customStyle="1" w:styleId="TableA1X">
    <w:name w:val="Table A1.X"/>
    <w:basedOn w:val="Table1X"/>
    <w:next w:val="Normal"/>
    <w:semiHidden/>
    <w:qFormat/>
    <w:locked/>
    <w:rsid w:val="006A7891"/>
    <w:pPr>
      <w:numPr>
        <w:numId w:val="79"/>
      </w:numPr>
    </w:pPr>
    <w:rPr>
      <w:rFonts w:eastAsia="Tahoma" w:cs="Tahoma"/>
    </w:rPr>
  </w:style>
  <w:style w:type="paragraph" w:customStyle="1" w:styleId="TableBX">
    <w:name w:val="Table B.X"/>
    <w:basedOn w:val="TableA1X"/>
    <w:next w:val="Normal"/>
    <w:semiHidden/>
    <w:qFormat/>
    <w:locked/>
    <w:rsid w:val="006A7891"/>
    <w:pPr>
      <w:numPr>
        <w:numId w:val="82"/>
      </w:numPr>
    </w:pPr>
  </w:style>
  <w:style w:type="paragraph" w:customStyle="1" w:styleId="TableCX">
    <w:name w:val="Table C.X"/>
    <w:basedOn w:val="TableA1X"/>
    <w:next w:val="Normal"/>
    <w:qFormat/>
    <w:locked/>
    <w:rsid w:val="002D7677"/>
    <w:pPr>
      <w:numPr>
        <w:numId w:val="83"/>
      </w:numPr>
      <w:ind w:left="1418" w:hanging="1418"/>
    </w:pPr>
  </w:style>
  <w:style w:type="paragraph" w:customStyle="1" w:styleId="TableDX">
    <w:name w:val="Table D.X"/>
    <w:basedOn w:val="TableA1X"/>
    <w:next w:val="Normal"/>
    <w:semiHidden/>
    <w:qFormat/>
    <w:locked/>
    <w:rsid w:val="006A7891"/>
    <w:pPr>
      <w:numPr>
        <w:numId w:val="84"/>
      </w:numPr>
    </w:pPr>
  </w:style>
  <w:style w:type="paragraph" w:customStyle="1" w:styleId="ChartA3X">
    <w:name w:val="Chart A3.X"/>
    <w:basedOn w:val="ChartA1X"/>
    <w:next w:val="Normal"/>
    <w:semiHidden/>
    <w:qFormat/>
    <w:locked/>
    <w:rsid w:val="006A7891"/>
    <w:pPr>
      <w:numPr>
        <w:numId w:val="42"/>
      </w:numPr>
    </w:pPr>
  </w:style>
  <w:style w:type="paragraph" w:customStyle="1" w:styleId="ChartFX">
    <w:name w:val="Chart F.X"/>
    <w:basedOn w:val="ChartA1X"/>
    <w:next w:val="Normal"/>
    <w:semiHidden/>
    <w:locked/>
    <w:rsid w:val="006A7891"/>
    <w:pPr>
      <w:numPr>
        <w:numId w:val="49"/>
      </w:numPr>
    </w:pPr>
  </w:style>
  <w:style w:type="paragraph" w:customStyle="1" w:styleId="61Heading2">
    <w:name w:val="6.1 Heading 2"/>
    <w:basedOn w:val="11Heading2"/>
    <w:next w:val="BodyText"/>
    <w:semiHidden/>
    <w:qFormat/>
    <w:locked/>
    <w:rsid w:val="006A7891"/>
    <w:pPr>
      <w:numPr>
        <w:numId w:val="12"/>
      </w:numPr>
    </w:pPr>
  </w:style>
  <w:style w:type="paragraph" w:customStyle="1" w:styleId="A31Heading2">
    <w:name w:val="A3.1 Heading 2"/>
    <w:basedOn w:val="11Heading2"/>
    <w:semiHidden/>
    <w:qFormat/>
    <w:locked/>
    <w:rsid w:val="006A7891"/>
    <w:pPr>
      <w:numPr>
        <w:numId w:val="17"/>
      </w:numPr>
    </w:pPr>
  </w:style>
  <w:style w:type="paragraph" w:customStyle="1" w:styleId="A41Heading2">
    <w:name w:val="A4.1 Heading 2"/>
    <w:basedOn w:val="11Heading2"/>
    <w:next w:val="BodyText"/>
    <w:semiHidden/>
    <w:qFormat/>
    <w:locked/>
    <w:rsid w:val="006A7891"/>
    <w:pPr>
      <w:numPr>
        <w:numId w:val="18"/>
      </w:numPr>
    </w:pPr>
  </w:style>
  <w:style w:type="paragraph" w:customStyle="1" w:styleId="CXHeading2">
    <w:name w:val="C.X Heading 2"/>
    <w:basedOn w:val="11Heading2"/>
    <w:next w:val="BodyText"/>
    <w:qFormat/>
    <w:locked/>
    <w:rsid w:val="00C40479"/>
    <w:pPr>
      <w:numPr>
        <w:numId w:val="31"/>
      </w:numPr>
      <w:ind w:left="851" w:hanging="851"/>
    </w:pPr>
  </w:style>
  <w:style w:type="paragraph" w:customStyle="1" w:styleId="D1Heading2">
    <w:name w:val="D.1 Heading 2"/>
    <w:basedOn w:val="11Heading2"/>
    <w:next w:val="BodyText"/>
    <w:semiHidden/>
    <w:qFormat/>
    <w:locked/>
    <w:rsid w:val="006A7891"/>
    <w:pPr>
      <w:numPr>
        <w:numId w:val="50"/>
      </w:numPr>
    </w:pPr>
  </w:style>
  <w:style w:type="paragraph" w:customStyle="1" w:styleId="E1Heading2">
    <w:name w:val="E.1 Heading 2"/>
    <w:basedOn w:val="11Heading2"/>
    <w:next w:val="BodyText"/>
    <w:semiHidden/>
    <w:qFormat/>
    <w:locked/>
    <w:rsid w:val="006A7891"/>
    <w:pPr>
      <w:numPr>
        <w:numId w:val="51"/>
      </w:numPr>
    </w:pPr>
  </w:style>
  <w:style w:type="paragraph" w:customStyle="1" w:styleId="F1Heading2">
    <w:name w:val="F.1 Heading 2"/>
    <w:basedOn w:val="11Heading2"/>
    <w:semiHidden/>
    <w:qFormat/>
    <w:locked/>
    <w:rsid w:val="006A7891"/>
    <w:pPr>
      <w:numPr>
        <w:numId w:val="52"/>
      </w:numPr>
    </w:pPr>
  </w:style>
  <w:style w:type="paragraph" w:customStyle="1" w:styleId="Table8X">
    <w:name w:val="Table 8.X"/>
    <w:basedOn w:val="Table1X"/>
    <w:next w:val="Normal"/>
    <w:semiHidden/>
    <w:qFormat/>
    <w:locked/>
    <w:rsid w:val="006A7891"/>
    <w:pPr>
      <w:numPr>
        <w:numId w:val="78"/>
      </w:numPr>
    </w:pPr>
  </w:style>
  <w:style w:type="paragraph" w:customStyle="1" w:styleId="ChartA4X">
    <w:name w:val="Chart A4.X"/>
    <w:basedOn w:val="ChartA1X"/>
    <w:next w:val="Normal"/>
    <w:semiHidden/>
    <w:qFormat/>
    <w:locked/>
    <w:rsid w:val="006A7891"/>
    <w:pPr>
      <w:numPr>
        <w:numId w:val="43"/>
      </w:numPr>
    </w:pPr>
  </w:style>
  <w:style w:type="paragraph" w:customStyle="1" w:styleId="ChartA5X">
    <w:name w:val="Chart A5.X"/>
    <w:basedOn w:val="ChartA1X"/>
    <w:next w:val="Normal"/>
    <w:semiHidden/>
    <w:qFormat/>
    <w:locked/>
    <w:rsid w:val="006A7891"/>
    <w:pPr>
      <w:numPr>
        <w:numId w:val="44"/>
      </w:numPr>
    </w:pPr>
  </w:style>
  <w:style w:type="paragraph" w:customStyle="1" w:styleId="Box8XBoxHeading">
    <w:name w:val="Box 8.X: Box Heading"/>
    <w:basedOn w:val="Box1XBoxHeading"/>
    <w:next w:val="Normal"/>
    <w:semiHidden/>
    <w:qFormat/>
    <w:locked/>
    <w:rsid w:val="006A7891"/>
    <w:pPr>
      <w:numPr>
        <w:numId w:val="28"/>
      </w:numPr>
    </w:pPr>
  </w:style>
  <w:style w:type="paragraph" w:styleId="Header">
    <w:name w:val="header"/>
    <w:basedOn w:val="Normal"/>
    <w:link w:val="HeaderChar"/>
    <w:uiPriority w:val="99"/>
    <w:semiHidden/>
    <w:rsid w:val="006A7891"/>
    <w:pPr>
      <w:tabs>
        <w:tab w:val="center" w:pos="4513"/>
        <w:tab w:val="right" w:pos="9026"/>
      </w:tabs>
    </w:pPr>
  </w:style>
  <w:style w:type="character" w:customStyle="1" w:styleId="HeaderChar">
    <w:name w:val="Header Char"/>
    <w:basedOn w:val="DefaultParagraphFont"/>
    <w:link w:val="Header"/>
    <w:uiPriority w:val="99"/>
    <w:semiHidden/>
    <w:rsid w:val="006A7891"/>
    <w:rPr>
      <w:lang w:val="en-US" w:eastAsia="en-US"/>
    </w:rPr>
  </w:style>
  <w:style w:type="paragraph" w:styleId="Footer">
    <w:name w:val="footer"/>
    <w:basedOn w:val="Normal"/>
    <w:link w:val="FooterChar"/>
    <w:semiHidden/>
    <w:rsid w:val="006A7891"/>
    <w:pPr>
      <w:tabs>
        <w:tab w:val="center" w:pos="4513"/>
        <w:tab w:val="right" w:pos="9026"/>
      </w:tabs>
    </w:pPr>
  </w:style>
  <w:style w:type="character" w:customStyle="1" w:styleId="FooterChar">
    <w:name w:val="Footer Char"/>
    <w:basedOn w:val="DefaultParagraphFont"/>
    <w:link w:val="Footer"/>
    <w:semiHidden/>
    <w:rsid w:val="006A7891"/>
    <w:rPr>
      <w:lang w:val="en-US" w:eastAsia="en-US"/>
    </w:rPr>
  </w:style>
  <w:style w:type="table" w:customStyle="1" w:styleId="Focusbox">
    <w:name w:val="Focus box"/>
    <w:basedOn w:val="TableNormal"/>
    <w:uiPriority w:val="99"/>
    <w:locked/>
    <w:rsid w:val="006A7891"/>
    <w:rPr>
      <w:rFonts w:ascii="Arial" w:hAnsi="Arial"/>
      <w:sz w:val="23"/>
    </w:rPr>
    <w:tblPr/>
    <w:tcPr>
      <w:shd w:val="pct5" w:color="auto" w:fill="auto"/>
    </w:tcPr>
  </w:style>
  <w:style w:type="paragraph" w:customStyle="1" w:styleId="Source">
    <w:name w:val="Source"/>
    <w:basedOn w:val="Normal"/>
    <w:next w:val="BodyText"/>
    <w:qFormat/>
    <w:rsid w:val="006A7891"/>
    <w:pPr>
      <w:widowControl w:val="0"/>
    </w:pPr>
    <w:rPr>
      <w:rFonts w:ascii="Public Sans" w:hAnsi="Public Sans" w:cs="Arial"/>
      <w:i/>
      <w:noProof/>
      <w:color w:val="4F4F4F"/>
      <w:sz w:val="17"/>
      <w:szCs w:val="17"/>
      <w:lang w:eastAsia="en-AU"/>
    </w:rPr>
  </w:style>
  <w:style w:type="character" w:customStyle="1" w:styleId="BodyTextChar">
    <w:name w:val="Body Text Char"/>
    <w:basedOn w:val="DefaultParagraphFont"/>
    <w:link w:val="BodyText"/>
    <w:rsid w:val="0060253C"/>
    <w:rPr>
      <w:rFonts w:ascii="Public Sans" w:hAnsi="Public Sans" w:cs="Arial"/>
      <w:sz w:val="22"/>
      <w:lang w:eastAsia="en-US"/>
    </w:rPr>
  </w:style>
  <w:style w:type="paragraph" w:customStyle="1" w:styleId="BoxCXBoxHeading">
    <w:name w:val="Box C.X: Box Heading"/>
    <w:basedOn w:val="Box1XBoxHeading"/>
    <w:next w:val="Normal"/>
    <w:qFormat/>
    <w:rsid w:val="00377259"/>
    <w:pPr>
      <w:numPr>
        <w:numId w:val="87"/>
      </w:numPr>
      <w:ind w:left="1134" w:hanging="1134"/>
    </w:pPr>
  </w:style>
  <w:style w:type="numbering" w:customStyle="1" w:styleId="BulletPoints">
    <w:name w:val="Bullet Points"/>
    <w:uiPriority w:val="99"/>
    <w:rsid w:val="00DA3DA9"/>
  </w:style>
  <w:style w:type="paragraph" w:styleId="ListParagraph">
    <w:name w:val="List Paragraph"/>
    <w:basedOn w:val="Normal"/>
    <w:link w:val="ListParagraphChar"/>
    <w:uiPriority w:val="34"/>
    <w:qFormat/>
    <w:rsid w:val="00F92EB1"/>
    <w:pPr>
      <w:ind w:left="720"/>
      <w:contextualSpacing/>
    </w:pPr>
  </w:style>
  <w:style w:type="table" w:customStyle="1" w:styleId="TableGrid1">
    <w:name w:val="TableGrid1"/>
    <w:rsid w:val="00F92EB1"/>
    <w:rPr>
      <w:rFonts w:asciiTheme="minorHAnsi" w:hAnsiTheme="minorHAnsi" w:cstheme="minorBidi"/>
      <w:sz w:val="22"/>
      <w:szCs w:val="22"/>
    </w:rPr>
    <w:tblPr>
      <w:tblCellMar>
        <w:top w:w="0" w:type="dxa"/>
        <w:left w:w="0" w:type="dxa"/>
        <w:bottom w:w="0" w:type="dxa"/>
        <w:right w:w="0" w:type="dxa"/>
      </w:tblCellMar>
    </w:tblPr>
  </w:style>
  <w:style w:type="table" w:customStyle="1" w:styleId="TableGrid0">
    <w:name w:val="Table Grid0"/>
    <w:basedOn w:val="TableNormal"/>
    <w:uiPriority w:val="39"/>
    <w:rsid w:val="00F92EB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semiHidden/>
    <w:locked/>
    <w:rsid w:val="006201D8"/>
    <w:rPr>
      <w:lang w:val="en-US" w:eastAsia="en-US"/>
    </w:rPr>
  </w:style>
  <w:style w:type="paragraph" w:customStyle="1" w:styleId="FigureCX">
    <w:name w:val="Figure C.X"/>
    <w:basedOn w:val="Figure1X"/>
    <w:next w:val="Normal"/>
    <w:qFormat/>
    <w:rsid w:val="006A7891"/>
    <w:pPr>
      <w:numPr>
        <w:numId w:val="67"/>
      </w:numPr>
    </w:pPr>
  </w:style>
  <w:style w:type="paragraph" w:customStyle="1" w:styleId="Footnotestyle">
    <w:name w:val="Footnote style"/>
    <w:basedOn w:val="Normal"/>
    <w:next w:val="Normal"/>
    <w:qFormat/>
    <w:rsid w:val="006A7891"/>
    <w:pPr>
      <w:spacing w:before="40" w:after="40"/>
      <w:ind w:left="709" w:hanging="284"/>
    </w:pPr>
    <w:rPr>
      <w:rFonts w:ascii="Public Sans" w:hAnsi="Public Sans"/>
      <w:sz w:val="16"/>
    </w:rPr>
  </w:style>
  <w:style w:type="paragraph" w:styleId="ListBullet">
    <w:name w:val="List Bullet"/>
    <w:basedOn w:val="Normal"/>
    <w:uiPriority w:val="99"/>
    <w:semiHidden/>
    <w:unhideWhenUsed/>
    <w:rsid w:val="001B43BB"/>
    <w:pPr>
      <w:numPr>
        <w:numId w:val="5"/>
      </w:numPr>
      <w:spacing w:after="160" w:line="252" w:lineRule="auto"/>
      <w:contextualSpacing/>
    </w:pPr>
    <w:rPr>
      <w:rFonts w:ascii="Calibri" w:eastAsiaTheme="minorHAnsi" w:hAnsi="Calibri" w:cs="Calibri"/>
      <w:sz w:val="22"/>
      <w:szCs w:val="22"/>
      <w:lang w:val="en-AU"/>
    </w:rPr>
  </w:style>
  <w:style w:type="paragraph" w:styleId="Revision">
    <w:name w:val="Revision"/>
    <w:hidden/>
    <w:uiPriority w:val="99"/>
    <w:semiHidden/>
    <w:rsid w:val="00D3681A"/>
    <w:rPr>
      <w:lang w:val="en-US" w:eastAsia="en-US"/>
    </w:rPr>
  </w:style>
  <w:style w:type="character" w:styleId="CommentReference">
    <w:name w:val="annotation reference"/>
    <w:basedOn w:val="DefaultParagraphFont"/>
    <w:semiHidden/>
    <w:rsid w:val="0070678B"/>
    <w:rPr>
      <w:sz w:val="16"/>
      <w:szCs w:val="16"/>
    </w:rPr>
  </w:style>
  <w:style w:type="paragraph" w:styleId="CommentText">
    <w:name w:val="annotation text"/>
    <w:basedOn w:val="Normal"/>
    <w:link w:val="CommentTextChar"/>
    <w:semiHidden/>
    <w:rsid w:val="0070678B"/>
  </w:style>
  <w:style w:type="character" w:customStyle="1" w:styleId="CommentTextChar">
    <w:name w:val="Comment Text Char"/>
    <w:basedOn w:val="DefaultParagraphFont"/>
    <w:link w:val="CommentText"/>
    <w:semiHidden/>
    <w:rsid w:val="004E557C"/>
    <w:rPr>
      <w:lang w:val="en-US" w:eastAsia="en-US"/>
    </w:rPr>
  </w:style>
  <w:style w:type="paragraph" w:styleId="CommentSubject">
    <w:name w:val="annotation subject"/>
    <w:basedOn w:val="CommentText"/>
    <w:next w:val="CommentText"/>
    <w:link w:val="CommentSubjectChar"/>
    <w:semiHidden/>
    <w:rsid w:val="0070678B"/>
    <w:rPr>
      <w:b/>
      <w:bCs/>
    </w:rPr>
  </w:style>
  <w:style w:type="character" w:customStyle="1" w:styleId="CommentSubjectChar">
    <w:name w:val="Comment Subject Char"/>
    <w:basedOn w:val="CommentTextChar"/>
    <w:link w:val="CommentSubject"/>
    <w:semiHidden/>
    <w:rsid w:val="004E557C"/>
    <w:rPr>
      <w:b/>
      <w:bCs/>
      <w:lang w:val="en-US" w:eastAsia="en-US"/>
    </w:rPr>
  </w:style>
  <w:style w:type="paragraph" w:customStyle="1" w:styleId="paragraph">
    <w:name w:val="paragraph"/>
    <w:basedOn w:val="Normal"/>
    <w:rsid w:val="0018619A"/>
    <w:pPr>
      <w:spacing w:before="100" w:beforeAutospacing="1" w:after="100" w:afterAutospacing="1"/>
    </w:pPr>
    <w:rPr>
      <w:sz w:val="24"/>
      <w:szCs w:val="24"/>
      <w:lang w:val="en-AU" w:eastAsia="en-AU"/>
    </w:rPr>
  </w:style>
  <w:style w:type="character" w:customStyle="1" w:styleId="normaltextrun">
    <w:name w:val="normaltextrun"/>
    <w:basedOn w:val="DefaultParagraphFont"/>
    <w:rsid w:val="0018619A"/>
  </w:style>
  <w:style w:type="character" w:customStyle="1" w:styleId="eop">
    <w:name w:val="eop"/>
    <w:basedOn w:val="DefaultParagraphFont"/>
    <w:rsid w:val="0018619A"/>
  </w:style>
  <w:style w:type="paragraph" w:customStyle="1" w:styleId="Bullet3">
    <w:name w:val="Bullet 3"/>
    <w:basedOn w:val="Bullet2"/>
    <w:next w:val="BodyText"/>
    <w:qFormat/>
    <w:rsid w:val="006A7891"/>
    <w:pPr>
      <w:numPr>
        <w:numId w:val="30"/>
      </w:numPr>
      <w:tabs>
        <w:tab w:val="clear" w:pos="851"/>
        <w:tab w:val="clear" w:pos="8647"/>
      </w:tabs>
    </w:pPr>
  </w:style>
  <w:style w:type="paragraph" w:customStyle="1" w:styleId="Default">
    <w:name w:val="Default"/>
    <w:semiHidden/>
    <w:rsid w:val="006A7891"/>
    <w:pPr>
      <w:autoSpaceDE w:val="0"/>
      <w:autoSpaceDN w:val="0"/>
      <w:adjustRightInd w:val="0"/>
    </w:pPr>
    <w:rPr>
      <w:rFonts w:ascii="Public Sans SemiBold" w:hAnsi="Public Sans SemiBold" w:cs="Public Sans SemiBold"/>
      <w:color w:val="000000"/>
      <w:sz w:val="24"/>
      <w:szCs w:val="24"/>
    </w:rPr>
  </w:style>
  <w:style w:type="paragraph" w:customStyle="1" w:styleId="Figure1X">
    <w:name w:val="Figure 1.X"/>
    <w:basedOn w:val="Table1X"/>
    <w:next w:val="Normal"/>
    <w:semiHidden/>
    <w:qFormat/>
    <w:rsid w:val="006A7891"/>
    <w:pPr>
      <w:numPr>
        <w:numId w:val="53"/>
      </w:numPr>
    </w:pPr>
  </w:style>
  <w:style w:type="paragraph" w:customStyle="1" w:styleId="Figure2X">
    <w:name w:val="Figure 2.X"/>
    <w:basedOn w:val="Figure1X"/>
    <w:next w:val="Normal"/>
    <w:semiHidden/>
    <w:qFormat/>
    <w:rsid w:val="006A7891"/>
    <w:pPr>
      <w:numPr>
        <w:numId w:val="54"/>
      </w:numPr>
    </w:pPr>
  </w:style>
  <w:style w:type="paragraph" w:customStyle="1" w:styleId="Figure3X">
    <w:name w:val="Figure 3.X"/>
    <w:basedOn w:val="Figure1X"/>
    <w:next w:val="Normal"/>
    <w:semiHidden/>
    <w:qFormat/>
    <w:rsid w:val="006A7891"/>
    <w:pPr>
      <w:numPr>
        <w:numId w:val="55"/>
      </w:numPr>
    </w:pPr>
  </w:style>
  <w:style w:type="paragraph" w:customStyle="1" w:styleId="Figure4X">
    <w:name w:val="Figure 4.X"/>
    <w:basedOn w:val="Figure1X"/>
    <w:next w:val="Normal"/>
    <w:semiHidden/>
    <w:qFormat/>
    <w:rsid w:val="006A7891"/>
    <w:pPr>
      <w:numPr>
        <w:numId w:val="56"/>
      </w:numPr>
    </w:pPr>
  </w:style>
  <w:style w:type="paragraph" w:customStyle="1" w:styleId="Figure5X">
    <w:name w:val="Figure 5.X"/>
    <w:basedOn w:val="Figure1X"/>
    <w:next w:val="Normal"/>
    <w:semiHidden/>
    <w:qFormat/>
    <w:rsid w:val="006A7891"/>
    <w:pPr>
      <w:numPr>
        <w:numId w:val="57"/>
      </w:numPr>
    </w:pPr>
  </w:style>
  <w:style w:type="paragraph" w:customStyle="1" w:styleId="Figure6X">
    <w:name w:val="Figure 6.X"/>
    <w:basedOn w:val="Figure1X"/>
    <w:next w:val="Normal"/>
    <w:semiHidden/>
    <w:qFormat/>
    <w:rsid w:val="006A7891"/>
    <w:pPr>
      <w:numPr>
        <w:numId w:val="58"/>
      </w:numPr>
    </w:pPr>
  </w:style>
  <w:style w:type="paragraph" w:customStyle="1" w:styleId="Figure7X">
    <w:name w:val="Figure 7.X"/>
    <w:basedOn w:val="Figure1X"/>
    <w:next w:val="Normal"/>
    <w:semiHidden/>
    <w:qFormat/>
    <w:rsid w:val="006A7891"/>
    <w:pPr>
      <w:numPr>
        <w:numId w:val="59"/>
      </w:numPr>
    </w:pPr>
  </w:style>
  <w:style w:type="paragraph" w:customStyle="1" w:styleId="Figure8X">
    <w:name w:val="Figure 8.X"/>
    <w:basedOn w:val="Figure7X"/>
    <w:next w:val="Normal"/>
    <w:semiHidden/>
    <w:qFormat/>
    <w:rsid w:val="006A7891"/>
    <w:pPr>
      <w:numPr>
        <w:numId w:val="60"/>
      </w:numPr>
    </w:pPr>
  </w:style>
  <w:style w:type="paragraph" w:customStyle="1" w:styleId="FigureA1X">
    <w:name w:val="Figure A1.X"/>
    <w:basedOn w:val="Figure1X"/>
    <w:next w:val="Normal"/>
    <w:semiHidden/>
    <w:qFormat/>
    <w:rsid w:val="006A7891"/>
    <w:pPr>
      <w:numPr>
        <w:numId w:val="61"/>
      </w:numPr>
    </w:pPr>
  </w:style>
  <w:style w:type="paragraph" w:customStyle="1" w:styleId="FigureA2X">
    <w:name w:val="Figure A2.X"/>
    <w:basedOn w:val="Figure1X"/>
    <w:next w:val="Normal"/>
    <w:semiHidden/>
    <w:qFormat/>
    <w:rsid w:val="006A7891"/>
    <w:pPr>
      <w:numPr>
        <w:numId w:val="62"/>
      </w:numPr>
    </w:pPr>
  </w:style>
  <w:style w:type="paragraph" w:customStyle="1" w:styleId="FigureA3X">
    <w:name w:val="Figure A3.X"/>
    <w:basedOn w:val="Figure1X"/>
    <w:next w:val="Normal"/>
    <w:semiHidden/>
    <w:qFormat/>
    <w:rsid w:val="006A7891"/>
    <w:pPr>
      <w:numPr>
        <w:numId w:val="63"/>
      </w:numPr>
    </w:pPr>
  </w:style>
  <w:style w:type="paragraph" w:customStyle="1" w:styleId="FigureA4X">
    <w:name w:val="Figure A4.X"/>
    <w:basedOn w:val="Figure1X"/>
    <w:next w:val="Normal"/>
    <w:semiHidden/>
    <w:qFormat/>
    <w:rsid w:val="006A7891"/>
    <w:pPr>
      <w:numPr>
        <w:numId w:val="64"/>
      </w:numPr>
    </w:pPr>
  </w:style>
  <w:style w:type="paragraph" w:customStyle="1" w:styleId="FigureA5X">
    <w:name w:val="Figure A5.X"/>
    <w:basedOn w:val="Figure1X"/>
    <w:next w:val="Normal"/>
    <w:semiHidden/>
    <w:qFormat/>
    <w:rsid w:val="006A7891"/>
    <w:pPr>
      <w:numPr>
        <w:numId w:val="65"/>
      </w:numPr>
    </w:pPr>
  </w:style>
  <w:style w:type="paragraph" w:customStyle="1" w:styleId="FigureBX">
    <w:name w:val="Figure B.X"/>
    <w:basedOn w:val="Figure1X"/>
    <w:semiHidden/>
    <w:qFormat/>
    <w:rsid w:val="006A7891"/>
    <w:pPr>
      <w:numPr>
        <w:numId w:val="66"/>
      </w:numPr>
    </w:pPr>
  </w:style>
  <w:style w:type="paragraph" w:customStyle="1" w:styleId="FigureDX">
    <w:name w:val="Figure D.X"/>
    <w:basedOn w:val="Figure1X"/>
    <w:next w:val="Normal"/>
    <w:semiHidden/>
    <w:qFormat/>
    <w:rsid w:val="006A7891"/>
    <w:pPr>
      <w:numPr>
        <w:numId w:val="68"/>
      </w:numPr>
    </w:pPr>
  </w:style>
  <w:style w:type="paragraph" w:customStyle="1" w:styleId="FigureEX">
    <w:name w:val="Figure E.X"/>
    <w:basedOn w:val="Figure1X"/>
    <w:next w:val="Normal"/>
    <w:semiHidden/>
    <w:qFormat/>
    <w:rsid w:val="006A7891"/>
    <w:pPr>
      <w:numPr>
        <w:numId w:val="69"/>
      </w:numPr>
    </w:pPr>
  </w:style>
  <w:style w:type="paragraph" w:customStyle="1" w:styleId="FigureFX">
    <w:name w:val="Figure F.X"/>
    <w:basedOn w:val="Figure1X"/>
    <w:next w:val="Normal"/>
    <w:semiHidden/>
    <w:qFormat/>
    <w:rsid w:val="006A7891"/>
    <w:pPr>
      <w:numPr>
        <w:numId w:val="70"/>
      </w:numPr>
    </w:pPr>
  </w:style>
  <w:style w:type="paragraph" w:customStyle="1" w:styleId="Headinginbox">
    <w:name w:val="Heading in box"/>
    <w:basedOn w:val="BodyText"/>
    <w:next w:val="Normal"/>
    <w:qFormat/>
    <w:rsid w:val="006A7891"/>
    <w:rPr>
      <w:rFonts w:ascii="Public Sans SemiBold" w:hAnsi="Public Sans SemiBold"/>
      <w:b/>
      <w:color w:val="002664"/>
    </w:rPr>
  </w:style>
  <w:style w:type="paragraph" w:customStyle="1" w:styleId="TableEX">
    <w:name w:val="Table E.X"/>
    <w:basedOn w:val="TableDX"/>
    <w:next w:val="BodyText"/>
    <w:semiHidden/>
    <w:qFormat/>
    <w:rsid w:val="006A7891"/>
    <w:pPr>
      <w:numPr>
        <w:numId w:val="85"/>
      </w:numPr>
    </w:pPr>
  </w:style>
  <w:style w:type="character" w:styleId="Mention">
    <w:name w:val="Mention"/>
    <w:basedOn w:val="DefaultParagraphFont"/>
    <w:uiPriority w:val="99"/>
    <w:unhideWhenUsed/>
    <w:qFormat/>
    <w:rsid w:val="002953B2"/>
    <w:rPr>
      <w:color w:val="2B579A"/>
      <w:shd w:val="clear" w:color="auto" w:fill="E1DFDD"/>
    </w:rPr>
  </w:style>
  <w:style w:type="character" w:customStyle="1" w:styleId="ui-provider">
    <w:name w:val="ui-provider"/>
    <w:basedOn w:val="DefaultParagraphFont"/>
    <w:rsid w:val="009B4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573575">
      <w:bodyDiv w:val="1"/>
      <w:marLeft w:val="0"/>
      <w:marRight w:val="0"/>
      <w:marTop w:val="0"/>
      <w:marBottom w:val="0"/>
      <w:divBdr>
        <w:top w:val="none" w:sz="0" w:space="0" w:color="auto"/>
        <w:left w:val="none" w:sz="0" w:space="0" w:color="auto"/>
        <w:bottom w:val="none" w:sz="0" w:space="0" w:color="auto"/>
        <w:right w:val="none" w:sz="0" w:space="0" w:color="auto"/>
      </w:divBdr>
    </w:div>
    <w:div w:id="506217850">
      <w:bodyDiv w:val="1"/>
      <w:marLeft w:val="0"/>
      <w:marRight w:val="0"/>
      <w:marTop w:val="0"/>
      <w:marBottom w:val="0"/>
      <w:divBdr>
        <w:top w:val="none" w:sz="0" w:space="0" w:color="auto"/>
        <w:left w:val="none" w:sz="0" w:space="0" w:color="auto"/>
        <w:bottom w:val="none" w:sz="0" w:space="0" w:color="auto"/>
        <w:right w:val="none" w:sz="0" w:space="0" w:color="auto"/>
      </w:divBdr>
      <w:divsChild>
        <w:div w:id="1130628764">
          <w:marLeft w:val="0"/>
          <w:marRight w:val="0"/>
          <w:marTop w:val="0"/>
          <w:marBottom w:val="0"/>
          <w:divBdr>
            <w:top w:val="none" w:sz="0" w:space="0" w:color="auto"/>
            <w:left w:val="none" w:sz="0" w:space="0" w:color="auto"/>
            <w:bottom w:val="none" w:sz="0" w:space="0" w:color="auto"/>
            <w:right w:val="none" w:sz="0" w:space="0" w:color="auto"/>
          </w:divBdr>
        </w:div>
        <w:div w:id="1373264834">
          <w:marLeft w:val="0"/>
          <w:marRight w:val="0"/>
          <w:marTop w:val="0"/>
          <w:marBottom w:val="0"/>
          <w:divBdr>
            <w:top w:val="none" w:sz="0" w:space="0" w:color="auto"/>
            <w:left w:val="none" w:sz="0" w:space="0" w:color="auto"/>
            <w:bottom w:val="none" w:sz="0" w:space="0" w:color="auto"/>
            <w:right w:val="none" w:sz="0" w:space="0" w:color="auto"/>
          </w:divBdr>
        </w:div>
      </w:divsChild>
    </w:div>
    <w:div w:id="563174634">
      <w:bodyDiv w:val="1"/>
      <w:marLeft w:val="0"/>
      <w:marRight w:val="0"/>
      <w:marTop w:val="0"/>
      <w:marBottom w:val="0"/>
      <w:divBdr>
        <w:top w:val="none" w:sz="0" w:space="0" w:color="auto"/>
        <w:left w:val="none" w:sz="0" w:space="0" w:color="auto"/>
        <w:bottom w:val="none" w:sz="0" w:space="0" w:color="auto"/>
        <w:right w:val="none" w:sz="0" w:space="0" w:color="auto"/>
      </w:divBdr>
      <w:divsChild>
        <w:div w:id="488523695">
          <w:marLeft w:val="0"/>
          <w:marRight w:val="0"/>
          <w:marTop w:val="0"/>
          <w:marBottom w:val="0"/>
          <w:divBdr>
            <w:top w:val="none" w:sz="0" w:space="0" w:color="auto"/>
            <w:left w:val="none" w:sz="0" w:space="0" w:color="auto"/>
            <w:bottom w:val="none" w:sz="0" w:space="0" w:color="auto"/>
            <w:right w:val="none" w:sz="0" w:space="0" w:color="auto"/>
          </w:divBdr>
        </w:div>
        <w:div w:id="956834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0ac7ce-5f57-4ea0-9af7-01d4f3f1ccae" xsi:nil="true"/>
    <lcf76f155ced4ddcb4097134ff3c332f xmlns="1c478e85-8130-4c67-8ee4-8bdf1c0e6049">
      <Terms xmlns="http://schemas.microsoft.com/office/infopath/2007/PartnerControls"/>
    </lcf76f155ced4ddcb4097134ff3c332f>
    <_Flow_SignoffStatus xmlns="1c478e85-8130-4c67-8ee4-8bdf1c0e6049" xsi:nil="true"/>
    <SharedWithUsers xmlns="801a5968-9419-4033-b9de-7ffe8168468e">
      <UserInfo>
        <DisplayName>Katherine Palmer</DisplayName>
        <AccountId>787</AccountId>
        <AccountType/>
      </UserInfo>
      <UserInfo>
        <DisplayName>John Lynam</DisplayName>
        <AccountId>81</AccountId>
        <AccountType/>
      </UserInfo>
      <UserInfo>
        <DisplayName>Richard Furmage</DisplayName>
        <AccountId>263</AccountId>
        <AccountType/>
      </UserInfo>
      <UserInfo>
        <DisplayName>Jim Kalotheos</DisplayName>
        <AccountId>259</AccountId>
        <AccountType/>
      </UserInfo>
      <UserInfo>
        <DisplayName>Song Hong</DisplayName>
        <AccountId>4433</AccountId>
        <AccountType/>
      </UserInfo>
      <UserInfo>
        <DisplayName>Sara Smylie</DisplayName>
        <AccountId>3365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9" ma:contentTypeDescription="Create a new document." ma:contentTypeScope="" ma:versionID="468dc0dd92be817bb9a44f7960c8fef9">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a20234d3a585a1bfe061a4c4552e30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E9FD7-6E6C-41F1-AB66-B4A654C66101}">
  <ds:schemaRefs>
    <ds:schemaRef ds:uri="http://schemas.openxmlformats.org/package/2006/metadata/core-properties"/>
    <ds:schemaRef ds:uri="http://schemas.microsoft.com/office/infopath/2007/PartnerControls"/>
    <ds:schemaRef ds:uri="801a5968-9419-4033-b9de-7ffe8168468e"/>
    <ds:schemaRef ds:uri="http://schemas.microsoft.com/office/2006/documentManagement/types"/>
    <ds:schemaRef ds:uri="http://schemas.microsoft.com/office/2006/metadata/properties"/>
    <ds:schemaRef ds:uri="http://www.w3.org/XML/1998/namespace"/>
    <ds:schemaRef ds:uri="http://purl.org/dc/terms/"/>
    <ds:schemaRef ds:uri="http://purl.org/dc/elements/1.1/"/>
    <ds:schemaRef ds:uri="9f0ac7ce-5f57-4ea0-9af7-01d4f3f1ccae"/>
    <ds:schemaRef ds:uri="1c478e85-8130-4c67-8ee4-8bdf1c0e6049"/>
    <ds:schemaRef ds:uri="http://purl.org/dc/dcmitype/"/>
  </ds:schemaRefs>
</ds:datastoreItem>
</file>

<file path=customXml/itemProps2.xml><?xml version="1.0" encoding="utf-8"?>
<ds:datastoreItem xmlns:ds="http://schemas.openxmlformats.org/officeDocument/2006/customXml" ds:itemID="{F510486F-5120-4F67-BA1E-2BAF7098B075}">
  <ds:schemaRefs>
    <ds:schemaRef ds:uri="http://schemas.microsoft.com/sharepoint/v3/contenttype/forms"/>
  </ds:schemaRefs>
</ds:datastoreItem>
</file>

<file path=customXml/itemProps3.xml><?xml version="1.0" encoding="utf-8"?>
<ds:datastoreItem xmlns:ds="http://schemas.openxmlformats.org/officeDocument/2006/customXml" ds:itemID="{DECF3C37-B384-48D4-B6CC-67E242631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93D4C9-B5FB-425B-853A-592996518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2694</Words>
  <Characters>15357</Characters>
  <Application>Microsoft Office Word</Application>
  <DocSecurity>0</DocSecurity>
  <Lines>127</Lines>
  <Paragraphs>36</Paragraphs>
  <ScaleCrop>false</ScaleCrop>
  <Company>NSW Treasury</Company>
  <LinksUpToDate>false</LinksUpToDate>
  <CharactersWithSpaces>18015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Budget Paper No. 1 - Budget Statement - Appendix C - Contingent Assets and Liabilities</dc:title>
  <dc:subject/>
  <dc:creator>NSWTreasury@nswgov.onmicrosoft.com</dc:creator>
  <cp:keywords/>
  <cp:lastModifiedBy>Amany Tahir</cp:lastModifiedBy>
  <cp:revision>2</cp:revision>
  <cp:lastPrinted>2023-09-14T22:12:00Z</cp:lastPrinted>
  <dcterms:created xsi:type="dcterms:W3CDTF">2024-06-16T00:17:00Z</dcterms:created>
  <dcterms:modified xsi:type="dcterms:W3CDTF">2024-06-16T00:17:00Z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A3020765</vt:lpwstr>
  </property>
  <property fmtid="{D5CDD505-2E9C-101B-9397-08002B2CF9AE}" pid="4" name="Objective-Title">
    <vt:lpwstr>Budget paper styles and template</vt:lpwstr>
  </property>
  <property fmtid="{D5CDD505-2E9C-101B-9397-08002B2CF9AE}" pid="5" name="Objective-Comment">
    <vt:lpwstr/>
  </property>
  <property fmtid="{D5CDD505-2E9C-101B-9397-08002B2CF9AE}" pid="6" name="Objective-CreationStamp">
    <vt:filetime>2015-09-10T21:55:51Z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2015-10-13T03:41:11Z</vt:filetime>
  </property>
  <property fmtid="{D5CDD505-2E9C-101B-9397-08002B2CF9AE}" pid="11" name="Objective-Owner">
    <vt:lpwstr>Alicia McIntyre</vt:lpwstr>
  </property>
  <property fmtid="{D5CDD505-2E9C-101B-9397-08002B2CF9AE}" pid="12" name="Objective-Path">
    <vt:lpwstr>Objective Global Folder:1. Treasury:1. Information Management Structure (TR):FISCAL &amp; ECONOMIC GROUP (FEG):Budget Strategy:Budget Process Design:Budget:2016-17 Budget - Process and Production:Production:</vt:lpwstr>
  </property>
  <property fmtid="{D5CDD505-2E9C-101B-9397-08002B2CF9AE}" pid="13" name="Objective-Parent">
    <vt:lpwstr>Production</vt:lpwstr>
  </property>
  <property fmtid="{D5CDD505-2E9C-101B-9397-08002B2CF9AE}" pid="14" name="Objective-State">
    <vt:lpwstr>Being Drafted</vt:lpwstr>
  </property>
  <property fmtid="{D5CDD505-2E9C-101B-9397-08002B2CF9AE}" pid="15" name="Objective-Version">
    <vt:lpwstr>0.5</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Vital Record [system]">
    <vt:lpwstr>No</vt:lpwstr>
  </property>
  <property fmtid="{D5CDD505-2E9C-101B-9397-08002B2CF9AE}" pid="22" name="Objective-GIPA [system]">
    <vt:lpwstr>No</vt:lpwstr>
  </property>
  <property fmtid="{D5CDD505-2E9C-101B-9397-08002B2CF9AE}" pid="23" name="Objective-Additional Search Tags [system]">
    <vt:lpwstr/>
  </property>
  <property fmtid="{D5CDD505-2E9C-101B-9397-08002B2CF9AE}" pid="24" name="ContentTypeId">
    <vt:lpwstr>0x010100F02F16F1AFBDE54EBD2685E90FE1922F</vt:lpwstr>
  </property>
  <property fmtid="{D5CDD505-2E9C-101B-9397-08002B2CF9AE}" pid="25" name="MediaServiceImageTags">
    <vt:lpwstr/>
  </property>
  <property fmtid="{D5CDD505-2E9C-101B-9397-08002B2CF9AE}" pid="26" name="ClassificationContentMarkingHeaderShapeIds">
    <vt:lpwstr>3,4,5</vt:lpwstr>
  </property>
  <property fmtid="{D5CDD505-2E9C-101B-9397-08002B2CF9AE}" pid="27" name="ClassificationContentMarkingHeaderFontProps">
    <vt:lpwstr>#ff0000,10,Calibri</vt:lpwstr>
  </property>
  <property fmtid="{D5CDD505-2E9C-101B-9397-08002B2CF9AE}" pid="28" name="ClassificationContentMarkingHeaderText">
    <vt:lpwstr>OFFICIAL: Sensitive - NSW Government</vt:lpwstr>
  </property>
  <property fmtid="{D5CDD505-2E9C-101B-9397-08002B2CF9AE}" pid="29" name="ClassificationContentMarkingFooterShapeIds">
    <vt:lpwstr>6,7,8</vt:lpwstr>
  </property>
  <property fmtid="{D5CDD505-2E9C-101B-9397-08002B2CF9AE}" pid="30" name="ClassificationContentMarkingFooterFontProps">
    <vt:lpwstr>#ff0000,10,Calibri</vt:lpwstr>
  </property>
  <property fmtid="{D5CDD505-2E9C-101B-9397-08002B2CF9AE}" pid="31" name="ClassificationContentMarkingFooterText">
    <vt:lpwstr>OFFICIAL: Sensitive - NSW Government</vt:lpwstr>
  </property>
  <property fmtid="{D5CDD505-2E9C-101B-9397-08002B2CF9AE}" pid="32" name="MSIP_Label_ab31b62b-e375-4a62-a687-c19ac06ddd31_Enabled">
    <vt:lpwstr>true</vt:lpwstr>
  </property>
  <property fmtid="{D5CDD505-2E9C-101B-9397-08002B2CF9AE}" pid="33" name="MSIP_Label_ab31b62b-e375-4a62-a687-c19ac06ddd31_SetDate">
    <vt:lpwstr>2023-07-17T05:35:10Z</vt:lpwstr>
  </property>
  <property fmtid="{D5CDD505-2E9C-101B-9397-08002B2CF9AE}" pid="34" name="MSIP_Label_ab31b62b-e375-4a62-a687-c19ac06ddd31_Method">
    <vt:lpwstr>Privileged</vt:lpwstr>
  </property>
  <property fmtid="{D5CDD505-2E9C-101B-9397-08002B2CF9AE}" pid="35" name="MSIP_Label_ab31b62b-e375-4a62-a687-c19ac06ddd31_Name">
    <vt:lpwstr>OFFICIAL Sensitive - NSW Government</vt:lpwstr>
  </property>
  <property fmtid="{D5CDD505-2E9C-101B-9397-08002B2CF9AE}" pid="36" name="MSIP_Label_ab31b62b-e375-4a62-a687-c19ac06ddd31_SiteId">
    <vt:lpwstr>1ef97a68-e8ab-44ed-a16d-b579fe2d7cd8</vt:lpwstr>
  </property>
  <property fmtid="{D5CDD505-2E9C-101B-9397-08002B2CF9AE}" pid="37" name="MSIP_Label_ab31b62b-e375-4a62-a687-c19ac06ddd31_ActionId">
    <vt:lpwstr>e99cb3e8-e592-44b3-906e-e4c2bfceb55e</vt:lpwstr>
  </property>
  <property fmtid="{D5CDD505-2E9C-101B-9397-08002B2CF9AE}" pid="38" name="MSIP_Label_ab31b62b-e375-4a62-a687-c19ac06ddd31_ContentBits">
    <vt:lpwstr>3</vt:lpwstr>
  </property>
</Properties>
</file>