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C7C8A" w14:textId="279AEF4E" w:rsidR="00CE06EF" w:rsidRPr="008E4A5E" w:rsidRDefault="00CE06EF" w:rsidP="00CE06EF">
      <w:pPr>
        <w:ind w:left="0" w:firstLine="0"/>
        <w:rPr>
          <w:rFonts w:eastAsia="Yu Mincho"/>
          <w:sz w:val="2"/>
          <w:szCs w:val="2"/>
          <w:lang w:val="en-AU" w:eastAsia="zh-CN"/>
        </w:rPr>
      </w:pPr>
      <w:bookmarkStart w:id="0" w:name="_Hlk143095870"/>
    </w:p>
    <w:p w14:paraId="42347684" w14:textId="296C6A03" w:rsidR="00C626D7" w:rsidRPr="00A903EA" w:rsidRDefault="003D7226" w:rsidP="00DE2CCC">
      <w:pPr>
        <w:pStyle w:val="Heading1"/>
        <w:numPr>
          <w:ilvl w:val="0"/>
          <w:numId w:val="100"/>
        </w:numPr>
        <w:ind w:left="851" w:hanging="851"/>
      </w:pPr>
      <w:r>
        <w:t>Economic Scenario analysis</w:t>
      </w:r>
    </w:p>
    <w:p w14:paraId="2F177476" w14:textId="6C364434" w:rsidR="00545E65" w:rsidRPr="0000725C" w:rsidRDefault="00545E65" w:rsidP="00545E65">
      <w:pPr>
        <w:pStyle w:val="BodyText"/>
      </w:pPr>
      <w:r w:rsidRPr="2AADE092">
        <w:rPr>
          <w:lang w:val="en-US"/>
        </w:rPr>
        <w:t>The 202</w:t>
      </w:r>
      <w:r w:rsidR="0054531D" w:rsidRPr="2AADE092">
        <w:rPr>
          <w:lang w:val="en-US"/>
        </w:rPr>
        <w:t>5</w:t>
      </w:r>
      <w:r w:rsidRPr="2AADE092">
        <w:rPr>
          <w:lang w:val="en-US"/>
        </w:rPr>
        <w:t>-</w:t>
      </w:r>
      <w:r w:rsidRPr="2AADE092" w:rsidDel="00B578F2">
        <w:rPr>
          <w:lang w:val="en-US"/>
        </w:rPr>
        <w:t>2</w:t>
      </w:r>
      <w:r w:rsidR="0054531D" w:rsidRPr="2AADE092">
        <w:rPr>
          <w:lang w:val="en-US"/>
        </w:rPr>
        <w:t>6</w:t>
      </w:r>
      <w:r w:rsidRPr="2AADE092">
        <w:rPr>
          <w:lang w:val="en-US"/>
        </w:rPr>
        <w:t xml:space="preserve"> Budget relies on forecasts and judgements about the future of the economy, based on information available at the time of preparation. These forecasts are subject to inherent uncertainties, such as changes in </w:t>
      </w:r>
      <w:proofErr w:type="spellStart"/>
      <w:r w:rsidRPr="2AADE092">
        <w:rPr>
          <w:lang w:val="en-US"/>
        </w:rPr>
        <w:t>behaviours</w:t>
      </w:r>
      <w:proofErr w:type="spellEnd"/>
      <w:r w:rsidRPr="2AADE092">
        <w:rPr>
          <w:lang w:val="en-US"/>
        </w:rPr>
        <w:t xml:space="preserve">, evolving relationships between </w:t>
      </w:r>
      <w:r w:rsidR="4AC01D36" w:rsidRPr="0A92352B">
        <w:rPr>
          <w:lang w:val="en-US"/>
        </w:rPr>
        <w:t>variables,</w:t>
      </w:r>
      <w:r w:rsidRPr="2AADE092">
        <w:rPr>
          <w:lang w:val="en-US"/>
        </w:rPr>
        <w:t xml:space="preserve"> and unexpected events or shocks. </w:t>
      </w:r>
    </w:p>
    <w:p w14:paraId="31DBA1C5" w14:textId="5DD3B7CA" w:rsidR="00545E65" w:rsidRPr="0000725C" w:rsidRDefault="00545E65" w:rsidP="00545E65">
      <w:pPr>
        <w:pStyle w:val="BodyText"/>
      </w:pPr>
      <w:r w:rsidRPr="48DCB825">
        <w:rPr>
          <w:lang w:val="en-US"/>
        </w:rPr>
        <w:t>This Appendix complements the central economic outlook presented in Chapter 2 The</w:t>
      </w:r>
      <w:r w:rsidR="000A1B1B">
        <w:rPr>
          <w:lang w:val="en-US"/>
        </w:rPr>
        <w:t> </w:t>
      </w:r>
      <w:r w:rsidR="00C455C7">
        <w:rPr>
          <w:lang w:val="en-US"/>
        </w:rPr>
        <w:t>e</w:t>
      </w:r>
      <w:r w:rsidRPr="48DCB825">
        <w:rPr>
          <w:lang w:val="en-US"/>
        </w:rPr>
        <w:t xml:space="preserve">conomy by quantifying some of the key risks to the outlook. It explores the impact of variations in key economic parameters on the economic outlook and general government tax revenues. </w:t>
      </w:r>
    </w:p>
    <w:p w14:paraId="51D9C04E" w14:textId="1A781783" w:rsidR="00545E65" w:rsidRPr="0000725C" w:rsidRDefault="00545E65" w:rsidP="00545E65">
      <w:pPr>
        <w:pStyle w:val="BodyText"/>
      </w:pPr>
      <w:r w:rsidRPr="0000725C">
        <w:t>These scenarios were selected to cover plausible economic events that could affect New</w:t>
      </w:r>
      <w:r w:rsidR="000A1B1B">
        <w:t> </w:t>
      </w:r>
      <w:r w:rsidRPr="0000725C">
        <w:t>South Wales over the forecast horizon. The modelling takes account of linkages between key international, Australian and New South Wales economic aggregates. By using scenario analysis of this kind, we capture interdependencies within our economy that a partial sensitivity analysis would not capture.</w:t>
      </w:r>
    </w:p>
    <w:p w14:paraId="29B363F4" w14:textId="77777777" w:rsidR="00545E65" w:rsidRPr="0000725C" w:rsidRDefault="00545E65" w:rsidP="00545E65">
      <w:pPr>
        <w:pStyle w:val="BodyText"/>
      </w:pPr>
      <w:r w:rsidRPr="48DCB825" w:rsidDel="000D00E8">
        <w:rPr>
          <w:lang w:val="en-US"/>
        </w:rPr>
        <w:t xml:space="preserve">The </w:t>
      </w:r>
      <w:r w:rsidRPr="48DCB825">
        <w:rPr>
          <w:lang w:val="en-US"/>
        </w:rPr>
        <w:t xml:space="preserve">summary of these results should be interpreted with care because economic events tend to be unique in nature. The scenarios presented in this Appendix are unlikely to completely reflect any future shock to the State economy. Any departures from the specified scenario would likely result in different impacts on the </w:t>
      </w:r>
      <w:proofErr w:type="gramStart"/>
      <w:r w:rsidRPr="48DCB825">
        <w:rPr>
          <w:lang w:val="en-US"/>
        </w:rPr>
        <w:t>economic</w:t>
      </w:r>
      <w:proofErr w:type="gramEnd"/>
      <w:r w:rsidRPr="48DCB825">
        <w:rPr>
          <w:lang w:val="en-US"/>
        </w:rPr>
        <w:t xml:space="preserve"> and revenue outlook. </w:t>
      </w:r>
    </w:p>
    <w:p w14:paraId="71B38961" w14:textId="3B537885" w:rsidR="00C626D7" w:rsidRPr="002817A9" w:rsidRDefault="00FA19F9" w:rsidP="00ED471A">
      <w:pPr>
        <w:pStyle w:val="F1Heading2"/>
      </w:pPr>
      <w:r>
        <w:t>Impact of variations in key forecast assumptions</w:t>
      </w:r>
    </w:p>
    <w:p w14:paraId="0FAA4FDE" w14:textId="797B5186" w:rsidR="00E63264" w:rsidRPr="002817A9" w:rsidRDefault="00912B85" w:rsidP="00862049">
      <w:pPr>
        <w:pStyle w:val="BodyText"/>
      </w:pPr>
      <w:r w:rsidRPr="48DCB825">
        <w:rPr>
          <w:lang w:val="en-US"/>
        </w:rPr>
        <w:t>The economic impact of the scenarios below was modelled using</w:t>
      </w:r>
      <w:r w:rsidR="00862049" w:rsidRPr="48DCB825">
        <w:rPr>
          <w:lang w:val="en-US"/>
        </w:rPr>
        <w:t xml:space="preserve"> the Centre of Policy Studies (</w:t>
      </w:r>
      <w:proofErr w:type="spellStart"/>
      <w:r w:rsidR="00862049" w:rsidRPr="48DCB825">
        <w:rPr>
          <w:lang w:val="en-US"/>
        </w:rPr>
        <w:t>CoPS</w:t>
      </w:r>
      <w:proofErr w:type="spellEnd"/>
      <w:r w:rsidR="00862049" w:rsidRPr="48DCB825">
        <w:rPr>
          <w:lang w:val="en-US"/>
        </w:rPr>
        <w:t>) Victoria University Regional Model Tax (VURMTAX</w:t>
      </w:r>
      <w:r w:rsidR="004A0E79">
        <w:rPr>
          <w:lang w:val="en-US"/>
        </w:rPr>
        <w:t>-GREEN</w:t>
      </w:r>
      <w:r w:rsidR="00862049" w:rsidRPr="48DCB825">
        <w:rPr>
          <w:lang w:val="en-US"/>
        </w:rPr>
        <w:t>)</w:t>
      </w:r>
      <w:r w:rsidR="00D2177C" w:rsidRPr="48DCB825">
        <w:rPr>
          <w:rStyle w:val="FootnoteReference"/>
          <w:lang w:val="en-US"/>
        </w:rPr>
        <w:footnoteReference w:id="2"/>
      </w:r>
      <w:r w:rsidR="00862049" w:rsidRPr="48DCB825">
        <w:rPr>
          <w:lang w:val="en-US"/>
        </w:rPr>
        <w:t xml:space="preserve"> and is presented as deviations from baseline forecasts.</w:t>
      </w:r>
      <w:r w:rsidRPr="48DCB825">
        <w:rPr>
          <w:lang w:val="en-US"/>
        </w:rPr>
        <w:t xml:space="preserve"> </w:t>
      </w:r>
      <w:r w:rsidR="00051C59" w:rsidRPr="00051C59">
        <w:rPr>
          <w:lang w:val="en-US"/>
        </w:rPr>
        <w:t>Revenue impacts use a combination of VURMTAX</w:t>
      </w:r>
      <w:r w:rsidR="004A0E79">
        <w:rPr>
          <w:lang w:val="en-US"/>
        </w:rPr>
        <w:t>-GREEN</w:t>
      </w:r>
      <w:r w:rsidR="00051C59" w:rsidRPr="00051C59">
        <w:rPr>
          <w:lang w:val="en-US"/>
        </w:rPr>
        <w:t xml:space="preserve"> and internal NSW Treasury estimates</w:t>
      </w:r>
      <w:r w:rsidR="007C3FB8">
        <w:rPr>
          <w:lang w:val="en-US"/>
        </w:rPr>
        <w:t>.</w:t>
      </w:r>
    </w:p>
    <w:p w14:paraId="3AF6AC88" w14:textId="43B42840" w:rsidR="004C6F2C" w:rsidRPr="002602E8" w:rsidRDefault="004F04A0" w:rsidP="00BE4A9E">
      <w:pPr>
        <w:pStyle w:val="Heading3"/>
      </w:pPr>
      <w:r w:rsidRPr="69739A07">
        <w:rPr>
          <w:lang w:val="en-US"/>
        </w:rPr>
        <w:t xml:space="preserve">Scenario 1: </w:t>
      </w:r>
      <w:r w:rsidR="00EC1F01" w:rsidRPr="69739A07">
        <w:rPr>
          <w:lang w:val="en-US"/>
        </w:rPr>
        <w:t xml:space="preserve">Global conditions lead to a </w:t>
      </w:r>
      <w:proofErr w:type="gramStart"/>
      <w:r w:rsidR="00C37279" w:rsidRPr="69739A07">
        <w:rPr>
          <w:lang w:val="en-US"/>
        </w:rPr>
        <w:t>100 basis</w:t>
      </w:r>
      <w:proofErr w:type="gramEnd"/>
      <w:r w:rsidR="00C37279" w:rsidRPr="69739A07">
        <w:rPr>
          <w:lang w:val="en-US"/>
        </w:rPr>
        <w:t xml:space="preserve"> point fall </w:t>
      </w:r>
      <w:r w:rsidR="00EC1F01" w:rsidRPr="69739A07">
        <w:rPr>
          <w:lang w:val="en-US"/>
        </w:rPr>
        <w:t>in the cost of capital</w:t>
      </w:r>
    </w:p>
    <w:p w14:paraId="64BBDBB9" w14:textId="49A81123" w:rsidR="00446DBA" w:rsidRDefault="00A40B6D" w:rsidP="004A1A49">
      <w:pPr>
        <w:pStyle w:val="BodyText"/>
      </w:pPr>
      <w:r w:rsidRPr="48DCB825">
        <w:rPr>
          <w:lang w:val="en-US"/>
        </w:rPr>
        <w:t xml:space="preserve">Business investment is a crucial </w:t>
      </w:r>
      <w:r w:rsidR="00E55744">
        <w:rPr>
          <w:lang w:val="en-US"/>
        </w:rPr>
        <w:t>source</w:t>
      </w:r>
      <w:r w:rsidR="00E55744" w:rsidRPr="48DCB825">
        <w:rPr>
          <w:lang w:val="en-US"/>
        </w:rPr>
        <w:t xml:space="preserve"> </w:t>
      </w:r>
      <w:r w:rsidRPr="48DCB825">
        <w:rPr>
          <w:lang w:val="en-US"/>
        </w:rPr>
        <w:t xml:space="preserve">of economic growth and prosperity. When businesses invest, they spend </w:t>
      </w:r>
      <w:r w:rsidR="00BB7C40" w:rsidRPr="48DCB825">
        <w:rPr>
          <w:lang w:val="en-US"/>
        </w:rPr>
        <w:t xml:space="preserve">money on capital goods like new machinery, buildings, technology and research and development. </w:t>
      </w:r>
      <w:r w:rsidR="00FF6D10" w:rsidRPr="48DCB825">
        <w:rPr>
          <w:lang w:val="en-US"/>
        </w:rPr>
        <w:t xml:space="preserve">This spending </w:t>
      </w:r>
      <w:r w:rsidR="00F51B5E" w:rsidRPr="48DCB825">
        <w:rPr>
          <w:lang w:val="en-US"/>
        </w:rPr>
        <w:t>advances the productive capacity of the economy and</w:t>
      </w:r>
      <w:r w:rsidR="00FF6D10" w:rsidRPr="48DCB825">
        <w:rPr>
          <w:lang w:val="en-US"/>
        </w:rPr>
        <w:t xml:space="preserve"> directly creates jobs in sectors like con</w:t>
      </w:r>
      <w:r w:rsidR="00D90195" w:rsidRPr="48DCB825">
        <w:rPr>
          <w:lang w:val="en-US"/>
        </w:rPr>
        <w:t>s</w:t>
      </w:r>
      <w:r w:rsidR="00FF6D10" w:rsidRPr="48DCB825">
        <w:rPr>
          <w:lang w:val="en-US"/>
        </w:rPr>
        <w:t>truction and manufacturing</w:t>
      </w:r>
      <w:r w:rsidR="00D90195" w:rsidRPr="48DCB825">
        <w:rPr>
          <w:lang w:val="en-US"/>
        </w:rPr>
        <w:t>.</w:t>
      </w:r>
    </w:p>
    <w:p w14:paraId="5DDCD8E3" w14:textId="621F94D8" w:rsidR="00D90195" w:rsidRDefault="00D90195" w:rsidP="004A1A49">
      <w:pPr>
        <w:pStyle w:val="BodyText"/>
      </w:pPr>
      <w:r w:rsidRPr="48DCB825">
        <w:rPr>
          <w:lang w:val="en-US"/>
        </w:rPr>
        <w:t xml:space="preserve">The cost of capital plays an important role in </w:t>
      </w:r>
      <w:r w:rsidR="00DE6BB0" w:rsidRPr="48DCB825">
        <w:rPr>
          <w:lang w:val="en-US"/>
        </w:rPr>
        <w:t xml:space="preserve">determining the </w:t>
      </w:r>
      <w:r w:rsidR="00F51B1F">
        <w:rPr>
          <w:lang w:val="en-US"/>
        </w:rPr>
        <w:t>amount</w:t>
      </w:r>
      <w:r w:rsidR="00F51B1F" w:rsidRPr="48DCB825">
        <w:rPr>
          <w:lang w:val="en-US"/>
        </w:rPr>
        <w:t xml:space="preserve"> </w:t>
      </w:r>
      <w:r w:rsidR="00DE6BB0" w:rsidRPr="48DCB825">
        <w:rPr>
          <w:lang w:val="en-US"/>
        </w:rPr>
        <w:t xml:space="preserve">of investment that is undertaken within an economy. </w:t>
      </w:r>
      <w:r w:rsidR="00B23EB2" w:rsidRPr="48DCB825">
        <w:rPr>
          <w:lang w:val="en-US"/>
        </w:rPr>
        <w:t>The cost of capital represents the minimum rate of return</w:t>
      </w:r>
      <w:r w:rsidR="002D5CF7" w:rsidRPr="48DCB825">
        <w:rPr>
          <w:lang w:val="en-US"/>
        </w:rPr>
        <w:t xml:space="preserve"> (or</w:t>
      </w:r>
      <w:r w:rsidR="000A1B1B">
        <w:rPr>
          <w:lang w:val="en-US"/>
        </w:rPr>
        <w:t> </w:t>
      </w:r>
      <w:r w:rsidR="002D5CF7" w:rsidRPr="48DCB825">
        <w:rPr>
          <w:lang w:val="en-US"/>
        </w:rPr>
        <w:t>hurdle rate)</w:t>
      </w:r>
      <w:r w:rsidR="00B23EB2" w:rsidRPr="48DCB825">
        <w:rPr>
          <w:lang w:val="en-US"/>
        </w:rPr>
        <w:t xml:space="preserve"> that a business</w:t>
      </w:r>
      <w:r w:rsidR="00B55889" w:rsidRPr="48DCB825">
        <w:rPr>
          <w:lang w:val="en-US"/>
        </w:rPr>
        <w:t xml:space="preserve"> or </w:t>
      </w:r>
      <w:r w:rsidR="00B23EB2" w:rsidRPr="48DCB825">
        <w:rPr>
          <w:lang w:val="en-US"/>
        </w:rPr>
        <w:t xml:space="preserve">investor needs to </w:t>
      </w:r>
      <w:r w:rsidR="007D29E9" w:rsidRPr="48DCB825">
        <w:rPr>
          <w:lang w:val="en-US"/>
        </w:rPr>
        <w:t xml:space="preserve">earn </w:t>
      </w:r>
      <w:proofErr w:type="gramStart"/>
      <w:r w:rsidR="007D29E9" w:rsidRPr="48DCB825">
        <w:rPr>
          <w:lang w:val="en-US"/>
        </w:rPr>
        <w:t>in order to</w:t>
      </w:r>
      <w:proofErr w:type="gramEnd"/>
      <w:r w:rsidR="007D29E9" w:rsidRPr="48DCB825">
        <w:rPr>
          <w:lang w:val="en-US"/>
        </w:rPr>
        <w:t xml:space="preserve"> </w:t>
      </w:r>
      <w:r w:rsidR="00B11BC2" w:rsidRPr="48DCB825">
        <w:rPr>
          <w:lang w:val="en-US"/>
        </w:rPr>
        <w:t xml:space="preserve">both cover the cost of financing and </w:t>
      </w:r>
      <w:r w:rsidR="007D29E9" w:rsidRPr="48DCB825">
        <w:rPr>
          <w:lang w:val="en-US"/>
        </w:rPr>
        <w:t>justify undertaking an investment</w:t>
      </w:r>
      <w:r w:rsidR="00213E7C" w:rsidRPr="48DCB825">
        <w:rPr>
          <w:lang w:val="en-US"/>
        </w:rPr>
        <w:t>.</w:t>
      </w:r>
    </w:p>
    <w:p w14:paraId="23CBCED4" w14:textId="77777777" w:rsidR="004D059D" w:rsidRDefault="004D059D">
      <w:pPr>
        <w:spacing w:before="360" w:after="120"/>
        <w:rPr>
          <w:rFonts w:ascii="Public Sans" w:hAnsi="Public Sans" w:cs="Arial"/>
          <w:iCs/>
          <w:color w:val="000000" w:themeColor="text1"/>
          <w:sz w:val="22"/>
        </w:rPr>
      </w:pPr>
      <w:r>
        <w:br w:type="page"/>
      </w:r>
    </w:p>
    <w:p w14:paraId="2385F608" w14:textId="064F1B02" w:rsidR="00E21C06" w:rsidRDefault="00213E7C" w:rsidP="004A1A49">
      <w:pPr>
        <w:pStyle w:val="BodyText"/>
        <w:rPr>
          <w:lang w:val="en-US"/>
        </w:rPr>
      </w:pPr>
      <w:r w:rsidRPr="48DCB825">
        <w:rPr>
          <w:lang w:val="en-US"/>
        </w:rPr>
        <w:lastRenderedPageBreak/>
        <w:t>In this scenario, it is assumed that an event occurs which causes the cost of capital to fall</w:t>
      </w:r>
      <w:r w:rsidR="008875EA">
        <w:rPr>
          <w:lang w:val="en-US"/>
        </w:rPr>
        <w:t xml:space="preserve"> by a combined 100 basis points over two years</w:t>
      </w:r>
      <w:r w:rsidR="0084482F">
        <w:rPr>
          <w:lang w:val="en-US"/>
        </w:rPr>
        <w:t xml:space="preserve">, which is gradually unwound over </w:t>
      </w:r>
      <w:r w:rsidR="003C227F">
        <w:rPr>
          <w:lang w:val="en-US"/>
        </w:rPr>
        <w:t xml:space="preserve">the </w:t>
      </w:r>
      <w:r w:rsidR="0084482F">
        <w:rPr>
          <w:lang w:val="en-US"/>
        </w:rPr>
        <w:t>following years</w:t>
      </w:r>
      <w:r w:rsidRPr="48DCB825">
        <w:rPr>
          <w:lang w:val="en-US"/>
        </w:rPr>
        <w:t xml:space="preserve">. In the current global environment, </w:t>
      </w:r>
      <w:r w:rsidR="00B11BC2" w:rsidRPr="48DCB825">
        <w:rPr>
          <w:lang w:val="en-US"/>
        </w:rPr>
        <w:t>one potential</w:t>
      </w:r>
      <w:r w:rsidR="00274C76">
        <w:rPr>
          <w:lang w:val="en-US"/>
        </w:rPr>
        <w:t>,</w:t>
      </w:r>
      <w:r w:rsidR="00B11BC2" w:rsidRPr="48DCB825">
        <w:rPr>
          <w:lang w:val="en-US"/>
        </w:rPr>
        <w:t xml:space="preserve"> </w:t>
      </w:r>
      <w:r w:rsidRPr="48DCB825">
        <w:rPr>
          <w:lang w:val="en-US"/>
        </w:rPr>
        <w:t xml:space="preserve">plausible event could stem from the impact </w:t>
      </w:r>
      <w:r w:rsidR="5BC0DFB0" w:rsidRPr="5B0B5067">
        <w:rPr>
          <w:lang w:val="en-US"/>
        </w:rPr>
        <w:t>of</w:t>
      </w:r>
      <w:r w:rsidRPr="5792610F">
        <w:rPr>
          <w:lang w:val="en-US"/>
        </w:rPr>
        <w:t xml:space="preserve"> </w:t>
      </w:r>
      <w:r w:rsidRPr="48DCB825">
        <w:rPr>
          <w:lang w:val="en-US"/>
        </w:rPr>
        <w:t>higher tariffs on the U</w:t>
      </w:r>
      <w:r w:rsidR="00503CC3">
        <w:rPr>
          <w:lang w:val="en-US"/>
        </w:rPr>
        <w:t xml:space="preserve">nited </w:t>
      </w:r>
      <w:r w:rsidRPr="48DCB825">
        <w:rPr>
          <w:lang w:val="en-US"/>
        </w:rPr>
        <w:t>S</w:t>
      </w:r>
      <w:r w:rsidR="00503CC3">
        <w:rPr>
          <w:lang w:val="en-US"/>
        </w:rPr>
        <w:t>tates (</w:t>
      </w:r>
      <w:r w:rsidRPr="48DCB825">
        <w:rPr>
          <w:lang w:val="en-US"/>
        </w:rPr>
        <w:t>US</w:t>
      </w:r>
      <w:r w:rsidR="00503CC3">
        <w:rPr>
          <w:lang w:val="en-US"/>
        </w:rPr>
        <w:t>)</w:t>
      </w:r>
      <w:r w:rsidRPr="48DCB825">
        <w:rPr>
          <w:lang w:val="en-US"/>
        </w:rPr>
        <w:t xml:space="preserve"> economy. </w:t>
      </w:r>
      <w:r w:rsidR="00EC45D7" w:rsidRPr="48DCB825">
        <w:rPr>
          <w:lang w:val="en-US"/>
        </w:rPr>
        <w:t xml:space="preserve">For example, modelling of the impacts of US tariffs undertaken by </w:t>
      </w:r>
      <w:r w:rsidRPr="48DCB825">
        <w:rPr>
          <w:lang w:val="en-US"/>
        </w:rPr>
        <w:t xml:space="preserve">Giesecke and </w:t>
      </w:r>
      <w:proofErr w:type="spellStart"/>
      <w:r w:rsidRPr="48DCB825">
        <w:rPr>
          <w:lang w:val="en-US"/>
        </w:rPr>
        <w:t>Waschik</w:t>
      </w:r>
      <w:proofErr w:type="spellEnd"/>
      <w:r w:rsidRPr="48DCB825">
        <w:rPr>
          <w:lang w:val="en-US"/>
        </w:rPr>
        <w:t xml:space="preserve"> (2025)</w:t>
      </w:r>
      <w:r w:rsidR="000F3BBC">
        <w:rPr>
          <w:rStyle w:val="FootnoteReference"/>
          <w:lang w:val="en-US"/>
        </w:rPr>
        <w:footnoteReference w:id="3"/>
      </w:r>
      <w:r w:rsidRPr="48DCB825">
        <w:rPr>
          <w:lang w:val="en-US"/>
        </w:rPr>
        <w:t xml:space="preserve"> </w:t>
      </w:r>
      <w:r w:rsidR="00EC45D7" w:rsidRPr="48DCB825">
        <w:rPr>
          <w:lang w:val="en-US"/>
        </w:rPr>
        <w:t>indicated that</w:t>
      </w:r>
      <w:r w:rsidRPr="48DCB825">
        <w:rPr>
          <w:lang w:val="en-US"/>
        </w:rPr>
        <w:t xml:space="preserve"> a contraction in US real investment</w:t>
      </w:r>
      <w:r w:rsidR="0032476E" w:rsidRPr="48DCB825">
        <w:rPr>
          <w:lang w:val="en-US"/>
        </w:rPr>
        <w:t xml:space="preserve"> could</w:t>
      </w:r>
      <w:r w:rsidRPr="48DCB825">
        <w:rPr>
          <w:lang w:val="en-US"/>
        </w:rPr>
        <w:t xml:space="preserve"> reduce global demand for financial capital</w:t>
      </w:r>
      <w:r w:rsidR="0035696B" w:rsidRPr="48DCB825">
        <w:rPr>
          <w:lang w:val="en-US"/>
        </w:rPr>
        <w:t>, thereby creating an excess of global savings which would</w:t>
      </w:r>
      <w:r w:rsidRPr="48DCB825">
        <w:rPr>
          <w:lang w:val="en-US"/>
        </w:rPr>
        <w:t xml:space="preserve"> lower required rates of return. </w:t>
      </w:r>
      <w:r w:rsidR="00FB0C4A" w:rsidRPr="48DCB825">
        <w:rPr>
          <w:lang w:val="en-US"/>
        </w:rPr>
        <w:t xml:space="preserve">A similar outcome </w:t>
      </w:r>
      <w:r w:rsidR="00844818">
        <w:rPr>
          <w:lang w:val="en-US"/>
        </w:rPr>
        <w:t>co</w:t>
      </w:r>
      <w:r w:rsidR="00876253">
        <w:rPr>
          <w:lang w:val="en-US"/>
        </w:rPr>
        <w:t>uld</w:t>
      </w:r>
      <w:r w:rsidR="00FB0C4A" w:rsidRPr="3065398C">
        <w:rPr>
          <w:lang w:val="en-US"/>
        </w:rPr>
        <w:t xml:space="preserve"> </w:t>
      </w:r>
      <w:r w:rsidR="00FB0C4A" w:rsidRPr="48DCB825">
        <w:rPr>
          <w:lang w:val="en-US"/>
        </w:rPr>
        <w:t xml:space="preserve">occur </w:t>
      </w:r>
      <w:r w:rsidR="004C4207">
        <w:rPr>
          <w:lang w:val="en-US"/>
        </w:rPr>
        <w:t>if</w:t>
      </w:r>
      <w:r w:rsidRPr="48DCB825">
        <w:rPr>
          <w:lang w:val="en-US"/>
        </w:rPr>
        <w:t xml:space="preserve"> current </w:t>
      </w:r>
      <w:r w:rsidR="0035696B" w:rsidRPr="48DCB825">
        <w:rPr>
          <w:lang w:val="en-US"/>
        </w:rPr>
        <w:t xml:space="preserve">elevated levels of </w:t>
      </w:r>
      <w:r w:rsidRPr="48DCB825">
        <w:rPr>
          <w:lang w:val="en-US"/>
        </w:rPr>
        <w:t>policy uncertainty in the US negatively impact the ‘safe haven’ status of the US economy, prompting foreign capital to seek out alternative</w:t>
      </w:r>
      <w:r w:rsidR="00FB0C4A" w:rsidRPr="48DCB825">
        <w:rPr>
          <w:lang w:val="en-US"/>
        </w:rPr>
        <w:t>s</w:t>
      </w:r>
      <w:r w:rsidR="00122C5D" w:rsidRPr="48DCB825">
        <w:rPr>
          <w:lang w:val="en-US"/>
        </w:rPr>
        <w:t xml:space="preserve">. </w:t>
      </w:r>
    </w:p>
    <w:p w14:paraId="23B6315F" w14:textId="5507B3B4" w:rsidR="00786EEC" w:rsidRDefault="00122C5D" w:rsidP="004A1A49">
      <w:pPr>
        <w:pStyle w:val="BodyText"/>
        <w:rPr>
          <w:lang w:val="en-US"/>
        </w:rPr>
      </w:pPr>
      <w:r w:rsidRPr="48DCB825">
        <w:rPr>
          <w:lang w:val="en-US"/>
        </w:rPr>
        <w:t>This could see an increase in financial capital flowing to Australia</w:t>
      </w:r>
      <w:r w:rsidR="00213E7C" w:rsidRPr="48DCB825">
        <w:rPr>
          <w:lang w:val="en-US"/>
        </w:rPr>
        <w:t>, thereby lowering the cost of capital.</w:t>
      </w:r>
    </w:p>
    <w:p w14:paraId="202F4D99" w14:textId="2993B4CC" w:rsidR="004C6F2C" w:rsidRPr="00A97885" w:rsidRDefault="00F21E77" w:rsidP="00BE4A9E">
      <w:pPr>
        <w:pStyle w:val="Heading4"/>
      </w:pPr>
      <w:r>
        <w:t xml:space="preserve">Impact on the NSW </w:t>
      </w:r>
      <w:r w:rsidR="00E21C06">
        <w:t>m</w:t>
      </w:r>
      <w:r w:rsidR="00F03A8E">
        <w:t>acroeconom</w:t>
      </w:r>
      <w:r w:rsidR="00584C24">
        <w:t>y</w:t>
      </w:r>
    </w:p>
    <w:p w14:paraId="1E0B8FF6" w14:textId="01F36572" w:rsidR="00A064CB" w:rsidRDefault="00A225A3" w:rsidP="00446DBA">
      <w:pPr>
        <w:pStyle w:val="BodyText"/>
      </w:pPr>
      <w:r>
        <w:rPr>
          <w:lang w:val="en-US"/>
        </w:rPr>
        <w:t>A</w:t>
      </w:r>
      <w:r w:rsidR="00446DBA" w:rsidRPr="48DCB825">
        <w:rPr>
          <w:lang w:val="en-US"/>
        </w:rPr>
        <w:t xml:space="preserve"> lower </w:t>
      </w:r>
      <w:r w:rsidR="005E3B6A" w:rsidRPr="48DCB825">
        <w:rPr>
          <w:lang w:val="en-US"/>
        </w:rPr>
        <w:t>cost of capital</w:t>
      </w:r>
      <w:r w:rsidR="00446DBA" w:rsidRPr="48DCB825">
        <w:rPr>
          <w:lang w:val="en-US"/>
        </w:rPr>
        <w:t xml:space="preserve"> in Australia make</w:t>
      </w:r>
      <w:r w:rsidR="002A0235" w:rsidRPr="48DCB825">
        <w:rPr>
          <w:lang w:val="en-US"/>
        </w:rPr>
        <w:t>s</w:t>
      </w:r>
      <w:r w:rsidR="00446DBA" w:rsidRPr="48DCB825">
        <w:rPr>
          <w:lang w:val="en-US"/>
        </w:rPr>
        <w:t xml:space="preserve"> investment more attractive</w:t>
      </w:r>
      <w:r w:rsidR="00D56F3C" w:rsidRPr="48DCB825">
        <w:rPr>
          <w:lang w:val="en-US"/>
        </w:rPr>
        <w:t xml:space="preserve">, </w:t>
      </w:r>
      <w:r w:rsidR="00C94DE4">
        <w:rPr>
          <w:lang w:val="en-US"/>
        </w:rPr>
        <w:t>increasing</w:t>
      </w:r>
      <w:r w:rsidR="00C94DE4" w:rsidRPr="48DCB825">
        <w:rPr>
          <w:lang w:val="en-US"/>
        </w:rPr>
        <w:t xml:space="preserve"> </w:t>
      </w:r>
      <w:r w:rsidR="00B42600" w:rsidRPr="48DCB825">
        <w:rPr>
          <w:lang w:val="en-US"/>
        </w:rPr>
        <w:t>real</w:t>
      </w:r>
      <w:r w:rsidR="00D56F3C" w:rsidRPr="48DCB825">
        <w:rPr>
          <w:lang w:val="en-US"/>
        </w:rPr>
        <w:t xml:space="preserve"> investment</w:t>
      </w:r>
      <w:r w:rsidR="00B42600" w:rsidRPr="48DCB825">
        <w:rPr>
          <w:lang w:val="en-US"/>
        </w:rPr>
        <w:t xml:space="preserve"> in N</w:t>
      </w:r>
      <w:r w:rsidR="00AD5873">
        <w:rPr>
          <w:lang w:val="en-US"/>
        </w:rPr>
        <w:t xml:space="preserve">ew </w:t>
      </w:r>
      <w:r w:rsidR="00B42600" w:rsidRPr="48DCB825">
        <w:rPr>
          <w:lang w:val="en-US"/>
        </w:rPr>
        <w:t>S</w:t>
      </w:r>
      <w:r w:rsidR="00AD5873">
        <w:rPr>
          <w:lang w:val="en-US"/>
        </w:rPr>
        <w:t xml:space="preserve">outh </w:t>
      </w:r>
      <w:r w:rsidR="00B42600" w:rsidRPr="48DCB825">
        <w:rPr>
          <w:lang w:val="en-US"/>
        </w:rPr>
        <w:t>W</w:t>
      </w:r>
      <w:r w:rsidR="00AD5873">
        <w:rPr>
          <w:lang w:val="en-US"/>
        </w:rPr>
        <w:t>ales</w:t>
      </w:r>
      <w:r w:rsidR="00D56F3C" w:rsidRPr="48DCB825">
        <w:rPr>
          <w:lang w:val="en-US"/>
        </w:rPr>
        <w:t xml:space="preserve"> by </w:t>
      </w:r>
      <w:r w:rsidR="00B42600" w:rsidRPr="48DCB825">
        <w:rPr>
          <w:lang w:val="en-US"/>
        </w:rPr>
        <w:t>almost 5</w:t>
      </w:r>
      <w:r w:rsidR="00AD5873">
        <w:rPr>
          <w:lang w:val="en-US"/>
        </w:rPr>
        <w:t>.0</w:t>
      </w:r>
      <w:r w:rsidR="00B42600" w:rsidRPr="48DCB825">
        <w:rPr>
          <w:lang w:val="en-US"/>
        </w:rPr>
        <w:t> per cent</w:t>
      </w:r>
      <w:r w:rsidR="00A064CB" w:rsidRPr="48DCB825">
        <w:rPr>
          <w:lang w:val="en-US"/>
        </w:rPr>
        <w:t xml:space="preserve"> relative to </w:t>
      </w:r>
      <w:r w:rsidR="00AD5873">
        <w:rPr>
          <w:lang w:val="en-US"/>
        </w:rPr>
        <w:t xml:space="preserve">the </w:t>
      </w:r>
      <w:r w:rsidR="00A064CB" w:rsidRPr="48DCB825">
        <w:rPr>
          <w:lang w:val="en-US"/>
        </w:rPr>
        <w:t>baseline after two years</w:t>
      </w:r>
      <w:r w:rsidR="00446DBA" w:rsidRPr="48DCB825">
        <w:rPr>
          <w:lang w:val="en-US"/>
        </w:rPr>
        <w:t xml:space="preserve">. </w:t>
      </w:r>
    </w:p>
    <w:p w14:paraId="313F2606" w14:textId="41E2A1CE" w:rsidR="00062ED8" w:rsidRDefault="00516A37" w:rsidP="00446DBA">
      <w:pPr>
        <w:pStyle w:val="BodyText"/>
        <w:rPr>
          <w:lang w:val="en-US"/>
        </w:rPr>
      </w:pPr>
      <w:r>
        <w:rPr>
          <w:lang w:val="en-US"/>
        </w:rPr>
        <w:t xml:space="preserve">While higher </w:t>
      </w:r>
      <w:r w:rsidR="00D718F8">
        <w:rPr>
          <w:lang w:val="en-US"/>
        </w:rPr>
        <w:t xml:space="preserve">investment </w:t>
      </w:r>
      <w:r>
        <w:rPr>
          <w:lang w:val="en-US"/>
        </w:rPr>
        <w:t xml:space="preserve">involves the deployment of capital, it also </w:t>
      </w:r>
      <w:r w:rsidR="00D718F8">
        <w:rPr>
          <w:lang w:val="en-US"/>
        </w:rPr>
        <w:t xml:space="preserve">increases </w:t>
      </w:r>
      <w:r w:rsidR="008F1363">
        <w:rPr>
          <w:lang w:val="en-US"/>
        </w:rPr>
        <w:t xml:space="preserve">employment to support that investment. </w:t>
      </w:r>
      <w:r w:rsidR="005C792F">
        <w:rPr>
          <w:lang w:val="en-US"/>
        </w:rPr>
        <w:t>The resulting increase in</w:t>
      </w:r>
      <w:r w:rsidR="00522EC0">
        <w:rPr>
          <w:lang w:val="en-US"/>
        </w:rPr>
        <w:t xml:space="preserve"> household incomes</w:t>
      </w:r>
      <w:r w:rsidR="00446DBA" w:rsidRPr="48DCB825">
        <w:rPr>
          <w:lang w:val="en-US"/>
        </w:rPr>
        <w:t xml:space="preserve"> in </w:t>
      </w:r>
      <w:r w:rsidR="00DD15C5" w:rsidRPr="48DCB825">
        <w:rPr>
          <w:lang w:val="en-US"/>
        </w:rPr>
        <w:t>turn</w:t>
      </w:r>
      <w:r w:rsidR="00446DBA" w:rsidRPr="48DCB825">
        <w:rPr>
          <w:lang w:val="en-US"/>
        </w:rPr>
        <w:t xml:space="preserve"> helps boost household consumption. In the </w:t>
      </w:r>
      <w:proofErr w:type="gramStart"/>
      <w:r w:rsidR="00446DBA" w:rsidRPr="48DCB825">
        <w:rPr>
          <w:lang w:val="en-US"/>
        </w:rPr>
        <w:t>longer</w:t>
      </w:r>
      <w:proofErr w:type="gramEnd"/>
      <w:r w:rsidR="00446DBA" w:rsidRPr="48DCB825">
        <w:rPr>
          <w:lang w:val="en-US"/>
        </w:rPr>
        <w:t xml:space="preserve"> </w:t>
      </w:r>
      <w:r w:rsidR="00D9538A">
        <w:rPr>
          <w:lang w:val="en-US"/>
        </w:rPr>
        <w:t>run</w:t>
      </w:r>
      <w:r w:rsidR="00446DBA" w:rsidRPr="48DCB825">
        <w:rPr>
          <w:lang w:val="en-US"/>
        </w:rPr>
        <w:t>, the additional capital accumulation leads to slower rates of additional investment, which starts unwind</w:t>
      </w:r>
      <w:r w:rsidR="00FD3AFC" w:rsidRPr="48DCB825">
        <w:rPr>
          <w:lang w:val="en-US"/>
        </w:rPr>
        <w:t>ing</w:t>
      </w:r>
      <w:r w:rsidR="00446DBA" w:rsidRPr="48DCB825">
        <w:rPr>
          <w:lang w:val="en-US"/>
        </w:rPr>
        <w:t xml:space="preserve"> the short-term impacts on economic activity.</w:t>
      </w:r>
    </w:p>
    <w:p w14:paraId="400F15EA" w14:textId="0F9B470E" w:rsidR="00446DBA" w:rsidRDefault="00062ED8" w:rsidP="00446DBA">
      <w:pPr>
        <w:pStyle w:val="BodyText"/>
      </w:pPr>
      <w:r w:rsidRPr="48DCB825">
        <w:rPr>
          <w:lang w:val="en-US"/>
        </w:rPr>
        <w:t xml:space="preserve">Higher domestic demand </w:t>
      </w:r>
      <w:r w:rsidR="001D3309">
        <w:rPr>
          <w:lang w:val="en-US"/>
        </w:rPr>
        <w:t>increases imports and the current account deficit</w:t>
      </w:r>
      <w:r w:rsidR="00D2085B">
        <w:rPr>
          <w:lang w:val="en-US"/>
        </w:rPr>
        <w:t>. Meanwhile</w:t>
      </w:r>
      <w:r w:rsidR="00B16D8A">
        <w:rPr>
          <w:lang w:val="en-US"/>
        </w:rPr>
        <w:t xml:space="preserve"> </w:t>
      </w:r>
      <w:r w:rsidR="00AB569F">
        <w:rPr>
          <w:lang w:val="en-US"/>
        </w:rPr>
        <w:t>an</w:t>
      </w:r>
      <w:r w:rsidR="00B16D8A">
        <w:rPr>
          <w:lang w:val="en-US"/>
        </w:rPr>
        <w:t xml:space="preserve"> influx of foreign capital</w:t>
      </w:r>
      <w:r w:rsidR="00970BED">
        <w:rPr>
          <w:lang w:val="en-US"/>
        </w:rPr>
        <w:t xml:space="preserve"> and higher wages</w:t>
      </w:r>
      <w:r w:rsidR="00AB569F">
        <w:rPr>
          <w:lang w:val="en-US"/>
        </w:rPr>
        <w:t xml:space="preserve"> </w:t>
      </w:r>
      <w:r w:rsidRPr="48DCB825">
        <w:rPr>
          <w:lang w:val="en-US"/>
        </w:rPr>
        <w:t>put</w:t>
      </w:r>
      <w:r w:rsidR="00AB569F">
        <w:rPr>
          <w:lang w:val="en-US"/>
        </w:rPr>
        <w:t>s</w:t>
      </w:r>
      <w:r w:rsidRPr="48DCB825">
        <w:rPr>
          <w:lang w:val="en-US"/>
        </w:rPr>
        <w:t xml:space="preserve"> upward pressure on the</w:t>
      </w:r>
      <w:r w:rsidR="001C5603">
        <w:rPr>
          <w:lang w:val="en-US"/>
        </w:rPr>
        <w:t xml:space="preserve"> real</w:t>
      </w:r>
      <w:r w:rsidRPr="48DCB825">
        <w:rPr>
          <w:lang w:val="en-US"/>
        </w:rPr>
        <w:t xml:space="preserve"> exchange rate</w:t>
      </w:r>
      <w:r w:rsidR="005B0A43">
        <w:rPr>
          <w:lang w:val="en-US"/>
        </w:rPr>
        <w:t xml:space="preserve">, </w:t>
      </w:r>
      <w:r w:rsidR="00436E4B">
        <w:rPr>
          <w:lang w:val="en-US"/>
        </w:rPr>
        <w:t xml:space="preserve">weakening </w:t>
      </w:r>
      <w:r w:rsidR="001C5603">
        <w:rPr>
          <w:lang w:val="en-US"/>
        </w:rPr>
        <w:t>international competitiveness</w:t>
      </w:r>
      <w:r w:rsidR="005B0A43">
        <w:rPr>
          <w:lang w:val="en-US"/>
        </w:rPr>
        <w:t xml:space="preserve"> and exports, contributing further to the current account deficit</w:t>
      </w:r>
      <w:r w:rsidRPr="48DCB825">
        <w:rPr>
          <w:lang w:val="en-US"/>
        </w:rPr>
        <w:t xml:space="preserve">. </w:t>
      </w:r>
    </w:p>
    <w:p w14:paraId="5E45BCBD" w14:textId="77777777" w:rsidR="00982A48" w:rsidRDefault="00446DBA" w:rsidP="00BE4A9E">
      <w:pPr>
        <w:pStyle w:val="BodyText"/>
        <w:rPr>
          <w:lang w:val="en-US"/>
        </w:rPr>
      </w:pPr>
      <w:r w:rsidRPr="48DCB825">
        <w:rPr>
          <w:lang w:val="en-US"/>
        </w:rPr>
        <w:t xml:space="preserve">The positive impact from higher consumption and investment in this scenario is relatively large in the near-term, although the overall impact on gross state product (GSP) is muted somewhat by weaker net exports. Real GSP rises above baseline in 2025-26 and then increases further </w:t>
      </w:r>
      <w:r w:rsidR="00FD3AFC" w:rsidRPr="48DCB825">
        <w:rPr>
          <w:lang w:val="en-US"/>
        </w:rPr>
        <w:t xml:space="preserve">in </w:t>
      </w:r>
      <w:r w:rsidRPr="48DCB825">
        <w:rPr>
          <w:lang w:val="en-US"/>
        </w:rPr>
        <w:t xml:space="preserve">2026-27. </w:t>
      </w:r>
    </w:p>
    <w:p w14:paraId="3A5C678A" w14:textId="0C9338CF" w:rsidR="008B3F05" w:rsidRDefault="006C3028" w:rsidP="008B3F05">
      <w:pPr>
        <w:pStyle w:val="TableFX"/>
      </w:pPr>
      <w:r>
        <w:t xml:space="preserve">Effect on major </w:t>
      </w:r>
      <w:r w:rsidR="000076A5">
        <w:t xml:space="preserve">NSW </w:t>
      </w:r>
      <w:r>
        <w:t>economic parameters fro</w:t>
      </w:r>
      <w:r w:rsidR="00563F45">
        <w:t>m a lower cost of capital</w:t>
      </w:r>
      <w:r w:rsidR="006E4F7D" w:rsidRPr="006E4F7D">
        <w:rPr>
          <w:vertAlign w:val="superscript"/>
        </w:rPr>
        <w:t>(a)</w:t>
      </w:r>
    </w:p>
    <w:tbl>
      <w:tblPr>
        <w:tblW w:w="9639" w:type="dxa"/>
        <w:tblLayout w:type="fixed"/>
        <w:tblLook w:val="0000" w:firstRow="0" w:lastRow="0" w:firstColumn="0" w:lastColumn="0" w:noHBand="0" w:noVBand="0"/>
        <w:tblCaption w:val="Table F.1: Effect on major NSW economic parameters from a lower cost of capital"/>
      </w:tblPr>
      <w:tblGrid>
        <w:gridCol w:w="5670"/>
        <w:gridCol w:w="992"/>
        <w:gridCol w:w="992"/>
        <w:gridCol w:w="992"/>
        <w:gridCol w:w="993"/>
      </w:tblGrid>
      <w:tr w:rsidR="00E700A5" w:rsidRPr="00BF4B22" w14:paraId="21329920" w14:textId="77777777" w:rsidTr="00D31155">
        <w:trPr>
          <w:cantSplit/>
          <w:trHeight w:val="344"/>
        </w:trPr>
        <w:tc>
          <w:tcPr>
            <w:tcW w:w="5670" w:type="dxa"/>
            <w:shd w:val="clear" w:color="auto" w:fill="EBEBEB"/>
            <w:vAlign w:val="center"/>
          </w:tcPr>
          <w:p w14:paraId="5A177F19" w14:textId="43E19658" w:rsidR="00B76E8E" w:rsidRPr="0065796E" w:rsidRDefault="00B76E8E" w:rsidP="00604EEE">
            <w:pPr>
              <w:spacing w:before="80" w:after="80"/>
              <w:rPr>
                <w:rFonts w:ascii="Public Sans" w:hAnsi="Public Sans" w:cs="Arial"/>
                <w:sz w:val="17"/>
                <w:szCs w:val="17"/>
              </w:rPr>
            </w:pPr>
            <w:r w:rsidRPr="0065796E">
              <w:rPr>
                <w:rFonts w:ascii="Public Sans" w:hAnsi="Public Sans" w:cs="Arial"/>
                <w:sz w:val="17"/>
                <w:szCs w:val="17"/>
              </w:rPr>
              <w:t>Financial year estimate</w:t>
            </w:r>
            <w:r w:rsidR="006E4F7D" w:rsidRPr="0065796E">
              <w:rPr>
                <w:rFonts w:ascii="Public Sans" w:hAnsi="Public Sans" w:cs="Arial"/>
                <w:sz w:val="17"/>
                <w:szCs w:val="17"/>
                <w:vertAlign w:val="superscript"/>
              </w:rPr>
              <w:t>(a)</w:t>
            </w:r>
          </w:p>
        </w:tc>
        <w:tc>
          <w:tcPr>
            <w:tcW w:w="992" w:type="dxa"/>
            <w:shd w:val="clear" w:color="auto" w:fill="EBEBEB"/>
            <w:vAlign w:val="center"/>
          </w:tcPr>
          <w:p w14:paraId="5273D685" w14:textId="348DE386" w:rsidR="00B76E8E" w:rsidRPr="0065796E" w:rsidRDefault="00B76E8E" w:rsidP="00604EEE">
            <w:pPr>
              <w:spacing w:before="80" w:after="80"/>
              <w:jc w:val="center"/>
              <w:rPr>
                <w:rFonts w:ascii="Public Sans" w:hAnsi="Public Sans" w:cs="Arial"/>
                <w:sz w:val="17"/>
                <w:szCs w:val="17"/>
              </w:rPr>
            </w:pPr>
            <w:r w:rsidRPr="0065796E">
              <w:rPr>
                <w:rFonts w:ascii="Public Sans" w:hAnsi="Public Sans" w:cs="Arial"/>
                <w:sz w:val="17"/>
                <w:szCs w:val="17"/>
              </w:rPr>
              <w:t>2025-26</w:t>
            </w:r>
          </w:p>
        </w:tc>
        <w:tc>
          <w:tcPr>
            <w:tcW w:w="992" w:type="dxa"/>
            <w:shd w:val="clear" w:color="auto" w:fill="EBEBEB"/>
            <w:vAlign w:val="center"/>
          </w:tcPr>
          <w:p w14:paraId="40F9907F" w14:textId="7C6D7E62" w:rsidR="00B76E8E" w:rsidRPr="0065796E" w:rsidRDefault="00B76E8E" w:rsidP="00604EEE">
            <w:pPr>
              <w:spacing w:before="80" w:after="80"/>
              <w:jc w:val="center"/>
              <w:rPr>
                <w:rFonts w:ascii="Public Sans" w:hAnsi="Public Sans" w:cs="Arial"/>
                <w:sz w:val="17"/>
                <w:szCs w:val="17"/>
              </w:rPr>
            </w:pPr>
            <w:r w:rsidRPr="0065796E">
              <w:rPr>
                <w:rFonts w:ascii="Public Sans" w:hAnsi="Public Sans" w:cs="Arial"/>
                <w:sz w:val="17"/>
                <w:szCs w:val="17"/>
              </w:rPr>
              <w:t>2026-27</w:t>
            </w:r>
          </w:p>
        </w:tc>
        <w:tc>
          <w:tcPr>
            <w:tcW w:w="992" w:type="dxa"/>
            <w:shd w:val="clear" w:color="auto" w:fill="EBEBEB"/>
            <w:vAlign w:val="center"/>
          </w:tcPr>
          <w:p w14:paraId="41292C5B" w14:textId="289D00D8" w:rsidR="00B76E8E" w:rsidRPr="0065796E" w:rsidRDefault="00B76E8E" w:rsidP="00604EEE">
            <w:pPr>
              <w:spacing w:before="80" w:after="80"/>
              <w:jc w:val="center"/>
              <w:rPr>
                <w:rFonts w:ascii="Public Sans" w:hAnsi="Public Sans" w:cs="Arial"/>
                <w:sz w:val="17"/>
                <w:szCs w:val="17"/>
              </w:rPr>
            </w:pPr>
            <w:r w:rsidRPr="0065796E">
              <w:rPr>
                <w:rFonts w:ascii="Public Sans" w:hAnsi="Public Sans" w:cs="Arial"/>
                <w:sz w:val="17"/>
                <w:szCs w:val="17"/>
              </w:rPr>
              <w:t>2027-28</w:t>
            </w:r>
          </w:p>
        </w:tc>
        <w:tc>
          <w:tcPr>
            <w:tcW w:w="993" w:type="dxa"/>
            <w:shd w:val="clear" w:color="auto" w:fill="EBEBEB"/>
            <w:vAlign w:val="center"/>
          </w:tcPr>
          <w:p w14:paraId="63977F31" w14:textId="5DCC890B" w:rsidR="00B76E8E" w:rsidRPr="0065796E" w:rsidRDefault="00B76E8E" w:rsidP="00604EEE">
            <w:pPr>
              <w:spacing w:before="80" w:after="80"/>
              <w:jc w:val="center"/>
              <w:rPr>
                <w:rFonts w:ascii="Public Sans" w:hAnsi="Public Sans" w:cs="Arial"/>
                <w:sz w:val="17"/>
                <w:szCs w:val="17"/>
              </w:rPr>
            </w:pPr>
            <w:r w:rsidRPr="0065796E">
              <w:rPr>
                <w:rFonts w:ascii="Public Sans" w:hAnsi="Public Sans" w:cs="Arial"/>
                <w:sz w:val="17"/>
                <w:szCs w:val="17"/>
              </w:rPr>
              <w:t>2028-29</w:t>
            </w:r>
          </w:p>
        </w:tc>
      </w:tr>
      <w:tr w:rsidR="002F1B2F" w:rsidRPr="00FC199D" w14:paraId="34549440" w14:textId="77777777" w:rsidTr="009F6C17">
        <w:trPr>
          <w:cantSplit/>
        </w:trPr>
        <w:tc>
          <w:tcPr>
            <w:tcW w:w="5670" w:type="dxa"/>
            <w:vAlign w:val="bottom"/>
          </w:tcPr>
          <w:p w14:paraId="0C28095B" w14:textId="75E702E9" w:rsidR="002F1B2F" w:rsidRPr="00FB21BA" w:rsidRDefault="002F1B2F" w:rsidP="002F1B2F">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State final demand</w:t>
            </w:r>
          </w:p>
        </w:tc>
        <w:tc>
          <w:tcPr>
            <w:tcW w:w="992" w:type="dxa"/>
            <w:shd w:val="clear" w:color="auto" w:fill="auto"/>
          </w:tcPr>
          <w:p w14:paraId="76FB95C3" w14:textId="10918BE4" w:rsidR="002F1B2F" w:rsidRPr="009F6C17" w:rsidRDefault="00C20BB7" w:rsidP="00AF1307">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1.</w:t>
            </w:r>
            <w:r w:rsidR="00787D43" w:rsidRPr="009F6C17">
              <w:rPr>
                <w:rFonts w:ascii="Public Sans" w:hAnsi="Public Sans" w:cs="Arial"/>
                <w:color w:val="000000" w:themeColor="text1"/>
                <w:sz w:val="16"/>
                <w:szCs w:val="16"/>
              </w:rPr>
              <w:t>3</w:t>
            </w:r>
          </w:p>
        </w:tc>
        <w:tc>
          <w:tcPr>
            <w:tcW w:w="992" w:type="dxa"/>
            <w:shd w:val="clear" w:color="auto" w:fill="auto"/>
            <w:vAlign w:val="center"/>
          </w:tcPr>
          <w:p w14:paraId="2CAD5267" w14:textId="3AB07309" w:rsidR="002F1B2F" w:rsidRPr="009F6C17" w:rsidRDefault="001C4312" w:rsidP="002F1B2F">
            <w:pPr>
              <w:spacing w:before="40" w:after="4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2.</w:t>
            </w:r>
            <w:r w:rsidR="00FC7EDD" w:rsidRPr="009F6C17">
              <w:rPr>
                <w:rFonts w:ascii="Public Sans" w:hAnsi="Public Sans" w:cs="Arial"/>
                <w:color w:val="000000" w:themeColor="text1"/>
                <w:sz w:val="16"/>
                <w:szCs w:val="16"/>
              </w:rPr>
              <w:t>6</w:t>
            </w:r>
          </w:p>
        </w:tc>
        <w:tc>
          <w:tcPr>
            <w:tcW w:w="992" w:type="dxa"/>
            <w:shd w:val="clear" w:color="auto" w:fill="auto"/>
            <w:vAlign w:val="center"/>
          </w:tcPr>
          <w:p w14:paraId="103EF6F0" w14:textId="1E39E581" w:rsidR="002F1B2F" w:rsidRPr="009F6C17" w:rsidRDefault="00FC7EDD" w:rsidP="002F1B2F">
            <w:pPr>
              <w:spacing w:before="40" w:after="4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2</w:t>
            </w:r>
            <w:r w:rsidR="001C4312" w:rsidRPr="009F6C17">
              <w:rPr>
                <w:rFonts w:ascii="Public Sans" w:hAnsi="Public Sans" w:cs="Arial"/>
                <w:color w:val="000000" w:themeColor="text1"/>
                <w:sz w:val="16"/>
                <w:szCs w:val="16"/>
              </w:rPr>
              <w:t>.</w:t>
            </w:r>
            <w:r w:rsidRPr="009F6C17">
              <w:rPr>
                <w:rFonts w:ascii="Public Sans" w:hAnsi="Public Sans" w:cs="Arial"/>
                <w:color w:val="000000" w:themeColor="text1"/>
                <w:sz w:val="16"/>
                <w:szCs w:val="16"/>
              </w:rPr>
              <w:t>0</w:t>
            </w:r>
          </w:p>
        </w:tc>
        <w:tc>
          <w:tcPr>
            <w:tcW w:w="993" w:type="dxa"/>
            <w:shd w:val="clear" w:color="auto" w:fill="auto"/>
            <w:vAlign w:val="center"/>
          </w:tcPr>
          <w:p w14:paraId="5A940D88" w14:textId="2E265969" w:rsidR="002F1B2F" w:rsidRPr="009F6C17" w:rsidRDefault="001C4312" w:rsidP="002F1B2F">
            <w:pPr>
              <w:spacing w:before="40" w:after="4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1.</w:t>
            </w:r>
            <w:r w:rsidR="006F45DC" w:rsidRPr="009F6C17">
              <w:rPr>
                <w:rFonts w:ascii="Public Sans" w:hAnsi="Public Sans" w:cs="Arial"/>
                <w:color w:val="000000" w:themeColor="text1"/>
                <w:sz w:val="16"/>
                <w:szCs w:val="16"/>
              </w:rPr>
              <w:t>5</w:t>
            </w:r>
          </w:p>
        </w:tc>
      </w:tr>
      <w:tr w:rsidR="002F1B2F" w:rsidRPr="00FC199D" w14:paraId="5A29C323" w14:textId="77777777" w:rsidTr="009F6C17">
        <w:trPr>
          <w:cantSplit/>
        </w:trPr>
        <w:tc>
          <w:tcPr>
            <w:tcW w:w="5670" w:type="dxa"/>
          </w:tcPr>
          <w:p w14:paraId="2BC83637" w14:textId="4658C4B8" w:rsidR="002F1B2F" w:rsidRPr="00FB21BA" w:rsidRDefault="002F1B2F" w:rsidP="002F1B2F">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Gross state product</w:t>
            </w:r>
          </w:p>
        </w:tc>
        <w:tc>
          <w:tcPr>
            <w:tcW w:w="992" w:type="dxa"/>
            <w:shd w:val="clear" w:color="auto" w:fill="auto"/>
          </w:tcPr>
          <w:p w14:paraId="3AD4A317" w14:textId="1040D8EE" w:rsidR="002F1B2F" w:rsidRPr="009F6C17" w:rsidRDefault="00AF1307"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7030EA" w:rsidRPr="009F6C17" w:rsidDel="006F45DC">
              <w:rPr>
                <w:rFonts w:ascii="Public Sans" w:hAnsi="Public Sans" w:cs="Arial"/>
                <w:color w:val="000000" w:themeColor="text1"/>
                <w:sz w:val="16"/>
                <w:szCs w:val="16"/>
              </w:rPr>
              <w:t>2</w:t>
            </w:r>
          </w:p>
        </w:tc>
        <w:tc>
          <w:tcPr>
            <w:tcW w:w="992" w:type="dxa"/>
            <w:shd w:val="clear" w:color="auto" w:fill="auto"/>
            <w:vAlign w:val="center"/>
          </w:tcPr>
          <w:p w14:paraId="0A816B4C" w14:textId="22CED663" w:rsidR="002F1B2F" w:rsidRPr="009F6C17" w:rsidRDefault="00085EC2" w:rsidP="00557E51">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7030EA" w:rsidRPr="009F6C17">
              <w:rPr>
                <w:rFonts w:ascii="Public Sans" w:hAnsi="Public Sans" w:cs="Arial"/>
                <w:color w:val="000000" w:themeColor="text1"/>
                <w:sz w:val="16"/>
                <w:szCs w:val="16"/>
              </w:rPr>
              <w:t>5</w:t>
            </w:r>
          </w:p>
        </w:tc>
        <w:tc>
          <w:tcPr>
            <w:tcW w:w="992" w:type="dxa"/>
            <w:shd w:val="clear" w:color="auto" w:fill="auto"/>
            <w:vAlign w:val="center"/>
          </w:tcPr>
          <w:p w14:paraId="21FDF018" w14:textId="74036915" w:rsidR="002F1B2F" w:rsidRPr="009F6C17" w:rsidRDefault="00085EC2" w:rsidP="00557E51">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7030EA" w:rsidRPr="009F6C17">
              <w:rPr>
                <w:rFonts w:ascii="Public Sans" w:hAnsi="Public Sans" w:cs="Arial"/>
                <w:color w:val="000000" w:themeColor="text1"/>
                <w:sz w:val="16"/>
                <w:szCs w:val="16"/>
              </w:rPr>
              <w:t>5</w:t>
            </w:r>
          </w:p>
        </w:tc>
        <w:tc>
          <w:tcPr>
            <w:tcW w:w="993" w:type="dxa"/>
            <w:shd w:val="clear" w:color="auto" w:fill="auto"/>
            <w:vAlign w:val="center"/>
          </w:tcPr>
          <w:p w14:paraId="25F08603" w14:textId="41E331A8" w:rsidR="002F1B2F" w:rsidRPr="009F6C17" w:rsidRDefault="00085EC2" w:rsidP="00557E51">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6F45DC" w:rsidRPr="009F6C17">
              <w:rPr>
                <w:rFonts w:ascii="Public Sans" w:hAnsi="Public Sans" w:cs="Arial"/>
                <w:color w:val="000000" w:themeColor="text1"/>
                <w:sz w:val="16"/>
                <w:szCs w:val="16"/>
              </w:rPr>
              <w:t>5</w:t>
            </w:r>
          </w:p>
        </w:tc>
      </w:tr>
      <w:tr w:rsidR="002F1B2F" w:rsidRPr="00FC199D" w14:paraId="1F1DB501" w14:textId="77777777" w:rsidTr="009F6C17">
        <w:trPr>
          <w:cantSplit/>
        </w:trPr>
        <w:tc>
          <w:tcPr>
            <w:tcW w:w="5670" w:type="dxa"/>
          </w:tcPr>
          <w:p w14:paraId="24AA1D73" w14:textId="176EBE9A" w:rsidR="002F1B2F" w:rsidRPr="00FB21BA" w:rsidRDefault="002F1B2F" w:rsidP="002F1B2F">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Employment</w:t>
            </w:r>
          </w:p>
        </w:tc>
        <w:tc>
          <w:tcPr>
            <w:tcW w:w="992" w:type="dxa"/>
            <w:shd w:val="clear" w:color="auto" w:fill="auto"/>
          </w:tcPr>
          <w:p w14:paraId="2D388FB5" w14:textId="43F4CA94" w:rsidR="002F1B2F" w:rsidRPr="009F6C17" w:rsidRDefault="00FE1836"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AD48EA" w:rsidRPr="009F6C17">
              <w:rPr>
                <w:rFonts w:ascii="Public Sans" w:hAnsi="Public Sans" w:cs="Arial"/>
                <w:color w:val="000000" w:themeColor="text1"/>
                <w:sz w:val="16"/>
                <w:szCs w:val="16"/>
              </w:rPr>
              <w:t>2</w:t>
            </w:r>
          </w:p>
        </w:tc>
        <w:tc>
          <w:tcPr>
            <w:tcW w:w="992" w:type="dxa"/>
            <w:shd w:val="clear" w:color="auto" w:fill="auto"/>
            <w:vAlign w:val="center"/>
          </w:tcPr>
          <w:p w14:paraId="6DEDDECE" w14:textId="210C73B9" w:rsidR="002F1B2F" w:rsidRPr="009F6C17" w:rsidRDefault="00FE1836"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AD48EA" w:rsidRPr="009F6C17">
              <w:rPr>
                <w:rFonts w:ascii="Public Sans" w:hAnsi="Public Sans" w:cs="Arial"/>
                <w:color w:val="000000" w:themeColor="text1"/>
                <w:sz w:val="16"/>
                <w:szCs w:val="16"/>
              </w:rPr>
              <w:t>4</w:t>
            </w:r>
          </w:p>
        </w:tc>
        <w:tc>
          <w:tcPr>
            <w:tcW w:w="992" w:type="dxa"/>
            <w:shd w:val="clear" w:color="auto" w:fill="auto"/>
            <w:vAlign w:val="center"/>
          </w:tcPr>
          <w:p w14:paraId="59896CAF" w14:textId="75C03F85" w:rsidR="002F1B2F" w:rsidRPr="009F6C17" w:rsidRDefault="00FE1836"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AD48EA" w:rsidRPr="009F6C17">
              <w:rPr>
                <w:rFonts w:ascii="Public Sans" w:hAnsi="Public Sans" w:cs="Arial"/>
                <w:color w:val="000000" w:themeColor="text1"/>
                <w:sz w:val="16"/>
                <w:szCs w:val="16"/>
              </w:rPr>
              <w:t>3</w:t>
            </w:r>
          </w:p>
        </w:tc>
        <w:tc>
          <w:tcPr>
            <w:tcW w:w="993" w:type="dxa"/>
            <w:shd w:val="clear" w:color="auto" w:fill="auto"/>
            <w:vAlign w:val="center"/>
          </w:tcPr>
          <w:p w14:paraId="081B6C7D" w14:textId="6B51BDCF" w:rsidR="002F1B2F" w:rsidRPr="009F6C17" w:rsidRDefault="00FE1836"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AD48EA" w:rsidRPr="009F6C17">
              <w:rPr>
                <w:rFonts w:ascii="Public Sans" w:hAnsi="Public Sans" w:cs="Arial"/>
                <w:color w:val="000000" w:themeColor="text1"/>
                <w:sz w:val="16"/>
                <w:szCs w:val="16"/>
              </w:rPr>
              <w:t>2</w:t>
            </w:r>
          </w:p>
        </w:tc>
      </w:tr>
      <w:tr w:rsidR="002F1B2F" w:rsidRPr="00FC199D" w14:paraId="70FFA4EB" w14:textId="77777777" w:rsidTr="009F6C17">
        <w:trPr>
          <w:cantSplit/>
        </w:trPr>
        <w:tc>
          <w:tcPr>
            <w:tcW w:w="5670" w:type="dxa"/>
          </w:tcPr>
          <w:p w14:paraId="64717D43" w14:textId="2F79D7E6" w:rsidR="002F1B2F" w:rsidRPr="00FB21BA" w:rsidRDefault="002F1B2F" w:rsidP="002F1B2F">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Unemployment rate</w:t>
            </w:r>
          </w:p>
        </w:tc>
        <w:tc>
          <w:tcPr>
            <w:tcW w:w="992" w:type="dxa"/>
            <w:shd w:val="clear" w:color="auto" w:fill="auto"/>
          </w:tcPr>
          <w:p w14:paraId="70DF6FA5" w14:textId="39EBAF00" w:rsidR="002F1B2F" w:rsidRPr="009F6C17" w:rsidRDefault="0080184F"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w:t>
            </w:r>
            <w:r w:rsidR="00001DC5" w:rsidRPr="009F6C17">
              <w:rPr>
                <w:rFonts w:ascii="Public Sans" w:hAnsi="Public Sans" w:cs="Arial"/>
                <w:color w:val="000000" w:themeColor="text1"/>
                <w:sz w:val="16"/>
                <w:szCs w:val="16"/>
              </w:rPr>
              <w:t>0.3</w:t>
            </w:r>
            <w:r w:rsidRPr="009F6C17">
              <w:rPr>
                <w:rFonts w:ascii="Public Sans" w:hAnsi="Public Sans" w:cs="Arial"/>
                <w:color w:val="000000" w:themeColor="text1"/>
                <w:sz w:val="16"/>
                <w:szCs w:val="16"/>
              </w:rPr>
              <w:t>)</w:t>
            </w:r>
          </w:p>
        </w:tc>
        <w:tc>
          <w:tcPr>
            <w:tcW w:w="992" w:type="dxa"/>
            <w:shd w:val="clear" w:color="auto" w:fill="auto"/>
            <w:vAlign w:val="center"/>
          </w:tcPr>
          <w:p w14:paraId="46CAF3E5" w14:textId="63B1B5BD" w:rsidR="002F1B2F" w:rsidRPr="009F6C17" w:rsidRDefault="0080184F"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w:t>
            </w:r>
            <w:r w:rsidR="00001DC5" w:rsidRPr="009F6C17">
              <w:rPr>
                <w:rFonts w:ascii="Public Sans" w:hAnsi="Public Sans" w:cs="Arial"/>
                <w:color w:val="000000" w:themeColor="text1"/>
                <w:sz w:val="16"/>
                <w:szCs w:val="16"/>
              </w:rPr>
              <w:t>0.</w:t>
            </w:r>
            <w:r w:rsidR="00AD48EA" w:rsidRPr="009F6C17">
              <w:rPr>
                <w:rFonts w:ascii="Public Sans" w:hAnsi="Public Sans" w:cs="Arial"/>
                <w:color w:val="000000" w:themeColor="text1"/>
                <w:sz w:val="16"/>
                <w:szCs w:val="16"/>
              </w:rPr>
              <w:t>6</w:t>
            </w:r>
            <w:r w:rsidRPr="009F6C17">
              <w:rPr>
                <w:rFonts w:ascii="Public Sans" w:hAnsi="Public Sans" w:cs="Arial"/>
                <w:color w:val="000000" w:themeColor="text1"/>
                <w:sz w:val="16"/>
                <w:szCs w:val="16"/>
              </w:rPr>
              <w:t>)</w:t>
            </w:r>
          </w:p>
        </w:tc>
        <w:tc>
          <w:tcPr>
            <w:tcW w:w="992" w:type="dxa"/>
            <w:shd w:val="clear" w:color="auto" w:fill="auto"/>
            <w:vAlign w:val="center"/>
          </w:tcPr>
          <w:p w14:paraId="72FB61D8" w14:textId="33960720" w:rsidR="002F1B2F" w:rsidRPr="009F6C17" w:rsidRDefault="0080184F"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w:t>
            </w:r>
            <w:r w:rsidR="00001DC5" w:rsidRPr="009F6C17">
              <w:rPr>
                <w:rFonts w:ascii="Public Sans" w:hAnsi="Public Sans" w:cs="Arial"/>
                <w:color w:val="000000" w:themeColor="text1"/>
                <w:sz w:val="16"/>
                <w:szCs w:val="16"/>
              </w:rPr>
              <w:t>0.3</w:t>
            </w:r>
            <w:r w:rsidRPr="009F6C17">
              <w:rPr>
                <w:rFonts w:ascii="Public Sans" w:hAnsi="Public Sans" w:cs="Arial"/>
                <w:color w:val="000000" w:themeColor="text1"/>
                <w:sz w:val="16"/>
                <w:szCs w:val="16"/>
              </w:rPr>
              <w:t>)</w:t>
            </w:r>
          </w:p>
        </w:tc>
        <w:tc>
          <w:tcPr>
            <w:tcW w:w="993" w:type="dxa"/>
            <w:shd w:val="clear" w:color="auto" w:fill="auto"/>
            <w:vAlign w:val="center"/>
          </w:tcPr>
          <w:p w14:paraId="30E58A84" w14:textId="0B74FCFC" w:rsidR="002F1B2F" w:rsidRPr="009F6C17" w:rsidRDefault="0080184F"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w:t>
            </w:r>
            <w:r w:rsidR="00001DC5" w:rsidRPr="009F6C17">
              <w:rPr>
                <w:rFonts w:ascii="Public Sans" w:hAnsi="Public Sans" w:cs="Arial"/>
                <w:color w:val="000000" w:themeColor="text1"/>
                <w:sz w:val="16"/>
                <w:szCs w:val="16"/>
              </w:rPr>
              <w:t>0.</w:t>
            </w:r>
            <w:r w:rsidR="00AD48EA" w:rsidRPr="009F6C17">
              <w:rPr>
                <w:rFonts w:ascii="Public Sans" w:hAnsi="Public Sans" w:cs="Arial"/>
                <w:color w:val="000000" w:themeColor="text1"/>
                <w:sz w:val="16"/>
                <w:szCs w:val="16"/>
              </w:rPr>
              <w:t>2</w:t>
            </w:r>
            <w:r w:rsidRPr="009F6C17">
              <w:rPr>
                <w:rFonts w:ascii="Public Sans" w:hAnsi="Public Sans" w:cs="Arial"/>
                <w:color w:val="000000" w:themeColor="text1"/>
                <w:sz w:val="16"/>
                <w:szCs w:val="16"/>
              </w:rPr>
              <w:t>)</w:t>
            </w:r>
          </w:p>
        </w:tc>
      </w:tr>
      <w:tr w:rsidR="002F1B2F" w:rsidRPr="00FC199D" w14:paraId="4A7B03AB" w14:textId="77777777" w:rsidTr="009F6C17">
        <w:trPr>
          <w:cantSplit/>
        </w:trPr>
        <w:tc>
          <w:tcPr>
            <w:tcW w:w="5670" w:type="dxa"/>
          </w:tcPr>
          <w:p w14:paraId="54C539D3" w14:textId="5F7F1CA6" w:rsidR="002F1B2F" w:rsidRPr="00FB21BA" w:rsidRDefault="002F1B2F" w:rsidP="002F1B2F">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Consumer price index (Sydney)</w:t>
            </w:r>
          </w:p>
        </w:tc>
        <w:tc>
          <w:tcPr>
            <w:tcW w:w="992" w:type="dxa"/>
            <w:shd w:val="clear" w:color="auto" w:fill="auto"/>
          </w:tcPr>
          <w:p w14:paraId="2D482600" w14:textId="7A2A25E3" w:rsidR="002F1B2F" w:rsidRPr="009F6C17" w:rsidRDefault="0080184F"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F06BA6" w:rsidRPr="009F6C17">
              <w:rPr>
                <w:rFonts w:ascii="Public Sans" w:hAnsi="Public Sans" w:cs="Arial"/>
                <w:color w:val="000000" w:themeColor="text1"/>
                <w:sz w:val="16"/>
                <w:szCs w:val="16"/>
              </w:rPr>
              <w:t>.</w:t>
            </w:r>
            <w:r w:rsidR="00536840" w:rsidRPr="009F6C17">
              <w:rPr>
                <w:rFonts w:ascii="Public Sans" w:hAnsi="Public Sans" w:cs="Arial"/>
                <w:color w:val="000000" w:themeColor="text1"/>
                <w:sz w:val="16"/>
                <w:szCs w:val="16"/>
              </w:rPr>
              <w:t>1</w:t>
            </w:r>
          </w:p>
        </w:tc>
        <w:tc>
          <w:tcPr>
            <w:tcW w:w="992" w:type="dxa"/>
            <w:shd w:val="clear" w:color="auto" w:fill="auto"/>
            <w:vAlign w:val="center"/>
          </w:tcPr>
          <w:p w14:paraId="43E69961" w14:textId="221A0473" w:rsidR="002F1B2F" w:rsidRPr="009F6C17" w:rsidRDefault="00624F85"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F06BA6" w:rsidRPr="009F6C17">
              <w:rPr>
                <w:rFonts w:ascii="Public Sans" w:hAnsi="Public Sans" w:cs="Arial"/>
                <w:color w:val="000000" w:themeColor="text1"/>
                <w:sz w:val="16"/>
                <w:szCs w:val="16"/>
              </w:rPr>
              <w:t>.</w:t>
            </w:r>
            <w:r w:rsidR="00AD48EA" w:rsidRPr="009F6C17">
              <w:rPr>
                <w:rFonts w:ascii="Public Sans" w:hAnsi="Public Sans" w:cs="Arial"/>
                <w:color w:val="000000" w:themeColor="text1"/>
                <w:sz w:val="16"/>
                <w:szCs w:val="16"/>
              </w:rPr>
              <w:t>3</w:t>
            </w:r>
          </w:p>
        </w:tc>
        <w:tc>
          <w:tcPr>
            <w:tcW w:w="992" w:type="dxa"/>
            <w:shd w:val="clear" w:color="auto" w:fill="auto"/>
            <w:vAlign w:val="center"/>
          </w:tcPr>
          <w:p w14:paraId="0096EDBE" w14:textId="5B296C65" w:rsidR="002F1B2F" w:rsidRPr="009F6C17" w:rsidRDefault="00624F85"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A574EE" w:rsidRPr="009F6C17">
              <w:rPr>
                <w:rFonts w:ascii="Public Sans" w:hAnsi="Public Sans" w:cs="Arial"/>
                <w:color w:val="000000" w:themeColor="text1"/>
                <w:sz w:val="16"/>
                <w:szCs w:val="16"/>
              </w:rPr>
              <w:t>.</w:t>
            </w:r>
            <w:r w:rsidR="00AD48EA" w:rsidRPr="009F6C17">
              <w:rPr>
                <w:rFonts w:ascii="Public Sans" w:hAnsi="Public Sans" w:cs="Arial"/>
                <w:color w:val="000000" w:themeColor="text1"/>
                <w:sz w:val="16"/>
                <w:szCs w:val="16"/>
              </w:rPr>
              <w:t>3</w:t>
            </w:r>
          </w:p>
        </w:tc>
        <w:tc>
          <w:tcPr>
            <w:tcW w:w="993" w:type="dxa"/>
            <w:shd w:val="clear" w:color="auto" w:fill="auto"/>
            <w:vAlign w:val="center"/>
          </w:tcPr>
          <w:p w14:paraId="392B3AC9" w14:textId="5F303681" w:rsidR="002F1B2F" w:rsidRPr="009F6C17" w:rsidRDefault="002E57DD"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A574EE" w:rsidRPr="009F6C17">
              <w:rPr>
                <w:rFonts w:ascii="Public Sans" w:hAnsi="Public Sans" w:cs="Arial"/>
                <w:color w:val="000000" w:themeColor="text1"/>
                <w:sz w:val="16"/>
                <w:szCs w:val="16"/>
              </w:rPr>
              <w:t>.</w:t>
            </w:r>
            <w:r w:rsidR="00A7520D" w:rsidRPr="009F6C17">
              <w:rPr>
                <w:rFonts w:ascii="Public Sans" w:hAnsi="Public Sans" w:cs="Arial"/>
                <w:color w:val="000000" w:themeColor="text1"/>
                <w:sz w:val="16"/>
                <w:szCs w:val="16"/>
              </w:rPr>
              <w:t>2</w:t>
            </w:r>
          </w:p>
        </w:tc>
      </w:tr>
      <w:tr w:rsidR="002F1B2F" w:rsidRPr="00FC199D" w14:paraId="732074A8" w14:textId="77777777" w:rsidTr="009F6C17">
        <w:trPr>
          <w:cantSplit/>
        </w:trPr>
        <w:tc>
          <w:tcPr>
            <w:tcW w:w="5670" w:type="dxa"/>
          </w:tcPr>
          <w:p w14:paraId="02E465FF" w14:textId="5CA2ED70" w:rsidR="002F1B2F" w:rsidRPr="00FB21BA" w:rsidRDefault="00677686" w:rsidP="002F1B2F">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Household Disposable Income</w:t>
            </w:r>
          </w:p>
        </w:tc>
        <w:tc>
          <w:tcPr>
            <w:tcW w:w="992" w:type="dxa"/>
            <w:shd w:val="clear" w:color="auto" w:fill="auto"/>
          </w:tcPr>
          <w:p w14:paraId="0F29A335" w14:textId="57A7EE92" w:rsidR="002F1B2F" w:rsidRPr="009F6C17" w:rsidRDefault="00A7520D"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1</w:t>
            </w:r>
            <w:r w:rsidR="0018318C" w:rsidRPr="009F6C17">
              <w:rPr>
                <w:rFonts w:ascii="Public Sans" w:hAnsi="Public Sans" w:cs="Arial"/>
                <w:color w:val="000000" w:themeColor="text1"/>
                <w:sz w:val="16"/>
                <w:szCs w:val="16"/>
              </w:rPr>
              <w:t>.</w:t>
            </w:r>
            <w:r w:rsidR="003C435C" w:rsidRPr="009F6C17">
              <w:rPr>
                <w:rFonts w:ascii="Public Sans" w:hAnsi="Public Sans" w:cs="Arial"/>
                <w:color w:val="000000" w:themeColor="text1"/>
                <w:sz w:val="16"/>
                <w:szCs w:val="16"/>
              </w:rPr>
              <w:t>3</w:t>
            </w:r>
          </w:p>
        </w:tc>
        <w:tc>
          <w:tcPr>
            <w:tcW w:w="992" w:type="dxa"/>
            <w:shd w:val="clear" w:color="auto" w:fill="auto"/>
            <w:vAlign w:val="center"/>
          </w:tcPr>
          <w:p w14:paraId="4B66EB3E" w14:textId="60782C9B" w:rsidR="002F1B2F" w:rsidRPr="009F6C17" w:rsidRDefault="00557E51"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2.</w:t>
            </w:r>
            <w:r w:rsidR="006C1048" w:rsidRPr="009F6C17">
              <w:rPr>
                <w:rFonts w:ascii="Public Sans" w:hAnsi="Public Sans" w:cs="Arial"/>
                <w:color w:val="000000" w:themeColor="text1"/>
                <w:sz w:val="16"/>
                <w:szCs w:val="16"/>
              </w:rPr>
              <w:t>9</w:t>
            </w:r>
          </w:p>
        </w:tc>
        <w:tc>
          <w:tcPr>
            <w:tcW w:w="992" w:type="dxa"/>
            <w:shd w:val="clear" w:color="auto" w:fill="auto"/>
            <w:vAlign w:val="center"/>
          </w:tcPr>
          <w:p w14:paraId="465B82D7" w14:textId="7D5420C7" w:rsidR="002F1B2F" w:rsidRPr="009F6C17" w:rsidRDefault="000D4282"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2</w:t>
            </w:r>
            <w:r w:rsidR="00557E51" w:rsidRPr="009F6C17">
              <w:rPr>
                <w:rFonts w:ascii="Public Sans" w:hAnsi="Public Sans" w:cs="Arial"/>
                <w:color w:val="000000" w:themeColor="text1"/>
                <w:sz w:val="16"/>
                <w:szCs w:val="16"/>
              </w:rPr>
              <w:t>.</w:t>
            </w:r>
            <w:r w:rsidRPr="009F6C17">
              <w:rPr>
                <w:rFonts w:ascii="Public Sans" w:hAnsi="Public Sans" w:cs="Arial"/>
                <w:color w:val="000000" w:themeColor="text1"/>
                <w:sz w:val="16"/>
                <w:szCs w:val="16"/>
              </w:rPr>
              <w:t>2</w:t>
            </w:r>
          </w:p>
        </w:tc>
        <w:tc>
          <w:tcPr>
            <w:tcW w:w="993" w:type="dxa"/>
            <w:shd w:val="clear" w:color="auto" w:fill="auto"/>
            <w:vAlign w:val="center"/>
          </w:tcPr>
          <w:p w14:paraId="3FB7395D" w14:textId="1F7A76C5" w:rsidR="002F1B2F" w:rsidRPr="009F6C17" w:rsidRDefault="00557E51"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1.</w:t>
            </w:r>
            <w:r w:rsidR="000D4282" w:rsidRPr="009F6C17">
              <w:rPr>
                <w:rFonts w:ascii="Public Sans" w:hAnsi="Public Sans" w:cs="Arial"/>
                <w:color w:val="000000" w:themeColor="text1"/>
                <w:sz w:val="16"/>
                <w:szCs w:val="16"/>
              </w:rPr>
              <w:t>6</w:t>
            </w:r>
          </w:p>
        </w:tc>
      </w:tr>
      <w:tr w:rsidR="00B76E8E" w:rsidRPr="00FC199D" w14:paraId="18D6B924" w14:textId="77777777" w:rsidTr="009F6C17">
        <w:trPr>
          <w:cantSplit/>
        </w:trPr>
        <w:tc>
          <w:tcPr>
            <w:tcW w:w="5670" w:type="dxa"/>
            <w:tcBorders>
              <w:bottom w:val="single" w:sz="4" w:space="0" w:color="auto"/>
            </w:tcBorders>
            <w:vAlign w:val="bottom"/>
          </w:tcPr>
          <w:p w14:paraId="0F3006DC" w14:textId="4B5C5F47" w:rsidR="00B76E8E" w:rsidRPr="00FB21BA" w:rsidRDefault="009910C2">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Productivity</w:t>
            </w:r>
          </w:p>
        </w:tc>
        <w:tc>
          <w:tcPr>
            <w:tcW w:w="992" w:type="dxa"/>
            <w:tcBorders>
              <w:bottom w:val="single" w:sz="4" w:space="0" w:color="auto"/>
            </w:tcBorders>
            <w:shd w:val="clear" w:color="auto" w:fill="auto"/>
            <w:vAlign w:val="center"/>
          </w:tcPr>
          <w:p w14:paraId="4083E40A" w14:textId="382B1C70" w:rsidR="00B76E8E" w:rsidRPr="009F6C17" w:rsidRDefault="006B5E3D"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0D4282" w:rsidRPr="009F6C17">
              <w:rPr>
                <w:rFonts w:ascii="Public Sans" w:hAnsi="Public Sans" w:cs="Arial"/>
                <w:color w:val="000000" w:themeColor="text1"/>
                <w:sz w:val="16"/>
                <w:szCs w:val="16"/>
              </w:rPr>
              <w:t>0</w:t>
            </w:r>
          </w:p>
        </w:tc>
        <w:tc>
          <w:tcPr>
            <w:tcW w:w="992" w:type="dxa"/>
            <w:tcBorders>
              <w:bottom w:val="single" w:sz="4" w:space="0" w:color="auto"/>
            </w:tcBorders>
            <w:shd w:val="clear" w:color="auto" w:fill="auto"/>
            <w:vAlign w:val="center"/>
          </w:tcPr>
          <w:p w14:paraId="1ED01D5D" w14:textId="68EEC95B" w:rsidR="00B76E8E" w:rsidRPr="009F6C17" w:rsidRDefault="006B5E3D"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0D4282" w:rsidRPr="009F6C17">
              <w:rPr>
                <w:rFonts w:ascii="Public Sans" w:hAnsi="Public Sans" w:cs="Arial"/>
                <w:color w:val="000000" w:themeColor="text1"/>
                <w:sz w:val="16"/>
                <w:szCs w:val="16"/>
              </w:rPr>
              <w:t>1</w:t>
            </w:r>
          </w:p>
        </w:tc>
        <w:tc>
          <w:tcPr>
            <w:tcW w:w="992" w:type="dxa"/>
            <w:tcBorders>
              <w:bottom w:val="single" w:sz="4" w:space="0" w:color="auto"/>
            </w:tcBorders>
            <w:shd w:val="clear" w:color="auto" w:fill="auto"/>
            <w:vAlign w:val="center"/>
          </w:tcPr>
          <w:p w14:paraId="3103486F" w14:textId="2BAF8BA4" w:rsidR="00B76E8E" w:rsidRPr="009F6C17" w:rsidRDefault="006B5E3D"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411C78" w:rsidRPr="009F6C17">
              <w:rPr>
                <w:rFonts w:ascii="Public Sans" w:hAnsi="Public Sans" w:cs="Arial"/>
                <w:color w:val="000000" w:themeColor="text1"/>
                <w:sz w:val="16"/>
                <w:szCs w:val="16"/>
              </w:rPr>
              <w:t>2</w:t>
            </w:r>
          </w:p>
        </w:tc>
        <w:tc>
          <w:tcPr>
            <w:tcW w:w="993" w:type="dxa"/>
            <w:tcBorders>
              <w:bottom w:val="single" w:sz="4" w:space="0" w:color="auto"/>
            </w:tcBorders>
            <w:shd w:val="clear" w:color="auto" w:fill="auto"/>
            <w:vAlign w:val="center"/>
          </w:tcPr>
          <w:p w14:paraId="65FEA762" w14:textId="088CD56B" w:rsidR="00B76E8E" w:rsidRPr="009F6C17" w:rsidRDefault="006B5E3D" w:rsidP="0021609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2A0BCA" w:rsidRPr="009F6C17">
              <w:rPr>
                <w:rFonts w:ascii="Public Sans" w:hAnsi="Public Sans" w:cs="Arial"/>
                <w:color w:val="000000" w:themeColor="text1"/>
                <w:sz w:val="16"/>
                <w:szCs w:val="16"/>
              </w:rPr>
              <w:t>3</w:t>
            </w:r>
          </w:p>
        </w:tc>
      </w:tr>
    </w:tbl>
    <w:p w14:paraId="04AEE92E" w14:textId="77777777" w:rsidR="008B3F05" w:rsidRPr="002817A9" w:rsidRDefault="008B3F05" w:rsidP="008B3F05">
      <w:pPr>
        <w:rPr>
          <w:noProof/>
          <w:sz w:val="6"/>
          <w:szCs w:val="6"/>
          <w:lang w:eastAsia="en-AU"/>
        </w:rPr>
      </w:pPr>
    </w:p>
    <w:p w14:paraId="453436AB" w14:textId="16F7BD0F" w:rsidR="008B3F05" w:rsidRPr="000A1B1B" w:rsidRDefault="008B3F05" w:rsidP="008B3F05">
      <w:pPr>
        <w:pStyle w:val="NoSpacing"/>
        <w:widowControl w:val="0"/>
        <w:numPr>
          <w:ilvl w:val="0"/>
          <w:numId w:val="2"/>
        </w:numPr>
        <w:rPr>
          <w:rFonts w:ascii="Public Sans" w:hAnsi="Public Sans" w:cs="Arial"/>
          <w:noProof/>
          <w:sz w:val="16"/>
          <w:szCs w:val="16"/>
          <w:lang w:eastAsia="en-AU"/>
        </w:rPr>
      </w:pPr>
      <w:r w:rsidRPr="000A1B1B">
        <w:rPr>
          <w:rFonts w:ascii="Public Sans" w:hAnsi="Public Sans" w:cs="Arial"/>
          <w:noProof/>
          <w:sz w:val="16"/>
          <w:szCs w:val="16"/>
          <w:lang w:eastAsia="en-AU"/>
        </w:rPr>
        <w:t>F</w:t>
      </w:r>
      <w:r w:rsidR="004E7B02" w:rsidRPr="000A1B1B">
        <w:rPr>
          <w:rFonts w:ascii="Public Sans" w:hAnsi="Public Sans" w:cs="Arial"/>
          <w:noProof/>
          <w:sz w:val="16"/>
          <w:szCs w:val="16"/>
          <w:lang w:eastAsia="en-AU"/>
        </w:rPr>
        <w:t xml:space="preserve">igures </w:t>
      </w:r>
      <w:r w:rsidR="00F23C23" w:rsidRPr="000A1B1B">
        <w:rPr>
          <w:rFonts w:ascii="Public Sans" w:hAnsi="Public Sans" w:cs="Arial"/>
          <w:noProof/>
          <w:sz w:val="16"/>
          <w:szCs w:val="16"/>
          <w:lang w:eastAsia="en-AU"/>
        </w:rPr>
        <w:t xml:space="preserve">reported are the per cent change in the level of each parameter relative to the baseline. The unemployment rate is in percentage points deviation. </w:t>
      </w:r>
    </w:p>
    <w:p w14:paraId="7F22175B" w14:textId="77777777" w:rsidR="008B3F05" w:rsidRPr="00296A83" w:rsidRDefault="008B3F05" w:rsidP="008B3F05">
      <w:pPr>
        <w:pStyle w:val="NoSpacing"/>
        <w:widowControl w:val="0"/>
        <w:rPr>
          <w:rFonts w:ascii="Arial" w:hAnsi="Arial" w:cs="Arial"/>
          <w:i/>
          <w:noProof/>
          <w:sz w:val="10"/>
          <w:szCs w:val="10"/>
          <w:lang w:eastAsia="en-AU"/>
        </w:rPr>
      </w:pPr>
    </w:p>
    <w:p w14:paraId="59E70B13" w14:textId="4E44FD26" w:rsidR="008B3F05" w:rsidRPr="000A1B1B" w:rsidRDefault="008B3F05" w:rsidP="008B3F05">
      <w:pPr>
        <w:pStyle w:val="Source"/>
        <w:rPr>
          <w:szCs w:val="16"/>
        </w:rPr>
      </w:pPr>
      <w:r w:rsidRPr="000A1B1B">
        <w:rPr>
          <w:szCs w:val="16"/>
        </w:rPr>
        <w:t xml:space="preserve">Source: </w:t>
      </w:r>
      <w:bookmarkStart w:id="1" w:name="_Hlk199450489"/>
      <w:r w:rsidR="00071FCE" w:rsidRPr="000A1B1B">
        <w:rPr>
          <w:szCs w:val="16"/>
        </w:rPr>
        <w:t>Victoria University Regional Model and NSW Treasury</w:t>
      </w:r>
      <w:bookmarkEnd w:id="1"/>
    </w:p>
    <w:p w14:paraId="42ED722B" w14:textId="77777777" w:rsidR="006B7315" w:rsidRDefault="006B7315">
      <w:pPr>
        <w:spacing w:before="360" w:after="120"/>
        <w:rPr>
          <w:rFonts w:ascii="Public Sans" w:eastAsia="Tahoma" w:hAnsi="Public Sans" w:cs="Tahoma"/>
          <w:bCs/>
          <w:i/>
          <w:color w:val="000000" w:themeColor="text1"/>
          <w:kern w:val="28"/>
          <w:sz w:val="22"/>
          <w:szCs w:val="22"/>
          <w:lang w:val="en-AU"/>
        </w:rPr>
      </w:pPr>
      <w:r>
        <w:br w:type="page"/>
      </w:r>
    </w:p>
    <w:p w14:paraId="2F8ABD1C" w14:textId="106D0F37" w:rsidR="0063629F" w:rsidRPr="00625C81" w:rsidRDefault="00664DEC" w:rsidP="0063629F">
      <w:pPr>
        <w:pStyle w:val="ChartFX"/>
      </w:pPr>
      <w:r>
        <w:lastRenderedPageBreak/>
        <w:t>Impact on</w:t>
      </w:r>
      <w:r w:rsidR="0063629F" w:rsidRPr="00625C81">
        <w:t xml:space="preserve"> </w:t>
      </w:r>
      <w:r w:rsidR="000076A5">
        <w:t xml:space="preserve">NSW </w:t>
      </w:r>
      <w:r w:rsidR="0063629F" w:rsidRPr="00625C81">
        <w:t>domestic activity</w:t>
      </w:r>
      <w:r>
        <w:t xml:space="preserve"> from a lower cost of capital</w:t>
      </w:r>
    </w:p>
    <w:p w14:paraId="7885B203" w14:textId="054E4372" w:rsidR="0063629F" w:rsidRPr="004F0672" w:rsidRDefault="007F5FC0" w:rsidP="00296A83">
      <w:pPr>
        <w:rPr>
          <w:rFonts w:eastAsia="Lucida Sans"/>
        </w:rPr>
      </w:pPr>
      <w:r>
        <w:rPr>
          <w:noProof/>
        </w:rPr>
        <w:drawing>
          <wp:inline distT="0" distB="0" distL="0" distR="0" wp14:anchorId="26BAFC78" wp14:editId="18FAF88C">
            <wp:extent cx="6106058" cy="2629272"/>
            <wp:effectExtent l="0" t="0" r="0" b="0"/>
            <wp:docPr id="1825620781" name="Chart 1" descr="Chart F.1: Impact on NSW domestic activity from a lower cost of capital">
              <a:extLst xmlns:a="http://schemas.openxmlformats.org/drawingml/2006/main">
                <a:ext uri="{FF2B5EF4-FFF2-40B4-BE49-F238E27FC236}">
                  <a16:creationId xmlns:a16="http://schemas.microsoft.com/office/drawing/2014/main" id="{1EE1A422-D620-4C8A-A0C6-2C1F86C921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0B0AEF" w14:textId="312284B9" w:rsidR="0063629F" w:rsidRPr="00296A83" w:rsidRDefault="0063629F" w:rsidP="0063629F">
      <w:pPr>
        <w:pStyle w:val="Source"/>
        <w:rPr>
          <w:szCs w:val="16"/>
        </w:rPr>
      </w:pPr>
      <w:r w:rsidRPr="00296A83">
        <w:rPr>
          <w:szCs w:val="16"/>
        </w:rPr>
        <w:t xml:space="preserve">Source: </w:t>
      </w:r>
      <w:r w:rsidR="00664DEC" w:rsidRPr="00296A83">
        <w:rPr>
          <w:szCs w:val="16"/>
        </w:rPr>
        <w:t>Victoria University Regional Model and NSW Treasury</w:t>
      </w:r>
    </w:p>
    <w:p w14:paraId="1BC8ACBC" w14:textId="77777777" w:rsidR="006B7315" w:rsidRDefault="006B7315" w:rsidP="00F04E9F"/>
    <w:p w14:paraId="17805551" w14:textId="4A7F96CA" w:rsidR="008D36A8" w:rsidRDefault="008D36A8" w:rsidP="008D36A8">
      <w:pPr>
        <w:pStyle w:val="BodyText"/>
      </w:pPr>
      <w:r w:rsidRPr="48DCB825">
        <w:rPr>
          <w:lang w:val="en-US"/>
        </w:rPr>
        <w:t xml:space="preserve">The additional capital accumulation prompts a gradual lift in </w:t>
      </w:r>
      <w:proofErr w:type="spellStart"/>
      <w:r w:rsidRPr="48DCB825">
        <w:rPr>
          <w:lang w:val="en-US"/>
        </w:rPr>
        <w:t>labour</w:t>
      </w:r>
      <w:proofErr w:type="spellEnd"/>
      <w:r w:rsidRPr="48DCB825">
        <w:rPr>
          <w:lang w:val="en-US"/>
        </w:rPr>
        <w:t xml:space="preserve"> productivity, which along with the stronger </w:t>
      </w:r>
      <w:r>
        <w:rPr>
          <w:lang w:val="en-US"/>
        </w:rPr>
        <w:t>Australian dollar (</w:t>
      </w:r>
      <w:r w:rsidRPr="48DCB825">
        <w:rPr>
          <w:lang w:val="en-US"/>
        </w:rPr>
        <w:t>AUD</w:t>
      </w:r>
      <w:r>
        <w:rPr>
          <w:lang w:val="en-US"/>
        </w:rPr>
        <w:t>)</w:t>
      </w:r>
      <w:r w:rsidRPr="48DCB825">
        <w:rPr>
          <w:lang w:val="en-US"/>
        </w:rPr>
        <w:t>, helps to keep inflation pressures</w:t>
      </w:r>
      <w:r>
        <w:rPr>
          <w:lang w:val="en-US"/>
        </w:rPr>
        <w:t xml:space="preserve"> somewhat</w:t>
      </w:r>
      <w:r w:rsidRPr="48DCB825">
        <w:rPr>
          <w:lang w:val="en-US"/>
        </w:rPr>
        <w:t xml:space="preserve"> contained</w:t>
      </w:r>
      <w:r>
        <w:rPr>
          <w:lang w:val="en-US"/>
        </w:rPr>
        <w:t xml:space="preserve"> in the face of much stronger domestic demand and a tighter </w:t>
      </w:r>
      <w:proofErr w:type="spellStart"/>
      <w:r>
        <w:rPr>
          <w:lang w:val="en-US"/>
        </w:rPr>
        <w:t>labour</w:t>
      </w:r>
      <w:proofErr w:type="spellEnd"/>
      <w:r>
        <w:rPr>
          <w:lang w:val="en-US"/>
        </w:rPr>
        <w:t xml:space="preserve"> market. However, the level of prices still rises above the baseline scenario where the cost of capital is unchanged</w:t>
      </w:r>
      <w:r w:rsidRPr="48DCB825">
        <w:rPr>
          <w:lang w:val="en-US"/>
        </w:rPr>
        <w:t>.</w:t>
      </w:r>
    </w:p>
    <w:p w14:paraId="606BBB47" w14:textId="2417E0C8" w:rsidR="006C3028" w:rsidRPr="006C3028" w:rsidRDefault="00F86964" w:rsidP="007D48CE">
      <w:pPr>
        <w:pStyle w:val="Heading4"/>
      </w:pPr>
      <w:r>
        <w:t>Revenue</w:t>
      </w:r>
      <w:r w:rsidR="007D48CE">
        <w:t xml:space="preserve"> impact on the Budget and over the forward estimates</w:t>
      </w:r>
    </w:p>
    <w:p w14:paraId="62002370" w14:textId="7431F1A0" w:rsidR="008B3F05" w:rsidRDefault="007A42EB" w:rsidP="00BE4A9E">
      <w:pPr>
        <w:pStyle w:val="BodyText"/>
      </w:pPr>
      <w:r w:rsidRPr="48DCB825">
        <w:rPr>
          <w:lang w:val="en-US"/>
        </w:rPr>
        <w:t>Under this scenario,</w:t>
      </w:r>
      <w:r w:rsidRPr="48DCB825" w:rsidDel="00C33447">
        <w:rPr>
          <w:lang w:val="en-US"/>
        </w:rPr>
        <w:t xml:space="preserve"> </w:t>
      </w:r>
      <w:r w:rsidRPr="48DCB825">
        <w:rPr>
          <w:lang w:val="en-US"/>
        </w:rPr>
        <w:t xml:space="preserve">stronger domestic economic activity flows through to higher tax collections across most categories of government revenue. Payroll tax is supported by a boost in employment in the medium-term. </w:t>
      </w:r>
      <w:r w:rsidR="008F3007">
        <w:rPr>
          <w:lang w:val="en-US"/>
        </w:rPr>
        <w:t xml:space="preserve">Stronger property prices contribute to increases </w:t>
      </w:r>
      <w:proofErr w:type="gramStart"/>
      <w:r w:rsidR="008F3007">
        <w:rPr>
          <w:lang w:val="en-US"/>
        </w:rPr>
        <w:t>to</w:t>
      </w:r>
      <w:proofErr w:type="gramEnd"/>
      <w:r w:rsidR="008F3007">
        <w:rPr>
          <w:lang w:val="en-US"/>
        </w:rPr>
        <w:t xml:space="preserve"> </w:t>
      </w:r>
      <w:r w:rsidR="008469F4">
        <w:rPr>
          <w:lang w:val="en-US"/>
        </w:rPr>
        <w:t xml:space="preserve">transfer duty and </w:t>
      </w:r>
      <w:r w:rsidR="008469F4" w:rsidRPr="00077EE0">
        <w:rPr>
          <w:lang w:val="en-US"/>
        </w:rPr>
        <w:t>land tax revenue</w:t>
      </w:r>
      <w:r w:rsidRPr="00077EE0">
        <w:rPr>
          <w:lang w:val="en-US"/>
        </w:rPr>
        <w:t>.</w:t>
      </w:r>
      <w:r w:rsidRPr="48DCB825">
        <w:rPr>
          <w:lang w:val="en-US"/>
        </w:rPr>
        <w:t xml:space="preserve"> The State’s GST revenue also increases</w:t>
      </w:r>
      <w:r w:rsidR="00702BE8">
        <w:rPr>
          <w:lang w:val="en-US"/>
        </w:rPr>
        <w:t>,</w:t>
      </w:r>
      <w:r w:rsidRPr="48DCB825">
        <w:rPr>
          <w:lang w:val="en-US"/>
        </w:rPr>
        <w:t xml:space="preserve"> bolstered by robust consumer spending and dwelling investment. </w:t>
      </w:r>
      <w:proofErr w:type="gramStart"/>
      <w:r w:rsidRPr="48DCB825">
        <w:rPr>
          <w:lang w:val="en-US"/>
        </w:rPr>
        <w:t>Royalties</w:t>
      </w:r>
      <w:proofErr w:type="gramEnd"/>
      <w:r w:rsidRPr="48DCB825">
        <w:rPr>
          <w:lang w:val="en-US"/>
        </w:rPr>
        <w:t xml:space="preserve"> revenue is </w:t>
      </w:r>
      <w:r w:rsidR="00BF1E74" w:rsidRPr="48DCB825">
        <w:rPr>
          <w:lang w:val="en-US"/>
        </w:rPr>
        <w:t xml:space="preserve">down over the forward </w:t>
      </w:r>
      <w:r w:rsidR="00120063">
        <w:rPr>
          <w:lang w:val="en-US"/>
        </w:rPr>
        <w:t>estimates</w:t>
      </w:r>
      <w:r w:rsidR="00BF1E74" w:rsidRPr="48DCB825">
        <w:rPr>
          <w:lang w:val="en-US"/>
        </w:rPr>
        <w:t xml:space="preserve"> </w:t>
      </w:r>
      <w:r w:rsidR="00E87AFE" w:rsidRPr="00E87AFE">
        <w:rPr>
          <w:lang w:val="en-US"/>
        </w:rPr>
        <w:t xml:space="preserve">due to </w:t>
      </w:r>
      <w:r w:rsidR="006517BB">
        <w:rPr>
          <w:lang w:val="en-US"/>
        </w:rPr>
        <w:t xml:space="preserve">a </w:t>
      </w:r>
      <w:r w:rsidR="00E87AFE" w:rsidRPr="00E87AFE">
        <w:rPr>
          <w:lang w:val="en-US"/>
        </w:rPr>
        <w:t xml:space="preserve">stronger </w:t>
      </w:r>
      <w:r w:rsidR="00F763B8">
        <w:rPr>
          <w:lang w:val="en-US"/>
        </w:rPr>
        <w:t>AUD</w:t>
      </w:r>
      <w:r w:rsidR="00D963AA">
        <w:rPr>
          <w:lang w:val="en-US"/>
        </w:rPr>
        <w:t>/USD exchange rate</w:t>
      </w:r>
      <w:r w:rsidR="00F064FE">
        <w:rPr>
          <w:lang w:val="en-US"/>
        </w:rPr>
        <w:t>.</w:t>
      </w:r>
      <w:r w:rsidR="00E87AFE">
        <w:rPr>
          <w:lang w:val="en-US"/>
        </w:rPr>
        <w:t xml:space="preserve"> </w:t>
      </w:r>
    </w:p>
    <w:p w14:paraId="79510D2F" w14:textId="535F4632" w:rsidR="007350AD" w:rsidRPr="00625C81" w:rsidRDefault="007350AD" w:rsidP="007350AD">
      <w:pPr>
        <w:pStyle w:val="TableFX"/>
      </w:pPr>
      <w:bookmarkStart w:id="2" w:name="_Ref105426010"/>
      <w:r w:rsidRPr="00625C81">
        <w:t>Effect on major revenue parameters</w:t>
      </w:r>
      <w:r w:rsidRPr="00625C81">
        <w:rPr>
          <w:vertAlign w:val="superscript"/>
        </w:rPr>
        <w:t>(a)</w:t>
      </w:r>
      <w:bookmarkEnd w:id="2"/>
    </w:p>
    <w:tbl>
      <w:tblPr>
        <w:tblW w:w="9628" w:type="dxa"/>
        <w:tblLook w:val="04A0" w:firstRow="1" w:lastRow="0" w:firstColumn="1" w:lastColumn="0" w:noHBand="0" w:noVBand="1"/>
        <w:tblCaption w:val="Table F.2: Effect on major revenue parameters"/>
      </w:tblPr>
      <w:tblGrid>
        <w:gridCol w:w="4528"/>
        <w:gridCol w:w="1275"/>
        <w:gridCol w:w="1271"/>
        <w:gridCol w:w="1279"/>
        <w:gridCol w:w="1275"/>
      </w:tblGrid>
      <w:tr w:rsidR="007350AD" w:rsidRPr="00E535FA" w14:paraId="058F8FE8" w14:textId="77777777" w:rsidTr="004B5323">
        <w:trPr>
          <w:trHeight w:val="283"/>
        </w:trPr>
        <w:tc>
          <w:tcPr>
            <w:tcW w:w="4528" w:type="dxa"/>
            <w:tcBorders>
              <w:top w:val="nil"/>
              <w:left w:val="nil"/>
              <w:bottom w:val="nil"/>
              <w:right w:val="nil"/>
            </w:tcBorders>
            <w:shd w:val="clear" w:color="auto" w:fill="EBEBEB"/>
            <w:vAlign w:val="bottom"/>
            <w:hideMark/>
          </w:tcPr>
          <w:p w14:paraId="3573B059" w14:textId="3B0F7259" w:rsidR="007350AD" w:rsidRPr="002A1096" w:rsidRDefault="007350AD">
            <w:pPr>
              <w:rPr>
                <w:rFonts w:ascii="Public Sans" w:hAnsi="Public Sans" w:cs="Arial"/>
                <w:sz w:val="17"/>
                <w:szCs w:val="17"/>
                <w:lang w:val="en-AU" w:eastAsia="en-AU"/>
              </w:rPr>
            </w:pPr>
            <w:r w:rsidRPr="002A1096">
              <w:rPr>
                <w:rFonts w:ascii="Public Sans" w:hAnsi="Public Sans" w:cs="Arial"/>
                <w:sz w:val="17"/>
                <w:szCs w:val="17"/>
                <w:lang w:val="en-AU" w:eastAsia="en-AU"/>
              </w:rPr>
              <w:t>Financial year estimate</w:t>
            </w:r>
            <w:r w:rsidRPr="002A1096">
              <w:rPr>
                <w:rFonts w:ascii="Public Sans" w:hAnsi="Public Sans" w:cs="Arial"/>
                <w:sz w:val="17"/>
                <w:szCs w:val="17"/>
                <w:vertAlign w:val="superscript"/>
                <w:lang w:val="en-AU" w:eastAsia="en-AU"/>
              </w:rPr>
              <w:t xml:space="preserve">(a) </w:t>
            </w:r>
          </w:p>
        </w:tc>
        <w:tc>
          <w:tcPr>
            <w:tcW w:w="1275" w:type="dxa"/>
            <w:tcBorders>
              <w:top w:val="nil"/>
              <w:left w:val="nil"/>
              <w:bottom w:val="nil"/>
              <w:right w:val="nil"/>
            </w:tcBorders>
            <w:shd w:val="clear" w:color="auto" w:fill="EBEBEB"/>
            <w:vAlign w:val="center"/>
            <w:hideMark/>
          </w:tcPr>
          <w:p w14:paraId="324122DF" w14:textId="60E60078" w:rsidR="007350AD" w:rsidRPr="002A1096" w:rsidRDefault="007350AD">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202</w:t>
            </w:r>
            <w:r w:rsidR="00FE2EC5">
              <w:rPr>
                <w:rFonts w:ascii="Public Sans" w:hAnsi="Public Sans" w:cs="Arial"/>
                <w:sz w:val="17"/>
                <w:szCs w:val="17"/>
                <w:lang w:val="en-AU" w:eastAsia="en-AU"/>
              </w:rPr>
              <w:t>5</w:t>
            </w:r>
            <w:r w:rsidRPr="002A1096">
              <w:rPr>
                <w:rFonts w:ascii="Public Sans" w:hAnsi="Public Sans" w:cs="Arial"/>
                <w:sz w:val="17"/>
                <w:szCs w:val="17"/>
                <w:lang w:val="en-AU" w:eastAsia="en-AU"/>
              </w:rPr>
              <w:t>-2</w:t>
            </w:r>
            <w:r w:rsidR="00FE2EC5">
              <w:rPr>
                <w:rFonts w:ascii="Public Sans" w:hAnsi="Public Sans" w:cs="Arial"/>
                <w:sz w:val="17"/>
                <w:szCs w:val="17"/>
                <w:lang w:val="en-AU" w:eastAsia="en-AU"/>
              </w:rPr>
              <w:t>6</w:t>
            </w:r>
          </w:p>
        </w:tc>
        <w:tc>
          <w:tcPr>
            <w:tcW w:w="1271" w:type="dxa"/>
            <w:tcBorders>
              <w:top w:val="nil"/>
              <w:left w:val="nil"/>
              <w:bottom w:val="nil"/>
              <w:right w:val="nil"/>
            </w:tcBorders>
            <w:shd w:val="clear" w:color="auto" w:fill="EBEBEB"/>
            <w:vAlign w:val="center"/>
            <w:hideMark/>
          </w:tcPr>
          <w:p w14:paraId="07E38501" w14:textId="24058F8F" w:rsidR="007350AD" w:rsidRPr="002A1096" w:rsidRDefault="007350AD">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202</w:t>
            </w:r>
            <w:r w:rsidR="00FE2EC5">
              <w:rPr>
                <w:rFonts w:ascii="Public Sans" w:hAnsi="Public Sans" w:cs="Arial"/>
                <w:sz w:val="17"/>
                <w:szCs w:val="17"/>
                <w:lang w:val="en-AU" w:eastAsia="en-AU"/>
              </w:rPr>
              <w:t>6</w:t>
            </w:r>
            <w:r w:rsidRPr="002A1096">
              <w:rPr>
                <w:rFonts w:ascii="Public Sans" w:hAnsi="Public Sans" w:cs="Arial"/>
                <w:sz w:val="17"/>
                <w:szCs w:val="17"/>
                <w:lang w:val="en-AU" w:eastAsia="en-AU"/>
              </w:rPr>
              <w:t>-2</w:t>
            </w:r>
            <w:r w:rsidR="00FE2EC5">
              <w:rPr>
                <w:rFonts w:ascii="Public Sans" w:hAnsi="Public Sans" w:cs="Arial"/>
                <w:sz w:val="17"/>
                <w:szCs w:val="17"/>
                <w:lang w:val="en-AU" w:eastAsia="en-AU"/>
              </w:rPr>
              <w:t>7</w:t>
            </w:r>
          </w:p>
        </w:tc>
        <w:tc>
          <w:tcPr>
            <w:tcW w:w="1279" w:type="dxa"/>
            <w:tcBorders>
              <w:top w:val="nil"/>
              <w:left w:val="nil"/>
              <w:bottom w:val="nil"/>
              <w:right w:val="nil"/>
            </w:tcBorders>
            <w:shd w:val="clear" w:color="auto" w:fill="EBEBEB"/>
            <w:vAlign w:val="center"/>
            <w:hideMark/>
          </w:tcPr>
          <w:p w14:paraId="3E722F7C" w14:textId="6C0DD8D2" w:rsidR="007350AD" w:rsidRPr="002A1096" w:rsidRDefault="007350AD">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202</w:t>
            </w:r>
            <w:r w:rsidR="00FE2EC5">
              <w:rPr>
                <w:rFonts w:ascii="Public Sans" w:hAnsi="Public Sans" w:cs="Arial"/>
                <w:sz w:val="17"/>
                <w:szCs w:val="17"/>
                <w:lang w:val="en-AU" w:eastAsia="en-AU"/>
              </w:rPr>
              <w:t>7</w:t>
            </w:r>
            <w:r w:rsidRPr="002A1096">
              <w:rPr>
                <w:rFonts w:ascii="Public Sans" w:hAnsi="Public Sans" w:cs="Arial"/>
                <w:sz w:val="17"/>
                <w:szCs w:val="17"/>
                <w:lang w:val="en-AU" w:eastAsia="en-AU"/>
              </w:rPr>
              <w:t>-2</w:t>
            </w:r>
            <w:r w:rsidR="00FE2EC5">
              <w:rPr>
                <w:rFonts w:ascii="Public Sans" w:hAnsi="Public Sans" w:cs="Arial"/>
                <w:sz w:val="17"/>
                <w:szCs w:val="17"/>
                <w:lang w:val="en-AU" w:eastAsia="en-AU"/>
              </w:rPr>
              <w:t>8</w:t>
            </w:r>
          </w:p>
        </w:tc>
        <w:tc>
          <w:tcPr>
            <w:tcW w:w="1275" w:type="dxa"/>
            <w:tcBorders>
              <w:top w:val="nil"/>
              <w:left w:val="nil"/>
              <w:bottom w:val="nil"/>
              <w:right w:val="nil"/>
            </w:tcBorders>
            <w:shd w:val="clear" w:color="auto" w:fill="EBEBEB"/>
            <w:vAlign w:val="center"/>
            <w:hideMark/>
          </w:tcPr>
          <w:p w14:paraId="3D9483C2" w14:textId="6483213A" w:rsidR="007350AD" w:rsidRPr="002A1096" w:rsidRDefault="007350AD">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202</w:t>
            </w:r>
            <w:r w:rsidR="00FE2EC5">
              <w:rPr>
                <w:rFonts w:ascii="Public Sans" w:hAnsi="Public Sans" w:cs="Arial"/>
                <w:sz w:val="17"/>
                <w:szCs w:val="17"/>
                <w:lang w:val="en-AU" w:eastAsia="en-AU"/>
              </w:rPr>
              <w:t>8</w:t>
            </w:r>
            <w:r w:rsidRPr="002A1096">
              <w:rPr>
                <w:rFonts w:ascii="Public Sans" w:hAnsi="Public Sans" w:cs="Arial"/>
                <w:sz w:val="17"/>
                <w:szCs w:val="17"/>
                <w:lang w:val="en-AU" w:eastAsia="en-AU"/>
              </w:rPr>
              <w:t>-2</w:t>
            </w:r>
            <w:r w:rsidR="00FE2EC5">
              <w:rPr>
                <w:rFonts w:ascii="Public Sans" w:hAnsi="Public Sans" w:cs="Arial"/>
                <w:sz w:val="17"/>
                <w:szCs w:val="17"/>
                <w:lang w:val="en-AU" w:eastAsia="en-AU"/>
              </w:rPr>
              <w:t>9</w:t>
            </w:r>
          </w:p>
        </w:tc>
      </w:tr>
      <w:tr w:rsidR="007350AD" w:rsidRPr="00E535FA" w14:paraId="5F881561" w14:textId="77777777" w:rsidTr="004B5323">
        <w:trPr>
          <w:trHeight w:val="283"/>
        </w:trPr>
        <w:tc>
          <w:tcPr>
            <w:tcW w:w="4528" w:type="dxa"/>
            <w:tcBorders>
              <w:top w:val="nil"/>
              <w:left w:val="nil"/>
              <w:bottom w:val="nil"/>
              <w:right w:val="nil"/>
            </w:tcBorders>
            <w:shd w:val="clear" w:color="auto" w:fill="EBEBEB"/>
            <w:vAlign w:val="center"/>
          </w:tcPr>
          <w:p w14:paraId="6F90765E" w14:textId="77777777" w:rsidR="007350AD" w:rsidRPr="002A1096" w:rsidRDefault="007350AD">
            <w:pPr>
              <w:jc w:val="center"/>
              <w:rPr>
                <w:rFonts w:ascii="Public Sans" w:hAnsi="Public Sans" w:cs="Arial"/>
                <w:sz w:val="17"/>
                <w:szCs w:val="17"/>
                <w:lang w:val="en-AU" w:eastAsia="en-AU"/>
              </w:rPr>
            </w:pPr>
          </w:p>
        </w:tc>
        <w:tc>
          <w:tcPr>
            <w:tcW w:w="1275" w:type="dxa"/>
            <w:tcBorders>
              <w:top w:val="nil"/>
              <w:left w:val="nil"/>
              <w:bottom w:val="nil"/>
              <w:right w:val="nil"/>
            </w:tcBorders>
            <w:shd w:val="clear" w:color="auto" w:fill="EBEBEB"/>
          </w:tcPr>
          <w:p w14:paraId="1419F21B" w14:textId="77777777" w:rsidR="007350AD" w:rsidRPr="002A1096" w:rsidRDefault="007350AD">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$m</w:t>
            </w:r>
          </w:p>
        </w:tc>
        <w:tc>
          <w:tcPr>
            <w:tcW w:w="1271" w:type="dxa"/>
            <w:tcBorders>
              <w:top w:val="nil"/>
              <w:left w:val="nil"/>
              <w:bottom w:val="nil"/>
              <w:right w:val="nil"/>
            </w:tcBorders>
            <w:shd w:val="clear" w:color="auto" w:fill="EBEBEB"/>
          </w:tcPr>
          <w:p w14:paraId="4269B652" w14:textId="77777777" w:rsidR="007350AD" w:rsidRPr="002A1096" w:rsidRDefault="007350AD">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$m</w:t>
            </w:r>
          </w:p>
        </w:tc>
        <w:tc>
          <w:tcPr>
            <w:tcW w:w="1279" w:type="dxa"/>
            <w:tcBorders>
              <w:top w:val="nil"/>
              <w:left w:val="nil"/>
              <w:bottom w:val="nil"/>
              <w:right w:val="nil"/>
            </w:tcBorders>
            <w:shd w:val="clear" w:color="auto" w:fill="EBEBEB"/>
          </w:tcPr>
          <w:p w14:paraId="6C8450B0" w14:textId="77777777" w:rsidR="007350AD" w:rsidRPr="002A1096" w:rsidRDefault="007350AD">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$m</w:t>
            </w:r>
          </w:p>
        </w:tc>
        <w:tc>
          <w:tcPr>
            <w:tcW w:w="1275" w:type="dxa"/>
            <w:tcBorders>
              <w:top w:val="nil"/>
              <w:left w:val="nil"/>
              <w:bottom w:val="nil"/>
              <w:right w:val="nil"/>
            </w:tcBorders>
            <w:shd w:val="clear" w:color="auto" w:fill="EBEBEB"/>
          </w:tcPr>
          <w:p w14:paraId="2B18552B" w14:textId="77777777" w:rsidR="007350AD" w:rsidRPr="002A1096" w:rsidRDefault="007350AD">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$m</w:t>
            </w:r>
          </w:p>
        </w:tc>
      </w:tr>
      <w:tr w:rsidR="007350AD" w:rsidRPr="00E535FA" w14:paraId="6F070CA1" w14:textId="77777777" w:rsidTr="0065796E">
        <w:trPr>
          <w:trHeight w:val="255"/>
        </w:trPr>
        <w:tc>
          <w:tcPr>
            <w:tcW w:w="4528" w:type="dxa"/>
            <w:tcBorders>
              <w:top w:val="nil"/>
              <w:left w:val="nil"/>
              <w:bottom w:val="nil"/>
              <w:right w:val="nil"/>
            </w:tcBorders>
            <w:vAlign w:val="center"/>
            <w:hideMark/>
          </w:tcPr>
          <w:p w14:paraId="02A92460" w14:textId="77777777" w:rsidR="007350AD" w:rsidRPr="002A1096" w:rsidRDefault="007350AD">
            <w:pPr>
              <w:rPr>
                <w:rFonts w:ascii="Public Sans" w:hAnsi="Public Sans" w:cs="Arial"/>
                <w:sz w:val="16"/>
                <w:szCs w:val="16"/>
                <w:lang w:val="en-AU" w:eastAsia="en-AU"/>
              </w:rPr>
            </w:pPr>
            <w:r w:rsidRPr="002A1096">
              <w:rPr>
                <w:rFonts w:ascii="Public Sans" w:hAnsi="Public Sans" w:cs="Arial"/>
                <w:sz w:val="16"/>
                <w:szCs w:val="16"/>
                <w:lang w:val="en-AU" w:eastAsia="en-AU"/>
              </w:rPr>
              <w:t xml:space="preserve">Payroll tax </w:t>
            </w:r>
          </w:p>
        </w:tc>
        <w:tc>
          <w:tcPr>
            <w:tcW w:w="1275" w:type="dxa"/>
            <w:tcBorders>
              <w:top w:val="nil"/>
              <w:left w:val="nil"/>
              <w:bottom w:val="nil"/>
              <w:right w:val="nil"/>
            </w:tcBorders>
            <w:vAlign w:val="center"/>
          </w:tcPr>
          <w:p w14:paraId="2DE52D33" w14:textId="5AA29779" w:rsidR="007350AD" w:rsidRPr="009F6C17" w:rsidRDefault="00AD0F99">
            <w:pPr>
              <w:ind w:left="-376" w:right="294"/>
              <w:jc w:val="right"/>
              <w:rPr>
                <w:rFonts w:ascii="Public Sans" w:hAnsi="Public Sans" w:cs="Arial"/>
                <w:sz w:val="16"/>
                <w:szCs w:val="16"/>
              </w:rPr>
            </w:pPr>
            <w:r w:rsidRPr="009F6C17">
              <w:rPr>
                <w:rFonts w:ascii="Public Sans" w:hAnsi="Public Sans" w:cs="Arial"/>
                <w:sz w:val="16"/>
                <w:szCs w:val="16"/>
              </w:rPr>
              <w:t>27</w:t>
            </w:r>
          </w:p>
        </w:tc>
        <w:tc>
          <w:tcPr>
            <w:tcW w:w="1271" w:type="dxa"/>
            <w:tcBorders>
              <w:top w:val="nil"/>
              <w:left w:val="nil"/>
              <w:bottom w:val="nil"/>
              <w:right w:val="nil"/>
            </w:tcBorders>
            <w:vAlign w:val="center"/>
          </w:tcPr>
          <w:p w14:paraId="4C03CB74" w14:textId="2A99E050" w:rsidR="007350AD" w:rsidRPr="009F6C17" w:rsidRDefault="00AD0F99">
            <w:pPr>
              <w:ind w:left="-376" w:right="294"/>
              <w:jc w:val="right"/>
              <w:rPr>
                <w:rFonts w:ascii="Public Sans" w:hAnsi="Public Sans" w:cs="Arial"/>
                <w:sz w:val="16"/>
                <w:szCs w:val="16"/>
              </w:rPr>
            </w:pPr>
            <w:r w:rsidRPr="009F6C17">
              <w:rPr>
                <w:rFonts w:ascii="Public Sans" w:hAnsi="Public Sans" w:cs="Arial"/>
                <w:sz w:val="16"/>
                <w:szCs w:val="16"/>
              </w:rPr>
              <w:t>108</w:t>
            </w:r>
          </w:p>
        </w:tc>
        <w:tc>
          <w:tcPr>
            <w:tcW w:w="1279" w:type="dxa"/>
            <w:tcBorders>
              <w:top w:val="nil"/>
              <w:left w:val="nil"/>
              <w:bottom w:val="nil"/>
              <w:right w:val="nil"/>
            </w:tcBorders>
            <w:vAlign w:val="center"/>
          </w:tcPr>
          <w:p w14:paraId="48A10E63" w14:textId="6C3F315B" w:rsidR="007350AD" w:rsidRPr="009F6C17" w:rsidRDefault="00AD0F99">
            <w:pPr>
              <w:ind w:left="-376" w:right="294"/>
              <w:jc w:val="right"/>
              <w:rPr>
                <w:rFonts w:ascii="Public Sans" w:hAnsi="Public Sans" w:cs="Arial"/>
                <w:sz w:val="16"/>
                <w:szCs w:val="16"/>
              </w:rPr>
            </w:pPr>
            <w:r w:rsidRPr="009F6C17">
              <w:rPr>
                <w:rFonts w:ascii="Public Sans" w:hAnsi="Public Sans" w:cs="Arial"/>
                <w:sz w:val="16"/>
                <w:szCs w:val="16"/>
              </w:rPr>
              <w:t>146</w:t>
            </w:r>
          </w:p>
        </w:tc>
        <w:tc>
          <w:tcPr>
            <w:tcW w:w="1275" w:type="dxa"/>
            <w:tcBorders>
              <w:top w:val="nil"/>
              <w:left w:val="nil"/>
              <w:bottom w:val="nil"/>
              <w:right w:val="nil"/>
            </w:tcBorders>
            <w:vAlign w:val="center"/>
          </w:tcPr>
          <w:p w14:paraId="65B1BF5C" w14:textId="4F555729" w:rsidR="007350AD" w:rsidRPr="009F6C17" w:rsidRDefault="00AD0F99">
            <w:pPr>
              <w:ind w:left="-376" w:right="294"/>
              <w:jc w:val="right"/>
              <w:rPr>
                <w:rFonts w:ascii="Public Sans" w:hAnsi="Public Sans" w:cs="Arial"/>
                <w:sz w:val="16"/>
                <w:szCs w:val="16"/>
              </w:rPr>
            </w:pPr>
            <w:r w:rsidRPr="009F6C17">
              <w:rPr>
                <w:rFonts w:ascii="Public Sans" w:hAnsi="Public Sans" w:cs="Arial"/>
                <w:sz w:val="16"/>
                <w:szCs w:val="16"/>
              </w:rPr>
              <w:t>170</w:t>
            </w:r>
          </w:p>
        </w:tc>
      </w:tr>
      <w:tr w:rsidR="007350AD" w:rsidRPr="00E535FA" w14:paraId="45390990" w14:textId="77777777" w:rsidTr="0065796E">
        <w:trPr>
          <w:trHeight w:val="255"/>
        </w:trPr>
        <w:tc>
          <w:tcPr>
            <w:tcW w:w="4528" w:type="dxa"/>
            <w:tcBorders>
              <w:top w:val="nil"/>
              <w:left w:val="nil"/>
              <w:bottom w:val="nil"/>
              <w:right w:val="nil"/>
            </w:tcBorders>
            <w:vAlign w:val="center"/>
          </w:tcPr>
          <w:p w14:paraId="7C7C5F04" w14:textId="77777777" w:rsidR="007350AD" w:rsidRPr="002A1096" w:rsidRDefault="007350AD">
            <w:pPr>
              <w:rPr>
                <w:rFonts w:ascii="Public Sans" w:hAnsi="Public Sans" w:cs="Arial"/>
                <w:sz w:val="16"/>
                <w:szCs w:val="16"/>
                <w:lang w:val="en-AU" w:eastAsia="en-AU"/>
              </w:rPr>
            </w:pPr>
            <w:r w:rsidRPr="002A1096">
              <w:rPr>
                <w:rFonts w:ascii="Public Sans" w:hAnsi="Public Sans" w:cs="Arial"/>
                <w:sz w:val="16"/>
                <w:szCs w:val="16"/>
                <w:lang w:val="en-AU" w:eastAsia="en-AU"/>
              </w:rPr>
              <w:t xml:space="preserve">Transfer duty </w:t>
            </w:r>
          </w:p>
        </w:tc>
        <w:tc>
          <w:tcPr>
            <w:tcW w:w="1275" w:type="dxa"/>
            <w:tcBorders>
              <w:top w:val="nil"/>
              <w:left w:val="nil"/>
              <w:bottom w:val="nil"/>
              <w:right w:val="nil"/>
            </w:tcBorders>
            <w:vAlign w:val="center"/>
          </w:tcPr>
          <w:p w14:paraId="4A561743" w14:textId="654EB286" w:rsidR="007350AD" w:rsidRPr="009F6C17" w:rsidRDefault="001236D3">
            <w:pPr>
              <w:ind w:left="-376" w:right="294"/>
              <w:jc w:val="right"/>
              <w:rPr>
                <w:rFonts w:ascii="Public Sans" w:hAnsi="Public Sans" w:cs="Arial"/>
                <w:sz w:val="16"/>
                <w:szCs w:val="16"/>
              </w:rPr>
            </w:pPr>
            <w:r w:rsidRPr="009F6C17">
              <w:rPr>
                <w:rFonts w:ascii="Public Sans" w:hAnsi="Public Sans" w:cs="Arial"/>
                <w:sz w:val="16"/>
                <w:szCs w:val="16"/>
              </w:rPr>
              <w:t>187</w:t>
            </w:r>
          </w:p>
        </w:tc>
        <w:tc>
          <w:tcPr>
            <w:tcW w:w="1271" w:type="dxa"/>
            <w:tcBorders>
              <w:top w:val="nil"/>
              <w:left w:val="nil"/>
              <w:bottom w:val="nil"/>
              <w:right w:val="nil"/>
            </w:tcBorders>
            <w:vAlign w:val="center"/>
          </w:tcPr>
          <w:p w14:paraId="63C73416" w14:textId="1723AA48" w:rsidR="007350AD" w:rsidRPr="009F6C17" w:rsidRDefault="001236D3">
            <w:pPr>
              <w:ind w:left="-376" w:right="294"/>
              <w:jc w:val="right"/>
              <w:rPr>
                <w:rFonts w:ascii="Public Sans" w:hAnsi="Public Sans" w:cs="Arial"/>
                <w:sz w:val="16"/>
                <w:szCs w:val="16"/>
              </w:rPr>
            </w:pPr>
            <w:r w:rsidRPr="009F6C17">
              <w:rPr>
                <w:rFonts w:ascii="Public Sans" w:hAnsi="Public Sans" w:cs="Arial"/>
                <w:sz w:val="16"/>
                <w:szCs w:val="16"/>
              </w:rPr>
              <w:t>410</w:t>
            </w:r>
          </w:p>
        </w:tc>
        <w:tc>
          <w:tcPr>
            <w:tcW w:w="1279" w:type="dxa"/>
            <w:tcBorders>
              <w:top w:val="nil"/>
              <w:left w:val="nil"/>
              <w:bottom w:val="nil"/>
              <w:right w:val="nil"/>
            </w:tcBorders>
            <w:vAlign w:val="center"/>
          </w:tcPr>
          <w:p w14:paraId="6C262C85" w14:textId="4E483956" w:rsidR="007350AD" w:rsidRPr="009F6C17" w:rsidRDefault="001236D3">
            <w:pPr>
              <w:ind w:left="-376" w:right="294"/>
              <w:jc w:val="right"/>
              <w:rPr>
                <w:rFonts w:ascii="Public Sans" w:hAnsi="Public Sans" w:cs="Arial"/>
                <w:sz w:val="16"/>
                <w:szCs w:val="16"/>
              </w:rPr>
            </w:pPr>
            <w:r w:rsidRPr="009F6C17">
              <w:rPr>
                <w:rFonts w:ascii="Public Sans" w:hAnsi="Public Sans" w:cs="Arial"/>
                <w:sz w:val="16"/>
                <w:szCs w:val="16"/>
              </w:rPr>
              <w:t>322</w:t>
            </w:r>
          </w:p>
        </w:tc>
        <w:tc>
          <w:tcPr>
            <w:tcW w:w="1275" w:type="dxa"/>
            <w:tcBorders>
              <w:top w:val="nil"/>
              <w:left w:val="nil"/>
              <w:bottom w:val="nil"/>
              <w:right w:val="nil"/>
            </w:tcBorders>
            <w:vAlign w:val="center"/>
          </w:tcPr>
          <w:p w14:paraId="0F86E62D" w14:textId="43CC8663" w:rsidR="007350AD" w:rsidRPr="009F6C17" w:rsidRDefault="001236D3">
            <w:pPr>
              <w:ind w:left="-376" w:right="294"/>
              <w:jc w:val="right"/>
              <w:rPr>
                <w:rFonts w:ascii="Public Sans" w:hAnsi="Public Sans" w:cs="Arial"/>
                <w:sz w:val="16"/>
                <w:szCs w:val="16"/>
              </w:rPr>
            </w:pPr>
            <w:r w:rsidRPr="009F6C17">
              <w:rPr>
                <w:rFonts w:ascii="Public Sans" w:hAnsi="Public Sans" w:cs="Arial"/>
                <w:sz w:val="16"/>
                <w:szCs w:val="16"/>
              </w:rPr>
              <w:t>235</w:t>
            </w:r>
          </w:p>
        </w:tc>
      </w:tr>
      <w:tr w:rsidR="007350AD" w:rsidRPr="00E535FA" w14:paraId="4B6807EE" w14:textId="77777777" w:rsidTr="0065796E">
        <w:trPr>
          <w:trHeight w:val="255"/>
        </w:trPr>
        <w:tc>
          <w:tcPr>
            <w:tcW w:w="4528" w:type="dxa"/>
            <w:tcBorders>
              <w:top w:val="nil"/>
              <w:left w:val="nil"/>
              <w:bottom w:val="nil"/>
              <w:right w:val="nil"/>
            </w:tcBorders>
            <w:vAlign w:val="center"/>
          </w:tcPr>
          <w:p w14:paraId="3830C283" w14:textId="77777777" w:rsidR="007350AD" w:rsidRPr="002A1096" w:rsidRDefault="007350AD">
            <w:pPr>
              <w:rPr>
                <w:rFonts w:ascii="Public Sans" w:hAnsi="Public Sans" w:cs="Arial"/>
                <w:sz w:val="16"/>
                <w:szCs w:val="16"/>
                <w:lang w:val="en-AU" w:eastAsia="en-AU"/>
              </w:rPr>
            </w:pPr>
            <w:r w:rsidRPr="002A1096">
              <w:rPr>
                <w:rFonts w:ascii="Public Sans" w:hAnsi="Public Sans" w:cs="Arial"/>
                <w:sz w:val="16"/>
                <w:szCs w:val="16"/>
                <w:lang w:val="en-AU" w:eastAsia="en-AU"/>
              </w:rPr>
              <w:t>Land tax</w:t>
            </w:r>
          </w:p>
        </w:tc>
        <w:tc>
          <w:tcPr>
            <w:tcW w:w="1275" w:type="dxa"/>
            <w:tcBorders>
              <w:top w:val="nil"/>
              <w:left w:val="nil"/>
              <w:bottom w:val="nil"/>
              <w:right w:val="nil"/>
            </w:tcBorders>
            <w:vAlign w:val="center"/>
          </w:tcPr>
          <w:p w14:paraId="41A2F654" w14:textId="7AE5D5B9" w:rsidR="007350AD" w:rsidRPr="009F6C17" w:rsidRDefault="00606E2C">
            <w:pPr>
              <w:ind w:left="-376" w:right="294"/>
              <w:jc w:val="right"/>
              <w:rPr>
                <w:rFonts w:ascii="Public Sans" w:hAnsi="Public Sans" w:cs="Arial"/>
                <w:sz w:val="16"/>
                <w:szCs w:val="16"/>
              </w:rPr>
            </w:pPr>
            <w:r w:rsidRPr="009F6C17">
              <w:rPr>
                <w:rFonts w:ascii="Public Sans" w:hAnsi="Public Sans" w:cs="Arial"/>
                <w:sz w:val="16"/>
                <w:szCs w:val="16"/>
              </w:rPr>
              <w:t>0</w:t>
            </w:r>
          </w:p>
        </w:tc>
        <w:tc>
          <w:tcPr>
            <w:tcW w:w="1271" w:type="dxa"/>
            <w:tcBorders>
              <w:top w:val="nil"/>
              <w:left w:val="nil"/>
              <w:bottom w:val="nil"/>
              <w:right w:val="nil"/>
            </w:tcBorders>
            <w:vAlign w:val="center"/>
          </w:tcPr>
          <w:p w14:paraId="23D0CD15" w14:textId="5E4516BD" w:rsidR="007350AD" w:rsidRPr="009F6C17" w:rsidRDefault="00606E2C">
            <w:pPr>
              <w:ind w:left="-376" w:right="294"/>
              <w:jc w:val="right"/>
              <w:rPr>
                <w:rFonts w:ascii="Public Sans" w:hAnsi="Public Sans" w:cs="Arial"/>
                <w:sz w:val="16"/>
                <w:szCs w:val="16"/>
              </w:rPr>
            </w:pPr>
            <w:r w:rsidRPr="009F6C17">
              <w:rPr>
                <w:rFonts w:ascii="Public Sans" w:hAnsi="Public Sans" w:cs="Arial"/>
                <w:sz w:val="16"/>
                <w:szCs w:val="16"/>
              </w:rPr>
              <w:t>51</w:t>
            </w:r>
          </w:p>
        </w:tc>
        <w:tc>
          <w:tcPr>
            <w:tcW w:w="1279" w:type="dxa"/>
            <w:tcBorders>
              <w:top w:val="nil"/>
              <w:left w:val="nil"/>
              <w:bottom w:val="nil"/>
              <w:right w:val="nil"/>
            </w:tcBorders>
            <w:vAlign w:val="center"/>
          </w:tcPr>
          <w:p w14:paraId="1C586CEE" w14:textId="1B86264E" w:rsidR="007350AD" w:rsidRPr="009F6C17" w:rsidRDefault="00606E2C">
            <w:pPr>
              <w:ind w:left="-376" w:right="294"/>
              <w:jc w:val="right"/>
              <w:rPr>
                <w:rFonts w:ascii="Public Sans" w:hAnsi="Public Sans" w:cs="Arial"/>
                <w:sz w:val="16"/>
                <w:szCs w:val="16"/>
              </w:rPr>
            </w:pPr>
            <w:r w:rsidRPr="009F6C17">
              <w:rPr>
                <w:rFonts w:ascii="Public Sans" w:hAnsi="Public Sans" w:cs="Arial"/>
                <w:sz w:val="16"/>
                <w:szCs w:val="16"/>
              </w:rPr>
              <w:t>164</w:t>
            </w:r>
          </w:p>
        </w:tc>
        <w:tc>
          <w:tcPr>
            <w:tcW w:w="1275" w:type="dxa"/>
            <w:tcBorders>
              <w:top w:val="nil"/>
              <w:left w:val="nil"/>
              <w:bottom w:val="nil"/>
              <w:right w:val="nil"/>
            </w:tcBorders>
            <w:vAlign w:val="center"/>
          </w:tcPr>
          <w:p w14:paraId="0757B930" w14:textId="0478496B" w:rsidR="007350AD" w:rsidRPr="009F6C17" w:rsidRDefault="00606E2C">
            <w:pPr>
              <w:ind w:left="-376" w:right="294"/>
              <w:jc w:val="right"/>
              <w:rPr>
                <w:rFonts w:ascii="Public Sans" w:hAnsi="Public Sans" w:cs="Arial"/>
                <w:sz w:val="16"/>
                <w:szCs w:val="16"/>
              </w:rPr>
            </w:pPr>
            <w:r w:rsidRPr="009F6C17">
              <w:rPr>
                <w:rFonts w:ascii="Public Sans" w:hAnsi="Public Sans" w:cs="Arial"/>
                <w:sz w:val="16"/>
                <w:szCs w:val="16"/>
              </w:rPr>
              <w:t>247</w:t>
            </w:r>
          </w:p>
        </w:tc>
      </w:tr>
      <w:tr w:rsidR="007350AD" w:rsidRPr="00E535FA" w14:paraId="1ABC4520" w14:textId="77777777" w:rsidTr="0065796E">
        <w:trPr>
          <w:trHeight w:val="255"/>
        </w:trPr>
        <w:tc>
          <w:tcPr>
            <w:tcW w:w="4528" w:type="dxa"/>
            <w:tcBorders>
              <w:top w:val="nil"/>
              <w:left w:val="nil"/>
              <w:right w:val="nil"/>
            </w:tcBorders>
            <w:vAlign w:val="center"/>
          </w:tcPr>
          <w:p w14:paraId="710516B7" w14:textId="77777777" w:rsidR="007350AD" w:rsidRPr="002A1096" w:rsidRDefault="007350AD">
            <w:pPr>
              <w:rPr>
                <w:rFonts w:ascii="Public Sans" w:hAnsi="Public Sans" w:cs="Arial"/>
                <w:sz w:val="16"/>
                <w:szCs w:val="16"/>
                <w:lang w:val="en-AU" w:eastAsia="en-AU"/>
              </w:rPr>
            </w:pPr>
            <w:r w:rsidRPr="002A1096">
              <w:rPr>
                <w:rFonts w:ascii="Public Sans" w:hAnsi="Public Sans" w:cs="Arial"/>
                <w:sz w:val="16"/>
                <w:szCs w:val="16"/>
                <w:lang w:val="en-AU" w:eastAsia="en-AU"/>
              </w:rPr>
              <w:t>Royalties</w:t>
            </w:r>
          </w:p>
        </w:tc>
        <w:tc>
          <w:tcPr>
            <w:tcW w:w="1275" w:type="dxa"/>
            <w:tcBorders>
              <w:top w:val="nil"/>
              <w:left w:val="nil"/>
              <w:right w:val="nil"/>
            </w:tcBorders>
            <w:vAlign w:val="center"/>
          </w:tcPr>
          <w:p w14:paraId="6B4561D7" w14:textId="6B3D68D0" w:rsidR="007350AD" w:rsidRPr="009F6C17" w:rsidRDefault="00B406BB">
            <w:pPr>
              <w:ind w:left="-376" w:right="294"/>
              <w:jc w:val="right"/>
              <w:rPr>
                <w:rFonts w:ascii="Public Sans" w:hAnsi="Public Sans" w:cs="Arial"/>
                <w:sz w:val="16"/>
                <w:szCs w:val="16"/>
              </w:rPr>
            </w:pPr>
            <w:r w:rsidRPr="009F6C17">
              <w:rPr>
                <w:rFonts w:ascii="Public Sans" w:hAnsi="Public Sans" w:cs="Arial"/>
                <w:sz w:val="16"/>
                <w:szCs w:val="16"/>
              </w:rPr>
              <w:t>(</w:t>
            </w:r>
            <w:r w:rsidR="001236D3" w:rsidRPr="009F6C17">
              <w:rPr>
                <w:rFonts w:ascii="Public Sans" w:hAnsi="Public Sans" w:cs="Arial"/>
                <w:sz w:val="16"/>
                <w:szCs w:val="16"/>
              </w:rPr>
              <w:t>71</w:t>
            </w:r>
            <w:r w:rsidRPr="009F6C17">
              <w:rPr>
                <w:rFonts w:ascii="Public Sans" w:hAnsi="Public Sans" w:cs="Arial"/>
                <w:sz w:val="16"/>
                <w:szCs w:val="16"/>
              </w:rPr>
              <w:t>)</w:t>
            </w:r>
          </w:p>
        </w:tc>
        <w:tc>
          <w:tcPr>
            <w:tcW w:w="1271" w:type="dxa"/>
            <w:tcBorders>
              <w:top w:val="nil"/>
              <w:left w:val="nil"/>
              <w:right w:val="nil"/>
            </w:tcBorders>
            <w:vAlign w:val="center"/>
          </w:tcPr>
          <w:p w14:paraId="5FC75C94" w14:textId="2DEAF6EA" w:rsidR="007350AD" w:rsidRPr="009F6C17" w:rsidRDefault="00B406BB">
            <w:pPr>
              <w:ind w:left="-376" w:right="294"/>
              <w:jc w:val="right"/>
              <w:rPr>
                <w:rFonts w:ascii="Public Sans" w:hAnsi="Public Sans" w:cs="Arial"/>
                <w:sz w:val="16"/>
                <w:szCs w:val="16"/>
              </w:rPr>
            </w:pPr>
            <w:r w:rsidRPr="009F6C17">
              <w:rPr>
                <w:rFonts w:ascii="Public Sans" w:hAnsi="Public Sans" w:cs="Arial"/>
                <w:sz w:val="16"/>
                <w:szCs w:val="16"/>
              </w:rPr>
              <w:t>(</w:t>
            </w:r>
            <w:r w:rsidR="00272C55" w:rsidRPr="009F6C17">
              <w:rPr>
                <w:rFonts w:ascii="Public Sans" w:hAnsi="Public Sans" w:cs="Arial"/>
                <w:sz w:val="16"/>
                <w:szCs w:val="16"/>
              </w:rPr>
              <w:t>135</w:t>
            </w:r>
            <w:r w:rsidR="00622067" w:rsidRPr="009F6C17">
              <w:rPr>
                <w:rFonts w:ascii="Public Sans" w:hAnsi="Public Sans" w:cs="Arial"/>
                <w:sz w:val="16"/>
                <w:szCs w:val="16"/>
              </w:rPr>
              <w:t>)</w:t>
            </w:r>
          </w:p>
        </w:tc>
        <w:tc>
          <w:tcPr>
            <w:tcW w:w="1279" w:type="dxa"/>
            <w:tcBorders>
              <w:top w:val="nil"/>
              <w:left w:val="nil"/>
              <w:right w:val="nil"/>
            </w:tcBorders>
            <w:vAlign w:val="center"/>
          </w:tcPr>
          <w:p w14:paraId="7E37941F" w14:textId="2A0F3285" w:rsidR="007350AD" w:rsidRPr="009F6C17" w:rsidRDefault="00622067">
            <w:pPr>
              <w:ind w:left="-376" w:right="294"/>
              <w:jc w:val="right"/>
              <w:rPr>
                <w:rFonts w:ascii="Public Sans" w:hAnsi="Public Sans" w:cs="Arial"/>
                <w:sz w:val="16"/>
                <w:szCs w:val="16"/>
              </w:rPr>
            </w:pPr>
            <w:r w:rsidRPr="009F6C17">
              <w:rPr>
                <w:rFonts w:ascii="Public Sans" w:hAnsi="Public Sans" w:cs="Arial"/>
                <w:sz w:val="16"/>
                <w:szCs w:val="16"/>
              </w:rPr>
              <w:t>(</w:t>
            </w:r>
            <w:r w:rsidR="00272C55" w:rsidRPr="009F6C17">
              <w:rPr>
                <w:rFonts w:ascii="Public Sans" w:hAnsi="Public Sans" w:cs="Arial"/>
                <w:sz w:val="16"/>
                <w:szCs w:val="16"/>
              </w:rPr>
              <w:t>93</w:t>
            </w:r>
            <w:r w:rsidRPr="009F6C17">
              <w:rPr>
                <w:rFonts w:ascii="Public Sans" w:hAnsi="Public Sans" w:cs="Arial"/>
                <w:sz w:val="16"/>
                <w:szCs w:val="16"/>
              </w:rPr>
              <w:t>)</w:t>
            </w:r>
          </w:p>
        </w:tc>
        <w:tc>
          <w:tcPr>
            <w:tcW w:w="1275" w:type="dxa"/>
            <w:tcBorders>
              <w:top w:val="nil"/>
              <w:left w:val="nil"/>
              <w:right w:val="nil"/>
            </w:tcBorders>
            <w:vAlign w:val="center"/>
          </w:tcPr>
          <w:p w14:paraId="353A5ADB" w14:textId="2411E50C" w:rsidR="007350AD" w:rsidRPr="009F6C17" w:rsidRDefault="00622067">
            <w:pPr>
              <w:ind w:left="-376" w:right="294"/>
              <w:jc w:val="right"/>
              <w:rPr>
                <w:rFonts w:ascii="Public Sans" w:hAnsi="Public Sans" w:cs="Arial"/>
                <w:sz w:val="16"/>
                <w:szCs w:val="16"/>
              </w:rPr>
            </w:pPr>
            <w:r w:rsidRPr="009F6C17">
              <w:rPr>
                <w:rFonts w:ascii="Public Sans" w:hAnsi="Public Sans" w:cs="Arial"/>
                <w:sz w:val="16"/>
                <w:szCs w:val="16"/>
              </w:rPr>
              <w:t>(</w:t>
            </w:r>
            <w:r w:rsidR="00272C55" w:rsidRPr="009F6C17">
              <w:rPr>
                <w:rFonts w:ascii="Public Sans" w:hAnsi="Public Sans" w:cs="Arial"/>
                <w:sz w:val="16"/>
                <w:szCs w:val="16"/>
              </w:rPr>
              <w:t>54</w:t>
            </w:r>
            <w:r w:rsidRPr="009F6C17">
              <w:rPr>
                <w:rFonts w:ascii="Public Sans" w:hAnsi="Public Sans" w:cs="Arial"/>
                <w:sz w:val="16"/>
                <w:szCs w:val="16"/>
              </w:rPr>
              <w:t>)</w:t>
            </w:r>
          </w:p>
        </w:tc>
      </w:tr>
      <w:tr w:rsidR="007350AD" w:rsidRPr="00E535FA" w14:paraId="5D8F1146" w14:textId="77777777" w:rsidTr="0065796E">
        <w:trPr>
          <w:trHeight w:val="255"/>
        </w:trPr>
        <w:tc>
          <w:tcPr>
            <w:tcW w:w="4528" w:type="dxa"/>
            <w:tcBorders>
              <w:top w:val="nil"/>
              <w:left w:val="nil"/>
              <w:right w:val="nil"/>
            </w:tcBorders>
            <w:vAlign w:val="center"/>
          </w:tcPr>
          <w:p w14:paraId="43B48DA1" w14:textId="77777777" w:rsidR="007350AD" w:rsidRPr="002A1096" w:rsidRDefault="007350AD">
            <w:pPr>
              <w:rPr>
                <w:rFonts w:ascii="Public Sans" w:hAnsi="Public Sans" w:cs="Arial"/>
                <w:sz w:val="16"/>
                <w:szCs w:val="16"/>
                <w:lang w:val="en-AU" w:eastAsia="en-AU"/>
              </w:rPr>
            </w:pPr>
            <w:r w:rsidRPr="002A1096">
              <w:rPr>
                <w:rFonts w:ascii="Public Sans" w:hAnsi="Public Sans" w:cs="Arial"/>
                <w:sz w:val="16"/>
                <w:szCs w:val="16"/>
                <w:lang w:val="en-AU" w:eastAsia="en-AU"/>
              </w:rPr>
              <w:t>GST revenue</w:t>
            </w:r>
          </w:p>
        </w:tc>
        <w:tc>
          <w:tcPr>
            <w:tcW w:w="1275" w:type="dxa"/>
            <w:tcBorders>
              <w:top w:val="nil"/>
              <w:left w:val="nil"/>
              <w:right w:val="nil"/>
            </w:tcBorders>
            <w:vAlign w:val="center"/>
          </w:tcPr>
          <w:p w14:paraId="00AA2B64" w14:textId="300B017A" w:rsidR="007350AD" w:rsidRPr="009F6C17" w:rsidRDefault="00BD6DDC">
            <w:pPr>
              <w:ind w:left="-376" w:right="294"/>
              <w:jc w:val="right"/>
              <w:rPr>
                <w:rFonts w:ascii="Public Sans" w:hAnsi="Public Sans" w:cs="Arial"/>
                <w:sz w:val="16"/>
                <w:szCs w:val="16"/>
              </w:rPr>
            </w:pPr>
            <w:r w:rsidRPr="009F6C17">
              <w:rPr>
                <w:rFonts w:ascii="Public Sans" w:hAnsi="Public Sans" w:cs="Arial"/>
                <w:sz w:val="16"/>
                <w:szCs w:val="16"/>
              </w:rPr>
              <w:t>277</w:t>
            </w:r>
          </w:p>
        </w:tc>
        <w:tc>
          <w:tcPr>
            <w:tcW w:w="1271" w:type="dxa"/>
            <w:tcBorders>
              <w:top w:val="nil"/>
              <w:left w:val="nil"/>
              <w:right w:val="nil"/>
            </w:tcBorders>
            <w:vAlign w:val="center"/>
          </w:tcPr>
          <w:p w14:paraId="1B4F3CE6" w14:textId="31446B01" w:rsidR="007350AD" w:rsidRPr="009F6C17" w:rsidRDefault="00BD6DDC">
            <w:pPr>
              <w:ind w:left="-376" w:right="294"/>
              <w:jc w:val="right"/>
              <w:rPr>
                <w:rFonts w:ascii="Public Sans" w:hAnsi="Public Sans" w:cs="Arial"/>
                <w:sz w:val="16"/>
                <w:szCs w:val="16"/>
              </w:rPr>
            </w:pPr>
            <w:r w:rsidRPr="009F6C17">
              <w:rPr>
                <w:rFonts w:ascii="Public Sans" w:hAnsi="Public Sans" w:cs="Arial"/>
                <w:sz w:val="16"/>
                <w:szCs w:val="16"/>
              </w:rPr>
              <w:t>603</w:t>
            </w:r>
          </w:p>
        </w:tc>
        <w:tc>
          <w:tcPr>
            <w:tcW w:w="1279" w:type="dxa"/>
            <w:tcBorders>
              <w:top w:val="nil"/>
              <w:left w:val="nil"/>
              <w:right w:val="nil"/>
            </w:tcBorders>
            <w:vAlign w:val="center"/>
          </w:tcPr>
          <w:p w14:paraId="49E0056B" w14:textId="28C9DC5B" w:rsidR="007350AD" w:rsidRPr="009F6C17" w:rsidRDefault="00BD6DDC">
            <w:pPr>
              <w:ind w:left="-376" w:right="294"/>
              <w:jc w:val="right"/>
              <w:rPr>
                <w:rFonts w:ascii="Public Sans" w:hAnsi="Public Sans" w:cs="Arial"/>
                <w:sz w:val="16"/>
                <w:szCs w:val="16"/>
              </w:rPr>
            </w:pPr>
            <w:r w:rsidRPr="009F6C17">
              <w:rPr>
                <w:rFonts w:ascii="Public Sans" w:hAnsi="Public Sans" w:cs="Arial"/>
                <w:sz w:val="16"/>
                <w:szCs w:val="16"/>
              </w:rPr>
              <w:t>464</w:t>
            </w:r>
          </w:p>
        </w:tc>
        <w:tc>
          <w:tcPr>
            <w:tcW w:w="1275" w:type="dxa"/>
            <w:tcBorders>
              <w:top w:val="nil"/>
              <w:left w:val="nil"/>
              <w:right w:val="nil"/>
            </w:tcBorders>
            <w:vAlign w:val="center"/>
          </w:tcPr>
          <w:p w14:paraId="323CB240" w14:textId="6317647A" w:rsidR="007350AD" w:rsidRPr="009F6C17" w:rsidRDefault="00BD6DDC">
            <w:pPr>
              <w:ind w:left="-376" w:right="294"/>
              <w:jc w:val="right"/>
              <w:rPr>
                <w:rFonts w:ascii="Public Sans" w:hAnsi="Public Sans" w:cs="Arial"/>
                <w:sz w:val="16"/>
                <w:szCs w:val="16"/>
              </w:rPr>
            </w:pPr>
            <w:r w:rsidRPr="009F6C17">
              <w:rPr>
                <w:rFonts w:ascii="Public Sans" w:hAnsi="Public Sans" w:cs="Arial"/>
                <w:sz w:val="16"/>
                <w:szCs w:val="16"/>
              </w:rPr>
              <w:t>341</w:t>
            </w:r>
          </w:p>
        </w:tc>
      </w:tr>
      <w:tr w:rsidR="00872212" w:rsidRPr="00E535FA" w14:paraId="00240943" w14:textId="77777777" w:rsidTr="2D0B5E54">
        <w:trPr>
          <w:trHeight w:val="255"/>
        </w:trPr>
        <w:tc>
          <w:tcPr>
            <w:tcW w:w="4528" w:type="dxa"/>
            <w:tcBorders>
              <w:top w:val="single" w:sz="4" w:space="0" w:color="auto"/>
              <w:left w:val="nil"/>
              <w:bottom w:val="single" w:sz="4" w:space="0" w:color="auto"/>
              <w:right w:val="nil"/>
            </w:tcBorders>
            <w:vAlign w:val="center"/>
          </w:tcPr>
          <w:p w14:paraId="549683F8" w14:textId="77777777" w:rsidR="007350AD" w:rsidRPr="00CA3BEF" w:rsidRDefault="007350AD">
            <w:pPr>
              <w:rPr>
                <w:rFonts w:ascii="Public Sans" w:hAnsi="Public Sans" w:cs="Arial"/>
                <w:b/>
                <w:sz w:val="16"/>
                <w:szCs w:val="16"/>
                <w:lang w:val="en-AU" w:eastAsia="en-AU"/>
              </w:rPr>
            </w:pPr>
            <w:r w:rsidRPr="00CA3BEF">
              <w:rPr>
                <w:rFonts w:ascii="Public Sans" w:hAnsi="Public Sans" w:cs="Arial"/>
                <w:b/>
                <w:sz w:val="16"/>
                <w:szCs w:val="16"/>
                <w:lang w:val="en-AU" w:eastAsia="en-AU"/>
              </w:rPr>
              <w:t>Total revenue</w:t>
            </w:r>
          </w:p>
        </w:tc>
        <w:tc>
          <w:tcPr>
            <w:tcW w:w="1275" w:type="dxa"/>
            <w:tcBorders>
              <w:top w:val="single" w:sz="4" w:space="0" w:color="auto"/>
              <w:left w:val="nil"/>
              <w:bottom w:val="single" w:sz="4" w:space="0" w:color="auto"/>
              <w:right w:val="nil"/>
            </w:tcBorders>
            <w:shd w:val="clear" w:color="auto" w:fill="FFFFFF" w:themeFill="text2"/>
            <w:vAlign w:val="center"/>
          </w:tcPr>
          <w:p w14:paraId="2D519D42" w14:textId="12F9053C" w:rsidR="007350AD" w:rsidRPr="009F6C17" w:rsidRDefault="004E6C5A">
            <w:pPr>
              <w:ind w:left="-376" w:right="294"/>
              <w:jc w:val="right"/>
              <w:rPr>
                <w:rFonts w:ascii="Public Sans" w:hAnsi="Public Sans" w:cs="Arial"/>
                <w:b/>
                <w:sz w:val="16"/>
                <w:szCs w:val="16"/>
              </w:rPr>
            </w:pPr>
            <w:r w:rsidRPr="009F6C17">
              <w:rPr>
                <w:rFonts w:ascii="Public Sans" w:hAnsi="Public Sans" w:cs="Arial"/>
                <w:b/>
                <w:sz w:val="16"/>
                <w:szCs w:val="16"/>
              </w:rPr>
              <w:t>420</w:t>
            </w:r>
          </w:p>
        </w:tc>
        <w:tc>
          <w:tcPr>
            <w:tcW w:w="1271" w:type="dxa"/>
            <w:tcBorders>
              <w:top w:val="single" w:sz="4" w:space="0" w:color="auto"/>
              <w:left w:val="nil"/>
              <w:bottom w:val="single" w:sz="4" w:space="0" w:color="auto"/>
              <w:right w:val="nil"/>
            </w:tcBorders>
            <w:shd w:val="clear" w:color="auto" w:fill="FFFFFF" w:themeFill="text2"/>
            <w:vAlign w:val="center"/>
          </w:tcPr>
          <w:p w14:paraId="2F0AB07D" w14:textId="764A9933" w:rsidR="007350AD" w:rsidRPr="009F6C17" w:rsidRDefault="004E6C5A">
            <w:pPr>
              <w:ind w:left="-376" w:right="294"/>
              <w:jc w:val="right"/>
              <w:rPr>
                <w:rFonts w:ascii="Public Sans" w:hAnsi="Public Sans" w:cs="Arial"/>
                <w:b/>
                <w:sz w:val="16"/>
                <w:szCs w:val="16"/>
              </w:rPr>
            </w:pPr>
            <w:r w:rsidRPr="009F6C17">
              <w:rPr>
                <w:rFonts w:ascii="Public Sans" w:hAnsi="Public Sans" w:cs="Arial"/>
                <w:b/>
                <w:sz w:val="16"/>
                <w:szCs w:val="16"/>
              </w:rPr>
              <w:t>1,</w:t>
            </w:r>
            <w:r w:rsidR="6DB4127B" w:rsidRPr="009F6C17">
              <w:rPr>
                <w:rFonts w:ascii="Public Sans" w:hAnsi="Public Sans" w:cs="Arial"/>
                <w:b/>
                <w:bCs/>
                <w:sz w:val="16"/>
                <w:szCs w:val="16"/>
              </w:rPr>
              <w:t>03</w:t>
            </w:r>
            <w:r w:rsidR="3D873463" w:rsidRPr="009F6C17">
              <w:rPr>
                <w:rFonts w:ascii="Public Sans" w:hAnsi="Public Sans" w:cs="Arial"/>
                <w:b/>
                <w:bCs/>
                <w:sz w:val="16"/>
                <w:szCs w:val="16"/>
              </w:rPr>
              <w:t>7</w:t>
            </w:r>
          </w:p>
        </w:tc>
        <w:tc>
          <w:tcPr>
            <w:tcW w:w="1279" w:type="dxa"/>
            <w:tcBorders>
              <w:top w:val="single" w:sz="4" w:space="0" w:color="auto"/>
              <w:left w:val="nil"/>
              <w:bottom w:val="single" w:sz="4" w:space="0" w:color="auto"/>
              <w:right w:val="nil"/>
            </w:tcBorders>
            <w:shd w:val="clear" w:color="auto" w:fill="FFFFFF" w:themeFill="text2"/>
            <w:vAlign w:val="center"/>
          </w:tcPr>
          <w:p w14:paraId="48217823" w14:textId="26E42188" w:rsidR="007350AD" w:rsidRPr="009F6C17" w:rsidRDefault="004E6C5A">
            <w:pPr>
              <w:ind w:left="-376" w:right="294"/>
              <w:jc w:val="right"/>
              <w:rPr>
                <w:rFonts w:ascii="Public Sans" w:hAnsi="Public Sans" w:cs="Arial"/>
                <w:b/>
                <w:sz w:val="16"/>
                <w:szCs w:val="16"/>
              </w:rPr>
            </w:pPr>
            <w:r w:rsidRPr="009F6C17">
              <w:rPr>
                <w:rFonts w:ascii="Public Sans" w:hAnsi="Public Sans" w:cs="Arial"/>
                <w:b/>
                <w:sz w:val="16"/>
                <w:szCs w:val="16"/>
              </w:rPr>
              <w:t>1,</w:t>
            </w:r>
            <w:r w:rsidR="6DB4127B" w:rsidRPr="009F6C17">
              <w:rPr>
                <w:rFonts w:ascii="Public Sans" w:hAnsi="Public Sans" w:cs="Arial"/>
                <w:b/>
                <w:bCs/>
                <w:sz w:val="16"/>
                <w:szCs w:val="16"/>
              </w:rPr>
              <w:t>00</w:t>
            </w:r>
            <w:r w:rsidR="3E6DA5D9" w:rsidRPr="009F6C17">
              <w:rPr>
                <w:rFonts w:ascii="Public Sans" w:hAnsi="Public Sans" w:cs="Arial"/>
                <w:b/>
                <w:bCs/>
                <w:sz w:val="16"/>
                <w:szCs w:val="16"/>
              </w:rPr>
              <w:t>3</w:t>
            </w:r>
          </w:p>
        </w:tc>
        <w:tc>
          <w:tcPr>
            <w:tcW w:w="1275" w:type="dxa"/>
            <w:tcBorders>
              <w:top w:val="single" w:sz="4" w:space="0" w:color="auto"/>
              <w:left w:val="nil"/>
              <w:bottom w:val="single" w:sz="4" w:space="0" w:color="auto"/>
              <w:right w:val="nil"/>
            </w:tcBorders>
            <w:shd w:val="clear" w:color="auto" w:fill="FFFFFF" w:themeFill="text2"/>
            <w:vAlign w:val="center"/>
          </w:tcPr>
          <w:p w14:paraId="470AB08E" w14:textId="18E71661" w:rsidR="007350AD" w:rsidRPr="009F6C17" w:rsidRDefault="004E6C5A">
            <w:pPr>
              <w:ind w:left="-376" w:right="294"/>
              <w:jc w:val="right"/>
              <w:rPr>
                <w:rFonts w:ascii="Public Sans" w:hAnsi="Public Sans" w:cs="Arial"/>
                <w:b/>
                <w:sz w:val="16"/>
                <w:szCs w:val="16"/>
              </w:rPr>
            </w:pPr>
            <w:r w:rsidRPr="009F6C17">
              <w:rPr>
                <w:rFonts w:ascii="Public Sans" w:hAnsi="Public Sans" w:cs="Arial"/>
                <w:b/>
                <w:sz w:val="16"/>
                <w:szCs w:val="16"/>
              </w:rPr>
              <w:t>939</w:t>
            </w:r>
          </w:p>
        </w:tc>
      </w:tr>
    </w:tbl>
    <w:p w14:paraId="0184025F" w14:textId="77777777" w:rsidR="007350AD" w:rsidRPr="008E4BFC" w:rsidRDefault="007350AD" w:rsidP="007350AD">
      <w:pPr>
        <w:ind w:left="357" w:hanging="357"/>
        <w:rPr>
          <w:rFonts w:ascii="Arial" w:hAnsi="Arial" w:cs="Arial"/>
          <w:sz w:val="6"/>
          <w:szCs w:val="6"/>
        </w:rPr>
      </w:pPr>
    </w:p>
    <w:p w14:paraId="405B9E60" w14:textId="77777777" w:rsidR="007350AD" w:rsidRPr="00F66A74" w:rsidRDefault="007350AD" w:rsidP="007350AD">
      <w:pPr>
        <w:pStyle w:val="ListParagraph"/>
        <w:numPr>
          <w:ilvl w:val="0"/>
          <w:numId w:val="101"/>
        </w:numPr>
        <w:ind w:left="357" w:hanging="357"/>
        <w:rPr>
          <w:rFonts w:ascii="Public Sans" w:hAnsi="Public Sans" w:cs="Arial"/>
          <w:sz w:val="16"/>
          <w:szCs w:val="16"/>
        </w:rPr>
      </w:pPr>
      <w:r w:rsidRPr="00F66A74">
        <w:rPr>
          <w:rFonts w:ascii="Public Sans" w:hAnsi="Public Sans" w:cs="Arial"/>
          <w:sz w:val="16"/>
          <w:szCs w:val="16"/>
        </w:rPr>
        <w:t xml:space="preserve">Figures reported are the </w:t>
      </w:r>
      <w:proofErr w:type="gramStart"/>
      <w:r w:rsidRPr="00F66A74">
        <w:rPr>
          <w:rFonts w:ascii="Public Sans" w:hAnsi="Public Sans" w:cs="Arial"/>
          <w:sz w:val="16"/>
          <w:szCs w:val="16"/>
        </w:rPr>
        <w:t>change</w:t>
      </w:r>
      <w:proofErr w:type="gramEnd"/>
      <w:r w:rsidRPr="00F66A74">
        <w:rPr>
          <w:rFonts w:ascii="Public Sans" w:hAnsi="Public Sans" w:cs="Arial"/>
          <w:sz w:val="16"/>
          <w:szCs w:val="16"/>
        </w:rPr>
        <w:t xml:space="preserve"> in the level of each parameter </w:t>
      </w:r>
      <w:proofErr w:type="gramStart"/>
      <w:r w:rsidRPr="00F66A74">
        <w:rPr>
          <w:rFonts w:ascii="Public Sans" w:hAnsi="Public Sans" w:cs="Arial"/>
          <w:sz w:val="16"/>
          <w:szCs w:val="16"/>
        </w:rPr>
        <w:t>relative</w:t>
      </w:r>
      <w:proofErr w:type="gramEnd"/>
      <w:r w:rsidRPr="00F66A74">
        <w:rPr>
          <w:rFonts w:ascii="Public Sans" w:hAnsi="Public Sans" w:cs="Arial"/>
          <w:sz w:val="16"/>
          <w:szCs w:val="16"/>
        </w:rPr>
        <w:t xml:space="preserve"> to the baseline.</w:t>
      </w:r>
    </w:p>
    <w:p w14:paraId="15D7A301" w14:textId="74525503" w:rsidR="007350AD" w:rsidRPr="00625C81" w:rsidRDefault="007350AD" w:rsidP="00604EEE">
      <w:pPr>
        <w:pStyle w:val="Source"/>
        <w:spacing w:before="120"/>
      </w:pPr>
      <w:r w:rsidRPr="00625C81">
        <w:t xml:space="preserve">Source: </w:t>
      </w:r>
      <w:r w:rsidR="00B85CE6" w:rsidDel="00AE5885">
        <w:t>VURMTAX</w:t>
      </w:r>
      <w:r w:rsidR="00AE5885">
        <w:t>-GREEN</w:t>
      </w:r>
      <w:r w:rsidR="00B85CE6">
        <w:t xml:space="preserve"> model and </w:t>
      </w:r>
      <w:r w:rsidRPr="00625C81">
        <w:t>NSW Treasury</w:t>
      </w:r>
    </w:p>
    <w:p w14:paraId="2B27CBB9" w14:textId="77777777" w:rsidR="00F763B8" w:rsidRPr="009C3E56" w:rsidRDefault="00F763B8" w:rsidP="00604EEE"/>
    <w:p w14:paraId="4000C2CF" w14:textId="77777777" w:rsidR="006B7315" w:rsidRDefault="006B7315">
      <w:pPr>
        <w:spacing w:before="360" w:after="120"/>
        <w:rPr>
          <w:rFonts w:ascii="Public Sans SemiBold" w:hAnsi="Public Sans SemiBold"/>
          <w:b/>
          <w:bCs/>
          <w:color w:val="000000" w:themeColor="text1"/>
          <w:kern w:val="28"/>
          <w:sz w:val="26"/>
          <w:szCs w:val="28"/>
          <w:lang w:val="en-AU"/>
        </w:rPr>
      </w:pPr>
      <w:r>
        <w:br w:type="page"/>
      </w:r>
    </w:p>
    <w:p w14:paraId="5DBBD2A6" w14:textId="59C6F062" w:rsidR="00A36D16" w:rsidRPr="002602E8" w:rsidRDefault="00A36D16" w:rsidP="00A36D16">
      <w:pPr>
        <w:pStyle w:val="Heading3"/>
      </w:pPr>
      <w:r>
        <w:lastRenderedPageBreak/>
        <w:t xml:space="preserve">Scenario 2: </w:t>
      </w:r>
      <w:r w:rsidR="001E1DE1">
        <w:t>A positive shock to real wages in New South Wales</w:t>
      </w:r>
    </w:p>
    <w:p w14:paraId="7B25B2F7" w14:textId="73D1F141" w:rsidR="009D3C3D" w:rsidRDefault="009D3C3D" w:rsidP="009D3C3D">
      <w:pPr>
        <w:pStyle w:val="BodyText"/>
      </w:pPr>
      <w:r w:rsidRPr="0589D373">
        <w:rPr>
          <w:lang w:val="en-US"/>
        </w:rPr>
        <w:t xml:space="preserve">Real wage growth is fundamentally important for improving living standards and overall economic well-being. </w:t>
      </w:r>
      <w:r w:rsidR="000D623A" w:rsidRPr="0589D373">
        <w:rPr>
          <w:lang w:val="en-US"/>
        </w:rPr>
        <w:t xml:space="preserve">By increasing </w:t>
      </w:r>
      <w:r w:rsidRPr="0589D373">
        <w:rPr>
          <w:lang w:val="en-US"/>
        </w:rPr>
        <w:t>the purchasing power of workers,</w:t>
      </w:r>
      <w:r w:rsidR="000F24FD" w:rsidRPr="0589D373">
        <w:rPr>
          <w:lang w:val="en-US"/>
        </w:rPr>
        <w:t xml:space="preserve"> </w:t>
      </w:r>
      <w:r w:rsidR="006B6294">
        <w:rPr>
          <w:lang w:val="en-US"/>
        </w:rPr>
        <w:t>rising real wages</w:t>
      </w:r>
      <w:r w:rsidR="006B6294" w:rsidRPr="0589D373">
        <w:rPr>
          <w:lang w:val="en-US"/>
        </w:rPr>
        <w:t xml:space="preserve"> </w:t>
      </w:r>
      <w:r w:rsidRPr="0589D373">
        <w:rPr>
          <w:lang w:val="en-US"/>
        </w:rPr>
        <w:t>allow</w:t>
      </w:r>
      <w:r w:rsidR="000F24FD" w:rsidRPr="0589D373">
        <w:rPr>
          <w:lang w:val="en-US"/>
        </w:rPr>
        <w:t>s</w:t>
      </w:r>
      <w:r w:rsidRPr="0589D373">
        <w:rPr>
          <w:lang w:val="en-US"/>
        </w:rPr>
        <w:t xml:space="preserve"> households to </w:t>
      </w:r>
      <w:r w:rsidR="007444B3" w:rsidRPr="0589D373">
        <w:rPr>
          <w:lang w:val="en-US"/>
        </w:rPr>
        <w:t xml:space="preserve">purchase </w:t>
      </w:r>
      <w:r w:rsidRPr="0589D373">
        <w:rPr>
          <w:lang w:val="en-US"/>
        </w:rPr>
        <w:t>more goods and services</w:t>
      </w:r>
      <w:r w:rsidR="000F24FD" w:rsidRPr="0589D373">
        <w:rPr>
          <w:lang w:val="en-US"/>
        </w:rPr>
        <w:t xml:space="preserve"> and</w:t>
      </w:r>
      <w:r w:rsidRPr="0589D373">
        <w:rPr>
          <w:lang w:val="en-US"/>
        </w:rPr>
        <w:t xml:space="preserve"> </w:t>
      </w:r>
      <w:r w:rsidR="000F24FD" w:rsidRPr="0589D373">
        <w:rPr>
          <w:lang w:val="en-US"/>
        </w:rPr>
        <w:t>increase savings</w:t>
      </w:r>
      <w:r w:rsidRPr="0589D373">
        <w:rPr>
          <w:lang w:val="en-US"/>
        </w:rPr>
        <w:t>. When real wages grow sustainably, it can lead to job creation</w:t>
      </w:r>
      <w:r w:rsidR="008814CF" w:rsidRPr="0589D373">
        <w:rPr>
          <w:lang w:val="en-US"/>
        </w:rPr>
        <w:t xml:space="preserve"> without </w:t>
      </w:r>
      <w:r w:rsidR="001327FD" w:rsidRPr="0589D373">
        <w:rPr>
          <w:lang w:val="en-US"/>
        </w:rPr>
        <w:t>contributing to inflationary pressures elsewhere in the economy</w:t>
      </w:r>
      <w:r w:rsidRPr="0589D373">
        <w:rPr>
          <w:lang w:val="en-US"/>
        </w:rPr>
        <w:t xml:space="preserve">. </w:t>
      </w:r>
    </w:p>
    <w:p w14:paraId="7FD08EDB" w14:textId="6C179C20" w:rsidR="00B9047B" w:rsidRDefault="009D3C3D" w:rsidP="009D3C3D">
      <w:pPr>
        <w:pStyle w:val="BodyText"/>
      </w:pPr>
      <w:r w:rsidRPr="48DCB825">
        <w:rPr>
          <w:lang w:val="en-US"/>
        </w:rPr>
        <w:t xml:space="preserve">However, </w:t>
      </w:r>
      <w:r w:rsidR="00850C6C" w:rsidRPr="48DCB825">
        <w:rPr>
          <w:lang w:val="en-US"/>
        </w:rPr>
        <w:t xml:space="preserve">for the </w:t>
      </w:r>
      <w:proofErr w:type="gramStart"/>
      <w:r w:rsidR="00850C6C" w:rsidRPr="48DCB825">
        <w:rPr>
          <w:lang w:val="en-US"/>
        </w:rPr>
        <w:t>economy as a whole, higher</w:t>
      </w:r>
      <w:proofErr w:type="gramEnd"/>
      <w:r w:rsidRPr="48DCB825">
        <w:rPr>
          <w:lang w:val="en-US"/>
        </w:rPr>
        <w:t xml:space="preserve"> real wage</w:t>
      </w:r>
      <w:r w:rsidR="00850C6C" w:rsidRPr="48DCB825">
        <w:rPr>
          <w:lang w:val="en-US"/>
        </w:rPr>
        <w:t xml:space="preserve">s can only </w:t>
      </w:r>
      <w:r w:rsidR="00234774" w:rsidRPr="48DCB825">
        <w:rPr>
          <w:lang w:val="en-US"/>
        </w:rPr>
        <w:t>be</w:t>
      </w:r>
      <w:r w:rsidR="00850C6C" w:rsidRPr="48DCB825">
        <w:rPr>
          <w:lang w:val="en-US"/>
        </w:rPr>
        <w:t xml:space="preserve"> paid </w:t>
      </w:r>
      <w:r w:rsidR="00234774" w:rsidRPr="48DCB825">
        <w:rPr>
          <w:lang w:val="en-US"/>
        </w:rPr>
        <w:t>out of higher</w:t>
      </w:r>
      <w:r w:rsidR="00850C6C" w:rsidRPr="48DCB825">
        <w:rPr>
          <w:lang w:val="en-US"/>
        </w:rPr>
        <w:t xml:space="preserve"> aggregate output. Thus</w:t>
      </w:r>
      <w:r w:rsidR="00BC6D4E">
        <w:rPr>
          <w:lang w:val="en-US"/>
        </w:rPr>
        <w:t>,</w:t>
      </w:r>
      <w:r w:rsidR="00850C6C" w:rsidRPr="48DCB825">
        <w:rPr>
          <w:lang w:val="en-US"/>
        </w:rPr>
        <w:t xml:space="preserve"> long-run real wage growth is tied to </w:t>
      </w:r>
      <w:r w:rsidR="000B4843" w:rsidRPr="48DCB825">
        <w:rPr>
          <w:lang w:val="en-US"/>
        </w:rPr>
        <w:t xml:space="preserve">the growth of </w:t>
      </w:r>
      <w:proofErr w:type="spellStart"/>
      <w:r w:rsidR="000B4843" w:rsidRPr="48DCB825">
        <w:rPr>
          <w:lang w:val="en-US"/>
        </w:rPr>
        <w:t>labour</w:t>
      </w:r>
      <w:proofErr w:type="spellEnd"/>
      <w:r w:rsidR="000B4843" w:rsidRPr="48DCB825">
        <w:rPr>
          <w:lang w:val="en-US"/>
        </w:rPr>
        <w:t xml:space="preserve"> productivity. </w:t>
      </w:r>
    </w:p>
    <w:p w14:paraId="794BD894" w14:textId="0FF926C2" w:rsidR="00DB1F3A" w:rsidRDefault="00DB1F3A" w:rsidP="009D3C3D">
      <w:pPr>
        <w:pStyle w:val="BodyText"/>
        <w:rPr>
          <w:lang w:val="en-US"/>
        </w:rPr>
      </w:pPr>
      <w:r w:rsidRPr="48DCB825">
        <w:rPr>
          <w:lang w:val="en-US"/>
        </w:rPr>
        <w:t>In this scenario</w:t>
      </w:r>
      <w:r w:rsidR="00DE7176">
        <w:rPr>
          <w:lang w:val="en-US"/>
        </w:rPr>
        <w:t>,</w:t>
      </w:r>
      <w:r w:rsidRPr="48DCB825">
        <w:rPr>
          <w:lang w:val="en-US"/>
        </w:rPr>
        <w:t xml:space="preserve"> we assume </w:t>
      </w:r>
      <w:r w:rsidR="00813530" w:rsidRPr="48DCB825">
        <w:rPr>
          <w:lang w:val="en-US"/>
        </w:rPr>
        <w:t>a</w:t>
      </w:r>
      <w:r w:rsidR="00265F6C" w:rsidRPr="48DCB825">
        <w:rPr>
          <w:lang w:val="en-US"/>
        </w:rPr>
        <w:t>n unexpected</w:t>
      </w:r>
      <w:r w:rsidR="00813530" w:rsidRPr="48DCB825">
        <w:rPr>
          <w:lang w:val="en-US"/>
        </w:rPr>
        <w:t xml:space="preserve"> increase in real wages</w:t>
      </w:r>
      <w:r w:rsidR="00A07968">
        <w:rPr>
          <w:lang w:val="en-US"/>
        </w:rPr>
        <w:t xml:space="preserve"> in New South Wales</w:t>
      </w:r>
      <w:r w:rsidR="00813530" w:rsidRPr="48DCB825">
        <w:rPr>
          <w:lang w:val="en-US"/>
        </w:rPr>
        <w:t xml:space="preserve"> which is not </w:t>
      </w:r>
      <w:r w:rsidR="007163AB" w:rsidRPr="48DCB825">
        <w:rPr>
          <w:lang w:val="en-US"/>
        </w:rPr>
        <w:t xml:space="preserve">met with a </w:t>
      </w:r>
      <w:r w:rsidR="00CD353C" w:rsidRPr="48DCB825">
        <w:rPr>
          <w:lang w:val="en-US"/>
        </w:rPr>
        <w:t xml:space="preserve">commensurate </w:t>
      </w:r>
      <w:r w:rsidR="007163AB" w:rsidRPr="48DCB825">
        <w:rPr>
          <w:lang w:val="en-US"/>
        </w:rPr>
        <w:t xml:space="preserve">increase in productivity. </w:t>
      </w:r>
      <w:r w:rsidR="009D260D" w:rsidRPr="48DCB825">
        <w:rPr>
          <w:lang w:val="en-US"/>
        </w:rPr>
        <w:t>S</w:t>
      </w:r>
      <w:r w:rsidR="007163AB" w:rsidRPr="48DCB825">
        <w:rPr>
          <w:lang w:val="en-US"/>
        </w:rPr>
        <w:t xml:space="preserve">pecifically, real wages </w:t>
      </w:r>
      <w:r w:rsidR="00DF6AAB" w:rsidRPr="48DCB825">
        <w:rPr>
          <w:lang w:val="en-US"/>
        </w:rPr>
        <w:t xml:space="preserve">for all workers </w:t>
      </w:r>
      <w:r w:rsidR="007163AB" w:rsidRPr="48DCB825">
        <w:rPr>
          <w:lang w:val="en-US"/>
        </w:rPr>
        <w:t xml:space="preserve">are assumed to increase </w:t>
      </w:r>
      <w:r w:rsidR="0033412B" w:rsidRPr="48DCB825">
        <w:rPr>
          <w:lang w:val="en-US"/>
        </w:rPr>
        <w:t>permanently by</w:t>
      </w:r>
      <w:r w:rsidR="007163AB" w:rsidRPr="48DCB825">
        <w:rPr>
          <w:lang w:val="en-US"/>
        </w:rPr>
        <w:t xml:space="preserve"> 1</w:t>
      </w:r>
      <w:r w:rsidR="001425B8">
        <w:rPr>
          <w:lang w:val="en-US"/>
        </w:rPr>
        <w:t>.0</w:t>
      </w:r>
      <w:r w:rsidR="007163AB" w:rsidRPr="48DCB825">
        <w:rPr>
          <w:lang w:val="en-US"/>
        </w:rPr>
        <w:t xml:space="preserve"> per cent relative to baseline</w:t>
      </w:r>
      <w:r w:rsidR="00507428" w:rsidRPr="48DCB825">
        <w:rPr>
          <w:lang w:val="en-US"/>
        </w:rPr>
        <w:t xml:space="preserve">. </w:t>
      </w:r>
      <w:r w:rsidR="00070A14">
        <w:rPr>
          <w:lang w:val="en-US"/>
        </w:rPr>
        <w:t xml:space="preserve">Real wages in other </w:t>
      </w:r>
      <w:r w:rsidR="00324EDA">
        <w:rPr>
          <w:lang w:val="en-US"/>
        </w:rPr>
        <w:t>s</w:t>
      </w:r>
      <w:r w:rsidR="00070A14">
        <w:rPr>
          <w:lang w:val="en-US"/>
        </w:rPr>
        <w:t xml:space="preserve">tates are </w:t>
      </w:r>
      <w:r w:rsidR="00B64747">
        <w:rPr>
          <w:lang w:val="en-US"/>
        </w:rPr>
        <w:t>unchanged.</w:t>
      </w:r>
    </w:p>
    <w:p w14:paraId="10FBFB97" w14:textId="1743D86E" w:rsidR="00A36D16" w:rsidRPr="00A97885" w:rsidRDefault="00B0419F" w:rsidP="00A36D16">
      <w:pPr>
        <w:pStyle w:val="Heading4"/>
      </w:pPr>
      <w:r>
        <w:t xml:space="preserve">Impact on the </w:t>
      </w:r>
      <w:r w:rsidR="007720BB">
        <w:t>m</w:t>
      </w:r>
      <w:r>
        <w:t xml:space="preserve">acroeconomy </w:t>
      </w:r>
    </w:p>
    <w:p w14:paraId="560A8EDB" w14:textId="3FFD6FBF" w:rsidR="00312650" w:rsidRDefault="00B45ACD" w:rsidP="00312650">
      <w:pPr>
        <w:pStyle w:val="BodyText"/>
        <w:rPr>
          <w:lang w:val="en-US"/>
        </w:rPr>
      </w:pPr>
      <w:r>
        <w:rPr>
          <w:lang w:val="en-US"/>
        </w:rPr>
        <w:t xml:space="preserve">Under this scenario, </w:t>
      </w:r>
      <w:r w:rsidR="00312650" w:rsidRPr="004F21BE">
        <w:rPr>
          <w:lang w:val="en-US"/>
        </w:rPr>
        <w:t xml:space="preserve">the model </w:t>
      </w:r>
      <w:r w:rsidR="000B440B">
        <w:rPr>
          <w:lang w:val="en-US"/>
        </w:rPr>
        <w:t>predicts</w:t>
      </w:r>
      <w:r w:rsidR="008463A4">
        <w:rPr>
          <w:lang w:val="en-US"/>
        </w:rPr>
        <w:t xml:space="preserve"> that</w:t>
      </w:r>
      <w:r w:rsidR="00312650" w:rsidRPr="0065796E">
        <w:rPr>
          <w:lang w:val="en-US"/>
        </w:rPr>
        <w:t xml:space="preserve"> productivity ris</w:t>
      </w:r>
      <w:r w:rsidR="008463A4">
        <w:rPr>
          <w:lang w:val="en-US"/>
        </w:rPr>
        <w:t>es</w:t>
      </w:r>
      <w:r w:rsidR="00312650" w:rsidRPr="0065796E">
        <w:rPr>
          <w:lang w:val="en-US"/>
        </w:rPr>
        <w:t xml:space="preserve"> by a quarter percentage point relative to baseline</w:t>
      </w:r>
      <w:r w:rsidR="007B4767">
        <w:rPr>
          <w:lang w:val="en-US"/>
        </w:rPr>
        <w:t xml:space="preserve"> (</w:t>
      </w:r>
      <w:r w:rsidR="00312650" w:rsidRPr="0065796E">
        <w:rPr>
          <w:lang w:val="en-US"/>
        </w:rPr>
        <w:t>less than real wages</w:t>
      </w:r>
      <w:r w:rsidR="007B4767">
        <w:rPr>
          <w:lang w:val="en-US"/>
        </w:rPr>
        <w:t>),</w:t>
      </w:r>
      <w:r w:rsidR="00CA3CFD">
        <w:rPr>
          <w:lang w:val="en-US"/>
        </w:rPr>
        <w:t xml:space="preserve"> </w:t>
      </w:r>
      <w:r w:rsidR="00312650" w:rsidRPr="0065796E">
        <w:rPr>
          <w:lang w:val="en-US"/>
        </w:rPr>
        <w:t xml:space="preserve">raising unit </w:t>
      </w:r>
      <w:proofErr w:type="spellStart"/>
      <w:r w:rsidR="00312650" w:rsidRPr="0065796E">
        <w:rPr>
          <w:lang w:val="en-US"/>
        </w:rPr>
        <w:t>labour</w:t>
      </w:r>
      <w:proofErr w:type="spellEnd"/>
      <w:r w:rsidR="00312650" w:rsidRPr="0065796E">
        <w:rPr>
          <w:lang w:val="en-US"/>
        </w:rPr>
        <w:t xml:space="preserve"> costs. The </w:t>
      </w:r>
      <w:r w:rsidR="007B4767">
        <w:rPr>
          <w:lang w:val="en-US"/>
        </w:rPr>
        <w:t xml:space="preserve">small </w:t>
      </w:r>
      <w:r w:rsidR="00312650" w:rsidRPr="0065796E">
        <w:rPr>
          <w:lang w:val="en-US"/>
        </w:rPr>
        <w:t>positive impact on productivity</w:t>
      </w:r>
      <w:r w:rsidR="007B4767">
        <w:rPr>
          <w:lang w:val="en-US"/>
        </w:rPr>
        <w:t xml:space="preserve"> </w:t>
      </w:r>
      <w:r w:rsidR="00312650" w:rsidRPr="0065796E">
        <w:rPr>
          <w:lang w:val="en-US"/>
        </w:rPr>
        <w:t xml:space="preserve">reflects a shift in firms’ preferences towards capital as </w:t>
      </w:r>
      <w:proofErr w:type="spellStart"/>
      <w:r w:rsidR="00312650" w:rsidRPr="0065796E">
        <w:rPr>
          <w:lang w:val="en-US"/>
        </w:rPr>
        <w:t>labour</w:t>
      </w:r>
      <w:proofErr w:type="spellEnd"/>
      <w:r w:rsidR="00312650" w:rsidRPr="0065796E">
        <w:rPr>
          <w:lang w:val="en-US"/>
        </w:rPr>
        <w:t xml:space="preserve"> becomes relatively more expensive, increasing capital deepening (a component of </w:t>
      </w:r>
      <w:proofErr w:type="spellStart"/>
      <w:r w:rsidR="00312650" w:rsidRPr="0065796E">
        <w:rPr>
          <w:lang w:val="en-US"/>
        </w:rPr>
        <w:t>labour</w:t>
      </w:r>
      <w:proofErr w:type="spellEnd"/>
      <w:r w:rsidR="00312650" w:rsidRPr="0065796E">
        <w:rPr>
          <w:lang w:val="en-US"/>
        </w:rPr>
        <w:t xml:space="preserve"> productivity). </w:t>
      </w:r>
    </w:p>
    <w:p w14:paraId="5E8CE969" w14:textId="2B67CBE4" w:rsidR="00E72B76" w:rsidRDefault="0011587D" w:rsidP="00A36D16">
      <w:pPr>
        <w:pStyle w:val="BodyText"/>
      </w:pPr>
      <w:r w:rsidRPr="48DCB825">
        <w:rPr>
          <w:lang w:val="en-US"/>
        </w:rPr>
        <w:t>T</w:t>
      </w:r>
      <w:r w:rsidR="009075EE" w:rsidRPr="48DCB825">
        <w:rPr>
          <w:lang w:val="en-US"/>
        </w:rPr>
        <w:t xml:space="preserve">he increase in real wages relative to productivity </w:t>
      </w:r>
      <w:r w:rsidR="00E72B76" w:rsidRPr="48DCB825">
        <w:rPr>
          <w:lang w:val="en-US"/>
        </w:rPr>
        <w:t xml:space="preserve">increases the cost of </w:t>
      </w:r>
      <w:proofErr w:type="spellStart"/>
      <w:r w:rsidR="00E72B76" w:rsidRPr="48DCB825">
        <w:rPr>
          <w:lang w:val="en-US"/>
        </w:rPr>
        <w:t>labour</w:t>
      </w:r>
      <w:proofErr w:type="spellEnd"/>
      <w:r w:rsidR="00E72B76" w:rsidRPr="48DCB825">
        <w:rPr>
          <w:lang w:val="en-US"/>
        </w:rPr>
        <w:t xml:space="preserve"> to businesses in New South Wales. In response, </w:t>
      </w:r>
      <w:r w:rsidR="00BF0EC0" w:rsidRPr="48DCB825">
        <w:rPr>
          <w:lang w:val="en-US"/>
        </w:rPr>
        <w:t xml:space="preserve">businesses reduce their demand for </w:t>
      </w:r>
      <w:proofErr w:type="spellStart"/>
      <w:r w:rsidR="00BF0EC0" w:rsidRPr="48DCB825">
        <w:rPr>
          <w:lang w:val="en-US"/>
        </w:rPr>
        <w:t>labour</w:t>
      </w:r>
      <w:proofErr w:type="spellEnd"/>
      <w:r w:rsidR="00BF0EC0" w:rsidRPr="48DCB825">
        <w:rPr>
          <w:lang w:val="en-US"/>
        </w:rPr>
        <w:t xml:space="preserve">, which leaves employment around 0.5 per cent </w:t>
      </w:r>
      <w:r w:rsidR="00232090" w:rsidRPr="48DCB825">
        <w:rPr>
          <w:lang w:val="en-US"/>
        </w:rPr>
        <w:t xml:space="preserve">lower over the forecast </w:t>
      </w:r>
      <w:proofErr w:type="gramStart"/>
      <w:r w:rsidR="00232090" w:rsidRPr="48DCB825">
        <w:rPr>
          <w:lang w:val="en-US"/>
        </w:rPr>
        <w:t>years</w:t>
      </w:r>
      <w:proofErr w:type="gramEnd"/>
      <w:r w:rsidR="00232090" w:rsidRPr="48DCB825">
        <w:rPr>
          <w:lang w:val="en-US"/>
        </w:rPr>
        <w:t>.</w:t>
      </w:r>
    </w:p>
    <w:p w14:paraId="5BEBA7FB" w14:textId="5F9E8C32" w:rsidR="00E62F97" w:rsidRPr="00F04E9F" w:rsidRDefault="00B47504" w:rsidP="00A36D16">
      <w:pPr>
        <w:pStyle w:val="BodyText"/>
        <w:rPr>
          <w:lang w:val="en-US"/>
        </w:rPr>
      </w:pPr>
      <w:r w:rsidRPr="48DCB825">
        <w:rPr>
          <w:lang w:val="en-US"/>
        </w:rPr>
        <w:t>B</w:t>
      </w:r>
      <w:r w:rsidR="00AB2418" w:rsidRPr="48DCB825">
        <w:rPr>
          <w:lang w:val="en-US"/>
        </w:rPr>
        <w:t>usiness</w:t>
      </w:r>
      <w:r w:rsidRPr="48DCB825">
        <w:rPr>
          <w:lang w:val="en-US"/>
        </w:rPr>
        <w:t>es</w:t>
      </w:r>
      <w:r w:rsidR="00BF1680">
        <w:rPr>
          <w:lang w:val="en-US"/>
        </w:rPr>
        <w:t xml:space="preserve"> may</w:t>
      </w:r>
      <w:r w:rsidR="00AB2418" w:rsidRPr="48DCB825">
        <w:rPr>
          <w:lang w:val="en-US"/>
        </w:rPr>
        <w:t xml:space="preserve"> </w:t>
      </w:r>
      <w:r w:rsidRPr="48DCB825">
        <w:rPr>
          <w:lang w:val="en-US"/>
        </w:rPr>
        <w:t>also</w:t>
      </w:r>
      <w:r w:rsidR="00AB2418" w:rsidRPr="48DCB825">
        <w:rPr>
          <w:lang w:val="en-US"/>
        </w:rPr>
        <w:t xml:space="preserve"> pass on</w:t>
      </w:r>
      <w:r w:rsidR="005D08D9">
        <w:rPr>
          <w:lang w:val="en-US"/>
        </w:rPr>
        <w:t xml:space="preserve"> the additional</w:t>
      </w:r>
      <w:r w:rsidRPr="48DCB825">
        <w:rPr>
          <w:lang w:val="en-US"/>
        </w:rPr>
        <w:t xml:space="preserve"> cost</w:t>
      </w:r>
      <w:r w:rsidR="00AB2418" w:rsidRPr="48DCB825">
        <w:rPr>
          <w:lang w:val="en-US"/>
        </w:rPr>
        <w:t>, with</w:t>
      </w:r>
      <w:r w:rsidR="001727FA" w:rsidRPr="48DCB825">
        <w:rPr>
          <w:lang w:val="en-US"/>
        </w:rPr>
        <w:t xml:space="preserve"> CPI</w:t>
      </w:r>
      <w:r w:rsidR="00AB2418" w:rsidRPr="48DCB825">
        <w:rPr>
          <w:lang w:val="en-US"/>
        </w:rPr>
        <w:t xml:space="preserve"> inflation </w:t>
      </w:r>
      <w:r w:rsidR="00AF7DCA" w:rsidRPr="48DCB825">
        <w:rPr>
          <w:lang w:val="en-US"/>
        </w:rPr>
        <w:t xml:space="preserve">up by around 0.5 per cent relative to baseline. </w:t>
      </w:r>
      <w:r w:rsidR="00BE795C">
        <w:rPr>
          <w:lang w:val="en-US"/>
        </w:rPr>
        <w:t>Al</w:t>
      </w:r>
      <w:r w:rsidR="001727FA" w:rsidRPr="48DCB825">
        <w:rPr>
          <w:lang w:val="en-US"/>
        </w:rPr>
        <w:t>though</w:t>
      </w:r>
      <w:r w:rsidR="00AF7DCA" w:rsidRPr="48DCB825">
        <w:rPr>
          <w:lang w:val="en-US"/>
        </w:rPr>
        <w:t xml:space="preserve"> </w:t>
      </w:r>
      <w:r w:rsidR="005A2E95" w:rsidRPr="48DCB825">
        <w:rPr>
          <w:lang w:val="en-US"/>
        </w:rPr>
        <w:t>an increase in real wages might</w:t>
      </w:r>
      <w:r w:rsidR="001727FA" w:rsidRPr="48DCB825">
        <w:rPr>
          <w:lang w:val="en-US"/>
        </w:rPr>
        <w:t xml:space="preserve"> have</w:t>
      </w:r>
      <w:r w:rsidR="005A2E95" w:rsidRPr="48DCB825">
        <w:rPr>
          <w:lang w:val="en-US"/>
        </w:rPr>
        <w:t xml:space="preserve"> be</w:t>
      </w:r>
      <w:r w:rsidR="00C80D54" w:rsidRPr="48DCB825">
        <w:rPr>
          <w:lang w:val="en-US"/>
        </w:rPr>
        <w:t>en</w:t>
      </w:r>
      <w:r w:rsidR="005A2E95" w:rsidRPr="48DCB825">
        <w:rPr>
          <w:lang w:val="en-US"/>
        </w:rPr>
        <w:t xml:space="preserve"> expected to lift household consumption (as discussed above)</w:t>
      </w:r>
      <w:r w:rsidR="003867EC" w:rsidRPr="48DCB825">
        <w:rPr>
          <w:lang w:val="en-US"/>
        </w:rPr>
        <w:t xml:space="preserve">, the net effect </w:t>
      </w:r>
      <w:r w:rsidR="00786B3A">
        <w:rPr>
          <w:lang w:val="en-US"/>
        </w:rPr>
        <w:t>when accounting for factors such as</w:t>
      </w:r>
      <w:r w:rsidR="00786B3A" w:rsidRPr="48DCB825">
        <w:rPr>
          <w:lang w:val="en-US"/>
        </w:rPr>
        <w:t xml:space="preserve"> </w:t>
      </w:r>
      <w:r w:rsidR="003867EC" w:rsidRPr="48DCB825">
        <w:rPr>
          <w:lang w:val="en-US"/>
        </w:rPr>
        <w:t>lower employment</w:t>
      </w:r>
      <w:r w:rsidR="00473761">
        <w:rPr>
          <w:lang w:val="en-US"/>
        </w:rPr>
        <w:t>,</w:t>
      </w:r>
      <w:r w:rsidR="003867EC" w:rsidRPr="48DCB825">
        <w:rPr>
          <w:lang w:val="en-US"/>
        </w:rPr>
        <w:t xml:space="preserve"> </w:t>
      </w:r>
      <w:r w:rsidR="005B628F" w:rsidRPr="48DCB825">
        <w:rPr>
          <w:lang w:val="en-US"/>
        </w:rPr>
        <w:t xml:space="preserve">leaves </w:t>
      </w:r>
      <w:r w:rsidR="007F3B20" w:rsidRPr="48DCB825">
        <w:rPr>
          <w:lang w:val="en-US"/>
        </w:rPr>
        <w:t xml:space="preserve">real </w:t>
      </w:r>
      <w:r w:rsidR="005B628F" w:rsidRPr="48DCB825">
        <w:rPr>
          <w:lang w:val="en-US"/>
        </w:rPr>
        <w:t>household consumption broadly unchanged.</w:t>
      </w:r>
      <w:r w:rsidR="004E0A2D">
        <w:rPr>
          <w:lang w:val="en-US"/>
        </w:rPr>
        <w:t xml:space="preserve"> The net impact on </w:t>
      </w:r>
      <w:r w:rsidR="00324EDA">
        <w:rPr>
          <w:lang w:val="en-US"/>
        </w:rPr>
        <w:t>s</w:t>
      </w:r>
      <w:r w:rsidR="00AD62E2">
        <w:rPr>
          <w:lang w:val="en-US"/>
        </w:rPr>
        <w:t xml:space="preserve">tate </w:t>
      </w:r>
      <w:r w:rsidR="00E92703">
        <w:rPr>
          <w:lang w:val="en-US"/>
        </w:rPr>
        <w:t>f</w:t>
      </w:r>
      <w:r w:rsidR="00AD62E2">
        <w:rPr>
          <w:lang w:val="en-US"/>
        </w:rPr>
        <w:t xml:space="preserve">inal </w:t>
      </w:r>
      <w:r w:rsidR="00E92703">
        <w:rPr>
          <w:lang w:val="en-US"/>
        </w:rPr>
        <w:t>d</w:t>
      </w:r>
      <w:r w:rsidR="00AD62E2">
        <w:rPr>
          <w:lang w:val="en-US"/>
        </w:rPr>
        <w:t>emand</w:t>
      </w:r>
      <w:r w:rsidR="004E0A2D">
        <w:rPr>
          <w:lang w:val="en-US"/>
        </w:rPr>
        <w:t xml:space="preserve"> is</w:t>
      </w:r>
      <w:r w:rsidR="00BF69A0">
        <w:rPr>
          <w:lang w:val="en-US"/>
        </w:rPr>
        <w:t xml:space="preserve"> relatively muted. However, there are larger impacts on GSP</w:t>
      </w:r>
      <w:r w:rsidR="00862DB1">
        <w:rPr>
          <w:lang w:val="en-US"/>
        </w:rPr>
        <w:t xml:space="preserve"> as a real exchange rate appreciation weighs on</w:t>
      </w:r>
      <w:r w:rsidR="00080CCA">
        <w:rPr>
          <w:lang w:val="en-US"/>
        </w:rPr>
        <w:t xml:space="preserve"> net</w:t>
      </w:r>
      <w:r w:rsidR="00862DB1">
        <w:rPr>
          <w:lang w:val="en-US"/>
        </w:rPr>
        <w:t xml:space="preserve"> exports.</w:t>
      </w:r>
    </w:p>
    <w:p w14:paraId="759E4962" w14:textId="0574A23F" w:rsidR="00A36D16" w:rsidRDefault="00A36D16" w:rsidP="00A36D16">
      <w:pPr>
        <w:pStyle w:val="TableFX"/>
      </w:pPr>
      <w:r>
        <w:t xml:space="preserve">Effect on major </w:t>
      </w:r>
      <w:r w:rsidR="0070776C">
        <w:t>NSW</w:t>
      </w:r>
      <w:r>
        <w:t xml:space="preserve"> economic parameters from </w:t>
      </w:r>
      <w:r w:rsidR="000355BF">
        <w:t>real wage shock</w:t>
      </w:r>
      <w:r w:rsidRPr="006E4F7D">
        <w:rPr>
          <w:vertAlign w:val="superscript"/>
        </w:rPr>
        <w:t>(a)</w:t>
      </w:r>
    </w:p>
    <w:tbl>
      <w:tblPr>
        <w:tblW w:w="9639" w:type="dxa"/>
        <w:tblLayout w:type="fixed"/>
        <w:tblLook w:val="0000" w:firstRow="0" w:lastRow="0" w:firstColumn="0" w:lastColumn="0" w:noHBand="0" w:noVBand="0"/>
        <w:tblCaption w:val="Table F.3: Effect on major NSW economic parameters from real wage shock"/>
      </w:tblPr>
      <w:tblGrid>
        <w:gridCol w:w="5670"/>
        <w:gridCol w:w="992"/>
        <w:gridCol w:w="992"/>
        <w:gridCol w:w="992"/>
        <w:gridCol w:w="993"/>
      </w:tblGrid>
      <w:tr w:rsidR="00B87016" w:rsidRPr="00BF4B22" w14:paraId="1D07091C" w14:textId="77777777" w:rsidTr="00860944">
        <w:trPr>
          <w:cantSplit/>
          <w:trHeight w:val="344"/>
        </w:trPr>
        <w:tc>
          <w:tcPr>
            <w:tcW w:w="5670" w:type="dxa"/>
            <w:shd w:val="clear" w:color="auto" w:fill="EBEBEB"/>
            <w:vAlign w:val="center"/>
          </w:tcPr>
          <w:p w14:paraId="547224C5" w14:textId="77777777" w:rsidR="00A36D16" w:rsidRPr="0065796E" w:rsidRDefault="00A36D16">
            <w:pPr>
              <w:rPr>
                <w:rFonts w:ascii="Public Sans" w:hAnsi="Public Sans" w:cs="Arial"/>
                <w:sz w:val="17"/>
                <w:szCs w:val="17"/>
              </w:rPr>
            </w:pPr>
            <w:r w:rsidRPr="0065796E">
              <w:rPr>
                <w:rFonts w:ascii="Public Sans" w:hAnsi="Public Sans" w:cs="Arial"/>
                <w:sz w:val="17"/>
                <w:szCs w:val="17"/>
              </w:rPr>
              <w:t>Financial year estimate</w:t>
            </w:r>
            <w:r w:rsidRPr="0065796E">
              <w:rPr>
                <w:rFonts w:ascii="Public Sans" w:hAnsi="Public Sans" w:cs="Arial"/>
                <w:sz w:val="17"/>
                <w:szCs w:val="17"/>
                <w:vertAlign w:val="superscript"/>
              </w:rPr>
              <w:t>(a)</w:t>
            </w:r>
          </w:p>
        </w:tc>
        <w:tc>
          <w:tcPr>
            <w:tcW w:w="992" w:type="dxa"/>
            <w:shd w:val="clear" w:color="auto" w:fill="EBEBEB"/>
            <w:vAlign w:val="center"/>
          </w:tcPr>
          <w:p w14:paraId="39F97042" w14:textId="77777777" w:rsidR="00A36D16" w:rsidRPr="0065796E" w:rsidRDefault="00A36D16">
            <w:pPr>
              <w:jc w:val="center"/>
              <w:rPr>
                <w:rFonts w:ascii="Public Sans" w:hAnsi="Public Sans" w:cs="Arial"/>
                <w:sz w:val="17"/>
                <w:szCs w:val="17"/>
              </w:rPr>
            </w:pPr>
            <w:r w:rsidRPr="0065796E">
              <w:rPr>
                <w:rFonts w:ascii="Public Sans" w:hAnsi="Public Sans" w:cs="Arial"/>
                <w:sz w:val="17"/>
                <w:szCs w:val="17"/>
              </w:rPr>
              <w:t>2025-26</w:t>
            </w:r>
          </w:p>
        </w:tc>
        <w:tc>
          <w:tcPr>
            <w:tcW w:w="992" w:type="dxa"/>
            <w:shd w:val="clear" w:color="auto" w:fill="EBEBEB"/>
            <w:vAlign w:val="center"/>
          </w:tcPr>
          <w:p w14:paraId="315473E3" w14:textId="77777777" w:rsidR="00A36D16" w:rsidRPr="0065796E" w:rsidRDefault="00A36D16">
            <w:pPr>
              <w:jc w:val="center"/>
              <w:rPr>
                <w:rFonts w:ascii="Public Sans" w:hAnsi="Public Sans" w:cs="Arial"/>
                <w:sz w:val="17"/>
                <w:szCs w:val="17"/>
              </w:rPr>
            </w:pPr>
            <w:r w:rsidRPr="0065796E">
              <w:rPr>
                <w:rFonts w:ascii="Public Sans" w:hAnsi="Public Sans" w:cs="Arial"/>
                <w:sz w:val="17"/>
                <w:szCs w:val="17"/>
              </w:rPr>
              <w:t>2026-27</w:t>
            </w:r>
          </w:p>
        </w:tc>
        <w:tc>
          <w:tcPr>
            <w:tcW w:w="992" w:type="dxa"/>
            <w:shd w:val="clear" w:color="auto" w:fill="EBEBEB"/>
            <w:vAlign w:val="center"/>
          </w:tcPr>
          <w:p w14:paraId="0FEE9220" w14:textId="77777777" w:rsidR="00A36D16" w:rsidRPr="0065796E" w:rsidRDefault="00A36D16">
            <w:pPr>
              <w:jc w:val="center"/>
              <w:rPr>
                <w:rFonts w:ascii="Public Sans" w:hAnsi="Public Sans" w:cs="Arial"/>
                <w:sz w:val="17"/>
                <w:szCs w:val="17"/>
              </w:rPr>
            </w:pPr>
            <w:r w:rsidRPr="0065796E">
              <w:rPr>
                <w:rFonts w:ascii="Public Sans" w:hAnsi="Public Sans" w:cs="Arial"/>
                <w:sz w:val="17"/>
                <w:szCs w:val="17"/>
              </w:rPr>
              <w:t>2027-28</w:t>
            </w:r>
          </w:p>
        </w:tc>
        <w:tc>
          <w:tcPr>
            <w:tcW w:w="993" w:type="dxa"/>
            <w:shd w:val="clear" w:color="auto" w:fill="EBEBEB"/>
            <w:vAlign w:val="center"/>
          </w:tcPr>
          <w:p w14:paraId="4E68941D" w14:textId="77777777" w:rsidR="00A36D16" w:rsidRPr="0065796E" w:rsidRDefault="00A36D16">
            <w:pPr>
              <w:jc w:val="center"/>
              <w:rPr>
                <w:rFonts w:ascii="Public Sans" w:hAnsi="Public Sans" w:cs="Arial"/>
                <w:sz w:val="17"/>
                <w:szCs w:val="17"/>
              </w:rPr>
            </w:pPr>
            <w:r w:rsidRPr="0065796E">
              <w:rPr>
                <w:rFonts w:ascii="Public Sans" w:hAnsi="Public Sans" w:cs="Arial"/>
                <w:sz w:val="17"/>
                <w:szCs w:val="17"/>
              </w:rPr>
              <w:t>2028-29</w:t>
            </w:r>
          </w:p>
        </w:tc>
      </w:tr>
      <w:tr w:rsidR="00A36D16" w:rsidRPr="00FC199D" w14:paraId="5BD2BE3C" w14:textId="77777777" w:rsidTr="00EF31A3">
        <w:trPr>
          <w:cantSplit/>
        </w:trPr>
        <w:tc>
          <w:tcPr>
            <w:tcW w:w="5670" w:type="dxa"/>
            <w:vAlign w:val="bottom"/>
          </w:tcPr>
          <w:p w14:paraId="31F53237" w14:textId="77777777" w:rsidR="00A36D16" w:rsidRPr="00FB21BA" w:rsidRDefault="00A36D16">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State final demand</w:t>
            </w:r>
          </w:p>
        </w:tc>
        <w:tc>
          <w:tcPr>
            <w:tcW w:w="992" w:type="dxa"/>
          </w:tcPr>
          <w:p w14:paraId="269446EB" w14:textId="457B89B1" w:rsidR="00A36D16" w:rsidRPr="009F6C17" w:rsidRDefault="00AF0A24">
            <w:pPr>
              <w:spacing w:before="40" w:after="40"/>
              <w:ind w:left="0" w:firstLine="0"/>
              <w:jc w:val="center"/>
              <w:rPr>
                <w:rFonts w:ascii="Public Sans" w:hAnsi="Public Sans" w:cs="Arial"/>
                <w:color w:val="000000" w:themeColor="text1"/>
                <w:sz w:val="16"/>
                <w:szCs w:val="16"/>
              </w:rPr>
            </w:pPr>
            <w:r w:rsidRPr="009F6C17" w:rsidDel="00AD6BB2">
              <w:rPr>
                <w:rFonts w:ascii="Public Sans" w:hAnsi="Public Sans" w:cs="Arial"/>
                <w:color w:val="000000" w:themeColor="text1"/>
                <w:sz w:val="16"/>
                <w:szCs w:val="16"/>
              </w:rPr>
              <w:t>(0.</w:t>
            </w:r>
            <w:r w:rsidR="00AD6BB2" w:rsidRPr="009F6C17">
              <w:rPr>
                <w:rFonts w:ascii="Public Sans" w:hAnsi="Public Sans" w:cs="Arial"/>
                <w:color w:val="000000" w:themeColor="text1"/>
                <w:sz w:val="16"/>
                <w:szCs w:val="16"/>
              </w:rPr>
              <w:t>0)</w:t>
            </w:r>
          </w:p>
        </w:tc>
        <w:tc>
          <w:tcPr>
            <w:tcW w:w="992" w:type="dxa"/>
            <w:vAlign w:val="center"/>
          </w:tcPr>
          <w:p w14:paraId="21715E2B" w14:textId="2F5E2C56" w:rsidR="00A36D16" w:rsidRPr="009F6C17" w:rsidRDefault="00AF0A24">
            <w:pPr>
              <w:spacing w:before="40" w:after="40"/>
              <w:jc w:val="center"/>
              <w:rPr>
                <w:rFonts w:ascii="Public Sans" w:hAnsi="Public Sans" w:cs="Arial"/>
                <w:color w:val="000000" w:themeColor="text1"/>
                <w:sz w:val="16"/>
                <w:szCs w:val="16"/>
              </w:rPr>
            </w:pPr>
            <w:r w:rsidRPr="009F6C17" w:rsidDel="00AD6BB2">
              <w:rPr>
                <w:rFonts w:ascii="Public Sans" w:hAnsi="Public Sans" w:cs="Arial"/>
                <w:color w:val="000000" w:themeColor="text1"/>
                <w:sz w:val="16"/>
                <w:szCs w:val="16"/>
              </w:rPr>
              <w:t>(0.</w:t>
            </w:r>
            <w:r w:rsidR="00AD6BB2" w:rsidRPr="009F6C17">
              <w:rPr>
                <w:rFonts w:ascii="Public Sans" w:hAnsi="Public Sans" w:cs="Arial"/>
                <w:color w:val="000000" w:themeColor="text1"/>
                <w:sz w:val="16"/>
                <w:szCs w:val="16"/>
              </w:rPr>
              <w:t>0)</w:t>
            </w:r>
          </w:p>
        </w:tc>
        <w:tc>
          <w:tcPr>
            <w:tcW w:w="992" w:type="dxa"/>
            <w:vAlign w:val="center"/>
          </w:tcPr>
          <w:p w14:paraId="15366553" w14:textId="4AD79B56" w:rsidR="00A36D16" w:rsidRPr="009F6C17" w:rsidRDefault="00AF0A24">
            <w:pPr>
              <w:spacing w:before="40" w:after="40"/>
              <w:jc w:val="center"/>
              <w:rPr>
                <w:rFonts w:ascii="Public Sans" w:hAnsi="Public Sans" w:cs="Arial"/>
                <w:color w:val="000000" w:themeColor="text1"/>
                <w:sz w:val="16"/>
                <w:szCs w:val="16"/>
              </w:rPr>
            </w:pPr>
            <w:r w:rsidRPr="009F6C17" w:rsidDel="00AD6BB2">
              <w:rPr>
                <w:rFonts w:ascii="Public Sans" w:hAnsi="Public Sans" w:cs="Arial"/>
                <w:color w:val="000000" w:themeColor="text1"/>
                <w:sz w:val="16"/>
                <w:szCs w:val="16"/>
              </w:rPr>
              <w:t>(0.</w:t>
            </w:r>
            <w:r w:rsidR="00AD6BB2" w:rsidRPr="009F6C17">
              <w:rPr>
                <w:rFonts w:ascii="Public Sans" w:hAnsi="Public Sans" w:cs="Arial"/>
                <w:color w:val="000000" w:themeColor="text1"/>
                <w:sz w:val="16"/>
                <w:szCs w:val="16"/>
              </w:rPr>
              <w:t>0)</w:t>
            </w:r>
          </w:p>
        </w:tc>
        <w:tc>
          <w:tcPr>
            <w:tcW w:w="993" w:type="dxa"/>
            <w:vAlign w:val="center"/>
          </w:tcPr>
          <w:p w14:paraId="62D9E27D" w14:textId="4C6EFFA5" w:rsidR="00A36D16" w:rsidRPr="009F6C17" w:rsidRDefault="00D506F7">
            <w:pPr>
              <w:spacing w:before="40" w:after="40"/>
              <w:jc w:val="center"/>
              <w:rPr>
                <w:rFonts w:ascii="Public Sans" w:hAnsi="Public Sans" w:cs="Arial"/>
                <w:color w:val="000000" w:themeColor="text1"/>
                <w:sz w:val="16"/>
                <w:szCs w:val="16"/>
              </w:rPr>
            </w:pPr>
            <w:r w:rsidRPr="009F6C17" w:rsidDel="00AD6BB2">
              <w:rPr>
                <w:rFonts w:ascii="Public Sans" w:hAnsi="Public Sans" w:cs="Arial"/>
                <w:color w:val="000000" w:themeColor="text1"/>
                <w:sz w:val="16"/>
                <w:szCs w:val="16"/>
              </w:rPr>
              <w:t>(0.</w:t>
            </w:r>
            <w:r w:rsidR="00AD6BB2" w:rsidRPr="009F6C17">
              <w:rPr>
                <w:rFonts w:ascii="Public Sans" w:hAnsi="Public Sans" w:cs="Arial"/>
                <w:color w:val="000000" w:themeColor="text1"/>
                <w:sz w:val="16"/>
                <w:szCs w:val="16"/>
              </w:rPr>
              <w:t>0)</w:t>
            </w:r>
          </w:p>
        </w:tc>
      </w:tr>
      <w:tr w:rsidR="00A36D16" w:rsidRPr="00FC199D" w14:paraId="06404464" w14:textId="77777777" w:rsidTr="00EF31A3">
        <w:trPr>
          <w:cantSplit/>
        </w:trPr>
        <w:tc>
          <w:tcPr>
            <w:tcW w:w="5670" w:type="dxa"/>
          </w:tcPr>
          <w:p w14:paraId="3ED8E20F" w14:textId="77777777" w:rsidR="00A36D16" w:rsidRPr="00FB21BA" w:rsidRDefault="00A36D16">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Gross state product</w:t>
            </w:r>
          </w:p>
        </w:tc>
        <w:tc>
          <w:tcPr>
            <w:tcW w:w="992" w:type="dxa"/>
          </w:tcPr>
          <w:p w14:paraId="21652042" w14:textId="3FF2E083" w:rsidR="00A36D16" w:rsidRPr="009F6C17" w:rsidRDefault="00D506F7">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w:t>
            </w:r>
            <w:r w:rsidR="00A36D16" w:rsidRPr="009F6C17">
              <w:rPr>
                <w:rFonts w:ascii="Public Sans" w:hAnsi="Public Sans" w:cs="Arial"/>
                <w:color w:val="000000" w:themeColor="text1"/>
                <w:sz w:val="16"/>
                <w:szCs w:val="16"/>
              </w:rPr>
              <w:t>0.</w:t>
            </w:r>
            <w:r w:rsidR="006D1353" w:rsidRPr="009F6C17">
              <w:rPr>
                <w:rFonts w:ascii="Public Sans" w:hAnsi="Public Sans" w:cs="Arial"/>
                <w:color w:val="000000" w:themeColor="text1"/>
                <w:sz w:val="16"/>
                <w:szCs w:val="16"/>
              </w:rPr>
              <w:t>3</w:t>
            </w:r>
            <w:r w:rsidRPr="009F6C17">
              <w:rPr>
                <w:rFonts w:ascii="Public Sans" w:hAnsi="Public Sans" w:cs="Arial"/>
                <w:color w:val="000000" w:themeColor="text1"/>
                <w:sz w:val="16"/>
                <w:szCs w:val="16"/>
              </w:rPr>
              <w:t>)</w:t>
            </w:r>
          </w:p>
        </w:tc>
        <w:tc>
          <w:tcPr>
            <w:tcW w:w="992" w:type="dxa"/>
            <w:vAlign w:val="center"/>
          </w:tcPr>
          <w:p w14:paraId="3F935067" w14:textId="639BDE59" w:rsidR="00A36D16" w:rsidRPr="009F6C17" w:rsidRDefault="00D506F7">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3C58E7" w:rsidRPr="009F6C17">
              <w:rPr>
                <w:rFonts w:ascii="Public Sans" w:hAnsi="Public Sans" w:cs="Arial"/>
                <w:color w:val="000000" w:themeColor="text1"/>
                <w:sz w:val="16"/>
                <w:szCs w:val="16"/>
              </w:rPr>
              <w:t>3</w:t>
            </w:r>
            <w:r w:rsidRPr="009F6C17">
              <w:rPr>
                <w:rFonts w:ascii="Public Sans" w:hAnsi="Public Sans" w:cs="Arial"/>
                <w:color w:val="000000" w:themeColor="text1"/>
                <w:sz w:val="16"/>
                <w:szCs w:val="16"/>
              </w:rPr>
              <w:t>)</w:t>
            </w:r>
          </w:p>
        </w:tc>
        <w:tc>
          <w:tcPr>
            <w:tcW w:w="992" w:type="dxa"/>
            <w:vAlign w:val="center"/>
          </w:tcPr>
          <w:p w14:paraId="118063C0" w14:textId="6DADF796" w:rsidR="00A36D16" w:rsidRPr="009F6C17" w:rsidRDefault="00D506F7">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(0.3)</w:t>
            </w:r>
          </w:p>
        </w:tc>
        <w:tc>
          <w:tcPr>
            <w:tcW w:w="993" w:type="dxa"/>
            <w:vAlign w:val="center"/>
          </w:tcPr>
          <w:p w14:paraId="057F788C" w14:textId="46002DFA" w:rsidR="00A36D16" w:rsidRPr="009F6C17" w:rsidRDefault="00D506F7">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3C58E7" w:rsidRPr="009F6C17" w:rsidDel="006D1353">
              <w:rPr>
                <w:rFonts w:ascii="Public Sans" w:hAnsi="Public Sans" w:cs="Arial"/>
                <w:color w:val="000000" w:themeColor="text1"/>
                <w:sz w:val="16"/>
                <w:szCs w:val="16"/>
              </w:rPr>
              <w:t>3</w:t>
            </w:r>
            <w:r w:rsidR="00030EAD" w:rsidRPr="009F6C17">
              <w:rPr>
                <w:rFonts w:ascii="Public Sans" w:hAnsi="Public Sans" w:cs="Arial"/>
                <w:color w:val="000000" w:themeColor="text1"/>
                <w:sz w:val="16"/>
                <w:szCs w:val="16"/>
              </w:rPr>
              <w:t>)</w:t>
            </w:r>
          </w:p>
        </w:tc>
      </w:tr>
      <w:tr w:rsidR="00A36D16" w:rsidRPr="00FC199D" w14:paraId="13D242A2" w14:textId="77777777" w:rsidTr="00EF31A3">
        <w:trPr>
          <w:cantSplit/>
        </w:trPr>
        <w:tc>
          <w:tcPr>
            <w:tcW w:w="5670" w:type="dxa"/>
          </w:tcPr>
          <w:p w14:paraId="6A8C6646" w14:textId="77777777" w:rsidR="00A36D16" w:rsidRPr="00FB21BA" w:rsidRDefault="00A36D16">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Employment</w:t>
            </w:r>
          </w:p>
        </w:tc>
        <w:tc>
          <w:tcPr>
            <w:tcW w:w="992" w:type="dxa"/>
          </w:tcPr>
          <w:p w14:paraId="273C833E" w14:textId="0FF0ACA9" w:rsidR="00A36D16" w:rsidRPr="009F6C17" w:rsidRDefault="00030EAD">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A94ABC" w:rsidRPr="009F6C17">
              <w:rPr>
                <w:rFonts w:ascii="Public Sans" w:hAnsi="Public Sans" w:cs="Arial"/>
                <w:color w:val="000000" w:themeColor="text1"/>
                <w:sz w:val="16"/>
                <w:szCs w:val="16"/>
              </w:rPr>
              <w:t>5</w:t>
            </w:r>
            <w:r w:rsidR="001C6030" w:rsidRPr="009F6C17">
              <w:rPr>
                <w:rFonts w:ascii="Public Sans" w:hAnsi="Public Sans" w:cs="Arial"/>
                <w:color w:val="000000" w:themeColor="text1"/>
                <w:sz w:val="16"/>
                <w:szCs w:val="16"/>
              </w:rPr>
              <w:t>)</w:t>
            </w:r>
          </w:p>
        </w:tc>
        <w:tc>
          <w:tcPr>
            <w:tcW w:w="992" w:type="dxa"/>
            <w:vAlign w:val="center"/>
          </w:tcPr>
          <w:p w14:paraId="5783A602" w14:textId="1F1C84E5" w:rsidR="00A36D16" w:rsidRPr="009F6C17" w:rsidRDefault="007412E3">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7254AD" w:rsidRPr="009F6C17">
              <w:rPr>
                <w:rFonts w:ascii="Public Sans" w:hAnsi="Public Sans" w:cs="Arial"/>
                <w:color w:val="000000" w:themeColor="text1"/>
                <w:sz w:val="16"/>
                <w:szCs w:val="16"/>
              </w:rPr>
              <w:t>6</w:t>
            </w:r>
            <w:r w:rsidRPr="009F6C17">
              <w:rPr>
                <w:rFonts w:ascii="Public Sans" w:hAnsi="Public Sans" w:cs="Arial"/>
                <w:color w:val="000000" w:themeColor="text1"/>
                <w:sz w:val="16"/>
                <w:szCs w:val="16"/>
              </w:rPr>
              <w:t>)</w:t>
            </w:r>
          </w:p>
        </w:tc>
        <w:tc>
          <w:tcPr>
            <w:tcW w:w="992" w:type="dxa"/>
            <w:vAlign w:val="center"/>
          </w:tcPr>
          <w:p w14:paraId="70847550" w14:textId="24231332" w:rsidR="00A36D16" w:rsidRPr="009F6C17" w:rsidRDefault="007412E3">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296880" w:rsidRPr="009F6C17">
              <w:rPr>
                <w:rFonts w:ascii="Public Sans" w:hAnsi="Public Sans" w:cs="Arial"/>
                <w:color w:val="000000" w:themeColor="text1"/>
                <w:sz w:val="16"/>
                <w:szCs w:val="16"/>
              </w:rPr>
              <w:t>6</w:t>
            </w:r>
            <w:r w:rsidR="00F91856" w:rsidRPr="009F6C17">
              <w:rPr>
                <w:rFonts w:ascii="Public Sans" w:hAnsi="Public Sans" w:cs="Arial"/>
                <w:color w:val="000000" w:themeColor="text1"/>
                <w:sz w:val="16"/>
                <w:szCs w:val="16"/>
              </w:rPr>
              <w:t>)</w:t>
            </w:r>
          </w:p>
        </w:tc>
        <w:tc>
          <w:tcPr>
            <w:tcW w:w="993" w:type="dxa"/>
            <w:vAlign w:val="center"/>
          </w:tcPr>
          <w:p w14:paraId="24956F0E" w14:textId="70A41C02" w:rsidR="00A36D16" w:rsidRPr="009F6C17" w:rsidRDefault="007412E3">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296880" w:rsidRPr="009F6C17">
              <w:rPr>
                <w:rFonts w:ascii="Public Sans" w:hAnsi="Public Sans" w:cs="Arial"/>
                <w:color w:val="000000" w:themeColor="text1"/>
                <w:sz w:val="16"/>
                <w:szCs w:val="16"/>
              </w:rPr>
              <w:t>6</w:t>
            </w:r>
            <w:r w:rsidRPr="009F6C17">
              <w:rPr>
                <w:rFonts w:ascii="Public Sans" w:hAnsi="Public Sans" w:cs="Arial"/>
                <w:color w:val="000000" w:themeColor="text1"/>
                <w:sz w:val="16"/>
                <w:szCs w:val="16"/>
              </w:rPr>
              <w:t>)</w:t>
            </w:r>
          </w:p>
        </w:tc>
      </w:tr>
      <w:tr w:rsidR="00A36D16" w:rsidRPr="00FC199D" w14:paraId="7CBC6597" w14:textId="77777777" w:rsidTr="00EF31A3">
        <w:trPr>
          <w:cantSplit/>
        </w:trPr>
        <w:tc>
          <w:tcPr>
            <w:tcW w:w="5670" w:type="dxa"/>
          </w:tcPr>
          <w:p w14:paraId="0452EC77" w14:textId="77777777" w:rsidR="00A36D16" w:rsidRPr="00FB21BA" w:rsidRDefault="00A36D16">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Unemployment rate</w:t>
            </w:r>
          </w:p>
        </w:tc>
        <w:tc>
          <w:tcPr>
            <w:tcW w:w="992" w:type="dxa"/>
          </w:tcPr>
          <w:p w14:paraId="7C4639C3" w14:textId="62D3776E" w:rsidR="00A36D16" w:rsidRPr="009F6C17" w:rsidRDefault="00A36D16">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296880" w:rsidRPr="009F6C17">
              <w:rPr>
                <w:rFonts w:ascii="Public Sans" w:hAnsi="Public Sans" w:cs="Arial"/>
                <w:color w:val="000000" w:themeColor="text1"/>
                <w:sz w:val="16"/>
                <w:szCs w:val="16"/>
              </w:rPr>
              <w:t>7</w:t>
            </w:r>
          </w:p>
        </w:tc>
        <w:tc>
          <w:tcPr>
            <w:tcW w:w="992" w:type="dxa"/>
            <w:vAlign w:val="center"/>
          </w:tcPr>
          <w:p w14:paraId="2D22F84F" w14:textId="659996CB" w:rsidR="00A36D16" w:rsidRPr="009F6C17" w:rsidRDefault="00A36D16">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2044D9" w:rsidRPr="009F6C17">
              <w:rPr>
                <w:rFonts w:ascii="Public Sans" w:hAnsi="Public Sans" w:cs="Arial"/>
                <w:color w:val="000000" w:themeColor="text1"/>
                <w:sz w:val="16"/>
                <w:szCs w:val="16"/>
              </w:rPr>
              <w:t>7</w:t>
            </w:r>
          </w:p>
        </w:tc>
        <w:tc>
          <w:tcPr>
            <w:tcW w:w="992" w:type="dxa"/>
            <w:vAlign w:val="center"/>
          </w:tcPr>
          <w:p w14:paraId="319CBBF4" w14:textId="503ACFCC" w:rsidR="00A36D16" w:rsidRPr="009F6C17" w:rsidRDefault="00A36D16">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D81FCD" w:rsidRPr="009F6C17">
              <w:rPr>
                <w:rFonts w:ascii="Public Sans" w:hAnsi="Public Sans" w:cs="Arial"/>
                <w:color w:val="000000" w:themeColor="text1"/>
                <w:sz w:val="16"/>
                <w:szCs w:val="16"/>
              </w:rPr>
              <w:t>7</w:t>
            </w:r>
          </w:p>
        </w:tc>
        <w:tc>
          <w:tcPr>
            <w:tcW w:w="993" w:type="dxa"/>
            <w:vAlign w:val="center"/>
          </w:tcPr>
          <w:p w14:paraId="64E33D88" w14:textId="481D47D3" w:rsidR="00A36D16" w:rsidRPr="009F6C17" w:rsidRDefault="00A36D16">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296880" w:rsidRPr="009F6C17">
              <w:rPr>
                <w:rFonts w:ascii="Public Sans" w:hAnsi="Public Sans" w:cs="Arial"/>
                <w:color w:val="000000" w:themeColor="text1"/>
                <w:sz w:val="16"/>
                <w:szCs w:val="16"/>
              </w:rPr>
              <w:t>8</w:t>
            </w:r>
          </w:p>
        </w:tc>
      </w:tr>
      <w:tr w:rsidR="00A36D16" w:rsidRPr="00FC199D" w14:paraId="5BDC852D" w14:textId="77777777" w:rsidTr="00EF31A3">
        <w:trPr>
          <w:cantSplit/>
        </w:trPr>
        <w:tc>
          <w:tcPr>
            <w:tcW w:w="5670" w:type="dxa"/>
          </w:tcPr>
          <w:p w14:paraId="6292543B" w14:textId="77777777" w:rsidR="00A36D16" w:rsidRPr="00FB21BA" w:rsidRDefault="00A36D16">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Consumer price index (Sydney)</w:t>
            </w:r>
          </w:p>
        </w:tc>
        <w:tc>
          <w:tcPr>
            <w:tcW w:w="992" w:type="dxa"/>
          </w:tcPr>
          <w:p w14:paraId="22B6375F" w14:textId="26594E95" w:rsidR="00A36D16" w:rsidRPr="009F6C17" w:rsidRDefault="00A36D16">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B04F76" w:rsidRPr="009F6C17">
              <w:rPr>
                <w:rFonts w:ascii="Public Sans" w:hAnsi="Public Sans" w:cs="Arial"/>
                <w:color w:val="000000" w:themeColor="text1"/>
                <w:sz w:val="16"/>
                <w:szCs w:val="16"/>
              </w:rPr>
              <w:t>5</w:t>
            </w:r>
          </w:p>
        </w:tc>
        <w:tc>
          <w:tcPr>
            <w:tcW w:w="992" w:type="dxa"/>
            <w:vAlign w:val="center"/>
          </w:tcPr>
          <w:p w14:paraId="43770C7B" w14:textId="4B28774E" w:rsidR="00A36D16" w:rsidRPr="009F6C17" w:rsidRDefault="004B7669">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B04F76" w:rsidRPr="009F6C17">
              <w:rPr>
                <w:rFonts w:ascii="Public Sans" w:hAnsi="Public Sans" w:cs="Arial"/>
                <w:color w:val="000000" w:themeColor="text1"/>
                <w:sz w:val="16"/>
                <w:szCs w:val="16"/>
              </w:rPr>
              <w:t>5</w:t>
            </w:r>
          </w:p>
        </w:tc>
        <w:tc>
          <w:tcPr>
            <w:tcW w:w="992" w:type="dxa"/>
            <w:vAlign w:val="center"/>
          </w:tcPr>
          <w:p w14:paraId="4926A3C6" w14:textId="6A75C89F" w:rsidR="00A36D16" w:rsidRPr="009F6C17" w:rsidRDefault="004B7669">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B04F76" w:rsidRPr="009F6C17">
              <w:rPr>
                <w:rFonts w:ascii="Public Sans" w:hAnsi="Public Sans" w:cs="Arial"/>
                <w:color w:val="000000" w:themeColor="text1"/>
                <w:sz w:val="16"/>
                <w:szCs w:val="16"/>
              </w:rPr>
              <w:t>5</w:t>
            </w:r>
          </w:p>
        </w:tc>
        <w:tc>
          <w:tcPr>
            <w:tcW w:w="993" w:type="dxa"/>
            <w:vAlign w:val="center"/>
          </w:tcPr>
          <w:p w14:paraId="6A65BBA4" w14:textId="439E5B12" w:rsidR="00A36D16" w:rsidRPr="009F6C17" w:rsidRDefault="004B7669">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360EDD" w:rsidRPr="009F6C17">
              <w:rPr>
                <w:rFonts w:ascii="Public Sans" w:hAnsi="Public Sans" w:cs="Arial"/>
                <w:color w:val="000000" w:themeColor="text1"/>
                <w:sz w:val="16"/>
                <w:szCs w:val="16"/>
              </w:rPr>
              <w:t>4</w:t>
            </w:r>
          </w:p>
        </w:tc>
      </w:tr>
      <w:tr w:rsidR="00A36D16" w:rsidRPr="00FC199D" w14:paraId="03213298" w14:textId="77777777" w:rsidTr="00EF31A3">
        <w:trPr>
          <w:cantSplit/>
        </w:trPr>
        <w:tc>
          <w:tcPr>
            <w:tcW w:w="5670" w:type="dxa"/>
          </w:tcPr>
          <w:p w14:paraId="35EE0031" w14:textId="77777777" w:rsidR="00A36D16" w:rsidRPr="00FB21BA" w:rsidRDefault="00A36D16">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Household Disposable Income</w:t>
            </w:r>
          </w:p>
        </w:tc>
        <w:tc>
          <w:tcPr>
            <w:tcW w:w="992" w:type="dxa"/>
          </w:tcPr>
          <w:p w14:paraId="068A2069" w14:textId="2D189D2E" w:rsidR="00A36D16" w:rsidRPr="009F6C17" w:rsidRDefault="00A36D16">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0E40CF" w:rsidRPr="009F6C17">
              <w:rPr>
                <w:rFonts w:ascii="Public Sans" w:hAnsi="Public Sans" w:cs="Arial"/>
                <w:color w:val="000000" w:themeColor="text1"/>
                <w:sz w:val="16"/>
                <w:szCs w:val="16"/>
              </w:rPr>
              <w:t>5</w:t>
            </w:r>
          </w:p>
        </w:tc>
        <w:tc>
          <w:tcPr>
            <w:tcW w:w="992" w:type="dxa"/>
            <w:vAlign w:val="center"/>
          </w:tcPr>
          <w:p w14:paraId="7C0A0FFE" w14:textId="2452A6CF" w:rsidR="00A36D16" w:rsidRPr="009F6C17" w:rsidRDefault="002C68E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A36D16" w:rsidRPr="009F6C17">
              <w:rPr>
                <w:rFonts w:ascii="Public Sans" w:hAnsi="Public Sans" w:cs="Arial"/>
                <w:color w:val="000000" w:themeColor="text1"/>
                <w:sz w:val="16"/>
                <w:szCs w:val="16"/>
              </w:rPr>
              <w:t>.</w:t>
            </w:r>
            <w:r w:rsidR="000E40CF" w:rsidRPr="009F6C17">
              <w:rPr>
                <w:rFonts w:ascii="Public Sans" w:hAnsi="Public Sans" w:cs="Arial"/>
                <w:color w:val="000000" w:themeColor="text1"/>
                <w:sz w:val="16"/>
                <w:szCs w:val="16"/>
              </w:rPr>
              <w:t>5</w:t>
            </w:r>
          </w:p>
        </w:tc>
        <w:tc>
          <w:tcPr>
            <w:tcW w:w="992" w:type="dxa"/>
            <w:vAlign w:val="center"/>
          </w:tcPr>
          <w:p w14:paraId="291477CA" w14:textId="11D6166A" w:rsidR="00A36D16" w:rsidRPr="009F6C17" w:rsidRDefault="002C68E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A36D16" w:rsidRPr="009F6C17">
              <w:rPr>
                <w:rFonts w:ascii="Public Sans" w:hAnsi="Public Sans" w:cs="Arial"/>
                <w:color w:val="000000" w:themeColor="text1"/>
                <w:sz w:val="16"/>
                <w:szCs w:val="16"/>
              </w:rPr>
              <w:t>.</w:t>
            </w:r>
            <w:r w:rsidR="00B04F76" w:rsidRPr="009F6C17">
              <w:rPr>
                <w:rFonts w:ascii="Public Sans" w:hAnsi="Public Sans" w:cs="Arial"/>
                <w:color w:val="000000" w:themeColor="text1"/>
                <w:sz w:val="16"/>
                <w:szCs w:val="16"/>
              </w:rPr>
              <w:t>5</w:t>
            </w:r>
          </w:p>
        </w:tc>
        <w:tc>
          <w:tcPr>
            <w:tcW w:w="993" w:type="dxa"/>
            <w:vAlign w:val="center"/>
          </w:tcPr>
          <w:p w14:paraId="1144453F" w14:textId="5D26915C" w:rsidR="00A36D16" w:rsidRPr="009F6C17" w:rsidRDefault="002C68E8">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A36D16" w:rsidRPr="009F6C17">
              <w:rPr>
                <w:rFonts w:ascii="Public Sans" w:hAnsi="Public Sans" w:cs="Arial"/>
                <w:color w:val="000000" w:themeColor="text1"/>
                <w:sz w:val="16"/>
                <w:szCs w:val="16"/>
              </w:rPr>
              <w:t>.</w:t>
            </w:r>
            <w:r w:rsidR="00B04F76" w:rsidRPr="009F6C17">
              <w:rPr>
                <w:rFonts w:ascii="Public Sans" w:hAnsi="Public Sans" w:cs="Arial"/>
                <w:color w:val="000000" w:themeColor="text1"/>
                <w:sz w:val="16"/>
                <w:szCs w:val="16"/>
              </w:rPr>
              <w:t>5</w:t>
            </w:r>
          </w:p>
        </w:tc>
      </w:tr>
      <w:tr w:rsidR="00A36D16" w:rsidRPr="00FC199D" w14:paraId="76FB7302" w14:textId="77777777" w:rsidTr="00EF31A3">
        <w:trPr>
          <w:cantSplit/>
        </w:trPr>
        <w:tc>
          <w:tcPr>
            <w:tcW w:w="5670" w:type="dxa"/>
            <w:tcBorders>
              <w:bottom w:val="single" w:sz="4" w:space="0" w:color="auto"/>
            </w:tcBorders>
            <w:vAlign w:val="bottom"/>
          </w:tcPr>
          <w:p w14:paraId="2B9EA73E" w14:textId="77777777" w:rsidR="00A36D16" w:rsidRPr="00FB21BA" w:rsidRDefault="00A36D16">
            <w:pPr>
              <w:spacing w:before="40" w:after="40"/>
              <w:rPr>
                <w:rFonts w:ascii="Public Sans" w:hAnsi="Public Sans" w:cs="Arial"/>
                <w:color w:val="000000" w:themeColor="text1"/>
                <w:sz w:val="16"/>
                <w:szCs w:val="16"/>
              </w:rPr>
            </w:pPr>
            <w:r>
              <w:rPr>
                <w:rFonts w:ascii="Public Sans" w:hAnsi="Public Sans" w:cs="Arial"/>
                <w:color w:val="000000" w:themeColor="text1"/>
                <w:sz w:val="16"/>
                <w:szCs w:val="16"/>
              </w:rPr>
              <w:t>Productivity</w:t>
            </w:r>
          </w:p>
        </w:tc>
        <w:tc>
          <w:tcPr>
            <w:tcW w:w="992" w:type="dxa"/>
            <w:tcBorders>
              <w:bottom w:val="single" w:sz="4" w:space="0" w:color="auto"/>
            </w:tcBorders>
            <w:vAlign w:val="center"/>
          </w:tcPr>
          <w:p w14:paraId="0082CDF2" w14:textId="2BA360BF" w:rsidR="00A36D16" w:rsidRPr="009F6C17" w:rsidRDefault="00A36D16">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AD6BB2" w:rsidRPr="009F6C17">
              <w:rPr>
                <w:rFonts w:ascii="Public Sans" w:hAnsi="Public Sans" w:cs="Arial"/>
                <w:color w:val="000000" w:themeColor="text1"/>
                <w:sz w:val="16"/>
                <w:szCs w:val="16"/>
              </w:rPr>
              <w:t>3</w:t>
            </w:r>
          </w:p>
        </w:tc>
        <w:tc>
          <w:tcPr>
            <w:tcW w:w="992" w:type="dxa"/>
            <w:tcBorders>
              <w:bottom w:val="single" w:sz="4" w:space="0" w:color="auto"/>
            </w:tcBorders>
            <w:vAlign w:val="center"/>
          </w:tcPr>
          <w:p w14:paraId="35236DEB" w14:textId="20D0086D" w:rsidR="00A36D16" w:rsidRPr="009F6C17" w:rsidRDefault="00A36D16">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AD6BB2" w:rsidRPr="009F6C17">
              <w:rPr>
                <w:rFonts w:ascii="Public Sans" w:hAnsi="Public Sans" w:cs="Arial"/>
                <w:color w:val="000000" w:themeColor="text1"/>
                <w:sz w:val="16"/>
                <w:szCs w:val="16"/>
              </w:rPr>
              <w:t>3</w:t>
            </w:r>
          </w:p>
        </w:tc>
        <w:tc>
          <w:tcPr>
            <w:tcW w:w="992" w:type="dxa"/>
            <w:tcBorders>
              <w:bottom w:val="single" w:sz="4" w:space="0" w:color="auto"/>
            </w:tcBorders>
            <w:vAlign w:val="center"/>
          </w:tcPr>
          <w:p w14:paraId="2B3CA245" w14:textId="67E01184" w:rsidR="00A36D16" w:rsidRPr="009F6C17" w:rsidRDefault="00A36D16">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473BA4" w:rsidRPr="009F6C17">
              <w:rPr>
                <w:rFonts w:ascii="Public Sans" w:hAnsi="Public Sans" w:cs="Arial"/>
                <w:color w:val="000000" w:themeColor="text1"/>
                <w:sz w:val="16"/>
                <w:szCs w:val="16"/>
              </w:rPr>
              <w:t>2</w:t>
            </w:r>
          </w:p>
        </w:tc>
        <w:tc>
          <w:tcPr>
            <w:tcW w:w="993" w:type="dxa"/>
            <w:tcBorders>
              <w:bottom w:val="single" w:sz="4" w:space="0" w:color="auto"/>
            </w:tcBorders>
            <w:vAlign w:val="center"/>
          </w:tcPr>
          <w:p w14:paraId="502A0480" w14:textId="1A0CDF94" w:rsidR="00A36D16" w:rsidRPr="009F6C17" w:rsidRDefault="00A36D16">
            <w:pPr>
              <w:spacing w:before="40" w:after="40"/>
              <w:ind w:left="0" w:firstLine="0"/>
              <w:jc w:val="center"/>
              <w:rPr>
                <w:rFonts w:ascii="Public Sans" w:hAnsi="Public Sans" w:cs="Arial"/>
                <w:color w:val="000000" w:themeColor="text1"/>
                <w:sz w:val="16"/>
                <w:szCs w:val="16"/>
              </w:rPr>
            </w:pPr>
            <w:r w:rsidRPr="009F6C17">
              <w:rPr>
                <w:rFonts w:ascii="Public Sans" w:hAnsi="Public Sans" w:cs="Arial"/>
                <w:color w:val="000000" w:themeColor="text1"/>
                <w:sz w:val="16"/>
                <w:szCs w:val="16"/>
              </w:rPr>
              <w:t>0.</w:t>
            </w:r>
            <w:r w:rsidR="00A21CC4" w:rsidRPr="009F6C17">
              <w:rPr>
                <w:rFonts w:ascii="Public Sans" w:hAnsi="Public Sans" w:cs="Arial"/>
                <w:color w:val="000000" w:themeColor="text1"/>
                <w:sz w:val="16"/>
                <w:szCs w:val="16"/>
              </w:rPr>
              <w:t>2</w:t>
            </w:r>
          </w:p>
        </w:tc>
      </w:tr>
    </w:tbl>
    <w:p w14:paraId="2778076B" w14:textId="77777777" w:rsidR="00A36D16" w:rsidRPr="002817A9" w:rsidRDefault="00A36D16" w:rsidP="00A36D16">
      <w:pPr>
        <w:rPr>
          <w:noProof/>
          <w:sz w:val="6"/>
          <w:szCs w:val="6"/>
          <w:lang w:eastAsia="en-AU"/>
        </w:rPr>
      </w:pPr>
    </w:p>
    <w:p w14:paraId="42C158BB" w14:textId="77777777" w:rsidR="00A36D16" w:rsidRPr="00232296" w:rsidRDefault="00A36D16" w:rsidP="00604EEE">
      <w:pPr>
        <w:pStyle w:val="NoSpacing"/>
        <w:widowControl w:val="0"/>
        <w:numPr>
          <w:ilvl w:val="0"/>
          <w:numId w:val="103"/>
        </w:numPr>
        <w:rPr>
          <w:rFonts w:ascii="Public Sans" w:hAnsi="Public Sans" w:cs="Arial"/>
          <w:noProof/>
          <w:sz w:val="16"/>
          <w:szCs w:val="16"/>
          <w:lang w:eastAsia="en-AU"/>
        </w:rPr>
      </w:pPr>
      <w:r w:rsidRPr="00232296">
        <w:rPr>
          <w:rFonts w:ascii="Public Sans" w:hAnsi="Public Sans" w:cs="Arial"/>
          <w:noProof/>
          <w:sz w:val="16"/>
          <w:szCs w:val="16"/>
          <w:lang w:eastAsia="en-AU"/>
        </w:rPr>
        <w:t xml:space="preserve">Figures reported are the per cent change in the level of each parameter relative to the baseline. The unemployment rate is in percentage points deviation. </w:t>
      </w:r>
    </w:p>
    <w:p w14:paraId="0E75D501" w14:textId="77777777" w:rsidR="00A36D16" w:rsidRPr="00C629E7" w:rsidRDefault="00A36D16" w:rsidP="00A36D16">
      <w:pPr>
        <w:pStyle w:val="NoSpacing"/>
        <w:widowControl w:val="0"/>
        <w:rPr>
          <w:rFonts w:ascii="Arial" w:hAnsi="Arial" w:cs="Arial"/>
          <w:i/>
          <w:noProof/>
          <w:sz w:val="4"/>
          <w:szCs w:val="10"/>
          <w:lang w:eastAsia="en-AU"/>
        </w:rPr>
      </w:pPr>
    </w:p>
    <w:p w14:paraId="1B34D762" w14:textId="32130B10" w:rsidR="00A36D16" w:rsidRDefault="00A36D16" w:rsidP="001334E8">
      <w:pPr>
        <w:pStyle w:val="Source"/>
        <w:rPr>
          <w:lang w:val="en-AU"/>
        </w:rPr>
      </w:pPr>
      <w:r w:rsidRPr="00894E13">
        <w:t xml:space="preserve">Source: </w:t>
      </w:r>
      <w:r>
        <w:t>Victoria University Regional Model and NSW Treasury</w:t>
      </w:r>
    </w:p>
    <w:p w14:paraId="0D8B002D" w14:textId="77777777" w:rsidR="006B7315" w:rsidRDefault="006B7315">
      <w:pPr>
        <w:spacing w:before="360" w:after="120"/>
        <w:rPr>
          <w:rFonts w:ascii="Public Sans" w:eastAsia="Tahoma" w:hAnsi="Public Sans" w:cs="Tahoma"/>
          <w:bCs/>
          <w:i/>
          <w:color w:val="000000" w:themeColor="text1"/>
          <w:kern w:val="28"/>
          <w:sz w:val="22"/>
          <w:szCs w:val="22"/>
          <w:lang w:val="en-AU"/>
        </w:rPr>
      </w:pPr>
      <w:r>
        <w:br w:type="page"/>
      </w:r>
    </w:p>
    <w:p w14:paraId="55378AF7" w14:textId="772CD241" w:rsidR="00A36D16" w:rsidRPr="00625C81" w:rsidRDefault="00A36D16" w:rsidP="00A36D16">
      <w:pPr>
        <w:pStyle w:val="ChartFX"/>
      </w:pPr>
      <w:r>
        <w:lastRenderedPageBreak/>
        <w:t>Impact on</w:t>
      </w:r>
      <w:r w:rsidRPr="00625C81">
        <w:t xml:space="preserve"> </w:t>
      </w:r>
      <w:r w:rsidR="0070776C">
        <w:t>NSW</w:t>
      </w:r>
      <w:r w:rsidRPr="00625C81">
        <w:t xml:space="preserve"> domestic activity</w:t>
      </w:r>
      <w:r>
        <w:t xml:space="preserve"> from a </w:t>
      </w:r>
      <w:r w:rsidR="00F67498">
        <w:t>real wage shock</w:t>
      </w:r>
    </w:p>
    <w:p w14:paraId="4EDB00B1" w14:textId="1F9C2208" w:rsidR="00A36D16" w:rsidRPr="004F0672" w:rsidRDefault="008D36A8" w:rsidP="00232296">
      <w:pPr>
        <w:rPr>
          <w:rFonts w:eastAsia="Lucida Sans"/>
        </w:rPr>
      </w:pPr>
      <w:r>
        <w:rPr>
          <w:noProof/>
        </w:rPr>
        <w:drawing>
          <wp:inline distT="0" distB="0" distL="0" distR="0" wp14:anchorId="169AA546" wp14:editId="782C7713">
            <wp:extent cx="6106058" cy="2629272"/>
            <wp:effectExtent l="0" t="0" r="0" b="0"/>
            <wp:docPr id="421304991" name="Chart 1" descr="Chart F.2: Impact on NSW domestic activity from a real wage shock">
              <a:extLst xmlns:a="http://schemas.openxmlformats.org/drawingml/2006/main">
                <a:ext uri="{FF2B5EF4-FFF2-40B4-BE49-F238E27FC236}">
                  <a16:creationId xmlns:a16="http://schemas.microsoft.com/office/drawing/2014/main" id="{B8F5351A-F6FC-439D-8453-D6C950D8E2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B673C5" w14:textId="77777777" w:rsidR="00A36D16" w:rsidRPr="00625C81" w:rsidRDefault="00A36D16" w:rsidP="00A36D16">
      <w:pPr>
        <w:pStyle w:val="Source"/>
      </w:pPr>
      <w:r w:rsidRPr="00625C81">
        <w:t xml:space="preserve">Source: </w:t>
      </w:r>
      <w:r w:rsidRPr="00664DEC">
        <w:t>Victoria University Regional Model and NSW Treasury</w:t>
      </w:r>
    </w:p>
    <w:p w14:paraId="4AA29D99" w14:textId="77777777" w:rsidR="006B686B" w:rsidRPr="009C3E56" w:rsidRDefault="006B686B" w:rsidP="00604EEE"/>
    <w:p w14:paraId="26ECFC7F" w14:textId="0C7B37CE" w:rsidR="00A36D16" w:rsidRPr="006C3028" w:rsidRDefault="00F86964" w:rsidP="00A36D16">
      <w:pPr>
        <w:pStyle w:val="Heading4"/>
      </w:pPr>
      <w:r>
        <w:t>Revenue</w:t>
      </w:r>
      <w:r w:rsidR="00A36D16">
        <w:t xml:space="preserve"> impact on the Budget and over the forward estimates</w:t>
      </w:r>
    </w:p>
    <w:p w14:paraId="6E4A4999" w14:textId="5DA057F7" w:rsidR="00604E50" w:rsidRDefault="00FE4249" w:rsidP="00A36D16">
      <w:pPr>
        <w:pStyle w:val="BodyText"/>
        <w:rPr>
          <w:lang w:val="en-US"/>
        </w:rPr>
      </w:pPr>
      <w:r w:rsidRPr="48DCB825">
        <w:rPr>
          <w:lang w:val="en-US"/>
        </w:rPr>
        <w:t>Despite t</w:t>
      </w:r>
      <w:r w:rsidR="00604E50" w:rsidRPr="48DCB825">
        <w:rPr>
          <w:lang w:val="en-US"/>
        </w:rPr>
        <w:t xml:space="preserve">he economic </w:t>
      </w:r>
      <w:r w:rsidR="005426E9">
        <w:rPr>
          <w:lang w:val="en-US"/>
        </w:rPr>
        <w:t>effects</w:t>
      </w:r>
      <w:r w:rsidRPr="48DCB825">
        <w:rPr>
          <w:lang w:val="en-US"/>
        </w:rPr>
        <w:t>, this scenario</w:t>
      </w:r>
      <w:r w:rsidR="00604E50" w:rsidRPr="48DCB825">
        <w:rPr>
          <w:lang w:val="en-US"/>
        </w:rPr>
        <w:t xml:space="preserve"> results in</w:t>
      </w:r>
      <w:r w:rsidRPr="48DCB825">
        <w:rPr>
          <w:lang w:val="en-US"/>
        </w:rPr>
        <w:t xml:space="preserve"> a modest</w:t>
      </w:r>
      <w:r w:rsidR="00604E50" w:rsidRPr="48DCB825">
        <w:rPr>
          <w:lang w:val="en-US"/>
        </w:rPr>
        <w:t xml:space="preserve"> </w:t>
      </w:r>
      <w:r w:rsidRPr="48DCB825">
        <w:rPr>
          <w:lang w:val="en-US"/>
        </w:rPr>
        <w:t>in</w:t>
      </w:r>
      <w:r w:rsidR="00604E50" w:rsidRPr="48DCB825">
        <w:rPr>
          <w:lang w:val="en-US"/>
        </w:rPr>
        <w:t>crease</w:t>
      </w:r>
      <w:r w:rsidRPr="48DCB825">
        <w:rPr>
          <w:lang w:val="en-US"/>
        </w:rPr>
        <w:t xml:space="preserve"> in</w:t>
      </w:r>
      <w:r w:rsidR="00604E50" w:rsidRPr="48DCB825">
        <w:rPr>
          <w:lang w:val="en-US"/>
        </w:rPr>
        <w:t xml:space="preserve"> tax collections</w:t>
      </w:r>
      <w:r w:rsidRPr="48DCB825">
        <w:rPr>
          <w:lang w:val="en-US"/>
        </w:rPr>
        <w:t xml:space="preserve"> for </w:t>
      </w:r>
      <w:r w:rsidR="006B686B">
        <w:rPr>
          <w:lang w:val="en-US"/>
        </w:rPr>
        <w:t xml:space="preserve">the </w:t>
      </w:r>
      <w:r w:rsidRPr="48DCB825">
        <w:rPr>
          <w:lang w:val="en-US"/>
        </w:rPr>
        <w:t>Government</w:t>
      </w:r>
      <w:r w:rsidR="00604E50" w:rsidRPr="48DCB825">
        <w:rPr>
          <w:lang w:val="en-US"/>
        </w:rPr>
        <w:t xml:space="preserve"> across </w:t>
      </w:r>
      <w:r w:rsidR="00510E8E" w:rsidRPr="48DCB825">
        <w:rPr>
          <w:lang w:val="en-US"/>
        </w:rPr>
        <w:t>several</w:t>
      </w:r>
      <w:r w:rsidR="00604E50" w:rsidRPr="48DCB825">
        <w:rPr>
          <w:lang w:val="en-US"/>
        </w:rPr>
        <w:t xml:space="preserve"> categories of government revenue. </w:t>
      </w:r>
      <w:r w:rsidR="00AD54A0" w:rsidRPr="48DCB825">
        <w:rPr>
          <w:lang w:val="en-US"/>
        </w:rPr>
        <w:t xml:space="preserve">An increase in </w:t>
      </w:r>
      <w:proofErr w:type="spellStart"/>
      <w:r w:rsidR="00AD54A0" w:rsidRPr="48DCB825">
        <w:rPr>
          <w:lang w:val="en-US"/>
        </w:rPr>
        <w:t>labour</w:t>
      </w:r>
      <w:proofErr w:type="spellEnd"/>
      <w:r w:rsidR="00AD54A0" w:rsidRPr="48DCB825">
        <w:rPr>
          <w:lang w:val="en-US"/>
        </w:rPr>
        <w:t xml:space="preserve"> income</w:t>
      </w:r>
      <w:r w:rsidR="004E39DF" w:rsidRPr="48DCB825">
        <w:rPr>
          <w:lang w:val="en-US"/>
        </w:rPr>
        <w:t xml:space="preserve"> over the forecast horizon</w:t>
      </w:r>
      <w:r w:rsidR="00AD54A0" w:rsidRPr="48DCB825">
        <w:rPr>
          <w:lang w:val="en-US"/>
        </w:rPr>
        <w:t>, as higher nominal wages offset l</w:t>
      </w:r>
      <w:r w:rsidR="00604E50" w:rsidRPr="48DCB825">
        <w:rPr>
          <w:lang w:val="en-US"/>
        </w:rPr>
        <w:t>ower employment</w:t>
      </w:r>
      <w:r w:rsidR="00AD54A0" w:rsidRPr="48DCB825">
        <w:rPr>
          <w:lang w:val="en-US"/>
        </w:rPr>
        <w:t>,</w:t>
      </w:r>
      <w:r w:rsidR="00604E50" w:rsidRPr="48DCB825">
        <w:rPr>
          <w:lang w:val="en-US"/>
        </w:rPr>
        <w:t xml:space="preserve"> leads to </w:t>
      </w:r>
      <w:r w:rsidR="00420667" w:rsidRPr="48DCB825">
        <w:rPr>
          <w:lang w:val="en-US"/>
        </w:rPr>
        <w:t>additional</w:t>
      </w:r>
      <w:r w:rsidR="00604E50" w:rsidRPr="48DCB825">
        <w:rPr>
          <w:lang w:val="en-US"/>
        </w:rPr>
        <w:t xml:space="preserve"> payroll tax collections. Residential and commercial transfer duty collections are </w:t>
      </w:r>
      <w:r w:rsidR="00241A10">
        <w:rPr>
          <w:lang w:val="en-US"/>
        </w:rPr>
        <w:t xml:space="preserve">marginally </w:t>
      </w:r>
      <w:r w:rsidR="003C3D60" w:rsidRPr="48DCB825">
        <w:rPr>
          <w:lang w:val="en-US"/>
        </w:rPr>
        <w:t>higher</w:t>
      </w:r>
      <w:r w:rsidR="002E09B2">
        <w:rPr>
          <w:lang w:val="en-US"/>
        </w:rPr>
        <w:t>,</w:t>
      </w:r>
      <w:r w:rsidR="003C3D60" w:rsidRPr="48DCB825">
        <w:rPr>
          <w:lang w:val="en-US"/>
        </w:rPr>
        <w:t xml:space="preserve"> </w:t>
      </w:r>
      <w:r w:rsidR="009F3332" w:rsidRPr="48DCB825">
        <w:rPr>
          <w:lang w:val="en-US"/>
        </w:rPr>
        <w:t>with broader inflationary pressures increasing nominal</w:t>
      </w:r>
      <w:r w:rsidR="00604E50" w:rsidRPr="48DCB825">
        <w:rPr>
          <w:lang w:val="en-US"/>
        </w:rPr>
        <w:t xml:space="preserve"> housing prices</w:t>
      </w:r>
      <w:r w:rsidR="00A92EFE">
        <w:rPr>
          <w:lang w:val="en-US"/>
        </w:rPr>
        <w:t>, offset by weaker demand due to lower employment</w:t>
      </w:r>
      <w:r w:rsidR="00604E50" w:rsidRPr="48DCB825">
        <w:rPr>
          <w:lang w:val="en-US"/>
        </w:rPr>
        <w:t xml:space="preserve">. </w:t>
      </w:r>
      <w:r w:rsidR="004700BE">
        <w:rPr>
          <w:lang w:val="en-US"/>
        </w:rPr>
        <w:t>Coal</w:t>
      </w:r>
      <w:r w:rsidR="00604E50" w:rsidRPr="48DCB825">
        <w:rPr>
          <w:lang w:val="en-US"/>
        </w:rPr>
        <w:t xml:space="preserve"> royalties </w:t>
      </w:r>
      <w:proofErr w:type="gramStart"/>
      <w:r w:rsidR="00604E50" w:rsidRPr="48DCB825">
        <w:rPr>
          <w:lang w:val="en-US"/>
        </w:rPr>
        <w:t>fall</w:t>
      </w:r>
      <w:proofErr w:type="gramEnd"/>
      <w:r w:rsidR="007A54E7" w:rsidRPr="48DCB825">
        <w:rPr>
          <w:lang w:val="en-US"/>
        </w:rPr>
        <w:t>, consistent with</w:t>
      </w:r>
      <w:r w:rsidR="00604E50" w:rsidRPr="48DCB825">
        <w:rPr>
          <w:lang w:val="en-US"/>
        </w:rPr>
        <w:t xml:space="preserve"> lower export</w:t>
      </w:r>
      <w:r w:rsidR="007A54E7" w:rsidRPr="48DCB825">
        <w:rPr>
          <w:lang w:val="en-US"/>
        </w:rPr>
        <w:t>s</w:t>
      </w:r>
      <w:r w:rsidR="00604E50" w:rsidRPr="48DCB825">
        <w:rPr>
          <w:lang w:val="en-US"/>
        </w:rPr>
        <w:t>.</w:t>
      </w:r>
      <w:r w:rsidR="007A54E7" w:rsidRPr="48DCB825">
        <w:rPr>
          <w:lang w:val="en-US"/>
        </w:rPr>
        <w:t xml:space="preserve"> </w:t>
      </w:r>
      <w:r w:rsidR="008A01E4" w:rsidRPr="008A01E4">
        <w:rPr>
          <w:lang w:val="en-US"/>
        </w:rPr>
        <w:t xml:space="preserve">The State’s GST revenue increases </w:t>
      </w:r>
      <w:r w:rsidR="00E54E54">
        <w:rPr>
          <w:lang w:val="en-US"/>
        </w:rPr>
        <w:t>very</w:t>
      </w:r>
      <w:r w:rsidR="008A01E4" w:rsidRPr="008A01E4">
        <w:rPr>
          <w:lang w:val="en-US"/>
        </w:rPr>
        <w:t xml:space="preserve"> slightly, reflecting a </w:t>
      </w:r>
      <w:r w:rsidR="00E0195A">
        <w:rPr>
          <w:lang w:val="en-US"/>
        </w:rPr>
        <w:t>marginal increase</w:t>
      </w:r>
      <w:r w:rsidR="008A01E4" w:rsidRPr="008A01E4">
        <w:rPr>
          <w:lang w:val="en-US"/>
        </w:rPr>
        <w:t xml:space="preserve"> in </w:t>
      </w:r>
      <w:r w:rsidR="4E958C3B" w:rsidRPr="6F80A5F7">
        <w:rPr>
          <w:lang w:val="en-US"/>
        </w:rPr>
        <w:t xml:space="preserve">the </w:t>
      </w:r>
      <w:r w:rsidR="007739DD" w:rsidRPr="6F80A5F7">
        <w:rPr>
          <w:lang w:val="en-US"/>
        </w:rPr>
        <w:t>NSW</w:t>
      </w:r>
      <w:r w:rsidR="007739DD">
        <w:rPr>
          <w:lang w:val="en-US"/>
        </w:rPr>
        <w:t xml:space="preserve"> population share</w:t>
      </w:r>
      <w:r w:rsidR="008A01E4" w:rsidRPr="008A01E4">
        <w:rPr>
          <w:lang w:val="en-US"/>
        </w:rPr>
        <w:t>.</w:t>
      </w:r>
    </w:p>
    <w:p w14:paraId="370692A3" w14:textId="77777777" w:rsidR="00A36D16" w:rsidRPr="00625C81" w:rsidRDefault="00A36D16" w:rsidP="00A36D16">
      <w:pPr>
        <w:pStyle w:val="TableFX"/>
      </w:pPr>
      <w:r w:rsidRPr="00625C81">
        <w:t>Effect on major revenue parameters</w:t>
      </w:r>
      <w:r w:rsidRPr="00625C81">
        <w:rPr>
          <w:vertAlign w:val="superscript"/>
        </w:rPr>
        <w:t>(a)</w:t>
      </w:r>
    </w:p>
    <w:tbl>
      <w:tblPr>
        <w:tblW w:w="9628" w:type="dxa"/>
        <w:tblLook w:val="04A0" w:firstRow="1" w:lastRow="0" w:firstColumn="1" w:lastColumn="0" w:noHBand="0" w:noVBand="1"/>
        <w:tblCaption w:val="Table F.4: Effect on major revenue parameters"/>
      </w:tblPr>
      <w:tblGrid>
        <w:gridCol w:w="4528"/>
        <w:gridCol w:w="1275"/>
        <w:gridCol w:w="1271"/>
        <w:gridCol w:w="1279"/>
        <w:gridCol w:w="1275"/>
      </w:tblGrid>
      <w:tr w:rsidR="00A36D16" w:rsidRPr="00E535FA" w14:paraId="10C299D7" w14:textId="77777777">
        <w:trPr>
          <w:trHeight w:val="283"/>
        </w:trPr>
        <w:tc>
          <w:tcPr>
            <w:tcW w:w="4528" w:type="dxa"/>
            <w:tcBorders>
              <w:top w:val="nil"/>
              <w:left w:val="nil"/>
              <w:bottom w:val="nil"/>
              <w:right w:val="nil"/>
            </w:tcBorders>
            <w:shd w:val="clear" w:color="auto" w:fill="EBEBEB"/>
            <w:vAlign w:val="bottom"/>
            <w:hideMark/>
          </w:tcPr>
          <w:p w14:paraId="123449DD" w14:textId="040EB46A" w:rsidR="00A36D16" w:rsidRPr="002A1096" w:rsidRDefault="00A36D16">
            <w:pPr>
              <w:rPr>
                <w:rFonts w:ascii="Public Sans" w:hAnsi="Public Sans" w:cs="Arial"/>
                <w:sz w:val="17"/>
                <w:szCs w:val="17"/>
                <w:lang w:val="en-AU" w:eastAsia="en-AU"/>
              </w:rPr>
            </w:pPr>
            <w:r w:rsidRPr="002A1096">
              <w:rPr>
                <w:rFonts w:ascii="Public Sans" w:hAnsi="Public Sans" w:cs="Arial"/>
                <w:sz w:val="17"/>
                <w:szCs w:val="17"/>
                <w:lang w:val="en-AU" w:eastAsia="en-AU"/>
              </w:rPr>
              <w:t>Financial year estimate</w:t>
            </w:r>
            <w:r w:rsidRPr="002A1096">
              <w:rPr>
                <w:rFonts w:ascii="Public Sans" w:hAnsi="Public Sans" w:cs="Arial"/>
                <w:sz w:val="17"/>
                <w:szCs w:val="17"/>
                <w:vertAlign w:val="superscript"/>
                <w:lang w:val="en-AU" w:eastAsia="en-AU"/>
              </w:rPr>
              <w:t xml:space="preserve">(a) </w:t>
            </w:r>
          </w:p>
        </w:tc>
        <w:tc>
          <w:tcPr>
            <w:tcW w:w="1275" w:type="dxa"/>
            <w:tcBorders>
              <w:top w:val="nil"/>
              <w:left w:val="nil"/>
              <w:bottom w:val="nil"/>
              <w:right w:val="nil"/>
            </w:tcBorders>
            <w:shd w:val="clear" w:color="auto" w:fill="EBEBEB"/>
            <w:vAlign w:val="center"/>
            <w:hideMark/>
          </w:tcPr>
          <w:p w14:paraId="7B02642B" w14:textId="77777777" w:rsidR="00A36D16" w:rsidRPr="002A1096" w:rsidRDefault="00A36D16">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202</w:t>
            </w:r>
            <w:r>
              <w:rPr>
                <w:rFonts w:ascii="Public Sans" w:hAnsi="Public Sans" w:cs="Arial"/>
                <w:sz w:val="17"/>
                <w:szCs w:val="17"/>
                <w:lang w:val="en-AU" w:eastAsia="en-AU"/>
              </w:rPr>
              <w:t>5</w:t>
            </w:r>
            <w:r w:rsidRPr="002A1096">
              <w:rPr>
                <w:rFonts w:ascii="Public Sans" w:hAnsi="Public Sans" w:cs="Arial"/>
                <w:sz w:val="17"/>
                <w:szCs w:val="17"/>
                <w:lang w:val="en-AU" w:eastAsia="en-AU"/>
              </w:rPr>
              <w:t>-2</w:t>
            </w:r>
            <w:r>
              <w:rPr>
                <w:rFonts w:ascii="Public Sans" w:hAnsi="Public Sans" w:cs="Arial"/>
                <w:sz w:val="17"/>
                <w:szCs w:val="17"/>
                <w:lang w:val="en-AU" w:eastAsia="en-AU"/>
              </w:rPr>
              <w:t>6</w:t>
            </w:r>
          </w:p>
        </w:tc>
        <w:tc>
          <w:tcPr>
            <w:tcW w:w="1271" w:type="dxa"/>
            <w:tcBorders>
              <w:top w:val="nil"/>
              <w:left w:val="nil"/>
              <w:bottom w:val="nil"/>
              <w:right w:val="nil"/>
            </w:tcBorders>
            <w:shd w:val="clear" w:color="auto" w:fill="EBEBEB"/>
            <w:vAlign w:val="center"/>
            <w:hideMark/>
          </w:tcPr>
          <w:p w14:paraId="25C9D15D" w14:textId="77777777" w:rsidR="00A36D16" w:rsidRPr="002A1096" w:rsidRDefault="00A36D16">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202</w:t>
            </w:r>
            <w:r>
              <w:rPr>
                <w:rFonts w:ascii="Public Sans" w:hAnsi="Public Sans" w:cs="Arial"/>
                <w:sz w:val="17"/>
                <w:szCs w:val="17"/>
                <w:lang w:val="en-AU" w:eastAsia="en-AU"/>
              </w:rPr>
              <w:t>6</w:t>
            </w:r>
            <w:r w:rsidRPr="002A1096">
              <w:rPr>
                <w:rFonts w:ascii="Public Sans" w:hAnsi="Public Sans" w:cs="Arial"/>
                <w:sz w:val="17"/>
                <w:szCs w:val="17"/>
                <w:lang w:val="en-AU" w:eastAsia="en-AU"/>
              </w:rPr>
              <w:t>-2</w:t>
            </w:r>
            <w:r>
              <w:rPr>
                <w:rFonts w:ascii="Public Sans" w:hAnsi="Public Sans" w:cs="Arial"/>
                <w:sz w:val="17"/>
                <w:szCs w:val="17"/>
                <w:lang w:val="en-AU" w:eastAsia="en-AU"/>
              </w:rPr>
              <w:t>7</w:t>
            </w:r>
          </w:p>
        </w:tc>
        <w:tc>
          <w:tcPr>
            <w:tcW w:w="1279" w:type="dxa"/>
            <w:tcBorders>
              <w:top w:val="nil"/>
              <w:left w:val="nil"/>
              <w:bottom w:val="nil"/>
              <w:right w:val="nil"/>
            </w:tcBorders>
            <w:shd w:val="clear" w:color="auto" w:fill="EBEBEB"/>
            <w:vAlign w:val="center"/>
            <w:hideMark/>
          </w:tcPr>
          <w:p w14:paraId="4A71AD7C" w14:textId="77777777" w:rsidR="00A36D16" w:rsidRPr="002A1096" w:rsidRDefault="00A36D16">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202</w:t>
            </w:r>
            <w:r>
              <w:rPr>
                <w:rFonts w:ascii="Public Sans" w:hAnsi="Public Sans" w:cs="Arial"/>
                <w:sz w:val="17"/>
                <w:szCs w:val="17"/>
                <w:lang w:val="en-AU" w:eastAsia="en-AU"/>
              </w:rPr>
              <w:t>7</w:t>
            </w:r>
            <w:r w:rsidRPr="002A1096">
              <w:rPr>
                <w:rFonts w:ascii="Public Sans" w:hAnsi="Public Sans" w:cs="Arial"/>
                <w:sz w:val="17"/>
                <w:szCs w:val="17"/>
                <w:lang w:val="en-AU" w:eastAsia="en-AU"/>
              </w:rPr>
              <w:t>-2</w:t>
            </w:r>
            <w:r>
              <w:rPr>
                <w:rFonts w:ascii="Public Sans" w:hAnsi="Public Sans" w:cs="Arial"/>
                <w:sz w:val="17"/>
                <w:szCs w:val="17"/>
                <w:lang w:val="en-AU" w:eastAsia="en-AU"/>
              </w:rPr>
              <w:t>8</w:t>
            </w:r>
          </w:p>
        </w:tc>
        <w:tc>
          <w:tcPr>
            <w:tcW w:w="1275" w:type="dxa"/>
            <w:tcBorders>
              <w:top w:val="nil"/>
              <w:left w:val="nil"/>
              <w:bottom w:val="nil"/>
              <w:right w:val="nil"/>
            </w:tcBorders>
            <w:shd w:val="clear" w:color="auto" w:fill="EBEBEB"/>
            <w:vAlign w:val="center"/>
            <w:hideMark/>
          </w:tcPr>
          <w:p w14:paraId="06193994" w14:textId="77777777" w:rsidR="00A36D16" w:rsidRPr="002A1096" w:rsidRDefault="00A36D16">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202</w:t>
            </w:r>
            <w:r>
              <w:rPr>
                <w:rFonts w:ascii="Public Sans" w:hAnsi="Public Sans" w:cs="Arial"/>
                <w:sz w:val="17"/>
                <w:szCs w:val="17"/>
                <w:lang w:val="en-AU" w:eastAsia="en-AU"/>
              </w:rPr>
              <w:t>8</w:t>
            </w:r>
            <w:r w:rsidRPr="002A1096">
              <w:rPr>
                <w:rFonts w:ascii="Public Sans" w:hAnsi="Public Sans" w:cs="Arial"/>
                <w:sz w:val="17"/>
                <w:szCs w:val="17"/>
                <w:lang w:val="en-AU" w:eastAsia="en-AU"/>
              </w:rPr>
              <w:t>-2</w:t>
            </w:r>
            <w:r>
              <w:rPr>
                <w:rFonts w:ascii="Public Sans" w:hAnsi="Public Sans" w:cs="Arial"/>
                <w:sz w:val="17"/>
                <w:szCs w:val="17"/>
                <w:lang w:val="en-AU" w:eastAsia="en-AU"/>
              </w:rPr>
              <w:t>9</w:t>
            </w:r>
          </w:p>
        </w:tc>
      </w:tr>
      <w:tr w:rsidR="00A36D16" w:rsidRPr="00E535FA" w14:paraId="73001BB6" w14:textId="77777777">
        <w:trPr>
          <w:trHeight w:val="283"/>
        </w:trPr>
        <w:tc>
          <w:tcPr>
            <w:tcW w:w="4528" w:type="dxa"/>
            <w:tcBorders>
              <w:top w:val="nil"/>
              <w:left w:val="nil"/>
              <w:bottom w:val="nil"/>
              <w:right w:val="nil"/>
            </w:tcBorders>
            <w:shd w:val="clear" w:color="auto" w:fill="EBEBEB"/>
            <w:vAlign w:val="center"/>
          </w:tcPr>
          <w:p w14:paraId="149493FE" w14:textId="77777777" w:rsidR="00A36D16" w:rsidRPr="002A1096" w:rsidRDefault="00A36D16">
            <w:pPr>
              <w:jc w:val="center"/>
              <w:rPr>
                <w:rFonts w:ascii="Public Sans" w:hAnsi="Public Sans" w:cs="Arial"/>
                <w:sz w:val="17"/>
                <w:szCs w:val="17"/>
                <w:lang w:val="en-AU" w:eastAsia="en-AU"/>
              </w:rPr>
            </w:pPr>
          </w:p>
        </w:tc>
        <w:tc>
          <w:tcPr>
            <w:tcW w:w="1275" w:type="dxa"/>
            <w:tcBorders>
              <w:top w:val="nil"/>
              <w:left w:val="nil"/>
              <w:bottom w:val="nil"/>
              <w:right w:val="nil"/>
            </w:tcBorders>
            <w:shd w:val="clear" w:color="auto" w:fill="EBEBEB"/>
          </w:tcPr>
          <w:p w14:paraId="22FE244F" w14:textId="77777777" w:rsidR="00A36D16" w:rsidRPr="002A1096" w:rsidRDefault="00A36D16">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$m</w:t>
            </w:r>
          </w:p>
        </w:tc>
        <w:tc>
          <w:tcPr>
            <w:tcW w:w="1271" w:type="dxa"/>
            <w:tcBorders>
              <w:top w:val="nil"/>
              <w:left w:val="nil"/>
              <w:bottom w:val="nil"/>
              <w:right w:val="nil"/>
            </w:tcBorders>
            <w:shd w:val="clear" w:color="auto" w:fill="EBEBEB"/>
          </w:tcPr>
          <w:p w14:paraId="0AC3A48C" w14:textId="77777777" w:rsidR="00A36D16" w:rsidRPr="002A1096" w:rsidRDefault="00A36D16">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$m</w:t>
            </w:r>
          </w:p>
        </w:tc>
        <w:tc>
          <w:tcPr>
            <w:tcW w:w="1279" w:type="dxa"/>
            <w:tcBorders>
              <w:top w:val="nil"/>
              <w:left w:val="nil"/>
              <w:bottom w:val="nil"/>
              <w:right w:val="nil"/>
            </w:tcBorders>
            <w:shd w:val="clear" w:color="auto" w:fill="EBEBEB"/>
          </w:tcPr>
          <w:p w14:paraId="0E8C4B08" w14:textId="77777777" w:rsidR="00A36D16" w:rsidRPr="002A1096" w:rsidRDefault="00A36D16">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$m</w:t>
            </w:r>
          </w:p>
        </w:tc>
        <w:tc>
          <w:tcPr>
            <w:tcW w:w="1275" w:type="dxa"/>
            <w:tcBorders>
              <w:top w:val="nil"/>
              <w:left w:val="nil"/>
              <w:bottom w:val="nil"/>
              <w:right w:val="nil"/>
            </w:tcBorders>
            <w:shd w:val="clear" w:color="auto" w:fill="EBEBEB"/>
          </w:tcPr>
          <w:p w14:paraId="37271FEA" w14:textId="77777777" w:rsidR="00A36D16" w:rsidRPr="002A1096" w:rsidRDefault="00A36D16">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$m</w:t>
            </w:r>
          </w:p>
        </w:tc>
      </w:tr>
      <w:tr w:rsidR="00A36D16" w:rsidRPr="00E535FA" w14:paraId="4CC400D7" w14:textId="77777777" w:rsidTr="0065796E">
        <w:trPr>
          <w:trHeight w:val="255"/>
        </w:trPr>
        <w:tc>
          <w:tcPr>
            <w:tcW w:w="4528" w:type="dxa"/>
            <w:tcBorders>
              <w:top w:val="nil"/>
              <w:left w:val="nil"/>
              <w:bottom w:val="nil"/>
              <w:right w:val="nil"/>
            </w:tcBorders>
            <w:vAlign w:val="center"/>
            <w:hideMark/>
          </w:tcPr>
          <w:p w14:paraId="66340ECC" w14:textId="77777777" w:rsidR="00A36D16" w:rsidRPr="002A1096" w:rsidRDefault="00A36D16">
            <w:pPr>
              <w:rPr>
                <w:rFonts w:ascii="Public Sans" w:hAnsi="Public Sans" w:cs="Arial"/>
                <w:sz w:val="16"/>
                <w:szCs w:val="16"/>
                <w:lang w:val="en-AU" w:eastAsia="en-AU"/>
              </w:rPr>
            </w:pPr>
            <w:r w:rsidRPr="002A1096">
              <w:rPr>
                <w:rFonts w:ascii="Public Sans" w:hAnsi="Public Sans" w:cs="Arial"/>
                <w:sz w:val="16"/>
                <w:szCs w:val="16"/>
                <w:lang w:val="en-AU" w:eastAsia="en-AU"/>
              </w:rPr>
              <w:t xml:space="preserve">Payroll tax </w:t>
            </w:r>
          </w:p>
        </w:tc>
        <w:tc>
          <w:tcPr>
            <w:tcW w:w="1275" w:type="dxa"/>
            <w:tcBorders>
              <w:top w:val="nil"/>
              <w:left w:val="nil"/>
              <w:bottom w:val="nil"/>
              <w:right w:val="nil"/>
            </w:tcBorders>
            <w:vAlign w:val="center"/>
          </w:tcPr>
          <w:p w14:paraId="7628A7B6" w14:textId="432BF14B" w:rsidR="00A36D16" w:rsidRPr="009F6C17" w:rsidRDefault="00AD0F99">
            <w:pPr>
              <w:ind w:left="-376" w:right="294"/>
              <w:jc w:val="right"/>
              <w:rPr>
                <w:rFonts w:ascii="Public Sans" w:hAnsi="Public Sans" w:cs="Arial"/>
                <w:sz w:val="16"/>
                <w:szCs w:val="16"/>
              </w:rPr>
            </w:pPr>
            <w:r w:rsidRPr="009F6C17">
              <w:rPr>
                <w:rFonts w:ascii="Public Sans" w:hAnsi="Public Sans" w:cs="Arial"/>
                <w:sz w:val="16"/>
                <w:szCs w:val="16"/>
              </w:rPr>
              <w:t>153</w:t>
            </w:r>
          </w:p>
        </w:tc>
        <w:tc>
          <w:tcPr>
            <w:tcW w:w="1271" w:type="dxa"/>
            <w:tcBorders>
              <w:top w:val="nil"/>
              <w:left w:val="nil"/>
              <w:bottom w:val="nil"/>
              <w:right w:val="nil"/>
            </w:tcBorders>
            <w:vAlign w:val="center"/>
          </w:tcPr>
          <w:p w14:paraId="10B6D7C6" w14:textId="07D49939" w:rsidR="00A36D16" w:rsidRPr="009F6C17" w:rsidRDefault="00AD0F99">
            <w:pPr>
              <w:ind w:left="-376" w:right="294"/>
              <w:jc w:val="right"/>
              <w:rPr>
                <w:rFonts w:ascii="Public Sans" w:hAnsi="Public Sans" w:cs="Arial"/>
                <w:sz w:val="16"/>
                <w:szCs w:val="16"/>
              </w:rPr>
            </w:pPr>
            <w:r w:rsidRPr="009F6C17">
              <w:rPr>
                <w:rFonts w:ascii="Public Sans" w:hAnsi="Public Sans" w:cs="Arial"/>
                <w:sz w:val="16"/>
                <w:szCs w:val="16"/>
              </w:rPr>
              <w:t>158</w:t>
            </w:r>
          </w:p>
        </w:tc>
        <w:tc>
          <w:tcPr>
            <w:tcW w:w="1279" w:type="dxa"/>
            <w:tcBorders>
              <w:top w:val="nil"/>
              <w:left w:val="nil"/>
              <w:bottom w:val="nil"/>
              <w:right w:val="nil"/>
            </w:tcBorders>
            <w:vAlign w:val="center"/>
          </w:tcPr>
          <w:p w14:paraId="518074B6" w14:textId="0206E46C" w:rsidR="00A36D16" w:rsidRPr="009F6C17" w:rsidRDefault="00AD0F99">
            <w:pPr>
              <w:ind w:left="-376" w:right="294"/>
              <w:jc w:val="right"/>
              <w:rPr>
                <w:rFonts w:ascii="Public Sans" w:hAnsi="Public Sans" w:cs="Arial"/>
                <w:sz w:val="16"/>
                <w:szCs w:val="16"/>
              </w:rPr>
            </w:pPr>
            <w:r w:rsidRPr="009F6C17">
              <w:rPr>
                <w:rFonts w:ascii="Public Sans" w:hAnsi="Public Sans" w:cs="Arial"/>
                <w:sz w:val="16"/>
                <w:szCs w:val="16"/>
              </w:rPr>
              <w:t>164</w:t>
            </w:r>
          </w:p>
        </w:tc>
        <w:tc>
          <w:tcPr>
            <w:tcW w:w="1275" w:type="dxa"/>
            <w:tcBorders>
              <w:top w:val="nil"/>
              <w:left w:val="nil"/>
              <w:bottom w:val="nil"/>
              <w:right w:val="nil"/>
            </w:tcBorders>
            <w:vAlign w:val="center"/>
          </w:tcPr>
          <w:p w14:paraId="480A4348" w14:textId="5D75A600" w:rsidR="00A36D16" w:rsidRPr="009F6C17" w:rsidRDefault="00AD0F99">
            <w:pPr>
              <w:ind w:left="-376" w:right="294"/>
              <w:jc w:val="right"/>
              <w:rPr>
                <w:rFonts w:ascii="Public Sans" w:hAnsi="Public Sans" w:cs="Arial"/>
                <w:sz w:val="16"/>
                <w:szCs w:val="16"/>
              </w:rPr>
            </w:pPr>
            <w:r w:rsidRPr="009F6C17">
              <w:rPr>
                <w:rFonts w:ascii="Public Sans" w:hAnsi="Public Sans" w:cs="Arial"/>
                <w:sz w:val="16"/>
                <w:szCs w:val="16"/>
              </w:rPr>
              <w:t>169</w:t>
            </w:r>
          </w:p>
        </w:tc>
      </w:tr>
      <w:tr w:rsidR="00A36D16" w:rsidRPr="00E535FA" w14:paraId="01B34733" w14:textId="77777777" w:rsidTr="0065796E">
        <w:trPr>
          <w:trHeight w:val="255"/>
        </w:trPr>
        <w:tc>
          <w:tcPr>
            <w:tcW w:w="4528" w:type="dxa"/>
            <w:tcBorders>
              <w:top w:val="nil"/>
              <w:left w:val="nil"/>
              <w:bottom w:val="nil"/>
              <w:right w:val="nil"/>
            </w:tcBorders>
            <w:vAlign w:val="center"/>
          </w:tcPr>
          <w:p w14:paraId="16611039" w14:textId="77777777" w:rsidR="00A36D16" w:rsidRPr="002A1096" w:rsidRDefault="00A36D16">
            <w:pPr>
              <w:rPr>
                <w:rFonts w:ascii="Public Sans" w:hAnsi="Public Sans" w:cs="Arial"/>
                <w:sz w:val="16"/>
                <w:szCs w:val="16"/>
                <w:lang w:val="en-AU" w:eastAsia="en-AU"/>
              </w:rPr>
            </w:pPr>
            <w:r w:rsidRPr="002A1096">
              <w:rPr>
                <w:rFonts w:ascii="Public Sans" w:hAnsi="Public Sans" w:cs="Arial"/>
                <w:sz w:val="16"/>
                <w:szCs w:val="16"/>
                <w:lang w:val="en-AU" w:eastAsia="en-AU"/>
              </w:rPr>
              <w:t xml:space="preserve">Transfer duty </w:t>
            </w:r>
          </w:p>
        </w:tc>
        <w:tc>
          <w:tcPr>
            <w:tcW w:w="1275" w:type="dxa"/>
            <w:tcBorders>
              <w:top w:val="nil"/>
              <w:left w:val="nil"/>
              <w:bottom w:val="nil"/>
              <w:right w:val="nil"/>
            </w:tcBorders>
            <w:vAlign w:val="center"/>
          </w:tcPr>
          <w:p w14:paraId="24B82590" w14:textId="170CDB60" w:rsidR="00A36D16" w:rsidRPr="009F6C17" w:rsidRDefault="00E53B01">
            <w:pPr>
              <w:ind w:left="-376" w:right="294"/>
              <w:jc w:val="right"/>
              <w:rPr>
                <w:rFonts w:ascii="Public Sans" w:hAnsi="Public Sans" w:cs="Arial"/>
                <w:sz w:val="16"/>
                <w:szCs w:val="16"/>
              </w:rPr>
            </w:pPr>
            <w:r w:rsidRPr="009F6C17">
              <w:rPr>
                <w:rFonts w:ascii="Public Sans" w:hAnsi="Public Sans" w:cs="Arial"/>
                <w:sz w:val="16"/>
                <w:szCs w:val="16"/>
              </w:rPr>
              <w:t>16</w:t>
            </w:r>
          </w:p>
        </w:tc>
        <w:tc>
          <w:tcPr>
            <w:tcW w:w="1271" w:type="dxa"/>
            <w:tcBorders>
              <w:top w:val="nil"/>
              <w:left w:val="nil"/>
              <w:bottom w:val="nil"/>
              <w:right w:val="nil"/>
            </w:tcBorders>
            <w:vAlign w:val="center"/>
          </w:tcPr>
          <w:p w14:paraId="4785CA65" w14:textId="6348A307" w:rsidR="00A36D16" w:rsidRPr="009F6C17" w:rsidRDefault="00A92EFE">
            <w:pPr>
              <w:ind w:left="-376" w:right="294"/>
              <w:jc w:val="right"/>
              <w:rPr>
                <w:rFonts w:ascii="Public Sans" w:hAnsi="Public Sans" w:cs="Arial"/>
                <w:sz w:val="16"/>
                <w:szCs w:val="16"/>
              </w:rPr>
            </w:pPr>
            <w:r w:rsidRPr="009F6C17">
              <w:rPr>
                <w:rFonts w:ascii="Public Sans" w:hAnsi="Public Sans" w:cs="Arial"/>
                <w:sz w:val="16"/>
                <w:szCs w:val="16"/>
              </w:rPr>
              <w:t>12</w:t>
            </w:r>
          </w:p>
        </w:tc>
        <w:tc>
          <w:tcPr>
            <w:tcW w:w="1279" w:type="dxa"/>
            <w:tcBorders>
              <w:top w:val="nil"/>
              <w:left w:val="nil"/>
              <w:bottom w:val="nil"/>
              <w:right w:val="nil"/>
            </w:tcBorders>
            <w:vAlign w:val="center"/>
          </w:tcPr>
          <w:p w14:paraId="72B270A9" w14:textId="74A32360" w:rsidR="00A36D16" w:rsidRPr="009F6C17" w:rsidRDefault="00A92EFE">
            <w:pPr>
              <w:ind w:left="-376" w:right="294"/>
              <w:jc w:val="right"/>
              <w:rPr>
                <w:rFonts w:ascii="Public Sans" w:hAnsi="Public Sans" w:cs="Arial"/>
                <w:sz w:val="16"/>
                <w:szCs w:val="16"/>
              </w:rPr>
            </w:pPr>
            <w:r w:rsidRPr="009F6C17">
              <w:rPr>
                <w:rFonts w:ascii="Public Sans" w:hAnsi="Public Sans" w:cs="Arial"/>
                <w:sz w:val="16"/>
                <w:szCs w:val="16"/>
              </w:rPr>
              <w:t>7</w:t>
            </w:r>
          </w:p>
        </w:tc>
        <w:tc>
          <w:tcPr>
            <w:tcW w:w="1275" w:type="dxa"/>
            <w:tcBorders>
              <w:top w:val="nil"/>
              <w:left w:val="nil"/>
              <w:bottom w:val="nil"/>
              <w:right w:val="nil"/>
            </w:tcBorders>
            <w:vAlign w:val="center"/>
          </w:tcPr>
          <w:p w14:paraId="4298F9C8" w14:textId="3190FFEE" w:rsidR="00A36D16" w:rsidRPr="009F6C17" w:rsidRDefault="00A92EFE">
            <w:pPr>
              <w:ind w:left="-376" w:right="294"/>
              <w:jc w:val="right"/>
              <w:rPr>
                <w:rFonts w:ascii="Public Sans" w:hAnsi="Public Sans" w:cs="Arial"/>
                <w:sz w:val="16"/>
                <w:szCs w:val="16"/>
              </w:rPr>
            </w:pPr>
            <w:r w:rsidRPr="009F6C17">
              <w:rPr>
                <w:rFonts w:ascii="Public Sans" w:hAnsi="Public Sans" w:cs="Arial"/>
                <w:sz w:val="16"/>
                <w:szCs w:val="16"/>
              </w:rPr>
              <w:t>1</w:t>
            </w:r>
          </w:p>
        </w:tc>
      </w:tr>
      <w:tr w:rsidR="00A36D16" w:rsidRPr="00E535FA" w14:paraId="61986147" w14:textId="77777777" w:rsidTr="0065796E">
        <w:trPr>
          <w:trHeight w:val="255"/>
        </w:trPr>
        <w:tc>
          <w:tcPr>
            <w:tcW w:w="4528" w:type="dxa"/>
            <w:tcBorders>
              <w:top w:val="nil"/>
              <w:left w:val="nil"/>
              <w:bottom w:val="nil"/>
              <w:right w:val="nil"/>
            </w:tcBorders>
            <w:vAlign w:val="center"/>
          </w:tcPr>
          <w:p w14:paraId="55BF2553" w14:textId="77777777" w:rsidR="00A36D16" w:rsidRPr="002A1096" w:rsidRDefault="00A36D16">
            <w:pPr>
              <w:rPr>
                <w:rFonts w:ascii="Public Sans" w:hAnsi="Public Sans" w:cs="Arial"/>
                <w:sz w:val="16"/>
                <w:szCs w:val="16"/>
                <w:lang w:val="en-AU" w:eastAsia="en-AU"/>
              </w:rPr>
            </w:pPr>
            <w:r w:rsidRPr="002A1096">
              <w:rPr>
                <w:rFonts w:ascii="Public Sans" w:hAnsi="Public Sans" w:cs="Arial"/>
                <w:sz w:val="16"/>
                <w:szCs w:val="16"/>
                <w:lang w:val="en-AU" w:eastAsia="en-AU"/>
              </w:rPr>
              <w:t>Land tax</w:t>
            </w:r>
          </w:p>
        </w:tc>
        <w:tc>
          <w:tcPr>
            <w:tcW w:w="1275" w:type="dxa"/>
            <w:tcBorders>
              <w:top w:val="nil"/>
              <w:left w:val="nil"/>
              <w:bottom w:val="nil"/>
              <w:right w:val="nil"/>
            </w:tcBorders>
            <w:vAlign w:val="center"/>
          </w:tcPr>
          <w:p w14:paraId="2107CB08" w14:textId="0522BD6B" w:rsidR="00A36D16" w:rsidRPr="009F6C17" w:rsidRDefault="008C5EE1">
            <w:pPr>
              <w:ind w:left="-376" w:right="294"/>
              <w:jc w:val="right"/>
              <w:rPr>
                <w:rFonts w:ascii="Public Sans" w:hAnsi="Public Sans" w:cs="Arial"/>
                <w:sz w:val="16"/>
                <w:szCs w:val="16"/>
              </w:rPr>
            </w:pPr>
            <w:r w:rsidRPr="009F6C17">
              <w:rPr>
                <w:rFonts w:ascii="Public Sans" w:hAnsi="Public Sans" w:cs="Arial"/>
                <w:sz w:val="16"/>
                <w:szCs w:val="16"/>
              </w:rPr>
              <w:t>0</w:t>
            </w:r>
          </w:p>
        </w:tc>
        <w:tc>
          <w:tcPr>
            <w:tcW w:w="1271" w:type="dxa"/>
            <w:tcBorders>
              <w:top w:val="nil"/>
              <w:left w:val="nil"/>
              <w:bottom w:val="nil"/>
              <w:right w:val="nil"/>
            </w:tcBorders>
            <w:vAlign w:val="center"/>
          </w:tcPr>
          <w:p w14:paraId="4304AF46" w14:textId="20C96726" w:rsidR="00A36D16" w:rsidRPr="009F6C17" w:rsidRDefault="0090593A">
            <w:pPr>
              <w:ind w:left="-376" w:right="294"/>
              <w:jc w:val="right"/>
              <w:rPr>
                <w:rFonts w:ascii="Public Sans" w:hAnsi="Public Sans" w:cs="Arial"/>
                <w:sz w:val="16"/>
                <w:szCs w:val="16"/>
              </w:rPr>
            </w:pPr>
            <w:r w:rsidRPr="009F6C17">
              <w:rPr>
                <w:rFonts w:ascii="Public Sans" w:hAnsi="Public Sans" w:cs="Arial"/>
                <w:sz w:val="16"/>
                <w:szCs w:val="16"/>
              </w:rPr>
              <w:t>7</w:t>
            </w:r>
          </w:p>
        </w:tc>
        <w:tc>
          <w:tcPr>
            <w:tcW w:w="1279" w:type="dxa"/>
            <w:tcBorders>
              <w:top w:val="nil"/>
              <w:left w:val="nil"/>
              <w:bottom w:val="nil"/>
              <w:right w:val="nil"/>
            </w:tcBorders>
            <w:vAlign w:val="center"/>
          </w:tcPr>
          <w:p w14:paraId="25C4E134" w14:textId="6986D5E6" w:rsidR="00A36D16" w:rsidRPr="009F6C17" w:rsidRDefault="0090593A">
            <w:pPr>
              <w:ind w:left="-376" w:right="294"/>
              <w:jc w:val="right"/>
              <w:rPr>
                <w:rFonts w:ascii="Public Sans" w:hAnsi="Public Sans" w:cs="Arial"/>
                <w:sz w:val="16"/>
                <w:szCs w:val="16"/>
              </w:rPr>
            </w:pPr>
            <w:r w:rsidRPr="009F6C17">
              <w:rPr>
                <w:rFonts w:ascii="Public Sans" w:hAnsi="Public Sans" w:cs="Arial"/>
                <w:sz w:val="16"/>
                <w:szCs w:val="16"/>
              </w:rPr>
              <w:t>22</w:t>
            </w:r>
          </w:p>
        </w:tc>
        <w:tc>
          <w:tcPr>
            <w:tcW w:w="1275" w:type="dxa"/>
            <w:tcBorders>
              <w:top w:val="nil"/>
              <w:left w:val="nil"/>
              <w:bottom w:val="nil"/>
              <w:right w:val="nil"/>
            </w:tcBorders>
            <w:vAlign w:val="center"/>
          </w:tcPr>
          <w:p w14:paraId="0D005A64" w14:textId="74C8C220" w:rsidR="00A36D16" w:rsidRPr="009F6C17" w:rsidRDefault="0090593A">
            <w:pPr>
              <w:ind w:left="-376" w:right="294"/>
              <w:jc w:val="right"/>
              <w:rPr>
                <w:rFonts w:ascii="Public Sans" w:hAnsi="Public Sans" w:cs="Arial"/>
                <w:sz w:val="16"/>
                <w:szCs w:val="16"/>
              </w:rPr>
            </w:pPr>
            <w:r w:rsidRPr="009F6C17">
              <w:rPr>
                <w:rFonts w:ascii="Public Sans" w:hAnsi="Public Sans" w:cs="Arial"/>
                <w:sz w:val="16"/>
                <w:szCs w:val="16"/>
              </w:rPr>
              <w:t>32</w:t>
            </w:r>
          </w:p>
        </w:tc>
      </w:tr>
      <w:tr w:rsidR="00A36D16" w:rsidRPr="00E535FA" w14:paraId="0BE9FE0C" w14:textId="77777777" w:rsidTr="0065796E">
        <w:trPr>
          <w:trHeight w:val="255"/>
        </w:trPr>
        <w:tc>
          <w:tcPr>
            <w:tcW w:w="4528" w:type="dxa"/>
            <w:tcBorders>
              <w:top w:val="nil"/>
              <w:left w:val="nil"/>
              <w:right w:val="nil"/>
            </w:tcBorders>
            <w:vAlign w:val="center"/>
          </w:tcPr>
          <w:p w14:paraId="2DD8CE6A" w14:textId="77777777" w:rsidR="00A36D16" w:rsidRPr="002A1096" w:rsidRDefault="00A36D16">
            <w:pPr>
              <w:rPr>
                <w:rFonts w:ascii="Public Sans" w:hAnsi="Public Sans" w:cs="Arial"/>
                <w:sz w:val="16"/>
                <w:szCs w:val="16"/>
                <w:lang w:val="en-AU" w:eastAsia="en-AU"/>
              </w:rPr>
            </w:pPr>
            <w:r w:rsidRPr="002A1096">
              <w:rPr>
                <w:rFonts w:ascii="Public Sans" w:hAnsi="Public Sans" w:cs="Arial"/>
                <w:sz w:val="16"/>
                <w:szCs w:val="16"/>
                <w:lang w:val="en-AU" w:eastAsia="en-AU"/>
              </w:rPr>
              <w:t>Royalties</w:t>
            </w:r>
          </w:p>
        </w:tc>
        <w:tc>
          <w:tcPr>
            <w:tcW w:w="1275" w:type="dxa"/>
            <w:tcBorders>
              <w:top w:val="nil"/>
              <w:left w:val="nil"/>
              <w:right w:val="nil"/>
            </w:tcBorders>
            <w:vAlign w:val="center"/>
          </w:tcPr>
          <w:p w14:paraId="71738861" w14:textId="4CBD7AE0" w:rsidR="00A36D16" w:rsidRPr="009F6C17" w:rsidRDefault="00A36D16">
            <w:pPr>
              <w:ind w:left="-376" w:right="294"/>
              <w:jc w:val="right"/>
              <w:rPr>
                <w:rFonts w:ascii="Public Sans" w:hAnsi="Public Sans" w:cs="Arial"/>
                <w:sz w:val="16"/>
                <w:szCs w:val="16"/>
              </w:rPr>
            </w:pPr>
            <w:r w:rsidRPr="009F6C17">
              <w:rPr>
                <w:rFonts w:ascii="Public Sans" w:hAnsi="Public Sans" w:cs="Arial"/>
                <w:sz w:val="16"/>
                <w:szCs w:val="16"/>
              </w:rPr>
              <w:t>(</w:t>
            </w:r>
            <w:r w:rsidR="00C64738" w:rsidRPr="009F6C17">
              <w:rPr>
                <w:rFonts w:ascii="Public Sans" w:hAnsi="Public Sans" w:cs="Arial"/>
                <w:sz w:val="16"/>
                <w:szCs w:val="16"/>
              </w:rPr>
              <w:t>3</w:t>
            </w:r>
            <w:r w:rsidRPr="009F6C17">
              <w:rPr>
                <w:rFonts w:ascii="Public Sans" w:hAnsi="Public Sans" w:cs="Arial"/>
                <w:sz w:val="16"/>
                <w:szCs w:val="16"/>
              </w:rPr>
              <w:t>)</w:t>
            </w:r>
          </w:p>
        </w:tc>
        <w:tc>
          <w:tcPr>
            <w:tcW w:w="1271" w:type="dxa"/>
            <w:tcBorders>
              <w:top w:val="nil"/>
              <w:left w:val="nil"/>
              <w:right w:val="nil"/>
            </w:tcBorders>
            <w:vAlign w:val="center"/>
          </w:tcPr>
          <w:p w14:paraId="7843E333" w14:textId="1C1FBC51" w:rsidR="00A36D16" w:rsidRPr="009F6C17" w:rsidRDefault="00A36D16">
            <w:pPr>
              <w:ind w:left="-376" w:right="294"/>
              <w:jc w:val="right"/>
              <w:rPr>
                <w:rFonts w:ascii="Public Sans" w:hAnsi="Public Sans" w:cs="Arial"/>
                <w:sz w:val="16"/>
                <w:szCs w:val="16"/>
              </w:rPr>
            </w:pPr>
            <w:r w:rsidRPr="009F6C17">
              <w:rPr>
                <w:rFonts w:ascii="Public Sans" w:hAnsi="Public Sans" w:cs="Arial"/>
                <w:sz w:val="16"/>
                <w:szCs w:val="16"/>
              </w:rPr>
              <w:t>(</w:t>
            </w:r>
            <w:r w:rsidR="00C64738" w:rsidRPr="009F6C17">
              <w:rPr>
                <w:rFonts w:ascii="Public Sans" w:hAnsi="Public Sans" w:cs="Arial"/>
                <w:sz w:val="16"/>
                <w:szCs w:val="16"/>
              </w:rPr>
              <w:t>5</w:t>
            </w:r>
            <w:r w:rsidRPr="009F6C17">
              <w:rPr>
                <w:rFonts w:ascii="Public Sans" w:hAnsi="Public Sans" w:cs="Arial"/>
                <w:sz w:val="16"/>
                <w:szCs w:val="16"/>
              </w:rPr>
              <w:t>)</w:t>
            </w:r>
          </w:p>
        </w:tc>
        <w:tc>
          <w:tcPr>
            <w:tcW w:w="1279" w:type="dxa"/>
            <w:tcBorders>
              <w:top w:val="nil"/>
              <w:left w:val="nil"/>
              <w:right w:val="nil"/>
            </w:tcBorders>
            <w:vAlign w:val="center"/>
          </w:tcPr>
          <w:p w14:paraId="5F70265E" w14:textId="08883A35" w:rsidR="00A36D16" w:rsidRPr="009F6C17" w:rsidRDefault="00A36D16">
            <w:pPr>
              <w:ind w:left="-376" w:right="294"/>
              <w:jc w:val="right"/>
              <w:rPr>
                <w:rFonts w:ascii="Public Sans" w:hAnsi="Public Sans" w:cs="Arial"/>
                <w:sz w:val="16"/>
                <w:szCs w:val="16"/>
              </w:rPr>
            </w:pPr>
            <w:r w:rsidRPr="009F6C17">
              <w:rPr>
                <w:rFonts w:ascii="Public Sans" w:hAnsi="Public Sans" w:cs="Arial"/>
                <w:sz w:val="16"/>
                <w:szCs w:val="16"/>
              </w:rPr>
              <w:t>(</w:t>
            </w:r>
            <w:r w:rsidR="00C64738" w:rsidRPr="009F6C17">
              <w:rPr>
                <w:rFonts w:ascii="Public Sans" w:hAnsi="Public Sans" w:cs="Arial"/>
                <w:sz w:val="16"/>
                <w:szCs w:val="16"/>
              </w:rPr>
              <w:t>7</w:t>
            </w:r>
            <w:r w:rsidRPr="009F6C17">
              <w:rPr>
                <w:rFonts w:ascii="Public Sans" w:hAnsi="Public Sans" w:cs="Arial"/>
                <w:sz w:val="16"/>
                <w:szCs w:val="16"/>
              </w:rPr>
              <w:t>)</w:t>
            </w:r>
          </w:p>
        </w:tc>
        <w:tc>
          <w:tcPr>
            <w:tcW w:w="1275" w:type="dxa"/>
            <w:tcBorders>
              <w:top w:val="nil"/>
              <w:left w:val="nil"/>
              <w:right w:val="nil"/>
            </w:tcBorders>
            <w:vAlign w:val="center"/>
          </w:tcPr>
          <w:p w14:paraId="6C7CD450" w14:textId="6D2DC15E" w:rsidR="00A36D16" w:rsidRPr="009F6C17" w:rsidRDefault="00A36D16">
            <w:pPr>
              <w:ind w:left="-376" w:right="294"/>
              <w:jc w:val="right"/>
              <w:rPr>
                <w:rFonts w:ascii="Public Sans" w:hAnsi="Public Sans" w:cs="Arial"/>
                <w:sz w:val="16"/>
                <w:szCs w:val="16"/>
              </w:rPr>
            </w:pPr>
            <w:r w:rsidRPr="009F6C17">
              <w:rPr>
                <w:rFonts w:ascii="Public Sans" w:hAnsi="Public Sans" w:cs="Arial"/>
                <w:sz w:val="16"/>
                <w:szCs w:val="16"/>
              </w:rPr>
              <w:t>(</w:t>
            </w:r>
            <w:r w:rsidR="00C64738" w:rsidRPr="009F6C17">
              <w:rPr>
                <w:rFonts w:ascii="Public Sans" w:hAnsi="Public Sans" w:cs="Arial"/>
                <w:sz w:val="16"/>
                <w:szCs w:val="16"/>
              </w:rPr>
              <w:t>9</w:t>
            </w:r>
            <w:r w:rsidRPr="009F6C17">
              <w:rPr>
                <w:rFonts w:ascii="Public Sans" w:hAnsi="Public Sans" w:cs="Arial"/>
                <w:sz w:val="16"/>
                <w:szCs w:val="16"/>
              </w:rPr>
              <w:t>)</w:t>
            </w:r>
          </w:p>
        </w:tc>
      </w:tr>
      <w:tr w:rsidR="00A36D16" w:rsidRPr="00E535FA" w14:paraId="228C213F" w14:textId="77777777" w:rsidTr="0065796E">
        <w:trPr>
          <w:trHeight w:val="255"/>
        </w:trPr>
        <w:tc>
          <w:tcPr>
            <w:tcW w:w="4528" w:type="dxa"/>
            <w:tcBorders>
              <w:top w:val="nil"/>
              <w:left w:val="nil"/>
              <w:right w:val="nil"/>
            </w:tcBorders>
            <w:vAlign w:val="center"/>
          </w:tcPr>
          <w:p w14:paraId="2AC3C4F0" w14:textId="77777777" w:rsidR="00A36D16" w:rsidRPr="002A1096" w:rsidRDefault="00A36D16">
            <w:pPr>
              <w:rPr>
                <w:rFonts w:ascii="Public Sans" w:hAnsi="Public Sans" w:cs="Arial"/>
                <w:sz w:val="16"/>
                <w:szCs w:val="16"/>
                <w:lang w:val="en-AU" w:eastAsia="en-AU"/>
              </w:rPr>
            </w:pPr>
            <w:r w:rsidRPr="002A1096">
              <w:rPr>
                <w:rFonts w:ascii="Public Sans" w:hAnsi="Public Sans" w:cs="Arial"/>
                <w:sz w:val="16"/>
                <w:szCs w:val="16"/>
                <w:lang w:val="en-AU" w:eastAsia="en-AU"/>
              </w:rPr>
              <w:t>GST revenue</w:t>
            </w:r>
          </w:p>
        </w:tc>
        <w:tc>
          <w:tcPr>
            <w:tcW w:w="1275" w:type="dxa"/>
            <w:tcBorders>
              <w:top w:val="nil"/>
              <w:left w:val="nil"/>
              <w:right w:val="nil"/>
            </w:tcBorders>
            <w:vAlign w:val="center"/>
          </w:tcPr>
          <w:p w14:paraId="3366F5F8" w14:textId="559C245D" w:rsidR="00A36D16" w:rsidRPr="009F6C17" w:rsidRDefault="008A7305">
            <w:pPr>
              <w:ind w:left="-376" w:right="294"/>
              <w:jc w:val="right"/>
              <w:rPr>
                <w:rFonts w:ascii="Public Sans" w:hAnsi="Public Sans" w:cs="Arial"/>
                <w:sz w:val="16"/>
                <w:szCs w:val="16"/>
              </w:rPr>
            </w:pPr>
            <w:r w:rsidRPr="009F6C17">
              <w:rPr>
                <w:rFonts w:ascii="Public Sans" w:hAnsi="Public Sans" w:cs="Arial"/>
                <w:sz w:val="16"/>
                <w:szCs w:val="16"/>
              </w:rPr>
              <w:t>1</w:t>
            </w:r>
          </w:p>
        </w:tc>
        <w:tc>
          <w:tcPr>
            <w:tcW w:w="1271" w:type="dxa"/>
            <w:tcBorders>
              <w:top w:val="nil"/>
              <w:left w:val="nil"/>
              <w:right w:val="nil"/>
            </w:tcBorders>
            <w:vAlign w:val="center"/>
          </w:tcPr>
          <w:p w14:paraId="0FF6E936" w14:textId="4707B5B2" w:rsidR="00A36D16" w:rsidRPr="009F6C17" w:rsidRDefault="00CE091B">
            <w:pPr>
              <w:ind w:left="-376" w:right="294"/>
              <w:jc w:val="right"/>
              <w:rPr>
                <w:rFonts w:ascii="Public Sans" w:hAnsi="Public Sans" w:cs="Arial"/>
                <w:sz w:val="16"/>
                <w:szCs w:val="16"/>
              </w:rPr>
            </w:pPr>
            <w:r w:rsidRPr="009F6C17">
              <w:rPr>
                <w:rFonts w:ascii="Public Sans" w:hAnsi="Public Sans" w:cs="Arial"/>
                <w:sz w:val="16"/>
                <w:szCs w:val="16"/>
              </w:rPr>
              <w:t>6</w:t>
            </w:r>
          </w:p>
        </w:tc>
        <w:tc>
          <w:tcPr>
            <w:tcW w:w="1279" w:type="dxa"/>
            <w:tcBorders>
              <w:top w:val="nil"/>
              <w:left w:val="nil"/>
              <w:right w:val="nil"/>
            </w:tcBorders>
            <w:vAlign w:val="center"/>
          </w:tcPr>
          <w:p w14:paraId="0E5D865A" w14:textId="0DD25239" w:rsidR="00A36D16" w:rsidRPr="009F6C17" w:rsidRDefault="00CE091B">
            <w:pPr>
              <w:ind w:left="-376" w:right="294"/>
              <w:jc w:val="right"/>
              <w:rPr>
                <w:rFonts w:ascii="Public Sans" w:hAnsi="Public Sans" w:cs="Arial"/>
                <w:sz w:val="16"/>
                <w:szCs w:val="16"/>
              </w:rPr>
            </w:pPr>
            <w:r w:rsidRPr="009F6C17">
              <w:rPr>
                <w:rFonts w:ascii="Public Sans" w:hAnsi="Public Sans" w:cs="Arial"/>
                <w:sz w:val="16"/>
                <w:szCs w:val="16"/>
              </w:rPr>
              <w:t>11</w:t>
            </w:r>
          </w:p>
        </w:tc>
        <w:tc>
          <w:tcPr>
            <w:tcW w:w="1275" w:type="dxa"/>
            <w:tcBorders>
              <w:top w:val="nil"/>
              <w:left w:val="nil"/>
              <w:right w:val="nil"/>
            </w:tcBorders>
            <w:vAlign w:val="center"/>
          </w:tcPr>
          <w:p w14:paraId="34F7D3FB" w14:textId="58A90A81" w:rsidR="00A36D16" w:rsidRPr="009F6C17" w:rsidRDefault="00971396">
            <w:pPr>
              <w:ind w:left="-376" w:right="294"/>
              <w:jc w:val="right"/>
              <w:rPr>
                <w:rFonts w:ascii="Public Sans" w:hAnsi="Public Sans" w:cs="Arial"/>
                <w:sz w:val="16"/>
                <w:szCs w:val="16"/>
              </w:rPr>
            </w:pPr>
            <w:r w:rsidRPr="009F6C17">
              <w:rPr>
                <w:rFonts w:ascii="Public Sans" w:hAnsi="Public Sans" w:cs="Arial"/>
                <w:sz w:val="16"/>
                <w:szCs w:val="16"/>
              </w:rPr>
              <w:t>14</w:t>
            </w:r>
          </w:p>
        </w:tc>
      </w:tr>
      <w:tr w:rsidR="00872212" w:rsidRPr="00E535FA" w14:paraId="6AB655AC" w14:textId="77777777" w:rsidTr="26016F8B">
        <w:trPr>
          <w:trHeight w:val="255"/>
        </w:trPr>
        <w:tc>
          <w:tcPr>
            <w:tcW w:w="4528" w:type="dxa"/>
            <w:tcBorders>
              <w:top w:val="single" w:sz="4" w:space="0" w:color="auto"/>
              <w:left w:val="nil"/>
              <w:bottom w:val="single" w:sz="4" w:space="0" w:color="auto"/>
              <w:right w:val="nil"/>
            </w:tcBorders>
            <w:vAlign w:val="center"/>
          </w:tcPr>
          <w:p w14:paraId="04A0D9CC" w14:textId="77777777" w:rsidR="00A36D16" w:rsidRPr="00CA3BEF" w:rsidRDefault="00A36D16">
            <w:pPr>
              <w:rPr>
                <w:rFonts w:ascii="Public Sans" w:hAnsi="Public Sans" w:cs="Arial"/>
                <w:b/>
                <w:sz w:val="16"/>
                <w:szCs w:val="16"/>
                <w:lang w:val="en-AU" w:eastAsia="en-AU"/>
              </w:rPr>
            </w:pPr>
            <w:r w:rsidRPr="00CA3BEF">
              <w:rPr>
                <w:rFonts w:ascii="Public Sans" w:hAnsi="Public Sans" w:cs="Arial"/>
                <w:b/>
                <w:sz w:val="16"/>
                <w:szCs w:val="16"/>
                <w:lang w:val="en-AU" w:eastAsia="en-AU"/>
              </w:rPr>
              <w:t>Total revenue</w:t>
            </w:r>
          </w:p>
        </w:tc>
        <w:tc>
          <w:tcPr>
            <w:tcW w:w="1275" w:type="dxa"/>
            <w:tcBorders>
              <w:top w:val="single" w:sz="4" w:space="0" w:color="auto"/>
              <w:left w:val="nil"/>
              <w:bottom w:val="single" w:sz="4" w:space="0" w:color="auto"/>
              <w:right w:val="nil"/>
            </w:tcBorders>
            <w:shd w:val="clear" w:color="auto" w:fill="FFFFFF" w:themeFill="text2"/>
            <w:vAlign w:val="center"/>
          </w:tcPr>
          <w:p w14:paraId="29D026E0" w14:textId="321E9934" w:rsidR="00A36D16" w:rsidRPr="009F6C17" w:rsidRDefault="0090593A">
            <w:pPr>
              <w:ind w:left="-376" w:right="294"/>
              <w:jc w:val="right"/>
              <w:rPr>
                <w:rFonts w:ascii="Public Sans" w:hAnsi="Public Sans" w:cs="Arial"/>
                <w:b/>
                <w:sz w:val="16"/>
                <w:szCs w:val="16"/>
              </w:rPr>
            </w:pPr>
            <w:r w:rsidRPr="009F6C17">
              <w:rPr>
                <w:rFonts w:ascii="Public Sans" w:hAnsi="Public Sans" w:cs="Arial"/>
                <w:b/>
                <w:sz w:val="16"/>
                <w:szCs w:val="16"/>
              </w:rPr>
              <w:t>167</w:t>
            </w:r>
          </w:p>
        </w:tc>
        <w:tc>
          <w:tcPr>
            <w:tcW w:w="1271" w:type="dxa"/>
            <w:tcBorders>
              <w:top w:val="single" w:sz="4" w:space="0" w:color="auto"/>
              <w:left w:val="nil"/>
              <w:bottom w:val="single" w:sz="4" w:space="0" w:color="auto"/>
              <w:right w:val="nil"/>
            </w:tcBorders>
            <w:shd w:val="clear" w:color="auto" w:fill="FFFFFF" w:themeFill="text2"/>
            <w:vAlign w:val="center"/>
          </w:tcPr>
          <w:p w14:paraId="317028F5" w14:textId="17B406DD" w:rsidR="00A36D16" w:rsidRPr="009F6C17" w:rsidRDefault="0090593A">
            <w:pPr>
              <w:ind w:left="-376" w:right="294"/>
              <w:jc w:val="right"/>
              <w:rPr>
                <w:rFonts w:ascii="Public Sans" w:hAnsi="Public Sans" w:cs="Arial"/>
                <w:b/>
                <w:sz w:val="16"/>
                <w:szCs w:val="16"/>
              </w:rPr>
            </w:pPr>
            <w:r w:rsidRPr="009F6C17">
              <w:rPr>
                <w:rFonts w:ascii="Public Sans" w:hAnsi="Public Sans" w:cs="Arial"/>
                <w:b/>
                <w:bCs/>
                <w:sz w:val="16"/>
                <w:szCs w:val="16"/>
              </w:rPr>
              <w:t>17</w:t>
            </w:r>
            <w:r w:rsidR="1F342FC6" w:rsidRPr="009F6C17">
              <w:rPr>
                <w:rFonts w:ascii="Public Sans" w:hAnsi="Public Sans" w:cs="Arial"/>
                <w:b/>
                <w:bCs/>
                <w:sz w:val="16"/>
                <w:szCs w:val="16"/>
              </w:rPr>
              <w:t>8</w:t>
            </w:r>
          </w:p>
        </w:tc>
        <w:tc>
          <w:tcPr>
            <w:tcW w:w="1279" w:type="dxa"/>
            <w:tcBorders>
              <w:top w:val="single" w:sz="4" w:space="0" w:color="auto"/>
              <w:left w:val="nil"/>
              <w:bottom w:val="single" w:sz="4" w:space="0" w:color="auto"/>
              <w:right w:val="nil"/>
            </w:tcBorders>
            <w:shd w:val="clear" w:color="auto" w:fill="FFFFFF" w:themeFill="text2"/>
            <w:vAlign w:val="center"/>
          </w:tcPr>
          <w:p w14:paraId="36E000B8" w14:textId="456DDB17" w:rsidR="00A36D16" w:rsidRPr="009F6C17" w:rsidRDefault="0090593A">
            <w:pPr>
              <w:ind w:left="-376" w:right="294"/>
              <w:jc w:val="right"/>
              <w:rPr>
                <w:rFonts w:ascii="Public Sans" w:hAnsi="Public Sans" w:cs="Arial"/>
                <w:b/>
                <w:sz w:val="16"/>
                <w:szCs w:val="16"/>
              </w:rPr>
            </w:pPr>
            <w:r w:rsidRPr="009F6C17">
              <w:rPr>
                <w:rFonts w:ascii="Public Sans" w:hAnsi="Public Sans" w:cs="Arial"/>
                <w:b/>
                <w:bCs/>
                <w:sz w:val="16"/>
                <w:szCs w:val="16"/>
              </w:rPr>
              <w:t>19</w:t>
            </w:r>
            <w:r w:rsidR="17A24EEA" w:rsidRPr="009F6C17">
              <w:rPr>
                <w:rFonts w:ascii="Public Sans" w:hAnsi="Public Sans" w:cs="Arial"/>
                <w:b/>
                <w:bCs/>
                <w:sz w:val="16"/>
                <w:szCs w:val="16"/>
              </w:rPr>
              <w:t>7</w:t>
            </w:r>
          </w:p>
        </w:tc>
        <w:tc>
          <w:tcPr>
            <w:tcW w:w="1275" w:type="dxa"/>
            <w:tcBorders>
              <w:top w:val="single" w:sz="4" w:space="0" w:color="auto"/>
              <w:left w:val="nil"/>
              <w:bottom w:val="single" w:sz="4" w:space="0" w:color="auto"/>
              <w:right w:val="nil"/>
            </w:tcBorders>
            <w:shd w:val="clear" w:color="auto" w:fill="FFFFFF" w:themeFill="text2"/>
            <w:vAlign w:val="center"/>
          </w:tcPr>
          <w:p w14:paraId="4A8851C8" w14:textId="5FC48CFD" w:rsidR="00A36D16" w:rsidRPr="009F6C17" w:rsidRDefault="0090593A">
            <w:pPr>
              <w:ind w:left="-376" w:right="294"/>
              <w:jc w:val="right"/>
              <w:rPr>
                <w:rFonts w:ascii="Public Sans" w:hAnsi="Public Sans" w:cs="Arial"/>
                <w:b/>
                <w:sz w:val="16"/>
                <w:szCs w:val="16"/>
              </w:rPr>
            </w:pPr>
            <w:r w:rsidRPr="009F6C17">
              <w:rPr>
                <w:rFonts w:ascii="Public Sans" w:hAnsi="Public Sans" w:cs="Arial"/>
                <w:b/>
                <w:sz w:val="16"/>
                <w:szCs w:val="16"/>
              </w:rPr>
              <w:t>207</w:t>
            </w:r>
          </w:p>
        </w:tc>
      </w:tr>
    </w:tbl>
    <w:p w14:paraId="70019687" w14:textId="77777777" w:rsidR="00A36D16" w:rsidRPr="008E4BFC" w:rsidRDefault="00A36D16" w:rsidP="00A36D16">
      <w:pPr>
        <w:ind w:left="357" w:hanging="357"/>
        <w:rPr>
          <w:rFonts w:ascii="Arial" w:hAnsi="Arial" w:cs="Arial"/>
          <w:sz w:val="6"/>
          <w:szCs w:val="6"/>
        </w:rPr>
      </w:pPr>
    </w:p>
    <w:p w14:paraId="07F89A3B" w14:textId="77777777" w:rsidR="00A36D16" w:rsidRPr="00DA3C61" w:rsidRDefault="00A36D16" w:rsidP="00604EEE">
      <w:pPr>
        <w:pStyle w:val="ListParagraph"/>
        <w:numPr>
          <w:ilvl w:val="0"/>
          <w:numId w:val="102"/>
        </w:numPr>
        <w:ind w:left="357" w:hanging="357"/>
        <w:rPr>
          <w:rFonts w:ascii="Public Sans" w:hAnsi="Public Sans" w:cs="Arial"/>
          <w:sz w:val="16"/>
          <w:szCs w:val="16"/>
        </w:rPr>
      </w:pPr>
      <w:r w:rsidRPr="00DA3C61">
        <w:rPr>
          <w:rFonts w:ascii="Public Sans" w:hAnsi="Public Sans" w:cs="Arial"/>
          <w:sz w:val="16"/>
          <w:szCs w:val="16"/>
        </w:rPr>
        <w:t xml:space="preserve">Figures reported are the </w:t>
      </w:r>
      <w:proofErr w:type="gramStart"/>
      <w:r w:rsidRPr="00DA3C61">
        <w:rPr>
          <w:rFonts w:ascii="Public Sans" w:hAnsi="Public Sans" w:cs="Arial"/>
          <w:sz w:val="16"/>
          <w:szCs w:val="16"/>
        </w:rPr>
        <w:t>change</w:t>
      </w:r>
      <w:proofErr w:type="gramEnd"/>
      <w:r w:rsidRPr="00DA3C61">
        <w:rPr>
          <w:rFonts w:ascii="Public Sans" w:hAnsi="Public Sans" w:cs="Arial"/>
          <w:sz w:val="16"/>
          <w:szCs w:val="16"/>
        </w:rPr>
        <w:t xml:space="preserve"> in the level of each parameter </w:t>
      </w:r>
      <w:proofErr w:type="gramStart"/>
      <w:r w:rsidRPr="00DA3C61">
        <w:rPr>
          <w:rFonts w:ascii="Public Sans" w:hAnsi="Public Sans" w:cs="Arial"/>
          <w:sz w:val="16"/>
          <w:szCs w:val="16"/>
        </w:rPr>
        <w:t>relative</w:t>
      </w:r>
      <w:proofErr w:type="gramEnd"/>
      <w:r w:rsidRPr="00DA3C61">
        <w:rPr>
          <w:rFonts w:ascii="Public Sans" w:hAnsi="Public Sans" w:cs="Arial"/>
          <w:sz w:val="16"/>
          <w:szCs w:val="16"/>
        </w:rPr>
        <w:t xml:space="preserve"> to the baseline.</w:t>
      </w:r>
    </w:p>
    <w:p w14:paraId="67416D2C" w14:textId="1261A60C" w:rsidR="00A36D16" w:rsidRPr="00DA3C61" w:rsidRDefault="00A36D16" w:rsidP="00604EEE">
      <w:pPr>
        <w:pStyle w:val="Source"/>
        <w:spacing w:before="120"/>
        <w:rPr>
          <w:szCs w:val="16"/>
        </w:rPr>
      </w:pPr>
      <w:r w:rsidRPr="00DA3C61">
        <w:rPr>
          <w:szCs w:val="16"/>
        </w:rPr>
        <w:t xml:space="preserve">Source: </w:t>
      </w:r>
      <w:r w:rsidRPr="00DA3C61" w:rsidDel="00AE5885">
        <w:rPr>
          <w:szCs w:val="16"/>
        </w:rPr>
        <w:t>VURMTAX</w:t>
      </w:r>
      <w:r w:rsidR="00AE5885" w:rsidRPr="00DA3C61">
        <w:rPr>
          <w:szCs w:val="16"/>
        </w:rPr>
        <w:t>-GREEN</w:t>
      </w:r>
      <w:r w:rsidRPr="00DA3C61">
        <w:rPr>
          <w:szCs w:val="16"/>
        </w:rPr>
        <w:t xml:space="preserve"> model and NSW Treasury</w:t>
      </w:r>
    </w:p>
    <w:p w14:paraId="54062379" w14:textId="77777777" w:rsidR="00A36D16" w:rsidRPr="002817A9" w:rsidRDefault="00A36D16" w:rsidP="00604EEE"/>
    <w:bookmarkEnd w:id="0"/>
    <w:p w14:paraId="2F35E795" w14:textId="77777777" w:rsidR="00427E8F" w:rsidRDefault="00427E8F" w:rsidP="00604EEE">
      <w:pPr>
        <w:spacing w:before="360" w:after="120"/>
      </w:pPr>
    </w:p>
    <w:sectPr w:rsidR="00427E8F" w:rsidSect="002F1B2F">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DA5E" w14:textId="77777777" w:rsidR="00660A43" w:rsidRDefault="00660A43">
      <w:r>
        <w:separator/>
      </w:r>
    </w:p>
  </w:endnote>
  <w:endnote w:type="continuationSeparator" w:id="0">
    <w:p w14:paraId="5668AE2E" w14:textId="77777777" w:rsidR="00660A43" w:rsidRDefault="00660A43">
      <w:r>
        <w:continuationSeparator/>
      </w:r>
    </w:p>
  </w:endnote>
  <w:endnote w:type="continuationNotice" w:id="1">
    <w:p w14:paraId="51BE3BAE" w14:textId="77777777" w:rsidR="00660A43" w:rsidRDefault="00660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4D"/>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D7B8" w14:textId="2D6F2E61" w:rsidR="00ED364A" w:rsidRPr="006243DB" w:rsidDel="006B7315" w:rsidRDefault="00DE2CCC" w:rsidP="00733C7C">
    <w:pPr>
      <w:pBdr>
        <w:top w:val="single" w:sz="4" w:space="4" w:color="auto"/>
      </w:pBdr>
      <w:tabs>
        <w:tab w:val="right" w:pos="9639"/>
      </w:tabs>
      <w:ind w:left="0" w:firstLine="0"/>
      <w:rPr>
        <w:rFonts w:ascii="Public Sans" w:hAnsi="Public Sans" w:cs="Arial"/>
        <w:sz w:val="18"/>
        <w:szCs w:val="18"/>
      </w:rPr>
    </w:pPr>
    <w:r>
      <w:rPr>
        <w:rFonts w:ascii="Public Sans" w:hAnsi="Public Sans" w:cs="Arial"/>
        <w:sz w:val="18"/>
        <w:szCs w:val="18"/>
      </w:rPr>
      <w:t>F</w:t>
    </w:r>
    <w:r w:rsidR="009E5213" w:rsidRPr="006243DB">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sidR="009E5213" w:rsidRPr="006243DB">
      <w:rPr>
        <w:rFonts w:ascii="Public Sans" w:hAnsi="Public Sans" w:cs="Arial"/>
        <w:sz w:val="18"/>
        <w:szCs w:val="18"/>
      </w:rPr>
      <w:t>2</w:t>
    </w:r>
    <w:r w:rsidR="009E5213" w:rsidRPr="006243DB">
      <w:rPr>
        <w:rFonts w:ascii="Public Sans" w:hAnsi="Public Sans" w:cs="Arial"/>
        <w:noProof/>
        <w:sz w:val="18"/>
        <w:szCs w:val="18"/>
      </w:rPr>
      <w:fldChar w:fldCharType="end"/>
    </w:r>
    <w:r w:rsidR="009E5213" w:rsidRPr="006243DB">
      <w:rPr>
        <w:rFonts w:ascii="Public Sans" w:hAnsi="Public Sans" w:cs="Arial"/>
        <w:noProof/>
        <w:sz w:val="18"/>
        <w:szCs w:val="18"/>
      </w:rPr>
      <w:tab/>
    </w:r>
    <w:r w:rsidR="00F06FC1" w:rsidRPr="006243DB">
      <w:rPr>
        <w:rFonts w:ascii="Public Sans" w:hAnsi="Public Sans" w:cs="Arial"/>
        <w:sz w:val="18"/>
        <w:szCs w:val="18"/>
      </w:rPr>
      <w:t>202</w:t>
    </w:r>
    <w:r w:rsidR="00F06FC1">
      <w:rPr>
        <w:rFonts w:ascii="Public Sans" w:hAnsi="Public Sans" w:cs="Arial"/>
        <w:sz w:val="18"/>
        <w:szCs w:val="18"/>
      </w:rPr>
      <w:t>5</w:t>
    </w:r>
    <w:r w:rsidR="00F06FC1" w:rsidRPr="006243DB">
      <w:rPr>
        <w:rFonts w:ascii="Public Sans" w:hAnsi="Public Sans" w:cs="Arial"/>
        <w:sz w:val="18"/>
        <w:szCs w:val="18"/>
      </w:rPr>
      <w:t>-2</w:t>
    </w:r>
    <w:r w:rsidR="00F06FC1">
      <w:rPr>
        <w:rFonts w:ascii="Public Sans" w:hAnsi="Public Sans" w:cs="Arial"/>
        <w:sz w:val="18"/>
        <w:szCs w:val="18"/>
      </w:rPr>
      <w:t xml:space="preserve">6 </w:t>
    </w:r>
    <w:r w:rsidR="00146230">
      <w:rPr>
        <w:rFonts w:ascii="Public Sans" w:hAnsi="Public Sans" w:cs="Arial"/>
        <w:sz w:val="18"/>
        <w:szCs w:val="18"/>
      </w:rPr>
      <w:t>Budget Statement</w:t>
    </w:r>
    <w:r w:rsidR="009E5213" w:rsidRPr="006243DB">
      <w:rPr>
        <w:rFonts w:ascii="Public Sans" w:hAnsi="Public San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D2C0" w14:textId="0991E943" w:rsidR="009E6718" w:rsidRPr="006243DB" w:rsidDel="006B7315" w:rsidRDefault="00F06FC1" w:rsidP="009E6718">
    <w:pPr>
      <w:pBdr>
        <w:top w:val="single" w:sz="4" w:space="4" w:color="auto"/>
      </w:pBdr>
      <w:tabs>
        <w:tab w:val="right" w:pos="9639"/>
      </w:tabs>
      <w:rPr>
        <w:rFonts w:ascii="Public Sans" w:hAnsi="Public Sans" w:cs="Arial"/>
        <w:sz w:val="18"/>
        <w:szCs w:val="18"/>
      </w:rPr>
    </w:pPr>
    <w:r w:rsidRPr="006243DB">
      <w:rPr>
        <w:rFonts w:ascii="Public Sans" w:hAnsi="Public Sans" w:cs="Arial"/>
        <w:sz w:val="18"/>
        <w:szCs w:val="18"/>
      </w:rPr>
      <w:t>202</w:t>
    </w:r>
    <w:r>
      <w:rPr>
        <w:rFonts w:ascii="Public Sans" w:hAnsi="Public Sans" w:cs="Arial"/>
        <w:sz w:val="18"/>
        <w:szCs w:val="18"/>
      </w:rPr>
      <w:t>5</w:t>
    </w:r>
    <w:r w:rsidRPr="006243DB">
      <w:rPr>
        <w:rFonts w:ascii="Public Sans" w:hAnsi="Public Sans" w:cs="Arial"/>
        <w:sz w:val="18"/>
        <w:szCs w:val="18"/>
      </w:rPr>
      <w:t>-2</w:t>
    </w:r>
    <w:r>
      <w:rPr>
        <w:rFonts w:ascii="Public Sans" w:hAnsi="Public Sans" w:cs="Arial"/>
        <w:sz w:val="18"/>
        <w:szCs w:val="18"/>
      </w:rPr>
      <w:t xml:space="preserve">6 </w:t>
    </w:r>
    <w:r w:rsidR="009E6718">
      <w:rPr>
        <w:rFonts w:ascii="Public Sans" w:hAnsi="Public Sans" w:cs="Arial"/>
        <w:sz w:val="18"/>
        <w:szCs w:val="18"/>
      </w:rPr>
      <w:t>Budget Statement</w:t>
    </w:r>
    <w:r w:rsidR="009E6718" w:rsidRPr="006243DB">
      <w:rPr>
        <w:rFonts w:ascii="Public Sans" w:hAnsi="Public Sans" w:cs="Arial"/>
        <w:sz w:val="18"/>
        <w:szCs w:val="18"/>
      </w:rPr>
      <w:tab/>
    </w:r>
    <w:r w:rsidR="00DE2CCC">
      <w:rPr>
        <w:rFonts w:ascii="Public Sans" w:hAnsi="Public Sans" w:cs="Arial"/>
        <w:sz w:val="18"/>
        <w:szCs w:val="18"/>
      </w:rPr>
      <w:t>F</w:t>
    </w:r>
    <w:r w:rsidR="009E6718" w:rsidRPr="006243DB">
      <w:rPr>
        <w:rFonts w:ascii="Public Sans" w:hAnsi="Public Sans" w:cs="Arial"/>
        <w:sz w:val="18"/>
        <w:szCs w:val="18"/>
      </w:rPr>
      <w:t xml:space="preserve"> - </w:t>
    </w:r>
    <w:r w:rsidR="009E6718" w:rsidRPr="006243DB">
      <w:rPr>
        <w:rFonts w:ascii="Public Sans" w:hAnsi="Public Sans" w:cs="Arial"/>
        <w:sz w:val="18"/>
        <w:szCs w:val="18"/>
      </w:rPr>
      <w:fldChar w:fldCharType="begin"/>
    </w:r>
    <w:r w:rsidR="009E6718" w:rsidRPr="006243DB">
      <w:rPr>
        <w:rFonts w:ascii="Public Sans" w:hAnsi="Public Sans" w:cs="Arial"/>
        <w:sz w:val="18"/>
        <w:szCs w:val="18"/>
      </w:rPr>
      <w:instrText xml:space="preserve"> PAGE   \* MERGEFORMAT </w:instrText>
    </w:r>
    <w:r w:rsidR="009E6718" w:rsidRPr="006243DB">
      <w:rPr>
        <w:rFonts w:ascii="Public Sans" w:hAnsi="Public Sans" w:cs="Arial"/>
        <w:sz w:val="18"/>
        <w:szCs w:val="18"/>
      </w:rPr>
      <w:fldChar w:fldCharType="separate"/>
    </w:r>
    <w:r w:rsidR="009E6718">
      <w:rPr>
        <w:rFonts w:ascii="Public Sans" w:hAnsi="Public Sans" w:cs="Arial"/>
        <w:sz w:val="18"/>
        <w:szCs w:val="18"/>
      </w:rPr>
      <w:t>1</w:t>
    </w:r>
    <w:r w:rsidR="009E6718" w:rsidRPr="006243DB">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C54D1" w14:textId="675EE874" w:rsidR="00AB2DCE" w:rsidRPr="00555105" w:rsidDel="006B7315" w:rsidRDefault="00F06FC1" w:rsidP="00733C7C">
    <w:pPr>
      <w:pBdr>
        <w:top w:val="single" w:sz="4" w:space="4" w:color="auto"/>
      </w:pBdr>
      <w:tabs>
        <w:tab w:val="right" w:pos="9639"/>
      </w:tabs>
      <w:rPr>
        <w:rFonts w:ascii="Public Sans" w:hAnsi="Public Sans" w:cs="Arial"/>
        <w:sz w:val="18"/>
        <w:szCs w:val="18"/>
      </w:rPr>
    </w:pPr>
    <w:r w:rsidRPr="00555105">
      <w:rPr>
        <w:rFonts w:ascii="Public Sans" w:hAnsi="Public Sans" w:cs="Arial"/>
        <w:sz w:val="18"/>
        <w:szCs w:val="18"/>
      </w:rPr>
      <w:t xml:space="preserve">2025-26 </w:t>
    </w:r>
    <w:r w:rsidR="00146230" w:rsidRPr="00555105">
      <w:rPr>
        <w:rFonts w:ascii="Public Sans" w:hAnsi="Public Sans" w:cs="Arial"/>
        <w:sz w:val="18"/>
        <w:szCs w:val="18"/>
      </w:rPr>
      <w:t>Budget Statement</w:t>
    </w:r>
    <w:r w:rsidR="009E5213" w:rsidRPr="00555105">
      <w:rPr>
        <w:rFonts w:ascii="Public Sans" w:hAnsi="Public Sans" w:cs="Arial"/>
        <w:sz w:val="18"/>
        <w:szCs w:val="18"/>
      </w:rPr>
      <w:tab/>
    </w:r>
    <w:r w:rsidR="00DE2CCC" w:rsidRPr="00555105">
      <w:rPr>
        <w:rFonts w:ascii="Public Sans" w:hAnsi="Public Sans" w:cs="Arial"/>
        <w:sz w:val="18"/>
        <w:szCs w:val="18"/>
      </w:rPr>
      <w:t>F</w:t>
    </w:r>
    <w:r w:rsidR="009E5213" w:rsidRPr="00555105">
      <w:rPr>
        <w:rFonts w:ascii="Public Sans" w:hAnsi="Public Sans" w:cs="Arial"/>
        <w:sz w:val="18"/>
        <w:szCs w:val="18"/>
      </w:rPr>
      <w:t xml:space="preserve"> - </w:t>
    </w:r>
    <w:r w:rsidR="009E5213" w:rsidRPr="00555105">
      <w:rPr>
        <w:rFonts w:ascii="Public Sans" w:hAnsi="Public Sans" w:cs="Arial"/>
        <w:sz w:val="18"/>
        <w:szCs w:val="18"/>
      </w:rPr>
      <w:fldChar w:fldCharType="begin"/>
    </w:r>
    <w:r w:rsidR="009E5213" w:rsidRPr="00555105">
      <w:rPr>
        <w:rFonts w:ascii="Public Sans" w:hAnsi="Public Sans" w:cs="Arial"/>
        <w:sz w:val="18"/>
        <w:szCs w:val="18"/>
      </w:rPr>
      <w:instrText xml:space="preserve"> PAGE   \* MERGEFORMAT </w:instrText>
    </w:r>
    <w:r w:rsidR="009E5213" w:rsidRPr="00555105">
      <w:rPr>
        <w:rFonts w:ascii="Public Sans" w:hAnsi="Public Sans" w:cs="Arial"/>
        <w:sz w:val="18"/>
        <w:szCs w:val="18"/>
      </w:rPr>
      <w:fldChar w:fldCharType="separate"/>
    </w:r>
    <w:r w:rsidR="009E5213" w:rsidRPr="00555105">
      <w:rPr>
        <w:rFonts w:ascii="Public Sans" w:hAnsi="Public Sans" w:cs="Arial"/>
        <w:sz w:val="18"/>
        <w:szCs w:val="18"/>
      </w:rPr>
      <w:t>5</w:t>
    </w:r>
    <w:r w:rsidR="009E5213" w:rsidRPr="00555105">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4962F" w14:textId="77777777" w:rsidR="00660A43" w:rsidRDefault="00660A43">
      <w:pPr>
        <w:spacing w:before="120"/>
      </w:pPr>
      <w:r>
        <w:separator/>
      </w:r>
    </w:p>
  </w:footnote>
  <w:footnote w:type="continuationSeparator" w:id="0">
    <w:p w14:paraId="0EF9D3B4" w14:textId="77777777" w:rsidR="00660A43" w:rsidRDefault="00660A43">
      <w:pPr>
        <w:spacing w:before="120"/>
      </w:pPr>
      <w:r>
        <w:continuationSeparator/>
      </w:r>
    </w:p>
  </w:footnote>
  <w:footnote w:type="continuationNotice" w:id="1">
    <w:p w14:paraId="7CAE3613" w14:textId="77777777" w:rsidR="00660A43" w:rsidRDefault="00660A43">
      <w:pPr>
        <w:rPr>
          <w:sz w:val="16"/>
        </w:rPr>
      </w:pPr>
    </w:p>
  </w:footnote>
  <w:footnote w:id="2">
    <w:p w14:paraId="3BED3D4E" w14:textId="730C5CC9" w:rsidR="00D2177C" w:rsidRPr="009D4D0C" w:rsidRDefault="00D2177C" w:rsidP="00604EEE">
      <w:pPr>
        <w:pStyle w:val="FootnoteText"/>
        <w:ind w:hanging="283"/>
        <w:rPr>
          <w:rFonts w:ascii="Public Sans" w:hAnsi="Public Sans"/>
          <w:i w:val="0"/>
          <w:iCs/>
        </w:rPr>
      </w:pPr>
      <w:r w:rsidRPr="009D4D0C">
        <w:rPr>
          <w:rStyle w:val="FootnoteReference"/>
          <w:rFonts w:ascii="Public Sans" w:hAnsi="Public Sans"/>
          <w:i w:val="0"/>
          <w:iCs/>
        </w:rPr>
        <w:footnoteRef/>
      </w:r>
      <w:r w:rsidRPr="009D4D0C">
        <w:rPr>
          <w:rFonts w:ascii="Public Sans" w:hAnsi="Public Sans"/>
          <w:i w:val="0"/>
          <w:iCs/>
        </w:rPr>
        <w:t xml:space="preserve"> </w:t>
      </w:r>
      <w:r w:rsidR="00A66F23">
        <w:rPr>
          <w:rFonts w:ascii="Public Sans" w:hAnsi="Public Sans"/>
          <w:i w:val="0"/>
          <w:iCs/>
        </w:rPr>
        <w:tab/>
      </w:r>
      <w:r w:rsidR="00B464F7" w:rsidRPr="009D4D0C">
        <w:rPr>
          <w:rFonts w:ascii="Public Sans" w:hAnsi="Public Sans"/>
          <w:i w:val="0"/>
          <w:iCs/>
        </w:rPr>
        <w:t>VURMTAX is a dynamic computable general equilibrium model of Australia’s six states and two territories, with each</w:t>
      </w:r>
      <w:r w:rsidR="00343102">
        <w:rPr>
          <w:rFonts w:ascii="Public Sans" w:hAnsi="Public Sans"/>
          <w:i w:val="0"/>
          <w:iCs/>
        </w:rPr>
        <w:t> </w:t>
      </w:r>
      <w:r w:rsidR="00B464F7" w:rsidRPr="009D4D0C">
        <w:rPr>
          <w:rFonts w:ascii="Public Sans" w:hAnsi="Public Sans"/>
          <w:i w:val="0"/>
          <w:iCs/>
        </w:rPr>
        <w:t xml:space="preserve">region modelled as an </w:t>
      </w:r>
      <w:proofErr w:type="gramStart"/>
      <w:r w:rsidR="00B464F7" w:rsidRPr="009D4D0C">
        <w:rPr>
          <w:rFonts w:ascii="Public Sans" w:hAnsi="Public Sans"/>
          <w:i w:val="0"/>
          <w:iCs/>
        </w:rPr>
        <w:t>economy in its own right</w:t>
      </w:r>
      <w:proofErr w:type="gramEnd"/>
      <w:r w:rsidR="00B464F7" w:rsidRPr="009D4D0C">
        <w:rPr>
          <w:rFonts w:ascii="Public Sans" w:hAnsi="Public Sans"/>
          <w:i w:val="0"/>
          <w:iCs/>
        </w:rPr>
        <w:t>. See Adams, Philip, Dixon, Janine and Horridge, Mark (2015), ‘The</w:t>
      </w:r>
      <w:r w:rsidR="00343102">
        <w:rPr>
          <w:rFonts w:ascii="Public Sans" w:hAnsi="Public Sans"/>
          <w:i w:val="0"/>
          <w:iCs/>
        </w:rPr>
        <w:t> </w:t>
      </w:r>
      <w:r w:rsidR="00B464F7" w:rsidRPr="009D4D0C">
        <w:rPr>
          <w:rFonts w:ascii="Public Sans" w:hAnsi="Public Sans"/>
          <w:i w:val="0"/>
          <w:iCs/>
        </w:rPr>
        <w:t xml:space="preserve">Victoria University Regional Model (VURM): Technical Documentation, Version 1.0’, </w:t>
      </w:r>
      <w:proofErr w:type="spellStart"/>
      <w:r w:rsidR="00B464F7" w:rsidRPr="009D4D0C">
        <w:rPr>
          <w:rFonts w:ascii="Public Sans" w:hAnsi="Public Sans"/>
          <w:i w:val="0"/>
          <w:iCs/>
        </w:rPr>
        <w:t>CoPS</w:t>
      </w:r>
      <w:proofErr w:type="spellEnd"/>
      <w:r w:rsidR="00B464F7" w:rsidRPr="009D4D0C">
        <w:rPr>
          <w:rFonts w:ascii="Public Sans" w:hAnsi="Public Sans"/>
          <w:i w:val="0"/>
          <w:iCs/>
        </w:rPr>
        <w:t>/IMPACT Working Paper Number G-254 for more detail on the model.</w:t>
      </w:r>
    </w:p>
  </w:footnote>
  <w:footnote w:id="3">
    <w:p w14:paraId="49871FD4" w14:textId="12C43C18" w:rsidR="000F3BBC" w:rsidRPr="005E1A55" w:rsidRDefault="000F3BBC" w:rsidP="005E1A55">
      <w:pPr>
        <w:pStyle w:val="FootnoteText"/>
        <w:ind w:hanging="283"/>
        <w:rPr>
          <w:rFonts w:ascii="Public Sans" w:hAnsi="Public Sans"/>
          <w:lang w:val="en-AU"/>
        </w:rPr>
      </w:pPr>
      <w:r w:rsidRPr="005E1A55">
        <w:rPr>
          <w:rStyle w:val="FootnoteReference"/>
          <w:rFonts w:ascii="Public Sans" w:hAnsi="Public Sans"/>
          <w:i w:val="0"/>
          <w:iCs/>
        </w:rPr>
        <w:footnoteRef/>
      </w:r>
      <w:r w:rsidRPr="005E1A55">
        <w:rPr>
          <w:rFonts w:ascii="Public Sans" w:hAnsi="Public Sans"/>
        </w:rPr>
        <w:t xml:space="preserve"> </w:t>
      </w:r>
      <w:r w:rsidR="005E1A55">
        <w:rPr>
          <w:rFonts w:ascii="Public Sans" w:hAnsi="Public Sans"/>
        </w:rPr>
        <w:tab/>
      </w:r>
      <w:r w:rsidR="005E1A55" w:rsidRPr="005E1A55">
        <w:rPr>
          <w:rFonts w:ascii="Public Sans" w:hAnsi="Public Sans"/>
          <w:i w:val="0"/>
          <w:iCs/>
        </w:rPr>
        <w:t xml:space="preserve">Giesecke, J., &amp; </w:t>
      </w:r>
      <w:proofErr w:type="spellStart"/>
      <w:r w:rsidR="005E1A55" w:rsidRPr="005E1A55">
        <w:rPr>
          <w:rFonts w:ascii="Public Sans" w:hAnsi="Public Sans"/>
          <w:i w:val="0"/>
          <w:iCs/>
        </w:rPr>
        <w:t>Waschik</w:t>
      </w:r>
      <w:proofErr w:type="spellEnd"/>
      <w:r w:rsidR="005E1A55" w:rsidRPr="005E1A55">
        <w:rPr>
          <w:rFonts w:ascii="Public Sans" w:hAnsi="Public Sans"/>
          <w:i w:val="0"/>
          <w:iCs/>
        </w:rPr>
        <w:t xml:space="preserve">, R. (2025). </w:t>
      </w:r>
      <w:r w:rsidR="005E1A55" w:rsidRPr="005E1A55">
        <w:rPr>
          <w:rFonts w:ascii="Public Sans" w:hAnsi="Public Sans"/>
          <w:iCs/>
        </w:rPr>
        <w:t>Economic Analysis of U.S. Tariffs Announced in March-April 2025 (Updated to reflect reciprocal tariff pause and increased China tariffs)</w:t>
      </w:r>
      <w:r w:rsidR="005E1A55" w:rsidRPr="005E1A55">
        <w:rPr>
          <w:rFonts w:ascii="Public Sans" w:hAnsi="Public Sans"/>
        </w:rPr>
        <w:t xml:space="preserve">. Centre of Policy Studies Working Paper No. G-353, Victoria University. Retrieved from </w:t>
      </w:r>
      <w:hyperlink r:id="rId1" w:tgtFrame="_blank" w:tooltip="https://www.copsmodels.com/ftp/workpapr/g-353.pdf" w:history="1">
        <w:r w:rsidR="005E1A55" w:rsidRPr="005E1A55">
          <w:rPr>
            <w:rStyle w:val="Hyperlink"/>
            <w:rFonts w:ascii="Public Sans" w:hAnsi="Public Sans"/>
          </w:rPr>
          <w:t>https://www.copsmodels.com/ftp/workpapr/g-353.pdf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D5D1" w14:textId="3531687E" w:rsidR="007446DF" w:rsidRPr="004A68EC" w:rsidRDefault="007446DF" w:rsidP="007446DF">
    <w:pPr>
      <w:pStyle w:val="Header"/>
      <w:pBdr>
        <w:bottom w:val="single" w:sz="4" w:space="4" w:color="auto"/>
      </w:pBdr>
      <w:rPr>
        <w:rFonts w:ascii="Public Sans" w:eastAsiaTheme="minorHAnsi" w:hAnsi="Public Sans" w:cs="Arial"/>
        <w:sz w:val="18"/>
        <w:szCs w:val="18"/>
        <w:lang w:val="en-AU"/>
      </w:rPr>
    </w:pPr>
    <w:r w:rsidRPr="004A68EC">
      <w:rPr>
        <w:rFonts w:ascii="Public Sans" w:eastAsiaTheme="minorHAnsi" w:hAnsi="Public Sans" w:cs="Arial"/>
        <w:sz w:val="18"/>
        <w:szCs w:val="18"/>
        <w:lang w:val="en-AU"/>
      </w:rPr>
      <w:t xml:space="preserve">Economic </w:t>
    </w:r>
    <w:r w:rsidR="00920E4E">
      <w:rPr>
        <w:rFonts w:ascii="Public Sans" w:eastAsiaTheme="minorHAnsi" w:hAnsi="Public Sans" w:cs="Arial"/>
        <w:sz w:val="18"/>
        <w:szCs w:val="18"/>
        <w:lang w:val="en-AU"/>
      </w:rPr>
      <w:t>s</w:t>
    </w:r>
    <w:r w:rsidRPr="004A68EC">
      <w:rPr>
        <w:rFonts w:ascii="Public Sans" w:eastAsiaTheme="minorHAnsi" w:hAnsi="Public Sans" w:cs="Arial"/>
        <w:sz w:val="18"/>
        <w:szCs w:val="18"/>
        <w:lang w:val="en-AU"/>
      </w:rPr>
      <w:t xml:space="preserve">cenario </w:t>
    </w:r>
    <w:r w:rsidR="00920E4E">
      <w:rPr>
        <w:rFonts w:ascii="Public Sans" w:eastAsiaTheme="minorHAnsi" w:hAnsi="Public Sans" w:cs="Arial"/>
        <w:sz w:val="18"/>
        <w:szCs w:val="18"/>
        <w:lang w:val="en-AU"/>
      </w:rPr>
      <w:t>a</w:t>
    </w:r>
    <w:r w:rsidRPr="004A68EC">
      <w:rPr>
        <w:rFonts w:ascii="Public Sans" w:eastAsiaTheme="minorHAnsi" w:hAnsi="Public Sans" w:cs="Arial"/>
        <w:sz w:val="18"/>
        <w:szCs w:val="18"/>
        <w:lang w:val="en-AU"/>
      </w:rPr>
      <w:t>nalysis</w:t>
    </w:r>
  </w:p>
  <w:p w14:paraId="60CB1EE0"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E28DF" w14:textId="14AE27E2" w:rsidR="007446DF" w:rsidRPr="004A68EC" w:rsidRDefault="007446DF" w:rsidP="007446DF">
    <w:pPr>
      <w:pStyle w:val="Header"/>
      <w:pBdr>
        <w:bottom w:val="single" w:sz="4" w:space="4" w:color="auto"/>
      </w:pBdr>
      <w:jc w:val="right"/>
      <w:rPr>
        <w:rFonts w:ascii="Public Sans" w:eastAsiaTheme="minorHAnsi" w:hAnsi="Public Sans" w:cs="Arial"/>
        <w:sz w:val="18"/>
        <w:szCs w:val="18"/>
        <w:lang w:val="en-AU"/>
      </w:rPr>
    </w:pPr>
    <w:r w:rsidRPr="004A68EC">
      <w:rPr>
        <w:rFonts w:ascii="Public Sans" w:eastAsiaTheme="minorHAnsi" w:hAnsi="Public Sans" w:cs="Arial"/>
        <w:sz w:val="18"/>
        <w:szCs w:val="18"/>
        <w:lang w:val="en-AU"/>
      </w:rPr>
      <w:t xml:space="preserve">Economic </w:t>
    </w:r>
    <w:r w:rsidR="00920E4E">
      <w:rPr>
        <w:rFonts w:ascii="Public Sans" w:eastAsiaTheme="minorHAnsi" w:hAnsi="Public Sans" w:cs="Arial"/>
        <w:sz w:val="18"/>
        <w:szCs w:val="18"/>
        <w:lang w:val="en-AU"/>
      </w:rPr>
      <w:t>s</w:t>
    </w:r>
    <w:r w:rsidRPr="004A68EC">
      <w:rPr>
        <w:rFonts w:ascii="Public Sans" w:eastAsiaTheme="minorHAnsi" w:hAnsi="Public Sans" w:cs="Arial"/>
        <w:sz w:val="18"/>
        <w:szCs w:val="18"/>
        <w:lang w:val="en-AU"/>
      </w:rPr>
      <w:t xml:space="preserve">cenario </w:t>
    </w:r>
    <w:r w:rsidR="00920E4E">
      <w:rPr>
        <w:rFonts w:ascii="Public Sans" w:eastAsiaTheme="minorHAnsi" w:hAnsi="Public Sans" w:cs="Arial"/>
        <w:sz w:val="18"/>
        <w:szCs w:val="18"/>
        <w:lang w:val="en-AU"/>
      </w:rPr>
      <w:t>a</w:t>
    </w:r>
    <w:r w:rsidRPr="004A68EC">
      <w:rPr>
        <w:rFonts w:ascii="Public Sans" w:eastAsiaTheme="minorHAnsi" w:hAnsi="Public Sans" w:cs="Arial"/>
        <w:sz w:val="18"/>
        <w:szCs w:val="18"/>
        <w:lang w:val="en-AU"/>
      </w:rPr>
      <w:t>nalysis</w:t>
    </w:r>
  </w:p>
  <w:p w14:paraId="355A9DD1" w14:textId="4DD9B83F" w:rsidR="009E5213" w:rsidRPr="007446DF" w:rsidRDefault="009E5213" w:rsidP="007446DF">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CC54" w14:textId="48BD1EEC" w:rsidR="00AB2DCE" w:rsidRDefault="00AB2D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6"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15:restartNumberingAfterBreak="0">
    <w:nsid w:val="13EC7247"/>
    <w:multiLevelType w:val="hybridMultilevel"/>
    <w:tmpl w:val="49468986"/>
    <w:lvl w:ilvl="0" w:tplc="49A4A844">
      <w:start w:val="1"/>
      <w:numFmt w:val="lowerLetter"/>
      <w:lvlText w:val="(%1)"/>
      <w:lvlJc w:val="left"/>
      <w:pPr>
        <w:ind w:left="360" w:hanging="360"/>
      </w:pPr>
      <w:rPr>
        <w:rFonts w:ascii="Public Sans" w:hAnsi="Public San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2C0F13"/>
    <w:multiLevelType w:val="hybridMultilevel"/>
    <w:tmpl w:val="F89AAFDE"/>
    <w:lvl w:ilvl="0" w:tplc="B7A6EE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0"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A000EDB"/>
    <w:multiLevelType w:val="hybridMultilevel"/>
    <w:tmpl w:val="BCBC1560"/>
    <w:lvl w:ilvl="0" w:tplc="B44AF45C">
      <w:start w:val="1"/>
      <w:numFmt w:val="decimal"/>
      <w:pStyle w:val="ChartGX"/>
      <w:lvlText w:val="Chart G.%1:"/>
      <w:lvlJc w:val="left"/>
      <w:pPr>
        <w:ind w:left="720" w:hanging="360"/>
      </w:pPr>
      <w:rPr>
        <w:rFonts w:ascii="Public Sans" w:hAnsi="Public Sans" w:hint="default"/>
        <w:b w:val="0"/>
        <w:i/>
        <w:caps w:val="0"/>
        <w:color w:val="000000" w:themeColor="text1"/>
        <w:sz w:val="22"/>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D49013C"/>
    <w:multiLevelType w:val="hybridMultilevel"/>
    <w:tmpl w:val="F1D2B7C6"/>
    <w:lvl w:ilvl="0" w:tplc="3EEA1F24">
      <w:start w:val="1"/>
      <w:numFmt w:val="decimal"/>
      <w:pStyle w:val="FigureGX"/>
      <w:lvlText w:val="Chart G.%1:"/>
      <w:lvlJc w:val="left"/>
      <w:pPr>
        <w:ind w:left="720" w:hanging="360"/>
      </w:pPr>
      <w:rPr>
        <w:rFonts w:ascii="Public Sans" w:hAnsi="Public Sans" w:hint="default"/>
        <w:b w:val="0"/>
        <w:i/>
        <w:caps w:val="0"/>
        <w:color w:val="000000" w:themeColor="text1"/>
        <w:sz w:val="22"/>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3AC54CD5"/>
    <w:multiLevelType w:val="hybridMultilevel"/>
    <w:tmpl w:val="8C5C4842"/>
    <w:lvl w:ilvl="0" w:tplc="50E00E4C">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41"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3322859"/>
    <w:multiLevelType w:val="hybridMultilevel"/>
    <w:tmpl w:val="6A5CA31C"/>
    <w:lvl w:ilvl="0" w:tplc="06DC7728">
      <w:start w:val="1"/>
      <w:numFmt w:val="lowerLetter"/>
      <w:lvlText w:val="(%1)"/>
      <w:lvlJc w:val="left"/>
      <w:pPr>
        <w:ind w:left="360" w:hanging="360"/>
      </w:pPr>
      <w:rPr>
        <w:rFonts w:ascii="Public Sans" w:hAnsi="Public San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7"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76A7DDA"/>
    <w:multiLevelType w:val="hybridMultilevel"/>
    <w:tmpl w:val="D4DC83FC"/>
    <w:lvl w:ilvl="0" w:tplc="07909078">
      <w:start w:val="7"/>
      <w:numFmt w:val="upperLetter"/>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A362CA4"/>
    <w:multiLevelType w:val="hybridMultilevel"/>
    <w:tmpl w:val="AB72C9B2"/>
    <w:lvl w:ilvl="0" w:tplc="CD9C53F4">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7"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4E1960F5"/>
    <w:multiLevelType w:val="hybridMultilevel"/>
    <w:tmpl w:val="2E82764A"/>
    <w:lvl w:ilvl="0" w:tplc="0C090015">
      <w:start w:val="6"/>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12D6968"/>
    <w:multiLevelType w:val="hybridMultilevel"/>
    <w:tmpl w:val="F89AAF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3"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5D6282E"/>
    <w:multiLevelType w:val="hybridMultilevel"/>
    <w:tmpl w:val="AA10A754"/>
    <w:lvl w:ilvl="0" w:tplc="80E09D80">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6041D7B"/>
    <w:multiLevelType w:val="hybridMultilevel"/>
    <w:tmpl w:val="CD4C7A4E"/>
    <w:lvl w:ilvl="0" w:tplc="92541184">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6"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9D174D9"/>
    <w:multiLevelType w:val="hybridMultilevel"/>
    <w:tmpl w:val="992CD65E"/>
    <w:lvl w:ilvl="0" w:tplc="CCF683E6">
      <w:start w:val="1"/>
      <w:numFmt w:val="upperLetter"/>
      <w:pStyle w:val="Heading1"/>
      <w:lvlText w:val="%1"/>
      <w:lvlJc w:val="left"/>
      <w:pPr>
        <w:ind w:left="360" w:hanging="360"/>
      </w:pPr>
      <w:rPr>
        <w:rFonts w:ascii="Public Sans SemiBold" w:hAnsi="Public Sans SemiBold" w:hint="default"/>
        <w:b w:val="0"/>
        <w:bCs w:val="0"/>
        <w:i w:val="0"/>
        <w:caps w:val="0"/>
        <w:strike w:val="0"/>
        <w:dstrike w:val="0"/>
        <w:vanish w:val="0"/>
        <w:color w:val="0B3F47"/>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FDA03CA"/>
    <w:multiLevelType w:val="hybridMultilevel"/>
    <w:tmpl w:val="F906092C"/>
    <w:lvl w:ilvl="0" w:tplc="40FA2322">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FE81EDD"/>
    <w:multiLevelType w:val="hybridMultilevel"/>
    <w:tmpl w:val="65840DA2"/>
    <w:lvl w:ilvl="0" w:tplc="55C0237E">
      <w:start w:val="1"/>
      <w:numFmt w:val="decimal"/>
      <w:pStyle w:val="G1Heading2"/>
      <w:lvlText w:val="G.%1"/>
      <w:lvlJc w:val="left"/>
      <w:pPr>
        <w:ind w:left="72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608000C"/>
    <w:multiLevelType w:val="hybridMultilevel"/>
    <w:tmpl w:val="9D0EACA6"/>
    <w:lvl w:ilvl="0" w:tplc="D8C81D3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8095C94"/>
    <w:multiLevelType w:val="hybridMultilevel"/>
    <w:tmpl w:val="C0249E82"/>
    <w:lvl w:ilvl="0" w:tplc="8A7EA626">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E7D70B9"/>
    <w:multiLevelType w:val="hybridMultilevel"/>
    <w:tmpl w:val="92E4C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0B8201D"/>
    <w:multiLevelType w:val="hybridMultilevel"/>
    <w:tmpl w:val="37D2E43A"/>
    <w:lvl w:ilvl="0" w:tplc="1DF2208E">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9"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A61362E"/>
    <w:multiLevelType w:val="hybridMultilevel"/>
    <w:tmpl w:val="8BE09722"/>
    <w:lvl w:ilvl="0" w:tplc="E3B4F962">
      <w:start w:val="1"/>
      <w:numFmt w:val="decimal"/>
      <w:pStyle w:val="TableGX"/>
      <w:lvlText w:val="Table G.%1:"/>
      <w:lvlJc w:val="left"/>
      <w:pPr>
        <w:ind w:left="72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C6919CF"/>
    <w:multiLevelType w:val="hybridMultilevel"/>
    <w:tmpl w:val="55228A18"/>
    <w:lvl w:ilvl="0" w:tplc="32880F2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23"/>
  </w:num>
  <w:num w:numId="2" w16cid:durableId="1996883379">
    <w:abstractNumId w:val="13"/>
  </w:num>
  <w:num w:numId="3" w16cid:durableId="255671717">
    <w:abstractNumId w:val="32"/>
  </w:num>
  <w:num w:numId="4" w16cid:durableId="944921910">
    <w:abstractNumId w:val="84"/>
  </w:num>
  <w:num w:numId="5" w16cid:durableId="398749236">
    <w:abstractNumId w:val="80"/>
  </w:num>
  <w:num w:numId="6" w16cid:durableId="138966501">
    <w:abstractNumId w:val="52"/>
  </w:num>
  <w:num w:numId="7" w16cid:durableId="656809923">
    <w:abstractNumId w:val="31"/>
  </w:num>
  <w:num w:numId="8" w16cid:durableId="569657645">
    <w:abstractNumId w:val="46"/>
  </w:num>
  <w:num w:numId="9" w16cid:durableId="245574238">
    <w:abstractNumId w:val="45"/>
  </w:num>
  <w:num w:numId="10" w16cid:durableId="188878145">
    <w:abstractNumId w:val="66"/>
  </w:num>
  <w:num w:numId="11" w16cid:durableId="391320423">
    <w:abstractNumId w:val="34"/>
  </w:num>
  <w:num w:numId="12" w16cid:durableId="742064803">
    <w:abstractNumId w:val="2"/>
  </w:num>
  <w:num w:numId="13" w16cid:durableId="1393775218">
    <w:abstractNumId w:val="49"/>
  </w:num>
  <w:num w:numId="14" w16cid:durableId="411241496">
    <w:abstractNumId w:val="82"/>
  </w:num>
  <w:num w:numId="15" w16cid:durableId="394359246">
    <w:abstractNumId w:val="24"/>
  </w:num>
  <w:num w:numId="16" w16cid:durableId="850683154">
    <w:abstractNumId w:val="83"/>
  </w:num>
  <w:num w:numId="17" w16cid:durableId="1868331908">
    <w:abstractNumId w:val="56"/>
  </w:num>
  <w:num w:numId="18" w16cid:durableId="1290091537">
    <w:abstractNumId w:val="98"/>
  </w:num>
  <w:num w:numId="19" w16cid:durableId="542593098">
    <w:abstractNumId w:val="59"/>
  </w:num>
  <w:num w:numId="20" w16cid:durableId="1553082212">
    <w:abstractNumId w:val="85"/>
  </w:num>
  <w:num w:numId="21" w16cid:durableId="1807233844">
    <w:abstractNumId w:val="0"/>
  </w:num>
  <w:num w:numId="22" w16cid:durableId="520625010">
    <w:abstractNumId w:val="53"/>
  </w:num>
  <w:num w:numId="23" w16cid:durableId="604308429">
    <w:abstractNumId w:val="41"/>
  </w:num>
  <w:num w:numId="24" w16cid:durableId="158927636">
    <w:abstractNumId w:val="79"/>
  </w:num>
  <w:num w:numId="25" w16cid:durableId="999962685">
    <w:abstractNumId w:val="61"/>
  </w:num>
  <w:num w:numId="26" w16cid:durableId="950090191">
    <w:abstractNumId w:val="76"/>
  </w:num>
  <w:num w:numId="27" w16cid:durableId="87895317">
    <w:abstractNumId w:val="40"/>
  </w:num>
  <w:num w:numId="28" w16cid:durableId="727800497">
    <w:abstractNumId w:val="43"/>
  </w:num>
  <w:num w:numId="29" w16cid:durableId="613026023">
    <w:abstractNumId w:val="88"/>
  </w:num>
  <w:num w:numId="30" w16cid:durableId="1229460431">
    <w:abstractNumId w:val="37"/>
  </w:num>
  <w:num w:numId="31" w16cid:durableId="1433208727">
    <w:abstractNumId w:val="51"/>
  </w:num>
  <w:num w:numId="32" w16cid:durableId="1765496755">
    <w:abstractNumId w:val="96"/>
  </w:num>
  <w:num w:numId="33" w16cid:durableId="1055085254">
    <w:abstractNumId w:val="69"/>
  </w:num>
  <w:num w:numId="34" w16cid:durableId="761806013">
    <w:abstractNumId w:val="64"/>
  </w:num>
  <w:num w:numId="35" w16cid:durableId="1453789243">
    <w:abstractNumId w:val="1"/>
  </w:num>
  <w:num w:numId="36" w16cid:durableId="1617979971">
    <w:abstractNumId w:val="39"/>
  </w:num>
  <w:num w:numId="37" w16cid:durableId="1270621810">
    <w:abstractNumId w:val="55"/>
  </w:num>
  <w:num w:numId="38" w16cid:durableId="783966971">
    <w:abstractNumId w:val="26"/>
  </w:num>
  <w:num w:numId="39" w16cid:durableId="2135782715">
    <w:abstractNumId w:val="20"/>
  </w:num>
  <w:num w:numId="40" w16cid:durableId="447046910">
    <w:abstractNumId w:val="9"/>
  </w:num>
  <w:num w:numId="41" w16cid:durableId="735393617">
    <w:abstractNumId w:val="63"/>
  </w:num>
  <w:num w:numId="42" w16cid:durableId="1570767065">
    <w:abstractNumId w:val="91"/>
  </w:num>
  <w:num w:numId="43" w16cid:durableId="899943030">
    <w:abstractNumId w:val="102"/>
  </w:num>
  <w:num w:numId="44" w16cid:durableId="1962877264">
    <w:abstractNumId w:val="65"/>
  </w:num>
  <w:num w:numId="45" w16cid:durableId="796332572">
    <w:abstractNumId w:val="68"/>
  </w:num>
  <w:num w:numId="46" w16cid:durableId="1708682187">
    <w:abstractNumId w:val="15"/>
  </w:num>
  <w:num w:numId="47" w16cid:durableId="220410582">
    <w:abstractNumId w:val="99"/>
  </w:num>
  <w:num w:numId="48" w16cid:durableId="62527521">
    <w:abstractNumId w:val="94"/>
  </w:num>
  <w:num w:numId="49" w16cid:durableId="1686518500">
    <w:abstractNumId w:val="70"/>
  </w:num>
  <w:num w:numId="50" w16cid:durableId="2107460047">
    <w:abstractNumId w:val="14"/>
  </w:num>
  <w:num w:numId="51" w16cid:durableId="1140463078">
    <w:abstractNumId w:val="30"/>
  </w:num>
  <w:num w:numId="52" w16cid:durableId="1289124565">
    <w:abstractNumId w:val="47"/>
  </w:num>
  <w:num w:numId="53" w16cid:durableId="402918949">
    <w:abstractNumId w:val="74"/>
  </w:num>
  <w:num w:numId="54" w16cid:durableId="1399593453">
    <w:abstractNumId w:val="10"/>
  </w:num>
  <w:num w:numId="55" w16cid:durableId="1239706779">
    <w:abstractNumId w:val="78"/>
  </w:num>
  <w:num w:numId="56" w16cid:durableId="1147436578">
    <w:abstractNumId w:val="95"/>
  </w:num>
  <w:num w:numId="57" w16cid:durableId="1048645305">
    <w:abstractNumId w:val="33"/>
  </w:num>
  <w:num w:numId="58" w16cid:durableId="1953248666">
    <w:abstractNumId w:val="28"/>
  </w:num>
  <w:num w:numId="59" w16cid:durableId="46493347">
    <w:abstractNumId w:val="21"/>
  </w:num>
  <w:num w:numId="60" w16cid:durableId="825900618">
    <w:abstractNumId w:val="89"/>
  </w:num>
  <w:num w:numId="61" w16cid:durableId="1707755831">
    <w:abstractNumId w:val="4"/>
  </w:num>
  <w:num w:numId="62" w16cid:durableId="85998868">
    <w:abstractNumId w:val="100"/>
  </w:num>
  <w:num w:numId="63" w16cid:durableId="1601452920">
    <w:abstractNumId w:val="81"/>
  </w:num>
  <w:num w:numId="64" w16cid:durableId="401414469">
    <w:abstractNumId w:val="48"/>
  </w:num>
  <w:num w:numId="65" w16cid:durableId="878476084">
    <w:abstractNumId w:val="71"/>
  </w:num>
  <w:num w:numId="66" w16cid:durableId="1251505890">
    <w:abstractNumId w:val="77"/>
  </w:num>
  <w:num w:numId="67" w16cid:durableId="103232878">
    <w:abstractNumId w:val="67"/>
  </w:num>
  <w:num w:numId="68" w16cid:durableId="2057580741">
    <w:abstractNumId w:val="6"/>
  </w:num>
  <w:num w:numId="69" w16cid:durableId="1207178984">
    <w:abstractNumId w:val="5"/>
  </w:num>
  <w:num w:numId="70" w16cid:durableId="1444154533">
    <w:abstractNumId w:val="62"/>
  </w:num>
  <w:num w:numId="71" w16cid:durableId="517892986">
    <w:abstractNumId w:val="36"/>
  </w:num>
  <w:num w:numId="72" w16cid:durableId="836968643">
    <w:abstractNumId w:val="17"/>
  </w:num>
  <w:num w:numId="73" w16cid:durableId="695280043">
    <w:abstractNumId w:val="12"/>
  </w:num>
  <w:num w:numId="74" w16cid:durableId="599413421">
    <w:abstractNumId w:val="19"/>
  </w:num>
  <w:num w:numId="75" w16cid:durableId="183373765">
    <w:abstractNumId w:val="57"/>
  </w:num>
  <w:num w:numId="76" w16cid:durableId="824593350">
    <w:abstractNumId w:val="92"/>
  </w:num>
  <w:num w:numId="77" w16cid:durableId="803278928">
    <w:abstractNumId w:val="35"/>
  </w:num>
  <w:num w:numId="78" w16cid:durableId="32929676">
    <w:abstractNumId w:val="11"/>
  </w:num>
  <w:num w:numId="79" w16cid:durableId="443156701">
    <w:abstractNumId w:val="29"/>
  </w:num>
  <w:num w:numId="80" w16cid:durableId="1209486655">
    <w:abstractNumId w:val="7"/>
  </w:num>
  <w:num w:numId="81" w16cid:durableId="929509220">
    <w:abstractNumId w:val="90"/>
  </w:num>
  <w:num w:numId="82" w16cid:durableId="1173184454">
    <w:abstractNumId w:val="22"/>
  </w:num>
  <w:num w:numId="83" w16cid:durableId="140195891">
    <w:abstractNumId w:val="38"/>
  </w:num>
  <w:num w:numId="84" w16cid:durableId="865796964">
    <w:abstractNumId w:val="3"/>
  </w:num>
  <w:num w:numId="85" w16cid:durableId="916743036">
    <w:abstractNumId w:val="8"/>
  </w:num>
  <w:num w:numId="86" w16cid:durableId="1447115474">
    <w:abstractNumId w:val="101"/>
  </w:num>
  <w:num w:numId="87" w16cid:durableId="1041975083">
    <w:abstractNumId w:val="18"/>
  </w:num>
  <w:num w:numId="88" w16cid:durableId="123891229">
    <w:abstractNumId w:val="87"/>
  </w:num>
  <w:num w:numId="89" w16cid:durableId="641009776">
    <w:abstractNumId w:val="73"/>
  </w:num>
  <w:num w:numId="90" w16cid:durableId="1940676276">
    <w:abstractNumId w:val="93"/>
  </w:num>
  <w:num w:numId="91" w16cid:durableId="2109690733">
    <w:abstractNumId w:val="44"/>
  </w:num>
  <w:num w:numId="92" w16cid:durableId="92363650">
    <w:abstractNumId w:val="54"/>
  </w:num>
  <w:num w:numId="93" w16cid:durableId="844783594">
    <w:abstractNumId w:val="75"/>
  </w:num>
  <w:num w:numId="94" w16cid:durableId="1819107948">
    <w:abstractNumId w:val="50"/>
  </w:num>
  <w:num w:numId="95" w16cid:durableId="602107980">
    <w:abstractNumId w:val="72"/>
  </w:num>
  <w:num w:numId="96" w16cid:durableId="905577476">
    <w:abstractNumId w:val="25"/>
  </w:num>
  <w:num w:numId="97" w16cid:durableId="38820023">
    <w:abstractNumId w:val="27"/>
  </w:num>
  <w:num w:numId="98" w16cid:durableId="2014647486">
    <w:abstractNumId w:val="97"/>
  </w:num>
  <w:num w:numId="99" w16cid:durableId="1767656258">
    <w:abstractNumId w:val="86"/>
  </w:num>
  <w:num w:numId="100" w16cid:durableId="181672745">
    <w:abstractNumId w:val="58"/>
  </w:num>
  <w:num w:numId="101" w16cid:durableId="10374336">
    <w:abstractNumId w:val="16"/>
  </w:num>
  <w:num w:numId="102" w16cid:durableId="370691491">
    <w:abstractNumId w:val="60"/>
  </w:num>
  <w:num w:numId="103" w16cid:durableId="360594518">
    <w:abstractNumId w:val="4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26"/>
    <w:rsid w:val="00001C4F"/>
    <w:rsid w:val="00001DC5"/>
    <w:rsid w:val="00003099"/>
    <w:rsid w:val="00004FF3"/>
    <w:rsid w:val="00006EFB"/>
    <w:rsid w:val="000076A5"/>
    <w:rsid w:val="000112A0"/>
    <w:rsid w:val="0001152E"/>
    <w:rsid w:val="000121D3"/>
    <w:rsid w:val="00012582"/>
    <w:rsid w:val="00013BFF"/>
    <w:rsid w:val="00014ED1"/>
    <w:rsid w:val="00016175"/>
    <w:rsid w:val="000167B0"/>
    <w:rsid w:val="00020A1F"/>
    <w:rsid w:val="00020DE7"/>
    <w:rsid w:val="0002118C"/>
    <w:rsid w:val="000217CC"/>
    <w:rsid w:val="000239DC"/>
    <w:rsid w:val="00024541"/>
    <w:rsid w:val="000250F0"/>
    <w:rsid w:val="00025C2F"/>
    <w:rsid w:val="00026F56"/>
    <w:rsid w:val="000276DC"/>
    <w:rsid w:val="00027C89"/>
    <w:rsid w:val="00027F54"/>
    <w:rsid w:val="0003072C"/>
    <w:rsid w:val="00030EAD"/>
    <w:rsid w:val="000321D3"/>
    <w:rsid w:val="00032DF2"/>
    <w:rsid w:val="00034A09"/>
    <w:rsid w:val="000355BF"/>
    <w:rsid w:val="000360B5"/>
    <w:rsid w:val="000372DF"/>
    <w:rsid w:val="000376EF"/>
    <w:rsid w:val="00040C65"/>
    <w:rsid w:val="000416F3"/>
    <w:rsid w:val="00042830"/>
    <w:rsid w:val="000433D1"/>
    <w:rsid w:val="00046E24"/>
    <w:rsid w:val="0005185E"/>
    <w:rsid w:val="00051C59"/>
    <w:rsid w:val="000523D2"/>
    <w:rsid w:val="00052C05"/>
    <w:rsid w:val="00053F35"/>
    <w:rsid w:val="00055144"/>
    <w:rsid w:val="0005543A"/>
    <w:rsid w:val="00055B55"/>
    <w:rsid w:val="000566C7"/>
    <w:rsid w:val="0005785C"/>
    <w:rsid w:val="00062D6C"/>
    <w:rsid w:val="00062ED8"/>
    <w:rsid w:val="000646B5"/>
    <w:rsid w:val="00065098"/>
    <w:rsid w:val="00065B11"/>
    <w:rsid w:val="00067192"/>
    <w:rsid w:val="00067C13"/>
    <w:rsid w:val="00070139"/>
    <w:rsid w:val="00070A14"/>
    <w:rsid w:val="00071FCE"/>
    <w:rsid w:val="00072C35"/>
    <w:rsid w:val="00073983"/>
    <w:rsid w:val="000746AA"/>
    <w:rsid w:val="0007563F"/>
    <w:rsid w:val="000757C0"/>
    <w:rsid w:val="00077EE0"/>
    <w:rsid w:val="00080CCA"/>
    <w:rsid w:val="00080EA7"/>
    <w:rsid w:val="00081CA7"/>
    <w:rsid w:val="00085EC2"/>
    <w:rsid w:val="00093720"/>
    <w:rsid w:val="00094247"/>
    <w:rsid w:val="000951E4"/>
    <w:rsid w:val="00097A2C"/>
    <w:rsid w:val="000A0C41"/>
    <w:rsid w:val="000A149B"/>
    <w:rsid w:val="000A1B1B"/>
    <w:rsid w:val="000A1B6B"/>
    <w:rsid w:val="000A1EA5"/>
    <w:rsid w:val="000A2B48"/>
    <w:rsid w:val="000A30B4"/>
    <w:rsid w:val="000A3ADE"/>
    <w:rsid w:val="000A4F03"/>
    <w:rsid w:val="000A6AAA"/>
    <w:rsid w:val="000A7AD0"/>
    <w:rsid w:val="000B07A4"/>
    <w:rsid w:val="000B39B0"/>
    <w:rsid w:val="000B3E9C"/>
    <w:rsid w:val="000B3EB5"/>
    <w:rsid w:val="000B440B"/>
    <w:rsid w:val="000B4843"/>
    <w:rsid w:val="000B4A22"/>
    <w:rsid w:val="000B58DB"/>
    <w:rsid w:val="000B7896"/>
    <w:rsid w:val="000C0721"/>
    <w:rsid w:val="000C08EA"/>
    <w:rsid w:val="000C1723"/>
    <w:rsid w:val="000C27E1"/>
    <w:rsid w:val="000C2B71"/>
    <w:rsid w:val="000C2E0E"/>
    <w:rsid w:val="000C2E6A"/>
    <w:rsid w:val="000C328E"/>
    <w:rsid w:val="000C39B2"/>
    <w:rsid w:val="000C64FF"/>
    <w:rsid w:val="000C6D5D"/>
    <w:rsid w:val="000C71D1"/>
    <w:rsid w:val="000D17D3"/>
    <w:rsid w:val="000D4282"/>
    <w:rsid w:val="000D509B"/>
    <w:rsid w:val="000D623A"/>
    <w:rsid w:val="000D65F3"/>
    <w:rsid w:val="000D6A69"/>
    <w:rsid w:val="000D6C12"/>
    <w:rsid w:val="000D74D7"/>
    <w:rsid w:val="000D7900"/>
    <w:rsid w:val="000E01D2"/>
    <w:rsid w:val="000E0BEF"/>
    <w:rsid w:val="000E2B09"/>
    <w:rsid w:val="000E3608"/>
    <w:rsid w:val="000E40CF"/>
    <w:rsid w:val="000E5CCD"/>
    <w:rsid w:val="000F0D89"/>
    <w:rsid w:val="000F19FB"/>
    <w:rsid w:val="000F24FD"/>
    <w:rsid w:val="000F25EF"/>
    <w:rsid w:val="000F2F12"/>
    <w:rsid w:val="000F3297"/>
    <w:rsid w:val="000F3A9D"/>
    <w:rsid w:val="000F3BBC"/>
    <w:rsid w:val="000F50AE"/>
    <w:rsid w:val="000F5213"/>
    <w:rsid w:val="000F5FD7"/>
    <w:rsid w:val="00105564"/>
    <w:rsid w:val="001106D1"/>
    <w:rsid w:val="00110777"/>
    <w:rsid w:val="00110F0E"/>
    <w:rsid w:val="001113F8"/>
    <w:rsid w:val="00112EFF"/>
    <w:rsid w:val="0011587D"/>
    <w:rsid w:val="001179FB"/>
    <w:rsid w:val="00120063"/>
    <w:rsid w:val="00122C5D"/>
    <w:rsid w:val="001236D3"/>
    <w:rsid w:val="00123AD3"/>
    <w:rsid w:val="00124851"/>
    <w:rsid w:val="00125A33"/>
    <w:rsid w:val="00126CA5"/>
    <w:rsid w:val="00127C94"/>
    <w:rsid w:val="00127CB8"/>
    <w:rsid w:val="00130009"/>
    <w:rsid w:val="001302F3"/>
    <w:rsid w:val="001327FD"/>
    <w:rsid w:val="00132B88"/>
    <w:rsid w:val="001334E8"/>
    <w:rsid w:val="00134035"/>
    <w:rsid w:val="0013412F"/>
    <w:rsid w:val="0013451B"/>
    <w:rsid w:val="00136D38"/>
    <w:rsid w:val="001404C4"/>
    <w:rsid w:val="0014147B"/>
    <w:rsid w:val="00142499"/>
    <w:rsid w:val="001425B8"/>
    <w:rsid w:val="00142D95"/>
    <w:rsid w:val="00142E86"/>
    <w:rsid w:val="00143598"/>
    <w:rsid w:val="00143878"/>
    <w:rsid w:val="001443D9"/>
    <w:rsid w:val="00146230"/>
    <w:rsid w:val="0015013F"/>
    <w:rsid w:val="00151B45"/>
    <w:rsid w:val="00152133"/>
    <w:rsid w:val="00154240"/>
    <w:rsid w:val="00154A09"/>
    <w:rsid w:val="0015577E"/>
    <w:rsid w:val="00160110"/>
    <w:rsid w:val="00160BA2"/>
    <w:rsid w:val="00160F66"/>
    <w:rsid w:val="00163BDE"/>
    <w:rsid w:val="00163C01"/>
    <w:rsid w:val="00163C89"/>
    <w:rsid w:val="00163FC9"/>
    <w:rsid w:val="001640EA"/>
    <w:rsid w:val="00164767"/>
    <w:rsid w:val="00165E4A"/>
    <w:rsid w:val="0017106A"/>
    <w:rsid w:val="001727B0"/>
    <w:rsid w:val="001727FA"/>
    <w:rsid w:val="00172F65"/>
    <w:rsid w:val="00173234"/>
    <w:rsid w:val="00173ED3"/>
    <w:rsid w:val="001741D7"/>
    <w:rsid w:val="00174438"/>
    <w:rsid w:val="00175A15"/>
    <w:rsid w:val="0017618F"/>
    <w:rsid w:val="001804A7"/>
    <w:rsid w:val="00181419"/>
    <w:rsid w:val="00181587"/>
    <w:rsid w:val="00181625"/>
    <w:rsid w:val="001818BC"/>
    <w:rsid w:val="0018318C"/>
    <w:rsid w:val="00185AD7"/>
    <w:rsid w:val="00186855"/>
    <w:rsid w:val="00186E0A"/>
    <w:rsid w:val="001872B0"/>
    <w:rsid w:val="00190FF1"/>
    <w:rsid w:val="00193CF8"/>
    <w:rsid w:val="00194DEE"/>
    <w:rsid w:val="00196B5E"/>
    <w:rsid w:val="00196E7B"/>
    <w:rsid w:val="001A0B01"/>
    <w:rsid w:val="001A0FE9"/>
    <w:rsid w:val="001A125E"/>
    <w:rsid w:val="001A24C1"/>
    <w:rsid w:val="001A2A02"/>
    <w:rsid w:val="001A5EA0"/>
    <w:rsid w:val="001A6996"/>
    <w:rsid w:val="001A7358"/>
    <w:rsid w:val="001B0482"/>
    <w:rsid w:val="001B1C03"/>
    <w:rsid w:val="001B3E3F"/>
    <w:rsid w:val="001B5759"/>
    <w:rsid w:val="001B5CAD"/>
    <w:rsid w:val="001B65D7"/>
    <w:rsid w:val="001B70C7"/>
    <w:rsid w:val="001C22FB"/>
    <w:rsid w:val="001C2B70"/>
    <w:rsid w:val="001C3887"/>
    <w:rsid w:val="001C4312"/>
    <w:rsid w:val="001C4CFB"/>
    <w:rsid w:val="001C5603"/>
    <w:rsid w:val="001C5828"/>
    <w:rsid w:val="001C6030"/>
    <w:rsid w:val="001C6181"/>
    <w:rsid w:val="001C6C30"/>
    <w:rsid w:val="001C7A2E"/>
    <w:rsid w:val="001D2B55"/>
    <w:rsid w:val="001D3309"/>
    <w:rsid w:val="001D49F7"/>
    <w:rsid w:val="001D7BB9"/>
    <w:rsid w:val="001E10B9"/>
    <w:rsid w:val="001E1DE1"/>
    <w:rsid w:val="001E284A"/>
    <w:rsid w:val="001E2FB1"/>
    <w:rsid w:val="001E35BA"/>
    <w:rsid w:val="001F2654"/>
    <w:rsid w:val="001F5009"/>
    <w:rsid w:val="001F5FB7"/>
    <w:rsid w:val="001F77C2"/>
    <w:rsid w:val="002018D3"/>
    <w:rsid w:val="002044D9"/>
    <w:rsid w:val="002126FF"/>
    <w:rsid w:val="002128AA"/>
    <w:rsid w:val="00213E7C"/>
    <w:rsid w:val="00214B53"/>
    <w:rsid w:val="00214E0B"/>
    <w:rsid w:val="00214F78"/>
    <w:rsid w:val="00215E5D"/>
    <w:rsid w:val="00216098"/>
    <w:rsid w:val="00216FA8"/>
    <w:rsid w:val="00222921"/>
    <w:rsid w:val="00222FA3"/>
    <w:rsid w:val="0022308F"/>
    <w:rsid w:val="002245CC"/>
    <w:rsid w:val="00225F90"/>
    <w:rsid w:val="00226FC4"/>
    <w:rsid w:val="00231418"/>
    <w:rsid w:val="0023160E"/>
    <w:rsid w:val="00232090"/>
    <w:rsid w:val="00232296"/>
    <w:rsid w:val="00232E1E"/>
    <w:rsid w:val="00233431"/>
    <w:rsid w:val="00234774"/>
    <w:rsid w:val="002354B8"/>
    <w:rsid w:val="00235529"/>
    <w:rsid w:val="0023687F"/>
    <w:rsid w:val="00237935"/>
    <w:rsid w:val="002402B5"/>
    <w:rsid w:val="0024191B"/>
    <w:rsid w:val="00241A10"/>
    <w:rsid w:val="002430EB"/>
    <w:rsid w:val="002433A1"/>
    <w:rsid w:val="00245714"/>
    <w:rsid w:val="00247000"/>
    <w:rsid w:val="0025076D"/>
    <w:rsid w:val="002518DF"/>
    <w:rsid w:val="00253A3A"/>
    <w:rsid w:val="00253A93"/>
    <w:rsid w:val="00254453"/>
    <w:rsid w:val="002557AD"/>
    <w:rsid w:val="002563C5"/>
    <w:rsid w:val="0025663E"/>
    <w:rsid w:val="0025730F"/>
    <w:rsid w:val="002602E8"/>
    <w:rsid w:val="00262768"/>
    <w:rsid w:val="002654E2"/>
    <w:rsid w:val="00265F6C"/>
    <w:rsid w:val="00267AF1"/>
    <w:rsid w:val="00271A2D"/>
    <w:rsid w:val="00272C55"/>
    <w:rsid w:val="00273820"/>
    <w:rsid w:val="0027432C"/>
    <w:rsid w:val="00274C76"/>
    <w:rsid w:val="00274D08"/>
    <w:rsid w:val="002759EF"/>
    <w:rsid w:val="002762FB"/>
    <w:rsid w:val="00276599"/>
    <w:rsid w:val="002817A9"/>
    <w:rsid w:val="00281A56"/>
    <w:rsid w:val="002822C0"/>
    <w:rsid w:val="002836E3"/>
    <w:rsid w:val="002837CE"/>
    <w:rsid w:val="00283A47"/>
    <w:rsid w:val="00284080"/>
    <w:rsid w:val="002854DC"/>
    <w:rsid w:val="00287DC5"/>
    <w:rsid w:val="00295E43"/>
    <w:rsid w:val="00296880"/>
    <w:rsid w:val="00296A83"/>
    <w:rsid w:val="002A0235"/>
    <w:rsid w:val="002A0BCA"/>
    <w:rsid w:val="002A16CA"/>
    <w:rsid w:val="002A227F"/>
    <w:rsid w:val="002A23B2"/>
    <w:rsid w:val="002A2DC8"/>
    <w:rsid w:val="002A3037"/>
    <w:rsid w:val="002A32FD"/>
    <w:rsid w:val="002A406E"/>
    <w:rsid w:val="002A6F8C"/>
    <w:rsid w:val="002B05E9"/>
    <w:rsid w:val="002B2464"/>
    <w:rsid w:val="002B470B"/>
    <w:rsid w:val="002B5E7F"/>
    <w:rsid w:val="002B6E34"/>
    <w:rsid w:val="002B7361"/>
    <w:rsid w:val="002B7574"/>
    <w:rsid w:val="002C03D2"/>
    <w:rsid w:val="002C0E29"/>
    <w:rsid w:val="002C366B"/>
    <w:rsid w:val="002C376E"/>
    <w:rsid w:val="002C68E8"/>
    <w:rsid w:val="002C7837"/>
    <w:rsid w:val="002D03BE"/>
    <w:rsid w:val="002D0552"/>
    <w:rsid w:val="002D32B0"/>
    <w:rsid w:val="002D3691"/>
    <w:rsid w:val="002D43FB"/>
    <w:rsid w:val="002D4867"/>
    <w:rsid w:val="002D5CF7"/>
    <w:rsid w:val="002D6A5F"/>
    <w:rsid w:val="002D6C32"/>
    <w:rsid w:val="002D7BC0"/>
    <w:rsid w:val="002E09B2"/>
    <w:rsid w:val="002E2E1A"/>
    <w:rsid w:val="002E2FC1"/>
    <w:rsid w:val="002E3883"/>
    <w:rsid w:val="002E57DD"/>
    <w:rsid w:val="002E5E41"/>
    <w:rsid w:val="002E6766"/>
    <w:rsid w:val="002E6837"/>
    <w:rsid w:val="002E6989"/>
    <w:rsid w:val="002E6D54"/>
    <w:rsid w:val="002E74F7"/>
    <w:rsid w:val="002F07E2"/>
    <w:rsid w:val="002F0A01"/>
    <w:rsid w:val="002F124E"/>
    <w:rsid w:val="002F1A74"/>
    <w:rsid w:val="002F1B2F"/>
    <w:rsid w:val="002F2A68"/>
    <w:rsid w:val="002F3220"/>
    <w:rsid w:val="002F4EC0"/>
    <w:rsid w:val="002F7CCD"/>
    <w:rsid w:val="003000FA"/>
    <w:rsid w:val="00300324"/>
    <w:rsid w:val="0030280D"/>
    <w:rsid w:val="00302D68"/>
    <w:rsid w:val="00303245"/>
    <w:rsid w:val="0030480F"/>
    <w:rsid w:val="0030523F"/>
    <w:rsid w:val="00305CBF"/>
    <w:rsid w:val="003117A4"/>
    <w:rsid w:val="00312650"/>
    <w:rsid w:val="0031305D"/>
    <w:rsid w:val="00313A66"/>
    <w:rsid w:val="00314239"/>
    <w:rsid w:val="003149CF"/>
    <w:rsid w:val="00315C79"/>
    <w:rsid w:val="00320936"/>
    <w:rsid w:val="00320EE0"/>
    <w:rsid w:val="00321341"/>
    <w:rsid w:val="00321C17"/>
    <w:rsid w:val="0032476E"/>
    <w:rsid w:val="003249D9"/>
    <w:rsid w:val="00324EDA"/>
    <w:rsid w:val="00326B2E"/>
    <w:rsid w:val="003271CA"/>
    <w:rsid w:val="0033412B"/>
    <w:rsid w:val="00334590"/>
    <w:rsid w:val="0033632A"/>
    <w:rsid w:val="00336F6E"/>
    <w:rsid w:val="00337EC5"/>
    <w:rsid w:val="00342ACD"/>
    <w:rsid w:val="00343102"/>
    <w:rsid w:val="003436E3"/>
    <w:rsid w:val="003452B5"/>
    <w:rsid w:val="0034759D"/>
    <w:rsid w:val="003517FF"/>
    <w:rsid w:val="00351C5C"/>
    <w:rsid w:val="00352FD7"/>
    <w:rsid w:val="003540C7"/>
    <w:rsid w:val="00354CD9"/>
    <w:rsid w:val="00356182"/>
    <w:rsid w:val="003561B5"/>
    <w:rsid w:val="0035696B"/>
    <w:rsid w:val="00360EDD"/>
    <w:rsid w:val="0036693E"/>
    <w:rsid w:val="00372EDA"/>
    <w:rsid w:val="003745EF"/>
    <w:rsid w:val="00374B3C"/>
    <w:rsid w:val="00374F3A"/>
    <w:rsid w:val="003754EF"/>
    <w:rsid w:val="003759B2"/>
    <w:rsid w:val="0038140E"/>
    <w:rsid w:val="003839B6"/>
    <w:rsid w:val="00384735"/>
    <w:rsid w:val="003853A1"/>
    <w:rsid w:val="00385FF8"/>
    <w:rsid w:val="003867EC"/>
    <w:rsid w:val="00390919"/>
    <w:rsid w:val="003909F4"/>
    <w:rsid w:val="003942D6"/>
    <w:rsid w:val="00394D87"/>
    <w:rsid w:val="00396A25"/>
    <w:rsid w:val="00397F06"/>
    <w:rsid w:val="003A0F44"/>
    <w:rsid w:val="003A136B"/>
    <w:rsid w:val="003A2E7D"/>
    <w:rsid w:val="003A3152"/>
    <w:rsid w:val="003A7103"/>
    <w:rsid w:val="003A71C7"/>
    <w:rsid w:val="003B0259"/>
    <w:rsid w:val="003B11AC"/>
    <w:rsid w:val="003B1AEF"/>
    <w:rsid w:val="003B4C77"/>
    <w:rsid w:val="003B6854"/>
    <w:rsid w:val="003B7253"/>
    <w:rsid w:val="003C09C4"/>
    <w:rsid w:val="003C0EB6"/>
    <w:rsid w:val="003C227F"/>
    <w:rsid w:val="003C3CB5"/>
    <w:rsid w:val="003C3D60"/>
    <w:rsid w:val="003C435C"/>
    <w:rsid w:val="003C440B"/>
    <w:rsid w:val="003C58E7"/>
    <w:rsid w:val="003D01F5"/>
    <w:rsid w:val="003D1764"/>
    <w:rsid w:val="003D5C7B"/>
    <w:rsid w:val="003D6E32"/>
    <w:rsid w:val="003D6E77"/>
    <w:rsid w:val="003D7226"/>
    <w:rsid w:val="003D7630"/>
    <w:rsid w:val="003D7DF2"/>
    <w:rsid w:val="003E0679"/>
    <w:rsid w:val="003E09FE"/>
    <w:rsid w:val="003E0D80"/>
    <w:rsid w:val="003E3852"/>
    <w:rsid w:val="003E5488"/>
    <w:rsid w:val="003E5F86"/>
    <w:rsid w:val="003F0290"/>
    <w:rsid w:val="003F11D0"/>
    <w:rsid w:val="003F1890"/>
    <w:rsid w:val="003F533E"/>
    <w:rsid w:val="003F629B"/>
    <w:rsid w:val="003F6A96"/>
    <w:rsid w:val="003F7C21"/>
    <w:rsid w:val="004015BA"/>
    <w:rsid w:val="00403065"/>
    <w:rsid w:val="00410F90"/>
    <w:rsid w:val="00411C78"/>
    <w:rsid w:val="00412428"/>
    <w:rsid w:val="004137DD"/>
    <w:rsid w:val="00414FE3"/>
    <w:rsid w:val="0041632C"/>
    <w:rsid w:val="00420667"/>
    <w:rsid w:val="00420921"/>
    <w:rsid w:val="00421957"/>
    <w:rsid w:val="00422672"/>
    <w:rsid w:val="00422BE7"/>
    <w:rsid w:val="00423B84"/>
    <w:rsid w:val="00425CF5"/>
    <w:rsid w:val="00427E8F"/>
    <w:rsid w:val="00430850"/>
    <w:rsid w:val="00431953"/>
    <w:rsid w:val="00431C93"/>
    <w:rsid w:val="00432873"/>
    <w:rsid w:val="004331DD"/>
    <w:rsid w:val="00435B9F"/>
    <w:rsid w:val="00436E4B"/>
    <w:rsid w:val="00437C59"/>
    <w:rsid w:val="00444A95"/>
    <w:rsid w:val="00444D1E"/>
    <w:rsid w:val="00446419"/>
    <w:rsid w:val="00446774"/>
    <w:rsid w:val="00446CA9"/>
    <w:rsid w:val="00446DBA"/>
    <w:rsid w:val="00447B5A"/>
    <w:rsid w:val="00451696"/>
    <w:rsid w:val="0045225A"/>
    <w:rsid w:val="0045285A"/>
    <w:rsid w:val="004552DB"/>
    <w:rsid w:val="004559E1"/>
    <w:rsid w:val="0045713C"/>
    <w:rsid w:val="004617D5"/>
    <w:rsid w:val="00463767"/>
    <w:rsid w:val="00464125"/>
    <w:rsid w:val="00464491"/>
    <w:rsid w:val="00464A3A"/>
    <w:rsid w:val="00464A3E"/>
    <w:rsid w:val="004700BE"/>
    <w:rsid w:val="0047152C"/>
    <w:rsid w:val="0047229F"/>
    <w:rsid w:val="004735E5"/>
    <w:rsid w:val="00473761"/>
    <w:rsid w:val="00473BA4"/>
    <w:rsid w:val="004742EC"/>
    <w:rsid w:val="0047596A"/>
    <w:rsid w:val="00475CDC"/>
    <w:rsid w:val="00476EE1"/>
    <w:rsid w:val="00480EB7"/>
    <w:rsid w:val="00480F45"/>
    <w:rsid w:val="00481845"/>
    <w:rsid w:val="00482749"/>
    <w:rsid w:val="004830F4"/>
    <w:rsid w:val="0048606A"/>
    <w:rsid w:val="004861AB"/>
    <w:rsid w:val="004863CB"/>
    <w:rsid w:val="0048675D"/>
    <w:rsid w:val="00487A1E"/>
    <w:rsid w:val="00487E26"/>
    <w:rsid w:val="00490630"/>
    <w:rsid w:val="00491ECE"/>
    <w:rsid w:val="0049335D"/>
    <w:rsid w:val="00493803"/>
    <w:rsid w:val="00493BA2"/>
    <w:rsid w:val="004959D6"/>
    <w:rsid w:val="004A05BF"/>
    <w:rsid w:val="004A0E79"/>
    <w:rsid w:val="004A0F9A"/>
    <w:rsid w:val="004A1A49"/>
    <w:rsid w:val="004A2C26"/>
    <w:rsid w:val="004A3C2F"/>
    <w:rsid w:val="004A3E9D"/>
    <w:rsid w:val="004A44D5"/>
    <w:rsid w:val="004A46EA"/>
    <w:rsid w:val="004A4A22"/>
    <w:rsid w:val="004A4B54"/>
    <w:rsid w:val="004B0471"/>
    <w:rsid w:val="004B1F14"/>
    <w:rsid w:val="004B2873"/>
    <w:rsid w:val="004B31C3"/>
    <w:rsid w:val="004B3C67"/>
    <w:rsid w:val="004B4E86"/>
    <w:rsid w:val="004B5323"/>
    <w:rsid w:val="004B5EB2"/>
    <w:rsid w:val="004B7669"/>
    <w:rsid w:val="004C11B1"/>
    <w:rsid w:val="004C1F8D"/>
    <w:rsid w:val="004C2702"/>
    <w:rsid w:val="004C3070"/>
    <w:rsid w:val="004C4207"/>
    <w:rsid w:val="004C4992"/>
    <w:rsid w:val="004C5544"/>
    <w:rsid w:val="004C57FC"/>
    <w:rsid w:val="004C5A84"/>
    <w:rsid w:val="004C679D"/>
    <w:rsid w:val="004C6F2C"/>
    <w:rsid w:val="004C7424"/>
    <w:rsid w:val="004D059D"/>
    <w:rsid w:val="004D18AB"/>
    <w:rsid w:val="004D381D"/>
    <w:rsid w:val="004D52BA"/>
    <w:rsid w:val="004D7309"/>
    <w:rsid w:val="004E00B6"/>
    <w:rsid w:val="004E0A2D"/>
    <w:rsid w:val="004E1B7F"/>
    <w:rsid w:val="004E332A"/>
    <w:rsid w:val="004E39B2"/>
    <w:rsid w:val="004E39DF"/>
    <w:rsid w:val="004E5B76"/>
    <w:rsid w:val="004E6C5A"/>
    <w:rsid w:val="004E7B02"/>
    <w:rsid w:val="004F0396"/>
    <w:rsid w:val="004F04A0"/>
    <w:rsid w:val="004F07BB"/>
    <w:rsid w:val="004F109A"/>
    <w:rsid w:val="004F1648"/>
    <w:rsid w:val="004F21BE"/>
    <w:rsid w:val="004F360A"/>
    <w:rsid w:val="004F4733"/>
    <w:rsid w:val="004F57DE"/>
    <w:rsid w:val="004F6326"/>
    <w:rsid w:val="004F7D4A"/>
    <w:rsid w:val="00501487"/>
    <w:rsid w:val="0050291D"/>
    <w:rsid w:val="00503CC3"/>
    <w:rsid w:val="005055AE"/>
    <w:rsid w:val="00506AC7"/>
    <w:rsid w:val="00506DF9"/>
    <w:rsid w:val="00507428"/>
    <w:rsid w:val="0050758D"/>
    <w:rsid w:val="005105E5"/>
    <w:rsid w:val="00510E8E"/>
    <w:rsid w:val="005118B8"/>
    <w:rsid w:val="00515628"/>
    <w:rsid w:val="00516A37"/>
    <w:rsid w:val="0052072F"/>
    <w:rsid w:val="00522A06"/>
    <w:rsid w:val="00522EC0"/>
    <w:rsid w:val="005242ED"/>
    <w:rsid w:val="00526316"/>
    <w:rsid w:val="0052783C"/>
    <w:rsid w:val="005303E0"/>
    <w:rsid w:val="005324DC"/>
    <w:rsid w:val="00533E70"/>
    <w:rsid w:val="00535DF2"/>
    <w:rsid w:val="00536840"/>
    <w:rsid w:val="0054092F"/>
    <w:rsid w:val="005426E9"/>
    <w:rsid w:val="00542A37"/>
    <w:rsid w:val="00542DC2"/>
    <w:rsid w:val="00543029"/>
    <w:rsid w:val="00544307"/>
    <w:rsid w:val="0054531D"/>
    <w:rsid w:val="00545E65"/>
    <w:rsid w:val="00546071"/>
    <w:rsid w:val="0055009F"/>
    <w:rsid w:val="00552726"/>
    <w:rsid w:val="00552CA5"/>
    <w:rsid w:val="005537ED"/>
    <w:rsid w:val="00553F5D"/>
    <w:rsid w:val="005541CC"/>
    <w:rsid w:val="00554DDF"/>
    <w:rsid w:val="00555105"/>
    <w:rsid w:val="00555559"/>
    <w:rsid w:val="00557E51"/>
    <w:rsid w:val="005613EA"/>
    <w:rsid w:val="005614AF"/>
    <w:rsid w:val="00561C38"/>
    <w:rsid w:val="00563F45"/>
    <w:rsid w:val="00564025"/>
    <w:rsid w:val="0056618C"/>
    <w:rsid w:val="00566308"/>
    <w:rsid w:val="00572C3B"/>
    <w:rsid w:val="005765D4"/>
    <w:rsid w:val="0057686C"/>
    <w:rsid w:val="00577BC9"/>
    <w:rsid w:val="00577EC5"/>
    <w:rsid w:val="00583714"/>
    <w:rsid w:val="00584C24"/>
    <w:rsid w:val="00587020"/>
    <w:rsid w:val="00587C7C"/>
    <w:rsid w:val="00590507"/>
    <w:rsid w:val="00591E18"/>
    <w:rsid w:val="00593016"/>
    <w:rsid w:val="00593604"/>
    <w:rsid w:val="00596EDE"/>
    <w:rsid w:val="00597197"/>
    <w:rsid w:val="00597E5A"/>
    <w:rsid w:val="005A2933"/>
    <w:rsid w:val="005A2E95"/>
    <w:rsid w:val="005A352C"/>
    <w:rsid w:val="005A5F5F"/>
    <w:rsid w:val="005A6736"/>
    <w:rsid w:val="005A6DBE"/>
    <w:rsid w:val="005B0023"/>
    <w:rsid w:val="005B0A43"/>
    <w:rsid w:val="005B1C59"/>
    <w:rsid w:val="005B22F0"/>
    <w:rsid w:val="005B336E"/>
    <w:rsid w:val="005B4CE5"/>
    <w:rsid w:val="005B5B47"/>
    <w:rsid w:val="005B628F"/>
    <w:rsid w:val="005B6FD2"/>
    <w:rsid w:val="005C1272"/>
    <w:rsid w:val="005C4194"/>
    <w:rsid w:val="005C5289"/>
    <w:rsid w:val="005C5BA2"/>
    <w:rsid w:val="005C647F"/>
    <w:rsid w:val="005C6DB8"/>
    <w:rsid w:val="005C792F"/>
    <w:rsid w:val="005D08D9"/>
    <w:rsid w:val="005D110C"/>
    <w:rsid w:val="005D14B6"/>
    <w:rsid w:val="005D276A"/>
    <w:rsid w:val="005D3200"/>
    <w:rsid w:val="005D40FD"/>
    <w:rsid w:val="005D4C0F"/>
    <w:rsid w:val="005D533C"/>
    <w:rsid w:val="005D565A"/>
    <w:rsid w:val="005D61A9"/>
    <w:rsid w:val="005D7B77"/>
    <w:rsid w:val="005E013C"/>
    <w:rsid w:val="005E1A55"/>
    <w:rsid w:val="005E29D5"/>
    <w:rsid w:val="005E3851"/>
    <w:rsid w:val="005E39A2"/>
    <w:rsid w:val="005E3B6A"/>
    <w:rsid w:val="005E42D0"/>
    <w:rsid w:val="005E496D"/>
    <w:rsid w:val="005F2666"/>
    <w:rsid w:val="005F32D3"/>
    <w:rsid w:val="005F5BCD"/>
    <w:rsid w:val="005F6B24"/>
    <w:rsid w:val="00600EDA"/>
    <w:rsid w:val="00600F5D"/>
    <w:rsid w:val="00600FAE"/>
    <w:rsid w:val="00603578"/>
    <w:rsid w:val="006039E6"/>
    <w:rsid w:val="00604E50"/>
    <w:rsid w:val="00604EEE"/>
    <w:rsid w:val="00606E2C"/>
    <w:rsid w:val="006079A8"/>
    <w:rsid w:val="00610993"/>
    <w:rsid w:val="00611AE7"/>
    <w:rsid w:val="00612982"/>
    <w:rsid w:val="00612B2C"/>
    <w:rsid w:val="00613BCA"/>
    <w:rsid w:val="00613CE3"/>
    <w:rsid w:val="00617251"/>
    <w:rsid w:val="00617659"/>
    <w:rsid w:val="0062184A"/>
    <w:rsid w:val="00622067"/>
    <w:rsid w:val="006220DF"/>
    <w:rsid w:val="006243DB"/>
    <w:rsid w:val="00624DFC"/>
    <w:rsid w:val="00624F85"/>
    <w:rsid w:val="006258A2"/>
    <w:rsid w:val="0062611B"/>
    <w:rsid w:val="0062689A"/>
    <w:rsid w:val="006319ED"/>
    <w:rsid w:val="006324C2"/>
    <w:rsid w:val="00632B5E"/>
    <w:rsid w:val="00632F9C"/>
    <w:rsid w:val="00633BE0"/>
    <w:rsid w:val="00633DB9"/>
    <w:rsid w:val="00634BDD"/>
    <w:rsid w:val="006354F2"/>
    <w:rsid w:val="0063602E"/>
    <w:rsid w:val="0063629F"/>
    <w:rsid w:val="00637A05"/>
    <w:rsid w:val="00640463"/>
    <w:rsid w:val="00641B4E"/>
    <w:rsid w:val="00641EF9"/>
    <w:rsid w:val="006447CD"/>
    <w:rsid w:val="0064781E"/>
    <w:rsid w:val="0065008E"/>
    <w:rsid w:val="006513D2"/>
    <w:rsid w:val="00651677"/>
    <w:rsid w:val="006517BB"/>
    <w:rsid w:val="00653C03"/>
    <w:rsid w:val="0065411F"/>
    <w:rsid w:val="00655EA0"/>
    <w:rsid w:val="006560A2"/>
    <w:rsid w:val="0065796E"/>
    <w:rsid w:val="0066062E"/>
    <w:rsid w:val="00660A43"/>
    <w:rsid w:val="0066172B"/>
    <w:rsid w:val="006620E8"/>
    <w:rsid w:val="006630D0"/>
    <w:rsid w:val="00664D3F"/>
    <w:rsid w:val="00664DEC"/>
    <w:rsid w:val="0066543A"/>
    <w:rsid w:val="006664C1"/>
    <w:rsid w:val="00670CCE"/>
    <w:rsid w:val="00670D01"/>
    <w:rsid w:val="0067216B"/>
    <w:rsid w:val="0067339C"/>
    <w:rsid w:val="00674C68"/>
    <w:rsid w:val="00675574"/>
    <w:rsid w:val="00675D4F"/>
    <w:rsid w:val="00677686"/>
    <w:rsid w:val="0068174A"/>
    <w:rsid w:val="00681BA3"/>
    <w:rsid w:val="00683CA1"/>
    <w:rsid w:val="00683D1C"/>
    <w:rsid w:val="00684AEB"/>
    <w:rsid w:val="00685C03"/>
    <w:rsid w:val="00685FA6"/>
    <w:rsid w:val="006905D9"/>
    <w:rsid w:val="00693639"/>
    <w:rsid w:val="006939E3"/>
    <w:rsid w:val="00693A38"/>
    <w:rsid w:val="00693D34"/>
    <w:rsid w:val="00695E18"/>
    <w:rsid w:val="0069691A"/>
    <w:rsid w:val="006973E1"/>
    <w:rsid w:val="00697B15"/>
    <w:rsid w:val="006A0117"/>
    <w:rsid w:val="006A077B"/>
    <w:rsid w:val="006A24A7"/>
    <w:rsid w:val="006A27C3"/>
    <w:rsid w:val="006A2FDF"/>
    <w:rsid w:val="006A5BD2"/>
    <w:rsid w:val="006A5D54"/>
    <w:rsid w:val="006A5FC6"/>
    <w:rsid w:val="006A660C"/>
    <w:rsid w:val="006B3BA9"/>
    <w:rsid w:val="006B3CED"/>
    <w:rsid w:val="006B5692"/>
    <w:rsid w:val="006B5E3D"/>
    <w:rsid w:val="006B6294"/>
    <w:rsid w:val="006B686B"/>
    <w:rsid w:val="006B7315"/>
    <w:rsid w:val="006C0306"/>
    <w:rsid w:val="006C0D11"/>
    <w:rsid w:val="006C1048"/>
    <w:rsid w:val="006C2F15"/>
    <w:rsid w:val="006C3028"/>
    <w:rsid w:val="006C6205"/>
    <w:rsid w:val="006D0D3B"/>
    <w:rsid w:val="006D1353"/>
    <w:rsid w:val="006D18C4"/>
    <w:rsid w:val="006D2738"/>
    <w:rsid w:val="006D53B8"/>
    <w:rsid w:val="006D6A48"/>
    <w:rsid w:val="006E05BE"/>
    <w:rsid w:val="006E14CA"/>
    <w:rsid w:val="006E3BB7"/>
    <w:rsid w:val="006E4F7D"/>
    <w:rsid w:val="006F0E61"/>
    <w:rsid w:val="006F1B6A"/>
    <w:rsid w:val="006F1DF7"/>
    <w:rsid w:val="006F1FE6"/>
    <w:rsid w:val="006F2F8F"/>
    <w:rsid w:val="006F36B5"/>
    <w:rsid w:val="006F45DC"/>
    <w:rsid w:val="006F4AC3"/>
    <w:rsid w:val="006F69CB"/>
    <w:rsid w:val="006F7B25"/>
    <w:rsid w:val="00702BE8"/>
    <w:rsid w:val="007030EA"/>
    <w:rsid w:val="00703114"/>
    <w:rsid w:val="00703CD0"/>
    <w:rsid w:val="00703DAA"/>
    <w:rsid w:val="00704659"/>
    <w:rsid w:val="0070776C"/>
    <w:rsid w:val="007078E5"/>
    <w:rsid w:val="00707A59"/>
    <w:rsid w:val="00712E5C"/>
    <w:rsid w:val="00713E55"/>
    <w:rsid w:val="00714FB4"/>
    <w:rsid w:val="007151FC"/>
    <w:rsid w:val="0071622B"/>
    <w:rsid w:val="007163AB"/>
    <w:rsid w:val="00717A09"/>
    <w:rsid w:val="00717C8C"/>
    <w:rsid w:val="00721314"/>
    <w:rsid w:val="007216BB"/>
    <w:rsid w:val="00722C5D"/>
    <w:rsid w:val="00722DCD"/>
    <w:rsid w:val="00724C81"/>
    <w:rsid w:val="00725051"/>
    <w:rsid w:val="007254AD"/>
    <w:rsid w:val="007314A2"/>
    <w:rsid w:val="00731D4E"/>
    <w:rsid w:val="007323B0"/>
    <w:rsid w:val="00733C7C"/>
    <w:rsid w:val="007350AD"/>
    <w:rsid w:val="00736844"/>
    <w:rsid w:val="007407B5"/>
    <w:rsid w:val="007412E3"/>
    <w:rsid w:val="007416CE"/>
    <w:rsid w:val="007422CE"/>
    <w:rsid w:val="007444B3"/>
    <w:rsid w:val="007446DF"/>
    <w:rsid w:val="00745B20"/>
    <w:rsid w:val="00745B68"/>
    <w:rsid w:val="00746A34"/>
    <w:rsid w:val="00750553"/>
    <w:rsid w:val="0075344B"/>
    <w:rsid w:val="00753FA6"/>
    <w:rsid w:val="00755C5D"/>
    <w:rsid w:val="00756598"/>
    <w:rsid w:val="00757214"/>
    <w:rsid w:val="00757460"/>
    <w:rsid w:val="00760C12"/>
    <w:rsid w:val="0076151B"/>
    <w:rsid w:val="00763BC3"/>
    <w:rsid w:val="007655AE"/>
    <w:rsid w:val="00765C9B"/>
    <w:rsid w:val="00767EC1"/>
    <w:rsid w:val="00770D2B"/>
    <w:rsid w:val="00771A54"/>
    <w:rsid w:val="007720BB"/>
    <w:rsid w:val="0077228F"/>
    <w:rsid w:val="00772A44"/>
    <w:rsid w:val="007739DD"/>
    <w:rsid w:val="0077760A"/>
    <w:rsid w:val="00777722"/>
    <w:rsid w:val="00777F18"/>
    <w:rsid w:val="00782627"/>
    <w:rsid w:val="007853E8"/>
    <w:rsid w:val="0078637D"/>
    <w:rsid w:val="00786613"/>
    <w:rsid w:val="0078673C"/>
    <w:rsid w:val="00786B3A"/>
    <w:rsid w:val="00786E98"/>
    <w:rsid w:val="00786EEC"/>
    <w:rsid w:val="0078755F"/>
    <w:rsid w:val="00787649"/>
    <w:rsid w:val="00787D36"/>
    <w:rsid w:val="00787D43"/>
    <w:rsid w:val="007904E4"/>
    <w:rsid w:val="00792E91"/>
    <w:rsid w:val="007936C6"/>
    <w:rsid w:val="00793FBC"/>
    <w:rsid w:val="00796B99"/>
    <w:rsid w:val="0079712D"/>
    <w:rsid w:val="007A1477"/>
    <w:rsid w:val="007A1957"/>
    <w:rsid w:val="007A37A3"/>
    <w:rsid w:val="007A42EB"/>
    <w:rsid w:val="007A44DE"/>
    <w:rsid w:val="007A4DC3"/>
    <w:rsid w:val="007A54E7"/>
    <w:rsid w:val="007A57EA"/>
    <w:rsid w:val="007A662A"/>
    <w:rsid w:val="007B3AD9"/>
    <w:rsid w:val="007B4767"/>
    <w:rsid w:val="007B4F4C"/>
    <w:rsid w:val="007B577F"/>
    <w:rsid w:val="007B64E7"/>
    <w:rsid w:val="007B65AE"/>
    <w:rsid w:val="007B7AF4"/>
    <w:rsid w:val="007C0257"/>
    <w:rsid w:val="007C1481"/>
    <w:rsid w:val="007C1A60"/>
    <w:rsid w:val="007C29DC"/>
    <w:rsid w:val="007C3BEB"/>
    <w:rsid w:val="007C3FB8"/>
    <w:rsid w:val="007C4384"/>
    <w:rsid w:val="007C46C9"/>
    <w:rsid w:val="007C4A5C"/>
    <w:rsid w:val="007C4F20"/>
    <w:rsid w:val="007C51F8"/>
    <w:rsid w:val="007C60AE"/>
    <w:rsid w:val="007C65A3"/>
    <w:rsid w:val="007D29E9"/>
    <w:rsid w:val="007D48CE"/>
    <w:rsid w:val="007D5538"/>
    <w:rsid w:val="007D589C"/>
    <w:rsid w:val="007D6A8F"/>
    <w:rsid w:val="007E13E1"/>
    <w:rsid w:val="007E2164"/>
    <w:rsid w:val="007E3DCC"/>
    <w:rsid w:val="007E6B91"/>
    <w:rsid w:val="007F0D83"/>
    <w:rsid w:val="007F162E"/>
    <w:rsid w:val="007F2CFA"/>
    <w:rsid w:val="007F32DB"/>
    <w:rsid w:val="007F3B20"/>
    <w:rsid w:val="007F41C2"/>
    <w:rsid w:val="007F5FC0"/>
    <w:rsid w:val="007F6143"/>
    <w:rsid w:val="008013BB"/>
    <w:rsid w:val="0080184F"/>
    <w:rsid w:val="00802386"/>
    <w:rsid w:val="008045E7"/>
    <w:rsid w:val="00804A07"/>
    <w:rsid w:val="0080697A"/>
    <w:rsid w:val="00806C49"/>
    <w:rsid w:val="008074CE"/>
    <w:rsid w:val="00810AF0"/>
    <w:rsid w:val="00811357"/>
    <w:rsid w:val="00811634"/>
    <w:rsid w:val="00811E18"/>
    <w:rsid w:val="008126E8"/>
    <w:rsid w:val="00813530"/>
    <w:rsid w:val="008135F3"/>
    <w:rsid w:val="008149DC"/>
    <w:rsid w:val="0081561A"/>
    <w:rsid w:val="00815F6A"/>
    <w:rsid w:val="00815FE1"/>
    <w:rsid w:val="00821E98"/>
    <w:rsid w:val="00823C80"/>
    <w:rsid w:val="00824843"/>
    <w:rsid w:val="00826350"/>
    <w:rsid w:val="00826995"/>
    <w:rsid w:val="0083253F"/>
    <w:rsid w:val="00833192"/>
    <w:rsid w:val="008344CB"/>
    <w:rsid w:val="00834DB8"/>
    <w:rsid w:val="00837B36"/>
    <w:rsid w:val="008403C1"/>
    <w:rsid w:val="00840411"/>
    <w:rsid w:val="008405F4"/>
    <w:rsid w:val="00843E04"/>
    <w:rsid w:val="008441E8"/>
    <w:rsid w:val="00844818"/>
    <w:rsid w:val="0084482F"/>
    <w:rsid w:val="0084488D"/>
    <w:rsid w:val="008454B7"/>
    <w:rsid w:val="008457E2"/>
    <w:rsid w:val="008463A4"/>
    <w:rsid w:val="00846835"/>
    <w:rsid w:val="008469F4"/>
    <w:rsid w:val="00847B71"/>
    <w:rsid w:val="00850C6C"/>
    <w:rsid w:val="00850CB7"/>
    <w:rsid w:val="00851A53"/>
    <w:rsid w:val="00854E55"/>
    <w:rsid w:val="00854F62"/>
    <w:rsid w:val="00860565"/>
    <w:rsid w:val="0086064D"/>
    <w:rsid w:val="00860944"/>
    <w:rsid w:val="00860E74"/>
    <w:rsid w:val="00862049"/>
    <w:rsid w:val="0086253A"/>
    <w:rsid w:val="00862DB1"/>
    <w:rsid w:val="0086370B"/>
    <w:rsid w:val="0086714A"/>
    <w:rsid w:val="0087133F"/>
    <w:rsid w:val="00872212"/>
    <w:rsid w:val="00872DAD"/>
    <w:rsid w:val="00876253"/>
    <w:rsid w:val="00877381"/>
    <w:rsid w:val="00877B5A"/>
    <w:rsid w:val="008814CF"/>
    <w:rsid w:val="00883567"/>
    <w:rsid w:val="00885290"/>
    <w:rsid w:val="008855E1"/>
    <w:rsid w:val="008875EA"/>
    <w:rsid w:val="00891FAC"/>
    <w:rsid w:val="00893003"/>
    <w:rsid w:val="00893C08"/>
    <w:rsid w:val="00894E13"/>
    <w:rsid w:val="00896EA4"/>
    <w:rsid w:val="00897811"/>
    <w:rsid w:val="008A01E4"/>
    <w:rsid w:val="008A0AAB"/>
    <w:rsid w:val="008A24F7"/>
    <w:rsid w:val="008A32BC"/>
    <w:rsid w:val="008A32D7"/>
    <w:rsid w:val="008A333D"/>
    <w:rsid w:val="008A394E"/>
    <w:rsid w:val="008A4BF1"/>
    <w:rsid w:val="008A7305"/>
    <w:rsid w:val="008B0160"/>
    <w:rsid w:val="008B219E"/>
    <w:rsid w:val="008B2D98"/>
    <w:rsid w:val="008B3211"/>
    <w:rsid w:val="008B3CA0"/>
    <w:rsid w:val="008B3F05"/>
    <w:rsid w:val="008B48EA"/>
    <w:rsid w:val="008B4F9C"/>
    <w:rsid w:val="008B5950"/>
    <w:rsid w:val="008B7AFC"/>
    <w:rsid w:val="008C12D4"/>
    <w:rsid w:val="008C5AF7"/>
    <w:rsid w:val="008C5EE1"/>
    <w:rsid w:val="008D00D4"/>
    <w:rsid w:val="008D0890"/>
    <w:rsid w:val="008D09A6"/>
    <w:rsid w:val="008D09AD"/>
    <w:rsid w:val="008D1BCD"/>
    <w:rsid w:val="008D2F52"/>
    <w:rsid w:val="008D36A8"/>
    <w:rsid w:val="008D4AF8"/>
    <w:rsid w:val="008D524C"/>
    <w:rsid w:val="008D5B25"/>
    <w:rsid w:val="008D5BDB"/>
    <w:rsid w:val="008D6615"/>
    <w:rsid w:val="008D6B79"/>
    <w:rsid w:val="008D7AD2"/>
    <w:rsid w:val="008E03E8"/>
    <w:rsid w:val="008E126F"/>
    <w:rsid w:val="008E1F3F"/>
    <w:rsid w:val="008E343B"/>
    <w:rsid w:val="008E3FA8"/>
    <w:rsid w:val="008E4578"/>
    <w:rsid w:val="008E4A5E"/>
    <w:rsid w:val="008E4AE7"/>
    <w:rsid w:val="008E75B3"/>
    <w:rsid w:val="008F0404"/>
    <w:rsid w:val="008F078F"/>
    <w:rsid w:val="008F1363"/>
    <w:rsid w:val="008F1864"/>
    <w:rsid w:val="008F22BD"/>
    <w:rsid w:val="008F2BEF"/>
    <w:rsid w:val="008F3007"/>
    <w:rsid w:val="008F5B77"/>
    <w:rsid w:val="008F7C72"/>
    <w:rsid w:val="0090198E"/>
    <w:rsid w:val="00902F0C"/>
    <w:rsid w:val="00903CA3"/>
    <w:rsid w:val="00905095"/>
    <w:rsid w:val="0090593A"/>
    <w:rsid w:val="0090759F"/>
    <w:rsid w:val="009075EE"/>
    <w:rsid w:val="00907C15"/>
    <w:rsid w:val="009100A4"/>
    <w:rsid w:val="00910D89"/>
    <w:rsid w:val="00911F99"/>
    <w:rsid w:val="00912B85"/>
    <w:rsid w:val="00913B77"/>
    <w:rsid w:val="00913B7D"/>
    <w:rsid w:val="00913FA1"/>
    <w:rsid w:val="0091452F"/>
    <w:rsid w:val="009149F0"/>
    <w:rsid w:val="0091680B"/>
    <w:rsid w:val="00916C9E"/>
    <w:rsid w:val="00920E4E"/>
    <w:rsid w:val="009254EA"/>
    <w:rsid w:val="00925596"/>
    <w:rsid w:val="00926107"/>
    <w:rsid w:val="00926341"/>
    <w:rsid w:val="00927EC7"/>
    <w:rsid w:val="009317EB"/>
    <w:rsid w:val="009338DA"/>
    <w:rsid w:val="009355BB"/>
    <w:rsid w:val="0093679F"/>
    <w:rsid w:val="009406AA"/>
    <w:rsid w:val="009424AA"/>
    <w:rsid w:val="00942B2D"/>
    <w:rsid w:val="009431E5"/>
    <w:rsid w:val="0094339C"/>
    <w:rsid w:val="009450B8"/>
    <w:rsid w:val="009451FE"/>
    <w:rsid w:val="00946EE7"/>
    <w:rsid w:val="009475F4"/>
    <w:rsid w:val="00951588"/>
    <w:rsid w:val="009516B8"/>
    <w:rsid w:val="00953FAD"/>
    <w:rsid w:val="009543D7"/>
    <w:rsid w:val="009548AC"/>
    <w:rsid w:val="0095574D"/>
    <w:rsid w:val="009600AE"/>
    <w:rsid w:val="0096054A"/>
    <w:rsid w:val="00962427"/>
    <w:rsid w:val="009625BC"/>
    <w:rsid w:val="00963D72"/>
    <w:rsid w:val="00964D86"/>
    <w:rsid w:val="00964F72"/>
    <w:rsid w:val="00966EFF"/>
    <w:rsid w:val="00970BED"/>
    <w:rsid w:val="00970DDF"/>
    <w:rsid w:val="00971396"/>
    <w:rsid w:val="00972BD8"/>
    <w:rsid w:val="0097487F"/>
    <w:rsid w:val="00975C3B"/>
    <w:rsid w:val="00981831"/>
    <w:rsid w:val="00982A48"/>
    <w:rsid w:val="009833D5"/>
    <w:rsid w:val="00983EF3"/>
    <w:rsid w:val="00984920"/>
    <w:rsid w:val="00985C54"/>
    <w:rsid w:val="009864F3"/>
    <w:rsid w:val="00986CE2"/>
    <w:rsid w:val="00987536"/>
    <w:rsid w:val="00990866"/>
    <w:rsid w:val="009910C2"/>
    <w:rsid w:val="009915E6"/>
    <w:rsid w:val="00991EF1"/>
    <w:rsid w:val="00993ED3"/>
    <w:rsid w:val="009944AD"/>
    <w:rsid w:val="00994E30"/>
    <w:rsid w:val="009A174B"/>
    <w:rsid w:val="009A1C82"/>
    <w:rsid w:val="009A1E7B"/>
    <w:rsid w:val="009A2900"/>
    <w:rsid w:val="009A2B7A"/>
    <w:rsid w:val="009A2D11"/>
    <w:rsid w:val="009A33CB"/>
    <w:rsid w:val="009A49F5"/>
    <w:rsid w:val="009A4D87"/>
    <w:rsid w:val="009A545D"/>
    <w:rsid w:val="009A6435"/>
    <w:rsid w:val="009A70AD"/>
    <w:rsid w:val="009A78CD"/>
    <w:rsid w:val="009B10DD"/>
    <w:rsid w:val="009B14B6"/>
    <w:rsid w:val="009B25AC"/>
    <w:rsid w:val="009B25D1"/>
    <w:rsid w:val="009B37BE"/>
    <w:rsid w:val="009B4B80"/>
    <w:rsid w:val="009B7C38"/>
    <w:rsid w:val="009C059E"/>
    <w:rsid w:val="009C0B3A"/>
    <w:rsid w:val="009C2C64"/>
    <w:rsid w:val="009C3E56"/>
    <w:rsid w:val="009C4A80"/>
    <w:rsid w:val="009C5615"/>
    <w:rsid w:val="009D15A9"/>
    <w:rsid w:val="009D260D"/>
    <w:rsid w:val="009D2A95"/>
    <w:rsid w:val="009D3839"/>
    <w:rsid w:val="009D3C3D"/>
    <w:rsid w:val="009D4D0C"/>
    <w:rsid w:val="009E18E1"/>
    <w:rsid w:val="009E35EB"/>
    <w:rsid w:val="009E43F4"/>
    <w:rsid w:val="009E4671"/>
    <w:rsid w:val="009E5213"/>
    <w:rsid w:val="009E5A7C"/>
    <w:rsid w:val="009E6718"/>
    <w:rsid w:val="009F1B92"/>
    <w:rsid w:val="009F3332"/>
    <w:rsid w:val="009F508E"/>
    <w:rsid w:val="009F693F"/>
    <w:rsid w:val="009F6C17"/>
    <w:rsid w:val="00A00181"/>
    <w:rsid w:val="00A00893"/>
    <w:rsid w:val="00A01EA7"/>
    <w:rsid w:val="00A024E3"/>
    <w:rsid w:val="00A0491D"/>
    <w:rsid w:val="00A04FCF"/>
    <w:rsid w:val="00A05D0E"/>
    <w:rsid w:val="00A064CB"/>
    <w:rsid w:val="00A0663A"/>
    <w:rsid w:val="00A07968"/>
    <w:rsid w:val="00A10839"/>
    <w:rsid w:val="00A10AE8"/>
    <w:rsid w:val="00A11993"/>
    <w:rsid w:val="00A13285"/>
    <w:rsid w:val="00A15508"/>
    <w:rsid w:val="00A2059E"/>
    <w:rsid w:val="00A20A44"/>
    <w:rsid w:val="00A21CC4"/>
    <w:rsid w:val="00A21EC1"/>
    <w:rsid w:val="00A21F50"/>
    <w:rsid w:val="00A225A3"/>
    <w:rsid w:val="00A23805"/>
    <w:rsid w:val="00A26F91"/>
    <w:rsid w:val="00A27A84"/>
    <w:rsid w:val="00A27FE2"/>
    <w:rsid w:val="00A319DA"/>
    <w:rsid w:val="00A31CCC"/>
    <w:rsid w:val="00A3318F"/>
    <w:rsid w:val="00A3436E"/>
    <w:rsid w:val="00A34F08"/>
    <w:rsid w:val="00A3612E"/>
    <w:rsid w:val="00A36D16"/>
    <w:rsid w:val="00A3773E"/>
    <w:rsid w:val="00A37C62"/>
    <w:rsid w:val="00A40B6D"/>
    <w:rsid w:val="00A40DA0"/>
    <w:rsid w:val="00A41CDD"/>
    <w:rsid w:val="00A46931"/>
    <w:rsid w:val="00A46D71"/>
    <w:rsid w:val="00A50DD7"/>
    <w:rsid w:val="00A51771"/>
    <w:rsid w:val="00A51A01"/>
    <w:rsid w:val="00A52078"/>
    <w:rsid w:val="00A54512"/>
    <w:rsid w:val="00A54F06"/>
    <w:rsid w:val="00A560D1"/>
    <w:rsid w:val="00A574EE"/>
    <w:rsid w:val="00A576EF"/>
    <w:rsid w:val="00A61C76"/>
    <w:rsid w:val="00A63367"/>
    <w:rsid w:val="00A657CD"/>
    <w:rsid w:val="00A66F23"/>
    <w:rsid w:val="00A67869"/>
    <w:rsid w:val="00A70DF9"/>
    <w:rsid w:val="00A70FCE"/>
    <w:rsid w:val="00A718EA"/>
    <w:rsid w:val="00A71ED7"/>
    <w:rsid w:val="00A72EA2"/>
    <w:rsid w:val="00A73E30"/>
    <w:rsid w:val="00A74D14"/>
    <w:rsid w:val="00A7520D"/>
    <w:rsid w:val="00A753AF"/>
    <w:rsid w:val="00A75B9D"/>
    <w:rsid w:val="00A76E57"/>
    <w:rsid w:val="00A80CB0"/>
    <w:rsid w:val="00A82DAA"/>
    <w:rsid w:val="00A838B4"/>
    <w:rsid w:val="00A854EE"/>
    <w:rsid w:val="00A8587B"/>
    <w:rsid w:val="00A85F4B"/>
    <w:rsid w:val="00A86089"/>
    <w:rsid w:val="00A868F1"/>
    <w:rsid w:val="00A87254"/>
    <w:rsid w:val="00A903EA"/>
    <w:rsid w:val="00A90855"/>
    <w:rsid w:val="00A92EFE"/>
    <w:rsid w:val="00A9302E"/>
    <w:rsid w:val="00A93513"/>
    <w:rsid w:val="00A935DD"/>
    <w:rsid w:val="00A94ABC"/>
    <w:rsid w:val="00A94DA1"/>
    <w:rsid w:val="00A9703B"/>
    <w:rsid w:val="00A970A3"/>
    <w:rsid w:val="00A9775D"/>
    <w:rsid w:val="00A97885"/>
    <w:rsid w:val="00AA0D9C"/>
    <w:rsid w:val="00AA24D2"/>
    <w:rsid w:val="00AA3509"/>
    <w:rsid w:val="00AA37C3"/>
    <w:rsid w:val="00AA40D2"/>
    <w:rsid w:val="00AA4920"/>
    <w:rsid w:val="00AA4EB3"/>
    <w:rsid w:val="00AA7C79"/>
    <w:rsid w:val="00AB02BC"/>
    <w:rsid w:val="00AB1DBB"/>
    <w:rsid w:val="00AB2418"/>
    <w:rsid w:val="00AB2DCE"/>
    <w:rsid w:val="00AB420D"/>
    <w:rsid w:val="00AB43CD"/>
    <w:rsid w:val="00AB51FA"/>
    <w:rsid w:val="00AB548A"/>
    <w:rsid w:val="00AB569F"/>
    <w:rsid w:val="00AB5B52"/>
    <w:rsid w:val="00AB5F87"/>
    <w:rsid w:val="00AB7E07"/>
    <w:rsid w:val="00AC2909"/>
    <w:rsid w:val="00AC36E9"/>
    <w:rsid w:val="00AD0B7E"/>
    <w:rsid w:val="00AD0F99"/>
    <w:rsid w:val="00AD276B"/>
    <w:rsid w:val="00AD3DA5"/>
    <w:rsid w:val="00AD48EA"/>
    <w:rsid w:val="00AD4E47"/>
    <w:rsid w:val="00AD4E6D"/>
    <w:rsid w:val="00AD54A0"/>
    <w:rsid w:val="00AD5873"/>
    <w:rsid w:val="00AD619A"/>
    <w:rsid w:val="00AD62E2"/>
    <w:rsid w:val="00AD6BB2"/>
    <w:rsid w:val="00AD6E65"/>
    <w:rsid w:val="00AE040B"/>
    <w:rsid w:val="00AE060A"/>
    <w:rsid w:val="00AE31D8"/>
    <w:rsid w:val="00AE46A4"/>
    <w:rsid w:val="00AE5885"/>
    <w:rsid w:val="00AE5CA9"/>
    <w:rsid w:val="00AE7B1B"/>
    <w:rsid w:val="00AF09FE"/>
    <w:rsid w:val="00AF0A24"/>
    <w:rsid w:val="00AF1307"/>
    <w:rsid w:val="00AF13C5"/>
    <w:rsid w:val="00AF2109"/>
    <w:rsid w:val="00AF2FF7"/>
    <w:rsid w:val="00AF33C6"/>
    <w:rsid w:val="00AF676E"/>
    <w:rsid w:val="00AF69F7"/>
    <w:rsid w:val="00AF6A78"/>
    <w:rsid w:val="00AF7DCA"/>
    <w:rsid w:val="00B01903"/>
    <w:rsid w:val="00B025A1"/>
    <w:rsid w:val="00B03A0F"/>
    <w:rsid w:val="00B0419F"/>
    <w:rsid w:val="00B04F76"/>
    <w:rsid w:val="00B0583F"/>
    <w:rsid w:val="00B0661A"/>
    <w:rsid w:val="00B07650"/>
    <w:rsid w:val="00B07847"/>
    <w:rsid w:val="00B1079E"/>
    <w:rsid w:val="00B11BC2"/>
    <w:rsid w:val="00B127D1"/>
    <w:rsid w:val="00B157B3"/>
    <w:rsid w:val="00B16CA0"/>
    <w:rsid w:val="00B16D8A"/>
    <w:rsid w:val="00B17E52"/>
    <w:rsid w:val="00B20E89"/>
    <w:rsid w:val="00B21451"/>
    <w:rsid w:val="00B23EB2"/>
    <w:rsid w:val="00B24481"/>
    <w:rsid w:val="00B25BC4"/>
    <w:rsid w:val="00B269B0"/>
    <w:rsid w:val="00B26DE9"/>
    <w:rsid w:val="00B27CC7"/>
    <w:rsid w:val="00B30C97"/>
    <w:rsid w:val="00B361A2"/>
    <w:rsid w:val="00B37666"/>
    <w:rsid w:val="00B406BB"/>
    <w:rsid w:val="00B4075F"/>
    <w:rsid w:val="00B42600"/>
    <w:rsid w:val="00B42A60"/>
    <w:rsid w:val="00B43044"/>
    <w:rsid w:val="00B4578D"/>
    <w:rsid w:val="00B45ACD"/>
    <w:rsid w:val="00B464F7"/>
    <w:rsid w:val="00B46593"/>
    <w:rsid w:val="00B473D2"/>
    <w:rsid w:val="00B47504"/>
    <w:rsid w:val="00B476E3"/>
    <w:rsid w:val="00B50AA0"/>
    <w:rsid w:val="00B50ABD"/>
    <w:rsid w:val="00B5106D"/>
    <w:rsid w:val="00B53192"/>
    <w:rsid w:val="00B53B6D"/>
    <w:rsid w:val="00B54E19"/>
    <w:rsid w:val="00B55154"/>
    <w:rsid w:val="00B55889"/>
    <w:rsid w:val="00B57565"/>
    <w:rsid w:val="00B60946"/>
    <w:rsid w:val="00B60EA3"/>
    <w:rsid w:val="00B61351"/>
    <w:rsid w:val="00B61352"/>
    <w:rsid w:val="00B61FAF"/>
    <w:rsid w:val="00B62C4E"/>
    <w:rsid w:val="00B64747"/>
    <w:rsid w:val="00B66733"/>
    <w:rsid w:val="00B6751F"/>
    <w:rsid w:val="00B71271"/>
    <w:rsid w:val="00B7227F"/>
    <w:rsid w:val="00B72340"/>
    <w:rsid w:val="00B72679"/>
    <w:rsid w:val="00B76E8E"/>
    <w:rsid w:val="00B824ED"/>
    <w:rsid w:val="00B836FA"/>
    <w:rsid w:val="00B83C74"/>
    <w:rsid w:val="00B8525A"/>
    <w:rsid w:val="00B8526D"/>
    <w:rsid w:val="00B85CE6"/>
    <w:rsid w:val="00B87016"/>
    <w:rsid w:val="00B87B8B"/>
    <w:rsid w:val="00B9047B"/>
    <w:rsid w:val="00B914E9"/>
    <w:rsid w:val="00B91C8C"/>
    <w:rsid w:val="00B92C45"/>
    <w:rsid w:val="00B94740"/>
    <w:rsid w:val="00BA023A"/>
    <w:rsid w:val="00BA1E90"/>
    <w:rsid w:val="00BA5CEE"/>
    <w:rsid w:val="00BB0EC3"/>
    <w:rsid w:val="00BB1275"/>
    <w:rsid w:val="00BB1577"/>
    <w:rsid w:val="00BB1CB2"/>
    <w:rsid w:val="00BB1FE5"/>
    <w:rsid w:val="00BB3959"/>
    <w:rsid w:val="00BB4276"/>
    <w:rsid w:val="00BB4699"/>
    <w:rsid w:val="00BB635F"/>
    <w:rsid w:val="00BB63C4"/>
    <w:rsid w:val="00BB649F"/>
    <w:rsid w:val="00BB6C70"/>
    <w:rsid w:val="00BB7C40"/>
    <w:rsid w:val="00BC05A9"/>
    <w:rsid w:val="00BC1E86"/>
    <w:rsid w:val="00BC5959"/>
    <w:rsid w:val="00BC5F0D"/>
    <w:rsid w:val="00BC6BF8"/>
    <w:rsid w:val="00BC6D4E"/>
    <w:rsid w:val="00BD03E9"/>
    <w:rsid w:val="00BD2D56"/>
    <w:rsid w:val="00BD4198"/>
    <w:rsid w:val="00BD532E"/>
    <w:rsid w:val="00BD6DDC"/>
    <w:rsid w:val="00BE095F"/>
    <w:rsid w:val="00BE287D"/>
    <w:rsid w:val="00BE2A3A"/>
    <w:rsid w:val="00BE4581"/>
    <w:rsid w:val="00BE4A9E"/>
    <w:rsid w:val="00BE795C"/>
    <w:rsid w:val="00BF07E7"/>
    <w:rsid w:val="00BF0EC0"/>
    <w:rsid w:val="00BF1680"/>
    <w:rsid w:val="00BF1E74"/>
    <w:rsid w:val="00BF2B4C"/>
    <w:rsid w:val="00BF4B22"/>
    <w:rsid w:val="00BF69A0"/>
    <w:rsid w:val="00BF7B94"/>
    <w:rsid w:val="00C00C09"/>
    <w:rsid w:val="00C00D37"/>
    <w:rsid w:val="00C01A5A"/>
    <w:rsid w:val="00C02EC7"/>
    <w:rsid w:val="00C040B7"/>
    <w:rsid w:val="00C054DB"/>
    <w:rsid w:val="00C06EE2"/>
    <w:rsid w:val="00C07692"/>
    <w:rsid w:val="00C0795D"/>
    <w:rsid w:val="00C1006F"/>
    <w:rsid w:val="00C10778"/>
    <w:rsid w:val="00C117BF"/>
    <w:rsid w:val="00C121DD"/>
    <w:rsid w:val="00C13F10"/>
    <w:rsid w:val="00C20BB7"/>
    <w:rsid w:val="00C22939"/>
    <w:rsid w:val="00C24441"/>
    <w:rsid w:val="00C267BF"/>
    <w:rsid w:val="00C30AC9"/>
    <w:rsid w:val="00C32A8E"/>
    <w:rsid w:val="00C33C9B"/>
    <w:rsid w:val="00C343D4"/>
    <w:rsid w:val="00C36012"/>
    <w:rsid w:val="00C371ED"/>
    <w:rsid w:val="00C37279"/>
    <w:rsid w:val="00C41C2B"/>
    <w:rsid w:val="00C453BE"/>
    <w:rsid w:val="00C455C7"/>
    <w:rsid w:val="00C46916"/>
    <w:rsid w:val="00C4786E"/>
    <w:rsid w:val="00C500D9"/>
    <w:rsid w:val="00C50E40"/>
    <w:rsid w:val="00C52ECD"/>
    <w:rsid w:val="00C5654A"/>
    <w:rsid w:val="00C57CEE"/>
    <w:rsid w:val="00C60C3F"/>
    <w:rsid w:val="00C626D7"/>
    <w:rsid w:val="00C62754"/>
    <w:rsid w:val="00C629E7"/>
    <w:rsid w:val="00C63A6E"/>
    <w:rsid w:val="00C641A4"/>
    <w:rsid w:val="00C64738"/>
    <w:rsid w:val="00C647AD"/>
    <w:rsid w:val="00C648B5"/>
    <w:rsid w:val="00C65D82"/>
    <w:rsid w:val="00C7090D"/>
    <w:rsid w:val="00C74A30"/>
    <w:rsid w:val="00C75906"/>
    <w:rsid w:val="00C760CC"/>
    <w:rsid w:val="00C80D54"/>
    <w:rsid w:val="00C81410"/>
    <w:rsid w:val="00C817FE"/>
    <w:rsid w:val="00C827F3"/>
    <w:rsid w:val="00C833E9"/>
    <w:rsid w:val="00C837F9"/>
    <w:rsid w:val="00C849EE"/>
    <w:rsid w:val="00C85DD9"/>
    <w:rsid w:val="00C86E1A"/>
    <w:rsid w:val="00C87287"/>
    <w:rsid w:val="00C872C3"/>
    <w:rsid w:val="00C91782"/>
    <w:rsid w:val="00C93232"/>
    <w:rsid w:val="00C93C18"/>
    <w:rsid w:val="00C94DE4"/>
    <w:rsid w:val="00C9542E"/>
    <w:rsid w:val="00C9546B"/>
    <w:rsid w:val="00C955E9"/>
    <w:rsid w:val="00C957DB"/>
    <w:rsid w:val="00C976D9"/>
    <w:rsid w:val="00C97D3D"/>
    <w:rsid w:val="00CA11DB"/>
    <w:rsid w:val="00CA17D7"/>
    <w:rsid w:val="00CA1AA4"/>
    <w:rsid w:val="00CA3CFD"/>
    <w:rsid w:val="00CA3E1D"/>
    <w:rsid w:val="00CA401D"/>
    <w:rsid w:val="00CA7632"/>
    <w:rsid w:val="00CB0224"/>
    <w:rsid w:val="00CB1CB0"/>
    <w:rsid w:val="00CB218D"/>
    <w:rsid w:val="00CB5C50"/>
    <w:rsid w:val="00CB65DE"/>
    <w:rsid w:val="00CB7455"/>
    <w:rsid w:val="00CC076E"/>
    <w:rsid w:val="00CC1B82"/>
    <w:rsid w:val="00CC1E36"/>
    <w:rsid w:val="00CC1FE7"/>
    <w:rsid w:val="00CC47FF"/>
    <w:rsid w:val="00CC68D6"/>
    <w:rsid w:val="00CC79A3"/>
    <w:rsid w:val="00CD13D0"/>
    <w:rsid w:val="00CD20B5"/>
    <w:rsid w:val="00CD29F9"/>
    <w:rsid w:val="00CD316C"/>
    <w:rsid w:val="00CD353C"/>
    <w:rsid w:val="00CD48BB"/>
    <w:rsid w:val="00CE06E0"/>
    <w:rsid w:val="00CE06EF"/>
    <w:rsid w:val="00CE091B"/>
    <w:rsid w:val="00CE1594"/>
    <w:rsid w:val="00CE2732"/>
    <w:rsid w:val="00CE4085"/>
    <w:rsid w:val="00CE477B"/>
    <w:rsid w:val="00CE47AA"/>
    <w:rsid w:val="00CE7E59"/>
    <w:rsid w:val="00CF00D3"/>
    <w:rsid w:val="00CF07B4"/>
    <w:rsid w:val="00CF3AE6"/>
    <w:rsid w:val="00CF4910"/>
    <w:rsid w:val="00CF6068"/>
    <w:rsid w:val="00CF63BD"/>
    <w:rsid w:val="00CF6B4D"/>
    <w:rsid w:val="00CF6D15"/>
    <w:rsid w:val="00CF7E51"/>
    <w:rsid w:val="00D00A13"/>
    <w:rsid w:val="00D017DA"/>
    <w:rsid w:val="00D02110"/>
    <w:rsid w:val="00D026E0"/>
    <w:rsid w:val="00D03622"/>
    <w:rsid w:val="00D04324"/>
    <w:rsid w:val="00D05C3A"/>
    <w:rsid w:val="00D074E0"/>
    <w:rsid w:val="00D145C1"/>
    <w:rsid w:val="00D17320"/>
    <w:rsid w:val="00D17CE3"/>
    <w:rsid w:val="00D2085B"/>
    <w:rsid w:val="00D2177C"/>
    <w:rsid w:val="00D25A6E"/>
    <w:rsid w:val="00D26582"/>
    <w:rsid w:val="00D31155"/>
    <w:rsid w:val="00D31596"/>
    <w:rsid w:val="00D33808"/>
    <w:rsid w:val="00D343F6"/>
    <w:rsid w:val="00D34EF9"/>
    <w:rsid w:val="00D362C8"/>
    <w:rsid w:val="00D40D9A"/>
    <w:rsid w:val="00D41C0E"/>
    <w:rsid w:val="00D42531"/>
    <w:rsid w:val="00D44D0B"/>
    <w:rsid w:val="00D45C86"/>
    <w:rsid w:val="00D506F7"/>
    <w:rsid w:val="00D50C39"/>
    <w:rsid w:val="00D50D03"/>
    <w:rsid w:val="00D5106E"/>
    <w:rsid w:val="00D5124C"/>
    <w:rsid w:val="00D51FF7"/>
    <w:rsid w:val="00D53714"/>
    <w:rsid w:val="00D54F6A"/>
    <w:rsid w:val="00D56F3C"/>
    <w:rsid w:val="00D60062"/>
    <w:rsid w:val="00D63682"/>
    <w:rsid w:val="00D6735B"/>
    <w:rsid w:val="00D67C3A"/>
    <w:rsid w:val="00D71686"/>
    <w:rsid w:val="00D718F8"/>
    <w:rsid w:val="00D72701"/>
    <w:rsid w:val="00D7368B"/>
    <w:rsid w:val="00D74A5D"/>
    <w:rsid w:val="00D764D4"/>
    <w:rsid w:val="00D77802"/>
    <w:rsid w:val="00D779DF"/>
    <w:rsid w:val="00D80A5C"/>
    <w:rsid w:val="00D80E73"/>
    <w:rsid w:val="00D817B1"/>
    <w:rsid w:val="00D81FCD"/>
    <w:rsid w:val="00D83028"/>
    <w:rsid w:val="00D84442"/>
    <w:rsid w:val="00D8637E"/>
    <w:rsid w:val="00D86D12"/>
    <w:rsid w:val="00D86ED2"/>
    <w:rsid w:val="00D90195"/>
    <w:rsid w:val="00D90C50"/>
    <w:rsid w:val="00D92C61"/>
    <w:rsid w:val="00D92D79"/>
    <w:rsid w:val="00D94066"/>
    <w:rsid w:val="00D9538A"/>
    <w:rsid w:val="00D95D10"/>
    <w:rsid w:val="00D963AA"/>
    <w:rsid w:val="00D96486"/>
    <w:rsid w:val="00D96968"/>
    <w:rsid w:val="00D97B2A"/>
    <w:rsid w:val="00D97F36"/>
    <w:rsid w:val="00DA09C3"/>
    <w:rsid w:val="00DA0C87"/>
    <w:rsid w:val="00DA10A5"/>
    <w:rsid w:val="00DA1A5E"/>
    <w:rsid w:val="00DA2FCD"/>
    <w:rsid w:val="00DA3C61"/>
    <w:rsid w:val="00DA602D"/>
    <w:rsid w:val="00DA6740"/>
    <w:rsid w:val="00DA7012"/>
    <w:rsid w:val="00DB0E2B"/>
    <w:rsid w:val="00DB1F3A"/>
    <w:rsid w:val="00DB219E"/>
    <w:rsid w:val="00DB3F39"/>
    <w:rsid w:val="00DB4F41"/>
    <w:rsid w:val="00DB6722"/>
    <w:rsid w:val="00DB77C2"/>
    <w:rsid w:val="00DC2029"/>
    <w:rsid w:val="00DC58F4"/>
    <w:rsid w:val="00DC75C4"/>
    <w:rsid w:val="00DD0BC4"/>
    <w:rsid w:val="00DD14AB"/>
    <w:rsid w:val="00DD15C5"/>
    <w:rsid w:val="00DD3088"/>
    <w:rsid w:val="00DD4198"/>
    <w:rsid w:val="00DD609D"/>
    <w:rsid w:val="00DD7DF3"/>
    <w:rsid w:val="00DE2CCC"/>
    <w:rsid w:val="00DE37AA"/>
    <w:rsid w:val="00DE6BB0"/>
    <w:rsid w:val="00DE7176"/>
    <w:rsid w:val="00DE7DAE"/>
    <w:rsid w:val="00DF20C3"/>
    <w:rsid w:val="00DF27B2"/>
    <w:rsid w:val="00DF31D4"/>
    <w:rsid w:val="00DF522A"/>
    <w:rsid w:val="00DF57E0"/>
    <w:rsid w:val="00DF5C1A"/>
    <w:rsid w:val="00DF5C5D"/>
    <w:rsid w:val="00DF635E"/>
    <w:rsid w:val="00DF690A"/>
    <w:rsid w:val="00DF6AAB"/>
    <w:rsid w:val="00DF7036"/>
    <w:rsid w:val="00E009B0"/>
    <w:rsid w:val="00E0195A"/>
    <w:rsid w:val="00E02441"/>
    <w:rsid w:val="00E03741"/>
    <w:rsid w:val="00E05279"/>
    <w:rsid w:val="00E05B6B"/>
    <w:rsid w:val="00E06913"/>
    <w:rsid w:val="00E10F01"/>
    <w:rsid w:val="00E111E6"/>
    <w:rsid w:val="00E1137C"/>
    <w:rsid w:val="00E131DA"/>
    <w:rsid w:val="00E13309"/>
    <w:rsid w:val="00E1605B"/>
    <w:rsid w:val="00E20445"/>
    <w:rsid w:val="00E20483"/>
    <w:rsid w:val="00E2106F"/>
    <w:rsid w:val="00E21C06"/>
    <w:rsid w:val="00E26777"/>
    <w:rsid w:val="00E3009B"/>
    <w:rsid w:val="00E32813"/>
    <w:rsid w:val="00E328E5"/>
    <w:rsid w:val="00E33470"/>
    <w:rsid w:val="00E34D14"/>
    <w:rsid w:val="00E3676A"/>
    <w:rsid w:val="00E40A66"/>
    <w:rsid w:val="00E417FE"/>
    <w:rsid w:val="00E4416C"/>
    <w:rsid w:val="00E4435A"/>
    <w:rsid w:val="00E44D8E"/>
    <w:rsid w:val="00E473AC"/>
    <w:rsid w:val="00E47AFE"/>
    <w:rsid w:val="00E523EA"/>
    <w:rsid w:val="00E53B01"/>
    <w:rsid w:val="00E54B03"/>
    <w:rsid w:val="00E54E54"/>
    <w:rsid w:val="00E54F76"/>
    <w:rsid w:val="00E55744"/>
    <w:rsid w:val="00E56424"/>
    <w:rsid w:val="00E5646D"/>
    <w:rsid w:val="00E57D68"/>
    <w:rsid w:val="00E60B76"/>
    <w:rsid w:val="00E60BEC"/>
    <w:rsid w:val="00E62F97"/>
    <w:rsid w:val="00E6312E"/>
    <w:rsid w:val="00E63264"/>
    <w:rsid w:val="00E6333F"/>
    <w:rsid w:val="00E700A5"/>
    <w:rsid w:val="00E705ED"/>
    <w:rsid w:val="00E70965"/>
    <w:rsid w:val="00E714FA"/>
    <w:rsid w:val="00E720C8"/>
    <w:rsid w:val="00E72B76"/>
    <w:rsid w:val="00E72DF4"/>
    <w:rsid w:val="00E72EA5"/>
    <w:rsid w:val="00E743FF"/>
    <w:rsid w:val="00E75093"/>
    <w:rsid w:val="00E7643B"/>
    <w:rsid w:val="00E77913"/>
    <w:rsid w:val="00E77CDE"/>
    <w:rsid w:val="00E8120C"/>
    <w:rsid w:val="00E844AC"/>
    <w:rsid w:val="00E84FEE"/>
    <w:rsid w:val="00E866DA"/>
    <w:rsid w:val="00E86D91"/>
    <w:rsid w:val="00E87950"/>
    <w:rsid w:val="00E87AFE"/>
    <w:rsid w:val="00E90FFE"/>
    <w:rsid w:val="00E92703"/>
    <w:rsid w:val="00E937D4"/>
    <w:rsid w:val="00E97804"/>
    <w:rsid w:val="00E97ADC"/>
    <w:rsid w:val="00E97FF3"/>
    <w:rsid w:val="00EA0F5E"/>
    <w:rsid w:val="00EA4A7C"/>
    <w:rsid w:val="00EA5397"/>
    <w:rsid w:val="00EA5491"/>
    <w:rsid w:val="00EA5B95"/>
    <w:rsid w:val="00EA622E"/>
    <w:rsid w:val="00EA6D74"/>
    <w:rsid w:val="00EA7079"/>
    <w:rsid w:val="00EA7A58"/>
    <w:rsid w:val="00EA7D4D"/>
    <w:rsid w:val="00EB0B00"/>
    <w:rsid w:val="00EB18B9"/>
    <w:rsid w:val="00EB2EF8"/>
    <w:rsid w:val="00EB36DE"/>
    <w:rsid w:val="00EB4A81"/>
    <w:rsid w:val="00EB5290"/>
    <w:rsid w:val="00EB63DB"/>
    <w:rsid w:val="00EC0DB6"/>
    <w:rsid w:val="00EC13C3"/>
    <w:rsid w:val="00EC1F01"/>
    <w:rsid w:val="00EC2EE3"/>
    <w:rsid w:val="00EC355A"/>
    <w:rsid w:val="00EC45D7"/>
    <w:rsid w:val="00EC49BE"/>
    <w:rsid w:val="00EC5E4C"/>
    <w:rsid w:val="00EC630B"/>
    <w:rsid w:val="00EC6EFA"/>
    <w:rsid w:val="00ED235A"/>
    <w:rsid w:val="00ED364A"/>
    <w:rsid w:val="00ED36F7"/>
    <w:rsid w:val="00ED3951"/>
    <w:rsid w:val="00ED3A65"/>
    <w:rsid w:val="00ED4057"/>
    <w:rsid w:val="00ED471A"/>
    <w:rsid w:val="00ED4AAD"/>
    <w:rsid w:val="00ED4E33"/>
    <w:rsid w:val="00ED5FDC"/>
    <w:rsid w:val="00ED61C5"/>
    <w:rsid w:val="00ED788F"/>
    <w:rsid w:val="00ED7AF2"/>
    <w:rsid w:val="00EE0340"/>
    <w:rsid w:val="00EE1727"/>
    <w:rsid w:val="00EE3B15"/>
    <w:rsid w:val="00EE5BDB"/>
    <w:rsid w:val="00EE64B7"/>
    <w:rsid w:val="00EE6EC2"/>
    <w:rsid w:val="00EE775D"/>
    <w:rsid w:val="00EF0983"/>
    <w:rsid w:val="00EF0CF6"/>
    <w:rsid w:val="00EF276B"/>
    <w:rsid w:val="00EF2AB2"/>
    <w:rsid w:val="00EF31A3"/>
    <w:rsid w:val="00EF5689"/>
    <w:rsid w:val="00EF5A10"/>
    <w:rsid w:val="00EF6107"/>
    <w:rsid w:val="00EF7651"/>
    <w:rsid w:val="00EF7A4C"/>
    <w:rsid w:val="00F011B4"/>
    <w:rsid w:val="00F031B1"/>
    <w:rsid w:val="00F03367"/>
    <w:rsid w:val="00F03A8E"/>
    <w:rsid w:val="00F03C10"/>
    <w:rsid w:val="00F04E9F"/>
    <w:rsid w:val="00F064FE"/>
    <w:rsid w:val="00F065C0"/>
    <w:rsid w:val="00F06BA6"/>
    <w:rsid w:val="00F06FAA"/>
    <w:rsid w:val="00F06FC1"/>
    <w:rsid w:val="00F075FB"/>
    <w:rsid w:val="00F07EB1"/>
    <w:rsid w:val="00F12C39"/>
    <w:rsid w:val="00F1335F"/>
    <w:rsid w:val="00F13B1F"/>
    <w:rsid w:val="00F14A91"/>
    <w:rsid w:val="00F14FA7"/>
    <w:rsid w:val="00F2064E"/>
    <w:rsid w:val="00F212AC"/>
    <w:rsid w:val="00F21E77"/>
    <w:rsid w:val="00F22A4F"/>
    <w:rsid w:val="00F23C23"/>
    <w:rsid w:val="00F23E8B"/>
    <w:rsid w:val="00F24063"/>
    <w:rsid w:val="00F24ED8"/>
    <w:rsid w:val="00F30EA7"/>
    <w:rsid w:val="00F32012"/>
    <w:rsid w:val="00F32473"/>
    <w:rsid w:val="00F329CE"/>
    <w:rsid w:val="00F339A7"/>
    <w:rsid w:val="00F34490"/>
    <w:rsid w:val="00F348F6"/>
    <w:rsid w:val="00F35B7B"/>
    <w:rsid w:val="00F35D96"/>
    <w:rsid w:val="00F3745A"/>
    <w:rsid w:val="00F4196E"/>
    <w:rsid w:val="00F4288B"/>
    <w:rsid w:val="00F4365C"/>
    <w:rsid w:val="00F44083"/>
    <w:rsid w:val="00F44531"/>
    <w:rsid w:val="00F457CC"/>
    <w:rsid w:val="00F46836"/>
    <w:rsid w:val="00F47EC9"/>
    <w:rsid w:val="00F50920"/>
    <w:rsid w:val="00F51B1F"/>
    <w:rsid w:val="00F51B5E"/>
    <w:rsid w:val="00F52898"/>
    <w:rsid w:val="00F56A77"/>
    <w:rsid w:val="00F62C68"/>
    <w:rsid w:val="00F633FA"/>
    <w:rsid w:val="00F636B1"/>
    <w:rsid w:val="00F66684"/>
    <w:rsid w:val="00F66A74"/>
    <w:rsid w:val="00F6743A"/>
    <w:rsid w:val="00F67498"/>
    <w:rsid w:val="00F67D09"/>
    <w:rsid w:val="00F72E6C"/>
    <w:rsid w:val="00F73563"/>
    <w:rsid w:val="00F74789"/>
    <w:rsid w:val="00F74EA9"/>
    <w:rsid w:val="00F763B8"/>
    <w:rsid w:val="00F77CD3"/>
    <w:rsid w:val="00F77E90"/>
    <w:rsid w:val="00F809FF"/>
    <w:rsid w:val="00F80E00"/>
    <w:rsid w:val="00F81578"/>
    <w:rsid w:val="00F81BD0"/>
    <w:rsid w:val="00F83063"/>
    <w:rsid w:val="00F8456A"/>
    <w:rsid w:val="00F84D90"/>
    <w:rsid w:val="00F850AE"/>
    <w:rsid w:val="00F86964"/>
    <w:rsid w:val="00F901A6"/>
    <w:rsid w:val="00F9066D"/>
    <w:rsid w:val="00F91856"/>
    <w:rsid w:val="00F924DA"/>
    <w:rsid w:val="00F92555"/>
    <w:rsid w:val="00F976C7"/>
    <w:rsid w:val="00F97830"/>
    <w:rsid w:val="00FA0CCF"/>
    <w:rsid w:val="00FA19F9"/>
    <w:rsid w:val="00FA378C"/>
    <w:rsid w:val="00FA3C0A"/>
    <w:rsid w:val="00FA4A96"/>
    <w:rsid w:val="00FA5188"/>
    <w:rsid w:val="00FA6338"/>
    <w:rsid w:val="00FA671C"/>
    <w:rsid w:val="00FA67F2"/>
    <w:rsid w:val="00FB03FE"/>
    <w:rsid w:val="00FB07C9"/>
    <w:rsid w:val="00FB0C4A"/>
    <w:rsid w:val="00FB21BA"/>
    <w:rsid w:val="00FB3016"/>
    <w:rsid w:val="00FB5D4E"/>
    <w:rsid w:val="00FC0CCC"/>
    <w:rsid w:val="00FC199D"/>
    <w:rsid w:val="00FC218B"/>
    <w:rsid w:val="00FC2422"/>
    <w:rsid w:val="00FC27A9"/>
    <w:rsid w:val="00FC461F"/>
    <w:rsid w:val="00FC5A51"/>
    <w:rsid w:val="00FC688D"/>
    <w:rsid w:val="00FC78B9"/>
    <w:rsid w:val="00FC7947"/>
    <w:rsid w:val="00FC7EDD"/>
    <w:rsid w:val="00FD2202"/>
    <w:rsid w:val="00FD2312"/>
    <w:rsid w:val="00FD3AFC"/>
    <w:rsid w:val="00FD68FD"/>
    <w:rsid w:val="00FD707B"/>
    <w:rsid w:val="00FD72B2"/>
    <w:rsid w:val="00FD7316"/>
    <w:rsid w:val="00FE1836"/>
    <w:rsid w:val="00FE1C2D"/>
    <w:rsid w:val="00FE2EC5"/>
    <w:rsid w:val="00FE4249"/>
    <w:rsid w:val="00FE577B"/>
    <w:rsid w:val="00FE76E2"/>
    <w:rsid w:val="00FE7A9E"/>
    <w:rsid w:val="00FF12BF"/>
    <w:rsid w:val="00FF146D"/>
    <w:rsid w:val="00FF155A"/>
    <w:rsid w:val="00FF1E60"/>
    <w:rsid w:val="00FF24A1"/>
    <w:rsid w:val="00FF26BE"/>
    <w:rsid w:val="00FF332B"/>
    <w:rsid w:val="00FF4170"/>
    <w:rsid w:val="00FF4FD6"/>
    <w:rsid w:val="00FF5310"/>
    <w:rsid w:val="00FF5908"/>
    <w:rsid w:val="00FF6D10"/>
    <w:rsid w:val="00FF7AD5"/>
    <w:rsid w:val="0589D373"/>
    <w:rsid w:val="07B8C1B9"/>
    <w:rsid w:val="0A92352B"/>
    <w:rsid w:val="0CA9135C"/>
    <w:rsid w:val="118D22B5"/>
    <w:rsid w:val="17A24EEA"/>
    <w:rsid w:val="19E90D06"/>
    <w:rsid w:val="1EEC4175"/>
    <w:rsid w:val="1F342FC6"/>
    <w:rsid w:val="26016F8B"/>
    <w:rsid w:val="282FD46D"/>
    <w:rsid w:val="28F43962"/>
    <w:rsid w:val="2AADE092"/>
    <w:rsid w:val="2D0B5E54"/>
    <w:rsid w:val="2DEEE405"/>
    <w:rsid w:val="3065398C"/>
    <w:rsid w:val="3D873463"/>
    <w:rsid w:val="3E6DA5D9"/>
    <w:rsid w:val="4536E331"/>
    <w:rsid w:val="48DCB825"/>
    <w:rsid w:val="4AC01D36"/>
    <w:rsid w:val="4E958C3B"/>
    <w:rsid w:val="4FE7C661"/>
    <w:rsid w:val="5336765B"/>
    <w:rsid w:val="5792610F"/>
    <w:rsid w:val="5AE5238A"/>
    <w:rsid w:val="5B0B5067"/>
    <w:rsid w:val="5BC0DFB0"/>
    <w:rsid w:val="60C1A203"/>
    <w:rsid w:val="69739A07"/>
    <w:rsid w:val="6DB4127B"/>
    <w:rsid w:val="6EDFDEDB"/>
    <w:rsid w:val="6F1FE961"/>
    <w:rsid w:val="6F80A5F7"/>
    <w:rsid w:val="7083FE01"/>
    <w:rsid w:val="76523A12"/>
    <w:rsid w:val="76640AB6"/>
    <w:rsid w:val="769211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A4ADD"/>
  <w15:docId w15:val="{D7F2CBD9-72D6-4F15-8646-2D8118C3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lsdException w:name="envelope return" w:semiHidden="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19"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F03367"/>
    <w:pPr>
      <w:spacing w:before="0" w:after="0"/>
    </w:pPr>
    <w:rPr>
      <w:lang w:val="en-US" w:eastAsia="en-US"/>
    </w:rPr>
  </w:style>
  <w:style w:type="paragraph" w:styleId="Heading1">
    <w:name w:val="heading 1"/>
    <w:basedOn w:val="Normal"/>
    <w:next w:val="BodyText"/>
    <w:link w:val="Heading1Char"/>
    <w:qFormat/>
    <w:locked/>
    <w:rsid w:val="00446419"/>
    <w:pPr>
      <w:keepNext/>
      <w:numPr>
        <w:numId w:val="67"/>
      </w:numPr>
      <w:spacing w:before="400" w:after="600"/>
      <w:ind w:left="851" w:hanging="851"/>
      <w:outlineLvl w:val="0"/>
    </w:pPr>
    <w:rPr>
      <w:rFonts w:ascii="Public Sans SemiBold" w:hAnsi="Public Sans SemiBold"/>
      <w:caps/>
      <w:color w:val="0B3F47"/>
      <w:kern w:val="28"/>
      <w:sz w:val="40"/>
      <w:szCs w:val="36"/>
      <w:lang w:val="en-AU"/>
    </w:rPr>
  </w:style>
  <w:style w:type="paragraph" w:styleId="Heading2">
    <w:name w:val="heading 2"/>
    <w:basedOn w:val="Normal"/>
    <w:next w:val="BodyText"/>
    <w:link w:val="Heading2Char"/>
    <w:semiHidden/>
    <w:qFormat/>
    <w:rsid w:val="00173234"/>
    <w:pPr>
      <w:keepNext/>
      <w:widowControl w:val="0"/>
      <w:numPr>
        <w:numId w:val="66"/>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autoRedefine/>
    <w:qFormat/>
    <w:locked/>
    <w:rsid w:val="00BE4A9E"/>
    <w:pPr>
      <w:spacing w:before="240" w:after="100" w:line="240" w:lineRule="atLeast"/>
      <w:ind w:left="0" w:firstLine="0"/>
      <w:outlineLvl w:val="2"/>
    </w:pPr>
    <w:rPr>
      <w:rFonts w:ascii="Public Sans SemiBold" w:hAnsi="Public Sans SemiBold"/>
      <w:b/>
      <w:bCs/>
      <w:color w:val="000000" w:themeColor="text1"/>
      <w:kern w:val="28"/>
      <w:sz w:val="26"/>
      <w:szCs w:val="28"/>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4A1A49"/>
    <w:pPr>
      <w:spacing w:before="120"/>
      <w:ind w:left="0" w:firstLine="0"/>
    </w:pPr>
    <w:rPr>
      <w:rFonts w:ascii="Public Sans" w:hAnsi="Public Sans" w:cs="Arial"/>
      <w:iCs/>
      <w:color w:val="000000" w:themeColor="text1"/>
      <w:sz w:val="22"/>
      <w:lang w:eastAsia="en-US"/>
    </w:rPr>
  </w:style>
  <w:style w:type="paragraph" w:customStyle="1" w:styleId="Bullet1">
    <w:name w:val="Bullet 1"/>
    <w:basedOn w:val="BodyText"/>
    <w:link w:val="Bullet1Char"/>
    <w:autoRedefine/>
    <w:qFormat/>
    <w:locked/>
    <w:rsid w:val="00FA6338"/>
    <w:pPr>
      <w:numPr>
        <w:numId w:val="24"/>
      </w:numPr>
      <w:tabs>
        <w:tab w:val="left" w:pos="8647"/>
      </w:tabs>
      <w:ind w:left="284" w:hanging="284"/>
    </w:pPr>
    <w:rPr>
      <w:rFonts w:eastAsiaTheme="minorEastAsia"/>
      <w:szCs w:val="23"/>
      <w:lang w:eastAsia="en-AU"/>
    </w:rPr>
  </w:style>
  <w:style w:type="paragraph" w:customStyle="1" w:styleId="Bullet1inabox">
    <w:name w:val="Bullet 1 in a box"/>
    <w:basedOn w:val="Bullet1"/>
    <w:autoRedefine/>
    <w:semiHidden/>
    <w:locked/>
    <w:rsid w:val="00FB3016"/>
    <w:pPr>
      <w:numPr>
        <w:numId w:val="1"/>
      </w:numPr>
      <w:spacing w:before="100" w:after="60"/>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ocked/>
    <w:rsid w:val="0067339C"/>
    <w:pPr>
      <w:numPr>
        <w:numId w:val="25"/>
      </w:numPr>
      <w:tabs>
        <w:tab w:val="clear" w:pos="785"/>
        <w:tab w:val="left" w:pos="851"/>
      </w:tabs>
      <w:ind w:left="568" w:hanging="284"/>
    </w:p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semiHidden/>
    <w:qFormat/>
    <w:locked/>
    <w:rsid w:val="0025730F"/>
    <w:pPr>
      <w:numPr>
        <w:numId w:val="92"/>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semiHidden/>
    <w:rsid w:val="00173234"/>
    <w:rPr>
      <w:vertAlign w:val="superscript"/>
    </w:rPr>
  </w:style>
  <w:style w:type="paragraph" w:styleId="FootnoteText">
    <w:name w:val="footnote text"/>
    <w:basedOn w:val="Normal"/>
    <w:link w:val="FootnoteTextChar"/>
    <w:uiPriority w:val="99"/>
    <w:semiHidden/>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semiHidden/>
    <w:qFormat/>
    <w:locked/>
    <w:rsid w:val="00600F5D"/>
    <w:pPr>
      <w:numPr>
        <w:numId w:val="5"/>
      </w:numPr>
      <w:ind w:left="851" w:hanging="851"/>
    </w:pPr>
  </w:style>
  <w:style w:type="paragraph" w:customStyle="1" w:styleId="11Heading2">
    <w:name w:val="1.1 Heading 2"/>
    <w:basedOn w:val="Normal"/>
    <w:semiHidden/>
    <w:qFormat/>
    <w:locked/>
    <w:rsid w:val="00600F5D"/>
    <w:pPr>
      <w:numPr>
        <w:numId w:val="4"/>
      </w:numPr>
      <w:pBdr>
        <w:bottom w:val="single" w:sz="4" w:space="4" w:color="22272B"/>
      </w:pBdr>
      <w:ind w:left="851" w:hanging="851"/>
    </w:pPr>
    <w:rPr>
      <w:rFonts w:ascii="Public Sans SemiBold" w:hAnsi="Public Sans SemiBold"/>
      <w:b/>
      <w:color w:val="22272B"/>
      <w:sz w:val="28"/>
      <w:lang w:val="en-AU"/>
    </w:rPr>
  </w:style>
  <w:style w:type="paragraph" w:customStyle="1" w:styleId="Chart1X">
    <w:name w:val="Chart 1.X"/>
    <w:basedOn w:val="Table1X"/>
    <w:next w:val="Normal"/>
    <w:semiHidden/>
    <w:locked/>
    <w:rsid w:val="00FA6338"/>
    <w:pPr>
      <w:keepLines/>
      <w:numPr>
        <w:numId w:val="29"/>
      </w:numPr>
      <w:ind w:left="1418" w:hanging="1418"/>
    </w:pPr>
  </w:style>
  <w:style w:type="character" w:customStyle="1" w:styleId="Heading2Char">
    <w:name w:val="Heading 2 Char"/>
    <w:link w:val="Heading2"/>
    <w:semiHidden/>
    <w:rsid w:val="000A30B4"/>
    <w:rPr>
      <w:rFonts w:ascii="Arial Bold" w:hAnsi="Arial Bold"/>
      <w:b/>
      <w:color w:val="008EBA"/>
      <w:kern w:val="28"/>
      <w:sz w:val="24"/>
      <w:szCs w:val="36"/>
      <w:lang w:eastAsia="en-US"/>
    </w:r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E4A9E"/>
    <w:rPr>
      <w:rFonts w:ascii="Public Sans SemiBold" w:hAnsi="Public Sans SemiBold"/>
      <w:b/>
      <w:bCs/>
      <w:color w:val="000000" w:themeColor="text1"/>
      <w:kern w:val="28"/>
      <w:sz w:val="26"/>
      <w:szCs w:val="28"/>
      <w:lang w:eastAsia="en-US"/>
    </w:rPr>
  </w:style>
  <w:style w:type="character" w:customStyle="1" w:styleId="Bullet1Char">
    <w:name w:val="Bullet 1 Char"/>
    <w:link w:val="Bullet1"/>
    <w:rsid w:val="00FA6338"/>
    <w:rPr>
      <w:rFonts w:ascii="Public Sans" w:eastAsiaTheme="minorEastAsia" w:hAnsi="Public Sans" w:cs="Arial"/>
      <w:iCs/>
      <w:color w:val="000000" w:themeColor="text1"/>
      <w:sz w:val="22"/>
      <w:szCs w:val="23"/>
    </w:rPr>
  </w:style>
  <w:style w:type="paragraph" w:customStyle="1" w:styleId="Box1XBoxHeading">
    <w:name w:val="Box 1.X: Box Heading"/>
    <w:basedOn w:val="Normal"/>
    <w:next w:val="Normal"/>
    <w:semiHidden/>
    <w:qFormat/>
    <w:locked/>
    <w:rsid w:val="00600F5D"/>
    <w:pPr>
      <w:numPr>
        <w:numId w:val="16"/>
      </w:numPr>
      <w:spacing w:before="80" w:after="60" w:line="240" w:lineRule="atLeast"/>
      <w:ind w:left="1134" w:hanging="1134"/>
    </w:pPr>
    <w:rPr>
      <w:rFonts w:ascii="Public Sans SemiBold" w:hAnsi="Public Sans SemiBold"/>
      <w:b/>
      <w:color w:val="000000" w:themeColor="text1"/>
      <w:sz w:val="22"/>
      <w:lang w:val="en-AU"/>
    </w:rPr>
  </w:style>
  <w:style w:type="paragraph" w:customStyle="1" w:styleId="Box3XBoxHeading">
    <w:name w:val="Box 3.X: Box Heading"/>
    <w:basedOn w:val="Box1XBoxHeading"/>
    <w:next w:val="Normal"/>
    <w:semiHidden/>
    <w:qFormat/>
    <w:locked/>
    <w:rsid w:val="00600F5D"/>
    <w:pPr>
      <w:numPr>
        <w:numId w:val="17"/>
      </w:numPr>
      <w:ind w:left="1134" w:hanging="1134"/>
    </w:pPr>
  </w:style>
  <w:style w:type="paragraph" w:customStyle="1" w:styleId="Box6XBoxHeading">
    <w:name w:val="Box 6.X: Box Heading"/>
    <w:basedOn w:val="Box1XBoxHeading"/>
    <w:autoRedefine/>
    <w:semiHidden/>
    <w:qFormat/>
    <w:locked/>
    <w:rsid w:val="00600F5D"/>
    <w:pPr>
      <w:keepLines/>
      <w:widowControl w:val="0"/>
      <w:numPr>
        <w:numId w:val="20"/>
      </w:numPr>
      <w:ind w:left="1134" w:hanging="1134"/>
    </w:pPr>
    <w:rPr>
      <w:rFonts w:eastAsia="Arial Unicode MS" w:cs="Arial"/>
      <w:bCs/>
      <w:szCs w:val="17"/>
      <w:lang w:eastAsia="en-AU"/>
    </w:rPr>
  </w:style>
  <w:style w:type="paragraph" w:customStyle="1" w:styleId="Box2XBoxHeading">
    <w:name w:val="Box 2.X: Box Heading"/>
    <w:basedOn w:val="Box1XBoxHeading"/>
    <w:semiHidden/>
    <w:qFormat/>
    <w:locked/>
    <w:rsid w:val="00600F5D"/>
    <w:pPr>
      <w:numPr>
        <w:numId w:val="90"/>
      </w:numPr>
      <w:ind w:left="1134" w:hanging="1134"/>
    </w:pPr>
  </w:style>
  <w:style w:type="paragraph" w:customStyle="1" w:styleId="Chart2X">
    <w:name w:val="Chart 2.X"/>
    <w:basedOn w:val="Chart1X"/>
    <w:next w:val="Normal"/>
    <w:semiHidden/>
    <w:locked/>
    <w:rsid w:val="00FA6338"/>
    <w:pPr>
      <w:numPr>
        <w:numId w:val="30"/>
      </w:numPr>
      <w:ind w:left="1418" w:hanging="1418"/>
    </w:pPr>
  </w:style>
  <w:style w:type="paragraph" w:customStyle="1" w:styleId="Table2X">
    <w:name w:val="Table 2.X"/>
    <w:basedOn w:val="Table1X"/>
    <w:next w:val="Normal"/>
    <w:semiHidden/>
    <w:qFormat/>
    <w:locked/>
    <w:rsid w:val="00B61FAF"/>
    <w:pPr>
      <w:numPr>
        <w:numId w:val="75"/>
      </w:numPr>
      <w:ind w:left="1418" w:hanging="1418"/>
    </w:pPr>
    <w:rPr>
      <w:lang w:val="fr-FR"/>
    </w:rPr>
  </w:style>
  <w:style w:type="paragraph" w:customStyle="1" w:styleId="Table3X">
    <w:name w:val="Table 3.X"/>
    <w:basedOn w:val="Table1X"/>
    <w:next w:val="Normal"/>
    <w:semiHidden/>
    <w:locked/>
    <w:rsid w:val="0086714A"/>
    <w:pPr>
      <w:widowControl w:val="0"/>
      <w:numPr>
        <w:numId w:val="76"/>
      </w:numPr>
      <w:ind w:left="1418" w:hanging="1418"/>
    </w:pPr>
    <w:rPr>
      <w:bCs w:val="0"/>
    </w:rPr>
  </w:style>
  <w:style w:type="paragraph" w:customStyle="1" w:styleId="TableFX">
    <w:name w:val="Table F.X"/>
    <w:basedOn w:val="TableA1X"/>
    <w:next w:val="Normal"/>
    <w:locked/>
    <w:rsid w:val="00913FA1"/>
    <w:pPr>
      <w:widowControl w:val="0"/>
      <w:numPr>
        <w:numId w:val="89"/>
      </w:numPr>
      <w:ind w:left="1418" w:hanging="1418"/>
    </w:pPr>
    <w:rPr>
      <w:bCs w:val="0"/>
    </w:rPr>
  </w:style>
  <w:style w:type="paragraph" w:customStyle="1" w:styleId="31Heading2">
    <w:name w:val="3.1 Heading 2"/>
    <w:basedOn w:val="11Heading2"/>
    <w:next w:val="BodyText"/>
    <w:semiHidden/>
    <w:qFormat/>
    <w:locked/>
    <w:rsid w:val="00600F5D"/>
    <w:pPr>
      <w:numPr>
        <w:numId w:val="6"/>
      </w:numPr>
      <w:ind w:left="851" w:hanging="851"/>
    </w:pPr>
  </w:style>
  <w:style w:type="paragraph" w:customStyle="1" w:styleId="Box71BoxHeading">
    <w:name w:val="Box 7.1 Box Heading"/>
    <w:basedOn w:val="Normal"/>
    <w:autoRedefine/>
    <w:semiHidden/>
    <w:rsid w:val="00173234"/>
    <w:pPr>
      <w:keepLines/>
      <w:widowControl w:val="0"/>
      <w:numPr>
        <w:numId w:val="21"/>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FA6338"/>
    <w:pPr>
      <w:numPr>
        <w:numId w:val="93"/>
      </w:numPr>
      <w:ind w:left="1418" w:hanging="1418"/>
    </w:pPr>
  </w:style>
  <w:style w:type="paragraph" w:customStyle="1" w:styleId="41Heading2">
    <w:name w:val="4.1 Heading 2"/>
    <w:basedOn w:val="11Heading2"/>
    <w:next w:val="BodyText"/>
    <w:semiHidden/>
    <w:qFormat/>
    <w:locked/>
    <w:rsid w:val="00600F5D"/>
    <w:pPr>
      <w:numPr>
        <w:numId w:val="7"/>
      </w:numPr>
      <w:ind w:left="851" w:hanging="851"/>
    </w:pPr>
    <w:rPr>
      <w:color w:val="000000" w:themeColor="text1"/>
    </w:rPr>
  </w:style>
  <w:style w:type="paragraph" w:customStyle="1" w:styleId="Box4XBoxHeading">
    <w:name w:val="Box 4.X Box Heading"/>
    <w:basedOn w:val="Box1XBoxHeading"/>
    <w:next w:val="Normal"/>
    <w:autoRedefine/>
    <w:semiHidden/>
    <w:locked/>
    <w:rsid w:val="00013BFF"/>
    <w:pPr>
      <w:numPr>
        <w:numId w:val="18"/>
      </w:numPr>
      <w:ind w:left="1134" w:hanging="1134"/>
    </w:pPr>
    <w:rPr>
      <w:rFonts w:cs="Arial"/>
      <w:lang w:eastAsia="en-AU"/>
    </w:rPr>
  </w:style>
  <w:style w:type="paragraph" w:customStyle="1" w:styleId="Chart4X">
    <w:name w:val="Chart 4.X"/>
    <w:basedOn w:val="Chart1X"/>
    <w:next w:val="Normal"/>
    <w:semiHidden/>
    <w:locked/>
    <w:rsid w:val="00FA6338"/>
    <w:pPr>
      <w:numPr>
        <w:numId w:val="31"/>
      </w:numPr>
      <w:ind w:left="1418" w:hanging="1418"/>
    </w:pPr>
  </w:style>
  <w:style w:type="paragraph" w:customStyle="1" w:styleId="Table4X">
    <w:name w:val="Table 4.X"/>
    <w:basedOn w:val="Table1X"/>
    <w:next w:val="Normal"/>
    <w:semiHidden/>
    <w:locked/>
    <w:rsid w:val="0086714A"/>
    <w:pPr>
      <w:widowControl w:val="0"/>
      <w:numPr>
        <w:numId w:val="77"/>
      </w:numPr>
      <w:ind w:left="1418" w:hanging="1418"/>
    </w:pPr>
    <w:rPr>
      <w:bCs w:val="0"/>
    </w:rPr>
  </w:style>
  <w:style w:type="paragraph" w:customStyle="1" w:styleId="51Heading2">
    <w:name w:val="5.1 Heading 2"/>
    <w:basedOn w:val="11Heading2"/>
    <w:next w:val="BodyText"/>
    <w:semiHidden/>
    <w:qFormat/>
    <w:locked/>
    <w:rsid w:val="00600F5D"/>
    <w:pPr>
      <w:numPr>
        <w:numId w:val="8"/>
      </w:numPr>
      <w:ind w:left="851" w:hanging="851"/>
    </w:pPr>
    <w:rPr>
      <w:color w:val="000000" w:themeColor="text1"/>
    </w:rPr>
  </w:style>
  <w:style w:type="paragraph" w:customStyle="1" w:styleId="Box5XBoxHeading">
    <w:name w:val="Box 5.X: Box Heading"/>
    <w:basedOn w:val="Box1XBoxHeading"/>
    <w:next w:val="Normal"/>
    <w:semiHidden/>
    <w:qFormat/>
    <w:locked/>
    <w:rsid w:val="00600F5D"/>
    <w:pPr>
      <w:numPr>
        <w:numId w:val="19"/>
      </w:numPr>
      <w:ind w:left="1134" w:hanging="1134"/>
    </w:pPr>
  </w:style>
  <w:style w:type="paragraph" w:customStyle="1" w:styleId="Chart5X">
    <w:name w:val="Chart 5.X"/>
    <w:basedOn w:val="Chart1X"/>
    <w:next w:val="Normal"/>
    <w:semiHidden/>
    <w:locked/>
    <w:rsid w:val="00FA6338"/>
    <w:pPr>
      <w:numPr>
        <w:numId w:val="32"/>
      </w:numPr>
      <w:ind w:left="1418" w:hanging="1418"/>
    </w:pPr>
  </w:style>
  <w:style w:type="paragraph" w:customStyle="1" w:styleId="Table5X">
    <w:name w:val="Table 5.X"/>
    <w:basedOn w:val="Table1X"/>
    <w:next w:val="Normal"/>
    <w:semiHidden/>
    <w:locked/>
    <w:rsid w:val="0086714A"/>
    <w:pPr>
      <w:widowControl w:val="0"/>
      <w:numPr>
        <w:numId w:val="78"/>
      </w:numPr>
      <w:ind w:left="1418" w:hanging="1418"/>
    </w:pPr>
    <w:rPr>
      <w:bCs w:val="0"/>
    </w:rPr>
  </w:style>
  <w:style w:type="paragraph" w:customStyle="1" w:styleId="Chart6X">
    <w:name w:val="Chart 6.X"/>
    <w:basedOn w:val="Chart1X"/>
    <w:next w:val="Normal"/>
    <w:semiHidden/>
    <w:qFormat/>
    <w:locked/>
    <w:rsid w:val="00FA6338"/>
    <w:pPr>
      <w:numPr>
        <w:numId w:val="33"/>
      </w:numPr>
      <w:ind w:left="1418" w:hanging="1418"/>
    </w:pPr>
  </w:style>
  <w:style w:type="paragraph" w:customStyle="1" w:styleId="Table6X">
    <w:name w:val="Table 6.X"/>
    <w:basedOn w:val="Table1X"/>
    <w:next w:val="Normal"/>
    <w:semiHidden/>
    <w:qFormat/>
    <w:locked/>
    <w:rsid w:val="0086714A"/>
    <w:pPr>
      <w:widowControl w:val="0"/>
      <w:numPr>
        <w:numId w:val="79"/>
      </w:numPr>
      <w:ind w:left="1418" w:hanging="1418"/>
    </w:pPr>
    <w:rPr>
      <w:bCs w:val="0"/>
    </w:rPr>
  </w:style>
  <w:style w:type="paragraph" w:customStyle="1" w:styleId="71Heading2">
    <w:name w:val="7.1 Heading 2"/>
    <w:basedOn w:val="11Heading2"/>
    <w:next w:val="BodyText"/>
    <w:semiHidden/>
    <w:qFormat/>
    <w:locked/>
    <w:rsid w:val="00600F5D"/>
    <w:pPr>
      <w:numPr>
        <w:numId w:val="10"/>
      </w:numPr>
      <w:ind w:left="851" w:hanging="851"/>
    </w:pPr>
    <w:rPr>
      <w:color w:val="000000" w:themeColor="text1"/>
    </w:rPr>
  </w:style>
  <w:style w:type="paragraph" w:customStyle="1" w:styleId="81Heading2">
    <w:name w:val="8.1 Heading 2"/>
    <w:basedOn w:val="11Heading2"/>
    <w:next w:val="BodyText"/>
    <w:semiHidden/>
    <w:qFormat/>
    <w:locked/>
    <w:rsid w:val="00600F5D"/>
    <w:pPr>
      <w:numPr>
        <w:numId w:val="11"/>
      </w:numPr>
      <w:ind w:left="851" w:hanging="851"/>
    </w:pPr>
    <w:rPr>
      <w:color w:val="000000" w:themeColor="text1"/>
    </w:rPr>
  </w:style>
  <w:style w:type="paragraph" w:customStyle="1" w:styleId="Chart7X">
    <w:name w:val="Chart 7.X"/>
    <w:basedOn w:val="Chart1X"/>
    <w:next w:val="Normal"/>
    <w:semiHidden/>
    <w:qFormat/>
    <w:locked/>
    <w:rsid w:val="00FA6338"/>
    <w:pPr>
      <w:numPr>
        <w:numId w:val="34"/>
      </w:numPr>
      <w:ind w:left="1418" w:hanging="1418"/>
    </w:pPr>
  </w:style>
  <w:style w:type="paragraph" w:customStyle="1" w:styleId="Box7XBoxHeading">
    <w:name w:val="Box 7.X: Box Heading"/>
    <w:basedOn w:val="Box1XBoxHeading"/>
    <w:next w:val="Normal"/>
    <w:semiHidden/>
    <w:qFormat/>
    <w:locked/>
    <w:rsid w:val="00600F5D"/>
    <w:pPr>
      <w:numPr>
        <w:numId w:val="22"/>
      </w:numPr>
      <w:ind w:left="1134" w:hanging="1134"/>
    </w:pPr>
  </w:style>
  <w:style w:type="paragraph" w:customStyle="1" w:styleId="Table7X">
    <w:name w:val="Table 7.X"/>
    <w:basedOn w:val="Table1X"/>
    <w:next w:val="Normal"/>
    <w:semiHidden/>
    <w:qFormat/>
    <w:locked/>
    <w:rsid w:val="0086714A"/>
    <w:pPr>
      <w:numPr>
        <w:numId w:val="80"/>
      </w:numPr>
      <w:ind w:left="1418" w:hanging="1418"/>
    </w:pPr>
  </w:style>
  <w:style w:type="paragraph" w:customStyle="1" w:styleId="ChartEX">
    <w:name w:val="Chart E.X"/>
    <w:basedOn w:val="ChartA1X"/>
    <w:next w:val="Normal"/>
    <w:semiHidden/>
    <w:qFormat/>
    <w:locked/>
    <w:rsid w:val="00FA6338"/>
    <w:pPr>
      <w:numPr>
        <w:numId w:val="43"/>
      </w:numPr>
      <w:ind w:left="1418" w:hanging="1418"/>
    </w:pPr>
  </w:style>
  <w:style w:type="paragraph" w:customStyle="1" w:styleId="ChartA2X">
    <w:name w:val="Chart A2.X"/>
    <w:basedOn w:val="ChartA1X"/>
    <w:next w:val="Normal"/>
    <w:semiHidden/>
    <w:qFormat/>
    <w:locked/>
    <w:rsid w:val="00FA6338"/>
    <w:pPr>
      <w:numPr>
        <w:numId w:val="36"/>
      </w:numPr>
      <w:ind w:left="1418" w:hanging="1418"/>
    </w:pPr>
  </w:style>
  <w:style w:type="paragraph" w:customStyle="1" w:styleId="A22Heading2">
    <w:name w:val="A2.2 Heading 2"/>
    <w:basedOn w:val="11Heading2"/>
    <w:next w:val="BodyText"/>
    <w:semiHidden/>
    <w:qFormat/>
    <w:locked/>
    <w:rsid w:val="00600F5D"/>
    <w:pPr>
      <w:numPr>
        <w:numId w:val="12"/>
      </w:numPr>
      <w:ind w:left="851" w:hanging="851"/>
    </w:pPr>
    <w:rPr>
      <w:color w:val="000000" w:themeColor="text1"/>
    </w:rPr>
  </w:style>
  <w:style w:type="paragraph" w:customStyle="1" w:styleId="TableA2X">
    <w:name w:val="Table A2.X"/>
    <w:basedOn w:val="TableA1X"/>
    <w:next w:val="Normal"/>
    <w:semiHidden/>
    <w:locked/>
    <w:rsid w:val="0086714A"/>
    <w:pPr>
      <w:keepNext/>
      <w:keepLines/>
      <w:widowControl w:val="0"/>
      <w:numPr>
        <w:numId w:val="83"/>
      </w:numPr>
      <w:autoSpaceDE w:val="0"/>
      <w:autoSpaceDN w:val="0"/>
      <w:ind w:left="1418" w:hanging="1418"/>
    </w:pPr>
    <w:rPr>
      <w:rFonts w:cs="Arial"/>
      <w:lang w:eastAsia="en-AU"/>
    </w:rPr>
  </w:style>
  <w:style w:type="paragraph" w:customStyle="1" w:styleId="TableA3X">
    <w:name w:val="Table A3.X"/>
    <w:basedOn w:val="TableA1X"/>
    <w:next w:val="Normal"/>
    <w:semiHidden/>
    <w:qFormat/>
    <w:locked/>
    <w:rsid w:val="0086714A"/>
    <w:pPr>
      <w:widowControl w:val="0"/>
      <w:numPr>
        <w:numId w:val="84"/>
      </w:numPr>
      <w:ind w:left="1418" w:hanging="1418"/>
    </w:pPr>
    <w:rPr>
      <w:bCs w:val="0"/>
    </w:rPr>
  </w:style>
  <w:style w:type="paragraph" w:customStyle="1" w:styleId="A11Heading2">
    <w:name w:val="A1.1 Heading 2"/>
    <w:basedOn w:val="11Heading2"/>
    <w:next w:val="BodyText"/>
    <w:semiHidden/>
    <w:qFormat/>
    <w:locked/>
    <w:rsid w:val="00600F5D"/>
    <w:pPr>
      <w:numPr>
        <w:numId w:val="91"/>
      </w:numPr>
      <w:ind w:left="851" w:hanging="851"/>
    </w:pPr>
    <w:rPr>
      <w:rFonts w:eastAsia="Tahoma" w:cs="Tahoma"/>
      <w:color w:val="000000" w:themeColor="text1"/>
    </w:rPr>
  </w:style>
  <w:style w:type="paragraph" w:customStyle="1" w:styleId="B1Heading2">
    <w:name w:val="B.1 Heading 2"/>
    <w:basedOn w:val="11Heading2"/>
    <w:semiHidden/>
    <w:qFormat/>
    <w:locked/>
    <w:rsid w:val="00600F5D"/>
    <w:pPr>
      <w:numPr>
        <w:numId w:val="15"/>
      </w:numPr>
      <w:ind w:left="851" w:hanging="851"/>
    </w:pPr>
    <w:rPr>
      <w:rFonts w:eastAsia="Tahoma" w:cs="Tahoma"/>
      <w:color w:val="000000" w:themeColor="text1"/>
    </w:rPr>
  </w:style>
  <w:style w:type="paragraph" w:customStyle="1" w:styleId="ChartA1X">
    <w:name w:val="Chart A1.X"/>
    <w:basedOn w:val="Chart1X"/>
    <w:next w:val="Normal"/>
    <w:semiHidden/>
    <w:qFormat/>
    <w:locked/>
    <w:rsid w:val="00FA6338"/>
    <w:pPr>
      <w:numPr>
        <w:numId w:val="35"/>
      </w:numPr>
      <w:ind w:left="1418" w:hanging="1418"/>
    </w:pPr>
    <w:rPr>
      <w:rFonts w:eastAsia="Tahoma" w:cs="Tahoma"/>
    </w:rPr>
  </w:style>
  <w:style w:type="paragraph" w:customStyle="1" w:styleId="ChartBX">
    <w:name w:val="Chart B.X"/>
    <w:basedOn w:val="ChartA1X"/>
    <w:next w:val="Normal"/>
    <w:semiHidden/>
    <w:qFormat/>
    <w:locked/>
    <w:rsid w:val="00FA6338"/>
    <w:pPr>
      <w:numPr>
        <w:numId w:val="40"/>
      </w:numPr>
      <w:ind w:left="1418" w:hanging="1418"/>
    </w:pPr>
  </w:style>
  <w:style w:type="paragraph" w:customStyle="1" w:styleId="ChartCX">
    <w:name w:val="Chart C.X"/>
    <w:basedOn w:val="ChartA1X"/>
    <w:next w:val="Normal"/>
    <w:semiHidden/>
    <w:qFormat/>
    <w:locked/>
    <w:rsid w:val="00FA6338"/>
    <w:pPr>
      <w:numPr>
        <w:numId w:val="41"/>
      </w:numPr>
      <w:ind w:left="1418" w:hanging="1418"/>
    </w:pPr>
  </w:style>
  <w:style w:type="paragraph" w:customStyle="1" w:styleId="ChartDX">
    <w:name w:val="Chart D.X"/>
    <w:basedOn w:val="ChartA1X"/>
    <w:next w:val="Normal"/>
    <w:semiHidden/>
    <w:qFormat/>
    <w:locked/>
    <w:rsid w:val="00FA6338"/>
    <w:pPr>
      <w:numPr>
        <w:numId w:val="42"/>
      </w:numPr>
      <w:ind w:left="1418" w:hanging="1418"/>
    </w:pPr>
  </w:style>
  <w:style w:type="paragraph" w:customStyle="1" w:styleId="TableA1X">
    <w:name w:val="Table A1.X"/>
    <w:basedOn w:val="Table1X"/>
    <w:next w:val="Normal"/>
    <w:semiHidden/>
    <w:qFormat/>
    <w:locked/>
    <w:rsid w:val="0086714A"/>
    <w:pPr>
      <w:numPr>
        <w:numId w:val="82"/>
      </w:numPr>
      <w:ind w:left="1418" w:hanging="1418"/>
    </w:pPr>
    <w:rPr>
      <w:rFonts w:eastAsia="Tahoma" w:cs="Tahoma"/>
    </w:rPr>
  </w:style>
  <w:style w:type="paragraph" w:customStyle="1" w:styleId="TableBX">
    <w:name w:val="Table B.X"/>
    <w:basedOn w:val="TableA1X"/>
    <w:next w:val="Normal"/>
    <w:semiHidden/>
    <w:qFormat/>
    <w:locked/>
    <w:rsid w:val="0086714A"/>
    <w:pPr>
      <w:numPr>
        <w:numId w:val="85"/>
      </w:numPr>
      <w:ind w:left="1418" w:hanging="1418"/>
    </w:pPr>
  </w:style>
  <w:style w:type="paragraph" w:customStyle="1" w:styleId="TableCX">
    <w:name w:val="Table C.X"/>
    <w:basedOn w:val="TableA1X"/>
    <w:next w:val="Normal"/>
    <w:semiHidden/>
    <w:qFormat/>
    <w:locked/>
    <w:rsid w:val="0086714A"/>
    <w:pPr>
      <w:numPr>
        <w:numId w:val="86"/>
      </w:numPr>
      <w:ind w:left="1418" w:hanging="1418"/>
    </w:pPr>
  </w:style>
  <w:style w:type="paragraph" w:customStyle="1" w:styleId="TableDX">
    <w:name w:val="Table D.X"/>
    <w:basedOn w:val="TableA1X"/>
    <w:next w:val="Normal"/>
    <w:semiHidden/>
    <w:qFormat/>
    <w:locked/>
    <w:rsid w:val="00B61FAF"/>
    <w:pPr>
      <w:numPr>
        <w:numId w:val="87"/>
      </w:numPr>
      <w:ind w:left="1418" w:hanging="1418"/>
    </w:pPr>
  </w:style>
  <w:style w:type="paragraph" w:customStyle="1" w:styleId="ChartA3X">
    <w:name w:val="Chart A3.X"/>
    <w:basedOn w:val="ChartA1X"/>
    <w:next w:val="Normal"/>
    <w:semiHidden/>
    <w:qFormat/>
    <w:locked/>
    <w:rsid w:val="00FA6338"/>
    <w:pPr>
      <w:numPr>
        <w:numId w:val="37"/>
      </w:numPr>
      <w:ind w:left="1418" w:hanging="1418"/>
    </w:pPr>
  </w:style>
  <w:style w:type="paragraph" w:customStyle="1" w:styleId="ChartFX">
    <w:name w:val="Chart F.X"/>
    <w:basedOn w:val="ChartA1X"/>
    <w:next w:val="Normal"/>
    <w:locked/>
    <w:rsid w:val="00FA6338"/>
    <w:pPr>
      <w:numPr>
        <w:numId w:val="44"/>
      </w:numPr>
      <w:ind w:left="1418" w:hanging="1418"/>
    </w:pPr>
  </w:style>
  <w:style w:type="paragraph" w:customStyle="1" w:styleId="61Heading2">
    <w:name w:val="6.1 Heading 2"/>
    <w:basedOn w:val="11Heading2"/>
    <w:next w:val="BodyText"/>
    <w:semiHidden/>
    <w:qFormat/>
    <w:locked/>
    <w:rsid w:val="00600F5D"/>
    <w:pPr>
      <w:numPr>
        <w:numId w:val="9"/>
      </w:numPr>
      <w:ind w:left="851" w:hanging="851"/>
    </w:pPr>
    <w:rPr>
      <w:color w:val="000000" w:themeColor="text1"/>
    </w:rPr>
  </w:style>
  <w:style w:type="paragraph" w:customStyle="1" w:styleId="A31Heading2">
    <w:name w:val="A3.1 Heading 2"/>
    <w:basedOn w:val="11Heading2"/>
    <w:semiHidden/>
    <w:qFormat/>
    <w:locked/>
    <w:rsid w:val="00600F5D"/>
    <w:pPr>
      <w:numPr>
        <w:numId w:val="13"/>
      </w:numPr>
      <w:ind w:left="851" w:hanging="851"/>
    </w:pPr>
    <w:rPr>
      <w:color w:val="000000" w:themeColor="text1"/>
    </w:rPr>
  </w:style>
  <w:style w:type="paragraph" w:customStyle="1" w:styleId="A41Heading2">
    <w:name w:val="A4.1 Heading 2"/>
    <w:basedOn w:val="11Heading2"/>
    <w:next w:val="BodyText"/>
    <w:semiHidden/>
    <w:qFormat/>
    <w:locked/>
    <w:rsid w:val="00600F5D"/>
    <w:pPr>
      <w:numPr>
        <w:numId w:val="14"/>
      </w:numPr>
      <w:ind w:left="851" w:hanging="851"/>
    </w:pPr>
    <w:rPr>
      <w:color w:val="000000" w:themeColor="text1"/>
    </w:rPr>
  </w:style>
  <w:style w:type="paragraph" w:customStyle="1" w:styleId="C1Heading2">
    <w:name w:val="C.1 Heading 2"/>
    <w:basedOn w:val="11Heading2"/>
    <w:next w:val="BodyText"/>
    <w:semiHidden/>
    <w:qFormat/>
    <w:locked/>
    <w:rsid w:val="00FA6338"/>
    <w:pPr>
      <w:numPr>
        <w:numId w:val="28"/>
      </w:numPr>
      <w:ind w:left="851" w:hanging="851"/>
    </w:pPr>
    <w:rPr>
      <w:color w:val="000000" w:themeColor="text1"/>
    </w:rPr>
  </w:style>
  <w:style w:type="paragraph" w:customStyle="1" w:styleId="D1Heading2">
    <w:name w:val="D.1 Heading 2"/>
    <w:basedOn w:val="11Heading2"/>
    <w:next w:val="BodyText"/>
    <w:semiHidden/>
    <w:qFormat/>
    <w:locked/>
    <w:rsid w:val="00B53B6D"/>
    <w:pPr>
      <w:numPr>
        <w:numId w:val="45"/>
      </w:numPr>
      <w:ind w:left="851" w:hanging="851"/>
    </w:pPr>
  </w:style>
  <w:style w:type="paragraph" w:customStyle="1" w:styleId="E1Heading2">
    <w:name w:val="E.1 Heading 2"/>
    <w:basedOn w:val="11Heading2"/>
    <w:next w:val="BodyText"/>
    <w:semiHidden/>
    <w:qFormat/>
    <w:locked/>
    <w:rsid w:val="00B53B6D"/>
    <w:pPr>
      <w:numPr>
        <w:numId w:val="46"/>
      </w:numPr>
      <w:ind w:left="851" w:hanging="851"/>
    </w:pPr>
  </w:style>
  <w:style w:type="paragraph" w:customStyle="1" w:styleId="F1Heading2">
    <w:name w:val="F.1 Heading 2"/>
    <w:basedOn w:val="11Heading2"/>
    <w:qFormat/>
    <w:locked/>
    <w:rsid w:val="00D31155"/>
    <w:pPr>
      <w:numPr>
        <w:numId w:val="47"/>
      </w:numPr>
      <w:spacing w:before="360" w:after="120"/>
      <w:ind w:left="851" w:hanging="851"/>
    </w:pPr>
  </w:style>
  <w:style w:type="paragraph" w:customStyle="1" w:styleId="Table8X">
    <w:name w:val="Table 8.X"/>
    <w:basedOn w:val="Table1X"/>
    <w:next w:val="Normal"/>
    <w:semiHidden/>
    <w:qFormat/>
    <w:locked/>
    <w:rsid w:val="0086714A"/>
    <w:pPr>
      <w:numPr>
        <w:numId w:val="81"/>
      </w:numPr>
      <w:ind w:left="1418" w:hanging="1418"/>
    </w:pPr>
  </w:style>
  <w:style w:type="paragraph" w:customStyle="1" w:styleId="ChartA4X">
    <w:name w:val="Chart A4.X"/>
    <w:basedOn w:val="ChartA1X"/>
    <w:next w:val="Normal"/>
    <w:semiHidden/>
    <w:qFormat/>
    <w:locked/>
    <w:rsid w:val="00FA6338"/>
    <w:pPr>
      <w:numPr>
        <w:numId w:val="38"/>
      </w:numPr>
      <w:ind w:left="1418" w:hanging="1418"/>
    </w:pPr>
  </w:style>
  <w:style w:type="paragraph" w:customStyle="1" w:styleId="ChartA5X">
    <w:name w:val="Chart A5.X"/>
    <w:basedOn w:val="ChartA1X"/>
    <w:next w:val="Normal"/>
    <w:semiHidden/>
    <w:qFormat/>
    <w:locked/>
    <w:rsid w:val="00FA6338"/>
    <w:pPr>
      <w:numPr>
        <w:numId w:val="39"/>
      </w:numPr>
      <w:ind w:left="1418" w:hanging="1418"/>
    </w:pPr>
  </w:style>
  <w:style w:type="paragraph" w:customStyle="1" w:styleId="Box8XBoxHeading">
    <w:name w:val="Box 8.X: Box Heading"/>
    <w:basedOn w:val="Box1XBoxHeading"/>
    <w:next w:val="Normal"/>
    <w:semiHidden/>
    <w:qFormat/>
    <w:locked/>
    <w:rsid w:val="00600F5D"/>
    <w:pPr>
      <w:numPr>
        <w:numId w:val="23"/>
      </w:numPr>
      <w:ind w:left="1134" w:hanging="1134"/>
    </w:pPr>
  </w:style>
  <w:style w:type="paragraph" w:styleId="Header">
    <w:name w:val="header"/>
    <w:basedOn w:val="Normal"/>
    <w:link w:val="HeaderChar"/>
    <w:uiPriority w:val="99"/>
    <w:rsid w:val="00173234"/>
    <w:pPr>
      <w:tabs>
        <w:tab w:val="center" w:pos="4513"/>
        <w:tab w:val="right" w:pos="9026"/>
      </w:tabs>
    </w:pPr>
  </w:style>
  <w:style w:type="character" w:customStyle="1" w:styleId="HeaderChar">
    <w:name w:val="Header Char"/>
    <w:basedOn w:val="DefaultParagraphFont"/>
    <w:link w:val="Header"/>
    <w:uiPriority w:val="99"/>
    <w:rsid w:val="005324D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296A83"/>
    <w:pPr>
      <w:widowControl w:val="0"/>
      <w:ind w:left="0" w:firstLine="0"/>
    </w:pPr>
    <w:rPr>
      <w:rFonts w:ascii="Public Sans" w:hAnsi="Public Sans" w:cs="Arial"/>
      <w:i/>
      <w:noProof/>
      <w:color w:val="000000" w:themeColor="text1"/>
      <w:sz w:val="16"/>
      <w:szCs w:val="17"/>
      <w:lang w:eastAsia="en-AU"/>
    </w:rPr>
  </w:style>
  <w:style w:type="paragraph" w:customStyle="1" w:styleId="Bullet2inabox">
    <w:name w:val="Bullet 2 in a box"/>
    <w:basedOn w:val="Bullet1inabox"/>
    <w:semiHidden/>
    <w:qFormat/>
    <w:rsid w:val="00FC688D"/>
    <w:pPr>
      <w:numPr>
        <w:numId w:val="3"/>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semiHidden/>
    <w:qFormat/>
    <w:rsid w:val="00C4786E"/>
    <w:rPr>
      <w:rFonts w:ascii="Public Sans SemiBold" w:hAnsi="Public Sans SemiBold"/>
      <w:b/>
    </w:rPr>
  </w:style>
  <w:style w:type="paragraph" w:customStyle="1" w:styleId="Figure1X">
    <w:name w:val="Figure 1.X"/>
    <w:basedOn w:val="Table1X"/>
    <w:next w:val="Normal"/>
    <w:semiHidden/>
    <w:qFormat/>
    <w:rsid w:val="00597E5A"/>
    <w:pPr>
      <w:numPr>
        <w:numId w:val="48"/>
      </w:numPr>
      <w:ind w:left="1418" w:hanging="1418"/>
    </w:pPr>
  </w:style>
  <w:style w:type="paragraph" w:customStyle="1" w:styleId="Figure2X">
    <w:name w:val="Figure 2.X"/>
    <w:basedOn w:val="Figure1X"/>
    <w:next w:val="Normal"/>
    <w:semiHidden/>
    <w:qFormat/>
    <w:rsid w:val="00597E5A"/>
    <w:pPr>
      <w:numPr>
        <w:numId w:val="49"/>
      </w:numPr>
      <w:ind w:left="1418" w:hanging="1418"/>
    </w:pPr>
  </w:style>
  <w:style w:type="paragraph" w:customStyle="1" w:styleId="Figure3X">
    <w:name w:val="Figure 3.X"/>
    <w:basedOn w:val="Figure1X"/>
    <w:next w:val="Normal"/>
    <w:semiHidden/>
    <w:qFormat/>
    <w:rsid w:val="00597E5A"/>
    <w:pPr>
      <w:numPr>
        <w:numId w:val="50"/>
      </w:numPr>
      <w:ind w:left="1418" w:hanging="1418"/>
    </w:pPr>
  </w:style>
  <w:style w:type="paragraph" w:customStyle="1" w:styleId="Figure4X">
    <w:name w:val="Figure 4.X"/>
    <w:basedOn w:val="Figure1X"/>
    <w:next w:val="Normal"/>
    <w:semiHidden/>
    <w:qFormat/>
    <w:rsid w:val="00597E5A"/>
    <w:pPr>
      <w:numPr>
        <w:numId w:val="51"/>
      </w:numPr>
      <w:ind w:left="1418" w:hanging="1418"/>
    </w:pPr>
  </w:style>
  <w:style w:type="paragraph" w:customStyle="1" w:styleId="Figure5X">
    <w:name w:val="Figure 5.X"/>
    <w:basedOn w:val="Figure1X"/>
    <w:next w:val="Normal"/>
    <w:semiHidden/>
    <w:qFormat/>
    <w:rsid w:val="00597E5A"/>
    <w:pPr>
      <w:numPr>
        <w:numId w:val="52"/>
      </w:numPr>
      <w:ind w:left="1418" w:hanging="1418"/>
    </w:pPr>
  </w:style>
  <w:style w:type="paragraph" w:customStyle="1" w:styleId="Figure6X">
    <w:name w:val="Figure 6.X"/>
    <w:basedOn w:val="Figure1X"/>
    <w:next w:val="Normal"/>
    <w:semiHidden/>
    <w:qFormat/>
    <w:rsid w:val="00597E5A"/>
    <w:pPr>
      <w:numPr>
        <w:numId w:val="53"/>
      </w:numPr>
      <w:ind w:left="1418" w:hanging="1418"/>
    </w:pPr>
  </w:style>
  <w:style w:type="paragraph" w:customStyle="1" w:styleId="Figure7X">
    <w:name w:val="Figure 7.X"/>
    <w:basedOn w:val="Figure1X"/>
    <w:next w:val="Normal"/>
    <w:semiHidden/>
    <w:qFormat/>
    <w:rsid w:val="00597E5A"/>
    <w:pPr>
      <w:numPr>
        <w:numId w:val="54"/>
      </w:numPr>
      <w:ind w:left="1418" w:hanging="1418"/>
    </w:pPr>
  </w:style>
  <w:style w:type="paragraph" w:customStyle="1" w:styleId="Figure8X">
    <w:name w:val="Figure 8.X"/>
    <w:basedOn w:val="Figure7X"/>
    <w:next w:val="Normal"/>
    <w:semiHidden/>
    <w:qFormat/>
    <w:rsid w:val="00597E5A"/>
    <w:pPr>
      <w:numPr>
        <w:numId w:val="55"/>
      </w:numPr>
      <w:ind w:left="1418" w:hanging="1418"/>
    </w:pPr>
  </w:style>
  <w:style w:type="paragraph" w:customStyle="1" w:styleId="FigureA1X">
    <w:name w:val="Figure A1.X"/>
    <w:basedOn w:val="Figure1X"/>
    <w:next w:val="Normal"/>
    <w:semiHidden/>
    <w:qFormat/>
    <w:rsid w:val="00597E5A"/>
    <w:pPr>
      <w:numPr>
        <w:numId w:val="56"/>
      </w:numPr>
      <w:ind w:left="1418" w:hanging="1418"/>
    </w:pPr>
  </w:style>
  <w:style w:type="paragraph" w:customStyle="1" w:styleId="FigureA2X">
    <w:name w:val="Figure A2.X"/>
    <w:basedOn w:val="Figure1X"/>
    <w:next w:val="Normal"/>
    <w:semiHidden/>
    <w:qFormat/>
    <w:rsid w:val="00597E5A"/>
    <w:pPr>
      <w:numPr>
        <w:numId w:val="57"/>
      </w:numPr>
      <w:ind w:left="1418" w:hanging="1418"/>
    </w:pPr>
  </w:style>
  <w:style w:type="paragraph" w:customStyle="1" w:styleId="FigureA3X">
    <w:name w:val="Figure A3.X"/>
    <w:basedOn w:val="Figure1X"/>
    <w:next w:val="Normal"/>
    <w:semiHidden/>
    <w:qFormat/>
    <w:rsid w:val="00597E5A"/>
    <w:pPr>
      <w:numPr>
        <w:numId w:val="58"/>
      </w:numPr>
      <w:ind w:left="1418" w:hanging="1418"/>
    </w:pPr>
  </w:style>
  <w:style w:type="paragraph" w:customStyle="1" w:styleId="FigureA4X">
    <w:name w:val="Figure A4.X"/>
    <w:basedOn w:val="Figure1X"/>
    <w:next w:val="Normal"/>
    <w:semiHidden/>
    <w:qFormat/>
    <w:rsid w:val="00597E5A"/>
    <w:pPr>
      <w:numPr>
        <w:numId w:val="59"/>
      </w:numPr>
      <w:ind w:left="1418" w:hanging="1418"/>
    </w:pPr>
  </w:style>
  <w:style w:type="paragraph" w:customStyle="1" w:styleId="FigureA5X">
    <w:name w:val="Figure A5.X"/>
    <w:basedOn w:val="Figure1X"/>
    <w:next w:val="Normal"/>
    <w:semiHidden/>
    <w:qFormat/>
    <w:rsid w:val="0086714A"/>
    <w:pPr>
      <w:numPr>
        <w:numId w:val="60"/>
      </w:numPr>
      <w:ind w:left="1418" w:hanging="1418"/>
    </w:pPr>
  </w:style>
  <w:style w:type="paragraph" w:customStyle="1" w:styleId="FigureBX">
    <w:name w:val="Figure B.X"/>
    <w:basedOn w:val="Figure1X"/>
    <w:semiHidden/>
    <w:qFormat/>
    <w:rsid w:val="0086714A"/>
    <w:pPr>
      <w:numPr>
        <w:numId w:val="61"/>
      </w:numPr>
      <w:ind w:left="1418" w:hanging="1418"/>
    </w:pPr>
  </w:style>
  <w:style w:type="paragraph" w:customStyle="1" w:styleId="FigureCX">
    <w:name w:val="Figure C.X"/>
    <w:basedOn w:val="Figure1X"/>
    <w:next w:val="Normal"/>
    <w:semiHidden/>
    <w:qFormat/>
    <w:rsid w:val="0086714A"/>
    <w:pPr>
      <w:numPr>
        <w:numId w:val="62"/>
      </w:numPr>
      <w:ind w:left="1418" w:hanging="1418"/>
    </w:pPr>
  </w:style>
  <w:style w:type="paragraph" w:customStyle="1" w:styleId="FigureDX">
    <w:name w:val="Figure D.X"/>
    <w:basedOn w:val="Figure1X"/>
    <w:next w:val="Normal"/>
    <w:semiHidden/>
    <w:qFormat/>
    <w:rsid w:val="0086714A"/>
    <w:pPr>
      <w:numPr>
        <w:numId w:val="63"/>
      </w:numPr>
      <w:ind w:left="1418" w:hanging="1418"/>
    </w:pPr>
  </w:style>
  <w:style w:type="paragraph" w:customStyle="1" w:styleId="FigureEX">
    <w:name w:val="Figure E.X"/>
    <w:basedOn w:val="Figure1X"/>
    <w:next w:val="Normal"/>
    <w:semiHidden/>
    <w:qFormat/>
    <w:rsid w:val="0086714A"/>
    <w:pPr>
      <w:numPr>
        <w:numId w:val="64"/>
      </w:numPr>
      <w:ind w:left="1418" w:hanging="1418"/>
    </w:pPr>
  </w:style>
  <w:style w:type="paragraph" w:customStyle="1" w:styleId="FigureFX">
    <w:name w:val="Figure F.X"/>
    <w:basedOn w:val="Figure1X"/>
    <w:next w:val="Normal"/>
    <w:qFormat/>
    <w:rsid w:val="0086714A"/>
    <w:pPr>
      <w:numPr>
        <w:numId w:val="65"/>
      </w:numPr>
      <w:ind w:left="1418" w:hanging="1418"/>
    </w:pPr>
  </w:style>
  <w:style w:type="paragraph" w:customStyle="1" w:styleId="Bullet3">
    <w:name w:val="Bullet 3"/>
    <w:basedOn w:val="Bullet2"/>
    <w:next w:val="BodyText"/>
    <w:qFormat/>
    <w:rsid w:val="00FA6338"/>
    <w:pPr>
      <w:numPr>
        <w:numId w:val="26"/>
      </w:numPr>
      <w:tabs>
        <w:tab w:val="clear" w:pos="851"/>
        <w:tab w:val="clear" w:pos="8647"/>
      </w:tabs>
      <w:ind w:left="851" w:hanging="284"/>
    </w:pPr>
  </w:style>
  <w:style w:type="paragraph" w:customStyle="1" w:styleId="TableEX">
    <w:name w:val="Table E.X"/>
    <w:basedOn w:val="TableDX"/>
    <w:next w:val="BodyText"/>
    <w:semiHidden/>
    <w:qFormat/>
    <w:rsid w:val="00B61352"/>
    <w:pPr>
      <w:numPr>
        <w:numId w:val="88"/>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4A1A49"/>
    <w:rPr>
      <w:rFonts w:ascii="Public Sans" w:hAnsi="Public Sans" w:cs="Arial"/>
      <w:iCs/>
      <w:color w:val="000000" w:themeColor="text1"/>
      <w:sz w:val="22"/>
      <w:lang w:eastAsia="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7"/>
      </w:numPr>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rsid w:val="00173234"/>
  </w:style>
  <w:style w:type="character" w:customStyle="1" w:styleId="CommentTextChar">
    <w:name w:val="Comment Text Char"/>
    <w:basedOn w:val="DefaultParagraphFont"/>
    <w:link w:val="CommentText"/>
    <w:uiPriority w:val="99"/>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uiPriority w:val="99"/>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446419"/>
    <w:rPr>
      <w:rFonts w:ascii="Public Sans SemiBold" w:hAnsi="Public Sans SemiBold"/>
      <w:caps/>
      <w:color w:val="0B3F47"/>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0B3F47"/>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68"/>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69"/>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70"/>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71"/>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72"/>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3"/>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4"/>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link w:val="ListParagraphChar"/>
    <w:uiPriority w:val="34"/>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semiHidden/>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val="en-AU"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paragraph" w:customStyle="1" w:styleId="G1Heading2">
    <w:name w:val="G.1 Heading 2"/>
    <w:basedOn w:val="F1Heading2"/>
    <w:semiHidden/>
    <w:qFormat/>
    <w:rsid w:val="004830F4"/>
    <w:pPr>
      <w:numPr>
        <w:numId w:val="95"/>
      </w:numPr>
      <w:ind w:left="851" w:hanging="851"/>
    </w:pPr>
  </w:style>
  <w:style w:type="paragraph" w:customStyle="1" w:styleId="ChartGX">
    <w:name w:val="Chart G.X"/>
    <w:basedOn w:val="ChartFX"/>
    <w:semiHidden/>
    <w:qFormat/>
    <w:rsid w:val="004830F4"/>
    <w:pPr>
      <w:numPr>
        <w:numId w:val="96"/>
      </w:numPr>
      <w:ind w:left="1418" w:hanging="1418"/>
    </w:pPr>
  </w:style>
  <w:style w:type="paragraph" w:customStyle="1" w:styleId="FigureGX">
    <w:name w:val="Figure G.X"/>
    <w:basedOn w:val="FigureFX"/>
    <w:semiHidden/>
    <w:qFormat/>
    <w:rsid w:val="001804A7"/>
    <w:pPr>
      <w:numPr>
        <w:numId w:val="97"/>
      </w:numPr>
      <w:ind w:left="1418" w:hanging="1418"/>
    </w:pPr>
  </w:style>
  <w:style w:type="paragraph" w:customStyle="1" w:styleId="TableGX">
    <w:name w:val="Table G.X"/>
    <w:basedOn w:val="TableEX"/>
    <w:semiHidden/>
    <w:qFormat/>
    <w:rsid w:val="001804A7"/>
    <w:pPr>
      <w:numPr>
        <w:numId w:val="98"/>
      </w:numPr>
      <w:ind w:left="1418" w:hanging="1418"/>
    </w:pPr>
  </w:style>
  <w:style w:type="table" w:customStyle="1" w:styleId="TableGrid2">
    <w:name w:val="Table Grid2"/>
    <w:basedOn w:val="TableNormal"/>
    <w:next w:val="TableGrid"/>
    <w:uiPriority w:val="39"/>
    <w:rsid w:val="00CE06EF"/>
    <w:pPr>
      <w:spacing w:before="0" w:after="0"/>
      <w:ind w:left="0" w:firstLine="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E06EF"/>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1006F"/>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semiHidden/>
    <w:locked/>
    <w:rsid w:val="007350AD"/>
    <w:rPr>
      <w:lang w:val="en-US" w:eastAsia="en-US"/>
    </w:rPr>
  </w:style>
  <w:style w:type="paragraph" w:styleId="Revision">
    <w:name w:val="Revision"/>
    <w:hidden/>
    <w:uiPriority w:val="99"/>
    <w:semiHidden/>
    <w:rsid w:val="00837B36"/>
    <w:pPr>
      <w:spacing w:before="0" w:after="0"/>
      <w:ind w:left="0" w:firstLine="0"/>
    </w:pPr>
    <w:rPr>
      <w:lang w:val="en-US" w:eastAsia="en-US"/>
    </w:rPr>
  </w:style>
  <w:style w:type="character" w:styleId="Mention">
    <w:name w:val="Mention"/>
    <w:basedOn w:val="DefaultParagraphFont"/>
    <w:uiPriority w:val="99"/>
    <w:semiHidden/>
    <w:rsid w:val="006D6A48"/>
    <w:rPr>
      <w:color w:val="2B579A"/>
      <w:shd w:val="clear" w:color="auto" w:fill="E1DFDD"/>
    </w:rPr>
  </w:style>
  <w:style w:type="table" w:customStyle="1" w:styleId="TableGrid4">
    <w:name w:val="Table Grid4"/>
    <w:basedOn w:val="TableNormal"/>
    <w:next w:val="TableGrid"/>
    <w:uiPriority w:val="39"/>
    <w:rsid w:val="007A44DE"/>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psmodels.com/ftp/workpapr/g-353.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nswgov.sharepoint.com/sites/BudgetStatement/Shared%20Documents/Budget%20Statement/17.%20App%20F%20-%20Economic%20Scenario%20Analysis/Budget%20Papers%20-%20Appendix%20F%20-%20Charts%20and%20Tables.xlt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nswgov.sharepoint.com/sites/BudgetStatement/Shared%20Documents/Budget%20Statement/17.%20App%20F%20-%20Economic%20Scenario%20Analysis/Budget%20Papers%20-%20Appendix%20F%20-%20Charts%20and%20Tables.xlt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88927355987269"/>
          <c:y val="5.8890729663306905E-2"/>
          <c:w val="0.86736626149623131"/>
          <c:h val="0.69790040741315462"/>
        </c:manualLayout>
      </c:layout>
      <c:barChart>
        <c:barDir val="col"/>
        <c:grouping val="stacked"/>
        <c:varyColors val="0"/>
        <c:ser>
          <c:idx val="0"/>
          <c:order val="0"/>
          <c:tx>
            <c:strRef>
              <c:f>'Chart F1'!$B$4</c:f>
              <c:strCache>
                <c:ptCount val="1"/>
                <c:pt idx="0">
                  <c:v>Household consumption</c:v>
                </c:pt>
              </c:strCache>
            </c:strRef>
          </c:tx>
          <c:spPr>
            <a:solidFill>
              <a:srgbClr val="0B3F47"/>
            </a:solidFill>
            <a:ln>
              <a:solidFill>
                <a:schemeClr val="bg1"/>
              </a:solidFill>
            </a:ln>
            <a:effectLst/>
          </c:spPr>
          <c:invertIfNegative val="0"/>
          <c:cat>
            <c:strRef>
              <c:f>'Chart F1'!$C$3:$F$3</c:f>
              <c:strCache>
                <c:ptCount val="4"/>
                <c:pt idx="0">
                  <c:v>2025-26</c:v>
                </c:pt>
                <c:pt idx="1">
                  <c:v>2026-27</c:v>
                </c:pt>
                <c:pt idx="2">
                  <c:v>2027-28</c:v>
                </c:pt>
                <c:pt idx="3">
                  <c:v>2028-29</c:v>
                </c:pt>
              </c:strCache>
            </c:strRef>
          </c:cat>
          <c:val>
            <c:numRef>
              <c:f>'Chart F1'!$C$4:$F$4</c:f>
              <c:numCache>
                <c:formatCode>#,##0.00\ </c:formatCode>
                <c:ptCount val="4"/>
                <c:pt idx="0">
                  <c:v>0.65344016323443854</c:v>
                </c:pt>
                <c:pt idx="1">
                  <c:v>1.3610369689103827</c:v>
                </c:pt>
                <c:pt idx="2">
                  <c:v>1.0476459765479105</c:v>
                </c:pt>
                <c:pt idx="3">
                  <c:v>0.74552550968171427</c:v>
                </c:pt>
              </c:numCache>
            </c:numRef>
          </c:val>
          <c:extLst>
            <c:ext xmlns:c16="http://schemas.microsoft.com/office/drawing/2014/chart" uri="{C3380CC4-5D6E-409C-BE32-E72D297353CC}">
              <c16:uniqueId val="{00000000-0850-4390-8A6F-793BF33AD91D}"/>
            </c:ext>
          </c:extLst>
        </c:ser>
        <c:ser>
          <c:idx val="1"/>
          <c:order val="1"/>
          <c:tx>
            <c:strRef>
              <c:f>'Chart F1'!$B$5</c:f>
              <c:strCache>
                <c:ptCount val="1"/>
                <c:pt idx="0">
                  <c:v>Investment</c:v>
                </c:pt>
              </c:strCache>
            </c:strRef>
          </c:tx>
          <c:spPr>
            <a:solidFill>
              <a:srgbClr val="2E808E"/>
            </a:solidFill>
            <a:ln>
              <a:solidFill>
                <a:schemeClr val="bg1"/>
              </a:solidFill>
            </a:ln>
            <a:effectLst/>
          </c:spPr>
          <c:invertIfNegative val="0"/>
          <c:cat>
            <c:strRef>
              <c:f>'Chart F1'!$C$3:$F$3</c:f>
              <c:strCache>
                <c:ptCount val="4"/>
                <c:pt idx="0">
                  <c:v>2025-26</c:v>
                </c:pt>
                <c:pt idx="1">
                  <c:v>2026-27</c:v>
                </c:pt>
                <c:pt idx="2">
                  <c:v>2027-28</c:v>
                </c:pt>
                <c:pt idx="3">
                  <c:v>2028-29</c:v>
                </c:pt>
              </c:strCache>
            </c:strRef>
          </c:cat>
          <c:val>
            <c:numRef>
              <c:f>'Chart F1'!$C$5:$F$5</c:f>
              <c:numCache>
                <c:formatCode>#,##0.00\ </c:formatCode>
                <c:ptCount val="4"/>
                <c:pt idx="0">
                  <c:v>0.56863334187899939</c:v>
                </c:pt>
                <c:pt idx="1">
                  <c:v>1.1743447124481838</c:v>
                </c:pt>
                <c:pt idx="2">
                  <c:v>0.93033242565420882</c:v>
                </c:pt>
                <c:pt idx="3">
                  <c:v>0.67243980307734819</c:v>
                </c:pt>
              </c:numCache>
            </c:numRef>
          </c:val>
          <c:extLst>
            <c:ext xmlns:c16="http://schemas.microsoft.com/office/drawing/2014/chart" uri="{C3380CC4-5D6E-409C-BE32-E72D297353CC}">
              <c16:uniqueId val="{00000001-0850-4390-8A6F-793BF33AD91D}"/>
            </c:ext>
          </c:extLst>
        </c:ser>
        <c:ser>
          <c:idx val="2"/>
          <c:order val="2"/>
          <c:tx>
            <c:strRef>
              <c:f>'Chart F1'!$B$6</c:f>
              <c:strCache>
                <c:ptCount val="1"/>
                <c:pt idx="0">
                  <c:v>Net international trade</c:v>
                </c:pt>
              </c:strCache>
            </c:strRef>
          </c:tx>
          <c:spPr>
            <a:solidFill>
              <a:srgbClr val="F3631B"/>
            </a:solidFill>
            <a:ln>
              <a:solidFill>
                <a:schemeClr val="bg1"/>
              </a:solidFill>
            </a:ln>
            <a:effectLst/>
          </c:spPr>
          <c:invertIfNegative val="0"/>
          <c:cat>
            <c:strRef>
              <c:f>'Chart F1'!$C$3:$F$3</c:f>
              <c:strCache>
                <c:ptCount val="4"/>
                <c:pt idx="0">
                  <c:v>2025-26</c:v>
                </c:pt>
                <c:pt idx="1">
                  <c:v>2026-27</c:v>
                </c:pt>
                <c:pt idx="2">
                  <c:v>2027-28</c:v>
                </c:pt>
                <c:pt idx="3">
                  <c:v>2028-29</c:v>
                </c:pt>
              </c:strCache>
            </c:strRef>
          </c:cat>
          <c:val>
            <c:numRef>
              <c:f>'Chart F1'!$C$6:$F$6</c:f>
              <c:numCache>
                <c:formatCode>#,##0.00\ </c:formatCode>
                <c:ptCount val="4"/>
                <c:pt idx="0">
                  <c:v>-0.99134678086096562</c:v>
                </c:pt>
                <c:pt idx="1">
                  <c:v>-2.00945314716739</c:v>
                </c:pt>
                <c:pt idx="2">
                  <c:v>-1.4653207953095819</c:v>
                </c:pt>
                <c:pt idx="3">
                  <c:v>-0.95187785076996501</c:v>
                </c:pt>
              </c:numCache>
            </c:numRef>
          </c:val>
          <c:extLst>
            <c:ext xmlns:c16="http://schemas.microsoft.com/office/drawing/2014/chart" uri="{C3380CC4-5D6E-409C-BE32-E72D297353CC}">
              <c16:uniqueId val="{00000002-0850-4390-8A6F-793BF33AD91D}"/>
            </c:ext>
          </c:extLst>
        </c:ser>
        <c:ser>
          <c:idx val="3"/>
          <c:order val="3"/>
          <c:tx>
            <c:strRef>
              <c:f>'Chart F1'!$B$7</c:f>
              <c:strCache>
                <c:ptCount val="1"/>
                <c:pt idx="0">
                  <c:v>Net interstate trade and inventories</c:v>
                </c:pt>
              </c:strCache>
            </c:strRef>
          </c:tx>
          <c:spPr>
            <a:solidFill>
              <a:srgbClr val="441170"/>
            </a:solidFill>
            <a:ln>
              <a:solidFill>
                <a:schemeClr val="bg1"/>
              </a:solidFill>
            </a:ln>
            <a:effectLst/>
          </c:spPr>
          <c:invertIfNegative val="0"/>
          <c:cat>
            <c:strRef>
              <c:f>'Chart F1'!$C$3:$F$3</c:f>
              <c:strCache>
                <c:ptCount val="4"/>
                <c:pt idx="0">
                  <c:v>2025-26</c:v>
                </c:pt>
                <c:pt idx="1">
                  <c:v>2026-27</c:v>
                </c:pt>
                <c:pt idx="2">
                  <c:v>2027-28</c:v>
                </c:pt>
                <c:pt idx="3">
                  <c:v>2028-29</c:v>
                </c:pt>
              </c:strCache>
            </c:strRef>
          </c:cat>
          <c:val>
            <c:numRef>
              <c:f>'Chart F1'!$C$7:$F$7</c:f>
              <c:numCache>
                <c:formatCode>#,##0.00\ </c:formatCode>
                <c:ptCount val="4"/>
                <c:pt idx="0">
                  <c:v>-1.3678892912835708E-2</c:v>
                </c:pt>
                <c:pt idx="1">
                  <c:v>-2.6545199815165052E-2</c:v>
                </c:pt>
                <c:pt idx="2">
                  <c:v>-1.8284479793611919E-2</c:v>
                </c:pt>
                <c:pt idx="3">
                  <c:v>-1.2010061584896425E-3</c:v>
                </c:pt>
              </c:numCache>
            </c:numRef>
          </c:val>
          <c:extLst>
            <c:ext xmlns:c16="http://schemas.microsoft.com/office/drawing/2014/chart" uri="{C3380CC4-5D6E-409C-BE32-E72D297353CC}">
              <c16:uniqueId val="{00000003-0850-4390-8A6F-793BF33AD91D}"/>
            </c:ext>
          </c:extLst>
        </c:ser>
        <c:ser>
          <c:idx val="4"/>
          <c:order val="4"/>
          <c:tx>
            <c:strRef>
              <c:f>'Chart F1'!$B$8</c:f>
              <c:strCache>
                <c:ptCount val="1"/>
                <c:pt idx="0">
                  <c:v>Government consumption</c:v>
                </c:pt>
              </c:strCache>
            </c:strRef>
          </c:tx>
          <c:spPr>
            <a:solidFill>
              <a:srgbClr val="0B3F47"/>
            </a:solidFill>
            <a:ln>
              <a:solidFill>
                <a:schemeClr val="bg1"/>
              </a:solidFill>
            </a:ln>
          </c:spPr>
          <c:invertIfNegative val="0"/>
          <c:cat>
            <c:strRef>
              <c:f>'Chart F1'!$C$3:$F$3</c:f>
              <c:strCache>
                <c:ptCount val="4"/>
                <c:pt idx="0">
                  <c:v>2025-26</c:v>
                </c:pt>
                <c:pt idx="1">
                  <c:v>2026-27</c:v>
                </c:pt>
                <c:pt idx="2">
                  <c:v>2027-28</c:v>
                </c:pt>
                <c:pt idx="3">
                  <c:v>2028-29</c:v>
                </c:pt>
              </c:strCache>
            </c:strRef>
          </c:cat>
          <c:val>
            <c:numRef>
              <c:f>'Chart F1'!$C$8:$F$8</c:f>
              <c:numCache>
                <c:formatCode>#,##0.00\ </c:formatCode>
                <c:ptCount val="4"/>
                <c:pt idx="0">
                  <c:v>-8.8313396365968574E-6</c:v>
                </c:pt>
                <c:pt idx="1">
                  <c:v>1.3256656239883534E-3</c:v>
                </c:pt>
                <c:pt idx="2">
                  <c:v>3.9568729010743819E-3</c:v>
                </c:pt>
                <c:pt idx="3">
                  <c:v>5.6645441693923184E-3</c:v>
                </c:pt>
              </c:numCache>
            </c:numRef>
          </c:val>
          <c:extLst>
            <c:ext xmlns:c16="http://schemas.microsoft.com/office/drawing/2014/chart" uri="{C3380CC4-5D6E-409C-BE32-E72D297353CC}">
              <c16:uniqueId val="{00000004-0850-4390-8A6F-793BF33AD91D}"/>
            </c:ext>
          </c:extLst>
        </c:ser>
        <c:dLbls>
          <c:showLegendKey val="0"/>
          <c:showVal val="0"/>
          <c:showCatName val="0"/>
          <c:showSerName val="0"/>
          <c:showPercent val="0"/>
          <c:showBubbleSize val="0"/>
        </c:dLbls>
        <c:gapWidth val="150"/>
        <c:overlap val="100"/>
        <c:axId val="232048896"/>
        <c:axId val="232058880"/>
      </c:barChart>
      <c:lineChart>
        <c:grouping val="standard"/>
        <c:varyColors val="0"/>
        <c:ser>
          <c:idx val="5"/>
          <c:order val="5"/>
          <c:tx>
            <c:strRef>
              <c:f>'Chart F1'!$B$9</c:f>
              <c:strCache>
                <c:ptCount val="1"/>
                <c:pt idx="0">
                  <c:v>GSP</c:v>
                </c:pt>
              </c:strCache>
            </c:strRef>
          </c:tx>
          <c:spPr>
            <a:ln>
              <a:noFill/>
            </a:ln>
          </c:spPr>
          <c:marker>
            <c:symbol val="circle"/>
            <c:size val="5"/>
            <c:spPr>
              <a:solidFill>
                <a:srgbClr val="BFBFBF"/>
              </a:solidFill>
              <a:ln>
                <a:solidFill>
                  <a:srgbClr val="BFBFBF"/>
                </a:solidFill>
              </a:ln>
            </c:spPr>
          </c:marker>
          <c:cat>
            <c:strRef>
              <c:f>'Chart F1'!$C$3:$F$3</c:f>
              <c:strCache>
                <c:ptCount val="4"/>
                <c:pt idx="0">
                  <c:v>2025-26</c:v>
                </c:pt>
                <c:pt idx="1">
                  <c:v>2026-27</c:v>
                </c:pt>
                <c:pt idx="2">
                  <c:v>2027-28</c:v>
                </c:pt>
                <c:pt idx="3">
                  <c:v>2028-29</c:v>
                </c:pt>
              </c:strCache>
            </c:strRef>
          </c:cat>
          <c:val>
            <c:numRef>
              <c:f>'Chart F1'!$C$9:$F$9</c:f>
              <c:numCache>
                <c:formatCode>#,##0.00\ </c:formatCode>
                <c:ptCount val="4"/>
                <c:pt idx="0">
                  <c:v>0.21703900000000001</c:v>
                </c:pt>
                <c:pt idx="1">
                  <c:v>0.50070899999999996</c:v>
                </c:pt>
                <c:pt idx="2">
                  <c:v>0.49833</c:v>
                </c:pt>
                <c:pt idx="3">
                  <c:v>0.470551</c:v>
                </c:pt>
              </c:numCache>
            </c:numRef>
          </c:val>
          <c:smooth val="0"/>
          <c:extLst>
            <c:ext xmlns:c16="http://schemas.microsoft.com/office/drawing/2014/chart" uri="{C3380CC4-5D6E-409C-BE32-E72D297353CC}">
              <c16:uniqueId val="{00000005-0850-4390-8A6F-793BF33AD91D}"/>
            </c:ext>
          </c:extLst>
        </c:ser>
        <c:dLbls>
          <c:showLegendKey val="0"/>
          <c:showVal val="0"/>
          <c:showCatName val="0"/>
          <c:showSerName val="0"/>
          <c:showPercent val="0"/>
          <c:showBubbleSize val="0"/>
        </c:dLbls>
        <c:marker val="1"/>
        <c:smooth val="0"/>
        <c:axId val="232048896"/>
        <c:axId val="232058880"/>
      </c:lineChart>
      <c:catAx>
        <c:axId val="232048896"/>
        <c:scaling>
          <c:orientation val="minMax"/>
        </c:scaling>
        <c:delete val="0"/>
        <c:axPos val="b"/>
        <c:numFmt formatCode="General" sourceLinked="0"/>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2058880"/>
        <c:crosses val="autoZero"/>
        <c:auto val="1"/>
        <c:lblAlgn val="ctr"/>
        <c:lblOffset val="100"/>
        <c:noMultiLvlLbl val="0"/>
      </c:catAx>
      <c:valAx>
        <c:axId val="232058880"/>
        <c:scaling>
          <c:orientation val="minMax"/>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Percentage point contribution to real GSP</a:t>
                </a:r>
                <a:br>
                  <a:rPr lang="en-AU"/>
                </a:br>
                <a:r>
                  <a:rPr lang="en-AU"/>
                  <a:t>deviation from baseline</a:t>
                </a:r>
              </a:p>
            </c:rich>
          </c:tx>
          <c:layout>
            <c:manualLayout>
              <c:xMode val="edge"/>
              <c:yMode val="edge"/>
              <c:x val="1.3351166988587399E-2"/>
              <c:y val="8.0492242719657756E-2"/>
            </c:manualLayout>
          </c:layout>
          <c:overlay val="0"/>
          <c:spPr>
            <a:noFill/>
            <a:ln>
              <a:noFill/>
            </a:ln>
            <a:effectLst/>
          </c:spPr>
        </c:title>
        <c:numFmt formatCode="#,##0.00\ "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2048896"/>
        <c:crosses val="autoZero"/>
        <c:crossBetween val="between"/>
        <c:majorUnit val="1"/>
      </c:valAx>
    </c:plotArea>
    <c:legend>
      <c:legendPos val="b"/>
      <c:layout>
        <c:manualLayout>
          <c:xMode val="edge"/>
          <c:yMode val="edge"/>
          <c:x val="8.6900534707012353E-2"/>
          <c:y val="0.84501052805416799"/>
          <c:w val="0.88004829085451175"/>
          <c:h val="0.1215210644534767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88927355987269"/>
          <c:y val="5.8890729663306905E-2"/>
          <c:w val="0.86736626149623131"/>
          <c:h val="0.69790040741315462"/>
        </c:manualLayout>
      </c:layout>
      <c:barChart>
        <c:barDir val="col"/>
        <c:grouping val="stacked"/>
        <c:varyColors val="0"/>
        <c:ser>
          <c:idx val="0"/>
          <c:order val="0"/>
          <c:tx>
            <c:strRef>
              <c:f>'Chart F2'!$B$4</c:f>
              <c:strCache>
                <c:ptCount val="1"/>
                <c:pt idx="0">
                  <c:v>Household consumption</c:v>
                </c:pt>
              </c:strCache>
            </c:strRef>
          </c:tx>
          <c:spPr>
            <a:solidFill>
              <a:srgbClr val="0B3F47"/>
            </a:solidFill>
            <a:ln>
              <a:solidFill>
                <a:schemeClr val="bg1"/>
              </a:solidFill>
            </a:ln>
            <a:effectLst/>
          </c:spPr>
          <c:invertIfNegative val="0"/>
          <c:cat>
            <c:strRef>
              <c:f>'Chart F2'!$C$3:$F$3</c:f>
              <c:strCache>
                <c:ptCount val="4"/>
                <c:pt idx="0">
                  <c:v>2025-26</c:v>
                </c:pt>
                <c:pt idx="1">
                  <c:v>2026-27</c:v>
                </c:pt>
                <c:pt idx="2">
                  <c:v>2027-28</c:v>
                </c:pt>
                <c:pt idx="3">
                  <c:v>2028-29</c:v>
                </c:pt>
              </c:strCache>
            </c:strRef>
          </c:cat>
          <c:val>
            <c:numRef>
              <c:f>'Chart F2'!$C$4:$F$4</c:f>
              <c:numCache>
                <c:formatCode>#,##0.00\ </c:formatCode>
                <c:ptCount val="4"/>
                <c:pt idx="0">
                  <c:v>1.9233419027981018E-2</c:v>
                </c:pt>
                <c:pt idx="1">
                  <c:v>1.8346035965598126E-2</c:v>
                </c:pt>
                <c:pt idx="2">
                  <c:v>1.7195592163563065E-2</c:v>
                </c:pt>
                <c:pt idx="3">
                  <c:v>1.5668500467524996E-2</c:v>
                </c:pt>
              </c:numCache>
            </c:numRef>
          </c:val>
          <c:extLst>
            <c:ext xmlns:c16="http://schemas.microsoft.com/office/drawing/2014/chart" uri="{C3380CC4-5D6E-409C-BE32-E72D297353CC}">
              <c16:uniqueId val="{00000000-9DB7-48BE-9C15-9F4A8F6722E7}"/>
            </c:ext>
          </c:extLst>
        </c:ser>
        <c:ser>
          <c:idx val="1"/>
          <c:order val="1"/>
          <c:tx>
            <c:strRef>
              <c:f>'Chart F2'!$B$5</c:f>
              <c:strCache>
                <c:ptCount val="1"/>
                <c:pt idx="0">
                  <c:v>Investment</c:v>
                </c:pt>
              </c:strCache>
            </c:strRef>
          </c:tx>
          <c:spPr>
            <a:solidFill>
              <a:srgbClr val="2E808E"/>
            </a:solidFill>
            <a:ln>
              <a:solidFill>
                <a:schemeClr val="bg1"/>
              </a:solidFill>
            </a:ln>
            <a:effectLst/>
          </c:spPr>
          <c:invertIfNegative val="0"/>
          <c:cat>
            <c:strRef>
              <c:f>'Chart F2'!$C$3:$F$3</c:f>
              <c:strCache>
                <c:ptCount val="4"/>
                <c:pt idx="0">
                  <c:v>2025-26</c:v>
                </c:pt>
                <c:pt idx="1">
                  <c:v>2026-27</c:v>
                </c:pt>
                <c:pt idx="2">
                  <c:v>2027-28</c:v>
                </c:pt>
                <c:pt idx="3">
                  <c:v>2028-29</c:v>
                </c:pt>
              </c:strCache>
            </c:strRef>
          </c:cat>
          <c:val>
            <c:numRef>
              <c:f>'Chart F2'!$C$5:$F$5</c:f>
              <c:numCache>
                <c:formatCode>#,##0.00\ </c:formatCode>
                <c:ptCount val="4"/>
                <c:pt idx="0">
                  <c:v>-4.7030033413152407E-2</c:v>
                </c:pt>
                <c:pt idx="1">
                  <c:v>-5.0032509773260361E-2</c:v>
                </c:pt>
                <c:pt idx="2">
                  <c:v>-5.303212951814168E-2</c:v>
                </c:pt>
                <c:pt idx="3">
                  <c:v>-5.5982738959217432E-2</c:v>
                </c:pt>
              </c:numCache>
            </c:numRef>
          </c:val>
          <c:extLst>
            <c:ext xmlns:c16="http://schemas.microsoft.com/office/drawing/2014/chart" uri="{C3380CC4-5D6E-409C-BE32-E72D297353CC}">
              <c16:uniqueId val="{00000001-9DB7-48BE-9C15-9F4A8F6722E7}"/>
            </c:ext>
          </c:extLst>
        </c:ser>
        <c:ser>
          <c:idx val="2"/>
          <c:order val="2"/>
          <c:tx>
            <c:strRef>
              <c:f>'Chart F2'!$B$6</c:f>
              <c:strCache>
                <c:ptCount val="1"/>
                <c:pt idx="0">
                  <c:v>Net international trade</c:v>
                </c:pt>
              </c:strCache>
            </c:strRef>
          </c:tx>
          <c:spPr>
            <a:solidFill>
              <a:srgbClr val="F3631B"/>
            </a:solidFill>
            <a:ln>
              <a:solidFill>
                <a:schemeClr val="bg1"/>
              </a:solidFill>
            </a:ln>
            <a:effectLst/>
          </c:spPr>
          <c:invertIfNegative val="0"/>
          <c:cat>
            <c:strRef>
              <c:f>'Chart F2'!$C$3:$F$3</c:f>
              <c:strCache>
                <c:ptCount val="4"/>
                <c:pt idx="0">
                  <c:v>2025-26</c:v>
                </c:pt>
                <c:pt idx="1">
                  <c:v>2026-27</c:v>
                </c:pt>
                <c:pt idx="2">
                  <c:v>2027-28</c:v>
                </c:pt>
                <c:pt idx="3">
                  <c:v>2028-29</c:v>
                </c:pt>
              </c:strCache>
            </c:strRef>
          </c:cat>
          <c:val>
            <c:numRef>
              <c:f>'Chart F2'!$C$6:$F$6</c:f>
              <c:numCache>
                <c:formatCode>#,##0.00\ </c:formatCode>
                <c:ptCount val="4"/>
                <c:pt idx="0">
                  <c:v>-0.18921720231918759</c:v>
                </c:pt>
                <c:pt idx="1">
                  <c:v>-0.20024739640344022</c:v>
                </c:pt>
                <c:pt idx="2">
                  <c:v>-0.20984930752927627</c:v>
                </c:pt>
                <c:pt idx="3">
                  <c:v>-0.21827511887722079</c:v>
                </c:pt>
              </c:numCache>
            </c:numRef>
          </c:val>
          <c:extLst>
            <c:ext xmlns:c16="http://schemas.microsoft.com/office/drawing/2014/chart" uri="{C3380CC4-5D6E-409C-BE32-E72D297353CC}">
              <c16:uniqueId val="{00000002-9DB7-48BE-9C15-9F4A8F6722E7}"/>
            </c:ext>
          </c:extLst>
        </c:ser>
        <c:ser>
          <c:idx val="3"/>
          <c:order val="3"/>
          <c:tx>
            <c:strRef>
              <c:f>'Chart F2'!$B$7</c:f>
              <c:strCache>
                <c:ptCount val="1"/>
                <c:pt idx="0">
                  <c:v>Net interstate trade and inventories</c:v>
                </c:pt>
              </c:strCache>
            </c:strRef>
          </c:tx>
          <c:spPr>
            <a:solidFill>
              <a:srgbClr val="441170"/>
            </a:solidFill>
            <a:ln>
              <a:solidFill>
                <a:schemeClr val="bg1"/>
              </a:solidFill>
            </a:ln>
            <a:effectLst/>
          </c:spPr>
          <c:invertIfNegative val="0"/>
          <c:cat>
            <c:strRef>
              <c:f>'Chart F2'!$C$3:$F$3</c:f>
              <c:strCache>
                <c:ptCount val="4"/>
                <c:pt idx="0">
                  <c:v>2025-26</c:v>
                </c:pt>
                <c:pt idx="1">
                  <c:v>2026-27</c:v>
                </c:pt>
                <c:pt idx="2">
                  <c:v>2027-28</c:v>
                </c:pt>
                <c:pt idx="3">
                  <c:v>2028-29</c:v>
                </c:pt>
              </c:strCache>
            </c:strRef>
          </c:cat>
          <c:val>
            <c:numRef>
              <c:f>'Chart F2'!$C$7:$F$7</c:f>
              <c:numCache>
                <c:formatCode>#,##0.00\ </c:formatCode>
                <c:ptCount val="4"/>
                <c:pt idx="0">
                  <c:v>-6.7740514763799844E-2</c:v>
                </c:pt>
                <c:pt idx="1">
                  <c:v>-7.4177232212666172E-2</c:v>
                </c:pt>
                <c:pt idx="2">
                  <c:v>-8.0004386847725054E-2</c:v>
                </c:pt>
                <c:pt idx="3">
                  <c:v>-8.5311533625836114E-2</c:v>
                </c:pt>
              </c:numCache>
            </c:numRef>
          </c:val>
          <c:extLst>
            <c:ext xmlns:c16="http://schemas.microsoft.com/office/drawing/2014/chart" uri="{C3380CC4-5D6E-409C-BE32-E72D297353CC}">
              <c16:uniqueId val="{00000003-9DB7-48BE-9C15-9F4A8F6722E7}"/>
            </c:ext>
          </c:extLst>
        </c:ser>
        <c:ser>
          <c:idx val="4"/>
          <c:order val="4"/>
          <c:tx>
            <c:strRef>
              <c:f>'Chart F2'!$B$8</c:f>
              <c:strCache>
                <c:ptCount val="1"/>
                <c:pt idx="0">
                  <c:v>Government consumption</c:v>
                </c:pt>
              </c:strCache>
            </c:strRef>
          </c:tx>
          <c:spPr>
            <a:solidFill>
              <a:srgbClr val="0B3F47"/>
            </a:solidFill>
            <a:ln>
              <a:solidFill>
                <a:schemeClr val="bg1"/>
              </a:solidFill>
            </a:ln>
          </c:spPr>
          <c:invertIfNegative val="0"/>
          <c:cat>
            <c:strRef>
              <c:f>'Chart F2'!$C$3:$F$3</c:f>
              <c:strCache>
                <c:ptCount val="4"/>
                <c:pt idx="0">
                  <c:v>2025-26</c:v>
                </c:pt>
                <c:pt idx="1">
                  <c:v>2026-27</c:v>
                </c:pt>
                <c:pt idx="2">
                  <c:v>2027-28</c:v>
                </c:pt>
                <c:pt idx="3">
                  <c:v>2028-29</c:v>
                </c:pt>
              </c:strCache>
            </c:strRef>
          </c:cat>
          <c:val>
            <c:numRef>
              <c:f>'Chart F2'!$C$8:$F$8</c:f>
              <c:numCache>
                <c:formatCode>#,##0.00\ </c:formatCode>
                <c:ptCount val="4"/>
                <c:pt idx="0">
                  <c:v>5.933146815883996E-5</c:v>
                </c:pt>
                <c:pt idx="1">
                  <c:v>5.9111024237685703E-3</c:v>
                </c:pt>
                <c:pt idx="2">
                  <c:v>1.0939231731579957E-2</c:v>
                </c:pt>
                <c:pt idx="3">
                  <c:v>1.5235890994749337E-2</c:v>
                </c:pt>
              </c:numCache>
            </c:numRef>
          </c:val>
          <c:extLst>
            <c:ext xmlns:c16="http://schemas.microsoft.com/office/drawing/2014/chart" uri="{C3380CC4-5D6E-409C-BE32-E72D297353CC}">
              <c16:uniqueId val="{00000004-9DB7-48BE-9C15-9F4A8F6722E7}"/>
            </c:ext>
          </c:extLst>
        </c:ser>
        <c:dLbls>
          <c:showLegendKey val="0"/>
          <c:showVal val="0"/>
          <c:showCatName val="0"/>
          <c:showSerName val="0"/>
          <c:showPercent val="0"/>
          <c:showBubbleSize val="0"/>
        </c:dLbls>
        <c:gapWidth val="150"/>
        <c:overlap val="100"/>
        <c:axId val="232048896"/>
        <c:axId val="232058880"/>
      </c:barChart>
      <c:lineChart>
        <c:grouping val="standard"/>
        <c:varyColors val="0"/>
        <c:ser>
          <c:idx val="5"/>
          <c:order val="5"/>
          <c:tx>
            <c:strRef>
              <c:f>'Chart F2'!$B$9</c:f>
              <c:strCache>
                <c:ptCount val="1"/>
                <c:pt idx="0">
                  <c:v>GSP</c:v>
                </c:pt>
              </c:strCache>
            </c:strRef>
          </c:tx>
          <c:spPr>
            <a:ln>
              <a:noFill/>
            </a:ln>
          </c:spPr>
          <c:marker>
            <c:symbol val="circle"/>
            <c:size val="5"/>
            <c:spPr>
              <a:solidFill>
                <a:srgbClr val="BFBFBF"/>
              </a:solidFill>
              <a:ln>
                <a:solidFill>
                  <a:srgbClr val="BFBFBF"/>
                </a:solidFill>
              </a:ln>
            </c:spPr>
          </c:marker>
          <c:cat>
            <c:strRef>
              <c:f>'Chart F2'!$C$3:$F$3</c:f>
              <c:strCache>
                <c:ptCount val="4"/>
                <c:pt idx="0">
                  <c:v>2025-26</c:v>
                </c:pt>
                <c:pt idx="1">
                  <c:v>2026-27</c:v>
                </c:pt>
                <c:pt idx="2">
                  <c:v>2027-28</c:v>
                </c:pt>
                <c:pt idx="3">
                  <c:v>2028-29</c:v>
                </c:pt>
              </c:strCache>
            </c:strRef>
          </c:cat>
          <c:val>
            <c:numRef>
              <c:f>'Chart F2'!$C$9:$F$9</c:f>
              <c:numCache>
                <c:formatCode>#,##0.00\ </c:formatCode>
                <c:ptCount val="4"/>
                <c:pt idx="0">
                  <c:v>-0.28469499999999998</c:v>
                </c:pt>
                <c:pt idx="1">
                  <c:v>-0.30020000000000002</c:v>
                </c:pt>
                <c:pt idx="2">
                  <c:v>-0.314751</c:v>
                </c:pt>
                <c:pt idx="3">
                  <c:v>-0.32866499999999998</c:v>
                </c:pt>
              </c:numCache>
            </c:numRef>
          </c:val>
          <c:smooth val="0"/>
          <c:extLst>
            <c:ext xmlns:c16="http://schemas.microsoft.com/office/drawing/2014/chart" uri="{C3380CC4-5D6E-409C-BE32-E72D297353CC}">
              <c16:uniqueId val="{00000005-9DB7-48BE-9C15-9F4A8F6722E7}"/>
            </c:ext>
          </c:extLst>
        </c:ser>
        <c:dLbls>
          <c:showLegendKey val="0"/>
          <c:showVal val="0"/>
          <c:showCatName val="0"/>
          <c:showSerName val="0"/>
          <c:showPercent val="0"/>
          <c:showBubbleSize val="0"/>
        </c:dLbls>
        <c:marker val="1"/>
        <c:smooth val="0"/>
        <c:axId val="232048896"/>
        <c:axId val="232058880"/>
      </c:lineChart>
      <c:catAx>
        <c:axId val="232048896"/>
        <c:scaling>
          <c:orientation val="minMax"/>
        </c:scaling>
        <c:delete val="0"/>
        <c:axPos val="b"/>
        <c:numFmt formatCode="General" sourceLinked="0"/>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2058880"/>
        <c:crosses val="autoZero"/>
        <c:auto val="1"/>
        <c:lblAlgn val="ctr"/>
        <c:lblOffset val="100"/>
        <c:noMultiLvlLbl val="0"/>
      </c:catAx>
      <c:valAx>
        <c:axId val="232058880"/>
        <c:scaling>
          <c:orientation val="minMax"/>
          <c:max val="0.1"/>
          <c:min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Percentage point contribution to real GSP</a:t>
                </a:r>
                <a:br>
                  <a:rPr lang="en-AU"/>
                </a:br>
                <a:r>
                  <a:rPr lang="en-AU"/>
                  <a:t>deviation from baseline</a:t>
                </a:r>
              </a:p>
            </c:rich>
          </c:tx>
          <c:layout>
            <c:manualLayout>
              <c:xMode val="edge"/>
              <c:yMode val="edge"/>
              <c:x val="1.3351166988587399E-2"/>
              <c:y val="8.0492242719657756E-2"/>
            </c:manualLayout>
          </c:layout>
          <c:overlay val="0"/>
          <c:spPr>
            <a:noFill/>
            <a:ln>
              <a:noFill/>
            </a:ln>
            <a:effectLst/>
          </c:spPr>
        </c:title>
        <c:numFmt formatCode="#,##0.00\ "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32048896"/>
        <c:crosses val="autoZero"/>
        <c:crossBetween val="between"/>
        <c:majorUnit val="0.1"/>
      </c:valAx>
    </c:plotArea>
    <c:legend>
      <c:legendPos val="b"/>
      <c:layout>
        <c:manualLayout>
          <c:xMode val="edge"/>
          <c:yMode val="edge"/>
          <c:x val="8.6900534707012353E-2"/>
          <c:y val="0.84501052805416799"/>
          <c:w val="0.88004829085451175"/>
          <c:h val="0.1215210644534767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1">
    <c:autoUpdate val="0"/>
  </c:externalData>
</c:chartSpace>
</file>

<file path=word/documenttasks/documenttasks1.xml><?xml version="1.0" encoding="utf-8"?>
<t:Tasks xmlns:t="http://schemas.microsoft.com/office/tasks/2019/documenttasks" xmlns:oel="http://schemas.microsoft.com/office/2019/extlst">
  <t:Task id="{17BC5D7C-33E0-4DF8-81B4-E2AAE6F2E414}">
    <t:Anchor>
      <t:Comment id="2053323636"/>
    </t:Anchor>
    <t:History>
      <t:Event id="{EEB21C11-A906-44D5-87B6-C791B0EE05C7}" time="2025-06-12T10:20:11.72Z">
        <t:Attribution userId="S::Lewis.South@treasury.nsw.gov.au::1b93f150-e5ab-4f07-8c6a-c23c50325b4a" userProvider="AD" userName="Lewis South"/>
        <t:Anchor>
          <t:Comment id="2053323636"/>
        </t:Anchor>
        <t:Create/>
      </t:Event>
      <t:Event id="{ECF49567-0C9C-460A-BA87-7B5331AD8D27}" time="2025-06-12T10:20:11.72Z">
        <t:Attribution userId="S::Lewis.South@treasury.nsw.gov.au::1b93f150-e5ab-4f07-8c6a-c23c50325b4a" userProvider="AD" userName="Lewis South"/>
        <t:Anchor>
          <t:Comment id="2053323636"/>
        </t:Anchor>
        <t:Assign userId="S::James.Glenn@treasury.nsw.gov.au::d1b191c5-7d3a-4389-aba9-2f4efe3d096a" userProvider="AD" userName="James Glenn"/>
      </t:Event>
      <t:Event id="{6B5CD2FB-520D-4CC5-971D-70371EF0FC7C}" time="2025-06-12T10:20:11.72Z">
        <t:Attribution userId="S::Lewis.South@treasury.nsw.gov.au::1b93f150-e5ab-4f07-8c6a-c23c50325b4a" userProvider="AD" userName="Lewis South"/>
        <t:Anchor>
          <t:Comment id="2053323636"/>
        </t:Anchor>
        <t:SetTitle title="@James Glenn as per earlier comment"/>
      </t:Event>
      <t:Event id="{DD5E0185-E13D-4289-9000-92EB5794B293}" time="2025-06-12T23:46:04.063Z">
        <t:Attribution userId="S::James.Glenn@treasury.nsw.gov.au::d1b191c5-7d3a-4389-aba9-2f4efe3d096a" userProvider="AD" userName="James Glenn"/>
        <t:Progress percentComplete="100"/>
      </t:Event>
    </t:History>
  </t:Task>
  <t:Task id="{D94E6A02-3D41-4EFE-A0CE-0569EFECD4AB}">
    <t:Anchor>
      <t:Comment id="1283342233"/>
    </t:Anchor>
    <t:History>
      <t:Event id="{C83CBB35-B3FD-4CF8-B3F8-EBBD5F9A697A}" time="2025-06-12T10:09:23.792Z">
        <t:Attribution userId="S::Lewis.South@treasury.nsw.gov.au::1b93f150-e5ab-4f07-8c6a-c23c50325b4a" userProvider="AD" userName="Lewis South"/>
        <t:Anchor>
          <t:Comment id="1283342233"/>
        </t:Anchor>
        <t:Create/>
      </t:Event>
      <t:Event id="{06655F12-D629-49A3-93EB-4E6443137A7D}" time="2025-06-12T10:09:23.792Z">
        <t:Attribution userId="S::Lewis.South@treasury.nsw.gov.au::1b93f150-e5ab-4f07-8c6a-c23c50325b4a" userProvider="AD" userName="Lewis South"/>
        <t:Anchor>
          <t:Comment id="1283342233"/>
        </t:Anchor>
        <t:Assign userId="S::James.Glenn@treasury.nsw.gov.au::d1b191c5-7d3a-4389-aba9-2f4efe3d096a" userProvider="AD" userName="James Glenn"/>
      </t:Event>
      <t:Event id="{FCCBA592-4094-41F0-9A25-5B2A15EAADDD}" time="2025-06-12T10:09:23.792Z">
        <t:Attribution userId="S::Lewis.South@treasury.nsw.gov.au::1b93f150-e5ab-4f07-8c6a-c23c50325b4a" userProvider="AD" userName="Lewis South"/>
        <t:Anchor>
          <t:Comment id="1283342233"/>
        </t:Anchor>
        <t:SetTitle title="@James Glenn Should we change the heading here to something like “Impact on the NSW economy”?"/>
      </t:Event>
      <t:Event id="{C96CD937-3ED8-48F9-8DE4-30AF81705E32}" time="2025-06-12T23:45:14.043Z">
        <t:Attribution userId="S::James.Glenn@treasury.nsw.gov.au::d1b191c5-7d3a-4389-aba9-2f4efe3d096a" userProvider="AD" userName="James Glenn"/>
        <t:Progress percentComplete="100"/>
      </t:Event>
    </t:History>
  </t:Task>
</t:Tasks>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Props1.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2.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3.xml><?xml version="1.0" encoding="utf-8"?>
<ds:datastoreItem xmlns:ds="http://schemas.openxmlformats.org/officeDocument/2006/customXml" ds:itemID="{54F14F10-BB29-4592-A11A-393A7F0AE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E9FD7-6E6C-41F1-AB66-B4A654C66101}">
  <ds:schemaRefs>
    <ds:schemaRef ds:uri="9f0ac7ce-5f57-4ea0-9af7-01d4f3f1ccae"/>
    <ds:schemaRef ds:uri="http://schemas.microsoft.com/office/2006/metadata/properties"/>
    <ds:schemaRef ds:uri="http://www.w3.org/XML/1998/namespace"/>
    <ds:schemaRef ds:uri="1c478e85-8130-4c67-8ee4-8bdf1c0e6049"/>
    <ds:schemaRef ds:uri="http://purl.org/dc/elements/1.1/"/>
    <ds:schemaRef ds:uri="801a5968-9419-4033-b9de-7ffe8168468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2025-26 Budget Paper No. 1 - Budget Statement - Appendix G: Economic Scenario Analysis</vt:lpstr>
    </vt:vector>
  </TitlesOfParts>
  <Company>NSW Treasury</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1 - Budget Statement - Appendix F: Economic Scenario Analysis</dc:title>
  <dc:subject/>
  <dc:creator>F Lavorato</dc:creator>
  <cp:keywords/>
  <cp:lastModifiedBy>Amany Tahir</cp:lastModifiedBy>
  <cp:revision>2</cp:revision>
  <cp:lastPrinted>2023-08-22T20:15:00Z</cp:lastPrinted>
  <dcterms:created xsi:type="dcterms:W3CDTF">2025-06-22T07:53:00Z</dcterms:created>
  <dcterms:modified xsi:type="dcterms:W3CDTF">2025-06-22T07:53:00Z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58600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